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32828">
      <w:r>
        <w:rPr>
          <w:rFonts w:hint="eastAsia"/>
        </w:rPr>
        <w:t>.</w:t>
      </w:r>
    </w:p>
    <w:p w14:paraId="10FE2296"/>
    <w:p w14:paraId="20EE60A6">
      <w:pPr>
        <w:pStyle w:val="42"/>
        <w:jc w:val="center"/>
        <w:rPr>
          <w:rFonts w:hint="eastAsia" w:ascii="宋体" w:hAnsi="宋体" w:eastAsia="宋体" w:cs="宋体"/>
          <w:sz w:val="21"/>
          <w:szCs w:val="21"/>
          <w:lang w:eastAsia="zh-CN"/>
        </w:rPr>
      </w:pPr>
      <w:r>
        <w:rPr>
          <w:rFonts w:hint="eastAsia" w:ascii="宋体" w:hAnsi="宋体" w:cs="宋体"/>
          <w:b/>
          <w:bCs/>
          <w:sz w:val="36"/>
          <w:szCs w:val="36"/>
          <w:lang w:eastAsia="zh-CN"/>
        </w:rPr>
        <w:t>2025年度特定绿证采购项目</w:t>
      </w:r>
    </w:p>
    <w:p w14:paraId="2C56A153">
      <w:pPr>
        <w:tabs>
          <w:tab w:val="left" w:pos="720"/>
          <w:tab w:val="left" w:pos="2160"/>
          <w:tab w:val="left" w:pos="2880"/>
          <w:tab w:val="left" w:pos="3600"/>
          <w:tab w:val="left" w:pos="4320"/>
          <w:tab w:val="left" w:pos="5040"/>
          <w:tab w:val="left" w:pos="5760"/>
        </w:tabs>
        <w:spacing w:line="240" w:lineRule="atLeast"/>
        <w:jc w:val="center"/>
        <w:rPr>
          <w:rFonts w:ascii="宋体" w:hAnsi="宋体" w:cs="宋体"/>
          <w:b/>
          <w:sz w:val="36"/>
          <w:szCs w:val="36"/>
        </w:rPr>
      </w:pPr>
    </w:p>
    <w:p w14:paraId="01035808">
      <w:pPr>
        <w:tabs>
          <w:tab w:val="left" w:pos="720"/>
          <w:tab w:val="left" w:pos="2160"/>
          <w:tab w:val="left" w:pos="2880"/>
          <w:tab w:val="left" w:pos="3600"/>
          <w:tab w:val="left" w:pos="4320"/>
          <w:tab w:val="left" w:pos="5040"/>
          <w:tab w:val="left" w:pos="5760"/>
        </w:tabs>
        <w:spacing w:line="240" w:lineRule="atLeast"/>
        <w:jc w:val="center"/>
        <w:rPr>
          <w:rFonts w:ascii="宋体" w:hAnsi="宋体" w:cs="宋体"/>
          <w:b/>
          <w:sz w:val="36"/>
          <w:szCs w:val="36"/>
        </w:rPr>
      </w:pPr>
    </w:p>
    <w:p w14:paraId="7AF481D9">
      <w:pPr>
        <w:tabs>
          <w:tab w:val="left" w:pos="720"/>
          <w:tab w:val="left" w:pos="2160"/>
          <w:tab w:val="left" w:pos="2880"/>
          <w:tab w:val="left" w:pos="3600"/>
          <w:tab w:val="left" w:pos="4320"/>
          <w:tab w:val="left" w:pos="5040"/>
          <w:tab w:val="left" w:pos="5760"/>
        </w:tabs>
        <w:spacing w:line="240" w:lineRule="atLeast"/>
        <w:jc w:val="center"/>
        <w:rPr>
          <w:rFonts w:ascii="宋体" w:hAnsi="宋体" w:cs="宋体"/>
          <w:b/>
          <w:sz w:val="96"/>
          <w:szCs w:val="96"/>
        </w:rPr>
      </w:pPr>
      <w:r>
        <w:rPr>
          <w:rFonts w:hint="eastAsia" w:ascii="宋体" w:hAnsi="宋体" w:cs="宋体"/>
          <w:b/>
          <w:sz w:val="96"/>
          <w:szCs w:val="96"/>
        </w:rPr>
        <w:t>采购文件</w:t>
      </w:r>
    </w:p>
    <w:p w14:paraId="3C8A95E0">
      <w:pPr>
        <w:pStyle w:val="42"/>
        <w:spacing w:line="240" w:lineRule="atLeast"/>
        <w:rPr>
          <w:rFonts w:ascii="宋体" w:hAnsi="宋体" w:cs="宋体"/>
          <w:b/>
          <w:sz w:val="36"/>
          <w:szCs w:val="36"/>
        </w:rPr>
      </w:pPr>
    </w:p>
    <w:p w14:paraId="6BA20995">
      <w:pPr>
        <w:pStyle w:val="42"/>
        <w:spacing w:line="240" w:lineRule="atLeast"/>
        <w:rPr>
          <w:rFonts w:ascii="宋体" w:hAnsi="宋体" w:cs="宋体"/>
          <w:b/>
          <w:sz w:val="36"/>
          <w:szCs w:val="36"/>
        </w:rPr>
      </w:pPr>
    </w:p>
    <w:p w14:paraId="0EE5ECE5">
      <w:pPr>
        <w:pStyle w:val="42"/>
        <w:spacing w:line="240" w:lineRule="atLeast"/>
        <w:rPr>
          <w:rFonts w:ascii="宋体" w:hAnsi="宋体" w:cs="宋体"/>
          <w:b/>
          <w:sz w:val="36"/>
          <w:szCs w:val="36"/>
        </w:rPr>
      </w:pPr>
    </w:p>
    <w:p w14:paraId="78F1B074">
      <w:pPr>
        <w:pStyle w:val="42"/>
        <w:spacing w:line="240" w:lineRule="atLeast"/>
        <w:rPr>
          <w:rFonts w:ascii="宋体" w:hAnsi="宋体" w:cs="宋体"/>
          <w:b/>
          <w:sz w:val="36"/>
          <w:szCs w:val="36"/>
        </w:rPr>
      </w:pPr>
    </w:p>
    <w:p w14:paraId="495A0BEA">
      <w:pPr>
        <w:tabs>
          <w:tab w:val="left" w:pos="720"/>
          <w:tab w:val="left" w:pos="1440"/>
          <w:tab w:val="left" w:pos="2160"/>
          <w:tab w:val="left" w:pos="2880"/>
          <w:tab w:val="left" w:pos="3600"/>
          <w:tab w:val="left" w:pos="4320"/>
          <w:tab w:val="left" w:pos="5040"/>
          <w:tab w:val="left" w:pos="5760"/>
        </w:tabs>
        <w:spacing w:line="240" w:lineRule="atLeast"/>
        <w:jc w:val="center"/>
        <w:rPr>
          <w:rFonts w:ascii="宋体" w:hAnsi="宋体" w:cs="宋体"/>
          <w:b/>
          <w:sz w:val="32"/>
          <w:highlight w:val="green"/>
        </w:rPr>
      </w:pPr>
    </w:p>
    <w:p w14:paraId="0A8538DC">
      <w:pPr>
        <w:tabs>
          <w:tab w:val="left" w:pos="720"/>
          <w:tab w:val="left" w:pos="1440"/>
          <w:tab w:val="left" w:pos="2160"/>
          <w:tab w:val="left" w:pos="2880"/>
          <w:tab w:val="left" w:pos="3600"/>
          <w:tab w:val="left" w:pos="4320"/>
          <w:tab w:val="left" w:pos="5040"/>
          <w:tab w:val="left" w:pos="5760"/>
        </w:tabs>
        <w:spacing w:line="240" w:lineRule="atLeast"/>
        <w:jc w:val="center"/>
        <w:rPr>
          <w:rFonts w:ascii="宋体" w:hAnsi="宋体" w:cs="宋体"/>
          <w:sz w:val="52"/>
        </w:rPr>
      </w:pPr>
      <w:r>
        <w:rPr>
          <w:rFonts w:hint="eastAsia" w:ascii="宋体" w:hAnsi="宋体" w:cs="宋体"/>
          <w:b/>
          <w:sz w:val="32"/>
        </w:rPr>
        <w:t>项目编号：监理招备【2025】0</w:t>
      </w:r>
      <w:r>
        <w:rPr>
          <w:rFonts w:hint="eastAsia" w:ascii="宋体" w:hAnsi="宋体" w:cs="宋体"/>
          <w:b/>
          <w:sz w:val="32"/>
          <w:lang w:val="en-US" w:eastAsia="zh-CN"/>
        </w:rPr>
        <w:t>45</w:t>
      </w:r>
      <w:r>
        <w:rPr>
          <w:rFonts w:hint="eastAsia" w:ascii="宋体" w:hAnsi="宋体" w:cs="宋体"/>
          <w:b/>
          <w:sz w:val="32"/>
        </w:rPr>
        <w:t>号</w:t>
      </w:r>
    </w:p>
    <w:p w14:paraId="380F0D07">
      <w:pPr>
        <w:tabs>
          <w:tab w:val="left" w:pos="720"/>
          <w:tab w:val="left" w:pos="1440"/>
          <w:tab w:val="left" w:pos="2160"/>
          <w:tab w:val="left" w:pos="2880"/>
          <w:tab w:val="left" w:pos="3600"/>
          <w:tab w:val="left" w:pos="4320"/>
          <w:tab w:val="left" w:pos="5040"/>
          <w:tab w:val="left" w:pos="5760"/>
        </w:tabs>
        <w:spacing w:line="240" w:lineRule="atLeast"/>
        <w:jc w:val="center"/>
        <w:rPr>
          <w:rFonts w:ascii="宋体" w:hAnsi="宋体" w:cs="宋体"/>
          <w:sz w:val="24"/>
        </w:rPr>
      </w:pPr>
    </w:p>
    <w:p w14:paraId="7A2C8D32">
      <w:pPr>
        <w:tabs>
          <w:tab w:val="left" w:pos="720"/>
          <w:tab w:val="left" w:pos="1440"/>
          <w:tab w:val="left" w:pos="2160"/>
          <w:tab w:val="left" w:pos="2880"/>
          <w:tab w:val="left" w:pos="3600"/>
          <w:tab w:val="left" w:pos="4320"/>
          <w:tab w:val="left" w:pos="5040"/>
          <w:tab w:val="left" w:pos="5760"/>
        </w:tabs>
        <w:spacing w:line="240" w:lineRule="atLeast"/>
        <w:ind w:left="1440" w:right="1800"/>
        <w:jc w:val="center"/>
        <w:rPr>
          <w:rFonts w:ascii="宋体" w:hAnsi="宋体" w:cs="宋体"/>
          <w:sz w:val="24"/>
        </w:rPr>
      </w:pPr>
    </w:p>
    <w:p w14:paraId="1E8C2158">
      <w:pPr>
        <w:tabs>
          <w:tab w:val="left" w:pos="720"/>
          <w:tab w:val="left" w:pos="1440"/>
          <w:tab w:val="left" w:pos="2160"/>
          <w:tab w:val="left" w:pos="2880"/>
          <w:tab w:val="left" w:pos="3600"/>
          <w:tab w:val="left" w:pos="4320"/>
          <w:tab w:val="left" w:pos="5040"/>
          <w:tab w:val="left" w:pos="5760"/>
        </w:tabs>
        <w:spacing w:line="240" w:lineRule="atLeast"/>
        <w:ind w:left="1440" w:right="1800"/>
        <w:jc w:val="center"/>
        <w:rPr>
          <w:rFonts w:ascii="宋体" w:hAnsi="宋体" w:cs="宋体"/>
          <w:sz w:val="32"/>
        </w:rPr>
      </w:pPr>
      <w:r>
        <w:rPr>
          <w:rFonts w:hint="eastAsia" w:ascii="宋体" w:hAnsi="宋体" w:cs="宋体"/>
          <w:sz w:val="32"/>
        </w:rPr>
        <w:tab/>
      </w:r>
    </w:p>
    <w:p w14:paraId="1AD0F01A">
      <w:pPr>
        <w:tabs>
          <w:tab w:val="left" w:pos="720"/>
          <w:tab w:val="left" w:pos="1440"/>
          <w:tab w:val="left" w:pos="2160"/>
          <w:tab w:val="left" w:pos="2880"/>
          <w:tab w:val="left" w:pos="3600"/>
          <w:tab w:val="left" w:pos="4320"/>
          <w:tab w:val="left" w:pos="5040"/>
          <w:tab w:val="left" w:pos="5760"/>
        </w:tabs>
        <w:spacing w:line="240" w:lineRule="atLeast"/>
        <w:ind w:left="1440" w:right="1800"/>
        <w:jc w:val="center"/>
        <w:rPr>
          <w:rFonts w:ascii="宋体" w:hAnsi="宋体" w:cs="宋体"/>
          <w:sz w:val="32"/>
        </w:rPr>
      </w:pPr>
    </w:p>
    <w:p w14:paraId="6398E1CB">
      <w:pPr>
        <w:tabs>
          <w:tab w:val="left" w:pos="720"/>
          <w:tab w:val="left" w:pos="1440"/>
          <w:tab w:val="left" w:pos="2160"/>
          <w:tab w:val="left" w:pos="2880"/>
          <w:tab w:val="left" w:pos="3600"/>
          <w:tab w:val="left" w:pos="4320"/>
          <w:tab w:val="left" w:pos="5040"/>
          <w:tab w:val="left" w:pos="5760"/>
        </w:tabs>
        <w:spacing w:line="240" w:lineRule="atLeast"/>
        <w:ind w:right="1800"/>
        <w:rPr>
          <w:rFonts w:ascii="宋体" w:hAnsi="宋体" w:cs="宋体"/>
          <w:sz w:val="32"/>
        </w:rPr>
      </w:pPr>
    </w:p>
    <w:p w14:paraId="4034A11B">
      <w:pPr>
        <w:tabs>
          <w:tab w:val="left" w:pos="720"/>
          <w:tab w:val="left" w:pos="1440"/>
          <w:tab w:val="left" w:pos="2160"/>
          <w:tab w:val="left" w:pos="2880"/>
          <w:tab w:val="left" w:pos="3600"/>
          <w:tab w:val="left" w:pos="4320"/>
          <w:tab w:val="left" w:pos="5040"/>
          <w:tab w:val="left" w:pos="5760"/>
        </w:tabs>
        <w:spacing w:line="240" w:lineRule="atLeast"/>
        <w:ind w:left="1440" w:right="1800"/>
        <w:jc w:val="center"/>
        <w:rPr>
          <w:rFonts w:ascii="宋体" w:hAnsi="宋体" w:cs="宋体"/>
          <w:sz w:val="32"/>
        </w:rPr>
      </w:pPr>
    </w:p>
    <w:p w14:paraId="1A55D152">
      <w:pPr>
        <w:pStyle w:val="42"/>
        <w:rPr>
          <w:rFonts w:ascii="宋体" w:hAnsi="宋体" w:cs="宋体"/>
        </w:rPr>
      </w:pPr>
    </w:p>
    <w:p w14:paraId="45CE01F5">
      <w:pPr>
        <w:pStyle w:val="42"/>
        <w:rPr>
          <w:rFonts w:ascii="宋体" w:hAnsi="宋体" w:cs="宋体"/>
        </w:rPr>
      </w:pPr>
    </w:p>
    <w:p w14:paraId="2776DF5D">
      <w:pPr>
        <w:pStyle w:val="42"/>
        <w:rPr>
          <w:rFonts w:ascii="宋体" w:hAnsi="宋体" w:cs="宋体"/>
        </w:rPr>
      </w:pPr>
    </w:p>
    <w:p w14:paraId="773AFA9D">
      <w:pPr>
        <w:pStyle w:val="42"/>
        <w:rPr>
          <w:rFonts w:ascii="宋体" w:hAnsi="宋体" w:cs="宋体"/>
        </w:rPr>
      </w:pPr>
    </w:p>
    <w:p w14:paraId="2FBDE45F">
      <w:pPr>
        <w:pStyle w:val="42"/>
        <w:rPr>
          <w:rFonts w:ascii="宋体" w:hAnsi="宋体" w:cs="宋体"/>
        </w:rPr>
      </w:pPr>
    </w:p>
    <w:p w14:paraId="0A9AEF10">
      <w:pPr>
        <w:tabs>
          <w:tab w:val="left" w:pos="720"/>
          <w:tab w:val="left" w:pos="1440"/>
          <w:tab w:val="left" w:pos="2160"/>
          <w:tab w:val="left" w:pos="2880"/>
          <w:tab w:val="left" w:pos="3600"/>
          <w:tab w:val="left" w:pos="4320"/>
          <w:tab w:val="left" w:pos="5040"/>
          <w:tab w:val="left" w:pos="5760"/>
        </w:tabs>
        <w:spacing w:line="240" w:lineRule="atLeast"/>
        <w:ind w:firstLine="1600"/>
        <w:rPr>
          <w:rFonts w:hint="eastAsia" w:ascii="宋体" w:hAnsi="宋体" w:eastAsia="宋体" w:cs="宋体"/>
          <w:sz w:val="32"/>
          <w:szCs w:val="32"/>
          <w:lang w:eastAsia="zh-CN"/>
        </w:rPr>
      </w:pPr>
      <w:r>
        <w:rPr>
          <w:rFonts w:hint="eastAsia" w:ascii="宋体" w:hAnsi="宋体" w:cs="宋体"/>
          <w:sz w:val="32"/>
          <w:szCs w:val="32"/>
        </w:rPr>
        <w:t>采 购 单 位：</w:t>
      </w:r>
      <w:r>
        <w:rPr>
          <w:rFonts w:hint="eastAsia" w:ascii="宋体" w:hAnsi="宋体" w:cs="宋体"/>
          <w:sz w:val="32"/>
          <w:szCs w:val="32"/>
          <w:lang w:eastAsia="zh-CN"/>
        </w:rPr>
        <w:t>台州市北部湾区经济开发集团有限公司</w:t>
      </w:r>
    </w:p>
    <w:p w14:paraId="67067D99">
      <w:pPr>
        <w:tabs>
          <w:tab w:val="left" w:pos="720"/>
          <w:tab w:val="left" w:pos="1440"/>
          <w:tab w:val="left" w:pos="2160"/>
          <w:tab w:val="left" w:pos="2880"/>
          <w:tab w:val="left" w:pos="3600"/>
          <w:tab w:val="left" w:pos="4320"/>
          <w:tab w:val="left" w:pos="5040"/>
          <w:tab w:val="left" w:pos="5760"/>
        </w:tabs>
        <w:spacing w:line="240" w:lineRule="atLeast"/>
        <w:ind w:firstLine="1600"/>
        <w:rPr>
          <w:rFonts w:ascii="宋体" w:hAnsi="宋体" w:cs="宋体"/>
          <w:sz w:val="32"/>
          <w:szCs w:val="32"/>
        </w:rPr>
      </w:pPr>
      <w:r>
        <w:rPr>
          <w:rFonts w:hint="eastAsia" w:ascii="宋体" w:hAnsi="宋体" w:cs="宋体"/>
          <w:sz w:val="32"/>
          <w:szCs w:val="32"/>
        </w:rPr>
        <w:t>采购代理机构：浙江省三门县工程建设监理有限公司</w:t>
      </w:r>
    </w:p>
    <w:p w14:paraId="53D45F09">
      <w:pPr>
        <w:tabs>
          <w:tab w:val="left" w:pos="720"/>
          <w:tab w:val="left" w:pos="1440"/>
          <w:tab w:val="left" w:pos="2160"/>
          <w:tab w:val="left" w:pos="2880"/>
          <w:tab w:val="left" w:pos="3600"/>
          <w:tab w:val="left" w:pos="4320"/>
          <w:tab w:val="left" w:pos="5040"/>
          <w:tab w:val="left" w:pos="5760"/>
        </w:tabs>
        <w:spacing w:line="240" w:lineRule="atLeast"/>
        <w:ind w:left="1440" w:right="1800"/>
        <w:jc w:val="center"/>
        <w:rPr>
          <w:rFonts w:ascii="宋体"/>
          <w:sz w:val="30"/>
          <w:szCs w:val="30"/>
        </w:rPr>
      </w:pPr>
      <w:r>
        <w:rPr>
          <w:rFonts w:hint="eastAsia" w:ascii="宋体" w:hAnsi="宋体" w:cs="宋体"/>
          <w:sz w:val="30"/>
          <w:szCs w:val="30"/>
        </w:rPr>
        <w:t>二 ○二五年十月</w:t>
      </w:r>
    </w:p>
    <w:p w14:paraId="21F637D8">
      <w:pPr>
        <w:tabs>
          <w:tab w:val="left" w:pos="180"/>
          <w:tab w:val="left" w:pos="360"/>
          <w:tab w:val="left" w:pos="540"/>
          <w:tab w:val="left" w:pos="8280"/>
        </w:tabs>
        <w:spacing w:line="580" w:lineRule="exact"/>
        <w:ind w:right="23"/>
        <w:jc w:val="left"/>
        <w:rPr>
          <w:rFonts w:ascii="宋体"/>
          <w:b/>
          <w:sz w:val="10"/>
        </w:rPr>
      </w:pPr>
    </w:p>
    <w:p w14:paraId="61C54A35">
      <w:pPr>
        <w:tabs>
          <w:tab w:val="left" w:pos="180"/>
          <w:tab w:val="left" w:pos="360"/>
          <w:tab w:val="left" w:pos="540"/>
          <w:tab w:val="left" w:pos="8280"/>
        </w:tabs>
        <w:spacing w:line="580" w:lineRule="exact"/>
        <w:ind w:right="23"/>
        <w:jc w:val="left"/>
        <w:rPr>
          <w:rFonts w:ascii="宋体"/>
          <w:b/>
          <w:sz w:val="10"/>
        </w:rPr>
      </w:pPr>
    </w:p>
    <w:p w14:paraId="6C31F5DD">
      <w:pPr>
        <w:pStyle w:val="42"/>
        <w:rPr>
          <w:rFonts w:ascii="宋体"/>
          <w:b/>
          <w:sz w:val="10"/>
        </w:rPr>
      </w:pPr>
    </w:p>
    <w:p w14:paraId="7835C771">
      <w:pPr>
        <w:pStyle w:val="43"/>
      </w:pPr>
    </w:p>
    <w:p w14:paraId="6A75D40B">
      <w:pPr>
        <w:tabs>
          <w:tab w:val="left" w:pos="720"/>
          <w:tab w:val="left" w:pos="1260"/>
          <w:tab w:val="left" w:pos="2160"/>
          <w:tab w:val="left" w:pos="2880"/>
          <w:tab w:val="left" w:pos="3600"/>
          <w:tab w:val="left" w:pos="4320"/>
          <w:tab w:val="left" w:pos="5040"/>
          <w:tab w:val="left" w:pos="5760"/>
          <w:tab w:val="left" w:pos="8280"/>
        </w:tabs>
        <w:spacing w:line="360" w:lineRule="auto"/>
        <w:ind w:right="25" w:firstLine="540"/>
        <w:jc w:val="left"/>
        <w:rPr>
          <w:rFonts w:ascii="宋体"/>
          <w:b/>
          <w:sz w:val="10"/>
        </w:rPr>
      </w:pPr>
    </w:p>
    <w:p w14:paraId="5EBB5C39">
      <w:pPr>
        <w:tabs>
          <w:tab w:val="left" w:pos="720"/>
          <w:tab w:val="left" w:pos="1260"/>
          <w:tab w:val="left" w:pos="2160"/>
          <w:tab w:val="left" w:pos="2880"/>
          <w:tab w:val="left" w:pos="3600"/>
          <w:tab w:val="left" w:pos="4320"/>
          <w:tab w:val="left" w:pos="5040"/>
          <w:tab w:val="left" w:pos="5760"/>
          <w:tab w:val="left" w:pos="8280"/>
        </w:tabs>
        <w:spacing w:line="360" w:lineRule="auto"/>
        <w:ind w:right="25" w:firstLine="540"/>
        <w:jc w:val="center"/>
        <w:rPr>
          <w:rFonts w:ascii="宋体" w:hAnsi="宋体"/>
          <w:b/>
          <w:sz w:val="36"/>
        </w:rPr>
      </w:pPr>
    </w:p>
    <w:p w14:paraId="7C7735C2">
      <w:pPr>
        <w:tabs>
          <w:tab w:val="left" w:pos="720"/>
          <w:tab w:val="left" w:pos="1260"/>
          <w:tab w:val="left" w:pos="2160"/>
          <w:tab w:val="left" w:pos="2880"/>
          <w:tab w:val="left" w:pos="3600"/>
          <w:tab w:val="left" w:pos="4320"/>
          <w:tab w:val="left" w:pos="5040"/>
          <w:tab w:val="left" w:pos="5760"/>
          <w:tab w:val="left" w:pos="8280"/>
        </w:tabs>
        <w:spacing w:line="360" w:lineRule="auto"/>
        <w:ind w:right="25" w:firstLine="540"/>
        <w:jc w:val="center"/>
        <w:rPr>
          <w:rFonts w:hint="eastAsia" w:ascii="宋体" w:hAnsi="宋体"/>
          <w:b/>
          <w:sz w:val="36"/>
        </w:rPr>
      </w:pPr>
    </w:p>
    <w:p w14:paraId="0153A750">
      <w:pPr>
        <w:tabs>
          <w:tab w:val="left" w:pos="720"/>
          <w:tab w:val="left" w:pos="1260"/>
          <w:tab w:val="left" w:pos="2160"/>
          <w:tab w:val="left" w:pos="2880"/>
          <w:tab w:val="left" w:pos="3600"/>
          <w:tab w:val="left" w:pos="4320"/>
          <w:tab w:val="left" w:pos="5040"/>
          <w:tab w:val="left" w:pos="5760"/>
          <w:tab w:val="left" w:pos="8280"/>
        </w:tabs>
        <w:spacing w:line="360" w:lineRule="auto"/>
        <w:ind w:right="25" w:firstLine="540"/>
        <w:jc w:val="center"/>
        <w:rPr>
          <w:rFonts w:ascii="宋体" w:hAnsi="宋体"/>
          <w:b/>
          <w:sz w:val="36"/>
        </w:rPr>
      </w:pPr>
      <w:r>
        <w:rPr>
          <w:rFonts w:hint="eastAsia" w:ascii="宋体" w:hAnsi="宋体"/>
          <w:b/>
          <w:sz w:val="36"/>
        </w:rPr>
        <w:t>招标文件目录</w:t>
      </w:r>
    </w:p>
    <w:p w14:paraId="0EBBDC94">
      <w:pPr>
        <w:spacing w:line="360" w:lineRule="auto"/>
        <w:outlineLvl w:val="0"/>
        <w:rPr>
          <w:rFonts w:ascii="宋体" w:hAnsi="宋体"/>
          <w:sz w:val="10"/>
        </w:rPr>
      </w:pPr>
    </w:p>
    <w:p w14:paraId="60A80368">
      <w:pPr>
        <w:tabs>
          <w:tab w:val="left" w:pos="180"/>
          <w:tab w:val="left" w:pos="360"/>
          <w:tab w:val="left" w:pos="540"/>
          <w:tab w:val="left" w:pos="8280"/>
        </w:tabs>
        <w:spacing w:line="440" w:lineRule="exact"/>
        <w:ind w:right="705" w:firstLine="3060"/>
        <w:jc w:val="left"/>
        <w:rPr>
          <w:rFonts w:ascii="宋体"/>
          <w:b/>
          <w:sz w:val="36"/>
        </w:rPr>
      </w:pPr>
    </w:p>
    <w:p w14:paraId="69361B55">
      <w:pPr>
        <w:tabs>
          <w:tab w:val="left" w:pos="180"/>
          <w:tab w:val="left" w:pos="360"/>
          <w:tab w:val="left" w:pos="540"/>
          <w:tab w:val="left" w:pos="8280"/>
        </w:tabs>
        <w:spacing w:line="440" w:lineRule="exact"/>
        <w:ind w:right="705" w:firstLine="3060"/>
        <w:jc w:val="left"/>
        <w:rPr>
          <w:rFonts w:ascii="宋体"/>
          <w:b/>
          <w:sz w:val="36"/>
        </w:rPr>
      </w:pPr>
    </w:p>
    <w:p w14:paraId="68571C3D">
      <w:pPr>
        <w:numPr>
          <w:ilvl w:val="0"/>
          <w:numId w:val="5"/>
        </w:numPr>
        <w:spacing w:line="360" w:lineRule="auto"/>
        <w:rPr>
          <w:rFonts w:ascii="宋体" w:hAnsi="宋体"/>
          <w:b/>
          <w:sz w:val="28"/>
          <w:szCs w:val="28"/>
        </w:rPr>
      </w:pPr>
      <w:r>
        <w:rPr>
          <w:rFonts w:hint="eastAsia" w:ascii="宋体" w:hAnsi="宋体"/>
          <w:b/>
          <w:sz w:val="28"/>
          <w:szCs w:val="28"/>
        </w:rPr>
        <w:t>招标采购公告</w:t>
      </w:r>
    </w:p>
    <w:p w14:paraId="2C7D0AB0">
      <w:pPr>
        <w:numPr>
          <w:ilvl w:val="0"/>
          <w:numId w:val="5"/>
        </w:numPr>
        <w:spacing w:line="360" w:lineRule="auto"/>
        <w:rPr>
          <w:rFonts w:ascii="宋体" w:hAnsi="宋体"/>
          <w:b/>
          <w:sz w:val="28"/>
          <w:szCs w:val="28"/>
        </w:rPr>
      </w:pPr>
      <w:r>
        <w:rPr>
          <w:rFonts w:hint="eastAsia" w:ascii="宋体" w:hAnsi="宋体"/>
          <w:b/>
          <w:sz w:val="28"/>
          <w:szCs w:val="28"/>
        </w:rPr>
        <w:t>投标人须知</w:t>
      </w:r>
    </w:p>
    <w:p w14:paraId="77329C26">
      <w:pPr>
        <w:numPr>
          <w:ilvl w:val="0"/>
          <w:numId w:val="5"/>
        </w:numPr>
        <w:spacing w:line="360" w:lineRule="auto"/>
        <w:rPr>
          <w:rFonts w:ascii="宋体" w:hAnsi="宋体"/>
          <w:b/>
          <w:sz w:val="28"/>
          <w:szCs w:val="28"/>
        </w:rPr>
      </w:pPr>
      <w:r>
        <w:rPr>
          <w:rFonts w:hint="eastAsia" w:ascii="宋体" w:hAnsi="宋体"/>
          <w:b/>
          <w:sz w:val="28"/>
          <w:szCs w:val="28"/>
        </w:rPr>
        <w:t>招标需求</w:t>
      </w:r>
    </w:p>
    <w:p w14:paraId="276FA4C6">
      <w:pPr>
        <w:numPr>
          <w:ilvl w:val="0"/>
          <w:numId w:val="5"/>
        </w:numPr>
        <w:spacing w:line="360" w:lineRule="auto"/>
        <w:rPr>
          <w:rFonts w:ascii="宋体" w:hAnsi="宋体"/>
          <w:b/>
          <w:sz w:val="28"/>
          <w:szCs w:val="28"/>
        </w:rPr>
      </w:pPr>
      <w:r>
        <w:rPr>
          <w:rFonts w:hint="eastAsia" w:ascii="宋体" w:hAnsi="宋体"/>
          <w:b/>
          <w:sz w:val="28"/>
          <w:szCs w:val="28"/>
        </w:rPr>
        <w:t>评标办法及评分标准</w:t>
      </w:r>
    </w:p>
    <w:p w14:paraId="602027CE">
      <w:pPr>
        <w:numPr>
          <w:ilvl w:val="0"/>
          <w:numId w:val="5"/>
        </w:numPr>
        <w:spacing w:line="360" w:lineRule="auto"/>
        <w:rPr>
          <w:rFonts w:ascii="宋体" w:hAnsi="宋体"/>
          <w:b/>
          <w:sz w:val="28"/>
          <w:szCs w:val="28"/>
        </w:rPr>
      </w:pPr>
      <w:r>
        <w:rPr>
          <w:rFonts w:hint="eastAsia" w:ascii="宋体" w:hAnsi="宋体"/>
          <w:b/>
          <w:sz w:val="28"/>
          <w:szCs w:val="28"/>
        </w:rPr>
        <w:t>采购合同主要条款指引</w:t>
      </w:r>
    </w:p>
    <w:p w14:paraId="4604C79F">
      <w:pPr>
        <w:numPr>
          <w:ilvl w:val="0"/>
          <w:numId w:val="5"/>
        </w:numPr>
        <w:spacing w:line="360" w:lineRule="auto"/>
        <w:rPr>
          <w:rFonts w:ascii="宋体" w:hAnsi="宋体"/>
          <w:b/>
          <w:sz w:val="28"/>
          <w:szCs w:val="28"/>
        </w:rPr>
      </w:pPr>
      <w:r>
        <w:rPr>
          <w:rFonts w:hint="eastAsia" w:ascii="宋体" w:hAnsi="宋体"/>
          <w:b/>
          <w:sz w:val="28"/>
          <w:szCs w:val="28"/>
        </w:rPr>
        <w:t>投标文件格式附件</w:t>
      </w:r>
    </w:p>
    <w:p w14:paraId="79FC262D">
      <w:pPr>
        <w:tabs>
          <w:tab w:val="left" w:pos="180"/>
          <w:tab w:val="left" w:pos="360"/>
          <w:tab w:val="left" w:pos="540"/>
          <w:tab w:val="left" w:pos="8280"/>
        </w:tabs>
        <w:spacing w:line="440" w:lineRule="exact"/>
        <w:ind w:right="705" w:firstLine="3060"/>
        <w:jc w:val="left"/>
        <w:rPr>
          <w:rFonts w:ascii="宋体"/>
          <w:b/>
          <w:sz w:val="36"/>
        </w:rPr>
      </w:pPr>
      <w:r>
        <w:rPr>
          <w:rFonts w:ascii="宋体"/>
          <w:b/>
          <w:sz w:val="36"/>
        </w:rPr>
        <w:br w:type="page" w:clear="all"/>
      </w:r>
    </w:p>
    <w:p w14:paraId="312D8F7F">
      <w:pPr>
        <w:tabs>
          <w:tab w:val="left" w:pos="180"/>
          <w:tab w:val="left" w:pos="360"/>
          <w:tab w:val="left" w:pos="540"/>
          <w:tab w:val="left" w:pos="8280"/>
        </w:tabs>
        <w:spacing w:line="440" w:lineRule="exact"/>
        <w:ind w:right="705"/>
        <w:jc w:val="center"/>
        <w:rPr>
          <w:rFonts w:hint="eastAsia" w:ascii="宋体"/>
          <w:b/>
          <w:sz w:val="32"/>
          <w:szCs w:val="22"/>
          <w:lang w:eastAsia="zh-CN"/>
        </w:rPr>
      </w:pPr>
      <w:r>
        <w:rPr>
          <w:rFonts w:hint="eastAsia" w:ascii="宋体"/>
          <w:b/>
          <w:sz w:val="32"/>
          <w:szCs w:val="22"/>
          <w:lang w:eastAsia="zh-CN"/>
        </w:rPr>
        <w:t>2025年度特定绿证采购项目</w:t>
      </w:r>
    </w:p>
    <w:p w14:paraId="120161F5">
      <w:pPr>
        <w:tabs>
          <w:tab w:val="left" w:pos="180"/>
          <w:tab w:val="left" w:pos="360"/>
          <w:tab w:val="left" w:pos="540"/>
          <w:tab w:val="left" w:pos="8280"/>
        </w:tabs>
        <w:spacing w:line="440" w:lineRule="exact"/>
        <w:ind w:right="705"/>
        <w:jc w:val="center"/>
        <w:rPr>
          <w:rFonts w:hint="default" w:ascii="宋体"/>
          <w:b/>
          <w:sz w:val="32"/>
          <w:szCs w:val="22"/>
          <w:lang w:val="en-US" w:eastAsia="zh-CN"/>
        </w:rPr>
      </w:pPr>
      <w:r>
        <w:rPr>
          <w:rFonts w:hint="eastAsia" w:ascii="宋体"/>
          <w:b/>
          <w:sz w:val="32"/>
          <w:szCs w:val="22"/>
          <w:lang w:val="en-US" w:eastAsia="zh-CN"/>
        </w:rPr>
        <w:t>公开招标公告</w:t>
      </w:r>
    </w:p>
    <w:p w14:paraId="2C15FEEE">
      <w:pPr>
        <w:tabs>
          <w:tab w:val="left" w:pos="180"/>
          <w:tab w:val="left" w:pos="360"/>
          <w:tab w:val="left" w:pos="540"/>
          <w:tab w:val="left" w:pos="8280"/>
        </w:tabs>
        <w:autoSpaceDE w:val="0"/>
        <w:autoSpaceDN w:val="0"/>
        <w:adjustRightInd w:val="0"/>
        <w:spacing w:line="312" w:lineRule="auto"/>
        <w:ind w:right="23" w:firstLine="539"/>
        <w:jc w:val="left"/>
        <w:rPr>
          <w:kern w:val="0"/>
          <w:sz w:val="24"/>
        </w:rPr>
      </w:pPr>
      <w:r>
        <w:rPr>
          <w:kern w:val="0"/>
          <w:sz w:val="24"/>
        </w:rPr>
        <w:t>根据相关规定,受招标人委托，现就</w:t>
      </w:r>
      <w:r>
        <w:rPr>
          <w:sz w:val="24"/>
          <w:u w:val="single"/>
        </w:rPr>
        <w:t>台州市北部湾区经济开发集团有限公司</w:t>
      </w:r>
      <w:r>
        <w:rPr>
          <w:sz w:val="24"/>
        </w:rPr>
        <w:t>的</w:t>
      </w:r>
      <w:r>
        <w:rPr>
          <w:rFonts w:hint="eastAsia"/>
          <w:sz w:val="24"/>
          <w:u w:val="single"/>
          <w:lang w:eastAsia="zh-CN"/>
        </w:rPr>
        <w:t>2025年度特定绿证采购项目</w:t>
      </w:r>
      <w:r>
        <w:rPr>
          <w:kern w:val="0"/>
          <w:sz w:val="24"/>
        </w:rPr>
        <w:t>进行公开招标，欢迎合格供应商前来投标。</w:t>
      </w:r>
    </w:p>
    <w:p w14:paraId="104A5DEC">
      <w:pPr>
        <w:tabs>
          <w:tab w:val="left" w:pos="180"/>
          <w:tab w:val="left" w:pos="360"/>
          <w:tab w:val="left" w:pos="540"/>
          <w:tab w:val="left" w:pos="8280"/>
        </w:tabs>
        <w:spacing w:before="100" w:line="360" w:lineRule="auto"/>
        <w:ind w:left="17" w:right="23" w:hanging="16"/>
        <w:jc w:val="left"/>
        <w:rPr>
          <w:rFonts w:ascii="宋体" w:hAnsi="宋体"/>
          <w:sz w:val="24"/>
        </w:rPr>
      </w:pPr>
      <w:r>
        <w:rPr>
          <w:rFonts w:hint="eastAsia" w:ascii="宋体" w:hAnsi="宋体"/>
          <w:b/>
          <w:sz w:val="24"/>
        </w:rPr>
        <w:t>一、项目编号：监理招备【2025】0</w:t>
      </w:r>
      <w:r>
        <w:rPr>
          <w:rFonts w:hint="eastAsia" w:ascii="宋体" w:hAnsi="宋体"/>
          <w:b/>
          <w:sz w:val="24"/>
          <w:lang w:val="en-US" w:eastAsia="zh-CN"/>
        </w:rPr>
        <w:t>45</w:t>
      </w:r>
      <w:r>
        <w:rPr>
          <w:rFonts w:hint="eastAsia" w:ascii="宋体" w:hAnsi="宋体"/>
          <w:b/>
          <w:sz w:val="24"/>
        </w:rPr>
        <w:t>号</w:t>
      </w:r>
    </w:p>
    <w:p w14:paraId="59AEDC9D">
      <w:pPr>
        <w:tabs>
          <w:tab w:val="left" w:pos="180"/>
          <w:tab w:val="left" w:pos="360"/>
          <w:tab w:val="left" w:pos="540"/>
          <w:tab w:val="left" w:pos="8280"/>
        </w:tabs>
        <w:spacing w:before="100" w:line="360" w:lineRule="auto"/>
        <w:ind w:left="17" w:right="23" w:hanging="16"/>
        <w:jc w:val="left"/>
        <w:rPr>
          <w:rFonts w:ascii="宋体" w:hAnsi="宋体"/>
          <w:b/>
          <w:sz w:val="24"/>
        </w:rPr>
      </w:pPr>
      <w:r>
        <w:rPr>
          <w:rFonts w:hint="eastAsia" w:ascii="宋体" w:hAnsi="宋体"/>
          <w:b/>
          <w:sz w:val="24"/>
        </w:rPr>
        <w:t>二、招标项目概况：</w:t>
      </w:r>
    </w:p>
    <w:tbl>
      <w:tblPr>
        <w:tblStyle w:val="36"/>
        <w:tblW w:w="9748"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3"/>
        <w:gridCol w:w="2272"/>
        <w:gridCol w:w="1086"/>
        <w:gridCol w:w="914"/>
        <w:gridCol w:w="1541"/>
        <w:gridCol w:w="1718"/>
        <w:gridCol w:w="1564"/>
      </w:tblGrid>
      <w:tr w14:paraId="4803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653" w:type="dxa"/>
            <w:vAlign w:val="center"/>
          </w:tcPr>
          <w:p w14:paraId="4CEE261B">
            <w:pPr>
              <w:widowControl/>
              <w:spacing w:line="360" w:lineRule="auto"/>
              <w:jc w:val="center"/>
              <w:rPr>
                <w:rFonts w:ascii="宋体" w:hAnsi="宋体" w:cs="宋体"/>
                <w:sz w:val="24"/>
              </w:rPr>
            </w:pPr>
            <w:r>
              <w:rPr>
                <w:rFonts w:hint="eastAsia" w:ascii="宋体" w:hAnsi="宋体" w:cs="宋体"/>
                <w:sz w:val="24"/>
              </w:rPr>
              <w:t>序号</w:t>
            </w:r>
          </w:p>
        </w:tc>
        <w:tc>
          <w:tcPr>
            <w:tcW w:w="2272" w:type="dxa"/>
            <w:vAlign w:val="center"/>
          </w:tcPr>
          <w:p w14:paraId="4D1E3266">
            <w:pPr>
              <w:widowControl/>
              <w:spacing w:line="360" w:lineRule="auto"/>
              <w:jc w:val="center"/>
              <w:rPr>
                <w:rFonts w:ascii="宋体" w:hAnsi="宋体" w:cs="宋体"/>
                <w:sz w:val="24"/>
              </w:rPr>
            </w:pPr>
            <w:r>
              <w:rPr>
                <w:rFonts w:hint="eastAsia" w:ascii="宋体" w:hAnsi="宋体" w:cs="宋体"/>
                <w:sz w:val="24"/>
              </w:rPr>
              <w:t>项目内容</w:t>
            </w:r>
          </w:p>
        </w:tc>
        <w:tc>
          <w:tcPr>
            <w:tcW w:w="1086" w:type="dxa"/>
            <w:vAlign w:val="center"/>
          </w:tcPr>
          <w:p w14:paraId="3E30D7FE">
            <w:pPr>
              <w:widowControl/>
              <w:spacing w:line="360" w:lineRule="auto"/>
              <w:jc w:val="center"/>
              <w:rPr>
                <w:rFonts w:ascii="宋体" w:hAnsi="宋体" w:cs="宋体"/>
                <w:sz w:val="24"/>
              </w:rPr>
            </w:pPr>
            <w:r>
              <w:rPr>
                <w:rFonts w:hint="eastAsia" w:ascii="宋体" w:hAnsi="宋体" w:cs="宋体"/>
                <w:sz w:val="24"/>
              </w:rPr>
              <w:t>数量</w:t>
            </w:r>
          </w:p>
        </w:tc>
        <w:tc>
          <w:tcPr>
            <w:tcW w:w="914" w:type="dxa"/>
            <w:vAlign w:val="center"/>
          </w:tcPr>
          <w:p w14:paraId="64D44DA9">
            <w:pPr>
              <w:widowControl/>
              <w:spacing w:line="360" w:lineRule="auto"/>
              <w:jc w:val="center"/>
              <w:rPr>
                <w:rFonts w:ascii="宋体" w:hAnsi="宋体" w:cs="宋体"/>
                <w:sz w:val="24"/>
              </w:rPr>
            </w:pPr>
            <w:r>
              <w:rPr>
                <w:rFonts w:hint="eastAsia" w:ascii="宋体" w:hAnsi="宋体" w:cs="宋体"/>
                <w:sz w:val="24"/>
                <w:lang w:val="en-US" w:eastAsia="zh-CN"/>
              </w:rPr>
              <w:t>单价</w:t>
            </w:r>
          </w:p>
        </w:tc>
        <w:tc>
          <w:tcPr>
            <w:tcW w:w="1541" w:type="dxa"/>
            <w:vAlign w:val="center"/>
          </w:tcPr>
          <w:p w14:paraId="0BEE2B84">
            <w:pPr>
              <w:widowControl/>
              <w:spacing w:line="360" w:lineRule="auto"/>
              <w:jc w:val="center"/>
              <w:rPr>
                <w:rFonts w:ascii="宋体" w:hAnsi="宋体" w:cs="宋体"/>
                <w:sz w:val="24"/>
              </w:rPr>
            </w:pPr>
            <w:r>
              <w:rPr>
                <w:rFonts w:hint="eastAsia" w:ascii="宋体" w:hAnsi="宋体"/>
                <w:b/>
                <w:sz w:val="24"/>
              </w:rPr>
              <w:t>最高限价</w:t>
            </w:r>
          </w:p>
        </w:tc>
        <w:tc>
          <w:tcPr>
            <w:tcW w:w="1718" w:type="dxa"/>
            <w:vAlign w:val="center"/>
          </w:tcPr>
          <w:p w14:paraId="243DCF51">
            <w:pPr>
              <w:widowControl/>
              <w:spacing w:line="360" w:lineRule="auto"/>
              <w:jc w:val="center"/>
              <w:rPr>
                <w:rFonts w:ascii="宋体" w:hAnsi="宋体"/>
                <w:b/>
                <w:sz w:val="24"/>
              </w:rPr>
            </w:pPr>
            <w:r>
              <w:rPr>
                <w:rFonts w:hint="eastAsia" w:ascii="宋体" w:hAnsi="宋体"/>
                <w:b/>
                <w:color w:val="000000"/>
                <w:sz w:val="24"/>
              </w:rPr>
              <w:t>服务期</w:t>
            </w:r>
          </w:p>
        </w:tc>
        <w:tc>
          <w:tcPr>
            <w:tcW w:w="1564" w:type="dxa"/>
            <w:vAlign w:val="center"/>
          </w:tcPr>
          <w:p w14:paraId="4090258A">
            <w:pPr>
              <w:widowControl/>
              <w:spacing w:line="360" w:lineRule="auto"/>
              <w:jc w:val="center"/>
              <w:rPr>
                <w:rFonts w:ascii="宋体" w:hAnsi="宋体"/>
                <w:b/>
                <w:color w:val="000000"/>
                <w:sz w:val="24"/>
              </w:rPr>
            </w:pPr>
            <w:r>
              <w:rPr>
                <w:rFonts w:hint="eastAsia" w:ascii="宋体" w:hAnsi="宋体"/>
                <w:b/>
                <w:sz w:val="24"/>
              </w:rPr>
              <w:t>备注</w:t>
            </w:r>
          </w:p>
        </w:tc>
      </w:tr>
      <w:tr w14:paraId="02EB2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trPr>
        <w:tc>
          <w:tcPr>
            <w:tcW w:w="653" w:type="dxa"/>
            <w:vAlign w:val="center"/>
          </w:tcPr>
          <w:p w14:paraId="31738DC2">
            <w:pPr>
              <w:widowControl/>
              <w:spacing w:line="360" w:lineRule="auto"/>
              <w:jc w:val="center"/>
              <w:rPr>
                <w:rFonts w:ascii="宋体" w:hAnsi="宋体" w:cs="宋体"/>
                <w:sz w:val="24"/>
              </w:rPr>
            </w:pPr>
            <w:r>
              <w:rPr>
                <w:rFonts w:hint="eastAsia" w:ascii="宋体" w:hAnsi="宋体" w:cs="宋体"/>
                <w:sz w:val="24"/>
              </w:rPr>
              <w:t>1</w:t>
            </w:r>
          </w:p>
        </w:tc>
        <w:tc>
          <w:tcPr>
            <w:tcW w:w="2272" w:type="dxa"/>
            <w:vAlign w:val="center"/>
          </w:tcPr>
          <w:p w14:paraId="095A2B9A">
            <w:pPr>
              <w:widowControl/>
              <w:spacing w:line="360" w:lineRule="auto"/>
              <w:jc w:val="center"/>
              <w:rPr>
                <w:rFonts w:ascii="宋体" w:hAnsi="宋体" w:cs="宋体"/>
                <w:sz w:val="24"/>
              </w:rPr>
            </w:pPr>
            <w:r>
              <w:rPr>
                <w:rFonts w:hint="eastAsia" w:ascii="宋体" w:hAnsi="宋体" w:cs="宋体"/>
                <w:sz w:val="24"/>
                <w:lang w:eastAsia="zh-CN"/>
              </w:rPr>
              <w:t>2025年度特定绿证采购项目</w:t>
            </w:r>
          </w:p>
        </w:tc>
        <w:tc>
          <w:tcPr>
            <w:tcW w:w="1086" w:type="dxa"/>
            <w:vAlign w:val="center"/>
          </w:tcPr>
          <w:p w14:paraId="70DFE602">
            <w:pPr>
              <w:widowControl/>
              <w:spacing w:line="360" w:lineRule="auto"/>
              <w:jc w:val="center"/>
              <w:rPr>
                <w:rFonts w:ascii="宋体" w:hAnsi="宋体" w:cs="宋体"/>
                <w:sz w:val="24"/>
              </w:rPr>
            </w:pPr>
            <w:r>
              <w:rPr>
                <w:rFonts w:hint="eastAsia" w:ascii="仿宋" w:hAnsi="仿宋" w:eastAsia="仿宋" w:cs="仿宋"/>
                <w:spacing w:val="20"/>
                <w:szCs w:val="32"/>
                <w:lang w:val="en-US" w:eastAsia="zh-CN"/>
              </w:rPr>
              <w:t>10.4万张绿证</w:t>
            </w:r>
          </w:p>
        </w:tc>
        <w:tc>
          <w:tcPr>
            <w:tcW w:w="914" w:type="dxa"/>
            <w:vAlign w:val="center"/>
          </w:tcPr>
          <w:p w14:paraId="3B09D392">
            <w:pPr>
              <w:widowControl/>
              <w:spacing w:line="360" w:lineRule="auto"/>
              <w:jc w:val="center"/>
              <w:rPr>
                <w:rFonts w:ascii="宋体" w:hAnsi="宋体" w:cs="宋体"/>
                <w:sz w:val="24"/>
              </w:rPr>
            </w:pPr>
            <w:r>
              <w:rPr>
                <w:rFonts w:hint="eastAsia" w:ascii="宋体" w:hAnsi="宋体" w:cs="宋体"/>
                <w:snapToGrid w:val="0"/>
                <w:spacing w:val="7"/>
                <w:sz w:val="20"/>
                <w:szCs w:val="20"/>
                <w:lang w:val="en-US" w:eastAsia="zh-CN"/>
              </w:rPr>
              <w:t>4.8</w:t>
            </w:r>
            <w:r>
              <w:rPr>
                <w:rFonts w:hint="eastAsia" w:ascii="宋体" w:hAnsi="宋体" w:cs="宋体"/>
                <w:snapToGrid w:val="0"/>
                <w:spacing w:val="7"/>
                <w:sz w:val="20"/>
                <w:szCs w:val="20"/>
              </w:rPr>
              <w:t>元/</w:t>
            </w:r>
            <w:r>
              <w:rPr>
                <w:rFonts w:hint="eastAsia" w:ascii="宋体" w:hAnsi="宋体" w:cs="宋体"/>
                <w:snapToGrid w:val="0"/>
                <w:spacing w:val="7"/>
                <w:sz w:val="20"/>
                <w:szCs w:val="20"/>
                <w:lang w:val="en-US" w:eastAsia="zh-CN"/>
              </w:rPr>
              <w:t>张</w:t>
            </w:r>
          </w:p>
        </w:tc>
        <w:tc>
          <w:tcPr>
            <w:tcW w:w="1541" w:type="dxa"/>
            <w:vAlign w:val="center"/>
          </w:tcPr>
          <w:p w14:paraId="39F52028">
            <w:pPr>
              <w:widowControl/>
              <w:spacing w:line="360" w:lineRule="auto"/>
              <w:jc w:val="center"/>
              <w:rPr>
                <w:rFonts w:ascii="宋体" w:hAnsi="宋体" w:cs="宋体"/>
                <w:sz w:val="24"/>
              </w:rPr>
            </w:pPr>
            <w:r>
              <w:rPr>
                <w:rFonts w:hint="eastAsia" w:ascii="宋体" w:hAnsi="宋体" w:cs="宋体"/>
                <w:b/>
                <w:bCs/>
                <w:sz w:val="24"/>
                <w:lang w:val="en-US" w:eastAsia="zh-CN"/>
              </w:rPr>
              <w:t>4</w:t>
            </w:r>
            <w:r>
              <w:rPr>
                <w:rFonts w:hint="eastAsia" w:ascii="宋体" w:hAnsi="宋体" w:cs="宋体"/>
                <w:b/>
                <w:bCs/>
                <w:sz w:val="24"/>
              </w:rPr>
              <w:t>99200元</w:t>
            </w:r>
          </w:p>
        </w:tc>
        <w:tc>
          <w:tcPr>
            <w:tcW w:w="1718" w:type="dxa"/>
            <w:vAlign w:val="center"/>
          </w:tcPr>
          <w:p w14:paraId="2B59C1FF">
            <w:pPr>
              <w:widowControl/>
              <w:spacing w:line="360" w:lineRule="auto"/>
              <w:jc w:val="center"/>
              <w:rPr>
                <w:rFonts w:hint="default" w:ascii="宋体" w:hAnsi="宋体" w:eastAsia="宋体" w:cs="宋体"/>
                <w:sz w:val="24"/>
                <w:lang w:eastAsia="zh-CN"/>
                <w:woUserID w:val="1"/>
              </w:rPr>
            </w:pPr>
            <w:r>
              <w:rPr>
                <w:rFonts w:hint="default" w:ascii="宋体" w:hAnsi="宋体" w:cs="宋体"/>
                <w:color w:val="000000" w:themeColor="text1"/>
                <w:sz w:val="24"/>
                <w:lang w:eastAsia="zh-CN"/>
                <w14:textFill>
                  <w14:solidFill>
                    <w14:schemeClr w14:val="tx1"/>
                  </w14:solidFill>
                </w14:textFill>
                <w:woUserID w:val="1"/>
              </w:rPr>
              <w:t>30天</w:t>
            </w:r>
          </w:p>
        </w:tc>
        <w:tc>
          <w:tcPr>
            <w:tcW w:w="1564" w:type="dxa"/>
            <w:vAlign w:val="center"/>
          </w:tcPr>
          <w:p w14:paraId="45BC4B55">
            <w:pPr>
              <w:widowControl/>
              <w:spacing w:line="360" w:lineRule="auto"/>
              <w:jc w:val="center"/>
              <w:rPr>
                <w:rFonts w:ascii="宋体" w:hAnsi="宋体" w:cs="宋体"/>
                <w:color w:val="000000"/>
                <w:sz w:val="24"/>
              </w:rPr>
            </w:pPr>
            <w:r>
              <w:rPr>
                <w:rFonts w:hint="eastAsia" w:ascii="宋体" w:hAnsi="宋体" w:cs="宋体"/>
                <w:color w:val="000000"/>
                <w:sz w:val="24"/>
              </w:rPr>
              <w:t xml:space="preserve"> </w:t>
            </w:r>
          </w:p>
        </w:tc>
      </w:tr>
    </w:tbl>
    <w:p w14:paraId="33BF338C">
      <w:pPr>
        <w:tabs>
          <w:tab w:val="left" w:pos="180"/>
          <w:tab w:val="left" w:pos="360"/>
          <w:tab w:val="left" w:pos="540"/>
          <w:tab w:val="left" w:pos="8280"/>
        </w:tabs>
        <w:spacing w:before="100" w:line="360" w:lineRule="auto"/>
        <w:ind w:right="23"/>
        <w:jc w:val="left"/>
        <w:rPr>
          <w:rFonts w:ascii="宋体" w:hAnsi="宋体"/>
          <w:b/>
          <w:sz w:val="24"/>
        </w:rPr>
      </w:pPr>
      <w:r>
        <w:rPr>
          <w:rFonts w:hint="eastAsia" w:ascii="宋体" w:hAnsi="宋体"/>
          <w:b/>
          <w:sz w:val="24"/>
        </w:rPr>
        <w:t>三、合格投标人的资格条件：</w:t>
      </w:r>
    </w:p>
    <w:p w14:paraId="5617003B">
      <w:pPr>
        <w:spacing w:line="360" w:lineRule="auto"/>
        <w:ind w:left="237" w:firstLine="223"/>
        <w:rPr>
          <w:rFonts w:ascii="宋体" w:hAnsi="宋体" w:cs="Arial"/>
          <w:color w:val="000000"/>
          <w:sz w:val="24"/>
        </w:rPr>
      </w:pPr>
      <w:r>
        <w:rPr>
          <w:rFonts w:hint="eastAsia" w:ascii="宋体" w:hAnsi="宋体" w:cs="Arial"/>
          <w:color w:val="000000"/>
          <w:sz w:val="24"/>
        </w:rPr>
        <w:t>（一）供应商须符合《中华人民共和国政府采购法》第二十二条对投标主体的要求。</w:t>
      </w:r>
    </w:p>
    <w:p w14:paraId="448C2164">
      <w:pPr>
        <w:spacing w:line="360" w:lineRule="auto"/>
        <w:ind w:left="237" w:firstLine="223"/>
        <w:rPr>
          <w:rFonts w:ascii="宋体" w:hAnsi="宋体" w:cs="Arial"/>
          <w:color w:val="000000" w:themeColor="text1"/>
          <w:sz w:val="24"/>
          <w14:textFill>
            <w14:solidFill>
              <w14:schemeClr w14:val="tx1"/>
            </w14:solidFill>
          </w14:textFill>
        </w:rPr>
      </w:pPr>
      <w:r>
        <w:rPr>
          <w:rFonts w:hint="eastAsia" w:ascii="宋体" w:hAnsi="宋体" w:cs="Arial"/>
          <w:color w:val="000000"/>
          <w:sz w:val="24"/>
        </w:rPr>
        <w:t>（二）未被“信用中国”（www.creditchina.gov.cn）、中国政府采购网（www.ccgp.gov.cn）列入失信被执行人、重大税收违法案件当事人名单、政府采购严重违法失信行为记录名单。</w:t>
      </w:r>
    </w:p>
    <w:p w14:paraId="52CC88DF">
      <w:pPr>
        <w:spacing w:line="360" w:lineRule="auto"/>
        <w:ind w:left="237" w:firstLine="223"/>
        <w:rPr>
          <w:rFonts w:hint="default" w:ascii="宋体" w:hAnsi="宋体" w:cs="Arial"/>
          <w:color w:val="000000" w:themeColor="text1"/>
          <w:sz w:val="24"/>
          <w:lang w:eastAsia="zh-CN"/>
          <w14:textFill>
            <w14:solidFill>
              <w14:schemeClr w14:val="tx1"/>
            </w14:solidFill>
          </w14:textFill>
          <w:woUserID w:val="1"/>
        </w:rPr>
      </w:pPr>
      <w:r>
        <w:rPr>
          <w:rFonts w:hint="eastAsia" w:ascii="宋体" w:hAnsi="宋体" w:cs="Arial"/>
          <w:color w:val="000000" w:themeColor="text1"/>
          <w:sz w:val="24"/>
          <w14:textFill>
            <w14:solidFill>
              <w14:schemeClr w14:val="tx1"/>
            </w14:solidFill>
          </w14:textFill>
        </w:rPr>
        <w:t>（三）特定资格要求：</w:t>
      </w:r>
      <w:r>
        <w:rPr>
          <w:rFonts w:hint="eastAsia" w:ascii="宋体" w:hAnsi="宋体" w:cs="Arial"/>
          <w:color w:val="000000" w:themeColor="text1"/>
          <w:sz w:val="24"/>
          <w:lang w:val="en-US" w:eastAsia="zh-CN"/>
          <w14:textFill>
            <w14:solidFill>
              <w14:schemeClr w14:val="tx1"/>
            </w14:solidFill>
          </w14:textFill>
        </w:rPr>
        <w:t>供应商须在电力交易中心完成注册</w:t>
      </w: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公示并报备（提供截图或扫描件并加盖公章）</w:t>
      </w:r>
      <w:r>
        <w:rPr>
          <w:rFonts w:hint="default" w:ascii="宋体" w:hAnsi="宋体" w:cs="Arial"/>
          <w:color w:val="000000" w:themeColor="text1"/>
          <w:sz w:val="24"/>
          <w:lang w:eastAsia="zh-CN"/>
          <w14:textFill>
            <w14:solidFill>
              <w14:schemeClr w14:val="tx1"/>
            </w14:solidFill>
          </w14:textFill>
          <w:woUserID w:val="1"/>
        </w:rPr>
        <w:t>，且为售电公司。</w:t>
      </w:r>
    </w:p>
    <w:p w14:paraId="4E48F7D6">
      <w:pPr>
        <w:spacing w:line="360" w:lineRule="auto"/>
        <w:ind w:left="237" w:firstLine="223"/>
        <w:rPr>
          <w:rFonts w:ascii="宋体" w:hAnsi="宋体" w:cs="Arial"/>
          <w:color w:val="000000"/>
          <w:sz w:val="24"/>
        </w:rPr>
      </w:pPr>
      <w:r>
        <w:rPr>
          <w:rFonts w:hint="eastAsia" w:ascii="宋体" w:hAnsi="宋体" w:cs="Arial"/>
          <w:color w:val="000000"/>
          <w:sz w:val="24"/>
        </w:rPr>
        <w:t>（四）本项目不接受联合体投标。</w:t>
      </w:r>
    </w:p>
    <w:p w14:paraId="79247000">
      <w:pPr>
        <w:tabs>
          <w:tab w:val="left" w:pos="180"/>
          <w:tab w:val="left" w:pos="360"/>
          <w:tab w:val="left" w:pos="540"/>
          <w:tab w:val="left" w:pos="8280"/>
        </w:tabs>
        <w:autoSpaceDE w:val="0"/>
        <w:autoSpaceDN w:val="0"/>
        <w:adjustRightInd w:val="0"/>
        <w:spacing w:before="100" w:line="336" w:lineRule="auto"/>
        <w:ind w:right="23"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四、招标文件获取的方式、时间：</w:t>
      </w:r>
    </w:p>
    <w:p w14:paraId="03372502">
      <w:pPr>
        <w:tabs>
          <w:tab w:val="left" w:pos="180"/>
          <w:tab w:val="left" w:pos="360"/>
          <w:tab w:val="left" w:pos="540"/>
          <w:tab w:val="left" w:pos="8280"/>
        </w:tabs>
        <w:autoSpaceDE w:val="0"/>
        <w:autoSpaceDN w:val="0"/>
        <w:adjustRightInd w:val="0"/>
        <w:spacing w:before="100" w:line="336" w:lineRule="auto"/>
        <w:ind w:right="23"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本项目招标文件获取时间和地址：本次招标公告</w:t>
      </w:r>
      <w:r>
        <w:rPr>
          <w:rFonts w:hint="eastAsia" w:asciiTheme="minorEastAsia" w:hAnsiTheme="minorEastAsia" w:eastAsiaTheme="minorEastAsia" w:cstheme="minorEastAsia"/>
          <w:sz w:val="24"/>
          <w:lang w:eastAsia="zh-CN"/>
        </w:rPr>
        <w:t>三门县公共资源交易中心</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sz w:val="24"/>
          <w:lang w:eastAsia="zh-CN"/>
        </w:rPr>
        <w:t>http://www.sanmen.gov.cn/col/col1229610743/index.html</w:t>
      </w:r>
      <w:r>
        <w:rPr>
          <w:rFonts w:hint="eastAsia" w:asciiTheme="minorEastAsia" w:hAnsiTheme="minorEastAsia" w:eastAsiaTheme="minorEastAsia" w:cstheme="minorEastAsia"/>
          <w:sz w:val="24"/>
        </w:rPr>
        <w:t>）上发布并供下载，招标文件以书面为准。</w:t>
      </w:r>
    </w:p>
    <w:p w14:paraId="0D0880AA">
      <w:pPr>
        <w:tabs>
          <w:tab w:val="left" w:pos="180"/>
          <w:tab w:val="left" w:pos="360"/>
          <w:tab w:val="left" w:pos="540"/>
          <w:tab w:val="left" w:pos="8280"/>
        </w:tabs>
        <w:autoSpaceDE w:val="0"/>
        <w:autoSpaceDN w:val="0"/>
        <w:adjustRightInd w:val="0"/>
        <w:spacing w:before="100" w:line="336" w:lineRule="auto"/>
        <w:ind w:right="23" w:firstLine="482" w:firstLineChars="200"/>
        <w:jc w:val="left"/>
        <w:rPr>
          <w:rFonts w:ascii="宋体" w:hAnsi="宋体" w:cs="Arial"/>
          <w:color w:val="000000"/>
          <w:sz w:val="24"/>
        </w:rPr>
      </w:pPr>
      <w:r>
        <w:rPr>
          <w:rFonts w:hint="eastAsia" w:asciiTheme="minorEastAsia" w:hAnsiTheme="minorEastAsia" w:eastAsiaTheme="minorEastAsia" w:cstheme="minorEastAsia"/>
          <w:b/>
          <w:bCs/>
          <w:sz w:val="24"/>
        </w:rPr>
        <w:t>五、招标答疑会：</w:t>
      </w:r>
      <w:r>
        <w:rPr>
          <w:rFonts w:hint="eastAsia" w:asciiTheme="minorEastAsia" w:hAnsiTheme="minorEastAsia" w:eastAsiaTheme="minorEastAsia" w:cstheme="minorEastAsia"/>
          <w:sz w:val="24"/>
        </w:rPr>
        <w:t>无。</w:t>
      </w:r>
    </w:p>
    <w:p w14:paraId="594671A4">
      <w:pPr>
        <w:tabs>
          <w:tab w:val="left" w:pos="180"/>
          <w:tab w:val="left" w:pos="360"/>
          <w:tab w:val="left" w:pos="540"/>
          <w:tab w:val="left" w:pos="8280"/>
        </w:tabs>
        <w:spacing w:before="100" w:line="360" w:lineRule="auto"/>
        <w:ind w:right="23" w:firstLine="482" w:firstLineChars="200"/>
        <w:jc w:val="left"/>
        <w:rPr>
          <w:rFonts w:ascii="宋体" w:hAnsi="宋体"/>
          <w:b/>
          <w:sz w:val="24"/>
        </w:rPr>
      </w:pPr>
      <w:r>
        <w:rPr>
          <w:rFonts w:hint="eastAsia" w:ascii="宋体" w:hAnsi="宋体"/>
          <w:b/>
          <w:sz w:val="24"/>
        </w:rPr>
        <w:t>六、投标文件的递交</w:t>
      </w:r>
    </w:p>
    <w:p w14:paraId="3A572366">
      <w:pPr>
        <w:spacing w:line="360" w:lineRule="auto"/>
        <w:ind w:firstLine="480"/>
        <w:rPr>
          <w:rFonts w:ascii="宋体" w:hAnsi="宋体" w:cs="Arial"/>
          <w:sz w:val="24"/>
        </w:rPr>
      </w:pPr>
      <w:r>
        <w:rPr>
          <w:rFonts w:hint="eastAsia" w:ascii="宋体" w:hAnsi="宋体" w:cs="Arial"/>
          <w:sz w:val="24"/>
        </w:rPr>
        <w:t>1．投标文件递交的截止时间为2025年1</w:t>
      </w:r>
      <w:r>
        <w:rPr>
          <w:rFonts w:hint="eastAsia" w:ascii="宋体" w:hAnsi="宋体" w:cs="Arial"/>
          <w:sz w:val="24"/>
          <w:lang w:val="en-US" w:eastAsia="zh-CN"/>
        </w:rPr>
        <w:t>1</w:t>
      </w:r>
      <w:r>
        <w:rPr>
          <w:rFonts w:hint="eastAsia" w:ascii="宋体" w:hAnsi="宋体" w:cs="Arial"/>
          <w:sz w:val="24"/>
        </w:rPr>
        <w:t>月</w:t>
      </w:r>
      <w:r>
        <w:rPr>
          <w:rFonts w:hint="eastAsia" w:ascii="宋体" w:hAnsi="宋体" w:cs="Arial"/>
          <w:sz w:val="24"/>
          <w:lang w:val="en-US" w:eastAsia="zh-CN"/>
        </w:rPr>
        <w:t>7</w:t>
      </w:r>
      <w:r>
        <w:rPr>
          <w:rFonts w:hint="eastAsia" w:ascii="宋体" w:hAnsi="宋体" w:cs="Arial"/>
          <w:sz w:val="24"/>
        </w:rPr>
        <w:t>日</w:t>
      </w:r>
      <w:r>
        <w:rPr>
          <w:rFonts w:hint="eastAsia" w:ascii="宋体" w:hAnsi="宋体" w:cs="Arial"/>
          <w:sz w:val="24"/>
          <w:lang w:val="en-US" w:eastAsia="zh-CN"/>
        </w:rPr>
        <w:t>下</w:t>
      </w:r>
      <w:r>
        <w:rPr>
          <w:rFonts w:hint="eastAsia" w:ascii="宋体" w:hAnsi="宋体" w:cs="Arial"/>
          <w:sz w:val="24"/>
        </w:rPr>
        <w:t>午</w:t>
      </w:r>
      <w:r>
        <w:rPr>
          <w:rFonts w:hint="eastAsia" w:ascii="宋体" w:hAnsi="宋体" w:cs="Arial"/>
          <w:sz w:val="24"/>
          <w:lang w:val="en-US" w:eastAsia="zh-CN"/>
        </w:rPr>
        <w:t>14</w:t>
      </w:r>
      <w:r>
        <w:rPr>
          <w:rFonts w:hint="eastAsia" w:ascii="宋体" w:hAnsi="宋体" w:cs="Arial"/>
          <w:sz w:val="24"/>
        </w:rPr>
        <w:t>时</w:t>
      </w:r>
      <w:r>
        <w:rPr>
          <w:rFonts w:hint="eastAsia" w:ascii="宋体" w:hAnsi="宋体" w:cs="Arial"/>
          <w:sz w:val="24"/>
          <w:lang w:val="en-US" w:eastAsia="zh-CN"/>
        </w:rPr>
        <w:t>3</w:t>
      </w:r>
      <w:r>
        <w:rPr>
          <w:rFonts w:hint="eastAsia" w:ascii="宋体" w:hAnsi="宋体" w:cs="Arial"/>
          <w:sz w:val="24"/>
        </w:rPr>
        <w:t>0分，地点为</w:t>
      </w:r>
      <w:r>
        <w:rPr>
          <w:rFonts w:hint="eastAsia" w:ascii="宋体" w:hAnsi="宋体" w:cs="Arial"/>
          <w:sz w:val="24"/>
          <w:lang w:eastAsia="zh-CN"/>
        </w:rPr>
        <w:t>三门县广场路22号（交通大楼4楼）</w:t>
      </w:r>
      <w:r>
        <w:rPr>
          <w:rFonts w:hint="eastAsia" w:ascii="宋体" w:hAnsi="宋体" w:cs="Arial"/>
          <w:sz w:val="24"/>
        </w:rPr>
        <w:t>（具体开标室见LED屏幕）</w:t>
      </w:r>
    </w:p>
    <w:p w14:paraId="7F23B775">
      <w:pPr>
        <w:spacing w:line="360" w:lineRule="auto"/>
        <w:ind w:firstLine="480"/>
        <w:rPr>
          <w:rFonts w:ascii="宋体" w:hAnsi="宋体" w:cs="Arial"/>
          <w:sz w:val="24"/>
        </w:rPr>
      </w:pPr>
      <w:r>
        <w:rPr>
          <w:rFonts w:hint="eastAsia" w:ascii="宋体" w:hAnsi="宋体" w:cs="Arial"/>
          <w:sz w:val="24"/>
        </w:rPr>
        <w:t>2．逾期送达的或者未送达指定地点的投标文件，招标人不予受理。</w:t>
      </w:r>
    </w:p>
    <w:p w14:paraId="681BF73D">
      <w:pPr>
        <w:spacing w:line="360" w:lineRule="auto"/>
        <w:ind w:left="237" w:leftChars="113" w:firstLine="222" w:firstLineChars="92"/>
        <w:rPr>
          <w:rFonts w:ascii="宋体" w:hAnsi="宋体" w:cs="Arial"/>
          <w:b/>
          <w:bCs/>
          <w:i/>
          <w:sz w:val="24"/>
        </w:rPr>
      </w:pPr>
      <w:r>
        <w:rPr>
          <w:rFonts w:hint="eastAsia" w:ascii="宋体" w:hAnsi="宋体" w:cs="Arial"/>
          <w:b/>
          <w:bCs/>
          <w:sz w:val="24"/>
        </w:rPr>
        <w:t>七、投标保证金：</w:t>
      </w:r>
    </w:p>
    <w:p w14:paraId="70F3F068">
      <w:pPr>
        <w:spacing w:line="360" w:lineRule="auto"/>
        <w:ind w:firstLine="480"/>
        <w:rPr>
          <w:rFonts w:ascii="宋体" w:hAnsi="宋体" w:cs="Arial"/>
          <w:sz w:val="24"/>
        </w:rPr>
      </w:pPr>
      <w:r>
        <w:rPr>
          <w:rFonts w:hint="eastAsia" w:ascii="宋体" w:hAnsi="宋体" w:cs="Arial"/>
          <w:sz w:val="24"/>
        </w:rPr>
        <w:t>1、投标保证金的形式：现金。</w:t>
      </w:r>
    </w:p>
    <w:p w14:paraId="78A1F4EE">
      <w:pPr>
        <w:spacing w:line="360" w:lineRule="auto"/>
        <w:ind w:firstLine="480"/>
        <w:rPr>
          <w:rFonts w:ascii="宋体" w:hAnsi="宋体" w:cs="Arial"/>
          <w:sz w:val="24"/>
        </w:rPr>
      </w:pPr>
      <w:r>
        <w:rPr>
          <w:rFonts w:hint="eastAsia" w:ascii="宋体" w:hAnsi="宋体" w:cs="Arial"/>
          <w:sz w:val="24"/>
        </w:rPr>
        <w:t>2、投标保证金金额：人民</w:t>
      </w:r>
      <w:r>
        <w:rPr>
          <w:rFonts w:hint="eastAsia" w:ascii="宋体" w:hAnsi="宋体" w:cs="Arial"/>
          <w:color w:val="000000" w:themeColor="text1"/>
          <w:sz w:val="24"/>
          <w14:textFill>
            <w14:solidFill>
              <w14:schemeClr w14:val="tx1"/>
            </w14:solidFill>
          </w14:textFill>
        </w:rPr>
        <w:t>币</w:t>
      </w:r>
      <w:r>
        <w:rPr>
          <w:rFonts w:hint="default" w:ascii="宋体" w:hAnsi="宋体" w:cs="Arial"/>
          <w:color w:val="000000" w:themeColor="text1"/>
          <w:sz w:val="24"/>
          <w14:textFill>
            <w14:solidFill>
              <w14:schemeClr w14:val="tx1"/>
            </w14:solidFill>
          </w14:textFill>
          <w:woUserID w:val="1"/>
        </w:rPr>
        <w:t>壹</w:t>
      </w:r>
      <w:r>
        <w:rPr>
          <w:rFonts w:hint="eastAsia" w:ascii="宋体" w:hAnsi="宋体" w:cs="Arial"/>
          <w:color w:val="000000" w:themeColor="text1"/>
          <w:sz w:val="24"/>
          <w14:textFill>
            <w14:solidFill>
              <w14:schemeClr w14:val="tx1"/>
            </w14:solidFill>
          </w14:textFill>
        </w:rPr>
        <w:t>仟元整（¥</w:t>
      </w:r>
      <w:r>
        <w:rPr>
          <w:rFonts w:hint="default" w:ascii="宋体" w:hAnsi="宋体" w:cs="Arial"/>
          <w:color w:val="000000" w:themeColor="text1"/>
          <w:sz w:val="24"/>
          <w14:textFill>
            <w14:solidFill>
              <w14:schemeClr w14:val="tx1"/>
            </w14:solidFill>
          </w14:textFill>
          <w:woUserID w:val="1"/>
        </w:rPr>
        <w:t>1</w:t>
      </w:r>
      <w:r>
        <w:rPr>
          <w:rFonts w:hint="eastAsia" w:ascii="宋体" w:hAnsi="宋体" w:cs="Arial"/>
          <w:color w:val="000000" w:themeColor="text1"/>
          <w:sz w:val="24"/>
          <w14:textFill>
            <w14:solidFill>
              <w14:schemeClr w14:val="tx1"/>
            </w14:solidFill>
          </w14:textFill>
        </w:rPr>
        <w:t>000元）</w:t>
      </w:r>
      <w:r>
        <w:rPr>
          <w:rFonts w:hint="eastAsia" w:ascii="宋体" w:hAnsi="宋体" w:cs="Arial"/>
          <w:sz w:val="24"/>
        </w:rPr>
        <w:t>。</w:t>
      </w:r>
    </w:p>
    <w:p w14:paraId="0844469E">
      <w:pPr>
        <w:spacing w:line="360" w:lineRule="auto"/>
        <w:ind w:firstLine="480"/>
        <w:rPr>
          <w:rFonts w:ascii="宋体" w:hAnsi="宋体" w:cs="Arial"/>
          <w:sz w:val="24"/>
        </w:rPr>
      </w:pPr>
      <w:r>
        <w:rPr>
          <w:rFonts w:hint="eastAsia" w:ascii="宋体" w:hAnsi="宋体" w:cs="Arial"/>
          <w:sz w:val="24"/>
        </w:rPr>
        <w:t>3、投标保证金递交方式及时间：投标人以现金形式在递交标书同时向招标人提供，将保证金装入档案袋密封并标出公司名称。</w:t>
      </w:r>
    </w:p>
    <w:p w14:paraId="34FA735F">
      <w:pPr>
        <w:spacing w:line="360" w:lineRule="auto"/>
        <w:ind w:firstLine="480"/>
        <w:rPr>
          <w:rFonts w:ascii="宋体" w:hAnsi="宋体" w:cs="Arial"/>
          <w:sz w:val="24"/>
        </w:rPr>
      </w:pPr>
      <w:r>
        <w:rPr>
          <w:rFonts w:hint="eastAsia" w:ascii="宋体" w:hAnsi="宋体" w:cs="Arial"/>
          <w:sz w:val="24"/>
        </w:rPr>
        <w:t>4、投标保证金的有效期：同投标有效期。</w:t>
      </w:r>
    </w:p>
    <w:p w14:paraId="409E0D7C">
      <w:pPr>
        <w:snapToGrid w:val="0"/>
        <w:spacing w:line="336" w:lineRule="auto"/>
        <w:ind w:firstLine="482" w:firstLineChars="200"/>
        <w:rPr>
          <w:rFonts w:asciiTheme="minorEastAsia" w:hAnsiTheme="minorEastAsia" w:eastAsiaTheme="minorEastAsia" w:cstheme="minorEastAsia"/>
          <w:b/>
          <w:sz w:val="24"/>
        </w:rPr>
      </w:pPr>
      <w:r>
        <w:rPr>
          <w:rFonts w:hint="eastAsia" w:asciiTheme="minorEastAsia" w:hAnsiTheme="minorEastAsia" w:cstheme="minorEastAsia"/>
          <w:b/>
          <w:sz w:val="24"/>
          <w:lang w:val="en-US" w:eastAsia="zh-CN"/>
        </w:rPr>
        <w:t>八</w:t>
      </w:r>
      <w:r>
        <w:rPr>
          <w:rFonts w:hint="eastAsia" w:asciiTheme="minorEastAsia" w:hAnsiTheme="minorEastAsia" w:cstheme="minorEastAsia"/>
          <w:b/>
          <w:sz w:val="24"/>
        </w:rPr>
        <w:t>、</w:t>
      </w:r>
      <w:r>
        <w:rPr>
          <w:rFonts w:hint="eastAsia" w:asciiTheme="minorEastAsia" w:hAnsiTheme="minorEastAsia" w:eastAsiaTheme="minorEastAsia" w:cstheme="minorEastAsia"/>
          <w:b/>
          <w:sz w:val="24"/>
        </w:rPr>
        <w:t>公告发布网址：</w:t>
      </w:r>
    </w:p>
    <w:p w14:paraId="291C21A2">
      <w:pPr>
        <w:spacing w:line="336" w:lineRule="auto"/>
        <w:ind w:firstLine="588" w:firstLineChars="24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本次招标公告</w:t>
      </w:r>
      <w:r>
        <w:rPr>
          <w:rFonts w:hint="eastAsia" w:asciiTheme="minorEastAsia" w:hAnsiTheme="minorEastAsia" w:eastAsiaTheme="minorEastAsia" w:cstheme="minorEastAsia"/>
          <w:sz w:val="24"/>
          <w:lang w:eastAsia="zh-CN"/>
        </w:rPr>
        <w:t>三门县公共资源交易中心</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sz w:val="24"/>
          <w:lang w:eastAsia="zh-CN"/>
        </w:rPr>
        <w:t>http://www.sanmen.gov.cn/col/col1229610743/index.html</w:t>
      </w:r>
      <w:r>
        <w:rPr>
          <w:rFonts w:hint="eastAsia" w:asciiTheme="minorEastAsia" w:hAnsiTheme="minorEastAsia" w:eastAsiaTheme="minorEastAsia" w:cstheme="minorEastAsia"/>
          <w:sz w:val="24"/>
        </w:rPr>
        <w:t>）上发布。</w:t>
      </w:r>
    </w:p>
    <w:p w14:paraId="482E429F">
      <w:pPr>
        <w:pStyle w:val="42"/>
      </w:pPr>
    </w:p>
    <w:p w14:paraId="79AC5E4C">
      <w:pPr>
        <w:spacing w:line="360" w:lineRule="auto"/>
        <w:ind w:firstLine="482" w:firstLineChars="200"/>
        <w:rPr>
          <w:b/>
          <w:bCs/>
          <w:color w:val="000000"/>
          <w:sz w:val="24"/>
        </w:rPr>
      </w:pPr>
      <w:r>
        <w:rPr>
          <w:rFonts w:hint="eastAsia"/>
          <w:b/>
          <w:bCs/>
          <w:color w:val="000000"/>
          <w:sz w:val="24"/>
          <w:lang w:val="en-US" w:eastAsia="zh-CN"/>
        </w:rPr>
        <w:t>九</w:t>
      </w:r>
      <w:r>
        <w:rPr>
          <w:rFonts w:hint="eastAsia"/>
          <w:b/>
          <w:bCs/>
          <w:color w:val="000000"/>
          <w:sz w:val="24"/>
        </w:rPr>
        <w:t>、项目咨询：</w:t>
      </w:r>
    </w:p>
    <w:p w14:paraId="27ACD6B5">
      <w:pPr>
        <w:widowControl/>
        <w:spacing w:line="500" w:lineRule="atLeast"/>
        <w:ind w:right="-154" w:firstLine="240"/>
        <w:jc w:val="left"/>
        <w:rPr>
          <w:rFonts w:hint="eastAsia" w:ascii="宋体" w:hAnsi="宋体" w:eastAsia="宋体" w:cs="宋体"/>
          <w:sz w:val="24"/>
          <w:lang w:eastAsia="zh-CN"/>
        </w:rPr>
      </w:pPr>
      <w:r>
        <w:rPr>
          <w:rFonts w:hint="eastAsia" w:ascii="宋体" w:hAnsi="宋体" w:cs="Arial"/>
          <w:color w:val="000000"/>
          <w:sz w:val="24"/>
        </w:rPr>
        <w:t xml:space="preserve">  </w:t>
      </w:r>
      <w:r>
        <w:rPr>
          <w:rFonts w:hint="eastAsia" w:ascii="宋体" w:hAnsi="宋体" w:cs="宋体"/>
          <w:sz w:val="24"/>
        </w:rPr>
        <w:t>招 标 人：</w:t>
      </w:r>
      <w:r>
        <w:rPr>
          <w:rFonts w:hint="eastAsia" w:ascii="宋体" w:hAnsi="宋体" w:cs="宋体"/>
          <w:sz w:val="24"/>
          <w:lang w:eastAsia="zh-CN"/>
        </w:rPr>
        <w:t>台州市北部湾区经济开发集团有限公司</w:t>
      </w:r>
    </w:p>
    <w:p w14:paraId="6DF1B49B">
      <w:pPr>
        <w:widowControl/>
        <w:spacing w:line="500" w:lineRule="atLeast"/>
        <w:ind w:right="-154" w:firstLine="480"/>
        <w:jc w:val="left"/>
        <w:rPr>
          <w:rFonts w:hint="eastAsia" w:ascii="宋体" w:hAnsi="宋体" w:eastAsia="宋体" w:cs="宋体"/>
          <w:color w:val="000000"/>
          <w:sz w:val="24"/>
          <w:lang w:eastAsia="zh-CN"/>
        </w:rPr>
      </w:pPr>
      <w:r>
        <w:rPr>
          <w:rFonts w:hint="eastAsia" w:ascii="宋体" w:hAnsi="宋体" w:cs="宋体"/>
          <w:color w:val="000000"/>
          <w:sz w:val="24"/>
        </w:rPr>
        <w:t>联 系 人：</w:t>
      </w:r>
      <w:r>
        <w:rPr>
          <w:rFonts w:hint="eastAsia" w:ascii="宋体" w:hAnsi="宋体" w:cs="宋体"/>
          <w:color w:val="000000"/>
          <w:sz w:val="24"/>
          <w:lang w:eastAsia="zh-CN"/>
        </w:rPr>
        <w:t>叶松</w:t>
      </w:r>
    </w:p>
    <w:p w14:paraId="5FBB044F">
      <w:pPr>
        <w:widowControl/>
        <w:spacing w:line="500" w:lineRule="atLeast"/>
        <w:ind w:right="-154" w:firstLine="480"/>
        <w:jc w:val="left"/>
        <w:rPr>
          <w:rFonts w:hint="eastAsia" w:ascii="宋体" w:hAnsi="宋体" w:eastAsia="宋体" w:cs="宋体"/>
          <w:color w:val="000000"/>
          <w:sz w:val="24"/>
          <w:lang w:eastAsia="zh-CN"/>
        </w:rPr>
      </w:pPr>
      <w:r>
        <w:rPr>
          <w:rFonts w:hint="eastAsia" w:ascii="宋体" w:hAnsi="宋体" w:cs="宋体"/>
          <w:color w:val="000000"/>
          <w:sz w:val="24"/>
        </w:rPr>
        <w:t>电  话：</w:t>
      </w:r>
      <w:r>
        <w:rPr>
          <w:rFonts w:hint="eastAsia" w:ascii="宋体" w:hAnsi="宋体" w:cs="宋体"/>
          <w:color w:val="000000"/>
          <w:sz w:val="24"/>
          <w:lang w:eastAsia="zh-CN"/>
        </w:rPr>
        <w:t>0576-83318505</w:t>
      </w:r>
    </w:p>
    <w:p w14:paraId="78F030F2">
      <w:pPr>
        <w:pStyle w:val="42"/>
      </w:pPr>
    </w:p>
    <w:p w14:paraId="13605645">
      <w:pPr>
        <w:widowControl/>
        <w:spacing w:line="500" w:lineRule="atLeast"/>
        <w:ind w:left="-179" w:right="-154" w:firstLine="720"/>
        <w:jc w:val="left"/>
        <w:rPr>
          <w:rFonts w:ascii="宋体" w:hAnsi="宋体" w:cs="宋体"/>
          <w:sz w:val="24"/>
        </w:rPr>
      </w:pPr>
      <w:r>
        <w:rPr>
          <w:rFonts w:hint="eastAsia" w:ascii="宋体" w:hAnsi="宋体" w:cs="宋体"/>
          <w:sz w:val="24"/>
        </w:rPr>
        <w:t>招标代理机构：浙江省三门县工程建设监理有限公司</w:t>
      </w:r>
    </w:p>
    <w:p w14:paraId="7005BD48">
      <w:pPr>
        <w:widowControl/>
        <w:spacing w:line="500" w:lineRule="atLeast"/>
        <w:ind w:left="-179" w:right="-154" w:firstLine="720"/>
        <w:jc w:val="left"/>
        <w:rPr>
          <w:rFonts w:ascii="宋体" w:hAnsi="宋体" w:cs="宋体"/>
          <w:sz w:val="24"/>
        </w:rPr>
      </w:pPr>
      <w:r>
        <w:rPr>
          <w:rFonts w:hint="eastAsia" w:ascii="宋体" w:hAnsi="宋体" w:cs="宋体"/>
          <w:sz w:val="24"/>
        </w:rPr>
        <w:t>联 系 人：倪海微</w:t>
      </w:r>
    </w:p>
    <w:p w14:paraId="66346957">
      <w:pPr>
        <w:widowControl/>
        <w:spacing w:line="500" w:lineRule="atLeast"/>
        <w:ind w:left="-179" w:right="-154" w:firstLine="720"/>
        <w:jc w:val="left"/>
        <w:rPr>
          <w:rFonts w:ascii="宋体" w:hAnsi="宋体" w:cs="宋体"/>
          <w:sz w:val="24"/>
        </w:rPr>
      </w:pPr>
      <w:r>
        <w:rPr>
          <w:rFonts w:hint="eastAsia" w:ascii="宋体" w:hAnsi="宋体" w:cs="宋体"/>
          <w:sz w:val="24"/>
        </w:rPr>
        <w:t>电  话：0576-83325775</w:t>
      </w:r>
    </w:p>
    <w:p w14:paraId="6315DED0">
      <w:pPr>
        <w:tabs>
          <w:tab w:val="left" w:pos="720"/>
          <w:tab w:val="left" w:pos="1260"/>
          <w:tab w:val="left" w:pos="2160"/>
          <w:tab w:val="left" w:pos="2880"/>
          <w:tab w:val="left" w:pos="3600"/>
          <w:tab w:val="left" w:pos="4320"/>
          <w:tab w:val="left" w:pos="5040"/>
          <w:tab w:val="left" w:pos="5760"/>
          <w:tab w:val="left" w:pos="8280"/>
        </w:tabs>
        <w:spacing w:line="360" w:lineRule="auto"/>
        <w:jc w:val="left"/>
        <w:rPr>
          <w:rFonts w:ascii="宋体" w:hAnsi="宋体" w:cs="Arial"/>
          <w:color w:val="000000"/>
          <w:sz w:val="24"/>
        </w:rPr>
      </w:pPr>
    </w:p>
    <w:p w14:paraId="19764F4A">
      <w:pPr>
        <w:tabs>
          <w:tab w:val="left" w:pos="720"/>
          <w:tab w:val="left" w:pos="1440"/>
          <w:tab w:val="left" w:pos="2160"/>
          <w:tab w:val="left" w:pos="2880"/>
          <w:tab w:val="left" w:pos="3600"/>
          <w:tab w:val="left" w:pos="4320"/>
          <w:tab w:val="left" w:pos="5040"/>
          <w:tab w:val="left" w:pos="5760"/>
        </w:tabs>
        <w:spacing w:line="240" w:lineRule="atLeast"/>
        <w:jc w:val="right"/>
        <w:rPr>
          <w:rFonts w:hint="eastAsia" w:ascii="宋体" w:eastAsia="宋体"/>
          <w:sz w:val="24"/>
          <w:lang w:eastAsia="zh-CN"/>
        </w:rPr>
      </w:pPr>
      <w:r>
        <w:rPr>
          <w:rFonts w:hint="eastAsia" w:ascii="宋体"/>
          <w:sz w:val="24"/>
          <w:lang w:eastAsia="zh-CN"/>
        </w:rPr>
        <w:t>台州市北部湾区经济开发集团有限公司</w:t>
      </w:r>
    </w:p>
    <w:p w14:paraId="6D21CB19">
      <w:pPr>
        <w:tabs>
          <w:tab w:val="left" w:pos="720"/>
          <w:tab w:val="left" w:pos="1440"/>
          <w:tab w:val="left" w:pos="2160"/>
          <w:tab w:val="left" w:pos="2880"/>
          <w:tab w:val="left" w:pos="3600"/>
          <w:tab w:val="left" w:pos="4320"/>
          <w:tab w:val="left" w:pos="5040"/>
          <w:tab w:val="left" w:pos="5760"/>
        </w:tabs>
        <w:spacing w:line="240" w:lineRule="atLeast"/>
        <w:jc w:val="right"/>
        <w:rPr>
          <w:rFonts w:ascii="宋体"/>
          <w:color w:val="000000"/>
          <w:sz w:val="24"/>
        </w:rPr>
      </w:pPr>
      <w:r>
        <w:rPr>
          <w:rFonts w:hint="eastAsia" w:ascii="宋体"/>
          <w:sz w:val="24"/>
        </w:rPr>
        <w:t xml:space="preserve">     </w:t>
      </w:r>
      <w:r>
        <w:rPr>
          <w:rFonts w:hint="eastAsia" w:ascii="宋体"/>
          <w:color w:val="000000"/>
          <w:sz w:val="24"/>
        </w:rPr>
        <w:t>浙江省三门县工程建设监理有限公司</w:t>
      </w:r>
    </w:p>
    <w:p w14:paraId="59B700FD">
      <w:pPr>
        <w:pStyle w:val="254"/>
        <w:jc w:val="right"/>
      </w:pPr>
    </w:p>
    <w:p w14:paraId="68CFCB1F">
      <w:pPr>
        <w:tabs>
          <w:tab w:val="left" w:pos="720"/>
          <w:tab w:val="left" w:pos="1440"/>
          <w:tab w:val="left" w:pos="2160"/>
          <w:tab w:val="left" w:pos="2880"/>
          <w:tab w:val="left" w:pos="3600"/>
          <w:tab w:val="left" w:pos="4320"/>
          <w:tab w:val="left" w:pos="5040"/>
          <w:tab w:val="left" w:pos="5760"/>
        </w:tabs>
        <w:spacing w:line="240" w:lineRule="atLeast"/>
        <w:jc w:val="right"/>
        <w:rPr>
          <w:rFonts w:ascii="宋体"/>
          <w:color w:val="000000"/>
          <w:sz w:val="24"/>
        </w:rPr>
      </w:pPr>
      <w:r>
        <w:rPr>
          <w:rFonts w:hint="eastAsia" w:ascii="宋体"/>
          <w:color w:val="000000"/>
          <w:sz w:val="24"/>
        </w:rPr>
        <w:t xml:space="preserve">  2025年10月</w:t>
      </w:r>
      <w:r>
        <w:rPr>
          <w:rFonts w:hint="eastAsia" w:ascii="宋体"/>
          <w:color w:val="000000"/>
          <w:sz w:val="24"/>
          <w:lang w:val="en-US" w:eastAsia="zh-CN"/>
        </w:rPr>
        <w:t>31</w:t>
      </w:r>
      <w:r>
        <w:rPr>
          <w:rFonts w:hint="eastAsia" w:ascii="宋体"/>
          <w:color w:val="000000"/>
          <w:sz w:val="24"/>
        </w:rPr>
        <w:t>日</w:t>
      </w:r>
    </w:p>
    <w:p w14:paraId="62260CA4">
      <w:pPr>
        <w:pStyle w:val="42"/>
        <w:rPr>
          <w:rFonts w:ascii="宋体"/>
          <w:color w:val="000000"/>
        </w:rPr>
      </w:pPr>
    </w:p>
    <w:p w14:paraId="7DD2B106">
      <w:pPr>
        <w:pStyle w:val="42"/>
        <w:rPr>
          <w:rFonts w:ascii="宋体"/>
          <w:color w:val="000000"/>
        </w:rPr>
      </w:pPr>
    </w:p>
    <w:p w14:paraId="680F36E0">
      <w:pPr>
        <w:pStyle w:val="42"/>
        <w:rPr>
          <w:rFonts w:ascii="宋体"/>
          <w:color w:val="000000"/>
        </w:rPr>
      </w:pPr>
    </w:p>
    <w:p w14:paraId="59E4EEAA">
      <w:pPr>
        <w:pStyle w:val="42"/>
        <w:rPr>
          <w:rFonts w:ascii="宋体"/>
          <w:color w:val="000000"/>
        </w:rPr>
      </w:pPr>
    </w:p>
    <w:p w14:paraId="23A60AE0">
      <w:pPr>
        <w:pStyle w:val="42"/>
        <w:rPr>
          <w:rFonts w:ascii="宋体"/>
          <w:color w:val="000000"/>
        </w:rPr>
      </w:pPr>
    </w:p>
    <w:p w14:paraId="59FC05B0">
      <w:pPr>
        <w:pStyle w:val="42"/>
        <w:rPr>
          <w:rFonts w:ascii="宋体"/>
          <w:color w:val="000000"/>
        </w:rPr>
      </w:pPr>
    </w:p>
    <w:p w14:paraId="12FA89B6">
      <w:pPr>
        <w:pStyle w:val="42"/>
        <w:rPr>
          <w:rFonts w:ascii="宋体"/>
          <w:color w:val="000000"/>
        </w:rPr>
      </w:pPr>
    </w:p>
    <w:p w14:paraId="210DEAD6">
      <w:pPr>
        <w:pStyle w:val="43"/>
      </w:pPr>
    </w:p>
    <w:p w14:paraId="3F26A750">
      <w:pPr>
        <w:pStyle w:val="43"/>
      </w:pPr>
      <w:bookmarkStart w:id="18" w:name="_GoBack"/>
      <w:bookmarkEnd w:id="18"/>
    </w:p>
    <w:p w14:paraId="6E85C58B">
      <w:pPr>
        <w:pStyle w:val="191"/>
        <w:numPr>
          <w:ilvl w:val="0"/>
          <w:numId w:val="0"/>
        </w:numPr>
        <w:jc w:val="center"/>
        <w:rPr>
          <w:sz w:val="40"/>
          <w:szCs w:val="22"/>
        </w:rPr>
      </w:pPr>
      <w:r>
        <w:rPr>
          <w:rFonts w:hint="eastAsia"/>
          <w:sz w:val="40"/>
          <w:szCs w:val="22"/>
        </w:rPr>
        <w:t>第二部分</w:t>
      </w:r>
      <w:r>
        <w:rPr>
          <w:sz w:val="40"/>
          <w:szCs w:val="22"/>
        </w:rPr>
        <w:t xml:space="preserve">  </w:t>
      </w:r>
      <w:r>
        <w:rPr>
          <w:rFonts w:hint="eastAsia"/>
          <w:sz w:val="40"/>
          <w:szCs w:val="22"/>
        </w:rPr>
        <w:t>供应商须知</w:t>
      </w:r>
    </w:p>
    <w:p w14:paraId="3A4897E4">
      <w:pPr>
        <w:pStyle w:val="193"/>
        <w:tabs>
          <w:tab w:val="left" w:pos="287"/>
        </w:tabs>
        <w:spacing w:before="360" w:after="0" w:line="288" w:lineRule="auto"/>
        <w:jc w:val="center"/>
        <w:rPr>
          <w:rFonts w:ascii="黑体" w:hAnsi="宋体"/>
          <w:bCs w:val="0"/>
          <w:sz w:val="28"/>
          <w:szCs w:val="28"/>
        </w:rPr>
      </w:pPr>
      <w:bookmarkStart w:id="0" w:name="_Toc360715503"/>
      <w:r>
        <w:rPr>
          <w:rFonts w:hint="eastAsia" w:ascii="黑体" w:hAnsi="宋体"/>
          <w:bCs w:val="0"/>
          <w:sz w:val="28"/>
          <w:szCs w:val="28"/>
        </w:rPr>
        <w:t>供应商须知前附表</w:t>
      </w:r>
      <w:bookmarkEnd w:id="0"/>
    </w:p>
    <w:tbl>
      <w:tblPr>
        <w:tblStyle w:val="36"/>
        <w:tblW w:w="9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2371"/>
        <w:gridCol w:w="6740"/>
      </w:tblGrid>
      <w:tr w14:paraId="50A9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67" w:type="dxa"/>
            <w:vAlign w:val="center"/>
          </w:tcPr>
          <w:p w14:paraId="47BF75D3">
            <w:pPr>
              <w:jc w:val="center"/>
              <w:rPr>
                <w:rFonts w:ascii="宋体" w:hAnsi="宋体"/>
                <w:sz w:val="24"/>
              </w:rPr>
            </w:pPr>
            <w:r>
              <w:rPr>
                <w:rFonts w:hint="eastAsia" w:ascii="宋体" w:hAnsi="宋体"/>
                <w:sz w:val="24"/>
              </w:rPr>
              <w:t>序号</w:t>
            </w:r>
          </w:p>
        </w:tc>
        <w:tc>
          <w:tcPr>
            <w:tcW w:w="2371" w:type="dxa"/>
            <w:vAlign w:val="center"/>
          </w:tcPr>
          <w:p w14:paraId="57204A92">
            <w:pPr>
              <w:jc w:val="center"/>
              <w:rPr>
                <w:rFonts w:ascii="宋体" w:hAnsi="宋体"/>
                <w:sz w:val="24"/>
              </w:rPr>
            </w:pPr>
            <w:r>
              <w:rPr>
                <w:rFonts w:hint="eastAsia" w:ascii="宋体" w:hAnsi="宋体"/>
                <w:sz w:val="24"/>
              </w:rPr>
              <w:t>内  容</w:t>
            </w:r>
          </w:p>
        </w:tc>
        <w:tc>
          <w:tcPr>
            <w:tcW w:w="6740" w:type="dxa"/>
            <w:vAlign w:val="center"/>
          </w:tcPr>
          <w:p w14:paraId="181A0BCD">
            <w:pPr>
              <w:jc w:val="center"/>
              <w:rPr>
                <w:rFonts w:ascii="宋体" w:hAnsi="宋体"/>
                <w:sz w:val="24"/>
              </w:rPr>
            </w:pPr>
            <w:r>
              <w:rPr>
                <w:rFonts w:hint="eastAsia" w:ascii="宋体" w:hAnsi="宋体"/>
                <w:sz w:val="24"/>
              </w:rPr>
              <w:t>说明与要求</w:t>
            </w:r>
          </w:p>
        </w:tc>
      </w:tr>
      <w:tr w14:paraId="5528E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767" w:type="dxa"/>
            <w:vAlign w:val="center"/>
          </w:tcPr>
          <w:p w14:paraId="470AC9F0">
            <w:pPr>
              <w:spacing w:line="320" w:lineRule="exact"/>
              <w:jc w:val="center"/>
              <w:rPr>
                <w:rFonts w:ascii="宋体" w:hAnsi="宋体"/>
                <w:sz w:val="24"/>
              </w:rPr>
            </w:pPr>
            <w:r>
              <w:rPr>
                <w:rFonts w:hint="eastAsia" w:ascii="宋体" w:hAnsi="宋体"/>
                <w:color w:val="000000"/>
                <w:sz w:val="24"/>
              </w:rPr>
              <w:t>1</w:t>
            </w:r>
          </w:p>
        </w:tc>
        <w:tc>
          <w:tcPr>
            <w:tcW w:w="2371" w:type="dxa"/>
            <w:vAlign w:val="center"/>
          </w:tcPr>
          <w:p w14:paraId="4355C326">
            <w:pPr>
              <w:spacing w:line="360" w:lineRule="exact"/>
              <w:jc w:val="center"/>
              <w:rPr>
                <w:rFonts w:ascii="宋体" w:hAnsi="宋体"/>
                <w:sz w:val="24"/>
              </w:rPr>
            </w:pPr>
            <w:r>
              <w:rPr>
                <w:rFonts w:hint="eastAsia" w:ascii="宋体" w:hAnsi="宋体"/>
                <w:bCs/>
                <w:color w:val="000000"/>
                <w:sz w:val="24"/>
              </w:rPr>
              <w:t>项目名称</w:t>
            </w:r>
          </w:p>
        </w:tc>
        <w:tc>
          <w:tcPr>
            <w:tcW w:w="6740" w:type="dxa"/>
            <w:vAlign w:val="center"/>
          </w:tcPr>
          <w:p w14:paraId="34B28B8B">
            <w:pPr>
              <w:spacing w:line="360" w:lineRule="exact"/>
              <w:ind w:left="-2" w:firstLine="2"/>
              <w:rPr>
                <w:rFonts w:ascii="宋体" w:hAnsi="宋体"/>
                <w:sz w:val="24"/>
              </w:rPr>
            </w:pPr>
            <w:r>
              <w:rPr>
                <w:rFonts w:hint="eastAsia" w:ascii="Arial" w:hAnsi="Arial" w:cs="Arial"/>
                <w:color w:val="333333"/>
                <w:spacing w:val="15"/>
                <w:sz w:val="24"/>
                <w:lang w:eastAsia="zh-CN"/>
              </w:rPr>
              <w:t>2025年度特定绿证采购项目</w:t>
            </w:r>
          </w:p>
        </w:tc>
      </w:tr>
      <w:tr w14:paraId="12ACB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767" w:type="dxa"/>
            <w:vAlign w:val="center"/>
          </w:tcPr>
          <w:p w14:paraId="4957A2A4">
            <w:pPr>
              <w:spacing w:line="320" w:lineRule="exact"/>
              <w:jc w:val="center"/>
              <w:rPr>
                <w:rFonts w:ascii="宋体" w:hAnsi="宋体"/>
                <w:sz w:val="24"/>
              </w:rPr>
            </w:pPr>
            <w:r>
              <w:rPr>
                <w:rFonts w:hint="eastAsia" w:ascii="宋体" w:hAnsi="宋体"/>
                <w:color w:val="000000"/>
                <w:sz w:val="24"/>
              </w:rPr>
              <w:t>2</w:t>
            </w:r>
          </w:p>
        </w:tc>
        <w:tc>
          <w:tcPr>
            <w:tcW w:w="2371" w:type="dxa"/>
            <w:vAlign w:val="center"/>
          </w:tcPr>
          <w:p w14:paraId="6F14B6CA">
            <w:pPr>
              <w:spacing w:line="360" w:lineRule="exact"/>
              <w:jc w:val="center"/>
              <w:rPr>
                <w:rFonts w:ascii="宋体" w:hAnsi="宋体"/>
                <w:sz w:val="24"/>
              </w:rPr>
            </w:pPr>
            <w:r>
              <w:rPr>
                <w:rFonts w:hint="eastAsia" w:ascii="宋体" w:hAnsi="宋体"/>
                <w:bCs/>
                <w:color w:val="000000"/>
                <w:sz w:val="24"/>
              </w:rPr>
              <w:t>招标内容</w:t>
            </w:r>
          </w:p>
        </w:tc>
        <w:tc>
          <w:tcPr>
            <w:tcW w:w="6740" w:type="dxa"/>
            <w:vAlign w:val="center"/>
          </w:tcPr>
          <w:p w14:paraId="604FCD48">
            <w:pPr>
              <w:spacing w:line="360" w:lineRule="exact"/>
              <w:ind w:left="-2" w:firstLine="2"/>
              <w:rPr>
                <w:rFonts w:ascii="宋体" w:hAnsi="宋体"/>
                <w:sz w:val="24"/>
              </w:rPr>
            </w:pPr>
            <w:r>
              <w:rPr>
                <w:rFonts w:hint="eastAsia" w:ascii="宋体" w:hAnsi="宋体"/>
                <w:bCs/>
                <w:color w:val="000000"/>
                <w:sz w:val="24"/>
              </w:rPr>
              <w:t>详见本招标文件“第三部分采购需求”内容</w:t>
            </w:r>
          </w:p>
        </w:tc>
      </w:tr>
      <w:tr w14:paraId="0BC49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67" w:type="dxa"/>
            <w:vAlign w:val="center"/>
          </w:tcPr>
          <w:p w14:paraId="67C590C5">
            <w:pPr>
              <w:spacing w:line="320" w:lineRule="exact"/>
              <w:jc w:val="center"/>
              <w:rPr>
                <w:rFonts w:ascii="宋体" w:hAnsi="宋体"/>
                <w:sz w:val="24"/>
              </w:rPr>
            </w:pPr>
            <w:r>
              <w:rPr>
                <w:rFonts w:hint="eastAsia" w:ascii="宋体" w:hAnsi="宋体"/>
                <w:color w:val="000000"/>
                <w:sz w:val="24"/>
              </w:rPr>
              <w:t>3</w:t>
            </w:r>
          </w:p>
        </w:tc>
        <w:tc>
          <w:tcPr>
            <w:tcW w:w="2371" w:type="dxa"/>
            <w:vAlign w:val="center"/>
          </w:tcPr>
          <w:p w14:paraId="043BB129">
            <w:pPr>
              <w:spacing w:line="360" w:lineRule="exact"/>
              <w:jc w:val="center"/>
              <w:rPr>
                <w:rFonts w:ascii="宋体" w:hAnsi="宋体"/>
                <w:sz w:val="24"/>
              </w:rPr>
            </w:pPr>
            <w:r>
              <w:rPr>
                <w:rFonts w:hint="eastAsia" w:ascii="宋体" w:hAnsi="宋体"/>
                <w:bCs/>
                <w:color w:val="000000"/>
                <w:sz w:val="24"/>
              </w:rPr>
              <w:t>招标方式</w:t>
            </w:r>
          </w:p>
        </w:tc>
        <w:tc>
          <w:tcPr>
            <w:tcW w:w="6740" w:type="dxa"/>
            <w:vAlign w:val="center"/>
          </w:tcPr>
          <w:p w14:paraId="0FE5B252">
            <w:pPr>
              <w:rPr>
                <w:rFonts w:ascii="宋体" w:hAnsi="宋体"/>
                <w:sz w:val="24"/>
              </w:rPr>
            </w:pPr>
            <w:r>
              <w:rPr>
                <w:rFonts w:hint="eastAsia" w:ascii="宋体" w:hAnsi="宋体"/>
                <w:bCs/>
                <w:color w:val="000000"/>
                <w:sz w:val="24"/>
                <w:lang w:val="en-US" w:eastAsia="zh-CN"/>
              </w:rPr>
              <w:t>公开</w:t>
            </w:r>
            <w:r>
              <w:rPr>
                <w:rFonts w:hint="eastAsia" w:ascii="宋体" w:hAnsi="宋体"/>
                <w:bCs/>
                <w:color w:val="000000"/>
                <w:sz w:val="24"/>
              </w:rPr>
              <w:t>招标</w:t>
            </w:r>
          </w:p>
        </w:tc>
      </w:tr>
      <w:tr w14:paraId="6988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767" w:type="dxa"/>
            <w:vAlign w:val="center"/>
          </w:tcPr>
          <w:p w14:paraId="480C46EF">
            <w:pPr>
              <w:spacing w:line="320" w:lineRule="exact"/>
              <w:jc w:val="center"/>
              <w:rPr>
                <w:rFonts w:ascii="宋体" w:hAnsi="宋体"/>
                <w:sz w:val="24"/>
              </w:rPr>
            </w:pPr>
            <w:r>
              <w:rPr>
                <w:rFonts w:hint="eastAsia" w:ascii="宋体" w:hAnsi="宋体"/>
                <w:sz w:val="24"/>
              </w:rPr>
              <w:t>4</w:t>
            </w:r>
          </w:p>
        </w:tc>
        <w:tc>
          <w:tcPr>
            <w:tcW w:w="2371" w:type="dxa"/>
            <w:vAlign w:val="center"/>
          </w:tcPr>
          <w:p w14:paraId="3F1C5B7C">
            <w:pPr>
              <w:spacing w:line="360" w:lineRule="exact"/>
              <w:jc w:val="center"/>
              <w:rPr>
                <w:rFonts w:ascii="宋体" w:hAnsi="宋体"/>
                <w:sz w:val="24"/>
              </w:rPr>
            </w:pPr>
            <w:r>
              <w:rPr>
                <w:rFonts w:hint="eastAsia" w:ascii="宋体" w:hAnsi="宋体"/>
                <w:bCs/>
                <w:color w:val="000000"/>
                <w:sz w:val="24"/>
              </w:rPr>
              <w:t>▲项目服务期</w:t>
            </w:r>
          </w:p>
        </w:tc>
        <w:tc>
          <w:tcPr>
            <w:tcW w:w="6740" w:type="dxa"/>
            <w:vAlign w:val="center"/>
          </w:tcPr>
          <w:p w14:paraId="0C5E7214">
            <w:pPr>
              <w:spacing w:line="360" w:lineRule="exact"/>
              <w:jc w:val="left"/>
              <w:rPr>
                <w:rFonts w:ascii="宋体" w:hAnsi="宋体"/>
                <w:sz w:val="24"/>
              </w:rPr>
            </w:pPr>
            <w:r>
              <w:rPr>
                <w:rFonts w:hint="eastAsia" w:ascii="宋体" w:hAnsi="宋体"/>
                <w:bCs/>
                <w:color w:val="000000"/>
                <w:sz w:val="24"/>
              </w:rPr>
              <w:t>详见本招标文件“第三部分采购需求”中“服务期”内容。</w:t>
            </w:r>
          </w:p>
        </w:tc>
      </w:tr>
      <w:tr w14:paraId="02D8D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767" w:type="dxa"/>
            <w:vAlign w:val="center"/>
          </w:tcPr>
          <w:p w14:paraId="01CBCC9E">
            <w:pPr>
              <w:spacing w:line="320" w:lineRule="exact"/>
              <w:jc w:val="center"/>
              <w:rPr>
                <w:rFonts w:ascii="宋体" w:hAnsi="宋体"/>
                <w:sz w:val="24"/>
              </w:rPr>
            </w:pPr>
            <w:r>
              <w:rPr>
                <w:rFonts w:hint="eastAsia" w:ascii="宋体" w:hAnsi="宋体"/>
                <w:color w:val="000000"/>
                <w:sz w:val="24"/>
              </w:rPr>
              <w:t>5</w:t>
            </w:r>
          </w:p>
        </w:tc>
        <w:tc>
          <w:tcPr>
            <w:tcW w:w="2371" w:type="dxa"/>
            <w:vAlign w:val="center"/>
          </w:tcPr>
          <w:p w14:paraId="5427C178">
            <w:pPr>
              <w:spacing w:line="360" w:lineRule="exact"/>
              <w:jc w:val="center"/>
              <w:rPr>
                <w:rFonts w:ascii="宋体" w:hAnsi="宋体"/>
                <w:sz w:val="24"/>
              </w:rPr>
            </w:pPr>
            <w:r>
              <w:rPr>
                <w:rFonts w:hint="eastAsia" w:ascii="宋体" w:hAnsi="宋体"/>
                <w:bCs/>
                <w:color w:val="000000"/>
                <w:sz w:val="24"/>
              </w:rPr>
              <w:t>评标方法</w:t>
            </w:r>
          </w:p>
        </w:tc>
        <w:tc>
          <w:tcPr>
            <w:tcW w:w="6740" w:type="dxa"/>
            <w:vAlign w:val="center"/>
          </w:tcPr>
          <w:p w14:paraId="1D368D3B">
            <w:pPr>
              <w:spacing w:line="360" w:lineRule="exact"/>
              <w:jc w:val="left"/>
              <w:rPr>
                <w:rFonts w:ascii="宋体" w:hAnsi="宋体"/>
                <w:sz w:val="24"/>
              </w:rPr>
            </w:pPr>
            <w:r>
              <w:rPr>
                <w:rFonts w:hint="eastAsia" w:ascii="宋体" w:hAnsi="宋体" w:cs="Arial"/>
                <w:bCs/>
                <w:color w:val="000000"/>
                <w:sz w:val="24"/>
              </w:rPr>
              <w:t>最低评标价法</w:t>
            </w:r>
          </w:p>
        </w:tc>
      </w:tr>
      <w:tr w14:paraId="2443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767" w:type="dxa"/>
            <w:vAlign w:val="center"/>
          </w:tcPr>
          <w:p w14:paraId="3416A207">
            <w:pPr>
              <w:spacing w:line="320" w:lineRule="exact"/>
              <w:jc w:val="center"/>
              <w:rPr>
                <w:rFonts w:ascii="宋体" w:hAnsi="宋体"/>
                <w:sz w:val="24"/>
              </w:rPr>
            </w:pPr>
            <w:r>
              <w:rPr>
                <w:rFonts w:hint="eastAsia" w:ascii="宋体" w:hAnsi="宋体"/>
                <w:color w:val="000000"/>
                <w:sz w:val="24"/>
              </w:rPr>
              <w:t>6</w:t>
            </w:r>
          </w:p>
        </w:tc>
        <w:tc>
          <w:tcPr>
            <w:tcW w:w="2371" w:type="dxa"/>
            <w:vAlign w:val="center"/>
          </w:tcPr>
          <w:p w14:paraId="2730A35F">
            <w:pPr>
              <w:spacing w:line="360" w:lineRule="exact"/>
              <w:jc w:val="center"/>
              <w:rPr>
                <w:rFonts w:ascii="宋体" w:hAnsi="宋体"/>
                <w:sz w:val="24"/>
              </w:rPr>
            </w:pPr>
            <w:r>
              <w:rPr>
                <w:rFonts w:hint="eastAsia" w:ascii="宋体" w:hAnsi="宋体"/>
                <w:bCs/>
                <w:color w:val="000000"/>
                <w:sz w:val="24"/>
              </w:rPr>
              <w:t>▲投标文件有效期</w:t>
            </w:r>
          </w:p>
        </w:tc>
        <w:tc>
          <w:tcPr>
            <w:tcW w:w="6740" w:type="dxa"/>
            <w:vAlign w:val="center"/>
          </w:tcPr>
          <w:p w14:paraId="67022DD3">
            <w:pPr>
              <w:pStyle w:val="241"/>
              <w:rPr>
                <w:rFonts w:hint="default"/>
              </w:rPr>
            </w:pPr>
            <w:r>
              <w:rPr>
                <w:color w:val="000000"/>
              </w:rPr>
              <w:t>自投标文件提交截止之日起90天内有效。</w:t>
            </w:r>
          </w:p>
        </w:tc>
      </w:tr>
      <w:tr w14:paraId="5ADC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767" w:type="dxa"/>
            <w:vAlign w:val="center"/>
          </w:tcPr>
          <w:p w14:paraId="208FB5B5">
            <w:pPr>
              <w:spacing w:line="320" w:lineRule="exact"/>
              <w:jc w:val="center"/>
              <w:rPr>
                <w:rFonts w:ascii="宋体" w:hAnsi="宋体"/>
                <w:sz w:val="24"/>
              </w:rPr>
            </w:pPr>
            <w:r>
              <w:rPr>
                <w:rFonts w:hint="eastAsia" w:ascii="宋体" w:hAnsi="宋体"/>
                <w:sz w:val="24"/>
              </w:rPr>
              <w:t>7</w:t>
            </w:r>
          </w:p>
        </w:tc>
        <w:tc>
          <w:tcPr>
            <w:tcW w:w="2371" w:type="dxa"/>
            <w:vAlign w:val="center"/>
          </w:tcPr>
          <w:p w14:paraId="6F037FAA">
            <w:pPr>
              <w:spacing w:line="360" w:lineRule="exact"/>
              <w:jc w:val="center"/>
              <w:rPr>
                <w:rFonts w:ascii="宋体" w:hAnsi="宋体"/>
                <w:sz w:val="24"/>
              </w:rPr>
            </w:pPr>
            <w:r>
              <w:rPr>
                <w:rFonts w:hint="eastAsia" w:ascii="宋体" w:hAnsi="宋体"/>
                <w:bCs/>
                <w:sz w:val="24"/>
              </w:rPr>
              <w:t>履约保证金</w:t>
            </w:r>
          </w:p>
        </w:tc>
        <w:tc>
          <w:tcPr>
            <w:tcW w:w="6740" w:type="dxa"/>
            <w:vAlign w:val="center"/>
          </w:tcPr>
          <w:p w14:paraId="1C8C2C22">
            <w:pPr>
              <w:spacing w:line="360" w:lineRule="exact"/>
              <w:rPr>
                <w:rFonts w:ascii="宋体" w:hAnsi="宋体"/>
                <w:sz w:val="24"/>
              </w:rPr>
            </w:pPr>
            <w:r>
              <w:rPr>
                <w:rFonts w:hint="eastAsia" w:ascii="宋体" w:hAnsi="宋体"/>
                <w:color w:val="000000"/>
                <w:sz w:val="24"/>
                <w:lang w:val="en-US" w:eastAsia="zh-CN"/>
              </w:rPr>
              <w:t>/</w:t>
            </w:r>
            <w:r>
              <w:rPr>
                <w:rFonts w:hint="eastAsia" w:ascii="宋体" w:hAnsi="宋体"/>
                <w:color w:val="000000"/>
                <w:sz w:val="24"/>
              </w:rPr>
              <w:t>。</w:t>
            </w:r>
          </w:p>
        </w:tc>
      </w:tr>
      <w:tr w14:paraId="4C03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6" w:hRule="atLeast"/>
        </w:trPr>
        <w:tc>
          <w:tcPr>
            <w:tcW w:w="767" w:type="dxa"/>
            <w:vAlign w:val="center"/>
          </w:tcPr>
          <w:p w14:paraId="4F8DBACE">
            <w:pPr>
              <w:spacing w:line="320" w:lineRule="exact"/>
              <w:jc w:val="center"/>
              <w:rPr>
                <w:rFonts w:ascii="宋体" w:hAnsi="宋体"/>
                <w:sz w:val="24"/>
              </w:rPr>
            </w:pPr>
            <w:r>
              <w:rPr>
                <w:rFonts w:hint="eastAsia" w:ascii="宋体" w:hAnsi="宋体"/>
                <w:color w:val="000000"/>
                <w:sz w:val="24"/>
              </w:rPr>
              <w:t>8</w:t>
            </w:r>
          </w:p>
        </w:tc>
        <w:tc>
          <w:tcPr>
            <w:tcW w:w="2371" w:type="dxa"/>
            <w:vAlign w:val="center"/>
          </w:tcPr>
          <w:p w14:paraId="77E90E3F">
            <w:pPr>
              <w:pStyle w:val="241"/>
              <w:spacing w:before="0" w:beforeAutospacing="0" w:after="0" w:afterAutospacing="0" w:line="360" w:lineRule="exact"/>
              <w:rPr>
                <w:rFonts w:hint="default"/>
              </w:rPr>
            </w:pPr>
            <w:r>
              <w:t>▲投标文件提交截止时间及地点</w:t>
            </w:r>
          </w:p>
        </w:tc>
        <w:tc>
          <w:tcPr>
            <w:tcW w:w="6740" w:type="dxa"/>
            <w:vAlign w:val="center"/>
          </w:tcPr>
          <w:p w14:paraId="21ACD8B1">
            <w:pPr>
              <w:pStyle w:val="241"/>
              <w:spacing w:before="0" w:beforeAutospacing="0" w:after="0" w:afterAutospacing="0" w:line="360" w:lineRule="exact"/>
              <w:rPr>
                <w:rFonts w:hint="default"/>
                <w:color w:val="000000"/>
              </w:rPr>
            </w:pPr>
            <w:r>
              <w:rPr>
                <w:color w:val="000000"/>
              </w:rPr>
              <w:t>截止时间：北京时间2025年1</w:t>
            </w:r>
            <w:r>
              <w:rPr>
                <w:rFonts w:hint="eastAsia"/>
                <w:color w:val="000000"/>
                <w:lang w:val="en-US" w:eastAsia="zh-CN"/>
              </w:rPr>
              <w:t>1</w:t>
            </w:r>
            <w:r>
              <w:rPr>
                <w:color w:val="000000"/>
              </w:rPr>
              <w:t>月</w:t>
            </w:r>
            <w:r>
              <w:rPr>
                <w:rFonts w:hint="eastAsia"/>
                <w:color w:val="000000"/>
                <w:lang w:val="en-US" w:eastAsia="zh-CN"/>
              </w:rPr>
              <w:t>7</w:t>
            </w:r>
            <w:r>
              <w:rPr>
                <w:color w:val="000000"/>
              </w:rPr>
              <w:t>日</w:t>
            </w:r>
            <w:r>
              <w:rPr>
                <w:rFonts w:hint="eastAsia"/>
                <w:color w:val="000000"/>
                <w:lang w:val="en-US" w:eastAsia="zh-CN"/>
              </w:rPr>
              <w:t>下</w:t>
            </w:r>
            <w:r>
              <w:rPr>
                <w:color w:val="000000"/>
              </w:rPr>
              <w:t>午</w:t>
            </w:r>
            <w:r>
              <w:rPr>
                <w:rFonts w:hint="eastAsia"/>
                <w:color w:val="000000"/>
                <w:lang w:val="en-US" w:eastAsia="zh-CN"/>
              </w:rPr>
              <w:t>14</w:t>
            </w:r>
            <w:r>
              <w:rPr>
                <w:color w:val="000000"/>
              </w:rPr>
              <w:t>:</w:t>
            </w:r>
            <w:r>
              <w:rPr>
                <w:rFonts w:hint="eastAsia"/>
                <w:color w:val="000000"/>
                <w:lang w:val="en-US" w:eastAsia="zh-CN"/>
              </w:rPr>
              <w:t>3</w:t>
            </w:r>
            <w:r>
              <w:rPr>
                <w:color w:val="000000"/>
              </w:rPr>
              <w:t>0时</w:t>
            </w:r>
          </w:p>
          <w:p w14:paraId="75FBEF94">
            <w:pPr>
              <w:pStyle w:val="241"/>
              <w:spacing w:before="0" w:beforeAutospacing="0" w:after="0" w:afterAutospacing="0" w:line="360" w:lineRule="exact"/>
              <w:rPr>
                <w:rFonts w:hint="eastAsia" w:eastAsia="宋体"/>
                <w:color w:val="000000"/>
                <w:lang w:eastAsia="zh-CN"/>
              </w:rPr>
            </w:pPr>
            <w:r>
              <w:rPr>
                <w:color w:val="000000"/>
              </w:rPr>
              <w:t>递交地点：</w:t>
            </w:r>
            <w:r>
              <w:rPr>
                <w:rFonts w:hint="eastAsia"/>
                <w:color w:val="000000"/>
                <w:lang w:eastAsia="zh-CN"/>
              </w:rPr>
              <w:t>三门县广场路22号（交通大楼4楼）</w:t>
            </w:r>
          </w:p>
          <w:p w14:paraId="6B538080">
            <w:pPr>
              <w:pStyle w:val="241"/>
              <w:spacing w:before="0" w:beforeAutospacing="0" w:after="0" w:afterAutospacing="0" w:line="360" w:lineRule="exact"/>
              <w:rPr>
                <w:rFonts w:hint="default"/>
                <w:color w:val="000000"/>
              </w:rPr>
            </w:pPr>
            <w:r>
              <w:rPr>
                <w:color w:val="000000"/>
              </w:rPr>
              <w:t>逾期恕不接受</w:t>
            </w:r>
          </w:p>
        </w:tc>
      </w:tr>
      <w:tr w14:paraId="1E15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0" w:hRule="atLeast"/>
        </w:trPr>
        <w:tc>
          <w:tcPr>
            <w:tcW w:w="767" w:type="dxa"/>
            <w:vAlign w:val="center"/>
          </w:tcPr>
          <w:p w14:paraId="741FC447">
            <w:pPr>
              <w:spacing w:line="320" w:lineRule="exact"/>
              <w:jc w:val="center"/>
              <w:rPr>
                <w:rFonts w:ascii="宋体" w:hAnsi="宋体"/>
                <w:sz w:val="24"/>
              </w:rPr>
            </w:pPr>
            <w:r>
              <w:rPr>
                <w:rFonts w:hint="eastAsia" w:ascii="宋体" w:hAnsi="宋体"/>
                <w:color w:val="000000"/>
                <w:sz w:val="24"/>
              </w:rPr>
              <w:t>9</w:t>
            </w:r>
          </w:p>
        </w:tc>
        <w:tc>
          <w:tcPr>
            <w:tcW w:w="2371" w:type="dxa"/>
            <w:vAlign w:val="center"/>
          </w:tcPr>
          <w:p w14:paraId="1D666816">
            <w:pPr>
              <w:spacing w:line="360" w:lineRule="exact"/>
              <w:jc w:val="center"/>
              <w:rPr>
                <w:rFonts w:ascii="宋体" w:hAnsi="宋体"/>
                <w:sz w:val="24"/>
              </w:rPr>
            </w:pPr>
            <w:r>
              <w:rPr>
                <w:rFonts w:hint="eastAsia" w:ascii="宋体" w:hAnsi="宋体"/>
                <w:bCs/>
                <w:color w:val="000000"/>
                <w:sz w:val="24"/>
              </w:rPr>
              <w:t>开标时间及地点</w:t>
            </w:r>
          </w:p>
        </w:tc>
        <w:tc>
          <w:tcPr>
            <w:tcW w:w="6740" w:type="dxa"/>
            <w:vAlign w:val="center"/>
          </w:tcPr>
          <w:p w14:paraId="14DEBE8D">
            <w:pPr>
              <w:pStyle w:val="241"/>
              <w:spacing w:before="0" w:beforeAutospacing="0" w:after="0" w:afterAutospacing="0" w:line="360" w:lineRule="exact"/>
              <w:rPr>
                <w:rFonts w:hint="default"/>
                <w:color w:val="000000"/>
              </w:rPr>
            </w:pPr>
            <w:r>
              <w:rPr>
                <w:color w:val="000000"/>
              </w:rPr>
              <w:t>时间：北京时间2025年1</w:t>
            </w:r>
            <w:r>
              <w:rPr>
                <w:rFonts w:hint="eastAsia"/>
                <w:color w:val="000000"/>
                <w:lang w:val="en-US" w:eastAsia="zh-CN"/>
              </w:rPr>
              <w:t>1</w:t>
            </w:r>
            <w:r>
              <w:rPr>
                <w:color w:val="000000"/>
              </w:rPr>
              <w:t>月</w:t>
            </w:r>
            <w:r>
              <w:rPr>
                <w:rFonts w:hint="eastAsia"/>
                <w:color w:val="000000"/>
                <w:lang w:val="en-US" w:eastAsia="zh-CN"/>
              </w:rPr>
              <w:t>7</w:t>
            </w:r>
            <w:r>
              <w:rPr>
                <w:color w:val="000000"/>
              </w:rPr>
              <w:t>日</w:t>
            </w:r>
            <w:r>
              <w:rPr>
                <w:rFonts w:hint="eastAsia"/>
                <w:color w:val="000000"/>
                <w:lang w:val="en-US" w:eastAsia="zh-CN"/>
              </w:rPr>
              <w:t>下</w:t>
            </w:r>
            <w:r>
              <w:rPr>
                <w:color w:val="000000"/>
              </w:rPr>
              <w:t>午</w:t>
            </w:r>
            <w:r>
              <w:rPr>
                <w:rFonts w:hint="eastAsia"/>
                <w:color w:val="000000"/>
                <w:lang w:val="en-US" w:eastAsia="zh-CN"/>
              </w:rPr>
              <w:t>14</w:t>
            </w:r>
            <w:r>
              <w:rPr>
                <w:color w:val="000000"/>
              </w:rPr>
              <w:t>:</w:t>
            </w:r>
            <w:r>
              <w:rPr>
                <w:rFonts w:hint="eastAsia"/>
                <w:color w:val="000000"/>
                <w:lang w:val="en-US" w:eastAsia="zh-CN"/>
              </w:rPr>
              <w:t>3</w:t>
            </w:r>
            <w:r>
              <w:rPr>
                <w:color w:val="000000"/>
              </w:rPr>
              <w:t>0时</w:t>
            </w:r>
          </w:p>
          <w:p w14:paraId="0445915B">
            <w:pPr>
              <w:pStyle w:val="241"/>
              <w:spacing w:before="0" w:beforeAutospacing="0" w:after="0" w:afterAutospacing="0" w:line="360" w:lineRule="exact"/>
              <w:rPr>
                <w:rFonts w:hint="eastAsia" w:eastAsia="宋体"/>
                <w:color w:val="000000"/>
                <w:lang w:eastAsia="zh-CN"/>
              </w:rPr>
            </w:pPr>
            <w:r>
              <w:rPr>
                <w:color w:val="000000"/>
              </w:rPr>
              <w:t>地点：</w:t>
            </w:r>
            <w:r>
              <w:rPr>
                <w:rFonts w:hint="eastAsia"/>
                <w:color w:val="000000"/>
                <w:lang w:eastAsia="zh-CN"/>
              </w:rPr>
              <w:t>三门县广场路22号（交通大楼4楼）</w:t>
            </w:r>
          </w:p>
        </w:tc>
      </w:tr>
      <w:tr w14:paraId="6C27C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67" w:type="dxa"/>
            <w:vAlign w:val="center"/>
          </w:tcPr>
          <w:p w14:paraId="3EBDCC46">
            <w:pPr>
              <w:spacing w:line="320" w:lineRule="exact"/>
              <w:jc w:val="center"/>
              <w:rPr>
                <w:rFonts w:ascii="宋体" w:hAnsi="宋体"/>
                <w:sz w:val="24"/>
              </w:rPr>
            </w:pPr>
            <w:r>
              <w:rPr>
                <w:rFonts w:hint="eastAsia" w:ascii="宋体" w:hAnsi="宋体"/>
                <w:color w:val="000000"/>
                <w:sz w:val="24"/>
              </w:rPr>
              <w:t>10</w:t>
            </w:r>
          </w:p>
        </w:tc>
        <w:tc>
          <w:tcPr>
            <w:tcW w:w="2371" w:type="dxa"/>
            <w:vAlign w:val="center"/>
          </w:tcPr>
          <w:p w14:paraId="1F6A6EF2">
            <w:pPr>
              <w:spacing w:line="360" w:lineRule="exact"/>
              <w:jc w:val="center"/>
              <w:rPr>
                <w:rFonts w:ascii="宋体" w:hAnsi="宋体"/>
                <w:sz w:val="24"/>
              </w:rPr>
            </w:pPr>
            <w:r>
              <w:rPr>
                <w:rFonts w:hint="eastAsia" w:ascii="宋体" w:hAnsi="宋体"/>
                <w:color w:val="000000"/>
                <w:sz w:val="24"/>
                <w:lang w:val="zh-CN"/>
              </w:rPr>
              <w:t>实质性条款</w:t>
            </w:r>
          </w:p>
        </w:tc>
        <w:tc>
          <w:tcPr>
            <w:tcW w:w="6740" w:type="dxa"/>
            <w:vAlign w:val="center"/>
          </w:tcPr>
          <w:p w14:paraId="4DCC3A19">
            <w:pPr>
              <w:spacing w:line="360" w:lineRule="exact"/>
              <w:rPr>
                <w:rFonts w:ascii="宋体" w:hAnsi="宋体"/>
                <w:sz w:val="24"/>
              </w:rPr>
            </w:pPr>
            <w:r>
              <w:rPr>
                <w:rFonts w:hint="eastAsia" w:ascii="宋体" w:hAnsi="宋体"/>
                <w:color w:val="000000"/>
                <w:sz w:val="24"/>
                <w:lang w:val="zh-CN"/>
              </w:rPr>
              <w:t>带</w:t>
            </w:r>
            <w:r>
              <w:rPr>
                <w:rFonts w:hint="eastAsia" w:ascii="宋体" w:hAnsi="宋体"/>
                <w:bCs/>
                <w:color w:val="000000"/>
                <w:sz w:val="24"/>
              </w:rPr>
              <w:t>▲是实质性条款，投标文件须作出实质性响应，否则作无效标处理。</w:t>
            </w:r>
          </w:p>
        </w:tc>
      </w:tr>
      <w:tr w14:paraId="17633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8" w:hRule="atLeast"/>
        </w:trPr>
        <w:tc>
          <w:tcPr>
            <w:tcW w:w="767" w:type="dxa"/>
            <w:vAlign w:val="center"/>
          </w:tcPr>
          <w:p w14:paraId="4C8B4F11">
            <w:pPr>
              <w:spacing w:line="320" w:lineRule="exact"/>
              <w:jc w:val="center"/>
              <w:rPr>
                <w:rFonts w:ascii="宋体" w:hAnsi="宋体"/>
                <w:sz w:val="24"/>
              </w:rPr>
            </w:pPr>
            <w:r>
              <w:rPr>
                <w:rFonts w:hint="eastAsia" w:ascii="宋体" w:hAnsi="宋体"/>
                <w:sz w:val="24"/>
              </w:rPr>
              <w:t>11</w:t>
            </w:r>
          </w:p>
        </w:tc>
        <w:tc>
          <w:tcPr>
            <w:tcW w:w="2371" w:type="dxa"/>
            <w:vAlign w:val="center"/>
          </w:tcPr>
          <w:p w14:paraId="4807E95B">
            <w:pPr>
              <w:spacing w:line="360" w:lineRule="exact"/>
              <w:jc w:val="center"/>
              <w:rPr>
                <w:rFonts w:ascii="宋体" w:hAnsi="宋体"/>
                <w:sz w:val="24"/>
              </w:rPr>
            </w:pPr>
            <w:r>
              <w:rPr>
                <w:rFonts w:hint="eastAsia" w:ascii="宋体" w:hAnsi="宋体"/>
                <w:bCs/>
                <w:color w:val="000000"/>
                <w:sz w:val="24"/>
              </w:rPr>
              <w:t>▲项目最高限价</w:t>
            </w:r>
          </w:p>
        </w:tc>
        <w:tc>
          <w:tcPr>
            <w:tcW w:w="6740" w:type="dxa"/>
            <w:vAlign w:val="center"/>
          </w:tcPr>
          <w:p w14:paraId="75F8D295">
            <w:pPr>
              <w:spacing w:line="360" w:lineRule="exact"/>
              <w:rPr>
                <w:rFonts w:ascii="宋体" w:hAnsi="宋体"/>
                <w:color w:val="000000"/>
                <w:sz w:val="24"/>
              </w:rPr>
            </w:pPr>
            <w:r>
              <w:rPr>
                <w:rFonts w:hint="eastAsia" w:ascii="宋体" w:hAnsi="宋体"/>
                <w:b/>
                <w:sz w:val="24"/>
                <w:u w:val="single"/>
              </w:rPr>
              <w:t>最高限价</w:t>
            </w:r>
            <w:r>
              <w:rPr>
                <w:rFonts w:hint="eastAsia" w:ascii="宋体" w:hAnsi="宋体"/>
                <w:b/>
                <w:sz w:val="24"/>
                <w:u w:val="single"/>
                <w:lang w:val="en-US" w:eastAsia="zh-CN"/>
              </w:rPr>
              <w:t>4</w:t>
            </w:r>
            <w:r>
              <w:rPr>
                <w:rFonts w:hint="eastAsia" w:ascii="宋体" w:hAnsi="宋体"/>
                <w:b/>
                <w:sz w:val="24"/>
                <w:u w:val="single"/>
              </w:rPr>
              <w:t>99200元</w:t>
            </w:r>
            <w:r>
              <w:rPr>
                <w:rFonts w:hint="eastAsia" w:ascii="宋体" w:hAnsi="宋体"/>
                <w:bCs/>
                <w:sz w:val="24"/>
              </w:rPr>
              <w:t xml:space="preserve">。如投标人的投标报价超过最高限价，其投标文件作无效标处理。 </w:t>
            </w:r>
          </w:p>
        </w:tc>
      </w:tr>
      <w:tr w14:paraId="54A1D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9" w:hRule="atLeast"/>
        </w:trPr>
        <w:tc>
          <w:tcPr>
            <w:tcW w:w="767" w:type="dxa"/>
            <w:vAlign w:val="center"/>
          </w:tcPr>
          <w:p w14:paraId="29767661">
            <w:pPr>
              <w:spacing w:line="320" w:lineRule="exact"/>
              <w:jc w:val="center"/>
              <w:rPr>
                <w:rFonts w:ascii="宋体" w:hAnsi="宋体"/>
                <w:sz w:val="24"/>
              </w:rPr>
            </w:pPr>
            <w:r>
              <w:rPr>
                <w:rFonts w:hint="eastAsia" w:ascii="宋体" w:hAnsi="宋体"/>
                <w:sz w:val="24"/>
              </w:rPr>
              <w:t>12</w:t>
            </w:r>
          </w:p>
        </w:tc>
        <w:tc>
          <w:tcPr>
            <w:tcW w:w="2371" w:type="dxa"/>
            <w:vAlign w:val="center"/>
          </w:tcPr>
          <w:p w14:paraId="1B821FBA">
            <w:pPr>
              <w:spacing w:line="360" w:lineRule="exact"/>
              <w:jc w:val="center"/>
              <w:rPr>
                <w:rFonts w:ascii="宋体" w:hAnsi="宋体"/>
                <w:sz w:val="24"/>
              </w:rPr>
            </w:pPr>
            <w:r>
              <w:rPr>
                <w:rFonts w:hint="eastAsia" w:ascii="宋体" w:hAnsi="宋体"/>
                <w:sz w:val="24"/>
              </w:rPr>
              <w:t>解释权</w:t>
            </w:r>
          </w:p>
        </w:tc>
        <w:tc>
          <w:tcPr>
            <w:tcW w:w="6740" w:type="dxa"/>
            <w:vAlign w:val="center"/>
          </w:tcPr>
          <w:p w14:paraId="063BA0ED">
            <w:pPr>
              <w:spacing w:line="360" w:lineRule="exact"/>
              <w:rPr>
                <w:rFonts w:ascii="宋体" w:hAnsi="宋体"/>
                <w:sz w:val="24"/>
              </w:rPr>
            </w:pPr>
            <w:r>
              <w:rPr>
                <w:rFonts w:hint="eastAsia" w:ascii="宋体" w:hAnsi="宋体"/>
                <w:sz w:val="24"/>
              </w:rPr>
              <w:t>本招标文件解释权属于招标采购单位（采购人和采购代理机构）</w:t>
            </w:r>
          </w:p>
        </w:tc>
      </w:tr>
      <w:tr w14:paraId="5E80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4" w:hRule="atLeast"/>
        </w:trPr>
        <w:tc>
          <w:tcPr>
            <w:tcW w:w="767" w:type="dxa"/>
            <w:vAlign w:val="center"/>
          </w:tcPr>
          <w:p w14:paraId="5B9E78D3">
            <w:pPr>
              <w:spacing w:line="320" w:lineRule="exact"/>
              <w:jc w:val="center"/>
              <w:rPr>
                <w:rFonts w:ascii="宋体" w:hAnsi="宋体"/>
                <w:sz w:val="24"/>
              </w:rPr>
            </w:pPr>
            <w:r>
              <w:rPr>
                <w:rFonts w:hint="eastAsia" w:ascii="宋体" w:hAnsi="宋体"/>
                <w:sz w:val="24"/>
              </w:rPr>
              <w:t>13</w:t>
            </w:r>
          </w:p>
        </w:tc>
        <w:tc>
          <w:tcPr>
            <w:tcW w:w="2371" w:type="dxa"/>
            <w:vAlign w:val="center"/>
          </w:tcPr>
          <w:p w14:paraId="3119EDB6">
            <w:pPr>
              <w:spacing w:line="360" w:lineRule="exact"/>
              <w:jc w:val="center"/>
              <w:rPr>
                <w:rFonts w:ascii="宋体" w:hAnsi="宋体"/>
                <w:sz w:val="24"/>
              </w:rPr>
            </w:pPr>
            <w:r>
              <w:rPr>
                <w:rFonts w:hint="eastAsia" w:ascii="宋体" w:hAnsi="宋体"/>
                <w:sz w:val="24"/>
              </w:rPr>
              <w:t>其他</w:t>
            </w:r>
          </w:p>
        </w:tc>
        <w:tc>
          <w:tcPr>
            <w:tcW w:w="6740" w:type="dxa"/>
            <w:vAlign w:val="center"/>
          </w:tcPr>
          <w:p w14:paraId="612041B4">
            <w:pPr>
              <w:spacing w:line="360" w:lineRule="exact"/>
              <w:rPr>
                <w:rFonts w:ascii="宋体" w:hAnsi="宋体"/>
                <w:sz w:val="24"/>
              </w:rPr>
            </w:pPr>
            <w:r>
              <w:rPr>
                <w:rFonts w:hint="eastAsia" w:ascii="宋体" w:hAnsi="宋体"/>
                <w:sz w:val="24"/>
              </w:rPr>
              <w:t>最终的方案应根据业主方的要求做响应的完善及修改。</w:t>
            </w:r>
          </w:p>
        </w:tc>
      </w:tr>
    </w:tbl>
    <w:p w14:paraId="337BDD43">
      <w:pPr>
        <w:pStyle w:val="226"/>
        <w:spacing w:before="120" w:after="120" w:line="360" w:lineRule="auto"/>
        <w:rPr>
          <w:rFonts w:hAnsi="宋体"/>
          <w:b/>
          <w:sz w:val="24"/>
        </w:rPr>
      </w:pPr>
    </w:p>
    <w:p w14:paraId="1B17D909">
      <w:pPr>
        <w:pStyle w:val="226"/>
        <w:spacing w:before="120" w:after="120" w:line="360" w:lineRule="auto"/>
        <w:rPr>
          <w:rFonts w:hAnsi="宋体"/>
          <w:b/>
          <w:sz w:val="24"/>
        </w:rPr>
      </w:pPr>
    </w:p>
    <w:p w14:paraId="2DFAA164">
      <w:pPr>
        <w:pStyle w:val="226"/>
        <w:spacing w:before="120" w:after="120" w:line="360" w:lineRule="auto"/>
        <w:rPr>
          <w:rFonts w:hint="eastAsia" w:hAnsi="宋体"/>
          <w:b/>
          <w:sz w:val="24"/>
        </w:rPr>
      </w:pPr>
    </w:p>
    <w:p w14:paraId="305A4919">
      <w:pPr>
        <w:pStyle w:val="226"/>
        <w:spacing w:before="120" w:after="120" w:line="360" w:lineRule="auto"/>
        <w:rPr>
          <w:rFonts w:hint="eastAsia" w:hAnsi="宋体"/>
          <w:b/>
          <w:sz w:val="24"/>
        </w:rPr>
      </w:pPr>
    </w:p>
    <w:p w14:paraId="39B28308">
      <w:pPr>
        <w:pStyle w:val="226"/>
        <w:spacing w:before="120" w:after="120" w:line="360" w:lineRule="auto"/>
        <w:rPr>
          <w:rFonts w:hAnsi="宋体"/>
          <w:b/>
          <w:sz w:val="24"/>
        </w:rPr>
      </w:pPr>
      <w:r>
        <w:rPr>
          <w:rFonts w:hint="eastAsia" w:hAnsi="宋体"/>
          <w:b/>
          <w:sz w:val="24"/>
        </w:rPr>
        <w:t>一 、总  则</w:t>
      </w:r>
    </w:p>
    <w:p w14:paraId="0213019A">
      <w:pPr>
        <w:spacing w:line="360" w:lineRule="auto"/>
        <w:jc w:val="left"/>
        <w:outlineLvl w:val="1"/>
        <w:rPr>
          <w:rFonts w:ascii="宋体" w:hAnsi="宋体"/>
          <w:b/>
          <w:sz w:val="24"/>
        </w:rPr>
      </w:pPr>
      <w:r>
        <w:rPr>
          <w:rFonts w:hint="eastAsia" w:ascii="宋体" w:hAnsi="宋体"/>
          <w:b/>
          <w:sz w:val="24"/>
        </w:rPr>
        <w:t>（一）</w:t>
      </w:r>
      <w:r>
        <w:rPr>
          <w:rFonts w:ascii="宋体" w:hAnsi="宋体"/>
          <w:b/>
          <w:sz w:val="24"/>
        </w:rPr>
        <w:t xml:space="preserve"> 适用范围</w:t>
      </w:r>
    </w:p>
    <w:p w14:paraId="4902DA4E">
      <w:pPr>
        <w:spacing w:line="360" w:lineRule="auto"/>
        <w:ind w:firstLine="480"/>
        <w:jc w:val="left"/>
        <w:rPr>
          <w:rFonts w:ascii="宋体" w:hAnsi="宋体"/>
          <w:sz w:val="24"/>
        </w:rPr>
      </w:pPr>
      <w:r>
        <w:rPr>
          <w:rFonts w:hint="eastAsia" w:ascii="宋体" w:hAnsi="宋体"/>
          <w:sz w:val="24"/>
        </w:rPr>
        <w:t>本招标文件适用于</w:t>
      </w:r>
      <w:r>
        <w:rPr>
          <w:rFonts w:hint="eastAsia" w:ascii="宋体" w:hAnsi="宋体"/>
          <w:bCs/>
          <w:sz w:val="24"/>
        </w:rPr>
        <w:t>本次</w:t>
      </w:r>
      <w:r>
        <w:rPr>
          <w:rFonts w:hint="eastAsia" w:ascii="宋体" w:hAnsi="宋体"/>
          <w:sz w:val="24"/>
        </w:rPr>
        <w:t>项目的招标、投标、评标、定标、验收、合同履约、付款等行为（法律、法规另有规定的，从其规定）。</w:t>
      </w:r>
    </w:p>
    <w:p w14:paraId="7F503CC6">
      <w:pPr>
        <w:spacing w:before="156" w:line="360" w:lineRule="auto"/>
        <w:jc w:val="left"/>
        <w:outlineLvl w:val="1"/>
        <w:rPr>
          <w:rFonts w:ascii="宋体" w:hAnsi="宋体"/>
          <w:b/>
          <w:sz w:val="24"/>
        </w:rPr>
      </w:pPr>
      <w:r>
        <w:rPr>
          <w:rFonts w:hint="eastAsia" w:ascii="宋体" w:hAnsi="宋体"/>
          <w:b/>
          <w:sz w:val="24"/>
        </w:rPr>
        <w:t>（二）定义</w:t>
      </w:r>
    </w:p>
    <w:p w14:paraId="5CB61E82">
      <w:pPr>
        <w:spacing w:line="360" w:lineRule="auto"/>
        <w:ind w:left="424" w:firstLine="141"/>
        <w:jc w:val="left"/>
        <w:rPr>
          <w:rFonts w:ascii="宋体" w:hAnsi="宋体"/>
          <w:sz w:val="24"/>
        </w:rPr>
      </w:pPr>
      <w:r>
        <w:rPr>
          <w:rFonts w:hint="eastAsia" w:ascii="宋体" w:hAnsi="宋体"/>
          <w:sz w:val="24"/>
        </w:rPr>
        <w:t>1、</w:t>
      </w:r>
      <w:r>
        <w:rPr>
          <w:rFonts w:hint="eastAsia" w:ascii="宋体" w:hAnsi="宋体"/>
          <w:sz w:val="24"/>
          <w:lang w:val="zh-CN"/>
        </w:rPr>
        <w:t>“采购组织机构”指采购人委托组织招标的采购代理机构。</w:t>
      </w:r>
    </w:p>
    <w:p w14:paraId="2CC7F392">
      <w:pPr>
        <w:spacing w:line="360" w:lineRule="auto"/>
        <w:ind w:firstLine="566"/>
        <w:rPr>
          <w:rFonts w:ascii="宋体" w:hAnsi="宋体"/>
          <w:sz w:val="24"/>
        </w:rPr>
      </w:pPr>
      <w:r>
        <w:rPr>
          <w:rFonts w:hint="eastAsia" w:ascii="宋体" w:hAnsi="宋体"/>
          <w:sz w:val="24"/>
        </w:rPr>
        <w:t>2、采购人：是指委托采购代理机构采购本次项目的国家机关、事业单位和团体组织。</w:t>
      </w:r>
    </w:p>
    <w:p w14:paraId="63F3F71C">
      <w:pPr>
        <w:spacing w:line="360" w:lineRule="auto"/>
        <w:ind w:left="424" w:firstLine="141"/>
        <w:jc w:val="left"/>
        <w:rPr>
          <w:rFonts w:ascii="宋体" w:hAnsi="宋体"/>
          <w:sz w:val="24"/>
        </w:rPr>
      </w:pPr>
      <w:r>
        <w:rPr>
          <w:rFonts w:hint="eastAsia" w:ascii="宋体" w:hAnsi="宋体"/>
          <w:sz w:val="24"/>
        </w:rPr>
        <w:t>3、</w:t>
      </w:r>
      <w:r>
        <w:rPr>
          <w:rFonts w:ascii="宋体" w:hAnsi="宋体"/>
          <w:sz w:val="24"/>
        </w:rPr>
        <w:t>投标人</w:t>
      </w:r>
      <w:r>
        <w:rPr>
          <w:rFonts w:hint="eastAsia" w:ascii="宋体" w:hAnsi="宋体"/>
          <w:sz w:val="24"/>
        </w:rPr>
        <w:t>：是</w:t>
      </w:r>
      <w:r>
        <w:rPr>
          <w:rFonts w:ascii="宋体" w:hAnsi="宋体"/>
          <w:sz w:val="24"/>
        </w:rPr>
        <w:t>指向</w:t>
      </w:r>
      <w:r>
        <w:rPr>
          <w:rFonts w:hint="eastAsia" w:ascii="宋体" w:hAnsi="宋体"/>
          <w:sz w:val="24"/>
        </w:rPr>
        <w:t>采购</w:t>
      </w:r>
      <w:r>
        <w:rPr>
          <w:rFonts w:hint="eastAsia" w:ascii="宋体" w:hAnsi="宋体"/>
          <w:sz w:val="24"/>
          <w:lang w:val="zh-CN"/>
        </w:rPr>
        <w:t>组织</w:t>
      </w:r>
      <w:r>
        <w:rPr>
          <w:rFonts w:hint="eastAsia" w:ascii="宋体" w:hAnsi="宋体"/>
          <w:sz w:val="24"/>
        </w:rPr>
        <w:t>机构</w:t>
      </w:r>
      <w:r>
        <w:rPr>
          <w:rFonts w:ascii="宋体" w:hAnsi="宋体"/>
          <w:sz w:val="24"/>
        </w:rPr>
        <w:t>提交投标文件的单位或个人。</w:t>
      </w:r>
    </w:p>
    <w:p w14:paraId="473CCABC">
      <w:pPr>
        <w:spacing w:line="360" w:lineRule="auto"/>
        <w:ind w:left="424" w:firstLine="143"/>
        <w:jc w:val="left"/>
        <w:rPr>
          <w:rFonts w:ascii="宋体" w:hAnsi="宋体"/>
          <w:sz w:val="24"/>
        </w:rPr>
      </w:pPr>
      <w:r>
        <w:rPr>
          <w:rFonts w:hint="eastAsia" w:ascii="宋体" w:hAnsi="宋体"/>
          <w:sz w:val="24"/>
        </w:rPr>
        <w:t>4、</w:t>
      </w:r>
      <w:r>
        <w:rPr>
          <w:rFonts w:ascii="宋体" w:hAnsi="宋体"/>
          <w:sz w:val="24"/>
        </w:rPr>
        <w:t>货物</w:t>
      </w:r>
      <w:r>
        <w:rPr>
          <w:rFonts w:hint="eastAsia" w:ascii="宋体" w:hAnsi="宋体"/>
          <w:sz w:val="24"/>
        </w:rPr>
        <w:t>：</w:t>
      </w:r>
      <w:r>
        <w:rPr>
          <w:rFonts w:ascii="宋体" w:hAnsi="宋体"/>
          <w:sz w:val="24"/>
        </w:rPr>
        <w:t>是指各种形态和种类的物品，包括原材料、燃料、设备、产品等。</w:t>
      </w:r>
    </w:p>
    <w:p w14:paraId="1810289B">
      <w:pPr>
        <w:spacing w:line="360" w:lineRule="auto"/>
        <w:ind w:firstLine="566"/>
        <w:jc w:val="left"/>
        <w:rPr>
          <w:rFonts w:ascii="宋体" w:hAnsi="宋体"/>
          <w:b/>
          <w:sz w:val="24"/>
        </w:rPr>
      </w:pPr>
      <w:r>
        <w:rPr>
          <w:rFonts w:hint="eastAsia" w:ascii="宋体" w:hAnsi="宋体"/>
          <w:sz w:val="24"/>
        </w:rPr>
        <w:t>5、</w:t>
      </w:r>
      <w:r>
        <w:rPr>
          <w:rFonts w:ascii="宋体" w:hAnsi="宋体"/>
          <w:sz w:val="24"/>
        </w:rPr>
        <w:t>服务</w:t>
      </w:r>
      <w:r>
        <w:rPr>
          <w:rFonts w:hint="eastAsia" w:ascii="宋体" w:hAnsi="宋体"/>
          <w:sz w:val="24"/>
        </w:rPr>
        <w:t>：</w:t>
      </w:r>
      <w:r>
        <w:rPr>
          <w:rFonts w:ascii="宋体" w:hAnsi="宋体"/>
          <w:sz w:val="24"/>
        </w:rPr>
        <w:t>是指除货物和工程以外的政府采购对象，包括各类专业服务、信息网络开发服务、金融保险服务、运输服务，以及维修与维护服务等。</w:t>
      </w:r>
    </w:p>
    <w:p w14:paraId="30182BF1">
      <w:pPr>
        <w:spacing w:line="360" w:lineRule="auto"/>
        <w:ind w:firstLine="566"/>
        <w:jc w:val="left"/>
        <w:rPr>
          <w:rFonts w:ascii="宋体" w:hAnsi="宋体"/>
          <w:sz w:val="24"/>
        </w:rPr>
      </w:pPr>
      <w:r>
        <w:rPr>
          <w:rFonts w:hint="eastAsia" w:ascii="宋体" w:hAnsi="宋体"/>
          <w:sz w:val="24"/>
        </w:rPr>
        <w:t>6、</w:t>
      </w:r>
      <w:r>
        <w:rPr>
          <w:rFonts w:ascii="宋体" w:hAnsi="宋体"/>
          <w:sz w:val="24"/>
        </w:rPr>
        <w:t>“书面形式”包括信函、传真等。</w:t>
      </w:r>
    </w:p>
    <w:p w14:paraId="051D7008">
      <w:pPr>
        <w:spacing w:line="360" w:lineRule="auto"/>
        <w:ind w:firstLine="566"/>
        <w:jc w:val="left"/>
        <w:rPr>
          <w:rFonts w:ascii="宋体" w:hAnsi="宋体"/>
          <w:sz w:val="24"/>
        </w:rPr>
      </w:pPr>
      <w:r>
        <w:rPr>
          <w:rFonts w:hint="eastAsia" w:ascii="宋体" w:hAnsi="宋体"/>
          <w:sz w:val="24"/>
        </w:rPr>
        <w:t>7、</w:t>
      </w:r>
      <w:r>
        <w:rPr>
          <w:rFonts w:ascii="宋体" w:hAnsi="宋体"/>
          <w:sz w:val="24"/>
        </w:rPr>
        <w:t>“▲”系指实质性要求条款。</w:t>
      </w:r>
    </w:p>
    <w:p w14:paraId="71BDDC5D">
      <w:pPr>
        <w:spacing w:before="156" w:line="360" w:lineRule="auto"/>
        <w:jc w:val="left"/>
        <w:outlineLvl w:val="1"/>
        <w:rPr>
          <w:rFonts w:ascii="宋体" w:hAnsi="宋体"/>
          <w:b/>
          <w:sz w:val="24"/>
        </w:rPr>
      </w:pPr>
      <w:r>
        <w:rPr>
          <w:rFonts w:hint="eastAsia" w:ascii="宋体" w:hAnsi="宋体"/>
          <w:b/>
          <w:sz w:val="24"/>
        </w:rPr>
        <w:t>（三）投标费用</w:t>
      </w:r>
    </w:p>
    <w:p w14:paraId="71707F33">
      <w:pPr>
        <w:spacing w:line="360" w:lineRule="auto"/>
        <w:ind w:firstLine="480"/>
        <w:jc w:val="left"/>
      </w:pPr>
      <w:r>
        <w:rPr>
          <w:rFonts w:hint="eastAsia" w:ascii="宋体" w:hAnsi="宋体"/>
          <w:sz w:val="24"/>
        </w:rPr>
        <w:t>3.1不论投标结果如何，投标人均应自行承担所有与投标有关的全部费用（招标文件有相关规定除外）。</w:t>
      </w:r>
    </w:p>
    <w:p w14:paraId="43B51BB8">
      <w:pPr>
        <w:pStyle w:val="226"/>
        <w:spacing w:line="360" w:lineRule="auto"/>
        <w:rPr>
          <w:rFonts w:hAnsi="宋体"/>
          <w:b/>
          <w:sz w:val="24"/>
        </w:rPr>
      </w:pPr>
      <w:r>
        <w:rPr>
          <w:rFonts w:hint="eastAsia" w:hAnsi="宋体"/>
          <w:b/>
          <w:sz w:val="24"/>
        </w:rPr>
        <w:t>（四）特别说明</w:t>
      </w:r>
    </w:p>
    <w:p w14:paraId="2BA21122">
      <w:pPr>
        <w:pStyle w:val="226"/>
        <w:spacing w:line="360" w:lineRule="auto"/>
        <w:ind w:left="2" w:firstLine="480"/>
        <w:rPr>
          <w:rFonts w:hAnsi="宋体"/>
          <w:sz w:val="24"/>
        </w:rPr>
      </w:pPr>
      <w:r>
        <w:rPr>
          <w:rFonts w:hint="eastAsia" w:hAnsi="宋体"/>
          <w:sz w:val="24"/>
        </w:rPr>
        <w:t>1、</w:t>
      </w:r>
      <w:r>
        <w:rPr>
          <w:rFonts w:hAnsi="宋体"/>
          <w:sz w:val="24"/>
        </w:rPr>
        <w:t>投标人投标所使用的资格、信誉、荣誉、业绩与企业认证必须为本法人所拥有。投标人投标所使用的采购项目实施人员必须为本法人员工（</w:t>
      </w:r>
      <w:r>
        <w:rPr>
          <w:rFonts w:hint="eastAsia" w:hAnsi="宋体"/>
          <w:sz w:val="24"/>
        </w:rPr>
        <w:t>指</w:t>
      </w:r>
      <w:r>
        <w:rPr>
          <w:rFonts w:hAnsi="宋体"/>
          <w:sz w:val="24"/>
        </w:rPr>
        <w:t>本法人或控股公司正式员工）。</w:t>
      </w:r>
    </w:p>
    <w:p w14:paraId="657E8AD8">
      <w:pPr>
        <w:spacing w:line="360" w:lineRule="auto"/>
        <w:ind w:firstLine="480"/>
        <w:rPr>
          <w:rFonts w:ascii="宋体" w:hAnsi="宋体"/>
          <w:sz w:val="24"/>
        </w:rPr>
      </w:pPr>
      <w:r>
        <w:rPr>
          <w:rFonts w:hint="eastAsia" w:ascii="宋体" w:hAnsi="宋体"/>
          <w:sz w:val="24"/>
        </w:rPr>
        <w:t>2、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r>
        <w:rPr>
          <w:rFonts w:hint="eastAsia" w:ascii="宋体" w:hAnsi="宋体"/>
          <w:sz w:val="24"/>
        </w:rPr>
        <w:tab/>
      </w:r>
    </w:p>
    <w:p w14:paraId="463EF323">
      <w:pPr>
        <w:pStyle w:val="294"/>
        <w:spacing w:line="360" w:lineRule="auto"/>
        <w:rPr>
          <w:rFonts w:ascii="宋体" w:hAnsi="宋体"/>
          <w:sz w:val="24"/>
          <w:szCs w:val="24"/>
        </w:rPr>
      </w:pPr>
      <w:r>
        <w:rPr>
          <w:rFonts w:hint="eastAsia" w:ascii="宋体" w:hAnsi="宋体"/>
          <w:sz w:val="24"/>
          <w:szCs w:val="24"/>
        </w:rPr>
        <w:t>3、</w:t>
      </w:r>
      <w:r>
        <w:rPr>
          <w:rStyle w:val="299"/>
          <w:rFonts w:hint="eastAsia" w:ascii="宋体" w:hAnsi="宋体"/>
          <w:sz w:val="24"/>
        </w:rPr>
        <w:t>投标人在投标活动中提供任何虚假材料, 骗取中标的，中标无效，给招标人造成损失的，依法承担赔偿责任；构成犯罪的，依法追究刑事责任。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18DD0D65">
      <w:pPr>
        <w:pStyle w:val="193"/>
        <w:keepNext w:val="0"/>
        <w:keepLines w:val="0"/>
        <w:tabs>
          <w:tab w:val="left" w:pos="851"/>
          <w:tab w:val="left" w:pos="8280"/>
        </w:tabs>
        <w:spacing w:before="0" w:after="0" w:line="360" w:lineRule="auto"/>
        <w:ind w:firstLine="480"/>
        <w:rPr>
          <w:rFonts w:ascii="宋体" w:hAnsi="宋体" w:eastAsia="宋体"/>
          <w:sz w:val="24"/>
          <w:szCs w:val="24"/>
        </w:rPr>
      </w:pPr>
      <w:r>
        <w:rPr>
          <w:rFonts w:hint="eastAsia" w:ascii="宋体" w:hAnsi="宋体" w:eastAsia="宋体"/>
          <w:sz w:val="24"/>
          <w:szCs w:val="24"/>
        </w:rPr>
        <w:t>4、投标人被列入“黑名单”的，在处罚有效期内，资格审查时不予通过。</w:t>
      </w:r>
    </w:p>
    <w:p w14:paraId="2AA8F5FE">
      <w:pPr>
        <w:pStyle w:val="193"/>
        <w:keepNext w:val="0"/>
        <w:keepLines w:val="0"/>
        <w:tabs>
          <w:tab w:val="left" w:pos="851"/>
          <w:tab w:val="left" w:pos="8280"/>
        </w:tabs>
        <w:spacing w:before="0" w:after="0" w:line="360" w:lineRule="auto"/>
        <w:ind w:firstLine="480"/>
        <w:rPr>
          <w:rFonts w:ascii="宋体" w:hAnsi="宋体" w:eastAsia="宋体"/>
          <w:bCs w:val="0"/>
          <w:sz w:val="24"/>
          <w:szCs w:val="24"/>
        </w:rPr>
      </w:pPr>
      <w:r>
        <w:rPr>
          <w:rFonts w:hint="eastAsia" w:ascii="宋体" w:hAnsi="宋体" w:eastAsia="宋体"/>
          <w:bCs w:val="0"/>
          <w:sz w:val="24"/>
          <w:szCs w:val="24"/>
        </w:rPr>
        <w:t>5、投标人不得相互串通投标报价，不得妨碍其他投标人的公平竞争，不得损害采购人或其他投标人的合法权益，投标人不得以向采购人、评标委员会成员行贿或者采取其他不正当手段谋取中标。</w:t>
      </w:r>
    </w:p>
    <w:p w14:paraId="3156BB18">
      <w:pPr>
        <w:pStyle w:val="193"/>
        <w:keepNext w:val="0"/>
        <w:keepLines w:val="0"/>
        <w:tabs>
          <w:tab w:val="left" w:pos="851"/>
          <w:tab w:val="left" w:pos="8280"/>
        </w:tabs>
        <w:spacing w:before="0" w:after="0" w:line="360" w:lineRule="auto"/>
        <w:ind w:firstLine="480"/>
        <w:rPr>
          <w:rFonts w:ascii="宋体" w:hAnsi="宋体" w:eastAsia="宋体"/>
          <w:bCs w:val="0"/>
          <w:sz w:val="24"/>
          <w:szCs w:val="24"/>
        </w:rPr>
      </w:pPr>
      <w:r>
        <w:rPr>
          <w:rFonts w:hint="eastAsia" w:ascii="宋体" w:hAnsi="宋体" w:eastAsia="宋体"/>
          <w:bCs w:val="0"/>
          <w:sz w:val="24"/>
          <w:szCs w:val="24"/>
        </w:rPr>
        <w:t>6、投标文件格式中的表格式样可以根据项目差别做适当调整,但应当保持表格样式基本形态不变。</w:t>
      </w:r>
    </w:p>
    <w:p w14:paraId="13CE6DA9">
      <w:pPr>
        <w:pStyle w:val="193"/>
        <w:keepNext w:val="0"/>
        <w:keepLines w:val="0"/>
        <w:tabs>
          <w:tab w:val="left" w:pos="851"/>
          <w:tab w:val="left" w:pos="8280"/>
        </w:tabs>
        <w:spacing w:before="0" w:after="0" w:line="360" w:lineRule="auto"/>
        <w:ind w:firstLine="480"/>
        <w:rPr>
          <w:rFonts w:ascii="宋体" w:hAnsi="宋体" w:eastAsia="宋体"/>
          <w:bCs w:val="0"/>
          <w:sz w:val="24"/>
          <w:szCs w:val="24"/>
        </w:rPr>
      </w:pPr>
      <w:r>
        <w:rPr>
          <w:rFonts w:hint="eastAsia" w:ascii="宋体" w:hAnsi="宋体" w:eastAsia="宋体"/>
          <w:bCs w:val="0"/>
          <w:sz w:val="24"/>
          <w:szCs w:val="24"/>
        </w:rPr>
        <w:t>7、单位负责人为同一人或者存在直接控股、管理关系的不同供应商，不得参加同一合同项下的政府采购活动。</w:t>
      </w:r>
    </w:p>
    <w:p w14:paraId="0203EE5D">
      <w:pPr>
        <w:pStyle w:val="193"/>
        <w:keepNext w:val="0"/>
        <w:keepLines w:val="0"/>
        <w:tabs>
          <w:tab w:val="left" w:pos="851"/>
          <w:tab w:val="left" w:pos="8280"/>
        </w:tabs>
        <w:spacing w:before="0" w:after="0" w:line="360" w:lineRule="auto"/>
        <w:ind w:firstLine="480"/>
        <w:rPr>
          <w:rFonts w:ascii="宋体" w:hAnsi="宋体" w:eastAsia="宋体"/>
          <w:bCs w:val="0"/>
          <w:sz w:val="24"/>
          <w:szCs w:val="24"/>
        </w:rPr>
      </w:pPr>
      <w:r>
        <w:rPr>
          <w:rFonts w:hint="eastAsia" w:ascii="宋体" w:hAnsi="宋体" w:eastAsia="宋体"/>
          <w:bCs w:val="0"/>
          <w:sz w:val="24"/>
          <w:szCs w:val="24"/>
        </w:rPr>
        <w:t>8、本项目不允许分包。</w:t>
      </w:r>
    </w:p>
    <w:p w14:paraId="516A91A1">
      <w:pPr>
        <w:tabs>
          <w:tab w:val="left" w:pos="720"/>
          <w:tab w:val="left" w:pos="1260"/>
          <w:tab w:val="left" w:pos="2160"/>
          <w:tab w:val="left" w:pos="2880"/>
          <w:tab w:val="left" w:pos="3600"/>
          <w:tab w:val="left" w:pos="4320"/>
          <w:tab w:val="left" w:pos="5040"/>
          <w:tab w:val="left" w:pos="5760"/>
        </w:tabs>
        <w:spacing w:line="360" w:lineRule="auto"/>
        <w:ind w:right="1800"/>
        <w:jc w:val="left"/>
        <w:rPr>
          <w:rFonts w:ascii="宋体" w:hAnsi="宋体"/>
          <w:b/>
          <w:sz w:val="24"/>
        </w:rPr>
      </w:pPr>
      <w:r>
        <w:rPr>
          <w:rFonts w:hint="eastAsia" w:ascii="宋体" w:hAnsi="宋体"/>
          <w:b/>
          <w:sz w:val="24"/>
        </w:rPr>
        <w:t>二、招标文件</w:t>
      </w:r>
    </w:p>
    <w:p w14:paraId="08131D36">
      <w:pPr>
        <w:spacing w:line="360" w:lineRule="auto"/>
        <w:rPr>
          <w:rFonts w:ascii="宋体" w:hAnsi="宋体"/>
          <w:sz w:val="24"/>
        </w:rPr>
      </w:pPr>
      <w:r>
        <w:rPr>
          <w:rFonts w:hint="eastAsia" w:ascii="宋体" w:hAnsi="宋体"/>
          <w:sz w:val="24"/>
        </w:rPr>
        <w:t xml:space="preserve">   （一）招标文件由招标文件总目录所列内容组成。</w:t>
      </w:r>
    </w:p>
    <w:p w14:paraId="3969AFCE">
      <w:pPr>
        <w:spacing w:line="360" w:lineRule="auto"/>
        <w:ind w:firstLine="360"/>
        <w:rPr>
          <w:rFonts w:ascii="宋体" w:hAnsi="宋体"/>
          <w:sz w:val="24"/>
        </w:rPr>
      </w:pPr>
      <w:r>
        <w:rPr>
          <w:rFonts w:hint="eastAsia" w:ascii="宋体" w:hAnsi="宋体"/>
          <w:sz w:val="24"/>
        </w:rPr>
        <w:t>（二）招标文件的澄清或修改</w:t>
      </w:r>
    </w:p>
    <w:p w14:paraId="5F7FB6B5">
      <w:pPr>
        <w:spacing w:line="360" w:lineRule="auto"/>
        <w:ind w:firstLine="420"/>
        <w:rPr>
          <w:rFonts w:ascii="宋体" w:hAnsi="宋体"/>
          <w:sz w:val="24"/>
        </w:rPr>
      </w:pPr>
      <w:r>
        <w:rPr>
          <w:rFonts w:hint="eastAsia" w:ascii="宋体" w:hAnsi="宋体"/>
          <w:sz w:val="24"/>
        </w:rPr>
        <w:t xml:space="preserve">1、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 </w:t>
      </w:r>
    </w:p>
    <w:p w14:paraId="15A9A403">
      <w:pPr>
        <w:spacing w:line="360" w:lineRule="auto"/>
        <w:ind w:firstLine="480"/>
        <w:rPr>
          <w:rFonts w:ascii="宋体" w:hAnsi="宋体"/>
          <w:sz w:val="24"/>
        </w:rPr>
      </w:pPr>
      <w:r>
        <w:rPr>
          <w:rFonts w:hint="eastAsia" w:ascii="宋体" w:hAnsi="宋体"/>
          <w:sz w:val="24"/>
        </w:rPr>
        <w:t>2、</w:t>
      </w:r>
      <w:r>
        <w:rPr>
          <w:rFonts w:ascii="宋体" w:hAnsi="宋体"/>
          <w:sz w:val="24"/>
        </w:rPr>
        <w:t>投标人在规定的时间内未对招标文件提出疑问、质疑或要求澄清的，将视其为无异议。对招标文件中描述有歧义或前后不一致的地方，评标委员会有权进行评判，但对同一条款的评判应适用于每个投标人</w:t>
      </w:r>
      <w:r>
        <w:rPr>
          <w:rFonts w:hint="eastAsia" w:ascii="宋体" w:hAnsi="宋体"/>
          <w:sz w:val="24"/>
        </w:rPr>
        <w:t>。</w:t>
      </w:r>
    </w:p>
    <w:p w14:paraId="384A453F">
      <w:pPr>
        <w:tabs>
          <w:tab w:val="left" w:pos="1418"/>
        </w:tabs>
        <w:spacing w:line="360" w:lineRule="auto"/>
        <w:rPr>
          <w:rFonts w:ascii="宋体" w:hAnsi="宋体"/>
          <w:b/>
          <w:sz w:val="24"/>
        </w:rPr>
      </w:pPr>
      <w:r>
        <w:rPr>
          <w:rFonts w:hint="eastAsia" w:ascii="宋体" w:hAnsi="宋体"/>
          <w:b/>
          <w:sz w:val="24"/>
        </w:rPr>
        <w:t xml:space="preserve"> 三、投标文件</w:t>
      </w:r>
    </w:p>
    <w:p w14:paraId="2E0FD2F5">
      <w:pPr>
        <w:spacing w:line="360" w:lineRule="auto"/>
        <w:ind w:firstLine="480"/>
        <w:rPr>
          <w:rFonts w:ascii="宋体"/>
          <w:b/>
          <w:color w:val="000000"/>
          <w:sz w:val="24"/>
          <w:lang w:val="zh-CN"/>
        </w:rPr>
      </w:pPr>
      <w:r>
        <w:rPr>
          <w:rFonts w:hint="eastAsia" w:ascii="宋体"/>
          <w:b/>
          <w:color w:val="000000"/>
          <w:sz w:val="24"/>
          <w:lang w:val="zh-CN"/>
        </w:rPr>
        <w:t>（一）基本要求</w:t>
      </w:r>
    </w:p>
    <w:p w14:paraId="2B4E5584">
      <w:pPr>
        <w:spacing w:line="360" w:lineRule="auto"/>
        <w:ind w:firstLine="532"/>
        <w:rPr>
          <w:rFonts w:ascii="宋体"/>
          <w:color w:val="000000"/>
          <w:sz w:val="24"/>
          <w:lang w:val="zh-CN"/>
        </w:rPr>
      </w:pPr>
      <w:r>
        <w:rPr>
          <w:rFonts w:hint="eastAsia" w:ascii="宋体"/>
          <w:color w:val="000000"/>
          <w:sz w:val="24"/>
          <w:lang w:val="zh-CN"/>
        </w:rPr>
        <w:t>1</w:t>
      </w:r>
      <w:r>
        <w:rPr>
          <w:rFonts w:hint="eastAsia" w:ascii="宋体"/>
          <w:color w:val="000000"/>
          <w:sz w:val="24"/>
        </w:rPr>
        <w:t>.</w:t>
      </w:r>
      <w:r>
        <w:rPr>
          <w:rFonts w:hint="eastAsia" w:ascii="宋体" w:hAnsi="宋体"/>
          <w:color w:val="000000"/>
          <w:sz w:val="24"/>
        </w:rPr>
        <w:t>投标人应仔细阅读招标文件的所有内容，按照招标文件的要求编制和提交投标文件，并对所提供的全部资料的真实性承担法律责任。</w:t>
      </w:r>
    </w:p>
    <w:p w14:paraId="3C9575CF">
      <w:pPr>
        <w:spacing w:line="360" w:lineRule="auto"/>
        <w:ind w:firstLine="532"/>
        <w:rPr>
          <w:rFonts w:ascii="宋体" w:hAnsi="宋体"/>
          <w:color w:val="000000"/>
          <w:sz w:val="24"/>
        </w:rPr>
      </w:pPr>
      <w:r>
        <w:rPr>
          <w:rFonts w:hint="eastAsia" w:ascii="宋体" w:hAnsi="宋体"/>
          <w:color w:val="000000"/>
          <w:sz w:val="24"/>
        </w:rPr>
        <w:t>2.投标文件、投标人与采购有关的往来通知、函件和文件均应使用中文。如涉及非中文内容的，投标人有义务将其内容翻译成中文，一切对非中文内容的误解，都将由投标人承担。</w:t>
      </w:r>
    </w:p>
    <w:p w14:paraId="1C63EA26">
      <w:pPr>
        <w:spacing w:line="360" w:lineRule="auto"/>
        <w:ind w:firstLine="240"/>
        <w:rPr>
          <w:rFonts w:ascii="宋体" w:hAnsi="宋体"/>
          <w:color w:val="000000"/>
          <w:sz w:val="24"/>
        </w:rPr>
      </w:pPr>
      <w:r>
        <w:rPr>
          <w:rFonts w:hint="eastAsia" w:ascii="黑体" w:eastAsia="黑体"/>
          <w:b/>
          <w:color w:val="000000"/>
          <w:sz w:val="24"/>
        </w:rPr>
        <w:t>▲</w:t>
      </w:r>
      <w:r>
        <w:rPr>
          <w:rFonts w:hint="eastAsia" w:ascii="宋体"/>
          <w:color w:val="000000"/>
          <w:sz w:val="24"/>
        </w:rPr>
        <w:t>3</w:t>
      </w:r>
      <w:r>
        <w:rPr>
          <w:rFonts w:hint="eastAsia" w:ascii="宋体" w:hAnsi="宋体"/>
          <w:color w:val="000000"/>
          <w:sz w:val="24"/>
        </w:rPr>
        <w:t>.计量单位：招标文件已有明确规定的，使用招标文件规定的计量单位；招标文件没有规定的，应采用中华人民共和国法定计量单位（货币单位：人民币元），否则视同未响应。</w:t>
      </w:r>
    </w:p>
    <w:p w14:paraId="0125448A">
      <w:pPr>
        <w:spacing w:line="360" w:lineRule="auto"/>
        <w:ind w:firstLine="480"/>
        <w:rPr>
          <w:rFonts w:ascii="宋体"/>
          <w:color w:val="000000"/>
          <w:sz w:val="24"/>
          <w:lang w:val="zh-CN"/>
        </w:rPr>
      </w:pPr>
      <w:r>
        <w:rPr>
          <w:rFonts w:hint="eastAsia" w:ascii="宋体"/>
          <w:color w:val="000000"/>
          <w:sz w:val="24"/>
          <w:lang w:val="zh-CN"/>
        </w:rPr>
        <w:t>4</w:t>
      </w:r>
      <w:r>
        <w:rPr>
          <w:rFonts w:hint="eastAsia" w:ascii="宋体"/>
          <w:color w:val="000000"/>
          <w:sz w:val="24"/>
        </w:rPr>
        <w:t>.</w:t>
      </w:r>
      <w:r>
        <w:rPr>
          <w:rFonts w:hint="eastAsia" w:ascii="宋体"/>
          <w:color w:val="000000"/>
          <w:sz w:val="24"/>
          <w:lang w:val="zh-CN"/>
        </w:rPr>
        <w:t>不按招标文件要求提供的投标文件可能导致被拒绝。</w:t>
      </w:r>
    </w:p>
    <w:p w14:paraId="5AFA48FB">
      <w:pPr>
        <w:spacing w:line="360" w:lineRule="auto"/>
        <w:ind w:firstLine="480"/>
        <w:rPr>
          <w:rFonts w:ascii="宋体"/>
          <w:b/>
          <w:color w:val="000000"/>
          <w:sz w:val="24"/>
          <w:lang w:val="zh-CN"/>
        </w:rPr>
      </w:pPr>
      <w:r>
        <w:rPr>
          <w:rFonts w:hint="eastAsia" w:ascii="宋体"/>
          <w:b/>
          <w:color w:val="000000"/>
          <w:sz w:val="24"/>
          <w:lang w:val="zh-CN"/>
        </w:rPr>
        <w:t>（二）投标文件的组成</w:t>
      </w:r>
    </w:p>
    <w:p w14:paraId="13A2C3A7">
      <w:pPr>
        <w:spacing w:line="360" w:lineRule="auto"/>
        <w:ind w:firstLine="480"/>
        <w:rPr>
          <w:rFonts w:ascii="宋体" w:hAnsi="宋体"/>
          <w:b/>
          <w:color w:val="000000"/>
          <w:sz w:val="24"/>
        </w:rPr>
      </w:pPr>
      <w:r>
        <w:rPr>
          <w:rFonts w:hint="eastAsia" w:ascii="宋体" w:hAnsi="宋体"/>
          <w:b/>
          <w:color w:val="000000"/>
          <w:sz w:val="24"/>
        </w:rPr>
        <w:t>注：投标文件由资格证明文件、报价文件组成。</w:t>
      </w:r>
    </w:p>
    <w:p w14:paraId="3A64EBCC">
      <w:pPr>
        <w:pStyle w:val="15"/>
        <w:kinsoku w:val="0"/>
        <w:overflowPunct w:val="0"/>
        <w:spacing w:before="161" w:line="360" w:lineRule="auto"/>
        <w:ind w:firstLine="413" w:firstLineChars="196"/>
        <w:rPr>
          <w:rFonts w:ascii="Times New Roman" w:hAnsi="Times New Roman"/>
          <w:b/>
          <w:bCs/>
          <w:color w:val="000000"/>
          <w:szCs w:val="18"/>
        </w:rPr>
      </w:pPr>
      <w:r>
        <w:rPr>
          <w:rFonts w:ascii="Times New Roman" w:hAnsi="Times New Roman"/>
          <w:b/>
          <w:bCs/>
          <w:color w:val="000000"/>
          <w:szCs w:val="18"/>
        </w:rPr>
        <w:t>1.资格证明文件的组成：</w:t>
      </w:r>
    </w:p>
    <w:p w14:paraId="617D1558">
      <w:pPr>
        <w:pStyle w:val="5"/>
        <w:widowControl/>
        <w:adjustRightInd w:val="0"/>
        <w:snapToGrid w:val="0"/>
        <w:spacing w:line="360" w:lineRule="auto"/>
        <w:ind w:firstLine="480"/>
        <w:rPr>
          <w:color w:val="000000"/>
          <w:sz w:val="22"/>
          <w:szCs w:val="21"/>
        </w:rPr>
      </w:pPr>
      <w:r>
        <w:rPr>
          <w:rFonts w:hint="eastAsia"/>
          <w:color w:val="000000"/>
          <w:sz w:val="22"/>
          <w:szCs w:val="21"/>
        </w:rPr>
        <w:t>（1）投标声明书；</w:t>
      </w:r>
    </w:p>
    <w:p w14:paraId="7DAB1452">
      <w:pPr>
        <w:pStyle w:val="5"/>
        <w:widowControl/>
        <w:adjustRightInd w:val="0"/>
        <w:snapToGrid w:val="0"/>
        <w:spacing w:line="360" w:lineRule="auto"/>
        <w:ind w:firstLine="480"/>
        <w:rPr>
          <w:color w:val="000000"/>
          <w:sz w:val="22"/>
          <w:szCs w:val="21"/>
        </w:rPr>
      </w:pPr>
      <w:r>
        <w:rPr>
          <w:rFonts w:hint="eastAsia"/>
          <w:color w:val="000000"/>
          <w:sz w:val="22"/>
          <w:szCs w:val="21"/>
        </w:rPr>
        <w:t>（2）授权委托书（法定代表人亲自办理投标事宜的，则无需提交)；</w:t>
      </w:r>
    </w:p>
    <w:p w14:paraId="18C8C2BC">
      <w:pPr>
        <w:pStyle w:val="5"/>
        <w:widowControl/>
        <w:adjustRightInd w:val="0"/>
        <w:snapToGrid w:val="0"/>
        <w:spacing w:line="360" w:lineRule="auto"/>
        <w:ind w:firstLine="480"/>
        <w:rPr>
          <w:color w:val="000000"/>
          <w:sz w:val="22"/>
          <w:szCs w:val="21"/>
        </w:rPr>
      </w:pPr>
      <w:r>
        <w:rPr>
          <w:rFonts w:hint="eastAsia"/>
          <w:color w:val="000000"/>
          <w:sz w:val="22"/>
          <w:szCs w:val="21"/>
        </w:rPr>
        <w:t>（3）提供有效的营业执照复印件；如事业单位参加投标的，则提供有效的《事业单位法人证书》复印件；</w:t>
      </w:r>
    </w:p>
    <w:p w14:paraId="782BE014">
      <w:pPr>
        <w:pStyle w:val="5"/>
        <w:widowControl/>
        <w:adjustRightInd w:val="0"/>
        <w:snapToGrid w:val="0"/>
        <w:spacing w:line="360" w:lineRule="auto"/>
        <w:ind w:firstLine="480"/>
        <w:rPr>
          <w:color w:val="000000"/>
          <w:sz w:val="22"/>
          <w:szCs w:val="21"/>
        </w:rPr>
      </w:pPr>
      <w:r>
        <w:rPr>
          <w:rFonts w:hint="eastAsia"/>
          <w:color w:val="000000"/>
          <w:sz w:val="22"/>
          <w:szCs w:val="21"/>
        </w:rPr>
        <w:t>（4）符合参加政府采购活动应当具备的一般条件的承诺函；；</w:t>
      </w:r>
    </w:p>
    <w:p w14:paraId="39DAACB5">
      <w:pPr>
        <w:pStyle w:val="5"/>
        <w:widowControl/>
        <w:adjustRightInd w:val="0"/>
        <w:snapToGrid w:val="0"/>
        <w:spacing w:line="360" w:lineRule="auto"/>
        <w:ind w:firstLine="480"/>
        <w:rPr>
          <w:color w:val="000000"/>
          <w:sz w:val="22"/>
          <w:szCs w:val="21"/>
        </w:rPr>
      </w:pPr>
      <w:r>
        <w:rPr>
          <w:rFonts w:hint="eastAsia"/>
          <w:color w:val="000000"/>
          <w:sz w:val="22"/>
          <w:szCs w:val="21"/>
        </w:rPr>
        <w:t>（5）提供公告中符合供应商特定条件的有效资质证书复印件（特定条件中有要求的必须提供）；</w:t>
      </w:r>
    </w:p>
    <w:p w14:paraId="6EC29ECA">
      <w:pPr>
        <w:pStyle w:val="5"/>
        <w:widowControl/>
        <w:adjustRightInd w:val="0"/>
        <w:snapToGrid w:val="0"/>
        <w:spacing w:line="360" w:lineRule="auto"/>
        <w:ind w:firstLine="480"/>
        <w:rPr>
          <w:rFonts w:ascii="宋体" w:hAnsi="宋体"/>
          <w:b/>
          <w:color w:val="000000"/>
          <w:sz w:val="28"/>
        </w:rPr>
      </w:pPr>
      <w:r>
        <w:rPr>
          <w:rFonts w:hint="eastAsia"/>
          <w:color w:val="000000"/>
          <w:sz w:val="22"/>
          <w:szCs w:val="21"/>
        </w:rPr>
        <w:t>（6）提供其他需要说明的其他资料。</w:t>
      </w:r>
    </w:p>
    <w:p w14:paraId="065B0C25">
      <w:pPr>
        <w:spacing w:line="360" w:lineRule="auto"/>
        <w:ind w:firstLine="240"/>
        <w:rPr>
          <w:rFonts w:ascii="宋体" w:hAnsi="宋体"/>
          <w:b/>
          <w:color w:val="000000"/>
          <w:sz w:val="24"/>
        </w:rPr>
      </w:pPr>
      <w:r>
        <w:rPr>
          <w:rFonts w:hint="eastAsia" w:ascii="宋体" w:hAnsi="宋体"/>
          <w:b/>
          <w:color w:val="000000"/>
          <w:sz w:val="24"/>
        </w:rPr>
        <w:t>2、报价文件的组成</w:t>
      </w:r>
    </w:p>
    <w:p w14:paraId="3A9CE3C4">
      <w:pPr>
        <w:spacing w:line="360" w:lineRule="auto"/>
        <w:ind w:firstLine="480"/>
        <w:rPr>
          <w:rFonts w:ascii="宋体" w:hAnsi="宋体"/>
          <w:color w:val="000000"/>
          <w:sz w:val="24"/>
        </w:rPr>
      </w:pPr>
      <w:r>
        <w:rPr>
          <w:rFonts w:hint="eastAsia" w:ascii="宋体" w:hAnsi="宋体"/>
          <w:color w:val="000000"/>
          <w:sz w:val="24"/>
        </w:rPr>
        <w:t>（1）报价文件的组成：开标一览表（附件1）；</w:t>
      </w:r>
    </w:p>
    <w:p w14:paraId="618CBF54">
      <w:pPr>
        <w:spacing w:line="360" w:lineRule="auto"/>
        <w:ind w:firstLine="480"/>
        <w:rPr>
          <w:rFonts w:ascii="宋体" w:hAnsi="宋体"/>
          <w:color w:val="000000"/>
          <w:sz w:val="24"/>
        </w:rPr>
      </w:pPr>
      <w:r>
        <w:rPr>
          <w:rFonts w:hint="eastAsia" w:ascii="宋体" w:hAnsi="宋体"/>
          <w:color w:val="000000"/>
          <w:sz w:val="24"/>
        </w:rPr>
        <w:t>（2）此报价为投标人一次性报出唯一的最终价格，包含其它一切所要涉及到的费用，有选择的报价将被拒绝。</w:t>
      </w:r>
    </w:p>
    <w:p w14:paraId="55910C0B">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项目费用其应为项目实施所需的设计费、服务费、购买及标书制作费、质量保修、利润、税金、政策性文件规定及合同包含的所有风险、责任等各项应有费用及不可预见费等全部费用。全部费用已包含在开标一览表的投标总报价中。</w:t>
      </w:r>
    </w:p>
    <w:p w14:paraId="2033A8D0">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（4）相关报价单需打印或用不退色的墨水填写， 投标报价单不得涂改和增删，如有错漏必须修改，修改处须由同一签署人签字或盖章。由于字迹模糊或表达不清引起的后果由投标人负责。</w:t>
      </w:r>
    </w:p>
    <w:p w14:paraId="45E7CBA4">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投标报价应按招标文件中相关附表格式填写。</w:t>
      </w:r>
    </w:p>
    <w:p w14:paraId="5C02F650">
      <w:pPr>
        <w:spacing w:line="360" w:lineRule="auto"/>
        <w:rPr>
          <w:rFonts w:ascii="宋体" w:hAnsi="宋体" w:cs="宋体"/>
          <w:b/>
          <w:color w:val="000000" w:themeColor="text1"/>
          <w:sz w:val="24"/>
          <w14:textFill>
            <w14:solidFill>
              <w14:schemeClr w14:val="tx1"/>
            </w14:solidFill>
          </w14:textFill>
        </w:rPr>
      </w:pPr>
      <w:r>
        <w:rPr>
          <w:rFonts w:hint="eastAsia" w:ascii="宋体"/>
          <w:b/>
          <w:color w:val="000000" w:themeColor="text1"/>
          <w:sz w:val="24"/>
          <w:lang w:val="zh-CN"/>
          <w14:textFill>
            <w14:solidFill>
              <w14:schemeClr w14:val="tx1"/>
            </w14:solidFill>
          </w14:textFill>
        </w:rPr>
        <w:t>（三）投标报价</w:t>
      </w:r>
    </w:p>
    <w:p w14:paraId="1068BC34">
      <w:pPr>
        <w:spacing w:line="360" w:lineRule="auto"/>
        <w:ind w:firstLine="480"/>
        <w:rPr>
          <w:rFonts w:ascii="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投标报价应按招标文件中相关附表《</w:t>
      </w:r>
      <w:r>
        <w:rPr>
          <w:rFonts w:hint="eastAsia" w:ascii="宋体" w:hAnsi="宋体"/>
          <w:color w:val="000000" w:themeColor="text1"/>
          <w:sz w:val="24"/>
          <w14:textFill>
            <w14:solidFill>
              <w14:schemeClr w14:val="tx1"/>
            </w14:solidFill>
          </w14:textFill>
        </w:rPr>
        <w:t>开标一览表</w:t>
      </w:r>
      <w:r>
        <w:rPr>
          <w:rFonts w:hint="eastAsia" w:ascii="宋体" w:hAnsi="宋体" w:cs="宋体"/>
          <w:color w:val="000000" w:themeColor="text1"/>
          <w:sz w:val="24"/>
          <w:lang w:val="zh-CN"/>
          <w14:textFill>
            <w14:solidFill>
              <w14:schemeClr w14:val="tx1"/>
            </w14:solidFill>
          </w14:textFill>
        </w:rPr>
        <w:t>》格式填写。</w:t>
      </w:r>
    </w:p>
    <w:p w14:paraId="2C5EE1CC">
      <w:pPr>
        <w:spacing w:line="360" w:lineRule="auto"/>
        <w:ind w:firstLine="235"/>
        <w:rPr>
          <w:rFonts w:ascii="宋体" w:hAnsi="宋体"/>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w:t>
      </w:r>
      <w:r>
        <w:rPr>
          <w:rFonts w:hint="eastAsia" w:ascii="宋体"/>
          <w:color w:val="000000" w:themeColor="text1"/>
          <w:sz w:val="24"/>
          <w:lang w:val="zh-CN"/>
          <w14:textFill>
            <w14:solidFill>
              <w14:schemeClr w14:val="tx1"/>
            </w14:solidFill>
          </w14:textFill>
        </w:rPr>
        <w:t>2</w:t>
      </w:r>
      <w:r>
        <w:rPr>
          <w:rFonts w:hint="eastAsia" w:ascii="宋体"/>
          <w:color w:val="000000" w:themeColor="text1"/>
          <w:sz w:val="24"/>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投标报价应是招标文件所确定的采购范围内全部工作内容的价格表现。其应包括前期勘测费、调研费、设计费和税金等所有一切费用。各供应商应根据采购人提供的技术资料、</w:t>
      </w:r>
      <w:r>
        <w:rPr>
          <w:rFonts w:hint="eastAsia" w:ascii="宋体" w:hAnsi="宋体"/>
          <w:color w:val="000000" w:themeColor="text1"/>
          <w:sz w:val="24"/>
          <w:lang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清单</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以及本项目实际情况和自身的综合实力，竞报报价。总报价以人民币元计，保留整数。</w:t>
      </w:r>
    </w:p>
    <w:p w14:paraId="6362D2A5">
      <w:pPr>
        <w:spacing w:line="360" w:lineRule="auto"/>
        <w:ind w:firstLine="235"/>
        <w:rPr>
          <w:rFonts w:ascii="宋体"/>
          <w:color w:val="000000"/>
          <w:sz w:val="24"/>
          <w:lang w:val="zh-CN"/>
        </w:rPr>
      </w:pPr>
      <w:r>
        <w:rPr>
          <w:rFonts w:hint="eastAsia" w:ascii="黑体" w:eastAsia="黑体"/>
          <w:b/>
          <w:color w:val="000000"/>
          <w:sz w:val="24"/>
        </w:rPr>
        <w:t>▲</w:t>
      </w:r>
      <w:r>
        <w:rPr>
          <w:rFonts w:hint="eastAsia" w:ascii="宋体"/>
          <w:color w:val="000000"/>
          <w:sz w:val="24"/>
          <w:lang w:val="zh-CN"/>
        </w:rPr>
        <w:t>3</w:t>
      </w:r>
      <w:r>
        <w:rPr>
          <w:rFonts w:hint="eastAsia" w:ascii="宋体"/>
          <w:color w:val="000000"/>
          <w:sz w:val="24"/>
        </w:rPr>
        <w:t>.</w:t>
      </w:r>
      <w:r>
        <w:rPr>
          <w:rFonts w:hint="eastAsia" w:ascii="宋体"/>
          <w:color w:val="000000"/>
          <w:sz w:val="24"/>
          <w:lang w:val="zh-CN"/>
        </w:rPr>
        <w:t>投标文件只允许有一个报价，有选择的报价将不予接受。</w:t>
      </w:r>
    </w:p>
    <w:p w14:paraId="7F70E107">
      <w:pPr>
        <w:spacing w:line="360" w:lineRule="auto"/>
        <w:ind w:firstLine="235"/>
        <w:rPr>
          <w:rFonts w:ascii="宋体"/>
          <w:b/>
          <w:color w:val="000000"/>
          <w:sz w:val="24"/>
          <w:lang w:val="zh-CN"/>
        </w:rPr>
      </w:pPr>
      <w:r>
        <w:rPr>
          <w:rFonts w:hint="eastAsia" w:ascii="黑体" w:eastAsia="黑体"/>
          <w:b/>
          <w:color w:val="000000"/>
          <w:sz w:val="24"/>
        </w:rPr>
        <w:t>▲</w:t>
      </w:r>
      <w:r>
        <w:rPr>
          <w:rFonts w:hint="eastAsia" w:ascii="宋体"/>
          <w:color w:val="000000"/>
          <w:sz w:val="24"/>
          <w:lang w:val="zh-CN"/>
        </w:rPr>
        <w:t>4</w:t>
      </w:r>
      <w:r>
        <w:rPr>
          <w:rFonts w:hint="eastAsia" w:ascii="宋体"/>
          <w:color w:val="000000"/>
          <w:sz w:val="24"/>
        </w:rPr>
        <w:t>.</w:t>
      </w:r>
      <w:r>
        <w:rPr>
          <w:rFonts w:hint="eastAsia" w:ascii="宋体"/>
          <w:color w:val="000000"/>
          <w:sz w:val="24"/>
          <w:lang w:val="zh-CN"/>
        </w:rPr>
        <w:t>本项目设有最高限价，</w:t>
      </w:r>
      <w:r>
        <w:rPr>
          <w:rFonts w:hint="eastAsia" w:ascii="宋体" w:hAnsi="宋体" w:cs="宋体"/>
          <w:bCs/>
          <w:color w:val="000000"/>
          <w:sz w:val="24"/>
        </w:rPr>
        <w:t>最高限价见前附表</w:t>
      </w:r>
      <w:r>
        <w:rPr>
          <w:rFonts w:hint="eastAsia" w:ascii="宋体" w:hAnsi="宋体" w:cs="宋体"/>
          <w:color w:val="000000"/>
          <w:sz w:val="24"/>
          <w:lang w:val="zh-CN"/>
        </w:rPr>
        <w:t>。</w:t>
      </w:r>
      <w:r>
        <w:rPr>
          <w:rFonts w:hint="eastAsia" w:ascii="宋体"/>
          <w:color w:val="000000"/>
          <w:sz w:val="24"/>
          <w:lang w:val="zh-CN"/>
        </w:rPr>
        <w:t>若投标报价超过最高限价的，其投标文件作无效标处理。</w:t>
      </w:r>
    </w:p>
    <w:p w14:paraId="2FE7C8FF">
      <w:pPr>
        <w:spacing w:line="360" w:lineRule="auto"/>
        <w:ind w:firstLine="480"/>
        <w:rPr>
          <w:b/>
          <w:color w:val="000000"/>
          <w:sz w:val="24"/>
          <w:lang w:val="zh-CN"/>
        </w:rPr>
      </w:pPr>
      <w:bookmarkStart w:id="1" w:name="_Toc306901455"/>
      <w:bookmarkStart w:id="2" w:name="_Toc255819826"/>
      <w:bookmarkStart w:id="3" w:name="_Toc255459642"/>
      <w:bookmarkStart w:id="4" w:name="_Toc173810697"/>
      <w:bookmarkStart w:id="5" w:name="_Toc302983102"/>
      <w:bookmarkStart w:id="6" w:name="_Toc255821820"/>
      <w:r>
        <w:rPr>
          <w:b/>
          <w:color w:val="000000"/>
          <w:sz w:val="24"/>
          <w:lang w:val="zh-CN"/>
        </w:rPr>
        <w:t>（四）投标保证金</w:t>
      </w:r>
    </w:p>
    <w:p w14:paraId="2B008302">
      <w:pPr>
        <w:spacing w:line="360" w:lineRule="auto"/>
        <w:ind w:firstLine="480"/>
        <w:rPr>
          <w:rStyle w:val="203"/>
          <w:b w:val="0"/>
          <w:sz w:val="24"/>
        </w:rPr>
      </w:pPr>
      <w:r>
        <w:rPr>
          <w:sz w:val="24"/>
          <w:lang w:val="zh-CN"/>
        </w:rPr>
        <w:t>1</w:t>
      </w:r>
      <w:r>
        <w:rPr>
          <w:sz w:val="24"/>
        </w:rPr>
        <w:t>.</w:t>
      </w:r>
      <w:r>
        <w:rPr>
          <w:b/>
          <w:sz w:val="24"/>
        </w:rPr>
        <w:t xml:space="preserve"> </w:t>
      </w:r>
      <w:r>
        <w:rPr>
          <w:rStyle w:val="203"/>
          <w:b w:val="0"/>
          <w:sz w:val="24"/>
        </w:rPr>
        <w:t>中标供应商的投标保证金在合同签订后五个工作日内凭合同无息退还。</w:t>
      </w:r>
    </w:p>
    <w:p w14:paraId="50674B5F">
      <w:pPr>
        <w:spacing w:line="360" w:lineRule="auto"/>
        <w:ind w:firstLine="480"/>
        <w:rPr>
          <w:sz w:val="24"/>
        </w:rPr>
      </w:pPr>
      <w:r>
        <w:rPr>
          <w:sz w:val="24"/>
          <w:lang w:val="zh-CN"/>
        </w:rPr>
        <w:t>2</w:t>
      </w:r>
      <w:r>
        <w:rPr>
          <w:sz w:val="24"/>
        </w:rPr>
        <w:t>.</w:t>
      </w:r>
      <w:r>
        <w:rPr>
          <w:rStyle w:val="203"/>
          <w:b w:val="0"/>
          <w:sz w:val="24"/>
        </w:rPr>
        <w:t>未中标供应商的投标保证金将在</w:t>
      </w:r>
      <w:r>
        <w:rPr>
          <w:rStyle w:val="203"/>
          <w:rFonts w:hint="eastAsia"/>
          <w:b w:val="0"/>
          <w:sz w:val="24"/>
        </w:rPr>
        <w:t>开标结束退还</w:t>
      </w:r>
      <w:r>
        <w:rPr>
          <w:rStyle w:val="203"/>
          <w:b w:val="0"/>
          <w:sz w:val="24"/>
        </w:rPr>
        <w:t>。</w:t>
      </w:r>
    </w:p>
    <w:p w14:paraId="53889EC2">
      <w:pPr>
        <w:spacing w:line="360" w:lineRule="auto"/>
        <w:ind w:firstLine="480"/>
        <w:rPr>
          <w:sz w:val="24"/>
        </w:rPr>
      </w:pPr>
      <w:r>
        <w:rPr>
          <w:sz w:val="24"/>
        </w:rPr>
        <w:t>3.发生下列情况之一，投标保证金将不予退还：</w:t>
      </w:r>
    </w:p>
    <w:p w14:paraId="4DF5CCA9">
      <w:pPr>
        <w:spacing w:line="360" w:lineRule="auto"/>
        <w:ind w:firstLine="480"/>
        <w:rPr>
          <w:sz w:val="24"/>
        </w:rPr>
      </w:pPr>
      <w:r>
        <w:rPr>
          <w:sz w:val="24"/>
        </w:rPr>
        <w:t>（1）投标人在投标有效期内撤回投标文件或放弃中标资格的；</w:t>
      </w:r>
    </w:p>
    <w:p w14:paraId="5A73B1B9">
      <w:pPr>
        <w:spacing w:line="360" w:lineRule="auto"/>
        <w:ind w:firstLine="480"/>
        <w:rPr>
          <w:sz w:val="24"/>
        </w:rPr>
      </w:pPr>
      <w:r>
        <w:rPr>
          <w:sz w:val="24"/>
        </w:rPr>
        <w:t>（2）投标人在投标过程中弄虚作假，提供虚假材料的；</w:t>
      </w:r>
    </w:p>
    <w:p w14:paraId="7F740806">
      <w:pPr>
        <w:spacing w:line="360" w:lineRule="auto"/>
        <w:ind w:firstLine="480"/>
        <w:rPr>
          <w:sz w:val="24"/>
        </w:rPr>
      </w:pPr>
      <w:r>
        <w:rPr>
          <w:sz w:val="24"/>
        </w:rPr>
        <w:t>（3）中标供应商拒绝与采购人签订合同的；</w:t>
      </w:r>
    </w:p>
    <w:p w14:paraId="29C3ACD6">
      <w:pPr>
        <w:spacing w:line="360" w:lineRule="auto"/>
        <w:ind w:firstLine="480"/>
        <w:rPr>
          <w:sz w:val="24"/>
        </w:rPr>
      </w:pPr>
      <w:r>
        <w:rPr>
          <w:sz w:val="24"/>
        </w:rPr>
        <w:t>（4）将中标项目转让给他人，或者在投标文件中未说明且未经采购人同意，将中标项目分包给他人的；</w:t>
      </w:r>
    </w:p>
    <w:p w14:paraId="07B065AC">
      <w:pPr>
        <w:spacing w:line="360" w:lineRule="auto"/>
        <w:ind w:firstLine="480"/>
        <w:rPr>
          <w:sz w:val="24"/>
        </w:rPr>
      </w:pPr>
      <w:r>
        <w:rPr>
          <w:sz w:val="24"/>
        </w:rPr>
        <w:t>（5）拒绝履行合同义务的；</w:t>
      </w:r>
    </w:p>
    <w:p w14:paraId="79784D34">
      <w:pPr>
        <w:spacing w:line="360" w:lineRule="auto"/>
        <w:ind w:firstLine="480"/>
        <w:rPr>
          <w:sz w:val="24"/>
        </w:rPr>
      </w:pPr>
      <w:r>
        <w:rPr>
          <w:sz w:val="24"/>
        </w:rPr>
        <w:t>（6）其他严重扰乱招投标程序的；</w:t>
      </w:r>
    </w:p>
    <w:p w14:paraId="3176BA46">
      <w:pPr>
        <w:spacing w:line="360" w:lineRule="auto"/>
        <w:ind w:firstLine="480"/>
        <w:rPr>
          <w:sz w:val="24"/>
        </w:rPr>
      </w:pPr>
      <w:r>
        <w:rPr>
          <w:sz w:val="24"/>
        </w:rPr>
        <w:t>（7）法律、法规明确规定的其他行为。</w:t>
      </w:r>
    </w:p>
    <w:p w14:paraId="40FD8682">
      <w:pPr>
        <w:spacing w:line="360" w:lineRule="auto"/>
        <w:ind w:firstLine="480"/>
        <w:rPr>
          <w:b/>
          <w:color w:val="000000"/>
          <w:sz w:val="24"/>
          <w:lang w:val="zh-CN"/>
        </w:rPr>
      </w:pPr>
      <w:r>
        <w:rPr>
          <w:b/>
          <w:color w:val="000000"/>
          <w:sz w:val="24"/>
          <w:lang w:val="zh-CN"/>
        </w:rPr>
        <w:t>（五）投标文件的有效期</w:t>
      </w:r>
    </w:p>
    <w:p w14:paraId="775DD809">
      <w:pPr>
        <w:spacing w:line="360" w:lineRule="auto"/>
        <w:ind w:firstLine="240"/>
        <w:rPr>
          <w:color w:val="000000"/>
          <w:sz w:val="24"/>
        </w:rPr>
      </w:pPr>
      <w:r>
        <w:rPr>
          <w:rFonts w:eastAsia="黑体"/>
          <w:color w:val="000000"/>
          <w:sz w:val="24"/>
        </w:rPr>
        <w:t>▲</w:t>
      </w:r>
      <w:r>
        <w:rPr>
          <w:color w:val="000000"/>
          <w:sz w:val="24"/>
          <w:lang w:val="zh-CN"/>
        </w:rPr>
        <w:t>1</w:t>
      </w:r>
      <w:r>
        <w:rPr>
          <w:color w:val="000000"/>
          <w:sz w:val="24"/>
        </w:rPr>
        <w:t>.</w:t>
      </w:r>
      <w:r>
        <w:rPr>
          <w:color w:val="000000"/>
          <w:sz w:val="24"/>
          <w:lang w:val="zh-CN"/>
        </w:rPr>
        <w:t>自投标文件提交截止之日起90天投标文件应保持有效。有效期短于这个规定期限的投标文件将被拒绝。中标人的投标文件有</w:t>
      </w:r>
      <w:r>
        <w:rPr>
          <w:color w:val="000000"/>
          <w:sz w:val="24"/>
          <w:lang w:val="en-GB"/>
        </w:rPr>
        <w:t>效期顺延至合同履行完毕，在此有效期内未经同意，投标文件的一切内容和补充承诺均为持续有效且不予改变。</w:t>
      </w:r>
    </w:p>
    <w:p w14:paraId="5CAF5466">
      <w:pPr>
        <w:spacing w:line="360" w:lineRule="auto"/>
        <w:ind w:firstLine="480"/>
        <w:rPr>
          <w:color w:val="000000"/>
          <w:sz w:val="24"/>
          <w:lang w:val="zh-CN"/>
        </w:rPr>
      </w:pPr>
      <w:r>
        <w:rPr>
          <w:color w:val="000000"/>
          <w:sz w:val="24"/>
          <w:lang w:val="zh-CN"/>
        </w:rPr>
        <w:t>2</w:t>
      </w:r>
      <w:r>
        <w:rPr>
          <w:color w:val="000000"/>
          <w:sz w:val="24"/>
        </w:rPr>
        <w:t>.</w:t>
      </w:r>
      <w:r>
        <w:rPr>
          <w:color w:val="000000"/>
          <w:sz w:val="24"/>
          <w:lang w:val="zh-CN"/>
        </w:rPr>
        <w:t>在特殊情况下，采购人可与投标人协商延长投标文件的有效期,这种要求和答复均应以书面形式进行。</w:t>
      </w:r>
    </w:p>
    <w:p w14:paraId="1092BC0F">
      <w:pPr>
        <w:spacing w:line="360" w:lineRule="auto"/>
        <w:ind w:firstLine="480"/>
        <w:rPr>
          <w:color w:val="000000"/>
          <w:sz w:val="24"/>
          <w:lang w:val="zh-CN"/>
        </w:rPr>
      </w:pPr>
      <w:r>
        <w:rPr>
          <w:color w:val="000000"/>
          <w:sz w:val="24"/>
          <w:lang w:val="zh-CN"/>
        </w:rPr>
        <w:t>3</w:t>
      </w:r>
      <w:r>
        <w:rPr>
          <w:color w:val="000000"/>
          <w:sz w:val="24"/>
        </w:rPr>
        <w:t>.</w:t>
      </w:r>
      <w:r>
        <w:rPr>
          <w:color w:val="000000"/>
          <w:sz w:val="24"/>
          <w:lang w:val="zh-CN"/>
        </w:rPr>
        <w:t>投标人可拒绝接受延期要求而不会导致投标保证金不予退回。同意延长有效期的投标人不能修改投标文件和承诺的内容。</w:t>
      </w:r>
    </w:p>
    <w:p w14:paraId="708FD956">
      <w:pPr>
        <w:spacing w:line="360" w:lineRule="auto"/>
        <w:ind w:firstLine="480"/>
        <w:rPr>
          <w:b/>
          <w:color w:val="000000"/>
          <w:sz w:val="24"/>
          <w:lang w:val="zh-CN"/>
        </w:rPr>
      </w:pPr>
      <w:r>
        <w:rPr>
          <w:b/>
          <w:color w:val="000000"/>
          <w:sz w:val="24"/>
          <w:lang w:val="zh-CN"/>
        </w:rPr>
        <w:t>（六）投标文件的份数和签署</w:t>
      </w:r>
    </w:p>
    <w:p w14:paraId="3343A1B0">
      <w:pPr>
        <w:spacing w:line="360" w:lineRule="auto"/>
        <w:ind w:firstLine="480"/>
        <w:rPr>
          <w:sz w:val="24"/>
          <w:lang w:val="zh-CN"/>
        </w:rPr>
      </w:pPr>
      <w:r>
        <w:rPr>
          <w:sz w:val="24"/>
          <w:lang w:val="zh-CN"/>
        </w:rPr>
        <w:t>1</w:t>
      </w:r>
      <w:r>
        <w:rPr>
          <w:sz w:val="24"/>
        </w:rPr>
        <w:t>.</w:t>
      </w:r>
      <w:r>
        <w:rPr>
          <w:sz w:val="24"/>
          <w:lang w:val="zh-CN"/>
        </w:rPr>
        <w:t>投标文件的份数</w:t>
      </w:r>
    </w:p>
    <w:p w14:paraId="6EFDF860">
      <w:pPr>
        <w:spacing w:line="360" w:lineRule="auto"/>
        <w:ind w:firstLine="480"/>
        <w:rPr>
          <w:sz w:val="24"/>
          <w:lang w:val="zh-CN"/>
        </w:rPr>
      </w:pPr>
      <w:r>
        <w:rPr>
          <w:rFonts w:hint="eastAsia" w:ascii="宋体" w:hAnsi="宋体" w:cs="宋体"/>
          <w:sz w:val="24"/>
          <w:lang w:val="zh-CN"/>
        </w:rPr>
        <w:t>①</w:t>
      </w:r>
      <w:r>
        <w:rPr>
          <w:sz w:val="24"/>
          <w:lang w:val="zh-CN"/>
        </w:rPr>
        <w:t>投标人应按招标文件规定的内容和要求编制、装订投标文件。投标文件中所有文字及表格应采用白色标准A4纸（如有图纸可采用A3纸）进行打印或印刷</w:t>
      </w:r>
      <w:r>
        <w:rPr>
          <w:sz w:val="24"/>
        </w:rPr>
        <w:t>(建议双面打印或印刷）</w:t>
      </w:r>
      <w:r>
        <w:rPr>
          <w:sz w:val="24"/>
          <w:lang w:val="zh-CN"/>
        </w:rPr>
        <w:t>，并逐页连续标注页码。因投标文件内容不完整、编排混乱导致投标文件被误读、漏读或者查找不到相关内容的责任由投标人自行承担。</w:t>
      </w:r>
    </w:p>
    <w:p w14:paraId="4BF36F92">
      <w:pPr>
        <w:spacing w:line="360" w:lineRule="auto"/>
        <w:ind w:firstLine="508" w:firstLineChars="211"/>
        <w:rPr>
          <w:sz w:val="24"/>
          <w:lang w:val="zh-CN"/>
        </w:rPr>
      </w:pPr>
      <w:r>
        <w:rPr>
          <w:rFonts w:hint="eastAsia" w:ascii="宋体" w:hAnsi="宋体" w:cs="宋体"/>
          <w:b/>
          <w:sz w:val="24"/>
          <w:lang w:val="zh-CN"/>
        </w:rPr>
        <w:t>②</w:t>
      </w:r>
      <w:r>
        <w:rPr>
          <w:rFonts w:hint="eastAsia"/>
          <w:b/>
          <w:sz w:val="24"/>
          <w:lang w:val="zh-CN"/>
        </w:rPr>
        <w:t>资格证明</w:t>
      </w:r>
      <w:r>
        <w:rPr>
          <w:b/>
          <w:sz w:val="24"/>
          <w:lang w:val="zh-CN"/>
        </w:rPr>
        <w:t>文件、报价文件必须分别编制并分开单独装订成册：</w:t>
      </w:r>
      <w:r>
        <w:rPr>
          <w:rFonts w:hint="eastAsia"/>
          <w:b/>
          <w:sz w:val="24"/>
          <w:lang w:val="zh-CN"/>
        </w:rPr>
        <w:t>资格证明</w:t>
      </w:r>
      <w:r>
        <w:rPr>
          <w:b/>
          <w:sz w:val="24"/>
          <w:lang w:val="zh-CN"/>
        </w:rPr>
        <w:t>文件共</w:t>
      </w:r>
      <w:r>
        <w:rPr>
          <w:b/>
          <w:sz w:val="24"/>
          <w:u w:val="single"/>
          <w:lang w:val="zh-CN"/>
        </w:rPr>
        <w:t xml:space="preserve"> </w:t>
      </w:r>
      <w:r>
        <w:rPr>
          <w:b/>
          <w:sz w:val="24"/>
          <w:u w:val="single"/>
        </w:rPr>
        <w:t xml:space="preserve">5 </w:t>
      </w:r>
      <w:r>
        <w:rPr>
          <w:b/>
          <w:sz w:val="24"/>
          <w:lang w:val="zh-CN"/>
        </w:rPr>
        <w:t>份（一正本四副本，封装成一袋），报价文件共</w:t>
      </w:r>
      <w:r>
        <w:rPr>
          <w:b/>
          <w:sz w:val="24"/>
          <w:u w:val="single"/>
          <w:lang w:val="zh-CN"/>
        </w:rPr>
        <w:t xml:space="preserve"> </w:t>
      </w:r>
      <w:r>
        <w:rPr>
          <w:b/>
          <w:sz w:val="24"/>
          <w:u w:val="single"/>
        </w:rPr>
        <w:t xml:space="preserve">5 </w:t>
      </w:r>
      <w:r>
        <w:rPr>
          <w:b/>
          <w:sz w:val="24"/>
          <w:lang w:val="zh-CN"/>
        </w:rPr>
        <w:t>份（一正本四副本，封装成一袋）。投标文件的正本封面必须注明“正本”字样，副本可以采用正本的复印件。</w:t>
      </w:r>
    </w:p>
    <w:p w14:paraId="2E5F87F6">
      <w:pPr>
        <w:spacing w:line="360" w:lineRule="auto"/>
        <w:ind w:firstLine="480"/>
        <w:rPr>
          <w:sz w:val="24"/>
          <w:lang w:val="zh-CN"/>
        </w:rPr>
      </w:pPr>
      <w:r>
        <w:rPr>
          <w:rFonts w:hint="eastAsia" w:ascii="宋体" w:hAnsi="宋体" w:cs="宋体"/>
          <w:sz w:val="24"/>
          <w:lang w:val="zh-CN"/>
        </w:rPr>
        <w:t>③</w:t>
      </w:r>
      <w:r>
        <w:rPr>
          <w:sz w:val="24"/>
          <w:lang w:val="zh-CN"/>
        </w:rPr>
        <w:t>投标文件封面，可参照附件内容。注明 “项目编号”、“项目名称”、“正本”或“副本”、</w:t>
      </w:r>
      <w:r>
        <w:rPr>
          <w:sz w:val="24"/>
        </w:rPr>
        <w:t>报价文件”、“标项号</w:t>
      </w:r>
      <w:r>
        <w:rPr>
          <w:bCs/>
          <w:sz w:val="24"/>
          <w:lang w:val="zh-CN"/>
        </w:rPr>
        <w:t>（如有）</w:t>
      </w:r>
      <w:r>
        <w:rPr>
          <w:sz w:val="24"/>
        </w:rPr>
        <w:t>”、</w:t>
      </w:r>
      <w:r>
        <w:rPr>
          <w:sz w:val="24"/>
          <w:lang w:val="zh-CN"/>
        </w:rPr>
        <w:t>“</w:t>
      </w:r>
      <w:r>
        <w:rPr>
          <w:bCs/>
          <w:sz w:val="24"/>
          <w:lang w:val="zh-CN"/>
        </w:rPr>
        <w:t>投标人”、“法定代表人或全权代表”</w:t>
      </w:r>
      <w:r>
        <w:rPr>
          <w:sz w:val="24"/>
          <w:lang w:val="zh-CN"/>
        </w:rPr>
        <w:t>等字样。</w:t>
      </w:r>
    </w:p>
    <w:p w14:paraId="35B07365">
      <w:pPr>
        <w:spacing w:line="360" w:lineRule="auto"/>
        <w:ind w:firstLine="480"/>
        <w:rPr>
          <w:sz w:val="24"/>
          <w:lang w:val="zh-CN"/>
        </w:rPr>
      </w:pPr>
      <w:r>
        <w:rPr>
          <w:rFonts w:hint="eastAsia" w:ascii="宋体" w:hAnsi="宋体" w:cs="宋体"/>
          <w:sz w:val="24"/>
          <w:lang w:val="zh-CN"/>
        </w:rPr>
        <w:t>④</w:t>
      </w:r>
      <w:r>
        <w:rPr>
          <w:sz w:val="24"/>
          <w:lang w:val="zh-CN"/>
        </w:rPr>
        <w:t>正本和副本内容有出入，以正本为准。</w:t>
      </w:r>
    </w:p>
    <w:p w14:paraId="7009B0E4">
      <w:pPr>
        <w:spacing w:line="360" w:lineRule="auto"/>
        <w:ind w:firstLine="240"/>
        <w:rPr>
          <w:sz w:val="24"/>
          <w:lang w:val="zh-CN"/>
        </w:rPr>
      </w:pPr>
      <w:r>
        <w:rPr>
          <w:sz w:val="24"/>
          <w:lang w:val="zh-CN"/>
        </w:rPr>
        <w:t>▲2</w:t>
      </w:r>
      <w:r>
        <w:rPr>
          <w:sz w:val="24"/>
        </w:rPr>
        <w:t>.</w:t>
      </w:r>
      <w:r>
        <w:rPr>
          <w:sz w:val="24"/>
          <w:lang w:val="zh-CN"/>
        </w:rPr>
        <w:t>投标文件的签署、盖章</w:t>
      </w:r>
    </w:p>
    <w:p w14:paraId="0A3B3D00">
      <w:pPr>
        <w:spacing w:line="360" w:lineRule="auto"/>
        <w:ind w:firstLine="480"/>
        <w:rPr>
          <w:sz w:val="24"/>
          <w:u w:val="single"/>
          <w:lang w:val="zh-CN"/>
        </w:rPr>
      </w:pPr>
      <w:r>
        <w:rPr>
          <w:sz w:val="24"/>
          <w:u w:val="single"/>
          <w:lang w:val="zh-CN"/>
        </w:rPr>
        <w:t>投标文件封面和内部有要求盖章或签字的地方必须加盖投标人的公章以及法定代表人或全权代表（盖章或签字）。</w:t>
      </w:r>
    </w:p>
    <w:p w14:paraId="02154830">
      <w:pPr>
        <w:spacing w:line="360" w:lineRule="auto"/>
        <w:ind w:firstLine="480"/>
        <w:rPr>
          <w:sz w:val="24"/>
          <w:lang w:val="zh-CN"/>
        </w:rPr>
      </w:pPr>
      <w:r>
        <w:rPr>
          <w:sz w:val="24"/>
          <w:lang w:val="zh-CN"/>
        </w:rPr>
        <w:t>3</w:t>
      </w:r>
      <w:r>
        <w:rPr>
          <w:sz w:val="24"/>
        </w:rPr>
        <w:t>.</w:t>
      </w:r>
      <w:r>
        <w:rPr>
          <w:sz w:val="24"/>
          <w:lang w:val="zh-CN"/>
        </w:rPr>
        <w:t>投标文件的外包装、密封</w:t>
      </w:r>
    </w:p>
    <w:p w14:paraId="78EBA6AF">
      <w:pPr>
        <w:spacing w:line="360" w:lineRule="auto"/>
        <w:ind w:firstLine="504" w:firstLineChars="209"/>
        <w:rPr>
          <w:sz w:val="24"/>
          <w:u w:val="single"/>
        </w:rPr>
      </w:pPr>
      <w:r>
        <w:rPr>
          <w:rFonts w:hint="eastAsia" w:ascii="宋体" w:hAnsi="宋体" w:cs="宋体"/>
          <w:b/>
          <w:sz w:val="24"/>
          <w:lang w:val="zh-CN"/>
        </w:rPr>
        <w:t>①</w:t>
      </w:r>
      <w:r>
        <w:rPr>
          <w:b/>
          <w:sz w:val="24"/>
        </w:rPr>
        <w:t>项目如分标项，各标项投标文件必须分开编制，并按上述份数要求单独密封包装。</w:t>
      </w:r>
    </w:p>
    <w:p w14:paraId="0B77F08E">
      <w:pPr>
        <w:spacing w:line="360" w:lineRule="auto"/>
        <w:ind w:firstLine="516" w:firstLineChars="214"/>
        <w:rPr>
          <w:b/>
          <w:bCs/>
          <w:sz w:val="24"/>
          <w:lang w:val="zh-CN"/>
        </w:rPr>
      </w:pPr>
      <w:bookmarkStart w:id="7" w:name="_Toc255819825"/>
      <w:bookmarkStart w:id="8" w:name="_Toc255821819"/>
      <w:bookmarkStart w:id="9" w:name="_Toc302983101"/>
      <w:bookmarkStart w:id="10" w:name="_Toc306901454"/>
      <w:r>
        <w:rPr>
          <w:rFonts w:hint="eastAsia" w:ascii="宋体" w:hAnsi="宋体" w:cs="宋体"/>
          <w:b/>
          <w:bCs/>
          <w:sz w:val="24"/>
          <w:lang w:val="zh-CN"/>
        </w:rPr>
        <w:t>②</w:t>
      </w:r>
      <w:r>
        <w:rPr>
          <w:b/>
          <w:bCs/>
          <w:sz w:val="24"/>
          <w:lang w:val="zh-CN"/>
        </w:rPr>
        <w:t>报价文件”的外包装密封处须加盖投标人公章</w:t>
      </w:r>
      <w:r>
        <w:rPr>
          <w:rStyle w:val="203"/>
          <w:sz w:val="24"/>
        </w:rPr>
        <w:t>或投标全权代表签字</w:t>
      </w:r>
      <w:r>
        <w:rPr>
          <w:b/>
          <w:bCs/>
          <w:sz w:val="24"/>
          <w:lang w:val="zh-CN"/>
        </w:rPr>
        <w:t>。</w:t>
      </w:r>
    </w:p>
    <w:p w14:paraId="15C5346E">
      <w:pPr>
        <w:spacing w:line="360" w:lineRule="auto"/>
        <w:ind w:firstLine="470"/>
        <w:rPr>
          <w:bCs/>
          <w:sz w:val="24"/>
          <w:lang w:val="zh-CN"/>
        </w:rPr>
      </w:pPr>
      <w:r>
        <w:rPr>
          <w:rFonts w:hint="eastAsia" w:ascii="宋体" w:hAnsi="宋体" w:cs="宋体"/>
          <w:bCs/>
          <w:sz w:val="24"/>
          <w:lang w:val="zh-CN"/>
        </w:rPr>
        <w:t>③</w:t>
      </w:r>
      <w:r>
        <w:rPr>
          <w:sz w:val="24"/>
          <w:lang w:val="zh-CN"/>
        </w:rPr>
        <w:t>外包装封</w:t>
      </w:r>
      <w:r>
        <w:rPr>
          <w:bCs/>
          <w:sz w:val="24"/>
          <w:lang w:val="zh-CN"/>
        </w:rPr>
        <w:t>面可参照附件内容注明“项目编号”、“ 项目名称”、 “正本”或“副本”或“正副本”、“</w:t>
      </w:r>
      <w:r>
        <w:rPr>
          <w:rFonts w:hint="eastAsia"/>
          <w:b/>
          <w:bCs/>
          <w:sz w:val="24"/>
          <w:lang w:val="zh-CN"/>
        </w:rPr>
        <w:t>资格证明</w:t>
      </w:r>
      <w:r>
        <w:rPr>
          <w:bCs/>
          <w:sz w:val="24"/>
          <w:lang w:val="zh-CN"/>
        </w:rPr>
        <w:t>文件”或“报价文件”、 “标项号（如有）”、“ 投标人名称” 、“开标时启封”等字样。</w:t>
      </w:r>
    </w:p>
    <w:p w14:paraId="113F93A3">
      <w:pPr>
        <w:spacing w:line="360" w:lineRule="auto"/>
        <w:ind w:firstLine="470"/>
        <w:rPr>
          <w:bCs/>
          <w:sz w:val="24"/>
          <w:lang w:val="zh-CN"/>
        </w:rPr>
      </w:pPr>
      <w:r>
        <w:rPr>
          <w:rFonts w:hint="eastAsia" w:ascii="宋体" w:hAnsi="宋体" w:cs="宋体"/>
          <w:sz w:val="24"/>
          <w:lang w:val="zh-CN"/>
        </w:rPr>
        <w:t>④</w:t>
      </w:r>
      <w:r>
        <w:rPr>
          <w:sz w:val="24"/>
          <w:lang w:val="zh-CN"/>
        </w:rPr>
        <w:t>未按规定密封或标记的投标文件将被拒绝，由此造成的风险由投标人自行承担。</w:t>
      </w:r>
    </w:p>
    <w:p w14:paraId="593B0B17">
      <w:pPr>
        <w:spacing w:line="360" w:lineRule="auto"/>
        <w:ind w:firstLine="470"/>
        <w:rPr>
          <w:bCs/>
          <w:sz w:val="24"/>
          <w:lang w:val="zh-CN"/>
        </w:rPr>
      </w:pPr>
      <w:r>
        <w:rPr>
          <w:b/>
          <w:bCs/>
          <w:sz w:val="24"/>
          <w:lang w:val="zh-CN"/>
        </w:rPr>
        <w:t>（七）投标文件的</w:t>
      </w:r>
      <w:bookmarkEnd w:id="1"/>
      <w:bookmarkEnd w:id="2"/>
      <w:bookmarkEnd w:id="3"/>
      <w:bookmarkEnd w:id="4"/>
      <w:r>
        <w:rPr>
          <w:b/>
          <w:bCs/>
          <w:sz w:val="24"/>
          <w:lang w:val="zh-CN"/>
        </w:rPr>
        <w:t>提交</w:t>
      </w:r>
    </w:p>
    <w:p w14:paraId="1055FCF8">
      <w:pPr>
        <w:spacing w:line="360" w:lineRule="auto"/>
        <w:ind w:firstLine="480"/>
        <w:rPr>
          <w:b/>
          <w:sz w:val="24"/>
          <w:lang w:val="zh-CN"/>
        </w:rPr>
      </w:pPr>
      <w:r>
        <w:rPr>
          <w:b/>
          <w:sz w:val="24"/>
          <w:lang w:val="zh-CN"/>
        </w:rPr>
        <w:t>1</w:t>
      </w:r>
      <w:r>
        <w:rPr>
          <w:b/>
          <w:sz w:val="24"/>
        </w:rPr>
        <w:t>.</w:t>
      </w:r>
      <w:r>
        <w:rPr>
          <w:b/>
          <w:sz w:val="24"/>
          <w:lang w:val="zh-CN"/>
        </w:rPr>
        <w:t>投标文件提交</w:t>
      </w:r>
    </w:p>
    <w:p w14:paraId="4B3EDA58">
      <w:pPr>
        <w:spacing w:line="360" w:lineRule="auto"/>
        <w:ind w:firstLine="235"/>
        <w:rPr>
          <w:sz w:val="24"/>
          <w:lang w:val="zh-CN"/>
        </w:rPr>
      </w:pPr>
      <w:r>
        <w:rPr>
          <w:sz w:val="24"/>
          <w:lang w:val="zh-CN"/>
        </w:rPr>
        <w:t>▲</w:t>
      </w:r>
      <w:r>
        <w:rPr>
          <w:rFonts w:hint="eastAsia" w:ascii="宋体" w:hAnsi="宋体" w:cs="宋体"/>
          <w:sz w:val="24"/>
          <w:lang w:val="zh-CN"/>
        </w:rPr>
        <w:t>①</w:t>
      </w:r>
      <w:r>
        <w:rPr>
          <w:sz w:val="24"/>
          <w:lang w:val="zh-CN"/>
        </w:rPr>
        <w:t>在投标文件提交截止时间前，投标人应按招标文件规定的时间和地点提交投标文件。投标文件提交截止时间后，采购代理机构将拒收投标人的投标文件。</w:t>
      </w:r>
    </w:p>
    <w:p w14:paraId="2BC18FFE">
      <w:pPr>
        <w:spacing w:line="360" w:lineRule="auto"/>
        <w:ind w:firstLine="480"/>
        <w:rPr>
          <w:sz w:val="24"/>
          <w:lang w:val="zh-CN"/>
        </w:rPr>
      </w:pPr>
      <w:r>
        <w:rPr>
          <w:rFonts w:hint="eastAsia" w:ascii="宋体" w:hAnsi="宋体" w:cs="宋体"/>
          <w:sz w:val="24"/>
          <w:lang w:val="zh-CN"/>
        </w:rPr>
        <w:t>②</w:t>
      </w:r>
      <w:r>
        <w:rPr>
          <w:sz w:val="24"/>
          <w:lang w:val="zh-CN"/>
        </w:rPr>
        <w:t>因密封不严、标记不明而造成过早启封、失密等情况，采购代理机构概不负责。</w:t>
      </w:r>
    </w:p>
    <w:p w14:paraId="2D91A409">
      <w:pPr>
        <w:spacing w:line="360" w:lineRule="auto"/>
        <w:ind w:firstLine="480"/>
        <w:rPr>
          <w:sz w:val="24"/>
          <w:lang w:val="zh-CN"/>
        </w:rPr>
      </w:pPr>
      <w:r>
        <w:rPr>
          <w:rFonts w:hint="eastAsia" w:ascii="宋体" w:hAnsi="宋体" w:cs="宋体"/>
          <w:sz w:val="24"/>
          <w:lang w:val="zh-CN"/>
        </w:rPr>
        <w:t>③</w:t>
      </w:r>
      <w:r>
        <w:rPr>
          <w:sz w:val="24"/>
          <w:lang w:val="zh-CN"/>
        </w:rPr>
        <w:t>如因故推迟投标文件提交截止时间的，招标采购单位和投标人的权利和义务将受到新的截止时间约束。</w:t>
      </w:r>
    </w:p>
    <w:p w14:paraId="62067CFC">
      <w:pPr>
        <w:spacing w:line="360" w:lineRule="auto"/>
        <w:ind w:firstLine="480"/>
        <w:rPr>
          <w:b/>
          <w:bCs/>
          <w:color w:val="000000"/>
          <w:sz w:val="24"/>
          <w:lang w:val="zh-CN"/>
        </w:rPr>
      </w:pPr>
      <w:r>
        <w:rPr>
          <w:b/>
          <w:color w:val="000000"/>
          <w:sz w:val="24"/>
          <w:lang w:val="zh-CN"/>
        </w:rPr>
        <w:t>2</w:t>
      </w:r>
      <w:r>
        <w:rPr>
          <w:b/>
          <w:color w:val="000000"/>
          <w:sz w:val="24"/>
        </w:rPr>
        <w:t>.</w:t>
      </w:r>
      <w:r>
        <w:rPr>
          <w:b/>
          <w:color w:val="000000"/>
          <w:sz w:val="24"/>
          <w:lang w:val="zh-CN"/>
        </w:rPr>
        <w:t>投标文件的修改或撤回</w:t>
      </w:r>
    </w:p>
    <w:p w14:paraId="4DAEE3AF">
      <w:pPr>
        <w:spacing w:line="360" w:lineRule="auto"/>
        <w:ind w:firstLine="480"/>
        <w:rPr>
          <w:color w:val="000000"/>
          <w:sz w:val="24"/>
          <w:lang w:val="zh-CN"/>
        </w:rPr>
      </w:pPr>
      <w:r>
        <w:rPr>
          <w:rFonts w:hint="eastAsia" w:ascii="宋体" w:hAnsi="宋体" w:cs="宋体"/>
          <w:color w:val="000000"/>
          <w:sz w:val="24"/>
          <w:lang w:val="zh-CN"/>
        </w:rPr>
        <w:t>①</w:t>
      </w:r>
      <w:r>
        <w:rPr>
          <w:color w:val="000000"/>
          <w:sz w:val="24"/>
          <w:lang w:val="zh-CN"/>
        </w:rPr>
        <w:t>在提交投标文件截止时间前，投标人可对已提交的投标文件进行修改或撤回,修改或撤回应以书面形式通知采购代理机构。</w:t>
      </w:r>
    </w:p>
    <w:p w14:paraId="60198B18">
      <w:pPr>
        <w:spacing w:line="360" w:lineRule="auto"/>
        <w:ind w:firstLine="480"/>
        <w:rPr>
          <w:color w:val="000000"/>
          <w:sz w:val="24"/>
          <w:lang w:val="zh-CN"/>
        </w:rPr>
      </w:pPr>
      <w:r>
        <w:rPr>
          <w:rFonts w:hint="eastAsia" w:ascii="宋体" w:hAnsi="宋体" w:cs="宋体"/>
          <w:color w:val="000000"/>
          <w:sz w:val="24"/>
          <w:lang w:val="zh-CN"/>
        </w:rPr>
        <w:t>②</w:t>
      </w:r>
      <w:r>
        <w:rPr>
          <w:color w:val="000000"/>
          <w:sz w:val="24"/>
          <w:lang w:val="zh-CN"/>
        </w:rPr>
        <w:t>修改后重新提交的投标文件应按招标文件的规定编制、密封、标记和提交。</w:t>
      </w:r>
    </w:p>
    <w:p w14:paraId="4E6F7071">
      <w:pPr>
        <w:spacing w:line="360" w:lineRule="auto"/>
        <w:ind w:firstLine="480"/>
        <w:rPr>
          <w:color w:val="000000"/>
          <w:sz w:val="24"/>
          <w:lang w:val="zh-CN"/>
        </w:rPr>
      </w:pPr>
      <w:r>
        <w:rPr>
          <w:rFonts w:hint="eastAsia" w:ascii="宋体" w:hAnsi="宋体" w:cs="宋体"/>
          <w:color w:val="000000"/>
          <w:sz w:val="24"/>
          <w:lang w:val="zh-CN"/>
        </w:rPr>
        <w:t>③</w:t>
      </w:r>
      <w:r>
        <w:rPr>
          <w:color w:val="000000"/>
          <w:sz w:val="24"/>
          <w:lang w:val="zh-CN"/>
        </w:rPr>
        <w:t>在投标文件提交截止时间后,投标人不得修改或撤回已提交的投标文件。</w:t>
      </w:r>
    </w:p>
    <w:p w14:paraId="62F8FA69">
      <w:pPr>
        <w:spacing w:line="360" w:lineRule="auto"/>
        <w:ind w:firstLine="480"/>
        <w:rPr>
          <w:rFonts w:eastAsia="黑体"/>
          <w:color w:val="000000"/>
          <w:sz w:val="24"/>
        </w:rPr>
      </w:pPr>
      <w:r>
        <w:rPr>
          <w:rFonts w:hint="eastAsia" w:ascii="宋体" w:hAnsi="宋体" w:cs="宋体"/>
          <w:color w:val="000000"/>
          <w:sz w:val="24"/>
          <w:lang w:val="zh-CN"/>
        </w:rPr>
        <w:t>④</w:t>
      </w:r>
      <w:r>
        <w:rPr>
          <w:color w:val="000000"/>
          <w:sz w:val="24"/>
          <w:lang w:val="zh-CN"/>
        </w:rPr>
        <w:t>投标文件不得涂改，若有修改错漏处，须加盖投标人公章。投标文件因字迹模糊或表达不清引起的后果由投标人负责。</w:t>
      </w:r>
    </w:p>
    <w:p w14:paraId="37DA91FD">
      <w:pPr>
        <w:spacing w:line="360" w:lineRule="auto"/>
        <w:ind w:firstLine="118"/>
        <w:jc w:val="center"/>
        <w:outlineLvl w:val="1"/>
        <w:rPr>
          <w:rFonts w:ascii="宋体"/>
          <w:sz w:val="24"/>
          <w:lang w:val="zh-CN"/>
        </w:rPr>
      </w:pPr>
      <w:r>
        <w:rPr>
          <w:rFonts w:hint="eastAsia" w:ascii="宋体"/>
          <w:b/>
          <w:bCs/>
          <w:sz w:val="24"/>
          <w:lang w:val="zh-CN"/>
        </w:rPr>
        <w:t>四、开标</w:t>
      </w:r>
      <w:bookmarkEnd w:id="5"/>
      <w:bookmarkEnd w:id="6"/>
      <w:bookmarkEnd w:id="7"/>
      <w:bookmarkEnd w:id="8"/>
      <w:bookmarkEnd w:id="9"/>
      <w:bookmarkEnd w:id="10"/>
    </w:p>
    <w:p w14:paraId="72ABF02F">
      <w:pPr>
        <w:spacing w:line="360" w:lineRule="auto"/>
        <w:ind w:firstLine="480"/>
        <w:rPr>
          <w:rFonts w:ascii="宋体" w:hAnsi="宋体"/>
          <w:sz w:val="24"/>
        </w:rPr>
      </w:pPr>
      <w:r>
        <w:rPr>
          <w:rFonts w:hint="eastAsia" w:ascii="宋体" w:hAnsi="宋体"/>
          <w:sz w:val="24"/>
        </w:rPr>
        <w:t>（一）开标事项</w:t>
      </w:r>
    </w:p>
    <w:p w14:paraId="43F32927">
      <w:pPr>
        <w:spacing w:line="360" w:lineRule="auto"/>
        <w:ind w:firstLine="480"/>
        <w:rPr>
          <w:rFonts w:ascii="宋体" w:hAnsi="宋体"/>
          <w:sz w:val="24"/>
        </w:rPr>
      </w:pPr>
      <w:r>
        <w:rPr>
          <w:rFonts w:hint="eastAsia" w:ascii="宋体" w:hAnsi="宋体"/>
          <w:sz w:val="24"/>
        </w:rPr>
        <w:t>采购组织机构在“招标公告”规定的时间和地点公开开标，投标人的法定代表人或其授权代表应在线上参加开标会并签到。</w:t>
      </w:r>
      <w:r>
        <w:rPr>
          <w:rFonts w:ascii="宋体" w:hAnsi="宋体"/>
          <w:sz w:val="24"/>
        </w:rPr>
        <w:t>投标人的法定代表人或其授权代表未按时签到的，视同放弃开标监督权利、认可开标结果。</w:t>
      </w:r>
      <w:r>
        <w:rPr>
          <w:rFonts w:hint="eastAsia" w:ascii="宋体" w:hAnsi="宋体"/>
          <w:sz w:val="24"/>
        </w:rPr>
        <w:t>采购组织机构</w:t>
      </w:r>
      <w:r>
        <w:rPr>
          <w:rFonts w:ascii="宋体" w:hAnsi="宋体"/>
          <w:sz w:val="24"/>
        </w:rPr>
        <w:t>工作人员</w:t>
      </w:r>
      <w:r>
        <w:rPr>
          <w:rFonts w:hint="eastAsia" w:ascii="宋体" w:hAnsi="宋体"/>
          <w:sz w:val="24"/>
        </w:rPr>
        <w:t>线上确认</w:t>
      </w:r>
      <w:r>
        <w:rPr>
          <w:rFonts w:ascii="宋体" w:hAnsi="宋体"/>
          <w:sz w:val="24"/>
        </w:rPr>
        <w:t>投标文件。</w:t>
      </w:r>
      <w:r>
        <w:rPr>
          <w:rFonts w:hint="eastAsia" w:ascii="宋体" w:hAnsi="宋体"/>
          <w:sz w:val="24"/>
        </w:rPr>
        <w:t>（本次招标</w:t>
      </w:r>
      <w:r>
        <w:rPr>
          <w:rFonts w:ascii="宋体" w:hAnsi="宋体"/>
          <w:sz w:val="24"/>
        </w:rPr>
        <w:t>采用先评审</w:t>
      </w:r>
      <w:r>
        <w:rPr>
          <w:rFonts w:hint="eastAsia" w:ascii="宋体" w:hAnsi="宋体"/>
          <w:sz w:val="24"/>
          <w:lang w:val="en-US" w:eastAsia="zh-CN"/>
        </w:rPr>
        <w:t>资格证明文件</w:t>
      </w:r>
      <w:r>
        <w:rPr>
          <w:rFonts w:hint="eastAsia" w:ascii="宋体" w:hAnsi="宋体"/>
          <w:sz w:val="24"/>
        </w:rPr>
        <w:t>，</w:t>
      </w:r>
      <w:r>
        <w:rPr>
          <w:rFonts w:ascii="宋体" w:hAnsi="宋体"/>
          <w:sz w:val="24"/>
        </w:rPr>
        <w:t>后并评审</w:t>
      </w:r>
      <w:r>
        <w:rPr>
          <w:rFonts w:hint="eastAsia" w:ascii="宋体" w:hAnsi="宋体"/>
          <w:sz w:val="24"/>
        </w:rPr>
        <w:t>报价文件</w:t>
      </w:r>
      <w:r>
        <w:rPr>
          <w:rFonts w:ascii="宋体" w:hAnsi="宋体"/>
          <w:sz w:val="24"/>
        </w:rPr>
        <w:t>的办法</w:t>
      </w:r>
      <w:r>
        <w:rPr>
          <w:rFonts w:hint="eastAsia" w:ascii="宋体" w:hAnsi="宋体"/>
          <w:sz w:val="24"/>
        </w:rPr>
        <w:t>实施）。</w:t>
      </w:r>
    </w:p>
    <w:p w14:paraId="0A285FDD">
      <w:pPr>
        <w:spacing w:line="360" w:lineRule="auto"/>
        <w:ind w:firstLine="480"/>
        <w:rPr>
          <w:rFonts w:ascii="宋体" w:hAnsi="宋体"/>
          <w:bCs/>
          <w:sz w:val="24"/>
        </w:rPr>
      </w:pPr>
      <w:r>
        <w:rPr>
          <w:rFonts w:ascii="宋体" w:hAnsi="宋体"/>
          <w:bCs/>
          <w:sz w:val="24"/>
        </w:rPr>
        <w:t>（二） 开</w:t>
      </w:r>
      <w:r>
        <w:rPr>
          <w:rFonts w:hint="eastAsia" w:ascii="宋体" w:hAnsi="宋体"/>
          <w:bCs/>
          <w:sz w:val="24"/>
        </w:rPr>
        <w:t>标</w:t>
      </w:r>
      <w:r>
        <w:rPr>
          <w:rFonts w:ascii="宋体" w:hAnsi="宋体"/>
          <w:bCs/>
          <w:sz w:val="24"/>
        </w:rPr>
        <w:t>程序：</w:t>
      </w:r>
    </w:p>
    <w:p w14:paraId="6402FBEA">
      <w:pPr>
        <w:pStyle w:val="226"/>
        <w:spacing w:line="360" w:lineRule="auto"/>
        <w:ind w:firstLine="480"/>
        <w:rPr>
          <w:rFonts w:hAnsi="宋体"/>
          <w:sz w:val="24"/>
        </w:rPr>
      </w:pPr>
      <w:r>
        <w:rPr>
          <w:rFonts w:hint="eastAsia" w:hAnsi="宋体"/>
          <w:sz w:val="24"/>
        </w:rPr>
        <w:t>1、代理机构项目负责人进入开标记录（商务资格技术），并发起询问函；</w:t>
      </w:r>
    </w:p>
    <w:p w14:paraId="0E1EC4C8">
      <w:pPr>
        <w:pStyle w:val="226"/>
        <w:spacing w:line="360" w:lineRule="auto"/>
        <w:ind w:firstLine="480"/>
        <w:rPr>
          <w:rFonts w:hAnsi="宋体"/>
          <w:sz w:val="24"/>
        </w:rPr>
      </w:pPr>
      <w:r>
        <w:rPr>
          <w:rFonts w:hint="eastAsia" w:hAnsi="宋体"/>
          <w:sz w:val="24"/>
        </w:rPr>
        <w:t xml:space="preserve">2、资格审查； </w:t>
      </w:r>
    </w:p>
    <w:p w14:paraId="4ED60F5B">
      <w:pPr>
        <w:pStyle w:val="226"/>
        <w:spacing w:line="360" w:lineRule="auto"/>
        <w:ind w:firstLine="480"/>
        <w:rPr>
          <w:rFonts w:hAnsi="宋体"/>
          <w:sz w:val="24"/>
        </w:rPr>
      </w:pPr>
      <w:r>
        <w:rPr>
          <w:rFonts w:hint="eastAsia" w:hAnsi="宋体"/>
          <w:sz w:val="24"/>
        </w:rPr>
        <w:t>3、符合性评审；</w:t>
      </w:r>
    </w:p>
    <w:p w14:paraId="62CA2832">
      <w:pPr>
        <w:pStyle w:val="226"/>
        <w:spacing w:line="360" w:lineRule="auto"/>
        <w:ind w:firstLine="480"/>
        <w:rPr>
          <w:rFonts w:hAnsi="宋体"/>
          <w:sz w:val="24"/>
        </w:rPr>
      </w:pPr>
      <w:r>
        <w:rPr>
          <w:rFonts w:hint="eastAsia" w:hAnsi="宋体"/>
          <w:sz w:val="24"/>
        </w:rPr>
        <w:t>4、商务技术评分；</w:t>
      </w:r>
    </w:p>
    <w:p w14:paraId="7FFB69E3">
      <w:pPr>
        <w:pStyle w:val="226"/>
        <w:spacing w:line="360" w:lineRule="auto"/>
        <w:ind w:firstLine="480"/>
        <w:rPr>
          <w:rFonts w:hAnsi="宋体"/>
          <w:sz w:val="24"/>
        </w:rPr>
      </w:pPr>
      <w:r>
        <w:rPr>
          <w:rFonts w:hint="eastAsia" w:hAnsi="宋体"/>
          <w:sz w:val="24"/>
        </w:rPr>
        <w:t>5、商务技术评分汇总；</w:t>
      </w:r>
    </w:p>
    <w:p w14:paraId="6E196765">
      <w:pPr>
        <w:pStyle w:val="226"/>
        <w:spacing w:line="360" w:lineRule="auto"/>
        <w:ind w:firstLine="480"/>
        <w:rPr>
          <w:rFonts w:hAnsi="宋体"/>
          <w:sz w:val="24"/>
        </w:rPr>
      </w:pPr>
      <w:r>
        <w:rPr>
          <w:rFonts w:hint="eastAsia" w:hAnsi="宋体"/>
          <w:sz w:val="24"/>
        </w:rPr>
        <w:t>6、商务技术结果公布；</w:t>
      </w:r>
    </w:p>
    <w:p w14:paraId="222DE2D9">
      <w:pPr>
        <w:pStyle w:val="226"/>
        <w:spacing w:line="360" w:lineRule="auto"/>
        <w:ind w:firstLine="480"/>
        <w:rPr>
          <w:rFonts w:hAnsi="宋体"/>
          <w:sz w:val="24"/>
        </w:rPr>
      </w:pPr>
      <w:r>
        <w:rPr>
          <w:rFonts w:hint="eastAsia" w:hAnsi="宋体"/>
          <w:sz w:val="24"/>
        </w:rPr>
        <w:t>7、进入开标记录（报价）；</w:t>
      </w:r>
    </w:p>
    <w:p w14:paraId="0708F7D2">
      <w:pPr>
        <w:spacing w:line="360" w:lineRule="auto"/>
        <w:ind w:firstLine="480"/>
        <w:rPr>
          <w:rFonts w:ascii="宋体" w:hAnsi="宋体"/>
          <w:sz w:val="24"/>
        </w:rPr>
      </w:pPr>
      <w:r>
        <w:rPr>
          <w:rFonts w:hint="eastAsia" w:ascii="宋体" w:hAnsi="宋体"/>
          <w:sz w:val="24"/>
        </w:rPr>
        <w:t>8、报价评审；</w:t>
      </w:r>
    </w:p>
    <w:p w14:paraId="597871EE">
      <w:pPr>
        <w:spacing w:line="360" w:lineRule="auto"/>
        <w:ind w:firstLine="480"/>
        <w:rPr>
          <w:rFonts w:ascii="宋体" w:hAnsi="宋体"/>
          <w:sz w:val="24"/>
        </w:rPr>
      </w:pPr>
      <w:r>
        <w:rPr>
          <w:rFonts w:hint="eastAsia" w:ascii="宋体" w:hAnsi="宋体"/>
          <w:sz w:val="24"/>
        </w:rPr>
        <w:t>9、得分汇总；</w:t>
      </w:r>
    </w:p>
    <w:p w14:paraId="015DD36B">
      <w:pPr>
        <w:spacing w:line="360" w:lineRule="auto"/>
        <w:ind w:firstLine="480"/>
        <w:rPr>
          <w:rFonts w:ascii="宋体" w:hAnsi="宋体"/>
          <w:sz w:val="24"/>
        </w:rPr>
      </w:pPr>
      <w:r>
        <w:rPr>
          <w:rFonts w:hint="eastAsia" w:ascii="宋体" w:hAnsi="宋体"/>
          <w:sz w:val="24"/>
        </w:rPr>
        <w:t>10、结果公布。</w:t>
      </w:r>
    </w:p>
    <w:p w14:paraId="5726EE61">
      <w:pPr>
        <w:spacing w:line="360" w:lineRule="auto"/>
        <w:jc w:val="center"/>
        <w:rPr>
          <w:rFonts w:ascii="宋体" w:hAnsi="Arial" w:cs="Arial"/>
          <w:b/>
          <w:sz w:val="24"/>
          <w:lang w:val="zh-CN"/>
        </w:rPr>
      </w:pPr>
      <w:r>
        <w:rPr>
          <w:rFonts w:hint="eastAsia" w:ascii="宋体" w:hAnsi="Arial" w:cs="Arial"/>
          <w:b/>
          <w:sz w:val="24"/>
          <w:lang w:val="zh-CN"/>
        </w:rPr>
        <w:t>五、评标</w:t>
      </w:r>
    </w:p>
    <w:p w14:paraId="3686E01D">
      <w:pPr>
        <w:pStyle w:val="226"/>
        <w:spacing w:line="360" w:lineRule="auto"/>
        <w:ind w:left="718" w:hanging="240"/>
        <w:rPr>
          <w:rFonts w:hAnsi="宋体"/>
          <w:b/>
          <w:sz w:val="24"/>
        </w:rPr>
      </w:pPr>
      <w:r>
        <w:rPr>
          <w:rFonts w:hAnsi="宋体"/>
          <w:b/>
          <w:sz w:val="24"/>
        </w:rPr>
        <w:t>（一）组建评标委员会</w:t>
      </w:r>
    </w:p>
    <w:p w14:paraId="56F35EE7">
      <w:pPr>
        <w:pStyle w:val="226"/>
        <w:spacing w:line="360" w:lineRule="auto"/>
        <w:ind w:firstLine="480"/>
        <w:rPr>
          <w:rFonts w:hAnsi="宋体"/>
          <w:sz w:val="24"/>
        </w:rPr>
      </w:pPr>
      <w:r>
        <w:rPr>
          <w:rFonts w:hAnsi="宋体"/>
          <w:sz w:val="24"/>
        </w:rPr>
        <w:t>本项目评标由招标人依法组建的评标委员会负责。评标委员会由招标人或其委托的招标代理机构熟悉相关业务的代表，以及有关技术、经济等方面的专家组成。</w:t>
      </w:r>
    </w:p>
    <w:p w14:paraId="03F5DEDE">
      <w:pPr>
        <w:pStyle w:val="226"/>
        <w:spacing w:line="360" w:lineRule="auto"/>
        <w:ind w:left="718" w:hanging="240"/>
        <w:rPr>
          <w:rFonts w:hAnsi="宋体"/>
          <w:b/>
          <w:sz w:val="24"/>
        </w:rPr>
      </w:pPr>
      <w:r>
        <w:rPr>
          <w:rFonts w:hAnsi="宋体"/>
          <w:b/>
          <w:sz w:val="24"/>
        </w:rPr>
        <w:t>（</w:t>
      </w:r>
      <w:r>
        <w:rPr>
          <w:rFonts w:hint="eastAsia" w:hAnsi="宋体"/>
          <w:b/>
          <w:sz w:val="24"/>
        </w:rPr>
        <w:t>二</w:t>
      </w:r>
      <w:r>
        <w:rPr>
          <w:rFonts w:hAnsi="宋体"/>
          <w:b/>
          <w:sz w:val="24"/>
        </w:rPr>
        <w:t>）</w:t>
      </w:r>
      <w:r>
        <w:rPr>
          <w:rFonts w:hAnsi="宋体"/>
          <w:b/>
          <w:bCs/>
          <w:sz w:val="24"/>
        </w:rPr>
        <w:t>评标程序</w:t>
      </w:r>
    </w:p>
    <w:p w14:paraId="7A51E4F0">
      <w:pPr>
        <w:spacing w:line="360" w:lineRule="auto"/>
        <w:ind w:firstLine="470"/>
        <w:rPr>
          <w:rFonts w:ascii="宋体" w:hAnsi="宋体"/>
          <w:b/>
          <w:bCs/>
          <w:sz w:val="24"/>
        </w:rPr>
      </w:pPr>
      <w:r>
        <w:rPr>
          <w:rFonts w:hint="eastAsia" w:ascii="宋体" w:hAnsi="宋体"/>
          <w:b/>
          <w:bCs/>
          <w:sz w:val="24"/>
        </w:rPr>
        <w:t>1、资格</w:t>
      </w:r>
      <w:r>
        <w:rPr>
          <w:rFonts w:ascii="宋体" w:hAnsi="宋体"/>
          <w:b/>
          <w:bCs/>
          <w:sz w:val="24"/>
        </w:rPr>
        <w:t>审查</w:t>
      </w:r>
    </w:p>
    <w:p w14:paraId="541E86ED">
      <w:pPr>
        <w:pStyle w:val="241"/>
        <w:spacing w:before="0" w:beforeAutospacing="0" w:after="0" w:afterAutospacing="0" w:line="360" w:lineRule="auto"/>
        <w:ind w:firstLine="480"/>
        <w:jc w:val="both"/>
        <w:rPr>
          <w:rFonts w:hint="default"/>
        </w:rPr>
      </w:pPr>
      <w:r>
        <w:t>邀请招标采购项目开标结束后，采购人或者采购组织机构应当依法对投标人的资格进行审查，对审查发现无效的进行必要的询标，结束后公布无效投标的投标人名单、投标无效的原因。</w:t>
      </w:r>
    </w:p>
    <w:p w14:paraId="17AF489A">
      <w:pPr>
        <w:pStyle w:val="241"/>
        <w:spacing w:before="0" w:beforeAutospacing="0" w:after="0" w:afterAutospacing="0" w:line="360" w:lineRule="auto"/>
        <w:ind w:firstLine="470"/>
        <w:jc w:val="both"/>
        <w:rPr>
          <w:rFonts w:hint="default"/>
          <w:b/>
          <w:bCs/>
        </w:rPr>
      </w:pPr>
      <w:r>
        <w:rPr>
          <w:b/>
          <w:bCs/>
        </w:rPr>
        <w:t>2、符合性审查</w:t>
      </w:r>
    </w:p>
    <w:p w14:paraId="36BF07A6">
      <w:pPr>
        <w:pStyle w:val="241"/>
        <w:spacing w:before="0" w:beforeAutospacing="0" w:after="0" w:afterAutospacing="0" w:line="360" w:lineRule="auto"/>
        <w:ind w:firstLine="480"/>
        <w:jc w:val="both"/>
        <w:rPr>
          <w:rFonts w:hint="default"/>
        </w:rPr>
      </w:pPr>
      <w:r>
        <w:t>评标委员会应当对符合资格的投标人的投标文件进行符合性审查，以确定其是否满足招标文件的实质性要求，对审查发现无效的进行必要的询标，结束后公布无效投标的投标人名单、投标无效的原因。</w:t>
      </w:r>
    </w:p>
    <w:p w14:paraId="7C79E6B6">
      <w:pPr>
        <w:pStyle w:val="241"/>
        <w:spacing w:before="0" w:beforeAutospacing="0" w:after="0" w:afterAutospacing="0" w:line="360" w:lineRule="auto"/>
        <w:ind w:firstLine="480"/>
        <w:jc w:val="both"/>
        <w:rPr>
          <w:rFonts w:hint="default"/>
        </w:rPr>
      </w:pPr>
      <w:r>
        <w:rPr>
          <w:b/>
          <w:bCs/>
        </w:rPr>
        <w:t>3、</w:t>
      </w:r>
      <w:r>
        <w:rPr>
          <w:rFonts w:ascii="Arial" w:hAnsi="Arial" w:cs="Arial"/>
          <w:b/>
          <w:bCs/>
        </w:rPr>
        <w:t>综合比较与评价</w:t>
      </w:r>
    </w:p>
    <w:p w14:paraId="6413C278">
      <w:pPr>
        <w:pStyle w:val="241"/>
        <w:spacing w:before="0" w:beforeAutospacing="0" w:after="0" w:afterAutospacing="0" w:line="360" w:lineRule="auto"/>
        <w:ind w:firstLine="360"/>
        <w:jc w:val="both"/>
        <w:rPr>
          <w:rFonts w:hint="default"/>
        </w:rPr>
      </w:pPr>
      <w:r>
        <w:t>（1）对于投标文件中含义不明确、同类问题表述不一致或者有明显文字和计算错误的内容，评标委员会应当以书面形式要求投标人作出必要的澄清、说明或者补正。</w:t>
      </w:r>
    </w:p>
    <w:p w14:paraId="0A6FFC45">
      <w:pPr>
        <w:pStyle w:val="241"/>
        <w:spacing w:before="0" w:beforeAutospacing="0" w:after="0" w:afterAutospacing="0" w:line="360" w:lineRule="auto"/>
        <w:ind w:firstLine="360"/>
        <w:jc w:val="both"/>
        <w:rPr>
          <w:rFonts w:hint="default"/>
        </w:rPr>
      </w:pPr>
      <w:r>
        <w:t>（2）评标委员会应当按照招标文件中规定的评标方法和标准，对符合性审查合格的投标文件进行商务和技术评估，综合比较与评价。</w:t>
      </w:r>
    </w:p>
    <w:p w14:paraId="33559A77">
      <w:pPr>
        <w:spacing w:line="360" w:lineRule="auto"/>
        <w:ind w:firstLine="360"/>
        <w:rPr>
          <w:rFonts w:ascii="宋体" w:hAnsi="宋体"/>
          <w:sz w:val="24"/>
        </w:rPr>
      </w:pPr>
      <w:r>
        <w:rPr>
          <w:rFonts w:hint="eastAsia" w:ascii="宋体" w:hAnsi="宋体"/>
          <w:sz w:val="24"/>
        </w:rPr>
        <w:t>（3）评标时，评标委员会各成员应当独立对每个投标人的投标文件进行评价，并汇总每个投标人的得分。</w:t>
      </w:r>
    </w:p>
    <w:p w14:paraId="2315CAED">
      <w:pPr>
        <w:spacing w:line="360" w:lineRule="auto"/>
        <w:ind w:firstLine="480"/>
        <w:rPr>
          <w:rFonts w:ascii="Arial" w:hAnsi="Arial" w:cs="Arial"/>
          <w:b/>
          <w:bCs/>
          <w:sz w:val="24"/>
        </w:rPr>
      </w:pPr>
      <w:r>
        <w:rPr>
          <w:rFonts w:hint="eastAsia" w:ascii="Arial" w:hAnsi="Arial" w:cs="Arial"/>
          <w:b/>
          <w:bCs/>
          <w:sz w:val="24"/>
        </w:rPr>
        <w:t>4、得分确认及评审报告编写</w:t>
      </w:r>
    </w:p>
    <w:p w14:paraId="2B109B56">
      <w:pPr>
        <w:pStyle w:val="226"/>
        <w:spacing w:line="360" w:lineRule="auto"/>
        <w:ind w:firstLine="420"/>
        <w:rPr>
          <w:rFonts w:hAnsi="宋体"/>
          <w:sz w:val="24"/>
        </w:rPr>
      </w:pPr>
      <w:r>
        <w:rPr>
          <w:rFonts w:hAnsi="宋体"/>
          <w:sz w:val="24"/>
        </w:rPr>
        <w:t>（</w:t>
      </w:r>
      <w:r>
        <w:rPr>
          <w:rFonts w:hint="eastAsia" w:hAnsi="宋体"/>
          <w:sz w:val="24"/>
        </w:rPr>
        <w:t>1</w:t>
      </w:r>
      <w:r>
        <w:rPr>
          <w:rFonts w:hAnsi="宋体"/>
          <w:sz w:val="24"/>
        </w:rPr>
        <w:t>）</w:t>
      </w:r>
      <w:r>
        <w:rPr>
          <w:rFonts w:hint="eastAsia" w:hAnsi="宋体"/>
          <w:sz w:val="24"/>
        </w:rPr>
        <w:t>评标委员会对报价文件进行复核，对于系统计算出的价格分及总得分进行确认；</w:t>
      </w:r>
    </w:p>
    <w:p w14:paraId="50BAE0B3">
      <w:pPr>
        <w:pStyle w:val="241"/>
        <w:spacing w:before="0" w:beforeAutospacing="0" w:after="0" w:afterAutospacing="0" w:line="360" w:lineRule="auto"/>
        <w:ind w:firstLine="420"/>
        <w:jc w:val="both"/>
        <w:rPr>
          <w:rFonts w:hint="default"/>
        </w:rPr>
      </w:pPr>
      <w:r>
        <w:t>（2）评标委员会应当按照招标文件中规定的评标方法和标准，对符合性审查合格的投标文件进行商务和技术评估，综合比较与评价。</w:t>
      </w:r>
    </w:p>
    <w:p w14:paraId="3582B267">
      <w:pPr>
        <w:spacing w:line="360" w:lineRule="auto"/>
        <w:ind w:firstLine="480"/>
        <w:rPr>
          <w:rFonts w:ascii="Arial" w:hAnsi="Arial" w:cs="Arial"/>
          <w:b/>
          <w:bCs/>
          <w:sz w:val="24"/>
        </w:rPr>
      </w:pPr>
      <w:r>
        <w:rPr>
          <w:rFonts w:ascii="宋体" w:hAnsi="宋体"/>
          <w:sz w:val="24"/>
        </w:rPr>
        <w:t>（</w:t>
      </w:r>
      <w:r>
        <w:rPr>
          <w:rFonts w:hint="eastAsia" w:ascii="宋体" w:hAnsi="宋体"/>
          <w:sz w:val="24"/>
        </w:rPr>
        <w:t>3</w:t>
      </w:r>
      <w:r>
        <w:rPr>
          <w:rFonts w:ascii="宋体" w:hAnsi="宋体"/>
          <w:sz w:val="24"/>
        </w:rPr>
        <w:t>）</w:t>
      </w:r>
      <w:r>
        <w:rPr>
          <w:rFonts w:hint="eastAsia" w:ascii="宋体" w:hAnsi="宋体"/>
          <w:sz w:val="24"/>
        </w:rPr>
        <w:t>评标委员会</w:t>
      </w:r>
      <w:r>
        <w:rPr>
          <w:rFonts w:ascii="宋体" w:hAnsi="宋体"/>
          <w:sz w:val="24"/>
        </w:rPr>
        <w:t>按评标原则</w:t>
      </w:r>
      <w:r>
        <w:rPr>
          <w:rFonts w:hint="eastAsia" w:ascii="宋体" w:hAnsi="宋体"/>
          <w:sz w:val="24"/>
        </w:rPr>
        <w:t>及得分情况编写评审报告。</w:t>
      </w:r>
    </w:p>
    <w:p w14:paraId="38ADC801">
      <w:pPr>
        <w:spacing w:line="360" w:lineRule="auto"/>
        <w:ind w:firstLine="480"/>
        <w:rPr>
          <w:rFonts w:ascii="宋体" w:hAnsi="宋体"/>
          <w:b/>
          <w:sz w:val="24"/>
        </w:rPr>
      </w:pPr>
      <w:r>
        <w:rPr>
          <w:rFonts w:hint="eastAsia" w:ascii="宋体" w:hAnsi="宋体"/>
          <w:b/>
          <w:sz w:val="24"/>
        </w:rPr>
        <w:t>5、评价</w:t>
      </w:r>
    </w:p>
    <w:p w14:paraId="0A2CF6C4">
      <w:pPr>
        <w:spacing w:line="360" w:lineRule="auto"/>
        <w:ind w:firstLine="480"/>
        <w:rPr>
          <w:rFonts w:ascii="宋体" w:hAnsi="宋体"/>
          <w:b/>
          <w:sz w:val="24"/>
        </w:rPr>
      </w:pPr>
      <w:r>
        <w:rPr>
          <w:rFonts w:hint="eastAsia" w:ascii="宋体" w:hAnsi="宋体"/>
          <w:sz w:val="24"/>
        </w:rPr>
        <w:t>采购组织机构对评标委员会评审专家进行评价。</w:t>
      </w:r>
    </w:p>
    <w:p w14:paraId="7BE9FA57">
      <w:pPr>
        <w:spacing w:line="360" w:lineRule="auto"/>
        <w:ind w:firstLine="480"/>
        <w:rPr>
          <w:rFonts w:ascii="宋体" w:hAnsi="宋体"/>
          <w:b/>
          <w:sz w:val="24"/>
        </w:rPr>
      </w:pPr>
      <w:r>
        <w:rPr>
          <w:rFonts w:hint="eastAsia" w:ascii="宋体" w:hAnsi="宋体"/>
          <w:b/>
          <w:sz w:val="24"/>
        </w:rPr>
        <w:t>（三）澄清问题的形式</w:t>
      </w:r>
    </w:p>
    <w:p w14:paraId="7C616149">
      <w:pPr>
        <w:spacing w:line="360" w:lineRule="auto"/>
        <w:ind w:firstLine="480"/>
        <w:rPr>
          <w:rFonts w:ascii="宋体" w:hAnsi="宋体"/>
          <w:sz w:val="24"/>
        </w:rPr>
      </w:pPr>
      <w:r>
        <w:rPr>
          <w:rFonts w:hint="eastAsia" w:ascii="宋体" w:hAnsi="宋体"/>
          <w:sz w:val="24"/>
        </w:rPr>
        <w:t>投标人的澄清、说明或者补正应当采用书面形式，并加盖公章（电子签章），或者由法定代理人或其授权的代表签字，并不得超出投标文件的范围或者改变投标文件的实质性内容。</w:t>
      </w:r>
    </w:p>
    <w:p w14:paraId="2C4A9313">
      <w:pPr>
        <w:pStyle w:val="226"/>
        <w:spacing w:line="360" w:lineRule="auto"/>
        <w:ind w:left="718" w:hanging="240"/>
        <w:rPr>
          <w:rFonts w:hAnsi="宋体"/>
          <w:b/>
          <w:sz w:val="24"/>
        </w:rPr>
      </w:pPr>
      <w:r>
        <w:rPr>
          <w:rFonts w:hint="eastAsia" w:hAnsi="宋体"/>
          <w:b/>
          <w:sz w:val="24"/>
        </w:rPr>
        <w:t>（四）错误修正</w:t>
      </w:r>
    </w:p>
    <w:p w14:paraId="0BA16E81">
      <w:pPr>
        <w:pStyle w:val="241"/>
        <w:spacing w:before="0" w:beforeAutospacing="0" w:after="0" w:afterAutospacing="0" w:line="360" w:lineRule="auto"/>
        <w:ind w:firstLine="480"/>
        <w:jc w:val="both"/>
        <w:rPr>
          <w:rFonts w:hint="default"/>
        </w:rPr>
      </w:pPr>
      <w:r>
        <w:t>投标文件报价出现前后不一致的，除招标文件另有规定外，按照下列规定修正：</w:t>
      </w:r>
    </w:p>
    <w:p w14:paraId="5C282AAE">
      <w:pPr>
        <w:pStyle w:val="241"/>
        <w:spacing w:before="0" w:beforeAutospacing="0" w:after="0" w:afterAutospacing="0" w:line="360" w:lineRule="auto"/>
        <w:jc w:val="both"/>
        <w:rPr>
          <w:rFonts w:hint="default"/>
        </w:rPr>
      </w:pPr>
      <w:r>
        <w:t>　　1、投标文件中开标一览表（报价表）内容与投标文件中相应内容不一致的，以开标一览表（报价表）为准；</w:t>
      </w:r>
    </w:p>
    <w:p w14:paraId="0C972A6C">
      <w:pPr>
        <w:pStyle w:val="241"/>
        <w:spacing w:before="0" w:beforeAutospacing="0" w:after="0" w:afterAutospacing="0" w:line="360" w:lineRule="auto"/>
        <w:jc w:val="both"/>
        <w:rPr>
          <w:rFonts w:hint="default"/>
        </w:rPr>
      </w:pPr>
      <w:r>
        <w:t>　　2、大写金额和小写金额不一致的，以大写金额为准；</w:t>
      </w:r>
    </w:p>
    <w:p w14:paraId="74E3CFD3">
      <w:pPr>
        <w:pStyle w:val="241"/>
        <w:spacing w:before="0" w:beforeAutospacing="0" w:after="0" w:afterAutospacing="0" w:line="360" w:lineRule="auto"/>
        <w:jc w:val="both"/>
        <w:rPr>
          <w:rFonts w:hint="default"/>
        </w:rPr>
      </w:pPr>
      <w:r>
        <w:t>　　3、单价金额小数点或者百分比有明显错位的，以开标一览表的总价为准，并修改单价；</w:t>
      </w:r>
    </w:p>
    <w:p w14:paraId="33C7156E">
      <w:pPr>
        <w:pStyle w:val="241"/>
        <w:spacing w:before="0" w:beforeAutospacing="0" w:after="0" w:afterAutospacing="0" w:line="360" w:lineRule="auto"/>
        <w:jc w:val="both"/>
        <w:rPr>
          <w:rFonts w:hint="default"/>
        </w:rPr>
      </w:pPr>
      <w:r>
        <w:t>　　4、总价金额与按单价汇总金额不一致的，以单价金额计算结果为准。</w:t>
      </w:r>
    </w:p>
    <w:p w14:paraId="2BC7550A">
      <w:pPr>
        <w:pStyle w:val="241"/>
        <w:spacing w:before="0" w:beforeAutospacing="0" w:after="0" w:afterAutospacing="0" w:line="360" w:lineRule="auto"/>
        <w:jc w:val="both"/>
        <w:rPr>
          <w:rFonts w:hint="default"/>
        </w:rPr>
      </w:pPr>
      <w:r>
        <w:t>　　同时出现两种以上不一致的，按照前款规定的顺序修正。修正应当采用书面形式，并加盖公章，或者由法定代表人或其授权的代表签字。修正后的报价经投标人确认后产生约束力，投标人不确认的，其投标无效。</w:t>
      </w:r>
    </w:p>
    <w:p w14:paraId="555C39D2">
      <w:pPr>
        <w:pStyle w:val="241"/>
        <w:spacing w:before="0" w:beforeAutospacing="0" w:after="0" w:afterAutospacing="0" w:line="360" w:lineRule="auto"/>
        <w:ind w:firstLine="360"/>
        <w:jc w:val="both"/>
        <w:rPr>
          <w:rFonts w:ascii="宋体" w:hAnsi="宋体"/>
          <w:b/>
          <w:bCs/>
          <w:sz w:val="24"/>
        </w:rPr>
      </w:pPr>
      <w:r>
        <w:rPr>
          <w:b/>
          <w:bCs/>
        </w:rPr>
        <w:t>（五）</w:t>
      </w:r>
      <w:r>
        <w:rPr>
          <w:b/>
        </w:rPr>
        <w:t>投标人存在下列情况之一的，投标无效</w:t>
      </w:r>
    </w:p>
    <w:p w14:paraId="393A262E">
      <w:pPr>
        <w:pStyle w:val="241"/>
        <w:tabs>
          <w:tab w:val="left" w:pos="7380"/>
        </w:tabs>
        <w:spacing w:before="0" w:beforeAutospacing="0" w:after="0" w:afterAutospacing="0" w:line="360" w:lineRule="auto"/>
        <w:jc w:val="both"/>
        <w:rPr>
          <w:rFonts w:hint="default"/>
        </w:rPr>
      </w:pPr>
      <w:r>
        <w:t>　　</w:t>
      </w:r>
      <w:r>
        <w:rPr>
          <w:rFonts w:hint="eastAsia"/>
          <w:lang w:val="en-US" w:eastAsia="zh-CN"/>
        </w:rPr>
        <w:t>1</w:t>
      </w:r>
      <w:r>
        <w:t>、不具备招标文件中规定的资格要求的。</w:t>
      </w:r>
      <w:r>
        <w:tab/>
      </w:r>
    </w:p>
    <w:p w14:paraId="1B58E20E">
      <w:pPr>
        <w:pStyle w:val="241"/>
        <w:spacing w:before="0" w:beforeAutospacing="0" w:after="0" w:afterAutospacing="0" w:line="360" w:lineRule="auto"/>
        <w:jc w:val="both"/>
        <w:rPr>
          <w:rFonts w:hint="default"/>
        </w:rPr>
      </w:pPr>
      <w:r>
        <w:t xml:space="preserve">　  </w:t>
      </w:r>
      <w:r>
        <w:rPr>
          <w:rFonts w:hint="eastAsia"/>
          <w:lang w:val="en-US" w:eastAsia="zh-CN"/>
        </w:rPr>
        <w:t>2</w:t>
      </w:r>
      <w:r>
        <w:t>、投标文件含有采购人不能接受的附加条件的。</w:t>
      </w:r>
    </w:p>
    <w:p w14:paraId="6E5DB3BA">
      <w:pPr>
        <w:spacing w:line="360" w:lineRule="auto"/>
        <w:ind w:firstLine="470"/>
        <w:rPr>
          <w:rFonts w:ascii="宋体" w:hAnsi="宋体"/>
          <w:bCs/>
          <w:sz w:val="24"/>
        </w:rPr>
      </w:pPr>
      <w:r>
        <w:rPr>
          <w:rFonts w:hint="eastAsia" w:ascii="宋体" w:hAnsi="宋体"/>
          <w:sz w:val="24"/>
          <w:lang w:val="en-US" w:eastAsia="zh-CN"/>
        </w:rPr>
        <w:t>3</w:t>
      </w:r>
      <w:r>
        <w:rPr>
          <w:rFonts w:hint="eastAsia" w:ascii="宋体" w:hAnsi="宋体"/>
          <w:sz w:val="24"/>
        </w:rPr>
        <w:t>、投标代表人未能出具身份证明或与法定代表人授权委托人身份不符的；</w:t>
      </w:r>
    </w:p>
    <w:p w14:paraId="7E35C4D5">
      <w:pPr>
        <w:pStyle w:val="241"/>
        <w:spacing w:before="0" w:beforeAutospacing="0" w:after="0" w:afterAutospacing="0" w:line="360" w:lineRule="auto"/>
        <w:ind w:firstLine="480"/>
        <w:jc w:val="both"/>
        <w:rPr>
          <w:rFonts w:hint="default"/>
        </w:rPr>
      </w:pPr>
      <w:r>
        <w:rPr>
          <w:rFonts w:hint="eastAsia"/>
          <w:lang w:val="en-US" w:eastAsia="zh-CN"/>
        </w:rPr>
        <w:t>4</w:t>
      </w: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80B4FE">
      <w:pPr>
        <w:pStyle w:val="241"/>
        <w:spacing w:before="0" w:beforeAutospacing="0" w:after="0" w:afterAutospacing="0" w:line="360" w:lineRule="auto"/>
        <w:ind w:firstLine="480"/>
        <w:jc w:val="both"/>
        <w:rPr>
          <w:rFonts w:hint="default"/>
        </w:rPr>
      </w:pPr>
      <w:r>
        <w:rPr>
          <w:rFonts w:hint="eastAsia"/>
          <w:lang w:val="en-US" w:eastAsia="zh-CN"/>
        </w:rPr>
        <w:t>5</w:t>
      </w:r>
      <w:r>
        <w:t xml:space="preserve">、报价超过招标文件中规定的预算金额/最高限价。 </w:t>
      </w:r>
    </w:p>
    <w:p w14:paraId="1DD361BF">
      <w:pPr>
        <w:pStyle w:val="241"/>
        <w:spacing w:before="0" w:beforeAutospacing="0" w:after="0" w:afterAutospacing="0" w:line="360" w:lineRule="auto"/>
        <w:ind w:firstLine="480"/>
        <w:jc w:val="both"/>
        <w:rPr>
          <w:rFonts w:hint="default"/>
        </w:rPr>
      </w:pPr>
      <w:r>
        <w:rPr>
          <w:rFonts w:hint="eastAsia"/>
          <w:lang w:val="en-US" w:eastAsia="zh-CN"/>
        </w:rPr>
        <w:t>6</w:t>
      </w:r>
      <w:r>
        <w:t>、主要性能参数指标负偏离</w:t>
      </w:r>
      <w:r>
        <w:rPr>
          <w:u w:val="single"/>
        </w:rPr>
        <w:t>5</w:t>
      </w:r>
      <w:r>
        <w:t>项（含）以上的。</w:t>
      </w:r>
    </w:p>
    <w:p w14:paraId="4E69565E">
      <w:pPr>
        <w:tabs>
          <w:tab w:val="left" w:pos="1898"/>
        </w:tabs>
        <w:spacing w:line="360" w:lineRule="auto"/>
        <w:ind w:firstLine="480"/>
        <w:rPr>
          <w:rFonts w:ascii="宋体" w:hAnsi="宋体"/>
          <w:sz w:val="24"/>
        </w:rPr>
      </w:pPr>
      <w:r>
        <w:rPr>
          <w:rFonts w:hint="eastAsia" w:ascii="宋体" w:hAnsi="宋体"/>
          <w:sz w:val="24"/>
          <w:lang w:val="en-US" w:eastAsia="zh-CN"/>
        </w:rPr>
        <w:t>7</w:t>
      </w:r>
      <w:r>
        <w:rPr>
          <w:rFonts w:hint="eastAsia" w:ascii="宋体" w:hAnsi="宋体"/>
          <w:sz w:val="24"/>
        </w:rPr>
        <w:t>、投标参数未如实填写，完全复制粘贴招标参数的。</w:t>
      </w:r>
    </w:p>
    <w:p w14:paraId="2D81D0D4">
      <w:pPr>
        <w:tabs>
          <w:tab w:val="left" w:pos="1898"/>
        </w:tabs>
        <w:spacing w:line="360" w:lineRule="auto"/>
        <w:ind w:firstLine="480"/>
        <w:rPr>
          <w:rFonts w:ascii="宋体" w:hAnsi="宋体"/>
          <w:sz w:val="24"/>
        </w:rPr>
      </w:pPr>
      <w:r>
        <w:rPr>
          <w:rFonts w:hint="eastAsia" w:ascii="宋体" w:hAnsi="宋体"/>
          <w:sz w:val="24"/>
          <w:lang w:val="en-US" w:eastAsia="zh-CN"/>
        </w:rPr>
        <w:t>8</w:t>
      </w:r>
      <w:r>
        <w:rPr>
          <w:rFonts w:hint="eastAsia" w:ascii="宋体" w:hAnsi="宋体"/>
          <w:sz w:val="24"/>
        </w:rPr>
        <w:t xml:space="preserve">、投标文件提供虚假材料的。 </w:t>
      </w:r>
    </w:p>
    <w:p w14:paraId="755029A2">
      <w:pPr>
        <w:tabs>
          <w:tab w:val="left" w:pos="1898"/>
        </w:tabs>
        <w:spacing w:line="360" w:lineRule="auto"/>
        <w:ind w:firstLine="480"/>
        <w:rPr>
          <w:rFonts w:ascii="宋体" w:hAnsi="宋体"/>
          <w:sz w:val="24"/>
        </w:rPr>
      </w:pPr>
      <w:r>
        <w:rPr>
          <w:rFonts w:hint="eastAsia" w:ascii="宋体" w:hAnsi="宋体"/>
          <w:sz w:val="24"/>
          <w:lang w:val="en-US" w:eastAsia="zh-CN"/>
        </w:rPr>
        <w:t>9</w:t>
      </w:r>
      <w:r>
        <w:rPr>
          <w:rFonts w:ascii="宋体" w:hAnsi="宋体"/>
          <w:sz w:val="24"/>
        </w:rPr>
        <w:t>、不符合中华人民共和国财政部令第87号《政府采购货物和服务招标投标管理办法》第三十七条情形之一的，视为投标人串通投标，其投标无效</w:t>
      </w:r>
      <w:r>
        <w:rPr>
          <w:rFonts w:hint="eastAsia" w:ascii="宋体" w:hAnsi="宋体"/>
          <w:sz w:val="24"/>
        </w:rPr>
        <w:t>，并移送采购监管部门</w:t>
      </w:r>
      <w:r>
        <w:rPr>
          <w:rFonts w:ascii="宋体" w:hAnsi="宋体"/>
          <w:sz w:val="24"/>
        </w:rPr>
        <w:t>：</w:t>
      </w:r>
    </w:p>
    <w:p w14:paraId="30DAB60B">
      <w:pPr>
        <w:pStyle w:val="241"/>
        <w:spacing w:before="0" w:beforeAutospacing="0" w:after="0" w:afterAutospacing="0" w:line="360" w:lineRule="auto"/>
        <w:jc w:val="both"/>
        <w:rPr>
          <w:rFonts w:hint="default"/>
        </w:rPr>
      </w:pPr>
      <w:r>
        <w:t>　 （1）不同投标人的投标文件由同一单位或者个人编制；</w:t>
      </w:r>
    </w:p>
    <w:p w14:paraId="79E15831">
      <w:pPr>
        <w:pStyle w:val="241"/>
        <w:spacing w:before="0" w:beforeAutospacing="0" w:after="0" w:afterAutospacing="0" w:line="360" w:lineRule="auto"/>
        <w:jc w:val="both"/>
        <w:rPr>
          <w:rFonts w:hint="default"/>
        </w:rPr>
      </w:pPr>
      <w:r>
        <w:t>　 （2）不同投标人委托同一单位或者个人办理投标事宜；</w:t>
      </w:r>
    </w:p>
    <w:p w14:paraId="3BF55734">
      <w:pPr>
        <w:pStyle w:val="241"/>
        <w:spacing w:before="0" w:beforeAutospacing="0" w:after="0" w:afterAutospacing="0" w:line="360" w:lineRule="auto"/>
        <w:jc w:val="both"/>
        <w:rPr>
          <w:rFonts w:hint="default"/>
        </w:rPr>
      </w:pPr>
      <w:r>
        <w:t>　 （3）不同投标人的投标文件载明的项目管理成员或者联系人员为同一人；</w:t>
      </w:r>
    </w:p>
    <w:p w14:paraId="6BCCFBE1">
      <w:pPr>
        <w:pStyle w:val="241"/>
        <w:spacing w:before="0" w:beforeAutospacing="0" w:after="0" w:afterAutospacing="0" w:line="360" w:lineRule="auto"/>
        <w:jc w:val="both"/>
        <w:rPr>
          <w:rFonts w:hint="default"/>
        </w:rPr>
      </w:pPr>
      <w:r>
        <w:t>　 （4）不同投标人的投标文件异常一致或者投标报价呈规律性差异；</w:t>
      </w:r>
    </w:p>
    <w:p w14:paraId="02A10DC9">
      <w:pPr>
        <w:pStyle w:val="241"/>
        <w:spacing w:before="0" w:beforeAutospacing="0" w:after="0" w:afterAutospacing="0" w:line="360" w:lineRule="auto"/>
        <w:jc w:val="both"/>
        <w:rPr>
          <w:rFonts w:hint="default"/>
        </w:rPr>
      </w:pPr>
      <w:r>
        <w:t>　 （5）不同投标人的投标文件相互混装；</w:t>
      </w:r>
    </w:p>
    <w:p w14:paraId="49581CDF">
      <w:pPr>
        <w:spacing w:line="360" w:lineRule="auto"/>
        <w:ind w:firstLine="480"/>
        <w:rPr>
          <w:rFonts w:ascii="宋体" w:hAnsi="宋体"/>
          <w:sz w:val="24"/>
        </w:rPr>
      </w:pPr>
      <w:r>
        <w:rPr>
          <w:rFonts w:hint="eastAsia" w:ascii="宋体" w:hAnsi="宋体"/>
          <w:sz w:val="24"/>
        </w:rPr>
        <w:t>11、不符合法律、法规和招标文件中规定的其他实质性要求的（招标文件</w:t>
      </w:r>
    </w:p>
    <w:p w14:paraId="3F964F95">
      <w:pPr>
        <w:tabs>
          <w:tab w:val="right" w:pos="8306"/>
        </w:tabs>
        <w:spacing w:line="360" w:lineRule="auto"/>
        <w:rPr>
          <w:rFonts w:ascii="宋体" w:hAnsi="宋体"/>
          <w:sz w:val="24"/>
        </w:rPr>
      </w:pPr>
      <w:r>
        <w:rPr>
          <w:rFonts w:hint="eastAsia" w:ascii="宋体" w:hAnsi="宋体"/>
          <w:sz w:val="24"/>
        </w:rPr>
        <w:t>中打“▲”内容及被拒绝的条款）。</w:t>
      </w:r>
    </w:p>
    <w:p w14:paraId="2471424C">
      <w:pPr>
        <w:numPr>
          <w:ilvl w:val="0"/>
          <w:numId w:val="6"/>
        </w:numPr>
        <w:tabs>
          <w:tab w:val="right" w:pos="8306"/>
        </w:tabs>
        <w:spacing w:line="360" w:lineRule="auto"/>
        <w:ind w:firstLine="480"/>
        <w:rPr>
          <w:rFonts w:ascii="宋体" w:hAnsi="宋体"/>
          <w:sz w:val="24"/>
        </w:rPr>
      </w:pPr>
      <w:r>
        <w:rPr>
          <w:rFonts w:hint="eastAsia" w:ascii="宋体" w:hAnsi="宋体"/>
          <w:sz w:val="24"/>
        </w:rPr>
        <w:t>商务条款不响应。</w:t>
      </w:r>
    </w:p>
    <w:p w14:paraId="00355FD0">
      <w:pPr>
        <w:numPr>
          <w:ilvl w:val="0"/>
          <w:numId w:val="6"/>
        </w:numPr>
        <w:tabs>
          <w:tab w:val="right" w:pos="8306"/>
        </w:tabs>
        <w:spacing w:line="360" w:lineRule="auto"/>
        <w:ind w:firstLine="480"/>
      </w:pPr>
      <w:r>
        <w:rPr>
          <w:rFonts w:hint="eastAsia" w:ascii="宋体" w:hAnsi="宋体"/>
          <w:sz w:val="24"/>
        </w:rPr>
        <w:t>投标文件未按时解密。</w:t>
      </w:r>
    </w:p>
    <w:p w14:paraId="3CBBED59">
      <w:pPr>
        <w:spacing w:line="360" w:lineRule="auto"/>
        <w:ind w:left="480"/>
        <w:rPr>
          <w:rFonts w:ascii="宋体" w:hAnsi="宋体"/>
          <w:sz w:val="24"/>
        </w:rPr>
      </w:pPr>
      <w:r>
        <w:rPr>
          <w:rFonts w:hint="eastAsia" w:ascii="宋体" w:hAnsi="宋体"/>
          <w:b/>
          <w:sz w:val="24"/>
        </w:rPr>
        <w:t>（六）有下列情况之一的，本次招标作为无效标处理</w:t>
      </w:r>
    </w:p>
    <w:p w14:paraId="6B9ED754">
      <w:pPr>
        <w:pStyle w:val="241"/>
        <w:spacing w:before="0" w:beforeAutospacing="0" w:after="0" w:afterAutospacing="0" w:line="360" w:lineRule="auto"/>
        <w:ind w:firstLine="600"/>
        <w:jc w:val="both"/>
        <w:rPr>
          <w:rFonts w:hint="default"/>
        </w:rPr>
      </w:pPr>
      <w:r>
        <w:t>1、出现影响采购公正的违法、违规行为的；</w:t>
      </w:r>
    </w:p>
    <w:p w14:paraId="557F1802">
      <w:pPr>
        <w:pStyle w:val="241"/>
        <w:spacing w:before="0" w:beforeAutospacing="0" w:after="0" w:afterAutospacing="0" w:line="360" w:lineRule="auto"/>
        <w:ind w:firstLine="600"/>
        <w:jc w:val="both"/>
        <w:rPr>
          <w:rFonts w:hint="default"/>
          <w:b/>
          <w:bCs/>
        </w:rPr>
      </w:pPr>
      <w:r>
        <w:t xml:space="preserve">2、评标委员会发现招标文件存在歧义、重大缺陷导致评标工作无法进行，或者招标文件内容违反国家有关强制性规定的； </w:t>
      </w:r>
    </w:p>
    <w:p w14:paraId="26217FBB">
      <w:pPr>
        <w:pStyle w:val="241"/>
        <w:spacing w:before="0" w:beforeAutospacing="0" w:after="0" w:afterAutospacing="0" w:line="360" w:lineRule="auto"/>
        <w:ind w:firstLine="600"/>
        <w:jc w:val="both"/>
        <w:rPr>
          <w:rFonts w:hint="default"/>
        </w:rPr>
      </w:pPr>
      <w:r>
        <w:t>3、因重大变故，采购任务取消的；</w:t>
      </w:r>
    </w:p>
    <w:p w14:paraId="76F837C7">
      <w:pPr>
        <w:pStyle w:val="241"/>
        <w:spacing w:before="0" w:beforeAutospacing="0" w:after="0" w:afterAutospacing="0" w:line="360" w:lineRule="auto"/>
        <w:ind w:firstLine="600"/>
        <w:jc w:val="both"/>
        <w:rPr>
          <w:rFonts w:hint="default"/>
        </w:rPr>
      </w:pPr>
      <w:r>
        <w:t>4、法律、法规和招标文件规定的其他导致评标结果无效的。</w:t>
      </w:r>
    </w:p>
    <w:p w14:paraId="1A5A5BC3">
      <w:pPr>
        <w:pStyle w:val="241"/>
        <w:spacing w:before="0" w:beforeAutospacing="0" w:after="0" w:afterAutospacing="0" w:line="360" w:lineRule="auto"/>
        <w:ind w:firstLine="480"/>
        <w:jc w:val="both"/>
        <w:rPr>
          <w:rFonts w:hint="default"/>
        </w:rPr>
      </w:pPr>
      <w:r>
        <w:t>5、符合专业条件的供应商或者对招标文件作实质响应的供应商不足三家的本次招标失败。</w:t>
      </w:r>
    </w:p>
    <w:p w14:paraId="7C007EB7">
      <w:pPr>
        <w:pStyle w:val="226"/>
        <w:tabs>
          <w:tab w:val="left" w:pos="630"/>
        </w:tabs>
        <w:spacing w:line="360" w:lineRule="auto"/>
        <w:ind w:firstLine="470"/>
        <w:rPr>
          <w:rFonts w:hAnsi="宋体"/>
          <w:b/>
          <w:sz w:val="24"/>
        </w:rPr>
      </w:pPr>
      <w:r>
        <w:rPr>
          <w:rFonts w:hAnsi="宋体"/>
          <w:b/>
          <w:sz w:val="24"/>
        </w:rPr>
        <w:t>（</w:t>
      </w:r>
      <w:r>
        <w:rPr>
          <w:rFonts w:hint="eastAsia" w:hAnsi="宋体"/>
          <w:b/>
          <w:sz w:val="24"/>
        </w:rPr>
        <w:t>七</w:t>
      </w:r>
      <w:r>
        <w:rPr>
          <w:rFonts w:hAnsi="宋体"/>
          <w:b/>
          <w:sz w:val="24"/>
        </w:rPr>
        <w:t>）评标原则和评标办法</w:t>
      </w:r>
    </w:p>
    <w:p w14:paraId="70697A54">
      <w:pPr>
        <w:pStyle w:val="226"/>
        <w:spacing w:line="360" w:lineRule="auto"/>
        <w:ind w:firstLine="600"/>
        <w:rPr>
          <w:rFonts w:hAnsi="宋体"/>
          <w:sz w:val="24"/>
        </w:rPr>
      </w:pPr>
      <w:r>
        <w:rPr>
          <w:rFonts w:hAnsi="宋体"/>
          <w:sz w:val="24"/>
        </w:rPr>
        <w:t>1</w:t>
      </w:r>
      <w:r>
        <w:rPr>
          <w:rFonts w:hint="eastAsia" w:hAnsi="宋体"/>
          <w:sz w:val="24"/>
        </w:rPr>
        <w:t>、</w:t>
      </w:r>
      <w:r>
        <w:rPr>
          <w:rFonts w:hAnsi="宋体"/>
          <w:sz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1F713FE">
      <w:pPr>
        <w:pStyle w:val="226"/>
        <w:spacing w:line="360" w:lineRule="auto"/>
        <w:ind w:firstLine="600"/>
        <w:rPr>
          <w:rFonts w:hAnsi="宋体"/>
          <w:sz w:val="24"/>
        </w:rPr>
      </w:pPr>
      <w:r>
        <w:rPr>
          <w:rFonts w:hAnsi="宋体"/>
          <w:sz w:val="24"/>
        </w:rPr>
        <w:t>2</w:t>
      </w:r>
      <w:r>
        <w:rPr>
          <w:rFonts w:hint="eastAsia" w:hAnsi="宋体"/>
          <w:sz w:val="24"/>
        </w:rPr>
        <w:t>、</w:t>
      </w:r>
      <w:r>
        <w:rPr>
          <w:rFonts w:hAnsi="宋体"/>
          <w:sz w:val="24"/>
        </w:rPr>
        <w:t>评标办法。具体评标内容及评分标准等详见《第</w:t>
      </w:r>
      <w:r>
        <w:rPr>
          <w:rFonts w:hint="eastAsia" w:hAnsi="宋体"/>
          <w:sz w:val="24"/>
        </w:rPr>
        <w:t>四章</w:t>
      </w:r>
      <w:r>
        <w:rPr>
          <w:rFonts w:hAnsi="宋体"/>
          <w:sz w:val="24"/>
        </w:rPr>
        <w:t>：评标</w:t>
      </w:r>
      <w:r>
        <w:rPr>
          <w:rFonts w:hint="eastAsia" w:hAnsi="宋体"/>
          <w:sz w:val="24"/>
        </w:rPr>
        <w:t>方</w:t>
      </w:r>
      <w:r>
        <w:rPr>
          <w:rFonts w:hAnsi="宋体"/>
          <w:sz w:val="24"/>
        </w:rPr>
        <w:t>法及评分标准》。</w:t>
      </w:r>
    </w:p>
    <w:p w14:paraId="319AF7F1">
      <w:pPr>
        <w:pStyle w:val="226"/>
        <w:spacing w:line="360" w:lineRule="auto"/>
        <w:ind w:firstLine="470"/>
        <w:rPr>
          <w:rFonts w:hAnsi="宋体"/>
          <w:b/>
          <w:sz w:val="24"/>
        </w:rPr>
      </w:pPr>
      <w:r>
        <w:rPr>
          <w:rFonts w:hAnsi="宋体"/>
          <w:b/>
          <w:sz w:val="24"/>
        </w:rPr>
        <w:t>（</w:t>
      </w:r>
      <w:r>
        <w:rPr>
          <w:rFonts w:hint="eastAsia" w:hAnsi="宋体"/>
          <w:b/>
          <w:sz w:val="24"/>
        </w:rPr>
        <w:t>八</w:t>
      </w:r>
      <w:r>
        <w:rPr>
          <w:rFonts w:hAnsi="宋体"/>
          <w:b/>
          <w:sz w:val="24"/>
        </w:rPr>
        <w:t>）评标过程的监控</w:t>
      </w:r>
    </w:p>
    <w:p w14:paraId="60BC3769">
      <w:pPr>
        <w:pStyle w:val="241"/>
        <w:spacing w:before="0" w:beforeAutospacing="0" w:after="0" w:afterAutospacing="0" w:line="360" w:lineRule="auto"/>
        <w:ind w:firstLine="480"/>
        <w:jc w:val="both"/>
        <w:rPr>
          <w:rFonts w:hint="default"/>
        </w:rPr>
      </w:pPr>
      <w:r>
        <w:t>本项目评标过程实行全程录音、录像监控，政府采购监管部门视情进行现场监督，投标人在评标过程中所进行的试图影响评标结果的不公正活动，可能导致其投标被拒绝。</w:t>
      </w:r>
    </w:p>
    <w:p w14:paraId="414692E3">
      <w:pPr>
        <w:spacing w:line="360" w:lineRule="auto"/>
        <w:ind w:right="84"/>
        <w:jc w:val="center"/>
        <w:rPr>
          <w:rFonts w:ascii="宋体"/>
          <w:b/>
          <w:color w:val="000000"/>
          <w:sz w:val="24"/>
          <w:lang w:val="zh-CN"/>
        </w:rPr>
      </w:pPr>
      <w:r>
        <w:rPr>
          <w:rFonts w:hint="eastAsia" w:ascii="宋体"/>
          <w:b/>
          <w:color w:val="000000"/>
          <w:sz w:val="24"/>
          <w:lang w:val="zh-CN"/>
        </w:rPr>
        <w:t>六、定标</w:t>
      </w:r>
    </w:p>
    <w:p w14:paraId="49074B97">
      <w:pPr>
        <w:spacing w:line="360" w:lineRule="auto"/>
        <w:ind w:firstLine="480"/>
        <w:rPr>
          <w:rFonts w:ascii="宋体" w:hAnsi="宋体"/>
          <w:color w:val="000000"/>
          <w:sz w:val="24"/>
        </w:rPr>
      </w:pPr>
      <w:r>
        <w:rPr>
          <w:rFonts w:hint="eastAsia" w:ascii="宋体" w:hAnsi="宋体"/>
          <w:color w:val="000000"/>
          <w:sz w:val="24"/>
        </w:rPr>
        <w:t>1.采购代理机构在评审结束之日起2个工作日内将评审报告送交采购人，采购人自收到评审报告之日起5个工作日内在评审报告推荐的中标候选人中按顺序确定中标供应商。</w:t>
      </w:r>
    </w:p>
    <w:p w14:paraId="6525C1B7">
      <w:pPr>
        <w:spacing w:line="360" w:lineRule="auto"/>
        <w:ind w:firstLine="480"/>
        <w:rPr>
          <w:rFonts w:ascii="宋体" w:hAnsi="宋体"/>
          <w:color w:val="000000"/>
          <w:sz w:val="24"/>
        </w:rPr>
      </w:pPr>
      <w:r>
        <w:rPr>
          <w:rFonts w:hint="eastAsia" w:ascii="宋体" w:hAnsi="宋体"/>
          <w:color w:val="000000"/>
          <w:sz w:val="24"/>
        </w:rPr>
        <w:t>2.采购人确定中标供应商之日起2个工作日内，采购代理机构在“三门县公共资源交易中心网”上发布中标结果公告。中标结果公告将包括中标人名称、地址和中标金额，主要中标标的的名称、规格型号、数量、单价、服务要求以及评审专家名单等内容，但不包括国家秘密、商业秘密。</w:t>
      </w:r>
    </w:p>
    <w:p w14:paraId="4EA4CDB9">
      <w:pPr>
        <w:spacing w:line="360" w:lineRule="auto"/>
        <w:ind w:firstLine="480"/>
        <w:rPr>
          <w:rFonts w:ascii="宋体" w:hAnsi="宋体"/>
          <w:sz w:val="24"/>
        </w:rPr>
      </w:pPr>
      <w:r>
        <w:rPr>
          <w:rFonts w:hint="eastAsia" w:ascii="宋体" w:hAnsi="宋体"/>
          <w:sz w:val="24"/>
        </w:rPr>
        <w:t>3.中标通知书发出之日起至合同签订前，中标供应商不得开展项目实质性工作（如订货、施工等）。否则，造成的有关损失由中标供应商自行承担。</w:t>
      </w:r>
    </w:p>
    <w:p w14:paraId="651140E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spacing w:line="360" w:lineRule="auto"/>
        <w:jc w:val="center"/>
        <w:outlineLvl w:val="1"/>
        <w:rPr>
          <w:rFonts w:ascii="宋体"/>
          <w:b/>
          <w:bCs/>
          <w:color w:val="000000"/>
          <w:sz w:val="24"/>
          <w:lang w:val="zh-CN"/>
        </w:rPr>
      </w:pPr>
      <w:bookmarkStart w:id="11" w:name="_Toc255459643"/>
      <w:bookmarkStart w:id="12" w:name="_Toc255821821"/>
      <w:bookmarkStart w:id="13" w:name="_Toc255819827"/>
      <w:bookmarkStart w:id="14" w:name="_Toc173810698"/>
      <w:bookmarkStart w:id="15" w:name="_Toc302983103"/>
      <w:bookmarkStart w:id="16" w:name="_Toc306901456"/>
      <w:r>
        <w:rPr>
          <w:rFonts w:hint="eastAsia" w:ascii="宋体"/>
          <w:b/>
          <w:bCs/>
          <w:color w:val="000000"/>
          <w:sz w:val="24"/>
          <w:lang w:val="zh-CN"/>
        </w:rPr>
        <w:t>七、合同</w:t>
      </w:r>
      <w:bookmarkEnd w:id="11"/>
      <w:bookmarkEnd w:id="12"/>
      <w:bookmarkEnd w:id="13"/>
      <w:bookmarkEnd w:id="14"/>
      <w:bookmarkEnd w:id="15"/>
      <w:bookmarkEnd w:id="16"/>
      <w:r>
        <w:rPr>
          <w:rFonts w:hint="eastAsia" w:ascii="宋体"/>
          <w:b/>
          <w:bCs/>
          <w:color w:val="000000"/>
          <w:sz w:val="24"/>
          <w:lang w:val="zh-CN"/>
        </w:rPr>
        <w:t>授予</w:t>
      </w:r>
    </w:p>
    <w:p w14:paraId="7BF3CE72">
      <w:pPr>
        <w:spacing w:line="360" w:lineRule="auto"/>
        <w:ind w:firstLine="470"/>
        <w:rPr>
          <w:rFonts w:ascii="宋体" w:hAnsi="宋体"/>
          <w:b/>
          <w:bCs/>
          <w:sz w:val="24"/>
        </w:rPr>
      </w:pPr>
      <w:r>
        <w:rPr>
          <w:rFonts w:hint="eastAsia" w:ascii="宋体" w:hAnsi="宋体"/>
          <w:b/>
          <w:bCs/>
          <w:sz w:val="24"/>
        </w:rPr>
        <w:t>（一）签订合同</w:t>
      </w:r>
    </w:p>
    <w:p w14:paraId="321226A6">
      <w:pPr>
        <w:spacing w:line="360" w:lineRule="auto"/>
        <w:ind w:firstLine="480"/>
        <w:rPr>
          <w:rFonts w:ascii="宋体" w:hAnsi="宋体"/>
          <w:sz w:val="24"/>
        </w:rPr>
      </w:pPr>
      <w:r>
        <w:rPr>
          <w:rFonts w:ascii="宋体" w:hAnsi="宋体"/>
          <w:sz w:val="24"/>
        </w:rPr>
        <w:t>1</w:t>
      </w:r>
      <w:r>
        <w:rPr>
          <w:rFonts w:hint="eastAsia" w:ascii="宋体" w:hAnsi="宋体"/>
          <w:sz w:val="24"/>
        </w:rPr>
        <w:t>.采购人与</w:t>
      </w:r>
      <w:r>
        <w:rPr>
          <w:rFonts w:ascii="宋体" w:hAnsi="宋体"/>
          <w:sz w:val="24"/>
        </w:rPr>
        <w:t>中标</w:t>
      </w:r>
      <w:r>
        <w:rPr>
          <w:rFonts w:hint="eastAsia" w:ascii="宋体" w:hAnsi="宋体"/>
          <w:sz w:val="24"/>
        </w:rPr>
        <w:t>供应商</w:t>
      </w:r>
      <w:r>
        <w:rPr>
          <w:rFonts w:ascii="宋体" w:hAnsi="宋体"/>
          <w:sz w:val="24"/>
        </w:rPr>
        <w:t>应</w:t>
      </w:r>
      <w:r>
        <w:rPr>
          <w:rFonts w:hint="eastAsia" w:ascii="宋体" w:hAnsi="宋体"/>
          <w:sz w:val="24"/>
        </w:rPr>
        <w:t>当在《</w:t>
      </w:r>
      <w:r>
        <w:rPr>
          <w:rFonts w:ascii="宋体" w:hAnsi="宋体"/>
          <w:sz w:val="24"/>
        </w:rPr>
        <w:t>中标通知书</w:t>
      </w:r>
      <w:r>
        <w:rPr>
          <w:rFonts w:hint="eastAsia" w:ascii="宋体" w:hAnsi="宋体"/>
          <w:sz w:val="24"/>
        </w:rPr>
        <w:t>》发出之日起30日内到采购人或采购代理机构处签订政府采购合同。同时，采购代理机构对合同内容进行审查，如发现与采购结果和投标承诺内容不一致的，应予以纠正。</w:t>
      </w:r>
    </w:p>
    <w:p w14:paraId="19A7D901">
      <w:pPr>
        <w:spacing w:line="360" w:lineRule="auto"/>
        <w:ind w:firstLine="480"/>
        <w:rPr>
          <w:rFonts w:ascii="宋体" w:hAnsi="宋体"/>
          <w:sz w:val="24"/>
        </w:rPr>
      </w:pPr>
      <w:r>
        <w:rPr>
          <w:rFonts w:hint="eastAsia" w:ascii="宋体" w:hAnsi="宋体"/>
          <w:sz w:val="24"/>
        </w:rPr>
        <w:t>2.</w:t>
      </w:r>
      <w:r>
        <w:rPr>
          <w:rFonts w:ascii="宋体" w:hAnsi="宋体"/>
          <w:sz w:val="24"/>
        </w:rPr>
        <w:t>中标</w:t>
      </w:r>
      <w:r>
        <w:rPr>
          <w:rFonts w:hint="eastAsia" w:ascii="宋体" w:hAnsi="宋体"/>
          <w:sz w:val="24"/>
        </w:rPr>
        <w:t>供应商无故</w:t>
      </w:r>
      <w:r>
        <w:rPr>
          <w:rFonts w:ascii="宋体" w:hAnsi="宋体"/>
          <w:sz w:val="24"/>
        </w:rPr>
        <w:t>拖延、拒签合同的</w:t>
      </w:r>
      <w:r>
        <w:rPr>
          <w:rFonts w:hint="eastAsia" w:ascii="宋体" w:hAnsi="宋体"/>
          <w:sz w:val="24"/>
        </w:rPr>
        <w:t>，采购人有权取消其中标资格。</w:t>
      </w:r>
    </w:p>
    <w:p w14:paraId="748DF1F6">
      <w:pPr>
        <w:spacing w:line="360" w:lineRule="auto"/>
        <w:ind w:firstLine="480"/>
        <w:rPr>
          <w:color w:val="000000"/>
          <w:sz w:val="24"/>
        </w:rPr>
      </w:pPr>
      <w:r>
        <w:rPr>
          <w:rFonts w:hint="eastAsia"/>
          <w:color w:val="000000"/>
          <w:sz w:val="24"/>
        </w:rPr>
        <w:t>3.中标供应商拒绝与采购人签订合同的，采购人可以按照评审报告推荐的中标候选人名单排序，确定下一候选人为中标供应商，也可以重新开展政府采购活动。</w:t>
      </w:r>
    </w:p>
    <w:p w14:paraId="0EBE96A1">
      <w:pPr>
        <w:spacing w:line="360" w:lineRule="auto"/>
        <w:ind w:firstLine="480"/>
        <w:rPr>
          <w:color w:val="000000"/>
          <w:sz w:val="24"/>
        </w:rPr>
      </w:pPr>
      <w:r>
        <w:rPr>
          <w:rFonts w:hint="eastAsia"/>
          <w:color w:val="000000"/>
          <w:sz w:val="24"/>
        </w:rPr>
        <w:t>4.询问或者质疑事项可能影响中标结果的，采购人应当暂停签订合同，已经签订合同的，应当中止履行合同（中标结果的质疑期为中标结果公告期限届满之日起七个工作日）。</w:t>
      </w:r>
    </w:p>
    <w:p w14:paraId="2AA267F6">
      <w:pPr>
        <w:tabs>
          <w:tab w:val="left" w:pos="8280"/>
        </w:tabs>
        <w:spacing w:line="360" w:lineRule="auto"/>
        <w:ind w:right="25"/>
        <w:jc w:val="center"/>
        <w:rPr>
          <w:rFonts w:ascii="宋体"/>
          <w:b/>
          <w:sz w:val="36"/>
        </w:rPr>
      </w:pPr>
    </w:p>
    <w:p w14:paraId="31E5068B">
      <w:pPr>
        <w:tabs>
          <w:tab w:val="left" w:pos="8280"/>
        </w:tabs>
        <w:spacing w:line="360" w:lineRule="auto"/>
        <w:ind w:right="25"/>
        <w:jc w:val="center"/>
        <w:rPr>
          <w:rFonts w:ascii="宋体"/>
          <w:b/>
          <w:sz w:val="36"/>
        </w:rPr>
      </w:pPr>
    </w:p>
    <w:p w14:paraId="7E866B6E">
      <w:pPr>
        <w:pStyle w:val="42"/>
        <w:rPr>
          <w:rFonts w:ascii="宋体"/>
          <w:b/>
          <w:sz w:val="36"/>
        </w:rPr>
      </w:pPr>
    </w:p>
    <w:p w14:paraId="311FC3CD">
      <w:pPr>
        <w:pStyle w:val="191"/>
        <w:numPr>
          <w:ilvl w:val="0"/>
          <w:numId w:val="0"/>
        </w:numPr>
        <w:jc w:val="center"/>
        <w:rPr>
          <w:sz w:val="40"/>
          <w:szCs w:val="22"/>
        </w:rPr>
      </w:pPr>
    </w:p>
    <w:p w14:paraId="3EFE1CDF">
      <w:pPr>
        <w:pStyle w:val="191"/>
        <w:numPr>
          <w:ilvl w:val="0"/>
          <w:numId w:val="0"/>
        </w:numPr>
        <w:rPr>
          <w:sz w:val="40"/>
          <w:szCs w:val="22"/>
        </w:rPr>
      </w:pPr>
    </w:p>
    <w:p w14:paraId="4E0645C4"/>
    <w:p w14:paraId="4DF13CA8"/>
    <w:p w14:paraId="2249D3BF"/>
    <w:p w14:paraId="5114314D">
      <w:pPr>
        <w:pStyle w:val="191"/>
        <w:numPr>
          <w:ilvl w:val="0"/>
          <w:numId w:val="0"/>
        </w:numPr>
        <w:jc w:val="center"/>
        <w:rPr>
          <w:sz w:val="32"/>
          <w:szCs w:val="20"/>
        </w:rPr>
      </w:pPr>
      <w:r>
        <w:rPr>
          <w:rFonts w:hint="eastAsia"/>
          <w:sz w:val="32"/>
          <w:szCs w:val="20"/>
        </w:rPr>
        <w:t>第三部分 采购需求</w:t>
      </w:r>
    </w:p>
    <w:p w14:paraId="3D101EC9">
      <w:pPr>
        <w:rPr>
          <w:sz w:val="20"/>
          <w:szCs w:val="22"/>
          <w:lang w:val="zh-CN"/>
        </w:rPr>
      </w:pPr>
      <w:r>
        <w:rPr>
          <w:rFonts w:hint="eastAsia"/>
          <w:sz w:val="28"/>
          <w:szCs w:val="28"/>
          <w:lang w:val="zh-CN"/>
        </w:rPr>
        <w:t>一、采购项目清单</w:t>
      </w:r>
    </w:p>
    <w:tbl>
      <w:tblPr>
        <w:tblStyle w:val="36"/>
        <w:tblW w:w="1021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2607"/>
        <w:gridCol w:w="1405"/>
        <w:gridCol w:w="1377"/>
        <w:gridCol w:w="2400"/>
        <w:gridCol w:w="1692"/>
      </w:tblGrid>
      <w:tr w14:paraId="42CF3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736" w:type="dxa"/>
            <w:vAlign w:val="center"/>
          </w:tcPr>
          <w:p w14:paraId="48BCC24A">
            <w:pPr>
              <w:widowControl/>
              <w:spacing w:line="360" w:lineRule="auto"/>
              <w:jc w:val="center"/>
              <w:rPr>
                <w:rFonts w:ascii="宋体" w:hAnsi="宋体" w:cs="宋体"/>
                <w:sz w:val="22"/>
              </w:rPr>
            </w:pPr>
            <w:r>
              <w:rPr>
                <w:rFonts w:hint="eastAsia" w:ascii="宋体" w:hAnsi="宋体" w:cs="宋体"/>
                <w:sz w:val="22"/>
              </w:rPr>
              <w:t>序号</w:t>
            </w:r>
          </w:p>
        </w:tc>
        <w:tc>
          <w:tcPr>
            <w:tcW w:w="2607" w:type="dxa"/>
            <w:vAlign w:val="center"/>
          </w:tcPr>
          <w:p w14:paraId="0D1C638E">
            <w:pPr>
              <w:widowControl/>
              <w:spacing w:line="360" w:lineRule="auto"/>
              <w:jc w:val="center"/>
              <w:rPr>
                <w:rFonts w:ascii="宋体" w:hAnsi="宋体" w:cs="宋体"/>
                <w:sz w:val="22"/>
              </w:rPr>
            </w:pPr>
            <w:r>
              <w:rPr>
                <w:rFonts w:hint="eastAsia" w:ascii="宋体" w:hAnsi="宋体" w:cs="宋体"/>
                <w:sz w:val="22"/>
              </w:rPr>
              <w:t>项目内容</w:t>
            </w:r>
          </w:p>
        </w:tc>
        <w:tc>
          <w:tcPr>
            <w:tcW w:w="1405" w:type="dxa"/>
            <w:vAlign w:val="center"/>
          </w:tcPr>
          <w:p w14:paraId="29ACD0F5">
            <w:pPr>
              <w:widowControl/>
              <w:spacing w:line="360" w:lineRule="auto"/>
              <w:jc w:val="center"/>
              <w:rPr>
                <w:rFonts w:ascii="宋体" w:hAnsi="宋体" w:cs="宋体"/>
                <w:sz w:val="22"/>
              </w:rPr>
            </w:pPr>
            <w:r>
              <w:rPr>
                <w:rFonts w:hint="eastAsia" w:ascii="宋体" w:hAnsi="宋体" w:cs="宋体"/>
                <w:sz w:val="22"/>
              </w:rPr>
              <w:t>数量</w:t>
            </w:r>
          </w:p>
        </w:tc>
        <w:tc>
          <w:tcPr>
            <w:tcW w:w="1377" w:type="dxa"/>
            <w:vAlign w:val="center"/>
          </w:tcPr>
          <w:p w14:paraId="7EE54698">
            <w:pPr>
              <w:widowControl/>
              <w:spacing w:line="360" w:lineRule="auto"/>
              <w:jc w:val="center"/>
              <w:rPr>
                <w:rFonts w:hint="default" w:ascii="宋体" w:hAnsi="宋体" w:eastAsia="宋体" w:cs="宋体"/>
                <w:sz w:val="22"/>
                <w:lang w:val="en-US" w:eastAsia="zh-CN"/>
              </w:rPr>
            </w:pPr>
            <w:r>
              <w:rPr>
                <w:rFonts w:hint="eastAsia" w:ascii="宋体" w:hAnsi="宋体" w:cs="宋体"/>
                <w:sz w:val="22"/>
                <w:lang w:val="en-US" w:eastAsia="zh-CN"/>
              </w:rPr>
              <w:t>单价</w:t>
            </w:r>
          </w:p>
        </w:tc>
        <w:tc>
          <w:tcPr>
            <w:tcW w:w="2400" w:type="dxa"/>
            <w:vAlign w:val="center"/>
          </w:tcPr>
          <w:p w14:paraId="3B298AA3">
            <w:pPr>
              <w:widowControl/>
              <w:spacing w:line="360" w:lineRule="auto"/>
              <w:jc w:val="center"/>
              <w:rPr>
                <w:rFonts w:ascii="宋体" w:hAnsi="宋体" w:cs="宋体"/>
                <w:sz w:val="22"/>
              </w:rPr>
            </w:pPr>
            <w:r>
              <w:rPr>
                <w:rFonts w:hint="eastAsia" w:ascii="宋体" w:hAnsi="宋体"/>
                <w:b/>
                <w:sz w:val="22"/>
                <w:szCs w:val="21"/>
              </w:rPr>
              <w:t xml:space="preserve"> 最高限价</w:t>
            </w:r>
          </w:p>
        </w:tc>
        <w:tc>
          <w:tcPr>
            <w:tcW w:w="1692" w:type="dxa"/>
            <w:vAlign w:val="center"/>
          </w:tcPr>
          <w:p w14:paraId="2746341E">
            <w:pPr>
              <w:widowControl/>
              <w:spacing w:line="360" w:lineRule="auto"/>
              <w:jc w:val="center"/>
              <w:rPr>
                <w:rFonts w:ascii="宋体" w:hAnsi="宋体"/>
                <w:b/>
                <w:sz w:val="22"/>
                <w:szCs w:val="21"/>
              </w:rPr>
            </w:pPr>
            <w:r>
              <w:rPr>
                <w:rFonts w:hint="eastAsia" w:ascii="宋体" w:hAnsi="宋体"/>
                <w:b/>
                <w:sz w:val="22"/>
                <w:szCs w:val="21"/>
              </w:rPr>
              <w:t>备注</w:t>
            </w:r>
          </w:p>
        </w:tc>
      </w:tr>
      <w:tr w14:paraId="5F33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trPr>
        <w:tc>
          <w:tcPr>
            <w:tcW w:w="736" w:type="dxa"/>
            <w:vAlign w:val="center"/>
          </w:tcPr>
          <w:p w14:paraId="15FF2A7A">
            <w:pPr>
              <w:widowControl/>
              <w:spacing w:line="360" w:lineRule="auto"/>
              <w:jc w:val="center"/>
              <w:rPr>
                <w:rFonts w:ascii="宋体" w:hAnsi="宋体" w:cs="宋体"/>
                <w:sz w:val="22"/>
              </w:rPr>
            </w:pPr>
            <w:r>
              <w:rPr>
                <w:rFonts w:hint="eastAsia" w:ascii="宋体" w:hAnsi="宋体" w:cs="宋体"/>
                <w:sz w:val="22"/>
              </w:rPr>
              <w:t>1</w:t>
            </w:r>
          </w:p>
        </w:tc>
        <w:tc>
          <w:tcPr>
            <w:tcW w:w="2607" w:type="dxa"/>
            <w:vAlign w:val="center"/>
          </w:tcPr>
          <w:p w14:paraId="5CE3EC04">
            <w:pPr>
              <w:widowControl/>
              <w:spacing w:line="360" w:lineRule="auto"/>
              <w:jc w:val="center"/>
              <w:rPr>
                <w:rFonts w:ascii="宋体" w:hAnsi="宋体" w:cs="宋体"/>
                <w:sz w:val="22"/>
              </w:rPr>
            </w:pPr>
            <w:r>
              <w:rPr>
                <w:rFonts w:hint="eastAsia" w:ascii="宋体" w:hAnsi="宋体" w:cs="宋体"/>
                <w:sz w:val="22"/>
                <w:lang w:eastAsia="zh-CN"/>
              </w:rPr>
              <w:t>2025年度特定绿证采购项目</w:t>
            </w:r>
          </w:p>
        </w:tc>
        <w:tc>
          <w:tcPr>
            <w:tcW w:w="1405" w:type="dxa"/>
            <w:vAlign w:val="center"/>
          </w:tcPr>
          <w:p w14:paraId="2ADA0392">
            <w:pPr>
              <w:widowControl/>
              <w:spacing w:line="360" w:lineRule="auto"/>
              <w:jc w:val="center"/>
              <w:rPr>
                <w:rFonts w:ascii="宋体" w:hAnsi="宋体" w:cs="宋体"/>
                <w:sz w:val="22"/>
              </w:rPr>
            </w:pPr>
            <w:r>
              <w:rPr>
                <w:rFonts w:hint="eastAsia" w:ascii="仿宋" w:hAnsi="仿宋" w:eastAsia="仿宋" w:cs="仿宋"/>
                <w:spacing w:val="20"/>
                <w:szCs w:val="32"/>
                <w:lang w:val="en-US" w:eastAsia="zh-CN"/>
              </w:rPr>
              <w:t>10.4万张绿证</w:t>
            </w:r>
          </w:p>
        </w:tc>
        <w:tc>
          <w:tcPr>
            <w:tcW w:w="1377" w:type="dxa"/>
            <w:vAlign w:val="center"/>
          </w:tcPr>
          <w:p w14:paraId="0BC74942">
            <w:pPr>
              <w:widowControl/>
              <w:spacing w:line="360" w:lineRule="auto"/>
              <w:jc w:val="center"/>
              <w:rPr>
                <w:rFonts w:ascii="宋体" w:hAnsi="宋体" w:cs="宋体"/>
                <w:sz w:val="22"/>
              </w:rPr>
            </w:pPr>
            <w:r>
              <w:rPr>
                <w:rFonts w:hint="eastAsia" w:ascii="宋体" w:hAnsi="宋体" w:cs="宋体"/>
                <w:snapToGrid w:val="0"/>
                <w:spacing w:val="7"/>
                <w:sz w:val="20"/>
                <w:szCs w:val="20"/>
                <w:lang w:val="en-US" w:eastAsia="zh-CN"/>
              </w:rPr>
              <w:t>4.8</w:t>
            </w:r>
            <w:r>
              <w:rPr>
                <w:rFonts w:hint="eastAsia" w:ascii="宋体" w:hAnsi="宋体" w:cs="宋体"/>
                <w:snapToGrid w:val="0"/>
                <w:spacing w:val="7"/>
                <w:sz w:val="20"/>
                <w:szCs w:val="20"/>
              </w:rPr>
              <w:t>元/</w:t>
            </w:r>
            <w:r>
              <w:rPr>
                <w:rFonts w:hint="eastAsia" w:ascii="宋体" w:hAnsi="宋体" w:cs="宋体"/>
                <w:snapToGrid w:val="0"/>
                <w:spacing w:val="7"/>
                <w:sz w:val="20"/>
                <w:szCs w:val="20"/>
                <w:lang w:val="en-US" w:eastAsia="zh-CN"/>
              </w:rPr>
              <w:t>张</w:t>
            </w:r>
          </w:p>
        </w:tc>
        <w:tc>
          <w:tcPr>
            <w:tcW w:w="2400" w:type="dxa"/>
            <w:vAlign w:val="center"/>
          </w:tcPr>
          <w:p w14:paraId="68C1E123">
            <w:pPr>
              <w:widowControl/>
              <w:spacing w:line="360" w:lineRule="auto"/>
              <w:jc w:val="center"/>
              <w:rPr>
                <w:rFonts w:ascii="宋体" w:hAnsi="宋体" w:cs="宋体"/>
                <w:sz w:val="22"/>
              </w:rPr>
            </w:pPr>
            <w:r>
              <w:rPr>
                <w:rFonts w:hint="default" w:ascii="宋体" w:hAnsi="宋体" w:cs="宋体"/>
                <w:b/>
                <w:bCs/>
                <w:sz w:val="22"/>
                <w:woUserID w:val="1"/>
              </w:rPr>
              <w:t>4</w:t>
            </w:r>
            <w:r>
              <w:rPr>
                <w:rFonts w:hint="eastAsia" w:ascii="宋体" w:hAnsi="宋体" w:cs="宋体"/>
                <w:b/>
                <w:bCs/>
                <w:sz w:val="22"/>
              </w:rPr>
              <w:t>99200元</w:t>
            </w:r>
          </w:p>
        </w:tc>
        <w:tc>
          <w:tcPr>
            <w:tcW w:w="1692" w:type="dxa"/>
            <w:vAlign w:val="center"/>
          </w:tcPr>
          <w:p w14:paraId="53B1EA55">
            <w:pPr>
              <w:widowControl/>
              <w:spacing w:line="360" w:lineRule="auto"/>
              <w:jc w:val="center"/>
              <w:rPr>
                <w:rFonts w:ascii="宋体" w:hAnsi="宋体" w:cs="宋体"/>
                <w:sz w:val="22"/>
              </w:rPr>
            </w:pPr>
          </w:p>
        </w:tc>
      </w:tr>
    </w:tbl>
    <w:p w14:paraId="0A69EC69">
      <w:pPr>
        <w:rPr>
          <w:lang w:val="zh-CN"/>
        </w:rPr>
      </w:pPr>
    </w:p>
    <w:p w14:paraId="479EFA13">
      <w:pPr>
        <w:rPr>
          <w:sz w:val="28"/>
          <w:szCs w:val="28"/>
          <w:lang w:val="zh-CN"/>
        </w:rPr>
      </w:pPr>
    </w:p>
    <w:p w14:paraId="09FB982C">
      <w:pPr>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二、</w:t>
      </w:r>
      <w:r>
        <w:rPr>
          <w:rFonts w:asciiTheme="minorEastAsia" w:hAnsiTheme="minorEastAsia" w:eastAsiaTheme="minorEastAsia"/>
          <w:b/>
          <w:color w:val="000000" w:themeColor="text1"/>
          <w:sz w:val="24"/>
          <w14:textFill>
            <w14:solidFill>
              <w14:schemeClr w14:val="tx1"/>
            </w14:solidFill>
          </w14:textFill>
        </w:rPr>
        <w:t>基本情况</w:t>
      </w:r>
    </w:p>
    <w:p w14:paraId="47E195E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heme="minorEastAsia" w:hAnsiTheme="minorEastAsia" w:eastAsiaTheme="minorEastAsia"/>
          <w:color w:val="000000" w:themeColor="text1"/>
          <w:kern w:val="2"/>
          <w:lang w:eastAsia="zh-CN"/>
          <w14:textFill>
            <w14:solidFill>
              <w14:schemeClr w14:val="tx1"/>
            </w14:solidFill>
          </w14:textFill>
          <w:woUserID w:val="1"/>
        </w:rPr>
      </w:pPr>
      <w:r>
        <w:rPr>
          <w:rFonts w:hint="eastAsia" w:asciiTheme="minorEastAsia" w:hAnsiTheme="minorEastAsia" w:eastAsiaTheme="minorEastAsia"/>
          <w:color w:val="000000" w:themeColor="text1"/>
          <w:kern w:val="2"/>
          <w:lang w:val="en-US" w:eastAsia="zh-CN"/>
          <w14:textFill>
            <w14:solidFill>
              <w14:schemeClr w14:val="tx1"/>
            </w14:solidFill>
          </w14:textFill>
        </w:rPr>
        <w:t>采购10.4万张</w:t>
      </w:r>
      <w:r>
        <w:rPr>
          <w:rFonts w:hint="default" w:asciiTheme="minorEastAsia" w:hAnsiTheme="minorEastAsia" w:eastAsiaTheme="minorEastAsia"/>
          <w:color w:val="000000" w:themeColor="text1"/>
          <w:kern w:val="2"/>
          <w:lang w:eastAsia="zh-CN"/>
          <w14:textFill>
            <w14:solidFill>
              <w14:schemeClr w14:val="tx1"/>
            </w14:solidFill>
          </w14:textFill>
        </w:rPr>
        <w:t>符合</w:t>
      </w:r>
      <w:r>
        <w:rPr>
          <w:rFonts w:hint="default" w:asciiTheme="minorEastAsia" w:hAnsiTheme="minorEastAsia" w:eastAsiaTheme="minorEastAsia"/>
          <w:color w:val="000000" w:themeColor="text1"/>
          <w:kern w:val="2"/>
          <w:lang w:eastAsia="zh-CN"/>
          <w14:textFill>
            <w14:solidFill>
              <w14:schemeClr w14:val="tx1"/>
            </w14:solidFill>
          </w14:textFill>
          <w:woUserID w:val="1"/>
        </w:rPr>
        <w:t>以下全部定义约定</w:t>
      </w:r>
      <w:r>
        <w:rPr>
          <w:rFonts w:hint="default" w:asciiTheme="minorEastAsia" w:hAnsiTheme="minorEastAsia" w:eastAsiaTheme="minorEastAsia"/>
          <w:color w:val="000000" w:themeColor="text1"/>
          <w:kern w:val="2"/>
          <w:lang w:eastAsia="zh-CN"/>
          <w14:textFill>
            <w14:solidFill>
              <w14:schemeClr w14:val="tx1"/>
            </w14:solidFill>
          </w14:textFill>
        </w:rPr>
        <w:t>的</w:t>
      </w:r>
      <w:r>
        <w:rPr>
          <w:rFonts w:hint="eastAsia" w:asciiTheme="minorEastAsia" w:hAnsiTheme="minorEastAsia" w:eastAsiaTheme="minorEastAsia"/>
          <w:color w:val="000000" w:themeColor="text1"/>
          <w:kern w:val="2"/>
          <w:lang w:val="en-US" w:eastAsia="zh-CN"/>
          <w14:textFill>
            <w14:solidFill>
              <w14:schemeClr w14:val="tx1"/>
            </w14:solidFill>
          </w14:textFill>
        </w:rPr>
        <w:t>绿证</w:t>
      </w:r>
      <w:r>
        <w:rPr>
          <w:rFonts w:hint="default" w:asciiTheme="minorEastAsia" w:hAnsiTheme="minorEastAsia" w:eastAsiaTheme="minorEastAsia"/>
          <w:color w:val="000000" w:themeColor="text1"/>
          <w:kern w:val="2"/>
          <w:lang w:eastAsia="zh-CN"/>
          <w14:textFill>
            <w14:solidFill>
              <w14:schemeClr w14:val="tx1"/>
            </w14:solidFill>
          </w14:textFill>
          <w:woUserID w:val="1"/>
        </w:rPr>
        <w:t>，且</w:t>
      </w:r>
      <w:r>
        <w:rPr>
          <w:rFonts w:hint="eastAsia" w:asciiTheme="minorEastAsia" w:hAnsiTheme="minorEastAsia" w:eastAsiaTheme="minorEastAsia"/>
          <w:color w:val="000000" w:themeColor="text1"/>
          <w:kern w:val="2"/>
          <w:lang w:val="en-US" w:eastAsia="zh-CN"/>
          <w14:textFill>
            <w14:solidFill>
              <w14:schemeClr w14:val="tx1"/>
            </w14:solidFill>
          </w14:textFill>
          <w:woUserID w:val="1"/>
        </w:rPr>
        <w:t>可通过北京电力交易中心/广州电力交易中心绿色电力证书交易平台查询核验</w:t>
      </w:r>
      <w:r>
        <w:rPr>
          <w:rFonts w:hint="default" w:asciiTheme="minorEastAsia" w:hAnsiTheme="minorEastAsia" w:eastAsiaTheme="minorEastAsia"/>
          <w:color w:val="000000" w:themeColor="text1"/>
          <w:kern w:val="2"/>
          <w:lang w:eastAsia="zh-CN"/>
          <w14:textFill>
            <w14:solidFill>
              <w14:schemeClr w14:val="tx1"/>
            </w14:solidFill>
          </w14:textFill>
          <w:woUserID w:val="1"/>
        </w:rPr>
        <w:t>。</w:t>
      </w:r>
    </w:p>
    <w:p w14:paraId="48A5C75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olor w:val="000000" w:themeColor="text1"/>
          <w:kern w:val="2"/>
          <w:lang w:val="en-US" w:eastAsia="zh-CN"/>
          <w14:textFill>
            <w14:solidFill>
              <w14:schemeClr w14:val="tx1"/>
            </w14:solidFill>
          </w14:textFill>
        </w:rPr>
      </w:pPr>
      <w:r>
        <w:rPr>
          <w:rFonts w:hint="eastAsia" w:asciiTheme="minorEastAsia" w:hAnsiTheme="minorEastAsia" w:eastAsiaTheme="minorEastAsia"/>
          <w:color w:val="000000" w:themeColor="text1"/>
          <w:kern w:val="2"/>
          <w:lang w:val="en-US" w:eastAsia="zh-CN"/>
          <w14:textFill>
            <w14:solidFill>
              <w14:schemeClr w14:val="tx1"/>
            </w14:solidFill>
          </w14:textFill>
        </w:rPr>
        <w:t>1</w:t>
      </w:r>
      <w:r>
        <w:rPr>
          <w:rFonts w:hint="default" w:asciiTheme="minorEastAsia" w:hAnsiTheme="minorEastAsia" w:eastAsiaTheme="minorEastAsia"/>
          <w:color w:val="000000" w:themeColor="text1"/>
          <w:kern w:val="2"/>
          <w:lang w:eastAsia="zh-CN"/>
          <w14:textFill>
            <w14:solidFill>
              <w14:schemeClr w14:val="tx1"/>
            </w14:solidFill>
          </w14:textFill>
          <w:woUserID w:val="1"/>
        </w:rPr>
        <w:t>.</w:t>
      </w:r>
      <w:r>
        <w:rPr>
          <w:rFonts w:hint="eastAsia" w:asciiTheme="minorEastAsia" w:hAnsiTheme="minorEastAsia" w:eastAsiaTheme="minorEastAsia"/>
          <w:color w:val="000000" w:themeColor="text1"/>
          <w:kern w:val="2"/>
          <w:lang w:val="en-US" w:eastAsia="zh-CN"/>
          <w14:textFill>
            <w14:solidFill>
              <w14:schemeClr w14:val="tx1"/>
            </w14:solidFill>
          </w14:textFill>
        </w:rPr>
        <w:t>绿证</w:t>
      </w:r>
      <w:r>
        <w:rPr>
          <w:rFonts w:hint="default" w:asciiTheme="minorEastAsia" w:hAnsiTheme="minorEastAsia" w:eastAsiaTheme="minorEastAsia"/>
          <w:color w:val="000000" w:themeColor="text1"/>
          <w:kern w:val="2"/>
          <w:lang w:eastAsia="zh-CN"/>
          <w14:textFill>
            <w14:solidFill>
              <w14:schemeClr w14:val="tx1"/>
            </w14:solidFill>
          </w14:textFill>
          <w:woUserID w:val="1"/>
        </w:rPr>
        <w:t>：</w:t>
      </w:r>
      <w:r>
        <w:rPr>
          <w:rFonts w:hint="eastAsia" w:asciiTheme="minorEastAsia" w:hAnsiTheme="minorEastAsia" w:eastAsiaTheme="minorEastAsia"/>
          <w:color w:val="000000" w:themeColor="text1"/>
          <w:kern w:val="2"/>
          <w:lang w:val="en-US" w:eastAsia="zh-CN"/>
          <w14:textFill>
            <w14:solidFill>
              <w14:schemeClr w14:val="tx1"/>
            </w14:solidFill>
          </w14:textFill>
        </w:rPr>
        <w:t>指由国家可再生能源信息管理中心核发的电子证书，1张绿证对应1MWh可再生能源电量，具备唯一追溯标识，且必须为2025年生产。</w:t>
      </w:r>
    </w:p>
    <w:p w14:paraId="4B093F7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olor w:val="000000" w:themeColor="text1"/>
          <w:kern w:val="2"/>
          <w:lang w:val="en-US" w:eastAsia="zh-CN"/>
          <w14:textFill>
            <w14:solidFill>
              <w14:schemeClr w14:val="tx1"/>
            </w14:solidFill>
          </w14:textFill>
        </w:rPr>
      </w:pPr>
      <w:r>
        <w:rPr>
          <w:rFonts w:hint="eastAsia" w:asciiTheme="minorEastAsia" w:hAnsiTheme="minorEastAsia" w:eastAsiaTheme="minorEastAsia"/>
          <w:color w:val="000000" w:themeColor="text1"/>
          <w:kern w:val="2"/>
          <w:lang w:val="en-US" w:eastAsia="zh-CN"/>
          <w14:textFill>
            <w14:solidFill>
              <w14:schemeClr w14:val="tx1"/>
            </w14:solidFill>
          </w14:textFill>
        </w:rPr>
        <w:t>2</w:t>
      </w:r>
      <w:r>
        <w:rPr>
          <w:rFonts w:hint="default" w:asciiTheme="minorEastAsia" w:hAnsiTheme="minorEastAsia" w:eastAsiaTheme="minorEastAsia"/>
          <w:color w:val="000000" w:themeColor="text1"/>
          <w:kern w:val="2"/>
          <w:lang w:eastAsia="zh-CN"/>
          <w14:textFill>
            <w14:solidFill>
              <w14:schemeClr w14:val="tx1"/>
            </w14:solidFill>
          </w14:textFill>
          <w:woUserID w:val="1"/>
        </w:rPr>
        <w:t>.</w:t>
      </w:r>
      <w:r>
        <w:rPr>
          <w:rFonts w:hint="eastAsia" w:asciiTheme="minorEastAsia" w:hAnsiTheme="minorEastAsia" w:eastAsiaTheme="minorEastAsia"/>
          <w:color w:val="000000" w:themeColor="text1"/>
          <w:kern w:val="2"/>
          <w:lang w:val="en-US" w:eastAsia="zh-CN"/>
          <w14:textFill>
            <w14:solidFill>
              <w14:schemeClr w14:val="tx1"/>
            </w14:solidFill>
          </w14:textFill>
        </w:rPr>
        <w:t>无补贴绿证：指未享受国家或地方可再生能源电价补贴政策的绿证。</w:t>
      </w:r>
    </w:p>
    <w:p w14:paraId="7707216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olor w:val="000000" w:themeColor="text1"/>
          <w:kern w:val="2"/>
          <w:lang w:val="en-US" w:eastAsia="zh-CN"/>
          <w14:textFill>
            <w14:solidFill>
              <w14:schemeClr w14:val="tx1"/>
            </w14:solidFill>
          </w14:textFill>
        </w:rPr>
      </w:pPr>
      <w:r>
        <w:rPr>
          <w:rFonts w:hint="eastAsia" w:asciiTheme="minorEastAsia" w:hAnsiTheme="minorEastAsia" w:eastAsiaTheme="minorEastAsia"/>
          <w:color w:val="000000" w:themeColor="text1"/>
          <w:kern w:val="2"/>
          <w:lang w:val="en-US" w:eastAsia="zh-CN"/>
          <w14:textFill>
            <w14:solidFill>
              <w14:schemeClr w14:val="tx1"/>
            </w14:solidFill>
          </w14:textFill>
        </w:rPr>
        <w:t>3</w:t>
      </w:r>
      <w:r>
        <w:rPr>
          <w:rFonts w:hint="default" w:asciiTheme="minorEastAsia" w:hAnsiTheme="minorEastAsia" w:eastAsiaTheme="minorEastAsia"/>
          <w:color w:val="000000" w:themeColor="text1"/>
          <w:kern w:val="2"/>
          <w:lang w:eastAsia="zh-CN"/>
          <w14:textFill>
            <w14:solidFill>
              <w14:schemeClr w14:val="tx1"/>
            </w14:solidFill>
          </w14:textFill>
          <w:woUserID w:val="1"/>
        </w:rPr>
        <w:t>.</w:t>
      </w:r>
      <w:r>
        <w:rPr>
          <w:rFonts w:hint="eastAsia" w:asciiTheme="minorEastAsia" w:hAnsiTheme="minorEastAsia" w:eastAsiaTheme="minorEastAsia"/>
          <w:color w:val="000000" w:themeColor="text1"/>
          <w:kern w:val="2"/>
          <w:lang w:val="en-US" w:eastAsia="zh-CN"/>
          <w14:textFill>
            <w14:solidFill>
              <w14:schemeClr w14:val="tx1"/>
            </w14:solidFill>
          </w14:textFill>
        </w:rPr>
        <w:t>非通道绿证：指对应电量在生产项目所在省（市、自治区）内完成消纳，不涉及跨省电力通道外送的绿证。</w:t>
      </w:r>
    </w:p>
    <w:p w14:paraId="3D2ADCA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lang w:val="en-US" w:eastAsia="zh-CN"/>
          <w14:textFill>
            <w14:solidFill>
              <w14:schemeClr w14:val="tx1"/>
            </w14:solidFill>
          </w14:textFill>
        </w:rPr>
        <w:t>4</w:t>
      </w:r>
      <w:r>
        <w:rPr>
          <w:rFonts w:hint="default" w:asciiTheme="minorEastAsia" w:hAnsiTheme="minorEastAsia" w:eastAsiaTheme="minorEastAsia"/>
          <w:color w:val="000000" w:themeColor="text1"/>
          <w:kern w:val="2"/>
          <w:lang w:eastAsia="zh-CN"/>
          <w14:textFill>
            <w14:solidFill>
              <w14:schemeClr w14:val="tx1"/>
            </w14:solidFill>
          </w14:textFill>
          <w:woUserID w:val="1"/>
        </w:rPr>
        <w:t>.</w:t>
      </w:r>
      <w:r>
        <w:rPr>
          <w:rFonts w:hint="eastAsia" w:asciiTheme="minorEastAsia" w:hAnsiTheme="minorEastAsia" w:eastAsiaTheme="minorEastAsia"/>
          <w:color w:val="000000" w:themeColor="text1"/>
          <w:kern w:val="2"/>
          <w:lang w:val="en-US" w:eastAsia="zh-CN"/>
          <w14:textFill>
            <w14:solidFill>
              <w14:schemeClr w14:val="tx1"/>
            </w14:solidFill>
          </w14:textFill>
        </w:rPr>
        <w:t>省外绿证：指生产项目位于浙江省以外地区的绿证（以国家可再生能源信息管理中心登记的项目属地为准）。</w:t>
      </w:r>
    </w:p>
    <w:p w14:paraId="64CFEC1A">
      <w:pPr>
        <w:rPr>
          <w:rFonts w:asciiTheme="minorEastAsia" w:hAnsiTheme="minorEastAsia" w:eastAsiaTheme="minorEastAsia"/>
          <w:sz w:val="24"/>
        </w:rPr>
      </w:pPr>
    </w:p>
    <w:p w14:paraId="61604795">
      <w:pPr>
        <w:numPr>
          <w:ilvl w:val="0"/>
          <w:numId w:val="7"/>
        </w:numPr>
        <w:rPr>
          <w:rFonts w:asciiTheme="minorEastAsia" w:hAnsiTheme="minorEastAsia" w:eastAsiaTheme="minorEastAsia"/>
          <w:b/>
          <w:bCs/>
          <w:sz w:val="24"/>
          <w:lang w:val="zh-CN"/>
        </w:rPr>
      </w:pPr>
      <w:r>
        <w:rPr>
          <w:rFonts w:hint="eastAsia" w:asciiTheme="minorEastAsia" w:hAnsiTheme="minorEastAsia" w:eastAsiaTheme="minorEastAsia"/>
          <w:b/>
          <w:bCs/>
          <w:sz w:val="24"/>
          <w:lang w:val="zh-CN"/>
        </w:rPr>
        <w:t>其他要求</w:t>
      </w:r>
    </w:p>
    <w:p w14:paraId="3530545C">
      <w:pPr>
        <w:rPr>
          <w:rFonts w:asciiTheme="minorEastAsia" w:hAnsiTheme="minorEastAsia" w:eastAsiaTheme="minorEastAsia"/>
          <w:b/>
          <w:bCs/>
          <w:sz w:val="24"/>
          <w:lang w:val="zh-CN"/>
        </w:rPr>
      </w:pPr>
    </w:p>
    <w:p w14:paraId="10962E4A">
      <w:pPr>
        <w:pStyle w:val="42"/>
        <w:numPr>
          <w:ilvl w:val="0"/>
          <w:numId w:val="8"/>
        </w:num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服务期：</w:t>
      </w:r>
      <w:r>
        <w:rPr>
          <w:rFonts w:hint="default" w:asciiTheme="minorEastAsia" w:hAnsiTheme="minorEastAsia" w:eastAsiaTheme="minorEastAsia"/>
          <w:color w:val="000000" w:themeColor="text1"/>
          <w14:textFill>
            <w14:solidFill>
              <w14:schemeClr w14:val="tx1"/>
            </w14:solidFill>
          </w14:textFill>
          <w:woUserID w:val="1"/>
        </w:rPr>
        <w:t>30天</w:t>
      </w:r>
      <w:r>
        <w:rPr>
          <w:rFonts w:hint="eastAsia" w:asciiTheme="minorEastAsia" w:hAnsiTheme="minorEastAsia" w:eastAsiaTheme="minorEastAsia"/>
          <w:color w:val="000000" w:themeColor="text1"/>
          <w14:textFill>
            <w14:solidFill>
              <w14:schemeClr w14:val="tx1"/>
            </w14:solidFill>
          </w14:textFill>
        </w:rPr>
        <w:t>。</w:t>
      </w:r>
    </w:p>
    <w:p w14:paraId="3D6A5D4B">
      <w:pPr>
        <w:pStyle w:val="42"/>
        <w:numPr>
          <w:ilvl w:val="0"/>
          <w:numId w:val="0"/>
        </w:numPr>
        <w:spacing w:line="360" w:lineRule="auto"/>
        <w:ind w:left="210" w:leftChars="0"/>
        <w:rPr>
          <w:rFonts w:hint="eastAsia" w:cs="Times New Roman" w:asciiTheme="minorEastAsia" w:hAnsiTheme="minorEastAsia" w:eastAsiaTheme="minorEastAsia"/>
          <w:color w:val="000000"/>
          <w:sz w:val="24"/>
          <w:szCs w:val="24"/>
          <w:lang w:val="zh-CN" w:eastAsia="zh-CN" w:bidi="ar-SA"/>
        </w:rPr>
      </w:pPr>
      <w:r>
        <w:rPr>
          <w:rFonts w:hint="eastAsia" w:cs="Times New Roman" w:asciiTheme="minorEastAsia" w:hAnsiTheme="minorEastAsia" w:eastAsiaTheme="minorEastAsia"/>
          <w:color w:val="000000"/>
          <w:sz w:val="24"/>
          <w:szCs w:val="24"/>
          <w:lang w:val="en-US" w:eastAsia="zh-CN" w:bidi="ar-SA"/>
        </w:rPr>
        <w:t>2</w:t>
      </w:r>
      <w:r>
        <w:rPr>
          <w:rFonts w:hint="eastAsia" w:cs="Times New Roman" w:asciiTheme="minorEastAsia" w:hAnsiTheme="minorEastAsia" w:eastAsiaTheme="minorEastAsia"/>
          <w:color w:val="000000"/>
          <w:sz w:val="24"/>
          <w:szCs w:val="24"/>
          <w:lang w:val="zh-CN" w:eastAsia="zh-CN" w:bidi="ar-SA"/>
        </w:rPr>
        <w:t>、款项支付：甲方收到合规发票后3个工作日内，通过银行转账方式将全部合同款项支付至乙方指定账户（账户信息详见本合同“六、签署页”）。</w:t>
      </w:r>
    </w:p>
    <w:p w14:paraId="679EA5F3">
      <w:pPr>
        <w:pStyle w:val="42"/>
        <w:numPr>
          <w:ilvl w:val="0"/>
          <w:numId w:val="0"/>
        </w:numPr>
        <w:spacing w:line="360" w:lineRule="auto"/>
        <w:ind w:left="210" w:leftChars="0"/>
        <w:rPr>
          <w:rFonts w:asciiTheme="minorEastAsia" w:hAnsiTheme="minorEastAsia" w:eastAsiaTheme="minorEastAsia"/>
        </w:rPr>
      </w:pPr>
      <w:r>
        <w:rPr>
          <w:rFonts w:hint="eastAsia" w:cs="Times New Roman" w:asciiTheme="minorEastAsia" w:hAnsiTheme="minorEastAsia" w:eastAsiaTheme="minorEastAsia"/>
          <w:color w:val="000000"/>
          <w:sz w:val="24"/>
          <w:szCs w:val="24"/>
          <w:lang w:val="zh-CN" w:eastAsia="zh-CN" w:bidi="ar-SA"/>
        </w:rPr>
        <w:t>3、绿证交割：乙方在收到甲方全部合同款项后3个工作日内，完成绿证交割（即绿证登记至甲方名下），且最晚交割时间不得超过2025年11月11日17:00（以北京电力交易中心平台/广州电力交易中心平台显示的登记时间为准）</w:t>
      </w:r>
      <w:r>
        <w:rPr>
          <w:rFonts w:hint="eastAsia" w:asciiTheme="minorEastAsia" w:hAnsiTheme="minorEastAsia" w:eastAsiaTheme="minorEastAsia"/>
        </w:rPr>
        <w:t>。</w:t>
      </w:r>
    </w:p>
    <w:p w14:paraId="077C5930">
      <w:pPr>
        <w:pStyle w:val="43"/>
        <w:ind w:left="0" w:leftChars="0" w:firstLine="0" w:firstLineChars="0"/>
      </w:pPr>
    </w:p>
    <w:p w14:paraId="4702BAB5">
      <w:pPr>
        <w:pStyle w:val="191"/>
        <w:numPr>
          <w:ilvl w:val="0"/>
          <w:numId w:val="0"/>
        </w:numPr>
        <w:ind w:left="210" w:leftChars="100" w:firstLine="2409" w:firstLineChars="600"/>
        <w:rPr>
          <w:sz w:val="40"/>
          <w:szCs w:val="22"/>
        </w:rPr>
      </w:pPr>
      <w:r>
        <w:rPr>
          <w:rFonts w:hint="eastAsia"/>
          <w:sz w:val="40"/>
          <w:szCs w:val="22"/>
        </w:rPr>
        <w:t>第四部分　评标方法</w:t>
      </w:r>
    </w:p>
    <w:p w14:paraId="387E184B">
      <w:pPr>
        <w:spacing w:line="360" w:lineRule="auto"/>
        <w:ind w:right="302" w:firstLine="360"/>
        <w:rPr>
          <w:rFonts w:ascii="宋体"/>
          <w:b/>
          <w:bCs/>
          <w:color w:val="000000"/>
          <w:sz w:val="24"/>
          <w:lang w:val="zh-CN"/>
        </w:rPr>
      </w:pPr>
      <w:r>
        <w:rPr>
          <w:rFonts w:hint="eastAsia" w:ascii="宋体"/>
          <w:b/>
          <w:color w:val="000000"/>
          <w:sz w:val="24"/>
        </w:rPr>
        <w:t xml:space="preserve"> </w:t>
      </w:r>
      <w:r>
        <w:rPr>
          <w:rFonts w:hint="eastAsia" w:ascii="宋体"/>
          <w:color w:val="000000"/>
          <w:sz w:val="24"/>
          <w:lang w:val="zh-CN"/>
        </w:rPr>
        <w:t>根据有关规定，结合本次招标实际需求，按照公平、公正、科学择优的原则，特制定本评标办法。</w:t>
      </w:r>
    </w:p>
    <w:p w14:paraId="1D0028C0">
      <w:pPr>
        <w:spacing w:line="360" w:lineRule="auto"/>
        <w:ind w:right="84" w:firstLine="482"/>
        <w:rPr>
          <w:rFonts w:ascii="宋体"/>
          <w:b/>
          <w:bCs/>
          <w:color w:val="000000"/>
          <w:sz w:val="24"/>
          <w:lang w:val="zh-CN"/>
        </w:rPr>
      </w:pPr>
      <w:r>
        <w:rPr>
          <w:rFonts w:hint="eastAsia" w:ascii="宋体"/>
          <w:b/>
          <w:bCs/>
          <w:color w:val="000000"/>
          <w:sz w:val="24"/>
          <w:lang w:val="zh-CN"/>
        </w:rPr>
        <w:t>一、评标方法</w:t>
      </w:r>
    </w:p>
    <w:p w14:paraId="0E574875">
      <w:pPr>
        <w:spacing w:line="440" w:lineRule="exact"/>
        <w:rPr>
          <w:rFonts w:ascii="宋体"/>
          <w:color w:val="000000"/>
          <w:sz w:val="24"/>
        </w:rPr>
      </w:pPr>
      <w:r>
        <w:rPr>
          <w:rFonts w:hint="eastAsia" w:ascii="宋体"/>
          <w:color w:val="000000"/>
          <w:sz w:val="24"/>
        </w:rPr>
        <w:t>评标办法(以下计算，小数点保留两位，第三位四舍五入)</w:t>
      </w:r>
    </w:p>
    <w:p w14:paraId="1AC96D13">
      <w:pPr>
        <w:spacing w:line="440" w:lineRule="exact"/>
        <w:rPr>
          <w:rFonts w:ascii="宋体"/>
          <w:color w:val="000000"/>
          <w:sz w:val="24"/>
        </w:rPr>
      </w:pPr>
      <w:r>
        <w:rPr>
          <w:rFonts w:hint="eastAsia" w:ascii="宋体"/>
          <w:color w:val="000000"/>
          <w:sz w:val="24"/>
        </w:rPr>
        <w:t>1.评标程序</w:t>
      </w:r>
    </w:p>
    <w:p w14:paraId="2636C629">
      <w:pPr>
        <w:spacing w:line="440" w:lineRule="exact"/>
        <w:rPr>
          <w:rFonts w:ascii="宋体"/>
          <w:color w:val="000000"/>
          <w:sz w:val="24"/>
        </w:rPr>
      </w:pPr>
      <w:r>
        <w:rPr>
          <w:rFonts w:hint="eastAsia" w:ascii="宋体"/>
          <w:color w:val="000000"/>
          <w:sz w:val="24"/>
        </w:rPr>
        <w:t>（1）由评标委员会对各投标人的投标资格进行审查；凡不符合资格要求的，以无效标处理，不再进入商务标评标。</w:t>
      </w:r>
    </w:p>
    <w:p w14:paraId="24328F56">
      <w:pPr>
        <w:spacing w:line="440" w:lineRule="exact"/>
        <w:rPr>
          <w:rFonts w:ascii="宋体"/>
          <w:color w:val="000000"/>
          <w:sz w:val="24"/>
        </w:rPr>
      </w:pPr>
      <w:r>
        <w:rPr>
          <w:rFonts w:hint="eastAsia" w:ascii="宋体"/>
          <w:color w:val="000000"/>
          <w:sz w:val="24"/>
        </w:rPr>
        <w:t>（2）评标办法：本评标办法采用经评审最低投标价法。在所有有效报价中取报价最低的为最佳报价。</w:t>
      </w:r>
    </w:p>
    <w:p w14:paraId="1360AFB5">
      <w:pPr>
        <w:spacing w:line="440" w:lineRule="exact"/>
        <w:rPr>
          <w:rFonts w:ascii="宋体"/>
          <w:color w:val="000000"/>
          <w:sz w:val="24"/>
        </w:rPr>
      </w:pPr>
      <w:r>
        <w:rPr>
          <w:rFonts w:hint="eastAsia" w:ascii="宋体"/>
          <w:color w:val="000000"/>
          <w:sz w:val="24"/>
        </w:rPr>
        <w:t>2.中标候选人的确定。</w:t>
      </w:r>
    </w:p>
    <w:p w14:paraId="2947B76C">
      <w:pPr>
        <w:spacing w:line="440" w:lineRule="exact"/>
        <w:rPr>
          <w:rFonts w:ascii="宋体"/>
          <w:color w:val="000000"/>
          <w:sz w:val="24"/>
        </w:rPr>
      </w:pPr>
      <w:r>
        <w:rPr>
          <w:rFonts w:hint="eastAsia" w:ascii="宋体"/>
          <w:color w:val="000000"/>
          <w:sz w:val="24"/>
        </w:rPr>
        <w:t>（1）在所有有效报价中取报价最低的为第一中标候选人。如投标报价相同则抽签确定。</w:t>
      </w:r>
    </w:p>
    <w:p w14:paraId="7CDF1639">
      <w:pPr>
        <w:spacing w:line="440" w:lineRule="exact"/>
        <w:rPr>
          <w:rFonts w:ascii="宋体"/>
          <w:color w:val="000000"/>
          <w:sz w:val="24"/>
        </w:rPr>
      </w:pPr>
      <w:r>
        <w:rPr>
          <w:rFonts w:hint="eastAsia" w:ascii="宋体"/>
          <w:color w:val="000000"/>
          <w:sz w:val="24"/>
        </w:rPr>
        <w:t>（2）中标人确定后，招标人不对未中标人就未能中标原因作出任何解释。</w:t>
      </w:r>
    </w:p>
    <w:p w14:paraId="62E89D0C">
      <w:pPr>
        <w:spacing w:line="440" w:lineRule="exact"/>
        <w:rPr>
          <w:rFonts w:ascii="宋体"/>
          <w:color w:val="000000"/>
          <w:sz w:val="24"/>
        </w:rPr>
      </w:pPr>
      <w:r>
        <w:rPr>
          <w:rFonts w:hint="eastAsia" w:ascii="宋体"/>
          <w:color w:val="000000"/>
          <w:sz w:val="24"/>
        </w:rPr>
        <w:t>（3）投标人的投标文件不予以退还。</w:t>
      </w:r>
    </w:p>
    <w:p w14:paraId="1C3C087B">
      <w:pPr>
        <w:spacing w:line="440" w:lineRule="exact"/>
        <w:rPr>
          <w:rFonts w:ascii="宋体"/>
          <w:color w:val="000000"/>
          <w:sz w:val="24"/>
        </w:rPr>
      </w:pPr>
      <w:r>
        <w:rPr>
          <w:rFonts w:hint="eastAsia" w:ascii="宋体"/>
          <w:color w:val="000000"/>
          <w:sz w:val="24"/>
        </w:rPr>
        <w:t>（4）招标人应当确定第一中标候选人为中标人。第一中标候选人放弃中标，或者因不可抗力提出不能履行合同，或者招标文件规定应当提交履约担保而在规定的期限内未能提交，本次招标失败，重新组织招标。</w:t>
      </w:r>
    </w:p>
    <w:p w14:paraId="69F15051">
      <w:pPr>
        <w:spacing w:line="440" w:lineRule="exact"/>
        <w:rPr>
          <w:rFonts w:ascii="宋体"/>
          <w:color w:val="000000"/>
          <w:szCs w:val="21"/>
        </w:rPr>
      </w:pPr>
    </w:p>
    <w:p w14:paraId="24A3099F">
      <w:pPr>
        <w:spacing w:line="360" w:lineRule="auto"/>
        <w:ind w:firstLine="1050"/>
        <w:rPr>
          <w:rFonts w:ascii="宋体"/>
          <w:b/>
          <w:sz w:val="30"/>
        </w:rPr>
      </w:pPr>
    </w:p>
    <w:p w14:paraId="46974B42">
      <w:pPr>
        <w:spacing w:line="360" w:lineRule="auto"/>
        <w:jc w:val="center"/>
        <w:rPr>
          <w:rFonts w:ascii="宋体"/>
          <w:b/>
          <w:sz w:val="30"/>
        </w:rPr>
      </w:pPr>
    </w:p>
    <w:p w14:paraId="4912A99C">
      <w:pPr>
        <w:pStyle w:val="192"/>
        <w:jc w:val="center"/>
        <w:outlineLvl w:val="0"/>
        <w:rPr>
          <w:sz w:val="19"/>
        </w:rPr>
      </w:pPr>
      <w:r>
        <w:rPr>
          <w:rFonts w:ascii="宋体"/>
          <w:b w:val="0"/>
          <w:sz w:val="30"/>
        </w:rPr>
        <w:br w:type="page" w:clear="all"/>
      </w:r>
      <w:bookmarkStart w:id="17" w:name="_Toc6007"/>
      <w:r>
        <w:rPr>
          <w:rFonts w:hint="eastAsia"/>
          <w:bCs/>
        </w:rPr>
        <w:t>第五部分 合同格式</w:t>
      </w:r>
      <w:bookmarkEnd w:id="17"/>
    </w:p>
    <w:p w14:paraId="5B05B7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2025年度特定绿证采购项目</w:t>
      </w:r>
      <w:r>
        <w:rPr>
          <w:rFonts w:hint="eastAsia" w:ascii="方正小标宋简体" w:hAnsi="方正小标宋简体" w:eastAsia="方正小标宋简体" w:cs="方正小标宋简体"/>
          <w:sz w:val="32"/>
          <w:szCs w:val="32"/>
        </w:rPr>
        <w:t>（代理）交易合同</w:t>
      </w:r>
    </w:p>
    <w:p w14:paraId="0A908A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71CDE3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一、合同基础信息​</w:t>
      </w:r>
    </w:p>
    <w:p w14:paraId="08370D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合同编号</w:t>
      </w:r>
    </w:p>
    <w:p w14:paraId="36CCFE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甲方编号：</w:t>
      </w:r>
      <w:r>
        <w:rPr>
          <w:rFonts w:hint="eastAsia" w:ascii="仿宋" w:hAnsi="仿宋" w:eastAsia="仿宋" w:cs="仿宋"/>
          <w:sz w:val="32"/>
          <w:szCs w:val="32"/>
          <w:u w:val="single"/>
          <w:lang w:val="en-US" w:eastAsia="zh-CN"/>
        </w:rPr>
        <w:t xml:space="preserve">                                      </w:t>
      </w:r>
    </w:p>
    <w:p w14:paraId="05E9E2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乙方编号：</w:t>
      </w:r>
      <w:r>
        <w:rPr>
          <w:rFonts w:hint="eastAsia" w:ascii="仿宋" w:hAnsi="仿宋" w:eastAsia="仿宋" w:cs="仿宋"/>
          <w:sz w:val="32"/>
          <w:szCs w:val="32"/>
          <w:u w:val="single"/>
          <w:lang w:val="en-US" w:eastAsia="zh-CN"/>
        </w:rPr>
        <w:t xml:space="preserve">                                      </w:t>
      </w:r>
    </w:p>
    <w:p w14:paraId="5543C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合同主体</w:t>
      </w:r>
    </w:p>
    <w:p w14:paraId="684BE6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甲方（采购方）：</w:t>
      </w:r>
      <w:r>
        <w:rPr>
          <w:rFonts w:hint="eastAsia" w:ascii="仿宋" w:hAnsi="仿宋" w:eastAsia="仿宋" w:cs="仿宋"/>
          <w:sz w:val="32"/>
          <w:szCs w:val="32"/>
          <w:u w:val="single"/>
          <w:lang w:val="en-US" w:eastAsia="zh-CN"/>
        </w:rPr>
        <w:t xml:space="preserve">                                      </w:t>
      </w:r>
    </w:p>
    <w:p w14:paraId="16873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统一社会信用代码：</w:t>
      </w:r>
      <w:r>
        <w:rPr>
          <w:rFonts w:hint="eastAsia" w:ascii="仿宋" w:hAnsi="仿宋" w:eastAsia="仿宋" w:cs="仿宋"/>
          <w:sz w:val="32"/>
          <w:szCs w:val="32"/>
          <w:u w:val="single"/>
          <w:lang w:val="en-US" w:eastAsia="zh-CN"/>
        </w:rPr>
        <w:t xml:space="preserve">                                </w:t>
      </w:r>
    </w:p>
    <w:p w14:paraId="3C5763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乙方（中标人/售电公司）：</w:t>
      </w:r>
      <w:r>
        <w:rPr>
          <w:rFonts w:hint="eastAsia" w:ascii="仿宋" w:hAnsi="仿宋" w:eastAsia="仿宋" w:cs="仿宋"/>
          <w:sz w:val="32"/>
          <w:szCs w:val="32"/>
          <w:u w:val="single"/>
          <w:lang w:val="en-US" w:eastAsia="zh-CN"/>
        </w:rPr>
        <w:t xml:space="preserve">                        </w:t>
      </w:r>
    </w:p>
    <w:p w14:paraId="29663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sz w:val="32"/>
          <w:szCs w:val="32"/>
          <w:u w:val="single"/>
          <w:lang w:val="en-US" w:eastAsia="zh-CN"/>
        </w:rPr>
        <w:t xml:space="preserve">                               </w:t>
      </w:r>
    </w:p>
    <w:p w14:paraId="67CBFF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电力业务许可证编号（如有）：</w:t>
      </w:r>
      <w:r>
        <w:rPr>
          <w:rFonts w:hint="eastAsia" w:ascii="仿宋" w:hAnsi="仿宋" w:eastAsia="仿宋" w:cs="仿宋"/>
          <w:sz w:val="32"/>
          <w:szCs w:val="32"/>
          <w:u w:val="single"/>
          <w:lang w:val="en-US" w:eastAsia="zh-CN"/>
        </w:rPr>
        <w:t xml:space="preserve">                        </w:t>
      </w:r>
    </w:p>
    <w:p w14:paraId="72D20A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签订信息</w:t>
      </w:r>
    </w:p>
    <w:p w14:paraId="6EA004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u w:val="single"/>
          <w:lang w:val="en-US" w:eastAsia="zh-CN"/>
        </w:rPr>
        <w:t xml:space="preserve">       </w:t>
      </w:r>
      <w:r>
        <w:rPr>
          <w:rFonts w:hint="eastAsia" w:ascii="仿宋" w:hAnsi="仿宋" w:eastAsia="仿宋" w:cs="仿宋"/>
          <w:b w:val="0"/>
          <w:bCs w:val="0"/>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b w:val="0"/>
          <w:bCs w:val="0"/>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b w:val="0"/>
          <w:bCs w:val="0"/>
          <w:sz w:val="32"/>
          <w:szCs w:val="32"/>
        </w:rPr>
        <w:t>日</w:t>
      </w:r>
    </w:p>
    <w:p w14:paraId="1D5503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签订地点：</w:t>
      </w:r>
      <w:r>
        <w:rPr>
          <w:rFonts w:hint="eastAsia" w:ascii="仿宋" w:hAnsi="仿宋" w:eastAsia="仿宋" w:cs="仿宋"/>
          <w:sz w:val="32"/>
          <w:szCs w:val="32"/>
          <w:u w:val="single"/>
          <w:lang w:val="en-US" w:eastAsia="zh-CN"/>
        </w:rPr>
        <w:t xml:space="preserve">                      </w:t>
      </w:r>
    </w:p>
    <w:p w14:paraId="65667E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二、关键定义​</w:t>
      </w:r>
    </w:p>
    <w:p w14:paraId="086BFD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绿证：指由国家可再生能源信息管理中心核发的电子证书，1张绿证对应1MWh可再生能源电量，具备唯一追溯标识，且必须为2025年生产。</w:t>
      </w:r>
    </w:p>
    <w:p w14:paraId="233829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无补贴绿证：指未享受国家或地方可再生能源电价补贴政策的绿证。</w:t>
      </w:r>
    </w:p>
    <w:p w14:paraId="306B7A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非通道绿证：指对应电量在生产项目所在省（市、自治区）内完成消纳，不涉及跨省电力通道外送的绿证。</w:t>
      </w:r>
    </w:p>
    <w:p w14:paraId="0879D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省外绿证：指生产项目位于浙江省以外地区的绿证（以国家可再生能源信息管理中心登记的项目属地为准）。</w:t>
      </w:r>
    </w:p>
    <w:p w14:paraId="2C6B69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绿证交割：指乙方在北京电力交易中心</w:t>
      </w:r>
      <w:r>
        <w:rPr>
          <w:rFonts w:hint="eastAsia" w:ascii="仿宋" w:hAnsi="仿宋" w:eastAsia="仿宋" w:cs="仿宋"/>
          <w:sz w:val="32"/>
          <w:szCs w:val="32"/>
          <w:lang w:val="en-US" w:eastAsia="zh-CN"/>
        </w:rPr>
        <w:t>/广州电力交易中心</w:t>
      </w:r>
      <w:r>
        <w:rPr>
          <w:rFonts w:hint="eastAsia" w:ascii="仿宋" w:hAnsi="仿宋" w:eastAsia="仿宋" w:cs="仿宋"/>
          <w:sz w:val="32"/>
          <w:szCs w:val="32"/>
        </w:rPr>
        <w:t>绿色电力证书交易平台，以甲方名义完成绿证购买，并将绿证登记至甲方名下的操作。</w:t>
      </w:r>
    </w:p>
    <w:p w14:paraId="124508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不可抗力：指不能预见、不能避免且不能克服的客观情况（包括但不限于平台系统故障</w:t>
      </w:r>
      <w:r>
        <w:rPr>
          <w:rFonts w:hint="eastAsia" w:ascii="仿宋" w:hAnsi="仿宋" w:eastAsia="仿宋" w:cs="仿宋"/>
          <w:sz w:val="32"/>
          <w:szCs w:val="32"/>
          <w:lang w:val="en-US" w:eastAsia="zh-CN"/>
        </w:rPr>
        <w:t>等</w:t>
      </w:r>
      <w:r>
        <w:rPr>
          <w:rFonts w:hint="eastAsia" w:ascii="仿宋" w:hAnsi="仿宋" w:eastAsia="仿宋" w:cs="仿宋"/>
          <w:sz w:val="32"/>
          <w:szCs w:val="32"/>
        </w:rPr>
        <w:t>，此类情况需提供官方证明）。​</w:t>
      </w:r>
    </w:p>
    <w:p w14:paraId="52D5C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三、交易核心</w:t>
      </w:r>
      <w:r>
        <w:rPr>
          <w:rFonts w:hint="eastAsia" w:ascii="仿宋" w:hAnsi="仿宋" w:eastAsia="仿宋" w:cs="仿宋"/>
          <w:sz w:val="32"/>
          <w:szCs w:val="32"/>
        </w:rPr>
        <w:t>​</w:t>
      </w:r>
    </w:p>
    <w:p w14:paraId="1DF423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（一）绿证与金额​</w:t>
      </w:r>
    </w:p>
    <w:p w14:paraId="6E233F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绿证要求：乙方提供的绿证需同时满足本合同“二、关键定义”第1至4款的约定，且可通过北京电力交易中心</w:t>
      </w:r>
      <w:r>
        <w:rPr>
          <w:rFonts w:hint="eastAsia" w:ascii="仿宋" w:hAnsi="仿宋" w:eastAsia="仿宋" w:cs="仿宋"/>
          <w:sz w:val="32"/>
          <w:szCs w:val="32"/>
          <w:lang w:val="en-US" w:eastAsia="zh-CN"/>
        </w:rPr>
        <w:t>/广州电力交易中心</w:t>
      </w:r>
      <w:r>
        <w:rPr>
          <w:rFonts w:hint="eastAsia" w:ascii="仿宋" w:hAnsi="仿宋" w:eastAsia="仿宋" w:cs="仿宋"/>
          <w:sz w:val="32"/>
          <w:szCs w:val="32"/>
        </w:rPr>
        <w:t>绿色电力证书交易平台查询核验。</w:t>
      </w:r>
    </w:p>
    <w:p w14:paraId="42ADD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交易信息：绿证数量为104000张；单价为人民币__________元/张（含税，税率6%）；合同总金额为人民币__________元（大写：____________________），其中不含税金额__________元、税额__________元。</w:t>
      </w:r>
    </w:p>
    <w:p w14:paraId="7001F3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价格约定：绿证数量、单价需以乙方投标文件及中标结果为准，乙方对此无异议。​</w:t>
      </w:r>
    </w:p>
    <w:p w14:paraId="69C2AE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（二）付款与交割​</w:t>
      </w:r>
    </w:p>
    <w:p w14:paraId="447AF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发票开具：乙方需在本合同签订后3个工作日内，向甲方开具合规的增值税专用发票；若因乙方开票错误导致甲方无法抵扣税款或产生税务风险，乙方需在3个工作日内重新开具，并赔偿甲方因此遭受的</w:t>
      </w:r>
      <w:r>
        <w:rPr>
          <w:rFonts w:hint="eastAsia" w:ascii="仿宋" w:hAnsi="仿宋" w:eastAsia="仿宋" w:cs="仿宋"/>
          <w:sz w:val="32"/>
          <w:szCs w:val="32"/>
          <w:lang w:val="en-US" w:eastAsia="zh-CN"/>
        </w:rPr>
        <w:t>直接</w:t>
      </w:r>
      <w:r>
        <w:rPr>
          <w:rFonts w:hint="eastAsia" w:ascii="仿宋" w:hAnsi="仿宋" w:eastAsia="仿宋" w:cs="仿宋"/>
          <w:sz w:val="32"/>
          <w:szCs w:val="32"/>
        </w:rPr>
        <w:t>损失</w:t>
      </w:r>
      <w:r>
        <w:rPr>
          <w:rFonts w:hint="eastAsia" w:ascii="仿宋" w:hAnsi="仿宋" w:eastAsia="仿宋" w:cs="仿宋"/>
          <w:sz w:val="32"/>
          <w:szCs w:val="32"/>
          <w:lang w:eastAsia="zh-CN"/>
        </w:rPr>
        <w:t>。</w:t>
      </w:r>
    </w:p>
    <w:p w14:paraId="7AAD0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甲方开票信息</w:t>
      </w:r>
    </w:p>
    <w:p w14:paraId="30CA6E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公司名称：【</w:t>
      </w:r>
      <w:r>
        <w:rPr>
          <w:rFonts w:hint="default" w:ascii="仿宋" w:hAnsi="仿宋" w:eastAsia="仿宋" w:cs="仿宋"/>
          <w:color w:val="000000" w:themeColor="text1"/>
          <w:sz w:val="32"/>
          <w:szCs w:val="32"/>
          <w:lang w:val="en-US" w:eastAsia="zh-CN"/>
          <w14:textFill>
            <w14:solidFill>
              <w14:schemeClr w14:val="tx1"/>
            </w14:solidFill>
          </w14:textFill>
          <w:woUserID w:val="1"/>
        </w:rPr>
        <w:t>台州市北部湾区经济开发集团有限公司</w:t>
      </w:r>
      <w:r>
        <w:rPr>
          <w:rFonts w:hint="default" w:ascii="仿宋" w:hAnsi="仿宋" w:eastAsia="仿宋" w:cs="仿宋"/>
          <w:color w:val="000000" w:themeColor="text1"/>
          <w:sz w:val="32"/>
          <w:szCs w:val="32"/>
          <w:lang w:val="en-US" w:eastAsia="zh-CN"/>
          <w14:textFill>
            <w14:solidFill>
              <w14:schemeClr w14:val="tx1"/>
            </w14:solidFill>
          </w14:textFill>
        </w:rPr>
        <w:t>】</w:t>
      </w:r>
    </w:p>
    <w:p w14:paraId="7AAAB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纳税人识别号：【</w:t>
      </w:r>
      <w:r>
        <w:rPr>
          <w:rFonts w:hint="default" w:ascii="仿宋" w:hAnsi="仿宋" w:eastAsia="仿宋" w:cs="仿宋"/>
          <w:color w:val="000000" w:themeColor="text1"/>
          <w:sz w:val="32"/>
          <w:szCs w:val="32"/>
          <w:lang w:val="en-US" w:eastAsia="zh-CN"/>
          <w14:textFill>
            <w14:solidFill>
              <w14:schemeClr w14:val="tx1"/>
            </w14:solidFill>
          </w14:textFill>
          <w:woUserID w:val="1"/>
        </w:rPr>
        <w:t>913310227332135721</w:t>
      </w:r>
      <w:r>
        <w:rPr>
          <w:rFonts w:hint="default" w:ascii="仿宋" w:hAnsi="仿宋" w:eastAsia="仿宋" w:cs="仿宋"/>
          <w:color w:val="000000" w:themeColor="text1"/>
          <w:sz w:val="32"/>
          <w:szCs w:val="32"/>
          <w:lang w:val="en-US" w:eastAsia="zh-CN"/>
          <w14:textFill>
            <w14:solidFill>
              <w14:schemeClr w14:val="tx1"/>
            </w14:solidFill>
          </w14:textFill>
        </w:rPr>
        <w:t>】</w:t>
      </w:r>
    </w:p>
    <w:p w14:paraId="47BEB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开户行：【</w:t>
      </w:r>
      <w:r>
        <w:rPr>
          <w:rFonts w:hint="default" w:ascii="仿宋" w:hAnsi="仿宋" w:eastAsia="仿宋" w:cs="仿宋"/>
          <w:color w:val="000000" w:themeColor="text1"/>
          <w:sz w:val="32"/>
          <w:szCs w:val="32"/>
          <w:lang w:val="en-US" w:eastAsia="zh-CN"/>
          <w14:textFill>
            <w14:solidFill>
              <w14:schemeClr w14:val="tx1"/>
            </w14:solidFill>
          </w14:textFill>
          <w:woUserID w:val="1"/>
        </w:rPr>
        <w:t>农行三门支行</w:t>
      </w:r>
      <w:r>
        <w:rPr>
          <w:rFonts w:hint="default" w:ascii="仿宋" w:hAnsi="仿宋" w:eastAsia="仿宋" w:cs="仿宋"/>
          <w:color w:val="000000" w:themeColor="text1"/>
          <w:sz w:val="32"/>
          <w:szCs w:val="32"/>
          <w:lang w:val="en-US" w:eastAsia="zh-CN"/>
          <w14:textFill>
            <w14:solidFill>
              <w14:schemeClr w14:val="tx1"/>
            </w14:solidFill>
          </w14:textFill>
        </w:rPr>
        <w:t>】</w:t>
      </w:r>
    </w:p>
    <w:p w14:paraId="61A3F0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银行账号：【</w:t>
      </w:r>
      <w:r>
        <w:rPr>
          <w:rFonts w:hint="default" w:ascii="仿宋" w:hAnsi="仿宋" w:eastAsia="仿宋" w:cs="仿宋"/>
          <w:color w:val="000000" w:themeColor="text1"/>
          <w:sz w:val="32"/>
          <w:szCs w:val="32"/>
          <w:lang w:val="en-US" w:eastAsia="zh-CN"/>
          <w14:textFill>
            <w14:solidFill>
              <w14:schemeClr w14:val="tx1"/>
            </w14:solidFill>
          </w14:textFill>
          <w:woUserID w:val="1"/>
        </w:rPr>
        <w:t>19950101040040095</w:t>
      </w:r>
      <w:r>
        <w:rPr>
          <w:rFonts w:hint="default" w:ascii="仿宋" w:hAnsi="仿宋" w:eastAsia="仿宋" w:cs="仿宋"/>
          <w:color w:val="000000" w:themeColor="text1"/>
          <w:sz w:val="32"/>
          <w:szCs w:val="32"/>
          <w:lang w:val="en-US" w:eastAsia="zh-CN"/>
          <w14:textFill>
            <w14:solidFill>
              <w14:schemeClr w14:val="tx1"/>
            </w14:solidFill>
          </w14:textFill>
        </w:rPr>
        <w:t>】</w:t>
      </w:r>
    </w:p>
    <w:p w14:paraId="0994D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款项支付：甲方收到合规发票后3个工作日内，通过银行转账方式将</w:t>
      </w:r>
      <w:r>
        <w:rPr>
          <w:rFonts w:hint="eastAsia" w:ascii="仿宋" w:hAnsi="仿宋" w:eastAsia="仿宋" w:cs="仿宋"/>
          <w:sz w:val="32"/>
          <w:szCs w:val="32"/>
          <w:lang w:val="en-US" w:eastAsia="zh-CN"/>
        </w:rPr>
        <w:t>全部</w:t>
      </w:r>
      <w:r>
        <w:rPr>
          <w:rFonts w:hint="eastAsia" w:ascii="仿宋" w:hAnsi="仿宋" w:eastAsia="仿宋" w:cs="仿宋"/>
          <w:sz w:val="32"/>
          <w:szCs w:val="32"/>
        </w:rPr>
        <w:t>合同款项支付至乙方指定账户（账户信息详见本合同“六、签署页”）。</w:t>
      </w:r>
    </w:p>
    <w:p w14:paraId="396C72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绿证交割：乙方在收到甲方全部</w:t>
      </w:r>
      <w:r>
        <w:rPr>
          <w:rFonts w:hint="eastAsia" w:ascii="仿宋" w:hAnsi="仿宋" w:eastAsia="仿宋" w:cs="仿宋"/>
          <w:sz w:val="32"/>
          <w:szCs w:val="32"/>
          <w:lang w:val="en-US" w:eastAsia="zh-CN"/>
        </w:rPr>
        <w:t>合同</w:t>
      </w:r>
      <w:r>
        <w:rPr>
          <w:rFonts w:hint="eastAsia" w:ascii="仿宋" w:hAnsi="仿宋" w:eastAsia="仿宋" w:cs="仿宋"/>
          <w:sz w:val="32"/>
          <w:szCs w:val="32"/>
        </w:rPr>
        <w:t>款项后3个工作日内，完成绿证交割（即绿证登记至甲方名下），且最晚交割时间不得超过2025年11月11日17:00（以北京电力交易中心平台</w:t>
      </w:r>
      <w:r>
        <w:rPr>
          <w:rFonts w:hint="eastAsia" w:ascii="仿宋" w:hAnsi="仿宋" w:eastAsia="仿宋" w:cs="仿宋"/>
          <w:sz w:val="32"/>
          <w:szCs w:val="32"/>
          <w:lang w:val="en-US" w:eastAsia="zh-CN"/>
        </w:rPr>
        <w:t>/广州电力交易中心平台</w:t>
      </w:r>
      <w:r>
        <w:rPr>
          <w:rFonts w:hint="eastAsia" w:ascii="仿宋" w:hAnsi="仿宋" w:eastAsia="仿宋" w:cs="仿宋"/>
          <w:sz w:val="32"/>
          <w:szCs w:val="32"/>
        </w:rPr>
        <w:t>显示的登记时间为准）。</w:t>
      </w:r>
    </w:p>
    <w:p w14:paraId="2A4532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凭证提交与核验：乙方完成交割后3个工作日内，需向甲方提交交割凭证（包括但不限于平台登记截图、绿证生产年份证明、项目属地及消纳省份核查记录）；甲方在收到凭证后5个工作日内完成核验，若发现绿证不符合约定，有权要求乙方立即整改。</w:t>
      </w:r>
      <w:r>
        <w:rPr>
          <w:rFonts w:hint="eastAsia" w:ascii="仿宋" w:hAnsi="仿宋" w:eastAsia="仿宋" w:cs="仿宋"/>
          <w:sz w:val="32"/>
          <w:szCs w:val="32"/>
          <w:lang w:val="en-US" w:eastAsia="zh-CN"/>
        </w:rPr>
        <w:t>如甲方未在约定期间内完成核验，视为绿证已符合甲方要求。</w:t>
      </w:r>
    </w:p>
    <w:p w14:paraId="7A528D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四、责任与风险​</w:t>
      </w:r>
    </w:p>
    <w:p w14:paraId="51B90F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（一）甲方违约​</w:t>
      </w:r>
    </w:p>
    <w:p w14:paraId="47935C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若甲方逾期支付合同款项，需按未支付金额的每日0.03%向乙方支付违约金；逾期超过</w:t>
      </w:r>
      <w:r>
        <w:rPr>
          <w:rFonts w:hint="default" w:ascii="仿宋" w:hAnsi="仿宋" w:eastAsia="仿宋" w:cs="仿宋"/>
          <w:sz w:val="32"/>
          <w:szCs w:val="32"/>
          <w:lang w:val="en-US"/>
        </w:rPr>
        <w:t>10</w:t>
      </w:r>
      <w:r>
        <w:rPr>
          <w:rFonts w:hint="eastAsia" w:ascii="仿宋" w:hAnsi="仿宋" w:eastAsia="仿宋" w:cs="仿宋"/>
          <w:sz w:val="32"/>
          <w:szCs w:val="32"/>
        </w:rPr>
        <w:t>天的，乙方有权暂缓绿证交割，交割时间相应顺延</w:t>
      </w:r>
      <w:r>
        <w:rPr>
          <w:rFonts w:hint="eastAsia" w:ascii="仿宋" w:hAnsi="仿宋" w:eastAsia="仿宋" w:cs="仿宋"/>
          <w:sz w:val="32"/>
          <w:szCs w:val="32"/>
          <w:lang w:val="en-US" w:eastAsia="zh-CN"/>
        </w:rPr>
        <w:t>而不视为乙方违约</w:t>
      </w:r>
      <w:r>
        <w:rPr>
          <w:rFonts w:hint="eastAsia" w:ascii="仿宋" w:hAnsi="仿宋" w:eastAsia="仿宋" w:cs="仿宋"/>
          <w:sz w:val="32"/>
          <w:szCs w:val="32"/>
        </w:rPr>
        <w:t>；逾期超过</w:t>
      </w:r>
      <w:r>
        <w:rPr>
          <w:rFonts w:hint="default" w:ascii="仿宋" w:hAnsi="仿宋" w:eastAsia="仿宋" w:cs="仿宋"/>
          <w:sz w:val="32"/>
          <w:szCs w:val="32"/>
          <w:lang w:val="en-US"/>
        </w:rPr>
        <w:t>2</w:t>
      </w:r>
      <w:r>
        <w:rPr>
          <w:rFonts w:hint="eastAsia" w:ascii="仿宋" w:hAnsi="仿宋" w:eastAsia="仿宋" w:cs="仿宋"/>
          <w:sz w:val="32"/>
          <w:szCs w:val="32"/>
        </w:rPr>
        <w:t>0天的，甲方需额外向乙方支付合同总金额10%的违约金；逾期超过30天的，乙方有权解除本合同，并要求甲方赔偿</w:t>
      </w:r>
      <w:r>
        <w:rPr>
          <w:rFonts w:hint="eastAsia" w:ascii="仿宋" w:hAnsi="仿宋" w:eastAsia="仿宋" w:cs="仿宋"/>
          <w:sz w:val="32"/>
          <w:szCs w:val="32"/>
          <w:lang w:val="en-US" w:eastAsia="zh-CN"/>
        </w:rPr>
        <w:t>由此导致的全部</w:t>
      </w:r>
      <w:r>
        <w:rPr>
          <w:rFonts w:hint="eastAsia" w:ascii="仿宋" w:hAnsi="仿宋" w:eastAsia="仿宋" w:cs="仿宋"/>
          <w:sz w:val="32"/>
          <w:szCs w:val="32"/>
        </w:rPr>
        <w:t>损失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包括但不限于</w:t>
      </w:r>
      <w:r>
        <w:rPr>
          <w:rFonts w:hint="eastAsia" w:ascii="仿宋" w:hAnsi="仿宋" w:eastAsia="仿宋" w:cs="仿宋"/>
          <w:sz w:val="32"/>
          <w:szCs w:val="32"/>
        </w:rPr>
        <w:t>为履行本合同支出的直接经济损失、本合同正常履行完毕后乙方可获得的预期利润、以及乙方为维权所支出的律师费、诉讼费、保全费、差旅费等其他合理费用</w:t>
      </w:r>
      <w:r>
        <w:rPr>
          <w:rFonts w:hint="eastAsia" w:ascii="仿宋" w:hAnsi="仿宋" w:eastAsia="仿宋" w:cs="仿宋"/>
          <w:sz w:val="32"/>
          <w:szCs w:val="32"/>
          <w:lang w:eastAsia="zh-CN"/>
        </w:rPr>
        <w:t>）</w:t>
      </w:r>
      <w:r>
        <w:rPr>
          <w:rFonts w:hint="eastAsia" w:ascii="仿宋" w:hAnsi="仿宋" w:eastAsia="仿宋" w:cs="仿宋"/>
          <w:sz w:val="32"/>
          <w:szCs w:val="32"/>
        </w:rPr>
        <w:t>。​</w:t>
      </w:r>
    </w:p>
    <w:p w14:paraId="0B11FA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（二）乙方违约​</w:t>
      </w:r>
    </w:p>
    <w:p w14:paraId="342F8C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绿证不合规：若乙方交割的绿证不符合约定，甲方有权拒收，乙方需在3个工作日内更换符合要求的绿证；若无法更换或更换后仍不符合要求，甲方有权解除本合同，乙方需全额退还甲方该</w:t>
      </w:r>
      <w:r>
        <w:rPr>
          <w:rFonts w:hint="eastAsia" w:ascii="仿宋" w:hAnsi="仿宋" w:eastAsia="仿宋" w:cs="仿宋"/>
          <w:sz w:val="32"/>
          <w:szCs w:val="32"/>
          <w:lang w:val="en-US" w:eastAsia="zh-CN"/>
        </w:rPr>
        <w:t>部分</w:t>
      </w:r>
      <w:r>
        <w:rPr>
          <w:rFonts w:hint="eastAsia" w:ascii="仿宋" w:hAnsi="仿宋" w:eastAsia="仿宋" w:cs="仿宋"/>
          <w:sz w:val="32"/>
          <w:szCs w:val="32"/>
        </w:rPr>
        <w:t>不符合要求的绿证所</w:t>
      </w:r>
      <w:r>
        <w:rPr>
          <w:rFonts w:hint="eastAsia" w:ascii="仿宋" w:hAnsi="仿宋" w:eastAsia="仿宋" w:cs="仿宋"/>
          <w:sz w:val="32"/>
          <w:szCs w:val="32"/>
          <w:lang w:val="en-US" w:eastAsia="zh-CN"/>
        </w:rPr>
        <w:t>对</w:t>
      </w:r>
      <w:r>
        <w:rPr>
          <w:rFonts w:hint="eastAsia" w:ascii="仿宋" w:hAnsi="仿宋" w:eastAsia="仿宋" w:cs="仿宋"/>
          <w:sz w:val="32"/>
          <w:szCs w:val="32"/>
        </w:rPr>
        <w:t>应</w:t>
      </w:r>
      <w:r>
        <w:rPr>
          <w:rFonts w:hint="eastAsia" w:ascii="仿宋" w:hAnsi="仿宋" w:eastAsia="仿宋" w:cs="仿宋"/>
          <w:sz w:val="32"/>
          <w:szCs w:val="32"/>
          <w:lang w:val="en-US" w:eastAsia="zh-CN"/>
        </w:rPr>
        <w:t>的</w:t>
      </w:r>
      <w:r>
        <w:rPr>
          <w:rFonts w:hint="eastAsia" w:ascii="仿宋" w:hAnsi="仿宋" w:eastAsia="仿宋" w:cs="仿宋"/>
          <w:sz w:val="32"/>
          <w:szCs w:val="32"/>
        </w:rPr>
        <w:t>款项，并向甲方支付合同总金额</w:t>
      </w:r>
      <w:r>
        <w:rPr>
          <w:rFonts w:hint="eastAsia" w:ascii="仿宋" w:hAnsi="仿宋" w:eastAsia="仿宋" w:cs="仿宋"/>
          <w:sz w:val="32"/>
          <w:szCs w:val="32"/>
          <w:lang w:val="en-US" w:eastAsia="zh-CN"/>
        </w:rPr>
        <w:t>1</w:t>
      </w:r>
      <w:r>
        <w:rPr>
          <w:rFonts w:hint="eastAsia" w:ascii="仿宋" w:hAnsi="仿宋" w:eastAsia="仿宋" w:cs="仿宋"/>
          <w:sz w:val="32"/>
          <w:szCs w:val="32"/>
        </w:rPr>
        <w:t>0%的违约金，同时赔偿甲方因绿证不合规导致的能耗核算延误等全部损失。​</w:t>
      </w:r>
    </w:p>
    <w:p w14:paraId="1B305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逾期交割：若乙方逾期完成绿证交割，需按合同总金额的每日0.</w:t>
      </w:r>
      <w:r>
        <w:rPr>
          <w:rFonts w:hint="eastAsia" w:ascii="仿宋" w:hAnsi="仿宋" w:eastAsia="仿宋" w:cs="仿宋"/>
          <w:sz w:val="32"/>
          <w:szCs w:val="32"/>
          <w:lang w:val="en-US" w:eastAsia="zh-CN"/>
        </w:rPr>
        <w:t>03</w:t>
      </w:r>
      <w:r>
        <w:rPr>
          <w:rFonts w:hint="eastAsia" w:ascii="仿宋" w:hAnsi="仿宋" w:eastAsia="仿宋" w:cs="仿宋"/>
          <w:sz w:val="32"/>
          <w:szCs w:val="32"/>
        </w:rPr>
        <w:t>%向甲方支付违约金；逾期超过</w:t>
      </w:r>
      <w:r>
        <w:rPr>
          <w:rFonts w:hint="eastAsia" w:ascii="仿宋" w:hAnsi="仿宋" w:eastAsia="仿宋" w:cs="仿宋"/>
          <w:color w:val="auto"/>
          <w:sz w:val="32"/>
          <w:szCs w:val="32"/>
          <w:lang w:val="en-US" w:eastAsia="zh-CN"/>
        </w:rPr>
        <w:t>5个工作日</w:t>
      </w:r>
      <w:r>
        <w:rPr>
          <w:rFonts w:hint="eastAsia" w:ascii="仿宋" w:hAnsi="仿宋" w:eastAsia="仿宋" w:cs="仿宋"/>
          <w:color w:val="auto"/>
          <w:sz w:val="32"/>
          <w:szCs w:val="32"/>
        </w:rPr>
        <w:t>的，甲方有权解除本合同，乙方需全额退还甲</w:t>
      </w:r>
      <w:r>
        <w:rPr>
          <w:rFonts w:hint="eastAsia" w:ascii="仿宋" w:hAnsi="仿宋" w:eastAsia="仿宋" w:cs="仿宋"/>
          <w:sz w:val="32"/>
          <w:szCs w:val="32"/>
        </w:rPr>
        <w:t>方已支付款项，并向甲方支付合同总金额</w:t>
      </w:r>
      <w:r>
        <w:rPr>
          <w:rFonts w:hint="eastAsia" w:ascii="仿宋" w:hAnsi="仿宋" w:eastAsia="仿宋" w:cs="仿宋"/>
          <w:sz w:val="32"/>
          <w:szCs w:val="32"/>
          <w:lang w:val="en-US" w:eastAsia="zh-CN"/>
        </w:rPr>
        <w:t>1</w:t>
      </w:r>
      <w:r>
        <w:rPr>
          <w:rFonts w:hint="eastAsia" w:ascii="仿宋" w:hAnsi="仿宋" w:eastAsia="仿宋" w:cs="仿宋"/>
          <w:sz w:val="32"/>
          <w:szCs w:val="32"/>
        </w:rPr>
        <w:t>0%的违约金。​</w:t>
      </w:r>
    </w:p>
    <w:p w14:paraId="37B6C5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未提交凭证：若乙方未按约定提交</w:t>
      </w:r>
      <w:r>
        <w:rPr>
          <w:rFonts w:hint="eastAsia" w:ascii="仿宋" w:hAnsi="仿宋" w:eastAsia="仿宋" w:cs="仿宋"/>
          <w:sz w:val="32"/>
          <w:szCs w:val="32"/>
          <w:lang w:val="en-US" w:eastAsia="zh-CN"/>
        </w:rPr>
        <w:t>有效</w:t>
      </w:r>
      <w:r>
        <w:rPr>
          <w:rFonts w:hint="eastAsia" w:ascii="仿宋" w:hAnsi="仿宋" w:eastAsia="仿宋" w:cs="仿宋"/>
          <w:sz w:val="32"/>
          <w:szCs w:val="32"/>
        </w:rPr>
        <w:t>交割凭证</w:t>
      </w:r>
      <w:r>
        <w:rPr>
          <w:rFonts w:hint="eastAsia" w:ascii="仿宋" w:hAnsi="仿宋" w:eastAsia="仿宋" w:cs="仿宋"/>
          <w:sz w:val="32"/>
          <w:szCs w:val="32"/>
          <w:lang w:val="en-US" w:eastAsia="zh-CN"/>
        </w:rPr>
        <w:t>的</w:t>
      </w:r>
      <w:r>
        <w:rPr>
          <w:rFonts w:hint="eastAsia" w:ascii="仿宋" w:hAnsi="仿宋" w:eastAsia="仿宋" w:cs="仿宋"/>
          <w:sz w:val="32"/>
          <w:szCs w:val="32"/>
        </w:rPr>
        <w:t>，需向甲方支付合同总金额5%的违约金，并在2个工作日内补齐凭证。​</w:t>
      </w:r>
    </w:p>
    <w:p w14:paraId="14370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资质不符：若乙方非合法售电公司或不具备绿证代理资质，甲方有权立即解除本合同，乙方需全额退还甲方已支付款项，并向甲方支付合同总金额</w:t>
      </w:r>
      <w:r>
        <w:rPr>
          <w:rFonts w:hint="eastAsia" w:ascii="仿宋" w:hAnsi="仿宋" w:eastAsia="仿宋" w:cs="仿宋"/>
          <w:sz w:val="32"/>
          <w:szCs w:val="32"/>
          <w:lang w:val="en-US" w:eastAsia="zh-CN"/>
        </w:rPr>
        <w:t>1</w:t>
      </w:r>
      <w:r>
        <w:rPr>
          <w:rFonts w:hint="eastAsia" w:ascii="仿宋" w:hAnsi="仿宋" w:eastAsia="仿宋" w:cs="仿宋"/>
          <w:sz w:val="32"/>
          <w:szCs w:val="32"/>
        </w:rPr>
        <w:t>0%的违约金。​</w:t>
      </w:r>
    </w:p>
    <w:p w14:paraId="5293B8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（三）合同变更与解除​</w:t>
      </w:r>
    </w:p>
    <w:p w14:paraId="7173FD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合同变更：本合同生效后，双方不得擅自变更；确需变更的，需由双方协商一致并签订书面补充协议，补充协议与本合同具有同等法律效力。</w:t>
      </w:r>
    </w:p>
    <w:p w14:paraId="6DC1F5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合同解除：若因</w:t>
      </w:r>
      <w:r>
        <w:rPr>
          <w:rFonts w:hint="eastAsia" w:ascii="仿宋" w:hAnsi="仿宋" w:eastAsia="仿宋" w:cs="仿宋"/>
          <w:sz w:val="32"/>
          <w:szCs w:val="32"/>
          <w:lang w:val="en-US" w:eastAsia="zh-CN"/>
        </w:rPr>
        <w:t>一</w:t>
      </w:r>
      <w:r>
        <w:rPr>
          <w:rFonts w:hint="eastAsia" w:ascii="仿宋" w:hAnsi="仿宋" w:eastAsia="仿宋" w:cs="仿宋"/>
          <w:sz w:val="32"/>
          <w:szCs w:val="32"/>
        </w:rPr>
        <w:t>方</w:t>
      </w:r>
      <w:r>
        <w:rPr>
          <w:rFonts w:hint="eastAsia" w:ascii="仿宋" w:hAnsi="仿宋" w:eastAsia="仿宋" w:cs="仿宋"/>
          <w:sz w:val="32"/>
          <w:szCs w:val="32"/>
          <w:lang w:val="en-US" w:eastAsia="zh-CN"/>
        </w:rPr>
        <w:t>过错</w:t>
      </w:r>
      <w:r>
        <w:rPr>
          <w:rFonts w:hint="eastAsia" w:ascii="仿宋" w:hAnsi="仿宋" w:eastAsia="仿宋" w:cs="仿宋"/>
          <w:sz w:val="32"/>
          <w:szCs w:val="32"/>
        </w:rPr>
        <w:t>导致绿证无法在2025年11月11日17:00前</w:t>
      </w:r>
      <w:r>
        <w:rPr>
          <w:rFonts w:hint="eastAsia" w:ascii="仿宋" w:hAnsi="仿宋" w:eastAsia="仿宋" w:cs="仿宋"/>
          <w:sz w:val="32"/>
          <w:szCs w:val="32"/>
          <w:lang w:val="en-US" w:eastAsia="zh-CN"/>
        </w:rPr>
        <w:t>完成</w:t>
      </w:r>
      <w:r>
        <w:rPr>
          <w:rFonts w:hint="eastAsia" w:ascii="仿宋" w:hAnsi="仿宋" w:eastAsia="仿宋" w:cs="仿宋"/>
          <w:sz w:val="32"/>
          <w:szCs w:val="32"/>
        </w:rPr>
        <w:t>合规交割</w:t>
      </w:r>
      <w:r>
        <w:rPr>
          <w:rFonts w:hint="eastAsia" w:ascii="仿宋" w:hAnsi="仿宋" w:eastAsia="仿宋" w:cs="仿宋"/>
          <w:sz w:val="32"/>
          <w:szCs w:val="32"/>
          <w:lang w:val="en-US" w:eastAsia="zh-CN"/>
        </w:rPr>
        <w:t>的</w:t>
      </w:r>
      <w:r>
        <w:rPr>
          <w:rFonts w:hint="eastAsia" w:ascii="仿宋" w:hAnsi="仿宋" w:eastAsia="仿宋" w:cs="仿宋"/>
          <w:sz w:val="32"/>
          <w:szCs w:val="32"/>
        </w:rPr>
        <w:t>，</w:t>
      </w:r>
      <w:r>
        <w:rPr>
          <w:rFonts w:hint="eastAsia" w:ascii="仿宋" w:hAnsi="仿宋" w:eastAsia="仿宋" w:cs="仿宋"/>
          <w:sz w:val="32"/>
          <w:szCs w:val="32"/>
          <w:lang w:val="en-US" w:eastAsia="zh-CN"/>
        </w:rPr>
        <w:t>另一</w:t>
      </w:r>
      <w:r>
        <w:rPr>
          <w:rFonts w:hint="eastAsia" w:ascii="仿宋" w:hAnsi="仿宋" w:eastAsia="仿宋" w:cs="仿宋"/>
          <w:sz w:val="32"/>
          <w:szCs w:val="32"/>
        </w:rPr>
        <w:t>方有权单方面解除本合同，无需提前通知</w:t>
      </w:r>
      <w:r>
        <w:rPr>
          <w:rFonts w:hint="eastAsia" w:ascii="仿宋" w:hAnsi="仿宋" w:eastAsia="仿宋" w:cs="仿宋"/>
          <w:sz w:val="32"/>
          <w:szCs w:val="32"/>
          <w:lang w:val="en-US" w:eastAsia="zh-CN"/>
        </w:rPr>
        <w:t>对</w:t>
      </w:r>
      <w:r>
        <w:rPr>
          <w:rFonts w:hint="eastAsia" w:ascii="仿宋" w:hAnsi="仿宋" w:eastAsia="仿宋" w:cs="仿宋"/>
          <w:sz w:val="32"/>
          <w:szCs w:val="32"/>
        </w:rPr>
        <w:t>方。</w:t>
      </w:r>
    </w:p>
    <w:p w14:paraId="070500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（四）不可抗力​</w:t>
      </w:r>
    </w:p>
    <w:p w14:paraId="19F3C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因不可抗力导致一方无法履行合同义务的，受影响方需在不可抗力发生后24小时内以书面形式（包括邮件）通知对方，并在</w:t>
      </w:r>
      <w:r>
        <w:rPr>
          <w:rFonts w:hint="eastAsia" w:ascii="仿宋" w:hAnsi="仿宋" w:eastAsia="仿宋" w:cs="仿宋"/>
          <w:sz w:val="32"/>
          <w:szCs w:val="32"/>
          <w:lang w:val="en-US" w:eastAsia="zh-CN"/>
        </w:rPr>
        <w:t>10</w:t>
      </w:r>
      <w:r>
        <w:rPr>
          <w:rFonts w:hint="eastAsia" w:ascii="仿宋" w:hAnsi="仿宋" w:eastAsia="仿宋" w:cs="仿宋"/>
          <w:sz w:val="32"/>
          <w:szCs w:val="32"/>
        </w:rPr>
        <w:t>个工作日内提供有关部门出具的官方证明文件。​</w:t>
      </w:r>
    </w:p>
    <w:p w14:paraId="75229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受影响方可根据不可抗力的影响程度，向对方申请延迟履行、部分履行或解除本合同，无需承担违约责任，但需采取合理措施减少不可抗力造成的损失；若受影响方未及时通知或未采取减损措施，需对扩大的损失承担赔偿责任。​</w:t>
      </w:r>
      <w:r>
        <w:rPr>
          <w:rFonts w:hint="eastAsia" w:ascii="仿宋" w:hAnsi="仿宋" w:eastAsia="仿宋" w:cs="仿宋"/>
          <w:sz w:val="32"/>
          <w:szCs w:val="32"/>
          <w:lang w:val="en-US" w:eastAsia="zh-CN"/>
        </w:rPr>
        <w:t>3、</w:t>
      </w:r>
      <w:r>
        <w:rPr>
          <w:rFonts w:hint="eastAsia" w:ascii="仿宋" w:hAnsi="仿宋" w:eastAsia="仿宋" w:cs="仿宋"/>
          <w:sz w:val="32"/>
          <w:szCs w:val="32"/>
        </w:rPr>
        <w:t>若因不可抗力导致绿证交割逾期，甲方有权解除本合同，双方互不承担违约责任，但乙方需在合同解除后10个工作日内</w:t>
      </w:r>
      <w:r>
        <w:rPr>
          <w:rFonts w:hint="eastAsia" w:ascii="仿宋" w:hAnsi="仿宋" w:eastAsia="仿宋" w:cs="仿宋"/>
          <w:sz w:val="32"/>
          <w:szCs w:val="32"/>
          <w:lang w:val="en-US" w:eastAsia="zh-CN"/>
        </w:rPr>
        <w:t>向甲方</w:t>
      </w:r>
      <w:r>
        <w:rPr>
          <w:rFonts w:hint="eastAsia" w:ascii="仿宋" w:hAnsi="仿宋" w:eastAsia="仿宋" w:cs="仿宋"/>
          <w:sz w:val="32"/>
          <w:szCs w:val="32"/>
        </w:rPr>
        <w:t>退还扣除乙方为履行本合同已实际支出且无法收回的合理成本后的已支付款项。​</w:t>
      </w:r>
    </w:p>
    <w:p w14:paraId="05C73C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（五）其他​</w:t>
      </w:r>
    </w:p>
    <w:p w14:paraId="49BD9E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违约方需承担守约方为维护自身合法权益而支出的全部费用（包括但不限于律师费、诉讼费、差旅费等）。​</w:t>
      </w:r>
    </w:p>
    <w:p w14:paraId="70AE3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五、争议与其他​</w:t>
      </w:r>
    </w:p>
    <w:p w14:paraId="330FB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争议解决：凡因本合同产生的争议，双方应优先通过友好协商解决；协商不成的，任何一方均有权向</w:t>
      </w:r>
      <w:r>
        <w:rPr>
          <w:rFonts w:hint="eastAsia" w:ascii="仿宋" w:hAnsi="仿宋" w:eastAsia="仿宋" w:cs="仿宋"/>
          <w:color w:val="auto"/>
          <w:sz w:val="32"/>
          <w:szCs w:val="32"/>
          <w:lang w:val="en-US" w:eastAsia="zh-CN"/>
        </w:rPr>
        <w:t>甲方</w:t>
      </w:r>
      <w:r>
        <w:rPr>
          <w:rFonts w:hint="eastAsia" w:ascii="仿宋" w:hAnsi="仿宋" w:eastAsia="仿宋" w:cs="仿宋"/>
          <w:sz w:val="32"/>
          <w:szCs w:val="32"/>
        </w:rPr>
        <w:t>所在地有管辖权的人民法院提起诉讼。​</w:t>
      </w:r>
    </w:p>
    <w:p w14:paraId="2C2C5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补充约定：本合同未尽事宜，双方可签订书面附件，附件为本合同不可分割的组成部分，与本合同具有同等法律效力。​</w:t>
      </w:r>
    </w:p>
    <w:p w14:paraId="3B8EDB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合同生效与份数：本合同自双方法定代表人或授权代表签字并加盖公章（或合同专用章）之日起生效，有效期至双方履行完所有合同义务（包括绿证交割、款项结清、争议解决等）之日止；本合同一式4份，甲乙双方各持2份，具有同等法律效力；可根据需要提交甲方上级单位或招标监管部门备案，备案不影响本合同效力。</w:t>
      </w:r>
    </w:p>
    <w:p w14:paraId="4ED99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以下无正文，为签署页）</w:t>
      </w:r>
    </w:p>
    <w:p w14:paraId="3CA61DE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br w:type="page"/>
      </w:r>
    </w:p>
    <w:p w14:paraId="41B6BF7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签署页​</w:t>
      </w:r>
    </w:p>
    <w:p w14:paraId="1CAFB0CF">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甲方（采购方）​</w:t>
      </w:r>
    </w:p>
    <w:p w14:paraId="1B2061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（盖章）​</w:t>
      </w:r>
    </w:p>
    <w:p w14:paraId="7C08524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法定代表人/授权代表（签字）：____________________</w:t>
      </w:r>
    </w:p>
    <w:p w14:paraId="6A3E9243">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通讯地址：__________</w:t>
      </w:r>
    </w:p>
    <w:p w14:paraId="5E10335A">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联系电话：___________________</w:t>
      </w:r>
    </w:p>
    <w:p w14:paraId="5B77614D">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开户银行：_____________</w:t>
      </w:r>
    </w:p>
    <w:p w14:paraId="3B31219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银行账号：________________</w:t>
      </w:r>
    </w:p>
    <w:p w14:paraId="0DDE125F">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乙方（中标人/售电公司）​</w:t>
      </w:r>
    </w:p>
    <w:p w14:paraId="760AF8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（盖章）</w:t>
      </w:r>
    </w:p>
    <w:p w14:paraId="182287AD">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法定代表人/授权代表（签字）：____________________</w:t>
      </w:r>
    </w:p>
    <w:p w14:paraId="5EF88E8E">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通讯地址：__________</w:t>
      </w:r>
    </w:p>
    <w:p w14:paraId="531E60D8">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联系电话：___________________</w:t>
      </w:r>
    </w:p>
    <w:p w14:paraId="034E2C0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开户银行：_____________</w:t>
      </w:r>
    </w:p>
    <w:p w14:paraId="21E8574B">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银行账号：________________</w:t>
      </w:r>
    </w:p>
    <w:p w14:paraId="4FFBAADA">
      <w:pPr>
        <w:rPr>
          <w:rFonts w:hint="eastAsia" w:ascii="仿宋_GB2312" w:eastAsia="仿宋_GB2312"/>
          <w:sz w:val="32"/>
          <w:u w:val="single"/>
          <w:shd w:val="pct10" w:color="auto" w:fill="FFFFFF"/>
        </w:rPr>
      </w:pPr>
      <w:r>
        <w:rPr>
          <w:rFonts w:hint="eastAsia" w:ascii="仿宋" w:hAnsi="仿宋" w:eastAsia="仿宋" w:cs="仿宋"/>
          <w:b w:val="0"/>
          <w:bCs w:val="0"/>
          <w:sz w:val="32"/>
          <w:szCs w:val="32"/>
        </w:rPr>
        <w:t>签订日期：______年____月____日</w:t>
      </w:r>
      <w:r>
        <w:rPr>
          <w:rFonts w:hint="eastAsia" w:ascii="仿宋_GB2312" w:eastAsia="仿宋_GB2312"/>
          <w:sz w:val="32"/>
          <w:u w:val="single"/>
        </w:rPr>
        <w:t>　　　　</w:t>
      </w:r>
    </w:p>
    <w:p w14:paraId="7457D4C3">
      <w:pPr>
        <w:rPr>
          <w:rFonts w:hint="eastAsia" w:ascii="仿宋_GB2312" w:eastAsia="仿宋_GB2312"/>
          <w:sz w:val="28"/>
          <w:shd w:val="pct10" w:color="auto" w:fill="FFFFFF"/>
        </w:rPr>
      </w:pPr>
    </w:p>
    <w:p w14:paraId="736BE940">
      <w:pPr>
        <w:rPr>
          <w:rFonts w:hint="eastAsia" w:ascii="仿宋_GB2312" w:eastAsia="仿宋_GB2312"/>
          <w:sz w:val="28"/>
        </w:rPr>
      </w:pPr>
    </w:p>
    <w:p w14:paraId="4A92AA76">
      <w:pPr>
        <w:rPr>
          <w:rFonts w:hint="eastAsia"/>
          <w:sz w:val="28"/>
        </w:rPr>
      </w:pPr>
    </w:p>
    <w:p w14:paraId="43998B58">
      <w:pPr>
        <w:rPr>
          <w:rFonts w:hint="eastAsia"/>
          <w:sz w:val="28"/>
        </w:rPr>
      </w:pPr>
    </w:p>
    <w:p w14:paraId="2932DF3A">
      <w:pPr>
        <w:rPr>
          <w:rFonts w:hint="eastAsia"/>
          <w:sz w:val="28"/>
        </w:rPr>
      </w:pPr>
    </w:p>
    <w:p w14:paraId="5ED686DD">
      <w:pPr>
        <w:rPr>
          <w:rFonts w:hint="eastAsia"/>
          <w:sz w:val="28"/>
          <w:u w:val="single"/>
        </w:rPr>
      </w:pPr>
    </w:p>
    <w:p w14:paraId="72A91175">
      <w:pPr>
        <w:rPr>
          <w:rFonts w:hint="eastAsia"/>
          <w:sz w:val="28"/>
        </w:rPr>
      </w:pPr>
    </w:p>
    <w:p w14:paraId="640DF05A">
      <w:pPr>
        <w:rPr>
          <w:rFonts w:hint="eastAsia"/>
          <w:sz w:val="28"/>
        </w:rPr>
      </w:pPr>
    </w:p>
    <w:p w14:paraId="4140871F">
      <w:pPr>
        <w:rPr>
          <w:rFonts w:hint="eastAsia"/>
          <w:sz w:val="28"/>
        </w:rPr>
      </w:pPr>
    </w:p>
    <w:p w14:paraId="7386A542">
      <w:pPr>
        <w:rPr>
          <w:rFonts w:hint="eastAsia"/>
          <w:sz w:val="28"/>
        </w:rPr>
      </w:pPr>
    </w:p>
    <w:p w14:paraId="0B192F62">
      <w:pPr>
        <w:rPr>
          <w:rFonts w:hint="eastAsia"/>
          <w:sz w:val="28"/>
        </w:rPr>
      </w:pPr>
    </w:p>
    <w:p w14:paraId="7BDA29D7">
      <w:pPr>
        <w:rPr>
          <w:rFonts w:hint="eastAsia"/>
          <w:sz w:val="28"/>
        </w:rPr>
      </w:pPr>
    </w:p>
    <w:p w14:paraId="64DB43E9">
      <w:pPr>
        <w:rPr>
          <w:rFonts w:hint="eastAsia"/>
          <w:sz w:val="28"/>
        </w:rPr>
      </w:pPr>
    </w:p>
    <w:p w14:paraId="05C1FB62">
      <w:pPr>
        <w:rPr>
          <w:rFonts w:hint="eastAsia"/>
          <w:sz w:val="28"/>
        </w:rPr>
      </w:pPr>
    </w:p>
    <w:p w14:paraId="37D1D64D">
      <w:pPr>
        <w:rPr>
          <w:rFonts w:hint="eastAsia"/>
          <w:sz w:val="28"/>
        </w:rPr>
      </w:pPr>
    </w:p>
    <w:p w14:paraId="167E5CE2">
      <w:pPr>
        <w:rPr>
          <w:rFonts w:hint="eastAsia"/>
          <w:sz w:val="28"/>
        </w:rPr>
      </w:pPr>
    </w:p>
    <w:p w14:paraId="33C61AA8">
      <w:pPr>
        <w:rPr>
          <w:rFonts w:hint="eastAsia"/>
          <w:sz w:val="28"/>
        </w:rPr>
      </w:pPr>
    </w:p>
    <w:p w14:paraId="35A00307">
      <w:pPr>
        <w:rPr>
          <w:rFonts w:hint="eastAsia"/>
          <w:sz w:val="28"/>
          <w:u w:val="single"/>
        </w:rPr>
      </w:pPr>
      <w:r>
        <w:rPr>
          <w:rFonts w:hint="eastAsia"/>
          <w:sz w:val="28"/>
        </w:rPr>
        <w:t xml:space="preserve">    </w:t>
      </w:r>
    </w:p>
    <w:p w14:paraId="5EAE5917">
      <w:pPr>
        <w:pStyle w:val="191"/>
        <w:numPr>
          <w:ilvl w:val="0"/>
          <w:numId w:val="0"/>
        </w:numPr>
        <w:jc w:val="center"/>
        <w:rPr>
          <w:sz w:val="40"/>
          <w:szCs w:val="22"/>
        </w:rPr>
      </w:pPr>
      <w:r>
        <w:rPr>
          <w:rFonts w:hint="eastAsia"/>
          <w:sz w:val="40"/>
          <w:szCs w:val="22"/>
        </w:rPr>
        <w:t>第六部分</w:t>
      </w:r>
    </w:p>
    <w:p w14:paraId="64B5CFDA">
      <w:pPr>
        <w:pStyle w:val="191"/>
        <w:numPr>
          <w:ilvl w:val="0"/>
          <w:numId w:val="0"/>
        </w:numPr>
        <w:jc w:val="center"/>
        <w:rPr>
          <w:sz w:val="40"/>
          <w:szCs w:val="22"/>
        </w:rPr>
      </w:pPr>
      <w:r>
        <w:rPr>
          <w:rFonts w:hint="eastAsia"/>
          <w:sz w:val="40"/>
          <w:szCs w:val="22"/>
        </w:rPr>
        <w:t>投标文件格式附件</w:t>
      </w:r>
    </w:p>
    <w:p w14:paraId="6385A964">
      <w:pPr>
        <w:spacing w:line="360" w:lineRule="auto"/>
        <w:ind w:right="-110"/>
        <w:jc w:val="center"/>
        <w:rPr>
          <w:rFonts w:ascii="宋体" w:hAnsi="宋体"/>
          <w:color w:val="000000"/>
          <w:spacing w:val="40"/>
          <w:sz w:val="52"/>
          <w:szCs w:val="52"/>
        </w:rPr>
      </w:pPr>
      <w:r>
        <w:rPr>
          <w:rFonts w:hint="eastAsia" w:ascii="宋体" w:hAnsi="宋体"/>
          <w:color w:val="000000"/>
          <w:spacing w:val="40"/>
          <w:sz w:val="52"/>
          <w:szCs w:val="52"/>
        </w:rPr>
        <w:t>项目名称</w:t>
      </w:r>
    </w:p>
    <w:p w14:paraId="44E80B3B">
      <w:pPr>
        <w:spacing w:line="360" w:lineRule="auto"/>
        <w:ind w:right="-108"/>
        <w:jc w:val="center"/>
        <w:rPr>
          <w:rFonts w:ascii="宋体" w:hAnsi="宋体"/>
          <w:color w:val="000000"/>
          <w:szCs w:val="36"/>
        </w:rPr>
      </w:pPr>
      <w:r>
        <w:rPr>
          <w:rFonts w:hint="eastAsia" w:ascii="宋体" w:hAnsi="宋体"/>
          <w:color w:val="000000"/>
          <w:szCs w:val="36"/>
        </w:rPr>
        <w:t>项目编号：</w:t>
      </w:r>
    </w:p>
    <w:p w14:paraId="2AD6376A">
      <w:pPr>
        <w:spacing w:line="360" w:lineRule="auto"/>
        <w:jc w:val="center"/>
        <w:rPr>
          <w:rFonts w:ascii="宋体" w:hAnsi="宋体" w:cs="宋体"/>
          <w:color w:val="000000"/>
          <w:sz w:val="84"/>
          <w:szCs w:val="84"/>
          <w:lang w:val="zh-CN"/>
        </w:rPr>
      </w:pPr>
      <w:r>
        <w:rPr>
          <w:rFonts w:hint="eastAsia" w:ascii="宋体" w:hAnsi="宋体" w:cs="宋体"/>
          <w:color w:val="000000"/>
          <w:sz w:val="84"/>
          <w:szCs w:val="84"/>
          <w:lang w:val="zh-CN"/>
        </w:rPr>
        <w:t>投</w:t>
      </w:r>
    </w:p>
    <w:p w14:paraId="46BBB1A7">
      <w:pPr>
        <w:spacing w:line="360" w:lineRule="auto"/>
        <w:jc w:val="center"/>
        <w:rPr>
          <w:rFonts w:ascii="宋体" w:hAnsi="宋体" w:cs="宋体"/>
          <w:color w:val="000000"/>
          <w:sz w:val="84"/>
          <w:szCs w:val="84"/>
          <w:lang w:val="zh-CN"/>
        </w:rPr>
      </w:pPr>
      <w:r>
        <w:rPr>
          <w:rFonts w:hint="eastAsia" w:ascii="宋体" w:hAnsi="宋体" w:cs="宋体"/>
          <w:color w:val="000000"/>
          <w:sz w:val="84"/>
          <w:szCs w:val="84"/>
          <w:lang w:val="zh-CN"/>
        </w:rPr>
        <w:t>标</w:t>
      </w:r>
    </w:p>
    <w:p w14:paraId="1F88C084">
      <w:pPr>
        <w:spacing w:line="360" w:lineRule="auto"/>
        <w:jc w:val="center"/>
        <w:rPr>
          <w:rFonts w:ascii="宋体" w:hAnsi="宋体"/>
          <w:color w:val="000000"/>
          <w:sz w:val="84"/>
          <w:szCs w:val="84"/>
        </w:rPr>
      </w:pPr>
      <w:r>
        <w:rPr>
          <w:rFonts w:hint="eastAsia" w:ascii="宋体" w:hAnsi="宋体" w:cs="宋体"/>
          <w:color w:val="000000"/>
          <w:sz w:val="84"/>
          <w:szCs w:val="84"/>
          <w:lang w:val="zh-CN"/>
        </w:rPr>
        <w:t>文</w:t>
      </w:r>
    </w:p>
    <w:p w14:paraId="336D2794">
      <w:pPr>
        <w:spacing w:after="100" w:afterAutospacing="1" w:line="360" w:lineRule="auto"/>
        <w:ind w:right="-108"/>
        <w:jc w:val="center"/>
        <w:rPr>
          <w:rFonts w:ascii="宋体" w:hAnsi="宋体" w:cs="宋体"/>
          <w:color w:val="000000"/>
          <w:sz w:val="84"/>
          <w:szCs w:val="84"/>
          <w:lang w:val="zh-CN"/>
        </w:rPr>
      </w:pPr>
      <w:r>
        <w:rPr>
          <w:rFonts w:hint="eastAsia" w:ascii="宋体" w:hAnsi="宋体" w:cs="宋体"/>
          <w:color w:val="000000"/>
          <w:sz w:val="84"/>
          <w:szCs w:val="84"/>
          <w:lang w:val="zh-CN"/>
        </w:rPr>
        <w:t>件</w:t>
      </w:r>
    </w:p>
    <w:p w14:paraId="578963E8">
      <w:pPr>
        <w:spacing w:after="100" w:afterAutospacing="1" w:line="360" w:lineRule="auto"/>
        <w:ind w:right="-108"/>
        <w:jc w:val="center"/>
        <w:rPr>
          <w:rFonts w:ascii="宋体" w:hAnsi="宋体"/>
          <w:b/>
          <w:color w:val="000000"/>
          <w:spacing w:val="40"/>
          <w:sz w:val="28"/>
          <w:szCs w:val="28"/>
        </w:rPr>
      </w:pPr>
      <w:r>
        <w:rPr>
          <w:rFonts w:hint="eastAsia" w:ascii="宋体" w:hAnsi="宋体" w:cs="宋体"/>
          <w:color w:val="000000"/>
          <w:sz w:val="28"/>
          <w:szCs w:val="28"/>
          <w:lang w:val="zh-CN"/>
        </w:rPr>
        <w:t>（</w:t>
      </w:r>
      <w:r>
        <w:rPr>
          <w:rFonts w:hint="eastAsia" w:ascii="宋体" w:hAnsi="宋体" w:cs="宋体"/>
          <w:color w:val="000000"/>
          <w:sz w:val="28"/>
          <w:szCs w:val="28"/>
        </w:rPr>
        <w:t>资格证明文件</w:t>
      </w:r>
      <w:r>
        <w:rPr>
          <w:rFonts w:hint="eastAsia" w:ascii="宋体" w:hAnsi="宋体" w:cs="宋体"/>
          <w:color w:val="000000"/>
          <w:sz w:val="28"/>
          <w:szCs w:val="28"/>
          <w:lang w:val="zh-CN"/>
        </w:rPr>
        <w:t>）</w:t>
      </w:r>
    </w:p>
    <w:p w14:paraId="6DA1C409">
      <w:pPr>
        <w:spacing w:line="360" w:lineRule="auto"/>
        <w:ind w:right="532" w:firstLine="420"/>
        <w:rPr>
          <w:rFonts w:ascii="宋体" w:hAnsi="宋体"/>
          <w:color w:val="000000"/>
          <w:szCs w:val="36"/>
        </w:rPr>
      </w:pPr>
      <w:r>
        <w:rPr>
          <w:rFonts w:hint="eastAsia" w:ascii="宋体" w:hAnsi="宋体"/>
          <w:color w:val="000000"/>
          <w:szCs w:val="36"/>
        </w:rPr>
        <w:t>投标人全称（公章）：</w:t>
      </w:r>
    </w:p>
    <w:p w14:paraId="066AB303">
      <w:pPr>
        <w:spacing w:line="360" w:lineRule="auto"/>
        <w:ind w:right="532" w:firstLine="420"/>
        <w:rPr>
          <w:rFonts w:ascii="宋体" w:hAnsi="宋体"/>
          <w:color w:val="000000"/>
          <w:szCs w:val="36"/>
        </w:rPr>
      </w:pPr>
      <w:r>
        <w:rPr>
          <w:rFonts w:hint="eastAsia" w:ascii="宋体" w:hAnsi="宋体"/>
          <w:color w:val="000000"/>
          <w:szCs w:val="36"/>
        </w:rPr>
        <w:t>地    址：</w:t>
      </w:r>
    </w:p>
    <w:p w14:paraId="285095B4">
      <w:pPr>
        <w:spacing w:line="360" w:lineRule="auto"/>
        <w:ind w:right="532" w:firstLine="420"/>
        <w:rPr>
          <w:rFonts w:ascii="宋体" w:hAnsi="宋体"/>
          <w:color w:val="000000"/>
          <w:szCs w:val="36"/>
        </w:rPr>
      </w:pPr>
      <w:r>
        <w:rPr>
          <w:rFonts w:hint="eastAsia" w:ascii="宋体" w:hAnsi="宋体"/>
          <w:color w:val="000000"/>
          <w:szCs w:val="36"/>
        </w:rPr>
        <w:t>时    间：</w:t>
      </w:r>
    </w:p>
    <w:p w14:paraId="51ED2CE4">
      <w:pPr>
        <w:pStyle w:val="226"/>
        <w:spacing w:line="360" w:lineRule="auto"/>
        <w:rPr>
          <w:rFonts w:hAnsi="宋体"/>
          <w:sz w:val="28"/>
          <w:szCs w:val="28"/>
        </w:rPr>
      </w:pPr>
    </w:p>
    <w:p w14:paraId="409FCB0F">
      <w:pPr>
        <w:pStyle w:val="226"/>
        <w:spacing w:line="360" w:lineRule="auto"/>
        <w:jc w:val="center"/>
        <w:rPr>
          <w:rFonts w:hAnsi="宋体"/>
          <w:sz w:val="28"/>
          <w:szCs w:val="28"/>
        </w:rPr>
      </w:pPr>
    </w:p>
    <w:p w14:paraId="37206FE5">
      <w:pPr>
        <w:spacing w:line="360" w:lineRule="auto"/>
        <w:rPr>
          <w:rFonts w:ascii="宋体" w:hAnsi="宋体" w:cs="Courier New"/>
          <w:sz w:val="28"/>
          <w:szCs w:val="28"/>
        </w:rPr>
      </w:pPr>
    </w:p>
    <w:p w14:paraId="46C18490">
      <w:pPr>
        <w:spacing w:line="360" w:lineRule="exact"/>
        <w:rPr>
          <w:b/>
          <w:bCs/>
          <w:szCs w:val="21"/>
        </w:rPr>
      </w:pPr>
      <w:r>
        <w:rPr>
          <w:rFonts w:hint="eastAsia"/>
          <w:b/>
          <w:bCs/>
          <w:szCs w:val="21"/>
        </w:rPr>
        <w:t>附件一：</w:t>
      </w:r>
    </w:p>
    <w:p w14:paraId="00DC828B">
      <w:pPr>
        <w:spacing w:line="360" w:lineRule="exact"/>
        <w:jc w:val="center"/>
        <w:rPr>
          <w:b/>
          <w:bCs/>
          <w:sz w:val="28"/>
          <w:szCs w:val="48"/>
          <w:lang w:val="zh-CN"/>
        </w:rPr>
      </w:pPr>
      <w:r>
        <w:rPr>
          <w:b/>
          <w:bCs/>
          <w:sz w:val="28"/>
          <w:szCs w:val="48"/>
          <w:lang w:val="zh-CN"/>
        </w:rPr>
        <w:t>投标声明书</w:t>
      </w:r>
    </w:p>
    <w:p w14:paraId="22083A27">
      <w:pPr>
        <w:spacing w:line="360" w:lineRule="exact"/>
        <w:jc w:val="left"/>
        <w:rPr>
          <w:sz w:val="24"/>
        </w:rPr>
      </w:pPr>
    </w:p>
    <w:p w14:paraId="47825612">
      <w:pPr>
        <w:spacing w:line="280" w:lineRule="exact"/>
        <w:jc w:val="left"/>
        <w:rPr>
          <w:szCs w:val="21"/>
        </w:rPr>
      </w:pPr>
      <w:r>
        <w:rPr>
          <w:rFonts w:hint="eastAsia"/>
          <w:szCs w:val="21"/>
          <w:u w:val="single"/>
          <w:lang w:eastAsia="zh-CN"/>
        </w:rPr>
        <w:t>台州市北部湾区经济开发集团有限公司</w:t>
      </w:r>
      <w:r>
        <w:rPr>
          <w:szCs w:val="21"/>
        </w:rPr>
        <w:t>：</w:t>
      </w:r>
    </w:p>
    <w:p w14:paraId="532D8A49">
      <w:pPr>
        <w:pStyle w:val="20"/>
        <w:spacing w:line="280" w:lineRule="exact"/>
        <w:ind w:firstLine="522" w:firstLineChars="249"/>
        <w:rPr>
          <w:rFonts w:ascii="Times New Roman" w:hAnsi="Times New Roman"/>
          <w:szCs w:val="21"/>
        </w:rPr>
      </w:pPr>
      <w:r>
        <w:rPr>
          <w:rFonts w:ascii="Times New Roman" w:hAnsi="Times New Roman"/>
          <w:szCs w:val="21"/>
          <w:u w:val="single"/>
        </w:rPr>
        <w:t xml:space="preserve">              (投标人全称)                  </w:t>
      </w:r>
      <w:r>
        <w:rPr>
          <w:rFonts w:ascii="Times New Roman" w:hAnsi="Times New Roman"/>
          <w:szCs w:val="21"/>
        </w:rPr>
        <w:t>系中华人民共和国合法企业，经营地址</w:t>
      </w:r>
      <w:r>
        <w:rPr>
          <w:rFonts w:hint="eastAsia" w:ascii="Times New Roman" w:hAnsi="Times New Roman"/>
          <w:szCs w:val="21"/>
          <w:u w:val="single"/>
        </w:rPr>
        <w:t xml:space="preserve">                 </w:t>
      </w:r>
      <w:r>
        <w:rPr>
          <w:rFonts w:ascii="Times New Roman" w:hAnsi="Times New Roman"/>
          <w:szCs w:val="21"/>
        </w:rPr>
        <w:t>。</w:t>
      </w:r>
    </w:p>
    <w:p w14:paraId="2A5D3B1B">
      <w:pPr>
        <w:spacing w:line="280" w:lineRule="exact"/>
        <w:ind w:firstLine="420" w:firstLineChars="200"/>
        <w:jc w:val="left"/>
        <w:rPr>
          <w:b/>
          <w:szCs w:val="21"/>
          <w:u w:val="single"/>
        </w:rPr>
      </w:pPr>
      <w:r>
        <w:rPr>
          <w:szCs w:val="21"/>
        </w:rPr>
        <w:t>我</w:t>
      </w:r>
      <w:r>
        <w:rPr>
          <w:szCs w:val="21"/>
          <w:u w:val="single"/>
        </w:rPr>
        <w:t xml:space="preserve">    (姓名)     </w:t>
      </w:r>
      <w:r>
        <w:rPr>
          <w:szCs w:val="21"/>
        </w:rPr>
        <w:t>系上述企业的法定代表人(或营业执照中明确的负责人)，参加贵方组织的</w:t>
      </w:r>
      <w:r>
        <w:rPr>
          <w:rFonts w:hint="eastAsia"/>
          <w:szCs w:val="21"/>
          <w:u w:val="single"/>
        </w:rPr>
        <w:t xml:space="preserve">            </w:t>
      </w:r>
      <w:r>
        <w:rPr>
          <w:szCs w:val="21"/>
        </w:rPr>
        <w:t>的投标。为便于贵方公正、择优地确定中标人以及投标产品和服务，我方就本次投标有关事项郑重承诺如下：</w:t>
      </w:r>
    </w:p>
    <w:p w14:paraId="08D4AA6A">
      <w:pPr>
        <w:numPr>
          <w:ilvl w:val="0"/>
          <w:numId w:val="9"/>
        </w:numPr>
        <w:spacing w:line="280" w:lineRule="exact"/>
        <w:ind w:firstLine="420" w:firstLineChars="200"/>
        <w:jc w:val="left"/>
        <w:rPr>
          <w:szCs w:val="21"/>
        </w:rPr>
      </w:pPr>
      <w:r>
        <w:rPr>
          <w:szCs w:val="21"/>
        </w:rPr>
        <w:t>我方向贵方提交的所有投标文件、资料都是准确的和真实的。</w:t>
      </w:r>
    </w:p>
    <w:p w14:paraId="70C210D5">
      <w:pPr>
        <w:numPr>
          <w:ilvl w:val="0"/>
          <w:numId w:val="9"/>
        </w:numPr>
        <w:spacing w:line="280" w:lineRule="exact"/>
        <w:ind w:firstLine="420" w:firstLineChars="200"/>
        <w:jc w:val="left"/>
        <w:rPr>
          <w:szCs w:val="21"/>
        </w:rPr>
      </w:pPr>
      <w:r>
        <w:rPr>
          <w:szCs w:val="21"/>
        </w:rPr>
        <w:t>我方承诺满足招标文件中要求投标人应当具备的条件，并真实提供相关材料。</w:t>
      </w:r>
    </w:p>
    <w:p w14:paraId="363A9139">
      <w:pPr>
        <w:numPr>
          <w:ilvl w:val="0"/>
          <w:numId w:val="9"/>
        </w:numPr>
        <w:spacing w:line="280" w:lineRule="exact"/>
        <w:ind w:firstLine="420" w:firstLineChars="200"/>
        <w:jc w:val="left"/>
        <w:rPr>
          <w:szCs w:val="21"/>
        </w:rPr>
      </w:pPr>
      <w:r>
        <w:rPr>
          <w:szCs w:val="21"/>
        </w:rPr>
        <w:t>提供投标须知规定的全部投标文件，具体内容为：</w:t>
      </w:r>
    </w:p>
    <w:p w14:paraId="0E80C82D">
      <w:pPr>
        <w:numPr>
          <w:ilvl w:val="0"/>
          <w:numId w:val="10"/>
        </w:numPr>
        <w:spacing w:line="280" w:lineRule="exact"/>
        <w:ind w:firstLine="420" w:firstLineChars="200"/>
        <w:jc w:val="left"/>
        <w:rPr>
          <w:szCs w:val="21"/>
        </w:rPr>
      </w:pPr>
      <w:r>
        <w:rPr>
          <w:szCs w:val="21"/>
        </w:rPr>
        <w:t>资格证明文件</w:t>
      </w:r>
    </w:p>
    <w:p w14:paraId="3978D0DD">
      <w:pPr>
        <w:numPr>
          <w:ilvl w:val="0"/>
          <w:numId w:val="10"/>
        </w:numPr>
        <w:spacing w:line="280" w:lineRule="exact"/>
        <w:ind w:firstLine="420" w:firstLineChars="200"/>
        <w:jc w:val="left"/>
        <w:rPr>
          <w:szCs w:val="21"/>
        </w:rPr>
      </w:pPr>
      <w:r>
        <w:rPr>
          <w:szCs w:val="21"/>
        </w:rPr>
        <w:t>投标人须知要求投标人提交的全部文件。</w:t>
      </w:r>
    </w:p>
    <w:p w14:paraId="5B956684">
      <w:pPr>
        <w:numPr>
          <w:ilvl w:val="0"/>
          <w:numId w:val="9"/>
        </w:numPr>
        <w:spacing w:line="280" w:lineRule="exact"/>
        <w:ind w:firstLine="420" w:firstLineChars="200"/>
        <w:jc w:val="left"/>
        <w:rPr>
          <w:szCs w:val="21"/>
        </w:rPr>
      </w:pPr>
      <w:r>
        <w:rPr>
          <w:szCs w:val="21"/>
        </w:rPr>
        <w:t>按招标文件要求提供和交付的货物或服务的投标报价详见开标一览表。</w:t>
      </w:r>
    </w:p>
    <w:p w14:paraId="191CC013">
      <w:pPr>
        <w:numPr>
          <w:ilvl w:val="0"/>
          <w:numId w:val="9"/>
        </w:numPr>
        <w:spacing w:line="280" w:lineRule="exact"/>
        <w:ind w:firstLine="420" w:firstLineChars="200"/>
        <w:jc w:val="left"/>
        <w:rPr>
          <w:szCs w:val="21"/>
        </w:rPr>
      </w:pPr>
      <w:r>
        <w:rPr>
          <w:szCs w:val="21"/>
        </w:rPr>
        <w:t>保证忠实地执行双方所签订的合同，并承担合同规定的责任和义务。</w:t>
      </w:r>
    </w:p>
    <w:p w14:paraId="0C8AFFCB">
      <w:pPr>
        <w:numPr>
          <w:ilvl w:val="0"/>
          <w:numId w:val="9"/>
        </w:numPr>
        <w:spacing w:line="280" w:lineRule="exact"/>
        <w:ind w:firstLine="420" w:firstLineChars="200"/>
        <w:jc w:val="left"/>
        <w:rPr>
          <w:szCs w:val="21"/>
        </w:rPr>
      </w:pPr>
      <w:r>
        <w:rPr>
          <w:szCs w:val="21"/>
        </w:rPr>
        <w:t>保证遵守招标文件中的其他有关规定。</w:t>
      </w:r>
    </w:p>
    <w:p w14:paraId="533CC62E">
      <w:pPr>
        <w:numPr>
          <w:ilvl w:val="0"/>
          <w:numId w:val="9"/>
        </w:numPr>
        <w:spacing w:line="280" w:lineRule="exact"/>
        <w:ind w:firstLine="420" w:firstLineChars="200"/>
        <w:jc w:val="left"/>
        <w:rPr>
          <w:szCs w:val="21"/>
        </w:rPr>
      </w:pPr>
      <w:r>
        <w:rPr>
          <w:szCs w:val="21"/>
        </w:rPr>
        <w:t>我方的投标有效期自在开标日起</w:t>
      </w:r>
      <w:r>
        <w:rPr>
          <w:szCs w:val="21"/>
          <w:u w:val="single"/>
        </w:rPr>
        <w:t>90</w:t>
      </w:r>
      <w:r>
        <w:rPr>
          <w:szCs w:val="21"/>
        </w:rPr>
        <w:t>天内有效。如果在开标后规定的投标有效期内撤回投标，贵方可不退还我方的投标保证金。</w:t>
      </w:r>
    </w:p>
    <w:p w14:paraId="7EE21FF5">
      <w:pPr>
        <w:numPr>
          <w:ilvl w:val="0"/>
          <w:numId w:val="9"/>
        </w:numPr>
        <w:spacing w:line="280" w:lineRule="exact"/>
        <w:ind w:firstLine="420" w:firstLineChars="200"/>
        <w:jc w:val="left"/>
        <w:rPr>
          <w:szCs w:val="21"/>
        </w:rPr>
      </w:pPr>
      <w:r>
        <w:rPr>
          <w:szCs w:val="21"/>
        </w:rPr>
        <w:t>我方完全理解贵方不一定要接受最低价的投标。</w:t>
      </w:r>
    </w:p>
    <w:p w14:paraId="5F17132B">
      <w:pPr>
        <w:numPr>
          <w:ilvl w:val="0"/>
          <w:numId w:val="9"/>
        </w:numPr>
        <w:spacing w:line="280" w:lineRule="exact"/>
        <w:ind w:firstLine="420" w:firstLineChars="200"/>
        <w:jc w:val="left"/>
        <w:rPr>
          <w:szCs w:val="21"/>
        </w:rPr>
      </w:pPr>
      <w:r>
        <w:rPr>
          <w:szCs w:val="21"/>
        </w:rPr>
        <w:t>我方在投标之前已经与贵方进行了充分的沟通，完全理解并接受招标文件的各项规定和要求，对招标文件的合理性、合法性不再有异议。</w:t>
      </w:r>
    </w:p>
    <w:p w14:paraId="0C14CF8B">
      <w:pPr>
        <w:numPr>
          <w:ilvl w:val="0"/>
          <w:numId w:val="9"/>
        </w:numPr>
        <w:spacing w:line="280" w:lineRule="exact"/>
        <w:ind w:firstLine="420" w:firstLineChars="200"/>
        <w:jc w:val="left"/>
        <w:rPr>
          <w:szCs w:val="21"/>
        </w:rPr>
      </w:pPr>
      <w:r>
        <w:rPr>
          <w:szCs w:val="21"/>
        </w:rPr>
        <w:t>我方愿意向贵方提供真实完整的任何与该项投标有关的数据、情况和技术资料。若贵方需要，我方愿意提供我方作出的一切承诺的证明材料。</w:t>
      </w:r>
    </w:p>
    <w:p w14:paraId="56970F0A">
      <w:pPr>
        <w:numPr>
          <w:ilvl w:val="0"/>
          <w:numId w:val="9"/>
        </w:numPr>
        <w:spacing w:line="280" w:lineRule="exact"/>
        <w:ind w:firstLine="420" w:firstLineChars="200"/>
        <w:jc w:val="left"/>
        <w:rPr>
          <w:szCs w:val="21"/>
        </w:rPr>
      </w:pPr>
      <w:r>
        <w:rPr>
          <w:szCs w:val="21"/>
        </w:rPr>
        <w:t>我方已详细审核全部招标文件，包括招标文件的澄清或修改文件(如有的话)、参考资料及有关附件，已经了解我方对于招标文件、采购过程、采购结果有依法进行询问、质疑、投诉的权利及相关渠道和要求。</w:t>
      </w:r>
    </w:p>
    <w:p w14:paraId="2F78F62B">
      <w:pPr>
        <w:numPr>
          <w:ilvl w:val="0"/>
          <w:numId w:val="9"/>
        </w:numPr>
        <w:spacing w:line="280" w:lineRule="exact"/>
        <w:ind w:firstLine="420" w:firstLineChars="200"/>
        <w:jc w:val="left"/>
        <w:rPr>
          <w:szCs w:val="21"/>
        </w:rPr>
      </w:pPr>
      <w:r>
        <w:rPr>
          <w:szCs w:val="21"/>
        </w:rPr>
        <w:t>我方有下列情形之一的，中标无效，给招标人造成损失的，依法承担赔偿责任；构成犯罪的，依法追究刑事责任。</w:t>
      </w:r>
    </w:p>
    <w:p w14:paraId="354963AC">
      <w:pPr>
        <w:numPr>
          <w:ilvl w:val="0"/>
          <w:numId w:val="11"/>
        </w:numPr>
        <w:spacing w:line="280" w:lineRule="exact"/>
        <w:ind w:firstLine="420" w:firstLineChars="200"/>
        <w:jc w:val="left"/>
        <w:rPr>
          <w:szCs w:val="21"/>
        </w:rPr>
      </w:pPr>
      <w:r>
        <w:rPr>
          <w:szCs w:val="21"/>
        </w:rPr>
        <w:t>提供虚假材料谋取中标、成交的；</w:t>
      </w:r>
    </w:p>
    <w:p w14:paraId="2324599E">
      <w:pPr>
        <w:numPr>
          <w:ilvl w:val="0"/>
          <w:numId w:val="11"/>
        </w:numPr>
        <w:spacing w:line="280" w:lineRule="exact"/>
        <w:ind w:firstLine="420" w:firstLineChars="200"/>
        <w:jc w:val="left"/>
        <w:rPr>
          <w:szCs w:val="21"/>
        </w:rPr>
      </w:pPr>
      <w:r>
        <w:rPr>
          <w:szCs w:val="21"/>
        </w:rPr>
        <w:t>采取不正当手段诋毁、排挤其他供应商的；</w:t>
      </w:r>
    </w:p>
    <w:p w14:paraId="22220E1B">
      <w:pPr>
        <w:numPr>
          <w:ilvl w:val="0"/>
          <w:numId w:val="11"/>
        </w:numPr>
        <w:spacing w:line="280" w:lineRule="exact"/>
        <w:ind w:firstLine="420" w:firstLineChars="200"/>
        <w:jc w:val="left"/>
        <w:rPr>
          <w:szCs w:val="21"/>
        </w:rPr>
      </w:pPr>
      <w:r>
        <w:rPr>
          <w:szCs w:val="21"/>
        </w:rPr>
        <w:t>与招标人、其它供应商恶意串通的；</w:t>
      </w:r>
    </w:p>
    <w:p w14:paraId="45A607B5">
      <w:pPr>
        <w:numPr>
          <w:ilvl w:val="0"/>
          <w:numId w:val="11"/>
        </w:numPr>
        <w:spacing w:line="280" w:lineRule="exact"/>
        <w:ind w:firstLine="420" w:firstLineChars="200"/>
        <w:jc w:val="left"/>
        <w:rPr>
          <w:szCs w:val="21"/>
        </w:rPr>
      </w:pPr>
      <w:r>
        <w:rPr>
          <w:szCs w:val="21"/>
        </w:rPr>
        <w:t>向招标人行贿或者提供其他不正当利益的；</w:t>
      </w:r>
    </w:p>
    <w:p w14:paraId="0E3F51E2">
      <w:pPr>
        <w:numPr>
          <w:ilvl w:val="0"/>
          <w:numId w:val="11"/>
        </w:numPr>
        <w:spacing w:line="280" w:lineRule="exact"/>
        <w:ind w:firstLine="420" w:firstLineChars="200"/>
        <w:jc w:val="left"/>
        <w:rPr>
          <w:szCs w:val="21"/>
        </w:rPr>
      </w:pPr>
      <w:r>
        <w:rPr>
          <w:szCs w:val="21"/>
        </w:rPr>
        <w:t>拒绝有关部门监督检查或提供虚假情况的。</w:t>
      </w:r>
    </w:p>
    <w:p w14:paraId="0386AA44">
      <w:pPr>
        <w:numPr>
          <w:ilvl w:val="0"/>
          <w:numId w:val="9"/>
        </w:numPr>
        <w:spacing w:line="280" w:lineRule="exact"/>
        <w:ind w:firstLine="420" w:firstLineChars="200"/>
        <w:jc w:val="left"/>
        <w:rPr>
          <w:szCs w:val="21"/>
        </w:rPr>
      </w:pPr>
      <w:r>
        <w:rPr>
          <w:szCs w:val="21"/>
        </w:rPr>
        <w:t>如中标，本投标文件至本项目合同履行完毕止均保持有效，我方将按招标文件及相关法律、法规的规定履行合同责任和义务。</w:t>
      </w:r>
    </w:p>
    <w:p w14:paraId="4A3DBEF3">
      <w:pPr>
        <w:numPr>
          <w:ilvl w:val="0"/>
          <w:numId w:val="9"/>
        </w:numPr>
        <w:spacing w:line="280" w:lineRule="exact"/>
        <w:ind w:firstLine="420" w:firstLineChars="200"/>
        <w:jc w:val="left"/>
        <w:rPr>
          <w:szCs w:val="21"/>
        </w:rPr>
      </w:pPr>
      <w:r>
        <w:rPr>
          <w:szCs w:val="21"/>
        </w:rPr>
        <w:t>以上事项如有虚假或隐瞒，我方愿意承担一切不利后果，并不再寻求任何旨在减轻或免除法律责任。</w:t>
      </w:r>
    </w:p>
    <w:p w14:paraId="6712B3AD">
      <w:pPr>
        <w:spacing w:line="280" w:lineRule="exact"/>
        <w:jc w:val="left"/>
        <w:rPr>
          <w:szCs w:val="21"/>
        </w:rPr>
      </w:pPr>
    </w:p>
    <w:p w14:paraId="7F9D7C78">
      <w:pPr>
        <w:spacing w:line="280" w:lineRule="exact"/>
        <w:jc w:val="left"/>
        <w:rPr>
          <w:szCs w:val="21"/>
        </w:rPr>
      </w:pPr>
      <w:r>
        <w:rPr>
          <w:szCs w:val="21"/>
        </w:rPr>
        <w:t>与本投标有关的一切往来通讯请寄：</w:t>
      </w:r>
    </w:p>
    <w:p w14:paraId="3EB7AD16">
      <w:pPr>
        <w:spacing w:line="280" w:lineRule="exact"/>
        <w:ind w:firstLine="210" w:firstLineChars="100"/>
        <w:jc w:val="left"/>
        <w:rPr>
          <w:szCs w:val="21"/>
        </w:rPr>
      </w:pPr>
      <w:r>
        <w:rPr>
          <w:szCs w:val="21"/>
        </w:rPr>
        <w:t>地址：________________                   邮编：____________　</w:t>
      </w:r>
    </w:p>
    <w:p w14:paraId="561D9243">
      <w:pPr>
        <w:spacing w:line="280" w:lineRule="exact"/>
        <w:ind w:firstLine="210" w:firstLineChars="100"/>
        <w:jc w:val="left"/>
        <w:rPr>
          <w:szCs w:val="21"/>
        </w:rPr>
      </w:pPr>
      <w:r>
        <w:rPr>
          <w:szCs w:val="21"/>
        </w:rPr>
        <w:t>电话：________________　                 传真：____________</w:t>
      </w:r>
    </w:p>
    <w:p w14:paraId="3B4187BA">
      <w:pPr>
        <w:spacing w:line="280" w:lineRule="exact"/>
        <w:jc w:val="left"/>
        <w:rPr>
          <w:szCs w:val="21"/>
        </w:rPr>
      </w:pPr>
    </w:p>
    <w:p w14:paraId="78E62152">
      <w:pPr>
        <w:spacing w:line="280" w:lineRule="exact"/>
        <w:jc w:val="left"/>
        <w:rPr>
          <w:szCs w:val="21"/>
        </w:rPr>
      </w:pPr>
    </w:p>
    <w:p w14:paraId="26D6AAD4">
      <w:pPr>
        <w:spacing w:line="280" w:lineRule="exact"/>
        <w:ind w:firstLine="210" w:firstLineChars="100"/>
        <w:jc w:val="left"/>
        <w:rPr>
          <w:szCs w:val="21"/>
        </w:rPr>
      </w:pPr>
      <w:r>
        <w:rPr>
          <w:szCs w:val="21"/>
        </w:rPr>
        <w:t xml:space="preserve"> </w:t>
      </w:r>
      <w:r>
        <w:rPr>
          <w:rFonts w:hint="eastAsia"/>
          <w:szCs w:val="21"/>
        </w:rPr>
        <w:t xml:space="preserve">                                       </w:t>
      </w:r>
      <w:r>
        <w:rPr>
          <w:szCs w:val="21"/>
        </w:rPr>
        <w:t>投标人(盖单位章)：</w:t>
      </w:r>
    </w:p>
    <w:p w14:paraId="734857C4">
      <w:pPr>
        <w:spacing w:line="280" w:lineRule="exact"/>
        <w:ind w:firstLine="210" w:firstLineChars="100"/>
        <w:jc w:val="left"/>
        <w:rPr>
          <w:szCs w:val="21"/>
        </w:rPr>
      </w:pPr>
    </w:p>
    <w:p w14:paraId="7891173C">
      <w:pPr>
        <w:spacing w:line="280" w:lineRule="exact"/>
        <w:ind w:firstLine="2205" w:firstLineChars="1050"/>
        <w:jc w:val="left"/>
        <w:rPr>
          <w:szCs w:val="21"/>
        </w:rPr>
      </w:pPr>
      <w:r>
        <w:rPr>
          <w:szCs w:val="21"/>
        </w:rPr>
        <w:t>法定代表人或负责人或全权代表(盖章或签字)：</w:t>
      </w:r>
    </w:p>
    <w:p w14:paraId="22860D67">
      <w:pPr>
        <w:spacing w:line="280" w:lineRule="exact"/>
        <w:jc w:val="center"/>
        <w:rPr>
          <w:szCs w:val="21"/>
        </w:rPr>
      </w:pPr>
    </w:p>
    <w:p w14:paraId="27ED3D9E">
      <w:pPr>
        <w:spacing w:line="280" w:lineRule="exact"/>
        <w:jc w:val="center"/>
        <w:rPr>
          <w:szCs w:val="21"/>
        </w:rPr>
      </w:pPr>
      <w:r>
        <w:rPr>
          <w:szCs w:val="21"/>
        </w:rPr>
        <w:t xml:space="preserve">           日期：</w:t>
      </w:r>
    </w:p>
    <w:p w14:paraId="3F4867FF">
      <w:pPr>
        <w:spacing w:line="280" w:lineRule="exact"/>
        <w:rPr>
          <w:rFonts w:eastAsia="仿宋_GB2312"/>
          <w:b/>
          <w:bCs/>
          <w:szCs w:val="21"/>
        </w:rPr>
      </w:pPr>
      <w:r>
        <w:rPr>
          <w:rFonts w:eastAsia="仿宋_GB2312"/>
          <w:b/>
          <w:bCs/>
          <w:szCs w:val="21"/>
        </w:rPr>
        <w:t>注：▲必须按照本声明书要求填报。</w:t>
      </w:r>
    </w:p>
    <w:p w14:paraId="455F3CAB">
      <w:pPr>
        <w:spacing w:line="280" w:lineRule="exact"/>
        <w:rPr>
          <w:rFonts w:eastAsia="仿宋_GB2312"/>
          <w:b/>
          <w:bCs/>
          <w:szCs w:val="21"/>
        </w:rPr>
      </w:pPr>
    </w:p>
    <w:p w14:paraId="261B937D">
      <w:pPr>
        <w:spacing w:line="280" w:lineRule="exact"/>
        <w:rPr>
          <w:rFonts w:eastAsia="仿宋_GB2312"/>
          <w:b/>
          <w:bCs/>
          <w:szCs w:val="21"/>
        </w:rPr>
      </w:pPr>
    </w:p>
    <w:p w14:paraId="798AE7DB">
      <w:pPr>
        <w:spacing w:line="360" w:lineRule="auto"/>
        <w:rPr>
          <w:b/>
          <w:color w:val="000000"/>
          <w:szCs w:val="21"/>
        </w:rPr>
      </w:pPr>
      <w:r>
        <w:rPr>
          <w:rFonts w:hint="eastAsia"/>
          <w:b/>
          <w:color w:val="000000"/>
          <w:szCs w:val="21"/>
        </w:rPr>
        <w:t>附件二：</w:t>
      </w:r>
    </w:p>
    <w:p w14:paraId="464DCF69">
      <w:pPr>
        <w:spacing w:line="360" w:lineRule="auto"/>
        <w:jc w:val="center"/>
        <w:rPr>
          <w:b/>
          <w:color w:val="000000"/>
          <w:sz w:val="32"/>
          <w:szCs w:val="32"/>
        </w:rPr>
      </w:pPr>
      <w:r>
        <w:rPr>
          <w:b/>
          <w:color w:val="000000"/>
          <w:sz w:val="32"/>
          <w:szCs w:val="32"/>
        </w:rPr>
        <w:t>授权</w:t>
      </w:r>
      <w:r>
        <w:rPr>
          <w:rFonts w:hint="eastAsia"/>
          <w:b/>
          <w:color w:val="000000"/>
          <w:sz w:val="32"/>
          <w:szCs w:val="32"/>
        </w:rPr>
        <w:t>委托</w:t>
      </w:r>
      <w:r>
        <w:rPr>
          <w:b/>
          <w:color w:val="000000"/>
          <w:sz w:val="32"/>
          <w:szCs w:val="32"/>
        </w:rPr>
        <w:t>书</w:t>
      </w:r>
    </w:p>
    <w:p w14:paraId="6ACE426A">
      <w:pPr>
        <w:spacing w:after="50" w:line="360" w:lineRule="auto"/>
        <w:ind w:firstLine="720"/>
        <w:rPr>
          <w:rFonts w:ascii="宋体" w:hAnsi="宋体" w:cs="宋体"/>
          <w:color w:val="000000"/>
          <w:sz w:val="24"/>
        </w:rPr>
      </w:pPr>
      <w:r>
        <w:rPr>
          <w:rFonts w:hint="eastAsia" w:ascii="宋体" w:hAnsi="宋体"/>
          <w:color w:val="000000"/>
          <w:sz w:val="24"/>
          <w:u w:val="single"/>
        </w:rPr>
        <w:t xml:space="preserve">           </w:t>
      </w:r>
      <w:r>
        <w:rPr>
          <w:rFonts w:hint="eastAsia" w:ascii="宋体" w:hAnsi="宋体" w:cs="宋体"/>
          <w:color w:val="000000"/>
          <w:sz w:val="24"/>
        </w:rPr>
        <w:t>（ 采购代理机构名称）：</w:t>
      </w:r>
    </w:p>
    <w:p w14:paraId="2581E8CE">
      <w:pPr>
        <w:pStyle w:val="298"/>
        <w:spacing w:line="500" w:lineRule="exact"/>
        <w:ind w:left="240" w:hanging="240"/>
        <w:rPr>
          <w:rFonts w:hAnsi="宋体"/>
          <w:color w:val="000000"/>
          <w:sz w:val="24"/>
        </w:rPr>
      </w:pPr>
      <w:r>
        <w:rPr>
          <w:rFonts w:hAnsi="宋体"/>
          <w:color w:val="000000"/>
          <w:sz w:val="24"/>
          <w:u w:val="single"/>
        </w:rPr>
        <w:t xml:space="preserve">  （投标人全称）  </w:t>
      </w:r>
      <w:r>
        <w:rPr>
          <w:rFonts w:hAnsi="宋体"/>
          <w:color w:val="000000"/>
          <w:sz w:val="24"/>
        </w:rPr>
        <w:t>法定代表人</w:t>
      </w:r>
      <w:r>
        <w:rPr>
          <w:rFonts w:hint="eastAsia" w:ascii="Arial" w:hAnsi="Arial" w:cs="Arial"/>
          <w:color w:val="000000"/>
          <w:sz w:val="24"/>
        </w:rPr>
        <w:t>（或营业执照中单位负责人）</w:t>
      </w:r>
      <w:r>
        <w:rPr>
          <w:rFonts w:hAnsi="宋体"/>
          <w:color w:val="000000"/>
          <w:sz w:val="24"/>
          <w:u w:val="single"/>
        </w:rPr>
        <w:tab/>
      </w:r>
      <w:r>
        <w:rPr>
          <w:rFonts w:hAnsi="宋体"/>
          <w:color w:val="000000"/>
          <w:sz w:val="24"/>
          <w:u w:val="single"/>
        </w:rPr>
        <w:t>（法定代表</w:t>
      </w:r>
      <w:r>
        <w:rPr>
          <w:rFonts w:hint="eastAsia" w:hAnsi="宋体"/>
          <w:color w:val="000000"/>
          <w:sz w:val="24"/>
          <w:u w:val="single"/>
        </w:rPr>
        <w:t>人</w:t>
      </w:r>
      <w:r>
        <w:rPr>
          <w:rFonts w:hint="eastAsia" w:ascii="Arial" w:hAnsi="Arial" w:cs="Arial"/>
          <w:color w:val="000000"/>
          <w:sz w:val="24"/>
          <w:u w:val="single"/>
        </w:rPr>
        <w:t>或营业执照中单位负责人</w:t>
      </w:r>
      <w:r>
        <w:rPr>
          <w:rFonts w:hAnsi="宋体"/>
          <w:color w:val="000000"/>
          <w:sz w:val="24"/>
          <w:u w:val="single"/>
        </w:rPr>
        <w:t xml:space="preserve">姓名） </w:t>
      </w:r>
      <w:r>
        <w:rPr>
          <w:rFonts w:hAnsi="宋体"/>
          <w:color w:val="000000"/>
          <w:sz w:val="24"/>
        </w:rPr>
        <w:t>授权</w:t>
      </w:r>
      <w:r>
        <w:rPr>
          <w:rFonts w:hint="eastAsia" w:hAnsi="宋体"/>
          <w:color w:val="000000"/>
          <w:sz w:val="24"/>
          <w:u w:val="single"/>
        </w:rPr>
        <w:t xml:space="preserve">   （全权代表</w:t>
      </w:r>
      <w:r>
        <w:rPr>
          <w:rFonts w:hAnsi="宋体"/>
          <w:color w:val="000000"/>
          <w:sz w:val="24"/>
          <w:u w:val="single"/>
        </w:rPr>
        <w:t>姓名</w:t>
      </w:r>
      <w:r>
        <w:rPr>
          <w:rFonts w:hint="eastAsia" w:hAnsi="宋体"/>
          <w:color w:val="000000"/>
          <w:sz w:val="24"/>
          <w:u w:val="single"/>
        </w:rPr>
        <w:t xml:space="preserve">） </w:t>
      </w:r>
      <w:r>
        <w:rPr>
          <w:rFonts w:hAnsi="宋体"/>
          <w:color w:val="000000"/>
          <w:sz w:val="24"/>
        </w:rPr>
        <w:t>为</w:t>
      </w:r>
      <w:r>
        <w:rPr>
          <w:rFonts w:hint="eastAsia" w:hAnsi="宋体"/>
          <w:color w:val="000000"/>
          <w:sz w:val="24"/>
        </w:rPr>
        <w:t>全权代表</w:t>
      </w:r>
      <w:r>
        <w:rPr>
          <w:rFonts w:hAnsi="宋体"/>
          <w:color w:val="000000"/>
          <w:sz w:val="24"/>
        </w:rPr>
        <w:t>，参加贵单位组织的</w:t>
      </w:r>
      <w:r>
        <w:rPr>
          <w:rFonts w:hAnsi="宋体"/>
          <w:color w:val="000000"/>
          <w:sz w:val="24"/>
          <w:u w:val="single"/>
        </w:rPr>
        <w:tab/>
      </w:r>
      <w:r>
        <w:rPr>
          <w:rFonts w:hAnsi="宋体"/>
          <w:color w:val="000000"/>
          <w:sz w:val="24"/>
        </w:rPr>
        <w:t>项目的采购活动，并代表我方全权办理针对上述项目的投标、开标、评标、签约等具体事务和签署相关文件。</w:t>
      </w:r>
      <w:r>
        <w:rPr>
          <w:rFonts w:hint="eastAsia" w:hAnsi="宋体"/>
          <w:color w:val="000000"/>
          <w:sz w:val="24"/>
        </w:rPr>
        <w:t>我方对全权代表的签字事项负全部责任。</w:t>
      </w:r>
    </w:p>
    <w:p w14:paraId="4DFF76B1">
      <w:pPr>
        <w:pStyle w:val="298"/>
        <w:spacing w:line="500" w:lineRule="exact"/>
        <w:ind w:left="138" w:firstLine="480"/>
        <w:rPr>
          <w:rFonts w:hAnsi="宋体"/>
          <w:color w:val="000000"/>
          <w:sz w:val="24"/>
        </w:rPr>
      </w:pPr>
      <w:r>
        <w:rPr>
          <w:rFonts w:hint="eastAsia" w:hAnsi="宋体"/>
          <w:color w:val="000000"/>
          <w:sz w:val="24"/>
        </w:rPr>
        <w:t>在撤销授权的书面通知以前，本授权书一直有效。全权代表在授权委托书有效期内签署的所有文件不因授权的撤销而失效。</w:t>
      </w:r>
    </w:p>
    <w:p w14:paraId="7005295E">
      <w:pPr>
        <w:pStyle w:val="298"/>
        <w:spacing w:line="500" w:lineRule="exact"/>
        <w:ind w:left="138" w:firstLine="480"/>
        <w:rPr>
          <w:rFonts w:hAnsi="宋体"/>
          <w:color w:val="000000"/>
          <w:sz w:val="24"/>
        </w:rPr>
      </w:pPr>
      <w:r>
        <w:rPr>
          <w:rFonts w:hint="eastAsia" w:hAnsi="宋体"/>
          <w:color w:val="000000"/>
          <w:sz w:val="24"/>
        </w:rPr>
        <w:t>全权代表无转委托权，特此委托。</w:t>
      </w:r>
    </w:p>
    <w:p w14:paraId="2ECAA7CA">
      <w:pPr>
        <w:spacing w:line="360" w:lineRule="auto"/>
        <w:rPr>
          <w:color w:val="000000"/>
          <w:sz w:val="24"/>
        </w:rPr>
      </w:pPr>
    </w:p>
    <w:p w14:paraId="725073F7">
      <w:pPr>
        <w:spacing w:line="360" w:lineRule="auto"/>
        <w:rPr>
          <w:color w:val="000000"/>
          <w:sz w:val="24"/>
        </w:rPr>
      </w:pPr>
      <w:r>
        <w:rPr>
          <w:rFonts w:hint="eastAsia" w:ascii="宋体"/>
          <w:color w:val="000000"/>
          <w:sz w:val="24"/>
        </w:rPr>
        <w:t>法定代表人签字和盖章：</w:t>
      </w:r>
    </w:p>
    <w:p w14:paraId="7065465C">
      <w:pPr>
        <w:spacing w:line="360" w:lineRule="auto"/>
        <w:rPr>
          <w:color w:val="000000"/>
          <w:sz w:val="24"/>
        </w:rPr>
      </w:pPr>
    </w:p>
    <w:p w14:paraId="4C4E57D5">
      <w:pPr>
        <w:spacing w:line="360" w:lineRule="auto"/>
        <w:rPr>
          <w:color w:val="000000"/>
          <w:sz w:val="24"/>
        </w:rPr>
      </w:pPr>
      <w:r>
        <w:rPr>
          <w:rFonts w:hint="eastAsia" w:ascii="宋体"/>
          <w:color w:val="000000"/>
          <w:sz w:val="24"/>
        </w:rPr>
        <w:t>投标人全称（公章）：                              日期：</w:t>
      </w:r>
    </w:p>
    <w:p w14:paraId="34A2E621">
      <w:pPr>
        <w:spacing w:line="360" w:lineRule="auto"/>
        <w:rPr>
          <w:color w:val="000000"/>
          <w:sz w:val="24"/>
        </w:rPr>
      </w:pPr>
    </w:p>
    <w:p w14:paraId="746A092F">
      <w:pPr>
        <w:spacing w:line="360" w:lineRule="auto"/>
        <w:rPr>
          <w:b/>
          <w:color w:val="000000"/>
          <w:sz w:val="24"/>
        </w:rPr>
      </w:pPr>
      <w:r>
        <w:rPr>
          <w:rFonts w:hint="eastAsia" w:ascii="宋体"/>
          <w:b/>
          <w:color w:val="000000"/>
          <w:sz w:val="24"/>
        </w:rPr>
        <w:t>附：</w:t>
      </w:r>
    </w:p>
    <w:tbl>
      <w:tblPr>
        <w:tblStyle w:val="36"/>
        <w:tblpPr w:leftFromText="180" w:rightFromText="180" w:vertAnchor="text" w:tblpX="4209" w:tblpY="321"/>
        <w:tblW w:w="4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80"/>
      </w:tblGrid>
      <w:tr w14:paraId="269A8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trPr>
        <w:tc>
          <w:tcPr>
            <w:tcW w:w="4080" w:type="dxa"/>
          </w:tcPr>
          <w:p w14:paraId="011E32EA">
            <w:pPr>
              <w:spacing w:line="360" w:lineRule="auto"/>
              <w:rPr>
                <w:rFonts w:ascii="宋体"/>
                <w:b/>
                <w:color w:val="000000"/>
                <w:sz w:val="24"/>
              </w:rPr>
            </w:pPr>
          </w:p>
          <w:p w14:paraId="6712ACD5">
            <w:pPr>
              <w:spacing w:line="360" w:lineRule="auto"/>
              <w:ind w:firstLine="360"/>
              <w:rPr>
                <w:rFonts w:ascii="宋体"/>
                <w:b/>
                <w:color w:val="000000"/>
                <w:sz w:val="24"/>
              </w:rPr>
            </w:pPr>
            <w:r>
              <w:rPr>
                <w:rFonts w:hint="eastAsia" w:ascii="宋体"/>
                <w:b/>
                <w:color w:val="000000"/>
                <w:sz w:val="24"/>
              </w:rPr>
              <w:t>法定代表身份证复印件粘帖处</w:t>
            </w:r>
          </w:p>
        </w:tc>
      </w:tr>
    </w:tbl>
    <w:p w14:paraId="5F72FA49">
      <w:pPr>
        <w:spacing w:line="360" w:lineRule="auto"/>
        <w:rPr>
          <w:color w:val="000000"/>
          <w:sz w:val="24"/>
        </w:rPr>
      </w:pPr>
      <w:r>
        <w:rPr>
          <w:rFonts w:hint="eastAsia" w:ascii="宋体"/>
          <w:color w:val="000000"/>
          <w:sz w:val="24"/>
        </w:rPr>
        <w:t xml:space="preserve">法定代表人姓名：                                 </w:t>
      </w:r>
    </w:p>
    <w:p w14:paraId="237FA653">
      <w:pPr>
        <w:spacing w:line="360" w:lineRule="auto"/>
        <w:rPr>
          <w:color w:val="000000"/>
          <w:sz w:val="24"/>
        </w:rPr>
      </w:pPr>
      <w:r>
        <w:rPr>
          <w:rFonts w:hint="eastAsia" w:ascii="宋体"/>
          <w:color w:val="000000"/>
          <w:sz w:val="24"/>
        </w:rPr>
        <w:t>传真：</w:t>
      </w:r>
    </w:p>
    <w:p w14:paraId="2D773370">
      <w:pPr>
        <w:spacing w:line="360" w:lineRule="auto"/>
        <w:rPr>
          <w:rFonts w:ascii="宋体"/>
          <w:color w:val="000000"/>
          <w:sz w:val="24"/>
        </w:rPr>
      </w:pPr>
      <w:r>
        <w:rPr>
          <w:rFonts w:hint="eastAsia" w:ascii="宋体"/>
          <w:color w:val="000000"/>
          <w:sz w:val="24"/>
        </w:rPr>
        <w:t>电话：</w:t>
      </w:r>
    </w:p>
    <w:p w14:paraId="388A9B40">
      <w:pPr>
        <w:spacing w:line="360" w:lineRule="auto"/>
        <w:rPr>
          <w:color w:val="000000"/>
          <w:sz w:val="24"/>
        </w:rPr>
      </w:pPr>
      <w:r>
        <w:rPr>
          <w:rFonts w:hint="eastAsia" w:ascii="宋体"/>
          <w:color w:val="000000"/>
          <w:sz w:val="24"/>
        </w:rPr>
        <w:t>详细通讯地址：</w:t>
      </w:r>
    </w:p>
    <w:p w14:paraId="2EAA1AE0">
      <w:pPr>
        <w:spacing w:line="360" w:lineRule="auto"/>
        <w:rPr>
          <w:rFonts w:ascii="宋体"/>
          <w:color w:val="000000"/>
          <w:sz w:val="24"/>
        </w:rPr>
      </w:pPr>
      <w:r>
        <w:rPr>
          <w:rFonts w:hint="eastAsia" w:ascii="宋体"/>
          <w:color w:val="000000"/>
          <w:sz w:val="24"/>
        </w:rPr>
        <w:t>邮政编码：</w:t>
      </w:r>
    </w:p>
    <w:p w14:paraId="4D722D04">
      <w:pPr>
        <w:spacing w:line="360" w:lineRule="auto"/>
        <w:rPr>
          <w:b/>
          <w:color w:val="000000"/>
          <w:sz w:val="24"/>
        </w:rPr>
      </w:pPr>
    </w:p>
    <w:tbl>
      <w:tblPr>
        <w:tblStyle w:val="36"/>
        <w:tblpPr w:leftFromText="180" w:rightFromText="180" w:vertAnchor="text" w:tblpX="4209" w:tblpY="321"/>
        <w:tblW w:w="4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80"/>
      </w:tblGrid>
      <w:tr w14:paraId="0CBB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trPr>
        <w:tc>
          <w:tcPr>
            <w:tcW w:w="4080" w:type="dxa"/>
          </w:tcPr>
          <w:p w14:paraId="41B02071">
            <w:pPr>
              <w:spacing w:line="360" w:lineRule="auto"/>
              <w:rPr>
                <w:rFonts w:ascii="宋体"/>
                <w:b/>
                <w:color w:val="000000"/>
                <w:sz w:val="24"/>
              </w:rPr>
            </w:pPr>
          </w:p>
          <w:p w14:paraId="670B2CB6">
            <w:pPr>
              <w:spacing w:line="360" w:lineRule="auto"/>
              <w:ind w:firstLine="360"/>
              <w:rPr>
                <w:rFonts w:ascii="宋体"/>
                <w:b/>
                <w:color w:val="000000"/>
                <w:sz w:val="24"/>
              </w:rPr>
            </w:pPr>
            <w:r>
              <w:rPr>
                <w:rFonts w:hint="eastAsia" w:ascii="宋体"/>
                <w:b/>
                <w:color w:val="000000"/>
                <w:sz w:val="24"/>
              </w:rPr>
              <w:t>全权代表身份证复印件粘帖处</w:t>
            </w:r>
          </w:p>
        </w:tc>
      </w:tr>
    </w:tbl>
    <w:p w14:paraId="13876A25">
      <w:pPr>
        <w:spacing w:line="360" w:lineRule="auto"/>
        <w:rPr>
          <w:rFonts w:ascii="宋体"/>
          <w:color w:val="000000"/>
          <w:sz w:val="24"/>
        </w:rPr>
      </w:pPr>
      <w:r>
        <w:rPr>
          <w:rFonts w:hint="eastAsia" w:ascii="宋体"/>
          <w:color w:val="000000"/>
          <w:sz w:val="24"/>
        </w:rPr>
        <w:t xml:space="preserve">全权代表姓名：       </w:t>
      </w:r>
    </w:p>
    <w:p w14:paraId="393F759C">
      <w:pPr>
        <w:spacing w:line="360" w:lineRule="auto"/>
        <w:rPr>
          <w:color w:val="000000"/>
          <w:sz w:val="24"/>
        </w:rPr>
      </w:pPr>
      <w:r>
        <w:rPr>
          <w:rFonts w:hint="eastAsia" w:ascii="宋体"/>
          <w:color w:val="000000"/>
          <w:sz w:val="24"/>
        </w:rPr>
        <w:t xml:space="preserve">职务：                           </w:t>
      </w:r>
    </w:p>
    <w:p w14:paraId="1DC70A22">
      <w:pPr>
        <w:spacing w:line="360" w:lineRule="auto"/>
        <w:rPr>
          <w:color w:val="000000"/>
          <w:sz w:val="24"/>
        </w:rPr>
      </w:pPr>
      <w:r>
        <w:rPr>
          <w:rFonts w:hint="eastAsia" w:ascii="宋体"/>
          <w:color w:val="000000"/>
          <w:sz w:val="24"/>
        </w:rPr>
        <w:t>传真：</w:t>
      </w:r>
    </w:p>
    <w:p w14:paraId="3BD5DCCD">
      <w:pPr>
        <w:spacing w:line="360" w:lineRule="auto"/>
        <w:rPr>
          <w:rFonts w:ascii="宋体"/>
          <w:color w:val="000000"/>
          <w:sz w:val="24"/>
        </w:rPr>
      </w:pPr>
      <w:r>
        <w:rPr>
          <w:rFonts w:hint="eastAsia" w:ascii="宋体"/>
          <w:color w:val="000000"/>
          <w:sz w:val="24"/>
        </w:rPr>
        <w:t>电话：</w:t>
      </w:r>
    </w:p>
    <w:p w14:paraId="5835A631">
      <w:pPr>
        <w:spacing w:line="360" w:lineRule="auto"/>
        <w:rPr>
          <w:color w:val="000000"/>
          <w:sz w:val="24"/>
        </w:rPr>
      </w:pPr>
      <w:r>
        <w:rPr>
          <w:rFonts w:hint="eastAsia" w:ascii="宋体"/>
          <w:color w:val="000000"/>
          <w:sz w:val="24"/>
        </w:rPr>
        <w:t>详细通讯地址：</w:t>
      </w:r>
    </w:p>
    <w:p w14:paraId="53DEFFF3">
      <w:pPr>
        <w:spacing w:line="280" w:lineRule="exact"/>
        <w:rPr>
          <w:rFonts w:ascii="宋体"/>
          <w:color w:val="000000"/>
          <w:sz w:val="24"/>
        </w:rPr>
      </w:pPr>
      <w:r>
        <w:rPr>
          <w:rFonts w:hint="eastAsia" w:ascii="宋体"/>
          <w:color w:val="000000"/>
          <w:sz w:val="24"/>
        </w:rPr>
        <w:t>邮政编码：</w:t>
      </w:r>
    </w:p>
    <w:p w14:paraId="5E9D24E4">
      <w:pPr>
        <w:spacing w:line="280" w:lineRule="exact"/>
        <w:rPr>
          <w:rFonts w:ascii="宋体"/>
          <w:color w:val="000000"/>
          <w:sz w:val="24"/>
        </w:rPr>
      </w:pPr>
    </w:p>
    <w:p w14:paraId="08B244B7">
      <w:pPr>
        <w:spacing w:line="280" w:lineRule="exact"/>
        <w:rPr>
          <w:rFonts w:ascii="宋体"/>
          <w:color w:val="000000"/>
          <w:sz w:val="24"/>
        </w:rPr>
      </w:pPr>
    </w:p>
    <w:p w14:paraId="58228670">
      <w:pPr>
        <w:spacing w:line="280" w:lineRule="exact"/>
        <w:rPr>
          <w:rFonts w:ascii="宋体"/>
          <w:color w:val="000000"/>
          <w:sz w:val="24"/>
        </w:rPr>
      </w:pPr>
    </w:p>
    <w:p w14:paraId="7B14D7C7">
      <w:pPr>
        <w:spacing w:line="280" w:lineRule="exact"/>
        <w:rPr>
          <w:rFonts w:ascii="宋体"/>
          <w:color w:val="000000"/>
          <w:sz w:val="24"/>
        </w:rPr>
      </w:pPr>
    </w:p>
    <w:p w14:paraId="6FA39370">
      <w:pPr>
        <w:spacing w:line="280" w:lineRule="exact"/>
        <w:rPr>
          <w:rFonts w:ascii="宋体"/>
          <w:color w:val="000000"/>
          <w:sz w:val="24"/>
        </w:rPr>
      </w:pPr>
    </w:p>
    <w:p w14:paraId="311F136B">
      <w:pPr>
        <w:pStyle w:val="20"/>
        <w:spacing w:line="360" w:lineRule="auto"/>
        <w:ind w:firstLine="482"/>
        <w:rPr>
          <w:rFonts w:ascii="Times New Roman" w:hAnsi="Times New Roman"/>
          <w:b/>
          <w:sz w:val="24"/>
        </w:rPr>
      </w:pPr>
      <w:r>
        <w:rPr>
          <w:rFonts w:ascii="Times New Roman" w:hAnsi="Times New Roman"/>
          <w:b/>
          <w:sz w:val="24"/>
        </w:rPr>
        <w:t>附件三：</w:t>
      </w:r>
    </w:p>
    <w:p w14:paraId="0099EE7E">
      <w:pPr>
        <w:spacing w:line="248" w:lineRule="auto"/>
        <w:ind w:firstLine="556" w:firstLineChars="200"/>
        <w:jc w:val="center"/>
        <w:rPr>
          <w:rFonts w:eastAsia="黑体"/>
          <w:color w:val="000000"/>
          <w:spacing w:val="-1"/>
          <w:sz w:val="28"/>
          <w:szCs w:val="35"/>
        </w:rPr>
      </w:pPr>
      <w:r>
        <w:rPr>
          <w:rFonts w:eastAsia="黑体"/>
          <w:color w:val="000000"/>
          <w:spacing w:val="-1"/>
          <w:sz w:val="28"/>
          <w:szCs w:val="35"/>
        </w:rPr>
        <w:t>符合参加采购活动应当具备的一般条件的承诺函</w:t>
      </w:r>
    </w:p>
    <w:p w14:paraId="792B2C42">
      <w:pPr>
        <w:spacing w:line="360" w:lineRule="auto"/>
        <w:ind w:firstLine="476" w:firstLineChars="200"/>
        <w:rPr>
          <w:color w:val="000000"/>
          <w:spacing w:val="-1"/>
          <w:sz w:val="24"/>
          <w:szCs w:val="35"/>
        </w:rPr>
      </w:pPr>
    </w:p>
    <w:p w14:paraId="28E4CD16">
      <w:pPr>
        <w:pStyle w:val="20"/>
        <w:spacing w:line="500" w:lineRule="exact"/>
        <w:rPr>
          <w:rFonts w:ascii="Times New Roman" w:hAnsi="Times New Roman"/>
          <w:szCs w:val="21"/>
        </w:rPr>
      </w:pPr>
      <w:r>
        <w:rPr>
          <w:rFonts w:hint="eastAsia" w:ascii="Times New Roman" w:hAnsi="Times New Roman"/>
          <w:szCs w:val="21"/>
          <w:u w:val="single"/>
          <w:lang w:eastAsia="zh-CN"/>
        </w:rPr>
        <w:t>台州市北部湾区经济开发集团有限公司</w:t>
      </w:r>
      <w:r>
        <w:rPr>
          <w:rFonts w:ascii="Times New Roman" w:hAnsi="Times New Roman"/>
          <w:szCs w:val="21"/>
        </w:rPr>
        <w:t>：</w:t>
      </w:r>
    </w:p>
    <w:p w14:paraId="04B33CE5">
      <w:pPr>
        <w:spacing w:line="360" w:lineRule="auto"/>
        <w:rPr>
          <w:color w:val="000000"/>
          <w:spacing w:val="-1"/>
          <w:szCs w:val="21"/>
        </w:rPr>
      </w:pPr>
      <w:r>
        <w:rPr>
          <w:color w:val="000000"/>
          <w:spacing w:val="-1"/>
          <w:szCs w:val="21"/>
        </w:rPr>
        <w:t>我方(投标人全称)参加项目的采购活动并承诺如下：</w:t>
      </w:r>
    </w:p>
    <w:p w14:paraId="61D1363E">
      <w:pPr>
        <w:spacing w:line="360" w:lineRule="auto"/>
        <w:outlineLvl w:val="2"/>
        <w:rPr>
          <w:color w:val="000000"/>
          <w:spacing w:val="-1"/>
          <w:szCs w:val="21"/>
        </w:rPr>
      </w:pPr>
      <w:r>
        <w:rPr>
          <w:color w:val="000000"/>
          <w:spacing w:val="-1"/>
          <w:szCs w:val="21"/>
        </w:rPr>
        <w:t>一、我方满足《中华人民共和国政府采购法》第二十二条规定：</w:t>
      </w:r>
    </w:p>
    <w:p w14:paraId="22D39695">
      <w:pPr>
        <w:spacing w:line="360" w:lineRule="auto"/>
        <w:rPr>
          <w:color w:val="000000"/>
          <w:spacing w:val="-1"/>
          <w:szCs w:val="21"/>
        </w:rPr>
      </w:pPr>
      <w:r>
        <w:rPr>
          <w:color w:val="000000"/>
          <w:spacing w:val="-1"/>
          <w:szCs w:val="21"/>
        </w:rPr>
        <w:t>(一)具有独立承担民事责任的能力；</w:t>
      </w:r>
    </w:p>
    <w:p w14:paraId="2A68B20D">
      <w:pPr>
        <w:spacing w:line="360" w:lineRule="auto"/>
        <w:rPr>
          <w:color w:val="000000"/>
          <w:spacing w:val="-1"/>
          <w:szCs w:val="21"/>
        </w:rPr>
      </w:pPr>
      <w:r>
        <w:rPr>
          <w:color w:val="000000"/>
          <w:spacing w:val="-1"/>
          <w:szCs w:val="21"/>
        </w:rPr>
        <w:t>(二)具有良好的商业信誉和健全的财务会计制度；</w:t>
      </w:r>
    </w:p>
    <w:p w14:paraId="06BA031F">
      <w:pPr>
        <w:spacing w:line="360" w:lineRule="auto"/>
        <w:rPr>
          <w:color w:val="000000"/>
          <w:spacing w:val="-1"/>
          <w:szCs w:val="21"/>
        </w:rPr>
      </w:pPr>
      <w:r>
        <w:rPr>
          <w:color w:val="000000"/>
          <w:spacing w:val="-1"/>
          <w:szCs w:val="21"/>
        </w:rPr>
        <w:t>(三)具有履行合同所必需的设备和专业技术能力；</w:t>
      </w:r>
    </w:p>
    <w:p w14:paraId="03EC4E3D">
      <w:pPr>
        <w:spacing w:line="360" w:lineRule="auto"/>
        <w:rPr>
          <w:color w:val="000000"/>
          <w:spacing w:val="-1"/>
          <w:szCs w:val="21"/>
        </w:rPr>
      </w:pPr>
      <w:r>
        <w:rPr>
          <w:color w:val="000000"/>
          <w:spacing w:val="-1"/>
          <w:szCs w:val="21"/>
        </w:rPr>
        <w:t>(四)有依法缴纳税收和社会保障资金的良好记录；</w:t>
      </w:r>
    </w:p>
    <w:p w14:paraId="5BF43101">
      <w:pPr>
        <w:spacing w:line="360" w:lineRule="auto"/>
        <w:rPr>
          <w:color w:val="000000"/>
          <w:spacing w:val="-1"/>
          <w:szCs w:val="21"/>
        </w:rPr>
      </w:pPr>
      <w:r>
        <w:rPr>
          <w:color w:val="000000"/>
          <w:spacing w:val="-1"/>
          <w:szCs w:val="21"/>
        </w:rPr>
        <w:t>(五)参加本项目政府采购活动前三年内，在经营活动中没有重大违法记录。(重大违法记录是指供应商因违法经营受到刑事处罚或者责令停产停业、吊销许可证或者执照、较大数额罚款等行政处罚)</w:t>
      </w:r>
    </w:p>
    <w:p w14:paraId="44E732C0">
      <w:pPr>
        <w:spacing w:line="360" w:lineRule="auto"/>
        <w:outlineLvl w:val="3"/>
        <w:rPr>
          <w:color w:val="000000"/>
          <w:spacing w:val="-1"/>
          <w:szCs w:val="21"/>
        </w:rPr>
      </w:pPr>
      <w:r>
        <w:rPr>
          <w:color w:val="000000"/>
          <w:spacing w:val="-1"/>
          <w:szCs w:val="21"/>
        </w:rPr>
        <w:t>(六)法律、行政法规规定的其他条件。</w:t>
      </w:r>
    </w:p>
    <w:p w14:paraId="546F842B">
      <w:pPr>
        <w:spacing w:line="360" w:lineRule="auto"/>
        <w:rPr>
          <w:color w:val="000000"/>
          <w:spacing w:val="-1"/>
          <w:szCs w:val="21"/>
        </w:rPr>
      </w:pPr>
      <w:r>
        <w:rPr>
          <w:color w:val="000000"/>
          <w:spacing w:val="-1"/>
          <w:szCs w:val="21"/>
        </w:rPr>
        <w:t>二、未被信用中国(www.creditchina.gov.cn)、中国政府采购网(www.ccgp.gov.cn)列入失信被执行人、重大税收违法案件当事人名单、政府采购严重违法失信行为记录名单。</w:t>
      </w:r>
    </w:p>
    <w:p w14:paraId="684BA765">
      <w:pPr>
        <w:spacing w:line="360" w:lineRule="auto"/>
        <w:outlineLvl w:val="2"/>
        <w:rPr>
          <w:color w:val="000000"/>
          <w:spacing w:val="-1"/>
          <w:szCs w:val="21"/>
        </w:rPr>
      </w:pPr>
      <w:r>
        <w:rPr>
          <w:color w:val="000000"/>
          <w:spacing w:val="-1"/>
          <w:szCs w:val="21"/>
        </w:rPr>
        <w:t>三、不存在以下情况：</w:t>
      </w:r>
    </w:p>
    <w:p w14:paraId="71B6EE9A">
      <w:pPr>
        <w:spacing w:line="360" w:lineRule="auto"/>
        <w:rPr>
          <w:color w:val="000000"/>
          <w:spacing w:val="-1"/>
          <w:szCs w:val="21"/>
        </w:rPr>
      </w:pPr>
      <w:r>
        <w:rPr>
          <w:color w:val="000000"/>
          <w:spacing w:val="-1"/>
          <w:szCs w:val="21"/>
        </w:rPr>
        <w:t>1、单位负责人为同一人或者存在直接控股、管理关系的不同供应商参加同一合同项下的政府采购活动的；</w:t>
      </w:r>
    </w:p>
    <w:p w14:paraId="3B64B515">
      <w:pPr>
        <w:spacing w:line="360" w:lineRule="auto"/>
        <w:rPr>
          <w:color w:val="000000"/>
          <w:spacing w:val="-1"/>
          <w:szCs w:val="21"/>
        </w:rPr>
      </w:pPr>
      <w:r>
        <w:rPr>
          <w:color w:val="000000"/>
          <w:spacing w:val="-1"/>
          <w:szCs w:val="21"/>
        </w:rPr>
        <w:t>2、为采购项目提供整体设计、规范编制或者项目管理、监理、检测等服务后再参加该采购项目的其他采购活动的。</w:t>
      </w:r>
    </w:p>
    <w:p w14:paraId="720C604B">
      <w:pPr>
        <w:spacing w:line="360" w:lineRule="auto"/>
        <w:outlineLvl w:val="2"/>
        <w:rPr>
          <w:color w:val="000000"/>
          <w:spacing w:val="-1"/>
          <w:szCs w:val="21"/>
        </w:rPr>
      </w:pPr>
      <w:r>
        <w:rPr>
          <w:color w:val="000000"/>
          <w:spacing w:val="-1"/>
          <w:szCs w:val="21"/>
        </w:rPr>
        <w:t>四、以上事项如有虚假或隐瞒，我方愿意承担一切后果和责任。</w:t>
      </w:r>
    </w:p>
    <w:p w14:paraId="2E28489E">
      <w:pPr>
        <w:spacing w:line="360" w:lineRule="auto"/>
        <w:rPr>
          <w:color w:val="000000"/>
          <w:spacing w:val="-1"/>
          <w:szCs w:val="21"/>
        </w:rPr>
      </w:pPr>
    </w:p>
    <w:p w14:paraId="2AD47935">
      <w:pPr>
        <w:pStyle w:val="5"/>
        <w:rPr>
          <w:color w:val="000000"/>
          <w:szCs w:val="21"/>
        </w:rPr>
      </w:pPr>
    </w:p>
    <w:p w14:paraId="344F92CC">
      <w:pPr>
        <w:spacing w:line="360" w:lineRule="auto"/>
        <w:jc w:val="center"/>
        <w:rPr>
          <w:color w:val="000000"/>
          <w:spacing w:val="-1"/>
          <w:szCs w:val="21"/>
        </w:rPr>
      </w:pPr>
      <w:r>
        <w:rPr>
          <w:color w:val="000000"/>
          <w:spacing w:val="-1"/>
          <w:szCs w:val="21"/>
        </w:rPr>
        <w:t>供应商名称(公章)：</w:t>
      </w:r>
    </w:p>
    <w:p w14:paraId="71534663">
      <w:pPr>
        <w:spacing w:line="360" w:lineRule="auto"/>
        <w:jc w:val="center"/>
        <w:rPr>
          <w:color w:val="000000"/>
          <w:spacing w:val="-1"/>
          <w:szCs w:val="21"/>
        </w:rPr>
      </w:pPr>
      <w:r>
        <w:rPr>
          <w:color w:val="000000"/>
          <w:spacing w:val="-1"/>
          <w:szCs w:val="21"/>
        </w:rPr>
        <w:t>法定代表人或授权委托人签字：</w:t>
      </w:r>
    </w:p>
    <w:p w14:paraId="67C2725E">
      <w:pPr>
        <w:spacing w:line="360" w:lineRule="auto"/>
        <w:jc w:val="center"/>
        <w:rPr>
          <w:color w:val="000000"/>
          <w:szCs w:val="21"/>
        </w:rPr>
      </w:pPr>
      <w:r>
        <w:rPr>
          <w:rFonts w:hint="eastAsia"/>
          <w:color w:val="000000"/>
          <w:spacing w:val="-1"/>
          <w:szCs w:val="21"/>
        </w:rPr>
        <w:t xml:space="preserve">                  </w:t>
      </w:r>
      <w:r>
        <w:rPr>
          <w:color w:val="000000"/>
          <w:spacing w:val="-1"/>
          <w:szCs w:val="21"/>
        </w:rPr>
        <w:t>日期：</w:t>
      </w:r>
      <w:r>
        <w:rPr>
          <w:rFonts w:hint="eastAsia"/>
          <w:color w:val="000000"/>
          <w:spacing w:val="-1"/>
          <w:szCs w:val="21"/>
        </w:rPr>
        <w:t xml:space="preserve">     </w:t>
      </w:r>
      <w:r>
        <w:rPr>
          <w:color w:val="000000"/>
          <w:spacing w:val="-1"/>
          <w:szCs w:val="21"/>
        </w:rPr>
        <w:t>年</w:t>
      </w:r>
      <w:r>
        <w:rPr>
          <w:rFonts w:hint="eastAsia"/>
          <w:color w:val="000000"/>
          <w:spacing w:val="-1"/>
          <w:szCs w:val="21"/>
        </w:rPr>
        <w:t xml:space="preserve">    </w:t>
      </w:r>
      <w:r>
        <w:rPr>
          <w:color w:val="000000"/>
          <w:spacing w:val="-1"/>
          <w:szCs w:val="21"/>
        </w:rPr>
        <w:t>月</w:t>
      </w:r>
      <w:r>
        <w:rPr>
          <w:rFonts w:hint="eastAsia"/>
          <w:color w:val="000000"/>
          <w:spacing w:val="-1"/>
          <w:szCs w:val="21"/>
        </w:rPr>
        <w:t xml:space="preserve">     </w:t>
      </w:r>
      <w:r>
        <w:rPr>
          <w:color w:val="000000"/>
          <w:spacing w:val="-1"/>
          <w:szCs w:val="21"/>
        </w:rPr>
        <w:t>日</w:t>
      </w:r>
    </w:p>
    <w:p w14:paraId="576B4025">
      <w:pPr>
        <w:spacing w:line="280" w:lineRule="exact"/>
        <w:rPr>
          <w:rFonts w:ascii="宋体" w:hAnsi="宋体" w:cs="Courier New"/>
          <w:sz w:val="28"/>
          <w:szCs w:val="28"/>
        </w:rPr>
      </w:pPr>
      <w:r>
        <w:rPr>
          <w:rFonts w:eastAsia="仿宋_GB2312"/>
          <w:b/>
          <w:bCs/>
          <w:szCs w:val="21"/>
        </w:rPr>
        <w:br w:type="page"/>
      </w:r>
    </w:p>
    <w:p w14:paraId="601BC28E">
      <w:pPr>
        <w:pStyle w:val="246"/>
        <w:rPr>
          <w:rFonts w:hAnsi="宋体"/>
          <w:b/>
          <w:sz w:val="28"/>
        </w:rPr>
      </w:pPr>
    </w:p>
    <w:p w14:paraId="40B614BF">
      <w:pPr>
        <w:spacing w:line="360" w:lineRule="auto"/>
        <w:ind w:firstLine="548"/>
        <w:rPr>
          <w:rFonts w:ascii="宋体" w:hAnsi="宋体"/>
          <w:b/>
          <w:sz w:val="28"/>
          <w:szCs w:val="28"/>
        </w:rPr>
      </w:pPr>
    </w:p>
    <w:p w14:paraId="47A45F13">
      <w:pPr>
        <w:spacing w:line="360" w:lineRule="auto"/>
        <w:rPr>
          <w:rFonts w:ascii="宋体" w:hAnsi="宋体"/>
          <w:b/>
          <w:sz w:val="28"/>
          <w:szCs w:val="28"/>
        </w:rPr>
      </w:pPr>
      <w:r>
        <w:rPr>
          <w:rFonts w:hint="eastAsia" w:ascii="宋体" w:hAnsi="宋体"/>
          <w:b/>
          <w:sz w:val="28"/>
          <w:szCs w:val="28"/>
        </w:rPr>
        <w:t>（三）供应商认为有必要提供的证明其满足本项目资格的声明及业绩证明。</w:t>
      </w:r>
    </w:p>
    <w:p w14:paraId="5EDE6D21">
      <w:pPr>
        <w:spacing w:line="360" w:lineRule="auto"/>
        <w:ind w:right="-110"/>
        <w:jc w:val="center"/>
        <w:rPr>
          <w:rFonts w:ascii="宋体" w:hAnsi="宋体"/>
          <w:color w:val="000000"/>
          <w:spacing w:val="40"/>
          <w:sz w:val="52"/>
          <w:szCs w:val="52"/>
        </w:rPr>
      </w:pPr>
    </w:p>
    <w:p w14:paraId="62D6A0DD">
      <w:pPr>
        <w:spacing w:line="360" w:lineRule="auto"/>
        <w:ind w:right="-110"/>
        <w:jc w:val="center"/>
        <w:rPr>
          <w:rFonts w:ascii="宋体" w:hAnsi="宋体"/>
          <w:color w:val="000000"/>
          <w:spacing w:val="40"/>
          <w:sz w:val="52"/>
          <w:szCs w:val="52"/>
        </w:rPr>
      </w:pPr>
    </w:p>
    <w:p w14:paraId="6FBC58B2">
      <w:pPr>
        <w:spacing w:line="360" w:lineRule="auto"/>
        <w:ind w:right="-110"/>
        <w:jc w:val="center"/>
        <w:rPr>
          <w:rFonts w:ascii="宋体" w:hAnsi="宋体"/>
          <w:color w:val="000000"/>
          <w:spacing w:val="40"/>
          <w:sz w:val="52"/>
          <w:szCs w:val="52"/>
        </w:rPr>
      </w:pPr>
    </w:p>
    <w:p w14:paraId="6F1E6413">
      <w:pPr>
        <w:spacing w:line="360" w:lineRule="auto"/>
        <w:ind w:right="-110"/>
        <w:jc w:val="center"/>
        <w:rPr>
          <w:rFonts w:ascii="宋体" w:hAnsi="宋体"/>
          <w:color w:val="000000"/>
          <w:spacing w:val="40"/>
          <w:sz w:val="52"/>
          <w:szCs w:val="52"/>
        </w:rPr>
      </w:pPr>
    </w:p>
    <w:p w14:paraId="6B14990C">
      <w:pPr>
        <w:spacing w:line="360" w:lineRule="auto"/>
        <w:ind w:right="-110"/>
        <w:jc w:val="center"/>
        <w:rPr>
          <w:rFonts w:ascii="宋体" w:hAnsi="宋体"/>
          <w:color w:val="000000"/>
          <w:spacing w:val="40"/>
          <w:sz w:val="52"/>
          <w:szCs w:val="52"/>
        </w:rPr>
      </w:pPr>
    </w:p>
    <w:p w14:paraId="5423FE49">
      <w:pPr>
        <w:spacing w:line="360" w:lineRule="auto"/>
        <w:ind w:right="-110"/>
        <w:jc w:val="center"/>
        <w:rPr>
          <w:rFonts w:ascii="宋体" w:hAnsi="宋体"/>
          <w:color w:val="000000"/>
          <w:spacing w:val="40"/>
          <w:sz w:val="52"/>
          <w:szCs w:val="52"/>
        </w:rPr>
      </w:pPr>
    </w:p>
    <w:p w14:paraId="6D6A15E0">
      <w:pPr>
        <w:spacing w:line="360" w:lineRule="auto"/>
        <w:ind w:right="-110"/>
        <w:jc w:val="center"/>
        <w:rPr>
          <w:rFonts w:ascii="宋体" w:hAnsi="宋体"/>
          <w:color w:val="000000"/>
          <w:spacing w:val="40"/>
          <w:sz w:val="52"/>
          <w:szCs w:val="52"/>
        </w:rPr>
      </w:pPr>
    </w:p>
    <w:p w14:paraId="0FE94046">
      <w:pPr>
        <w:spacing w:line="360" w:lineRule="auto"/>
        <w:ind w:right="-110"/>
        <w:jc w:val="center"/>
        <w:rPr>
          <w:rFonts w:ascii="宋体" w:hAnsi="宋体"/>
          <w:color w:val="000000"/>
          <w:spacing w:val="40"/>
          <w:sz w:val="52"/>
          <w:szCs w:val="52"/>
        </w:rPr>
      </w:pPr>
    </w:p>
    <w:p w14:paraId="75A23823">
      <w:pPr>
        <w:spacing w:line="360" w:lineRule="auto"/>
        <w:ind w:right="-110"/>
        <w:jc w:val="center"/>
        <w:rPr>
          <w:rFonts w:ascii="宋体" w:hAnsi="宋体"/>
          <w:color w:val="000000"/>
          <w:spacing w:val="40"/>
          <w:sz w:val="52"/>
          <w:szCs w:val="52"/>
        </w:rPr>
      </w:pPr>
    </w:p>
    <w:p w14:paraId="05FFB67A">
      <w:pPr>
        <w:spacing w:line="360" w:lineRule="auto"/>
        <w:ind w:right="-110"/>
        <w:jc w:val="center"/>
        <w:rPr>
          <w:rFonts w:ascii="宋体" w:hAnsi="宋体"/>
          <w:color w:val="000000"/>
          <w:spacing w:val="40"/>
          <w:sz w:val="52"/>
          <w:szCs w:val="52"/>
        </w:rPr>
      </w:pPr>
    </w:p>
    <w:p w14:paraId="67813BC9">
      <w:pPr>
        <w:spacing w:line="360" w:lineRule="auto"/>
        <w:ind w:right="-110"/>
        <w:jc w:val="center"/>
        <w:rPr>
          <w:rFonts w:ascii="宋体" w:hAnsi="宋体"/>
          <w:color w:val="000000"/>
          <w:spacing w:val="40"/>
          <w:sz w:val="52"/>
          <w:szCs w:val="52"/>
        </w:rPr>
      </w:pPr>
    </w:p>
    <w:p w14:paraId="7815F0E7">
      <w:pPr>
        <w:spacing w:line="360" w:lineRule="auto"/>
        <w:ind w:right="-110"/>
        <w:jc w:val="center"/>
        <w:rPr>
          <w:rFonts w:ascii="宋体" w:hAnsi="宋体"/>
          <w:color w:val="000000"/>
          <w:spacing w:val="40"/>
          <w:sz w:val="52"/>
          <w:szCs w:val="52"/>
        </w:rPr>
      </w:pPr>
    </w:p>
    <w:p w14:paraId="7FF46B4A">
      <w:pPr>
        <w:spacing w:line="360" w:lineRule="auto"/>
        <w:ind w:right="-110"/>
        <w:jc w:val="center"/>
        <w:rPr>
          <w:rFonts w:ascii="宋体" w:hAnsi="宋体"/>
          <w:color w:val="000000"/>
          <w:spacing w:val="40"/>
          <w:sz w:val="52"/>
          <w:szCs w:val="52"/>
        </w:rPr>
      </w:pPr>
    </w:p>
    <w:p w14:paraId="2690A282">
      <w:pPr>
        <w:spacing w:line="360" w:lineRule="auto"/>
        <w:ind w:right="-110"/>
        <w:jc w:val="center"/>
        <w:rPr>
          <w:rFonts w:ascii="宋体" w:hAnsi="宋体"/>
          <w:color w:val="000000"/>
          <w:spacing w:val="40"/>
          <w:sz w:val="52"/>
          <w:szCs w:val="52"/>
        </w:rPr>
      </w:pPr>
      <w:r>
        <w:rPr>
          <w:rFonts w:hint="eastAsia" w:ascii="宋体" w:hAnsi="宋体"/>
          <w:color w:val="000000"/>
          <w:spacing w:val="40"/>
          <w:sz w:val="52"/>
          <w:szCs w:val="52"/>
        </w:rPr>
        <w:t>项目名称</w:t>
      </w:r>
    </w:p>
    <w:p w14:paraId="29CC32CC">
      <w:pPr>
        <w:spacing w:line="360" w:lineRule="auto"/>
        <w:ind w:right="-108"/>
        <w:jc w:val="center"/>
        <w:rPr>
          <w:rFonts w:ascii="宋体" w:hAnsi="宋体"/>
          <w:color w:val="000000"/>
          <w:szCs w:val="36"/>
        </w:rPr>
      </w:pPr>
      <w:r>
        <w:rPr>
          <w:rFonts w:hint="eastAsia" w:ascii="宋体" w:hAnsi="宋体"/>
          <w:color w:val="000000"/>
          <w:szCs w:val="36"/>
        </w:rPr>
        <w:t>项目编号：</w:t>
      </w:r>
    </w:p>
    <w:p w14:paraId="1AE7F793">
      <w:pPr>
        <w:spacing w:line="360" w:lineRule="auto"/>
        <w:ind w:right="-108"/>
        <w:jc w:val="center"/>
        <w:rPr>
          <w:rFonts w:ascii="宋体" w:hAnsi="宋体"/>
          <w:color w:val="000000"/>
          <w:szCs w:val="36"/>
        </w:rPr>
      </w:pPr>
    </w:p>
    <w:p w14:paraId="3A7F4676">
      <w:pPr>
        <w:pStyle w:val="42"/>
        <w:rPr>
          <w:rFonts w:ascii="宋体" w:hAnsi="宋体"/>
          <w:color w:val="000000"/>
          <w:szCs w:val="36"/>
        </w:rPr>
      </w:pPr>
    </w:p>
    <w:p w14:paraId="59584036">
      <w:pPr>
        <w:pStyle w:val="42"/>
        <w:rPr>
          <w:rFonts w:ascii="宋体" w:hAnsi="宋体"/>
          <w:color w:val="000000"/>
          <w:szCs w:val="36"/>
        </w:rPr>
      </w:pPr>
    </w:p>
    <w:p w14:paraId="4A8D0A63">
      <w:pPr>
        <w:pStyle w:val="42"/>
        <w:rPr>
          <w:rFonts w:ascii="宋体" w:hAnsi="宋体"/>
          <w:color w:val="000000"/>
          <w:szCs w:val="36"/>
        </w:rPr>
      </w:pPr>
    </w:p>
    <w:p w14:paraId="255E1065">
      <w:pPr>
        <w:pStyle w:val="42"/>
        <w:rPr>
          <w:rFonts w:ascii="宋体" w:hAnsi="宋体"/>
          <w:color w:val="000000"/>
          <w:szCs w:val="36"/>
        </w:rPr>
      </w:pPr>
    </w:p>
    <w:p w14:paraId="3214D270">
      <w:pPr>
        <w:spacing w:after="100" w:afterAutospacing="1" w:line="360" w:lineRule="auto"/>
        <w:ind w:right="-108"/>
        <w:jc w:val="center"/>
        <w:rPr>
          <w:rFonts w:ascii="宋体" w:hAnsi="宋体"/>
          <w:b/>
          <w:color w:val="000000"/>
          <w:spacing w:val="40"/>
          <w:sz w:val="72"/>
          <w:szCs w:val="84"/>
        </w:rPr>
      </w:pPr>
      <w:r>
        <w:rPr>
          <w:rFonts w:hint="eastAsia" w:ascii="宋体" w:hAnsi="宋体"/>
          <w:b/>
          <w:color w:val="000000"/>
          <w:spacing w:val="40"/>
          <w:sz w:val="72"/>
          <w:szCs w:val="84"/>
        </w:rPr>
        <w:t>报</w:t>
      </w:r>
    </w:p>
    <w:p w14:paraId="00E93A9E">
      <w:pPr>
        <w:spacing w:after="100" w:afterAutospacing="1" w:line="360" w:lineRule="auto"/>
        <w:ind w:right="-108"/>
        <w:jc w:val="center"/>
        <w:rPr>
          <w:rFonts w:ascii="宋体" w:hAnsi="宋体"/>
          <w:b/>
          <w:color w:val="000000"/>
          <w:spacing w:val="40"/>
          <w:sz w:val="72"/>
          <w:szCs w:val="84"/>
        </w:rPr>
      </w:pPr>
      <w:r>
        <w:rPr>
          <w:rFonts w:hint="eastAsia" w:ascii="宋体" w:hAnsi="宋体"/>
          <w:b/>
          <w:color w:val="000000"/>
          <w:spacing w:val="40"/>
          <w:sz w:val="72"/>
          <w:szCs w:val="84"/>
        </w:rPr>
        <w:t>价</w:t>
      </w:r>
    </w:p>
    <w:p w14:paraId="22057E80">
      <w:pPr>
        <w:spacing w:after="100" w:afterAutospacing="1" w:line="360" w:lineRule="auto"/>
        <w:ind w:right="-108"/>
        <w:jc w:val="center"/>
        <w:rPr>
          <w:rFonts w:ascii="宋体" w:hAnsi="宋体"/>
          <w:b/>
          <w:color w:val="000000"/>
          <w:spacing w:val="40"/>
          <w:sz w:val="72"/>
          <w:szCs w:val="84"/>
        </w:rPr>
      </w:pPr>
      <w:r>
        <w:rPr>
          <w:rFonts w:hint="eastAsia" w:ascii="宋体" w:hAnsi="宋体"/>
          <w:b/>
          <w:color w:val="000000"/>
          <w:spacing w:val="40"/>
          <w:sz w:val="72"/>
          <w:szCs w:val="84"/>
        </w:rPr>
        <w:t>文</w:t>
      </w:r>
    </w:p>
    <w:p w14:paraId="724079FD">
      <w:pPr>
        <w:spacing w:after="100" w:afterAutospacing="1" w:line="360" w:lineRule="auto"/>
        <w:ind w:right="-108"/>
        <w:jc w:val="center"/>
        <w:rPr>
          <w:rFonts w:ascii="宋体" w:hAnsi="宋体"/>
          <w:b/>
          <w:color w:val="000000"/>
          <w:spacing w:val="40"/>
          <w:sz w:val="72"/>
          <w:szCs w:val="84"/>
        </w:rPr>
      </w:pPr>
      <w:r>
        <w:rPr>
          <w:rFonts w:hint="eastAsia" w:ascii="宋体" w:hAnsi="宋体"/>
          <w:b/>
          <w:color w:val="000000"/>
          <w:spacing w:val="40"/>
          <w:sz w:val="72"/>
          <w:szCs w:val="84"/>
        </w:rPr>
        <w:t>件</w:t>
      </w:r>
    </w:p>
    <w:p w14:paraId="4D02D404">
      <w:pPr>
        <w:spacing w:line="360" w:lineRule="auto"/>
        <w:ind w:right="532"/>
        <w:rPr>
          <w:rFonts w:ascii="宋体" w:hAnsi="宋体"/>
          <w:color w:val="000000"/>
          <w:szCs w:val="36"/>
        </w:rPr>
      </w:pPr>
    </w:p>
    <w:p w14:paraId="424B490B">
      <w:pPr>
        <w:spacing w:line="360" w:lineRule="auto"/>
        <w:ind w:right="532"/>
        <w:jc w:val="center"/>
        <w:rPr>
          <w:rFonts w:ascii="宋体" w:hAnsi="宋体"/>
          <w:color w:val="000000"/>
          <w:szCs w:val="36"/>
        </w:rPr>
      </w:pPr>
    </w:p>
    <w:p w14:paraId="7B35D03A">
      <w:pPr>
        <w:pStyle w:val="42"/>
        <w:rPr>
          <w:rFonts w:ascii="宋体" w:hAnsi="宋体"/>
          <w:color w:val="000000"/>
          <w:szCs w:val="36"/>
        </w:rPr>
      </w:pPr>
    </w:p>
    <w:p w14:paraId="7EAD552E">
      <w:pPr>
        <w:pStyle w:val="42"/>
        <w:rPr>
          <w:rFonts w:ascii="宋体" w:hAnsi="宋体"/>
          <w:color w:val="000000"/>
          <w:szCs w:val="36"/>
        </w:rPr>
      </w:pPr>
    </w:p>
    <w:p w14:paraId="7D91ED85">
      <w:pPr>
        <w:pStyle w:val="42"/>
        <w:rPr>
          <w:rFonts w:ascii="宋体" w:hAnsi="宋体"/>
          <w:color w:val="000000"/>
          <w:szCs w:val="36"/>
        </w:rPr>
      </w:pPr>
    </w:p>
    <w:p w14:paraId="3D2F73FE">
      <w:pPr>
        <w:pStyle w:val="42"/>
        <w:rPr>
          <w:rFonts w:ascii="宋体" w:hAnsi="宋体"/>
          <w:color w:val="000000"/>
          <w:szCs w:val="36"/>
        </w:rPr>
      </w:pPr>
    </w:p>
    <w:p w14:paraId="2AFC8C1E">
      <w:pPr>
        <w:spacing w:line="360" w:lineRule="auto"/>
        <w:ind w:right="532" w:firstLine="720"/>
        <w:rPr>
          <w:rFonts w:ascii="宋体" w:hAnsi="宋体"/>
          <w:color w:val="000000"/>
          <w:sz w:val="36"/>
          <w:szCs w:val="56"/>
        </w:rPr>
      </w:pPr>
      <w:r>
        <w:rPr>
          <w:rFonts w:hint="eastAsia" w:ascii="宋体" w:hAnsi="宋体"/>
          <w:color w:val="000000"/>
          <w:sz w:val="36"/>
          <w:szCs w:val="56"/>
        </w:rPr>
        <w:t>供应商全称（公章）：</w:t>
      </w:r>
    </w:p>
    <w:p w14:paraId="4A82BD62">
      <w:pPr>
        <w:spacing w:line="360" w:lineRule="auto"/>
        <w:ind w:right="-108" w:firstLine="720"/>
        <w:rPr>
          <w:rFonts w:ascii="宋体" w:hAnsi="宋体"/>
          <w:color w:val="000000"/>
          <w:sz w:val="36"/>
          <w:szCs w:val="56"/>
        </w:rPr>
      </w:pPr>
      <w:r>
        <w:rPr>
          <w:rFonts w:hint="eastAsia" w:ascii="宋体" w:hAnsi="宋体"/>
          <w:color w:val="000000"/>
          <w:sz w:val="36"/>
          <w:szCs w:val="56"/>
        </w:rPr>
        <w:t>地    址：</w:t>
      </w:r>
    </w:p>
    <w:p w14:paraId="608B6D27">
      <w:pPr>
        <w:spacing w:line="360" w:lineRule="auto"/>
        <w:ind w:right="-108" w:firstLine="720"/>
        <w:rPr>
          <w:rFonts w:ascii="宋体" w:hAnsi="宋体"/>
          <w:color w:val="000000"/>
          <w:sz w:val="36"/>
          <w:szCs w:val="56"/>
        </w:rPr>
      </w:pPr>
      <w:r>
        <w:rPr>
          <w:rFonts w:hint="eastAsia" w:ascii="宋体" w:hAnsi="宋体"/>
          <w:color w:val="000000"/>
          <w:sz w:val="36"/>
          <w:szCs w:val="56"/>
        </w:rPr>
        <w:t>时    间：</w:t>
      </w:r>
    </w:p>
    <w:p w14:paraId="14E9A0B6">
      <w:pPr>
        <w:spacing w:line="360" w:lineRule="auto"/>
        <w:ind w:right="25"/>
        <w:jc w:val="center"/>
        <w:rPr>
          <w:rFonts w:hint="eastAsia" w:ascii="宋体" w:hAnsi="宋体"/>
          <w:b/>
          <w:sz w:val="28"/>
          <w:szCs w:val="28"/>
        </w:rPr>
      </w:pPr>
      <w:r>
        <w:rPr>
          <w:rFonts w:hint="eastAsia" w:ascii="宋体" w:hAnsi="宋体"/>
          <w:b/>
          <w:sz w:val="36"/>
          <w:szCs w:val="36"/>
          <w:lang w:eastAsia="zh-CN"/>
        </w:rPr>
        <w:t>2025年度特定绿证采购项目</w:t>
      </w:r>
    </w:p>
    <w:p w14:paraId="74909373">
      <w:pPr>
        <w:spacing w:line="360" w:lineRule="auto"/>
        <w:ind w:right="25"/>
        <w:jc w:val="center"/>
        <w:rPr>
          <w:rFonts w:ascii="宋体" w:hAnsi="宋体"/>
          <w:b/>
          <w:sz w:val="28"/>
          <w:szCs w:val="28"/>
        </w:rPr>
      </w:pPr>
      <w:r>
        <w:rPr>
          <w:rFonts w:hint="eastAsia" w:ascii="宋体" w:hAnsi="宋体"/>
          <w:b/>
          <w:sz w:val="28"/>
          <w:szCs w:val="28"/>
        </w:rPr>
        <w:t>开标一览表</w:t>
      </w:r>
    </w:p>
    <w:p w14:paraId="3C7D6B15">
      <w:pPr>
        <w:spacing w:line="360" w:lineRule="auto"/>
        <w:ind w:right="25"/>
        <w:rPr>
          <w:rFonts w:ascii="宋体" w:hAnsi="宋体"/>
          <w:sz w:val="28"/>
          <w:szCs w:val="28"/>
        </w:rPr>
      </w:pPr>
    </w:p>
    <w:tbl>
      <w:tblPr>
        <w:tblStyle w:val="36"/>
        <w:tblW w:w="9819" w:type="dxa"/>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2"/>
        <w:gridCol w:w="1123"/>
        <w:gridCol w:w="1527"/>
        <w:gridCol w:w="2223"/>
        <w:gridCol w:w="2754"/>
      </w:tblGrid>
      <w:tr w14:paraId="5976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2192" w:type="dxa"/>
            <w:vAlign w:val="center"/>
          </w:tcPr>
          <w:p w14:paraId="58D4C15A">
            <w:pPr>
              <w:ind w:right="25"/>
              <w:jc w:val="center"/>
              <w:rPr>
                <w:rFonts w:ascii="宋体" w:hAnsi="宋体"/>
                <w:sz w:val="28"/>
                <w:szCs w:val="28"/>
              </w:rPr>
            </w:pPr>
            <w:r>
              <w:rPr>
                <w:rFonts w:hint="eastAsia" w:ascii="宋体" w:hAnsi="宋体"/>
                <w:sz w:val="28"/>
                <w:szCs w:val="28"/>
              </w:rPr>
              <w:t>项目名称</w:t>
            </w:r>
          </w:p>
        </w:tc>
        <w:tc>
          <w:tcPr>
            <w:tcW w:w="1123" w:type="dxa"/>
            <w:vAlign w:val="center"/>
          </w:tcPr>
          <w:p w14:paraId="3A2C1279">
            <w:pPr>
              <w:ind w:right="25"/>
              <w:jc w:val="center"/>
              <w:rPr>
                <w:rFonts w:ascii="宋体" w:hAnsi="宋体"/>
                <w:sz w:val="28"/>
                <w:szCs w:val="28"/>
              </w:rPr>
            </w:pPr>
            <w:r>
              <w:rPr>
                <w:rFonts w:hint="eastAsia" w:ascii="宋体" w:hAnsi="宋体"/>
                <w:sz w:val="28"/>
                <w:szCs w:val="28"/>
              </w:rPr>
              <w:t>单位</w:t>
            </w:r>
          </w:p>
        </w:tc>
        <w:tc>
          <w:tcPr>
            <w:tcW w:w="1527" w:type="dxa"/>
            <w:vAlign w:val="center"/>
          </w:tcPr>
          <w:p w14:paraId="27B4077E">
            <w:pPr>
              <w:ind w:right="25"/>
              <w:jc w:val="center"/>
              <w:rPr>
                <w:rFonts w:ascii="宋体" w:hAnsi="宋体"/>
                <w:sz w:val="28"/>
                <w:szCs w:val="28"/>
              </w:rPr>
            </w:pPr>
            <w:r>
              <w:rPr>
                <w:rFonts w:hint="eastAsia" w:ascii="宋体" w:hAnsi="宋体"/>
                <w:sz w:val="28"/>
                <w:szCs w:val="28"/>
              </w:rPr>
              <w:t>数量</w:t>
            </w:r>
          </w:p>
        </w:tc>
        <w:tc>
          <w:tcPr>
            <w:tcW w:w="2223" w:type="dxa"/>
            <w:vAlign w:val="center"/>
          </w:tcPr>
          <w:p w14:paraId="49101495">
            <w:pPr>
              <w:ind w:right="25"/>
              <w:jc w:val="center"/>
              <w:rPr>
                <w:rFonts w:ascii="宋体" w:hAnsi="宋体"/>
                <w:sz w:val="28"/>
                <w:szCs w:val="28"/>
              </w:rPr>
            </w:pPr>
            <w:r>
              <w:rPr>
                <w:rFonts w:hint="eastAsia" w:ascii="宋体" w:hAnsi="宋体"/>
                <w:sz w:val="28"/>
                <w:szCs w:val="28"/>
              </w:rPr>
              <w:t>总报价（元）</w:t>
            </w:r>
          </w:p>
        </w:tc>
        <w:tc>
          <w:tcPr>
            <w:tcW w:w="2754" w:type="dxa"/>
            <w:vAlign w:val="center"/>
          </w:tcPr>
          <w:p w14:paraId="36E78E30">
            <w:pPr>
              <w:ind w:right="25"/>
              <w:jc w:val="center"/>
              <w:rPr>
                <w:rFonts w:ascii="宋体" w:hAnsi="宋体"/>
                <w:sz w:val="28"/>
                <w:szCs w:val="28"/>
              </w:rPr>
            </w:pPr>
            <w:r>
              <w:rPr>
                <w:rFonts w:hint="eastAsia" w:ascii="宋体" w:hAnsi="宋体"/>
                <w:sz w:val="28"/>
                <w:szCs w:val="28"/>
              </w:rPr>
              <w:t>服务期</w:t>
            </w:r>
          </w:p>
        </w:tc>
      </w:tr>
      <w:tr w14:paraId="1B7F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2192" w:type="dxa"/>
            <w:vAlign w:val="center"/>
          </w:tcPr>
          <w:p w14:paraId="3E6D8602">
            <w:pPr>
              <w:widowControl/>
              <w:spacing w:line="360" w:lineRule="auto"/>
              <w:jc w:val="center"/>
              <w:rPr>
                <w:rFonts w:ascii="宋体" w:hAnsi="宋体"/>
                <w:sz w:val="28"/>
                <w:szCs w:val="28"/>
              </w:rPr>
            </w:pPr>
            <w:r>
              <w:rPr>
                <w:rFonts w:hint="eastAsia" w:ascii="宋体" w:hAnsi="宋体"/>
                <w:sz w:val="28"/>
                <w:szCs w:val="28"/>
                <w:lang w:eastAsia="zh-CN"/>
              </w:rPr>
              <w:t>2025年度特定绿证采购项目</w:t>
            </w:r>
          </w:p>
        </w:tc>
        <w:tc>
          <w:tcPr>
            <w:tcW w:w="1123" w:type="dxa"/>
            <w:vAlign w:val="center"/>
          </w:tcPr>
          <w:p w14:paraId="469487A2">
            <w:pPr>
              <w:widowControl/>
              <w:spacing w:line="360" w:lineRule="auto"/>
              <w:jc w:val="center"/>
              <w:rPr>
                <w:rFonts w:ascii="宋体" w:hAnsi="宋体"/>
                <w:sz w:val="28"/>
                <w:szCs w:val="28"/>
              </w:rPr>
            </w:pPr>
            <w:r>
              <w:rPr>
                <w:rFonts w:hint="eastAsia" w:ascii="宋体" w:hAnsi="宋体" w:cs="宋体"/>
                <w:sz w:val="22"/>
              </w:rPr>
              <w:t xml:space="preserve"> </w:t>
            </w:r>
          </w:p>
        </w:tc>
        <w:tc>
          <w:tcPr>
            <w:tcW w:w="1527" w:type="dxa"/>
            <w:vAlign w:val="center"/>
          </w:tcPr>
          <w:p w14:paraId="0E5D1DB3">
            <w:pPr>
              <w:widowControl/>
              <w:spacing w:line="360" w:lineRule="auto"/>
              <w:jc w:val="center"/>
              <w:rPr>
                <w:rFonts w:ascii="宋体" w:hAnsi="宋体"/>
                <w:sz w:val="28"/>
                <w:szCs w:val="28"/>
              </w:rPr>
            </w:pPr>
            <w:r>
              <w:rPr>
                <w:rFonts w:hint="eastAsia" w:ascii="宋体" w:hAnsi="宋体"/>
                <w:sz w:val="28"/>
                <w:szCs w:val="28"/>
              </w:rPr>
              <w:t xml:space="preserve"> </w:t>
            </w:r>
          </w:p>
        </w:tc>
        <w:tc>
          <w:tcPr>
            <w:tcW w:w="2223" w:type="dxa"/>
            <w:vAlign w:val="center"/>
          </w:tcPr>
          <w:p w14:paraId="087FB8C6">
            <w:pPr>
              <w:widowControl/>
              <w:spacing w:line="360" w:lineRule="auto"/>
              <w:jc w:val="center"/>
              <w:rPr>
                <w:rFonts w:ascii="宋体" w:hAnsi="宋体"/>
                <w:sz w:val="28"/>
                <w:szCs w:val="28"/>
              </w:rPr>
            </w:pPr>
            <w:r>
              <w:rPr>
                <w:rFonts w:hint="eastAsia" w:ascii="宋体" w:hAnsi="宋体" w:cs="宋体"/>
                <w:b/>
                <w:bCs/>
                <w:sz w:val="22"/>
              </w:rPr>
              <w:t xml:space="preserve"> </w:t>
            </w:r>
          </w:p>
        </w:tc>
        <w:tc>
          <w:tcPr>
            <w:tcW w:w="2754" w:type="dxa"/>
            <w:vAlign w:val="center"/>
          </w:tcPr>
          <w:p w14:paraId="115D318E">
            <w:pPr>
              <w:widowControl/>
              <w:spacing w:line="360" w:lineRule="auto"/>
              <w:jc w:val="center"/>
              <w:rPr>
                <w:rFonts w:ascii="宋体" w:hAnsi="宋体" w:cs="宋体"/>
                <w:b/>
                <w:bCs/>
                <w:sz w:val="22"/>
              </w:rPr>
            </w:pPr>
          </w:p>
        </w:tc>
      </w:tr>
      <w:tr w14:paraId="56212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2192" w:type="dxa"/>
            <w:vMerge w:val="restart"/>
            <w:vAlign w:val="center"/>
          </w:tcPr>
          <w:p w14:paraId="455DCDA4">
            <w:pPr>
              <w:ind w:right="25"/>
              <w:jc w:val="center"/>
              <w:rPr>
                <w:rFonts w:ascii="宋体" w:hAnsi="宋体"/>
                <w:b/>
                <w:sz w:val="28"/>
                <w:szCs w:val="28"/>
              </w:rPr>
            </w:pPr>
            <w:r>
              <w:rPr>
                <w:rFonts w:hint="eastAsia" w:ascii="宋体" w:hAnsi="宋体"/>
                <w:b/>
                <w:sz w:val="28"/>
                <w:szCs w:val="28"/>
              </w:rPr>
              <w:t>合计报价总价</w:t>
            </w:r>
          </w:p>
          <w:p w14:paraId="7585464F">
            <w:pPr>
              <w:ind w:right="25" w:firstLine="280"/>
              <w:rPr>
                <w:rFonts w:ascii="宋体" w:hAnsi="宋体"/>
                <w:sz w:val="28"/>
                <w:szCs w:val="28"/>
              </w:rPr>
            </w:pPr>
            <w:r>
              <w:rPr>
                <w:rFonts w:hint="eastAsia" w:ascii="宋体" w:hAnsi="宋体"/>
                <w:b/>
                <w:sz w:val="28"/>
                <w:szCs w:val="28"/>
              </w:rPr>
              <w:t>(人民币元)</w:t>
            </w:r>
          </w:p>
        </w:tc>
        <w:tc>
          <w:tcPr>
            <w:tcW w:w="1123" w:type="dxa"/>
            <w:vAlign w:val="center"/>
          </w:tcPr>
          <w:p w14:paraId="7D4A29AA">
            <w:pPr>
              <w:ind w:right="25"/>
              <w:rPr>
                <w:rFonts w:ascii="宋体" w:hAnsi="宋体"/>
                <w:sz w:val="28"/>
                <w:szCs w:val="28"/>
              </w:rPr>
            </w:pPr>
            <w:r>
              <w:rPr>
                <w:rFonts w:hint="eastAsia" w:ascii="宋体" w:hAnsi="宋体"/>
                <w:sz w:val="28"/>
                <w:szCs w:val="28"/>
              </w:rPr>
              <w:t>大写</w:t>
            </w:r>
          </w:p>
        </w:tc>
        <w:tc>
          <w:tcPr>
            <w:tcW w:w="6504" w:type="dxa"/>
            <w:gridSpan w:val="3"/>
            <w:vAlign w:val="center"/>
          </w:tcPr>
          <w:p w14:paraId="25B0C0BD">
            <w:pPr>
              <w:ind w:right="25"/>
              <w:rPr>
                <w:rFonts w:ascii="宋体" w:hAnsi="宋体"/>
                <w:sz w:val="28"/>
                <w:szCs w:val="28"/>
              </w:rPr>
            </w:pPr>
          </w:p>
        </w:tc>
      </w:tr>
      <w:tr w14:paraId="16609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192" w:type="dxa"/>
            <w:vMerge w:val="continue"/>
            <w:vAlign w:val="center"/>
          </w:tcPr>
          <w:p w14:paraId="284F0899">
            <w:pPr>
              <w:ind w:right="25"/>
              <w:jc w:val="center"/>
              <w:rPr>
                <w:rFonts w:ascii="宋体" w:hAnsi="宋体"/>
                <w:b/>
                <w:sz w:val="28"/>
                <w:szCs w:val="28"/>
              </w:rPr>
            </w:pPr>
          </w:p>
        </w:tc>
        <w:tc>
          <w:tcPr>
            <w:tcW w:w="1123" w:type="dxa"/>
            <w:vAlign w:val="center"/>
          </w:tcPr>
          <w:p w14:paraId="259D7D0B">
            <w:pPr>
              <w:ind w:right="25"/>
              <w:rPr>
                <w:rFonts w:ascii="宋体" w:hAnsi="宋体"/>
                <w:sz w:val="28"/>
                <w:szCs w:val="28"/>
              </w:rPr>
            </w:pPr>
            <w:r>
              <w:rPr>
                <w:rFonts w:hint="eastAsia" w:ascii="宋体" w:hAnsi="宋体"/>
                <w:sz w:val="28"/>
                <w:szCs w:val="28"/>
              </w:rPr>
              <w:t>小写</w:t>
            </w:r>
          </w:p>
        </w:tc>
        <w:tc>
          <w:tcPr>
            <w:tcW w:w="6504" w:type="dxa"/>
            <w:gridSpan w:val="3"/>
            <w:vAlign w:val="center"/>
          </w:tcPr>
          <w:p w14:paraId="654E66D3">
            <w:pPr>
              <w:ind w:right="25"/>
              <w:rPr>
                <w:rFonts w:ascii="宋体" w:hAnsi="宋体"/>
                <w:sz w:val="28"/>
                <w:szCs w:val="28"/>
              </w:rPr>
            </w:pPr>
          </w:p>
        </w:tc>
      </w:tr>
      <w:tr w14:paraId="56BE7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trPr>
        <w:tc>
          <w:tcPr>
            <w:tcW w:w="9819" w:type="dxa"/>
            <w:gridSpan w:val="5"/>
            <w:vAlign w:val="center"/>
          </w:tcPr>
          <w:p w14:paraId="7A6C354B">
            <w:pPr>
              <w:spacing w:line="360" w:lineRule="auto"/>
              <w:ind w:right="25" w:firstLine="315"/>
            </w:pPr>
            <w:r>
              <w:rPr>
                <w:rFonts w:hint="eastAsia"/>
              </w:rPr>
              <w:t>备注：</w:t>
            </w:r>
          </w:p>
          <w:p w14:paraId="7DC89EB9">
            <w:pPr>
              <w:spacing w:line="360" w:lineRule="auto"/>
              <w:ind w:right="25" w:firstLine="315"/>
            </w:pPr>
            <w:r>
              <w:rPr>
                <w:rFonts w:hint="eastAsia"/>
              </w:rPr>
              <w:t>1、报价一经涂改，应在涂改处加盖单位公章或者由法定代表人或授权委托人签字或盖章，否则其投标作无效标处理；</w:t>
            </w:r>
          </w:p>
          <w:p w14:paraId="42D6AB6C">
            <w:pPr>
              <w:spacing w:line="360" w:lineRule="auto"/>
              <w:ind w:right="25" w:firstLine="315"/>
            </w:pPr>
            <w:r>
              <w:rPr>
                <w:rFonts w:hint="eastAsia"/>
              </w:rPr>
              <w:t>2、项目费用其应为项目实施所需的设计费、工程费、工时费、服务费、购买及标书制作费、质量保修、利润、税金、政策性文件规定及合同包含的所有风险、责任等各项应有费用及不可预见费等全部费用；</w:t>
            </w:r>
          </w:p>
          <w:p w14:paraId="37241106">
            <w:pPr>
              <w:pStyle w:val="254"/>
              <w:rPr>
                <w:lang w:val="en-US"/>
              </w:rPr>
            </w:pPr>
            <w:r>
              <w:rPr>
                <w:rFonts w:hint="eastAsia" w:cs="Times New Roman"/>
                <w:color w:val="000000"/>
                <w:lang w:val="en-US"/>
              </w:rPr>
              <w:t xml:space="preserve">  </w:t>
            </w:r>
            <w:r>
              <w:rPr>
                <w:rFonts w:hint="eastAsia" w:ascii="Times New Roman" w:hAnsi="Times New Roman" w:cs="Times New Roman"/>
                <w:sz w:val="21"/>
                <w:lang w:val="en-US"/>
              </w:rPr>
              <w:t>3</w:t>
            </w:r>
            <w:r>
              <w:rPr>
                <w:rFonts w:hint="eastAsia" w:ascii="Times New Roman" w:hAnsi="Times New Roman" w:cs="Times New Roman"/>
                <w:b/>
                <w:bCs/>
                <w:sz w:val="21"/>
                <w:lang w:val="en-US"/>
              </w:rPr>
              <w:t>、报价总价应等于设计文本中预算编制的总价，报价不一致的作无效标处理。</w:t>
            </w:r>
          </w:p>
        </w:tc>
      </w:tr>
    </w:tbl>
    <w:p w14:paraId="4A8D6910">
      <w:pPr>
        <w:spacing w:line="360" w:lineRule="auto"/>
        <w:ind w:right="25" w:firstLine="360"/>
        <w:rPr>
          <w:rFonts w:ascii="宋体" w:hAnsi="宋体"/>
          <w:color w:val="000000"/>
          <w:sz w:val="24"/>
        </w:rPr>
      </w:pPr>
    </w:p>
    <w:p w14:paraId="3E92A6F6">
      <w:pPr>
        <w:spacing w:line="360" w:lineRule="auto"/>
        <w:ind w:right="25" w:firstLine="360"/>
        <w:rPr>
          <w:rFonts w:ascii="宋体" w:hAnsi="宋体"/>
          <w:color w:val="000000"/>
          <w:sz w:val="24"/>
        </w:rPr>
      </w:pPr>
    </w:p>
    <w:p w14:paraId="0804DCB3">
      <w:pPr>
        <w:spacing w:line="360" w:lineRule="auto"/>
        <w:ind w:right="25" w:firstLine="360"/>
        <w:rPr>
          <w:rFonts w:ascii="宋体" w:hAnsi="宋体"/>
          <w:color w:val="000000"/>
          <w:sz w:val="24"/>
        </w:rPr>
      </w:pPr>
      <w:r>
        <w:rPr>
          <w:rFonts w:hint="eastAsia" w:ascii="宋体" w:hAnsi="宋体"/>
          <w:color w:val="000000"/>
          <w:sz w:val="24"/>
        </w:rPr>
        <w:t>投标供应商单位全称（公章）：</w:t>
      </w:r>
    </w:p>
    <w:p w14:paraId="374340E3">
      <w:pPr>
        <w:spacing w:line="360" w:lineRule="auto"/>
        <w:ind w:right="25" w:firstLine="360"/>
        <w:rPr>
          <w:rFonts w:ascii="宋体" w:hAnsi="宋体"/>
          <w:color w:val="000000"/>
          <w:sz w:val="24"/>
        </w:rPr>
      </w:pPr>
    </w:p>
    <w:p w14:paraId="667539D9">
      <w:pPr>
        <w:spacing w:line="360" w:lineRule="auto"/>
        <w:ind w:right="25" w:firstLine="360"/>
        <w:rPr>
          <w:rFonts w:ascii="宋体" w:hAnsi="宋体"/>
          <w:color w:val="000000"/>
          <w:sz w:val="24"/>
        </w:rPr>
      </w:pPr>
      <w:r>
        <w:rPr>
          <w:rFonts w:hint="eastAsia" w:ascii="宋体" w:hAnsi="宋体"/>
          <w:color w:val="000000"/>
          <w:sz w:val="24"/>
        </w:rPr>
        <w:t>法定代表人（签字或盖章）：</w:t>
      </w:r>
    </w:p>
    <w:p w14:paraId="59FB2E78">
      <w:pPr>
        <w:spacing w:line="360" w:lineRule="auto"/>
        <w:ind w:right="25" w:firstLine="360"/>
        <w:rPr>
          <w:rFonts w:ascii="宋体" w:hAnsi="宋体"/>
          <w:color w:val="000000"/>
          <w:sz w:val="24"/>
        </w:rPr>
      </w:pPr>
    </w:p>
    <w:p w14:paraId="4A40F13C">
      <w:pPr>
        <w:spacing w:line="360" w:lineRule="auto"/>
        <w:ind w:right="25" w:firstLine="360"/>
        <w:rPr>
          <w:rFonts w:ascii="宋体" w:hAnsi="宋体"/>
          <w:color w:val="000000"/>
          <w:sz w:val="24"/>
        </w:rPr>
      </w:pPr>
      <w:r>
        <w:rPr>
          <w:rFonts w:hint="eastAsia" w:ascii="宋体" w:hAnsi="宋体"/>
          <w:color w:val="000000"/>
          <w:sz w:val="24"/>
        </w:rPr>
        <w:t>日     期：</w:t>
      </w:r>
    </w:p>
    <w:p w14:paraId="760315FB">
      <w:pPr>
        <w:spacing w:line="460" w:lineRule="exact"/>
        <w:ind w:firstLine="420"/>
        <w:rPr>
          <w:szCs w:val="21"/>
        </w:rPr>
      </w:pPr>
    </w:p>
    <w:p w14:paraId="50F371D0">
      <w:pPr>
        <w:spacing w:line="360" w:lineRule="auto"/>
        <w:ind w:right="-110"/>
        <w:jc w:val="center"/>
        <w:rPr>
          <w:rFonts w:hint="eastAsia" w:ascii="Times New Roman" w:hAnsi="Times New Roman" w:eastAsia="宋体" w:cs="Times New Roman"/>
          <w:b/>
          <w:bCs/>
          <w:sz w:val="44"/>
          <w:szCs w:val="44"/>
          <w:u w:val="none"/>
          <w:lang w:val="en-US" w:eastAsia="zh-CN" w:bidi="ar-SA"/>
        </w:rPr>
      </w:pPr>
    </w:p>
    <w:p w14:paraId="48422690">
      <w:pPr>
        <w:spacing w:line="360" w:lineRule="auto"/>
        <w:ind w:right="25" w:firstLine="360"/>
        <w:rPr>
          <w:rFonts w:ascii="宋体" w:hAnsi="宋体"/>
          <w:color w:val="000000"/>
          <w:sz w:val="24"/>
        </w:rPr>
      </w:pPr>
    </w:p>
    <w:sectPr>
      <w:footerReference r:id="rId3" w:type="default"/>
      <w:pgSz w:w="11906" w:h="16838" w:orient="landscape"/>
      <w:pgMar w:top="1077" w:right="907" w:bottom="1021" w:left="1191"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1CEF">
    <w:pPr>
      <w:pStyle w:val="231"/>
      <w:jc w:val="center"/>
    </w:pPr>
    <w:r>
      <w:fldChar w:fldCharType="begin"/>
    </w:r>
    <w:r>
      <w:instrText xml:space="preserve"> PAGE   \* MERGEFORMAT </w:instrText>
    </w:r>
    <w:r>
      <w:fldChar w:fldCharType="separate"/>
    </w:r>
    <w:r>
      <w:rPr>
        <w:lang w:val="zh-CN"/>
      </w:rPr>
      <w:t>14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BF67"/>
    <w:multiLevelType w:val="multilevel"/>
    <w:tmpl w:val="8D3EBF67"/>
    <w:lvl w:ilvl="0" w:tentative="0">
      <w:start w:val="1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9E868DE3"/>
    <w:multiLevelType w:val="multilevel"/>
    <w:tmpl w:val="9E868DE3"/>
    <w:lvl w:ilvl="0" w:tentative="0">
      <w:start w:val="1"/>
      <w:numFmt w:val="decimal"/>
      <w:pStyle w:val="223"/>
      <w:suff w:val="space"/>
      <w:lvlText w:val="%1."/>
      <w:lvlJc w:val="left"/>
      <w:pPr>
        <w:tabs>
          <w:tab w:val="left" w:pos="1200"/>
        </w:tabs>
        <w:ind w:left="120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A5383725"/>
    <w:multiLevelType w:val="multilevel"/>
    <w:tmpl w:val="A5383725"/>
    <w:lvl w:ilvl="0" w:tentative="0">
      <w:start w:val="1"/>
      <w:numFmt w:val="decimal"/>
      <w:pStyle w:val="212"/>
      <w:suff w:val="space"/>
      <w:lvlText w:val="%1."/>
      <w:lvlJc w:val="left"/>
      <w:pPr>
        <w:tabs>
          <w:tab w:val="left" w:pos="780"/>
        </w:tabs>
        <w:ind w:left="78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pStyle w:val="265"/>
      <w:suff w:val="space"/>
      <w:lvlText w:val="·"/>
      <w:lvlJc w:val="left"/>
      <w:pPr>
        <w:ind w:left="2880" w:hanging="360"/>
      </w:pPr>
      <w:rPr>
        <w:rFonts w:hint="default" w:ascii="Symbol" w:hAnsi="Symbol" w:eastAsia="Symbol" w:cs="Symbol"/>
      </w:rPr>
    </w:lvl>
    <w:lvl w:ilvl="4" w:tentative="0">
      <w:start w:val="1"/>
      <w:numFmt w:val="bullet"/>
      <w:pStyle w:val="195"/>
      <w:suff w:val="space"/>
      <w:lvlText w:val="o"/>
      <w:lvlJc w:val="left"/>
      <w:pPr>
        <w:ind w:left="3600" w:hanging="360"/>
      </w:pPr>
      <w:rPr>
        <w:rFonts w:hint="default" w:ascii="Courier New" w:hAnsi="Courier New" w:eastAsia="Courier New" w:cs="Courier New"/>
      </w:rPr>
    </w:lvl>
    <w:lvl w:ilvl="5" w:tentative="0">
      <w:start w:val="1"/>
      <w:numFmt w:val="bullet"/>
      <w:pStyle w:val="196"/>
      <w:suff w:val="space"/>
      <w:lvlText w:val="§"/>
      <w:lvlJc w:val="left"/>
      <w:pPr>
        <w:ind w:left="4320" w:hanging="360"/>
      </w:pPr>
      <w:rPr>
        <w:rFonts w:hint="default" w:ascii="Wingdings" w:hAnsi="Wingdings" w:eastAsia="Wingdings" w:cs="Wingdings"/>
      </w:rPr>
    </w:lvl>
    <w:lvl w:ilvl="6" w:tentative="0">
      <w:start w:val="1"/>
      <w:numFmt w:val="bullet"/>
      <w:pStyle w:val="197"/>
      <w:suff w:val="space"/>
      <w:lvlText w:val="·"/>
      <w:lvlJc w:val="left"/>
      <w:pPr>
        <w:ind w:left="5040" w:hanging="360"/>
      </w:pPr>
      <w:rPr>
        <w:rFonts w:hint="default" w:ascii="Symbol" w:hAnsi="Symbol" w:eastAsia="Symbol" w:cs="Symbol"/>
      </w:rPr>
    </w:lvl>
    <w:lvl w:ilvl="7" w:tentative="0">
      <w:start w:val="1"/>
      <w:numFmt w:val="bullet"/>
      <w:pStyle w:val="198"/>
      <w:suff w:val="space"/>
      <w:lvlText w:val="o"/>
      <w:lvlJc w:val="left"/>
      <w:pPr>
        <w:ind w:left="5760" w:hanging="360"/>
      </w:pPr>
      <w:rPr>
        <w:rFonts w:hint="default" w:ascii="Courier New" w:hAnsi="Courier New" w:eastAsia="Courier New" w:cs="Courier New"/>
      </w:rPr>
    </w:lvl>
    <w:lvl w:ilvl="8" w:tentative="0">
      <w:start w:val="1"/>
      <w:numFmt w:val="bullet"/>
      <w:pStyle w:val="199"/>
      <w:suff w:val="space"/>
      <w:lvlText w:val="§"/>
      <w:lvlJc w:val="left"/>
      <w:pPr>
        <w:ind w:left="6480" w:hanging="360"/>
      </w:pPr>
      <w:rPr>
        <w:rFonts w:hint="default" w:ascii="Wingdings" w:hAnsi="Wingdings" w:eastAsia="Wingdings" w:cs="Wingdings"/>
      </w:rPr>
    </w:lvl>
  </w:abstractNum>
  <w:abstractNum w:abstractNumId="3">
    <w:nsid w:val="B9F67A8E"/>
    <w:multiLevelType w:val="singleLevel"/>
    <w:tmpl w:val="B9F67A8E"/>
    <w:lvl w:ilvl="0" w:tentative="0">
      <w:start w:val="1"/>
      <w:numFmt w:val="decimal"/>
      <w:suff w:val="space"/>
      <w:lvlText w:val="%1."/>
      <w:lvlJc w:val="left"/>
    </w:lvl>
  </w:abstractNum>
  <w:abstractNum w:abstractNumId="4">
    <w:nsid w:val="C609ADAC"/>
    <w:multiLevelType w:val="multilevel"/>
    <w:tmpl w:val="C609ADAC"/>
    <w:lvl w:ilvl="0" w:tentative="0">
      <w:start w:val="1"/>
      <w:numFmt w:val="decimal"/>
      <w:suff w:val="nothing"/>
      <w:lvlText w:val="%1、"/>
      <w:lvlJc w:val="left"/>
      <w:pPr>
        <w:ind w:left="210" w:firstLine="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CAB3656F"/>
    <w:multiLevelType w:val="singleLevel"/>
    <w:tmpl w:val="CAB3656F"/>
    <w:lvl w:ilvl="0" w:tentative="0">
      <w:start w:val="3"/>
      <w:numFmt w:val="chineseCounting"/>
      <w:suff w:val="nothing"/>
      <w:lvlText w:val="%1、"/>
      <w:lvlJc w:val="left"/>
      <w:rPr>
        <w:rFonts w:hint="eastAsia"/>
      </w:rPr>
    </w:lvl>
  </w:abstractNum>
  <w:abstractNum w:abstractNumId="6">
    <w:nsid w:val="307B5988"/>
    <w:multiLevelType w:val="multilevel"/>
    <w:tmpl w:val="307B5988"/>
    <w:lvl w:ilvl="0" w:tentative="0">
      <w:start w:val="1"/>
      <w:numFmt w:val="japaneseCounting"/>
      <w:suff w:val="space"/>
      <w:lvlText w:val="%1、"/>
      <w:lvlJc w:val="left"/>
      <w:pPr>
        <w:tabs>
          <w:tab w:val="left" w:pos="960"/>
        </w:tabs>
        <w:ind w:left="960" w:hanging="60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31CFB599"/>
    <w:multiLevelType w:val="multilevel"/>
    <w:tmpl w:val="31CFB599"/>
    <w:lvl w:ilvl="0" w:tentative="0">
      <w:start w:val="1"/>
      <w:numFmt w:val="japaneseCounting"/>
      <w:pStyle w:val="287"/>
      <w:suff w:val="space"/>
      <w:lvlText w:val="%1、"/>
      <w:lvlJc w:val="left"/>
      <w:pPr>
        <w:tabs>
          <w:tab w:val="left" w:pos="960"/>
        </w:tabs>
        <w:ind w:left="960" w:hanging="60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514DE712"/>
    <w:multiLevelType w:val="singleLevel"/>
    <w:tmpl w:val="514DE712"/>
    <w:lvl w:ilvl="0" w:tentative="0">
      <w:start w:val="1"/>
      <w:numFmt w:val="decimal"/>
      <w:suff w:val="space"/>
      <w:lvlText w:val="(%1)"/>
      <w:lvlJc w:val="left"/>
    </w:lvl>
  </w:abstractNum>
  <w:abstractNum w:abstractNumId="9">
    <w:nsid w:val="6C8BE89D"/>
    <w:multiLevelType w:val="singleLevel"/>
    <w:tmpl w:val="6C8BE89D"/>
    <w:lvl w:ilvl="0" w:tentative="0">
      <w:start w:val="1"/>
      <w:numFmt w:val="upperLetter"/>
      <w:suff w:val="space"/>
      <w:lvlText w:val="%1."/>
      <w:lvlJc w:val="left"/>
    </w:lvl>
  </w:abstractNum>
  <w:abstractNum w:abstractNumId="10">
    <w:nsid w:val="7460285D"/>
    <w:multiLevelType w:val="multilevel"/>
    <w:tmpl w:val="7460285D"/>
    <w:lvl w:ilvl="0" w:tentative="0">
      <w:start w:val="1"/>
      <w:numFmt w:val="decimal"/>
      <w:pStyle w:val="191"/>
      <w:suff w:val="space"/>
      <w:lvlText w:val="%1"/>
      <w:lvlJc w:val="left"/>
      <w:pPr>
        <w:tabs>
          <w:tab w:val="left" w:pos="432"/>
        </w:tabs>
        <w:ind w:left="432" w:hanging="432"/>
      </w:pPr>
      <w:rPr>
        <w:rFonts w:hint="eastAsia"/>
      </w:rPr>
    </w:lvl>
    <w:lvl w:ilvl="1" w:tentative="0">
      <w:start w:val="1"/>
      <w:numFmt w:val="decimal"/>
      <w:suff w:val="space"/>
      <w:lvlText w:val="%1.%2"/>
      <w:lvlJc w:val="left"/>
      <w:pPr>
        <w:tabs>
          <w:tab w:val="left" w:pos="576"/>
        </w:tabs>
        <w:ind w:left="576" w:hanging="576"/>
      </w:pPr>
      <w:rPr>
        <w:rFonts w:hint="eastAsia"/>
      </w:rPr>
    </w:lvl>
    <w:lvl w:ilvl="2" w:tentative="0">
      <w:start w:val="1"/>
      <w:numFmt w:val="decimal"/>
      <w:suff w:val="space"/>
      <w:lvlText w:val="%1.%2.%3"/>
      <w:lvlJc w:val="left"/>
      <w:pPr>
        <w:tabs>
          <w:tab w:val="left" w:pos="720"/>
        </w:tabs>
        <w:ind w:left="720" w:hanging="720"/>
      </w:pPr>
      <w:rPr>
        <w:rFonts w:hint="eastAsia"/>
      </w:rPr>
    </w:lvl>
    <w:lvl w:ilvl="3" w:tentative="0">
      <w:start w:val="1"/>
      <w:numFmt w:val="decimal"/>
      <w:suff w:val="space"/>
      <w:lvlText w:val="%1.%2.%3.%4"/>
      <w:lvlJc w:val="left"/>
      <w:pPr>
        <w:tabs>
          <w:tab w:val="left" w:pos="864"/>
        </w:tabs>
        <w:ind w:left="864" w:hanging="864"/>
      </w:pPr>
      <w:rPr>
        <w:rFonts w:hint="eastAsia"/>
      </w:rPr>
    </w:lvl>
    <w:lvl w:ilvl="4" w:tentative="0">
      <w:start w:val="1"/>
      <w:numFmt w:val="decimal"/>
      <w:suff w:val="space"/>
      <w:lvlText w:val="%1.%2.%3.%4.%5"/>
      <w:lvlJc w:val="left"/>
      <w:pPr>
        <w:tabs>
          <w:tab w:val="left" w:pos="1008"/>
        </w:tabs>
        <w:ind w:left="1008" w:hanging="1008"/>
      </w:pPr>
      <w:rPr>
        <w:rFonts w:hint="eastAsia"/>
      </w:rPr>
    </w:lvl>
    <w:lvl w:ilvl="5" w:tentative="0">
      <w:start w:val="1"/>
      <w:numFmt w:val="decimal"/>
      <w:suff w:val="space"/>
      <w:lvlText w:val="%1.%2.%3.%4.%5.%6"/>
      <w:lvlJc w:val="left"/>
      <w:pPr>
        <w:tabs>
          <w:tab w:val="left" w:pos="1152"/>
        </w:tabs>
        <w:ind w:left="1152" w:hanging="1152"/>
      </w:pPr>
      <w:rPr>
        <w:rFonts w:hint="eastAsia"/>
      </w:rPr>
    </w:lvl>
    <w:lvl w:ilvl="6" w:tentative="0">
      <w:start w:val="1"/>
      <w:numFmt w:val="decimal"/>
      <w:suff w:val="space"/>
      <w:lvlText w:val="%1.%2.%3.%4.%5.%6.%7"/>
      <w:lvlJc w:val="left"/>
      <w:pPr>
        <w:tabs>
          <w:tab w:val="left" w:pos="1296"/>
        </w:tabs>
        <w:ind w:left="1296" w:hanging="1296"/>
      </w:pPr>
      <w:rPr>
        <w:rFonts w:hint="eastAsia"/>
      </w:rPr>
    </w:lvl>
    <w:lvl w:ilvl="7" w:tentative="0">
      <w:start w:val="1"/>
      <w:numFmt w:val="decimal"/>
      <w:suff w:val="space"/>
      <w:lvlText w:val="%1.%2.%3.%4.%5.%6.%7.%8"/>
      <w:lvlJc w:val="left"/>
      <w:pPr>
        <w:tabs>
          <w:tab w:val="left" w:pos="1440"/>
        </w:tabs>
        <w:ind w:left="1440" w:hanging="1440"/>
      </w:pPr>
      <w:rPr>
        <w:rFonts w:hint="eastAsia"/>
      </w:rPr>
    </w:lvl>
    <w:lvl w:ilvl="8" w:tentative="0">
      <w:start w:val="1"/>
      <w:numFmt w:val="decimal"/>
      <w:suff w:val="space"/>
      <w:lvlText w:val="%1.%2.%3.%4.%5.%6.%7.%8.%9"/>
      <w:lvlJc w:val="left"/>
      <w:pPr>
        <w:tabs>
          <w:tab w:val="left" w:pos="1584"/>
        </w:tabs>
        <w:ind w:left="1584" w:hanging="1584"/>
      </w:pPr>
      <w:rPr>
        <w:rFonts w:hint="eastAsia"/>
      </w:rPr>
    </w:lvl>
  </w:abstractNum>
  <w:num w:numId="1">
    <w:abstractNumId w:val="10"/>
  </w:num>
  <w:num w:numId="2">
    <w:abstractNumId w:val="2"/>
  </w:num>
  <w:num w:numId="3">
    <w:abstractNumId w:val="1"/>
  </w:num>
  <w:num w:numId="4">
    <w:abstractNumId w:val="7"/>
  </w:num>
  <w:num w:numId="5">
    <w:abstractNumId w:val="6"/>
  </w:num>
  <w:num w:numId="6">
    <w:abstractNumId w:val="0"/>
  </w:num>
  <w:num w:numId="7">
    <w:abstractNumId w:val="5"/>
  </w:num>
  <w:num w:numId="8">
    <w:abstractNumId w:val="4"/>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N2E5ZmYxNjY3ZjU4ZmU4YzZhZWUxOGQ0MjcyZDAifQ=="/>
  </w:docVars>
  <w:rsids>
    <w:rsidRoot w:val="00E61D8E"/>
    <w:rsid w:val="00370085"/>
    <w:rsid w:val="003D202A"/>
    <w:rsid w:val="00E61D8E"/>
    <w:rsid w:val="00EB6B0B"/>
    <w:rsid w:val="011B0B5F"/>
    <w:rsid w:val="04EA4DAD"/>
    <w:rsid w:val="053E4878"/>
    <w:rsid w:val="062D376D"/>
    <w:rsid w:val="06497B03"/>
    <w:rsid w:val="0778507C"/>
    <w:rsid w:val="07BE5FBE"/>
    <w:rsid w:val="08852948"/>
    <w:rsid w:val="09D92C37"/>
    <w:rsid w:val="0B0C64AC"/>
    <w:rsid w:val="0D805A46"/>
    <w:rsid w:val="100809BD"/>
    <w:rsid w:val="13362AA7"/>
    <w:rsid w:val="18E36FE2"/>
    <w:rsid w:val="193948C5"/>
    <w:rsid w:val="19EF0419"/>
    <w:rsid w:val="1F1F489E"/>
    <w:rsid w:val="209E0451"/>
    <w:rsid w:val="20AD2DAB"/>
    <w:rsid w:val="21645671"/>
    <w:rsid w:val="23536501"/>
    <w:rsid w:val="237F6F34"/>
    <w:rsid w:val="2443409C"/>
    <w:rsid w:val="24F072BA"/>
    <w:rsid w:val="25B53AED"/>
    <w:rsid w:val="271D2309"/>
    <w:rsid w:val="27A00865"/>
    <w:rsid w:val="286A3FDB"/>
    <w:rsid w:val="2924190D"/>
    <w:rsid w:val="2B6F6851"/>
    <w:rsid w:val="2C77318D"/>
    <w:rsid w:val="2C9F38F7"/>
    <w:rsid w:val="2DAF4B82"/>
    <w:rsid w:val="2DFC404C"/>
    <w:rsid w:val="2F0024E4"/>
    <w:rsid w:val="2F043E2F"/>
    <w:rsid w:val="2F56257D"/>
    <w:rsid w:val="2FD85077"/>
    <w:rsid w:val="340E6CB7"/>
    <w:rsid w:val="34E81C26"/>
    <w:rsid w:val="34F610EA"/>
    <w:rsid w:val="35CF2253"/>
    <w:rsid w:val="36B53EED"/>
    <w:rsid w:val="37400A32"/>
    <w:rsid w:val="374920E7"/>
    <w:rsid w:val="37CB0D94"/>
    <w:rsid w:val="391D7101"/>
    <w:rsid w:val="3B690306"/>
    <w:rsid w:val="3BF448E9"/>
    <w:rsid w:val="3E386E20"/>
    <w:rsid w:val="3FE616FB"/>
    <w:rsid w:val="3FFBD64F"/>
    <w:rsid w:val="40360A14"/>
    <w:rsid w:val="412944A5"/>
    <w:rsid w:val="42F645C5"/>
    <w:rsid w:val="43E32BEE"/>
    <w:rsid w:val="442347E8"/>
    <w:rsid w:val="44655746"/>
    <w:rsid w:val="455D245B"/>
    <w:rsid w:val="45EB5AC2"/>
    <w:rsid w:val="4B062D07"/>
    <w:rsid w:val="4BAE6C04"/>
    <w:rsid w:val="4BF835B4"/>
    <w:rsid w:val="4D6E692E"/>
    <w:rsid w:val="4DDA5CC7"/>
    <w:rsid w:val="4FB75552"/>
    <w:rsid w:val="515E5F9C"/>
    <w:rsid w:val="51AC698D"/>
    <w:rsid w:val="524C7F9B"/>
    <w:rsid w:val="53407DA4"/>
    <w:rsid w:val="535534C5"/>
    <w:rsid w:val="56186810"/>
    <w:rsid w:val="5683561C"/>
    <w:rsid w:val="577E6D98"/>
    <w:rsid w:val="58453CD2"/>
    <w:rsid w:val="5B4403C8"/>
    <w:rsid w:val="5C0B0191"/>
    <w:rsid w:val="5D8E01C2"/>
    <w:rsid w:val="5DFF7BED"/>
    <w:rsid w:val="5E3774A1"/>
    <w:rsid w:val="5E4F035F"/>
    <w:rsid w:val="5EBB7B84"/>
    <w:rsid w:val="60DA7A74"/>
    <w:rsid w:val="61114E3F"/>
    <w:rsid w:val="619B42AF"/>
    <w:rsid w:val="620A5BE8"/>
    <w:rsid w:val="622718E9"/>
    <w:rsid w:val="638E5A46"/>
    <w:rsid w:val="639456EF"/>
    <w:rsid w:val="65CB1C16"/>
    <w:rsid w:val="65F8742B"/>
    <w:rsid w:val="6666770B"/>
    <w:rsid w:val="6704453E"/>
    <w:rsid w:val="685A68BE"/>
    <w:rsid w:val="6A401B02"/>
    <w:rsid w:val="6ACD65AA"/>
    <w:rsid w:val="6B3453A9"/>
    <w:rsid w:val="6B8C6D95"/>
    <w:rsid w:val="6C4C7E3C"/>
    <w:rsid w:val="6F0B413C"/>
    <w:rsid w:val="6F6F5F0B"/>
    <w:rsid w:val="701A100B"/>
    <w:rsid w:val="70441BEA"/>
    <w:rsid w:val="70DF36C1"/>
    <w:rsid w:val="7251199A"/>
    <w:rsid w:val="72AA2817"/>
    <w:rsid w:val="73111216"/>
    <w:rsid w:val="7367013B"/>
    <w:rsid w:val="76EE28B0"/>
    <w:rsid w:val="790F6B0E"/>
    <w:rsid w:val="7CA5738C"/>
    <w:rsid w:val="7CE7740D"/>
    <w:rsid w:val="7D272036"/>
    <w:rsid w:val="7D9BCFDC"/>
    <w:rsid w:val="7DEB76A3"/>
    <w:rsid w:val="7E004DB0"/>
    <w:rsid w:val="7ECA59B1"/>
    <w:rsid w:val="BADF87B7"/>
    <w:rsid w:val="DAA77365"/>
    <w:rsid w:val="EAA7502A"/>
    <w:rsid w:val="EF7C8FDD"/>
    <w:rsid w:val="F9C67BC7"/>
    <w:rsid w:val="FBEFF0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ind w:left="2"/>
      <w:jc w:val="left"/>
      <w:outlineLvl w:val="0"/>
    </w:pPr>
    <w:rPr>
      <w:rFonts w:ascii="黑体" w:eastAsia="黑体" w:cs="黑体"/>
      <w:sz w:val="36"/>
      <w:szCs w:val="36"/>
    </w:rPr>
  </w:style>
  <w:style w:type="paragraph" w:styleId="3">
    <w:name w:val="heading 2"/>
    <w:basedOn w:val="1"/>
    <w:next w:val="1"/>
    <w:qFormat/>
    <w:uiPriority w:val="0"/>
    <w:pPr>
      <w:jc w:val="left"/>
      <w:outlineLvl w:val="1"/>
    </w:pPr>
    <w:rPr>
      <w:rFonts w:ascii="黑体" w:eastAsia="黑体" w:cs="黑体"/>
      <w:sz w:val="30"/>
      <w:szCs w:val="30"/>
    </w:rPr>
  </w:style>
  <w:style w:type="paragraph" w:styleId="4">
    <w:name w:val="heading 3"/>
    <w:basedOn w:val="1"/>
    <w:next w:val="5"/>
    <w:qFormat/>
    <w:uiPriority w:val="0"/>
    <w:pPr>
      <w:spacing w:before="13"/>
      <w:ind w:left="101"/>
      <w:jc w:val="left"/>
      <w:outlineLvl w:val="2"/>
    </w:pPr>
    <w:rPr>
      <w:rFonts w:ascii="黑体" w:eastAsia="黑体" w:cs="黑体"/>
      <w:sz w:val="28"/>
      <w:szCs w:val="28"/>
    </w:rPr>
  </w:style>
  <w:style w:type="paragraph" w:styleId="6">
    <w:name w:val="heading 4"/>
    <w:basedOn w:val="1"/>
    <w:next w:val="1"/>
    <w:link w:val="47"/>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8"/>
    <w:unhideWhenUsed/>
    <w:qFormat/>
    <w:uiPriority w:val="9"/>
    <w:pPr>
      <w:keepNext/>
      <w:keepLines/>
      <w:spacing w:before="320" w:after="200"/>
      <w:outlineLvl w:val="4"/>
    </w:pPr>
    <w:rPr>
      <w:rFonts w:ascii="等线" w:hAnsi="等线" w:eastAsia="等线" w:cs="等线"/>
      <w:b/>
      <w:bCs/>
      <w:sz w:val="24"/>
    </w:rPr>
  </w:style>
  <w:style w:type="paragraph" w:styleId="8">
    <w:name w:val="heading 6"/>
    <w:basedOn w:val="1"/>
    <w:next w:val="1"/>
    <w:link w:val="49"/>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50"/>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51"/>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52"/>
    <w:unhideWhenUsed/>
    <w:qFormat/>
    <w:uiPriority w:val="9"/>
    <w:pPr>
      <w:keepNext/>
      <w:keepLines/>
      <w:spacing w:before="320" w:after="200"/>
      <w:outlineLvl w:val="8"/>
    </w:pPr>
    <w:rPr>
      <w:rFonts w:ascii="等线" w:hAnsi="等线" w:eastAsia="等线" w:cs="等线"/>
      <w:i/>
      <w:iCs/>
      <w:szCs w:val="21"/>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Body Text"/>
    <w:basedOn w:val="1"/>
    <w:next w:val="16"/>
    <w:qFormat/>
    <w:uiPriority w:val="99"/>
    <w:rPr>
      <w:rFonts w:ascii="宋体" w:hAnsi="宋体"/>
      <w:szCs w:val="21"/>
      <w:lang w:val="zh-CN"/>
    </w:rPr>
  </w:style>
  <w:style w:type="paragraph" w:styleId="16">
    <w:name w:val="Body Text First Indent"/>
    <w:basedOn w:val="15"/>
    <w:next w:val="1"/>
    <w:qFormat/>
    <w:uiPriority w:val="0"/>
    <w:pPr>
      <w:spacing w:after="120"/>
      <w:ind w:firstLine="420" w:firstLineChars="100"/>
    </w:pPr>
    <w:rPr>
      <w:szCs w:val="22"/>
    </w:rPr>
  </w:style>
  <w:style w:type="paragraph" w:styleId="17">
    <w:name w:val="Body Text Indent"/>
    <w:basedOn w:val="1"/>
    <w:qFormat/>
    <w:uiPriority w:val="0"/>
    <w:pPr>
      <w:ind w:firstLine="673" w:firstLineChars="232"/>
    </w:pPr>
    <w:rPr>
      <w:rFonts w:ascii="仿宋_GB2312" w:eastAsia="仿宋_GB2312"/>
      <w:sz w:val="32"/>
    </w:r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next w:val="21"/>
    <w:qFormat/>
    <w:uiPriority w:val="0"/>
    <w:rPr>
      <w:rFonts w:ascii="宋体" w:hAnsi="Courier New"/>
    </w:rPr>
  </w:style>
  <w:style w:type="paragraph" w:styleId="21">
    <w:name w:val="Date"/>
    <w:basedOn w:val="1"/>
    <w:next w:val="1"/>
    <w:qFormat/>
    <w:uiPriority w:val="0"/>
    <w:pPr>
      <w:ind w:left="2500" w:leftChars="2500"/>
    </w:pPr>
    <w:rPr>
      <w:rFonts w:eastAsia="楷体_GB2312"/>
      <w:sz w:val="32"/>
      <w:szCs w:val="20"/>
    </w:rPr>
  </w:style>
  <w:style w:type="paragraph" w:styleId="22">
    <w:name w:val="toc 8"/>
    <w:basedOn w:val="1"/>
    <w:next w:val="1"/>
    <w:unhideWhenUsed/>
    <w:qFormat/>
    <w:uiPriority w:val="39"/>
    <w:pPr>
      <w:spacing w:after="57"/>
      <w:ind w:left="1984"/>
    </w:pPr>
  </w:style>
  <w:style w:type="paragraph" w:styleId="23">
    <w:name w:val="endnote text"/>
    <w:basedOn w:val="1"/>
    <w:link w:val="189"/>
    <w:semiHidden/>
    <w:unhideWhenUsed/>
    <w:qFormat/>
    <w:uiPriority w:val="99"/>
    <w:rPr>
      <w:sz w:val="20"/>
    </w:rPr>
  </w:style>
  <w:style w:type="paragraph" w:styleId="24">
    <w:name w:val="footer"/>
    <w:basedOn w:val="1"/>
    <w:link w:val="62"/>
    <w:unhideWhenUsed/>
    <w:qFormat/>
    <w:uiPriority w:val="99"/>
    <w:pPr>
      <w:tabs>
        <w:tab w:val="center" w:pos="7143"/>
        <w:tab w:val="right" w:pos="14287"/>
      </w:tabs>
    </w:pPr>
  </w:style>
  <w:style w:type="paragraph" w:styleId="25">
    <w:name w:val="header"/>
    <w:basedOn w:val="1"/>
    <w:link w:val="60"/>
    <w:unhideWhenUsed/>
    <w:qFormat/>
    <w:uiPriority w:val="99"/>
    <w:pPr>
      <w:tabs>
        <w:tab w:val="center" w:pos="7143"/>
        <w:tab w:val="right" w:pos="14287"/>
      </w:tabs>
    </w:p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55"/>
    <w:qFormat/>
    <w:uiPriority w:val="11"/>
    <w:pPr>
      <w:spacing w:before="200" w:after="200"/>
    </w:pPr>
    <w:rPr>
      <w:sz w:val="24"/>
    </w:rPr>
  </w:style>
  <w:style w:type="paragraph" w:styleId="29">
    <w:name w:val="footnote text"/>
    <w:basedOn w:val="1"/>
    <w:link w:val="188"/>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Normal (Web)"/>
    <w:basedOn w:val="1"/>
    <w:qFormat/>
    <w:uiPriority w:val="0"/>
    <w:rPr>
      <w:sz w:val="24"/>
    </w:rPr>
  </w:style>
  <w:style w:type="paragraph" w:styleId="35">
    <w:name w:val="Title"/>
    <w:basedOn w:val="1"/>
    <w:next w:val="1"/>
    <w:link w:val="54"/>
    <w:qFormat/>
    <w:uiPriority w:val="10"/>
    <w:pPr>
      <w:spacing w:before="300" w:after="200"/>
      <w:contextualSpacing/>
    </w:pPr>
    <w:rPr>
      <w:sz w:val="48"/>
      <w:szCs w:val="48"/>
    </w:rPr>
  </w:style>
  <w:style w:type="table" w:styleId="3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semiHidden/>
    <w:unhideWhenUsed/>
    <w:qFormat/>
    <w:uiPriority w:val="99"/>
    <w:rPr>
      <w:vertAlign w:val="superscript"/>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footnote reference"/>
    <w:unhideWhenUsed/>
    <w:qFormat/>
    <w:uiPriority w:val="99"/>
    <w:rPr>
      <w:vertAlign w:val="superscript"/>
    </w:rPr>
  </w:style>
  <w:style w:type="paragraph" w:customStyle="1" w:styleId="42">
    <w:name w:val="正文文本1"/>
    <w:basedOn w:val="1"/>
    <w:next w:val="43"/>
    <w:link w:val="202"/>
    <w:qFormat/>
    <w:uiPriority w:val="0"/>
    <w:pPr>
      <w:spacing w:line="360" w:lineRule="exact"/>
    </w:pPr>
    <w:rPr>
      <w:sz w:val="24"/>
    </w:rPr>
  </w:style>
  <w:style w:type="paragraph" w:customStyle="1" w:styleId="43">
    <w:name w:val="正文首行缩进1"/>
    <w:basedOn w:val="42"/>
    <w:next w:val="1"/>
    <w:qFormat/>
    <w:uiPriority w:val="0"/>
    <w:pPr>
      <w:spacing w:after="120"/>
      <w:ind w:firstLine="420"/>
    </w:pPr>
    <w:rPr>
      <w:sz w:val="21"/>
    </w:rPr>
  </w:style>
  <w:style w:type="character" w:customStyle="1" w:styleId="44">
    <w:name w:val="Heading 1 Char"/>
    <w:qFormat/>
    <w:uiPriority w:val="9"/>
    <w:rPr>
      <w:rFonts w:ascii="等线" w:hAnsi="等线" w:eastAsia="等线" w:cs="等线"/>
      <w:sz w:val="40"/>
      <w:szCs w:val="40"/>
    </w:rPr>
  </w:style>
  <w:style w:type="character" w:customStyle="1" w:styleId="45">
    <w:name w:val="Heading 2 Char"/>
    <w:qFormat/>
    <w:uiPriority w:val="9"/>
    <w:rPr>
      <w:rFonts w:ascii="等线" w:hAnsi="等线" w:eastAsia="等线" w:cs="等线"/>
      <w:sz w:val="34"/>
    </w:rPr>
  </w:style>
  <w:style w:type="character" w:customStyle="1" w:styleId="46">
    <w:name w:val="Heading 3 Char"/>
    <w:qFormat/>
    <w:uiPriority w:val="9"/>
    <w:rPr>
      <w:rFonts w:ascii="等线" w:hAnsi="等线" w:eastAsia="等线" w:cs="等线"/>
      <w:sz w:val="30"/>
      <w:szCs w:val="30"/>
    </w:rPr>
  </w:style>
  <w:style w:type="character" w:customStyle="1" w:styleId="47">
    <w:name w:val="标题 4 Char1"/>
    <w:link w:val="6"/>
    <w:qFormat/>
    <w:uiPriority w:val="9"/>
    <w:rPr>
      <w:rFonts w:ascii="等线" w:hAnsi="等线" w:eastAsia="等线" w:cs="等线"/>
      <w:b/>
      <w:bCs/>
      <w:sz w:val="26"/>
      <w:szCs w:val="26"/>
    </w:rPr>
  </w:style>
  <w:style w:type="character" w:customStyle="1" w:styleId="48">
    <w:name w:val="标题 5 Char1"/>
    <w:link w:val="7"/>
    <w:qFormat/>
    <w:uiPriority w:val="9"/>
    <w:rPr>
      <w:rFonts w:ascii="等线" w:hAnsi="等线" w:eastAsia="等线" w:cs="等线"/>
      <w:b/>
      <w:bCs/>
      <w:sz w:val="24"/>
      <w:szCs w:val="24"/>
    </w:rPr>
  </w:style>
  <w:style w:type="character" w:customStyle="1" w:styleId="49">
    <w:name w:val="标题 6 Char1"/>
    <w:link w:val="8"/>
    <w:qFormat/>
    <w:uiPriority w:val="9"/>
    <w:rPr>
      <w:rFonts w:ascii="等线" w:hAnsi="等线" w:eastAsia="等线" w:cs="等线"/>
      <w:b/>
      <w:bCs/>
      <w:sz w:val="22"/>
      <w:szCs w:val="22"/>
    </w:rPr>
  </w:style>
  <w:style w:type="character" w:customStyle="1" w:styleId="50">
    <w:name w:val="标题 7 Char1"/>
    <w:link w:val="9"/>
    <w:qFormat/>
    <w:uiPriority w:val="9"/>
    <w:rPr>
      <w:rFonts w:ascii="等线" w:hAnsi="等线" w:eastAsia="等线" w:cs="等线"/>
      <w:b/>
      <w:bCs/>
      <w:i/>
      <w:iCs/>
      <w:sz w:val="22"/>
      <w:szCs w:val="22"/>
    </w:rPr>
  </w:style>
  <w:style w:type="character" w:customStyle="1" w:styleId="51">
    <w:name w:val="标题 8 Char1"/>
    <w:link w:val="10"/>
    <w:qFormat/>
    <w:uiPriority w:val="9"/>
    <w:rPr>
      <w:rFonts w:ascii="等线" w:hAnsi="等线" w:eastAsia="等线" w:cs="等线"/>
      <w:i/>
      <w:iCs/>
      <w:sz w:val="22"/>
      <w:szCs w:val="22"/>
    </w:rPr>
  </w:style>
  <w:style w:type="character" w:customStyle="1" w:styleId="52">
    <w:name w:val="标题 9 Char1"/>
    <w:link w:val="11"/>
    <w:qFormat/>
    <w:uiPriority w:val="9"/>
    <w:rPr>
      <w:rFonts w:ascii="等线" w:hAnsi="等线" w:eastAsia="等线" w:cs="等线"/>
      <w:i/>
      <w:iCs/>
      <w:sz w:val="21"/>
      <w:szCs w:val="21"/>
    </w:rPr>
  </w:style>
  <w:style w:type="paragraph" w:styleId="53">
    <w:name w:val="No Spacing"/>
    <w:qFormat/>
    <w:uiPriority w:val="1"/>
    <w:rPr>
      <w:rFonts w:ascii="Times New Roman" w:hAnsi="Times New Roman" w:eastAsia="宋体" w:cs="Times New Roman"/>
      <w:lang w:val="en-US" w:eastAsia="zh-CN" w:bidi="ar-SA"/>
    </w:rPr>
  </w:style>
  <w:style w:type="character" w:customStyle="1" w:styleId="54">
    <w:name w:val="标题 Char1"/>
    <w:link w:val="35"/>
    <w:qFormat/>
    <w:uiPriority w:val="10"/>
    <w:rPr>
      <w:sz w:val="48"/>
      <w:szCs w:val="48"/>
    </w:rPr>
  </w:style>
  <w:style w:type="character" w:customStyle="1" w:styleId="55">
    <w:name w:val="副标题 Char"/>
    <w:link w:val="28"/>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引用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9">
    <w:name w:val="明显引用 Char"/>
    <w:link w:val="58"/>
    <w:qFormat/>
    <w:uiPriority w:val="30"/>
    <w:rPr>
      <w:i/>
    </w:rPr>
  </w:style>
  <w:style w:type="character" w:customStyle="1" w:styleId="60">
    <w:name w:val="页眉 Char1"/>
    <w:link w:val="25"/>
    <w:qFormat/>
    <w:uiPriority w:val="99"/>
  </w:style>
  <w:style w:type="character" w:customStyle="1" w:styleId="61">
    <w:name w:val="Footer Char"/>
    <w:qFormat/>
    <w:uiPriority w:val="99"/>
  </w:style>
  <w:style w:type="character" w:customStyle="1" w:styleId="62">
    <w:name w:val="页脚 Char1"/>
    <w:link w:val="24"/>
    <w:qFormat/>
    <w:uiPriority w:val="99"/>
  </w:style>
  <w:style w:type="table" w:customStyle="1" w:styleId="6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8">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5">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脚注文本 Char1"/>
    <w:link w:val="29"/>
    <w:qFormat/>
    <w:uiPriority w:val="99"/>
    <w:rPr>
      <w:sz w:val="18"/>
    </w:rPr>
  </w:style>
  <w:style w:type="character" w:customStyle="1" w:styleId="189">
    <w:name w:val="尾注文本 Char"/>
    <w:link w:val="23"/>
    <w:qFormat/>
    <w:uiPriority w:val="99"/>
    <w:rPr>
      <w:sz w:val="20"/>
    </w:rPr>
  </w:style>
  <w:style w:type="paragraph" w:customStyle="1" w:styleId="190">
    <w:name w:val="TOC 标题1"/>
    <w:unhideWhenUsed/>
    <w:qFormat/>
    <w:uiPriority w:val="39"/>
    <w:rPr>
      <w:rFonts w:ascii="Times New Roman" w:hAnsi="Times New Roman" w:eastAsia="宋体" w:cs="Times New Roman"/>
      <w:lang w:val="en-US" w:eastAsia="zh-CN" w:bidi="ar-SA"/>
    </w:rPr>
  </w:style>
  <w:style w:type="paragraph" w:customStyle="1" w:styleId="191">
    <w:name w:val="标题 11"/>
    <w:basedOn w:val="1"/>
    <w:next w:val="1"/>
    <w:link w:val="203"/>
    <w:qFormat/>
    <w:uiPriority w:val="0"/>
    <w:pPr>
      <w:keepNext/>
      <w:keepLines/>
      <w:numPr>
        <w:ilvl w:val="0"/>
        <w:numId w:val="1"/>
      </w:numPr>
      <w:spacing w:before="340" w:after="330" w:line="578" w:lineRule="auto"/>
      <w:outlineLvl w:val="0"/>
    </w:pPr>
    <w:rPr>
      <w:b/>
      <w:sz w:val="44"/>
    </w:rPr>
  </w:style>
  <w:style w:type="paragraph" w:customStyle="1" w:styleId="192">
    <w:name w:val="标题 21"/>
    <w:basedOn w:val="1"/>
    <w:next w:val="1"/>
    <w:link w:val="204"/>
    <w:qFormat/>
    <w:uiPriority w:val="0"/>
    <w:pPr>
      <w:keepNext/>
      <w:keepLines/>
      <w:spacing w:before="260" w:after="260" w:line="416" w:lineRule="auto"/>
      <w:outlineLvl w:val="1"/>
    </w:pPr>
    <w:rPr>
      <w:rFonts w:ascii="Arial" w:hAnsi="Arial" w:eastAsia="黑体"/>
      <w:b/>
      <w:sz w:val="32"/>
    </w:rPr>
  </w:style>
  <w:style w:type="paragraph" w:customStyle="1" w:styleId="193">
    <w:name w:val="标题 31"/>
    <w:basedOn w:val="192"/>
    <w:next w:val="1"/>
    <w:link w:val="205"/>
    <w:qFormat/>
    <w:uiPriority w:val="0"/>
    <w:pPr>
      <w:outlineLvl w:val="2"/>
    </w:pPr>
    <w:rPr>
      <w:b w:val="0"/>
      <w:bCs/>
      <w:szCs w:val="32"/>
    </w:rPr>
  </w:style>
  <w:style w:type="paragraph" w:customStyle="1" w:styleId="194">
    <w:name w:val="标题 41"/>
    <w:basedOn w:val="1"/>
    <w:next w:val="1"/>
    <w:link w:val="206"/>
    <w:qFormat/>
    <w:uiPriority w:val="0"/>
    <w:pPr>
      <w:keepNext/>
      <w:keepLines/>
      <w:spacing w:before="280" w:after="290" w:line="376" w:lineRule="auto"/>
      <w:outlineLvl w:val="3"/>
    </w:pPr>
    <w:rPr>
      <w:rFonts w:ascii="Arial" w:hAnsi="Arial" w:eastAsia="黑体"/>
      <w:b/>
      <w:bCs/>
      <w:sz w:val="28"/>
      <w:szCs w:val="28"/>
    </w:rPr>
  </w:style>
  <w:style w:type="paragraph" w:customStyle="1" w:styleId="195">
    <w:name w:val="标题 51"/>
    <w:basedOn w:val="1"/>
    <w:next w:val="1"/>
    <w:link w:val="207"/>
    <w:qFormat/>
    <w:uiPriority w:val="0"/>
    <w:pPr>
      <w:keepNext/>
      <w:keepLines/>
      <w:numPr>
        <w:ilvl w:val="4"/>
        <w:numId w:val="2"/>
      </w:numPr>
      <w:tabs>
        <w:tab w:val="left" w:pos="340"/>
        <w:tab w:val="left" w:pos="780"/>
      </w:tabs>
      <w:spacing w:before="280" w:after="290" w:line="376" w:lineRule="auto"/>
      <w:jc w:val="left"/>
      <w:outlineLvl w:val="4"/>
    </w:pPr>
    <w:rPr>
      <w:b/>
      <w:bCs/>
      <w:sz w:val="28"/>
      <w:szCs w:val="28"/>
    </w:rPr>
  </w:style>
  <w:style w:type="paragraph" w:customStyle="1" w:styleId="196">
    <w:name w:val="标题 61"/>
    <w:basedOn w:val="1"/>
    <w:next w:val="1"/>
    <w:link w:val="208"/>
    <w:qFormat/>
    <w:uiPriority w:val="0"/>
    <w:pPr>
      <w:keepNext/>
      <w:keepLines/>
      <w:numPr>
        <w:ilvl w:val="5"/>
        <w:numId w:val="2"/>
      </w:numPr>
      <w:tabs>
        <w:tab w:val="left" w:pos="780"/>
        <w:tab w:val="left" w:pos="1152"/>
      </w:tabs>
      <w:spacing w:before="240" w:after="64" w:line="320" w:lineRule="auto"/>
      <w:jc w:val="left"/>
      <w:outlineLvl w:val="5"/>
    </w:pPr>
    <w:rPr>
      <w:rFonts w:ascii="Arial" w:hAnsi="Arial" w:eastAsia="黑体"/>
      <w:b/>
      <w:bCs/>
      <w:sz w:val="24"/>
    </w:rPr>
  </w:style>
  <w:style w:type="paragraph" w:customStyle="1" w:styleId="197">
    <w:name w:val="标题 71"/>
    <w:basedOn w:val="1"/>
    <w:next w:val="1"/>
    <w:link w:val="209"/>
    <w:qFormat/>
    <w:uiPriority w:val="0"/>
    <w:pPr>
      <w:keepNext/>
      <w:keepLines/>
      <w:numPr>
        <w:ilvl w:val="6"/>
        <w:numId w:val="2"/>
      </w:numPr>
      <w:tabs>
        <w:tab w:val="left" w:pos="780"/>
        <w:tab w:val="left" w:pos="1296"/>
      </w:tabs>
      <w:spacing w:before="240" w:after="64" w:line="320" w:lineRule="auto"/>
      <w:jc w:val="left"/>
      <w:outlineLvl w:val="6"/>
    </w:pPr>
    <w:rPr>
      <w:b/>
      <w:bCs/>
      <w:sz w:val="24"/>
    </w:rPr>
  </w:style>
  <w:style w:type="paragraph" w:customStyle="1" w:styleId="198">
    <w:name w:val="标题 81"/>
    <w:basedOn w:val="1"/>
    <w:next w:val="1"/>
    <w:link w:val="210"/>
    <w:qFormat/>
    <w:uiPriority w:val="0"/>
    <w:pPr>
      <w:keepNext/>
      <w:keepLines/>
      <w:numPr>
        <w:ilvl w:val="7"/>
        <w:numId w:val="2"/>
      </w:numPr>
      <w:tabs>
        <w:tab w:val="left" w:pos="780"/>
        <w:tab w:val="left" w:pos="1440"/>
      </w:tabs>
      <w:spacing w:before="240" w:after="64" w:line="320" w:lineRule="auto"/>
      <w:jc w:val="left"/>
      <w:outlineLvl w:val="7"/>
    </w:pPr>
    <w:rPr>
      <w:rFonts w:ascii="Arial" w:hAnsi="Arial" w:eastAsia="黑体"/>
      <w:sz w:val="24"/>
    </w:rPr>
  </w:style>
  <w:style w:type="paragraph" w:customStyle="1" w:styleId="199">
    <w:name w:val="标题 91"/>
    <w:basedOn w:val="1"/>
    <w:next w:val="1"/>
    <w:link w:val="211"/>
    <w:qFormat/>
    <w:uiPriority w:val="0"/>
    <w:pPr>
      <w:keepNext/>
      <w:keepLines/>
      <w:numPr>
        <w:ilvl w:val="8"/>
        <w:numId w:val="2"/>
      </w:numPr>
      <w:tabs>
        <w:tab w:val="left" w:pos="780"/>
        <w:tab w:val="left" w:pos="1584"/>
      </w:tabs>
      <w:spacing w:before="240" w:after="64" w:line="320" w:lineRule="auto"/>
      <w:jc w:val="left"/>
      <w:outlineLvl w:val="8"/>
    </w:pPr>
    <w:rPr>
      <w:rFonts w:ascii="Arial" w:hAnsi="Arial" w:eastAsia="黑体"/>
      <w:szCs w:val="21"/>
    </w:rPr>
  </w:style>
  <w:style w:type="character" w:customStyle="1" w:styleId="200">
    <w:name w:val="默认段落字体1"/>
    <w:qFormat/>
    <w:uiPriority w:val="0"/>
  </w:style>
  <w:style w:type="table" w:customStyle="1" w:styleId="201">
    <w:name w:val="普通表格1"/>
    <w:semiHidden/>
    <w:qFormat/>
    <w:uiPriority w:val="0"/>
    <w:tblPr>
      <w:tblCellMar>
        <w:top w:w="0" w:type="dxa"/>
        <w:left w:w="0" w:type="dxa"/>
        <w:bottom w:w="0" w:type="dxa"/>
        <w:right w:w="0" w:type="dxa"/>
      </w:tblCellMar>
    </w:tblPr>
  </w:style>
  <w:style w:type="character" w:customStyle="1" w:styleId="202">
    <w:name w:val="正文文本 Char"/>
    <w:link w:val="42"/>
    <w:qFormat/>
    <w:uiPriority w:val="0"/>
    <w:rPr>
      <w:sz w:val="24"/>
      <w:szCs w:val="24"/>
    </w:rPr>
  </w:style>
  <w:style w:type="character" w:customStyle="1" w:styleId="203">
    <w:name w:val="标题 1 Char"/>
    <w:link w:val="191"/>
    <w:qFormat/>
    <w:uiPriority w:val="0"/>
    <w:rPr>
      <w:b/>
      <w:sz w:val="44"/>
      <w:szCs w:val="24"/>
    </w:rPr>
  </w:style>
  <w:style w:type="character" w:customStyle="1" w:styleId="204">
    <w:name w:val="标题 2 Char"/>
    <w:link w:val="192"/>
    <w:qFormat/>
    <w:uiPriority w:val="0"/>
    <w:rPr>
      <w:rFonts w:ascii="Arial" w:hAnsi="Arial" w:eastAsia="黑体"/>
      <w:b/>
      <w:sz w:val="32"/>
      <w:szCs w:val="24"/>
    </w:rPr>
  </w:style>
  <w:style w:type="character" w:customStyle="1" w:styleId="205">
    <w:name w:val="标题 3 Char"/>
    <w:link w:val="193"/>
    <w:qFormat/>
    <w:uiPriority w:val="0"/>
    <w:rPr>
      <w:b/>
      <w:bCs/>
      <w:sz w:val="32"/>
      <w:szCs w:val="32"/>
    </w:rPr>
  </w:style>
  <w:style w:type="character" w:customStyle="1" w:styleId="206">
    <w:name w:val="标题 4 Char"/>
    <w:link w:val="194"/>
    <w:qFormat/>
    <w:uiPriority w:val="0"/>
    <w:rPr>
      <w:rFonts w:ascii="Arial" w:hAnsi="Arial" w:eastAsia="黑体"/>
      <w:b/>
      <w:bCs/>
      <w:sz w:val="28"/>
      <w:szCs w:val="28"/>
    </w:rPr>
  </w:style>
  <w:style w:type="character" w:customStyle="1" w:styleId="207">
    <w:name w:val="标题 5 Char"/>
    <w:link w:val="195"/>
    <w:qFormat/>
    <w:uiPriority w:val="0"/>
    <w:rPr>
      <w:b/>
      <w:bCs/>
      <w:sz w:val="28"/>
      <w:szCs w:val="28"/>
    </w:rPr>
  </w:style>
  <w:style w:type="character" w:customStyle="1" w:styleId="208">
    <w:name w:val="标题 6 Char"/>
    <w:link w:val="196"/>
    <w:qFormat/>
    <w:uiPriority w:val="0"/>
    <w:rPr>
      <w:rFonts w:ascii="Arial" w:hAnsi="Arial" w:eastAsia="黑体"/>
      <w:b/>
      <w:bCs/>
      <w:sz w:val="24"/>
      <w:szCs w:val="24"/>
    </w:rPr>
  </w:style>
  <w:style w:type="character" w:customStyle="1" w:styleId="209">
    <w:name w:val="标题 7 Char"/>
    <w:link w:val="197"/>
    <w:qFormat/>
    <w:uiPriority w:val="0"/>
    <w:rPr>
      <w:b/>
      <w:bCs/>
      <w:sz w:val="24"/>
      <w:szCs w:val="24"/>
    </w:rPr>
  </w:style>
  <w:style w:type="character" w:customStyle="1" w:styleId="210">
    <w:name w:val="标题 8 Char"/>
    <w:link w:val="198"/>
    <w:qFormat/>
    <w:uiPriority w:val="0"/>
    <w:rPr>
      <w:rFonts w:ascii="Arial" w:hAnsi="Arial" w:eastAsia="黑体"/>
      <w:sz w:val="24"/>
      <w:szCs w:val="24"/>
    </w:rPr>
  </w:style>
  <w:style w:type="character" w:customStyle="1" w:styleId="211">
    <w:name w:val="标题 9 Char"/>
    <w:link w:val="199"/>
    <w:qFormat/>
    <w:uiPriority w:val="0"/>
    <w:rPr>
      <w:rFonts w:ascii="Arial" w:hAnsi="Arial" w:eastAsia="黑体"/>
      <w:sz w:val="21"/>
      <w:szCs w:val="21"/>
    </w:rPr>
  </w:style>
  <w:style w:type="paragraph" w:customStyle="1" w:styleId="212">
    <w:name w:val="列表编号 21"/>
    <w:basedOn w:val="1"/>
    <w:qFormat/>
    <w:uiPriority w:val="0"/>
    <w:pPr>
      <w:numPr>
        <w:ilvl w:val="0"/>
        <w:numId w:val="2"/>
      </w:numPr>
    </w:pPr>
  </w:style>
  <w:style w:type="paragraph" w:customStyle="1" w:styleId="213">
    <w:name w:val="列表编号1"/>
    <w:basedOn w:val="1"/>
    <w:qFormat/>
    <w:uiPriority w:val="0"/>
    <w:pPr>
      <w:widowControl/>
      <w:spacing w:before="100" w:beforeAutospacing="1" w:after="100" w:afterAutospacing="1"/>
      <w:jc w:val="left"/>
    </w:pPr>
    <w:rPr>
      <w:rFonts w:ascii="宋体" w:hAnsi="宋体" w:cs="宋体"/>
      <w:sz w:val="24"/>
    </w:rPr>
  </w:style>
  <w:style w:type="paragraph" w:customStyle="1" w:styleId="214">
    <w:name w:val="正文缩进11"/>
    <w:basedOn w:val="1"/>
    <w:link w:val="215"/>
    <w:qFormat/>
    <w:uiPriority w:val="0"/>
    <w:pPr>
      <w:ind w:firstLine="420"/>
    </w:pPr>
  </w:style>
  <w:style w:type="character" w:customStyle="1" w:styleId="215">
    <w:name w:val="正文缩进 Char"/>
    <w:link w:val="214"/>
    <w:qFormat/>
    <w:uiPriority w:val="0"/>
    <w:rPr>
      <w:rFonts w:eastAsia="宋体"/>
      <w:sz w:val="21"/>
      <w:szCs w:val="24"/>
      <w:lang w:val="en-US" w:eastAsia="zh-CN" w:bidi="ar-SA"/>
    </w:rPr>
  </w:style>
  <w:style w:type="paragraph" w:customStyle="1" w:styleId="216">
    <w:name w:val="文档结构图1"/>
    <w:basedOn w:val="1"/>
    <w:link w:val="217"/>
    <w:qFormat/>
    <w:uiPriority w:val="0"/>
    <w:pPr>
      <w:shd w:val="clear" w:color="auto" w:fill="000080"/>
    </w:pPr>
  </w:style>
  <w:style w:type="character" w:customStyle="1" w:styleId="217">
    <w:name w:val="文档结构图 Char"/>
    <w:link w:val="216"/>
    <w:qFormat/>
    <w:uiPriority w:val="0"/>
    <w:rPr>
      <w:sz w:val="21"/>
      <w:szCs w:val="24"/>
      <w:shd w:val="clear" w:color="auto" w:fill="000080"/>
    </w:rPr>
  </w:style>
  <w:style w:type="paragraph" w:customStyle="1" w:styleId="218">
    <w:name w:val="批注文字1"/>
    <w:basedOn w:val="1"/>
    <w:link w:val="219"/>
    <w:qFormat/>
    <w:uiPriority w:val="0"/>
    <w:pPr>
      <w:jc w:val="left"/>
    </w:pPr>
  </w:style>
  <w:style w:type="character" w:customStyle="1" w:styleId="219">
    <w:name w:val="批注文字 Char"/>
    <w:link w:val="218"/>
    <w:qFormat/>
    <w:uiPriority w:val="0"/>
    <w:rPr>
      <w:sz w:val="21"/>
      <w:szCs w:val="24"/>
    </w:rPr>
  </w:style>
  <w:style w:type="paragraph" w:customStyle="1" w:styleId="220">
    <w:name w:val="正文文本 31"/>
    <w:basedOn w:val="1"/>
    <w:qFormat/>
    <w:uiPriority w:val="0"/>
    <w:pPr>
      <w:spacing w:after="120"/>
    </w:pPr>
    <w:rPr>
      <w:sz w:val="16"/>
      <w:szCs w:val="16"/>
    </w:rPr>
  </w:style>
  <w:style w:type="paragraph" w:customStyle="1" w:styleId="221">
    <w:name w:val="正文文本缩进1"/>
    <w:basedOn w:val="1"/>
    <w:link w:val="222"/>
    <w:qFormat/>
    <w:uiPriority w:val="0"/>
    <w:pPr>
      <w:tabs>
        <w:tab w:val="left" w:pos="720"/>
        <w:tab w:val="left" w:pos="1260"/>
        <w:tab w:val="left" w:pos="2160"/>
        <w:tab w:val="left" w:pos="2880"/>
        <w:tab w:val="left" w:pos="3600"/>
        <w:tab w:val="left" w:pos="4320"/>
        <w:tab w:val="left" w:pos="5040"/>
        <w:tab w:val="left" w:pos="5760"/>
      </w:tabs>
      <w:spacing w:line="360" w:lineRule="auto"/>
      <w:ind w:right="25" w:firstLine="720"/>
      <w:jc w:val="left"/>
    </w:pPr>
    <w:rPr>
      <w:rFonts w:ascii="宋体"/>
      <w:color w:val="000000"/>
      <w:sz w:val="24"/>
      <w:szCs w:val="20"/>
    </w:rPr>
  </w:style>
  <w:style w:type="character" w:customStyle="1" w:styleId="222">
    <w:name w:val="正文文本缩进 Char"/>
    <w:link w:val="221"/>
    <w:qFormat/>
    <w:uiPriority w:val="0"/>
    <w:rPr>
      <w:rFonts w:ascii="宋体"/>
      <w:color w:val="000000"/>
      <w:sz w:val="24"/>
    </w:rPr>
  </w:style>
  <w:style w:type="paragraph" w:customStyle="1" w:styleId="223">
    <w:name w:val="列表编号 31"/>
    <w:basedOn w:val="1"/>
    <w:qFormat/>
    <w:uiPriority w:val="0"/>
    <w:pPr>
      <w:numPr>
        <w:ilvl w:val="0"/>
        <w:numId w:val="3"/>
      </w:numPr>
    </w:pPr>
  </w:style>
  <w:style w:type="paragraph" w:customStyle="1" w:styleId="224">
    <w:name w:val="文本块1"/>
    <w:basedOn w:val="1"/>
    <w:qFormat/>
    <w:uiPriority w:val="0"/>
    <w:pPr>
      <w:spacing w:line="240" w:lineRule="atLeast"/>
      <w:ind w:left="1797" w:firstLine="542"/>
      <w:jc w:val="left"/>
    </w:pPr>
    <w:rPr>
      <w:rFonts w:hint="eastAsia" w:ascii="宋体"/>
      <w:color w:val="000000"/>
      <w:sz w:val="24"/>
    </w:rPr>
  </w:style>
  <w:style w:type="paragraph" w:customStyle="1" w:styleId="225">
    <w:name w:val="目录 31"/>
    <w:basedOn w:val="1"/>
    <w:next w:val="1"/>
    <w:qFormat/>
    <w:uiPriority w:val="0"/>
    <w:pPr>
      <w:ind w:left="840"/>
    </w:pPr>
  </w:style>
  <w:style w:type="paragraph" w:customStyle="1" w:styleId="226">
    <w:name w:val="纯文本11"/>
    <w:basedOn w:val="1"/>
    <w:link w:val="227"/>
    <w:qFormat/>
    <w:uiPriority w:val="0"/>
    <w:rPr>
      <w:rFonts w:ascii="宋体" w:hAnsi="Courier New"/>
    </w:rPr>
  </w:style>
  <w:style w:type="character" w:customStyle="1" w:styleId="227">
    <w:name w:val="纯文本 Char"/>
    <w:link w:val="226"/>
    <w:qFormat/>
    <w:uiPriority w:val="0"/>
    <w:rPr>
      <w:rFonts w:ascii="宋体" w:hAnsi="Courier New" w:eastAsia="宋体"/>
      <w:sz w:val="21"/>
      <w:szCs w:val="24"/>
      <w:lang w:val="en-US" w:eastAsia="zh-CN" w:bidi="ar-SA"/>
    </w:rPr>
  </w:style>
  <w:style w:type="paragraph" w:customStyle="1" w:styleId="228">
    <w:name w:val="日期11"/>
    <w:basedOn w:val="1"/>
    <w:next w:val="1"/>
    <w:qFormat/>
    <w:uiPriority w:val="0"/>
    <w:rPr>
      <w:rFonts w:eastAsia="楷体_GB2312"/>
      <w:sz w:val="32"/>
      <w:szCs w:val="20"/>
    </w:rPr>
  </w:style>
  <w:style w:type="paragraph" w:customStyle="1" w:styleId="229">
    <w:name w:val="正文文本缩进 21"/>
    <w:basedOn w:val="1"/>
    <w:qFormat/>
    <w:uiPriority w:val="0"/>
    <w:pPr>
      <w:tabs>
        <w:tab w:val="left" w:pos="720"/>
        <w:tab w:val="left" w:pos="1260"/>
        <w:tab w:val="left" w:pos="2160"/>
        <w:tab w:val="left" w:pos="2880"/>
        <w:tab w:val="left" w:pos="3600"/>
        <w:tab w:val="left" w:pos="4320"/>
        <w:tab w:val="left" w:pos="5040"/>
        <w:tab w:val="left" w:pos="5760"/>
        <w:tab w:val="left" w:pos="8280"/>
      </w:tabs>
      <w:spacing w:line="360" w:lineRule="auto"/>
      <w:ind w:right="25" w:firstLine="360"/>
      <w:jc w:val="left"/>
    </w:pPr>
    <w:rPr>
      <w:rFonts w:ascii="宋体"/>
      <w:color w:val="000000"/>
      <w:sz w:val="24"/>
      <w:szCs w:val="20"/>
    </w:rPr>
  </w:style>
  <w:style w:type="paragraph" w:customStyle="1" w:styleId="230">
    <w:name w:val="批注框文本1"/>
    <w:basedOn w:val="1"/>
    <w:semiHidden/>
    <w:qFormat/>
    <w:uiPriority w:val="0"/>
    <w:rPr>
      <w:sz w:val="18"/>
      <w:szCs w:val="18"/>
    </w:rPr>
  </w:style>
  <w:style w:type="paragraph" w:customStyle="1" w:styleId="231">
    <w:name w:val="页脚1"/>
    <w:basedOn w:val="1"/>
    <w:link w:val="232"/>
    <w:qFormat/>
    <w:uiPriority w:val="99"/>
    <w:pPr>
      <w:tabs>
        <w:tab w:val="center" w:pos="4153"/>
        <w:tab w:val="right" w:pos="8306"/>
      </w:tabs>
      <w:jc w:val="left"/>
    </w:pPr>
    <w:rPr>
      <w:sz w:val="18"/>
    </w:rPr>
  </w:style>
  <w:style w:type="character" w:customStyle="1" w:styleId="232">
    <w:name w:val="页脚 Char"/>
    <w:link w:val="231"/>
    <w:qFormat/>
    <w:uiPriority w:val="99"/>
    <w:rPr>
      <w:sz w:val="18"/>
      <w:szCs w:val="24"/>
    </w:rPr>
  </w:style>
  <w:style w:type="paragraph" w:customStyle="1" w:styleId="233">
    <w:name w:val="页眉1"/>
    <w:basedOn w:val="1"/>
    <w:link w:val="234"/>
    <w:qFormat/>
    <w:uiPriority w:val="0"/>
    <w:pPr>
      <w:pBdr>
        <w:bottom w:val="single" w:color="000000" w:sz="6" w:space="1"/>
      </w:pBdr>
      <w:tabs>
        <w:tab w:val="center" w:pos="4153"/>
        <w:tab w:val="right" w:pos="8306"/>
      </w:tabs>
      <w:jc w:val="center"/>
    </w:pPr>
    <w:rPr>
      <w:sz w:val="18"/>
    </w:rPr>
  </w:style>
  <w:style w:type="character" w:customStyle="1" w:styleId="234">
    <w:name w:val="页眉 Char"/>
    <w:link w:val="233"/>
    <w:qFormat/>
    <w:uiPriority w:val="0"/>
    <w:rPr>
      <w:sz w:val="18"/>
      <w:szCs w:val="24"/>
    </w:rPr>
  </w:style>
  <w:style w:type="paragraph" w:customStyle="1" w:styleId="235">
    <w:name w:val="目录 11"/>
    <w:basedOn w:val="1"/>
    <w:next w:val="1"/>
    <w:qFormat/>
    <w:uiPriority w:val="39"/>
  </w:style>
  <w:style w:type="paragraph" w:customStyle="1" w:styleId="236">
    <w:name w:val="脚注文本1"/>
    <w:basedOn w:val="1"/>
    <w:link w:val="237"/>
    <w:qFormat/>
    <w:uiPriority w:val="0"/>
    <w:pPr>
      <w:jc w:val="left"/>
    </w:pPr>
    <w:rPr>
      <w:rFonts w:eastAsia="仿宋_GB2312"/>
      <w:sz w:val="18"/>
      <w:szCs w:val="20"/>
    </w:rPr>
  </w:style>
  <w:style w:type="character" w:customStyle="1" w:styleId="237">
    <w:name w:val="脚注文本 Char"/>
    <w:link w:val="236"/>
    <w:qFormat/>
    <w:uiPriority w:val="0"/>
    <w:rPr>
      <w:rFonts w:eastAsia="仿宋_GB2312"/>
      <w:sz w:val="18"/>
    </w:rPr>
  </w:style>
  <w:style w:type="paragraph" w:customStyle="1" w:styleId="238">
    <w:name w:val="正文文本缩进 31"/>
    <w:basedOn w:val="1"/>
    <w:qFormat/>
    <w:uiPriority w:val="0"/>
    <w:pPr>
      <w:spacing w:line="360" w:lineRule="atLeast"/>
      <w:ind w:left="1853"/>
      <w:jc w:val="center"/>
    </w:pPr>
    <w:rPr>
      <w:rFonts w:ascii="宋体"/>
      <w:b/>
      <w:color w:val="000000"/>
      <w:sz w:val="36"/>
    </w:rPr>
  </w:style>
  <w:style w:type="paragraph" w:customStyle="1" w:styleId="239">
    <w:name w:val="目录 21"/>
    <w:basedOn w:val="1"/>
    <w:next w:val="1"/>
    <w:qFormat/>
    <w:uiPriority w:val="0"/>
    <w:pPr>
      <w:ind w:left="420"/>
    </w:pPr>
  </w:style>
  <w:style w:type="paragraph" w:customStyle="1" w:styleId="240">
    <w:name w:val="正文文本 21"/>
    <w:basedOn w:val="1"/>
    <w:qFormat/>
    <w:uiPriority w:val="0"/>
    <w:pPr>
      <w:spacing w:line="360" w:lineRule="auto"/>
    </w:pPr>
    <w:rPr>
      <w:rFonts w:ascii="宋体"/>
      <w:color w:val="000000"/>
      <w:sz w:val="24"/>
    </w:rPr>
  </w:style>
  <w:style w:type="paragraph" w:customStyle="1" w:styleId="241">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42">
    <w:name w:val="标题1"/>
    <w:basedOn w:val="1"/>
    <w:link w:val="243"/>
    <w:qFormat/>
    <w:uiPriority w:val="0"/>
    <w:pPr>
      <w:spacing w:before="240" w:after="60"/>
      <w:jc w:val="center"/>
      <w:outlineLvl w:val="0"/>
    </w:pPr>
    <w:rPr>
      <w:rFonts w:ascii="Arial" w:hAnsi="Arial"/>
      <w:b/>
      <w:bCs/>
      <w:sz w:val="32"/>
      <w:szCs w:val="32"/>
    </w:rPr>
  </w:style>
  <w:style w:type="character" w:customStyle="1" w:styleId="243">
    <w:name w:val="标题 Char"/>
    <w:link w:val="242"/>
    <w:qFormat/>
    <w:uiPriority w:val="0"/>
    <w:rPr>
      <w:rFonts w:ascii="Arial" w:hAnsi="Arial"/>
      <w:b/>
      <w:bCs/>
      <w:sz w:val="32"/>
      <w:szCs w:val="32"/>
    </w:rPr>
  </w:style>
  <w:style w:type="paragraph" w:customStyle="1" w:styleId="244">
    <w:name w:val="批注主题1"/>
    <w:basedOn w:val="218"/>
    <w:next w:val="218"/>
    <w:link w:val="245"/>
    <w:qFormat/>
    <w:uiPriority w:val="0"/>
    <w:rPr>
      <w:b/>
      <w:bCs/>
    </w:rPr>
  </w:style>
  <w:style w:type="character" w:customStyle="1" w:styleId="245">
    <w:name w:val="批注主题 Char"/>
    <w:link w:val="244"/>
    <w:qFormat/>
    <w:uiPriority w:val="0"/>
    <w:rPr>
      <w:b/>
      <w:bCs/>
      <w:sz w:val="21"/>
      <w:szCs w:val="24"/>
    </w:rPr>
  </w:style>
  <w:style w:type="paragraph" w:customStyle="1" w:styleId="246">
    <w:name w:val="正文首行缩进 21"/>
    <w:basedOn w:val="221"/>
    <w:unhideWhenUsed/>
    <w:qFormat/>
    <w:uiPriority w:val="0"/>
    <w:pPr>
      <w:ind w:firstLine="420"/>
    </w:pPr>
  </w:style>
  <w:style w:type="table" w:customStyle="1" w:styleId="247">
    <w:name w:val="网格型1"/>
    <w:basedOn w:val="201"/>
    <w:qFormat/>
    <w:uiPriority w:val="0"/>
    <w:pPr>
      <w:widowControl w:val="0"/>
      <w:jc w:val="both"/>
    </w:pPr>
    <w:tblPr>
      <w:tblCellMar>
        <w:top w:w="0" w:type="dxa"/>
        <w:left w:w="0" w:type="dxa"/>
        <w:bottom w:w="0" w:type="dxa"/>
        <w:right w:w="0" w:type="dxa"/>
      </w:tblCellMar>
    </w:tblPr>
  </w:style>
  <w:style w:type="character" w:customStyle="1" w:styleId="248">
    <w:name w:val="要点1"/>
    <w:qFormat/>
    <w:uiPriority w:val="0"/>
    <w:rPr>
      <w:b/>
      <w:bCs/>
    </w:rPr>
  </w:style>
  <w:style w:type="character" w:customStyle="1" w:styleId="249">
    <w:name w:val="页码11"/>
    <w:basedOn w:val="200"/>
    <w:qFormat/>
    <w:uiPriority w:val="0"/>
  </w:style>
  <w:style w:type="character" w:customStyle="1" w:styleId="250">
    <w:name w:val="行号1"/>
    <w:basedOn w:val="200"/>
    <w:qFormat/>
    <w:uiPriority w:val="0"/>
  </w:style>
  <w:style w:type="character" w:customStyle="1" w:styleId="251">
    <w:name w:val="超链接1"/>
    <w:qFormat/>
    <w:uiPriority w:val="99"/>
    <w:rPr>
      <w:color w:val="0000FF"/>
      <w:u w:val="single"/>
    </w:rPr>
  </w:style>
  <w:style w:type="character" w:customStyle="1" w:styleId="252">
    <w:name w:val="批注引用1"/>
    <w:qFormat/>
    <w:uiPriority w:val="0"/>
    <w:rPr>
      <w:sz w:val="21"/>
    </w:rPr>
  </w:style>
  <w:style w:type="character" w:customStyle="1" w:styleId="253">
    <w:name w:val="脚注引用1"/>
    <w:qFormat/>
    <w:uiPriority w:val="0"/>
    <w:rPr>
      <w:vertAlign w:val="superscript"/>
    </w:rPr>
  </w:style>
  <w:style w:type="paragraph" w:customStyle="1" w:styleId="254">
    <w:name w:val="[Normal]"/>
    <w:qFormat/>
    <w:uiPriority w:val="0"/>
    <w:rPr>
      <w:rFonts w:ascii="宋体" w:hAnsi="宋体" w:eastAsia="宋体" w:cs="宋体"/>
      <w:sz w:val="24"/>
      <w:szCs w:val="24"/>
      <w:lang w:val="zh-CN" w:eastAsia="zh-CN" w:bidi="ar-SA"/>
    </w:rPr>
  </w:style>
  <w:style w:type="character" w:customStyle="1" w:styleId="255">
    <w:name w:val="font41"/>
    <w:qFormat/>
    <w:uiPriority w:val="0"/>
    <w:rPr>
      <w:rFonts w:ascii="宋体" w:hAnsi="宋体" w:eastAsia="宋体" w:cs="宋体"/>
      <w:b/>
      <w:color w:val="000000"/>
      <w:sz w:val="22"/>
      <w:szCs w:val="22"/>
      <w:u w:val="none"/>
    </w:rPr>
  </w:style>
  <w:style w:type="character" w:customStyle="1" w:styleId="256">
    <w:name w:val="纯文本 Char1"/>
    <w:qFormat/>
    <w:uiPriority w:val="0"/>
    <w:rPr>
      <w:rFonts w:ascii="宋体" w:hAnsi="Courier New" w:eastAsia="宋体"/>
      <w:sz w:val="21"/>
      <w:szCs w:val="24"/>
      <w:lang w:val="en-US" w:eastAsia="zh-CN" w:bidi="ar-SA"/>
    </w:rPr>
  </w:style>
  <w:style w:type="character" w:customStyle="1" w:styleId="257">
    <w:name w:val="font21"/>
    <w:qFormat/>
    <w:uiPriority w:val="0"/>
    <w:rPr>
      <w:rFonts w:ascii="Tahoma" w:hAnsi="Tahoma" w:eastAsia="Times New Roman" w:cs="Tahoma"/>
      <w:b/>
      <w:color w:val="000000"/>
      <w:sz w:val="24"/>
      <w:szCs w:val="24"/>
      <w:u w:val="none"/>
    </w:rPr>
  </w:style>
  <w:style w:type="character" w:customStyle="1" w:styleId="258">
    <w:name w:val="font01"/>
    <w:qFormat/>
    <w:uiPriority w:val="0"/>
    <w:rPr>
      <w:rFonts w:hint="eastAsia" w:ascii="微软雅黑" w:hAnsi="微软雅黑" w:eastAsia="微软雅黑" w:cs="微软雅黑"/>
      <w:i/>
      <w:color w:val="000000"/>
      <w:sz w:val="21"/>
      <w:szCs w:val="21"/>
      <w:u w:val="none"/>
    </w:rPr>
  </w:style>
  <w:style w:type="character" w:customStyle="1" w:styleId="259">
    <w:name w:val="正文文本 Char1"/>
    <w:qFormat/>
    <w:uiPriority w:val="0"/>
    <w:rPr>
      <w:sz w:val="21"/>
      <w:szCs w:val="22"/>
    </w:rPr>
  </w:style>
  <w:style w:type="character" w:customStyle="1" w:styleId="260">
    <w:name w:val="font11"/>
    <w:qFormat/>
    <w:uiPriority w:val="0"/>
    <w:rPr>
      <w:rFonts w:ascii="宋体" w:hAnsi="宋体" w:eastAsia="宋体" w:cs="宋体"/>
      <w:b/>
      <w:color w:val="000000"/>
      <w:sz w:val="24"/>
      <w:szCs w:val="24"/>
      <w:u w:val="none"/>
    </w:rPr>
  </w:style>
  <w:style w:type="character" w:customStyle="1" w:styleId="261">
    <w:name w:val="font31"/>
    <w:qFormat/>
    <w:uiPriority w:val="0"/>
    <w:rPr>
      <w:rFonts w:ascii="宋体" w:hAnsi="宋体" w:eastAsia="宋体" w:cs="宋体"/>
      <w:b/>
      <w:color w:val="000000"/>
      <w:sz w:val="22"/>
      <w:szCs w:val="22"/>
      <w:u w:val="none"/>
    </w:rPr>
  </w:style>
  <w:style w:type="character" w:customStyle="1" w:styleId="262">
    <w:name w:val="普通文字 Char Char1"/>
    <w:qFormat/>
    <w:uiPriority w:val="0"/>
    <w:rPr>
      <w:rFonts w:ascii="宋体" w:hAnsi="Courier New" w:eastAsia="宋体"/>
      <w:sz w:val="21"/>
      <w:szCs w:val="24"/>
      <w:lang w:val="en-US" w:eastAsia="zh-CN" w:bidi="ar-SA"/>
    </w:rPr>
  </w:style>
  <w:style w:type="character" w:customStyle="1" w:styleId="263">
    <w:name w:val="无缩进 Char"/>
    <w:qFormat/>
    <w:uiPriority w:val="0"/>
    <w:rPr>
      <w:rFonts w:ascii="宋体" w:hAnsi="宋体" w:eastAsia="宋体"/>
      <w:sz w:val="21"/>
      <w:lang w:val="en-US" w:eastAsia="zh-CN" w:bidi="ar-SA"/>
    </w:rPr>
  </w:style>
  <w:style w:type="character" w:customStyle="1" w:styleId="264">
    <w:name w:val="样式1 Char"/>
    <w:link w:val="265"/>
    <w:qFormat/>
    <w:uiPriority w:val="0"/>
    <w:rPr>
      <w:rFonts w:eastAsia="黑体"/>
      <w:bCs/>
      <w:sz w:val="24"/>
      <w:szCs w:val="24"/>
    </w:rPr>
  </w:style>
  <w:style w:type="paragraph" w:customStyle="1" w:styleId="265">
    <w:name w:val="样式1"/>
    <w:basedOn w:val="194"/>
    <w:link w:val="264"/>
    <w:qFormat/>
    <w:uiPriority w:val="0"/>
    <w:pPr>
      <w:numPr>
        <w:ilvl w:val="3"/>
        <w:numId w:val="2"/>
      </w:numPr>
      <w:tabs>
        <w:tab w:val="left" w:pos="780"/>
        <w:tab w:val="left" w:pos="1247"/>
      </w:tabs>
      <w:spacing w:before="0" w:after="0" w:line="360" w:lineRule="auto"/>
      <w:jc w:val="left"/>
    </w:pPr>
    <w:rPr>
      <w:rFonts w:ascii="Times New Roman" w:hAnsi="Times New Roman"/>
      <w:b w:val="0"/>
      <w:sz w:val="24"/>
      <w:szCs w:val="24"/>
    </w:rPr>
  </w:style>
  <w:style w:type="character" w:customStyle="1" w:styleId="266">
    <w:name w:val="页码1"/>
    <w:basedOn w:val="200"/>
    <w:qFormat/>
    <w:uiPriority w:val="0"/>
  </w:style>
  <w:style w:type="paragraph" w:customStyle="1" w:styleId="267">
    <w:name w:val="段"/>
    <w:qFormat/>
    <w:uiPriority w:val="0"/>
    <w:pPr>
      <w:tabs>
        <w:tab w:val="center" w:pos="4201"/>
        <w:tab w:val="right" w:leader="dot" w:pos="9298"/>
      </w:tabs>
      <w:ind w:firstLine="420"/>
      <w:jc w:val="both"/>
    </w:pPr>
    <w:rPr>
      <w:rFonts w:ascii="宋体" w:hAnsi="Calibri" w:eastAsia="宋体" w:cs="Times New Roman"/>
      <w:sz w:val="21"/>
      <w:szCs w:val="22"/>
      <w:lang w:val="en-US" w:eastAsia="zh-CN" w:bidi="ar-SA"/>
    </w:rPr>
  </w:style>
  <w:style w:type="paragraph" w:customStyle="1" w:styleId="268">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69">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270">
    <w:name w:val="正文_3_0"/>
    <w:qFormat/>
    <w:uiPriority w:val="0"/>
    <w:pPr>
      <w:widowControl w:val="0"/>
      <w:jc w:val="both"/>
    </w:pPr>
    <w:rPr>
      <w:rFonts w:ascii="Times New Roman" w:hAnsi="Times New Roman" w:eastAsia="宋体" w:cs="Calibri"/>
      <w:sz w:val="21"/>
      <w:szCs w:val="24"/>
      <w:lang w:val="en-US" w:eastAsia="zh-CN" w:bidi="ar-SA"/>
    </w:rPr>
  </w:style>
  <w:style w:type="paragraph" w:customStyle="1" w:styleId="271">
    <w:name w:val="正文_14"/>
    <w:qFormat/>
    <w:uiPriority w:val="0"/>
    <w:rPr>
      <w:rFonts w:ascii="Times New Roman" w:hAnsi="Times New Roman" w:eastAsia="宋体" w:cs="Calibri"/>
      <w:sz w:val="21"/>
      <w:lang w:val="en-US" w:eastAsia="zh-CN" w:bidi="ar-SA"/>
    </w:rPr>
  </w:style>
  <w:style w:type="paragraph" w:customStyle="1" w:styleId="272">
    <w:name w:val="Char Char Char Char Char Char Char Char Char1 Char"/>
    <w:basedOn w:val="1"/>
    <w:qFormat/>
    <w:uiPriority w:val="0"/>
    <w:rPr>
      <w:rFonts w:ascii="新宋体" w:hAnsi="新宋体" w:eastAsia="仿宋_GB2312" w:cs="新宋体"/>
    </w:rPr>
  </w:style>
  <w:style w:type="paragraph" w:customStyle="1" w:styleId="273">
    <w:name w:val="投标正文"/>
    <w:basedOn w:val="1"/>
    <w:qFormat/>
    <w:uiPriority w:val="0"/>
    <w:pPr>
      <w:spacing w:line="360" w:lineRule="auto"/>
      <w:ind w:left="100" w:firstLine="480"/>
    </w:pPr>
    <w:rPr>
      <w:sz w:val="24"/>
    </w:rPr>
  </w:style>
  <w:style w:type="paragraph" w:customStyle="1" w:styleId="274">
    <w:name w:val="正文缩进1"/>
    <w:basedOn w:val="1"/>
    <w:qFormat/>
    <w:uiPriority w:val="0"/>
    <w:pPr>
      <w:ind w:firstLine="420"/>
    </w:pPr>
    <w:rPr>
      <w:rFonts w:ascii="Calibri" w:hAnsi="Calibri"/>
      <w:sz w:val="20"/>
      <w:szCs w:val="20"/>
    </w:rPr>
  </w:style>
  <w:style w:type="paragraph" w:customStyle="1" w:styleId="275">
    <w:name w:val="reader-word-layer"/>
    <w:basedOn w:val="1"/>
    <w:qFormat/>
    <w:uiPriority w:val="0"/>
    <w:pPr>
      <w:widowControl/>
      <w:spacing w:before="100" w:beforeAutospacing="1" w:after="100" w:afterAutospacing="1"/>
      <w:jc w:val="left"/>
    </w:pPr>
    <w:rPr>
      <w:rFonts w:ascii="宋体" w:hAnsi="宋体" w:cs="宋体"/>
      <w:sz w:val="24"/>
    </w:rPr>
  </w:style>
  <w:style w:type="paragraph" w:customStyle="1" w:styleId="276">
    <w:name w:val="段落文字"/>
    <w:basedOn w:val="1"/>
    <w:qFormat/>
    <w:uiPriority w:val="0"/>
    <w:pPr>
      <w:spacing w:line="360" w:lineRule="auto"/>
      <w:ind w:firstLine="535"/>
    </w:pPr>
    <w:rPr>
      <w:sz w:val="28"/>
    </w:rPr>
  </w:style>
  <w:style w:type="paragraph" w:customStyle="1" w:styleId="277">
    <w:name w:val="正文_17"/>
    <w:qFormat/>
    <w:uiPriority w:val="0"/>
    <w:pPr>
      <w:widowControl w:val="0"/>
      <w:jc w:val="both"/>
    </w:pPr>
    <w:rPr>
      <w:rFonts w:ascii="Times New Roman" w:hAnsi="Times New Roman" w:eastAsia="宋体" w:cs="Calibri"/>
      <w:sz w:val="21"/>
      <w:szCs w:val="24"/>
      <w:lang w:val="en-US" w:eastAsia="zh-CN" w:bidi="ar-SA"/>
    </w:rPr>
  </w:style>
  <w:style w:type="paragraph" w:customStyle="1" w:styleId="278">
    <w:name w:val="正文_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79">
    <w:name w:val="正文2"/>
    <w:basedOn w:val="1"/>
    <w:qFormat/>
    <w:uiPriority w:val="0"/>
    <w:pPr>
      <w:spacing w:before="156" w:line="360" w:lineRule="auto"/>
      <w:ind w:firstLine="510"/>
    </w:pPr>
    <w:rPr>
      <w:sz w:val="24"/>
      <w:szCs w:val="20"/>
    </w:rPr>
  </w:style>
  <w:style w:type="paragraph" w:customStyle="1" w:styleId="280">
    <w:name w:val="日期1"/>
    <w:basedOn w:val="1"/>
    <w:next w:val="1"/>
    <w:qFormat/>
    <w:uiPriority w:val="0"/>
    <w:pPr>
      <w:ind w:left="100"/>
    </w:pPr>
  </w:style>
  <w:style w:type="paragraph" w:customStyle="1" w:styleId="281">
    <w:name w:val="正文段"/>
    <w:basedOn w:val="1"/>
    <w:qFormat/>
    <w:uiPriority w:val="0"/>
    <w:pPr>
      <w:widowControl/>
      <w:spacing w:after="156"/>
      <w:ind w:firstLine="200"/>
    </w:pPr>
    <w:rPr>
      <w:sz w:val="24"/>
      <w:szCs w:val="20"/>
    </w:rPr>
  </w:style>
  <w:style w:type="paragraph" w:customStyle="1" w:styleId="282">
    <w:name w:val="Table Paragraph"/>
    <w:basedOn w:val="1"/>
    <w:qFormat/>
    <w:uiPriority w:val="0"/>
    <w:pPr>
      <w:jc w:val="left"/>
    </w:pPr>
    <w:rPr>
      <w:sz w:val="24"/>
    </w:rPr>
  </w:style>
  <w:style w:type="paragraph" w:customStyle="1" w:styleId="283">
    <w:name w:val="List Paragraph1"/>
    <w:basedOn w:val="1"/>
    <w:qFormat/>
    <w:uiPriority w:val="0"/>
    <w:pPr>
      <w:ind w:firstLine="420"/>
    </w:pPr>
    <w:rPr>
      <w:rFonts w:ascii="Calibri" w:hAnsi="Calibri"/>
      <w:szCs w:val="22"/>
    </w:rPr>
  </w:style>
  <w:style w:type="paragraph" w:customStyle="1" w:styleId="284">
    <w:name w:val="Blockquote"/>
    <w:basedOn w:val="1"/>
    <w:qFormat/>
    <w:uiPriority w:val="0"/>
    <w:pPr>
      <w:spacing w:before="100" w:after="100"/>
      <w:ind w:left="360" w:right="360"/>
      <w:jc w:val="left"/>
    </w:pPr>
    <w:rPr>
      <w:sz w:val="24"/>
      <w:szCs w:val="20"/>
    </w:rPr>
  </w:style>
  <w:style w:type="paragraph" w:customStyle="1" w:styleId="285">
    <w:name w:val="默认段落字体 Para Char Char Char Char Char Char Char Char Char1 Char Char Char Char"/>
    <w:basedOn w:val="1"/>
    <w:qFormat/>
    <w:uiPriority w:val="0"/>
    <w:rPr>
      <w:rFonts w:ascii="Tahoma" w:hAnsi="Tahoma"/>
      <w:sz w:val="24"/>
      <w:szCs w:val="20"/>
    </w:rPr>
  </w:style>
  <w:style w:type="paragraph" w:styleId="286">
    <w:name w:val="List Paragraph"/>
    <w:basedOn w:val="1"/>
    <w:qFormat/>
    <w:uiPriority w:val="0"/>
    <w:pPr>
      <w:jc w:val="left"/>
    </w:pPr>
    <w:rPr>
      <w:sz w:val="24"/>
    </w:rPr>
  </w:style>
  <w:style w:type="paragraph" w:customStyle="1" w:styleId="287">
    <w:name w:val="样式 列表编号 + 段后: 0.5 行"/>
    <w:basedOn w:val="213"/>
    <w:qFormat/>
    <w:uiPriority w:val="0"/>
    <w:pPr>
      <w:numPr>
        <w:ilvl w:val="0"/>
        <w:numId w:val="4"/>
      </w:numPr>
      <w:tabs>
        <w:tab w:val="left" w:pos="780"/>
      </w:tabs>
      <w:spacing w:before="0" w:beforeAutospacing="0" w:after="156" w:afterAutospacing="0"/>
    </w:pPr>
    <w:rPr>
      <w:rFonts w:ascii="Times New Roman" w:hAnsi="Times New Roman" w:cs="Times New Roman"/>
      <w:szCs w:val="20"/>
    </w:rPr>
  </w:style>
  <w:style w:type="paragraph" w:customStyle="1" w:styleId="288">
    <w:name w:val="正文_4"/>
    <w:qFormat/>
    <w:uiPriority w:val="0"/>
    <w:pPr>
      <w:widowControl w:val="0"/>
      <w:jc w:val="both"/>
    </w:pPr>
    <w:rPr>
      <w:rFonts w:ascii="Times New Roman" w:hAnsi="Times New Roman" w:eastAsia="宋体" w:cs="Calibri"/>
      <w:sz w:val="21"/>
      <w:szCs w:val="24"/>
      <w:lang w:val="en-US" w:eastAsia="zh-CN" w:bidi="ar-SA"/>
    </w:rPr>
  </w:style>
  <w:style w:type="paragraph" w:customStyle="1" w:styleId="289">
    <w:name w:val="正文_5"/>
    <w:qFormat/>
    <w:uiPriority w:val="0"/>
    <w:pPr>
      <w:widowControl w:val="0"/>
      <w:jc w:val="both"/>
    </w:pPr>
    <w:rPr>
      <w:rFonts w:ascii="Times New Roman" w:hAnsi="Times New Roman" w:eastAsia="宋体" w:cs="Calibri"/>
      <w:sz w:val="21"/>
      <w:szCs w:val="24"/>
      <w:lang w:val="en-US" w:eastAsia="zh-CN" w:bidi="ar-SA"/>
    </w:rPr>
  </w:style>
  <w:style w:type="paragraph" w:customStyle="1" w:styleId="290">
    <w:name w:val="Char Char Char Char Char Char Char Char Char Char Char Char1 Char"/>
    <w:basedOn w:val="216"/>
    <w:qFormat/>
    <w:uiPriority w:val="0"/>
    <w:rPr>
      <w:sz w:val="28"/>
    </w:rPr>
  </w:style>
  <w:style w:type="paragraph" w:customStyle="1" w:styleId="291">
    <w:name w:val="二级条标题"/>
    <w:next w:val="1"/>
    <w:qFormat/>
    <w:uiPriority w:val="0"/>
    <w:pPr>
      <w:outlineLvl w:val="3"/>
    </w:pPr>
    <w:rPr>
      <w:rFonts w:ascii="Times New Roman" w:hAnsi="Times New Roman" w:eastAsia="宋体" w:cs="Times New Roman"/>
      <w:lang w:val="en-US" w:eastAsia="zh-CN" w:bidi="ar-SA"/>
    </w:rPr>
  </w:style>
  <w:style w:type="paragraph" w:customStyle="1" w:styleId="292">
    <w:name w:val="_Style 26"/>
    <w:basedOn w:val="1"/>
    <w:qFormat/>
    <w:uiPriority w:val="0"/>
    <w:pPr>
      <w:widowControl/>
      <w:spacing w:after="160" w:line="240" w:lineRule="exact"/>
      <w:ind w:firstLine="560"/>
      <w:jc w:val="left"/>
    </w:pPr>
    <w:rPr>
      <w:rFonts w:ascii="Verdana" w:hAnsi="Verdana" w:eastAsia="仿宋_GB2312" w:cs="Verdana"/>
      <w:sz w:val="24"/>
      <w:szCs w:val="20"/>
      <w:lang w:eastAsia="en-US"/>
    </w:rPr>
  </w:style>
  <w:style w:type="paragraph" w:customStyle="1" w:styleId="293">
    <w:name w:val="正文_2_0"/>
    <w:qFormat/>
    <w:uiPriority w:val="0"/>
    <w:pPr>
      <w:widowControl w:val="0"/>
      <w:jc w:val="both"/>
    </w:pPr>
    <w:rPr>
      <w:rFonts w:ascii="Times New Roman" w:hAnsi="Times New Roman" w:eastAsia="宋体" w:cs="Calibri"/>
      <w:sz w:val="21"/>
      <w:szCs w:val="24"/>
      <w:lang w:val="en-US" w:eastAsia="zh-CN" w:bidi="ar-SA"/>
    </w:rPr>
  </w:style>
  <w:style w:type="paragraph" w:customStyle="1" w:styleId="294">
    <w:name w:val="列出段落1"/>
    <w:basedOn w:val="1"/>
    <w:qFormat/>
    <w:uiPriority w:val="99"/>
    <w:pPr>
      <w:ind w:firstLine="420"/>
    </w:pPr>
    <w:rPr>
      <w:rFonts w:ascii="Calibri" w:hAnsi="Calibri"/>
      <w:szCs w:val="22"/>
    </w:rPr>
  </w:style>
  <w:style w:type="paragraph" w:customStyle="1" w:styleId="295">
    <w:name w:val="xl31"/>
    <w:basedOn w:val="1"/>
    <w:qFormat/>
    <w:uiPriority w:val="0"/>
    <w:pPr>
      <w:widowControl/>
      <w:spacing w:before="100" w:beforeAutospacing="1" w:after="100" w:afterAutospacing="1"/>
      <w:jc w:val="center"/>
    </w:pPr>
    <w:rPr>
      <w:rFonts w:ascii="宋体" w:hAnsi="宋体"/>
      <w:b/>
      <w:bCs/>
      <w:sz w:val="32"/>
      <w:szCs w:val="32"/>
    </w:rPr>
  </w:style>
  <w:style w:type="paragraph" w:customStyle="1" w:styleId="296">
    <w:name w:val="zheng"/>
    <w:basedOn w:val="1"/>
    <w:qFormat/>
    <w:uiPriority w:val="0"/>
    <w:pPr>
      <w:ind w:firstLine="318"/>
    </w:pPr>
    <w:rPr>
      <w:rFonts w:ascii="宋体" w:hAnsi="宋体"/>
    </w:rPr>
  </w:style>
  <w:style w:type="paragraph" w:customStyle="1" w:styleId="297">
    <w:name w:val="Char Char Char Char Char Char Char Char Char Char Char Char Char"/>
    <w:basedOn w:val="1"/>
    <w:qFormat/>
    <w:uiPriority w:val="0"/>
    <w:rPr>
      <w:rFonts w:ascii="Tahoma" w:hAnsi="Tahoma"/>
      <w:sz w:val="24"/>
      <w:szCs w:val="20"/>
    </w:rPr>
  </w:style>
  <w:style w:type="paragraph" w:customStyle="1" w:styleId="298">
    <w:name w:val="纯文本1"/>
    <w:basedOn w:val="1"/>
    <w:next w:val="280"/>
    <w:qFormat/>
    <w:uiPriority w:val="0"/>
    <w:rPr>
      <w:rFonts w:ascii="宋体" w:hAnsi="Courier New"/>
    </w:rPr>
  </w:style>
  <w:style w:type="character" w:customStyle="1" w:styleId="299">
    <w:name w:val="NormalCharacter1"/>
    <w:qFormat/>
    <w:uiPriority w:val="0"/>
  </w:style>
  <w:style w:type="paragraph" w:customStyle="1" w:styleId="300">
    <w:name w:val="zw"/>
    <w:basedOn w:val="1"/>
    <w:qFormat/>
    <w:uiPriority w:val="0"/>
    <w:pPr>
      <w:widowControl/>
      <w:spacing w:before="30"/>
      <w:ind w:left="100" w:right="100"/>
    </w:pPr>
    <w:rPr>
      <w:rFonts w:ascii="方正书宋简体" w:hAnsi="宋体" w:eastAsia="方正书宋简体"/>
      <w:color w:val="000000"/>
      <w:szCs w:val="21"/>
    </w:rPr>
  </w:style>
  <w:style w:type="character" w:customStyle="1" w:styleId="301">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cg</Company>
  <Pages>30</Pages>
  <Words>12500</Words>
  <Characters>12846</Characters>
  <Lines>1</Lines>
  <Paragraphs>1</Paragraphs>
  <TotalTime>6</TotalTime>
  <ScaleCrop>false</ScaleCrop>
  <LinksUpToDate>false</LinksUpToDate>
  <CharactersWithSpaces>16530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2025-10-16T18:10:00Z</dcterms:created>
  <dc:creator>陈建</dc:creator>
  <cp:lastModifiedBy>WPS</cp:lastModifiedBy>
  <dcterms:modified xsi:type="dcterms:W3CDTF">2025-10-31T06:16:06Z</dcterms:modified>
  <dc:title>台州市政府采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88EC616A14CB4698B67C7147ADD45162_13</vt:lpwstr>
  </property>
  <property fmtid="{D5CDD505-2E9C-101B-9397-08002B2CF9AE}" pid="4" name="KSOTemplateDocerSaveRecord">
    <vt:lpwstr>eyJoZGlkIjoiOGUyZTI3YmQ1N2I0Nzg0MjUzMzQ5YmE2NTU4YmVlZmIiLCJ1c2VySWQiOiIyMzY3ODczMjMifQ==</vt:lpwstr>
  </property>
</Properties>
</file>