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C5EFA">
      <w:pPr>
        <w:jc w:val="center"/>
        <w:rPr>
          <w:rFonts w:ascii="宋体" w:hAnsi="宋体" w:eastAsia="宋体" w:cs="宋体"/>
          <w:b/>
          <w:bCs/>
          <w:kern w:val="36"/>
          <w:sz w:val="44"/>
          <w:szCs w:val="44"/>
        </w:rPr>
      </w:pPr>
      <w:bookmarkStart w:id="0" w:name="_Toc197855124"/>
      <w:bookmarkStart w:id="1" w:name="_Toc345680005"/>
      <w:bookmarkStart w:id="2" w:name="_Toc260052801"/>
      <w:bookmarkStart w:id="3" w:name="_Toc197855002"/>
      <w:bookmarkStart w:id="4" w:name="_Toc197855230"/>
      <w:bookmarkStart w:id="5" w:name="_Toc194913689"/>
      <w:bookmarkStart w:id="6" w:name="_Toc197855060"/>
      <w:bookmarkStart w:id="7" w:name="_Toc197855084"/>
      <w:bookmarkStart w:id="8" w:name="_Toc279155481"/>
      <w:bookmarkStart w:id="9" w:name="_Toc288556308"/>
      <w:bookmarkStart w:id="10" w:name="_Toc194913661"/>
      <w:bookmarkStart w:id="11" w:name="_Toc279656821"/>
    </w:p>
    <w:p w14:paraId="13D40ECC">
      <w:pPr>
        <w:jc w:val="center"/>
        <w:rPr>
          <w:rFonts w:ascii="宋体" w:hAnsi="宋体" w:eastAsia="宋体" w:cs="宋体"/>
          <w:b/>
          <w:bCs/>
          <w:kern w:val="36"/>
          <w:sz w:val="44"/>
          <w:szCs w:val="44"/>
        </w:rPr>
      </w:pPr>
      <w:r>
        <w:rPr>
          <w:rFonts w:hint="eastAsia" w:ascii="宋体" w:hAnsi="宋体" w:eastAsia="宋体" w:cs="宋体"/>
          <w:b/>
          <w:bCs/>
          <w:kern w:val="36"/>
          <w:sz w:val="44"/>
          <w:szCs w:val="44"/>
        </w:rPr>
        <w:t xml:space="preserve">2025年三门县省道桥梁预防性养护工程  </w:t>
      </w:r>
    </w:p>
    <w:p w14:paraId="4FC7C383">
      <w:pPr>
        <w:pStyle w:val="48"/>
      </w:pPr>
    </w:p>
    <w:p w14:paraId="3DD8D014"/>
    <w:p w14:paraId="26E4AE95">
      <w:pPr>
        <w:jc w:val="center"/>
        <w:rPr>
          <w:rFonts w:ascii="宋体" w:hAnsi="宋体" w:eastAsia="宋体" w:cs="宋体"/>
          <w:sz w:val="84"/>
        </w:rPr>
      </w:pPr>
      <w:r>
        <w:rPr>
          <w:rFonts w:hint="eastAsia" w:ascii="宋体" w:hAnsi="宋体" w:eastAsia="宋体" w:cs="宋体"/>
          <w:sz w:val="72"/>
          <w:szCs w:val="72"/>
        </w:rPr>
        <w:t>施工招标文件</w:t>
      </w:r>
    </w:p>
    <w:p w14:paraId="4E5752CE">
      <w:pPr>
        <w:spacing w:line="360" w:lineRule="auto"/>
        <w:jc w:val="center"/>
        <w:rPr>
          <w:rFonts w:ascii="宋体" w:hAnsi="宋体" w:eastAsia="宋体" w:cs="宋体"/>
          <w:b/>
          <w:bCs/>
          <w:sz w:val="36"/>
          <w:szCs w:val="36"/>
        </w:rPr>
      </w:pPr>
    </w:p>
    <w:p w14:paraId="714110D4">
      <w:pPr>
        <w:spacing w:line="360" w:lineRule="auto"/>
        <w:jc w:val="center"/>
        <w:rPr>
          <w:rFonts w:ascii="宋体" w:hAnsi="宋体" w:eastAsia="宋体" w:cs="宋体"/>
          <w:b/>
          <w:sz w:val="36"/>
          <w:szCs w:val="36"/>
        </w:rPr>
      </w:pPr>
      <w:r>
        <w:rPr>
          <w:rFonts w:hint="eastAsia" w:ascii="宋体" w:hAnsi="宋体" w:eastAsia="宋体" w:cs="宋体"/>
          <w:b/>
          <w:bCs/>
          <w:sz w:val="36"/>
          <w:szCs w:val="36"/>
        </w:rPr>
        <w:t>备案登记号：ZJBH</w:t>
      </w:r>
      <w:r>
        <w:rPr>
          <w:rFonts w:hint="eastAsia" w:ascii="宋体" w:hAnsi="宋体" w:eastAsia="宋体" w:cs="宋体"/>
          <w:b/>
          <w:sz w:val="30"/>
          <w:szCs w:val="30"/>
        </w:rPr>
        <w:t>【2025】013号</w:t>
      </w:r>
    </w:p>
    <w:p w14:paraId="24940903">
      <w:pPr>
        <w:spacing w:line="360" w:lineRule="auto"/>
        <w:rPr>
          <w:rFonts w:ascii="宋体" w:hAnsi="宋体" w:eastAsia="宋体" w:cs="宋体"/>
          <w:b/>
          <w:sz w:val="32"/>
        </w:rPr>
      </w:pPr>
    </w:p>
    <w:p w14:paraId="67D68958">
      <w:pPr>
        <w:spacing w:line="360" w:lineRule="auto"/>
        <w:rPr>
          <w:rFonts w:ascii="宋体" w:hAnsi="宋体" w:eastAsia="宋体" w:cs="宋体"/>
          <w:b/>
          <w:sz w:val="32"/>
        </w:rPr>
      </w:pPr>
    </w:p>
    <w:p w14:paraId="060B59FB">
      <w:pPr>
        <w:spacing w:line="360" w:lineRule="auto"/>
        <w:rPr>
          <w:rFonts w:ascii="宋体" w:hAnsi="宋体" w:eastAsia="宋体" w:cs="宋体"/>
          <w:b/>
          <w:sz w:val="32"/>
        </w:rPr>
      </w:pPr>
    </w:p>
    <w:p w14:paraId="6682AFA9">
      <w:pPr>
        <w:pStyle w:val="48"/>
      </w:pPr>
    </w:p>
    <w:p w14:paraId="4C962D29">
      <w:pPr>
        <w:spacing w:line="360" w:lineRule="auto"/>
        <w:rPr>
          <w:rFonts w:ascii="宋体" w:hAnsi="宋体" w:eastAsia="宋体" w:cs="宋体"/>
          <w:b/>
          <w:sz w:val="32"/>
        </w:rPr>
      </w:pPr>
    </w:p>
    <w:p w14:paraId="4D5EB173">
      <w:pPr>
        <w:spacing w:line="360" w:lineRule="auto"/>
        <w:rPr>
          <w:rFonts w:ascii="宋体" w:hAnsi="宋体" w:eastAsia="宋体" w:cs="宋体"/>
          <w:b/>
          <w:sz w:val="32"/>
        </w:rPr>
      </w:pPr>
    </w:p>
    <w:p w14:paraId="0C865853">
      <w:pPr>
        <w:pStyle w:val="48"/>
      </w:pPr>
    </w:p>
    <w:tbl>
      <w:tblPr>
        <w:tblStyle w:val="52"/>
        <w:tblW w:w="0" w:type="auto"/>
        <w:jc w:val="center"/>
        <w:tblLayout w:type="fixed"/>
        <w:tblCellMar>
          <w:top w:w="0" w:type="dxa"/>
          <w:left w:w="108" w:type="dxa"/>
          <w:bottom w:w="0" w:type="dxa"/>
          <w:right w:w="108" w:type="dxa"/>
        </w:tblCellMar>
      </w:tblPr>
      <w:tblGrid>
        <w:gridCol w:w="2170"/>
        <w:gridCol w:w="14"/>
        <w:gridCol w:w="239"/>
        <w:gridCol w:w="14"/>
        <w:gridCol w:w="5574"/>
        <w:gridCol w:w="33"/>
      </w:tblGrid>
      <w:tr w14:paraId="79DEB040">
        <w:tblPrEx>
          <w:tblCellMar>
            <w:top w:w="0" w:type="dxa"/>
            <w:left w:w="108" w:type="dxa"/>
            <w:bottom w:w="0" w:type="dxa"/>
            <w:right w:w="108" w:type="dxa"/>
          </w:tblCellMar>
        </w:tblPrEx>
        <w:trPr>
          <w:gridAfter w:val="1"/>
          <w:wAfter w:w="33" w:type="dxa"/>
          <w:trHeight w:val="756" w:hRule="atLeast"/>
          <w:jc w:val="center"/>
        </w:trPr>
        <w:tc>
          <w:tcPr>
            <w:tcW w:w="2170" w:type="dxa"/>
            <w:vAlign w:val="center"/>
          </w:tcPr>
          <w:p w14:paraId="43792448">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招标人</w:t>
            </w:r>
          </w:p>
        </w:tc>
        <w:tc>
          <w:tcPr>
            <w:tcW w:w="253" w:type="dxa"/>
            <w:gridSpan w:val="2"/>
            <w:vAlign w:val="center"/>
          </w:tcPr>
          <w:p w14:paraId="1E8AE715">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w:t>
            </w:r>
          </w:p>
        </w:tc>
        <w:tc>
          <w:tcPr>
            <w:tcW w:w="5588" w:type="dxa"/>
            <w:gridSpan w:val="2"/>
            <w:vAlign w:val="center"/>
          </w:tcPr>
          <w:p w14:paraId="74CBE63B">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三门县公路与运输管理中心</w:t>
            </w:r>
          </w:p>
        </w:tc>
      </w:tr>
      <w:tr w14:paraId="01246F2C">
        <w:tblPrEx>
          <w:tblCellMar>
            <w:top w:w="0" w:type="dxa"/>
            <w:left w:w="108" w:type="dxa"/>
            <w:bottom w:w="0" w:type="dxa"/>
            <w:right w:w="108" w:type="dxa"/>
          </w:tblCellMar>
        </w:tblPrEx>
        <w:trPr>
          <w:gridAfter w:val="1"/>
          <w:wAfter w:w="33" w:type="dxa"/>
          <w:trHeight w:val="756" w:hRule="atLeast"/>
          <w:jc w:val="center"/>
        </w:trPr>
        <w:tc>
          <w:tcPr>
            <w:tcW w:w="2170" w:type="dxa"/>
            <w:vAlign w:val="center"/>
          </w:tcPr>
          <w:p w14:paraId="077CBD8F">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招标代理人</w:t>
            </w:r>
          </w:p>
        </w:tc>
        <w:tc>
          <w:tcPr>
            <w:tcW w:w="253" w:type="dxa"/>
            <w:gridSpan w:val="2"/>
            <w:vAlign w:val="center"/>
          </w:tcPr>
          <w:p w14:paraId="17C2F372">
            <w:pPr>
              <w:adjustRightInd w:val="0"/>
              <w:snapToGrid w:val="0"/>
              <w:spacing w:line="440" w:lineRule="exact"/>
              <w:jc w:val="distribute"/>
              <w:rPr>
                <w:rFonts w:ascii="Times New Roman" w:hAnsi="Times New Roman" w:eastAsia="宋体"/>
                <w:sz w:val="32"/>
                <w:szCs w:val="28"/>
              </w:rPr>
            </w:pPr>
            <w:r>
              <w:rPr>
                <w:rFonts w:ascii="Times New Roman" w:hAnsi="Times New Roman" w:eastAsia="宋体"/>
                <w:sz w:val="32"/>
                <w:szCs w:val="28"/>
              </w:rPr>
              <w:t>：</w:t>
            </w:r>
          </w:p>
        </w:tc>
        <w:tc>
          <w:tcPr>
            <w:tcW w:w="5588" w:type="dxa"/>
            <w:gridSpan w:val="2"/>
            <w:vAlign w:val="center"/>
          </w:tcPr>
          <w:p w14:paraId="02C89367">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浙江滨海工程咨询有限公司</w:t>
            </w:r>
          </w:p>
        </w:tc>
      </w:tr>
      <w:tr w14:paraId="2A357B98">
        <w:tblPrEx>
          <w:tblCellMar>
            <w:top w:w="0" w:type="dxa"/>
            <w:left w:w="108" w:type="dxa"/>
            <w:bottom w:w="0" w:type="dxa"/>
            <w:right w:w="108" w:type="dxa"/>
          </w:tblCellMar>
        </w:tblPrEx>
        <w:trPr>
          <w:trHeight w:val="1036" w:hRule="atLeast"/>
          <w:jc w:val="center"/>
        </w:trPr>
        <w:tc>
          <w:tcPr>
            <w:tcW w:w="2184" w:type="dxa"/>
            <w:gridSpan w:val="2"/>
            <w:vAlign w:val="center"/>
          </w:tcPr>
          <w:p w14:paraId="26557081">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项目主管部门</w:t>
            </w:r>
          </w:p>
        </w:tc>
        <w:tc>
          <w:tcPr>
            <w:tcW w:w="253" w:type="dxa"/>
            <w:gridSpan w:val="2"/>
            <w:vAlign w:val="center"/>
          </w:tcPr>
          <w:p w14:paraId="1EEBDAF6">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w:t>
            </w:r>
          </w:p>
        </w:tc>
        <w:tc>
          <w:tcPr>
            <w:tcW w:w="5607" w:type="dxa"/>
            <w:gridSpan w:val="2"/>
            <w:vAlign w:val="center"/>
          </w:tcPr>
          <w:p w14:paraId="45BBD9F1">
            <w:pPr>
              <w:adjustRightInd w:val="0"/>
              <w:snapToGrid w:val="0"/>
              <w:spacing w:line="440" w:lineRule="exact"/>
              <w:jc w:val="distribute"/>
              <w:rPr>
                <w:rFonts w:ascii="Times New Roman" w:hAnsi="Times New Roman" w:eastAsia="宋体"/>
                <w:sz w:val="32"/>
                <w:szCs w:val="28"/>
              </w:rPr>
            </w:pPr>
            <w:r>
              <w:rPr>
                <w:rFonts w:hint="eastAsia" w:ascii="Times New Roman" w:hAnsi="Times New Roman" w:eastAsia="宋体"/>
                <w:sz w:val="32"/>
                <w:szCs w:val="28"/>
              </w:rPr>
              <w:t>三门县交通运输局</w:t>
            </w:r>
          </w:p>
        </w:tc>
      </w:tr>
    </w:tbl>
    <w:p w14:paraId="786933BB">
      <w:pPr>
        <w:pStyle w:val="48"/>
        <w:jc w:val="both"/>
      </w:pPr>
    </w:p>
    <w:p w14:paraId="124C268C">
      <w:pPr>
        <w:jc w:val="center"/>
        <w:rPr>
          <w:rFonts w:ascii="Times New Roman" w:hAnsi="Times New Roman" w:eastAsia="宋体"/>
          <w:sz w:val="32"/>
          <w:szCs w:val="28"/>
        </w:rPr>
      </w:pPr>
      <w:r>
        <w:rPr>
          <w:rFonts w:ascii="Times New Roman" w:hAnsi="Times New Roman" w:eastAsia="宋体"/>
          <w:sz w:val="32"/>
          <w:szCs w:val="28"/>
        </w:rPr>
        <w:t xml:space="preserve">二 〇 二 </w:t>
      </w:r>
      <w:r>
        <w:rPr>
          <w:rFonts w:hint="eastAsia" w:ascii="Times New Roman" w:hAnsi="Times New Roman" w:eastAsia="宋体"/>
          <w:sz w:val="32"/>
          <w:szCs w:val="28"/>
        </w:rPr>
        <w:t>五</w:t>
      </w:r>
      <w:r>
        <w:rPr>
          <w:rFonts w:ascii="Times New Roman" w:hAnsi="Times New Roman" w:eastAsia="宋体"/>
          <w:sz w:val="32"/>
          <w:szCs w:val="28"/>
        </w:rPr>
        <w:t xml:space="preserve"> 年</w:t>
      </w:r>
      <w:r>
        <w:rPr>
          <w:rFonts w:hint="eastAsia" w:ascii="Times New Roman" w:hAnsi="Times New Roman" w:eastAsia="宋体"/>
          <w:sz w:val="32"/>
          <w:szCs w:val="28"/>
        </w:rPr>
        <w:t xml:space="preserve"> 九 </w:t>
      </w:r>
      <w:r>
        <w:rPr>
          <w:rFonts w:ascii="Times New Roman" w:hAnsi="Times New Roman" w:eastAsia="宋体"/>
          <w:sz w:val="32"/>
          <w:szCs w:val="28"/>
        </w:rPr>
        <w:t>月</w:t>
      </w:r>
      <w:bookmarkEnd w:id="0"/>
      <w:bookmarkEnd w:id="1"/>
      <w:bookmarkEnd w:id="2"/>
      <w:bookmarkEnd w:id="3"/>
      <w:bookmarkEnd w:id="4"/>
      <w:bookmarkEnd w:id="5"/>
      <w:bookmarkEnd w:id="6"/>
      <w:bookmarkEnd w:id="7"/>
      <w:bookmarkEnd w:id="8"/>
      <w:bookmarkEnd w:id="9"/>
      <w:bookmarkEnd w:id="10"/>
      <w:bookmarkEnd w:id="11"/>
    </w:p>
    <w:p w14:paraId="6D936967">
      <w:pPr>
        <w:widowControl/>
        <w:jc w:val="left"/>
        <w:rPr>
          <w:rFonts w:ascii="宋体" w:hAnsi="宋体" w:eastAsia="宋体" w:cs="宋体"/>
          <w:sz w:val="48"/>
          <w:szCs w:val="48"/>
        </w:rPr>
      </w:pPr>
      <w:r>
        <w:rPr>
          <w:rFonts w:ascii="宋体" w:hAnsi="宋体" w:eastAsia="宋体" w:cs="宋体"/>
          <w:sz w:val="48"/>
          <w:szCs w:val="48"/>
        </w:rPr>
        <w:br w:type="page"/>
      </w:r>
    </w:p>
    <w:p w14:paraId="2C3C92AD">
      <w:pPr>
        <w:jc w:val="center"/>
        <w:rPr>
          <w:rFonts w:ascii="宋体" w:hAnsi="宋体"/>
          <w:b/>
          <w:bCs/>
          <w:sz w:val="44"/>
        </w:rPr>
      </w:pPr>
      <w:r>
        <w:rPr>
          <w:rFonts w:hint="eastAsia" w:ascii="宋体" w:hAnsi="宋体"/>
          <w:b/>
          <w:bCs/>
          <w:sz w:val="44"/>
        </w:rPr>
        <w:t>三   门   县</w:t>
      </w:r>
    </w:p>
    <w:p w14:paraId="04B6B5C8">
      <w:pPr>
        <w:jc w:val="center"/>
        <w:rPr>
          <w:rFonts w:ascii="宋体" w:hAnsi="宋体"/>
          <w:b/>
          <w:bCs/>
          <w:spacing w:val="120"/>
          <w:sz w:val="44"/>
        </w:rPr>
      </w:pPr>
      <w:r>
        <w:rPr>
          <w:rFonts w:hint="eastAsia" w:ascii="宋体" w:hAnsi="宋体"/>
          <w:b/>
          <w:bCs/>
          <w:spacing w:val="120"/>
          <w:sz w:val="44"/>
        </w:rPr>
        <w:t>建设工程招标文件</w:t>
      </w:r>
    </w:p>
    <w:p w14:paraId="5EF448B3">
      <w:pPr>
        <w:spacing w:before="240" w:beforeLines="100" w:line="440" w:lineRule="exact"/>
        <w:jc w:val="center"/>
        <w:rPr>
          <w:rFonts w:ascii="仿宋_GB2312" w:hAnsi="宋体"/>
          <w:b/>
          <w:bCs/>
          <w:sz w:val="32"/>
          <w:szCs w:val="32"/>
        </w:rPr>
      </w:pPr>
      <w:r>
        <w:rPr>
          <w:b/>
          <w:sz w:val="32"/>
          <w:szCs w:val="32"/>
        </w:rPr>
        <w:t>备案登记号：</w:t>
      </w:r>
      <w:r>
        <w:rPr>
          <w:rFonts w:hint="eastAsia"/>
          <w:b/>
          <w:sz w:val="32"/>
          <w:szCs w:val="32"/>
        </w:rPr>
        <w:t xml:space="preserve">ZJBH[2024]013 </w:t>
      </w:r>
      <w:r>
        <w:rPr>
          <w:b/>
          <w:sz w:val="32"/>
          <w:szCs w:val="32"/>
        </w:rPr>
        <w:t>号</w:t>
      </w:r>
    </w:p>
    <w:p w14:paraId="5384076D">
      <w:pPr>
        <w:spacing w:line="640" w:lineRule="exact"/>
        <w:ind w:firstLine="567" w:firstLineChars="269"/>
        <w:rPr>
          <w:rFonts w:ascii="仿宋_GB2312" w:hAnsi="宋体"/>
          <w:b/>
          <w:bCs/>
        </w:rPr>
      </w:pPr>
    </w:p>
    <w:p w14:paraId="32CBCB44">
      <w:pPr>
        <w:spacing w:line="640" w:lineRule="exact"/>
        <w:ind w:firstLine="567" w:firstLineChars="269"/>
        <w:rPr>
          <w:rFonts w:ascii="仿宋_GB2312" w:hAnsi="宋体"/>
          <w:b/>
          <w:bCs/>
        </w:rPr>
      </w:pPr>
    </w:p>
    <w:p w14:paraId="269D1887">
      <w:pPr>
        <w:spacing w:line="640" w:lineRule="exact"/>
        <w:ind w:firstLine="753" w:firstLineChars="269"/>
        <w:rPr>
          <w:rFonts w:ascii="仿宋_GB2312" w:hAnsi="宋体"/>
          <w:bCs/>
          <w:sz w:val="28"/>
          <w:szCs w:val="28"/>
        </w:rPr>
      </w:pPr>
      <w:r>
        <w:rPr>
          <w:rFonts w:hint="eastAsia" w:ascii="仿宋_GB2312" w:hAnsi="宋体"/>
          <w:bCs/>
          <w:sz w:val="28"/>
          <w:szCs w:val="28"/>
        </w:rPr>
        <w:t>项目名称：2025年三门县省道桥梁预防性养护工程</w:t>
      </w:r>
    </w:p>
    <w:p w14:paraId="694E5795">
      <w:pPr>
        <w:spacing w:line="640" w:lineRule="exact"/>
        <w:ind w:firstLine="753" w:firstLineChars="269"/>
        <w:rPr>
          <w:rFonts w:ascii="仿宋_GB2312" w:hAnsi="宋体"/>
          <w:bCs/>
          <w:sz w:val="28"/>
          <w:szCs w:val="28"/>
        </w:rPr>
      </w:pPr>
      <w:r>
        <w:rPr>
          <w:rFonts w:hint="eastAsia" w:ascii="仿宋_GB2312" w:hAnsi="宋体"/>
          <w:bCs/>
          <w:sz w:val="28"/>
          <w:szCs w:val="28"/>
        </w:rPr>
        <w:t>招 标 人： 三门县公路与运输管理中心（盖章）</w:t>
      </w:r>
    </w:p>
    <w:p w14:paraId="391BDFBA">
      <w:pPr>
        <w:spacing w:line="640" w:lineRule="exact"/>
        <w:ind w:firstLine="753" w:firstLineChars="269"/>
        <w:rPr>
          <w:rFonts w:ascii="仿宋_GB2312" w:hAnsi="宋体"/>
          <w:bCs/>
          <w:sz w:val="28"/>
          <w:szCs w:val="28"/>
        </w:rPr>
      </w:pPr>
      <w:r>
        <w:rPr>
          <w:rFonts w:hint="eastAsia" w:ascii="仿宋_GB2312" w:hAnsi="宋体"/>
          <w:bCs/>
          <w:sz w:val="28"/>
          <w:szCs w:val="28"/>
        </w:rPr>
        <w:t>联 系 人：章竣强</w:t>
      </w:r>
    </w:p>
    <w:p w14:paraId="4543FCC7">
      <w:pPr>
        <w:spacing w:line="640" w:lineRule="exact"/>
        <w:ind w:firstLine="753" w:firstLineChars="269"/>
        <w:rPr>
          <w:rFonts w:ascii="仿宋_GB2312" w:hAnsi="宋体"/>
          <w:bCs/>
          <w:sz w:val="28"/>
          <w:szCs w:val="28"/>
        </w:rPr>
      </w:pPr>
      <w:r>
        <w:rPr>
          <w:rFonts w:hint="eastAsia" w:ascii="仿宋_GB2312" w:hAnsi="宋体"/>
          <w:bCs/>
          <w:sz w:val="28"/>
          <w:szCs w:val="28"/>
        </w:rPr>
        <w:t xml:space="preserve">联系电话：13566837396 </w:t>
      </w:r>
    </w:p>
    <w:p w14:paraId="361B0379">
      <w:pPr>
        <w:spacing w:line="640" w:lineRule="exact"/>
        <w:rPr>
          <w:rFonts w:ascii="仿宋_GB2312" w:hAnsi="宋体"/>
          <w:bCs/>
        </w:rPr>
      </w:pPr>
    </w:p>
    <w:p w14:paraId="468761E3">
      <w:pPr>
        <w:spacing w:line="640" w:lineRule="exact"/>
        <w:rPr>
          <w:rFonts w:ascii="仿宋_GB2312" w:hAnsi="宋体"/>
          <w:bCs/>
        </w:rPr>
      </w:pPr>
    </w:p>
    <w:p w14:paraId="217882D7">
      <w:pPr>
        <w:spacing w:line="640" w:lineRule="exact"/>
        <w:rPr>
          <w:rFonts w:ascii="仿宋_GB2312" w:hAnsi="宋体"/>
          <w:bCs/>
        </w:rPr>
      </w:pPr>
    </w:p>
    <w:p w14:paraId="56AF4CF3">
      <w:pPr>
        <w:spacing w:line="640" w:lineRule="exact"/>
        <w:ind w:firstLine="753" w:firstLineChars="269"/>
        <w:rPr>
          <w:rFonts w:ascii="仿宋_GB2312" w:hAnsi="宋体"/>
          <w:bCs/>
          <w:sz w:val="28"/>
          <w:szCs w:val="28"/>
        </w:rPr>
      </w:pPr>
      <w:r>
        <w:rPr>
          <w:rFonts w:hint="eastAsia" w:ascii="仿宋_GB2312" w:hAnsi="宋体"/>
          <w:bCs/>
          <w:sz w:val="28"/>
          <w:szCs w:val="28"/>
        </w:rPr>
        <w:t>招标代理人：浙江滨海工程咨询有限公司（盖章）</w:t>
      </w:r>
    </w:p>
    <w:p w14:paraId="33B056F9">
      <w:pPr>
        <w:spacing w:line="640" w:lineRule="exact"/>
        <w:ind w:firstLine="753" w:firstLineChars="269"/>
        <w:rPr>
          <w:rFonts w:ascii="仿宋_GB2312" w:hAnsi="宋体"/>
          <w:bCs/>
          <w:sz w:val="28"/>
          <w:szCs w:val="28"/>
        </w:rPr>
      </w:pPr>
      <w:r>
        <w:rPr>
          <w:rFonts w:hint="eastAsia" w:ascii="仿宋_GB2312" w:hAnsi="宋体"/>
          <w:bCs/>
          <w:sz w:val="28"/>
          <w:szCs w:val="28"/>
        </w:rPr>
        <w:t>联  系  人：毛利明</w:t>
      </w:r>
    </w:p>
    <w:p w14:paraId="038AA729">
      <w:pPr>
        <w:spacing w:line="640" w:lineRule="exact"/>
        <w:ind w:firstLine="753" w:firstLineChars="269"/>
        <w:rPr>
          <w:rFonts w:ascii="仿宋_GB2312" w:hAnsi="宋体"/>
          <w:bCs/>
          <w:sz w:val="28"/>
          <w:szCs w:val="28"/>
        </w:rPr>
      </w:pPr>
      <w:r>
        <w:rPr>
          <w:rFonts w:hint="eastAsia" w:ascii="仿宋_GB2312" w:hAnsi="宋体"/>
          <w:bCs/>
          <w:sz w:val="28"/>
          <w:szCs w:val="28"/>
        </w:rPr>
        <w:t xml:space="preserve">联系电话：0576-83331699 </w:t>
      </w:r>
    </w:p>
    <w:p w14:paraId="7329C69D">
      <w:pPr>
        <w:spacing w:line="640" w:lineRule="exact"/>
        <w:ind w:firstLine="564" w:firstLineChars="269"/>
        <w:rPr>
          <w:rFonts w:ascii="仿宋_GB2312" w:hAnsi="宋体"/>
          <w:bCs/>
        </w:rPr>
      </w:pPr>
    </w:p>
    <w:p w14:paraId="462E14DD">
      <w:pPr>
        <w:pStyle w:val="48"/>
      </w:pPr>
    </w:p>
    <w:p w14:paraId="71F71178">
      <w:pPr>
        <w:spacing w:line="640" w:lineRule="exact"/>
        <w:ind w:firstLine="753" w:firstLineChars="269"/>
        <w:rPr>
          <w:rFonts w:ascii="仿宋_GB2312" w:hAnsi="宋体"/>
          <w:bCs/>
          <w:sz w:val="28"/>
          <w:szCs w:val="28"/>
        </w:rPr>
      </w:pPr>
      <w:r>
        <w:rPr>
          <w:rFonts w:hint="eastAsia" w:ascii="仿宋_GB2312" w:hAnsi="宋体"/>
          <w:bCs/>
          <w:sz w:val="28"/>
          <w:szCs w:val="28"/>
        </w:rPr>
        <w:t>项目主管部门：三门县交通运输局（盖章）</w:t>
      </w:r>
    </w:p>
    <w:p w14:paraId="195E13ED">
      <w:pPr>
        <w:pStyle w:val="48"/>
      </w:pPr>
    </w:p>
    <w:p w14:paraId="096C0794">
      <w:r>
        <w:rPr>
          <w:rFonts w:hint="eastAsia" w:ascii="仿宋_GB2312" w:hAnsi="宋体"/>
          <w:bCs/>
        </w:rPr>
        <w:t xml:space="preserve">                               </w:t>
      </w:r>
      <w:r>
        <w:rPr>
          <w:rFonts w:hint="eastAsia" w:ascii="仿宋_GB2312" w:hAnsi="宋体"/>
          <w:bCs/>
          <w:sz w:val="28"/>
          <w:szCs w:val="28"/>
        </w:rPr>
        <w:t xml:space="preserve">   二○二五年九月  </w:t>
      </w:r>
      <w:r>
        <w:rPr>
          <w:rFonts w:hint="eastAsia"/>
        </w:rPr>
        <w:t xml:space="preserve"> </w:t>
      </w:r>
    </w:p>
    <w:p w14:paraId="1F0965A9">
      <w:pPr>
        <w:widowControl/>
        <w:jc w:val="left"/>
        <w:rPr>
          <w:rFonts w:ascii="宋体" w:hAnsi="宋体" w:eastAsia="宋体" w:cs="宋体"/>
          <w:sz w:val="48"/>
          <w:szCs w:val="48"/>
        </w:rPr>
      </w:pPr>
    </w:p>
    <w:p w14:paraId="6813EC12">
      <w:pPr>
        <w:jc w:val="center"/>
        <w:rPr>
          <w:rFonts w:ascii="宋体" w:hAnsi="宋体" w:eastAsia="宋体" w:cs="宋体"/>
          <w:sz w:val="48"/>
          <w:szCs w:val="48"/>
        </w:rPr>
      </w:pPr>
    </w:p>
    <w:p w14:paraId="704B0C3F">
      <w:pPr>
        <w:jc w:val="center"/>
        <w:rPr>
          <w:rFonts w:ascii="宋体" w:hAnsi="宋体" w:eastAsia="宋体" w:cs="宋体"/>
          <w:sz w:val="48"/>
          <w:szCs w:val="48"/>
        </w:rPr>
      </w:pPr>
      <w:r>
        <w:rPr>
          <w:rFonts w:hint="eastAsia" w:ascii="宋体" w:hAnsi="宋体" w:eastAsia="宋体" w:cs="宋体"/>
          <w:sz w:val="48"/>
          <w:szCs w:val="48"/>
        </w:rPr>
        <w:t>说 明</w:t>
      </w:r>
    </w:p>
    <w:p w14:paraId="129D7144">
      <w:pPr>
        <w:spacing w:line="420" w:lineRule="exact"/>
        <w:rPr>
          <w:rFonts w:ascii="宋体" w:hAnsi="宋体" w:eastAsia="宋体" w:cs="宋体"/>
          <w:sz w:val="24"/>
        </w:rPr>
      </w:pPr>
    </w:p>
    <w:p w14:paraId="1BCA3DBD">
      <w:pPr>
        <w:pStyle w:val="21"/>
        <w:spacing w:before="410" w:line="360" w:lineRule="auto"/>
        <w:ind w:right="463" w:firstLine="384"/>
      </w:pPr>
      <w:r>
        <w:rPr>
          <w:rFonts w:hint="eastAsia"/>
          <w:spacing w:val="-9"/>
        </w:rPr>
        <w:t xml:space="preserve">一、浙江省 </w:t>
      </w:r>
      <w:r>
        <w:rPr>
          <w:rFonts w:hint="eastAsia"/>
          <w:u w:val="single"/>
        </w:rPr>
        <w:t>三门县2025年普通省道路基路面养护工程</w:t>
      </w:r>
      <w:r>
        <w:rPr>
          <w:rFonts w:hint="eastAsia"/>
        </w:rPr>
        <w:t>施工招标文件以《中华人民共和国招标投</w:t>
      </w:r>
      <w:r>
        <w:rPr>
          <w:rFonts w:hint="eastAsia"/>
          <w:spacing w:val="-2"/>
        </w:rPr>
        <w:t>标法》、《中华人民共和国招标投标法实施条例》、《浙江省招标投标条例》、中华人民共和国《标</w:t>
      </w:r>
      <w:r>
        <w:rPr>
          <w:rFonts w:hint="eastAsia"/>
          <w:spacing w:val="-4"/>
        </w:rPr>
        <w:t>准施工招标文件》（2007</w:t>
      </w:r>
      <w:r>
        <w:rPr>
          <w:rFonts w:hint="eastAsia"/>
          <w:spacing w:val="-22"/>
        </w:rPr>
        <w:t xml:space="preserve"> 年版</w:t>
      </w:r>
      <w:r>
        <w:rPr>
          <w:rFonts w:hint="eastAsia"/>
          <w:spacing w:val="-4"/>
        </w:rPr>
        <w:t>）、《浙江省公路养护工程施工招标文件范本》（2024</w:t>
      </w:r>
      <w:r>
        <w:rPr>
          <w:rFonts w:hint="eastAsia"/>
          <w:spacing w:val="-20"/>
        </w:rPr>
        <w:t xml:space="preserve"> 年版</w:t>
      </w:r>
      <w:r>
        <w:rPr>
          <w:rFonts w:hint="eastAsia"/>
          <w:spacing w:val="-4"/>
        </w:rPr>
        <w:t>）为依据，</w:t>
      </w:r>
      <w:r>
        <w:rPr>
          <w:rFonts w:hint="eastAsia"/>
          <w:spacing w:val="-2"/>
        </w:rPr>
        <w:t>结合本项目的具体特点和实际需要编制而成，结合本项目的特点和实际需要编制而成。</w:t>
      </w:r>
    </w:p>
    <w:p w14:paraId="578FC408">
      <w:pPr>
        <w:pStyle w:val="21"/>
        <w:spacing w:line="355" w:lineRule="auto"/>
        <w:ind w:right="463" w:firstLine="412"/>
        <w:rPr>
          <w:rFonts w:hint="eastAsia"/>
        </w:rPr>
      </w:pPr>
      <w:r>
        <w:rPr>
          <w:rFonts w:hint="eastAsia"/>
          <w:spacing w:val="-2"/>
        </w:rPr>
        <w:t>招标文件不加修改地引用了《标准施工招标文件》和《浙江省公路养护工程施工招标文件范本》中的“投标人须知”、“评标办法”、“通用合同条款”正文。</w:t>
      </w:r>
    </w:p>
    <w:p w14:paraId="7E35C6F0">
      <w:pPr>
        <w:pStyle w:val="21"/>
        <w:spacing w:before="1" w:line="355" w:lineRule="auto"/>
        <w:ind w:right="569" w:firstLine="412"/>
        <w:rPr>
          <w:rFonts w:hint="eastAsia"/>
        </w:rPr>
      </w:pPr>
      <w:r>
        <w:rPr>
          <w:rFonts w:hint="eastAsia"/>
          <w:spacing w:val="-2"/>
        </w:rPr>
        <w:t>二、《标准施工招标文件》、《浙江省公路养护工程施工招标文件范本》中“投标人须知”、 “评标办法”、“通用合同条款”是必须遵循的通用条款和规定，针对本项目的具体特点和实际情</w:t>
      </w:r>
      <w:r>
        <w:rPr>
          <w:rFonts w:hint="eastAsia"/>
          <w:spacing w:val="-6"/>
        </w:rPr>
        <w:t>况：</w:t>
      </w:r>
    </w:p>
    <w:p w14:paraId="6E5A415D">
      <w:pPr>
        <w:pStyle w:val="21"/>
        <w:spacing w:before="4" w:line="355" w:lineRule="auto"/>
        <w:ind w:right="569" w:firstLine="412"/>
        <w:rPr>
          <w:rFonts w:hint="eastAsia"/>
        </w:rPr>
      </w:pPr>
      <w:r>
        <w:rPr>
          <w:rFonts w:hint="eastAsia"/>
          <w:spacing w:val="-2"/>
        </w:rPr>
        <w:t>在“投标人须知前附表”和“评标办法前附表”中对“投标人须知”、“评标办法”进行了补充和细化。</w:t>
      </w:r>
    </w:p>
    <w:p w14:paraId="5EC13A09">
      <w:pPr>
        <w:pStyle w:val="21"/>
        <w:spacing w:before="4" w:line="355" w:lineRule="auto"/>
        <w:ind w:right="569" w:firstLine="412"/>
        <w:rPr>
          <w:rFonts w:hint="eastAsia"/>
        </w:rPr>
      </w:pPr>
      <w:r>
        <w:rPr>
          <w:rFonts w:hint="eastAsia"/>
          <w:spacing w:val="-3"/>
        </w:rPr>
        <w:t>在“项目专用合同条款”中，对“通用合同条款”进行了补充、细化或约定。</w:t>
      </w:r>
    </w:p>
    <w:p w14:paraId="445E6C55">
      <w:pPr>
        <w:pStyle w:val="21"/>
        <w:spacing w:before="138" w:line="355" w:lineRule="auto"/>
        <w:ind w:right="569" w:firstLine="396"/>
        <w:rPr>
          <w:rFonts w:hint="eastAsia"/>
        </w:rPr>
      </w:pPr>
      <w:r>
        <w:rPr>
          <w:rFonts w:hint="eastAsia"/>
          <w:spacing w:val="-6"/>
        </w:rPr>
        <w:t>三、招标文件中的《通用技术规范》直接引用了《浙江省公路养护工程施工招标文件范本》</w:t>
      </w:r>
      <w:r>
        <w:rPr>
          <w:rFonts w:hint="eastAsia"/>
          <w:spacing w:val="-4"/>
        </w:rPr>
        <w:t>（下</w:t>
      </w:r>
      <w:r>
        <w:rPr>
          <w:rFonts w:hint="eastAsia"/>
          <w:spacing w:val="-2"/>
        </w:rPr>
        <w:t>册）技术规范。</w:t>
      </w:r>
    </w:p>
    <w:p w14:paraId="2F179535">
      <w:pPr>
        <w:pStyle w:val="21"/>
        <w:spacing w:before="2" w:line="355" w:lineRule="auto"/>
        <w:ind w:right="566" w:firstLine="412"/>
        <w:rPr>
          <w:rFonts w:hint="eastAsia"/>
        </w:rPr>
      </w:pPr>
      <w:r>
        <w:rPr>
          <w:rFonts w:hint="eastAsia"/>
          <w:spacing w:val="-2"/>
        </w:rPr>
        <w:t>根据本项目的特点和实际需要，在“项目专用技术规范”中对“通用技术规范”进行了补充和</w:t>
      </w:r>
      <w:r>
        <w:rPr>
          <w:rFonts w:hint="eastAsia"/>
          <w:spacing w:val="-4"/>
        </w:rPr>
        <w:t>修改。</w:t>
      </w:r>
    </w:p>
    <w:p w14:paraId="59BFE431">
      <w:pPr>
        <w:pStyle w:val="21"/>
        <w:spacing w:before="5" w:line="355" w:lineRule="auto"/>
        <w:ind w:right="567" w:firstLine="412"/>
        <w:rPr>
          <w:rFonts w:hint="eastAsia"/>
        </w:rPr>
      </w:pPr>
      <w:r>
        <w:rPr>
          <w:rFonts w:hint="eastAsia"/>
          <w:spacing w:val="-2"/>
        </w:rPr>
        <w:t>四、投标人应按招标文件的要求认真编制投标文件，完整地响应招标文件的规定和内容，避免投标文件因不能通过评审而被拒绝。</w:t>
      </w:r>
    </w:p>
    <w:p w14:paraId="05636AC2">
      <w:pPr>
        <w:pStyle w:val="21"/>
        <w:spacing w:before="5" w:line="355" w:lineRule="auto"/>
        <w:ind w:right="567" w:firstLine="412"/>
        <w:rPr>
          <w:szCs w:val="21"/>
        </w:rPr>
      </w:pPr>
      <w:r>
        <w:rPr>
          <w:rFonts w:hint="eastAsia"/>
          <w:spacing w:val="-2"/>
        </w:rPr>
        <w:t>五、《浙江省公路养护工程施工招标文件范本》（下册）</w:t>
      </w:r>
      <w:r>
        <w:rPr>
          <w:rFonts w:hint="eastAsia"/>
          <w:spacing w:val="-4"/>
        </w:rPr>
        <w:t>由投标人自备。</w:t>
      </w:r>
    </w:p>
    <w:p w14:paraId="48355EDE">
      <w:pPr>
        <w:spacing w:line="400" w:lineRule="exact"/>
        <w:ind w:firstLine="480" w:firstLineChars="200"/>
        <w:jc w:val="center"/>
        <w:rPr>
          <w:rFonts w:ascii="宋体" w:hAnsi="宋体" w:eastAsia="宋体" w:cs="宋体"/>
          <w:sz w:val="36"/>
          <w:szCs w:val="36"/>
        </w:rPr>
      </w:pPr>
      <w:r>
        <w:rPr>
          <w:rFonts w:hint="eastAsia" w:ascii="宋体" w:hAnsi="宋体" w:eastAsia="宋体" w:cs="宋体"/>
          <w:sz w:val="24"/>
        </w:rPr>
        <w:br w:type="page"/>
      </w:r>
      <w:r>
        <w:rPr>
          <w:rFonts w:hint="eastAsia" w:ascii="宋体" w:hAnsi="宋体" w:eastAsia="宋体" w:cs="宋体"/>
          <w:sz w:val="36"/>
          <w:szCs w:val="36"/>
          <w:lang w:val="zh-CN"/>
        </w:rPr>
        <w:t>目  录</w:t>
      </w:r>
    </w:p>
    <w:p w14:paraId="301C56E0">
      <w:pPr>
        <w:pStyle w:val="36"/>
        <w:tabs>
          <w:tab w:val="right" w:leader="dot" w:pos="10069"/>
        </w:tabs>
      </w:pPr>
      <w:r>
        <w:rPr>
          <w:szCs w:val="21"/>
        </w:rPr>
        <w:fldChar w:fldCharType="begin"/>
      </w:r>
      <w:r>
        <w:rPr>
          <w:szCs w:val="21"/>
        </w:rPr>
        <w:instrText xml:space="preserve"> TOC \o "1-1" \h \z \u </w:instrText>
      </w:r>
      <w:r>
        <w:rPr>
          <w:szCs w:val="21"/>
        </w:rPr>
        <w:fldChar w:fldCharType="separate"/>
      </w:r>
      <w:r>
        <w:rPr>
          <w:szCs w:val="21"/>
        </w:rPr>
        <w:fldChar w:fldCharType="begin"/>
      </w:r>
      <w:r>
        <w:rPr>
          <w:szCs w:val="21"/>
        </w:rPr>
        <w:instrText xml:space="preserve"> HYPERLINK \l _Toc31683 </w:instrText>
      </w:r>
      <w:r>
        <w:rPr>
          <w:szCs w:val="21"/>
        </w:rPr>
        <w:fldChar w:fldCharType="separate"/>
      </w:r>
      <w:r>
        <w:rPr>
          <w:rFonts w:hint="eastAsia" w:ascii="宋体" w:hAnsi="宋体"/>
          <w:szCs w:val="72"/>
        </w:rPr>
        <w:t>第  一  卷</w:t>
      </w:r>
      <w:r>
        <w:tab/>
      </w:r>
      <w:r>
        <w:fldChar w:fldCharType="begin"/>
      </w:r>
      <w:r>
        <w:instrText xml:space="preserve"> PAGEREF _Toc31683 \h </w:instrText>
      </w:r>
      <w:r>
        <w:fldChar w:fldCharType="separate"/>
      </w:r>
      <w:r>
        <w:t>6</w:t>
      </w:r>
      <w:r>
        <w:fldChar w:fldCharType="end"/>
      </w:r>
      <w:r>
        <w:rPr>
          <w:szCs w:val="21"/>
        </w:rPr>
        <w:fldChar w:fldCharType="end"/>
      </w:r>
    </w:p>
    <w:p w14:paraId="457FC3BA">
      <w:pPr>
        <w:pStyle w:val="36"/>
        <w:tabs>
          <w:tab w:val="right" w:leader="dot" w:pos="10069"/>
        </w:tabs>
      </w:pPr>
      <w:r>
        <w:rPr>
          <w:szCs w:val="21"/>
        </w:rPr>
        <w:fldChar w:fldCharType="begin"/>
      </w:r>
      <w:r>
        <w:rPr>
          <w:szCs w:val="21"/>
        </w:rPr>
        <w:instrText xml:space="preserve"> HYPERLINK \l _Toc809 </w:instrText>
      </w:r>
      <w:r>
        <w:rPr>
          <w:szCs w:val="21"/>
        </w:rPr>
        <w:fldChar w:fldCharType="separate"/>
      </w:r>
      <w:r>
        <w:rPr>
          <w:rFonts w:hint="eastAsia" w:ascii="宋体" w:hAnsi="宋体"/>
          <w:szCs w:val="30"/>
        </w:rPr>
        <w:t>第一章 招标公告</w:t>
      </w:r>
      <w:r>
        <w:tab/>
      </w:r>
      <w:r>
        <w:fldChar w:fldCharType="begin"/>
      </w:r>
      <w:r>
        <w:instrText xml:space="preserve"> PAGEREF _Toc809 \h </w:instrText>
      </w:r>
      <w:r>
        <w:fldChar w:fldCharType="separate"/>
      </w:r>
      <w:r>
        <w:t>7</w:t>
      </w:r>
      <w:r>
        <w:fldChar w:fldCharType="end"/>
      </w:r>
      <w:r>
        <w:rPr>
          <w:szCs w:val="21"/>
        </w:rPr>
        <w:fldChar w:fldCharType="end"/>
      </w:r>
    </w:p>
    <w:p w14:paraId="5641C8A8">
      <w:pPr>
        <w:pStyle w:val="36"/>
        <w:tabs>
          <w:tab w:val="right" w:leader="dot" w:pos="10069"/>
        </w:tabs>
      </w:pPr>
      <w:r>
        <w:rPr>
          <w:szCs w:val="21"/>
        </w:rPr>
        <w:fldChar w:fldCharType="begin"/>
      </w:r>
      <w:r>
        <w:rPr>
          <w:szCs w:val="21"/>
        </w:rPr>
        <w:instrText xml:space="preserve"> HYPERLINK \l _Toc18513 </w:instrText>
      </w:r>
      <w:r>
        <w:rPr>
          <w:szCs w:val="21"/>
        </w:rPr>
        <w:fldChar w:fldCharType="separate"/>
      </w:r>
      <w:r>
        <w:rPr>
          <w:rFonts w:hint="eastAsia" w:ascii="宋体" w:hAnsi="宋体"/>
          <w:szCs w:val="30"/>
        </w:rPr>
        <w:t>第二章  投标人须知</w:t>
      </w:r>
      <w:r>
        <w:tab/>
      </w:r>
      <w:r>
        <w:fldChar w:fldCharType="begin"/>
      </w:r>
      <w:r>
        <w:instrText xml:space="preserve"> PAGEREF _Toc18513 \h </w:instrText>
      </w:r>
      <w:r>
        <w:fldChar w:fldCharType="separate"/>
      </w:r>
      <w:r>
        <w:t>9</w:t>
      </w:r>
      <w:r>
        <w:fldChar w:fldCharType="end"/>
      </w:r>
      <w:r>
        <w:rPr>
          <w:szCs w:val="21"/>
        </w:rPr>
        <w:fldChar w:fldCharType="end"/>
      </w:r>
    </w:p>
    <w:p w14:paraId="6C966389">
      <w:pPr>
        <w:pStyle w:val="36"/>
        <w:tabs>
          <w:tab w:val="right" w:leader="dot" w:pos="10069"/>
        </w:tabs>
      </w:pPr>
      <w:r>
        <w:rPr>
          <w:szCs w:val="21"/>
        </w:rPr>
        <w:fldChar w:fldCharType="begin"/>
      </w:r>
      <w:r>
        <w:rPr>
          <w:szCs w:val="21"/>
        </w:rPr>
        <w:instrText xml:space="preserve"> HYPERLINK \l _Toc30849 </w:instrText>
      </w:r>
      <w:r>
        <w:rPr>
          <w:szCs w:val="21"/>
        </w:rPr>
        <w:fldChar w:fldCharType="separate"/>
      </w:r>
      <w:r>
        <w:rPr>
          <w:rFonts w:hint="eastAsia" w:ascii="宋体" w:hAnsi="宋体"/>
          <w:szCs w:val="30"/>
        </w:rPr>
        <w:t>投标人须知前附表</w:t>
      </w:r>
      <w:r>
        <w:tab/>
      </w:r>
      <w:r>
        <w:fldChar w:fldCharType="begin"/>
      </w:r>
      <w:r>
        <w:instrText xml:space="preserve"> PAGEREF _Toc30849 \h </w:instrText>
      </w:r>
      <w:r>
        <w:fldChar w:fldCharType="separate"/>
      </w:r>
      <w:r>
        <w:t>9</w:t>
      </w:r>
      <w:r>
        <w:fldChar w:fldCharType="end"/>
      </w:r>
      <w:r>
        <w:rPr>
          <w:szCs w:val="21"/>
        </w:rPr>
        <w:fldChar w:fldCharType="end"/>
      </w:r>
    </w:p>
    <w:p w14:paraId="31B60B64">
      <w:pPr>
        <w:pStyle w:val="36"/>
        <w:tabs>
          <w:tab w:val="right" w:leader="dot" w:pos="10069"/>
        </w:tabs>
      </w:pPr>
      <w:r>
        <w:rPr>
          <w:szCs w:val="21"/>
        </w:rPr>
        <w:fldChar w:fldCharType="begin"/>
      </w:r>
      <w:r>
        <w:rPr>
          <w:szCs w:val="21"/>
        </w:rPr>
        <w:instrText xml:space="preserve"> HYPERLINK \l _Toc29679 </w:instrText>
      </w:r>
      <w:r>
        <w:rPr>
          <w:szCs w:val="21"/>
        </w:rPr>
        <w:fldChar w:fldCharType="separate"/>
      </w:r>
      <w:r>
        <w:rPr>
          <w:rFonts w:hint="eastAsia" w:ascii="宋体" w:hAnsi="宋体"/>
          <w:szCs w:val="24"/>
        </w:rPr>
        <w:t>附录1   资格审查条件(资质最低条件)</w:t>
      </w:r>
      <w:r>
        <w:tab/>
      </w:r>
      <w:r>
        <w:fldChar w:fldCharType="begin"/>
      </w:r>
      <w:r>
        <w:instrText xml:space="preserve"> PAGEREF _Toc29679 \h </w:instrText>
      </w:r>
      <w:r>
        <w:fldChar w:fldCharType="separate"/>
      </w:r>
      <w:r>
        <w:t>15</w:t>
      </w:r>
      <w:r>
        <w:fldChar w:fldCharType="end"/>
      </w:r>
      <w:r>
        <w:rPr>
          <w:szCs w:val="21"/>
        </w:rPr>
        <w:fldChar w:fldCharType="end"/>
      </w:r>
    </w:p>
    <w:p w14:paraId="05511063">
      <w:pPr>
        <w:pStyle w:val="36"/>
        <w:tabs>
          <w:tab w:val="right" w:leader="dot" w:pos="10069"/>
        </w:tabs>
      </w:pPr>
      <w:r>
        <w:rPr>
          <w:szCs w:val="21"/>
        </w:rPr>
        <w:fldChar w:fldCharType="begin"/>
      </w:r>
      <w:r>
        <w:rPr>
          <w:szCs w:val="21"/>
        </w:rPr>
        <w:instrText xml:space="preserve"> HYPERLINK \l _Toc31962 </w:instrText>
      </w:r>
      <w:r>
        <w:rPr>
          <w:szCs w:val="21"/>
        </w:rPr>
        <w:fldChar w:fldCharType="separate"/>
      </w:r>
      <w:r>
        <w:rPr>
          <w:rFonts w:hint="eastAsia" w:ascii="宋体" w:hAnsi="宋体"/>
          <w:szCs w:val="24"/>
        </w:rPr>
        <w:t>附录2   资格审查条件(财务最低要求)</w:t>
      </w:r>
      <w:r>
        <w:tab/>
      </w:r>
      <w:r>
        <w:fldChar w:fldCharType="begin"/>
      </w:r>
      <w:r>
        <w:instrText xml:space="preserve"> PAGEREF _Toc31962 \h </w:instrText>
      </w:r>
      <w:r>
        <w:fldChar w:fldCharType="separate"/>
      </w:r>
      <w:r>
        <w:t>15</w:t>
      </w:r>
      <w:r>
        <w:fldChar w:fldCharType="end"/>
      </w:r>
      <w:r>
        <w:rPr>
          <w:szCs w:val="21"/>
        </w:rPr>
        <w:fldChar w:fldCharType="end"/>
      </w:r>
    </w:p>
    <w:p w14:paraId="53FBD875">
      <w:pPr>
        <w:pStyle w:val="36"/>
        <w:tabs>
          <w:tab w:val="right" w:leader="dot" w:pos="10069"/>
        </w:tabs>
      </w:pPr>
      <w:r>
        <w:rPr>
          <w:szCs w:val="21"/>
        </w:rPr>
        <w:fldChar w:fldCharType="begin"/>
      </w:r>
      <w:r>
        <w:rPr>
          <w:szCs w:val="21"/>
        </w:rPr>
        <w:instrText xml:space="preserve"> HYPERLINK \l _Toc21223 </w:instrText>
      </w:r>
      <w:r>
        <w:rPr>
          <w:szCs w:val="21"/>
        </w:rPr>
        <w:fldChar w:fldCharType="separate"/>
      </w:r>
      <w:r>
        <w:rPr>
          <w:rFonts w:hint="eastAsia" w:ascii="宋体" w:hAnsi="宋体"/>
          <w:szCs w:val="24"/>
        </w:rPr>
        <w:t>附录3   资格审查条件(业绩最低要求)</w:t>
      </w:r>
      <w:r>
        <w:tab/>
      </w:r>
      <w:r>
        <w:fldChar w:fldCharType="begin"/>
      </w:r>
      <w:r>
        <w:instrText xml:space="preserve"> PAGEREF _Toc21223 \h </w:instrText>
      </w:r>
      <w:r>
        <w:fldChar w:fldCharType="separate"/>
      </w:r>
      <w:r>
        <w:t>16</w:t>
      </w:r>
      <w:r>
        <w:fldChar w:fldCharType="end"/>
      </w:r>
      <w:r>
        <w:rPr>
          <w:szCs w:val="21"/>
        </w:rPr>
        <w:fldChar w:fldCharType="end"/>
      </w:r>
    </w:p>
    <w:p w14:paraId="2BE70E99">
      <w:pPr>
        <w:pStyle w:val="36"/>
        <w:tabs>
          <w:tab w:val="right" w:leader="dot" w:pos="10069"/>
        </w:tabs>
      </w:pPr>
      <w:r>
        <w:rPr>
          <w:szCs w:val="21"/>
        </w:rPr>
        <w:fldChar w:fldCharType="begin"/>
      </w:r>
      <w:r>
        <w:rPr>
          <w:szCs w:val="21"/>
        </w:rPr>
        <w:instrText xml:space="preserve"> HYPERLINK \l _Toc5893 </w:instrText>
      </w:r>
      <w:r>
        <w:rPr>
          <w:szCs w:val="21"/>
        </w:rPr>
        <w:fldChar w:fldCharType="separate"/>
      </w:r>
      <w:r>
        <w:rPr>
          <w:rFonts w:hint="eastAsia" w:ascii="宋体" w:hAnsi="宋体"/>
          <w:szCs w:val="24"/>
        </w:rPr>
        <w:t>附录4   资格审查条件(信誉最低要求)</w:t>
      </w:r>
      <w:r>
        <w:tab/>
      </w:r>
      <w:r>
        <w:fldChar w:fldCharType="begin"/>
      </w:r>
      <w:r>
        <w:instrText xml:space="preserve"> PAGEREF _Toc5893 \h </w:instrText>
      </w:r>
      <w:r>
        <w:fldChar w:fldCharType="separate"/>
      </w:r>
      <w:r>
        <w:t>16</w:t>
      </w:r>
      <w:r>
        <w:fldChar w:fldCharType="end"/>
      </w:r>
      <w:r>
        <w:rPr>
          <w:szCs w:val="21"/>
        </w:rPr>
        <w:fldChar w:fldCharType="end"/>
      </w:r>
    </w:p>
    <w:p w14:paraId="5DDC396F">
      <w:pPr>
        <w:pStyle w:val="36"/>
        <w:tabs>
          <w:tab w:val="right" w:leader="dot" w:pos="10069"/>
        </w:tabs>
      </w:pPr>
      <w:r>
        <w:rPr>
          <w:szCs w:val="21"/>
        </w:rPr>
        <w:fldChar w:fldCharType="begin"/>
      </w:r>
      <w:r>
        <w:rPr>
          <w:szCs w:val="21"/>
        </w:rPr>
        <w:instrText xml:space="preserve"> HYPERLINK \l _Toc28109 </w:instrText>
      </w:r>
      <w:r>
        <w:rPr>
          <w:szCs w:val="21"/>
        </w:rPr>
        <w:fldChar w:fldCharType="separate"/>
      </w:r>
      <w:r>
        <w:rPr>
          <w:rFonts w:hint="eastAsia" w:ascii="宋体" w:hAnsi="宋体"/>
          <w:szCs w:val="24"/>
        </w:rPr>
        <w:t>附录5   资格审查条件(项目经理、项目技术负责人和安全负责人最低要求)</w:t>
      </w:r>
      <w:r>
        <w:tab/>
      </w:r>
      <w:r>
        <w:fldChar w:fldCharType="begin"/>
      </w:r>
      <w:r>
        <w:instrText xml:space="preserve"> PAGEREF _Toc28109 \h </w:instrText>
      </w:r>
      <w:r>
        <w:fldChar w:fldCharType="separate"/>
      </w:r>
      <w:r>
        <w:t>17</w:t>
      </w:r>
      <w:r>
        <w:fldChar w:fldCharType="end"/>
      </w:r>
      <w:r>
        <w:rPr>
          <w:szCs w:val="21"/>
        </w:rPr>
        <w:fldChar w:fldCharType="end"/>
      </w:r>
    </w:p>
    <w:p w14:paraId="471385ED">
      <w:pPr>
        <w:pStyle w:val="36"/>
        <w:tabs>
          <w:tab w:val="right" w:leader="dot" w:pos="10069"/>
        </w:tabs>
      </w:pPr>
      <w:r>
        <w:rPr>
          <w:szCs w:val="21"/>
        </w:rPr>
        <w:fldChar w:fldCharType="begin"/>
      </w:r>
      <w:r>
        <w:rPr>
          <w:szCs w:val="21"/>
        </w:rPr>
        <w:instrText xml:space="preserve"> HYPERLINK \l _Toc24127 </w:instrText>
      </w:r>
      <w:r>
        <w:rPr>
          <w:szCs w:val="21"/>
        </w:rPr>
        <w:fldChar w:fldCharType="separate"/>
      </w:r>
      <w:r>
        <w:rPr>
          <w:rFonts w:hint="eastAsia" w:ascii="宋体" w:hAnsi="宋体"/>
          <w:szCs w:val="21"/>
        </w:rPr>
        <w:t>1.1 项目概况</w:t>
      </w:r>
      <w:r>
        <w:tab/>
      </w:r>
      <w:r>
        <w:fldChar w:fldCharType="begin"/>
      </w:r>
      <w:r>
        <w:instrText xml:space="preserve"> PAGEREF _Toc24127 \h </w:instrText>
      </w:r>
      <w:r>
        <w:fldChar w:fldCharType="separate"/>
      </w:r>
      <w:r>
        <w:t>18</w:t>
      </w:r>
      <w:r>
        <w:fldChar w:fldCharType="end"/>
      </w:r>
      <w:r>
        <w:rPr>
          <w:szCs w:val="21"/>
        </w:rPr>
        <w:fldChar w:fldCharType="end"/>
      </w:r>
    </w:p>
    <w:p w14:paraId="07C275FD">
      <w:pPr>
        <w:pStyle w:val="36"/>
        <w:tabs>
          <w:tab w:val="right" w:leader="dot" w:pos="10069"/>
        </w:tabs>
      </w:pPr>
      <w:r>
        <w:rPr>
          <w:szCs w:val="21"/>
        </w:rPr>
        <w:fldChar w:fldCharType="begin"/>
      </w:r>
      <w:r>
        <w:rPr>
          <w:szCs w:val="21"/>
        </w:rPr>
        <w:instrText xml:space="preserve"> HYPERLINK \l _Toc21496 </w:instrText>
      </w:r>
      <w:r>
        <w:rPr>
          <w:szCs w:val="21"/>
        </w:rPr>
        <w:fldChar w:fldCharType="separate"/>
      </w:r>
      <w:r>
        <w:rPr>
          <w:rFonts w:hint="eastAsia" w:ascii="宋体" w:hAnsi="宋体"/>
          <w:szCs w:val="21"/>
        </w:rPr>
        <w:t>1.2 资金来源和落实情况</w:t>
      </w:r>
      <w:r>
        <w:tab/>
      </w:r>
      <w:r>
        <w:fldChar w:fldCharType="begin"/>
      </w:r>
      <w:r>
        <w:instrText xml:space="preserve"> PAGEREF _Toc21496 \h </w:instrText>
      </w:r>
      <w:r>
        <w:fldChar w:fldCharType="separate"/>
      </w:r>
      <w:r>
        <w:t>18</w:t>
      </w:r>
      <w:r>
        <w:fldChar w:fldCharType="end"/>
      </w:r>
      <w:r>
        <w:rPr>
          <w:szCs w:val="21"/>
        </w:rPr>
        <w:fldChar w:fldCharType="end"/>
      </w:r>
    </w:p>
    <w:p w14:paraId="0F35766B">
      <w:pPr>
        <w:pStyle w:val="36"/>
        <w:tabs>
          <w:tab w:val="right" w:leader="dot" w:pos="10069"/>
        </w:tabs>
      </w:pPr>
      <w:r>
        <w:rPr>
          <w:szCs w:val="21"/>
        </w:rPr>
        <w:fldChar w:fldCharType="begin"/>
      </w:r>
      <w:r>
        <w:rPr>
          <w:szCs w:val="21"/>
        </w:rPr>
        <w:instrText xml:space="preserve"> HYPERLINK \l _Toc27980 </w:instrText>
      </w:r>
      <w:r>
        <w:rPr>
          <w:szCs w:val="21"/>
        </w:rPr>
        <w:fldChar w:fldCharType="separate"/>
      </w:r>
      <w:r>
        <w:rPr>
          <w:rFonts w:hint="eastAsia" w:ascii="宋体" w:hAnsi="宋体"/>
          <w:szCs w:val="21"/>
        </w:rPr>
        <w:t>1.3 招标范围、计划工期和质量要求</w:t>
      </w:r>
      <w:r>
        <w:tab/>
      </w:r>
      <w:r>
        <w:fldChar w:fldCharType="begin"/>
      </w:r>
      <w:r>
        <w:instrText xml:space="preserve"> PAGEREF _Toc27980 \h </w:instrText>
      </w:r>
      <w:r>
        <w:fldChar w:fldCharType="separate"/>
      </w:r>
      <w:r>
        <w:t>18</w:t>
      </w:r>
      <w:r>
        <w:fldChar w:fldCharType="end"/>
      </w:r>
      <w:r>
        <w:rPr>
          <w:szCs w:val="21"/>
        </w:rPr>
        <w:fldChar w:fldCharType="end"/>
      </w:r>
    </w:p>
    <w:p w14:paraId="017BD5C0">
      <w:pPr>
        <w:pStyle w:val="36"/>
        <w:tabs>
          <w:tab w:val="right" w:leader="dot" w:pos="10069"/>
        </w:tabs>
      </w:pPr>
      <w:r>
        <w:rPr>
          <w:szCs w:val="21"/>
        </w:rPr>
        <w:fldChar w:fldCharType="begin"/>
      </w:r>
      <w:r>
        <w:rPr>
          <w:szCs w:val="21"/>
        </w:rPr>
        <w:instrText xml:space="preserve"> HYPERLINK \l _Toc707 </w:instrText>
      </w:r>
      <w:r>
        <w:rPr>
          <w:szCs w:val="21"/>
        </w:rPr>
        <w:fldChar w:fldCharType="separate"/>
      </w:r>
      <w:r>
        <w:rPr>
          <w:rFonts w:hint="eastAsia" w:ascii="宋体" w:hAnsi="宋体"/>
          <w:szCs w:val="21"/>
        </w:rPr>
        <w:t>1.4 投标人资格要求</w:t>
      </w:r>
      <w:r>
        <w:tab/>
      </w:r>
      <w:r>
        <w:fldChar w:fldCharType="begin"/>
      </w:r>
      <w:r>
        <w:instrText xml:space="preserve"> PAGEREF _Toc707 \h </w:instrText>
      </w:r>
      <w:r>
        <w:fldChar w:fldCharType="separate"/>
      </w:r>
      <w:r>
        <w:t>18</w:t>
      </w:r>
      <w:r>
        <w:fldChar w:fldCharType="end"/>
      </w:r>
      <w:r>
        <w:rPr>
          <w:szCs w:val="21"/>
        </w:rPr>
        <w:fldChar w:fldCharType="end"/>
      </w:r>
    </w:p>
    <w:p w14:paraId="216BC906">
      <w:pPr>
        <w:pStyle w:val="36"/>
        <w:tabs>
          <w:tab w:val="right" w:leader="dot" w:pos="10069"/>
        </w:tabs>
      </w:pPr>
      <w:r>
        <w:rPr>
          <w:szCs w:val="21"/>
        </w:rPr>
        <w:fldChar w:fldCharType="begin"/>
      </w:r>
      <w:r>
        <w:rPr>
          <w:szCs w:val="21"/>
        </w:rPr>
        <w:instrText xml:space="preserve"> HYPERLINK \l _Toc27451 </w:instrText>
      </w:r>
      <w:r>
        <w:rPr>
          <w:szCs w:val="21"/>
        </w:rPr>
        <w:fldChar w:fldCharType="separate"/>
      </w:r>
      <w:r>
        <w:rPr>
          <w:rFonts w:hint="eastAsia" w:ascii="宋体" w:hAnsi="宋体"/>
          <w:szCs w:val="21"/>
        </w:rPr>
        <w:t>1.5 费用承担</w:t>
      </w:r>
      <w:r>
        <w:tab/>
      </w:r>
      <w:r>
        <w:fldChar w:fldCharType="begin"/>
      </w:r>
      <w:r>
        <w:instrText xml:space="preserve"> PAGEREF _Toc27451 \h </w:instrText>
      </w:r>
      <w:r>
        <w:fldChar w:fldCharType="separate"/>
      </w:r>
      <w:r>
        <w:t>20</w:t>
      </w:r>
      <w:r>
        <w:fldChar w:fldCharType="end"/>
      </w:r>
      <w:r>
        <w:rPr>
          <w:szCs w:val="21"/>
        </w:rPr>
        <w:fldChar w:fldCharType="end"/>
      </w:r>
    </w:p>
    <w:p w14:paraId="35EDADA8">
      <w:pPr>
        <w:pStyle w:val="36"/>
        <w:tabs>
          <w:tab w:val="right" w:leader="dot" w:pos="10069"/>
        </w:tabs>
      </w:pPr>
      <w:r>
        <w:rPr>
          <w:szCs w:val="21"/>
        </w:rPr>
        <w:fldChar w:fldCharType="begin"/>
      </w:r>
      <w:r>
        <w:rPr>
          <w:szCs w:val="21"/>
        </w:rPr>
        <w:instrText xml:space="preserve"> HYPERLINK \l _Toc4016 </w:instrText>
      </w:r>
      <w:r>
        <w:rPr>
          <w:szCs w:val="21"/>
        </w:rPr>
        <w:fldChar w:fldCharType="separate"/>
      </w:r>
      <w:r>
        <w:rPr>
          <w:rFonts w:hint="eastAsia" w:ascii="宋体" w:hAnsi="宋体"/>
          <w:szCs w:val="21"/>
        </w:rPr>
        <w:t>1.6 保密</w:t>
      </w:r>
      <w:r>
        <w:tab/>
      </w:r>
      <w:r>
        <w:fldChar w:fldCharType="begin"/>
      </w:r>
      <w:r>
        <w:instrText xml:space="preserve"> PAGEREF _Toc4016 \h </w:instrText>
      </w:r>
      <w:r>
        <w:fldChar w:fldCharType="separate"/>
      </w:r>
      <w:r>
        <w:t>20</w:t>
      </w:r>
      <w:r>
        <w:fldChar w:fldCharType="end"/>
      </w:r>
      <w:r>
        <w:rPr>
          <w:szCs w:val="21"/>
        </w:rPr>
        <w:fldChar w:fldCharType="end"/>
      </w:r>
    </w:p>
    <w:p w14:paraId="79DAFCAC">
      <w:pPr>
        <w:pStyle w:val="36"/>
        <w:tabs>
          <w:tab w:val="right" w:leader="dot" w:pos="10069"/>
        </w:tabs>
      </w:pPr>
      <w:r>
        <w:rPr>
          <w:szCs w:val="21"/>
        </w:rPr>
        <w:fldChar w:fldCharType="begin"/>
      </w:r>
      <w:r>
        <w:rPr>
          <w:szCs w:val="21"/>
        </w:rPr>
        <w:instrText xml:space="preserve"> HYPERLINK \l _Toc16230 </w:instrText>
      </w:r>
      <w:r>
        <w:rPr>
          <w:szCs w:val="21"/>
        </w:rPr>
        <w:fldChar w:fldCharType="separate"/>
      </w:r>
      <w:r>
        <w:rPr>
          <w:rFonts w:hint="eastAsia" w:ascii="宋体" w:hAnsi="宋体"/>
          <w:szCs w:val="21"/>
        </w:rPr>
        <w:t>1.7 语言文字</w:t>
      </w:r>
      <w:r>
        <w:tab/>
      </w:r>
      <w:r>
        <w:fldChar w:fldCharType="begin"/>
      </w:r>
      <w:r>
        <w:instrText xml:space="preserve"> PAGEREF _Toc16230 \h </w:instrText>
      </w:r>
      <w:r>
        <w:fldChar w:fldCharType="separate"/>
      </w:r>
      <w:r>
        <w:t>20</w:t>
      </w:r>
      <w:r>
        <w:fldChar w:fldCharType="end"/>
      </w:r>
      <w:r>
        <w:rPr>
          <w:szCs w:val="21"/>
        </w:rPr>
        <w:fldChar w:fldCharType="end"/>
      </w:r>
    </w:p>
    <w:p w14:paraId="68E23748">
      <w:pPr>
        <w:pStyle w:val="36"/>
        <w:tabs>
          <w:tab w:val="right" w:leader="dot" w:pos="10069"/>
        </w:tabs>
      </w:pPr>
      <w:r>
        <w:rPr>
          <w:szCs w:val="21"/>
        </w:rPr>
        <w:fldChar w:fldCharType="begin"/>
      </w:r>
      <w:r>
        <w:rPr>
          <w:szCs w:val="21"/>
        </w:rPr>
        <w:instrText xml:space="preserve"> HYPERLINK \l _Toc29938 </w:instrText>
      </w:r>
      <w:r>
        <w:rPr>
          <w:szCs w:val="21"/>
        </w:rPr>
        <w:fldChar w:fldCharType="separate"/>
      </w:r>
      <w:r>
        <w:rPr>
          <w:rFonts w:hint="eastAsia" w:ascii="宋体" w:hAnsi="宋体"/>
          <w:szCs w:val="21"/>
        </w:rPr>
        <w:t>1.8 计量单位</w:t>
      </w:r>
      <w:r>
        <w:tab/>
      </w:r>
      <w:r>
        <w:fldChar w:fldCharType="begin"/>
      </w:r>
      <w:r>
        <w:instrText xml:space="preserve"> PAGEREF _Toc29938 \h </w:instrText>
      </w:r>
      <w:r>
        <w:fldChar w:fldCharType="separate"/>
      </w:r>
      <w:r>
        <w:t>20</w:t>
      </w:r>
      <w:r>
        <w:fldChar w:fldCharType="end"/>
      </w:r>
      <w:r>
        <w:rPr>
          <w:szCs w:val="21"/>
        </w:rPr>
        <w:fldChar w:fldCharType="end"/>
      </w:r>
    </w:p>
    <w:p w14:paraId="276691F9">
      <w:pPr>
        <w:pStyle w:val="36"/>
        <w:tabs>
          <w:tab w:val="right" w:leader="dot" w:pos="10069"/>
        </w:tabs>
      </w:pPr>
      <w:r>
        <w:rPr>
          <w:szCs w:val="21"/>
        </w:rPr>
        <w:fldChar w:fldCharType="begin"/>
      </w:r>
      <w:r>
        <w:rPr>
          <w:szCs w:val="21"/>
        </w:rPr>
        <w:instrText xml:space="preserve"> HYPERLINK \l _Toc29302 </w:instrText>
      </w:r>
      <w:r>
        <w:rPr>
          <w:szCs w:val="21"/>
        </w:rPr>
        <w:fldChar w:fldCharType="separate"/>
      </w:r>
      <w:r>
        <w:rPr>
          <w:rFonts w:hint="eastAsia" w:ascii="宋体" w:hAnsi="宋体"/>
          <w:szCs w:val="21"/>
        </w:rPr>
        <w:t>1.9 踏勘现场</w:t>
      </w:r>
      <w:r>
        <w:tab/>
      </w:r>
      <w:r>
        <w:fldChar w:fldCharType="begin"/>
      </w:r>
      <w:r>
        <w:instrText xml:space="preserve"> PAGEREF _Toc29302 \h </w:instrText>
      </w:r>
      <w:r>
        <w:fldChar w:fldCharType="separate"/>
      </w:r>
      <w:r>
        <w:t>20</w:t>
      </w:r>
      <w:r>
        <w:fldChar w:fldCharType="end"/>
      </w:r>
      <w:r>
        <w:rPr>
          <w:szCs w:val="21"/>
        </w:rPr>
        <w:fldChar w:fldCharType="end"/>
      </w:r>
    </w:p>
    <w:p w14:paraId="709BA6EB">
      <w:pPr>
        <w:pStyle w:val="36"/>
        <w:tabs>
          <w:tab w:val="right" w:leader="dot" w:pos="10069"/>
        </w:tabs>
      </w:pPr>
      <w:r>
        <w:rPr>
          <w:szCs w:val="21"/>
        </w:rPr>
        <w:fldChar w:fldCharType="begin"/>
      </w:r>
      <w:r>
        <w:rPr>
          <w:szCs w:val="21"/>
        </w:rPr>
        <w:instrText xml:space="preserve"> HYPERLINK \l _Toc6880 </w:instrText>
      </w:r>
      <w:r>
        <w:rPr>
          <w:szCs w:val="21"/>
        </w:rPr>
        <w:fldChar w:fldCharType="separate"/>
      </w:r>
      <w:r>
        <w:rPr>
          <w:rFonts w:hint="eastAsia" w:ascii="宋体" w:hAnsi="宋体"/>
          <w:szCs w:val="21"/>
        </w:rPr>
        <w:t>1.11 分包</w:t>
      </w:r>
      <w:r>
        <w:tab/>
      </w:r>
      <w:r>
        <w:fldChar w:fldCharType="begin"/>
      </w:r>
      <w:r>
        <w:instrText xml:space="preserve"> PAGEREF _Toc6880 \h </w:instrText>
      </w:r>
      <w:r>
        <w:fldChar w:fldCharType="separate"/>
      </w:r>
      <w:r>
        <w:t>20</w:t>
      </w:r>
      <w:r>
        <w:fldChar w:fldCharType="end"/>
      </w:r>
      <w:r>
        <w:rPr>
          <w:szCs w:val="21"/>
        </w:rPr>
        <w:fldChar w:fldCharType="end"/>
      </w:r>
    </w:p>
    <w:p w14:paraId="786770C6">
      <w:pPr>
        <w:pStyle w:val="36"/>
        <w:tabs>
          <w:tab w:val="right" w:leader="dot" w:pos="10069"/>
        </w:tabs>
      </w:pPr>
      <w:r>
        <w:rPr>
          <w:szCs w:val="21"/>
        </w:rPr>
        <w:fldChar w:fldCharType="begin"/>
      </w:r>
      <w:r>
        <w:rPr>
          <w:szCs w:val="21"/>
        </w:rPr>
        <w:instrText xml:space="preserve"> HYPERLINK \l _Toc3180 </w:instrText>
      </w:r>
      <w:r>
        <w:rPr>
          <w:szCs w:val="21"/>
        </w:rPr>
        <w:fldChar w:fldCharType="separate"/>
      </w:r>
      <w:r>
        <w:rPr>
          <w:rFonts w:hint="eastAsia" w:ascii="宋体" w:hAnsi="宋体"/>
          <w:szCs w:val="21"/>
        </w:rPr>
        <w:t>1.12 偏离</w:t>
      </w:r>
      <w:r>
        <w:tab/>
      </w:r>
      <w:r>
        <w:fldChar w:fldCharType="begin"/>
      </w:r>
      <w:r>
        <w:instrText xml:space="preserve"> PAGEREF _Toc3180 \h </w:instrText>
      </w:r>
      <w:r>
        <w:fldChar w:fldCharType="separate"/>
      </w:r>
      <w:r>
        <w:t>21</w:t>
      </w:r>
      <w:r>
        <w:fldChar w:fldCharType="end"/>
      </w:r>
      <w:r>
        <w:rPr>
          <w:szCs w:val="21"/>
        </w:rPr>
        <w:fldChar w:fldCharType="end"/>
      </w:r>
    </w:p>
    <w:p w14:paraId="3C3B14E4">
      <w:pPr>
        <w:pStyle w:val="36"/>
        <w:tabs>
          <w:tab w:val="right" w:leader="dot" w:pos="10069"/>
        </w:tabs>
      </w:pPr>
      <w:r>
        <w:rPr>
          <w:szCs w:val="21"/>
        </w:rPr>
        <w:fldChar w:fldCharType="begin"/>
      </w:r>
      <w:r>
        <w:rPr>
          <w:szCs w:val="21"/>
        </w:rPr>
        <w:instrText xml:space="preserve"> HYPERLINK \l _Toc20062 </w:instrText>
      </w:r>
      <w:r>
        <w:rPr>
          <w:szCs w:val="21"/>
        </w:rPr>
        <w:fldChar w:fldCharType="separate"/>
      </w:r>
      <w:r>
        <w:rPr>
          <w:rFonts w:hint="eastAsia" w:ascii="宋体" w:hAnsi="宋体"/>
          <w:szCs w:val="21"/>
        </w:rPr>
        <w:t>2. 招标文件</w:t>
      </w:r>
      <w:r>
        <w:tab/>
      </w:r>
      <w:r>
        <w:fldChar w:fldCharType="begin"/>
      </w:r>
      <w:r>
        <w:instrText xml:space="preserve"> PAGEREF _Toc20062 \h </w:instrText>
      </w:r>
      <w:r>
        <w:fldChar w:fldCharType="separate"/>
      </w:r>
      <w:r>
        <w:t>21</w:t>
      </w:r>
      <w:r>
        <w:fldChar w:fldCharType="end"/>
      </w:r>
      <w:r>
        <w:rPr>
          <w:szCs w:val="21"/>
        </w:rPr>
        <w:fldChar w:fldCharType="end"/>
      </w:r>
    </w:p>
    <w:p w14:paraId="13C6B4B4">
      <w:pPr>
        <w:pStyle w:val="36"/>
        <w:tabs>
          <w:tab w:val="right" w:leader="dot" w:pos="10069"/>
        </w:tabs>
      </w:pPr>
      <w:r>
        <w:rPr>
          <w:szCs w:val="21"/>
        </w:rPr>
        <w:fldChar w:fldCharType="begin"/>
      </w:r>
      <w:r>
        <w:rPr>
          <w:szCs w:val="21"/>
        </w:rPr>
        <w:instrText xml:space="preserve"> HYPERLINK \l _Toc32761 </w:instrText>
      </w:r>
      <w:r>
        <w:rPr>
          <w:szCs w:val="21"/>
        </w:rPr>
        <w:fldChar w:fldCharType="separate"/>
      </w:r>
      <w:r>
        <w:rPr>
          <w:rFonts w:hint="eastAsia" w:ascii="宋体" w:hAnsi="宋体"/>
          <w:szCs w:val="21"/>
        </w:rPr>
        <w:t>2.1 招标文件的组成</w:t>
      </w:r>
      <w:r>
        <w:tab/>
      </w:r>
      <w:r>
        <w:fldChar w:fldCharType="begin"/>
      </w:r>
      <w:r>
        <w:instrText xml:space="preserve"> PAGEREF _Toc32761 \h </w:instrText>
      </w:r>
      <w:r>
        <w:fldChar w:fldCharType="separate"/>
      </w:r>
      <w:r>
        <w:t>21</w:t>
      </w:r>
      <w:r>
        <w:fldChar w:fldCharType="end"/>
      </w:r>
      <w:r>
        <w:rPr>
          <w:szCs w:val="21"/>
        </w:rPr>
        <w:fldChar w:fldCharType="end"/>
      </w:r>
    </w:p>
    <w:p w14:paraId="09E0917F">
      <w:pPr>
        <w:pStyle w:val="36"/>
        <w:tabs>
          <w:tab w:val="right" w:leader="dot" w:pos="10069"/>
        </w:tabs>
      </w:pPr>
      <w:r>
        <w:rPr>
          <w:szCs w:val="21"/>
        </w:rPr>
        <w:fldChar w:fldCharType="begin"/>
      </w:r>
      <w:r>
        <w:rPr>
          <w:szCs w:val="21"/>
        </w:rPr>
        <w:instrText xml:space="preserve"> HYPERLINK \l _Toc4934 </w:instrText>
      </w:r>
      <w:r>
        <w:rPr>
          <w:szCs w:val="21"/>
        </w:rPr>
        <w:fldChar w:fldCharType="separate"/>
      </w:r>
      <w:r>
        <w:rPr>
          <w:rFonts w:hint="eastAsia" w:ascii="宋体" w:hAnsi="宋体"/>
          <w:szCs w:val="21"/>
        </w:rPr>
        <w:t>3. 投标文件</w:t>
      </w:r>
      <w:r>
        <w:tab/>
      </w:r>
      <w:r>
        <w:fldChar w:fldCharType="begin"/>
      </w:r>
      <w:r>
        <w:instrText xml:space="preserve"> PAGEREF _Toc4934 \h </w:instrText>
      </w:r>
      <w:r>
        <w:fldChar w:fldCharType="separate"/>
      </w:r>
      <w:r>
        <w:t>22</w:t>
      </w:r>
      <w:r>
        <w:fldChar w:fldCharType="end"/>
      </w:r>
      <w:r>
        <w:rPr>
          <w:szCs w:val="21"/>
        </w:rPr>
        <w:fldChar w:fldCharType="end"/>
      </w:r>
    </w:p>
    <w:p w14:paraId="52A09268">
      <w:pPr>
        <w:pStyle w:val="36"/>
        <w:tabs>
          <w:tab w:val="right" w:leader="dot" w:pos="10069"/>
        </w:tabs>
      </w:pPr>
      <w:r>
        <w:rPr>
          <w:szCs w:val="21"/>
        </w:rPr>
        <w:fldChar w:fldCharType="begin"/>
      </w:r>
      <w:r>
        <w:rPr>
          <w:szCs w:val="21"/>
        </w:rPr>
        <w:instrText xml:space="preserve"> HYPERLINK \l _Toc30134 </w:instrText>
      </w:r>
      <w:r>
        <w:rPr>
          <w:szCs w:val="21"/>
        </w:rPr>
        <w:fldChar w:fldCharType="separate"/>
      </w:r>
      <w:r>
        <w:rPr>
          <w:rFonts w:hint="eastAsia" w:ascii="宋体" w:hAnsi="宋体"/>
          <w:szCs w:val="21"/>
        </w:rPr>
        <w:t>3.1 投标文件的组成</w:t>
      </w:r>
      <w:r>
        <w:tab/>
      </w:r>
      <w:r>
        <w:fldChar w:fldCharType="begin"/>
      </w:r>
      <w:r>
        <w:instrText xml:space="preserve"> PAGEREF _Toc30134 \h </w:instrText>
      </w:r>
      <w:r>
        <w:fldChar w:fldCharType="separate"/>
      </w:r>
      <w:r>
        <w:t>22</w:t>
      </w:r>
      <w:r>
        <w:fldChar w:fldCharType="end"/>
      </w:r>
      <w:r>
        <w:rPr>
          <w:szCs w:val="21"/>
        </w:rPr>
        <w:fldChar w:fldCharType="end"/>
      </w:r>
    </w:p>
    <w:p w14:paraId="2235C9AF">
      <w:pPr>
        <w:pStyle w:val="36"/>
        <w:tabs>
          <w:tab w:val="right" w:leader="dot" w:pos="10069"/>
        </w:tabs>
      </w:pPr>
      <w:r>
        <w:rPr>
          <w:szCs w:val="21"/>
        </w:rPr>
        <w:fldChar w:fldCharType="begin"/>
      </w:r>
      <w:r>
        <w:rPr>
          <w:szCs w:val="21"/>
        </w:rPr>
        <w:instrText xml:space="preserve"> HYPERLINK \l _Toc31567 </w:instrText>
      </w:r>
      <w:r>
        <w:rPr>
          <w:szCs w:val="21"/>
        </w:rPr>
        <w:fldChar w:fldCharType="separate"/>
      </w:r>
      <w:r>
        <w:rPr>
          <w:rFonts w:hint="eastAsia" w:ascii="宋体" w:hAnsi="宋体"/>
          <w:szCs w:val="21"/>
        </w:rPr>
        <w:t>3.2 投标报价</w:t>
      </w:r>
      <w:r>
        <w:tab/>
      </w:r>
      <w:r>
        <w:fldChar w:fldCharType="begin"/>
      </w:r>
      <w:r>
        <w:instrText xml:space="preserve"> PAGEREF _Toc31567 \h </w:instrText>
      </w:r>
      <w:r>
        <w:fldChar w:fldCharType="separate"/>
      </w:r>
      <w:r>
        <w:t>22</w:t>
      </w:r>
      <w:r>
        <w:fldChar w:fldCharType="end"/>
      </w:r>
      <w:r>
        <w:rPr>
          <w:szCs w:val="21"/>
        </w:rPr>
        <w:fldChar w:fldCharType="end"/>
      </w:r>
    </w:p>
    <w:p w14:paraId="51EADB98">
      <w:pPr>
        <w:pStyle w:val="36"/>
        <w:tabs>
          <w:tab w:val="right" w:leader="dot" w:pos="10069"/>
        </w:tabs>
      </w:pPr>
      <w:r>
        <w:rPr>
          <w:szCs w:val="21"/>
        </w:rPr>
        <w:fldChar w:fldCharType="begin"/>
      </w:r>
      <w:r>
        <w:rPr>
          <w:szCs w:val="21"/>
        </w:rPr>
        <w:instrText xml:space="preserve"> HYPERLINK \l _Toc7672 </w:instrText>
      </w:r>
      <w:r>
        <w:rPr>
          <w:szCs w:val="21"/>
        </w:rPr>
        <w:fldChar w:fldCharType="separate"/>
      </w:r>
      <w:r>
        <w:rPr>
          <w:rFonts w:hint="eastAsia" w:ascii="宋体" w:hAnsi="宋体"/>
          <w:szCs w:val="21"/>
        </w:rPr>
        <w:t>3.3 投标有效期</w:t>
      </w:r>
      <w:r>
        <w:tab/>
      </w:r>
      <w:r>
        <w:fldChar w:fldCharType="begin"/>
      </w:r>
      <w:r>
        <w:instrText xml:space="preserve"> PAGEREF _Toc7672 \h </w:instrText>
      </w:r>
      <w:r>
        <w:fldChar w:fldCharType="separate"/>
      </w:r>
      <w:r>
        <w:t>23</w:t>
      </w:r>
      <w:r>
        <w:fldChar w:fldCharType="end"/>
      </w:r>
      <w:r>
        <w:rPr>
          <w:szCs w:val="21"/>
        </w:rPr>
        <w:fldChar w:fldCharType="end"/>
      </w:r>
    </w:p>
    <w:p w14:paraId="6D37B243">
      <w:pPr>
        <w:pStyle w:val="36"/>
        <w:tabs>
          <w:tab w:val="right" w:leader="dot" w:pos="10069"/>
        </w:tabs>
      </w:pPr>
      <w:r>
        <w:rPr>
          <w:szCs w:val="21"/>
        </w:rPr>
        <w:fldChar w:fldCharType="begin"/>
      </w:r>
      <w:r>
        <w:rPr>
          <w:szCs w:val="21"/>
        </w:rPr>
        <w:instrText xml:space="preserve"> HYPERLINK \l _Toc11534 </w:instrText>
      </w:r>
      <w:r>
        <w:rPr>
          <w:szCs w:val="21"/>
        </w:rPr>
        <w:fldChar w:fldCharType="separate"/>
      </w:r>
      <w:r>
        <w:rPr>
          <w:rFonts w:hint="eastAsia" w:ascii="宋体" w:hAnsi="宋体"/>
          <w:szCs w:val="21"/>
        </w:rPr>
        <w:t>3.4 投标保证金</w:t>
      </w:r>
      <w:r>
        <w:tab/>
      </w:r>
      <w:r>
        <w:fldChar w:fldCharType="begin"/>
      </w:r>
      <w:r>
        <w:instrText xml:space="preserve"> PAGEREF _Toc11534 \h </w:instrText>
      </w:r>
      <w:r>
        <w:fldChar w:fldCharType="separate"/>
      </w:r>
      <w:r>
        <w:t>23</w:t>
      </w:r>
      <w:r>
        <w:fldChar w:fldCharType="end"/>
      </w:r>
      <w:r>
        <w:rPr>
          <w:szCs w:val="21"/>
        </w:rPr>
        <w:fldChar w:fldCharType="end"/>
      </w:r>
    </w:p>
    <w:p w14:paraId="314ED373">
      <w:pPr>
        <w:pStyle w:val="36"/>
        <w:tabs>
          <w:tab w:val="right" w:leader="dot" w:pos="10069"/>
        </w:tabs>
      </w:pPr>
      <w:r>
        <w:rPr>
          <w:szCs w:val="21"/>
        </w:rPr>
        <w:fldChar w:fldCharType="begin"/>
      </w:r>
      <w:r>
        <w:rPr>
          <w:szCs w:val="21"/>
        </w:rPr>
        <w:instrText xml:space="preserve"> HYPERLINK \l _Toc9805 </w:instrText>
      </w:r>
      <w:r>
        <w:rPr>
          <w:szCs w:val="21"/>
        </w:rPr>
        <w:fldChar w:fldCharType="separate"/>
      </w:r>
      <w:r>
        <w:rPr>
          <w:rFonts w:hint="eastAsia" w:ascii="宋体" w:hAnsi="宋体"/>
          <w:szCs w:val="21"/>
        </w:rPr>
        <w:t>3.5 资格审查资料</w:t>
      </w:r>
      <w:r>
        <w:tab/>
      </w:r>
      <w:r>
        <w:fldChar w:fldCharType="begin"/>
      </w:r>
      <w:r>
        <w:instrText xml:space="preserve"> PAGEREF _Toc9805 \h </w:instrText>
      </w:r>
      <w:r>
        <w:fldChar w:fldCharType="separate"/>
      </w:r>
      <w:r>
        <w:t>23</w:t>
      </w:r>
      <w:r>
        <w:fldChar w:fldCharType="end"/>
      </w:r>
      <w:r>
        <w:rPr>
          <w:szCs w:val="21"/>
        </w:rPr>
        <w:fldChar w:fldCharType="end"/>
      </w:r>
    </w:p>
    <w:p w14:paraId="63865094">
      <w:pPr>
        <w:pStyle w:val="36"/>
        <w:tabs>
          <w:tab w:val="right" w:leader="dot" w:pos="10069"/>
        </w:tabs>
      </w:pPr>
      <w:r>
        <w:rPr>
          <w:szCs w:val="21"/>
        </w:rPr>
        <w:fldChar w:fldCharType="begin"/>
      </w:r>
      <w:r>
        <w:rPr>
          <w:szCs w:val="21"/>
        </w:rPr>
        <w:instrText xml:space="preserve"> HYPERLINK \l _Toc25592 </w:instrText>
      </w:r>
      <w:r>
        <w:rPr>
          <w:szCs w:val="21"/>
        </w:rPr>
        <w:fldChar w:fldCharType="separate"/>
      </w:r>
      <w:r>
        <w:rPr>
          <w:rFonts w:hint="eastAsia" w:ascii="宋体" w:hAnsi="宋体"/>
          <w:szCs w:val="21"/>
        </w:rPr>
        <w:t>3.6 备选投标方案</w:t>
      </w:r>
      <w:r>
        <w:tab/>
      </w:r>
      <w:r>
        <w:fldChar w:fldCharType="begin"/>
      </w:r>
      <w:r>
        <w:instrText xml:space="preserve"> PAGEREF _Toc25592 \h </w:instrText>
      </w:r>
      <w:r>
        <w:fldChar w:fldCharType="separate"/>
      </w:r>
      <w:r>
        <w:t>24</w:t>
      </w:r>
      <w:r>
        <w:fldChar w:fldCharType="end"/>
      </w:r>
      <w:r>
        <w:rPr>
          <w:szCs w:val="21"/>
        </w:rPr>
        <w:fldChar w:fldCharType="end"/>
      </w:r>
    </w:p>
    <w:p w14:paraId="56B46087">
      <w:pPr>
        <w:pStyle w:val="36"/>
        <w:tabs>
          <w:tab w:val="right" w:leader="dot" w:pos="10069"/>
        </w:tabs>
      </w:pPr>
      <w:r>
        <w:rPr>
          <w:szCs w:val="21"/>
        </w:rPr>
        <w:fldChar w:fldCharType="begin"/>
      </w:r>
      <w:r>
        <w:rPr>
          <w:szCs w:val="21"/>
        </w:rPr>
        <w:instrText xml:space="preserve"> HYPERLINK \l _Toc6126 </w:instrText>
      </w:r>
      <w:r>
        <w:rPr>
          <w:szCs w:val="21"/>
        </w:rPr>
        <w:fldChar w:fldCharType="separate"/>
      </w:r>
      <w:r>
        <w:rPr>
          <w:rFonts w:hint="eastAsia" w:ascii="宋体" w:hAnsi="宋体"/>
          <w:szCs w:val="21"/>
        </w:rPr>
        <w:t>3.7 投标文件的编制</w:t>
      </w:r>
      <w:r>
        <w:tab/>
      </w:r>
      <w:r>
        <w:fldChar w:fldCharType="begin"/>
      </w:r>
      <w:r>
        <w:instrText xml:space="preserve"> PAGEREF _Toc6126 \h </w:instrText>
      </w:r>
      <w:r>
        <w:fldChar w:fldCharType="separate"/>
      </w:r>
      <w:r>
        <w:t>24</w:t>
      </w:r>
      <w:r>
        <w:fldChar w:fldCharType="end"/>
      </w:r>
      <w:r>
        <w:rPr>
          <w:szCs w:val="21"/>
        </w:rPr>
        <w:fldChar w:fldCharType="end"/>
      </w:r>
    </w:p>
    <w:p w14:paraId="49612238">
      <w:pPr>
        <w:pStyle w:val="36"/>
        <w:tabs>
          <w:tab w:val="right" w:leader="dot" w:pos="10069"/>
        </w:tabs>
      </w:pPr>
      <w:r>
        <w:rPr>
          <w:szCs w:val="21"/>
        </w:rPr>
        <w:fldChar w:fldCharType="begin"/>
      </w:r>
      <w:r>
        <w:rPr>
          <w:szCs w:val="21"/>
        </w:rPr>
        <w:instrText xml:space="preserve"> HYPERLINK \l _Toc14744 </w:instrText>
      </w:r>
      <w:r>
        <w:rPr>
          <w:szCs w:val="21"/>
        </w:rPr>
        <w:fldChar w:fldCharType="separate"/>
      </w:r>
      <w:r>
        <w:rPr>
          <w:rFonts w:hint="eastAsia" w:ascii="宋体" w:hAnsi="宋体"/>
          <w:szCs w:val="21"/>
        </w:rPr>
        <w:t>4. 投标</w:t>
      </w:r>
      <w:r>
        <w:tab/>
      </w:r>
      <w:r>
        <w:fldChar w:fldCharType="begin"/>
      </w:r>
      <w:r>
        <w:instrText xml:space="preserve"> PAGEREF _Toc14744 \h </w:instrText>
      </w:r>
      <w:r>
        <w:fldChar w:fldCharType="separate"/>
      </w:r>
      <w:r>
        <w:t>24</w:t>
      </w:r>
      <w:r>
        <w:fldChar w:fldCharType="end"/>
      </w:r>
      <w:r>
        <w:rPr>
          <w:szCs w:val="21"/>
        </w:rPr>
        <w:fldChar w:fldCharType="end"/>
      </w:r>
    </w:p>
    <w:p w14:paraId="65BB122B">
      <w:pPr>
        <w:pStyle w:val="36"/>
        <w:tabs>
          <w:tab w:val="right" w:leader="dot" w:pos="10069"/>
        </w:tabs>
      </w:pPr>
      <w:r>
        <w:rPr>
          <w:szCs w:val="21"/>
        </w:rPr>
        <w:fldChar w:fldCharType="begin"/>
      </w:r>
      <w:r>
        <w:rPr>
          <w:szCs w:val="21"/>
        </w:rPr>
        <w:instrText xml:space="preserve"> HYPERLINK \l _Toc20131 </w:instrText>
      </w:r>
      <w:r>
        <w:rPr>
          <w:szCs w:val="21"/>
        </w:rPr>
        <w:fldChar w:fldCharType="separate"/>
      </w:r>
      <w:r>
        <w:rPr>
          <w:rFonts w:hint="eastAsia" w:ascii="宋体" w:hAnsi="宋体"/>
          <w:szCs w:val="21"/>
        </w:rPr>
        <w:t>5. 开标</w:t>
      </w:r>
      <w:r>
        <w:tab/>
      </w:r>
      <w:r>
        <w:fldChar w:fldCharType="begin"/>
      </w:r>
      <w:r>
        <w:instrText xml:space="preserve"> PAGEREF _Toc20131 \h </w:instrText>
      </w:r>
      <w:r>
        <w:fldChar w:fldCharType="separate"/>
      </w:r>
      <w:r>
        <w:t>25</w:t>
      </w:r>
      <w:r>
        <w:fldChar w:fldCharType="end"/>
      </w:r>
      <w:r>
        <w:rPr>
          <w:szCs w:val="21"/>
        </w:rPr>
        <w:fldChar w:fldCharType="end"/>
      </w:r>
    </w:p>
    <w:p w14:paraId="2A1B9CF7">
      <w:pPr>
        <w:pStyle w:val="36"/>
        <w:tabs>
          <w:tab w:val="right" w:leader="dot" w:pos="10069"/>
        </w:tabs>
      </w:pPr>
      <w:r>
        <w:rPr>
          <w:szCs w:val="21"/>
        </w:rPr>
        <w:fldChar w:fldCharType="begin"/>
      </w:r>
      <w:r>
        <w:rPr>
          <w:szCs w:val="21"/>
        </w:rPr>
        <w:instrText xml:space="preserve"> HYPERLINK \l _Toc18775 </w:instrText>
      </w:r>
      <w:r>
        <w:rPr>
          <w:szCs w:val="21"/>
        </w:rPr>
        <w:fldChar w:fldCharType="separate"/>
      </w:r>
      <w:r>
        <w:rPr>
          <w:rFonts w:hint="eastAsia" w:ascii="宋体" w:hAnsi="宋体"/>
          <w:szCs w:val="21"/>
        </w:rPr>
        <w:t>5.1 开标时间和地点</w:t>
      </w:r>
      <w:r>
        <w:tab/>
      </w:r>
      <w:r>
        <w:fldChar w:fldCharType="begin"/>
      </w:r>
      <w:r>
        <w:instrText xml:space="preserve"> PAGEREF _Toc18775 \h </w:instrText>
      </w:r>
      <w:r>
        <w:fldChar w:fldCharType="separate"/>
      </w:r>
      <w:r>
        <w:t>25</w:t>
      </w:r>
      <w:r>
        <w:fldChar w:fldCharType="end"/>
      </w:r>
      <w:r>
        <w:rPr>
          <w:szCs w:val="21"/>
        </w:rPr>
        <w:fldChar w:fldCharType="end"/>
      </w:r>
    </w:p>
    <w:p w14:paraId="22C33CA8">
      <w:pPr>
        <w:pStyle w:val="36"/>
        <w:tabs>
          <w:tab w:val="right" w:leader="dot" w:pos="10069"/>
        </w:tabs>
      </w:pPr>
      <w:r>
        <w:rPr>
          <w:szCs w:val="21"/>
        </w:rPr>
        <w:fldChar w:fldCharType="begin"/>
      </w:r>
      <w:r>
        <w:rPr>
          <w:szCs w:val="21"/>
        </w:rPr>
        <w:instrText xml:space="preserve"> HYPERLINK \l _Toc29680 </w:instrText>
      </w:r>
      <w:r>
        <w:rPr>
          <w:szCs w:val="21"/>
        </w:rPr>
        <w:fldChar w:fldCharType="separate"/>
      </w:r>
      <w:r>
        <w:rPr>
          <w:rFonts w:hint="eastAsia" w:ascii="宋体" w:hAnsi="宋体"/>
          <w:szCs w:val="21"/>
        </w:rPr>
        <w:t>6. 评标</w:t>
      </w:r>
      <w:r>
        <w:tab/>
      </w:r>
      <w:r>
        <w:fldChar w:fldCharType="begin"/>
      </w:r>
      <w:r>
        <w:instrText xml:space="preserve"> PAGEREF _Toc29680 \h </w:instrText>
      </w:r>
      <w:r>
        <w:fldChar w:fldCharType="separate"/>
      </w:r>
      <w:r>
        <w:t>25</w:t>
      </w:r>
      <w:r>
        <w:fldChar w:fldCharType="end"/>
      </w:r>
      <w:r>
        <w:rPr>
          <w:szCs w:val="21"/>
        </w:rPr>
        <w:fldChar w:fldCharType="end"/>
      </w:r>
    </w:p>
    <w:p w14:paraId="5A0A823E">
      <w:pPr>
        <w:pStyle w:val="36"/>
        <w:tabs>
          <w:tab w:val="right" w:leader="dot" w:pos="10069"/>
        </w:tabs>
      </w:pPr>
      <w:r>
        <w:rPr>
          <w:szCs w:val="21"/>
        </w:rPr>
        <w:fldChar w:fldCharType="begin"/>
      </w:r>
      <w:r>
        <w:rPr>
          <w:szCs w:val="21"/>
        </w:rPr>
        <w:instrText xml:space="preserve"> HYPERLINK \l _Toc2940 </w:instrText>
      </w:r>
      <w:r>
        <w:rPr>
          <w:szCs w:val="21"/>
        </w:rPr>
        <w:fldChar w:fldCharType="separate"/>
      </w:r>
      <w:r>
        <w:rPr>
          <w:rFonts w:hint="eastAsia" w:ascii="宋体" w:hAnsi="宋体"/>
          <w:szCs w:val="21"/>
        </w:rPr>
        <w:t>7. 合同授予</w:t>
      </w:r>
      <w:r>
        <w:tab/>
      </w:r>
      <w:r>
        <w:fldChar w:fldCharType="begin"/>
      </w:r>
      <w:r>
        <w:instrText xml:space="preserve"> PAGEREF _Toc2940 \h </w:instrText>
      </w:r>
      <w:r>
        <w:fldChar w:fldCharType="separate"/>
      </w:r>
      <w:r>
        <w:t>26</w:t>
      </w:r>
      <w:r>
        <w:fldChar w:fldCharType="end"/>
      </w:r>
      <w:r>
        <w:rPr>
          <w:szCs w:val="21"/>
        </w:rPr>
        <w:fldChar w:fldCharType="end"/>
      </w:r>
    </w:p>
    <w:p w14:paraId="054F257B">
      <w:pPr>
        <w:pStyle w:val="36"/>
        <w:tabs>
          <w:tab w:val="right" w:leader="dot" w:pos="10069"/>
        </w:tabs>
      </w:pPr>
      <w:r>
        <w:rPr>
          <w:szCs w:val="21"/>
        </w:rPr>
        <w:fldChar w:fldCharType="begin"/>
      </w:r>
      <w:r>
        <w:rPr>
          <w:szCs w:val="21"/>
        </w:rPr>
        <w:instrText xml:space="preserve"> HYPERLINK \l _Toc2178 </w:instrText>
      </w:r>
      <w:r>
        <w:rPr>
          <w:szCs w:val="21"/>
        </w:rPr>
        <w:fldChar w:fldCharType="separate"/>
      </w:r>
      <w:r>
        <w:rPr>
          <w:rFonts w:hint="eastAsia" w:ascii="宋体" w:hAnsi="宋体"/>
          <w:szCs w:val="21"/>
        </w:rPr>
        <w:t>7.1 中标候选人公示</w:t>
      </w:r>
      <w:r>
        <w:tab/>
      </w:r>
      <w:r>
        <w:fldChar w:fldCharType="begin"/>
      </w:r>
      <w:r>
        <w:instrText xml:space="preserve"> PAGEREF _Toc2178 \h </w:instrText>
      </w:r>
      <w:r>
        <w:fldChar w:fldCharType="separate"/>
      </w:r>
      <w:r>
        <w:t>26</w:t>
      </w:r>
      <w:r>
        <w:fldChar w:fldCharType="end"/>
      </w:r>
      <w:r>
        <w:rPr>
          <w:szCs w:val="21"/>
        </w:rPr>
        <w:fldChar w:fldCharType="end"/>
      </w:r>
    </w:p>
    <w:p w14:paraId="780958E0">
      <w:pPr>
        <w:pStyle w:val="36"/>
        <w:tabs>
          <w:tab w:val="right" w:leader="dot" w:pos="10069"/>
        </w:tabs>
      </w:pPr>
      <w:r>
        <w:rPr>
          <w:szCs w:val="21"/>
        </w:rPr>
        <w:fldChar w:fldCharType="begin"/>
      </w:r>
      <w:r>
        <w:rPr>
          <w:szCs w:val="21"/>
        </w:rPr>
        <w:instrText xml:space="preserve"> HYPERLINK \l _Toc26972 </w:instrText>
      </w:r>
      <w:r>
        <w:rPr>
          <w:szCs w:val="21"/>
        </w:rPr>
        <w:fldChar w:fldCharType="separate"/>
      </w:r>
      <w:r>
        <w:rPr>
          <w:rFonts w:hint="eastAsia" w:ascii="宋体" w:hAnsi="宋体"/>
          <w:szCs w:val="21"/>
        </w:rPr>
        <w:t>7.2 中标通知</w:t>
      </w:r>
      <w:r>
        <w:tab/>
      </w:r>
      <w:r>
        <w:fldChar w:fldCharType="begin"/>
      </w:r>
      <w:r>
        <w:instrText xml:space="preserve"> PAGEREF _Toc26972 \h </w:instrText>
      </w:r>
      <w:r>
        <w:fldChar w:fldCharType="separate"/>
      </w:r>
      <w:r>
        <w:t>26</w:t>
      </w:r>
      <w:r>
        <w:fldChar w:fldCharType="end"/>
      </w:r>
      <w:r>
        <w:rPr>
          <w:szCs w:val="21"/>
        </w:rPr>
        <w:fldChar w:fldCharType="end"/>
      </w:r>
    </w:p>
    <w:p w14:paraId="3AEAEA9E">
      <w:pPr>
        <w:pStyle w:val="36"/>
        <w:tabs>
          <w:tab w:val="right" w:leader="dot" w:pos="10069"/>
        </w:tabs>
      </w:pPr>
      <w:r>
        <w:rPr>
          <w:szCs w:val="21"/>
        </w:rPr>
        <w:fldChar w:fldCharType="begin"/>
      </w:r>
      <w:r>
        <w:rPr>
          <w:szCs w:val="21"/>
        </w:rPr>
        <w:instrText xml:space="preserve"> HYPERLINK \l _Toc5690 </w:instrText>
      </w:r>
      <w:r>
        <w:rPr>
          <w:szCs w:val="21"/>
        </w:rPr>
        <w:fldChar w:fldCharType="separate"/>
      </w:r>
      <w:r>
        <w:rPr>
          <w:rFonts w:hint="eastAsia" w:ascii="宋体" w:hAnsi="宋体"/>
          <w:szCs w:val="21"/>
        </w:rPr>
        <w:t>7.3 履约担保</w:t>
      </w:r>
      <w:r>
        <w:tab/>
      </w:r>
      <w:r>
        <w:fldChar w:fldCharType="begin"/>
      </w:r>
      <w:r>
        <w:instrText xml:space="preserve"> PAGEREF _Toc5690 \h </w:instrText>
      </w:r>
      <w:r>
        <w:fldChar w:fldCharType="separate"/>
      </w:r>
      <w:r>
        <w:t>27</w:t>
      </w:r>
      <w:r>
        <w:fldChar w:fldCharType="end"/>
      </w:r>
      <w:r>
        <w:rPr>
          <w:szCs w:val="21"/>
        </w:rPr>
        <w:fldChar w:fldCharType="end"/>
      </w:r>
    </w:p>
    <w:p w14:paraId="4CCD8710">
      <w:pPr>
        <w:pStyle w:val="36"/>
        <w:tabs>
          <w:tab w:val="right" w:leader="dot" w:pos="10069"/>
        </w:tabs>
      </w:pPr>
      <w:r>
        <w:rPr>
          <w:szCs w:val="21"/>
        </w:rPr>
        <w:fldChar w:fldCharType="begin"/>
      </w:r>
      <w:r>
        <w:rPr>
          <w:szCs w:val="21"/>
        </w:rPr>
        <w:instrText xml:space="preserve"> HYPERLINK \l _Toc23500 </w:instrText>
      </w:r>
      <w:r>
        <w:rPr>
          <w:szCs w:val="21"/>
        </w:rPr>
        <w:fldChar w:fldCharType="separate"/>
      </w:r>
      <w:r>
        <w:rPr>
          <w:rFonts w:hint="eastAsia" w:ascii="宋体" w:hAnsi="宋体"/>
          <w:szCs w:val="21"/>
        </w:rPr>
        <w:t>7.4 签订合同</w:t>
      </w:r>
      <w:r>
        <w:tab/>
      </w:r>
      <w:r>
        <w:fldChar w:fldCharType="begin"/>
      </w:r>
      <w:r>
        <w:instrText xml:space="preserve"> PAGEREF _Toc23500 \h </w:instrText>
      </w:r>
      <w:r>
        <w:fldChar w:fldCharType="separate"/>
      </w:r>
      <w:r>
        <w:t>27</w:t>
      </w:r>
      <w:r>
        <w:fldChar w:fldCharType="end"/>
      </w:r>
      <w:r>
        <w:rPr>
          <w:szCs w:val="21"/>
        </w:rPr>
        <w:fldChar w:fldCharType="end"/>
      </w:r>
    </w:p>
    <w:p w14:paraId="438E5E5B">
      <w:pPr>
        <w:pStyle w:val="36"/>
        <w:tabs>
          <w:tab w:val="right" w:leader="dot" w:pos="10069"/>
        </w:tabs>
      </w:pPr>
      <w:r>
        <w:rPr>
          <w:szCs w:val="21"/>
        </w:rPr>
        <w:fldChar w:fldCharType="begin"/>
      </w:r>
      <w:r>
        <w:rPr>
          <w:szCs w:val="21"/>
        </w:rPr>
        <w:instrText xml:space="preserve"> HYPERLINK \l _Toc14147 </w:instrText>
      </w:r>
      <w:r>
        <w:rPr>
          <w:szCs w:val="21"/>
        </w:rPr>
        <w:fldChar w:fldCharType="separate"/>
      </w:r>
      <w:r>
        <w:rPr>
          <w:rFonts w:hint="eastAsia" w:ascii="宋体" w:hAnsi="宋体"/>
          <w:szCs w:val="21"/>
        </w:rPr>
        <w:t>8. 重新招标和不再招标</w:t>
      </w:r>
      <w:r>
        <w:tab/>
      </w:r>
      <w:r>
        <w:fldChar w:fldCharType="begin"/>
      </w:r>
      <w:r>
        <w:instrText xml:space="preserve"> PAGEREF _Toc14147 \h </w:instrText>
      </w:r>
      <w:r>
        <w:fldChar w:fldCharType="separate"/>
      </w:r>
      <w:r>
        <w:t>27</w:t>
      </w:r>
      <w:r>
        <w:fldChar w:fldCharType="end"/>
      </w:r>
      <w:r>
        <w:rPr>
          <w:szCs w:val="21"/>
        </w:rPr>
        <w:fldChar w:fldCharType="end"/>
      </w:r>
    </w:p>
    <w:p w14:paraId="36082674">
      <w:pPr>
        <w:pStyle w:val="36"/>
        <w:tabs>
          <w:tab w:val="right" w:leader="dot" w:pos="10069"/>
        </w:tabs>
      </w:pPr>
      <w:r>
        <w:rPr>
          <w:szCs w:val="21"/>
        </w:rPr>
        <w:fldChar w:fldCharType="begin"/>
      </w:r>
      <w:r>
        <w:rPr>
          <w:szCs w:val="21"/>
        </w:rPr>
        <w:instrText xml:space="preserve"> HYPERLINK \l _Toc11853 </w:instrText>
      </w:r>
      <w:r>
        <w:rPr>
          <w:szCs w:val="21"/>
        </w:rPr>
        <w:fldChar w:fldCharType="separate"/>
      </w:r>
      <w:r>
        <w:rPr>
          <w:rFonts w:hint="eastAsia" w:ascii="宋体" w:hAnsi="宋体"/>
          <w:szCs w:val="21"/>
        </w:rPr>
        <w:t>8.1 重新招标</w:t>
      </w:r>
      <w:r>
        <w:tab/>
      </w:r>
      <w:r>
        <w:fldChar w:fldCharType="begin"/>
      </w:r>
      <w:r>
        <w:instrText xml:space="preserve"> PAGEREF _Toc11853 \h </w:instrText>
      </w:r>
      <w:r>
        <w:fldChar w:fldCharType="separate"/>
      </w:r>
      <w:r>
        <w:t>27</w:t>
      </w:r>
      <w:r>
        <w:fldChar w:fldCharType="end"/>
      </w:r>
      <w:r>
        <w:rPr>
          <w:szCs w:val="21"/>
        </w:rPr>
        <w:fldChar w:fldCharType="end"/>
      </w:r>
    </w:p>
    <w:p w14:paraId="2AB20FD5">
      <w:pPr>
        <w:pStyle w:val="36"/>
        <w:tabs>
          <w:tab w:val="right" w:leader="dot" w:pos="10069"/>
        </w:tabs>
      </w:pPr>
      <w:r>
        <w:rPr>
          <w:szCs w:val="21"/>
        </w:rPr>
        <w:fldChar w:fldCharType="begin"/>
      </w:r>
      <w:r>
        <w:rPr>
          <w:szCs w:val="21"/>
        </w:rPr>
        <w:instrText xml:space="preserve"> HYPERLINK \l _Toc17167 </w:instrText>
      </w:r>
      <w:r>
        <w:rPr>
          <w:szCs w:val="21"/>
        </w:rPr>
        <w:fldChar w:fldCharType="separate"/>
      </w:r>
      <w:r>
        <w:rPr>
          <w:rFonts w:hint="eastAsia" w:ascii="宋体" w:hAnsi="宋体"/>
          <w:szCs w:val="21"/>
        </w:rPr>
        <w:t>8.2 不再招标</w:t>
      </w:r>
      <w:r>
        <w:tab/>
      </w:r>
      <w:r>
        <w:fldChar w:fldCharType="begin"/>
      </w:r>
      <w:r>
        <w:instrText xml:space="preserve"> PAGEREF _Toc17167 \h </w:instrText>
      </w:r>
      <w:r>
        <w:fldChar w:fldCharType="separate"/>
      </w:r>
      <w:r>
        <w:t>27</w:t>
      </w:r>
      <w:r>
        <w:fldChar w:fldCharType="end"/>
      </w:r>
      <w:r>
        <w:rPr>
          <w:szCs w:val="21"/>
        </w:rPr>
        <w:fldChar w:fldCharType="end"/>
      </w:r>
    </w:p>
    <w:p w14:paraId="443EC5FC">
      <w:pPr>
        <w:pStyle w:val="36"/>
        <w:tabs>
          <w:tab w:val="right" w:leader="dot" w:pos="10069"/>
        </w:tabs>
      </w:pPr>
      <w:r>
        <w:rPr>
          <w:szCs w:val="21"/>
        </w:rPr>
        <w:fldChar w:fldCharType="begin"/>
      </w:r>
      <w:r>
        <w:rPr>
          <w:szCs w:val="21"/>
        </w:rPr>
        <w:instrText xml:space="preserve"> HYPERLINK \l _Toc5273 </w:instrText>
      </w:r>
      <w:r>
        <w:rPr>
          <w:szCs w:val="21"/>
        </w:rPr>
        <w:fldChar w:fldCharType="separate"/>
      </w:r>
      <w:r>
        <w:rPr>
          <w:rFonts w:hint="eastAsia" w:ascii="宋体" w:hAnsi="宋体"/>
          <w:szCs w:val="21"/>
        </w:rPr>
        <w:t>9. 纪律和监督</w:t>
      </w:r>
      <w:r>
        <w:tab/>
      </w:r>
      <w:r>
        <w:fldChar w:fldCharType="begin"/>
      </w:r>
      <w:r>
        <w:instrText xml:space="preserve"> PAGEREF _Toc5273 \h </w:instrText>
      </w:r>
      <w:r>
        <w:fldChar w:fldCharType="separate"/>
      </w:r>
      <w:r>
        <w:t>28</w:t>
      </w:r>
      <w:r>
        <w:fldChar w:fldCharType="end"/>
      </w:r>
      <w:r>
        <w:rPr>
          <w:szCs w:val="21"/>
        </w:rPr>
        <w:fldChar w:fldCharType="end"/>
      </w:r>
    </w:p>
    <w:p w14:paraId="05867C1A">
      <w:pPr>
        <w:pStyle w:val="36"/>
        <w:tabs>
          <w:tab w:val="right" w:leader="dot" w:pos="10069"/>
        </w:tabs>
      </w:pPr>
      <w:r>
        <w:rPr>
          <w:szCs w:val="21"/>
        </w:rPr>
        <w:fldChar w:fldCharType="begin"/>
      </w:r>
      <w:r>
        <w:rPr>
          <w:szCs w:val="21"/>
        </w:rPr>
        <w:instrText xml:space="preserve"> HYPERLINK \l _Toc14400 </w:instrText>
      </w:r>
      <w:r>
        <w:rPr>
          <w:szCs w:val="21"/>
        </w:rPr>
        <w:fldChar w:fldCharType="separate"/>
      </w:r>
      <w:r>
        <w:rPr>
          <w:rFonts w:hint="eastAsia" w:ascii="宋体" w:hAnsi="宋体"/>
          <w:szCs w:val="21"/>
        </w:rPr>
        <w:t>9.1 对发包人的纪律要求</w:t>
      </w:r>
      <w:r>
        <w:tab/>
      </w:r>
      <w:r>
        <w:fldChar w:fldCharType="begin"/>
      </w:r>
      <w:r>
        <w:instrText xml:space="preserve"> PAGEREF _Toc14400 \h </w:instrText>
      </w:r>
      <w:r>
        <w:fldChar w:fldCharType="separate"/>
      </w:r>
      <w:r>
        <w:t>28</w:t>
      </w:r>
      <w:r>
        <w:fldChar w:fldCharType="end"/>
      </w:r>
      <w:r>
        <w:rPr>
          <w:szCs w:val="21"/>
        </w:rPr>
        <w:fldChar w:fldCharType="end"/>
      </w:r>
    </w:p>
    <w:p w14:paraId="7C69AFC3">
      <w:pPr>
        <w:pStyle w:val="36"/>
        <w:tabs>
          <w:tab w:val="right" w:leader="dot" w:pos="10069"/>
        </w:tabs>
      </w:pPr>
      <w:r>
        <w:rPr>
          <w:szCs w:val="21"/>
        </w:rPr>
        <w:fldChar w:fldCharType="begin"/>
      </w:r>
      <w:r>
        <w:rPr>
          <w:szCs w:val="21"/>
        </w:rPr>
        <w:instrText xml:space="preserve"> HYPERLINK \l _Toc28009 </w:instrText>
      </w:r>
      <w:r>
        <w:rPr>
          <w:szCs w:val="21"/>
        </w:rPr>
        <w:fldChar w:fldCharType="separate"/>
      </w:r>
      <w:r>
        <w:rPr>
          <w:rFonts w:hint="eastAsia" w:ascii="宋体" w:hAnsi="宋体"/>
          <w:szCs w:val="21"/>
        </w:rPr>
        <w:t>9.2 对投标人的纪律要求</w:t>
      </w:r>
      <w:r>
        <w:tab/>
      </w:r>
      <w:r>
        <w:fldChar w:fldCharType="begin"/>
      </w:r>
      <w:r>
        <w:instrText xml:space="preserve"> PAGEREF _Toc28009 \h </w:instrText>
      </w:r>
      <w:r>
        <w:fldChar w:fldCharType="separate"/>
      </w:r>
      <w:r>
        <w:t>28</w:t>
      </w:r>
      <w:r>
        <w:fldChar w:fldCharType="end"/>
      </w:r>
      <w:r>
        <w:rPr>
          <w:szCs w:val="21"/>
        </w:rPr>
        <w:fldChar w:fldCharType="end"/>
      </w:r>
    </w:p>
    <w:p w14:paraId="4134E1C3">
      <w:pPr>
        <w:pStyle w:val="36"/>
        <w:tabs>
          <w:tab w:val="right" w:leader="dot" w:pos="10069"/>
        </w:tabs>
      </w:pPr>
      <w:r>
        <w:rPr>
          <w:szCs w:val="21"/>
        </w:rPr>
        <w:fldChar w:fldCharType="begin"/>
      </w:r>
      <w:r>
        <w:rPr>
          <w:szCs w:val="21"/>
        </w:rPr>
        <w:instrText xml:space="preserve"> HYPERLINK \l _Toc29376 </w:instrText>
      </w:r>
      <w:r>
        <w:rPr>
          <w:szCs w:val="21"/>
        </w:rPr>
        <w:fldChar w:fldCharType="separate"/>
      </w:r>
      <w:r>
        <w:rPr>
          <w:rFonts w:hint="eastAsia" w:ascii="宋体" w:hAnsi="宋体"/>
          <w:szCs w:val="21"/>
        </w:rPr>
        <w:t>10. 需要补充的其他内容</w:t>
      </w:r>
      <w:r>
        <w:tab/>
      </w:r>
      <w:r>
        <w:fldChar w:fldCharType="begin"/>
      </w:r>
      <w:r>
        <w:instrText xml:space="preserve"> PAGEREF _Toc29376 \h </w:instrText>
      </w:r>
      <w:r>
        <w:fldChar w:fldCharType="separate"/>
      </w:r>
      <w:r>
        <w:t>28</w:t>
      </w:r>
      <w:r>
        <w:fldChar w:fldCharType="end"/>
      </w:r>
      <w:r>
        <w:rPr>
          <w:szCs w:val="21"/>
        </w:rPr>
        <w:fldChar w:fldCharType="end"/>
      </w:r>
    </w:p>
    <w:p w14:paraId="07317387">
      <w:pPr>
        <w:pStyle w:val="36"/>
        <w:tabs>
          <w:tab w:val="right" w:leader="dot" w:pos="10069"/>
        </w:tabs>
      </w:pPr>
      <w:r>
        <w:rPr>
          <w:szCs w:val="21"/>
        </w:rPr>
        <w:fldChar w:fldCharType="begin"/>
      </w:r>
      <w:r>
        <w:rPr>
          <w:szCs w:val="21"/>
        </w:rPr>
        <w:instrText xml:space="preserve"> HYPERLINK \l _Toc9400 </w:instrText>
      </w:r>
      <w:r>
        <w:rPr>
          <w:szCs w:val="21"/>
        </w:rPr>
        <w:fldChar w:fldCharType="separate"/>
      </w:r>
      <w:r>
        <w:rPr>
          <w:rFonts w:hint="eastAsia" w:ascii="宋体" w:hAnsi="宋体"/>
          <w:szCs w:val="30"/>
        </w:rPr>
        <w:t>第三章 评标办法（合理区间抽取定价法）</w:t>
      </w:r>
      <w:r>
        <w:tab/>
      </w:r>
      <w:r>
        <w:fldChar w:fldCharType="begin"/>
      </w:r>
      <w:r>
        <w:instrText xml:space="preserve"> PAGEREF _Toc9400 \h </w:instrText>
      </w:r>
      <w:r>
        <w:fldChar w:fldCharType="separate"/>
      </w:r>
      <w:r>
        <w:t>30</w:t>
      </w:r>
      <w:r>
        <w:fldChar w:fldCharType="end"/>
      </w:r>
      <w:r>
        <w:rPr>
          <w:szCs w:val="21"/>
        </w:rPr>
        <w:fldChar w:fldCharType="end"/>
      </w:r>
    </w:p>
    <w:p w14:paraId="58AFF142">
      <w:pPr>
        <w:pStyle w:val="36"/>
        <w:tabs>
          <w:tab w:val="right" w:leader="dot" w:pos="10069"/>
        </w:tabs>
      </w:pPr>
      <w:r>
        <w:rPr>
          <w:szCs w:val="21"/>
        </w:rPr>
        <w:fldChar w:fldCharType="begin"/>
      </w:r>
      <w:r>
        <w:rPr>
          <w:szCs w:val="21"/>
        </w:rPr>
        <w:instrText xml:space="preserve"> HYPERLINK \l _Toc30604 </w:instrText>
      </w:r>
      <w:r>
        <w:rPr>
          <w:szCs w:val="21"/>
        </w:rPr>
        <w:fldChar w:fldCharType="separate"/>
      </w:r>
      <w:r>
        <w:rPr>
          <w:rFonts w:hint="eastAsia" w:ascii="宋体" w:hAnsi="宋体"/>
          <w:szCs w:val="48"/>
        </w:rPr>
        <w:t>第四章  合同条款及格式</w:t>
      </w:r>
      <w:r>
        <w:tab/>
      </w:r>
      <w:r>
        <w:fldChar w:fldCharType="begin"/>
      </w:r>
      <w:r>
        <w:instrText xml:space="preserve"> PAGEREF _Toc30604 \h </w:instrText>
      </w:r>
      <w:r>
        <w:fldChar w:fldCharType="separate"/>
      </w:r>
      <w:r>
        <w:t>32</w:t>
      </w:r>
      <w:r>
        <w:fldChar w:fldCharType="end"/>
      </w:r>
      <w:r>
        <w:rPr>
          <w:szCs w:val="21"/>
        </w:rPr>
        <w:fldChar w:fldCharType="end"/>
      </w:r>
    </w:p>
    <w:p w14:paraId="51645A51">
      <w:pPr>
        <w:pStyle w:val="36"/>
        <w:tabs>
          <w:tab w:val="right" w:leader="dot" w:pos="10069"/>
        </w:tabs>
      </w:pPr>
      <w:r>
        <w:rPr>
          <w:szCs w:val="21"/>
        </w:rPr>
        <w:fldChar w:fldCharType="begin"/>
      </w:r>
      <w:r>
        <w:rPr>
          <w:szCs w:val="21"/>
        </w:rPr>
        <w:instrText xml:space="preserve"> HYPERLINK \l _Toc30924 </w:instrText>
      </w:r>
      <w:r>
        <w:rPr>
          <w:szCs w:val="21"/>
        </w:rPr>
        <w:fldChar w:fldCharType="separate"/>
      </w:r>
      <w:r>
        <w:rPr>
          <w:rFonts w:hint="eastAsia" w:ascii="宋体" w:hAnsi="宋体"/>
          <w:szCs w:val="28"/>
        </w:rPr>
        <w:t>第一节  通用合同条款</w:t>
      </w:r>
      <w:r>
        <w:tab/>
      </w:r>
      <w:r>
        <w:fldChar w:fldCharType="begin"/>
      </w:r>
      <w:r>
        <w:instrText xml:space="preserve"> PAGEREF _Toc30924 \h </w:instrText>
      </w:r>
      <w:r>
        <w:fldChar w:fldCharType="separate"/>
      </w:r>
      <w:r>
        <w:t>33</w:t>
      </w:r>
      <w:r>
        <w:fldChar w:fldCharType="end"/>
      </w:r>
      <w:r>
        <w:rPr>
          <w:szCs w:val="21"/>
        </w:rPr>
        <w:fldChar w:fldCharType="end"/>
      </w:r>
    </w:p>
    <w:p w14:paraId="38152DA9">
      <w:pPr>
        <w:pStyle w:val="36"/>
        <w:tabs>
          <w:tab w:val="right" w:leader="dot" w:pos="10069"/>
        </w:tabs>
      </w:pPr>
      <w:r>
        <w:rPr>
          <w:szCs w:val="21"/>
        </w:rPr>
        <w:fldChar w:fldCharType="begin"/>
      </w:r>
      <w:r>
        <w:rPr>
          <w:szCs w:val="21"/>
        </w:rPr>
        <w:instrText xml:space="preserve"> HYPERLINK \l _Toc11274 </w:instrText>
      </w:r>
      <w:r>
        <w:rPr>
          <w:szCs w:val="21"/>
        </w:rPr>
        <w:fldChar w:fldCharType="separate"/>
      </w:r>
      <w:r>
        <w:rPr>
          <w:rFonts w:hint="eastAsia" w:ascii="宋体" w:hAnsi="宋体"/>
          <w:szCs w:val="28"/>
        </w:rPr>
        <w:t>第二节 专用合同条款</w:t>
      </w:r>
      <w:r>
        <w:tab/>
      </w:r>
      <w:r>
        <w:fldChar w:fldCharType="begin"/>
      </w:r>
      <w:r>
        <w:instrText xml:space="preserve"> PAGEREF _Toc11274 \h </w:instrText>
      </w:r>
      <w:r>
        <w:fldChar w:fldCharType="separate"/>
      </w:r>
      <w:r>
        <w:t>34</w:t>
      </w:r>
      <w:r>
        <w:fldChar w:fldCharType="end"/>
      </w:r>
      <w:r>
        <w:rPr>
          <w:szCs w:val="21"/>
        </w:rPr>
        <w:fldChar w:fldCharType="end"/>
      </w:r>
    </w:p>
    <w:p w14:paraId="15BBD7FF">
      <w:pPr>
        <w:pStyle w:val="36"/>
        <w:tabs>
          <w:tab w:val="right" w:pos="2400"/>
          <w:tab w:val="right" w:leader="dot" w:pos="10069"/>
        </w:tabs>
      </w:pPr>
      <w:r>
        <w:rPr>
          <w:szCs w:val="21"/>
        </w:rPr>
        <w:fldChar w:fldCharType="begin"/>
      </w:r>
      <w:r>
        <w:rPr>
          <w:szCs w:val="21"/>
        </w:rPr>
        <w:instrText xml:space="preserve"> HYPERLINK \l _Toc16581 </w:instrText>
      </w:r>
      <w:r>
        <w:rPr>
          <w:szCs w:val="21"/>
        </w:rPr>
        <w:fldChar w:fldCharType="separate"/>
      </w:r>
      <w:r>
        <w:rPr>
          <w:rFonts w:hint="eastAsia" w:ascii="宋体" w:hAnsi="宋体"/>
          <w:szCs w:val="28"/>
        </w:rPr>
        <w:t>第三节</w:t>
      </w:r>
      <w:r>
        <w:rPr>
          <w:rFonts w:hint="eastAsia" w:ascii="宋体" w:hAnsi="宋体"/>
          <w:szCs w:val="28"/>
        </w:rPr>
        <w:tab/>
      </w:r>
      <w:r>
        <w:rPr>
          <w:rFonts w:hint="eastAsia" w:ascii="宋体" w:hAnsi="宋体"/>
          <w:szCs w:val="28"/>
        </w:rPr>
        <w:t>合同附件格式</w:t>
      </w:r>
      <w:r>
        <w:tab/>
      </w:r>
      <w:r>
        <w:fldChar w:fldCharType="begin"/>
      </w:r>
      <w:r>
        <w:instrText xml:space="preserve"> PAGEREF _Toc16581 \h </w:instrText>
      </w:r>
      <w:r>
        <w:fldChar w:fldCharType="separate"/>
      </w:r>
      <w:r>
        <w:t>96</w:t>
      </w:r>
      <w:r>
        <w:fldChar w:fldCharType="end"/>
      </w:r>
      <w:r>
        <w:rPr>
          <w:szCs w:val="21"/>
        </w:rPr>
        <w:fldChar w:fldCharType="end"/>
      </w:r>
    </w:p>
    <w:p w14:paraId="62511BB1">
      <w:pPr>
        <w:pStyle w:val="36"/>
        <w:tabs>
          <w:tab w:val="right" w:leader="dot" w:pos="10069"/>
        </w:tabs>
      </w:pPr>
      <w:r>
        <w:rPr>
          <w:szCs w:val="21"/>
        </w:rPr>
        <w:fldChar w:fldCharType="begin"/>
      </w:r>
      <w:r>
        <w:rPr>
          <w:szCs w:val="21"/>
        </w:rPr>
        <w:instrText xml:space="preserve"> HYPERLINK \l _Toc15585 </w:instrText>
      </w:r>
      <w:r>
        <w:rPr>
          <w:szCs w:val="21"/>
        </w:rPr>
        <w:fldChar w:fldCharType="separate"/>
      </w:r>
      <w:r>
        <w:rPr>
          <w:rFonts w:hint="eastAsia" w:ascii="宋体" w:hAnsi="宋体"/>
          <w:szCs w:val="72"/>
        </w:rPr>
        <w:t>第  二  卷</w:t>
      </w:r>
      <w:r>
        <w:tab/>
      </w:r>
      <w:r>
        <w:fldChar w:fldCharType="begin"/>
      </w:r>
      <w:r>
        <w:instrText xml:space="preserve"> PAGEREF _Toc15585 \h </w:instrText>
      </w:r>
      <w:r>
        <w:fldChar w:fldCharType="separate"/>
      </w:r>
      <w:r>
        <w:t>110</w:t>
      </w:r>
      <w:r>
        <w:fldChar w:fldCharType="end"/>
      </w:r>
      <w:r>
        <w:rPr>
          <w:szCs w:val="21"/>
        </w:rPr>
        <w:fldChar w:fldCharType="end"/>
      </w:r>
    </w:p>
    <w:p w14:paraId="7B309E31">
      <w:pPr>
        <w:pStyle w:val="36"/>
        <w:tabs>
          <w:tab w:val="right" w:leader="dot" w:pos="10069"/>
        </w:tabs>
      </w:pPr>
      <w:r>
        <w:rPr>
          <w:szCs w:val="21"/>
        </w:rPr>
        <w:fldChar w:fldCharType="begin"/>
      </w:r>
      <w:r>
        <w:rPr>
          <w:szCs w:val="21"/>
        </w:rPr>
        <w:instrText xml:space="preserve"> HYPERLINK \l _Toc2194 </w:instrText>
      </w:r>
      <w:r>
        <w:rPr>
          <w:szCs w:val="21"/>
        </w:rPr>
        <w:fldChar w:fldCharType="separate"/>
      </w:r>
      <w:r>
        <w:rPr>
          <w:rFonts w:hint="eastAsia" w:ascii="宋体" w:hAnsi="宋体"/>
          <w:szCs w:val="72"/>
        </w:rPr>
        <w:t>第  三  卷</w:t>
      </w:r>
      <w:r>
        <w:tab/>
      </w:r>
      <w:r>
        <w:fldChar w:fldCharType="begin"/>
      </w:r>
      <w:r>
        <w:instrText xml:space="preserve"> PAGEREF _Toc2194 \h </w:instrText>
      </w:r>
      <w:r>
        <w:fldChar w:fldCharType="separate"/>
      </w:r>
      <w:r>
        <w:t>112</w:t>
      </w:r>
      <w:r>
        <w:fldChar w:fldCharType="end"/>
      </w:r>
      <w:r>
        <w:rPr>
          <w:szCs w:val="21"/>
        </w:rPr>
        <w:fldChar w:fldCharType="end"/>
      </w:r>
    </w:p>
    <w:p w14:paraId="1C3E7B4B">
      <w:pPr>
        <w:pStyle w:val="36"/>
        <w:tabs>
          <w:tab w:val="right" w:leader="dot" w:pos="10069"/>
        </w:tabs>
      </w:pPr>
      <w:r>
        <w:rPr>
          <w:szCs w:val="21"/>
        </w:rPr>
        <w:fldChar w:fldCharType="begin"/>
      </w:r>
      <w:r>
        <w:rPr>
          <w:szCs w:val="21"/>
        </w:rPr>
        <w:instrText xml:space="preserve"> HYPERLINK \l _Toc22692 </w:instrText>
      </w:r>
      <w:r>
        <w:rPr>
          <w:szCs w:val="21"/>
        </w:rPr>
        <w:fldChar w:fldCharType="separate"/>
      </w:r>
      <w:r>
        <w:rPr>
          <w:rFonts w:hint="eastAsia" w:ascii="宋体" w:hAnsi="宋体"/>
          <w:szCs w:val="72"/>
        </w:rPr>
        <w:t>第  四  卷</w:t>
      </w:r>
      <w:r>
        <w:tab/>
      </w:r>
      <w:r>
        <w:fldChar w:fldCharType="begin"/>
      </w:r>
      <w:r>
        <w:instrText xml:space="preserve"> PAGEREF _Toc22692 \h </w:instrText>
      </w:r>
      <w:r>
        <w:fldChar w:fldCharType="separate"/>
      </w:r>
      <w:r>
        <w:t>115</w:t>
      </w:r>
      <w:r>
        <w:fldChar w:fldCharType="end"/>
      </w:r>
      <w:r>
        <w:rPr>
          <w:szCs w:val="21"/>
        </w:rPr>
        <w:fldChar w:fldCharType="end"/>
      </w:r>
    </w:p>
    <w:p w14:paraId="4AF2DD2A">
      <w:pPr>
        <w:pStyle w:val="36"/>
        <w:tabs>
          <w:tab w:val="right" w:leader="dot" w:pos="10069"/>
        </w:tabs>
      </w:pPr>
      <w:r>
        <w:rPr>
          <w:szCs w:val="21"/>
        </w:rPr>
        <w:fldChar w:fldCharType="begin"/>
      </w:r>
      <w:r>
        <w:rPr>
          <w:szCs w:val="21"/>
        </w:rPr>
        <w:instrText xml:space="preserve"> HYPERLINK \l _Toc13673 </w:instrText>
      </w:r>
      <w:r>
        <w:rPr>
          <w:szCs w:val="21"/>
        </w:rPr>
        <w:fldChar w:fldCharType="separate"/>
      </w:r>
      <w:r>
        <w:rPr>
          <w:rFonts w:hint="eastAsia" w:ascii="宋体" w:hAnsi="宋体"/>
          <w:szCs w:val="30"/>
          <w:lang w:val="en-US"/>
        </w:rPr>
        <w:t xml:space="preserve">一、 </w:t>
      </w:r>
      <w:r>
        <w:rPr>
          <w:rFonts w:hint="eastAsia" w:ascii="宋体" w:hAnsi="宋体"/>
          <w:szCs w:val="30"/>
        </w:rPr>
        <w:t>投标函</w:t>
      </w:r>
      <w:r>
        <w:tab/>
      </w:r>
      <w:r>
        <w:fldChar w:fldCharType="begin"/>
      </w:r>
      <w:r>
        <w:instrText xml:space="preserve"> PAGEREF _Toc13673 \h </w:instrText>
      </w:r>
      <w:r>
        <w:fldChar w:fldCharType="separate"/>
      </w:r>
      <w:r>
        <w:t>119</w:t>
      </w:r>
      <w:r>
        <w:fldChar w:fldCharType="end"/>
      </w:r>
      <w:r>
        <w:rPr>
          <w:szCs w:val="21"/>
        </w:rPr>
        <w:fldChar w:fldCharType="end"/>
      </w:r>
    </w:p>
    <w:p w14:paraId="76A6F2A6">
      <w:pPr>
        <w:pStyle w:val="36"/>
        <w:tabs>
          <w:tab w:val="right" w:leader="dot" w:pos="10069"/>
        </w:tabs>
      </w:pPr>
      <w:r>
        <w:rPr>
          <w:szCs w:val="21"/>
        </w:rPr>
        <w:fldChar w:fldCharType="begin"/>
      </w:r>
      <w:r>
        <w:rPr>
          <w:szCs w:val="21"/>
        </w:rPr>
        <w:instrText xml:space="preserve"> HYPERLINK \l _Toc17625 </w:instrText>
      </w:r>
      <w:r>
        <w:rPr>
          <w:szCs w:val="21"/>
        </w:rPr>
        <w:fldChar w:fldCharType="separate"/>
      </w:r>
      <w:r>
        <w:rPr>
          <w:rFonts w:hint="eastAsia" w:ascii="宋体" w:hAnsi="宋体"/>
          <w:bCs w:val="0"/>
        </w:rPr>
        <w:t>二、</w:t>
      </w:r>
      <w:r>
        <w:rPr>
          <w:rFonts w:hint="eastAsia" w:ascii="宋体" w:hAnsi="宋体"/>
          <w:szCs w:val="30"/>
        </w:rPr>
        <w:t>投标函附录</w:t>
      </w:r>
      <w:r>
        <w:tab/>
      </w:r>
      <w:r>
        <w:fldChar w:fldCharType="begin"/>
      </w:r>
      <w:r>
        <w:instrText xml:space="preserve"> PAGEREF _Toc17625 \h </w:instrText>
      </w:r>
      <w:r>
        <w:fldChar w:fldCharType="separate"/>
      </w:r>
      <w:r>
        <w:t>120</w:t>
      </w:r>
      <w:r>
        <w:fldChar w:fldCharType="end"/>
      </w:r>
      <w:r>
        <w:rPr>
          <w:szCs w:val="21"/>
        </w:rPr>
        <w:fldChar w:fldCharType="end"/>
      </w:r>
    </w:p>
    <w:p w14:paraId="2827F7E9">
      <w:pPr>
        <w:pStyle w:val="36"/>
        <w:tabs>
          <w:tab w:val="right" w:leader="dot" w:pos="10069"/>
        </w:tabs>
      </w:pPr>
      <w:r>
        <w:rPr>
          <w:szCs w:val="21"/>
        </w:rPr>
        <w:fldChar w:fldCharType="begin"/>
      </w:r>
      <w:r>
        <w:rPr>
          <w:szCs w:val="21"/>
        </w:rPr>
        <w:instrText xml:space="preserve"> HYPERLINK \l _Toc16191 </w:instrText>
      </w:r>
      <w:r>
        <w:rPr>
          <w:szCs w:val="21"/>
        </w:rPr>
        <w:fldChar w:fldCharType="separate"/>
      </w:r>
      <w:r>
        <w:rPr>
          <w:rFonts w:hint="eastAsia" w:ascii="宋体" w:hAnsi="宋体"/>
          <w:bCs w:val="0"/>
        </w:rPr>
        <w:t>三、法定代表人身份证明及附有法定代表人身份证明的授权委托书</w:t>
      </w:r>
      <w:r>
        <w:tab/>
      </w:r>
      <w:r>
        <w:fldChar w:fldCharType="begin"/>
      </w:r>
      <w:r>
        <w:instrText xml:space="preserve"> PAGEREF _Toc16191 \h </w:instrText>
      </w:r>
      <w:r>
        <w:fldChar w:fldCharType="separate"/>
      </w:r>
      <w:r>
        <w:t>121</w:t>
      </w:r>
      <w:r>
        <w:fldChar w:fldCharType="end"/>
      </w:r>
      <w:r>
        <w:rPr>
          <w:szCs w:val="21"/>
        </w:rPr>
        <w:fldChar w:fldCharType="end"/>
      </w:r>
    </w:p>
    <w:p w14:paraId="77B9E379">
      <w:pPr>
        <w:pStyle w:val="36"/>
        <w:tabs>
          <w:tab w:val="right" w:leader="dot" w:pos="10069"/>
        </w:tabs>
      </w:pPr>
      <w:r>
        <w:rPr>
          <w:szCs w:val="21"/>
        </w:rPr>
        <w:fldChar w:fldCharType="begin"/>
      </w:r>
      <w:r>
        <w:rPr>
          <w:szCs w:val="21"/>
        </w:rPr>
        <w:instrText xml:space="preserve"> HYPERLINK \l _Toc18457 </w:instrText>
      </w:r>
      <w:r>
        <w:rPr>
          <w:szCs w:val="21"/>
        </w:rPr>
        <w:fldChar w:fldCharType="separate"/>
      </w:r>
      <w:r>
        <w:rPr>
          <w:rFonts w:hint="eastAsia" w:ascii="宋体" w:hAnsi="宋体"/>
          <w:bCs w:val="0"/>
        </w:rPr>
        <w:t>四、项目管理机构</w:t>
      </w:r>
      <w:r>
        <w:tab/>
      </w:r>
      <w:r>
        <w:fldChar w:fldCharType="begin"/>
      </w:r>
      <w:r>
        <w:instrText xml:space="preserve"> PAGEREF _Toc18457 \h </w:instrText>
      </w:r>
      <w:r>
        <w:fldChar w:fldCharType="separate"/>
      </w:r>
      <w:r>
        <w:t>123</w:t>
      </w:r>
      <w:r>
        <w:fldChar w:fldCharType="end"/>
      </w:r>
      <w:r>
        <w:rPr>
          <w:szCs w:val="21"/>
        </w:rPr>
        <w:fldChar w:fldCharType="end"/>
      </w:r>
    </w:p>
    <w:p w14:paraId="176CAA23">
      <w:pPr>
        <w:pStyle w:val="36"/>
        <w:tabs>
          <w:tab w:val="right" w:leader="dot" w:pos="10069"/>
        </w:tabs>
      </w:pPr>
      <w:r>
        <w:rPr>
          <w:szCs w:val="21"/>
        </w:rPr>
        <w:fldChar w:fldCharType="begin"/>
      </w:r>
      <w:r>
        <w:rPr>
          <w:szCs w:val="21"/>
        </w:rPr>
        <w:instrText xml:space="preserve"> HYPERLINK \l _Toc11993 </w:instrText>
      </w:r>
      <w:r>
        <w:rPr>
          <w:szCs w:val="21"/>
        </w:rPr>
        <w:fldChar w:fldCharType="separate"/>
      </w:r>
      <w:r>
        <w:rPr>
          <w:rFonts w:hint="eastAsia" w:ascii="宋体" w:hAnsi="宋体"/>
          <w:bCs w:val="0"/>
        </w:rPr>
        <w:t>五、资格审查资料</w:t>
      </w:r>
      <w:r>
        <w:tab/>
      </w:r>
      <w:r>
        <w:fldChar w:fldCharType="begin"/>
      </w:r>
      <w:r>
        <w:instrText xml:space="preserve"> PAGEREF _Toc11993 \h </w:instrText>
      </w:r>
      <w:r>
        <w:fldChar w:fldCharType="separate"/>
      </w:r>
      <w:r>
        <w:t>124</w:t>
      </w:r>
      <w:r>
        <w:fldChar w:fldCharType="end"/>
      </w:r>
      <w:r>
        <w:rPr>
          <w:szCs w:val="21"/>
        </w:rPr>
        <w:fldChar w:fldCharType="end"/>
      </w:r>
    </w:p>
    <w:p w14:paraId="7178BF6D">
      <w:pPr>
        <w:pStyle w:val="36"/>
        <w:tabs>
          <w:tab w:val="right" w:leader="dot" w:pos="10069"/>
        </w:tabs>
      </w:pPr>
      <w:r>
        <w:rPr>
          <w:szCs w:val="21"/>
        </w:rPr>
        <w:fldChar w:fldCharType="begin"/>
      </w:r>
      <w:r>
        <w:rPr>
          <w:szCs w:val="21"/>
        </w:rPr>
        <w:instrText xml:space="preserve"> HYPERLINK \l _Toc31329 </w:instrText>
      </w:r>
      <w:r>
        <w:rPr>
          <w:szCs w:val="21"/>
        </w:rPr>
        <w:fldChar w:fldCharType="separate"/>
      </w:r>
      <w:r>
        <w:rPr>
          <w:rFonts w:hint="eastAsia" w:ascii="宋体" w:hAnsi="宋体"/>
          <w:szCs w:val="30"/>
        </w:rPr>
        <w:t>（一）投标人基本情况表</w:t>
      </w:r>
      <w:r>
        <w:tab/>
      </w:r>
      <w:r>
        <w:fldChar w:fldCharType="begin"/>
      </w:r>
      <w:r>
        <w:instrText xml:space="preserve"> PAGEREF _Toc31329 \h </w:instrText>
      </w:r>
      <w:r>
        <w:fldChar w:fldCharType="separate"/>
      </w:r>
      <w:r>
        <w:t>124</w:t>
      </w:r>
      <w:r>
        <w:fldChar w:fldCharType="end"/>
      </w:r>
      <w:r>
        <w:rPr>
          <w:szCs w:val="21"/>
        </w:rPr>
        <w:fldChar w:fldCharType="end"/>
      </w:r>
    </w:p>
    <w:p w14:paraId="0E22ABE8">
      <w:pPr>
        <w:pStyle w:val="36"/>
        <w:tabs>
          <w:tab w:val="right" w:leader="dot" w:pos="10069"/>
        </w:tabs>
      </w:pPr>
      <w:r>
        <w:rPr>
          <w:szCs w:val="21"/>
        </w:rPr>
        <w:fldChar w:fldCharType="begin"/>
      </w:r>
      <w:r>
        <w:rPr>
          <w:szCs w:val="21"/>
        </w:rPr>
        <w:instrText xml:space="preserve"> HYPERLINK \l _Toc19807 </w:instrText>
      </w:r>
      <w:r>
        <w:rPr>
          <w:szCs w:val="21"/>
        </w:rPr>
        <w:fldChar w:fldCharType="separate"/>
      </w:r>
      <w:r>
        <w:rPr>
          <w:rFonts w:hint="eastAsia" w:eastAsia="黑体"/>
          <w:szCs w:val="30"/>
        </w:rPr>
        <w:t>（二）投标人的信誉情况</w:t>
      </w:r>
      <w:r>
        <w:tab/>
      </w:r>
      <w:r>
        <w:fldChar w:fldCharType="begin"/>
      </w:r>
      <w:r>
        <w:instrText xml:space="preserve"> PAGEREF _Toc19807 \h </w:instrText>
      </w:r>
      <w:r>
        <w:fldChar w:fldCharType="separate"/>
      </w:r>
      <w:r>
        <w:t>125</w:t>
      </w:r>
      <w:r>
        <w:fldChar w:fldCharType="end"/>
      </w:r>
      <w:r>
        <w:rPr>
          <w:szCs w:val="21"/>
        </w:rPr>
        <w:fldChar w:fldCharType="end"/>
      </w:r>
    </w:p>
    <w:p w14:paraId="757D532D">
      <w:pPr>
        <w:pStyle w:val="36"/>
        <w:tabs>
          <w:tab w:val="right" w:leader="dot" w:pos="10069"/>
        </w:tabs>
      </w:pPr>
      <w:r>
        <w:rPr>
          <w:szCs w:val="21"/>
        </w:rPr>
        <w:fldChar w:fldCharType="begin"/>
      </w:r>
      <w:r>
        <w:rPr>
          <w:szCs w:val="21"/>
        </w:rPr>
        <w:instrText xml:space="preserve"> HYPERLINK \l _Toc21716 </w:instrText>
      </w:r>
      <w:r>
        <w:rPr>
          <w:szCs w:val="21"/>
        </w:rPr>
        <w:fldChar w:fldCharType="separate"/>
      </w:r>
      <w:r>
        <w:rPr>
          <w:rFonts w:hint="eastAsia" w:ascii="宋体" w:hAnsi="宋体"/>
          <w:szCs w:val="30"/>
        </w:rPr>
        <w:t>（三）拟委任的项目经理、项目技术负责人和安全负责人资历表</w:t>
      </w:r>
      <w:r>
        <w:tab/>
      </w:r>
      <w:r>
        <w:fldChar w:fldCharType="begin"/>
      </w:r>
      <w:r>
        <w:instrText xml:space="preserve"> PAGEREF _Toc21716 \h </w:instrText>
      </w:r>
      <w:r>
        <w:fldChar w:fldCharType="separate"/>
      </w:r>
      <w:r>
        <w:t>126</w:t>
      </w:r>
      <w:r>
        <w:fldChar w:fldCharType="end"/>
      </w:r>
      <w:r>
        <w:rPr>
          <w:szCs w:val="21"/>
        </w:rPr>
        <w:fldChar w:fldCharType="end"/>
      </w:r>
    </w:p>
    <w:p w14:paraId="073006D7">
      <w:pPr>
        <w:pStyle w:val="36"/>
        <w:tabs>
          <w:tab w:val="right" w:leader="dot" w:pos="10069"/>
        </w:tabs>
      </w:pPr>
      <w:r>
        <w:rPr>
          <w:szCs w:val="21"/>
        </w:rPr>
        <w:fldChar w:fldCharType="begin"/>
      </w:r>
      <w:r>
        <w:rPr>
          <w:szCs w:val="21"/>
        </w:rPr>
        <w:instrText xml:space="preserve"> HYPERLINK \l _Toc6559 </w:instrText>
      </w:r>
      <w:r>
        <w:rPr>
          <w:szCs w:val="21"/>
        </w:rPr>
        <w:fldChar w:fldCharType="separate"/>
      </w:r>
      <w:r>
        <w:rPr>
          <w:rFonts w:hint="eastAsia" w:ascii="宋体" w:hAnsi="宋体"/>
          <w:szCs w:val="30"/>
        </w:rPr>
        <w:t>（四）财务要求</w:t>
      </w:r>
      <w:r>
        <w:tab/>
      </w:r>
      <w:r>
        <w:fldChar w:fldCharType="begin"/>
      </w:r>
      <w:r>
        <w:instrText xml:space="preserve"> PAGEREF _Toc6559 \h </w:instrText>
      </w:r>
      <w:r>
        <w:fldChar w:fldCharType="separate"/>
      </w:r>
      <w:r>
        <w:t>127</w:t>
      </w:r>
      <w:r>
        <w:fldChar w:fldCharType="end"/>
      </w:r>
      <w:r>
        <w:rPr>
          <w:szCs w:val="21"/>
        </w:rPr>
        <w:fldChar w:fldCharType="end"/>
      </w:r>
    </w:p>
    <w:p w14:paraId="676F4E07">
      <w:pPr>
        <w:pStyle w:val="36"/>
        <w:tabs>
          <w:tab w:val="right" w:leader="dot" w:pos="10069"/>
        </w:tabs>
      </w:pPr>
      <w:r>
        <w:rPr>
          <w:szCs w:val="21"/>
        </w:rPr>
        <w:fldChar w:fldCharType="begin"/>
      </w:r>
      <w:r>
        <w:rPr>
          <w:szCs w:val="21"/>
        </w:rPr>
        <w:instrText xml:space="preserve"> HYPERLINK \l _Toc25707 </w:instrText>
      </w:r>
      <w:r>
        <w:rPr>
          <w:szCs w:val="21"/>
        </w:rPr>
        <w:fldChar w:fldCharType="separate"/>
      </w:r>
      <w:r>
        <w:rPr>
          <w:rFonts w:hint="eastAsia" w:ascii="宋体" w:hAnsi="宋体"/>
          <w:szCs w:val="30"/>
        </w:rPr>
        <w:t>（五）履约行为表</w:t>
      </w:r>
      <w:r>
        <w:tab/>
      </w:r>
      <w:r>
        <w:fldChar w:fldCharType="begin"/>
      </w:r>
      <w:r>
        <w:instrText xml:space="preserve"> PAGEREF _Toc25707 \h </w:instrText>
      </w:r>
      <w:r>
        <w:fldChar w:fldCharType="separate"/>
      </w:r>
      <w:r>
        <w:t>129</w:t>
      </w:r>
      <w:r>
        <w:fldChar w:fldCharType="end"/>
      </w:r>
      <w:r>
        <w:rPr>
          <w:szCs w:val="21"/>
        </w:rPr>
        <w:fldChar w:fldCharType="end"/>
      </w:r>
    </w:p>
    <w:p w14:paraId="48F2155B">
      <w:pPr>
        <w:pStyle w:val="36"/>
        <w:tabs>
          <w:tab w:val="right" w:leader="dot" w:pos="10069"/>
        </w:tabs>
      </w:pPr>
      <w:r>
        <w:rPr>
          <w:szCs w:val="21"/>
        </w:rPr>
        <w:fldChar w:fldCharType="begin"/>
      </w:r>
      <w:r>
        <w:rPr>
          <w:szCs w:val="21"/>
        </w:rPr>
        <w:instrText xml:space="preserve"> HYPERLINK \l _Toc30825 </w:instrText>
      </w:r>
      <w:r>
        <w:rPr>
          <w:szCs w:val="21"/>
        </w:rPr>
        <w:fldChar w:fldCharType="separate"/>
      </w:r>
      <w:r>
        <w:rPr>
          <w:rFonts w:hint="eastAsia" w:ascii="宋体" w:hAnsi="宋体"/>
          <w:szCs w:val="30"/>
        </w:rPr>
        <w:t>六、承  诺  函</w:t>
      </w:r>
      <w:r>
        <w:tab/>
      </w:r>
      <w:r>
        <w:fldChar w:fldCharType="begin"/>
      </w:r>
      <w:r>
        <w:instrText xml:space="preserve"> PAGEREF _Toc30825 \h </w:instrText>
      </w:r>
      <w:r>
        <w:fldChar w:fldCharType="separate"/>
      </w:r>
      <w:r>
        <w:t>130</w:t>
      </w:r>
      <w:r>
        <w:fldChar w:fldCharType="end"/>
      </w:r>
      <w:r>
        <w:rPr>
          <w:szCs w:val="21"/>
        </w:rPr>
        <w:fldChar w:fldCharType="end"/>
      </w:r>
    </w:p>
    <w:p w14:paraId="3E2FC42D">
      <w:pPr>
        <w:pStyle w:val="36"/>
        <w:tabs>
          <w:tab w:val="right" w:leader="dot" w:pos="10069"/>
        </w:tabs>
      </w:pPr>
      <w:r>
        <w:rPr>
          <w:szCs w:val="21"/>
        </w:rPr>
        <w:fldChar w:fldCharType="begin"/>
      </w:r>
      <w:r>
        <w:rPr>
          <w:szCs w:val="21"/>
        </w:rPr>
        <w:instrText xml:space="preserve"> HYPERLINK \l _Toc24441 </w:instrText>
      </w:r>
      <w:r>
        <w:rPr>
          <w:szCs w:val="21"/>
        </w:rPr>
        <w:fldChar w:fldCharType="separate"/>
      </w:r>
      <w:r>
        <w:rPr>
          <w:rFonts w:hint="eastAsia" w:ascii="宋体" w:hAnsi="宋体"/>
          <w:szCs w:val="30"/>
        </w:rPr>
        <w:t>七、其 他 材 料</w:t>
      </w:r>
      <w:r>
        <w:tab/>
      </w:r>
      <w:r>
        <w:fldChar w:fldCharType="begin"/>
      </w:r>
      <w:r>
        <w:instrText xml:space="preserve"> PAGEREF _Toc24441 \h </w:instrText>
      </w:r>
      <w:r>
        <w:fldChar w:fldCharType="separate"/>
      </w:r>
      <w:r>
        <w:t>132</w:t>
      </w:r>
      <w:r>
        <w:fldChar w:fldCharType="end"/>
      </w:r>
      <w:r>
        <w:rPr>
          <w:szCs w:val="21"/>
        </w:rPr>
        <w:fldChar w:fldCharType="end"/>
      </w:r>
    </w:p>
    <w:p w14:paraId="2B2BB795">
      <w:pPr>
        <w:rPr>
          <w:rFonts w:ascii="宋体" w:hAnsi="宋体" w:eastAsia="宋体" w:cs="宋体"/>
        </w:rPr>
      </w:pPr>
      <w:r>
        <w:rPr>
          <w:szCs w:val="21"/>
        </w:rPr>
        <w:fldChar w:fldCharType="end"/>
      </w:r>
    </w:p>
    <w:p w14:paraId="03FE46D7">
      <w:pPr>
        <w:rPr>
          <w:rFonts w:ascii="宋体" w:hAnsi="宋体" w:eastAsia="宋体" w:cs="宋体"/>
          <w:sz w:val="24"/>
        </w:rPr>
      </w:pPr>
    </w:p>
    <w:p w14:paraId="5763D37C">
      <w:pPr>
        <w:tabs>
          <w:tab w:val="left" w:pos="6075"/>
        </w:tabs>
        <w:rPr>
          <w:rFonts w:ascii="宋体" w:hAnsi="宋体" w:eastAsia="宋体" w:cs="宋体"/>
          <w:sz w:val="24"/>
        </w:rPr>
      </w:pPr>
      <w:r>
        <w:rPr>
          <w:rFonts w:ascii="宋体" w:hAnsi="宋体" w:eastAsia="宋体" w:cs="宋体"/>
          <w:sz w:val="24"/>
        </w:rPr>
        <w:tab/>
      </w:r>
    </w:p>
    <w:p w14:paraId="43B6DDDA">
      <w:pPr>
        <w:rPr>
          <w:rFonts w:ascii="宋体" w:hAnsi="宋体" w:eastAsia="宋体" w:cs="宋体"/>
          <w:sz w:val="24"/>
        </w:rPr>
      </w:pPr>
    </w:p>
    <w:p w14:paraId="43AE8A29">
      <w:pPr>
        <w:widowControl/>
        <w:jc w:val="left"/>
        <w:rPr>
          <w:rFonts w:ascii="宋体" w:hAnsi="宋体" w:eastAsia="宋体" w:cs="宋体"/>
          <w:sz w:val="24"/>
        </w:rPr>
      </w:pPr>
      <w:r>
        <w:rPr>
          <w:rFonts w:ascii="宋体" w:hAnsi="宋体" w:eastAsia="宋体" w:cs="宋体"/>
          <w:sz w:val="24"/>
        </w:rPr>
        <w:br w:type="page"/>
      </w:r>
    </w:p>
    <w:p w14:paraId="1058D00C">
      <w:pPr>
        <w:rPr>
          <w:rFonts w:ascii="宋体" w:hAnsi="宋体" w:eastAsia="宋体" w:cs="宋体"/>
          <w:sz w:val="24"/>
        </w:rPr>
      </w:pPr>
    </w:p>
    <w:p w14:paraId="565D99AF">
      <w:pPr>
        <w:pStyle w:val="2"/>
        <w:spacing w:before="0" w:after="0" w:line="240" w:lineRule="auto"/>
        <w:jc w:val="center"/>
        <w:rPr>
          <w:rFonts w:ascii="宋体" w:hAnsi="宋体"/>
          <w:sz w:val="72"/>
          <w:szCs w:val="72"/>
        </w:rPr>
      </w:pPr>
      <w:bookmarkStart w:id="12" w:name="_Toc173244757"/>
      <w:bookmarkStart w:id="13" w:name="_Toc31683"/>
      <w:r>
        <w:rPr>
          <w:rFonts w:hint="eastAsia" w:ascii="宋体" w:hAnsi="宋体"/>
          <w:sz w:val="72"/>
          <w:szCs w:val="72"/>
        </w:rPr>
        <w:t>第  一  卷</w:t>
      </w:r>
      <w:bookmarkEnd w:id="12"/>
      <w:bookmarkEnd w:id="13"/>
    </w:p>
    <w:p w14:paraId="49C15216">
      <w:pPr>
        <w:rPr>
          <w:rFonts w:ascii="宋体" w:hAnsi="宋体" w:eastAsia="宋体" w:cs="宋体"/>
          <w:sz w:val="24"/>
        </w:rPr>
      </w:pPr>
    </w:p>
    <w:p w14:paraId="43BCE97B">
      <w:pPr>
        <w:rPr>
          <w:rFonts w:ascii="宋体" w:hAnsi="宋体" w:eastAsia="宋体" w:cs="宋体"/>
          <w:sz w:val="24"/>
        </w:rPr>
      </w:pPr>
    </w:p>
    <w:p w14:paraId="17C40747">
      <w:pPr>
        <w:widowControl/>
        <w:jc w:val="left"/>
        <w:rPr>
          <w:rFonts w:ascii="宋体" w:hAnsi="宋体" w:eastAsia="宋体" w:cs="宋体"/>
          <w:kern w:val="44"/>
          <w:sz w:val="30"/>
          <w:szCs w:val="30"/>
        </w:rPr>
      </w:pPr>
      <w:r>
        <w:rPr>
          <w:rFonts w:ascii="宋体" w:hAnsi="宋体" w:eastAsia="宋体" w:cs="宋体"/>
          <w:kern w:val="44"/>
          <w:sz w:val="30"/>
          <w:szCs w:val="30"/>
        </w:rPr>
        <w:br w:type="page"/>
      </w:r>
    </w:p>
    <w:p w14:paraId="6C73041E">
      <w:pPr>
        <w:pStyle w:val="2"/>
        <w:spacing w:line="240" w:lineRule="auto"/>
        <w:jc w:val="center"/>
        <w:rPr>
          <w:rFonts w:ascii="宋体" w:hAnsi="宋体"/>
          <w:sz w:val="30"/>
          <w:szCs w:val="30"/>
        </w:rPr>
      </w:pPr>
      <w:bookmarkStart w:id="14" w:name="_Toc173244758"/>
      <w:bookmarkStart w:id="15" w:name="_Toc809"/>
      <w:r>
        <w:rPr>
          <w:rFonts w:hint="eastAsia" w:ascii="宋体" w:hAnsi="宋体"/>
          <w:sz w:val="30"/>
          <w:szCs w:val="30"/>
        </w:rPr>
        <w:t>第一章 招标公告</w:t>
      </w:r>
      <w:bookmarkEnd w:id="14"/>
      <w:bookmarkEnd w:id="15"/>
    </w:p>
    <w:p w14:paraId="4820526B">
      <w:pPr>
        <w:jc w:val="center"/>
        <w:rPr>
          <w:sz w:val="30"/>
          <w:szCs w:val="30"/>
        </w:rPr>
      </w:pPr>
      <w:r>
        <w:rPr>
          <w:rFonts w:hint="eastAsia"/>
          <w:sz w:val="30"/>
          <w:szCs w:val="30"/>
        </w:rPr>
        <w:t xml:space="preserve">2025年三门县省道桥梁预防性养护工程  </w:t>
      </w:r>
    </w:p>
    <w:p w14:paraId="20D9E790">
      <w:pPr>
        <w:jc w:val="center"/>
        <w:rPr>
          <w:sz w:val="30"/>
          <w:szCs w:val="30"/>
        </w:rPr>
      </w:pPr>
      <w:r>
        <w:rPr>
          <w:rFonts w:hint="eastAsia"/>
          <w:sz w:val="30"/>
          <w:szCs w:val="30"/>
        </w:rPr>
        <w:t>招标公告</w:t>
      </w:r>
    </w:p>
    <w:p w14:paraId="7FD11002">
      <w:pPr>
        <w:spacing w:line="360" w:lineRule="auto"/>
        <w:rPr>
          <w:rFonts w:hAnsi="宋体"/>
          <w:b/>
          <w:sz w:val="24"/>
        </w:rPr>
      </w:pPr>
      <w:r>
        <w:rPr>
          <w:rFonts w:hint="eastAsia" w:hAnsi="宋体"/>
          <w:b/>
          <w:sz w:val="24"/>
        </w:rPr>
        <w:t>1、招标条件</w:t>
      </w:r>
    </w:p>
    <w:p w14:paraId="60E18F68">
      <w:pPr>
        <w:spacing w:line="360" w:lineRule="auto"/>
        <w:ind w:firstLine="440" w:firstLineChars="200"/>
        <w:rPr>
          <w:rFonts w:hAnsi="宋体"/>
          <w:sz w:val="22"/>
        </w:rPr>
      </w:pPr>
      <w:r>
        <w:rPr>
          <w:rFonts w:hint="eastAsia" w:hAnsi="宋体"/>
          <w:sz w:val="22"/>
        </w:rPr>
        <w:t>本招标项目</w:t>
      </w:r>
      <w:r>
        <w:rPr>
          <w:rFonts w:hint="eastAsia" w:hAnsi="宋体"/>
          <w:sz w:val="22"/>
          <w:u w:val="single"/>
        </w:rPr>
        <w:t xml:space="preserve">2025年三门县省道桥梁预防性养护工程 </w:t>
      </w:r>
      <w:r>
        <w:rPr>
          <w:rFonts w:hint="eastAsia" w:hAnsi="宋体"/>
          <w:sz w:val="22"/>
        </w:rPr>
        <w:t>（以下简称本项目）已批准建设，项目发包人为</w:t>
      </w:r>
      <w:r>
        <w:rPr>
          <w:rFonts w:hint="eastAsia" w:hAnsi="宋体"/>
          <w:sz w:val="22"/>
          <w:u w:val="single"/>
        </w:rPr>
        <w:t xml:space="preserve">三门县公路与运输管理中心 </w:t>
      </w:r>
      <w:r>
        <w:rPr>
          <w:rFonts w:hint="eastAsia" w:hAnsi="宋体"/>
          <w:sz w:val="22"/>
        </w:rPr>
        <w:t>，建设资金来自</w:t>
      </w:r>
      <w:r>
        <w:rPr>
          <w:rFonts w:hint="eastAsia" w:hAnsi="宋体"/>
          <w:sz w:val="22"/>
          <w:u w:val="single"/>
        </w:rPr>
        <w:t>自筹</w:t>
      </w:r>
      <w:r>
        <w:rPr>
          <w:rFonts w:hint="eastAsia" w:hAnsi="宋体"/>
          <w:sz w:val="22"/>
        </w:rPr>
        <w:t>。项目已具备招标条件，现对该项目的施工进行公开招标。</w:t>
      </w:r>
    </w:p>
    <w:p w14:paraId="67191DBE">
      <w:pPr>
        <w:spacing w:line="360" w:lineRule="auto"/>
        <w:rPr>
          <w:rFonts w:hAnsi="宋体"/>
          <w:b/>
          <w:sz w:val="24"/>
        </w:rPr>
      </w:pPr>
      <w:r>
        <w:rPr>
          <w:rFonts w:hint="eastAsia" w:hAnsi="宋体"/>
          <w:b/>
          <w:sz w:val="24"/>
        </w:rPr>
        <w:t>2、项目概况与招标范围</w:t>
      </w:r>
    </w:p>
    <w:p w14:paraId="2E43716D">
      <w:pPr>
        <w:spacing w:line="360" w:lineRule="auto"/>
        <w:ind w:firstLine="440" w:firstLineChars="200"/>
        <w:rPr>
          <w:rFonts w:hAnsi="宋体"/>
          <w:sz w:val="22"/>
        </w:rPr>
      </w:pPr>
      <w:r>
        <w:rPr>
          <w:rFonts w:hint="eastAsia" w:hAnsi="宋体"/>
          <w:sz w:val="22"/>
        </w:rPr>
        <w:t>2.1本项目位于三门县区域范围内，具体路线详见施工图纸。</w:t>
      </w:r>
    </w:p>
    <w:p w14:paraId="37AA840E">
      <w:pPr>
        <w:spacing w:line="360" w:lineRule="auto"/>
        <w:ind w:firstLine="440" w:firstLineChars="200"/>
        <w:rPr>
          <w:rFonts w:hAnsi="宋体"/>
          <w:sz w:val="22"/>
        </w:rPr>
      </w:pPr>
      <w:r>
        <w:rPr>
          <w:rFonts w:hint="eastAsia" w:hAnsi="宋体"/>
          <w:sz w:val="22"/>
        </w:rPr>
        <w:t>2.2本次招标施工为1个标段。本项目招标控制价（预算审核）：</w:t>
      </w:r>
      <w:r>
        <w:rPr>
          <w:rFonts w:hint="eastAsia" w:hAnsi="宋体"/>
          <w:sz w:val="22"/>
          <w:u w:val="single"/>
        </w:rPr>
        <w:t>539057元</w:t>
      </w:r>
      <w:r>
        <w:rPr>
          <w:rFonts w:hint="eastAsia" w:hAnsi="宋体"/>
          <w:sz w:val="22"/>
        </w:rPr>
        <w:t>。</w:t>
      </w:r>
    </w:p>
    <w:p w14:paraId="67DBBF68">
      <w:pPr>
        <w:spacing w:line="360" w:lineRule="auto"/>
        <w:ind w:firstLine="440" w:firstLineChars="200"/>
        <w:rPr>
          <w:rFonts w:hAnsi="宋体"/>
          <w:sz w:val="22"/>
        </w:rPr>
      </w:pPr>
      <w:r>
        <w:rPr>
          <w:rFonts w:hint="eastAsia" w:hAnsi="宋体"/>
          <w:sz w:val="22"/>
        </w:rPr>
        <w:t>2.</w:t>
      </w:r>
      <w:r>
        <w:rPr>
          <w:rFonts w:hAnsi="宋体"/>
          <w:sz w:val="22"/>
        </w:rPr>
        <w:t>3</w:t>
      </w:r>
      <w:r>
        <w:rPr>
          <w:rFonts w:hint="eastAsia" w:hAnsi="宋体"/>
          <w:sz w:val="22"/>
        </w:rPr>
        <w:t>招标范围：招标人所提供的预算审核书及施工图范围内桥梁预防性养护等工程。</w:t>
      </w:r>
    </w:p>
    <w:p w14:paraId="0C9B4692">
      <w:pPr>
        <w:spacing w:line="360" w:lineRule="auto"/>
        <w:ind w:firstLine="440" w:firstLineChars="200"/>
        <w:rPr>
          <w:rFonts w:hAnsi="宋体"/>
          <w:sz w:val="22"/>
        </w:rPr>
      </w:pPr>
      <w:r>
        <w:rPr>
          <w:rFonts w:hint="eastAsia" w:hAnsi="宋体"/>
          <w:sz w:val="22"/>
        </w:rPr>
        <w:t>2.</w:t>
      </w:r>
      <w:r>
        <w:rPr>
          <w:rFonts w:hAnsi="宋体"/>
          <w:sz w:val="22"/>
        </w:rPr>
        <w:t>4</w:t>
      </w:r>
      <w:r>
        <w:rPr>
          <w:rFonts w:hint="eastAsia" w:hAnsi="宋体"/>
          <w:sz w:val="22"/>
        </w:rPr>
        <w:t>计划工期：不超过</w:t>
      </w:r>
      <w:r>
        <w:rPr>
          <w:rFonts w:hAnsi="宋体"/>
          <w:sz w:val="22"/>
        </w:rPr>
        <w:t>45</w:t>
      </w:r>
      <w:r>
        <w:rPr>
          <w:rFonts w:hint="eastAsia" w:hAnsi="宋体"/>
          <w:sz w:val="22"/>
        </w:rPr>
        <w:t>日历天（投标人在投标文件中必须明确工期天数），缺陷责任期为12个月。</w:t>
      </w:r>
    </w:p>
    <w:p w14:paraId="0E50E659">
      <w:pPr>
        <w:spacing w:line="360" w:lineRule="auto"/>
        <w:rPr>
          <w:rFonts w:hAnsi="宋体"/>
          <w:b/>
          <w:sz w:val="24"/>
        </w:rPr>
      </w:pPr>
      <w:r>
        <w:rPr>
          <w:rFonts w:hint="eastAsia" w:hAnsi="宋体"/>
          <w:b/>
          <w:sz w:val="24"/>
        </w:rPr>
        <w:t>3、投标人资格要求</w:t>
      </w:r>
    </w:p>
    <w:p w14:paraId="7AC4278C">
      <w:pPr>
        <w:spacing w:line="360" w:lineRule="auto"/>
        <w:ind w:firstLine="440" w:firstLineChars="200"/>
        <w:rPr>
          <w:rFonts w:hAnsi="宋体"/>
          <w:b/>
          <w:sz w:val="22"/>
          <w:u w:val="single"/>
        </w:rPr>
      </w:pPr>
      <w:r>
        <w:rPr>
          <w:rFonts w:hint="eastAsia" w:hAnsi="宋体"/>
          <w:sz w:val="22"/>
        </w:rPr>
        <w:t>3.1本次公开招标要求投标人具备桥梁养护乙级及以上资质</w:t>
      </w:r>
      <w:r>
        <w:rPr>
          <w:rStyle w:val="55"/>
          <w:rFonts w:hint="eastAsia" w:ascii="宋体" w:hAnsi="宋体" w:eastAsia="宋体" w:cs="宋体"/>
          <w:color w:val="000000"/>
          <w:szCs w:val="21"/>
          <w:shd w:val="clear" w:color="auto" w:fill="FFFFFF"/>
        </w:rPr>
        <w:t>，并在人员、设备、资金等方面具有相应的施工能力。</w:t>
      </w:r>
    </w:p>
    <w:p w14:paraId="624B91CE">
      <w:pPr>
        <w:spacing w:line="360" w:lineRule="auto"/>
        <w:ind w:firstLine="442" w:firstLineChars="200"/>
        <w:rPr>
          <w:rFonts w:hAnsi="宋体"/>
          <w:b/>
          <w:sz w:val="22"/>
          <w:u w:val="single"/>
        </w:rPr>
      </w:pPr>
      <w:r>
        <w:rPr>
          <w:rFonts w:hint="eastAsia" w:hAnsi="宋体"/>
          <w:b/>
          <w:sz w:val="22"/>
        </w:rPr>
        <w:t>3.2拟委任的项目经理要求具有</w:t>
      </w:r>
      <w:r>
        <w:rPr>
          <w:rFonts w:hint="eastAsia" w:hAnsi="宋体"/>
          <w:b/>
          <w:sz w:val="22"/>
          <w:u w:val="single"/>
        </w:rPr>
        <w:t>公路工程专业注册建造师二级及以上，无在建工程。</w:t>
      </w:r>
    </w:p>
    <w:p w14:paraId="65E357F9">
      <w:pPr>
        <w:spacing w:line="360" w:lineRule="auto"/>
        <w:ind w:firstLine="440" w:firstLineChars="200"/>
        <w:rPr>
          <w:rFonts w:hAnsi="宋体"/>
          <w:sz w:val="22"/>
        </w:rPr>
      </w:pPr>
      <w:r>
        <w:rPr>
          <w:rFonts w:hint="eastAsia" w:hAnsi="宋体"/>
          <w:sz w:val="22"/>
        </w:rPr>
        <w:t>3.3本次招标不接受联合体投标。</w:t>
      </w:r>
    </w:p>
    <w:p w14:paraId="383453B7">
      <w:pPr>
        <w:spacing w:line="360" w:lineRule="auto"/>
        <w:ind w:firstLine="440" w:firstLineChars="200"/>
        <w:rPr>
          <w:rFonts w:hAnsi="宋体"/>
          <w:sz w:val="22"/>
        </w:rPr>
      </w:pPr>
      <w:r>
        <w:rPr>
          <w:rFonts w:hint="eastAsia" w:hAnsi="宋体"/>
          <w:sz w:val="22"/>
        </w:rPr>
        <w:t>3.4与招标人存在利害关系可能影响招标公正性的法人、其他组织或者个人，不得参加投标。单位负责人为同一人或者存在控股（含法定代表人控股）、管理关系的不同单位，不得参加同一标段的投标。</w:t>
      </w:r>
    </w:p>
    <w:p w14:paraId="4CAEBA8C">
      <w:pPr>
        <w:spacing w:line="360" w:lineRule="auto"/>
        <w:rPr>
          <w:rFonts w:hAnsi="宋体"/>
          <w:b/>
          <w:sz w:val="24"/>
        </w:rPr>
      </w:pPr>
      <w:r>
        <w:rPr>
          <w:rFonts w:hint="eastAsia" w:hAnsi="宋体"/>
          <w:b/>
          <w:sz w:val="24"/>
        </w:rPr>
        <w:t>4、招标文件获取方式</w:t>
      </w:r>
    </w:p>
    <w:p w14:paraId="4D52BAEA">
      <w:pPr>
        <w:spacing w:line="360" w:lineRule="auto"/>
        <w:ind w:firstLine="440" w:firstLineChars="200"/>
        <w:rPr>
          <w:sz w:val="22"/>
        </w:rPr>
      </w:pPr>
      <w:r>
        <w:rPr>
          <w:rFonts w:hint="eastAsia"/>
          <w:sz w:val="22"/>
        </w:rPr>
        <w:t>4.1本项目实行资格后审，凡有意参加投标者，招标文件将于公告之日起在三门县公共资源交易中心网 “网址</w:t>
      </w:r>
      <w:r>
        <w:rPr>
          <w:rFonts w:hint="eastAsia"/>
          <w:sz w:val="22"/>
          <w:lang w:eastAsia="zh-CN"/>
        </w:rPr>
        <w:t>http://www.sanmen.gov.cn/col/col1229610956/index.html</w:t>
      </w:r>
      <w:r>
        <w:rPr>
          <w:rFonts w:hint="eastAsia"/>
          <w:sz w:val="22"/>
        </w:rPr>
        <w:t>”上发布并供下载。</w:t>
      </w:r>
    </w:p>
    <w:p w14:paraId="00A523F4">
      <w:pPr>
        <w:spacing w:line="360" w:lineRule="auto"/>
        <w:ind w:firstLine="440" w:firstLineChars="200"/>
        <w:rPr>
          <w:sz w:val="22"/>
        </w:rPr>
      </w:pPr>
      <w:r>
        <w:rPr>
          <w:rFonts w:hint="eastAsia"/>
          <w:sz w:val="22"/>
        </w:rPr>
        <w:t>4.2投标人网上免费下载招标文件，不收取任何工本费。</w:t>
      </w:r>
    </w:p>
    <w:p w14:paraId="51460261">
      <w:pPr>
        <w:spacing w:line="360" w:lineRule="auto"/>
        <w:rPr>
          <w:rFonts w:ascii="宋体" w:hAnsi="宋体" w:eastAsia="宋体" w:cs="宋体"/>
          <w:b/>
          <w:bCs/>
          <w:sz w:val="24"/>
        </w:rPr>
      </w:pPr>
      <w:r>
        <w:rPr>
          <w:rFonts w:hint="eastAsia" w:hAnsi="宋体"/>
          <w:b/>
          <w:sz w:val="24"/>
        </w:rPr>
        <w:t>5、</w:t>
      </w:r>
      <w:r>
        <w:rPr>
          <w:rFonts w:hint="eastAsia" w:ascii="宋体" w:hAnsi="宋体" w:eastAsia="宋体" w:cs="宋体"/>
          <w:b/>
          <w:bCs/>
          <w:sz w:val="24"/>
        </w:rPr>
        <w:t>投标文件的递交</w:t>
      </w:r>
    </w:p>
    <w:p w14:paraId="2AEC4AB5">
      <w:pPr>
        <w:spacing w:line="370" w:lineRule="exact"/>
        <w:ind w:firstLine="480" w:firstLineChars="200"/>
        <w:rPr>
          <w:rFonts w:ascii="宋体" w:hAnsi="宋体" w:eastAsia="宋体" w:cs="宋体"/>
          <w:sz w:val="24"/>
        </w:rPr>
      </w:pPr>
      <w:r>
        <w:rPr>
          <w:rFonts w:hint="eastAsia" w:ascii="宋体" w:hAnsi="宋体" w:eastAsia="宋体" w:cs="宋体"/>
          <w:sz w:val="24"/>
        </w:rPr>
        <w:t>5.1 投标文件递交的截止时间（投标截止时间，下同）为</w:t>
      </w:r>
      <w:r>
        <w:rPr>
          <w:rFonts w:hint="eastAsia" w:ascii="宋体" w:hAnsi="宋体" w:eastAsia="宋体" w:cs="宋体"/>
          <w:sz w:val="24"/>
          <w:u w:val="single"/>
        </w:rPr>
        <w:t>2025</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09</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u w:val="single"/>
        </w:rPr>
        <w:t>1</w:t>
      </w:r>
      <w:r>
        <w:rPr>
          <w:rFonts w:hint="eastAsia" w:ascii="宋体" w:hAnsi="宋体" w:eastAsia="宋体" w:cs="宋体"/>
          <w:sz w:val="24"/>
          <w:u w:val="single"/>
          <w:lang w:val="en-US" w:eastAsia="zh-CN"/>
        </w:rPr>
        <w:t>8</w:t>
      </w:r>
      <w:r>
        <w:rPr>
          <w:rFonts w:hint="eastAsia" w:ascii="宋体" w:hAnsi="宋体" w:eastAsia="宋体" w:cs="宋体"/>
          <w:sz w:val="24"/>
        </w:rPr>
        <w:t>日</w:t>
      </w:r>
      <w:r>
        <w:rPr>
          <w:rFonts w:hint="eastAsia" w:ascii="宋体" w:hAnsi="宋体" w:eastAsia="宋体" w:cs="宋体"/>
          <w:sz w:val="24"/>
          <w:u w:val="single"/>
          <w:lang w:val="en-US" w:eastAsia="zh-CN"/>
        </w:rPr>
        <w:t>15</w:t>
      </w:r>
      <w:r>
        <w:rPr>
          <w:rFonts w:hint="eastAsia" w:ascii="宋体" w:hAnsi="宋体" w:eastAsia="宋体" w:cs="宋体"/>
          <w:sz w:val="24"/>
        </w:rPr>
        <w:t>时</w:t>
      </w:r>
      <w:r>
        <w:rPr>
          <w:rFonts w:hint="eastAsia" w:ascii="宋体" w:hAnsi="宋体" w:eastAsia="宋体" w:cs="宋体"/>
          <w:sz w:val="24"/>
          <w:u w:val="single"/>
        </w:rPr>
        <w:t>00</w:t>
      </w:r>
      <w:r>
        <w:rPr>
          <w:rFonts w:hint="eastAsia" w:ascii="宋体" w:hAnsi="宋体" w:eastAsia="宋体" w:cs="宋体"/>
          <w:sz w:val="24"/>
        </w:rPr>
        <w:t>分，地点为</w:t>
      </w:r>
      <w:r>
        <w:rPr>
          <w:rFonts w:hint="eastAsia" w:ascii="宋体" w:hAnsi="宋体" w:eastAsia="宋体" w:cs="宋体"/>
          <w:sz w:val="24"/>
          <w:u w:val="single"/>
        </w:rPr>
        <w:t>三门县公路与运输管理中心会议室（三门县</w:t>
      </w:r>
      <w:r>
        <w:rPr>
          <w:rFonts w:ascii="宋体" w:hAnsi="宋体" w:eastAsia="宋体" w:cs="宋体"/>
          <w:sz w:val="24"/>
          <w:u w:val="single"/>
        </w:rPr>
        <w:t>广场路</w:t>
      </w:r>
      <w:r>
        <w:rPr>
          <w:rFonts w:hint="eastAsia" w:ascii="宋体" w:hAnsi="宋体" w:eastAsia="宋体" w:cs="宋体"/>
          <w:sz w:val="24"/>
          <w:u w:val="single"/>
        </w:rPr>
        <w:t>22号</w:t>
      </w:r>
      <w:r>
        <w:rPr>
          <w:rFonts w:ascii="宋体" w:hAnsi="宋体" w:eastAsia="宋体" w:cs="宋体"/>
          <w:sz w:val="24"/>
          <w:u w:val="single"/>
        </w:rPr>
        <w:t>交通大楼</w:t>
      </w:r>
      <w:r>
        <w:rPr>
          <w:rFonts w:hint="eastAsia" w:ascii="宋体" w:hAnsi="宋体" w:eastAsia="宋体" w:cs="宋体"/>
          <w:sz w:val="24"/>
          <w:u w:val="single"/>
        </w:rPr>
        <w:t>8楼）。</w:t>
      </w:r>
    </w:p>
    <w:p w14:paraId="22B04873">
      <w:pPr>
        <w:spacing w:line="370" w:lineRule="exact"/>
        <w:ind w:firstLine="480" w:firstLineChars="200"/>
        <w:rPr>
          <w:rFonts w:ascii="宋体" w:hAnsi="宋体" w:eastAsia="宋体" w:cs="宋体"/>
          <w:sz w:val="24"/>
        </w:rPr>
      </w:pPr>
      <w:r>
        <w:rPr>
          <w:rFonts w:hint="eastAsia" w:ascii="宋体" w:hAnsi="宋体" w:eastAsia="宋体" w:cs="宋体"/>
          <w:sz w:val="24"/>
        </w:rPr>
        <w:t>5.2 逾期送达的或者未送达指定地点的投标文件，招标人不予受理。</w:t>
      </w:r>
    </w:p>
    <w:p w14:paraId="4B321A6E">
      <w:pPr>
        <w:widowControl/>
        <w:spacing w:line="370" w:lineRule="exact"/>
        <w:ind w:right="-154"/>
        <w:jc w:val="left"/>
        <w:rPr>
          <w:rFonts w:ascii="宋体" w:hAnsi="宋体" w:eastAsia="宋体" w:cs="宋体"/>
          <w:kern w:val="0"/>
          <w:sz w:val="24"/>
        </w:rPr>
      </w:pPr>
      <w:bookmarkStart w:id="16" w:name="_Toc144974485"/>
      <w:bookmarkEnd w:id="16"/>
      <w:bookmarkStart w:id="17" w:name="_Toc426899865"/>
      <w:bookmarkEnd w:id="17"/>
      <w:bookmarkStart w:id="18" w:name="_Toc229305330"/>
      <w:bookmarkEnd w:id="18"/>
      <w:bookmarkStart w:id="19" w:name="_Toc222032639"/>
      <w:bookmarkEnd w:id="19"/>
      <w:bookmarkStart w:id="20" w:name="_Toc221949941"/>
      <w:bookmarkEnd w:id="20"/>
      <w:bookmarkStart w:id="21" w:name="_Toc20301106"/>
      <w:bookmarkEnd w:id="21"/>
      <w:bookmarkStart w:id="22" w:name="_Toc168475632"/>
      <w:bookmarkEnd w:id="22"/>
      <w:bookmarkStart w:id="23" w:name="_Toc222033821"/>
      <w:bookmarkEnd w:id="23"/>
      <w:bookmarkStart w:id="24" w:name="_Toc222029470"/>
      <w:bookmarkEnd w:id="24"/>
      <w:bookmarkStart w:id="25" w:name="_Toc272158573"/>
      <w:bookmarkEnd w:id="25"/>
      <w:bookmarkStart w:id="26" w:name="_Toc222030972"/>
      <w:bookmarkEnd w:id="26"/>
      <w:bookmarkStart w:id="27" w:name="_Toc168476035"/>
      <w:bookmarkEnd w:id="27"/>
      <w:r>
        <w:rPr>
          <w:rFonts w:hint="eastAsia" w:ascii="宋体" w:hAnsi="宋体" w:eastAsia="宋体" w:cs="宋体"/>
          <w:b/>
          <w:bCs/>
          <w:kern w:val="0"/>
          <w:sz w:val="24"/>
        </w:rPr>
        <w:t>6、踏勘现场和投标预备会</w:t>
      </w:r>
    </w:p>
    <w:p w14:paraId="258F28E7">
      <w:pPr>
        <w:widowControl/>
        <w:spacing w:line="370" w:lineRule="exact"/>
        <w:ind w:left="-179" w:right="-154" w:firstLine="420"/>
        <w:jc w:val="left"/>
        <w:rPr>
          <w:rFonts w:ascii="宋体" w:hAnsi="宋体" w:eastAsia="宋体" w:cs="宋体"/>
          <w:kern w:val="0"/>
          <w:sz w:val="24"/>
        </w:rPr>
      </w:pPr>
      <w:r>
        <w:rPr>
          <w:rFonts w:hint="eastAsia" w:ascii="宋体" w:hAnsi="宋体" w:eastAsia="宋体" w:cs="宋体"/>
          <w:kern w:val="0"/>
          <w:sz w:val="24"/>
        </w:rPr>
        <w:t>投标人可自行踏勘现场。招标人不组织投标预备会。</w:t>
      </w:r>
    </w:p>
    <w:p w14:paraId="5799A456">
      <w:pPr>
        <w:pStyle w:val="5"/>
        <w:spacing w:before="240" w:beforeLines="100" w:line="360" w:lineRule="auto"/>
        <w:ind w:firstLine="0" w:firstLineChars="0"/>
        <w:outlineLvl w:val="2"/>
        <w:rPr>
          <w:rFonts w:eastAsia="黑体"/>
          <w:b/>
          <w:sz w:val="24"/>
        </w:rPr>
      </w:pPr>
      <w:r>
        <w:rPr>
          <w:rFonts w:hint="eastAsia" w:eastAsia="黑体"/>
          <w:b/>
          <w:sz w:val="24"/>
        </w:rPr>
        <w:t>7、联系方式</w:t>
      </w:r>
    </w:p>
    <w:p w14:paraId="5EF29645">
      <w:pPr>
        <w:spacing w:line="360" w:lineRule="auto"/>
        <w:rPr>
          <w:rFonts w:hAnsi="宋体"/>
          <w:sz w:val="22"/>
          <w:szCs w:val="22"/>
        </w:rPr>
      </w:pPr>
      <w:r>
        <w:rPr>
          <w:rFonts w:hint="eastAsia" w:hAnsi="宋体"/>
          <w:sz w:val="22"/>
          <w:szCs w:val="22"/>
        </w:rPr>
        <w:t>招 标 人：</w:t>
      </w:r>
      <w:r>
        <w:rPr>
          <w:rFonts w:hint="eastAsia" w:hAnsi="宋体"/>
          <w:sz w:val="22"/>
          <w:szCs w:val="22"/>
          <w:u w:val="single"/>
        </w:rPr>
        <w:t xml:space="preserve">  三门县公路与运输管理中心   </w:t>
      </w:r>
      <w:r>
        <w:rPr>
          <w:rFonts w:hint="eastAsia" w:hAnsi="宋体"/>
          <w:sz w:val="22"/>
          <w:szCs w:val="22"/>
        </w:rPr>
        <w:t>；</w:t>
      </w:r>
    </w:p>
    <w:p w14:paraId="7A06E459">
      <w:pPr>
        <w:spacing w:line="360" w:lineRule="auto"/>
        <w:rPr>
          <w:rFonts w:hAnsi="宋体"/>
          <w:sz w:val="22"/>
          <w:szCs w:val="22"/>
        </w:rPr>
      </w:pPr>
      <w:r>
        <w:rPr>
          <w:rFonts w:hint="eastAsia" w:hAnsi="宋体"/>
          <w:sz w:val="22"/>
          <w:szCs w:val="22"/>
        </w:rPr>
        <w:t>地    址：</w:t>
      </w:r>
      <w:r>
        <w:rPr>
          <w:rFonts w:hint="eastAsia" w:hAnsi="宋体"/>
          <w:sz w:val="22"/>
          <w:szCs w:val="22"/>
          <w:u w:val="single"/>
        </w:rPr>
        <w:t xml:space="preserve">三门县广场路交通大楼   </w:t>
      </w:r>
      <w:r>
        <w:rPr>
          <w:rFonts w:hint="eastAsia" w:hAnsi="宋体"/>
          <w:sz w:val="22"/>
          <w:szCs w:val="22"/>
        </w:rPr>
        <w:t>；</w:t>
      </w:r>
    </w:p>
    <w:p w14:paraId="0C280920">
      <w:pPr>
        <w:spacing w:line="360" w:lineRule="auto"/>
        <w:rPr>
          <w:rFonts w:hAnsi="宋体"/>
          <w:sz w:val="22"/>
          <w:szCs w:val="22"/>
          <w:u w:val="single"/>
        </w:rPr>
      </w:pPr>
      <w:r>
        <w:rPr>
          <w:rFonts w:hint="eastAsia" w:hAnsi="宋体"/>
          <w:sz w:val="22"/>
          <w:szCs w:val="22"/>
        </w:rPr>
        <w:t>联 系 人：</w:t>
      </w:r>
      <w:r>
        <w:rPr>
          <w:rFonts w:hint="eastAsia" w:hAnsi="宋体"/>
          <w:sz w:val="22"/>
          <w:szCs w:val="22"/>
          <w:u w:val="single"/>
        </w:rPr>
        <w:t xml:space="preserve">  章竣强  </w:t>
      </w:r>
      <w:r>
        <w:rPr>
          <w:rFonts w:hint="eastAsia" w:hAnsi="宋体"/>
          <w:sz w:val="22"/>
          <w:szCs w:val="22"/>
        </w:rPr>
        <w:t>；</w:t>
      </w:r>
    </w:p>
    <w:p w14:paraId="6AE40853">
      <w:pPr>
        <w:spacing w:line="360" w:lineRule="auto"/>
        <w:rPr>
          <w:rFonts w:hAnsi="宋体"/>
          <w:sz w:val="22"/>
          <w:szCs w:val="22"/>
          <w:u w:val="single"/>
        </w:rPr>
      </w:pPr>
      <w:r>
        <w:rPr>
          <w:rFonts w:hint="eastAsia" w:hAnsi="宋体"/>
          <w:sz w:val="22"/>
          <w:szCs w:val="22"/>
        </w:rPr>
        <w:t>电    话：</w:t>
      </w:r>
      <w:r>
        <w:rPr>
          <w:rFonts w:hint="eastAsia" w:hAnsi="宋体"/>
          <w:sz w:val="22"/>
          <w:szCs w:val="22"/>
          <w:u w:val="single"/>
        </w:rPr>
        <w:t xml:space="preserve">  13566837396</w:t>
      </w:r>
      <w:r>
        <w:rPr>
          <w:rFonts w:hAnsi="宋体"/>
          <w:sz w:val="22"/>
          <w:szCs w:val="22"/>
          <w:u w:val="single"/>
        </w:rPr>
        <w:t xml:space="preserve"> </w:t>
      </w:r>
      <w:r>
        <w:rPr>
          <w:rFonts w:hint="eastAsia" w:hAnsi="宋体"/>
          <w:sz w:val="22"/>
          <w:szCs w:val="22"/>
          <w:u w:val="single"/>
        </w:rPr>
        <w:t xml:space="preserve"> </w:t>
      </w:r>
      <w:r>
        <w:rPr>
          <w:rFonts w:hint="eastAsia" w:hAnsi="宋体"/>
          <w:sz w:val="22"/>
          <w:szCs w:val="22"/>
        </w:rPr>
        <w:t>；</w:t>
      </w:r>
    </w:p>
    <w:p w14:paraId="056749A6">
      <w:pPr>
        <w:spacing w:line="360" w:lineRule="auto"/>
        <w:rPr>
          <w:rFonts w:hAnsi="宋体"/>
          <w:sz w:val="22"/>
          <w:szCs w:val="22"/>
        </w:rPr>
      </w:pPr>
    </w:p>
    <w:p w14:paraId="7FD44D73">
      <w:pPr>
        <w:spacing w:line="360" w:lineRule="auto"/>
        <w:rPr>
          <w:rFonts w:hAnsi="宋体"/>
          <w:sz w:val="22"/>
          <w:szCs w:val="22"/>
          <w:u w:val="single"/>
        </w:rPr>
      </w:pPr>
      <w:r>
        <w:rPr>
          <w:rFonts w:hint="eastAsia" w:hAnsi="宋体"/>
          <w:sz w:val="22"/>
          <w:szCs w:val="22"/>
        </w:rPr>
        <w:t>招标代理机构：</w:t>
      </w:r>
      <w:r>
        <w:rPr>
          <w:rFonts w:hint="eastAsia" w:hAnsi="宋体"/>
          <w:sz w:val="22"/>
          <w:szCs w:val="22"/>
          <w:u w:val="single"/>
        </w:rPr>
        <w:t xml:space="preserve"> 浙江滨海工程咨询有限公司   </w:t>
      </w:r>
      <w:r>
        <w:rPr>
          <w:rFonts w:hint="eastAsia" w:hAnsi="宋体"/>
          <w:sz w:val="22"/>
          <w:szCs w:val="22"/>
        </w:rPr>
        <w:t>；</w:t>
      </w:r>
    </w:p>
    <w:p w14:paraId="51FED777">
      <w:pPr>
        <w:spacing w:line="360" w:lineRule="auto"/>
        <w:rPr>
          <w:rFonts w:hAnsi="宋体"/>
          <w:sz w:val="22"/>
          <w:szCs w:val="22"/>
          <w:u w:val="single"/>
        </w:rPr>
      </w:pPr>
      <w:r>
        <w:rPr>
          <w:rFonts w:hint="eastAsia" w:hAnsi="宋体"/>
          <w:sz w:val="22"/>
          <w:szCs w:val="22"/>
        </w:rPr>
        <w:t>地     址：</w:t>
      </w:r>
      <w:r>
        <w:rPr>
          <w:rFonts w:hint="eastAsia" w:hAnsi="宋体"/>
          <w:sz w:val="22"/>
          <w:szCs w:val="22"/>
          <w:u w:val="single"/>
        </w:rPr>
        <w:t>三门县海游街道西区大道永昌家园4幢2单元301室</w:t>
      </w:r>
      <w:r>
        <w:rPr>
          <w:rFonts w:hint="eastAsia" w:hAnsi="宋体"/>
          <w:sz w:val="22"/>
          <w:szCs w:val="22"/>
        </w:rPr>
        <w:t>；</w:t>
      </w:r>
    </w:p>
    <w:p w14:paraId="00A67B6E">
      <w:pPr>
        <w:spacing w:line="360" w:lineRule="auto"/>
        <w:rPr>
          <w:rFonts w:hAnsi="宋体"/>
          <w:sz w:val="22"/>
          <w:szCs w:val="22"/>
        </w:rPr>
      </w:pPr>
      <w:r>
        <w:rPr>
          <w:rFonts w:hint="eastAsia" w:hAnsi="宋体"/>
          <w:sz w:val="22"/>
          <w:szCs w:val="22"/>
        </w:rPr>
        <w:t>联  系 人：</w:t>
      </w:r>
      <w:r>
        <w:rPr>
          <w:rFonts w:hint="eastAsia" w:hAnsi="宋体"/>
          <w:sz w:val="22"/>
          <w:szCs w:val="22"/>
          <w:u w:val="single"/>
        </w:rPr>
        <w:t xml:space="preserve"> 毛利明  </w:t>
      </w:r>
      <w:r>
        <w:rPr>
          <w:rFonts w:hint="eastAsia" w:hAnsi="宋体"/>
          <w:sz w:val="22"/>
          <w:szCs w:val="22"/>
        </w:rPr>
        <w:t>；</w:t>
      </w:r>
    </w:p>
    <w:p w14:paraId="4D2AA160">
      <w:pPr>
        <w:spacing w:line="360" w:lineRule="auto"/>
        <w:rPr>
          <w:rFonts w:hAnsi="宋体"/>
          <w:sz w:val="22"/>
          <w:szCs w:val="22"/>
        </w:rPr>
      </w:pPr>
      <w:r>
        <w:rPr>
          <w:rFonts w:hint="eastAsia" w:hAnsi="宋体"/>
          <w:sz w:val="22"/>
          <w:szCs w:val="22"/>
        </w:rPr>
        <w:t>电     话：</w:t>
      </w:r>
      <w:r>
        <w:rPr>
          <w:rFonts w:hint="eastAsia" w:hAnsi="宋体"/>
          <w:sz w:val="22"/>
          <w:szCs w:val="22"/>
          <w:u w:val="single"/>
        </w:rPr>
        <w:t xml:space="preserve">  0576-83331699  </w:t>
      </w:r>
      <w:r>
        <w:rPr>
          <w:rFonts w:hint="eastAsia" w:hAnsi="宋体"/>
          <w:sz w:val="22"/>
          <w:szCs w:val="22"/>
        </w:rPr>
        <w:t>；</w:t>
      </w:r>
    </w:p>
    <w:p w14:paraId="48C7B40D">
      <w:pPr>
        <w:spacing w:line="360" w:lineRule="auto"/>
        <w:rPr>
          <w:rFonts w:hAnsi="宋体"/>
          <w:sz w:val="22"/>
          <w:szCs w:val="22"/>
        </w:rPr>
      </w:pPr>
      <w:r>
        <w:rPr>
          <w:rFonts w:hint="eastAsia" w:hAnsi="宋体"/>
          <w:sz w:val="22"/>
          <w:szCs w:val="22"/>
        </w:rPr>
        <w:t> </w:t>
      </w:r>
    </w:p>
    <w:p w14:paraId="118DC59E">
      <w:pPr>
        <w:pStyle w:val="48"/>
      </w:pPr>
    </w:p>
    <w:p w14:paraId="3D5672AA">
      <w:pPr>
        <w:spacing w:line="360" w:lineRule="auto"/>
        <w:jc w:val="right"/>
        <w:rPr>
          <w:rFonts w:hAnsi="宋体"/>
          <w:sz w:val="22"/>
          <w:szCs w:val="22"/>
        </w:rPr>
      </w:pPr>
      <w:r>
        <w:rPr>
          <w:rFonts w:hint="eastAsia" w:hAnsi="宋体"/>
          <w:sz w:val="22"/>
          <w:szCs w:val="22"/>
        </w:rPr>
        <w:t xml:space="preserve"> 三门县公路与运输管理中心</w:t>
      </w:r>
    </w:p>
    <w:p w14:paraId="3F863D83">
      <w:pPr>
        <w:spacing w:line="360" w:lineRule="auto"/>
        <w:jc w:val="right"/>
        <w:rPr>
          <w:rFonts w:hAnsi="宋体"/>
          <w:sz w:val="22"/>
          <w:szCs w:val="22"/>
        </w:rPr>
      </w:pPr>
      <w:r>
        <w:rPr>
          <w:rFonts w:hint="eastAsia" w:hAnsi="宋体"/>
          <w:sz w:val="22"/>
          <w:szCs w:val="22"/>
        </w:rPr>
        <w:t xml:space="preserve"> 浙江滨海工程咨询有限公司</w:t>
      </w:r>
    </w:p>
    <w:p w14:paraId="4DA2F126">
      <w:pPr>
        <w:spacing w:line="360" w:lineRule="auto"/>
        <w:jc w:val="right"/>
        <w:rPr>
          <w:rFonts w:hAnsi="宋体"/>
          <w:sz w:val="22"/>
          <w:szCs w:val="22"/>
        </w:rPr>
      </w:pPr>
      <w:r>
        <w:rPr>
          <w:rFonts w:hint="eastAsia" w:hAnsi="宋体"/>
          <w:sz w:val="22"/>
          <w:szCs w:val="22"/>
        </w:rPr>
        <w:t>三门县交通运输局</w:t>
      </w:r>
    </w:p>
    <w:p w14:paraId="10ED0F3C">
      <w:pPr>
        <w:wordWrap w:val="0"/>
        <w:spacing w:line="360" w:lineRule="auto"/>
        <w:jc w:val="right"/>
        <w:rPr>
          <w:rFonts w:hAnsi="宋体"/>
          <w:sz w:val="22"/>
          <w:szCs w:val="22"/>
        </w:rPr>
      </w:pPr>
      <w:r>
        <w:rPr>
          <w:rFonts w:hint="eastAsia" w:hAnsi="宋体"/>
          <w:sz w:val="22"/>
          <w:szCs w:val="22"/>
        </w:rPr>
        <w:t>2025年09月</w:t>
      </w:r>
      <w:r>
        <w:rPr>
          <w:rFonts w:hint="eastAsia" w:hAnsi="宋体"/>
          <w:sz w:val="22"/>
          <w:szCs w:val="22"/>
          <w:lang w:val="en-US" w:eastAsia="zh-CN"/>
        </w:rPr>
        <w:t>10</w:t>
      </w:r>
      <w:r>
        <w:rPr>
          <w:rFonts w:hint="eastAsia" w:hAnsi="宋体"/>
          <w:sz w:val="22"/>
          <w:szCs w:val="22"/>
        </w:rPr>
        <w:t>日</w:t>
      </w:r>
    </w:p>
    <w:p w14:paraId="5F15B436">
      <w:pPr>
        <w:pStyle w:val="46"/>
        <w:shd w:val="clear" w:color="auto" w:fill="FFFFFF"/>
        <w:wordWrap w:val="0"/>
        <w:spacing w:before="0" w:beforeAutospacing="0" w:after="0" w:afterAutospacing="0" w:line="480" w:lineRule="auto"/>
        <w:jc w:val="right"/>
        <w:rPr>
          <w:rFonts w:ascii="宋体" w:hAnsi="宋体" w:eastAsia="宋体" w:cs="宋体"/>
          <w:color w:val="auto"/>
          <w:kern w:val="2"/>
          <w:sz w:val="21"/>
          <w:szCs w:val="21"/>
        </w:rPr>
      </w:pPr>
    </w:p>
    <w:p w14:paraId="0E67AB4B">
      <w:pPr>
        <w:pStyle w:val="46"/>
        <w:shd w:val="clear" w:color="auto" w:fill="FFFFFF"/>
        <w:spacing w:before="0" w:beforeAutospacing="0" w:after="0" w:afterAutospacing="0" w:line="480" w:lineRule="auto"/>
        <w:jc w:val="right"/>
        <w:rPr>
          <w:rFonts w:ascii="宋体" w:hAnsi="宋体" w:eastAsia="宋体" w:cs="宋体"/>
          <w:color w:val="auto"/>
          <w:kern w:val="2"/>
          <w:sz w:val="21"/>
          <w:szCs w:val="21"/>
        </w:rPr>
      </w:pPr>
    </w:p>
    <w:p w14:paraId="6CD8799D">
      <w:pPr>
        <w:pStyle w:val="46"/>
        <w:shd w:val="clear" w:color="auto" w:fill="FFFFFF"/>
        <w:spacing w:before="0" w:beforeAutospacing="0" w:after="0" w:afterAutospacing="0" w:line="480" w:lineRule="auto"/>
        <w:jc w:val="right"/>
        <w:rPr>
          <w:rFonts w:ascii="宋体" w:hAnsi="宋体" w:eastAsia="宋体" w:cs="宋体"/>
          <w:color w:val="auto"/>
          <w:kern w:val="2"/>
          <w:sz w:val="21"/>
          <w:szCs w:val="21"/>
        </w:rPr>
      </w:pPr>
    </w:p>
    <w:p w14:paraId="77A9DC26">
      <w:pPr>
        <w:rPr>
          <w:rFonts w:ascii="宋体" w:hAnsi="宋体" w:eastAsia="宋体" w:cs="宋体"/>
          <w:sz w:val="24"/>
        </w:rPr>
      </w:pPr>
    </w:p>
    <w:p w14:paraId="4B2B8136">
      <w:pPr>
        <w:rPr>
          <w:rFonts w:ascii="宋体" w:hAnsi="宋体" w:eastAsia="宋体" w:cs="宋体"/>
          <w:sz w:val="24"/>
        </w:rPr>
      </w:pPr>
    </w:p>
    <w:p w14:paraId="7B74CB98">
      <w:pPr>
        <w:widowControl/>
        <w:jc w:val="left"/>
        <w:rPr>
          <w:rFonts w:ascii="宋体" w:hAnsi="宋体" w:eastAsia="宋体" w:cs="宋体"/>
          <w:b/>
          <w:sz w:val="44"/>
          <w:szCs w:val="44"/>
        </w:rPr>
      </w:pPr>
      <w:r>
        <w:rPr>
          <w:rFonts w:ascii="宋体" w:hAnsi="宋体" w:eastAsia="宋体" w:cs="宋体"/>
          <w:b/>
          <w:sz w:val="44"/>
          <w:szCs w:val="44"/>
        </w:rPr>
        <w:br w:type="page"/>
      </w:r>
    </w:p>
    <w:p w14:paraId="27978AC8">
      <w:pPr>
        <w:pStyle w:val="2"/>
        <w:spacing w:line="240" w:lineRule="auto"/>
        <w:jc w:val="center"/>
        <w:rPr>
          <w:rFonts w:ascii="宋体" w:hAnsi="宋体"/>
          <w:sz w:val="30"/>
          <w:szCs w:val="30"/>
        </w:rPr>
      </w:pPr>
      <w:bookmarkStart w:id="28" w:name="_Toc18513"/>
      <w:bookmarkStart w:id="29" w:name="_Toc173244759"/>
      <w:r>
        <w:rPr>
          <w:rFonts w:hint="eastAsia" w:ascii="宋体" w:hAnsi="宋体"/>
          <w:sz w:val="30"/>
          <w:szCs w:val="30"/>
        </w:rPr>
        <w:t>第二章  投标人须知</w:t>
      </w:r>
      <w:bookmarkEnd w:id="28"/>
      <w:bookmarkEnd w:id="29"/>
    </w:p>
    <w:p w14:paraId="46BB71B2">
      <w:pPr>
        <w:pStyle w:val="2"/>
        <w:spacing w:before="0" w:after="0" w:line="240" w:lineRule="auto"/>
        <w:jc w:val="center"/>
        <w:rPr>
          <w:rFonts w:ascii="宋体" w:hAnsi="宋体"/>
          <w:sz w:val="30"/>
          <w:szCs w:val="30"/>
        </w:rPr>
      </w:pPr>
      <w:bookmarkStart w:id="30" w:name="_Toc30849"/>
      <w:bookmarkStart w:id="31" w:name="_Toc173244760"/>
      <w:r>
        <w:rPr>
          <w:rFonts w:hint="eastAsia" w:ascii="宋体" w:hAnsi="宋体"/>
          <w:sz w:val="30"/>
          <w:szCs w:val="30"/>
        </w:rPr>
        <w:t>投标人须知前附表</w:t>
      </w:r>
      <w:bookmarkEnd w:id="30"/>
      <w:bookmarkEnd w:id="31"/>
    </w:p>
    <w:tbl>
      <w:tblPr>
        <w:tblStyle w:val="52"/>
        <w:tblW w:w="105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705"/>
        <w:gridCol w:w="7028"/>
      </w:tblGrid>
      <w:tr w14:paraId="4B93B4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12" w:space="0"/>
              <w:left w:val="single" w:color="000000" w:sz="12" w:space="0"/>
              <w:bottom w:val="single" w:color="000000" w:sz="6" w:space="0"/>
              <w:right w:val="single" w:color="000000" w:sz="6" w:space="0"/>
            </w:tcBorders>
            <w:vAlign w:val="center"/>
          </w:tcPr>
          <w:p w14:paraId="1FF88243">
            <w:pPr>
              <w:spacing w:line="360" w:lineRule="exact"/>
              <w:jc w:val="center"/>
              <w:rPr>
                <w:rFonts w:ascii="宋体" w:hAnsi="宋体" w:eastAsia="宋体" w:cs="宋体"/>
                <w:b/>
                <w:szCs w:val="21"/>
              </w:rPr>
            </w:pPr>
            <w:r>
              <w:rPr>
                <w:rFonts w:hint="eastAsia" w:ascii="宋体" w:hAnsi="宋体" w:eastAsia="宋体" w:cs="宋体"/>
                <w:b/>
                <w:szCs w:val="21"/>
              </w:rPr>
              <w:t>条款号</w:t>
            </w:r>
          </w:p>
        </w:tc>
        <w:tc>
          <w:tcPr>
            <w:tcW w:w="2705" w:type="dxa"/>
            <w:tcBorders>
              <w:top w:val="single" w:color="000000" w:sz="12" w:space="0"/>
              <w:left w:val="single" w:color="000000" w:sz="6" w:space="0"/>
              <w:bottom w:val="single" w:color="000000" w:sz="6" w:space="0"/>
              <w:right w:val="single" w:color="000000" w:sz="6" w:space="0"/>
            </w:tcBorders>
            <w:vAlign w:val="center"/>
          </w:tcPr>
          <w:p w14:paraId="4F8C1589">
            <w:pPr>
              <w:spacing w:line="360" w:lineRule="exact"/>
              <w:jc w:val="center"/>
              <w:rPr>
                <w:rFonts w:ascii="宋体" w:hAnsi="宋体" w:eastAsia="宋体" w:cs="宋体"/>
                <w:b/>
                <w:szCs w:val="21"/>
              </w:rPr>
            </w:pPr>
            <w:r>
              <w:rPr>
                <w:rFonts w:hint="eastAsia" w:ascii="宋体" w:hAnsi="宋体" w:eastAsia="宋体" w:cs="宋体"/>
                <w:b/>
                <w:szCs w:val="21"/>
              </w:rPr>
              <w:t>条 款 名 称</w:t>
            </w:r>
          </w:p>
        </w:tc>
        <w:tc>
          <w:tcPr>
            <w:tcW w:w="7028" w:type="dxa"/>
            <w:tcBorders>
              <w:top w:val="single" w:color="000000" w:sz="12" w:space="0"/>
              <w:left w:val="single" w:color="000000" w:sz="6" w:space="0"/>
              <w:bottom w:val="single" w:color="000000" w:sz="6" w:space="0"/>
              <w:right w:val="single" w:color="000000" w:sz="12" w:space="0"/>
            </w:tcBorders>
            <w:vAlign w:val="center"/>
          </w:tcPr>
          <w:p w14:paraId="39133B81">
            <w:pPr>
              <w:spacing w:line="360" w:lineRule="exact"/>
              <w:ind w:left="141" w:leftChars="67"/>
              <w:jc w:val="center"/>
              <w:rPr>
                <w:rFonts w:ascii="宋体" w:hAnsi="宋体" w:eastAsia="宋体" w:cs="宋体"/>
                <w:b/>
                <w:szCs w:val="21"/>
              </w:rPr>
            </w:pPr>
            <w:r>
              <w:rPr>
                <w:rFonts w:hint="eastAsia" w:ascii="宋体" w:hAnsi="宋体" w:eastAsia="宋体" w:cs="宋体"/>
                <w:b/>
                <w:szCs w:val="21"/>
              </w:rPr>
              <w:t>编 列 内 容</w:t>
            </w:r>
          </w:p>
        </w:tc>
      </w:tr>
      <w:tr w14:paraId="2C5C15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75"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4C929BC">
            <w:pPr>
              <w:spacing w:line="360" w:lineRule="exact"/>
              <w:jc w:val="center"/>
              <w:rPr>
                <w:rFonts w:ascii="宋体" w:hAnsi="宋体" w:eastAsia="宋体" w:cs="宋体"/>
                <w:szCs w:val="21"/>
              </w:rPr>
            </w:pPr>
            <w:r>
              <w:rPr>
                <w:rFonts w:hint="eastAsia" w:ascii="宋体" w:hAnsi="宋体" w:eastAsia="宋体" w:cs="宋体"/>
                <w:szCs w:val="21"/>
              </w:rPr>
              <w:t>1.1.2</w:t>
            </w:r>
          </w:p>
        </w:tc>
        <w:tc>
          <w:tcPr>
            <w:tcW w:w="2705" w:type="dxa"/>
            <w:tcBorders>
              <w:top w:val="single" w:color="000000" w:sz="6" w:space="0"/>
              <w:left w:val="single" w:color="000000" w:sz="6" w:space="0"/>
              <w:bottom w:val="single" w:color="000000" w:sz="6" w:space="0"/>
              <w:right w:val="single" w:color="000000" w:sz="6" w:space="0"/>
            </w:tcBorders>
            <w:vAlign w:val="center"/>
          </w:tcPr>
          <w:p w14:paraId="58DE085F">
            <w:pPr>
              <w:spacing w:line="360" w:lineRule="exact"/>
              <w:jc w:val="center"/>
              <w:rPr>
                <w:rFonts w:ascii="宋体" w:hAnsi="宋体" w:eastAsia="宋体" w:cs="宋体"/>
                <w:szCs w:val="21"/>
              </w:rPr>
            </w:pPr>
            <w:r>
              <w:rPr>
                <w:rFonts w:hint="eastAsia" w:ascii="宋体" w:hAnsi="宋体" w:eastAsia="宋体" w:cs="宋体"/>
                <w:szCs w:val="21"/>
              </w:rPr>
              <w:t>发包人</w:t>
            </w:r>
          </w:p>
        </w:tc>
        <w:tc>
          <w:tcPr>
            <w:tcW w:w="7028" w:type="dxa"/>
            <w:tcBorders>
              <w:top w:val="single" w:color="000000" w:sz="6" w:space="0"/>
              <w:left w:val="single" w:color="000000" w:sz="6" w:space="0"/>
              <w:bottom w:val="single" w:color="000000" w:sz="6" w:space="0"/>
              <w:right w:val="single" w:color="000000" w:sz="12" w:space="0"/>
            </w:tcBorders>
            <w:vAlign w:val="center"/>
          </w:tcPr>
          <w:p w14:paraId="49BB563D">
            <w:pPr>
              <w:spacing w:line="360" w:lineRule="exact"/>
              <w:ind w:left="141" w:leftChars="67"/>
              <w:rPr>
                <w:rFonts w:ascii="宋体" w:hAnsi="宋体" w:eastAsia="宋体" w:cs="宋体"/>
                <w:szCs w:val="21"/>
              </w:rPr>
            </w:pPr>
            <w:r>
              <w:rPr>
                <w:rFonts w:hint="eastAsia" w:ascii="宋体" w:hAnsi="宋体" w:eastAsia="宋体" w:cs="宋体"/>
                <w:szCs w:val="21"/>
              </w:rPr>
              <w:t>名    称：三门县公路与运输管理中心</w:t>
            </w:r>
          </w:p>
          <w:p w14:paraId="35645C1B">
            <w:pPr>
              <w:spacing w:line="360" w:lineRule="exact"/>
              <w:ind w:left="141" w:leftChars="67"/>
              <w:rPr>
                <w:rFonts w:ascii="宋体" w:hAnsi="宋体" w:eastAsia="宋体" w:cs="宋体"/>
                <w:szCs w:val="21"/>
              </w:rPr>
            </w:pPr>
            <w:r>
              <w:rPr>
                <w:rFonts w:hint="eastAsia" w:ascii="宋体" w:hAnsi="宋体" w:eastAsia="宋体" w:cs="宋体"/>
                <w:szCs w:val="21"/>
              </w:rPr>
              <w:t>地    址：三门县广场路交通大楼</w:t>
            </w:r>
          </w:p>
          <w:p w14:paraId="4D8A3B52">
            <w:pPr>
              <w:spacing w:line="360" w:lineRule="exact"/>
              <w:ind w:left="141" w:leftChars="67"/>
              <w:rPr>
                <w:rFonts w:ascii="宋体" w:hAnsi="宋体" w:eastAsia="宋体" w:cs="宋体"/>
                <w:szCs w:val="21"/>
              </w:rPr>
            </w:pPr>
            <w:r>
              <w:rPr>
                <w:rFonts w:hint="eastAsia" w:ascii="宋体" w:hAnsi="宋体" w:eastAsia="宋体" w:cs="宋体"/>
                <w:szCs w:val="21"/>
              </w:rPr>
              <w:t>邮    编：31710</w:t>
            </w:r>
            <w:r>
              <w:rPr>
                <w:rFonts w:ascii="宋体" w:hAnsi="宋体" w:eastAsia="宋体" w:cs="宋体"/>
                <w:szCs w:val="21"/>
              </w:rPr>
              <w:t>0</w:t>
            </w:r>
          </w:p>
          <w:p w14:paraId="5EA6AF4E">
            <w:pPr>
              <w:spacing w:line="360" w:lineRule="exact"/>
              <w:ind w:left="141" w:leftChars="67"/>
              <w:rPr>
                <w:rFonts w:ascii="宋体" w:hAnsi="宋体" w:eastAsia="宋体" w:cs="宋体"/>
                <w:szCs w:val="21"/>
              </w:rPr>
            </w:pPr>
            <w:r>
              <w:rPr>
                <w:rFonts w:hint="eastAsia" w:ascii="宋体" w:hAnsi="宋体" w:eastAsia="宋体" w:cs="宋体"/>
                <w:szCs w:val="21"/>
              </w:rPr>
              <w:t xml:space="preserve">联 系 人：章竣强 </w:t>
            </w:r>
          </w:p>
          <w:p w14:paraId="371E741A">
            <w:pPr>
              <w:spacing w:line="360" w:lineRule="exact"/>
              <w:ind w:left="141" w:leftChars="67"/>
              <w:rPr>
                <w:rFonts w:ascii="宋体" w:hAnsi="宋体" w:eastAsia="宋体" w:cs="宋体"/>
                <w:b/>
                <w:szCs w:val="21"/>
              </w:rPr>
            </w:pPr>
            <w:r>
              <w:rPr>
                <w:rFonts w:hint="eastAsia" w:ascii="宋体" w:hAnsi="宋体" w:eastAsia="宋体" w:cs="宋体"/>
                <w:szCs w:val="21"/>
              </w:rPr>
              <w:t xml:space="preserve">电    话： 13566837396    </w:t>
            </w:r>
          </w:p>
        </w:tc>
      </w:tr>
      <w:tr w14:paraId="2D0E53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9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8FA9355">
            <w:pPr>
              <w:spacing w:line="360" w:lineRule="exact"/>
              <w:jc w:val="center"/>
              <w:rPr>
                <w:rFonts w:ascii="宋体" w:hAnsi="宋体" w:eastAsia="宋体" w:cs="宋体"/>
                <w:szCs w:val="21"/>
              </w:rPr>
            </w:pPr>
            <w:r>
              <w:rPr>
                <w:rFonts w:hint="eastAsia" w:ascii="宋体" w:hAnsi="宋体" w:eastAsia="宋体" w:cs="宋体"/>
                <w:szCs w:val="21"/>
              </w:rPr>
              <w:t>1.1.3</w:t>
            </w:r>
          </w:p>
        </w:tc>
        <w:tc>
          <w:tcPr>
            <w:tcW w:w="2705" w:type="dxa"/>
            <w:tcBorders>
              <w:top w:val="single" w:color="000000" w:sz="6" w:space="0"/>
              <w:left w:val="single" w:color="000000" w:sz="6" w:space="0"/>
              <w:bottom w:val="single" w:color="000000" w:sz="6" w:space="0"/>
              <w:right w:val="single" w:color="000000" w:sz="6" w:space="0"/>
            </w:tcBorders>
            <w:vAlign w:val="center"/>
          </w:tcPr>
          <w:p w14:paraId="5AC92B9A">
            <w:pPr>
              <w:spacing w:line="360" w:lineRule="exact"/>
              <w:jc w:val="center"/>
              <w:rPr>
                <w:rFonts w:ascii="宋体" w:hAnsi="宋体" w:eastAsia="宋体" w:cs="宋体"/>
                <w:szCs w:val="21"/>
              </w:rPr>
            </w:pPr>
            <w:r>
              <w:rPr>
                <w:rFonts w:hint="eastAsia" w:ascii="宋体" w:hAnsi="宋体" w:eastAsia="宋体" w:cs="宋体"/>
                <w:szCs w:val="21"/>
              </w:rPr>
              <w:t>招标代理机构</w:t>
            </w:r>
          </w:p>
        </w:tc>
        <w:tc>
          <w:tcPr>
            <w:tcW w:w="7028" w:type="dxa"/>
            <w:tcBorders>
              <w:top w:val="single" w:color="000000" w:sz="6" w:space="0"/>
              <w:left w:val="single" w:color="000000" w:sz="6" w:space="0"/>
              <w:bottom w:val="single" w:color="000000" w:sz="6" w:space="0"/>
              <w:right w:val="single" w:color="000000" w:sz="12" w:space="0"/>
            </w:tcBorders>
            <w:vAlign w:val="center"/>
          </w:tcPr>
          <w:p w14:paraId="65E3F6A0">
            <w:pPr>
              <w:spacing w:line="360" w:lineRule="exact"/>
              <w:ind w:left="141" w:leftChars="67"/>
              <w:rPr>
                <w:rFonts w:ascii="宋体" w:hAnsi="宋体" w:eastAsia="宋体" w:cs="宋体"/>
                <w:szCs w:val="21"/>
              </w:rPr>
            </w:pPr>
            <w:r>
              <w:rPr>
                <w:rFonts w:hint="eastAsia" w:ascii="宋体" w:hAnsi="宋体" w:eastAsia="宋体" w:cs="宋体"/>
                <w:szCs w:val="21"/>
              </w:rPr>
              <w:t>名    称：浙江滨海工程咨询有限公司</w:t>
            </w:r>
          </w:p>
          <w:p w14:paraId="6C3977FA">
            <w:pPr>
              <w:spacing w:line="360" w:lineRule="exact"/>
              <w:ind w:left="141" w:leftChars="67"/>
              <w:rPr>
                <w:rFonts w:ascii="宋体" w:hAnsi="宋体" w:eastAsia="宋体" w:cs="宋体"/>
                <w:szCs w:val="21"/>
              </w:rPr>
            </w:pPr>
            <w:r>
              <w:rPr>
                <w:rFonts w:hint="eastAsia" w:ascii="宋体" w:hAnsi="宋体" w:eastAsia="宋体" w:cs="宋体"/>
                <w:szCs w:val="21"/>
              </w:rPr>
              <w:t>地    址：三门县海游街道西区大道永昌家园4幢2单元301室</w:t>
            </w:r>
          </w:p>
          <w:p w14:paraId="7496868D">
            <w:pPr>
              <w:spacing w:line="360" w:lineRule="exact"/>
              <w:ind w:left="141" w:leftChars="67"/>
              <w:rPr>
                <w:rFonts w:ascii="宋体" w:hAnsi="宋体" w:eastAsia="宋体" w:cs="宋体"/>
                <w:szCs w:val="21"/>
              </w:rPr>
            </w:pPr>
            <w:r>
              <w:rPr>
                <w:rFonts w:hint="eastAsia" w:ascii="宋体" w:hAnsi="宋体" w:eastAsia="宋体" w:cs="宋体"/>
                <w:szCs w:val="21"/>
              </w:rPr>
              <w:t xml:space="preserve">联 系 人：毛利明  </w:t>
            </w:r>
          </w:p>
          <w:p w14:paraId="66D1A536">
            <w:pPr>
              <w:spacing w:line="360" w:lineRule="exact"/>
              <w:ind w:left="141" w:leftChars="67"/>
              <w:rPr>
                <w:rFonts w:ascii="宋体" w:hAnsi="宋体" w:eastAsia="宋体" w:cs="宋体"/>
                <w:b/>
                <w:szCs w:val="21"/>
              </w:rPr>
            </w:pPr>
            <w:r>
              <w:rPr>
                <w:rFonts w:hint="eastAsia" w:ascii="宋体" w:hAnsi="宋体" w:eastAsia="宋体" w:cs="宋体"/>
                <w:szCs w:val="21"/>
              </w:rPr>
              <w:t>电    话：0576-83331699；</w:t>
            </w:r>
          </w:p>
        </w:tc>
      </w:tr>
      <w:tr w14:paraId="4E800F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24BAF73">
            <w:pPr>
              <w:spacing w:line="360" w:lineRule="exact"/>
              <w:jc w:val="center"/>
              <w:rPr>
                <w:rFonts w:ascii="宋体" w:hAnsi="宋体" w:eastAsia="宋体" w:cs="宋体"/>
                <w:szCs w:val="21"/>
              </w:rPr>
            </w:pPr>
            <w:r>
              <w:rPr>
                <w:rFonts w:hint="eastAsia" w:ascii="宋体" w:hAnsi="宋体" w:eastAsia="宋体" w:cs="宋体"/>
                <w:szCs w:val="21"/>
              </w:rPr>
              <w:t>1.1.4</w:t>
            </w:r>
          </w:p>
        </w:tc>
        <w:tc>
          <w:tcPr>
            <w:tcW w:w="2705" w:type="dxa"/>
            <w:tcBorders>
              <w:top w:val="single" w:color="000000" w:sz="6" w:space="0"/>
              <w:left w:val="single" w:color="000000" w:sz="6" w:space="0"/>
              <w:bottom w:val="single" w:color="000000" w:sz="6" w:space="0"/>
              <w:right w:val="single" w:color="000000" w:sz="6" w:space="0"/>
            </w:tcBorders>
            <w:vAlign w:val="center"/>
          </w:tcPr>
          <w:p w14:paraId="304F6DBB">
            <w:pPr>
              <w:spacing w:line="360" w:lineRule="exact"/>
              <w:jc w:val="center"/>
              <w:rPr>
                <w:rFonts w:ascii="宋体" w:hAnsi="宋体" w:eastAsia="宋体" w:cs="宋体"/>
                <w:szCs w:val="21"/>
              </w:rPr>
            </w:pPr>
            <w:r>
              <w:rPr>
                <w:rFonts w:hint="eastAsia" w:ascii="宋体" w:hAnsi="宋体" w:eastAsia="宋体" w:cs="宋体"/>
                <w:szCs w:val="21"/>
              </w:rPr>
              <w:t>项目名称</w:t>
            </w:r>
          </w:p>
        </w:tc>
        <w:tc>
          <w:tcPr>
            <w:tcW w:w="7028" w:type="dxa"/>
            <w:tcBorders>
              <w:top w:val="single" w:color="000000" w:sz="6" w:space="0"/>
              <w:left w:val="single" w:color="000000" w:sz="6" w:space="0"/>
              <w:bottom w:val="single" w:color="000000" w:sz="6" w:space="0"/>
              <w:right w:val="single" w:color="000000" w:sz="12" w:space="0"/>
            </w:tcBorders>
            <w:vAlign w:val="center"/>
          </w:tcPr>
          <w:p w14:paraId="5E5D12B5">
            <w:pPr>
              <w:spacing w:line="360" w:lineRule="exact"/>
              <w:ind w:left="141" w:leftChars="67"/>
              <w:rPr>
                <w:rFonts w:ascii="宋体" w:hAnsi="宋体" w:eastAsia="宋体" w:cs="宋体"/>
                <w:bCs/>
                <w:szCs w:val="21"/>
              </w:rPr>
            </w:pPr>
            <w:r>
              <w:rPr>
                <w:rFonts w:hint="eastAsia" w:ascii="宋体" w:hAnsi="宋体" w:eastAsia="宋体" w:cs="宋体"/>
                <w:szCs w:val="21"/>
              </w:rPr>
              <w:t xml:space="preserve">2025年三门县省道桥梁预防性养护工程   </w:t>
            </w:r>
          </w:p>
        </w:tc>
      </w:tr>
      <w:tr w14:paraId="18BF2C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D3ECAC5">
            <w:pPr>
              <w:spacing w:line="360" w:lineRule="exact"/>
              <w:jc w:val="center"/>
              <w:rPr>
                <w:rFonts w:ascii="宋体" w:hAnsi="宋体" w:eastAsia="宋体" w:cs="宋体"/>
                <w:szCs w:val="21"/>
              </w:rPr>
            </w:pPr>
            <w:r>
              <w:rPr>
                <w:rFonts w:hint="eastAsia" w:ascii="宋体" w:hAnsi="宋体" w:eastAsia="宋体" w:cs="宋体"/>
                <w:szCs w:val="21"/>
              </w:rPr>
              <w:t>1.1.5</w:t>
            </w:r>
          </w:p>
        </w:tc>
        <w:tc>
          <w:tcPr>
            <w:tcW w:w="2705" w:type="dxa"/>
            <w:tcBorders>
              <w:top w:val="single" w:color="000000" w:sz="6" w:space="0"/>
              <w:left w:val="single" w:color="000000" w:sz="6" w:space="0"/>
              <w:bottom w:val="single" w:color="000000" w:sz="6" w:space="0"/>
              <w:right w:val="single" w:color="000000" w:sz="6" w:space="0"/>
            </w:tcBorders>
            <w:vAlign w:val="center"/>
          </w:tcPr>
          <w:p w14:paraId="6A66AD05">
            <w:pPr>
              <w:spacing w:line="360" w:lineRule="exact"/>
              <w:jc w:val="center"/>
              <w:rPr>
                <w:rFonts w:ascii="宋体" w:hAnsi="宋体" w:eastAsia="宋体" w:cs="宋体"/>
                <w:szCs w:val="21"/>
              </w:rPr>
            </w:pPr>
            <w:r>
              <w:rPr>
                <w:rFonts w:hint="eastAsia" w:ascii="宋体" w:hAnsi="宋体" w:eastAsia="宋体" w:cs="宋体"/>
                <w:szCs w:val="21"/>
              </w:rPr>
              <w:t>建设地点</w:t>
            </w:r>
          </w:p>
        </w:tc>
        <w:tc>
          <w:tcPr>
            <w:tcW w:w="7028" w:type="dxa"/>
            <w:tcBorders>
              <w:top w:val="single" w:color="000000" w:sz="6" w:space="0"/>
              <w:left w:val="single" w:color="000000" w:sz="6" w:space="0"/>
              <w:bottom w:val="single" w:color="000000" w:sz="6" w:space="0"/>
              <w:right w:val="single" w:color="000000" w:sz="12" w:space="0"/>
            </w:tcBorders>
            <w:vAlign w:val="center"/>
          </w:tcPr>
          <w:p w14:paraId="3F2EE5B6">
            <w:pPr>
              <w:spacing w:line="360" w:lineRule="exact"/>
              <w:ind w:left="141" w:leftChars="67"/>
              <w:rPr>
                <w:rFonts w:ascii="宋体" w:hAnsi="宋体" w:eastAsia="宋体" w:cs="宋体"/>
                <w:bCs/>
                <w:szCs w:val="21"/>
              </w:rPr>
            </w:pPr>
            <w:r>
              <w:rPr>
                <w:rFonts w:hint="eastAsia" w:ascii="宋体" w:hAnsi="宋体" w:eastAsia="宋体" w:cs="宋体"/>
                <w:szCs w:val="21"/>
              </w:rPr>
              <w:t>三门县</w:t>
            </w:r>
          </w:p>
        </w:tc>
      </w:tr>
      <w:tr w14:paraId="3E9EC9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2C2239B">
            <w:pPr>
              <w:spacing w:line="360" w:lineRule="exact"/>
              <w:jc w:val="center"/>
              <w:rPr>
                <w:rFonts w:ascii="宋体" w:hAnsi="宋体" w:eastAsia="宋体" w:cs="宋体"/>
                <w:szCs w:val="21"/>
              </w:rPr>
            </w:pPr>
            <w:r>
              <w:rPr>
                <w:rFonts w:hint="eastAsia" w:ascii="宋体" w:hAnsi="宋体" w:eastAsia="宋体" w:cs="宋体"/>
                <w:szCs w:val="21"/>
              </w:rPr>
              <w:t>1.2.1</w:t>
            </w:r>
          </w:p>
        </w:tc>
        <w:tc>
          <w:tcPr>
            <w:tcW w:w="2705" w:type="dxa"/>
            <w:tcBorders>
              <w:top w:val="single" w:color="000000" w:sz="6" w:space="0"/>
              <w:left w:val="single" w:color="000000" w:sz="6" w:space="0"/>
              <w:bottom w:val="single" w:color="000000" w:sz="6" w:space="0"/>
              <w:right w:val="single" w:color="000000" w:sz="6" w:space="0"/>
            </w:tcBorders>
            <w:vAlign w:val="center"/>
          </w:tcPr>
          <w:p w14:paraId="3DA45AB7">
            <w:pPr>
              <w:spacing w:line="360" w:lineRule="exact"/>
              <w:jc w:val="center"/>
              <w:rPr>
                <w:rFonts w:ascii="宋体" w:hAnsi="宋体" w:eastAsia="宋体" w:cs="宋体"/>
                <w:szCs w:val="21"/>
              </w:rPr>
            </w:pPr>
            <w:r>
              <w:rPr>
                <w:rFonts w:hint="eastAsia" w:ascii="宋体" w:hAnsi="宋体" w:eastAsia="宋体" w:cs="宋体"/>
                <w:szCs w:val="21"/>
              </w:rPr>
              <w:t>资金来源</w:t>
            </w:r>
          </w:p>
        </w:tc>
        <w:tc>
          <w:tcPr>
            <w:tcW w:w="7028" w:type="dxa"/>
            <w:tcBorders>
              <w:top w:val="single" w:color="000000" w:sz="6" w:space="0"/>
              <w:left w:val="single" w:color="000000" w:sz="6" w:space="0"/>
              <w:bottom w:val="single" w:color="000000" w:sz="6" w:space="0"/>
              <w:right w:val="single" w:color="000000" w:sz="12" w:space="0"/>
            </w:tcBorders>
            <w:vAlign w:val="center"/>
          </w:tcPr>
          <w:p w14:paraId="1212646E">
            <w:pPr>
              <w:spacing w:line="360" w:lineRule="exact"/>
              <w:ind w:left="141" w:leftChars="67"/>
              <w:rPr>
                <w:rFonts w:ascii="宋体" w:hAnsi="宋体" w:eastAsia="宋体" w:cs="宋体"/>
                <w:bCs/>
                <w:szCs w:val="21"/>
              </w:rPr>
            </w:pPr>
            <w:r>
              <w:rPr>
                <w:rFonts w:hint="eastAsia" w:hAnsi="宋体"/>
                <w:spacing w:val="5"/>
                <w:sz w:val="22"/>
              </w:rPr>
              <w:t>自筹</w:t>
            </w:r>
          </w:p>
        </w:tc>
      </w:tr>
      <w:tr w14:paraId="096D7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070B1984">
            <w:pPr>
              <w:spacing w:line="360" w:lineRule="exact"/>
              <w:jc w:val="center"/>
              <w:rPr>
                <w:rFonts w:ascii="宋体" w:hAnsi="宋体" w:eastAsia="宋体" w:cs="宋体"/>
                <w:szCs w:val="21"/>
              </w:rPr>
            </w:pPr>
            <w:r>
              <w:rPr>
                <w:rFonts w:hint="eastAsia" w:ascii="宋体" w:hAnsi="宋体" w:eastAsia="宋体" w:cs="宋体"/>
                <w:szCs w:val="21"/>
              </w:rPr>
              <w:t>1.2.2</w:t>
            </w:r>
          </w:p>
        </w:tc>
        <w:tc>
          <w:tcPr>
            <w:tcW w:w="2705" w:type="dxa"/>
            <w:tcBorders>
              <w:top w:val="single" w:color="000000" w:sz="6" w:space="0"/>
              <w:left w:val="single" w:color="000000" w:sz="6" w:space="0"/>
              <w:bottom w:val="single" w:color="000000" w:sz="6" w:space="0"/>
              <w:right w:val="single" w:color="000000" w:sz="6" w:space="0"/>
            </w:tcBorders>
            <w:vAlign w:val="center"/>
          </w:tcPr>
          <w:p w14:paraId="25558845">
            <w:pPr>
              <w:spacing w:line="360" w:lineRule="exact"/>
              <w:jc w:val="center"/>
              <w:rPr>
                <w:rFonts w:ascii="宋体" w:hAnsi="宋体" w:eastAsia="宋体" w:cs="宋体"/>
                <w:szCs w:val="21"/>
              </w:rPr>
            </w:pPr>
            <w:r>
              <w:rPr>
                <w:rFonts w:hint="eastAsia" w:ascii="宋体" w:hAnsi="宋体" w:eastAsia="宋体" w:cs="宋体"/>
                <w:szCs w:val="21"/>
              </w:rPr>
              <w:t>出资比例</w:t>
            </w:r>
          </w:p>
        </w:tc>
        <w:tc>
          <w:tcPr>
            <w:tcW w:w="7028" w:type="dxa"/>
            <w:tcBorders>
              <w:top w:val="single" w:color="000000" w:sz="6" w:space="0"/>
              <w:left w:val="single" w:color="000000" w:sz="6" w:space="0"/>
              <w:bottom w:val="single" w:color="000000" w:sz="6" w:space="0"/>
              <w:right w:val="single" w:color="000000" w:sz="12" w:space="0"/>
            </w:tcBorders>
            <w:vAlign w:val="center"/>
          </w:tcPr>
          <w:p w14:paraId="1D8D27BF">
            <w:pPr>
              <w:spacing w:line="360" w:lineRule="exact"/>
              <w:ind w:left="141" w:leftChars="67"/>
              <w:rPr>
                <w:rFonts w:ascii="宋体" w:hAnsi="宋体" w:eastAsia="宋体" w:cs="宋体"/>
                <w:bCs/>
                <w:szCs w:val="21"/>
              </w:rPr>
            </w:pPr>
            <w:r>
              <w:rPr>
                <w:rFonts w:hint="eastAsia" w:ascii="宋体" w:hAnsi="宋体" w:eastAsia="宋体" w:cs="宋体"/>
                <w:bCs/>
                <w:szCs w:val="21"/>
              </w:rPr>
              <w:t>/</w:t>
            </w:r>
          </w:p>
        </w:tc>
      </w:tr>
      <w:tr w14:paraId="740E31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BD1345F">
            <w:pPr>
              <w:spacing w:line="360" w:lineRule="exact"/>
              <w:jc w:val="center"/>
              <w:rPr>
                <w:rFonts w:ascii="宋体" w:hAnsi="宋体" w:eastAsia="宋体" w:cs="宋体"/>
                <w:szCs w:val="21"/>
              </w:rPr>
            </w:pPr>
            <w:r>
              <w:rPr>
                <w:rFonts w:hint="eastAsia" w:ascii="宋体" w:hAnsi="宋体" w:eastAsia="宋体" w:cs="宋体"/>
                <w:szCs w:val="21"/>
              </w:rPr>
              <w:t>1.2.3</w:t>
            </w:r>
          </w:p>
        </w:tc>
        <w:tc>
          <w:tcPr>
            <w:tcW w:w="2705" w:type="dxa"/>
            <w:tcBorders>
              <w:top w:val="single" w:color="000000" w:sz="6" w:space="0"/>
              <w:left w:val="single" w:color="000000" w:sz="6" w:space="0"/>
              <w:bottom w:val="single" w:color="000000" w:sz="6" w:space="0"/>
              <w:right w:val="single" w:color="000000" w:sz="6" w:space="0"/>
            </w:tcBorders>
            <w:vAlign w:val="center"/>
          </w:tcPr>
          <w:p w14:paraId="0063A144">
            <w:pPr>
              <w:spacing w:line="360" w:lineRule="exact"/>
              <w:jc w:val="center"/>
              <w:rPr>
                <w:rFonts w:ascii="宋体" w:hAnsi="宋体" w:eastAsia="宋体" w:cs="宋体"/>
                <w:szCs w:val="21"/>
              </w:rPr>
            </w:pPr>
            <w:r>
              <w:rPr>
                <w:rFonts w:hint="eastAsia" w:ascii="宋体" w:hAnsi="宋体" w:eastAsia="宋体" w:cs="宋体"/>
                <w:szCs w:val="21"/>
              </w:rPr>
              <w:t>资金落实情况</w:t>
            </w:r>
          </w:p>
        </w:tc>
        <w:tc>
          <w:tcPr>
            <w:tcW w:w="7028" w:type="dxa"/>
            <w:tcBorders>
              <w:top w:val="single" w:color="000000" w:sz="6" w:space="0"/>
              <w:left w:val="single" w:color="000000" w:sz="6" w:space="0"/>
              <w:bottom w:val="single" w:color="000000" w:sz="6" w:space="0"/>
              <w:right w:val="single" w:color="000000" w:sz="12" w:space="0"/>
            </w:tcBorders>
            <w:vAlign w:val="center"/>
          </w:tcPr>
          <w:p w14:paraId="3B0B1F1A">
            <w:pPr>
              <w:spacing w:line="360" w:lineRule="exact"/>
              <w:ind w:left="141" w:leftChars="67"/>
              <w:rPr>
                <w:rFonts w:ascii="宋体" w:hAnsi="宋体" w:eastAsia="宋体" w:cs="宋体"/>
                <w:bCs/>
                <w:szCs w:val="21"/>
              </w:rPr>
            </w:pPr>
            <w:r>
              <w:rPr>
                <w:rFonts w:hint="eastAsia" w:ascii="宋体" w:hAnsi="宋体" w:eastAsia="宋体" w:cs="宋体"/>
                <w:bCs/>
                <w:szCs w:val="21"/>
              </w:rPr>
              <w:t>已落实</w:t>
            </w:r>
          </w:p>
        </w:tc>
      </w:tr>
      <w:tr w14:paraId="77BFE2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801064A">
            <w:pPr>
              <w:spacing w:line="360" w:lineRule="exact"/>
              <w:jc w:val="center"/>
              <w:rPr>
                <w:rFonts w:ascii="宋体" w:hAnsi="宋体" w:eastAsia="宋体" w:cs="宋体"/>
                <w:szCs w:val="21"/>
              </w:rPr>
            </w:pPr>
            <w:r>
              <w:rPr>
                <w:rFonts w:hint="eastAsia" w:ascii="宋体" w:hAnsi="宋体" w:eastAsia="宋体" w:cs="宋体"/>
                <w:szCs w:val="21"/>
              </w:rPr>
              <w:t>1.3.1</w:t>
            </w:r>
          </w:p>
        </w:tc>
        <w:tc>
          <w:tcPr>
            <w:tcW w:w="2705" w:type="dxa"/>
            <w:tcBorders>
              <w:top w:val="single" w:color="000000" w:sz="6" w:space="0"/>
              <w:left w:val="single" w:color="000000" w:sz="6" w:space="0"/>
              <w:bottom w:val="single" w:color="000000" w:sz="6" w:space="0"/>
              <w:right w:val="single" w:color="000000" w:sz="6" w:space="0"/>
            </w:tcBorders>
            <w:vAlign w:val="center"/>
          </w:tcPr>
          <w:p w14:paraId="6AFA911A">
            <w:pPr>
              <w:spacing w:line="400" w:lineRule="exact"/>
              <w:jc w:val="center"/>
              <w:rPr>
                <w:rFonts w:ascii="宋体" w:hAnsi="宋体" w:eastAsia="宋体" w:cs="宋体"/>
                <w:szCs w:val="21"/>
              </w:rPr>
            </w:pPr>
            <w:r>
              <w:rPr>
                <w:rFonts w:hint="eastAsia" w:ascii="宋体" w:hAnsi="宋体" w:eastAsia="宋体" w:cs="宋体"/>
                <w:szCs w:val="21"/>
              </w:rPr>
              <w:t>招标范围</w:t>
            </w:r>
          </w:p>
        </w:tc>
        <w:tc>
          <w:tcPr>
            <w:tcW w:w="7028" w:type="dxa"/>
            <w:tcBorders>
              <w:top w:val="single" w:color="000000" w:sz="6" w:space="0"/>
              <w:left w:val="single" w:color="000000" w:sz="6" w:space="0"/>
              <w:bottom w:val="single" w:color="000000" w:sz="6" w:space="0"/>
              <w:right w:val="single" w:color="000000" w:sz="12" w:space="0"/>
            </w:tcBorders>
            <w:vAlign w:val="center"/>
          </w:tcPr>
          <w:p w14:paraId="61D416EE">
            <w:pPr>
              <w:pStyle w:val="4"/>
              <w:widowControl/>
              <w:spacing w:before="0" w:after="0" w:line="360" w:lineRule="exact"/>
              <w:jc w:val="left"/>
              <w:rPr>
                <w:rFonts w:ascii="宋体" w:hAnsi="宋体"/>
                <w:b w:val="0"/>
                <w:bCs w:val="0"/>
                <w:sz w:val="21"/>
                <w:szCs w:val="21"/>
              </w:rPr>
            </w:pPr>
            <w:r>
              <w:rPr>
                <w:rFonts w:hint="eastAsia" w:ascii="宋体" w:hAnsi="宋体"/>
                <w:b w:val="0"/>
                <w:sz w:val="21"/>
                <w:szCs w:val="21"/>
              </w:rPr>
              <w:t>招标人所提供的预算审核书及施工图范围内桥梁预防性养护等工程。</w:t>
            </w:r>
          </w:p>
        </w:tc>
      </w:tr>
      <w:tr w14:paraId="350C97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026FF09">
            <w:pPr>
              <w:spacing w:line="360" w:lineRule="exact"/>
              <w:jc w:val="center"/>
              <w:rPr>
                <w:rFonts w:ascii="宋体" w:hAnsi="宋体" w:eastAsia="宋体" w:cs="宋体"/>
                <w:szCs w:val="21"/>
              </w:rPr>
            </w:pPr>
            <w:r>
              <w:rPr>
                <w:rFonts w:hint="eastAsia" w:ascii="宋体" w:hAnsi="宋体" w:eastAsia="宋体" w:cs="宋体"/>
                <w:szCs w:val="21"/>
              </w:rPr>
              <w:t>1.3.2</w:t>
            </w:r>
          </w:p>
        </w:tc>
        <w:tc>
          <w:tcPr>
            <w:tcW w:w="2705" w:type="dxa"/>
            <w:tcBorders>
              <w:top w:val="single" w:color="000000" w:sz="6" w:space="0"/>
              <w:left w:val="single" w:color="000000" w:sz="6" w:space="0"/>
              <w:bottom w:val="single" w:color="000000" w:sz="6" w:space="0"/>
              <w:right w:val="single" w:color="000000" w:sz="6" w:space="0"/>
            </w:tcBorders>
            <w:vAlign w:val="center"/>
          </w:tcPr>
          <w:p w14:paraId="51A956BD">
            <w:pPr>
              <w:spacing w:line="360" w:lineRule="exact"/>
              <w:jc w:val="center"/>
              <w:rPr>
                <w:rFonts w:ascii="宋体" w:hAnsi="宋体" w:eastAsia="宋体" w:cs="宋体"/>
                <w:szCs w:val="21"/>
              </w:rPr>
            </w:pPr>
            <w:r>
              <w:rPr>
                <w:rFonts w:hint="eastAsia" w:ascii="宋体" w:hAnsi="宋体" w:eastAsia="宋体" w:cs="宋体"/>
                <w:szCs w:val="21"/>
              </w:rPr>
              <w:t>计划工期</w:t>
            </w:r>
          </w:p>
        </w:tc>
        <w:tc>
          <w:tcPr>
            <w:tcW w:w="7028" w:type="dxa"/>
            <w:tcBorders>
              <w:top w:val="single" w:color="000000" w:sz="6" w:space="0"/>
              <w:left w:val="single" w:color="000000" w:sz="6" w:space="0"/>
              <w:bottom w:val="single" w:color="000000" w:sz="6" w:space="0"/>
              <w:right w:val="single" w:color="000000" w:sz="12" w:space="0"/>
            </w:tcBorders>
            <w:vAlign w:val="center"/>
          </w:tcPr>
          <w:p w14:paraId="0ACB0A0E">
            <w:pPr>
              <w:spacing w:line="260" w:lineRule="exact"/>
              <w:ind w:left="141" w:leftChars="67"/>
              <w:rPr>
                <w:rFonts w:ascii="宋体" w:hAnsi="宋体" w:eastAsia="宋体" w:cs="宋体"/>
                <w:szCs w:val="21"/>
              </w:rPr>
            </w:pPr>
            <w:r>
              <w:rPr>
                <w:rFonts w:hint="eastAsia" w:ascii="宋体" w:hAnsi="宋体" w:eastAsia="宋体" w:cs="宋体"/>
                <w:szCs w:val="21"/>
              </w:rPr>
              <w:t>计划工期：不超过</w:t>
            </w:r>
            <w:r>
              <w:rPr>
                <w:rFonts w:ascii="宋体" w:hAnsi="宋体" w:eastAsia="宋体" w:cs="宋体"/>
                <w:szCs w:val="21"/>
              </w:rPr>
              <w:t>45</w:t>
            </w:r>
            <w:r>
              <w:rPr>
                <w:rFonts w:hint="eastAsia" w:ascii="宋体" w:hAnsi="宋体" w:eastAsia="宋体" w:cs="宋体"/>
                <w:szCs w:val="21"/>
              </w:rPr>
              <w:t>日历天（投标人在投标文件中必须明确工期天数）</w:t>
            </w:r>
          </w:p>
          <w:p w14:paraId="28450CB5">
            <w:pPr>
              <w:spacing w:line="360" w:lineRule="exact"/>
              <w:ind w:left="141" w:leftChars="67"/>
              <w:rPr>
                <w:rFonts w:ascii="宋体" w:hAnsi="宋体" w:eastAsia="宋体" w:cs="宋体"/>
                <w:szCs w:val="21"/>
              </w:rPr>
            </w:pPr>
            <w:r>
              <w:rPr>
                <w:rFonts w:hint="eastAsia" w:ascii="宋体" w:hAnsi="宋体" w:eastAsia="宋体" w:cs="宋体"/>
                <w:szCs w:val="21"/>
              </w:rPr>
              <w:t>计划开工日期： 以签发开工令为准</w:t>
            </w:r>
          </w:p>
          <w:p w14:paraId="10437092">
            <w:pPr>
              <w:spacing w:line="360" w:lineRule="exact"/>
              <w:ind w:left="141" w:leftChars="67"/>
              <w:rPr>
                <w:rFonts w:ascii="宋体" w:hAnsi="宋体" w:eastAsia="宋体" w:cs="宋体"/>
                <w:szCs w:val="21"/>
              </w:rPr>
            </w:pPr>
            <w:r>
              <w:rPr>
                <w:rFonts w:hint="eastAsia" w:ascii="宋体" w:hAnsi="宋体" w:eastAsia="宋体" w:cs="宋体"/>
                <w:szCs w:val="21"/>
              </w:rPr>
              <w:t>计划交（竣）工日期：按开工日期推算</w:t>
            </w:r>
          </w:p>
          <w:p w14:paraId="60AEDE2A">
            <w:pPr>
              <w:spacing w:line="360" w:lineRule="exact"/>
              <w:ind w:left="141" w:leftChars="67"/>
              <w:rPr>
                <w:rFonts w:ascii="宋体" w:hAnsi="宋体" w:eastAsia="宋体" w:cs="宋体"/>
                <w:szCs w:val="21"/>
              </w:rPr>
            </w:pPr>
            <w:r>
              <w:rPr>
                <w:rFonts w:hint="eastAsia" w:ascii="宋体" w:hAnsi="宋体" w:eastAsia="宋体" w:cs="宋体"/>
                <w:szCs w:val="21"/>
              </w:rPr>
              <w:t>缺陷责任期为12个月</w:t>
            </w:r>
          </w:p>
        </w:tc>
      </w:tr>
      <w:tr w14:paraId="4958F5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02674627">
            <w:pPr>
              <w:spacing w:line="360" w:lineRule="exact"/>
              <w:jc w:val="center"/>
              <w:rPr>
                <w:rFonts w:ascii="宋体" w:hAnsi="宋体" w:eastAsia="宋体" w:cs="宋体"/>
                <w:szCs w:val="21"/>
              </w:rPr>
            </w:pPr>
            <w:r>
              <w:rPr>
                <w:rFonts w:hint="eastAsia" w:ascii="宋体" w:hAnsi="宋体" w:eastAsia="宋体" w:cs="宋体"/>
                <w:szCs w:val="21"/>
              </w:rPr>
              <w:t>1.3.3</w:t>
            </w:r>
          </w:p>
        </w:tc>
        <w:tc>
          <w:tcPr>
            <w:tcW w:w="2705" w:type="dxa"/>
            <w:tcBorders>
              <w:top w:val="single" w:color="000000" w:sz="6" w:space="0"/>
              <w:left w:val="single" w:color="000000" w:sz="6" w:space="0"/>
              <w:bottom w:val="single" w:color="000000" w:sz="6" w:space="0"/>
              <w:right w:val="single" w:color="000000" w:sz="6" w:space="0"/>
            </w:tcBorders>
            <w:vAlign w:val="center"/>
          </w:tcPr>
          <w:p w14:paraId="2E799304">
            <w:pPr>
              <w:spacing w:line="360" w:lineRule="exact"/>
              <w:jc w:val="center"/>
              <w:rPr>
                <w:rFonts w:ascii="宋体" w:hAnsi="宋体" w:eastAsia="宋体" w:cs="宋体"/>
                <w:szCs w:val="21"/>
              </w:rPr>
            </w:pPr>
            <w:r>
              <w:rPr>
                <w:rFonts w:hint="eastAsia" w:ascii="宋体" w:hAnsi="宋体" w:eastAsia="宋体" w:cs="宋体"/>
                <w:szCs w:val="21"/>
              </w:rPr>
              <w:t>质量要求</w:t>
            </w:r>
          </w:p>
        </w:tc>
        <w:tc>
          <w:tcPr>
            <w:tcW w:w="7028" w:type="dxa"/>
            <w:tcBorders>
              <w:top w:val="single" w:color="000000" w:sz="6" w:space="0"/>
              <w:left w:val="single" w:color="000000" w:sz="6" w:space="0"/>
              <w:bottom w:val="single" w:color="000000" w:sz="6" w:space="0"/>
              <w:right w:val="single" w:color="000000" w:sz="12" w:space="0"/>
            </w:tcBorders>
            <w:vAlign w:val="center"/>
          </w:tcPr>
          <w:p w14:paraId="591A358A">
            <w:pPr>
              <w:spacing w:line="360" w:lineRule="exact"/>
              <w:ind w:left="141" w:leftChars="67"/>
              <w:rPr>
                <w:rFonts w:ascii="宋体" w:hAnsi="宋体" w:eastAsia="宋体" w:cs="宋体"/>
                <w:szCs w:val="21"/>
              </w:rPr>
            </w:pPr>
            <w:r>
              <w:rPr>
                <w:rFonts w:hint="eastAsia" w:ascii="宋体" w:hAnsi="宋体" w:eastAsia="宋体" w:cs="宋体"/>
                <w:szCs w:val="21"/>
              </w:rPr>
              <w:t>标段工程交（竣）工验收的质量评定：</w:t>
            </w:r>
            <w:r>
              <w:rPr>
                <w:rFonts w:hint="eastAsia" w:ascii="宋体" w:hAnsi="宋体" w:eastAsia="宋体" w:cs="宋体"/>
                <w:szCs w:val="21"/>
                <w:u w:val="single"/>
              </w:rPr>
              <w:t xml:space="preserve"> 合格 。</w:t>
            </w:r>
          </w:p>
        </w:tc>
      </w:tr>
      <w:tr w14:paraId="565A18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2F32A31">
            <w:pPr>
              <w:spacing w:line="360" w:lineRule="exact"/>
              <w:jc w:val="center"/>
              <w:rPr>
                <w:color w:val="000000"/>
                <w:szCs w:val="21"/>
              </w:rPr>
            </w:pPr>
            <w:r>
              <w:rPr>
                <w:rFonts w:hint="eastAsia"/>
                <w:color w:val="000000"/>
                <w:szCs w:val="21"/>
              </w:rPr>
              <w:t>1.3.4</w:t>
            </w:r>
          </w:p>
        </w:tc>
        <w:tc>
          <w:tcPr>
            <w:tcW w:w="2705" w:type="dxa"/>
            <w:tcBorders>
              <w:top w:val="single" w:color="000000" w:sz="6" w:space="0"/>
              <w:left w:val="single" w:color="000000" w:sz="6" w:space="0"/>
              <w:bottom w:val="single" w:color="000000" w:sz="6" w:space="0"/>
              <w:right w:val="single" w:color="000000" w:sz="6" w:space="0"/>
            </w:tcBorders>
            <w:vAlign w:val="center"/>
          </w:tcPr>
          <w:p w14:paraId="07071C3C">
            <w:pPr>
              <w:spacing w:line="360" w:lineRule="exact"/>
              <w:jc w:val="center"/>
              <w:rPr>
                <w:color w:val="000000"/>
                <w:kern w:val="0"/>
                <w:szCs w:val="21"/>
              </w:rPr>
            </w:pPr>
            <w:r>
              <w:rPr>
                <w:color w:val="000000"/>
                <w:szCs w:val="21"/>
              </w:rPr>
              <w:t>安全目标</w:t>
            </w:r>
          </w:p>
        </w:tc>
        <w:tc>
          <w:tcPr>
            <w:tcW w:w="7028" w:type="dxa"/>
            <w:tcBorders>
              <w:top w:val="single" w:color="000000" w:sz="6" w:space="0"/>
              <w:left w:val="single" w:color="000000" w:sz="6" w:space="0"/>
              <w:bottom w:val="single" w:color="000000" w:sz="6" w:space="0"/>
              <w:right w:val="single" w:color="000000" w:sz="12" w:space="0"/>
            </w:tcBorders>
            <w:vAlign w:val="center"/>
          </w:tcPr>
          <w:p w14:paraId="2FF39CE9">
            <w:pPr>
              <w:spacing w:line="240" w:lineRule="exact"/>
              <w:ind w:left="141" w:leftChars="67"/>
              <w:rPr>
                <w:kern w:val="0"/>
                <w:szCs w:val="21"/>
              </w:rPr>
            </w:pPr>
            <w:r>
              <w:rPr>
                <w:rFonts w:hint="eastAsia"/>
                <w:szCs w:val="21"/>
                <w:u w:val="single"/>
              </w:rPr>
              <w:t>不发生较大及以上生产安全责任事故，人员零死亡</w:t>
            </w:r>
          </w:p>
        </w:tc>
      </w:tr>
      <w:tr w14:paraId="49797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5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848D8AA">
            <w:pPr>
              <w:spacing w:line="360" w:lineRule="exact"/>
              <w:jc w:val="center"/>
              <w:rPr>
                <w:rFonts w:ascii="宋体" w:hAnsi="宋体" w:eastAsia="宋体" w:cs="宋体"/>
                <w:szCs w:val="21"/>
              </w:rPr>
            </w:pPr>
            <w:r>
              <w:rPr>
                <w:rFonts w:hint="eastAsia" w:ascii="宋体" w:hAnsi="宋体" w:eastAsia="宋体" w:cs="宋体"/>
                <w:szCs w:val="21"/>
              </w:rPr>
              <w:t>1.4.1</w:t>
            </w:r>
          </w:p>
        </w:tc>
        <w:tc>
          <w:tcPr>
            <w:tcW w:w="2705" w:type="dxa"/>
            <w:tcBorders>
              <w:top w:val="single" w:color="000000" w:sz="6" w:space="0"/>
              <w:left w:val="single" w:color="000000" w:sz="6" w:space="0"/>
              <w:bottom w:val="single" w:color="000000" w:sz="6" w:space="0"/>
              <w:right w:val="single" w:color="000000" w:sz="6" w:space="0"/>
            </w:tcBorders>
            <w:vAlign w:val="center"/>
          </w:tcPr>
          <w:p w14:paraId="238908EA">
            <w:pPr>
              <w:spacing w:line="260" w:lineRule="exact"/>
              <w:jc w:val="center"/>
              <w:rPr>
                <w:rFonts w:ascii="宋体" w:hAnsi="宋体" w:eastAsia="宋体" w:cs="宋体"/>
                <w:szCs w:val="21"/>
              </w:rPr>
            </w:pPr>
            <w:r>
              <w:rPr>
                <w:rFonts w:hint="eastAsia" w:ascii="宋体" w:hAnsi="宋体" w:eastAsia="宋体" w:cs="宋体"/>
                <w:szCs w:val="21"/>
              </w:rPr>
              <w:t>投标人资质条件、能力和信誉</w:t>
            </w:r>
          </w:p>
        </w:tc>
        <w:tc>
          <w:tcPr>
            <w:tcW w:w="7028" w:type="dxa"/>
            <w:tcBorders>
              <w:top w:val="single" w:color="000000" w:sz="6" w:space="0"/>
              <w:left w:val="single" w:color="000000" w:sz="6" w:space="0"/>
              <w:bottom w:val="single" w:color="000000" w:sz="6" w:space="0"/>
              <w:right w:val="single" w:color="000000" w:sz="12" w:space="0"/>
            </w:tcBorders>
            <w:vAlign w:val="center"/>
          </w:tcPr>
          <w:p w14:paraId="1B183F4B">
            <w:pPr>
              <w:spacing w:line="360" w:lineRule="exact"/>
              <w:ind w:left="141" w:leftChars="67"/>
              <w:rPr>
                <w:rFonts w:ascii="宋体" w:hAnsi="宋体" w:eastAsia="宋体" w:cs="宋体"/>
                <w:szCs w:val="21"/>
              </w:rPr>
            </w:pPr>
            <w:r>
              <w:rPr>
                <w:rFonts w:hint="eastAsia" w:ascii="宋体" w:hAnsi="宋体" w:eastAsia="宋体" w:cs="宋体"/>
                <w:szCs w:val="21"/>
              </w:rPr>
              <w:t>资质条件：见附录1</w:t>
            </w:r>
          </w:p>
          <w:p w14:paraId="05FAA3E0">
            <w:pPr>
              <w:spacing w:line="360" w:lineRule="exact"/>
              <w:ind w:left="141" w:leftChars="67"/>
              <w:rPr>
                <w:rFonts w:ascii="宋体" w:hAnsi="宋体" w:eastAsia="宋体" w:cs="宋体"/>
                <w:szCs w:val="21"/>
              </w:rPr>
            </w:pPr>
            <w:r>
              <w:rPr>
                <w:rFonts w:hint="eastAsia" w:ascii="宋体" w:hAnsi="宋体" w:eastAsia="宋体" w:cs="宋体"/>
                <w:szCs w:val="21"/>
              </w:rPr>
              <w:t>财务要求：见附录2</w:t>
            </w:r>
          </w:p>
          <w:p w14:paraId="22CADF43">
            <w:pPr>
              <w:spacing w:line="360" w:lineRule="exact"/>
              <w:ind w:left="141" w:leftChars="67"/>
              <w:rPr>
                <w:rFonts w:ascii="宋体" w:hAnsi="宋体" w:eastAsia="宋体" w:cs="宋体"/>
                <w:szCs w:val="21"/>
              </w:rPr>
            </w:pPr>
            <w:r>
              <w:rPr>
                <w:rFonts w:hint="eastAsia" w:ascii="宋体" w:hAnsi="宋体" w:eastAsia="宋体" w:cs="宋体"/>
                <w:szCs w:val="21"/>
              </w:rPr>
              <w:t>业绩要求：见附录3</w:t>
            </w:r>
          </w:p>
          <w:p w14:paraId="5BC270CF">
            <w:pPr>
              <w:spacing w:line="360" w:lineRule="exact"/>
              <w:ind w:left="141" w:leftChars="67"/>
              <w:rPr>
                <w:rFonts w:ascii="宋体" w:hAnsi="宋体" w:eastAsia="宋体" w:cs="宋体"/>
                <w:szCs w:val="21"/>
              </w:rPr>
            </w:pPr>
            <w:r>
              <w:rPr>
                <w:rFonts w:hint="eastAsia" w:ascii="宋体" w:hAnsi="宋体" w:eastAsia="宋体" w:cs="宋体"/>
                <w:szCs w:val="21"/>
              </w:rPr>
              <w:t>信誉要求：见附录4</w:t>
            </w:r>
          </w:p>
          <w:p w14:paraId="4106BF0E">
            <w:pPr>
              <w:spacing w:line="360" w:lineRule="exact"/>
              <w:ind w:left="141" w:leftChars="67"/>
              <w:rPr>
                <w:rFonts w:ascii="宋体" w:hAnsi="宋体" w:eastAsia="宋体" w:cs="宋体"/>
                <w:szCs w:val="21"/>
              </w:rPr>
            </w:pPr>
            <w:r>
              <w:rPr>
                <w:rFonts w:hint="eastAsia" w:ascii="宋体" w:hAnsi="宋体" w:eastAsia="宋体" w:cs="宋体"/>
                <w:szCs w:val="21"/>
              </w:rPr>
              <w:t>项目经理、项目技术负责人和安全负责人资格：见附录5</w:t>
            </w:r>
          </w:p>
          <w:p w14:paraId="47098407">
            <w:pPr>
              <w:spacing w:line="360" w:lineRule="exact"/>
              <w:ind w:left="141" w:leftChars="67"/>
              <w:rPr>
                <w:rFonts w:ascii="宋体" w:hAnsi="宋体" w:eastAsia="宋体" w:cs="宋体"/>
                <w:szCs w:val="21"/>
              </w:rPr>
            </w:pPr>
            <w:r>
              <w:rPr>
                <w:rFonts w:hint="eastAsia" w:ascii="宋体" w:hAnsi="宋体" w:eastAsia="宋体" w:cs="宋体"/>
                <w:szCs w:val="21"/>
              </w:rPr>
              <w:t>其他要求：无</w:t>
            </w:r>
          </w:p>
        </w:tc>
      </w:tr>
      <w:tr w14:paraId="7D0FA1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B21960A">
            <w:pPr>
              <w:spacing w:line="360" w:lineRule="exact"/>
              <w:jc w:val="center"/>
              <w:rPr>
                <w:rFonts w:ascii="宋体" w:hAnsi="宋体" w:eastAsia="宋体" w:cs="宋体"/>
                <w:szCs w:val="21"/>
              </w:rPr>
            </w:pPr>
            <w:r>
              <w:rPr>
                <w:rFonts w:hint="eastAsia" w:ascii="宋体" w:hAnsi="宋体" w:eastAsia="宋体" w:cs="宋体"/>
                <w:szCs w:val="21"/>
              </w:rPr>
              <w:t>1.4.2</w:t>
            </w:r>
          </w:p>
        </w:tc>
        <w:tc>
          <w:tcPr>
            <w:tcW w:w="2705" w:type="dxa"/>
            <w:tcBorders>
              <w:top w:val="single" w:color="000000" w:sz="6" w:space="0"/>
              <w:left w:val="single" w:color="000000" w:sz="6" w:space="0"/>
              <w:bottom w:val="single" w:color="000000" w:sz="6" w:space="0"/>
              <w:right w:val="single" w:color="000000" w:sz="6" w:space="0"/>
            </w:tcBorders>
            <w:vAlign w:val="center"/>
          </w:tcPr>
          <w:p w14:paraId="59A08F11">
            <w:pPr>
              <w:spacing w:line="260" w:lineRule="exact"/>
              <w:jc w:val="center"/>
              <w:rPr>
                <w:rFonts w:ascii="宋体" w:hAnsi="宋体" w:eastAsia="宋体" w:cs="宋体"/>
                <w:szCs w:val="21"/>
              </w:rPr>
            </w:pPr>
            <w:r>
              <w:rPr>
                <w:rFonts w:hint="eastAsia" w:ascii="宋体" w:hAnsi="宋体" w:eastAsia="宋体" w:cs="宋体"/>
                <w:szCs w:val="21"/>
              </w:rPr>
              <w:t>是否接受联合体投标</w:t>
            </w:r>
          </w:p>
        </w:tc>
        <w:tc>
          <w:tcPr>
            <w:tcW w:w="7028" w:type="dxa"/>
            <w:tcBorders>
              <w:top w:val="single" w:color="000000" w:sz="6" w:space="0"/>
              <w:left w:val="single" w:color="000000" w:sz="6" w:space="0"/>
              <w:bottom w:val="single" w:color="000000" w:sz="6" w:space="0"/>
              <w:right w:val="single" w:color="000000" w:sz="12" w:space="0"/>
            </w:tcBorders>
            <w:vAlign w:val="center"/>
          </w:tcPr>
          <w:p w14:paraId="03B731A9">
            <w:pPr>
              <w:spacing w:line="360" w:lineRule="exact"/>
              <w:ind w:left="141" w:leftChars="67"/>
              <w:rPr>
                <w:rFonts w:ascii="宋体" w:hAnsi="宋体" w:eastAsia="宋体" w:cs="宋体"/>
                <w:szCs w:val="21"/>
              </w:rPr>
            </w:pPr>
            <w:r>
              <w:rPr>
                <w:rFonts w:hint="eastAsia" w:ascii="宋体" w:hAnsi="宋体" w:eastAsia="宋体" w:cs="宋体"/>
                <w:szCs w:val="21"/>
              </w:rPr>
              <w:t>不接受</w:t>
            </w:r>
          </w:p>
        </w:tc>
      </w:tr>
      <w:tr w14:paraId="055EB7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05"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45AE762">
            <w:pPr>
              <w:spacing w:line="360" w:lineRule="exact"/>
              <w:jc w:val="center"/>
              <w:rPr>
                <w:color w:val="000000"/>
                <w:szCs w:val="21"/>
              </w:rPr>
            </w:pPr>
            <w:r>
              <w:rPr>
                <w:rFonts w:hint="eastAsia"/>
                <w:color w:val="000000"/>
                <w:szCs w:val="21"/>
              </w:rPr>
              <w:t>1.4.3</w:t>
            </w:r>
          </w:p>
        </w:tc>
        <w:tc>
          <w:tcPr>
            <w:tcW w:w="2705" w:type="dxa"/>
            <w:tcBorders>
              <w:top w:val="single" w:color="000000" w:sz="6" w:space="0"/>
              <w:left w:val="single" w:color="000000" w:sz="6" w:space="0"/>
              <w:bottom w:val="single" w:color="000000" w:sz="6" w:space="0"/>
              <w:right w:val="single" w:color="000000" w:sz="6" w:space="0"/>
            </w:tcBorders>
            <w:vAlign w:val="center"/>
          </w:tcPr>
          <w:p w14:paraId="077FBCD2">
            <w:pPr>
              <w:spacing w:line="260" w:lineRule="exact"/>
              <w:jc w:val="center"/>
              <w:rPr>
                <w:color w:val="000000"/>
              </w:rPr>
            </w:pPr>
            <w:r>
              <w:rPr>
                <w:rFonts w:hint="eastAsia"/>
                <w:color w:val="000000"/>
                <w:szCs w:val="21"/>
              </w:rPr>
              <w:t>投标人不得存在的其他关联情形</w:t>
            </w:r>
          </w:p>
        </w:tc>
        <w:tc>
          <w:tcPr>
            <w:tcW w:w="7028" w:type="dxa"/>
            <w:tcBorders>
              <w:top w:val="single" w:color="000000" w:sz="6" w:space="0"/>
              <w:left w:val="single" w:color="000000" w:sz="6" w:space="0"/>
              <w:bottom w:val="single" w:color="000000" w:sz="6" w:space="0"/>
              <w:right w:val="single" w:color="000000" w:sz="12" w:space="0"/>
            </w:tcBorders>
            <w:vAlign w:val="center"/>
          </w:tcPr>
          <w:p w14:paraId="1C6BF0C4">
            <w:pPr>
              <w:spacing w:line="240" w:lineRule="exact"/>
              <w:ind w:left="141" w:leftChars="67" w:right="136" w:rightChars="65"/>
              <w:rPr>
                <w:color w:val="000000"/>
                <w:szCs w:val="21"/>
              </w:rPr>
            </w:pPr>
            <w:r>
              <w:rPr>
                <w:rFonts w:hint="eastAsia"/>
                <w:color w:val="000000"/>
                <w:szCs w:val="21"/>
              </w:rPr>
              <w:t>（11）被暂停或取消投标资格的；</w:t>
            </w:r>
          </w:p>
          <w:p w14:paraId="4D4B59D6">
            <w:pPr>
              <w:spacing w:line="240" w:lineRule="exact"/>
              <w:ind w:left="141" w:leftChars="67" w:right="136" w:rightChars="65"/>
              <w:rPr>
                <w:color w:val="000000"/>
                <w:szCs w:val="21"/>
              </w:rPr>
            </w:pPr>
            <w:r>
              <w:rPr>
                <w:rFonts w:hint="eastAsia"/>
                <w:color w:val="000000"/>
                <w:szCs w:val="21"/>
              </w:rPr>
              <w:t>（12）财产被接管或全部冻结的；</w:t>
            </w:r>
          </w:p>
          <w:p w14:paraId="1CE732F6">
            <w:pPr>
              <w:spacing w:line="240" w:lineRule="exact"/>
              <w:ind w:left="141" w:leftChars="67" w:right="136" w:rightChars="65"/>
              <w:rPr>
                <w:color w:val="000000"/>
                <w:szCs w:val="21"/>
              </w:rPr>
            </w:pPr>
            <w:r>
              <w:rPr>
                <w:rFonts w:hint="eastAsia"/>
                <w:color w:val="000000"/>
                <w:szCs w:val="21"/>
              </w:rPr>
              <w:t>（13）自2022年7月1日以来以弄虚作假骗取中标或严重违约或重大工程质量问题的（以省级及以上交通行政主管部门的书面通报或司法机关出具的有关法律文书为准）；</w:t>
            </w:r>
          </w:p>
          <w:p w14:paraId="71C12428">
            <w:pPr>
              <w:spacing w:line="240" w:lineRule="exact"/>
              <w:ind w:left="141" w:leftChars="67" w:right="136" w:rightChars="65"/>
              <w:rPr>
                <w:color w:val="000000"/>
                <w:szCs w:val="21"/>
              </w:rPr>
            </w:pPr>
            <w:r>
              <w:rPr>
                <w:rFonts w:hint="eastAsia"/>
                <w:color w:val="000000"/>
                <w:szCs w:val="21"/>
              </w:rPr>
              <w:t>（14）与招标人存在利害关系可能影响招标公正性的法人、其他组织或者个人参加投标。</w:t>
            </w:r>
          </w:p>
          <w:p w14:paraId="21EA7352">
            <w:pPr>
              <w:spacing w:line="240" w:lineRule="exact"/>
              <w:ind w:left="141" w:leftChars="67" w:right="136" w:rightChars="65"/>
              <w:rPr>
                <w:color w:val="000000"/>
              </w:rPr>
            </w:pPr>
            <w:r>
              <w:rPr>
                <w:rFonts w:hint="eastAsia"/>
                <w:color w:val="000000"/>
                <w:szCs w:val="21"/>
              </w:rPr>
              <w:t>（15）为投资参股本项目的法人单位。</w:t>
            </w:r>
          </w:p>
        </w:tc>
      </w:tr>
      <w:tr w14:paraId="64C6C0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4A2E616">
            <w:pPr>
              <w:spacing w:line="360" w:lineRule="exact"/>
              <w:jc w:val="center"/>
              <w:rPr>
                <w:rFonts w:ascii="宋体" w:hAnsi="宋体" w:eastAsia="宋体" w:cs="宋体"/>
                <w:szCs w:val="21"/>
              </w:rPr>
            </w:pPr>
            <w:r>
              <w:rPr>
                <w:rFonts w:hint="eastAsia" w:ascii="宋体" w:hAnsi="宋体" w:eastAsia="宋体" w:cs="宋体"/>
                <w:szCs w:val="21"/>
              </w:rPr>
              <w:t>1.9.1</w:t>
            </w:r>
          </w:p>
        </w:tc>
        <w:tc>
          <w:tcPr>
            <w:tcW w:w="2705" w:type="dxa"/>
            <w:tcBorders>
              <w:top w:val="single" w:color="000000" w:sz="6" w:space="0"/>
              <w:left w:val="single" w:color="000000" w:sz="6" w:space="0"/>
              <w:bottom w:val="single" w:color="000000" w:sz="6" w:space="0"/>
              <w:right w:val="single" w:color="000000" w:sz="6" w:space="0"/>
            </w:tcBorders>
            <w:vAlign w:val="center"/>
          </w:tcPr>
          <w:p w14:paraId="3F7D9987">
            <w:pPr>
              <w:spacing w:line="360" w:lineRule="exact"/>
              <w:jc w:val="center"/>
              <w:rPr>
                <w:rFonts w:ascii="宋体" w:hAnsi="宋体" w:eastAsia="宋体" w:cs="宋体"/>
                <w:szCs w:val="21"/>
              </w:rPr>
            </w:pPr>
            <w:r>
              <w:rPr>
                <w:rFonts w:hint="eastAsia" w:ascii="宋体" w:hAnsi="宋体" w:eastAsia="宋体" w:cs="宋体"/>
                <w:szCs w:val="21"/>
              </w:rPr>
              <w:t>踏勘现场</w:t>
            </w:r>
          </w:p>
        </w:tc>
        <w:tc>
          <w:tcPr>
            <w:tcW w:w="7028" w:type="dxa"/>
            <w:tcBorders>
              <w:top w:val="single" w:color="000000" w:sz="6" w:space="0"/>
              <w:left w:val="single" w:color="000000" w:sz="6" w:space="0"/>
              <w:bottom w:val="single" w:color="000000" w:sz="6" w:space="0"/>
              <w:right w:val="single" w:color="000000" w:sz="12" w:space="0"/>
            </w:tcBorders>
            <w:vAlign w:val="center"/>
          </w:tcPr>
          <w:p w14:paraId="1F031142">
            <w:pPr>
              <w:spacing w:line="360" w:lineRule="exact"/>
              <w:ind w:left="141" w:leftChars="67"/>
              <w:rPr>
                <w:rFonts w:ascii="宋体" w:hAnsi="宋体" w:eastAsia="宋体" w:cs="宋体"/>
                <w:szCs w:val="21"/>
              </w:rPr>
            </w:pPr>
            <w:r>
              <w:rPr>
                <w:rFonts w:hint="eastAsia" w:ascii="宋体" w:hAnsi="宋体" w:eastAsia="宋体" w:cs="宋体"/>
                <w:szCs w:val="21"/>
              </w:rPr>
              <w:t>不组织</w:t>
            </w:r>
          </w:p>
        </w:tc>
      </w:tr>
      <w:tr w14:paraId="7C2F88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C6F7541">
            <w:pPr>
              <w:spacing w:line="360" w:lineRule="exact"/>
              <w:jc w:val="center"/>
              <w:rPr>
                <w:rFonts w:ascii="宋体" w:hAnsi="宋体" w:eastAsia="宋体" w:cs="宋体"/>
                <w:szCs w:val="21"/>
              </w:rPr>
            </w:pPr>
            <w:r>
              <w:rPr>
                <w:rFonts w:hint="eastAsia" w:ascii="宋体" w:hAnsi="宋体" w:eastAsia="宋体" w:cs="宋体"/>
                <w:szCs w:val="21"/>
              </w:rPr>
              <w:t>1.10.1</w:t>
            </w:r>
          </w:p>
        </w:tc>
        <w:tc>
          <w:tcPr>
            <w:tcW w:w="2705" w:type="dxa"/>
            <w:tcBorders>
              <w:top w:val="single" w:color="000000" w:sz="6" w:space="0"/>
              <w:left w:val="single" w:color="000000" w:sz="6" w:space="0"/>
              <w:bottom w:val="single" w:color="000000" w:sz="6" w:space="0"/>
              <w:right w:val="single" w:color="000000" w:sz="6" w:space="0"/>
            </w:tcBorders>
            <w:vAlign w:val="center"/>
          </w:tcPr>
          <w:p w14:paraId="7B4310DE">
            <w:pPr>
              <w:spacing w:line="360" w:lineRule="exact"/>
              <w:jc w:val="center"/>
              <w:rPr>
                <w:rFonts w:ascii="宋体" w:hAnsi="宋体" w:eastAsia="宋体" w:cs="宋体"/>
                <w:szCs w:val="21"/>
              </w:rPr>
            </w:pPr>
            <w:r>
              <w:rPr>
                <w:rFonts w:hint="eastAsia" w:ascii="宋体" w:hAnsi="宋体" w:eastAsia="宋体" w:cs="宋体"/>
                <w:szCs w:val="21"/>
              </w:rPr>
              <w:t>投标预备会</w:t>
            </w:r>
          </w:p>
        </w:tc>
        <w:tc>
          <w:tcPr>
            <w:tcW w:w="7028" w:type="dxa"/>
            <w:tcBorders>
              <w:top w:val="single" w:color="000000" w:sz="6" w:space="0"/>
              <w:left w:val="single" w:color="000000" w:sz="6" w:space="0"/>
              <w:bottom w:val="single" w:color="000000" w:sz="6" w:space="0"/>
              <w:right w:val="single" w:color="000000" w:sz="12" w:space="0"/>
            </w:tcBorders>
            <w:vAlign w:val="center"/>
          </w:tcPr>
          <w:p w14:paraId="1BC342F9">
            <w:pPr>
              <w:spacing w:line="360" w:lineRule="exact"/>
              <w:ind w:left="141" w:leftChars="67"/>
              <w:rPr>
                <w:rFonts w:ascii="宋体" w:hAnsi="宋体" w:eastAsia="宋体" w:cs="宋体"/>
                <w:szCs w:val="21"/>
              </w:rPr>
            </w:pPr>
            <w:r>
              <w:rPr>
                <w:rFonts w:hint="eastAsia" w:ascii="宋体" w:hAnsi="宋体" w:eastAsia="宋体" w:cs="宋体"/>
                <w:szCs w:val="21"/>
              </w:rPr>
              <w:t>不召开</w:t>
            </w:r>
          </w:p>
        </w:tc>
      </w:tr>
      <w:tr w14:paraId="14CC97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BE448E7">
            <w:pPr>
              <w:spacing w:line="360" w:lineRule="exact"/>
              <w:jc w:val="center"/>
              <w:rPr>
                <w:rFonts w:ascii="宋体" w:hAnsi="宋体" w:eastAsia="宋体" w:cs="宋体"/>
                <w:szCs w:val="21"/>
              </w:rPr>
            </w:pPr>
            <w:r>
              <w:rPr>
                <w:rFonts w:hint="eastAsia" w:ascii="宋体" w:hAnsi="宋体" w:eastAsia="宋体" w:cs="宋体"/>
                <w:szCs w:val="21"/>
              </w:rPr>
              <w:t>1.10.2</w:t>
            </w:r>
          </w:p>
        </w:tc>
        <w:tc>
          <w:tcPr>
            <w:tcW w:w="2705" w:type="dxa"/>
            <w:tcBorders>
              <w:top w:val="single" w:color="000000" w:sz="6" w:space="0"/>
              <w:left w:val="single" w:color="000000" w:sz="6" w:space="0"/>
              <w:bottom w:val="single" w:color="000000" w:sz="6" w:space="0"/>
              <w:right w:val="single" w:color="000000" w:sz="6" w:space="0"/>
            </w:tcBorders>
            <w:vAlign w:val="center"/>
          </w:tcPr>
          <w:p w14:paraId="6A15549C">
            <w:pPr>
              <w:spacing w:line="360" w:lineRule="exact"/>
              <w:jc w:val="center"/>
              <w:rPr>
                <w:rFonts w:ascii="宋体" w:hAnsi="宋体" w:eastAsia="宋体" w:cs="宋体"/>
                <w:szCs w:val="21"/>
              </w:rPr>
            </w:pPr>
            <w:r>
              <w:rPr>
                <w:rFonts w:hint="eastAsia" w:ascii="宋体" w:hAnsi="宋体" w:eastAsia="宋体" w:cs="宋体"/>
                <w:szCs w:val="21"/>
              </w:rPr>
              <w:t>投标人提出问题的截止时间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71C492C9">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（投标人对招标文件要求澄清的，应在递交投标文件截止之日3天前（以收到日期为准）提出，对招标文件有异议的，应当在投标截止时间3日前（以收到日期为准）提出。）</w:t>
            </w:r>
          </w:p>
        </w:tc>
      </w:tr>
      <w:tr w14:paraId="1D990E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2AB1D2A">
            <w:pPr>
              <w:spacing w:line="360" w:lineRule="exact"/>
              <w:jc w:val="center"/>
              <w:rPr>
                <w:rFonts w:ascii="宋体" w:hAnsi="宋体" w:eastAsia="宋体" w:cs="宋体"/>
                <w:szCs w:val="21"/>
              </w:rPr>
            </w:pPr>
            <w:r>
              <w:rPr>
                <w:rFonts w:hint="eastAsia" w:ascii="宋体" w:hAnsi="宋体" w:eastAsia="宋体" w:cs="宋体"/>
                <w:szCs w:val="21"/>
              </w:rPr>
              <w:t>1.10.3</w:t>
            </w:r>
          </w:p>
        </w:tc>
        <w:tc>
          <w:tcPr>
            <w:tcW w:w="2705" w:type="dxa"/>
            <w:tcBorders>
              <w:top w:val="single" w:color="000000" w:sz="6" w:space="0"/>
              <w:left w:val="single" w:color="000000" w:sz="6" w:space="0"/>
              <w:bottom w:val="single" w:color="000000" w:sz="6" w:space="0"/>
              <w:right w:val="single" w:color="000000" w:sz="6" w:space="0"/>
            </w:tcBorders>
            <w:vAlign w:val="center"/>
          </w:tcPr>
          <w:p w14:paraId="29102788">
            <w:pPr>
              <w:spacing w:line="360" w:lineRule="exact"/>
              <w:jc w:val="center"/>
              <w:rPr>
                <w:rFonts w:ascii="宋体" w:hAnsi="宋体" w:eastAsia="宋体" w:cs="宋体"/>
                <w:szCs w:val="21"/>
              </w:rPr>
            </w:pPr>
            <w:r>
              <w:rPr>
                <w:rFonts w:hint="eastAsia" w:ascii="宋体" w:hAnsi="宋体" w:eastAsia="宋体" w:cs="宋体"/>
                <w:szCs w:val="21"/>
              </w:rPr>
              <w:t>发包人书面澄清的时间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0200597E">
            <w:pPr>
              <w:spacing w:line="360" w:lineRule="exact"/>
              <w:ind w:left="141" w:leftChars="67"/>
              <w:rPr>
                <w:rFonts w:ascii="宋体" w:hAnsi="宋体" w:eastAsia="宋体" w:cs="宋体"/>
                <w:szCs w:val="21"/>
              </w:rPr>
            </w:pPr>
            <w:r>
              <w:rPr>
                <w:rFonts w:hint="eastAsia" w:ascii="宋体" w:hAnsi="宋体" w:eastAsia="宋体" w:cs="宋体"/>
                <w:szCs w:val="21"/>
              </w:rPr>
              <w:t>递交投标文件截止时间前（以发出日期为准）</w:t>
            </w:r>
          </w:p>
        </w:tc>
      </w:tr>
      <w:tr w14:paraId="25ED1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1D9A175">
            <w:pPr>
              <w:spacing w:line="360" w:lineRule="exact"/>
              <w:jc w:val="center"/>
              <w:rPr>
                <w:rFonts w:ascii="宋体" w:hAnsi="宋体" w:eastAsia="宋体" w:cs="宋体"/>
                <w:szCs w:val="21"/>
              </w:rPr>
            </w:pPr>
            <w:r>
              <w:rPr>
                <w:rFonts w:hint="eastAsia" w:ascii="宋体" w:hAnsi="宋体" w:eastAsia="宋体" w:cs="宋体"/>
                <w:szCs w:val="21"/>
              </w:rPr>
              <w:t>1.11</w:t>
            </w:r>
          </w:p>
        </w:tc>
        <w:tc>
          <w:tcPr>
            <w:tcW w:w="2705" w:type="dxa"/>
            <w:tcBorders>
              <w:top w:val="single" w:color="000000" w:sz="6" w:space="0"/>
              <w:left w:val="single" w:color="000000" w:sz="6" w:space="0"/>
              <w:bottom w:val="single" w:color="000000" w:sz="6" w:space="0"/>
              <w:right w:val="single" w:color="000000" w:sz="6" w:space="0"/>
            </w:tcBorders>
            <w:vAlign w:val="center"/>
          </w:tcPr>
          <w:p w14:paraId="5734089A">
            <w:pPr>
              <w:spacing w:line="360" w:lineRule="exact"/>
              <w:jc w:val="center"/>
              <w:rPr>
                <w:rFonts w:ascii="宋体" w:hAnsi="宋体" w:eastAsia="宋体" w:cs="宋体"/>
                <w:szCs w:val="21"/>
              </w:rPr>
            </w:pPr>
            <w:r>
              <w:rPr>
                <w:rFonts w:hint="eastAsia" w:ascii="宋体" w:hAnsi="宋体" w:eastAsia="宋体" w:cs="宋体"/>
                <w:szCs w:val="21"/>
              </w:rPr>
              <w:t>分包</w:t>
            </w:r>
          </w:p>
        </w:tc>
        <w:tc>
          <w:tcPr>
            <w:tcW w:w="7028" w:type="dxa"/>
            <w:tcBorders>
              <w:top w:val="single" w:color="000000" w:sz="6" w:space="0"/>
              <w:left w:val="single" w:color="000000" w:sz="6" w:space="0"/>
              <w:bottom w:val="single" w:color="000000" w:sz="6" w:space="0"/>
              <w:right w:val="single" w:color="000000" w:sz="12" w:space="0"/>
            </w:tcBorders>
            <w:vAlign w:val="center"/>
          </w:tcPr>
          <w:p w14:paraId="7DB60A8A">
            <w:pPr>
              <w:spacing w:line="360" w:lineRule="exact"/>
              <w:ind w:left="149" w:leftChars="71"/>
              <w:rPr>
                <w:rFonts w:ascii="宋体" w:hAnsi="宋体" w:eastAsia="宋体" w:cs="宋体"/>
                <w:szCs w:val="21"/>
              </w:rPr>
            </w:pPr>
            <w:r>
              <w:rPr>
                <w:rFonts w:ascii="宋体" w:hAnsi="宋体" w:eastAsia="宋体" w:cs="宋体"/>
                <w:szCs w:val="21"/>
              </w:rPr>
              <w:sym w:font="Wingdings" w:char="F0FE"/>
            </w:r>
            <w:r>
              <w:rPr>
                <w:rFonts w:hint="eastAsia" w:ascii="宋体" w:hAnsi="宋体" w:eastAsia="宋体" w:cs="宋体"/>
                <w:szCs w:val="21"/>
              </w:rPr>
              <w:t>不允许</w:t>
            </w:r>
          </w:p>
          <w:p w14:paraId="15D034EF">
            <w:pPr>
              <w:spacing w:line="400" w:lineRule="exact"/>
              <w:ind w:left="149" w:leftChars="71"/>
              <w:rPr>
                <w:rFonts w:ascii="宋体" w:hAnsi="宋体" w:eastAsia="宋体" w:cs="宋体"/>
                <w:szCs w:val="21"/>
              </w:rPr>
            </w:pPr>
            <w:r>
              <w:rPr>
                <w:rFonts w:ascii="宋体" w:hAnsi="宋体" w:eastAsia="宋体" w:cs="宋体"/>
                <w:szCs w:val="21"/>
              </w:rPr>
              <w:sym w:font="Wingdings 2" w:char="F0A3"/>
            </w:r>
            <w:r>
              <w:rPr>
                <w:rFonts w:hint="eastAsia" w:ascii="宋体" w:hAnsi="宋体" w:eastAsia="宋体" w:cs="宋体"/>
                <w:szCs w:val="21"/>
              </w:rPr>
              <w:t>允许</w:t>
            </w:r>
          </w:p>
          <w:p w14:paraId="26BC68C9">
            <w:pPr>
              <w:spacing w:line="260" w:lineRule="exact"/>
              <w:ind w:left="149" w:leftChars="71" w:right="136" w:rightChars="65"/>
              <w:rPr>
                <w:rFonts w:ascii="宋体" w:hAnsi="宋体" w:eastAsia="宋体" w:cs="宋体"/>
                <w:szCs w:val="21"/>
              </w:rPr>
            </w:pPr>
            <w:r>
              <w:rPr>
                <w:rFonts w:hint="eastAsia" w:ascii="宋体" w:hAnsi="宋体" w:eastAsia="宋体" w:cs="宋体"/>
                <w:szCs w:val="21"/>
              </w:rPr>
              <w:t>投标人拟在中标后将中标项目的部分工作进行分包的，应符合以下规定：</w:t>
            </w:r>
          </w:p>
          <w:p w14:paraId="44582624">
            <w:pPr>
              <w:spacing w:line="360" w:lineRule="exact"/>
              <w:ind w:left="149" w:leftChars="71" w:right="136" w:rightChars="65"/>
              <w:rPr>
                <w:szCs w:val="21"/>
              </w:rPr>
            </w:pPr>
            <w:r>
              <w:rPr>
                <w:rFonts w:hint="eastAsia"/>
                <w:szCs w:val="21"/>
              </w:rPr>
              <w:t>分包应符合交通运输部《关于印发公路工程施工分包管理办法的通知》及浙江省交通运输厅《</w:t>
            </w:r>
            <w:r>
              <w:rPr>
                <w:rFonts w:hint="eastAsia" w:ascii="宋体" w:hAnsi="宋体" w:cs="宋体"/>
                <w:szCs w:val="21"/>
              </w:rPr>
              <w:t>浙江省公路水运工程施工分包管理办法（试行）</w:t>
            </w:r>
            <w:r>
              <w:rPr>
                <w:rFonts w:hint="eastAsia"/>
                <w:szCs w:val="21"/>
              </w:rPr>
              <w:t>》有关分包管理的规定。承包人应及时向分包人支付工程款。</w:t>
            </w:r>
          </w:p>
          <w:p w14:paraId="5805A78A">
            <w:pPr>
              <w:spacing w:line="360" w:lineRule="exact"/>
              <w:ind w:left="149" w:leftChars="71" w:right="136" w:rightChars="65"/>
              <w:rPr>
                <w:szCs w:val="21"/>
              </w:rPr>
            </w:pPr>
            <w:r>
              <w:rPr>
                <w:rFonts w:hint="eastAsia"/>
                <w:szCs w:val="21"/>
              </w:rPr>
              <w:t>分包的其他规定：</w:t>
            </w:r>
            <w:r>
              <w:rPr>
                <w:szCs w:val="21"/>
                <w:u w:val="single"/>
              </w:rPr>
              <w:t xml:space="preserve">          </w:t>
            </w:r>
            <w:r>
              <w:rPr>
                <w:rFonts w:hint="eastAsia"/>
                <w:szCs w:val="21"/>
                <w:u w:val="single"/>
              </w:rPr>
              <w:t>/</w:t>
            </w:r>
            <w:r>
              <w:rPr>
                <w:szCs w:val="21"/>
                <w:u w:val="single"/>
              </w:rPr>
              <w:t xml:space="preserve">              </w:t>
            </w:r>
          </w:p>
        </w:tc>
      </w:tr>
      <w:tr w14:paraId="150279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570720B">
            <w:pPr>
              <w:spacing w:line="360" w:lineRule="exact"/>
              <w:jc w:val="center"/>
              <w:rPr>
                <w:rFonts w:ascii="宋体" w:hAnsi="宋体" w:eastAsia="宋体" w:cs="宋体"/>
                <w:szCs w:val="21"/>
              </w:rPr>
            </w:pPr>
            <w:r>
              <w:rPr>
                <w:rFonts w:hint="eastAsia" w:ascii="宋体" w:hAnsi="宋体" w:eastAsia="宋体" w:cs="宋体"/>
                <w:szCs w:val="21"/>
              </w:rPr>
              <w:t>1.12</w:t>
            </w:r>
          </w:p>
        </w:tc>
        <w:tc>
          <w:tcPr>
            <w:tcW w:w="2705" w:type="dxa"/>
            <w:tcBorders>
              <w:top w:val="single" w:color="000000" w:sz="6" w:space="0"/>
              <w:left w:val="single" w:color="000000" w:sz="6" w:space="0"/>
              <w:bottom w:val="single" w:color="000000" w:sz="6" w:space="0"/>
              <w:right w:val="single" w:color="000000" w:sz="6" w:space="0"/>
            </w:tcBorders>
            <w:vAlign w:val="center"/>
          </w:tcPr>
          <w:p w14:paraId="56274355">
            <w:pPr>
              <w:spacing w:line="360" w:lineRule="exact"/>
              <w:jc w:val="center"/>
              <w:rPr>
                <w:rFonts w:ascii="宋体" w:hAnsi="宋体" w:eastAsia="宋体" w:cs="宋体"/>
                <w:szCs w:val="21"/>
              </w:rPr>
            </w:pPr>
            <w:r>
              <w:rPr>
                <w:rFonts w:hint="eastAsia" w:ascii="宋体" w:hAnsi="宋体" w:eastAsia="宋体" w:cs="宋体"/>
                <w:szCs w:val="21"/>
              </w:rPr>
              <w:t>偏离</w:t>
            </w:r>
          </w:p>
        </w:tc>
        <w:tc>
          <w:tcPr>
            <w:tcW w:w="7028" w:type="dxa"/>
            <w:tcBorders>
              <w:top w:val="single" w:color="000000" w:sz="6" w:space="0"/>
              <w:left w:val="single" w:color="000000" w:sz="6" w:space="0"/>
              <w:bottom w:val="single" w:color="000000" w:sz="6" w:space="0"/>
              <w:right w:val="single" w:color="000000" w:sz="12" w:space="0"/>
            </w:tcBorders>
            <w:vAlign w:val="center"/>
          </w:tcPr>
          <w:p w14:paraId="4FC54A1B">
            <w:pPr>
              <w:spacing w:line="360" w:lineRule="exact"/>
              <w:rPr>
                <w:rFonts w:ascii="宋体" w:hAnsi="宋体" w:eastAsia="宋体" w:cs="宋体"/>
                <w:szCs w:val="21"/>
              </w:rPr>
            </w:pPr>
            <w:r>
              <w:rPr>
                <w:rFonts w:hint="eastAsia" w:ascii="宋体" w:hAnsi="宋体" w:eastAsia="宋体" w:cs="宋体"/>
                <w:szCs w:val="21"/>
              </w:rPr>
              <w:t xml:space="preserve"> 允许细微偏差，不允许重大偏差</w:t>
            </w:r>
          </w:p>
        </w:tc>
      </w:tr>
      <w:tr w14:paraId="127D5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A090508">
            <w:pPr>
              <w:jc w:val="center"/>
              <w:rPr>
                <w:rFonts w:ascii="宋体" w:hAnsi="宋体" w:eastAsia="宋体" w:cs="宋体"/>
                <w:szCs w:val="21"/>
              </w:rPr>
            </w:pPr>
            <w:r>
              <w:rPr>
                <w:rFonts w:hint="eastAsia" w:ascii="宋体" w:hAnsi="宋体" w:eastAsia="宋体" w:cs="宋体"/>
                <w:szCs w:val="21"/>
              </w:rPr>
              <w:t>2.1</w:t>
            </w:r>
          </w:p>
        </w:tc>
        <w:tc>
          <w:tcPr>
            <w:tcW w:w="2705" w:type="dxa"/>
            <w:tcBorders>
              <w:top w:val="single" w:color="000000" w:sz="6" w:space="0"/>
              <w:left w:val="single" w:color="000000" w:sz="6" w:space="0"/>
              <w:bottom w:val="single" w:color="000000" w:sz="6" w:space="0"/>
              <w:right w:val="single" w:color="000000" w:sz="6" w:space="0"/>
            </w:tcBorders>
            <w:vAlign w:val="center"/>
          </w:tcPr>
          <w:p w14:paraId="117811C4">
            <w:pPr>
              <w:spacing w:line="360" w:lineRule="exact"/>
              <w:jc w:val="center"/>
              <w:rPr>
                <w:rFonts w:ascii="宋体" w:hAnsi="宋体" w:eastAsia="宋体" w:cs="宋体"/>
                <w:szCs w:val="21"/>
              </w:rPr>
            </w:pPr>
            <w:r>
              <w:rPr>
                <w:rFonts w:hint="eastAsia" w:ascii="宋体" w:hAnsi="宋体" w:eastAsia="宋体" w:cs="宋体"/>
                <w:szCs w:val="21"/>
              </w:rPr>
              <w:t>招标文件组成</w:t>
            </w:r>
          </w:p>
        </w:tc>
        <w:tc>
          <w:tcPr>
            <w:tcW w:w="7028" w:type="dxa"/>
            <w:tcBorders>
              <w:top w:val="single" w:color="000000" w:sz="6" w:space="0"/>
              <w:left w:val="single" w:color="000000" w:sz="6" w:space="0"/>
              <w:bottom w:val="single" w:color="000000" w:sz="6" w:space="0"/>
              <w:right w:val="single" w:color="000000" w:sz="12" w:space="0"/>
            </w:tcBorders>
            <w:vAlign w:val="center"/>
          </w:tcPr>
          <w:p w14:paraId="6133BEF4">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原文中“以最后发出的书面文件为准”修改为：“以网上下载电子版为准；当招标文件、补遗书（补充、澄清、修改文件）在同一内容的表述上不一致时，以在三门县公共资源交易中心网最后发出的电子文件为准”。</w:t>
            </w:r>
          </w:p>
        </w:tc>
      </w:tr>
      <w:tr w14:paraId="61EAAF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7D36AF0">
            <w:pPr>
              <w:jc w:val="center"/>
              <w:rPr>
                <w:rFonts w:ascii="宋体" w:hAnsi="宋体" w:eastAsia="宋体" w:cs="宋体"/>
                <w:szCs w:val="21"/>
              </w:rPr>
            </w:pPr>
            <w:r>
              <w:rPr>
                <w:rFonts w:hint="eastAsia" w:ascii="宋体" w:hAnsi="宋体" w:eastAsia="宋体" w:cs="宋体"/>
                <w:szCs w:val="21"/>
              </w:rPr>
              <w:t>2.2.</w:t>
            </w:r>
          </w:p>
        </w:tc>
        <w:tc>
          <w:tcPr>
            <w:tcW w:w="2705" w:type="dxa"/>
            <w:tcBorders>
              <w:top w:val="single" w:color="000000" w:sz="6" w:space="0"/>
              <w:left w:val="single" w:color="000000" w:sz="6" w:space="0"/>
              <w:bottom w:val="single" w:color="000000" w:sz="6" w:space="0"/>
              <w:right w:val="single" w:color="000000" w:sz="6" w:space="0"/>
            </w:tcBorders>
            <w:vAlign w:val="center"/>
          </w:tcPr>
          <w:p w14:paraId="0BF757C0">
            <w:pPr>
              <w:spacing w:line="360" w:lineRule="exact"/>
              <w:jc w:val="center"/>
              <w:rPr>
                <w:rFonts w:ascii="宋体" w:hAnsi="宋体" w:eastAsia="宋体" w:cs="宋体"/>
                <w:szCs w:val="21"/>
              </w:rPr>
            </w:pPr>
            <w:r>
              <w:rPr>
                <w:rFonts w:hint="eastAsia" w:ascii="宋体" w:hAnsi="宋体" w:eastAsia="宋体" w:cs="宋体"/>
                <w:szCs w:val="21"/>
              </w:rPr>
              <w:t>招标文件的澄清、补充、修改的时间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38C31595">
            <w:pPr>
              <w:spacing w:line="360" w:lineRule="exact"/>
              <w:ind w:left="141" w:leftChars="67" w:right="136" w:rightChars="65"/>
              <w:rPr>
                <w:rFonts w:ascii="宋体" w:hAnsi="宋体" w:eastAsia="宋体" w:cs="宋体"/>
                <w:szCs w:val="21"/>
              </w:rPr>
            </w:pPr>
            <w:r>
              <w:rPr>
                <w:rFonts w:hint="eastAsia" w:ascii="宋体" w:hAnsi="宋体" w:eastAsia="宋体" w:cs="宋体"/>
                <w:szCs w:val="21"/>
              </w:rPr>
              <w:t>澄清、补充、修改的内容影响投标文件编制的，招标人将在投标截止时间3 日前，以电子文件形式上传“三门县公共资源交易中心网”供潜在投标人自己下载，不足3 天的，招标人将顺延递交投标文件的截止时间。</w:t>
            </w:r>
          </w:p>
        </w:tc>
      </w:tr>
      <w:tr w14:paraId="0F066E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A7C37CB">
            <w:pPr>
              <w:spacing w:line="360" w:lineRule="exact"/>
              <w:jc w:val="center"/>
              <w:rPr>
                <w:rFonts w:ascii="宋体" w:hAnsi="宋体" w:eastAsia="宋体" w:cs="宋体"/>
                <w:szCs w:val="21"/>
              </w:rPr>
            </w:pPr>
            <w:r>
              <w:rPr>
                <w:rFonts w:hint="eastAsia" w:ascii="宋体" w:hAnsi="宋体" w:eastAsia="宋体" w:cs="宋体"/>
                <w:szCs w:val="21"/>
              </w:rPr>
              <w:t>2.2.2</w:t>
            </w:r>
          </w:p>
        </w:tc>
        <w:tc>
          <w:tcPr>
            <w:tcW w:w="2705" w:type="dxa"/>
            <w:tcBorders>
              <w:top w:val="single" w:color="000000" w:sz="6" w:space="0"/>
              <w:left w:val="single" w:color="000000" w:sz="6" w:space="0"/>
              <w:bottom w:val="single" w:color="000000" w:sz="6" w:space="0"/>
              <w:right w:val="single" w:color="000000" w:sz="6" w:space="0"/>
            </w:tcBorders>
            <w:vAlign w:val="center"/>
          </w:tcPr>
          <w:p w14:paraId="1EC70746">
            <w:pPr>
              <w:spacing w:line="360" w:lineRule="exact"/>
              <w:jc w:val="center"/>
              <w:rPr>
                <w:rFonts w:ascii="宋体" w:hAnsi="宋体" w:eastAsia="宋体" w:cs="宋体"/>
                <w:szCs w:val="21"/>
              </w:rPr>
            </w:pPr>
            <w:r>
              <w:rPr>
                <w:rFonts w:hint="eastAsia" w:ascii="宋体" w:hAnsi="宋体" w:eastAsia="宋体" w:cs="宋体"/>
                <w:szCs w:val="21"/>
              </w:rPr>
              <w:t>投标截止时间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522CF12D">
            <w:pPr>
              <w:spacing w:line="360" w:lineRule="exact"/>
              <w:ind w:left="97" w:leftChars="46"/>
              <w:rPr>
                <w:rFonts w:ascii="宋体" w:hAnsi="宋体" w:eastAsia="宋体" w:cs="宋体"/>
                <w:szCs w:val="21"/>
              </w:rPr>
            </w:pPr>
            <w:r>
              <w:rPr>
                <w:rFonts w:hint="eastAsia" w:ascii="宋体" w:hAnsi="宋体" w:eastAsia="宋体" w:cs="宋体"/>
                <w:szCs w:val="21"/>
              </w:rPr>
              <w:t>详见招标公告</w:t>
            </w:r>
          </w:p>
        </w:tc>
      </w:tr>
      <w:tr w14:paraId="5C791A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847" w:type="dxa"/>
            <w:vMerge w:val="restart"/>
            <w:tcBorders>
              <w:top w:val="single" w:color="000000" w:sz="6" w:space="0"/>
              <w:left w:val="single" w:color="000000" w:sz="12" w:space="0"/>
              <w:bottom w:val="single" w:color="000000" w:sz="6" w:space="0"/>
              <w:right w:val="single" w:color="000000" w:sz="6" w:space="0"/>
            </w:tcBorders>
            <w:vAlign w:val="center"/>
          </w:tcPr>
          <w:p w14:paraId="1097DE21">
            <w:pPr>
              <w:spacing w:line="360" w:lineRule="exact"/>
              <w:jc w:val="center"/>
              <w:rPr>
                <w:rFonts w:ascii="宋体" w:hAnsi="宋体" w:eastAsia="宋体" w:cs="宋体"/>
                <w:szCs w:val="21"/>
              </w:rPr>
            </w:pPr>
            <w:r>
              <w:rPr>
                <w:rFonts w:hint="eastAsia" w:ascii="宋体" w:hAnsi="宋体" w:eastAsia="宋体" w:cs="宋体"/>
                <w:szCs w:val="21"/>
              </w:rPr>
              <w:t>2.3</w:t>
            </w:r>
          </w:p>
        </w:tc>
        <w:tc>
          <w:tcPr>
            <w:tcW w:w="2705" w:type="dxa"/>
            <w:tcBorders>
              <w:top w:val="single" w:color="000000" w:sz="6" w:space="0"/>
              <w:left w:val="single" w:color="000000" w:sz="6" w:space="0"/>
              <w:bottom w:val="single" w:color="000000" w:sz="6" w:space="0"/>
              <w:right w:val="single" w:color="000000" w:sz="6" w:space="0"/>
            </w:tcBorders>
            <w:vAlign w:val="center"/>
          </w:tcPr>
          <w:p w14:paraId="47C4E8FE">
            <w:pPr>
              <w:spacing w:line="360" w:lineRule="exact"/>
              <w:ind w:left="97" w:leftChars="46"/>
              <w:rPr>
                <w:rFonts w:ascii="宋体" w:hAnsi="宋体" w:eastAsia="宋体" w:cs="宋体"/>
                <w:szCs w:val="21"/>
              </w:rPr>
            </w:pPr>
            <w:r>
              <w:rPr>
                <w:rFonts w:hint="eastAsia" w:ascii="宋体" w:hAnsi="宋体" w:eastAsia="宋体" w:cs="宋体"/>
                <w:szCs w:val="21"/>
              </w:rPr>
              <w:t>下载澄清、修改、补充文件网址</w:t>
            </w:r>
          </w:p>
        </w:tc>
        <w:tc>
          <w:tcPr>
            <w:tcW w:w="7028" w:type="dxa"/>
            <w:tcBorders>
              <w:top w:val="single" w:color="000000" w:sz="6" w:space="0"/>
              <w:left w:val="single" w:color="000000" w:sz="6" w:space="0"/>
              <w:bottom w:val="single" w:color="000000" w:sz="6" w:space="0"/>
              <w:right w:val="single" w:color="000000" w:sz="12" w:space="0"/>
            </w:tcBorders>
            <w:vAlign w:val="center"/>
          </w:tcPr>
          <w:p w14:paraId="5126CA4D">
            <w:pPr>
              <w:wordWrap w:val="0"/>
              <w:spacing w:line="360" w:lineRule="exact"/>
              <w:ind w:left="97" w:leftChars="46" w:right="136" w:rightChars="65"/>
              <w:rPr>
                <w:rFonts w:ascii="宋体" w:hAnsi="宋体" w:eastAsia="宋体" w:cs="宋体"/>
                <w:szCs w:val="21"/>
              </w:rPr>
            </w:pPr>
            <w:r>
              <w:rPr>
                <w:rFonts w:hint="eastAsia" w:ascii="宋体" w:hAnsi="宋体" w:eastAsia="宋体" w:cs="宋体"/>
                <w:szCs w:val="21"/>
              </w:rPr>
              <w:t>三门县公共资源交易中心网 “网址</w:t>
            </w:r>
            <w:r>
              <w:rPr>
                <w:rFonts w:hint="eastAsia" w:ascii="宋体" w:hAnsi="宋体" w:eastAsia="宋体" w:cs="宋体"/>
                <w:szCs w:val="21"/>
                <w:lang w:eastAsia="zh-CN"/>
              </w:rPr>
              <w:t>http://www.sanmen.gov.cn/col/col1229610956/index.html</w:t>
            </w:r>
            <w:r>
              <w:rPr>
                <w:rFonts w:hint="eastAsia" w:ascii="宋体" w:hAnsi="宋体" w:eastAsia="宋体" w:cs="宋体"/>
                <w:szCs w:val="21"/>
              </w:rPr>
              <w:t>”上发布并供下载，</w:t>
            </w:r>
          </w:p>
        </w:tc>
      </w:tr>
      <w:tr w14:paraId="0880F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847" w:type="dxa"/>
            <w:vMerge w:val="continue"/>
            <w:tcBorders>
              <w:top w:val="single" w:color="000000" w:sz="6" w:space="0"/>
              <w:left w:val="single" w:color="000000" w:sz="12" w:space="0"/>
              <w:bottom w:val="single" w:color="000000" w:sz="6" w:space="0"/>
              <w:right w:val="single" w:color="000000" w:sz="6" w:space="0"/>
            </w:tcBorders>
            <w:vAlign w:val="center"/>
          </w:tcPr>
          <w:p w14:paraId="0121F096">
            <w:pPr>
              <w:widowControl/>
              <w:jc w:val="left"/>
              <w:rPr>
                <w:rFonts w:ascii="宋体" w:hAnsi="宋体" w:eastAsia="宋体" w:cs="宋体"/>
                <w:szCs w:val="21"/>
              </w:rPr>
            </w:pPr>
          </w:p>
        </w:tc>
        <w:tc>
          <w:tcPr>
            <w:tcW w:w="2705" w:type="dxa"/>
            <w:tcBorders>
              <w:top w:val="single" w:color="000000" w:sz="6" w:space="0"/>
              <w:left w:val="single" w:color="000000" w:sz="6" w:space="0"/>
              <w:bottom w:val="single" w:color="000000" w:sz="6" w:space="0"/>
              <w:right w:val="single" w:color="000000" w:sz="6" w:space="0"/>
            </w:tcBorders>
            <w:vAlign w:val="center"/>
          </w:tcPr>
          <w:p w14:paraId="47D5FA27">
            <w:pPr>
              <w:spacing w:line="360" w:lineRule="exact"/>
              <w:jc w:val="center"/>
              <w:rPr>
                <w:rFonts w:ascii="宋体" w:hAnsi="宋体" w:eastAsia="宋体" w:cs="宋体"/>
                <w:szCs w:val="21"/>
              </w:rPr>
            </w:pPr>
            <w:r>
              <w:rPr>
                <w:rFonts w:hint="eastAsia" w:ascii="宋体" w:hAnsi="宋体" w:eastAsia="宋体" w:cs="宋体"/>
                <w:szCs w:val="21"/>
              </w:rPr>
              <w:t>投标人确认收到招标文件澄清、修改的时间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343EF927">
            <w:pPr>
              <w:spacing w:line="360" w:lineRule="exact"/>
              <w:ind w:left="97" w:leftChars="46" w:right="136" w:rightChars="65"/>
              <w:rPr>
                <w:rFonts w:ascii="宋体" w:hAnsi="宋体" w:eastAsia="宋体" w:cs="宋体"/>
                <w:szCs w:val="21"/>
              </w:rPr>
            </w:pPr>
            <w:r>
              <w:rPr>
                <w:rFonts w:hint="eastAsia" w:ascii="宋体" w:hAnsi="宋体" w:eastAsia="宋体" w:cs="宋体"/>
                <w:szCs w:val="21"/>
              </w:rPr>
              <w:t>无需确认。潜在投标人应自行关注网站公告，招标人不再一一通知。投标人因自身贻误行为导致投标失败的，责任自负。</w:t>
            </w:r>
          </w:p>
        </w:tc>
      </w:tr>
      <w:tr w14:paraId="753E28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A712668">
            <w:pPr>
              <w:spacing w:line="360" w:lineRule="exact"/>
              <w:jc w:val="center"/>
              <w:rPr>
                <w:rFonts w:ascii="宋体" w:hAnsi="宋体" w:eastAsia="宋体" w:cs="宋体"/>
                <w:szCs w:val="21"/>
              </w:rPr>
            </w:pPr>
            <w:r>
              <w:rPr>
                <w:rFonts w:hint="eastAsia" w:ascii="宋体" w:hAnsi="宋体" w:eastAsia="宋体" w:cs="宋体"/>
                <w:szCs w:val="21"/>
              </w:rPr>
              <w:t>3.1.1</w:t>
            </w:r>
          </w:p>
        </w:tc>
        <w:tc>
          <w:tcPr>
            <w:tcW w:w="2705" w:type="dxa"/>
            <w:tcBorders>
              <w:top w:val="single" w:color="000000" w:sz="6" w:space="0"/>
              <w:left w:val="single" w:color="000000" w:sz="6" w:space="0"/>
              <w:bottom w:val="single" w:color="000000" w:sz="6" w:space="0"/>
              <w:right w:val="single" w:color="000000" w:sz="6" w:space="0"/>
            </w:tcBorders>
            <w:vAlign w:val="center"/>
          </w:tcPr>
          <w:p w14:paraId="3CA0010A">
            <w:pPr>
              <w:spacing w:line="360" w:lineRule="exact"/>
              <w:jc w:val="center"/>
              <w:rPr>
                <w:rFonts w:ascii="宋体" w:hAnsi="宋体" w:eastAsia="宋体" w:cs="宋体"/>
                <w:szCs w:val="21"/>
              </w:rPr>
            </w:pPr>
            <w:r>
              <w:rPr>
                <w:rFonts w:hint="eastAsia" w:ascii="宋体" w:hAnsi="宋体" w:eastAsia="宋体" w:cs="宋体"/>
                <w:szCs w:val="21"/>
              </w:rPr>
              <w:t>构成投标文件的其他材料</w:t>
            </w:r>
          </w:p>
        </w:tc>
        <w:tc>
          <w:tcPr>
            <w:tcW w:w="7028" w:type="dxa"/>
            <w:tcBorders>
              <w:top w:val="single" w:color="000000" w:sz="6" w:space="0"/>
              <w:left w:val="single" w:color="000000" w:sz="6" w:space="0"/>
              <w:bottom w:val="single" w:color="000000" w:sz="6" w:space="0"/>
              <w:right w:val="single" w:color="000000" w:sz="12" w:space="0"/>
            </w:tcBorders>
            <w:vAlign w:val="center"/>
          </w:tcPr>
          <w:p w14:paraId="4A435795">
            <w:pPr>
              <w:spacing w:line="360" w:lineRule="exact"/>
              <w:ind w:left="97" w:leftChars="46"/>
              <w:rPr>
                <w:rFonts w:ascii="宋体" w:hAnsi="宋体" w:eastAsia="宋体" w:cs="宋体"/>
                <w:szCs w:val="21"/>
              </w:rPr>
            </w:pPr>
            <w:r>
              <w:rPr>
                <w:rFonts w:hint="eastAsia" w:ascii="宋体" w:hAnsi="宋体" w:eastAsia="宋体" w:cs="宋体"/>
                <w:szCs w:val="21"/>
              </w:rPr>
              <w:t>无</w:t>
            </w:r>
          </w:p>
        </w:tc>
      </w:tr>
      <w:tr w14:paraId="5290B6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C37374E">
            <w:pPr>
              <w:spacing w:line="360" w:lineRule="exact"/>
              <w:jc w:val="center"/>
              <w:rPr>
                <w:rFonts w:ascii="宋体" w:hAnsi="宋体" w:eastAsia="宋体" w:cs="宋体"/>
                <w:szCs w:val="21"/>
              </w:rPr>
            </w:pPr>
            <w:r>
              <w:rPr>
                <w:rFonts w:hint="eastAsia" w:ascii="宋体" w:hAnsi="宋体" w:eastAsia="宋体" w:cs="宋体"/>
                <w:szCs w:val="21"/>
              </w:rPr>
              <w:t>3.2.1</w:t>
            </w:r>
          </w:p>
        </w:tc>
        <w:tc>
          <w:tcPr>
            <w:tcW w:w="2705" w:type="dxa"/>
            <w:tcBorders>
              <w:top w:val="single" w:color="000000" w:sz="6" w:space="0"/>
              <w:left w:val="single" w:color="000000" w:sz="6" w:space="0"/>
              <w:bottom w:val="single" w:color="000000" w:sz="6" w:space="0"/>
              <w:right w:val="single" w:color="000000" w:sz="6" w:space="0"/>
            </w:tcBorders>
            <w:vAlign w:val="center"/>
          </w:tcPr>
          <w:p w14:paraId="4DB84B11">
            <w:pPr>
              <w:spacing w:line="360" w:lineRule="exact"/>
              <w:jc w:val="center"/>
              <w:rPr>
                <w:rFonts w:ascii="宋体" w:hAnsi="宋体" w:eastAsia="宋体" w:cs="宋体"/>
                <w:szCs w:val="21"/>
              </w:rPr>
            </w:pPr>
            <w:r>
              <w:rPr>
                <w:rFonts w:hint="eastAsia" w:ascii="宋体" w:hAnsi="宋体" w:eastAsia="宋体" w:cs="宋体"/>
                <w:szCs w:val="21"/>
              </w:rPr>
              <w:t>工程量清单的填写方式</w:t>
            </w:r>
          </w:p>
        </w:tc>
        <w:tc>
          <w:tcPr>
            <w:tcW w:w="7028" w:type="dxa"/>
            <w:tcBorders>
              <w:top w:val="single" w:color="000000" w:sz="6" w:space="0"/>
              <w:left w:val="single" w:color="000000" w:sz="6" w:space="0"/>
              <w:bottom w:val="single" w:color="000000" w:sz="6" w:space="0"/>
              <w:right w:val="single" w:color="000000" w:sz="12" w:space="0"/>
            </w:tcBorders>
            <w:vAlign w:val="center"/>
          </w:tcPr>
          <w:p w14:paraId="4318A1F8">
            <w:pPr>
              <w:spacing w:line="360" w:lineRule="exact"/>
              <w:ind w:left="97" w:leftChars="46"/>
              <w:rPr>
                <w:rFonts w:ascii="宋体" w:hAnsi="宋体" w:eastAsia="宋体" w:cs="宋体"/>
                <w:szCs w:val="21"/>
              </w:rPr>
            </w:pPr>
            <w:r>
              <w:rPr>
                <w:rFonts w:hint="eastAsia" w:ascii="宋体" w:hAnsi="宋体" w:eastAsia="宋体" w:cs="宋体"/>
                <w:szCs w:val="21"/>
              </w:rPr>
              <w:t>投标人按照有效报价范围内（10%～15%）填写投标报价。</w:t>
            </w:r>
          </w:p>
        </w:tc>
      </w:tr>
      <w:tr w14:paraId="490B83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A366A44">
            <w:pPr>
              <w:spacing w:line="360" w:lineRule="exact"/>
              <w:jc w:val="center"/>
              <w:rPr>
                <w:rFonts w:ascii="宋体" w:hAnsi="宋体" w:eastAsia="宋体" w:cs="宋体"/>
                <w:szCs w:val="21"/>
              </w:rPr>
            </w:pPr>
            <w:r>
              <w:rPr>
                <w:rFonts w:hint="eastAsia" w:ascii="宋体" w:hAnsi="宋体" w:eastAsia="宋体" w:cs="宋体"/>
                <w:szCs w:val="21"/>
              </w:rPr>
              <w:t>3.2.5</w:t>
            </w:r>
          </w:p>
        </w:tc>
        <w:tc>
          <w:tcPr>
            <w:tcW w:w="2705" w:type="dxa"/>
            <w:tcBorders>
              <w:top w:val="single" w:color="000000" w:sz="6" w:space="0"/>
              <w:left w:val="single" w:color="000000" w:sz="6" w:space="0"/>
              <w:bottom w:val="single" w:color="000000" w:sz="6" w:space="0"/>
              <w:right w:val="single" w:color="000000" w:sz="6" w:space="0"/>
            </w:tcBorders>
            <w:vAlign w:val="center"/>
          </w:tcPr>
          <w:p w14:paraId="79F02AA6">
            <w:pPr>
              <w:spacing w:line="360" w:lineRule="exact"/>
              <w:jc w:val="center"/>
              <w:rPr>
                <w:rFonts w:ascii="宋体" w:hAnsi="宋体" w:eastAsia="宋体" w:cs="宋体"/>
                <w:szCs w:val="21"/>
              </w:rPr>
            </w:pPr>
            <w:r>
              <w:rPr>
                <w:rFonts w:hint="eastAsia" w:ascii="宋体" w:hAnsi="宋体" w:eastAsia="宋体" w:cs="宋体"/>
                <w:szCs w:val="21"/>
              </w:rPr>
              <w:t>是否接受调价函</w:t>
            </w:r>
          </w:p>
        </w:tc>
        <w:tc>
          <w:tcPr>
            <w:tcW w:w="7028" w:type="dxa"/>
            <w:tcBorders>
              <w:top w:val="single" w:color="000000" w:sz="6" w:space="0"/>
              <w:left w:val="single" w:color="000000" w:sz="6" w:space="0"/>
              <w:bottom w:val="single" w:color="000000" w:sz="6" w:space="0"/>
              <w:right w:val="single" w:color="000000" w:sz="12" w:space="0"/>
            </w:tcBorders>
            <w:vAlign w:val="center"/>
          </w:tcPr>
          <w:p w14:paraId="511A7943">
            <w:pPr>
              <w:spacing w:line="360" w:lineRule="exact"/>
              <w:ind w:left="97" w:leftChars="46"/>
              <w:rPr>
                <w:rFonts w:ascii="宋体" w:hAnsi="宋体" w:eastAsia="宋体" w:cs="宋体"/>
                <w:szCs w:val="21"/>
              </w:rPr>
            </w:pPr>
            <w:r>
              <w:rPr>
                <w:rFonts w:hint="eastAsia" w:ascii="宋体" w:hAnsi="宋体" w:eastAsia="宋体" w:cs="宋体"/>
                <w:szCs w:val="21"/>
              </w:rPr>
              <w:t>不接受</w:t>
            </w:r>
          </w:p>
        </w:tc>
      </w:tr>
      <w:tr w14:paraId="358E09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C435119">
            <w:pPr>
              <w:spacing w:line="360" w:lineRule="exact"/>
              <w:jc w:val="center"/>
              <w:rPr>
                <w:rFonts w:ascii="宋体" w:hAnsi="宋体" w:eastAsia="宋体" w:cs="宋体"/>
                <w:szCs w:val="21"/>
              </w:rPr>
            </w:pPr>
            <w:r>
              <w:rPr>
                <w:rFonts w:hint="eastAsia" w:ascii="宋体" w:hAnsi="宋体" w:eastAsia="宋体" w:cs="宋体"/>
                <w:szCs w:val="21"/>
              </w:rPr>
              <w:t>3.3.1</w:t>
            </w:r>
          </w:p>
        </w:tc>
        <w:tc>
          <w:tcPr>
            <w:tcW w:w="2705" w:type="dxa"/>
            <w:tcBorders>
              <w:top w:val="single" w:color="000000" w:sz="6" w:space="0"/>
              <w:left w:val="single" w:color="000000" w:sz="6" w:space="0"/>
              <w:bottom w:val="single" w:color="000000" w:sz="6" w:space="0"/>
              <w:right w:val="single" w:color="000000" w:sz="6" w:space="0"/>
            </w:tcBorders>
            <w:vAlign w:val="center"/>
          </w:tcPr>
          <w:p w14:paraId="6D52AD55">
            <w:pPr>
              <w:spacing w:line="360" w:lineRule="exact"/>
              <w:jc w:val="center"/>
              <w:rPr>
                <w:rFonts w:ascii="宋体" w:hAnsi="宋体" w:eastAsia="宋体" w:cs="宋体"/>
                <w:szCs w:val="21"/>
              </w:rPr>
            </w:pPr>
            <w:r>
              <w:rPr>
                <w:rFonts w:hint="eastAsia" w:ascii="宋体" w:hAnsi="宋体" w:eastAsia="宋体" w:cs="宋体"/>
                <w:szCs w:val="21"/>
              </w:rPr>
              <w:t>投标有效期</w:t>
            </w:r>
          </w:p>
        </w:tc>
        <w:tc>
          <w:tcPr>
            <w:tcW w:w="7028" w:type="dxa"/>
            <w:tcBorders>
              <w:top w:val="single" w:color="000000" w:sz="6" w:space="0"/>
              <w:left w:val="single" w:color="000000" w:sz="6" w:space="0"/>
              <w:bottom w:val="single" w:color="000000" w:sz="6" w:space="0"/>
              <w:right w:val="single" w:color="000000" w:sz="12" w:space="0"/>
            </w:tcBorders>
            <w:vAlign w:val="center"/>
          </w:tcPr>
          <w:p w14:paraId="01DEEF3B">
            <w:pPr>
              <w:spacing w:line="360" w:lineRule="exact"/>
              <w:ind w:left="97" w:leftChars="46"/>
              <w:rPr>
                <w:rFonts w:ascii="宋体" w:hAnsi="宋体" w:eastAsia="宋体" w:cs="宋体"/>
                <w:szCs w:val="21"/>
              </w:rPr>
            </w:pPr>
            <w:r>
              <w:rPr>
                <w:rFonts w:hint="eastAsia" w:ascii="宋体" w:hAnsi="宋体" w:eastAsia="宋体" w:cs="宋体"/>
                <w:szCs w:val="21"/>
              </w:rPr>
              <w:t>自投标人提交投标文件截止之日起计算90天</w:t>
            </w:r>
          </w:p>
        </w:tc>
      </w:tr>
      <w:tr w14:paraId="1B2D30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53B9770">
            <w:pPr>
              <w:spacing w:line="360" w:lineRule="exact"/>
              <w:jc w:val="center"/>
              <w:rPr>
                <w:rFonts w:ascii="宋体" w:hAnsi="宋体" w:eastAsia="宋体" w:cs="宋体"/>
                <w:szCs w:val="21"/>
              </w:rPr>
            </w:pPr>
            <w:r>
              <w:rPr>
                <w:rFonts w:hint="eastAsia" w:ascii="宋体" w:hAnsi="宋体" w:eastAsia="宋体" w:cs="宋体"/>
                <w:szCs w:val="21"/>
              </w:rPr>
              <w:t>3.4.1</w:t>
            </w:r>
          </w:p>
        </w:tc>
        <w:tc>
          <w:tcPr>
            <w:tcW w:w="2705" w:type="dxa"/>
            <w:tcBorders>
              <w:top w:val="single" w:color="000000" w:sz="6" w:space="0"/>
              <w:left w:val="single" w:color="000000" w:sz="6" w:space="0"/>
              <w:bottom w:val="single" w:color="000000" w:sz="6" w:space="0"/>
              <w:right w:val="single" w:color="000000" w:sz="6" w:space="0"/>
            </w:tcBorders>
            <w:vAlign w:val="center"/>
          </w:tcPr>
          <w:p w14:paraId="7CA8C945">
            <w:pPr>
              <w:spacing w:line="360" w:lineRule="exact"/>
              <w:jc w:val="center"/>
              <w:rPr>
                <w:rFonts w:ascii="宋体" w:hAnsi="宋体" w:eastAsia="宋体" w:cs="宋体"/>
                <w:szCs w:val="21"/>
              </w:rPr>
            </w:pPr>
            <w:r>
              <w:rPr>
                <w:rFonts w:hint="eastAsia" w:ascii="宋体" w:hAnsi="宋体" w:eastAsia="宋体" w:cs="宋体"/>
                <w:szCs w:val="21"/>
              </w:rPr>
              <w:t>投标保证金</w:t>
            </w:r>
          </w:p>
        </w:tc>
        <w:tc>
          <w:tcPr>
            <w:tcW w:w="7028" w:type="dxa"/>
            <w:tcBorders>
              <w:top w:val="single" w:color="000000" w:sz="6" w:space="0"/>
              <w:left w:val="single" w:color="000000" w:sz="6" w:space="0"/>
              <w:bottom w:val="single" w:color="000000" w:sz="6" w:space="0"/>
              <w:right w:val="single" w:color="000000" w:sz="12" w:space="0"/>
            </w:tcBorders>
            <w:vAlign w:val="center"/>
          </w:tcPr>
          <w:p w14:paraId="2F080994">
            <w:pPr>
              <w:ind w:left="94" w:leftChars="45"/>
              <w:rPr>
                <w:rFonts w:ascii="宋体" w:hAnsi="宋体" w:eastAsia="宋体"/>
                <w:szCs w:val="21"/>
              </w:rPr>
            </w:pPr>
            <w:r>
              <w:rPr>
                <w:rFonts w:hint="eastAsia" w:ascii="宋体" w:hAnsi="宋体" w:eastAsia="宋体"/>
                <w:szCs w:val="21"/>
              </w:rPr>
              <w:t>投标保证金金额</w:t>
            </w:r>
            <w:r>
              <w:rPr>
                <w:rFonts w:hint="eastAsia" w:ascii="宋体" w:hAnsi="宋体" w:eastAsia="宋体"/>
                <w:color w:val="000000"/>
                <w:szCs w:val="21"/>
              </w:rPr>
              <w:t>：人民币</w:t>
            </w:r>
            <w:r>
              <w:rPr>
                <w:rFonts w:ascii="宋体" w:hAnsi="宋体" w:eastAsia="宋体"/>
                <w:color w:val="000000"/>
                <w:szCs w:val="21"/>
                <w:u w:val="single"/>
              </w:rPr>
              <w:t>10000</w:t>
            </w:r>
            <w:r>
              <w:rPr>
                <w:rFonts w:hint="eastAsia" w:ascii="宋体" w:hAnsi="宋体" w:eastAsia="宋体"/>
                <w:color w:val="000000"/>
                <w:szCs w:val="21"/>
                <w:u w:val="single"/>
              </w:rPr>
              <w:t>元</w:t>
            </w:r>
            <w:r>
              <w:rPr>
                <w:rFonts w:hint="eastAsia" w:ascii="宋体" w:hAnsi="宋体" w:eastAsia="宋体"/>
                <w:color w:val="000000"/>
                <w:szCs w:val="21"/>
              </w:rPr>
              <w:t>（大写：</w:t>
            </w:r>
            <w:r>
              <w:rPr>
                <w:rFonts w:hint="eastAsia" w:ascii="宋体" w:hAnsi="宋体" w:eastAsia="宋体"/>
                <w:bCs/>
                <w:color w:val="000000"/>
                <w:szCs w:val="21"/>
                <w:u w:val="single"/>
              </w:rPr>
              <w:t>壹万</w:t>
            </w:r>
            <w:r>
              <w:rPr>
                <w:rFonts w:ascii="宋体" w:hAnsi="宋体" w:eastAsia="宋体"/>
                <w:bCs/>
                <w:color w:val="000000"/>
                <w:szCs w:val="21"/>
                <w:u w:val="single"/>
              </w:rPr>
              <w:t>元</w:t>
            </w:r>
            <w:r>
              <w:rPr>
                <w:rFonts w:hint="eastAsia" w:ascii="宋体" w:hAnsi="宋体" w:eastAsia="宋体"/>
                <w:color w:val="000000"/>
                <w:szCs w:val="21"/>
              </w:rPr>
              <w:t>整）</w:t>
            </w:r>
            <w:r>
              <w:rPr>
                <w:rFonts w:hint="eastAsia" w:ascii="宋体" w:hAnsi="宋体" w:eastAsia="宋体"/>
                <w:szCs w:val="21"/>
              </w:rPr>
              <w:t>；</w:t>
            </w:r>
          </w:p>
          <w:p w14:paraId="4E49C275">
            <w:pPr>
              <w:ind w:left="94" w:leftChars="45"/>
            </w:pPr>
            <w:r>
              <w:rPr>
                <w:rFonts w:hint="eastAsia" w:ascii="宋体" w:hAnsi="宋体" w:eastAsia="宋体"/>
                <w:szCs w:val="21"/>
              </w:rPr>
              <w:t>提交投标保证金形式：现金，（保证金装入档案袋密封并标示出单位名称）。</w:t>
            </w:r>
          </w:p>
        </w:tc>
      </w:tr>
      <w:tr w14:paraId="1CD80E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473962D">
            <w:pPr>
              <w:spacing w:line="360" w:lineRule="exact"/>
              <w:jc w:val="center"/>
              <w:rPr>
                <w:color w:val="000000"/>
                <w:szCs w:val="21"/>
              </w:rPr>
            </w:pPr>
            <w:r>
              <w:rPr>
                <w:rFonts w:hint="eastAsia"/>
                <w:color w:val="000000"/>
                <w:szCs w:val="21"/>
              </w:rPr>
              <w:t>3.5</w:t>
            </w:r>
          </w:p>
        </w:tc>
        <w:tc>
          <w:tcPr>
            <w:tcW w:w="2705" w:type="dxa"/>
            <w:tcBorders>
              <w:top w:val="single" w:color="000000" w:sz="6" w:space="0"/>
              <w:left w:val="single" w:color="000000" w:sz="6" w:space="0"/>
              <w:bottom w:val="single" w:color="000000" w:sz="6" w:space="0"/>
              <w:right w:val="single" w:color="000000" w:sz="6" w:space="0"/>
            </w:tcBorders>
            <w:vAlign w:val="center"/>
          </w:tcPr>
          <w:p w14:paraId="2B7A3457">
            <w:pPr>
              <w:spacing w:line="360" w:lineRule="exact"/>
              <w:jc w:val="center"/>
              <w:rPr>
                <w:color w:val="000000"/>
                <w:szCs w:val="21"/>
              </w:rPr>
            </w:pPr>
            <w:r>
              <w:rPr>
                <w:rFonts w:hint="eastAsia"/>
                <w:color w:val="000000"/>
                <w:szCs w:val="21"/>
              </w:rPr>
              <w:t>资格审查资料的特殊要求</w:t>
            </w:r>
          </w:p>
        </w:tc>
        <w:tc>
          <w:tcPr>
            <w:tcW w:w="7028" w:type="dxa"/>
            <w:tcBorders>
              <w:top w:val="single" w:color="000000" w:sz="6" w:space="0"/>
              <w:left w:val="single" w:color="000000" w:sz="6" w:space="0"/>
              <w:bottom w:val="single" w:color="000000" w:sz="6" w:space="0"/>
              <w:right w:val="single" w:color="000000" w:sz="12" w:space="0"/>
            </w:tcBorders>
            <w:vAlign w:val="center"/>
          </w:tcPr>
          <w:p w14:paraId="2F4346F5">
            <w:pPr>
              <w:spacing w:line="260" w:lineRule="exact"/>
              <w:ind w:left="141" w:leftChars="67"/>
              <w:rPr>
                <w:color w:val="000000"/>
                <w:szCs w:val="21"/>
              </w:rPr>
            </w:pPr>
            <w:r>
              <w:rPr>
                <w:rFonts w:hint="eastAsia"/>
              </w:rPr>
              <w:t>无</w:t>
            </w:r>
          </w:p>
        </w:tc>
      </w:tr>
      <w:tr w14:paraId="2CD621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F196F9E">
            <w:pPr>
              <w:spacing w:line="360" w:lineRule="exact"/>
              <w:jc w:val="center"/>
              <w:rPr>
                <w:color w:val="000000"/>
                <w:szCs w:val="21"/>
              </w:rPr>
            </w:pPr>
            <w:r>
              <w:rPr>
                <w:rFonts w:hint="eastAsia"/>
                <w:color w:val="000000"/>
                <w:szCs w:val="21"/>
              </w:rPr>
              <w:t>3.5.1</w:t>
            </w:r>
          </w:p>
        </w:tc>
        <w:tc>
          <w:tcPr>
            <w:tcW w:w="2705" w:type="dxa"/>
            <w:tcBorders>
              <w:top w:val="single" w:color="000000" w:sz="6" w:space="0"/>
              <w:left w:val="single" w:color="000000" w:sz="6" w:space="0"/>
              <w:bottom w:val="single" w:color="000000" w:sz="6" w:space="0"/>
              <w:right w:val="single" w:color="000000" w:sz="6" w:space="0"/>
            </w:tcBorders>
            <w:vAlign w:val="center"/>
          </w:tcPr>
          <w:p w14:paraId="2C6CFDD5">
            <w:pPr>
              <w:spacing w:line="360" w:lineRule="exact"/>
              <w:jc w:val="center"/>
              <w:rPr>
                <w:color w:val="000000"/>
                <w:szCs w:val="21"/>
              </w:rPr>
            </w:pPr>
            <w:r>
              <w:rPr>
                <w:rFonts w:hint="eastAsia"/>
                <w:color w:val="000000"/>
                <w:szCs w:val="21"/>
              </w:rPr>
              <w:t>投标人基本情况表应附资料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14:paraId="75DA68D3">
            <w:pPr>
              <w:spacing w:line="260" w:lineRule="exact"/>
              <w:ind w:left="141" w:leftChars="67" w:right="136" w:rightChars="65" w:firstLine="8" w:firstLineChars="4"/>
            </w:pPr>
            <w:r>
              <w:rPr>
                <w:rFonts w:hint="eastAsia"/>
              </w:rPr>
              <w:t>“投标人基本情况表”应附：</w:t>
            </w:r>
          </w:p>
          <w:p w14:paraId="6622BFE9">
            <w:pPr>
              <w:spacing w:line="260" w:lineRule="exact"/>
              <w:ind w:left="141" w:leftChars="67" w:right="136" w:rightChars="65" w:firstLine="420" w:firstLineChars="200"/>
            </w:pPr>
            <w:r>
              <w:rPr>
                <w:rFonts w:hint="eastAsia"/>
              </w:rPr>
              <w:t>（1）企业法人营业执照副本复印件；</w:t>
            </w:r>
          </w:p>
          <w:p w14:paraId="1AD3403A">
            <w:pPr>
              <w:spacing w:line="260" w:lineRule="exact"/>
              <w:ind w:left="141" w:leftChars="67" w:right="136" w:rightChars="65" w:firstLine="420" w:firstLineChars="200"/>
            </w:pPr>
            <w:r>
              <w:rPr>
                <w:rFonts w:hint="eastAsia"/>
              </w:rPr>
              <w:t>（2）施工资质证书副本复印件；</w:t>
            </w:r>
          </w:p>
          <w:p w14:paraId="74EEED5F">
            <w:pPr>
              <w:spacing w:line="260" w:lineRule="exact"/>
              <w:ind w:left="141" w:leftChars="67" w:right="136" w:rightChars="65" w:firstLine="420" w:firstLineChars="200"/>
            </w:pPr>
            <w:r>
              <w:rPr>
                <w:rFonts w:hint="eastAsia"/>
              </w:rPr>
              <w:t>（3）基本账户开户许可证（或银行出具的基本账户存款证明或基本存款账户信息）的复印件；</w:t>
            </w:r>
          </w:p>
          <w:p w14:paraId="4CBACAC3">
            <w:pPr>
              <w:spacing w:line="260" w:lineRule="exact"/>
              <w:ind w:left="141" w:leftChars="67" w:right="136" w:rightChars="65" w:firstLine="420" w:firstLineChars="200"/>
            </w:pPr>
            <w:r>
              <w:rPr>
                <w:rFonts w:hint="eastAsia"/>
              </w:rPr>
              <w:t>（</w:t>
            </w:r>
            <w:r>
              <w:t>4</w:t>
            </w:r>
            <w:r>
              <w:rPr>
                <w:rFonts w:hint="eastAsia"/>
              </w:rPr>
              <w:t>）投标人在“国家企业信用信息公示系统”中基础信息（体现股东及出资详细信息）的网页截图或由法定的社会验资机构出具的验资报告或注册地市场监督部门出具的股东出资情况证明复印件。</w:t>
            </w:r>
          </w:p>
          <w:p w14:paraId="6089D192">
            <w:pPr>
              <w:spacing w:line="260" w:lineRule="exact"/>
              <w:ind w:left="141" w:leftChars="67" w:right="136" w:rightChars="65" w:firstLine="422" w:firstLineChars="200"/>
              <w:rPr>
                <w:color w:val="000000"/>
                <w:szCs w:val="21"/>
              </w:rPr>
            </w:pPr>
            <w:r>
              <w:rPr>
                <w:rFonts w:hint="eastAsia"/>
                <w:b/>
                <w:bCs/>
              </w:rPr>
              <w:t>企业法人营业执照副本、施工资质证书副本、基本账户开户许可证（或银行出具的基本账户存款证明或基本存款账户信息）的复印件应提供全本（证书封面、封底、空白页除外），应包括投标人名称、投标人其他相关信息、颁发机构名称、投标人信息变更情况等关键页在内，并逐页加盖单位公章。</w:t>
            </w:r>
          </w:p>
        </w:tc>
      </w:tr>
      <w:tr w14:paraId="4715A2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D3279BA">
            <w:pPr>
              <w:spacing w:line="360" w:lineRule="exact"/>
              <w:jc w:val="center"/>
              <w:rPr>
                <w:color w:val="000000"/>
                <w:szCs w:val="21"/>
              </w:rPr>
            </w:pPr>
            <w:r>
              <w:rPr>
                <w:color w:val="000000"/>
                <w:szCs w:val="21"/>
              </w:rPr>
              <w:t>3.5.2</w:t>
            </w:r>
          </w:p>
        </w:tc>
        <w:tc>
          <w:tcPr>
            <w:tcW w:w="2705" w:type="dxa"/>
            <w:tcBorders>
              <w:top w:val="single" w:color="000000" w:sz="6" w:space="0"/>
              <w:left w:val="single" w:color="000000" w:sz="6" w:space="0"/>
              <w:bottom w:val="single" w:color="000000" w:sz="6" w:space="0"/>
              <w:right w:val="single" w:color="000000" w:sz="6" w:space="0"/>
            </w:tcBorders>
            <w:vAlign w:val="center"/>
          </w:tcPr>
          <w:p w14:paraId="1C4EC2D5">
            <w:pPr>
              <w:spacing w:line="360" w:lineRule="exact"/>
              <w:jc w:val="center"/>
              <w:rPr>
                <w:color w:val="000000"/>
                <w:szCs w:val="21"/>
              </w:rPr>
            </w:pPr>
            <w:r>
              <w:rPr>
                <w:rFonts w:hint="eastAsia"/>
                <w:color w:val="000000"/>
                <w:szCs w:val="21"/>
              </w:rPr>
              <w:t>财务状况表</w:t>
            </w:r>
          </w:p>
        </w:tc>
        <w:tc>
          <w:tcPr>
            <w:tcW w:w="7028" w:type="dxa"/>
            <w:tcBorders>
              <w:top w:val="single" w:color="000000" w:sz="6" w:space="0"/>
              <w:left w:val="single" w:color="000000" w:sz="6" w:space="0"/>
              <w:bottom w:val="single" w:color="000000" w:sz="6" w:space="0"/>
              <w:right w:val="single" w:color="000000" w:sz="12" w:space="0"/>
            </w:tcBorders>
            <w:vAlign w:val="center"/>
          </w:tcPr>
          <w:p w14:paraId="4BF7D23D">
            <w:pPr>
              <w:spacing w:line="260" w:lineRule="exact"/>
              <w:ind w:left="141" w:leftChars="67"/>
              <w:rPr>
                <w:color w:val="000000"/>
              </w:rPr>
            </w:pPr>
            <w:r>
              <w:rPr>
                <w:rFonts w:hint="eastAsia"/>
                <w:color w:val="000000"/>
                <w:szCs w:val="21"/>
              </w:rPr>
              <w:t>无须提供</w:t>
            </w:r>
          </w:p>
        </w:tc>
      </w:tr>
      <w:tr w14:paraId="43FD2B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1E5376E">
            <w:pPr>
              <w:spacing w:line="360" w:lineRule="exact"/>
              <w:jc w:val="center"/>
              <w:rPr>
                <w:color w:val="000000"/>
                <w:szCs w:val="21"/>
              </w:rPr>
            </w:pPr>
            <w:r>
              <w:rPr>
                <w:color w:val="000000"/>
                <w:szCs w:val="21"/>
              </w:rPr>
              <w:t>3.5.3</w:t>
            </w:r>
          </w:p>
        </w:tc>
        <w:tc>
          <w:tcPr>
            <w:tcW w:w="2705" w:type="dxa"/>
            <w:tcBorders>
              <w:top w:val="single" w:color="000000" w:sz="6" w:space="0"/>
              <w:left w:val="single" w:color="000000" w:sz="6" w:space="0"/>
              <w:bottom w:val="single" w:color="000000" w:sz="6" w:space="0"/>
              <w:right w:val="single" w:color="000000" w:sz="6" w:space="0"/>
            </w:tcBorders>
            <w:vAlign w:val="center"/>
          </w:tcPr>
          <w:p w14:paraId="157826EC">
            <w:pPr>
              <w:spacing w:line="240" w:lineRule="exact"/>
              <w:jc w:val="center"/>
              <w:rPr>
                <w:kern w:val="0"/>
                <w:szCs w:val="21"/>
              </w:rPr>
            </w:pPr>
            <w:r>
              <w:rPr>
                <w:color w:val="000000"/>
                <w:szCs w:val="21"/>
              </w:rPr>
              <w:t>近年完成的类似项目的年份要求及需附资料</w:t>
            </w:r>
          </w:p>
        </w:tc>
        <w:tc>
          <w:tcPr>
            <w:tcW w:w="7028" w:type="dxa"/>
            <w:tcBorders>
              <w:top w:val="single" w:color="000000" w:sz="6" w:space="0"/>
              <w:left w:val="single" w:color="000000" w:sz="6" w:space="0"/>
              <w:bottom w:val="single" w:color="000000" w:sz="6" w:space="0"/>
              <w:right w:val="single" w:color="000000" w:sz="12" w:space="0"/>
            </w:tcBorders>
            <w:vAlign w:val="center"/>
          </w:tcPr>
          <w:p w14:paraId="2D085B70">
            <w:pPr>
              <w:spacing w:line="260" w:lineRule="exact"/>
              <w:ind w:left="141" w:leftChars="67"/>
              <w:rPr>
                <w:kern w:val="0"/>
                <w:szCs w:val="21"/>
                <w:u w:val="single"/>
              </w:rPr>
            </w:pPr>
            <w:r>
              <w:rPr>
                <w:rFonts w:hint="eastAsia"/>
                <w:color w:val="000000"/>
                <w:szCs w:val="21"/>
              </w:rPr>
              <w:t>无须提供</w:t>
            </w:r>
          </w:p>
        </w:tc>
      </w:tr>
      <w:tr w14:paraId="5532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92"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63556D7">
            <w:pPr>
              <w:spacing w:line="360" w:lineRule="exact"/>
              <w:jc w:val="center"/>
              <w:rPr>
                <w:color w:val="000000"/>
                <w:szCs w:val="21"/>
              </w:rPr>
            </w:pPr>
            <w:r>
              <w:rPr>
                <w:color w:val="000000"/>
                <w:szCs w:val="21"/>
              </w:rPr>
              <w:t>3.5.5</w:t>
            </w:r>
          </w:p>
        </w:tc>
        <w:tc>
          <w:tcPr>
            <w:tcW w:w="2705" w:type="dxa"/>
            <w:tcBorders>
              <w:top w:val="single" w:color="000000" w:sz="6" w:space="0"/>
              <w:left w:val="single" w:color="000000" w:sz="6" w:space="0"/>
              <w:bottom w:val="single" w:color="000000" w:sz="6" w:space="0"/>
              <w:right w:val="single" w:color="000000" w:sz="6" w:space="0"/>
            </w:tcBorders>
            <w:vAlign w:val="center"/>
          </w:tcPr>
          <w:p w14:paraId="413290CC">
            <w:pPr>
              <w:spacing w:line="240" w:lineRule="exact"/>
              <w:jc w:val="center"/>
              <w:rPr>
                <w:kern w:val="0"/>
                <w:szCs w:val="21"/>
              </w:rPr>
            </w:pPr>
            <w:r>
              <w:rPr>
                <w:color w:val="000000"/>
                <w:szCs w:val="21"/>
              </w:rPr>
              <w:t>拟委任的项目经理、项目技术负责人和安全负责人资历表应附资料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14:paraId="11E1BEE6">
            <w:pPr>
              <w:spacing w:line="260" w:lineRule="exact"/>
              <w:ind w:left="141" w:leftChars="67" w:right="136" w:rightChars="65" w:firstLine="420" w:firstLineChars="200"/>
            </w:pPr>
            <w:r>
              <w:rPr>
                <w:rFonts w:hint="eastAsia"/>
              </w:rPr>
              <w:t>“拟委任的项目经理、项目技术负责人和安全负责人资历表”应附以下资料：</w:t>
            </w:r>
          </w:p>
          <w:p w14:paraId="04D7E078">
            <w:pPr>
              <w:numPr>
                <w:ilvl w:val="0"/>
                <w:numId w:val="10"/>
              </w:numPr>
              <w:spacing w:line="260" w:lineRule="exact"/>
              <w:ind w:left="141" w:leftChars="67" w:right="136" w:rightChars="65" w:firstLine="420" w:firstLineChars="200"/>
              <w:rPr>
                <w:rFonts w:hint="eastAsia"/>
              </w:rPr>
            </w:pPr>
            <w:r>
              <w:rPr>
                <w:rFonts w:hint="eastAsia"/>
              </w:rPr>
              <w:t>项目经理：身份证、有效期内的安全生产考核合格证书(B类) 、建造师注册证书；</w:t>
            </w:r>
          </w:p>
          <w:p w14:paraId="6CD0BD5C">
            <w:pPr>
              <w:numPr>
                <w:ilvl w:val="0"/>
                <w:numId w:val="10"/>
              </w:numPr>
              <w:spacing w:line="260" w:lineRule="exact"/>
              <w:ind w:left="141" w:leftChars="67" w:right="136" w:rightChars="65" w:firstLine="420" w:firstLineChars="200"/>
            </w:pPr>
            <w:r>
              <w:rPr>
                <w:rFonts w:hint="eastAsia"/>
              </w:rPr>
              <w:t>项目技术负责人：身份证、职称资格证书、有效期内的安全生产考核合格证书(B类) ；</w:t>
            </w:r>
          </w:p>
          <w:p w14:paraId="6E6FE799">
            <w:pPr>
              <w:numPr>
                <w:ilvl w:val="0"/>
                <w:numId w:val="10"/>
              </w:numPr>
              <w:spacing w:line="260" w:lineRule="exact"/>
              <w:ind w:left="141" w:leftChars="67" w:right="136" w:rightChars="65" w:firstLine="420" w:firstLineChars="200"/>
            </w:pPr>
            <w:r>
              <w:rPr>
                <w:rFonts w:hint="eastAsia"/>
              </w:rPr>
              <w:t>安全负责人：身份证、有效期内的安全生产考核合格证书(C类) 。</w:t>
            </w:r>
          </w:p>
          <w:p w14:paraId="498B708E">
            <w:pPr>
              <w:spacing w:line="260" w:lineRule="exact"/>
              <w:ind w:left="141" w:leftChars="67" w:right="136" w:rightChars="65" w:firstLine="422" w:firstLineChars="200"/>
              <w:rPr>
                <w:b/>
                <w:bCs/>
              </w:rPr>
            </w:pPr>
            <w:r>
              <w:rPr>
                <w:rFonts w:hint="eastAsia"/>
                <w:b/>
                <w:bCs/>
              </w:rPr>
              <w:t>身份证应提供正反双面复印件。</w:t>
            </w:r>
          </w:p>
          <w:p w14:paraId="47ABB0EC">
            <w:pPr>
              <w:spacing w:line="260" w:lineRule="exact"/>
              <w:ind w:left="141" w:leftChars="67" w:right="136" w:rightChars="65" w:firstLine="422" w:firstLineChars="200"/>
              <w:rPr>
                <w:b/>
                <w:bCs/>
              </w:rPr>
            </w:pPr>
            <w:r>
              <w:rPr>
                <w:rFonts w:hint="eastAsia"/>
                <w:b/>
                <w:bCs/>
              </w:rPr>
              <w:t>拟委任的项目经理的建造师注册证书、安全生产考核合格证书和项目技术负责人、安全负责人的安全生产考核合格证书上单位名称应与投标人名称一致。</w:t>
            </w:r>
          </w:p>
          <w:p w14:paraId="6FC39A40">
            <w:pPr>
              <w:spacing w:line="260" w:lineRule="exact"/>
              <w:ind w:left="141" w:leftChars="67" w:right="136" w:rightChars="65" w:firstLine="420" w:firstLineChars="200"/>
            </w:pPr>
            <w:r>
              <w:rPr>
                <w:rFonts w:hint="eastAsia"/>
              </w:rPr>
              <w:t>（</w:t>
            </w:r>
            <w:r>
              <w:rPr>
                <w:rFonts w:hint="eastAsia"/>
                <w:lang w:val="en-US" w:eastAsia="zh-CN"/>
              </w:rPr>
              <w:t>3</w:t>
            </w:r>
            <w:r>
              <w:rPr>
                <w:rFonts w:hint="eastAsia"/>
              </w:rPr>
              <w:t>）项目经理若曾在其他在建合同工程中担任项目经理但已进行更换的，应附项目发包人的同意更换证明材料，否则更换前后的项目经理均视为有“在建合同工程”。</w:t>
            </w:r>
          </w:p>
          <w:p w14:paraId="51ED6020">
            <w:pPr>
              <w:spacing w:line="260" w:lineRule="exact"/>
              <w:ind w:left="141" w:leftChars="67" w:right="136" w:rightChars="65" w:firstLine="422" w:firstLineChars="200"/>
              <w:rPr>
                <w:b/>
              </w:rPr>
            </w:pPr>
            <w:r>
              <w:rPr>
                <w:rFonts w:hint="eastAsia"/>
                <w:b/>
              </w:rPr>
              <w:t>备注：以上证书复印件加盖单位公章。</w:t>
            </w:r>
          </w:p>
        </w:tc>
      </w:tr>
      <w:tr w14:paraId="6CEEFF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873E4DD">
            <w:pPr>
              <w:spacing w:line="360" w:lineRule="exact"/>
              <w:jc w:val="center"/>
              <w:rPr>
                <w:color w:val="000000"/>
                <w:szCs w:val="21"/>
              </w:rPr>
            </w:pPr>
            <w:r>
              <w:rPr>
                <w:rFonts w:hint="eastAsia"/>
                <w:color w:val="000000"/>
                <w:szCs w:val="21"/>
              </w:rPr>
              <w:t>3.5.6</w:t>
            </w:r>
          </w:p>
        </w:tc>
        <w:tc>
          <w:tcPr>
            <w:tcW w:w="2705" w:type="dxa"/>
            <w:tcBorders>
              <w:top w:val="single" w:color="000000" w:sz="6" w:space="0"/>
              <w:left w:val="single" w:color="000000" w:sz="6" w:space="0"/>
              <w:bottom w:val="single" w:color="000000" w:sz="6" w:space="0"/>
              <w:right w:val="single" w:color="000000" w:sz="6" w:space="0"/>
            </w:tcBorders>
            <w:vAlign w:val="center"/>
          </w:tcPr>
          <w:p w14:paraId="648F5AC7">
            <w:pPr>
              <w:spacing w:line="240" w:lineRule="exact"/>
              <w:jc w:val="center"/>
              <w:rPr>
                <w:color w:val="000000"/>
                <w:szCs w:val="21"/>
              </w:rPr>
            </w:pPr>
            <w:r>
              <w:rPr>
                <w:color w:val="000000"/>
                <w:szCs w:val="21"/>
              </w:rPr>
              <w:t>拟委任的其他管理和技术人员资历表应附资料</w:t>
            </w:r>
          </w:p>
        </w:tc>
        <w:tc>
          <w:tcPr>
            <w:tcW w:w="7028" w:type="dxa"/>
            <w:tcBorders>
              <w:top w:val="single" w:color="000000" w:sz="6" w:space="0"/>
              <w:left w:val="single" w:color="000000" w:sz="6" w:space="0"/>
              <w:bottom w:val="single" w:color="000000" w:sz="6" w:space="0"/>
              <w:right w:val="single" w:color="000000" w:sz="12" w:space="0"/>
            </w:tcBorders>
            <w:vAlign w:val="center"/>
          </w:tcPr>
          <w:p w14:paraId="6F76369F">
            <w:pPr>
              <w:spacing w:line="260" w:lineRule="exact"/>
              <w:ind w:left="141" w:leftChars="67"/>
              <w:rPr>
                <w:color w:val="000000"/>
                <w:szCs w:val="21"/>
              </w:rPr>
            </w:pPr>
            <w:r>
              <w:rPr>
                <w:rFonts w:hint="eastAsia"/>
                <w:color w:val="000000"/>
                <w:szCs w:val="21"/>
              </w:rPr>
              <w:t>无</w:t>
            </w:r>
          </w:p>
        </w:tc>
      </w:tr>
      <w:tr w14:paraId="1521BA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FACC2D4">
            <w:pPr>
              <w:spacing w:line="360" w:lineRule="exact"/>
              <w:jc w:val="center"/>
              <w:rPr>
                <w:rFonts w:ascii="宋体" w:hAnsi="宋体" w:eastAsia="宋体" w:cs="宋体"/>
                <w:szCs w:val="21"/>
              </w:rPr>
            </w:pPr>
            <w:r>
              <w:rPr>
                <w:rFonts w:hint="eastAsia" w:ascii="宋体" w:hAnsi="宋体" w:eastAsia="宋体" w:cs="宋体"/>
                <w:szCs w:val="21"/>
              </w:rPr>
              <w:t>3.6</w:t>
            </w:r>
          </w:p>
        </w:tc>
        <w:tc>
          <w:tcPr>
            <w:tcW w:w="2705" w:type="dxa"/>
            <w:tcBorders>
              <w:top w:val="single" w:color="000000" w:sz="6" w:space="0"/>
              <w:left w:val="single" w:color="000000" w:sz="6" w:space="0"/>
              <w:bottom w:val="single" w:color="000000" w:sz="6" w:space="0"/>
              <w:right w:val="single" w:color="000000" w:sz="6" w:space="0"/>
            </w:tcBorders>
            <w:vAlign w:val="center"/>
          </w:tcPr>
          <w:p w14:paraId="6C5038F1">
            <w:pPr>
              <w:spacing w:line="360" w:lineRule="exact"/>
              <w:rPr>
                <w:rFonts w:ascii="宋体" w:hAnsi="宋体" w:eastAsia="宋体" w:cs="宋体"/>
                <w:szCs w:val="21"/>
              </w:rPr>
            </w:pPr>
            <w:r>
              <w:rPr>
                <w:rFonts w:hint="eastAsia" w:ascii="宋体" w:hAnsi="宋体" w:eastAsia="宋体" w:cs="宋体"/>
                <w:szCs w:val="21"/>
              </w:rPr>
              <w:t>是否允许递交备选投标方案</w:t>
            </w:r>
          </w:p>
        </w:tc>
        <w:tc>
          <w:tcPr>
            <w:tcW w:w="7028" w:type="dxa"/>
            <w:tcBorders>
              <w:top w:val="single" w:color="000000" w:sz="6" w:space="0"/>
              <w:left w:val="single" w:color="000000" w:sz="6" w:space="0"/>
              <w:bottom w:val="single" w:color="auto" w:sz="6" w:space="0"/>
              <w:right w:val="single" w:color="000000" w:sz="12" w:space="0"/>
            </w:tcBorders>
            <w:vAlign w:val="center"/>
          </w:tcPr>
          <w:p w14:paraId="62DD1E55">
            <w:pPr>
              <w:spacing w:line="360" w:lineRule="exact"/>
              <w:ind w:left="141" w:leftChars="67"/>
              <w:rPr>
                <w:rFonts w:ascii="宋体" w:hAnsi="宋体" w:eastAsia="宋体" w:cs="宋体"/>
                <w:szCs w:val="21"/>
              </w:rPr>
            </w:pPr>
            <w:r>
              <w:rPr>
                <w:rFonts w:hint="eastAsia" w:ascii="宋体" w:hAnsi="宋体" w:eastAsia="宋体" w:cs="宋体"/>
                <w:szCs w:val="21"/>
              </w:rPr>
              <w:t>不允许</w:t>
            </w:r>
          </w:p>
        </w:tc>
      </w:tr>
      <w:tr w14:paraId="2AABF8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72DCB85">
            <w:pPr>
              <w:spacing w:line="360" w:lineRule="exact"/>
              <w:jc w:val="center"/>
              <w:rPr>
                <w:rFonts w:ascii="宋体" w:hAnsi="宋体" w:eastAsia="宋体" w:cs="宋体"/>
                <w:szCs w:val="21"/>
              </w:rPr>
            </w:pPr>
            <w:r>
              <w:rPr>
                <w:rFonts w:hint="eastAsia" w:ascii="宋体" w:hAnsi="宋体" w:eastAsia="宋体" w:cs="宋体"/>
                <w:szCs w:val="21"/>
              </w:rPr>
              <w:t>3.7.1</w:t>
            </w:r>
          </w:p>
        </w:tc>
        <w:tc>
          <w:tcPr>
            <w:tcW w:w="2705" w:type="dxa"/>
            <w:tcBorders>
              <w:top w:val="single" w:color="auto" w:sz="4" w:space="0"/>
              <w:left w:val="single" w:color="auto" w:sz="4" w:space="0"/>
              <w:bottom w:val="single" w:color="auto" w:sz="4" w:space="0"/>
              <w:right w:val="single" w:color="auto" w:sz="6" w:space="0"/>
            </w:tcBorders>
            <w:vAlign w:val="center"/>
          </w:tcPr>
          <w:p w14:paraId="7EC81DD7">
            <w:pPr>
              <w:jc w:val="center"/>
              <w:rPr>
                <w:szCs w:val="21"/>
              </w:rPr>
            </w:pPr>
            <w:r>
              <w:rPr>
                <w:szCs w:val="21"/>
              </w:rPr>
              <w:t>投标文件其它</w:t>
            </w:r>
          </w:p>
          <w:p w14:paraId="72647833">
            <w:pPr>
              <w:jc w:val="center"/>
              <w:rPr>
                <w:szCs w:val="21"/>
              </w:rPr>
            </w:pPr>
            <w:r>
              <w:rPr>
                <w:szCs w:val="21"/>
              </w:rPr>
              <w:t>格式要求</w:t>
            </w:r>
          </w:p>
        </w:tc>
        <w:tc>
          <w:tcPr>
            <w:tcW w:w="7028" w:type="dxa"/>
            <w:tcBorders>
              <w:top w:val="single" w:color="auto" w:sz="6" w:space="0"/>
              <w:left w:val="single" w:color="auto" w:sz="6" w:space="0"/>
              <w:bottom w:val="single" w:color="auto" w:sz="6" w:space="0"/>
              <w:right w:val="single" w:color="auto" w:sz="8" w:space="0"/>
            </w:tcBorders>
            <w:vAlign w:val="center"/>
          </w:tcPr>
          <w:p w14:paraId="6B3ED364">
            <w:pPr>
              <w:ind w:left="149" w:leftChars="71" w:right="65" w:rightChars="31"/>
            </w:pPr>
            <w:r>
              <w:t>1、投标人应使用招标文件中提供的附件格式。表格如不够用时，可以按同样格式扩展。</w:t>
            </w:r>
          </w:p>
          <w:p w14:paraId="495F85D5">
            <w:pPr>
              <w:ind w:left="149" w:leftChars="71" w:right="65" w:rightChars="31"/>
            </w:pPr>
            <w:r>
              <w:t>2、投标人投标文件所用的纸张建议采用A4型纸，图表可根据需要作适当扩展。</w:t>
            </w:r>
          </w:p>
        </w:tc>
      </w:tr>
      <w:tr w14:paraId="25E7E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6C47F313">
            <w:pPr>
              <w:spacing w:line="360" w:lineRule="exact"/>
              <w:jc w:val="center"/>
              <w:rPr>
                <w:rFonts w:ascii="宋体" w:hAnsi="宋体" w:eastAsia="宋体" w:cs="宋体"/>
                <w:szCs w:val="21"/>
              </w:rPr>
            </w:pPr>
            <w:r>
              <w:rPr>
                <w:rFonts w:hint="eastAsia" w:ascii="宋体" w:hAnsi="宋体" w:eastAsia="宋体" w:cs="宋体"/>
                <w:szCs w:val="21"/>
              </w:rPr>
              <w:t>3.7.</w:t>
            </w:r>
            <w:r>
              <w:rPr>
                <w:rFonts w:ascii="宋体" w:hAnsi="宋体" w:eastAsia="宋体" w:cs="宋体"/>
                <w:szCs w:val="21"/>
              </w:rPr>
              <w:t>4</w:t>
            </w:r>
          </w:p>
        </w:tc>
        <w:tc>
          <w:tcPr>
            <w:tcW w:w="2705" w:type="dxa"/>
            <w:tcBorders>
              <w:top w:val="single" w:color="auto" w:sz="4" w:space="0"/>
              <w:left w:val="single" w:color="auto" w:sz="4" w:space="0"/>
              <w:bottom w:val="single" w:color="auto" w:sz="4" w:space="0"/>
              <w:right w:val="single" w:color="auto" w:sz="6" w:space="0"/>
            </w:tcBorders>
            <w:vAlign w:val="center"/>
          </w:tcPr>
          <w:p w14:paraId="20A0BA1E">
            <w:pPr>
              <w:jc w:val="center"/>
              <w:rPr>
                <w:szCs w:val="21"/>
              </w:rPr>
            </w:pPr>
            <w:r>
              <w:rPr>
                <w:szCs w:val="21"/>
              </w:rPr>
              <w:t>投标文件份数</w:t>
            </w:r>
          </w:p>
        </w:tc>
        <w:tc>
          <w:tcPr>
            <w:tcW w:w="7028" w:type="dxa"/>
            <w:tcBorders>
              <w:top w:val="single" w:color="auto" w:sz="6" w:space="0"/>
              <w:left w:val="single" w:color="auto" w:sz="6" w:space="0"/>
              <w:bottom w:val="single" w:color="auto" w:sz="6" w:space="0"/>
              <w:right w:val="single" w:color="auto" w:sz="8" w:space="0"/>
            </w:tcBorders>
            <w:vAlign w:val="center"/>
          </w:tcPr>
          <w:p w14:paraId="5920F09D">
            <w:pPr>
              <w:ind w:left="149" w:leftChars="71" w:right="65" w:rightChars="31"/>
            </w:pPr>
            <w:r>
              <w:t>正本1份、副本4份（包括证书复印件）。</w:t>
            </w:r>
          </w:p>
        </w:tc>
      </w:tr>
      <w:tr w14:paraId="204C8A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341B981">
            <w:pPr>
              <w:spacing w:line="360" w:lineRule="exact"/>
              <w:jc w:val="center"/>
              <w:rPr>
                <w:rFonts w:ascii="宋体" w:hAnsi="宋体" w:eastAsia="宋体" w:cs="宋体"/>
                <w:szCs w:val="21"/>
              </w:rPr>
            </w:pPr>
            <w:r>
              <w:rPr>
                <w:rFonts w:hint="eastAsia" w:ascii="宋体" w:hAnsi="宋体" w:eastAsia="宋体" w:cs="宋体"/>
                <w:szCs w:val="21"/>
              </w:rPr>
              <w:t>3.7.5</w:t>
            </w:r>
          </w:p>
        </w:tc>
        <w:tc>
          <w:tcPr>
            <w:tcW w:w="2705" w:type="dxa"/>
            <w:tcBorders>
              <w:top w:val="single" w:color="auto" w:sz="4" w:space="0"/>
              <w:left w:val="single" w:color="auto" w:sz="4" w:space="0"/>
              <w:bottom w:val="single" w:color="auto" w:sz="4" w:space="0"/>
              <w:right w:val="single" w:color="auto" w:sz="6" w:space="0"/>
            </w:tcBorders>
            <w:vAlign w:val="center"/>
          </w:tcPr>
          <w:p w14:paraId="134CFD89">
            <w:pPr>
              <w:jc w:val="center"/>
              <w:rPr>
                <w:szCs w:val="21"/>
              </w:rPr>
            </w:pPr>
            <w:r>
              <w:rPr>
                <w:szCs w:val="21"/>
              </w:rPr>
              <w:t>投标文件装订</w:t>
            </w:r>
          </w:p>
        </w:tc>
        <w:tc>
          <w:tcPr>
            <w:tcW w:w="7028" w:type="dxa"/>
            <w:tcBorders>
              <w:top w:val="single" w:color="auto" w:sz="6" w:space="0"/>
              <w:left w:val="single" w:color="auto" w:sz="6" w:space="0"/>
              <w:bottom w:val="single" w:color="auto" w:sz="6" w:space="0"/>
              <w:right w:val="single" w:color="auto" w:sz="8" w:space="0"/>
            </w:tcBorders>
            <w:vAlign w:val="center"/>
          </w:tcPr>
          <w:p w14:paraId="505DC690">
            <w:pPr>
              <w:ind w:left="149" w:leftChars="71" w:right="65" w:rightChars="31" w:firstLine="210"/>
              <w:rPr>
                <w:color w:val="000000"/>
                <w:kern w:val="1"/>
              </w:rPr>
            </w:pPr>
            <w:r>
              <w:rPr>
                <w:color w:val="000000"/>
                <w:kern w:val="1"/>
              </w:rPr>
              <w:t>第3.7.5项</w:t>
            </w:r>
            <w:r>
              <w:rPr>
                <w:rFonts w:hint="eastAsia"/>
                <w:color w:val="000000"/>
                <w:kern w:val="1"/>
              </w:rPr>
              <w:t>款</w:t>
            </w:r>
            <w:r>
              <w:rPr>
                <w:color w:val="000000"/>
                <w:kern w:val="1"/>
              </w:rPr>
              <w:t>细化为：</w:t>
            </w:r>
          </w:p>
          <w:p w14:paraId="2364F907">
            <w:pPr>
              <w:pStyle w:val="5"/>
              <w:tabs>
                <w:tab w:val="left" w:pos="2760"/>
              </w:tabs>
              <w:adjustRightInd w:val="0"/>
              <w:ind w:left="149" w:leftChars="71" w:right="65" w:rightChars="31" w:firstLine="210" w:firstLineChars="100"/>
            </w:pPr>
            <w:r>
              <w:rPr>
                <w:color w:val="000000"/>
                <w:kern w:val="0"/>
              </w:rPr>
              <w:t>装订要求：</w:t>
            </w:r>
            <w:r>
              <w:rPr>
                <w:rFonts w:hint="eastAsia" w:ascii="宋体" w:hAnsi="宋体"/>
                <w:color w:val="000000"/>
                <w:kern w:val="0"/>
                <w:szCs w:val="21"/>
              </w:rPr>
              <w:t>投标文件采用封胶装订</w:t>
            </w:r>
            <w:r>
              <w:rPr>
                <w:color w:val="000000"/>
                <w:kern w:val="0"/>
              </w:rPr>
              <w:t>，不得采用活页装订（活页装订是指用卡条、抽杆夹、订书机等形式装订，使标书可以拆卸或者在翻动过程中易脱落的一种装订方式。</w:t>
            </w:r>
            <w:r>
              <w:rPr>
                <w:b/>
                <w:color w:val="000000"/>
                <w:kern w:val="0"/>
              </w:rPr>
              <w:t>采用活页装订的投标文件按无效标处理</w:t>
            </w:r>
            <w:r>
              <w:rPr>
                <w:color w:val="000000"/>
                <w:kern w:val="0"/>
              </w:rPr>
              <w:t>）。</w:t>
            </w:r>
          </w:p>
        </w:tc>
      </w:tr>
      <w:tr w14:paraId="7A1E65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2B65020">
            <w:pPr>
              <w:spacing w:line="360" w:lineRule="exact"/>
              <w:jc w:val="center"/>
              <w:rPr>
                <w:rFonts w:ascii="宋体" w:hAnsi="宋体" w:eastAsia="宋体" w:cs="宋体"/>
                <w:szCs w:val="21"/>
              </w:rPr>
            </w:pPr>
            <w:r>
              <w:rPr>
                <w:rFonts w:hint="eastAsia" w:ascii="宋体" w:hAnsi="宋体" w:eastAsia="宋体" w:cs="宋体"/>
                <w:szCs w:val="21"/>
              </w:rPr>
              <w:t>4.1.2</w:t>
            </w:r>
          </w:p>
        </w:tc>
        <w:tc>
          <w:tcPr>
            <w:tcW w:w="2705" w:type="dxa"/>
            <w:tcBorders>
              <w:top w:val="single" w:color="auto" w:sz="4" w:space="0"/>
              <w:left w:val="single" w:color="auto" w:sz="4" w:space="0"/>
              <w:bottom w:val="single" w:color="auto" w:sz="4" w:space="0"/>
              <w:right w:val="single" w:color="auto" w:sz="6" w:space="0"/>
            </w:tcBorders>
            <w:vAlign w:val="center"/>
          </w:tcPr>
          <w:p w14:paraId="0BB432C7">
            <w:pPr>
              <w:jc w:val="center"/>
            </w:pPr>
            <w:r>
              <w:t>投标文件密封</w:t>
            </w:r>
          </w:p>
          <w:p w14:paraId="6A2BC549">
            <w:pPr>
              <w:jc w:val="center"/>
              <w:rPr>
                <w:szCs w:val="21"/>
              </w:rPr>
            </w:pPr>
            <w:r>
              <w:t>及装订</w:t>
            </w:r>
          </w:p>
        </w:tc>
        <w:tc>
          <w:tcPr>
            <w:tcW w:w="7028" w:type="dxa"/>
            <w:tcBorders>
              <w:top w:val="single" w:color="auto" w:sz="6" w:space="0"/>
              <w:left w:val="single" w:color="auto" w:sz="6" w:space="0"/>
              <w:bottom w:val="single" w:color="auto" w:sz="6" w:space="0"/>
              <w:right w:val="single" w:color="auto" w:sz="8" w:space="0"/>
            </w:tcBorders>
            <w:vAlign w:val="center"/>
          </w:tcPr>
          <w:p w14:paraId="4BBBE4B1">
            <w:pPr>
              <w:ind w:left="149" w:leftChars="71" w:right="65" w:rightChars="31"/>
            </w:pPr>
            <w:r>
              <w:rPr>
                <w:rFonts w:hint="eastAsia" w:ascii="宋体" w:hAnsi="宋体"/>
              </w:rPr>
              <w:t>投标文件正副本分别单独装订成册，按相关规定密封于同一个密封袋内。</w:t>
            </w:r>
          </w:p>
        </w:tc>
      </w:tr>
      <w:tr w14:paraId="74A6BA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948EDC0">
            <w:pPr>
              <w:spacing w:line="260" w:lineRule="exact"/>
              <w:jc w:val="center"/>
              <w:rPr>
                <w:rFonts w:ascii="宋体" w:hAnsi="宋体" w:eastAsia="宋体" w:cs="宋体"/>
                <w:szCs w:val="21"/>
              </w:rPr>
            </w:pPr>
            <w:r>
              <w:rPr>
                <w:rFonts w:hint="eastAsia" w:ascii="宋体" w:hAnsi="宋体" w:eastAsia="宋体" w:cs="宋体"/>
                <w:szCs w:val="21"/>
              </w:rPr>
              <w:t>4.2.2</w:t>
            </w:r>
          </w:p>
        </w:tc>
        <w:tc>
          <w:tcPr>
            <w:tcW w:w="2705" w:type="dxa"/>
            <w:tcBorders>
              <w:top w:val="single" w:color="000000" w:sz="6" w:space="0"/>
              <w:left w:val="single" w:color="000000" w:sz="6" w:space="0"/>
              <w:bottom w:val="single" w:color="000000" w:sz="6" w:space="0"/>
              <w:right w:val="single" w:color="000000" w:sz="6" w:space="0"/>
            </w:tcBorders>
            <w:vAlign w:val="center"/>
          </w:tcPr>
          <w:p w14:paraId="71C89703">
            <w:pPr>
              <w:spacing w:line="260" w:lineRule="exact"/>
              <w:jc w:val="center"/>
              <w:rPr>
                <w:rFonts w:ascii="宋体" w:hAnsi="宋体" w:eastAsia="宋体" w:cs="宋体"/>
                <w:szCs w:val="21"/>
              </w:rPr>
            </w:pPr>
            <w:r>
              <w:rPr>
                <w:rFonts w:hint="eastAsia" w:ascii="宋体" w:hAnsi="宋体" w:eastAsia="宋体" w:cs="宋体"/>
                <w:szCs w:val="21"/>
              </w:rPr>
              <w:t>递交投标文件地点</w:t>
            </w:r>
          </w:p>
        </w:tc>
        <w:tc>
          <w:tcPr>
            <w:tcW w:w="7028" w:type="dxa"/>
            <w:tcBorders>
              <w:top w:val="single" w:color="auto" w:sz="6" w:space="0"/>
              <w:left w:val="single" w:color="000000" w:sz="6" w:space="0"/>
              <w:bottom w:val="single" w:color="000000" w:sz="6" w:space="0"/>
              <w:right w:val="single" w:color="000000" w:sz="12" w:space="0"/>
            </w:tcBorders>
            <w:vAlign w:val="center"/>
          </w:tcPr>
          <w:p w14:paraId="3B8C6D1B">
            <w:pPr>
              <w:spacing w:line="260" w:lineRule="exact"/>
              <w:ind w:left="149" w:leftChars="71"/>
              <w:rPr>
                <w:rFonts w:ascii="宋体" w:hAnsi="宋体" w:eastAsia="宋体" w:cs="宋体"/>
                <w:szCs w:val="21"/>
              </w:rPr>
            </w:pPr>
            <w:r>
              <w:rPr>
                <w:rFonts w:hint="eastAsia" w:ascii="宋体" w:hAnsi="宋体" w:eastAsia="宋体" w:cs="宋体"/>
                <w:b/>
                <w:szCs w:val="21"/>
              </w:rPr>
              <w:t>三门县公路与运输管理中心会议室（三门县广场路22号交通大楼8楼）。</w:t>
            </w:r>
          </w:p>
        </w:tc>
      </w:tr>
      <w:tr w14:paraId="56CBAB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9C67157">
            <w:pPr>
              <w:spacing w:line="260" w:lineRule="exact"/>
              <w:jc w:val="center"/>
              <w:rPr>
                <w:rFonts w:ascii="宋体" w:hAnsi="宋体" w:eastAsia="宋体" w:cs="宋体"/>
                <w:szCs w:val="21"/>
              </w:rPr>
            </w:pPr>
            <w:r>
              <w:rPr>
                <w:rFonts w:hint="eastAsia" w:ascii="宋体" w:hAnsi="宋体" w:eastAsia="宋体" w:cs="宋体"/>
                <w:szCs w:val="21"/>
              </w:rPr>
              <w:t>4.2.3</w:t>
            </w:r>
          </w:p>
        </w:tc>
        <w:tc>
          <w:tcPr>
            <w:tcW w:w="2705" w:type="dxa"/>
            <w:tcBorders>
              <w:top w:val="single" w:color="000000" w:sz="6" w:space="0"/>
              <w:left w:val="single" w:color="000000" w:sz="6" w:space="0"/>
              <w:bottom w:val="single" w:color="000000" w:sz="6" w:space="0"/>
              <w:right w:val="single" w:color="000000" w:sz="6" w:space="0"/>
            </w:tcBorders>
            <w:vAlign w:val="center"/>
          </w:tcPr>
          <w:p w14:paraId="7D98BE1C">
            <w:pPr>
              <w:spacing w:line="260" w:lineRule="exact"/>
              <w:jc w:val="center"/>
              <w:rPr>
                <w:rFonts w:ascii="宋体" w:hAnsi="宋体" w:eastAsia="宋体" w:cs="宋体"/>
                <w:szCs w:val="21"/>
              </w:rPr>
            </w:pPr>
            <w:r>
              <w:rPr>
                <w:rFonts w:hint="eastAsia" w:ascii="宋体" w:hAnsi="宋体" w:eastAsia="宋体" w:cs="宋体"/>
                <w:szCs w:val="21"/>
              </w:rPr>
              <w:t>是否退还投标文件</w:t>
            </w:r>
          </w:p>
        </w:tc>
        <w:tc>
          <w:tcPr>
            <w:tcW w:w="7028" w:type="dxa"/>
            <w:tcBorders>
              <w:top w:val="single" w:color="000000" w:sz="6" w:space="0"/>
              <w:left w:val="single" w:color="000000" w:sz="6" w:space="0"/>
              <w:bottom w:val="single" w:color="000000" w:sz="6" w:space="0"/>
              <w:right w:val="single" w:color="000000" w:sz="12" w:space="0"/>
            </w:tcBorders>
            <w:vAlign w:val="center"/>
          </w:tcPr>
          <w:p w14:paraId="33A18A1C">
            <w:pPr>
              <w:spacing w:line="260" w:lineRule="exact"/>
              <w:ind w:left="149" w:leftChars="71"/>
              <w:rPr>
                <w:rFonts w:ascii="宋体" w:hAnsi="宋体" w:eastAsia="宋体" w:cs="宋体"/>
                <w:szCs w:val="21"/>
              </w:rPr>
            </w:pPr>
            <w:r>
              <w:rPr>
                <w:rFonts w:hint="eastAsia" w:ascii="宋体" w:hAnsi="宋体" w:eastAsia="宋体" w:cs="宋体"/>
                <w:szCs w:val="21"/>
              </w:rPr>
              <w:t>否</w:t>
            </w:r>
          </w:p>
        </w:tc>
      </w:tr>
      <w:tr w14:paraId="5FA80D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1E752334">
            <w:pPr>
              <w:spacing w:line="260" w:lineRule="exact"/>
              <w:jc w:val="center"/>
              <w:rPr>
                <w:rFonts w:ascii="宋体" w:hAnsi="宋体" w:eastAsia="宋体" w:cs="宋体"/>
                <w:szCs w:val="21"/>
              </w:rPr>
            </w:pPr>
            <w:r>
              <w:rPr>
                <w:rFonts w:hint="eastAsia" w:ascii="宋体" w:hAnsi="宋体" w:eastAsia="宋体" w:cs="宋体"/>
                <w:szCs w:val="21"/>
              </w:rPr>
              <w:t>4.2.5</w:t>
            </w:r>
          </w:p>
        </w:tc>
        <w:tc>
          <w:tcPr>
            <w:tcW w:w="2705" w:type="dxa"/>
            <w:tcBorders>
              <w:top w:val="single" w:color="000000" w:sz="6" w:space="0"/>
              <w:left w:val="single" w:color="000000" w:sz="6" w:space="0"/>
              <w:bottom w:val="single" w:color="000000" w:sz="6" w:space="0"/>
              <w:right w:val="single" w:color="000000" w:sz="6" w:space="0"/>
            </w:tcBorders>
            <w:vAlign w:val="center"/>
          </w:tcPr>
          <w:p w14:paraId="0CDB6038">
            <w:pPr>
              <w:spacing w:line="260" w:lineRule="exact"/>
              <w:jc w:val="center"/>
              <w:rPr>
                <w:rFonts w:ascii="宋体" w:hAnsi="宋体" w:eastAsia="宋体" w:cs="宋体"/>
                <w:szCs w:val="21"/>
              </w:rPr>
            </w:pPr>
            <w:r>
              <w:rPr>
                <w:rFonts w:hint="eastAsia" w:ascii="宋体" w:hAnsi="宋体" w:eastAsia="宋体" w:cs="宋体"/>
                <w:szCs w:val="21"/>
              </w:rPr>
              <w:t>投标文件递交</w:t>
            </w:r>
          </w:p>
        </w:tc>
        <w:tc>
          <w:tcPr>
            <w:tcW w:w="7028" w:type="dxa"/>
            <w:tcBorders>
              <w:top w:val="single" w:color="000000" w:sz="6" w:space="0"/>
              <w:left w:val="single" w:color="000000" w:sz="6" w:space="0"/>
              <w:bottom w:val="single" w:color="000000" w:sz="6" w:space="0"/>
              <w:right w:val="single" w:color="000000" w:sz="12" w:space="0"/>
            </w:tcBorders>
            <w:vAlign w:val="center"/>
          </w:tcPr>
          <w:p w14:paraId="1780B6C8">
            <w:pPr>
              <w:pStyle w:val="5"/>
              <w:spacing w:line="288" w:lineRule="auto"/>
              <w:ind w:firstLine="0" w:firstLineChars="0"/>
              <w:rPr>
                <w:rFonts w:ascii="宋体" w:hAnsi="宋体" w:eastAsia="宋体"/>
                <w:bCs/>
                <w:color w:val="000000"/>
              </w:rPr>
            </w:pPr>
            <w:r>
              <w:rPr>
                <w:rFonts w:hint="eastAsia" w:ascii="宋体" w:hAnsi="宋体" w:eastAsia="宋体"/>
                <w:bCs/>
                <w:color w:val="000000"/>
              </w:rPr>
              <w:t>（1）投标人法定代表人（提供法定代表人身份证明原件）或委托代理人（必须出具</w:t>
            </w:r>
            <w:r>
              <w:rPr>
                <w:rFonts w:hint="eastAsia" w:ascii="宋体" w:hAnsi="宋体" w:eastAsia="宋体" w:cs="宋体"/>
                <w:spacing w:val="-4"/>
              </w:rPr>
              <w:t>附有法定代表人身份证明的授权委托</w:t>
            </w:r>
            <w:r>
              <w:rPr>
                <w:rFonts w:hint="eastAsia" w:ascii="宋体" w:hAnsi="宋体" w:eastAsia="宋体"/>
                <w:bCs/>
                <w:color w:val="000000"/>
              </w:rPr>
              <w:t>书原件，参考样张附后）必须参加开标会议，经招标人确认身份后（招标人对其身份不明的，须出具身份证或驾驶证原件）再签名报到，以证明其出席开标会议。</w:t>
            </w:r>
          </w:p>
          <w:p w14:paraId="71A31997">
            <w:pPr>
              <w:spacing w:line="260" w:lineRule="exact"/>
              <w:ind w:left="149" w:leftChars="71"/>
              <w:rPr>
                <w:rFonts w:ascii="宋体" w:hAnsi="宋体" w:eastAsia="宋体" w:cs="宋体"/>
                <w:szCs w:val="21"/>
              </w:rPr>
            </w:pPr>
            <w:r>
              <w:rPr>
                <w:rFonts w:hint="eastAsia" w:ascii="宋体" w:hAnsi="宋体" w:eastAsia="宋体" w:cs="宋体"/>
                <w:szCs w:val="21"/>
              </w:rPr>
              <w:t>（2）投标担保已提交。</w:t>
            </w:r>
          </w:p>
        </w:tc>
      </w:tr>
      <w:tr w14:paraId="39FCA3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DE4C6AD">
            <w:pPr>
              <w:spacing w:line="260" w:lineRule="exact"/>
              <w:jc w:val="center"/>
              <w:rPr>
                <w:rFonts w:ascii="宋体" w:hAnsi="宋体" w:eastAsia="宋体" w:cs="宋体"/>
                <w:szCs w:val="21"/>
              </w:rPr>
            </w:pPr>
            <w:r>
              <w:rPr>
                <w:rFonts w:hint="eastAsia" w:ascii="宋体" w:hAnsi="宋体" w:eastAsia="宋体" w:cs="宋体"/>
                <w:szCs w:val="21"/>
              </w:rPr>
              <w:t>4.2.6</w:t>
            </w:r>
          </w:p>
        </w:tc>
        <w:tc>
          <w:tcPr>
            <w:tcW w:w="2705" w:type="dxa"/>
            <w:tcBorders>
              <w:top w:val="single" w:color="000000" w:sz="6" w:space="0"/>
              <w:left w:val="single" w:color="000000" w:sz="6" w:space="0"/>
              <w:bottom w:val="single" w:color="000000" w:sz="6" w:space="0"/>
              <w:right w:val="single" w:color="000000" w:sz="6" w:space="0"/>
            </w:tcBorders>
            <w:vAlign w:val="center"/>
          </w:tcPr>
          <w:p w14:paraId="1CE34649">
            <w:pPr>
              <w:spacing w:line="260" w:lineRule="exact"/>
              <w:jc w:val="center"/>
              <w:rPr>
                <w:rFonts w:ascii="宋体" w:hAnsi="宋体" w:eastAsia="宋体" w:cs="宋体"/>
                <w:szCs w:val="21"/>
              </w:rPr>
            </w:pPr>
            <w:r>
              <w:rPr>
                <w:rFonts w:hint="eastAsia" w:ascii="宋体" w:hAnsi="宋体" w:eastAsia="宋体" w:cs="宋体"/>
                <w:szCs w:val="21"/>
              </w:rPr>
              <w:t>发包人通知延后投标</w:t>
            </w:r>
          </w:p>
          <w:p w14:paraId="26C973D1">
            <w:pPr>
              <w:spacing w:line="260" w:lineRule="exact"/>
              <w:jc w:val="center"/>
              <w:rPr>
                <w:rFonts w:ascii="宋体" w:hAnsi="宋体" w:eastAsia="宋体" w:cs="宋体"/>
                <w:szCs w:val="21"/>
              </w:rPr>
            </w:pPr>
            <w:r>
              <w:rPr>
                <w:rFonts w:hint="eastAsia" w:ascii="宋体" w:hAnsi="宋体" w:eastAsia="宋体" w:cs="宋体"/>
                <w:szCs w:val="21"/>
              </w:rPr>
              <w:t>截止时间的时间</w:t>
            </w:r>
          </w:p>
        </w:tc>
        <w:tc>
          <w:tcPr>
            <w:tcW w:w="7028" w:type="dxa"/>
            <w:tcBorders>
              <w:top w:val="single" w:color="000000" w:sz="6" w:space="0"/>
              <w:left w:val="single" w:color="000000" w:sz="6" w:space="0"/>
              <w:bottom w:val="single" w:color="000000" w:sz="6" w:space="0"/>
              <w:right w:val="single" w:color="000000" w:sz="12" w:space="0"/>
            </w:tcBorders>
            <w:vAlign w:val="center"/>
          </w:tcPr>
          <w:p w14:paraId="4F7A3B16">
            <w:pPr>
              <w:spacing w:line="260" w:lineRule="exact"/>
              <w:ind w:left="149" w:leftChars="71"/>
              <w:rPr>
                <w:rFonts w:ascii="宋体" w:hAnsi="宋体" w:eastAsia="宋体" w:cs="宋体"/>
                <w:szCs w:val="21"/>
              </w:rPr>
            </w:pPr>
            <w:r>
              <w:rPr>
                <w:rFonts w:hint="eastAsia" w:ascii="宋体" w:hAnsi="宋体" w:eastAsia="宋体" w:cs="宋体"/>
                <w:szCs w:val="21"/>
              </w:rPr>
              <w:t>原定投标截止时间前</w:t>
            </w:r>
          </w:p>
        </w:tc>
      </w:tr>
      <w:tr w14:paraId="4C85BB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0142826D">
            <w:pPr>
              <w:spacing w:line="260" w:lineRule="exact"/>
              <w:jc w:val="center"/>
              <w:rPr>
                <w:rFonts w:ascii="宋体" w:hAnsi="宋体" w:eastAsia="宋体" w:cs="宋体"/>
                <w:szCs w:val="21"/>
              </w:rPr>
            </w:pPr>
            <w:r>
              <w:rPr>
                <w:rFonts w:hint="eastAsia" w:ascii="宋体" w:hAnsi="宋体" w:eastAsia="宋体" w:cs="宋体"/>
                <w:szCs w:val="21"/>
              </w:rPr>
              <w:t>5.1</w:t>
            </w:r>
          </w:p>
        </w:tc>
        <w:tc>
          <w:tcPr>
            <w:tcW w:w="2705" w:type="dxa"/>
            <w:tcBorders>
              <w:top w:val="single" w:color="000000" w:sz="6" w:space="0"/>
              <w:left w:val="single" w:color="000000" w:sz="6" w:space="0"/>
              <w:bottom w:val="single" w:color="000000" w:sz="6" w:space="0"/>
              <w:right w:val="single" w:color="000000" w:sz="6" w:space="0"/>
            </w:tcBorders>
            <w:vAlign w:val="center"/>
          </w:tcPr>
          <w:p w14:paraId="017DB9D1">
            <w:pPr>
              <w:spacing w:line="260" w:lineRule="exact"/>
              <w:jc w:val="center"/>
              <w:rPr>
                <w:rFonts w:ascii="宋体" w:hAnsi="宋体" w:eastAsia="宋体" w:cs="宋体"/>
                <w:szCs w:val="21"/>
              </w:rPr>
            </w:pPr>
            <w:r>
              <w:rPr>
                <w:rFonts w:hint="eastAsia" w:ascii="宋体" w:hAnsi="宋体" w:eastAsia="宋体" w:cs="宋体"/>
                <w:szCs w:val="21"/>
              </w:rPr>
              <w:t>开标时间和地点</w:t>
            </w:r>
          </w:p>
        </w:tc>
        <w:tc>
          <w:tcPr>
            <w:tcW w:w="7028" w:type="dxa"/>
            <w:tcBorders>
              <w:top w:val="single" w:color="000000" w:sz="6" w:space="0"/>
              <w:left w:val="single" w:color="000000" w:sz="6" w:space="0"/>
              <w:bottom w:val="single" w:color="000000" w:sz="6" w:space="0"/>
              <w:right w:val="single" w:color="000000" w:sz="12" w:space="0"/>
            </w:tcBorders>
            <w:vAlign w:val="center"/>
          </w:tcPr>
          <w:p w14:paraId="463EA045">
            <w:pPr>
              <w:spacing w:line="260" w:lineRule="exact"/>
              <w:ind w:left="149" w:leftChars="71"/>
              <w:rPr>
                <w:rFonts w:ascii="宋体" w:hAnsi="宋体" w:eastAsia="宋体" w:cs="宋体"/>
                <w:szCs w:val="21"/>
              </w:rPr>
            </w:pPr>
            <w:r>
              <w:rPr>
                <w:rFonts w:eastAsia="黑体"/>
                <w:b/>
              </w:rPr>
              <w:t>详见本工程招标公告</w:t>
            </w:r>
          </w:p>
        </w:tc>
      </w:tr>
      <w:tr w14:paraId="354E44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0B31D1EB">
            <w:pPr>
              <w:spacing w:line="260" w:lineRule="exact"/>
              <w:jc w:val="center"/>
              <w:rPr>
                <w:rFonts w:ascii="宋体" w:hAnsi="宋体" w:eastAsia="宋体" w:cs="宋体"/>
                <w:szCs w:val="21"/>
              </w:rPr>
            </w:pPr>
            <w:r>
              <w:rPr>
                <w:rFonts w:hint="eastAsia" w:ascii="宋体" w:hAnsi="宋体" w:eastAsia="宋体" w:cs="宋体"/>
                <w:szCs w:val="21"/>
              </w:rPr>
              <w:t>7.3.1</w:t>
            </w:r>
          </w:p>
        </w:tc>
        <w:tc>
          <w:tcPr>
            <w:tcW w:w="2705" w:type="dxa"/>
            <w:tcBorders>
              <w:top w:val="single" w:color="000000" w:sz="6" w:space="0"/>
              <w:left w:val="single" w:color="000000" w:sz="6" w:space="0"/>
              <w:bottom w:val="single" w:color="000000" w:sz="6" w:space="0"/>
              <w:right w:val="single" w:color="000000" w:sz="6" w:space="0"/>
            </w:tcBorders>
            <w:vAlign w:val="center"/>
          </w:tcPr>
          <w:p w14:paraId="76E0DFE3">
            <w:pPr>
              <w:spacing w:line="260" w:lineRule="exact"/>
              <w:jc w:val="center"/>
              <w:rPr>
                <w:rFonts w:ascii="宋体" w:hAnsi="宋体" w:eastAsia="宋体" w:cs="宋体"/>
                <w:szCs w:val="21"/>
              </w:rPr>
            </w:pPr>
            <w:r>
              <w:rPr>
                <w:rFonts w:hint="eastAsia" w:ascii="宋体" w:hAnsi="宋体" w:eastAsia="宋体" w:cs="宋体"/>
                <w:szCs w:val="21"/>
              </w:rPr>
              <w:t>履约担保</w:t>
            </w:r>
          </w:p>
        </w:tc>
        <w:tc>
          <w:tcPr>
            <w:tcW w:w="7028" w:type="dxa"/>
            <w:tcBorders>
              <w:top w:val="single" w:color="000000" w:sz="6" w:space="0"/>
              <w:left w:val="single" w:color="000000" w:sz="6" w:space="0"/>
              <w:bottom w:val="single" w:color="000000" w:sz="6" w:space="0"/>
              <w:right w:val="single" w:color="000000" w:sz="12" w:space="0"/>
            </w:tcBorders>
            <w:vAlign w:val="center"/>
          </w:tcPr>
          <w:p w14:paraId="24929980">
            <w:pPr>
              <w:spacing w:line="280" w:lineRule="exact"/>
              <w:ind w:left="105" w:leftChars="50" w:right="113" w:firstLine="420" w:firstLineChars="200"/>
              <w:rPr>
                <w:rFonts w:hAnsi="宋体"/>
                <w:color w:val="000000"/>
                <w:szCs w:val="21"/>
                <w:highlight w:val="yellow"/>
              </w:rPr>
            </w:pPr>
            <w:r>
              <w:rPr>
                <w:rFonts w:hint="eastAsia" w:hAnsi="宋体"/>
                <w:szCs w:val="21"/>
              </w:rPr>
              <w:t>履约担保的金额：</w:t>
            </w:r>
            <w:r>
              <w:rPr>
                <w:rFonts w:hint="eastAsia" w:hAnsi="宋体"/>
                <w:b/>
                <w:szCs w:val="21"/>
                <w:u w:val="single"/>
              </w:rPr>
              <w:t>签约合同价的</w:t>
            </w:r>
            <w:r>
              <w:rPr>
                <w:rFonts w:hAnsi="宋体"/>
                <w:b/>
                <w:szCs w:val="21"/>
                <w:u w:val="single"/>
              </w:rPr>
              <w:t>2</w:t>
            </w:r>
            <w:r>
              <w:rPr>
                <w:rFonts w:hint="eastAsia" w:hAnsi="宋体"/>
                <w:b/>
                <w:szCs w:val="21"/>
                <w:u w:val="single"/>
              </w:rPr>
              <w:t>％。</w:t>
            </w:r>
          </w:p>
          <w:p w14:paraId="06ECB8A6">
            <w:pPr>
              <w:spacing w:line="280" w:lineRule="exact"/>
              <w:ind w:left="105" w:leftChars="50" w:right="113" w:firstLine="420" w:firstLineChars="200"/>
              <w:rPr>
                <w:rFonts w:hAnsi="宋体"/>
                <w:szCs w:val="21"/>
              </w:rPr>
            </w:pPr>
            <w:r>
              <w:rPr>
                <w:rFonts w:hint="eastAsia" w:hAnsi="宋体"/>
                <w:szCs w:val="21"/>
              </w:rPr>
              <w:t>履约担保形式：现金（电汇或银行汇票形式）或银行保函或保险机构保证保险保单或融资担保公司保函。</w:t>
            </w:r>
          </w:p>
          <w:p w14:paraId="58A4E7F0">
            <w:pPr>
              <w:spacing w:line="280" w:lineRule="exact"/>
              <w:ind w:left="105" w:leftChars="50" w:right="113" w:firstLine="420" w:firstLineChars="200"/>
              <w:rPr>
                <w:rFonts w:hAnsi="宋体"/>
                <w:szCs w:val="21"/>
              </w:rPr>
            </w:pPr>
            <w:r>
              <w:rPr>
                <w:rFonts w:hint="eastAsia" w:hAnsi="宋体"/>
                <w:szCs w:val="21"/>
              </w:rPr>
              <w:t>若采用银行保函，出具保函的银行级别：国有或股份制商业银行县（区、市）级及以上银行。</w:t>
            </w:r>
          </w:p>
          <w:p w14:paraId="27AD8B7C">
            <w:pPr>
              <w:spacing w:line="280" w:lineRule="exact"/>
              <w:ind w:left="105" w:leftChars="50" w:right="113" w:firstLine="420" w:firstLineChars="200"/>
              <w:rPr>
                <w:rFonts w:hAnsi="宋体"/>
                <w:szCs w:val="21"/>
              </w:rPr>
            </w:pPr>
            <w:r>
              <w:rPr>
                <w:rFonts w:hint="eastAsia" w:hAnsi="宋体"/>
                <w:szCs w:val="21"/>
              </w:rPr>
              <w:t>若采用保险机构保证保险保单，出具保单的保险公司级别：县（区、市）级及以上国有或股份制保险公司。</w:t>
            </w:r>
          </w:p>
          <w:p w14:paraId="4185951A">
            <w:pPr>
              <w:spacing w:line="260" w:lineRule="exact"/>
              <w:ind w:firstLine="210" w:firstLineChars="100"/>
              <w:rPr>
                <w:rFonts w:ascii="宋体" w:hAnsi="宋体" w:cs="宋体"/>
                <w:szCs w:val="21"/>
              </w:rPr>
            </w:pPr>
            <w:r>
              <w:rPr>
                <w:rFonts w:hint="eastAsia" w:hAnsi="宋体"/>
                <w:szCs w:val="21"/>
              </w:rPr>
              <w:t>若采用融资担保公司保函，出具保函的融资担保公司级别：县（区、市）级及以上国有或股份制融资担保公司。</w:t>
            </w:r>
          </w:p>
        </w:tc>
      </w:tr>
      <w:tr w14:paraId="7FA342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10580" w:type="dxa"/>
            <w:gridSpan w:val="3"/>
            <w:tcBorders>
              <w:top w:val="single" w:color="000000" w:sz="6" w:space="0"/>
              <w:left w:val="single" w:color="000000" w:sz="12" w:space="0"/>
              <w:bottom w:val="single" w:color="000000" w:sz="6" w:space="0"/>
              <w:right w:val="single" w:color="000000" w:sz="12" w:space="0"/>
            </w:tcBorders>
            <w:vAlign w:val="center"/>
          </w:tcPr>
          <w:p w14:paraId="407C6A96">
            <w:pPr>
              <w:spacing w:line="260" w:lineRule="exact"/>
              <w:jc w:val="center"/>
              <w:rPr>
                <w:rFonts w:ascii="宋体" w:hAnsi="宋体" w:eastAsia="宋体" w:cs="宋体"/>
                <w:szCs w:val="21"/>
              </w:rPr>
            </w:pPr>
            <w:r>
              <w:rPr>
                <w:rFonts w:hint="eastAsia" w:ascii="宋体" w:hAnsi="宋体" w:eastAsia="宋体" w:cs="宋体"/>
                <w:szCs w:val="21"/>
              </w:rPr>
              <w:t>需要补充的其他内容</w:t>
            </w:r>
          </w:p>
        </w:tc>
      </w:tr>
      <w:tr w14:paraId="16D4C4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5992F87F">
            <w:pPr>
              <w:spacing w:line="260" w:lineRule="exact"/>
              <w:jc w:val="center"/>
              <w:rPr>
                <w:rFonts w:ascii="宋体" w:hAnsi="宋体" w:eastAsia="宋体" w:cs="宋体"/>
                <w:szCs w:val="21"/>
              </w:rPr>
            </w:pPr>
            <w:r>
              <w:rPr>
                <w:rFonts w:hint="eastAsia" w:ascii="宋体" w:hAnsi="宋体" w:eastAsia="宋体" w:cs="宋体"/>
                <w:szCs w:val="21"/>
              </w:rPr>
              <w:t>3.1</w:t>
            </w:r>
          </w:p>
        </w:tc>
        <w:tc>
          <w:tcPr>
            <w:tcW w:w="2705" w:type="dxa"/>
            <w:tcBorders>
              <w:top w:val="single" w:color="000000" w:sz="6" w:space="0"/>
              <w:left w:val="single" w:color="000000" w:sz="6" w:space="0"/>
              <w:bottom w:val="single" w:color="000000" w:sz="6" w:space="0"/>
              <w:right w:val="single" w:color="000000" w:sz="6" w:space="0"/>
            </w:tcBorders>
            <w:vAlign w:val="center"/>
          </w:tcPr>
          <w:p w14:paraId="34399DE9">
            <w:pPr>
              <w:spacing w:line="260" w:lineRule="exact"/>
              <w:jc w:val="center"/>
              <w:rPr>
                <w:rFonts w:ascii="宋体" w:hAnsi="宋体" w:eastAsia="宋体" w:cs="宋体"/>
                <w:szCs w:val="21"/>
              </w:rPr>
            </w:pPr>
            <w:r>
              <w:rPr>
                <w:rFonts w:hint="eastAsia" w:ascii="宋体" w:hAnsi="宋体" w:eastAsia="宋体" w:cs="宋体"/>
                <w:szCs w:val="21"/>
              </w:rPr>
              <w:t>投标文件的组成</w:t>
            </w:r>
          </w:p>
        </w:tc>
        <w:tc>
          <w:tcPr>
            <w:tcW w:w="7028" w:type="dxa"/>
            <w:tcBorders>
              <w:top w:val="single" w:color="000000" w:sz="6" w:space="0"/>
              <w:left w:val="single" w:color="000000" w:sz="6" w:space="0"/>
              <w:bottom w:val="single" w:color="000000" w:sz="6" w:space="0"/>
              <w:right w:val="single" w:color="000000" w:sz="12" w:space="0"/>
            </w:tcBorders>
            <w:vAlign w:val="center"/>
          </w:tcPr>
          <w:p w14:paraId="3B5F26B8">
            <w:pPr>
              <w:pStyle w:val="143"/>
              <w:spacing w:line="251" w:lineRule="exact"/>
              <w:ind w:left="146" w:leftChars="65" w:hanging="10"/>
              <w:rPr>
                <w:rFonts w:ascii="宋体" w:hAnsi="宋体" w:eastAsia="宋体" w:cs="宋体"/>
                <w:b/>
                <w:sz w:val="21"/>
              </w:rPr>
            </w:pPr>
            <w:r>
              <w:rPr>
                <w:rFonts w:hint="eastAsia" w:ascii="宋体" w:hAnsi="宋体" w:eastAsia="宋体" w:cs="宋体"/>
                <w:b/>
                <w:sz w:val="21"/>
              </w:rPr>
              <w:t>投标文件组成内容包括：</w:t>
            </w:r>
          </w:p>
          <w:p w14:paraId="60486962">
            <w:pPr>
              <w:pStyle w:val="143"/>
              <w:spacing w:line="251" w:lineRule="exact"/>
              <w:ind w:left="146" w:leftChars="65" w:hanging="10"/>
              <w:rPr>
                <w:rFonts w:ascii="宋体" w:hAnsi="宋体" w:eastAsia="宋体" w:cs="宋体"/>
                <w:sz w:val="21"/>
              </w:rPr>
            </w:pPr>
            <w:r>
              <w:rPr>
                <w:rFonts w:hint="eastAsia" w:ascii="宋体" w:hAnsi="宋体" w:eastAsia="宋体" w:cs="宋体"/>
                <w:sz w:val="21"/>
              </w:rPr>
              <w:t>第 3.1.1 项细化为：</w:t>
            </w:r>
          </w:p>
          <w:p w14:paraId="550AF0AB">
            <w:pPr>
              <w:pStyle w:val="143"/>
              <w:spacing w:before="16" w:line="249" w:lineRule="auto"/>
              <w:ind w:left="146" w:leftChars="65" w:right="482" w:hanging="10"/>
              <w:rPr>
                <w:rFonts w:ascii="宋体" w:hAnsi="宋体" w:eastAsia="宋体" w:cs="宋体"/>
                <w:sz w:val="21"/>
              </w:rPr>
            </w:pPr>
            <w:r>
              <w:rPr>
                <w:rFonts w:hint="eastAsia" w:ascii="宋体" w:hAnsi="宋体" w:eastAsia="宋体" w:cs="宋体"/>
                <w:sz w:val="21"/>
              </w:rPr>
              <w:t xml:space="preserve">3.1.1 投标文件应包括下列内容： </w:t>
            </w:r>
          </w:p>
          <w:p w14:paraId="50DA8CC1">
            <w:pPr>
              <w:pStyle w:val="143"/>
              <w:tabs>
                <w:tab w:val="left" w:pos="589"/>
              </w:tabs>
              <w:spacing w:before="2"/>
              <w:ind w:left="136" w:leftChars="65"/>
              <w:rPr>
                <w:rFonts w:ascii="宋体" w:hAnsi="宋体" w:eastAsia="宋体" w:cs="宋体"/>
                <w:sz w:val="21"/>
              </w:rPr>
            </w:pPr>
            <w:r>
              <w:rPr>
                <w:rFonts w:hint="eastAsia" w:ascii="宋体" w:hAnsi="宋体" w:eastAsia="宋体" w:cs="宋体"/>
                <w:spacing w:val="-3"/>
                <w:sz w:val="21"/>
              </w:rPr>
              <w:t>(1)投标函及投标函附录；</w:t>
            </w:r>
          </w:p>
          <w:p w14:paraId="37AFA71E">
            <w:pPr>
              <w:pStyle w:val="143"/>
              <w:tabs>
                <w:tab w:val="left" w:pos="589"/>
              </w:tabs>
              <w:spacing w:before="22" w:line="247" w:lineRule="auto"/>
              <w:ind w:left="136" w:leftChars="65" w:right="262"/>
              <w:rPr>
                <w:rFonts w:ascii="宋体" w:hAnsi="宋体" w:eastAsia="宋体" w:cs="宋体"/>
                <w:sz w:val="21"/>
              </w:rPr>
            </w:pPr>
            <w:r>
              <w:rPr>
                <w:rFonts w:ascii="宋体" w:hAnsi="宋体" w:eastAsia="宋体" w:cs="宋体"/>
                <w:spacing w:val="-4"/>
                <w:sz w:val="21"/>
              </w:rPr>
              <w:t>(2)</w:t>
            </w:r>
            <w:r>
              <w:rPr>
                <w:rFonts w:hint="eastAsia" w:ascii="宋体" w:hAnsi="宋体" w:eastAsia="宋体" w:cs="宋体"/>
                <w:spacing w:val="-4"/>
                <w:sz w:val="21"/>
              </w:rPr>
              <w:t xml:space="preserve">法定代表人身份证明或附有法定代表人身份证明的授权委托； </w:t>
            </w:r>
          </w:p>
          <w:p w14:paraId="259BDCC1">
            <w:pPr>
              <w:pStyle w:val="143"/>
              <w:tabs>
                <w:tab w:val="left" w:pos="589"/>
              </w:tabs>
              <w:spacing w:before="4" w:line="247" w:lineRule="auto"/>
              <w:ind w:left="136" w:leftChars="65" w:right="682"/>
              <w:rPr>
                <w:rFonts w:ascii="宋体" w:hAnsi="宋体" w:eastAsia="宋体" w:cs="宋体"/>
                <w:sz w:val="21"/>
              </w:rPr>
            </w:pPr>
            <w:r>
              <w:rPr>
                <w:rFonts w:ascii="宋体" w:hAnsi="宋体" w:eastAsia="宋体" w:cs="宋体"/>
                <w:spacing w:val="-3"/>
                <w:sz w:val="21"/>
              </w:rPr>
              <w:t>(3)</w:t>
            </w:r>
            <w:r>
              <w:rPr>
                <w:rFonts w:hint="eastAsia" w:ascii="宋体" w:hAnsi="宋体" w:eastAsia="宋体" w:cs="宋体"/>
                <w:spacing w:val="-3"/>
                <w:sz w:val="21"/>
              </w:rPr>
              <w:t>联合体协议书（</w:t>
            </w:r>
            <w:r>
              <w:rPr>
                <w:rFonts w:hint="eastAsia" w:ascii="宋体" w:hAnsi="宋体" w:eastAsia="宋体" w:cs="宋体"/>
                <w:spacing w:val="-2"/>
                <w:sz w:val="21"/>
              </w:rPr>
              <w:t>如有</w:t>
            </w:r>
            <w:r>
              <w:rPr>
                <w:rFonts w:hint="eastAsia" w:ascii="宋体" w:hAnsi="宋体" w:eastAsia="宋体" w:cs="宋体"/>
                <w:sz w:val="21"/>
              </w:rPr>
              <w:t>）；（</w:t>
            </w:r>
            <w:r>
              <w:rPr>
                <w:rFonts w:hint="eastAsia" w:ascii="宋体" w:hAnsi="宋体" w:eastAsia="宋体" w:cs="宋体"/>
                <w:spacing w:val="-3"/>
                <w:sz w:val="21"/>
              </w:rPr>
              <w:t>本项目不适用</w:t>
            </w:r>
            <w:r>
              <w:rPr>
                <w:rFonts w:hint="eastAsia" w:ascii="宋体" w:hAnsi="宋体" w:eastAsia="宋体" w:cs="宋体"/>
                <w:sz w:val="21"/>
              </w:rPr>
              <w:t xml:space="preserve">） </w:t>
            </w:r>
          </w:p>
          <w:p w14:paraId="011BDD3D">
            <w:pPr>
              <w:pStyle w:val="143"/>
              <w:tabs>
                <w:tab w:val="left" w:pos="589"/>
              </w:tabs>
              <w:spacing w:before="5"/>
              <w:ind w:left="136" w:leftChars="65"/>
              <w:rPr>
                <w:rFonts w:ascii="宋体" w:hAnsi="宋体" w:eastAsia="宋体" w:cs="宋体"/>
                <w:sz w:val="21"/>
              </w:rPr>
            </w:pPr>
            <w:r>
              <w:rPr>
                <w:rFonts w:ascii="宋体" w:hAnsi="宋体" w:eastAsia="宋体" w:cs="宋体"/>
                <w:spacing w:val="-3"/>
                <w:sz w:val="21"/>
              </w:rPr>
              <w:t>(4)</w:t>
            </w:r>
            <w:r>
              <w:rPr>
                <w:rFonts w:hint="eastAsia" w:ascii="宋体" w:hAnsi="宋体" w:eastAsia="宋体" w:cs="宋体"/>
                <w:spacing w:val="-3"/>
                <w:sz w:val="21"/>
              </w:rPr>
              <w:t>项目管理机构；</w:t>
            </w:r>
          </w:p>
          <w:p w14:paraId="3CBB14F4">
            <w:pPr>
              <w:pStyle w:val="143"/>
              <w:tabs>
                <w:tab w:val="left" w:pos="553"/>
              </w:tabs>
              <w:spacing w:before="12" w:line="247" w:lineRule="auto"/>
              <w:ind w:left="136" w:leftChars="65" w:right="1942"/>
              <w:rPr>
                <w:rFonts w:ascii="宋体" w:hAnsi="宋体" w:eastAsia="宋体" w:cs="宋体"/>
                <w:sz w:val="21"/>
              </w:rPr>
            </w:pPr>
            <w:r>
              <w:rPr>
                <w:rFonts w:hint="eastAsia" w:ascii="宋体" w:hAnsi="宋体" w:eastAsia="宋体" w:cs="宋体"/>
                <w:spacing w:val="-3"/>
                <w:sz w:val="21"/>
              </w:rPr>
              <w:t>(5)资格审查资料；</w:t>
            </w:r>
          </w:p>
          <w:p w14:paraId="31532917">
            <w:pPr>
              <w:pStyle w:val="143"/>
              <w:tabs>
                <w:tab w:val="left" w:pos="589"/>
              </w:tabs>
              <w:spacing w:before="5"/>
              <w:ind w:left="136" w:leftChars="65"/>
              <w:rPr>
                <w:rFonts w:ascii="宋体" w:hAnsi="宋体" w:eastAsia="宋体" w:cs="宋体"/>
                <w:sz w:val="21"/>
              </w:rPr>
            </w:pPr>
            <w:r>
              <w:rPr>
                <w:rFonts w:ascii="宋体" w:hAnsi="宋体" w:eastAsia="宋体" w:cs="宋体"/>
                <w:spacing w:val="-3"/>
                <w:sz w:val="21"/>
              </w:rPr>
              <w:t>(6)</w:t>
            </w:r>
            <w:r>
              <w:rPr>
                <w:rFonts w:hint="eastAsia" w:ascii="宋体" w:hAnsi="宋体" w:eastAsia="宋体" w:cs="宋体"/>
                <w:spacing w:val="-3"/>
                <w:sz w:val="21"/>
              </w:rPr>
              <w:t>承诺函；</w:t>
            </w:r>
          </w:p>
          <w:p w14:paraId="018385E8">
            <w:pPr>
              <w:pStyle w:val="143"/>
              <w:tabs>
                <w:tab w:val="left" w:pos="589"/>
              </w:tabs>
              <w:spacing w:before="12"/>
              <w:ind w:left="136" w:leftChars="65"/>
              <w:rPr>
                <w:rFonts w:ascii="宋体" w:hAnsi="宋体" w:eastAsia="宋体" w:cs="宋体"/>
                <w:sz w:val="21"/>
              </w:rPr>
            </w:pPr>
            <w:r>
              <w:rPr>
                <w:rFonts w:hint="eastAsia" w:ascii="宋体" w:hAnsi="宋体" w:eastAsia="宋体" w:cs="宋体"/>
                <w:spacing w:val="-3"/>
                <w:sz w:val="21"/>
              </w:rPr>
              <w:t>(7)其他材料。</w:t>
            </w:r>
          </w:p>
        </w:tc>
      </w:tr>
      <w:tr w14:paraId="36D0DE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69F20746">
            <w:pPr>
              <w:spacing w:line="260" w:lineRule="exact"/>
              <w:jc w:val="center"/>
              <w:rPr>
                <w:rFonts w:ascii="宋体" w:hAnsi="宋体" w:eastAsia="宋体" w:cs="宋体"/>
                <w:szCs w:val="21"/>
              </w:rPr>
            </w:pPr>
            <w:r>
              <w:rPr>
                <w:rFonts w:hint="eastAsia" w:ascii="宋体" w:hAnsi="宋体" w:eastAsia="宋体" w:cs="宋体"/>
                <w:szCs w:val="21"/>
              </w:rPr>
              <w:t>3.2</w:t>
            </w:r>
          </w:p>
        </w:tc>
        <w:tc>
          <w:tcPr>
            <w:tcW w:w="2705" w:type="dxa"/>
            <w:tcBorders>
              <w:top w:val="single" w:color="000000" w:sz="6" w:space="0"/>
              <w:left w:val="single" w:color="000000" w:sz="6" w:space="0"/>
              <w:bottom w:val="single" w:color="000000" w:sz="6" w:space="0"/>
              <w:right w:val="single" w:color="000000" w:sz="6" w:space="0"/>
            </w:tcBorders>
            <w:vAlign w:val="center"/>
          </w:tcPr>
          <w:p w14:paraId="7EFFFB14">
            <w:pPr>
              <w:spacing w:line="260" w:lineRule="exact"/>
              <w:jc w:val="center"/>
              <w:rPr>
                <w:rFonts w:ascii="宋体" w:hAnsi="宋体" w:eastAsia="宋体" w:cs="宋体"/>
                <w:szCs w:val="21"/>
              </w:rPr>
            </w:pPr>
            <w:r>
              <w:rPr>
                <w:rFonts w:hint="eastAsia" w:ascii="宋体" w:hAnsi="宋体" w:eastAsia="宋体" w:cs="宋体"/>
                <w:szCs w:val="21"/>
              </w:rPr>
              <w:t>投标报价</w:t>
            </w:r>
          </w:p>
        </w:tc>
        <w:tc>
          <w:tcPr>
            <w:tcW w:w="7028" w:type="dxa"/>
            <w:tcBorders>
              <w:top w:val="single" w:color="000000" w:sz="6" w:space="0"/>
              <w:left w:val="single" w:color="000000" w:sz="6" w:space="0"/>
              <w:bottom w:val="single" w:color="000000" w:sz="6" w:space="0"/>
              <w:right w:val="single" w:color="000000" w:sz="12" w:space="0"/>
            </w:tcBorders>
            <w:vAlign w:val="center"/>
          </w:tcPr>
          <w:p w14:paraId="3C15E998">
            <w:pPr>
              <w:spacing w:line="340" w:lineRule="exact"/>
              <w:ind w:left="147" w:leftChars="70"/>
              <w:rPr>
                <w:rFonts w:ascii="宋体" w:hAnsi="宋体" w:eastAsia="宋体" w:cs="宋体"/>
                <w:szCs w:val="21"/>
              </w:rPr>
            </w:pPr>
            <w:r>
              <w:rPr>
                <w:rFonts w:hint="eastAsia" w:ascii="宋体" w:hAnsi="宋体" w:eastAsia="宋体" w:cs="宋体"/>
                <w:szCs w:val="21"/>
              </w:rPr>
              <w:t xml:space="preserve">补充第3.2.3 </w:t>
            </w:r>
          </w:p>
          <w:p w14:paraId="78609142">
            <w:pPr>
              <w:spacing w:line="340" w:lineRule="exact"/>
              <w:ind w:left="147" w:leftChars="70"/>
              <w:rPr>
                <w:rFonts w:ascii="宋体" w:hAnsi="宋体" w:eastAsia="宋体" w:cs="宋体"/>
                <w:b/>
                <w:bCs/>
                <w:szCs w:val="21"/>
              </w:rPr>
            </w:pPr>
            <w:r>
              <w:rPr>
                <w:rFonts w:hint="eastAsia" w:ascii="宋体" w:hAnsi="宋体" w:eastAsia="宋体" w:cs="宋体"/>
                <w:b/>
                <w:bCs/>
                <w:szCs w:val="21"/>
              </w:rPr>
              <w:t>工程量清单预算审核价为</w:t>
            </w:r>
            <w:r>
              <w:rPr>
                <w:rFonts w:hint="eastAsia" w:ascii="Times New Roman" w:hAnsi="宋体" w:cs="宋体"/>
                <w:b/>
                <w:kern w:val="0"/>
                <w:szCs w:val="22"/>
                <w:u w:val="single"/>
                <w:lang w:bidi="zh-CN"/>
              </w:rPr>
              <w:t>539057</w:t>
            </w:r>
            <w:r>
              <w:rPr>
                <w:rFonts w:hint="eastAsia" w:ascii="宋体" w:hAnsi="宋体" w:eastAsia="宋体" w:cs="宋体"/>
                <w:b/>
                <w:bCs/>
                <w:szCs w:val="21"/>
                <w:u w:val="single"/>
              </w:rPr>
              <w:t>元</w:t>
            </w:r>
            <w:r>
              <w:rPr>
                <w:rFonts w:hint="eastAsia" w:ascii="宋体" w:hAnsi="宋体" w:eastAsia="宋体" w:cs="宋体"/>
                <w:b/>
                <w:bCs/>
                <w:szCs w:val="21"/>
              </w:rPr>
              <w:t>，投标报价有效范围为10%～15%（含10%和15%），投标人报价超出此区间范围作否决投标处理。</w:t>
            </w:r>
          </w:p>
        </w:tc>
      </w:tr>
      <w:tr w14:paraId="006A90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9"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6E8118D4">
            <w:pPr>
              <w:spacing w:line="260" w:lineRule="exact"/>
              <w:jc w:val="center"/>
              <w:rPr>
                <w:rFonts w:ascii="宋体" w:hAnsi="宋体" w:eastAsia="宋体" w:cs="宋体"/>
                <w:szCs w:val="21"/>
              </w:rPr>
            </w:pPr>
            <w:r>
              <w:rPr>
                <w:rFonts w:hint="eastAsia" w:ascii="宋体" w:hAnsi="宋体" w:eastAsia="宋体" w:cs="宋体"/>
                <w:szCs w:val="21"/>
              </w:rPr>
              <w:t>3.4</w:t>
            </w:r>
          </w:p>
        </w:tc>
        <w:tc>
          <w:tcPr>
            <w:tcW w:w="2705" w:type="dxa"/>
            <w:tcBorders>
              <w:top w:val="single" w:color="000000" w:sz="6" w:space="0"/>
              <w:left w:val="single" w:color="000000" w:sz="6" w:space="0"/>
              <w:bottom w:val="single" w:color="000000" w:sz="6" w:space="0"/>
              <w:right w:val="single" w:color="000000" w:sz="6" w:space="0"/>
            </w:tcBorders>
            <w:vAlign w:val="center"/>
          </w:tcPr>
          <w:p w14:paraId="563D5AD8">
            <w:pPr>
              <w:spacing w:line="260" w:lineRule="exact"/>
              <w:jc w:val="center"/>
              <w:rPr>
                <w:rFonts w:ascii="宋体" w:hAnsi="宋体" w:eastAsia="宋体" w:cs="宋体"/>
                <w:szCs w:val="21"/>
              </w:rPr>
            </w:pPr>
            <w:r>
              <w:rPr>
                <w:rFonts w:hint="eastAsia" w:ascii="宋体" w:hAnsi="宋体" w:eastAsia="宋体" w:cs="宋体"/>
                <w:szCs w:val="21"/>
              </w:rPr>
              <w:t>投标保证金</w:t>
            </w:r>
          </w:p>
        </w:tc>
        <w:tc>
          <w:tcPr>
            <w:tcW w:w="7028" w:type="dxa"/>
            <w:tcBorders>
              <w:top w:val="single" w:color="000000" w:sz="6" w:space="0"/>
              <w:left w:val="single" w:color="000000" w:sz="6" w:space="0"/>
              <w:bottom w:val="single" w:color="000000" w:sz="6" w:space="0"/>
              <w:right w:val="single" w:color="000000" w:sz="12" w:space="0"/>
            </w:tcBorders>
            <w:vAlign w:val="center"/>
          </w:tcPr>
          <w:p w14:paraId="0A4E9F03">
            <w:pPr>
              <w:spacing w:line="260" w:lineRule="exact"/>
              <w:ind w:left="94" w:leftChars="45"/>
              <w:rPr>
                <w:rFonts w:ascii="宋体" w:hAnsi="宋体" w:eastAsia="宋体" w:cs="宋体"/>
                <w:szCs w:val="21"/>
              </w:rPr>
            </w:pPr>
            <w:r>
              <w:rPr>
                <w:rFonts w:hint="eastAsia" w:ascii="宋体" w:hAnsi="宋体" w:eastAsia="宋体" w:cs="宋体"/>
                <w:szCs w:val="21"/>
              </w:rPr>
              <w:t>第 3.4.3 项细化为：</w:t>
            </w:r>
          </w:p>
          <w:p w14:paraId="0375516F">
            <w:pPr>
              <w:spacing w:line="260" w:lineRule="exact"/>
              <w:ind w:left="94" w:leftChars="45"/>
              <w:rPr>
                <w:rFonts w:ascii="宋体" w:hAnsi="宋体" w:eastAsia="宋体" w:cs="宋体"/>
                <w:szCs w:val="21"/>
              </w:rPr>
            </w:pPr>
            <w:r>
              <w:rPr>
                <w:rFonts w:hint="eastAsia" w:ascii="宋体" w:hAnsi="宋体" w:eastAsia="宋体" w:cs="宋体"/>
                <w:szCs w:val="21"/>
              </w:rPr>
              <w:t>3.4.3</w:t>
            </w:r>
            <w:r>
              <w:rPr>
                <w:rFonts w:hint="eastAsia"/>
              </w:rPr>
              <w:t>未中标的投标人（含无效标的）在开标会议结束后当场退还</w:t>
            </w:r>
            <w:r>
              <w:rPr>
                <w:rFonts w:hint="eastAsia" w:ascii="宋体" w:hAnsi="宋体" w:eastAsia="宋体" w:cs="宋体"/>
                <w:szCs w:val="21"/>
              </w:rPr>
              <w:t>。</w:t>
            </w:r>
          </w:p>
          <w:p w14:paraId="5D132B6B">
            <w:pPr>
              <w:spacing w:line="260" w:lineRule="exact"/>
              <w:ind w:left="94" w:leftChars="45"/>
              <w:rPr>
                <w:rFonts w:ascii="宋体" w:hAnsi="宋体" w:eastAsia="宋体" w:cs="宋体"/>
                <w:szCs w:val="21"/>
              </w:rPr>
            </w:pPr>
            <w:r>
              <w:rPr>
                <w:rFonts w:hint="eastAsia" w:ascii="宋体" w:hAnsi="宋体" w:eastAsia="宋体" w:cs="宋体"/>
                <w:szCs w:val="21"/>
              </w:rPr>
              <w:t>第 3.4.4 项细化为：</w:t>
            </w:r>
          </w:p>
          <w:p w14:paraId="3A7322DE">
            <w:pPr>
              <w:spacing w:line="260" w:lineRule="exact"/>
              <w:ind w:left="94" w:leftChars="45"/>
              <w:rPr>
                <w:rFonts w:ascii="宋体" w:hAnsi="宋体" w:eastAsia="宋体" w:cs="宋体"/>
                <w:szCs w:val="21"/>
              </w:rPr>
            </w:pPr>
            <w:r>
              <w:rPr>
                <w:rFonts w:hint="eastAsia" w:ascii="宋体" w:hAnsi="宋体" w:eastAsia="宋体" w:cs="宋体"/>
                <w:szCs w:val="21"/>
              </w:rPr>
              <w:t>3.4.4 有下列情形之一的，投标保证金将不予退还：</w:t>
            </w:r>
          </w:p>
          <w:p w14:paraId="00C8FB83">
            <w:pPr>
              <w:spacing w:line="260" w:lineRule="exact"/>
              <w:ind w:left="94" w:leftChars="45"/>
              <w:rPr>
                <w:rFonts w:ascii="宋体" w:hAnsi="宋体" w:eastAsia="宋体" w:cs="宋体"/>
                <w:szCs w:val="21"/>
              </w:rPr>
            </w:pPr>
            <w:r>
              <w:rPr>
                <w:rFonts w:hint="eastAsia" w:ascii="宋体" w:hAnsi="宋体" w:eastAsia="宋体" w:cs="宋体"/>
                <w:szCs w:val="21"/>
              </w:rPr>
              <w:t>(1)投标人在规定的投标有效期内撤销或修改其投标文件；</w:t>
            </w:r>
          </w:p>
          <w:p w14:paraId="6A9345BC">
            <w:pPr>
              <w:spacing w:line="260" w:lineRule="exact"/>
              <w:ind w:left="94" w:leftChars="45"/>
              <w:rPr>
                <w:rFonts w:ascii="宋体" w:hAnsi="宋体" w:eastAsia="宋体" w:cs="宋体"/>
                <w:szCs w:val="21"/>
              </w:rPr>
            </w:pPr>
            <w:r>
              <w:rPr>
                <w:rFonts w:hint="eastAsia" w:ascii="宋体" w:hAnsi="宋体" w:eastAsia="宋体" w:cs="宋体"/>
                <w:szCs w:val="21"/>
              </w:rPr>
              <w:t>(2)中标人在收到中标通知书后，无正当理由拒签合同协议书、廉政合同、安全生产合同、工程质量责任合同、工程资金监管协议或未按招标文件规定提交履约担保；</w:t>
            </w:r>
          </w:p>
          <w:p w14:paraId="0908851B">
            <w:pPr>
              <w:spacing w:line="260" w:lineRule="exact"/>
              <w:ind w:left="94" w:leftChars="45"/>
              <w:rPr>
                <w:rFonts w:ascii="宋体" w:hAnsi="宋体" w:eastAsia="宋体" w:cs="宋体"/>
                <w:szCs w:val="21"/>
              </w:rPr>
            </w:pPr>
            <w:r>
              <w:rPr>
                <w:rFonts w:hint="eastAsia" w:ascii="宋体" w:hAnsi="宋体" w:eastAsia="宋体" w:cs="宋体"/>
                <w:szCs w:val="21"/>
              </w:rPr>
              <w:t>(3)投标人不接受依据评标办法的规定对其投标文件中细微偏差进行澄清和补正；</w:t>
            </w:r>
          </w:p>
          <w:p w14:paraId="0A6C2F10">
            <w:pPr>
              <w:spacing w:line="260" w:lineRule="exact"/>
              <w:ind w:left="94" w:leftChars="45"/>
              <w:rPr>
                <w:rFonts w:ascii="宋体" w:hAnsi="宋体" w:eastAsia="宋体" w:cs="宋体"/>
                <w:szCs w:val="21"/>
              </w:rPr>
            </w:pPr>
            <w:r>
              <w:rPr>
                <w:rFonts w:hint="eastAsia" w:ascii="宋体" w:hAnsi="宋体" w:eastAsia="宋体" w:cs="宋体"/>
                <w:szCs w:val="21"/>
              </w:rPr>
              <w:t>(4)投标人提交了虚假资料。</w:t>
            </w:r>
          </w:p>
        </w:tc>
      </w:tr>
      <w:tr w14:paraId="590A4F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56"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78071AB3">
            <w:pPr>
              <w:spacing w:line="260" w:lineRule="exact"/>
              <w:jc w:val="center"/>
              <w:rPr>
                <w:rFonts w:ascii="宋体" w:hAnsi="宋体" w:eastAsia="宋体" w:cs="宋体"/>
                <w:szCs w:val="21"/>
              </w:rPr>
            </w:pPr>
            <w:r>
              <w:rPr>
                <w:rFonts w:hint="eastAsia" w:ascii="宋体" w:hAnsi="宋体" w:eastAsia="宋体" w:cs="宋体"/>
                <w:szCs w:val="21"/>
              </w:rPr>
              <w:t>5.2</w:t>
            </w:r>
          </w:p>
        </w:tc>
        <w:tc>
          <w:tcPr>
            <w:tcW w:w="2705" w:type="dxa"/>
            <w:tcBorders>
              <w:top w:val="single" w:color="000000" w:sz="6" w:space="0"/>
              <w:left w:val="single" w:color="000000" w:sz="6" w:space="0"/>
              <w:bottom w:val="single" w:color="000000" w:sz="6" w:space="0"/>
              <w:right w:val="single" w:color="000000" w:sz="6" w:space="0"/>
            </w:tcBorders>
            <w:vAlign w:val="center"/>
          </w:tcPr>
          <w:p w14:paraId="0F687254">
            <w:pPr>
              <w:spacing w:line="260" w:lineRule="exact"/>
              <w:jc w:val="center"/>
              <w:rPr>
                <w:rFonts w:ascii="宋体" w:hAnsi="宋体" w:eastAsia="宋体" w:cs="宋体"/>
                <w:szCs w:val="21"/>
              </w:rPr>
            </w:pPr>
            <w:r>
              <w:rPr>
                <w:rFonts w:hint="eastAsia" w:ascii="宋体" w:hAnsi="宋体" w:eastAsia="宋体" w:cs="宋体"/>
                <w:szCs w:val="21"/>
              </w:rPr>
              <w:t>开标程序</w:t>
            </w:r>
          </w:p>
        </w:tc>
        <w:tc>
          <w:tcPr>
            <w:tcW w:w="7028" w:type="dxa"/>
            <w:tcBorders>
              <w:top w:val="single" w:color="000000" w:sz="6" w:space="0"/>
              <w:left w:val="single" w:color="000000" w:sz="6" w:space="0"/>
              <w:bottom w:val="single" w:color="000000" w:sz="6" w:space="0"/>
              <w:right w:val="single" w:color="000000" w:sz="12" w:space="0"/>
            </w:tcBorders>
            <w:vAlign w:val="center"/>
          </w:tcPr>
          <w:p w14:paraId="087D9C37">
            <w:pPr>
              <w:spacing w:line="240" w:lineRule="exact"/>
              <w:ind w:left="149" w:leftChars="71"/>
              <w:rPr>
                <w:szCs w:val="21"/>
              </w:rPr>
            </w:pPr>
            <w:r>
              <w:rPr>
                <w:b/>
                <w:bCs/>
                <w:szCs w:val="21"/>
              </w:rPr>
              <w:t>（1）密封情况和人员到场情况检查：</w:t>
            </w:r>
            <w:r>
              <w:rPr>
                <w:szCs w:val="21"/>
              </w:rPr>
              <w:t>由投标人或者其推选的代表检查</w:t>
            </w:r>
            <w:r>
              <w:rPr>
                <w:rFonts w:hint="eastAsia"/>
                <w:szCs w:val="21"/>
              </w:rPr>
              <w:t>密封</w:t>
            </w:r>
            <w:r>
              <w:rPr>
                <w:szCs w:val="21"/>
              </w:rPr>
              <w:t>并签字确认；</w:t>
            </w:r>
          </w:p>
          <w:p w14:paraId="72254A82">
            <w:pPr>
              <w:spacing w:line="240" w:lineRule="exact"/>
              <w:ind w:left="149" w:leftChars="71"/>
              <w:rPr>
                <w:szCs w:val="21"/>
              </w:rPr>
            </w:pPr>
            <w:r>
              <w:rPr>
                <w:b/>
                <w:bCs/>
                <w:szCs w:val="21"/>
              </w:rPr>
              <w:t>（2）</w:t>
            </w:r>
            <w:r>
              <w:rPr>
                <w:b/>
                <w:szCs w:val="21"/>
              </w:rPr>
              <w:t>开标顺序</w:t>
            </w:r>
            <w:r>
              <w:rPr>
                <w:szCs w:val="21"/>
              </w:rPr>
              <w:t>：</w:t>
            </w:r>
            <w:r>
              <w:rPr>
                <w:rFonts w:hint="eastAsia"/>
                <w:szCs w:val="21"/>
              </w:rPr>
              <w:t>直接开投标文件，公布投标报价等主要内容，再抽取评标标底下浮率，最后资格审查推荐中标候选人</w:t>
            </w:r>
            <w:r>
              <w:rPr>
                <w:szCs w:val="21"/>
              </w:rPr>
              <w:t>。</w:t>
            </w:r>
          </w:p>
          <w:p w14:paraId="412820AC">
            <w:pPr>
              <w:pStyle w:val="143"/>
              <w:spacing w:before="18" w:line="201" w:lineRule="auto"/>
              <w:ind w:left="149" w:leftChars="71" w:right="150"/>
              <w:rPr>
                <w:rFonts w:ascii="宋体" w:hAnsi="宋体" w:eastAsia="宋体" w:cs="宋体"/>
                <w:szCs w:val="21"/>
              </w:rPr>
            </w:pPr>
            <w:r>
              <w:rPr>
                <w:sz w:val="21"/>
                <w:szCs w:val="21"/>
              </w:rPr>
              <w:t>投标人对开标</w:t>
            </w:r>
            <w:r>
              <w:rPr>
                <w:rFonts w:hint="eastAsia"/>
                <w:sz w:val="21"/>
                <w:szCs w:val="21"/>
              </w:rPr>
              <w:t>过程</w:t>
            </w:r>
            <w:r>
              <w:rPr>
                <w:sz w:val="21"/>
                <w:szCs w:val="21"/>
              </w:rPr>
              <w:t>有异议的，应该在开标现场提出、招标人（招标代理机构）应当当场作出答复，并制作记录。</w:t>
            </w:r>
          </w:p>
        </w:tc>
      </w:tr>
      <w:tr w14:paraId="52C48E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DB2B803">
            <w:pPr>
              <w:spacing w:line="260" w:lineRule="exact"/>
              <w:jc w:val="center"/>
              <w:rPr>
                <w:rFonts w:ascii="宋体" w:hAnsi="宋体" w:eastAsia="宋体" w:cs="宋体"/>
                <w:szCs w:val="21"/>
              </w:rPr>
            </w:pPr>
            <w:r>
              <w:rPr>
                <w:rFonts w:hint="eastAsia" w:ascii="宋体" w:hAnsi="宋体" w:eastAsia="宋体" w:cs="宋体"/>
                <w:szCs w:val="21"/>
              </w:rPr>
              <w:t>6.3</w:t>
            </w:r>
          </w:p>
        </w:tc>
        <w:tc>
          <w:tcPr>
            <w:tcW w:w="2705" w:type="dxa"/>
            <w:tcBorders>
              <w:top w:val="single" w:color="000000" w:sz="6" w:space="0"/>
              <w:left w:val="single" w:color="000000" w:sz="6" w:space="0"/>
              <w:bottom w:val="single" w:color="000000" w:sz="6" w:space="0"/>
              <w:right w:val="single" w:color="000000" w:sz="6" w:space="0"/>
            </w:tcBorders>
            <w:vAlign w:val="center"/>
          </w:tcPr>
          <w:p w14:paraId="6C8FC16B">
            <w:pPr>
              <w:jc w:val="center"/>
              <w:rPr>
                <w:rFonts w:ascii="宋体" w:hAnsi="宋体" w:eastAsia="宋体" w:cs="宋体"/>
                <w:szCs w:val="21"/>
              </w:rPr>
            </w:pPr>
            <w:r>
              <w:rPr>
                <w:szCs w:val="21"/>
              </w:rPr>
              <w:t>中标候选人名数</w:t>
            </w:r>
          </w:p>
        </w:tc>
        <w:tc>
          <w:tcPr>
            <w:tcW w:w="7028" w:type="dxa"/>
            <w:tcBorders>
              <w:top w:val="single" w:color="000000" w:sz="6" w:space="0"/>
              <w:left w:val="single" w:color="000000" w:sz="6" w:space="0"/>
              <w:bottom w:val="single" w:color="000000" w:sz="6" w:space="0"/>
              <w:right w:val="single" w:color="000000" w:sz="12" w:space="0"/>
            </w:tcBorders>
            <w:vAlign w:val="center"/>
          </w:tcPr>
          <w:p w14:paraId="2D9A0BDF">
            <w:pPr>
              <w:ind w:firstLine="210" w:firstLineChars="100"/>
              <w:rPr>
                <w:rFonts w:ascii="宋体" w:hAnsi="宋体" w:eastAsia="宋体" w:cs="宋体"/>
                <w:szCs w:val="21"/>
              </w:rPr>
            </w:pPr>
            <w:r>
              <w:t>推荐一名中标候选人。</w:t>
            </w:r>
          </w:p>
        </w:tc>
      </w:tr>
      <w:tr w14:paraId="6DC54D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8"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6EB1D4E9">
            <w:pPr>
              <w:spacing w:line="260" w:lineRule="exact"/>
              <w:jc w:val="center"/>
              <w:rPr>
                <w:rFonts w:ascii="宋体" w:hAnsi="宋体" w:eastAsia="宋体" w:cs="宋体"/>
                <w:szCs w:val="21"/>
              </w:rPr>
            </w:pPr>
            <w:r>
              <w:rPr>
                <w:rFonts w:hint="eastAsia" w:ascii="宋体" w:hAnsi="宋体" w:eastAsia="宋体" w:cs="宋体"/>
                <w:szCs w:val="21"/>
              </w:rPr>
              <w:t>7.2</w:t>
            </w:r>
          </w:p>
        </w:tc>
        <w:tc>
          <w:tcPr>
            <w:tcW w:w="2705" w:type="dxa"/>
            <w:tcBorders>
              <w:top w:val="single" w:color="000000" w:sz="6" w:space="0"/>
              <w:left w:val="single" w:color="000000" w:sz="6" w:space="0"/>
              <w:bottom w:val="single" w:color="000000" w:sz="6" w:space="0"/>
              <w:right w:val="single" w:color="000000" w:sz="6" w:space="0"/>
            </w:tcBorders>
            <w:vAlign w:val="center"/>
          </w:tcPr>
          <w:p w14:paraId="5710DC97">
            <w:pPr>
              <w:spacing w:line="260" w:lineRule="exact"/>
              <w:jc w:val="center"/>
              <w:rPr>
                <w:rFonts w:ascii="宋体" w:hAnsi="宋体" w:eastAsia="宋体" w:cs="宋体"/>
                <w:szCs w:val="21"/>
              </w:rPr>
            </w:pPr>
            <w:r>
              <w:rPr>
                <w:rFonts w:hint="eastAsia" w:ascii="宋体" w:hAnsi="宋体" w:eastAsia="宋体" w:cs="宋体"/>
                <w:szCs w:val="21"/>
              </w:rPr>
              <w:t>中标通知</w:t>
            </w:r>
          </w:p>
        </w:tc>
        <w:tc>
          <w:tcPr>
            <w:tcW w:w="7028" w:type="dxa"/>
            <w:tcBorders>
              <w:top w:val="single" w:color="000000" w:sz="6" w:space="0"/>
              <w:left w:val="single" w:color="000000" w:sz="6" w:space="0"/>
              <w:bottom w:val="single" w:color="000000" w:sz="6" w:space="0"/>
              <w:right w:val="single" w:color="000000" w:sz="12" w:space="0"/>
            </w:tcBorders>
            <w:vAlign w:val="center"/>
          </w:tcPr>
          <w:p w14:paraId="11825E32">
            <w:pPr>
              <w:spacing w:line="260" w:lineRule="exact"/>
              <w:ind w:left="94" w:leftChars="45"/>
              <w:rPr>
                <w:rFonts w:ascii="宋体" w:hAnsi="宋体" w:eastAsia="宋体" w:cs="宋体"/>
                <w:szCs w:val="21"/>
              </w:rPr>
            </w:pPr>
            <w:r>
              <w:rPr>
                <w:rFonts w:hint="eastAsia" w:ascii="宋体" w:hAnsi="宋体" w:eastAsia="宋体" w:cs="宋体"/>
                <w:szCs w:val="21"/>
              </w:rPr>
              <w:t>第7.2.3款细化为：</w:t>
            </w:r>
          </w:p>
          <w:p w14:paraId="4106D53C">
            <w:pPr>
              <w:spacing w:line="350" w:lineRule="exact"/>
              <w:ind w:left="94" w:leftChars="45" w:firstLine="105" w:firstLineChars="50"/>
              <w:rPr>
                <w:rFonts w:ascii="宋体" w:hAnsi="宋体" w:eastAsia="宋体" w:cs="宋体"/>
                <w:szCs w:val="21"/>
              </w:rPr>
            </w:pPr>
            <w:r>
              <w:rPr>
                <w:rFonts w:hint="eastAsia" w:ascii="宋体" w:hAnsi="宋体" w:eastAsia="宋体" w:cs="宋体"/>
                <w:szCs w:val="21"/>
              </w:rPr>
              <w:t>在本章第3.3款规定的投标有效期内，发包人以书面形式向中标人发出中标通知书，同时将中标候选人中标情况在三门县公共资源交易中心公示 3 天（最后一天</w:t>
            </w:r>
            <w:r>
              <w:rPr>
                <w:rFonts w:ascii="宋体" w:hAnsi="宋体" w:eastAsia="宋体" w:cs="宋体"/>
                <w:szCs w:val="21"/>
              </w:rPr>
              <w:t>为工作日</w:t>
            </w:r>
            <w:r>
              <w:rPr>
                <w:rFonts w:hint="eastAsia" w:ascii="宋体" w:hAnsi="宋体" w:eastAsia="宋体" w:cs="宋体"/>
                <w:szCs w:val="21"/>
              </w:rPr>
              <w:t>）</w:t>
            </w:r>
          </w:p>
        </w:tc>
      </w:tr>
      <w:tr w14:paraId="3C8D3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045B6F4F">
            <w:pPr>
              <w:spacing w:line="260" w:lineRule="exact"/>
              <w:jc w:val="center"/>
              <w:rPr>
                <w:rFonts w:ascii="宋体" w:hAnsi="宋体" w:eastAsia="宋体" w:cs="宋体"/>
                <w:szCs w:val="21"/>
              </w:rPr>
            </w:pPr>
            <w:r>
              <w:rPr>
                <w:rFonts w:hint="eastAsia" w:ascii="宋体" w:hAnsi="宋体" w:eastAsia="宋体" w:cs="宋体"/>
                <w:szCs w:val="21"/>
              </w:rPr>
              <w:t>7.3</w:t>
            </w:r>
          </w:p>
        </w:tc>
        <w:tc>
          <w:tcPr>
            <w:tcW w:w="2705" w:type="dxa"/>
            <w:tcBorders>
              <w:top w:val="single" w:color="000000" w:sz="6" w:space="0"/>
              <w:left w:val="single" w:color="000000" w:sz="6" w:space="0"/>
              <w:bottom w:val="single" w:color="000000" w:sz="6" w:space="0"/>
              <w:right w:val="single" w:color="000000" w:sz="6" w:space="0"/>
            </w:tcBorders>
            <w:vAlign w:val="center"/>
          </w:tcPr>
          <w:p w14:paraId="1F420A05">
            <w:pPr>
              <w:spacing w:line="260" w:lineRule="exact"/>
              <w:jc w:val="center"/>
              <w:rPr>
                <w:rFonts w:ascii="宋体" w:hAnsi="宋体" w:eastAsia="宋体" w:cs="宋体"/>
                <w:szCs w:val="21"/>
              </w:rPr>
            </w:pPr>
            <w:r>
              <w:rPr>
                <w:rFonts w:hint="eastAsia" w:ascii="宋体" w:hAnsi="宋体" w:eastAsia="宋体" w:cs="宋体"/>
                <w:szCs w:val="21"/>
              </w:rPr>
              <w:t>履约担保</w:t>
            </w:r>
          </w:p>
        </w:tc>
        <w:tc>
          <w:tcPr>
            <w:tcW w:w="7028" w:type="dxa"/>
            <w:tcBorders>
              <w:top w:val="single" w:color="000000" w:sz="6" w:space="0"/>
              <w:left w:val="single" w:color="000000" w:sz="6" w:space="0"/>
              <w:bottom w:val="single" w:color="000000" w:sz="6" w:space="0"/>
              <w:right w:val="single" w:color="000000" w:sz="12" w:space="0"/>
            </w:tcBorders>
            <w:vAlign w:val="center"/>
          </w:tcPr>
          <w:p w14:paraId="5AECEE95">
            <w:pPr>
              <w:spacing w:line="350" w:lineRule="exact"/>
              <w:ind w:left="94" w:leftChars="45"/>
              <w:rPr>
                <w:rFonts w:ascii="宋体" w:hAnsi="宋体" w:eastAsia="宋体" w:cs="宋体"/>
                <w:szCs w:val="21"/>
              </w:rPr>
            </w:pPr>
            <w:r>
              <w:rPr>
                <w:rFonts w:hint="eastAsia" w:ascii="宋体" w:hAnsi="宋体" w:eastAsia="宋体" w:cs="宋体"/>
                <w:szCs w:val="21"/>
              </w:rPr>
              <w:t>第 7.3.1 项细化为：</w:t>
            </w:r>
          </w:p>
          <w:p w14:paraId="40A006D8">
            <w:pPr>
              <w:spacing w:line="350" w:lineRule="exact"/>
              <w:ind w:left="94" w:leftChars="45" w:firstLine="420" w:firstLineChars="200"/>
              <w:rPr>
                <w:rFonts w:ascii="宋体" w:hAnsi="宋体" w:eastAsia="宋体" w:cs="宋体"/>
                <w:szCs w:val="21"/>
              </w:rPr>
            </w:pPr>
            <w:r>
              <w:rPr>
                <w:rFonts w:hint="eastAsia" w:ascii="宋体" w:hAnsi="宋体" w:eastAsia="宋体" w:cs="宋体"/>
                <w:szCs w:val="21"/>
              </w:rPr>
              <w:t>7.3.1 在签订合同前，中标人应按投标人须知前附表规定的金额、担保形式和招标文件第四章“合同条款及格式”规定的履约担保格式向发包人提交履约担保。联合体中标的，其履约担保由牵头人递交，并应符合投标人须知前附表规定的金额、担保形式和招标文件第四章“合同条款及格式”规定的履约担保格式要求。</w:t>
            </w:r>
          </w:p>
          <w:p w14:paraId="2CB2A1E4">
            <w:pPr>
              <w:spacing w:line="350" w:lineRule="exact"/>
              <w:ind w:left="94" w:leftChars="45" w:firstLine="420" w:firstLineChars="200"/>
              <w:rPr>
                <w:rFonts w:ascii="宋体" w:hAnsi="宋体" w:eastAsia="宋体" w:cs="宋体"/>
                <w:szCs w:val="21"/>
              </w:rPr>
            </w:pPr>
            <w:r>
              <w:rPr>
                <w:rFonts w:hint="eastAsia" w:ascii="宋体" w:hAnsi="宋体" w:eastAsia="宋体" w:cs="宋体"/>
                <w:szCs w:val="21"/>
              </w:rPr>
              <w:t>采用银行保函时，出具银行保函的银行级别在投标人须知前附表中说明，所需的费用由中标人承担，中标人应保证银行保函有效。</w:t>
            </w:r>
          </w:p>
          <w:p w14:paraId="69373DB9">
            <w:pPr>
              <w:spacing w:line="350" w:lineRule="exact"/>
              <w:ind w:left="94" w:leftChars="45"/>
              <w:rPr>
                <w:rFonts w:ascii="宋体" w:hAnsi="宋体" w:eastAsia="宋体" w:cs="宋体"/>
                <w:szCs w:val="21"/>
              </w:rPr>
            </w:pPr>
            <w:r>
              <w:rPr>
                <w:rFonts w:hint="eastAsia" w:ascii="宋体" w:hAnsi="宋体" w:eastAsia="宋体" w:cs="宋体"/>
                <w:szCs w:val="21"/>
              </w:rPr>
              <w:t>第 7.3.2 项细化为：</w:t>
            </w:r>
          </w:p>
          <w:p w14:paraId="66A693DC">
            <w:pPr>
              <w:spacing w:line="350" w:lineRule="exact"/>
              <w:ind w:left="94" w:leftChars="45"/>
              <w:rPr>
                <w:rFonts w:ascii="宋体" w:hAnsi="宋体" w:eastAsia="宋体" w:cs="宋体"/>
                <w:szCs w:val="21"/>
              </w:rPr>
            </w:pPr>
            <w:r>
              <w:rPr>
                <w:rFonts w:hint="eastAsia" w:ascii="宋体" w:hAnsi="宋体" w:eastAsia="宋体" w:cs="宋体"/>
                <w:szCs w:val="21"/>
              </w:rPr>
              <w:t>7.3.2 中标人不能按本章第 7.3.1 项要求提交履约担保的，视为放弃中标，其投标保证金不予退还，给发包人造成的损失超过投标保证金数额的，中标人还应当对超过部分予以赔偿。</w:t>
            </w:r>
          </w:p>
        </w:tc>
      </w:tr>
      <w:tr w14:paraId="11F516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15002D4">
            <w:pPr>
              <w:spacing w:line="260" w:lineRule="exact"/>
              <w:jc w:val="center"/>
              <w:rPr>
                <w:rFonts w:ascii="宋体" w:hAnsi="宋体" w:eastAsia="宋体" w:cs="宋体"/>
                <w:szCs w:val="21"/>
              </w:rPr>
            </w:pPr>
            <w:r>
              <w:rPr>
                <w:rFonts w:hint="eastAsia" w:ascii="宋体" w:hAnsi="宋体" w:eastAsia="宋体" w:cs="宋体"/>
                <w:szCs w:val="21"/>
              </w:rPr>
              <w:t>7.4</w:t>
            </w:r>
          </w:p>
        </w:tc>
        <w:tc>
          <w:tcPr>
            <w:tcW w:w="2705" w:type="dxa"/>
            <w:tcBorders>
              <w:top w:val="single" w:color="000000" w:sz="6" w:space="0"/>
              <w:left w:val="single" w:color="000000" w:sz="6" w:space="0"/>
              <w:bottom w:val="single" w:color="000000" w:sz="6" w:space="0"/>
              <w:right w:val="single" w:color="000000" w:sz="6" w:space="0"/>
            </w:tcBorders>
            <w:vAlign w:val="center"/>
          </w:tcPr>
          <w:p w14:paraId="400783ED">
            <w:pPr>
              <w:spacing w:line="260" w:lineRule="exact"/>
              <w:jc w:val="center"/>
              <w:rPr>
                <w:rFonts w:ascii="宋体" w:hAnsi="宋体" w:eastAsia="宋体" w:cs="宋体"/>
                <w:szCs w:val="21"/>
              </w:rPr>
            </w:pPr>
            <w:r>
              <w:rPr>
                <w:rFonts w:hint="eastAsia" w:ascii="宋体" w:hAnsi="宋体" w:eastAsia="宋体" w:cs="宋体"/>
                <w:szCs w:val="21"/>
              </w:rPr>
              <w:t>签订合同</w:t>
            </w:r>
          </w:p>
        </w:tc>
        <w:tc>
          <w:tcPr>
            <w:tcW w:w="7028" w:type="dxa"/>
            <w:tcBorders>
              <w:top w:val="single" w:color="000000" w:sz="6" w:space="0"/>
              <w:left w:val="single" w:color="000000" w:sz="6" w:space="0"/>
              <w:bottom w:val="single" w:color="000000" w:sz="6" w:space="0"/>
              <w:right w:val="single" w:color="000000" w:sz="12" w:space="0"/>
            </w:tcBorders>
            <w:vAlign w:val="center"/>
          </w:tcPr>
          <w:p w14:paraId="3BE0CEC4">
            <w:pPr>
              <w:spacing w:line="350" w:lineRule="exact"/>
              <w:ind w:left="94" w:leftChars="45"/>
              <w:rPr>
                <w:rFonts w:ascii="宋体" w:hAnsi="宋体" w:eastAsia="宋体" w:cs="宋体"/>
                <w:szCs w:val="21"/>
              </w:rPr>
            </w:pPr>
            <w:r>
              <w:rPr>
                <w:rFonts w:hint="eastAsia" w:ascii="宋体" w:hAnsi="宋体" w:eastAsia="宋体" w:cs="宋体"/>
                <w:szCs w:val="21"/>
              </w:rPr>
              <w:t>第 7.4.1 项细化为：</w:t>
            </w:r>
          </w:p>
          <w:p w14:paraId="1CCE4046">
            <w:pPr>
              <w:spacing w:line="350" w:lineRule="exact"/>
              <w:ind w:left="94" w:leftChars="45"/>
              <w:rPr>
                <w:rFonts w:ascii="宋体" w:hAnsi="宋体" w:eastAsia="宋体" w:cs="宋体"/>
                <w:szCs w:val="21"/>
              </w:rPr>
            </w:pPr>
            <w:r>
              <w:rPr>
                <w:rFonts w:hint="eastAsia" w:ascii="宋体" w:hAnsi="宋体" w:eastAsia="宋体" w:cs="宋体"/>
                <w:szCs w:val="21"/>
              </w:rPr>
              <w:t>7.4.1 发包人和中标人应当自中标通知书发出之日起 30 天内，根据招标文件和中标人的投标文件订立书面合同。中标人无正当理由拒签合同的，发包人取消其中标资格，其投标保证金不予退还；给发包人造成的损失超过投标保证金数额的，中标人还应当对超过部分予以赔偿。</w:t>
            </w:r>
          </w:p>
          <w:p w14:paraId="617A7F54">
            <w:pPr>
              <w:spacing w:line="350" w:lineRule="exact"/>
              <w:ind w:left="94" w:leftChars="45"/>
              <w:rPr>
                <w:rFonts w:ascii="宋体" w:hAnsi="宋体" w:eastAsia="宋体" w:cs="宋体"/>
                <w:szCs w:val="21"/>
              </w:rPr>
            </w:pPr>
            <w:r>
              <w:rPr>
                <w:rFonts w:hint="eastAsia" w:ascii="宋体" w:hAnsi="宋体" w:eastAsia="宋体" w:cs="宋体"/>
                <w:szCs w:val="21"/>
              </w:rPr>
              <w:t>第 7.4.2 项细化为：</w:t>
            </w:r>
          </w:p>
          <w:p w14:paraId="165121C1">
            <w:pPr>
              <w:spacing w:line="350" w:lineRule="exact"/>
              <w:ind w:left="94" w:leftChars="45"/>
              <w:rPr>
                <w:rFonts w:ascii="宋体" w:hAnsi="宋体" w:eastAsia="宋体" w:cs="宋体"/>
                <w:szCs w:val="21"/>
              </w:rPr>
            </w:pPr>
            <w:r>
              <w:rPr>
                <w:rFonts w:hint="eastAsia" w:ascii="宋体" w:hAnsi="宋体" w:eastAsia="宋体" w:cs="宋体"/>
                <w:szCs w:val="21"/>
              </w:rPr>
              <w:t>7.4.2 发出中标通知书后，发包人无正当理由拒签合同的，发包人向中标人退还投标保证金；给中标人造成损失的，还应当赔偿损失。</w:t>
            </w:r>
          </w:p>
          <w:p w14:paraId="5D52CDAF">
            <w:pPr>
              <w:spacing w:line="350" w:lineRule="exact"/>
              <w:ind w:left="94" w:leftChars="45"/>
              <w:rPr>
                <w:rFonts w:ascii="宋体" w:hAnsi="宋体" w:eastAsia="宋体" w:cs="宋体"/>
                <w:szCs w:val="21"/>
              </w:rPr>
            </w:pPr>
            <w:r>
              <w:rPr>
                <w:rFonts w:hint="eastAsia" w:ascii="宋体" w:hAnsi="宋体" w:eastAsia="宋体" w:cs="宋体"/>
                <w:szCs w:val="21"/>
              </w:rPr>
              <w:t>7.4.3修改为：签约合同价确定原则如下：</w:t>
            </w:r>
          </w:p>
          <w:p w14:paraId="3501F147">
            <w:pPr>
              <w:spacing w:line="340" w:lineRule="exact"/>
              <w:ind w:left="94" w:leftChars="45"/>
              <w:rPr>
                <w:rFonts w:ascii="宋体" w:hAnsi="宋体" w:eastAsia="宋体" w:cs="宋体"/>
                <w:szCs w:val="21"/>
              </w:rPr>
            </w:pPr>
            <w:r>
              <w:rPr>
                <w:rFonts w:hint="eastAsia" w:ascii="宋体" w:hAnsi="宋体" w:eastAsia="宋体" w:cs="宋体"/>
                <w:szCs w:val="21"/>
              </w:rPr>
              <w:t>签约合同价=招标人预算审核价*（1-评标标底下浮率）</w:t>
            </w:r>
          </w:p>
          <w:p w14:paraId="7AA1D6DF">
            <w:pPr>
              <w:spacing w:line="340" w:lineRule="exact"/>
              <w:ind w:left="94" w:leftChars="45"/>
              <w:rPr>
                <w:rFonts w:ascii="宋体" w:hAnsi="宋体" w:eastAsia="宋体" w:cs="宋体"/>
                <w:szCs w:val="21"/>
              </w:rPr>
            </w:pPr>
            <w:r>
              <w:rPr>
                <w:rFonts w:hint="eastAsia" w:ascii="宋体" w:hAnsi="宋体" w:eastAsia="宋体" w:cs="宋体"/>
                <w:szCs w:val="21"/>
              </w:rPr>
              <w:t>第 7.4.4 项细化为：</w:t>
            </w:r>
          </w:p>
          <w:p w14:paraId="11D9330B">
            <w:pPr>
              <w:spacing w:line="340" w:lineRule="exact"/>
              <w:ind w:left="94" w:leftChars="45"/>
              <w:rPr>
                <w:rFonts w:ascii="宋体" w:hAnsi="宋体" w:eastAsia="宋体" w:cs="宋体"/>
                <w:szCs w:val="21"/>
              </w:rPr>
            </w:pPr>
            <w:r>
              <w:rPr>
                <w:rFonts w:hint="eastAsia" w:ascii="宋体" w:hAnsi="宋体" w:eastAsia="宋体" w:cs="宋体"/>
                <w:szCs w:val="21"/>
              </w:rPr>
              <w:t>7.4.4 合同协议书经双方法定代表人或其授权的代理人签署并加盖单位章后生效。发包人和中标人在签订合同协议书的同时需按照本招标文件规定的格式和要求签订廉政合同、安全生产合同、工程质量责任合同，明确双方在廉政建设、安全生产、工程质量方面的权利和义务以及应承担的违约责任。</w:t>
            </w:r>
          </w:p>
          <w:p w14:paraId="1FD5B7A8">
            <w:pPr>
              <w:spacing w:line="340" w:lineRule="exact"/>
              <w:ind w:left="94" w:leftChars="45"/>
              <w:rPr>
                <w:rFonts w:ascii="宋体" w:hAnsi="宋体" w:eastAsia="宋体" w:cs="宋体"/>
                <w:szCs w:val="21"/>
              </w:rPr>
            </w:pPr>
            <w:r>
              <w:rPr>
                <w:rFonts w:hint="eastAsia" w:ascii="宋体" w:hAnsi="宋体" w:eastAsia="宋体" w:cs="宋体"/>
                <w:szCs w:val="21"/>
              </w:rPr>
              <w:t>第 7.4.5 项细化为：</w:t>
            </w:r>
          </w:p>
          <w:p w14:paraId="623535E9">
            <w:pPr>
              <w:spacing w:line="340" w:lineRule="exact"/>
              <w:ind w:left="94" w:leftChars="45"/>
              <w:rPr>
                <w:rFonts w:ascii="宋体" w:hAnsi="宋体" w:eastAsia="宋体" w:cs="宋体"/>
                <w:szCs w:val="21"/>
              </w:rPr>
            </w:pPr>
            <w:r>
              <w:rPr>
                <w:rFonts w:hint="eastAsia" w:ascii="宋体" w:hAnsi="宋体" w:eastAsia="宋体" w:cs="宋体"/>
                <w:szCs w:val="21"/>
              </w:rPr>
              <w:t>7.4.5 如果根据本章第3.5.8 项、第 7.3.2 项或第 7.4.1 项规定，发包人取消了中标人的中标资格，或中标候选人放弃中标、或因不可抗力不能履行合同，或者被查实存在影响中标结果的违法行为等情形，中标候选人不符合中标条件的，发包人按规定重新组织招标。</w:t>
            </w:r>
          </w:p>
        </w:tc>
      </w:tr>
      <w:tr w14:paraId="62A7EB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427D5706">
            <w:pPr>
              <w:spacing w:line="260" w:lineRule="exact"/>
              <w:jc w:val="center"/>
              <w:rPr>
                <w:rFonts w:ascii="宋体" w:hAnsi="宋体" w:eastAsia="宋体" w:cs="宋体"/>
                <w:szCs w:val="21"/>
              </w:rPr>
            </w:pPr>
            <w:r>
              <w:rPr>
                <w:rFonts w:hint="eastAsia" w:ascii="宋体" w:hAnsi="宋体" w:eastAsia="宋体" w:cs="宋体"/>
                <w:szCs w:val="21"/>
              </w:rPr>
              <w:t>8.1</w:t>
            </w:r>
          </w:p>
        </w:tc>
        <w:tc>
          <w:tcPr>
            <w:tcW w:w="2705" w:type="dxa"/>
            <w:tcBorders>
              <w:top w:val="single" w:color="000000" w:sz="6" w:space="0"/>
              <w:left w:val="single" w:color="000000" w:sz="6" w:space="0"/>
              <w:bottom w:val="single" w:color="000000" w:sz="6" w:space="0"/>
              <w:right w:val="single" w:color="000000" w:sz="6" w:space="0"/>
            </w:tcBorders>
            <w:vAlign w:val="center"/>
          </w:tcPr>
          <w:p w14:paraId="5CE71C3E">
            <w:pPr>
              <w:spacing w:line="260" w:lineRule="exact"/>
              <w:jc w:val="center"/>
              <w:rPr>
                <w:rFonts w:ascii="宋体" w:hAnsi="宋体" w:eastAsia="宋体" w:cs="宋体"/>
                <w:szCs w:val="21"/>
              </w:rPr>
            </w:pPr>
            <w:r>
              <w:rPr>
                <w:rFonts w:hint="eastAsia" w:ascii="宋体" w:hAnsi="宋体" w:eastAsia="宋体" w:cs="宋体"/>
                <w:szCs w:val="21"/>
              </w:rPr>
              <w:t>重新招标</w:t>
            </w:r>
          </w:p>
        </w:tc>
        <w:tc>
          <w:tcPr>
            <w:tcW w:w="7028" w:type="dxa"/>
            <w:tcBorders>
              <w:top w:val="single" w:color="000000" w:sz="6" w:space="0"/>
              <w:left w:val="single" w:color="000000" w:sz="6" w:space="0"/>
              <w:bottom w:val="single" w:color="000000" w:sz="6" w:space="0"/>
              <w:right w:val="single" w:color="000000" w:sz="12" w:space="0"/>
            </w:tcBorders>
            <w:vAlign w:val="center"/>
          </w:tcPr>
          <w:p w14:paraId="61C6D8BD">
            <w:pPr>
              <w:spacing w:line="320" w:lineRule="exact"/>
              <w:ind w:left="149" w:leftChars="71"/>
              <w:rPr>
                <w:rFonts w:ascii="宋体" w:hAnsi="宋体" w:eastAsia="宋体" w:cs="宋体"/>
                <w:szCs w:val="21"/>
              </w:rPr>
            </w:pPr>
            <w:r>
              <w:rPr>
                <w:rFonts w:hint="eastAsia" w:ascii="宋体" w:hAnsi="宋体" w:eastAsia="宋体" w:cs="宋体"/>
                <w:szCs w:val="21"/>
              </w:rPr>
              <w:t>第8.1款细化为：</w:t>
            </w:r>
          </w:p>
          <w:p w14:paraId="3B3FD187">
            <w:pPr>
              <w:spacing w:line="320" w:lineRule="exact"/>
              <w:ind w:left="149" w:leftChars="71"/>
              <w:rPr>
                <w:rFonts w:ascii="宋体" w:hAnsi="宋体" w:eastAsia="宋体" w:cs="宋体"/>
                <w:szCs w:val="21"/>
              </w:rPr>
            </w:pPr>
            <w:r>
              <w:rPr>
                <w:rFonts w:hint="eastAsia" w:ascii="宋体" w:hAnsi="宋体" w:eastAsia="宋体" w:cs="宋体"/>
                <w:szCs w:val="21"/>
              </w:rPr>
              <w:t>有下列情形之一的，发包人将重新招标：</w:t>
            </w:r>
          </w:p>
          <w:p w14:paraId="6245D5E5">
            <w:pPr>
              <w:spacing w:line="320" w:lineRule="exact"/>
              <w:ind w:left="149" w:leftChars="71"/>
              <w:rPr>
                <w:rFonts w:ascii="宋体" w:hAnsi="宋体" w:eastAsia="宋体" w:cs="宋体"/>
                <w:szCs w:val="21"/>
              </w:rPr>
            </w:pPr>
            <w:r>
              <w:rPr>
                <w:rFonts w:hint="eastAsia" w:ascii="宋体" w:hAnsi="宋体" w:eastAsia="宋体" w:cs="宋体"/>
                <w:szCs w:val="21"/>
              </w:rPr>
              <w:t>（1）投标截止时间止，投标人少于3个的；</w:t>
            </w:r>
          </w:p>
          <w:p w14:paraId="658A2778">
            <w:pPr>
              <w:spacing w:line="320" w:lineRule="exact"/>
              <w:ind w:left="149" w:leftChars="71"/>
              <w:rPr>
                <w:rFonts w:ascii="宋体" w:hAnsi="宋体" w:eastAsia="宋体" w:cs="宋体"/>
                <w:szCs w:val="21"/>
              </w:rPr>
            </w:pPr>
            <w:r>
              <w:rPr>
                <w:rFonts w:hint="eastAsia" w:ascii="宋体" w:hAnsi="宋体" w:eastAsia="宋体" w:cs="宋体"/>
                <w:szCs w:val="21"/>
              </w:rPr>
              <w:t>（2）有效投标少于3个，使得投标明显缺乏竞争，否决所有投标的。</w:t>
            </w:r>
          </w:p>
          <w:p w14:paraId="030BD016">
            <w:pPr>
              <w:spacing w:line="320" w:lineRule="exact"/>
              <w:ind w:left="149" w:leftChars="71"/>
              <w:rPr>
                <w:rFonts w:ascii="宋体" w:hAnsi="宋体" w:eastAsia="宋体" w:cs="宋体"/>
                <w:szCs w:val="21"/>
              </w:rPr>
            </w:pPr>
            <w:r>
              <w:rPr>
                <w:rFonts w:hint="eastAsia" w:ascii="宋体" w:hAnsi="宋体" w:eastAsia="宋体" w:cs="宋体"/>
                <w:szCs w:val="21"/>
              </w:rPr>
              <w:t>（3）中标候选人未与发包人签订合同的；</w:t>
            </w:r>
          </w:p>
          <w:p w14:paraId="40E4340A">
            <w:pPr>
              <w:spacing w:line="320" w:lineRule="exact"/>
              <w:ind w:left="149" w:leftChars="71"/>
              <w:rPr>
                <w:rFonts w:ascii="宋体" w:hAnsi="宋体" w:eastAsia="宋体" w:cs="宋体"/>
                <w:szCs w:val="21"/>
              </w:rPr>
            </w:pPr>
            <w:r>
              <w:rPr>
                <w:rFonts w:hint="eastAsia" w:ascii="宋体" w:hAnsi="宋体" w:eastAsia="宋体" w:cs="宋体"/>
                <w:szCs w:val="21"/>
              </w:rPr>
              <w:t>（4）有7.4.5项规定的情形；</w:t>
            </w:r>
          </w:p>
          <w:p w14:paraId="67CFB95C">
            <w:pPr>
              <w:spacing w:line="320" w:lineRule="exact"/>
              <w:ind w:left="149" w:leftChars="71"/>
              <w:rPr>
                <w:rFonts w:ascii="宋体" w:hAnsi="宋体" w:eastAsia="宋体" w:cs="宋体"/>
                <w:szCs w:val="21"/>
              </w:rPr>
            </w:pPr>
            <w:r>
              <w:rPr>
                <w:rFonts w:hint="eastAsia" w:ascii="宋体" w:hAnsi="宋体" w:eastAsia="宋体" w:cs="宋体"/>
                <w:szCs w:val="21"/>
              </w:rPr>
              <w:t>（5）法律规定的其他情形。</w:t>
            </w:r>
          </w:p>
        </w:tc>
      </w:tr>
      <w:tr w14:paraId="58D05D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263C23C1">
            <w:pPr>
              <w:spacing w:line="260" w:lineRule="exact"/>
              <w:jc w:val="center"/>
              <w:rPr>
                <w:rFonts w:ascii="宋体" w:hAnsi="宋体" w:eastAsia="宋体" w:cs="宋体"/>
                <w:szCs w:val="21"/>
              </w:rPr>
            </w:pPr>
            <w:r>
              <w:rPr>
                <w:rFonts w:hint="eastAsia" w:ascii="宋体" w:hAnsi="宋体" w:eastAsia="宋体" w:cs="宋体"/>
                <w:szCs w:val="21"/>
              </w:rPr>
              <w:t>9.5</w:t>
            </w:r>
          </w:p>
        </w:tc>
        <w:tc>
          <w:tcPr>
            <w:tcW w:w="2705" w:type="dxa"/>
            <w:tcBorders>
              <w:top w:val="single" w:color="000000" w:sz="6" w:space="0"/>
              <w:left w:val="single" w:color="000000" w:sz="6" w:space="0"/>
              <w:bottom w:val="single" w:color="000000" w:sz="6" w:space="0"/>
              <w:right w:val="single" w:color="000000" w:sz="6" w:space="0"/>
            </w:tcBorders>
            <w:vAlign w:val="center"/>
          </w:tcPr>
          <w:p w14:paraId="02AD5902">
            <w:pPr>
              <w:spacing w:line="260" w:lineRule="exact"/>
              <w:jc w:val="center"/>
              <w:rPr>
                <w:rFonts w:ascii="宋体" w:hAnsi="宋体" w:eastAsia="宋体" w:cs="宋体"/>
                <w:szCs w:val="21"/>
              </w:rPr>
            </w:pPr>
            <w:r>
              <w:rPr>
                <w:rFonts w:hint="eastAsia" w:ascii="宋体" w:hAnsi="宋体" w:eastAsia="宋体" w:cs="宋体"/>
                <w:szCs w:val="21"/>
              </w:rPr>
              <w:t>投诉</w:t>
            </w:r>
          </w:p>
        </w:tc>
        <w:tc>
          <w:tcPr>
            <w:tcW w:w="7028" w:type="dxa"/>
            <w:tcBorders>
              <w:top w:val="single" w:color="000000" w:sz="6" w:space="0"/>
              <w:left w:val="single" w:color="000000" w:sz="6" w:space="0"/>
              <w:bottom w:val="single" w:color="000000" w:sz="6" w:space="0"/>
              <w:right w:val="single" w:color="000000" w:sz="12" w:space="0"/>
            </w:tcBorders>
            <w:vAlign w:val="center"/>
          </w:tcPr>
          <w:p w14:paraId="532BD734">
            <w:pPr>
              <w:spacing w:line="260" w:lineRule="exact"/>
              <w:ind w:left="149" w:leftChars="71"/>
              <w:rPr>
                <w:rFonts w:ascii="宋体" w:hAnsi="宋体" w:eastAsia="宋体" w:cs="宋体"/>
                <w:szCs w:val="21"/>
              </w:rPr>
            </w:pPr>
            <w:r>
              <w:rPr>
                <w:rFonts w:hint="eastAsia" w:ascii="宋体" w:hAnsi="宋体" w:eastAsia="宋体" w:cs="宋体"/>
                <w:szCs w:val="21"/>
              </w:rPr>
              <w:t>第 9.5 款细化为：</w:t>
            </w:r>
          </w:p>
          <w:p w14:paraId="1A2E59D0">
            <w:pPr>
              <w:spacing w:line="260" w:lineRule="exact"/>
              <w:ind w:left="149" w:leftChars="71"/>
              <w:rPr>
                <w:rFonts w:ascii="宋体" w:hAnsi="宋体" w:eastAsia="宋体" w:cs="宋体"/>
                <w:szCs w:val="21"/>
              </w:rPr>
            </w:pPr>
            <w:r>
              <w:rPr>
                <w:rFonts w:hint="eastAsia" w:ascii="宋体" w:hAnsi="宋体" w:eastAsia="宋体" w:cs="宋体"/>
                <w:szCs w:val="21"/>
              </w:rPr>
              <w:t xml:space="preserve">    潜在投标人或其他利害关系人对招标文件有异议的，应当在投标截止时间 3 日前以书面形式向发包人提出，发包人应当自收到异议之日起 3 日内作出答复。作出答复前，发包人应暂停招投标活动。</w:t>
            </w:r>
          </w:p>
          <w:p w14:paraId="299C5CF2">
            <w:pPr>
              <w:spacing w:line="260" w:lineRule="exact"/>
              <w:ind w:left="149" w:leftChars="71"/>
              <w:rPr>
                <w:rFonts w:ascii="宋体" w:hAnsi="宋体" w:eastAsia="宋体" w:cs="宋体"/>
                <w:szCs w:val="21"/>
              </w:rPr>
            </w:pPr>
            <w:r>
              <w:rPr>
                <w:rFonts w:hint="eastAsia" w:ascii="宋体" w:hAnsi="宋体" w:eastAsia="宋体" w:cs="宋体"/>
                <w:szCs w:val="21"/>
              </w:rPr>
              <w:t xml:space="preserve">    投标人对开标有异议的，应当在开标现场提出，发包人应当当场作出答复，并制作记录。</w:t>
            </w:r>
          </w:p>
          <w:p w14:paraId="5175CC08">
            <w:pPr>
              <w:spacing w:line="260" w:lineRule="exact"/>
              <w:ind w:left="149" w:leftChars="71"/>
              <w:rPr>
                <w:rFonts w:ascii="宋体" w:hAnsi="宋体" w:eastAsia="宋体" w:cs="宋体"/>
                <w:szCs w:val="21"/>
              </w:rPr>
            </w:pPr>
            <w:r>
              <w:rPr>
                <w:rFonts w:hint="eastAsia" w:ascii="宋体" w:hAnsi="宋体" w:eastAsia="宋体" w:cs="宋体"/>
                <w:szCs w:val="21"/>
              </w:rPr>
              <w:t xml:space="preserve">    投标人或其他利害关系人对评标结果有异议的，应当在中标候选人公示期间以书面形式向发包人提出，发包人应当自收到异议之日起 3 日内作出答复。作出答复前，发包人应暂停招投标活动。</w:t>
            </w:r>
          </w:p>
          <w:p w14:paraId="7A3EE17F">
            <w:pPr>
              <w:spacing w:line="260" w:lineRule="exact"/>
              <w:ind w:left="149" w:leftChars="71"/>
              <w:rPr>
                <w:rFonts w:ascii="宋体" w:hAnsi="宋体" w:eastAsia="宋体" w:cs="宋体"/>
                <w:szCs w:val="21"/>
              </w:rPr>
            </w:pPr>
            <w:r>
              <w:rPr>
                <w:rFonts w:hint="eastAsia" w:ascii="宋体" w:hAnsi="宋体" w:eastAsia="宋体" w:cs="宋体"/>
                <w:szCs w:val="21"/>
              </w:rPr>
              <w:t xml:space="preserve">    发包人逾期未答复异议事项，或者潜在投标人或其他利害关系人对发包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 613 号）及《工程建设项目招标投标活动投诉处理办法》（国家七部委令 2004 年第11 号）、国家发改委等九部委 2013 年第 23 号令办理。</w:t>
            </w:r>
          </w:p>
        </w:tc>
      </w:tr>
      <w:tr w14:paraId="0255C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3" w:hRule="atLeast"/>
          <w:jc w:val="center"/>
        </w:trPr>
        <w:tc>
          <w:tcPr>
            <w:tcW w:w="847" w:type="dxa"/>
            <w:tcBorders>
              <w:top w:val="single" w:color="000000" w:sz="6" w:space="0"/>
              <w:left w:val="single" w:color="000000" w:sz="12" w:space="0"/>
              <w:bottom w:val="single" w:color="000000" w:sz="6" w:space="0"/>
              <w:right w:val="single" w:color="000000" w:sz="6" w:space="0"/>
            </w:tcBorders>
            <w:vAlign w:val="center"/>
          </w:tcPr>
          <w:p w14:paraId="3923AE94">
            <w:pPr>
              <w:pStyle w:val="143"/>
              <w:spacing w:before="94" w:line="260" w:lineRule="exact"/>
              <w:ind w:right="234"/>
              <w:jc w:val="center"/>
              <w:rPr>
                <w:rFonts w:ascii="Times New Roman"/>
                <w:sz w:val="21"/>
              </w:rPr>
            </w:pPr>
            <w:r>
              <w:rPr>
                <w:rFonts w:ascii="Times New Roman"/>
                <w:sz w:val="21"/>
              </w:rPr>
              <w:t>1</w:t>
            </w:r>
            <w:r>
              <w:rPr>
                <w:rFonts w:hint="eastAsia" w:ascii="Times New Roman"/>
                <w:sz w:val="21"/>
              </w:rPr>
              <w:t>1</w:t>
            </w:r>
          </w:p>
        </w:tc>
        <w:tc>
          <w:tcPr>
            <w:tcW w:w="9733" w:type="dxa"/>
            <w:gridSpan w:val="2"/>
            <w:tcBorders>
              <w:top w:val="single" w:color="000000" w:sz="6" w:space="0"/>
              <w:left w:val="single" w:color="000000" w:sz="6" w:space="0"/>
              <w:bottom w:val="single" w:color="000000" w:sz="6" w:space="0"/>
              <w:right w:val="single" w:color="000000" w:sz="12" w:space="0"/>
            </w:tcBorders>
            <w:vAlign w:val="center"/>
          </w:tcPr>
          <w:p w14:paraId="43EBF191">
            <w:pPr>
              <w:pStyle w:val="143"/>
              <w:spacing w:line="260" w:lineRule="exact"/>
              <w:jc w:val="center"/>
              <w:rPr>
                <w:rFonts w:ascii="黑体" w:eastAsia="黑体"/>
                <w:b/>
                <w:sz w:val="21"/>
              </w:rPr>
            </w:pPr>
            <w:r>
              <w:rPr>
                <w:rFonts w:hint="eastAsia" w:ascii="微软雅黑" w:eastAsia="微软雅黑"/>
                <w:b/>
              </w:rPr>
              <w:t>需要补充的其他内容</w:t>
            </w:r>
          </w:p>
        </w:tc>
      </w:tr>
      <w:tr w14:paraId="461FB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9" w:hRule="atLeast"/>
          <w:jc w:val="center"/>
        </w:trPr>
        <w:tc>
          <w:tcPr>
            <w:tcW w:w="847" w:type="dxa"/>
            <w:tcBorders>
              <w:top w:val="single" w:color="000000" w:sz="6" w:space="0"/>
              <w:left w:val="single" w:color="000000" w:sz="12" w:space="0"/>
              <w:bottom w:val="single" w:color="000000" w:sz="12" w:space="0"/>
              <w:right w:val="single" w:color="000000" w:sz="6" w:space="0"/>
            </w:tcBorders>
            <w:vAlign w:val="center"/>
          </w:tcPr>
          <w:p w14:paraId="2F359783">
            <w:pPr>
              <w:pStyle w:val="143"/>
              <w:spacing w:before="151" w:line="260" w:lineRule="exact"/>
              <w:ind w:right="234"/>
              <w:jc w:val="center"/>
              <w:rPr>
                <w:rFonts w:ascii="Times New Roman"/>
                <w:b/>
                <w:sz w:val="21"/>
              </w:rPr>
            </w:pPr>
            <w:r>
              <w:rPr>
                <w:rFonts w:hint="eastAsia" w:ascii="Times New Roman"/>
                <w:b/>
                <w:sz w:val="21"/>
              </w:rPr>
              <w:t>11.2</w:t>
            </w:r>
          </w:p>
        </w:tc>
        <w:tc>
          <w:tcPr>
            <w:tcW w:w="2705" w:type="dxa"/>
            <w:tcBorders>
              <w:top w:val="single" w:color="000000" w:sz="6" w:space="0"/>
              <w:left w:val="single" w:color="000000" w:sz="6" w:space="0"/>
              <w:bottom w:val="single" w:color="000000" w:sz="12" w:space="0"/>
              <w:right w:val="single" w:color="000000" w:sz="6" w:space="0"/>
            </w:tcBorders>
            <w:vAlign w:val="center"/>
          </w:tcPr>
          <w:p w14:paraId="3917E815">
            <w:pPr>
              <w:pStyle w:val="143"/>
              <w:spacing w:before="70" w:line="260" w:lineRule="exact"/>
              <w:jc w:val="center"/>
              <w:rPr>
                <w:rFonts w:ascii="微软雅黑" w:eastAsia="微软雅黑"/>
                <w:b/>
                <w:sz w:val="21"/>
              </w:rPr>
            </w:pPr>
            <w:r>
              <w:rPr>
                <w:rFonts w:hint="eastAsia" w:ascii="微软雅黑" w:eastAsia="微软雅黑"/>
                <w:b/>
                <w:sz w:val="21"/>
              </w:rPr>
              <w:t>招标代理费</w:t>
            </w:r>
          </w:p>
        </w:tc>
        <w:tc>
          <w:tcPr>
            <w:tcW w:w="7028" w:type="dxa"/>
            <w:tcBorders>
              <w:top w:val="single" w:color="000000" w:sz="6" w:space="0"/>
              <w:left w:val="single" w:color="000000" w:sz="6" w:space="0"/>
              <w:bottom w:val="single" w:color="000000" w:sz="12" w:space="0"/>
              <w:right w:val="single" w:color="000000" w:sz="12" w:space="0"/>
            </w:tcBorders>
            <w:vAlign w:val="center"/>
          </w:tcPr>
          <w:p w14:paraId="7C6FAFD4">
            <w:pPr>
              <w:pStyle w:val="143"/>
              <w:spacing w:line="260" w:lineRule="exact"/>
              <w:ind w:left="149" w:leftChars="71"/>
              <w:rPr>
                <w:rFonts w:ascii="微软雅黑" w:eastAsia="微软雅黑"/>
                <w:b/>
                <w:sz w:val="21"/>
              </w:rPr>
            </w:pPr>
            <w:r>
              <w:rPr>
                <w:rFonts w:hint="eastAsia" w:ascii="微软雅黑" w:eastAsia="微软雅黑"/>
                <w:b/>
                <w:sz w:val="21"/>
              </w:rPr>
              <w:t>中标人在领取中标通知书时向代理机构一次性支付招标代理费为人民币</w:t>
            </w:r>
            <w:r>
              <w:rPr>
                <w:rFonts w:hint="eastAsia" w:ascii="微软雅黑" w:eastAsia="微软雅黑"/>
                <w:b/>
                <w:sz w:val="21"/>
                <w:lang w:val="en-US" w:eastAsia="zh-CN"/>
              </w:rPr>
              <w:t>50</w:t>
            </w:r>
            <w:r>
              <w:rPr>
                <w:rFonts w:hint="eastAsia" w:ascii="微软雅黑" w:eastAsia="微软雅黑"/>
                <w:b/>
                <w:sz w:val="21"/>
              </w:rPr>
              <w:t>00元。</w:t>
            </w:r>
          </w:p>
        </w:tc>
      </w:tr>
    </w:tbl>
    <w:p w14:paraId="58AD67B5">
      <w:pPr>
        <w:rPr>
          <w:rFonts w:ascii="宋体" w:hAnsi="宋体" w:eastAsia="宋体" w:cs="宋体"/>
          <w:szCs w:val="21"/>
        </w:rPr>
      </w:pPr>
    </w:p>
    <w:p w14:paraId="4F9BF856">
      <w:pPr>
        <w:rPr>
          <w:rFonts w:ascii="宋体" w:hAnsi="宋体" w:eastAsia="宋体" w:cs="宋体"/>
          <w:szCs w:val="21"/>
        </w:rPr>
      </w:pPr>
    </w:p>
    <w:p w14:paraId="201571DC">
      <w:pPr>
        <w:rPr>
          <w:rFonts w:ascii="宋体" w:hAnsi="宋体" w:eastAsia="宋体" w:cs="宋体"/>
          <w:sz w:val="24"/>
        </w:rPr>
      </w:pPr>
    </w:p>
    <w:p w14:paraId="27579049">
      <w:pPr>
        <w:rPr>
          <w:rFonts w:ascii="宋体" w:hAnsi="宋体" w:eastAsia="宋体" w:cs="宋体"/>
          <w:sz w:val="24"/>
        </w:rPr>
      </w:pPr>
    </w:p>
    <w:p w14:paraId="11864DB7">
      <w:pPr>
        <w:rPr>
          <w:rFonts w:ascii="宋体" w:hAnsi="宋体" w:eastAsia="宋体" w:cs="宋体"/>
          <w:sz w:val="24"/>
        </w:rPr>
      </w:pPr>
    </w:p>
    <w:p w14:paraId="2F08F7B7">
      <w:pPr>
        <w:rPr>
          <w:rFonts w:ascii="宋体" w:hAnsi="宋体" w:eastAsia="宋体" w:cs="宋体"/>
          <w:sz w:val="24"/>
        </w:rPr>
      </w:pPr>
    </w:p>
    <w:p w14:paraId="5367263E">
      <w:pPr>
        <w:rPr>
          <w:rFonts w:ascii="宋体" w:hAnsi="宋体" w:eastAsia="宋体" w:cs="宋体"/>
          <w:sz w:val="24"/>
        </w:rPr>
      </w:pPr>
    </w:p>
    <w:p w14:paraId="102B6189">
      <w:pPr>
        <w:rPr>
          <w:rFonts w:ascii="宋体" w:hAnsi="宋体" w:eastAsia="宋体" w:cs="宋体"/>
          <w:sz w:val="24"/>
        </w:rPr>
      </w:pPr>
    </w:p>
    <w:p w14:paraId="7D1E4CD3">
      <w:pPr>
        <w:rPr>
          <w:rFonts w:ascii="宋体" w:hAnsi="宋体" w:eastAsia="宋体" w:cs="宋体"/>
          <w:sz w:val="24"/>
        </w:rPr>
      </w:pPr>
    </w:p>
    <w:p w14:paraId="3FB9B2BA">
      <w:pPr>
        <w:rPr>
          <w:rFonts w:ascii="宋体" w:hAnsi="宋体" w:eastAsia="宋体" w:cs="宋体"/>
          <w:sz w:val="24"/>
        </w:rPr>
      </w:pPr>
    </w:p>
    <w:p w14:paraId="6221C3B5">
      <w:pPr>
        <w:rPr>
          <w:rFonts w:ascii="宋体" w:hAnsi="宋体" w:eastAsia="宋体" w:cs="宋体"/>
          <w:sz w:val="24"/>
        </w:rPr>
      </w:pPr>
    </w:p>
    <w:p w14:paraId="2E65414A">
      <w:pPr>
        <w:rPr>
          <w:rFonts w:ascii="宋体" w:hAnsi="宋体" w:eastAsia="宋体" w:cs="宋体"/>
          <w:sz w:val="24"/>
        </w:rPr>
      </w:pPr>
    </w:p>
    <w:p w14:paraId="4D1731E5">
      <w:pPr>
        <w:rPr>
          <w:rFonts w:ascii="宋体" w:hAnsi="宋体" w:eastAsia="宋体" w:cs="宋体"/>
          <w:sz w:val="24"/>
        </w:rPr>
      </w:pPr>
    </w:p>
    <w:p w14:paraId="43BC39EF">
      <w:pPr>
        <w:rPr>
          <w:rFonts w:ascii="宋体" w:hAnsi="宋体" w:eastAsia="宋体" w:cs="宋体"/>
          <w:sz w:val="24"/>
        </w:rPr>
      </w:pPr>
    </w:p>
    <w:p w14:paraId="07BAA7AF">
      <w:pPr>
        <w:rPr>
          <w:rFonts w:ascii="宋体" w:hAnsi="宋体" w:eastAsia="宋体" w:cs="宋体"/>
          <w:sz w:val="24"/>
        </w:rPr>
      </w:pPr>
    </w:p>
    <w:p w14:paraId="06EA6FAF">
      <w:pPr>
        <w:rPr>
          <w:rFonts w:ascii="宋体" w:hAnsi="宋体" w:eastAsia="宋体" w:cs="宋体"/>
          <w:sz w:val="24"/>
        </w:rPr>
      </w:pPr>
    </w:p>
    <w:p w14:paraId="53190958">
      <w:pPr>
        <w:rPr>
          <w:rFonts w:ascii="宋体" w:hAnsi="宋体" w:eastAsia="宋体" w:cs="宋体"/>
          <w:sz w:val="24"/>
        </w:rPr>
      </w:pPr>
    </w:p>
    <w:p w14:paraId="79153538">
      <w:pPr>
        <w:rPr>
          <w:rFonts w:ascii="宋体" w:hAnsi="宋体" w:eastAsia="宋体" w:cs="宋体"/>
          <w:sz w:val="24"/>
        </w:rPr>
      </w:pPr>
    </w:p>
    <w:p w14:paraId="27C23E06">
      <w:pPr>
        <w:rPr>
          <w:rFonts w:ascii="宋体" w:hAnsi="宋体" w:eastAsia="宋体" w:cs="宋体"/>
          <w:sz w:val="24"/>
        </w:rPr>
      </w:pPr>
    </w:p>
    <w:p w14:paraId="6B85B62F">
      <w:pPr>
        <w:rPr>
          <w:rFonts w:ascii="宋体" w:hAnsi="宋体" w:eastAsia="宋体" w:cs="宋体"/>
          <w:sz w:val="24"/>
        </w:rPr>
      </w:pPr>
    </w:p>
    <w:p w14:paraId="38EBCF6C">
      <w:pPr>
        <w:rPr>
          <w:rFonts w:ascii="宋体" w:hAnsi="宋体" w:eastAsia="宋体" w:cs="宋体"/>
          <w:sz w:val="24"/>
        </w:rPr>
      </w:pPr>
    </w:p>
    <w:p w14:paraId="2DA3C293">
      <w:pPr>
        <w:rPr>
          <w:rFonts w:ascii="宋体" w:hAnsi="宋体" w:eastAsia="宋体" w:cs="宋体"/>
          <w:sz w:val="24"/>
        </w:rPr>
      </w:pPr>
    </w:p>
    <w:p w14:paraId="5ED694DF">
      <w:pPr>
        <w:rPr>
          <w:rFonts w:ascii="宋体" w:hAnsi="宋体" w:eastAsia="宋体" w:cs="宋体"/>
          <w:sz w:val="24"/>
        </w:rPr>
      </w:pPr>
    </w:p>
    <w:p w14:paraId="27DAF6B4">
      <w:pPr>
        <w:rPr>
          <w:rFonts w:ascii="宋体" w:hAnsi="宋体" w:eastAsia="宋体" w:cs="宋体"/>
          <w:sz w:val="24"/>
        </w:rPr>
      </w:pPr>
    </w:p>
    <w:p w14:paraId="7A37388D">
      <w:pPr>
        <w:rPr>
          <w:rFonts w:ascii="宋体" w:hAnsi="宋体" w:eastAsia="宋体" w:cs="宋体"/>
          <w:sz w:val="24"/>
        </w:rPr>
      </w:pPr>
    </w:p>
    <w:p w14:paraId="2D2D840C">
      <w:pPr>
        <w:rPr>
          <w:rFonts w:ascii="宋体" w:hAnsi="宋体" w:eastAsia="宋体" w:cs="宋体"/>
          <w:sz w:val="24"/>
        </w:rPr>
      </w:pPr>
    </w:p>
    <w:p w14:paraId="3255DE89">
      <w:pPr>
        <w:rPr>
          <w:rFonts w:ascii="宋体" w:hAnsi="宋体" w:eastAsia="宋体" w:cs="宋体"/>
          <w:sz w:val="24"/>
        </w:rPr>
      </w:pPr>
    </w:p>
    <w:p w14:paraId="780E0709">
      <w:pPr>
        <w:rPr>
          <w:rFonts w:ascii="宋体" w:hAnsi="宋体" w:eastAsia="宋体" w:cs="宋体"/>
          <w:sz w:val="24"/>
        </w:rPr>
      </w:pPr>
    </w:p>
    <w:p w14:paraId="1359CCE9">
      <w:pPr>
        <w:rPr>
          <w:rFonts w:ascii="宋体" w:hAnsi="宋体" w:eastAsia="宋体" w:cs="宋体"/>
          <w:sz w:val="24"/>
        </w:rPr>
      </w:pPr>
    </w:p>
    <w:p w14:paraId="490D5C4A">
      <w:pPr>
        <w:widowControl/>
        <w:jc w:val="left"/>
        <w:rPr>
          <w:rFonts w:ascii="宋体" w:hAnsi="宋体" w:eastAsia="宋体" w:cs="宋体"/>
          <w:sz w:val="24"/>
        </w:rPr>
      </w:pPr>
    </w:p>
    <w:p w14:paraId="23D4FEBA">
      <w:pPr>
        <w:rPr>
          <w:rFonts w:ascii="宋体" w:hAnsi="宋体" w:eastAsia="宋体" w:cs="宋体"/>
          <w:sz w:val="24"/>
        </w:rPr>
      </w:pPr>
      <w:r>
        <w:rPr>
          <w:rFonts w:hint="eastAsia" w:ascii="宋体" w:hAnsi="宋体" w:eastAsia="宋体" w:cs="宋体"/>
          <w:sz w:val="24"/>
        </w:rPr>
        <w:t>附录</w:t>
      </w:r>
    </w:p>
    <w:p w14:paraId="168B1368">
      <w:pPr>
        <w:rPr>
          <w:rFonts w:ascii="宋体" w:hAnsi="宋体" w:eastAsia="宋体" w:cs="宋体"/>
          <w:sz w:val="24"/>
        </w:rPr>
      </w:pPr>
    </w:p>
    <w:p w14:paraId="237A3E92">
      <w:pPr>
        <w:jc w:val="center"/>
        <w:rPr>
          <w:rFonts w:ascii="宋体" w:hAnsi="宋体" w:eastAsia="宋体" w:cs="宋体"/>
          <w:sz w:val="24"/>
        </w:rPr>
      </w:pPr>
    </w:p>
    <w:p w14:paraId="7CD1C065">
      <w:pPr>
        <w:jc w:val="center"/>
        <w:rPr>
          <w:rFonts w:ascii="宋体" w:hAnsi="宋体" w:eastAsia="宋体" w:cs="宋体"/>
          <w:sz w:val="24"/>
        </w:rPr>
      </w:pPr>
    </w:p>
    <w:p w14:paraId="42E09353">
      <w:pPr>
        <w:pStyle w:val="2"/>
        <w:spacing w:before="240" w:after="240" w:line="240" w:lineRule="auto"/>
        <w:jc w:val="center"/>
        <w:rPr>
          <w:rFonts w:ascii="宋体" w:hAnsi="宋体"/>
          <w:sz w:val="24"/>
          <w:szCs w:val="24"/>
          <w:vertAlign w:val="superscript"/>
        </w:rPr>
      </w:pPr>
      <w:bookmarkStart w:id="32" w:name="_Toc29679"/>
      <w:bookmarkStart w:id="33" w:name="_Toc173244761"/>
      <w:r>
        <w:rPr>
          <w:rFonts w:hint="eastAsia" w:ascii="宋体" w:hAnsi="宋体"/>
          <w:sz w:val="24"/>
          <w:szCs w:val="24"/>
        </w:rPr>
        <w:t>附录1   资格审查条件(资质最低条件)</w:t>
      </w:r>
      <w:bookmarkEnd w:id="32"/>
      <w:bookmarkEnd w:id="33"/>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14:paraId="0274D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14:paraId="10878280">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14:paraId="484442F0">
            <w:pPr>
              <w:jc w:val="center"/>
              <w:rPr>
                <w:rFonts w:ascii="宋体" w:hAnsi="宋体" w:eastAsia="宋体" w:cs="宋体"/>
                <w:szCs w:val="21"/>
              </w:rPr>
            </w:pPr>
            <w:r>
              <w:rPr>
                <w:rFonts w:hint="eastAsia" w:ascii="宋体" w:hAnsi="宋体" w:eastAsia="宋体" w:cs="宋体"/>
                <w:szCs w:val="21"/>
              </w:rPr>
              <w:t>施工企业资质等级要求</w:t>
            </w:r>
          </w:p>
        </w:tc>
      </w:tr>
      <w:tr w14:paraId="5B01E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14:paraId="651E5366">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14:paraId="7FEA0ECD">
            <w:pPr>
              <w:spacing w:line="360" w:lineRule="exact"/>
              <w:rPr>
                <w:rFonts w:ascii="宋体" w:hAnsi="宋体" w:eastAsia="宋体" w:cs="宋体"/>
                <w:szCs w:val="21"/>
              </w:rPr>
            </w:pPr>
          </w:p>
          <w:p w14:paraId="6094AF7C">
            <w:pPr>
              <w:widowControl/>
              <w:spacing w:line="360" w:lineRule="auto"/>
              <w:jc w:val="left"/>
              <w:rPr>
                <w:rFonts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color w:val="000000"/>
                <w:szCs w:val="21"/>
                <w:shd w:val="clear" w:color="auto" w:fill="FFFFFF"/>
              </w:rPr>
              <w:t>具备</w:t>
            </w:r>
            <w:r>
              <w:rPr>
                <w:rFonts w:hint="eastAsia" w:ascii="宋体" w:hAnsi="宋体" w:eastAsia="宋体" w:cs="宋体"/>
                <w:color w:val="000000"/>
                <w:szCs w:val="21"/>
                <w:u w:val="single"/>
                <w:shd w:val="clear" w:color="auto" w:fill="FFFFFF"/>
              </w:rPr>
              <w:t>独立法人资格，具备桥梁养护乙级及以上</w:t>
            </w:r>
            <w:r>
              <w:rPr>
                <w:rStyle w:val="55"/>
                <w:rFonts w:hint="eastAsia" w:ascii="宋体" w:hAnsi="宋体" w:eastAsia="宋体" w:cs="宋体"/>
                <w:color w:val="000000"/>
                <w:szCs w:val="21"/>
                <w:shd w:val="clear" w:color="auto" w:fill="FFFFFF"/>
              </w:rPr>
              <w:t>资质，并在人员、设备、资金等方面具有相应的施工能力。</w:t>
            </w:r>
          </w:p>
        </w:tc>
      </w:tr>
    </w:tbl>
    <w:p w14:paraId="71FF7555">
      <w:pPr>
        <w:spacing w:before="120" w:after="120"/>
        <w:jc w:val="center"/>
        <w:rPr>
          <w:rFonts w:ascii="宋体" w:hAnsi="宋体" w:eastAsia="宋体" w:cs="宋体"/>
          <w:b/>
          <w:bCs/>
          <w:kern w:val="44"/>
          <w:sz w:val="30"/>
          <w:szCs w:val="30"/>
        </w:rPr>
      </w:pPr>
    </w:p>
    <w:p w14:paraId="42BAC53F">
      <w:pPr>
        <w:spacing w:before="120" w:after="120"/>
        <w:jc w:val="center"/>
        <w:rPr>
          <w:rFonts w:ascii="宋体" w:hAnsi="宋体" w:eastAsia="宋体" w:cs="宋体"/>
          <w:b/>
          <w:bCs/>
          <w:kern w:val="44"/>
          <w:sz w:val="30"/>
          <w:szCs w:val="30"/>
        </w:rPr>
      </w:pPr>
    </w:p>
    <w:p w14:paraId="0B3EC0BB">
      <w:pPr>
        <w:spacing w:before="120" w:after="120"/>
        <w:jc w:val="center"/>
        <w:rPr>
          <w:rFonts w:ascii="宋体" w:hAnsi="宋体" w:eastAsia="宋体" w:cs="宋体"/>
          <w:b/>
          <w:bCs/>
          <w:kern w:val="44"/>
          <w:sz w:val="30"/>
          <w:szCs w:val="30"/>
        </w:rPr>
      </w:pPr>
    </w:p>
    <w:p w14:paraId="78051590">
      <w:pPr>
        <w:pStyle w:val="2"/>
        <w:spacing w:before="240" w:after="240" w:line="240" w:lineRule="auto"/>
        <w:jc w:val="center"/>
        <w:rPr>
          <w:rFonts w:ascii="宋体" w:hAnsi="宋体"/>
          <w:sz w:val="24"/>
          <w:szCs w:val="24"/>
        </w:rPr>
      </w:pPr>
      <w:bookmarkStart w:id="34" w:name="_Toc31962"/>
      <w:bookmarkStart w:id="35" w:name="_Toc173244762"/>
      <w:r>
        <w:rPr>
          <w:rFonts w:hint="eastAsia" w:ascii="宋体" w:hAnsi="宋体"/>
          <w:sz w:val="24"/>
          <w:szCs w:val="24"/>
        </w:rPr>
        <w:t>附录2   资格审查条件(财务最低要求)</w:t>
      </w:r>
      <w:bookmarkEnd w:id="34"/>
      <w:bookmarkEnd w:id="35"/>
    </w:p>
    <w:p w14:paraId="402B354A">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14:paraId="4AB8D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14:paraId="4056C0A4">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14:paraId="4BA2604D">
            <w:pPr>
              <w:jc w:val="center"/>
              <w:rPr>
                <w:rFonts w:ascii="宋体" w:hAnsi="宋体" w:eastAsia="宋体" w:cs="宋体"/>
                <w:szCs w:val="21"/>
              </w:rPr>
            </w:pPr>
            <w:r>
              <w:rPr>
                <w:rFonts w:hint="eastAsia" w:ascii="宋体" w:hAnsi="宋体" w:eastAsia="宋体" w:cs="宋体"/>
                <w:szCs w:val="21"/>
              </w:rPr>
              <w:t>财 务 要 求</w:t>
            </w:r>
          </w:p>
        </w:tc>
      </w:tr>
      <w:tr w14:paraId="2C2C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14:paraId="3F0FF07E">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14:paraId="19B7CE91">
            <w:pPr>
              <w:spacing w:line="360" w:lineRule="exact"/>
              <w:rPr>
                <w:rFonts w:ascii="宋体" w:hAnsi="宋体" w:eastAsia="宋体" w:cs="宋体"/>
                <w:szCs w:val="21"/>
              </w:rPr>
            </w:pPr>
            <w:r>
              <w:rPr>
                <w:rFonts w:hint="eastAsia" w:ascii="宋体" w:hAnsi="宋体" w:eastAsia="宋体" w:cs="宋体"/>
                <w:szCs w:val="21"/>
              </w:rPr>
              <w:t xml:space="preserve">    </w:t>
            </w:r>
          </w:p>
          <w:p w14:paraId="7257C415">
            <w:pPr>
              <w:spacing w:line="360" w:lineRule="exact"/>
              <w:rPr>
                <w:rFonts w:ascii="宋体" w:hAnsi="宋体" w:eastAsia="宋体" w:cs="宋体"/>
                <w:szCs w:val="21"/>
              </w:rPr>
            </w:pPr>
            <w:r>
              <w:rPr>
                <w:rFonts w:hint="eastAsia" w:ascii="宋体" w:hAnsi="宋体" w:eastAsia="宋体" w:cs="宋体"/>
                <w:szCs w:val="21"/>
              </w:rPr>
              <w:t xml:space="preserve">    承诺提供不少于</w:t>
            </w:r>
            <w:r>
              <w:rPr>
                <w:rFonts w:hint="eastAsia" w:ascii="宋体" w:hAnsi="宋体" w:eastAsia="宋体" w:cs="宋体"/>
                <w:b/>
                <w:szCs w:val="21"/>
                <w:u w:val="single"/>
              </w:rPr>
              <w:t>5</w:t>
            </w:r>
            <w:r>
              <w:rPr>
                <w:rFonts w:hint="eastAsia" w:ascii="宋体" w:hAnsi="宋体" w:eastAsia="宋体" w:cs="宋体"/>
                <w:szCs w:val="21"/>
              </w:rPr>
              <w:t>万元人民币的流动资金（由投标人自行决定采用银行信贷证明或财务能力承诺书）。</w:t>
            </w:r>
          </w:p>
          <w:p w14:paraId="0E254BAD">
            <w:pPr>
              <w:spacing w:line="360" w:lineRule="exact"/>
              <w:ind w:firstLine="420"/>
              <w:rPr>
                <w:rFonts w:ascii="宋体" w:hAnsi="宋体" w:eastAsia="宋体" w:cs="宋体"/>
                <w:szCs w:val="21"/>
              </w:rPr>
            </w:pPr>
            <w:r>
              <w:rPr>
                <w:rFonts w:hint="eastAsia" w:ascii="宋体" w:hAnsi="宋体" w:eastAsia="宋体" w:cs="宋体"/>
                <w:szCs w:val="21"/>
              </w:rPr>
              <w:t xml:space="preserve"> 若采用银行信贷证明，开具银行信贷证明的银行级别：国有银行或股份制商业银行县（区、市）级及以上银行。</w:t>
            </w:r>
          </w:p>
          <w:p w14:paraId="7C75DD24">
            <w:pPr>
              <w:spacing w:line="360" w:lineRule="exact"/>
              <w:ind w:firstLine="420"/>
              <w:rPr>
                <w:rFonts w:ascii="宋体" w:hAnsi="宋体" w:eastAsia="宋体" w:cs="宋体"/>
                <w:szCs w:val="21"/>
              </w:rPr>
            </w:pPr>
          </w:p>
        </w:tc>
      </w:tr>
    </w:tbl>
    <w:p w14:paraId="6E9F8350">
      <w:pPr>
        <w:rPr>
          <w:rFonts w:ascii="宋体" w:hAnsi="宋体" w:eastAsia="宋体" w:cs="宋体"/>
          <w:sz w:val="24"/>
        </w:rPr>
      </w:pPr>
    </w:p>
    <w:p w14:paraId="15032C79">
      <w:pPr>
        <w:widowControl/>
        <w:jc w:val="left"/>
        <w:rPr>
          <w:rFonts w:ascii="宋体" w:hAnsi="宋体" w:eastAsia="宋体" w:cs="宋体"/>
          <w:sz w:val="24"/>
        </w:rPr>
      </w:pPr>
      <w:r>
        <w:rPr>
          <w:rFonts w:ascii="宋体" w:hAnsi="宋体" w:eastAsia="宋体" w:cs="宋体"/>
          <w:sz w:val="24"/>
        </w:rPr>
        <w:br w:type="page"/>
      </w:r>
    </w:p>
    <w:p w14:paraId="5CD266F0">
      <w:pPr>
        <w:pStyle w:val="2"/>
        <w:spacing w:before="240" w:after="240" w:line="240" w:lineRule="auto"/>
        <w:jc w:val="center"/>
        <w:rPr>
          <w:rFonts w:ascii="宋体" w:hAnsi="宋体"/>
          <w:sz w:val="24"/>
          <w:szCs w:val="24"/>
        </w:rPr>
      </w:pPr>
      <w:bookmarkStart w:id="36" w:name="_Toc21223"/>
      <w:bookmarkStart w:id="37" w:name="_Toc173244763"/>
      <w:r>
        <w:rPr>
          <w:rFonts w:hint="eastAsia" w:ascii="宋体" w:hAnsi="宋体"/>
          <w:sz w:val="24"/>
          <w:szCs w:val="24"/>
        </w:rPr>
        <w:t>附录3   资格审查条件(业绩最低要求)</w:t>
      </w:r>
      <w:bookmarkEnd w:id="36"/>
      <w:bookmarkEnd w:id="37"/>
    </w:p>
    <w:p w14:paraId="1394A4CF">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237"/>
      </w:tblGrid>
      <w:tr w14:paraId="7A0C1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14:paraId="104E13C8">
            <w:pPr>
              <w:jc w:val="center"/>
              <w:rPr>
                <w:rFonts w:ascii="宋体" w:hAnsi="宋体" w:eastAsia="宋体" w:cs="宋体"/>
                <w:szCs w:val="21"/>
              </w:rPr>
            </w:pPr>
            <w:r>
              <w:rPr>
                <w:rFonts w:hint="eastAsia" w:ascii="宋体" w:hAnsi="宋体" w:eastAsia="宋体" w:cs="宋体"/>
                <w:szCs w:val="21"/>
              </w:rPr>
              <w:t>标段</w:t>
            </w:r>
          </w:p>
        </w:tc>
        <w:tc>
          <w:tcPr>
            <w:tcW w:w="6237" w:type="dxa"/>
            <w:tcBorders>
              <w:top w:val="single" w:color="auto" w:sz="12" w:space="0"/>
              <w:left w:val="single" w:color="auto" w:sz="6" w:space="0"/>
              <w:bottom w:val="single" w:color="auto" w:sz="6" w:space="0"/>
              <w:right w:val="single" w:color="auto" w:sz="12" w:space="0"/>
            </w:tcBorders>
            <w:vAlign w:val="center"/>
          </w:tcPr>
          <w:p w14:paraId="01A41AB2">
            <w:pPr>
              <w:jc w:val="center"/>
              <w:rPr>
                <w:rFonts w:ascii="宋体" w:hAnsi="宋体" w:eastAsia="宋体" w:cs="宋体"/>
                <w:szCs w:val="21"/>
              </w:rPr>
            </w:pPr>
            <w:r>
              <w:rPr>
                <w:rFonts w:hint="eastAsia" w:ascii="宋体" w:hAnsi="宋体" w:eastAsia="宋体" w:cs="宋体"/>
                <w:szCs w:val="21"/>
              </w:rPr>
              <w:t>业 绩 要 求</w:t>
            </w:r>
          </w:p>
        </w:tc>
      </w:tr>
      <w:tr w14:paraId="33A10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2943" w:type="dxa"/>
            <w:tcBorders>
              <w:top w:val="single" w:color="auto" w:sz="6" w:space="0"/>
              <w:left w:val="single" w:color="auto" w:sz="12" w:space="0"/>
              <w:bottom w:val="single" w:color="auto" w:sz="12" w:space="0"/>
              <w:right w:val="single" w:color="auto" w:sz="6" w:space="0"/>
            </w:tcBorders>
            <w:vAlign w:val="center"/>
          </w:tcPr>
          <w:p w14:paraId="61F68197">
            <w:pPr>
              <w:jc w:val="center"/>
              <w:rPr>
                <w:rFonts w:ascii="宋体" w:hAnsi="宋体" w:eastAsia="宋体" w:cs="宋体"/>
                <w:szCs w:val="21"/>
              </w:rPr>
            </w:pPr>
            <w:r>
              <w:rPr>
                <w:rFonts w:hint="eastAsia" w:ascii="宋体" w:hAnsi="宋体" w:eastAsia="宋体" w:cs="宋体"/>
                <w:szCs w:val="21"/>
              </w:rPr>
              <w:t>施工标段</w:t>
            </w:r>
          </w:p>
        </w:tc>
        <w:tc>
          <w:tcPr>
            <w:tcW w:w="6237" w:type="dxa"/>
            <w:tcBorders>
              <w:top w:val="single" w:color="auto" w:sz="6" w:space="0"/>
              <w:left w:val="single" w:color="auto" w:sz="6" w:space="0"/>
              <w:bottom w:val="single" w:color="auto" w:sz="12" w:space="0"/>
              <w:right w:val="single" w:color="auto" w:sz="12" w:space="0"/>
            </w:tcBorders>
            <w:vAlign w:val="center"/>
          </w:tcPr>
          <w:p w14:paraId="3FEA29AA">
            <w:pPr>
              <w:spacing w:line="360" w:lineRule="exact"/>
              <w:jc w:val="center"/>
              <w:rPr>
                <w:rFonts w:ascii="宋体" w:hAnsi="宋体" w:eastAsia="宋体" w:cs="宋体"/>
                <w:szCs w:val="21"/>
              </w:rPr>
            </w:pPr>
            <w:r>
              <w:rPr>
                <w:rFonts w:hint="eastAsia" w:ascii="宋体" w:hAnsi="宋体" w:eastAsia="宋体" w:cs="宋体"/>
                <w:szCs w:val="21"/>
              </w:rPr>
              <w:t>/</w:t>
            </w:r>
          </w:p>
        </w:tc>
      </w:tr>
    </w:tbl>
    <w:p w14:paraId="6F2FF0A2">
      <w:pPr>
        <w:spacing w:line="360" w:lineRule="exact"/>
        <w:rPr>
          <w:rFonts w:ascii="宋体" w:hAnsi="宋体" w:eastAsia="宋体" w:cs="宋体"/>
          <w:szCs w:val="21"/>
        </w:rPr>
      </w:pPr>
      <w:r>
        <w:rPr>
          <w:rFonts w:hint="eastAsia" w:ascii="宋体" w:hAnsi="宋体" w:eastAsia="宋体" w:cs="宋体"/>
          <w:szCs w:val="21"/>
        </w:rPr>
        <w:t>注：投标人应在“第九章投标文件格式”的“</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以来完成的主要类似项目情况表”后附：(1)中标通知书复印件；(2)合同协议书复印件；(3)质量证明文件（由发包人出具的工程（标段）交工验收证书或竣工验收委员会出具的工程竣工验收鉴定书或质量监督机构对各参建单位签发的工作综合评价等级证书）的复印件；（4）从“浙江省交通运输厅建设市场诚信信息系统”中打印的含有该系统水印的《主要业绩信息一览表》。</w:t>
      </w:r>
    </w:p>
    <w:p w14:paraId="25BE0BF4">
      <w:pPr>
        <w:spacing w:line="360" w:lineRule="exact"/>
        <w:rPr>
          <w:rFonts w:ascii="宋体" w:hAnsi="宋体" w:eastAsia="宋体" w:cs="宋体"/>
          <w:szCs w:val="21"/>
        </w:rPr>
      </w:pPr>
    </w:p>
    <w:p w14:paraId="0F8B9FD5">
      <w:pPr>
        <w:spacing w:line="360" w:lineRule="exact"/>
        <w:rPr>
          <w:rFonts w:ascii="宋体" w:hAnsi="宋体" w:eastAsia="宋体" w:cs="宋体"/>
          <w:szCs w:val="21"/>
        </w:rPr>
      </w:pPr>
    </w:p>
    <w:p w14:paraId="351B65AB">
      <w:pPr>
        <w:spacing w:line="360" w:lineRule="exact"/>
        <w:rPr>
          <w:rFonts w:ascii="宋体" w:hAnsi="宋体" w:eastAsia="宋体" w:cs="宋体"/>
          <w:szCs w:val="21"/>
        </w:rPr>
      </w:pPr>
    </w:p>
    <w:p w14:paraId="6402CD1E">
      <w:pPr>
        <w:pStyle w:val="2"/>
        <w:spacing w:before="240" w:after="240" w:line="240" w:lineRule="auto"/>
        <w:jc w:val="center"/>
        <w:rPr>
          <w:rFonts w:ascii="宋体" w:hAnsi="宋体"/>
          <w:sz w:val="24"/>
          <w:szCs w:val="24"/>
        </w:rPr>
      </w:pPr>
      <w:bookmarkStart w:id="38" w:name="_Toc173244764"/>
      <w:bookmarkStart w:id="39" w:name="_Toc5893"/>
      <w:r>
        <w:rPr>
          <w:rFonts w:hint="eastAsia" w:ascii="宋体" w:hAnsi="宋体"/>
          <w:sz w:val="24"/>
          <w:szCs w:val="24"/>
        </w:rPr>
        <w:t>附录4   资格审查条件(信誉最低要求)</w:t>
      </w:r>
      <w:bookmarkEnd w:id="38"/>
      <w:bookmarkEnd w:id="39"/>
    </w:p>
    <w:p w14:paraId="18203BF5">
      <w:pPr>
        <w:rPr>
          <w:rFonts w:ascii="宋体" w:hAnsi="宋体" w:eastAsia="宋体" w:cs="宋体"/>
          <w:sz w:val="24"/>
        </w:rPr>
      </w:pP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3"/>
        <w:gridCol w:w="6465"/>
      </w:tblGrid>
      <w:tr w14:paraId="02E67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12" w:space="0"/>
              <w:left w:val="single" w:color="auto" w:sz="12" w:space="0"/>
              <w:bottom w:val="single" w:color="auto" w:sz="6" w:space="0"/>
              <w:right w:val="single" w:color="auto" w:sz="6" w:space="0"/>
            </w:tcBorders>
            <w:vAlign w:val="center"/>
          </w:tcPr>
          <w:p w14:paraId="77227905">
            <w:pPr>
              <w:jc w:val="center"/>
              <w:rPr>
                <w:rFonts w:ascii="宋体" w:hAnsi="宋体" w:eastAsia="宋体" w:cs="宋体"/>
                <w:szCs w:val="21"/>
              </w:rPr>
            </w:pPr>
            <w:r>
              <w:rPr>
                <w:rFonts w:hint="eastAsia" w:ascii="宋体" w:hAnsi="宋体" w:eastAsia="宋体" w:cs="宋体"/>
                <w:szCs w:val="21"/>
              </w:rPr>
              <w:t>标段</w:t>
            </w:r>
          </w:p>
        </w:tc>
        <w:tc>
          <w:tcPr>
            <w:tcW w:w="6465" w:type="dxa"/>
            <w:tcBorders>
              <w:top w:val="single" w:color="auto" w:sz="12" w:space="0"/>
              <w:left w:val="single" w:color="auto" w:sz="6" w:space="0"/>
              <w:bottom w:val="single" w:color="auto" w:sz="6" w:space="0"/>
              <w:right w:val="single" w:color="auto" w:sz="12" w:space="0"/>
            </w:tcBorders>
            <w:vAlign w:val="center"/>
          </w:tcPr>
          <w:p w14:paraId="19CBAFB1">
            <w:pPr>
              <w:jc w:val="center"/>
              <w:rPr>
                <w:rFonts w:ascii="宋体" w:hAnsi="宋体" w:eastAsia="宋体" w:cs="宋体"/>
                <w:szCs w:val="21"/>
              </w:rPr>
            </w:pPr>
            <w:r>
              <w:rPr>
                <w:rFonts w:hint="eastAsia" w:ascii="宋体" w:hAnsi="宋体" w:eastAsia="宋体" w:cs="宋体"/>
                <w:szCs w:val="21"/>
              </w:rPr>
              <w:t>信 誉 要 求</w:t>
            </w:r>
          </w:p>
        </w:tc>
      </w:tr>
      <w:tr w14:paraId="00C2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2943" w:type="dxa"/>
            <w:tcBorders>
              <w:top w:val="single" w:color="auto" w:sz="6" w:space="0"/>
              <w:left w:val="single" w:color="auto" w:sz="12" w:space="0"/>
              <w:bottom w:val="single" w:color="auto" w:sz="12" w:space="0"/>
              <w:right w:val="single" w:color="auto" w:sz="6" w:space="0"/>
            </w:tcBorders>
            <w:vAlign w:val="center"/>
          </w:tcPr>
          <w:p w14:paraId="497C07B1">
            <w:pPr>
              <w:jc w:val="center"/>
              <w:rPr>
                <w:rFonts w:ascii="宋体" w:hAnsi="宋体" w:eastAsia="宋体" w:cs="宋体"/>
                <w:szCs w:val="21"/>
              </w:rPr>
            </w:pPr>
            <w:r>
              <w:rPr>
                <w:rFonts w:hint="eastAsia" w:ascii="宋体" w:hAnsi="宋体" w:eastAsia="宋体" w:cs="宋体"/>
                <w:szCs w:val="21"/>
              </w:rPr>
              <w:t>施工标段</w:t>
            </w:r>
          </w:p>
        </w:tc>
        <w:tc>
          <w:tcPr>
            <w:tcW w:w="6465" w:type="dxa"/>
            <w:tcBorders>
              <w:top w:val="single" w:color="auto" w:sz="6" w:space="0"/>
              <w:left w:val="single" w:color="auto" w:sz="6" w:space="0"/>
              <w:bottom w:val="single" w:color="auto" w:sz="12" w:space="0"/>
              <w:right w:val="single" w:color="auto" w:sz="12" w:space="0"/>
            </w:tcBorders>
            <w:vAlign w:val="center"/>
          </w:tcPr>
          <w:p w14:paraId="33CA0C87">
            <w:pPr>
              <w:spacing w:line="360" w:lineRule="exact"/>
              <w:rPr>
                <w:color w:val="000000"/>
                <w:szCs w:val="21"/>
              </w:rPr>
            </w:pPr>
            <w:r>
              <w:rPr>
                <w:rFonts w:hint="eastAsia"/>
                <w:color w:val="000000"/>
                <w:szCs w:val="21"/>
              </w:rPr>
              <w:t>不存在</w:t>
            </w:r>
            <w:r>
              <w:rPr>
                <w:color w:val="000000"/>
                <w:szCs w:val="21"/>
              </w:rPr>
              <w:t>投标人须知第1.4.3</w:t>
            </w:r>
            <w:r>
              <w:rPr>
                <w:rFonts w:hint="eastAsia"/>
                <w:color w:val="000000"/>
                <w:szCs w:val="21"/>
              </w:rPr>
              <w:t>及1.4.4</w:t>
            </w:r>
            <w:r>
              <w:rPr>
                <w:color w:val="000000"/>
                <w:szCs w:val="21"/>
              </w:rPr>
              <w:t>项的情形</w:t>
            </w:r>
            <w:r>
              <w:rPr>
                <w:rFonts w:hint="eastAsia"/>
                <w:color w:val="000000"/>
                <w:szCs w:val="21"/>
              </w:rPr>
              <w:t>。</w:t>
            </w:r>
          </w:p>
        </w:tc>
      </w:tr>
    </w:tbl>
    <w:p w14:paraId="5388E8A5">
      <w:pPr>
        <w:rPr>
          <w:rFonts w:ascii="宋体" w:hAnsi="宋体" w:eastAsia="宋体" w:cs="宋体"/>
          <w:szCs w:val="21"/>
        </w:rPr>
      </w:pPr>
      <w:r>
        <w:rPr>
          <w:rFonts w:hint="eastAsia"/>
          <w:color w:val="000000"/>
          <w:szCs w:val="21"/>
        </w:rPr>
        <w:t>注：投标人应在“投标文件格式”的“投标人的信誉情况表”后附投标人在国家企业信用信息公示系统中未被列入严重违法失信企业名单、在“信用中国”网站中未被列入失信被执行人名单的网页截图。</w:t>
      </w:r>
    </w:p>
    <w:p w14:paraId="193F82BD">
      <w:pPr>
        <w:rPr>
          <w:rFonts w:ascii="宋体" w:hAnsi="宋体" w:eastAsia="宋体" w:cs="宋体"/>
          <w:szCs w:val="21"/>
        </w:rPr>
      </w:pPr>
      <w:r>
        <w:rPr>
          <w:rFonts w:hint="eastAsia" w:ascii="宋体" w:hAnsi="宋体" w:eastAsia="宋体" w:cs="宋体"/>
          <w:szCs w:val="21"/>
        </w:rPr>
        <w:br w:type="page"/>
      </w:r>
    </w:p>
    <w:p w14:paraId="25F29049">
      <w:pPr>
        <w:pStyle w:val="2"/>
        <w:spacing w:before="240" w:after="240" w:line="240" w:lineRule="auto"/>
        <w:jc w:val="center"/>
        <w:rPr>
          <w:rFonts w:ascii="宋体" w:hAnsi="宋体"/>
          <w:sz w:val="24"/>
          <w:szCs w:val="24"/>
        </w:rPr>
      </w:pPr>
      <w:bookmarkStart w:id="40" w:name="_Toc173244765"/>
      <w:bookmarkStart w:id="41" w:name="_Toc28109"/>
      <w:r>
        <w:rPr>
          <w:rFonts w:hint="eastAsia" w:ascii="宋体" w:hAnsi="宋体"/>
          <w:sz w:val="24"/>
          <w:szCs w:val="24"/>
        </w:rPr>
        <w:t>附录5   资格审查条件(项目经理、项目技术负责人和安全负责人最低要求)</w:t>
      </w:r>
      <w:bookmarkEnd w:id="40"/>
      <w:bookmarkEnd w:id="41"/>
    </w:p>
    <w:tbl>
      <w:tblPr>
        <w:tblStyle w:val="52"/>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134"/>
        <w:gridCol w:w="6154"/>
      </w:tblGrid>
      <w:tr w14:paraId="5C574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1951" w:type="dxa"/>
            <w:tcBorders>
              <w:top w:val="single" w:color="auto" w:sz="12" w:space="0"/>
              <w:left w:val="single" w:color="auto" w:sz="12" w:space="0"/>
              <w:bottom w:val="single" w:color="auto" w:sz="6" w:space="0"/>
              <w:right w:val="single" w:color="auto" w:sz="6" w:space="0"/>
            </w:tcBorders>
            <w:vAlign w:val="center"/>
          </w:tcPr>
          <w:p w14:paraId="7CD61462">
            <w:pPr>
              <w:jc w:val="center"/>
              <w:rPr>
                <w:rFonts w:ascii="宋体" w:hAnsi="宋体" w:eastAsia="宋体" w:cs="宋体"/>
                <w:szCs w:val="21"/>
              </w:rPr>
            </w:pPr>
            <w:r>
              <w:rPr>
                <w:rFonts w:hint="eastAsia" w:ascii="宋体" w:hAnsi="宋体" w:eastAsia="宋体" w:cs="宋体"/>
                <w:szCs w:val="21"/>
              </w:rPr>
              <w:t>人  员</w:t>
            </w:r>
          </w:p>
        </w:tc>
        <w:tc>
          <w:tcPr>
            <w:tcW w:w="1134" w:type="dxa"/>
            <w:tcBorders>
              <w:top w:val="single" w:color="auto" w:sz="12" w:space="0"/>
              <w:left w:val="single" w:color="auto" w:sz="6" w:space="0"/>
              <w:bottom w:val="single" w:color="auto" w:sz="6" w:space="0"/>
              <w:right w:val="single" w:color="auto" w:sz="6" w:space="0"/>
            </w:tcBorders>
            <w:vAlign w:val="center"/>
          </w:tcPr>
          <w:p w14:paraId="595AE9C3">
            <w:pPr>
              <w:jc w:val="center"/>
              <w:rPr>
                <w:rFonts w:ascii="宋体" w:hAnsi="宋体" w:eastAsia="宋体" w:cs="宋体"/>
                <w:szCs w:val="21"/>
              </w:rPr>
            </w:pPr>
            <w:r>
              <w:rPr>
                <w:rFonts w:hint="eastAsia" w:ascii="宋体" w:hAnsi="宋体" w:eastAsia="宋体" w:cs="宋体"/>
                <w:szCs w:val="21"/>
              </w:rPr>
              <w:t>数  量</w:t>
            </w:r>
          </w:p>
        </w:tc>
        <w:tc>
          <w:tcPr>
            <w:tcW w:w="6154" w:type="dxa"/>
            <w:tcBorders>
              <w:top w:val="single" w:color="auto" w:sz="12" w:space="0"/>
              <w:left w:val="single" w:color="auto" w:sz="6" w:space="0"/>
              <w:bottom w:val="single" w:color="auto" w:sz="6" w:space="0"/>
              <w:right w:val="single" w:color="auto" w:sz="12" w:space="0"/>
            </w:tcBorders>
            <w:vAlign w:val="center"/>
          </w:tcPr>
          <w:p w14:paraId="6D70D90F">
            <w:pPr>
              <w:jc w:val="center"/>
              <w:rPr>
                <w:rFonts w:ascii="宋体" w:hAnsi="宋体" w:eastAsia="宋体" w:cs="宋体"/>
                <w:szCs w:val="21"/>
              </w:rPr>
            </w:pPr>
            <w:r>
              <w:rPr>
                <w:rFonts w:hint="eastAsia" w:ascii="宋体" w:hAnsi="宋体" w:eastAsia="宋体" w:cs="宋体"/>
                <w:szCs w:val="21"/>
              </w:rPr>
              <w:t>资 格 要 求</w:t>
            </w:r>
          </w:p>
        </w:tc>
      </w:tr>
      <w:tr w14:paraId="4959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951" w:type="dxa"/>
            <w:tcBorders>
              <w:top w:val="single" w:color="auto" w:sz="6" w:space="0"/>
              <w:left w:val="single" w:color="auto" w:sz="12" w:space="0"/>
              <w:bottom w:val="single" w:color="auto" w:sz="6" w:space="0"/>
              <w:right w:val="single" w:color="auto" w:sz="6" w:space="0"/>
            </w:tcBorders>
            <w:vAlign w:val="center"/>
          </w:tcPr>
          <w:p w14:paraId="66B5B780">
            <w:pPr>
              <w:jc w:val="center"/>
              <w:rPr>
                <w:rFonts w:ascii="宋体" w:hAnsi="宋体" w:eastAsia="宋体" w:cs="宋体"/>
                <w:szCs w:val="21"/>
              </w:rPr>
            </w:pPr>
            <w:r>
              <w:rPr>
                <w:rFonts w:hint="eastAsia" w:ascii="宋体" w:hAnsi="宋体" w:eastAsia="宋体" w:cs="宋体"/>
                <w:szCs w:val="21"/>
              </w:rPr>
              <w:t>项目经理</w:t>
            </w:r>
          </w:p>
        </w:tc>
        <w:tc>
          <w:tcPr>
            <w:tcW w:w="1134" w:type="dxa"/>
            <w:tcBorders>
              <w:top w:val="single" w:color="auto" w:sz="6" w:space="0"/>
              <w:left w:val="single" w:color="auto" w:sz="6" w:space="0"/>
              <w:bottom w:val="single" w:color="auto" w:sz="6" w:space="0"/>
              <w:right w:val="single" w:color="auto" w:sz="6" w:space="0"/>
            </w:tcBorders>
            <w:vAlign w:val="center"/>
          </w:tcPr>
          <w:p w14:paraId="55C1533C">
            <w:pPr>
              <w:jc w:val="center"/>
              <w:rPr>
                <w:rFonts w:ascii="宋体" w:hAnsi="宋体" w:eastAsia="宋体" w:cs="宋体"/>
                <w:szCs w:val="21"/>
              </w:rPr>
            </w:pPr>
            <w:r>
              <w:rPr>
                <w:rFonts w:hint="eastAsia" w:ascii="宋体" w:hAnsi="宋体" w:eastAsia="宋体" w:cs="宋体"/>
                <w:szCs w:val="21"/>
              </w:rPr>
              <w:t>1</w:t>
            </w:r>
          </w:p>
        </w:tc>
        <w:tc>
          <w:tcPr>
            <w:tcW w:w="6154" w:type="dxa"/>
            <w:tcBorders>
              <w:top w:val="single" w:color="auto" w:sz="6" w:space="0"/>
              <w:left w:val="single" w:color="auto" w:sz="6" w:space="0"/>
              <w:bottom w:val="single" w:color="auto" w:sz="6" w:space="0"/>
              <w:right w:val="single" w:color="auto" w:sz="12" w:space="0"/>
            </w:tcBorders>
            <w:vAlign w:val="center"/>
          </w:tcPr>
          <w:p w14:paraId="65765EB4">
            <w:pPr>
              <w:spacing w:line="340" w:lineRule="exact"/>
              <w:rPr>
                <w:szCs w:val="21"/>
              </w:rPr>
            </w:pPr>
            <w:r>
              <w:rPr>
                <w:szCs w:val="21"/>
              </w:rPr>
              <w:t>1、</w:t>
            </w:r>
            <w:r>
              <w:rPr>
                <w:rFonts w:hint="eastAsia"/>
                <w:szCs w:val="21"/>
              </w:rPr>
              <w:t>具</w:t>
            </w:r>
            <w:r>
              <w:rPr>
                <w:szCs w:val="21"/>
              </w:rPr>
              <w:t>有</w:t>
            </w:r>
            <w:r>
              <w:rPr>
                <w:szCs w:val="21"/>
                <w:u w:val="single"/>
              </w:rPr>
              <w:t>公路工程专业</w:t>
            </w:r>
            <w:r>
              <w:rPr>
                <w:rFonts w:hint="eastAsia"/>
                <w:szCs w:val="21"/>
                <w:u w:val="single"/>
              </w:rPr>
              <w:t>二级及以上</w:t>
            </w:r>
            <w:r>
              <w:rPr>
                <w:szCs w:val="21"/>
              </w:rPr>
              <w:t>注册建造师证书</w:t>
            </w:r>
            <w:r>
              <w:rPr>
                <w:rFonts w:hint="eastAsia"/>
                <w:szCs w:val="21"/>
              </w:rPr>
              <w:t>。</w:t>
            </w:r>
          </w:p>
          <w:p w14:paraId="5FFDE273">
            <w:pPr>
              <w:spacing w:line="340" w:lineRule="exact"/>
              <w:rPr>
                <w:szCs w:val="21"/>
              </w:rPr>
            </w:pPr>
            <w:r>
              <w:rPr>
                <w:szCs w:val="21"/>
              </w:rPr>
              <w:t>2、</w:t>
            </w:r>
            <w:r>
              <w:rPr>
                <w:rFonts w:hint="eastAsia"/>
                <w:szCs w:val="21"/>
              </w:rPr>
              <w:t>有</w:t>
            </w:r>
            <w:r>
              <w:rPr>
                <w:szCs w:val="21"/>
              </w:rPr>
              <w:t>效期内的</w:t>
            </w:r>
            <w:r>
              <w:rPr>
                <w:rFonts w:hint="eastAsia"/>
                <w:szCs w:val="21"/>
              </w:rPr>
              <w:t>交通工程专业施工</w:t>
            </w:r>
            <w:r>
              <w:rPr>
                <w:szCs w:val="21"/>
              </w:rPr>
              <w:t>企业项目负责人安全生产考核合格证书（B类）。</w:t>
            </w:r>
          </w:p>
          <w:p w14:paraId="148911C4">
            <w:pPr>
              <w:spacing w:line="340" w:lineRule="exact"/>
              <w:rPr>
                <w:color w:val="000000"/>
                <w:szCs w:val="21"/>
              </w:rPr>
            </w:pPr>
            <w:r>
              <w:rPr>
                <w:rFonts w:hint="eastAsia"/>
                <w:szCs w:val="21"/>
              </w:rPr>
              <w:t>3、</w:t>
            </w:r>
            <w:r>
              <w:rPr>
                <w:szCs w:val="21"/>
              </w:rPr>
              <w:t>拟任项目经理投标截止日未在其他在建合同工程中任项目经理(包括设计施工总承包项目中的施工负责人)。</w:t>
            </w:r>
          </w:p>
        </w:tc>
      </w:tr>
      <w:tr w14:paraId="7E1DF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trPr>
        <w:tc>
          <w:tcPr>
            <w:tcW w:w="1951" w:type="dxa"/>
            <w:tcBorders>
              <w:top w:val="single" w:color="auto" w:sz="6" w:space="0"/>
              <w:left w:val="single" w:color="auto" w:sz="12" w:space="0"/>
              <w:bottom w:val="single" w:color="auto" w:sz="6" w:space="0"/>
              <w:right w:val="single" w:color="auto" w:sz="6" w:space="0"/>
            </w:tcBorders>
            <w:vAlign w:val="center"/>
          </w:tcPr>
          <w:p w14:paraId="3CE67CB2">
            <w:pPr>
              <w:spacing w:line="360" w:lineRule="exact"/>
              <w:ind w:firstLine="210" w:firstLineChars="100"/>
              <w:rPr>
                <w:rFonts w:ascii="宋体" w:hAnsi="宋体" w:eastAsia="宋体" w:cs="宋体"/>
                <w:szCs w:val="21"/>
              </w:rPr>
            </w:pPr>
            <w:r>
              <w:rPr>
                <w:rFonts w:hint="eastAsia" w:ascii="宋体" w:hAnsi="宋体" w:eastAsia="宋体" w:cs="宋体"/>
                <w:szCs w:val="21"/>
              </w:rPr>
              <w:t>项目技术负责人</w:t>
            </w:r>
          </w:p>
        </w:tc>
        <w:tc>
          <w:tcPr>
            <w:tcW w:w="1134" w:type="dxa"/>
            <w:tcBorders>
              <w:top w:val="single" w:color="auto" w:sz="6" w:space="0"/>
              <w:left w:val="single" w:color="auto" w:sz="6" w:space="0"/>
              <w:bottom w:val="single" w:color="auto" w:sz="6" w:space="0"/>
              <w:right w:val="single" w:color="auto" w:sz="6" w:space="0"/>
            </w:tcBorders>
            <w:vAlign w:val="center"/>
          </w:tcPr>
          <w:p w14:paraId="3F279C14">
            <w:pPr>
              <w:spacing w:line="360" w:lineRule="exact"/>
              <w:jc w:val="center"/>
              <w:rPr>
                <w:rFonts w:ascii="宋体" w:hAnsi="宋体" w:eastAsia="宋体" w:cs="宋体"/>
                <w:szCs w:val="21"/>
              </w:rPr>
            </w:pPr>
            <w:r>
              <w:rPr>
                <w:rFonts w:hint="eastAsia" w:ascii="宋体" w:hAnsi="宋体" w:eastAsia="宋体" w:cs="宋体"/>
                <w:szCs w:val="21"/>
              </w:rPr>
              <w:t>1</w:t>
            </w:r>
          </w:p>
        </w:tc>
        <w:tc>
          <w:tcPr>
            <w:tcW w:w="6154" w:type="dxa"/>
            <w:tcBorders>
              <w:top w:val="single" w:color="auto" w:sz="6" w:space="0"/>
              <w:left w:val="single" w:color="auto" w:sz="6" w:space="0"/>
              <w:bottom w:val="single" w:color="auto" w:sz="6" w:space="0"/>
              <w:right w:val="single" w:color="auto" w:sz="12" w:space="0"/>
            </w:tcBorders>
            <w:vAlign w:val="center"/>
          </w:tcPr>
          <w:p w14:paraId="070EDB16">
            <w:pPr>
              <w:spacing w:line="340" w:lineRule="exact"/>
              <w:rPr>
                <w:szCs w:val="21"/>
              </w:rPr>
            </w:pPr>
            <w:r>
              <w:rPr>
                <w:rFonts w:hint="eastAsia"/>
                <w:szCs w:val="21"/>
              </w:rPr>
              <w:t>1、</w:t>
            </w:r>
            <w:r>
              <w:rPr>
                <w:szCs w:val="21"/>
              </w:rPr>
              <w:t>具有</w:t>
            </w:r>
            <w:r>
              <w:rPr>
                <w:rFonts w:hint="eastAsia"/>
                <w:szCs w:val="21"/>
                <w:u w:val="single"/>
              </w:rPr>
              <w:t>公路工程相关专业中级及以上</w:t>
            </w:r>
            <w:r>
              <w:rPr>
                <w:szCs w:val="21"/>
              </w:rPr>
              <w:t>技术职称。</w:t>
            </w:r>
          </w:p>
          <w:p w14:paraId="23073762">
            <w:pPr>
              <w:spacing w:line="340" w:lineRule="exact"/>
              <w:rPr>
                <w:szCs w:val="21"/>
              </w:rPr>
            </w:pPr>
            <w:r>
              <w:rPr>
                <w:rFonts w:hint="eastAsia"/>
                <w:szCs w:val="21"/>
              </w:rPr>
              <w:t>2、</w:t>
            </w:r>
            <w:r>
              <w:rPr>
                <w:szCs w:val="21"/>
              </w:rPr>
              <w:t>有效期内的</w:t>
            </w:r>
            <w:r>
              <w:rPr>
                <w:rFonts w:hint="eastAsia"/>
                <w:szCs w:val="21"/>
              </w:rPr>
              <w:t>交通工程专业</w:t>
            </w:r>
            <w:r>
              <w:rPr>
                <w:szCs w:val="21"/>
              </w:rPr>
              <w:t xml:space="preserve">施工企业项目负责人安全生产考核合格证书(B 类) </w:t>
            </w:r>
            <w:r>
              <w:rPr>
                <w:rFonts w:hint="eastAsia"/>
                <w:szCs w:val="21"/>
              </w:rPr>
              <w:t>。</w:t>
            </w:r>
          </w:p>
        </w:tc>
      </w:tr>
      <w:tr w14:paraId="2F7D9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951" w:type="dxa"/>
            <w:tcBorders>
              <w:top w:val="single" w:color="auto" w:sz="6" w:space="0"/>
              <w:left w:val="single" w:color="auto" w:sz="12" w:space="0"/>
              <w:bottom w:val="single" w:color="auto" w:sz="12" w:space="0"/>
              <w:right w:val="single" w:color="auto" w:sz="6" w:space="0"/>
            </w:tcBorders>
            <w:vAlign w:val="center"/>
          </w:tcPr>
          <w:p w14:paraId="2BCAA039">
            <w:pPr>
              <w:jc w:val="center"/>
              <w:rPr>
                <w:color w:val="000000"/>
                <w:szCs w:val="21"/>
              </w:rPr>
            </w:pPr>
            <w:r>
              <w:rPr>
                <w:color w:val="000000"/>
                <w:szCs w:val="21"/>
              </w:rPr>
              <w:t>安全负责人</w:t>
            </w:r>
          </w:p>
        </w:tc>
        <w:tc>
          <w:tcPr>
            <w:tcW w:w="1134" w:type="dxa"/>
            <w:tcBorders>
              <w:top w:val="single" w:color="auto" w:sz="6" w:space="0"/>
              <w:left w:val="single" w:color="auto" w:sz="6" w:space="0"/>
              <w:bottom w:val="single" w:color="auto" w:sz="12" w:space="0"/>
              <w:right w:val="single" w:color="auto" w:sz="6" w:space="0"/>
            </w:tcBorders>
            <w:vAlign w:val="center"/>
          </w:tcPr>
          <w:p w14:paraId="05CC1FCB">
            <w:pPr>
              <w:jc w:val="center"/>
              <w:rPr>
                <w:color w:val="000000"/>
                <w:szCs w:val="21"/>
              </w:rPr>
            </w:pPr>
            <w:r>
              <w:rPr>
                <w:color w:val="000000"/>
                <w:szCs w:val="21"/>
              </w:rPr>
              <w:t>1</w:t>
            </w:r>
          </w:p>
        </w:tc>
        <w:tc>
          <w:tcPr>
            <w:tcW w:w="6154" w:type="dxa"/>
            <w:tcBorders>
              <w:top w:val="single" w:color="auto" w:sz="6" w:space="0"/>
              <w:left w:val="single" w:color="auto" w:sz="6" w:space="0"/>
              <w:bottom w:val="single" w:color="auto" w:sz="12" w:space="0"/>
              <w:right w:val="single" w:color="auto" w:sz="12" w:space="0"/>
            </w:tcBorders>
            <w:vAlign w:val="center"/>
          </w:tcPr>
          <w:p w14:paraId="004F1CA9">
            <w:pPr>
              <w:spacing w:line="340" w:lineRule="exact"/>
              <w:rPr>
                <w:szCs w:val="21"/>
              </w:rPr>
            </w:pPr>
            <w:r>
              <w:rPr>
                <w:szCs w:val="21"/>
              </w:rPr>
              <w:t>有效期内的</w:t>
            </w:r>
            <w:r>
              <w:rPr>
                <w:rFonts w:hint="eastAsia"/>
                <w:szCs w:val="21"/>
              </w:rPr>
              <w:t>交通工程专业</w:t>
            </w:r>
            <w:r>
              <w:rPr>
                <w:szCs w:val="21"/>
              </w:rPr>
              <w:t>施工企业专职安全生产管理人员安全生产考核合格证书(C 类) 。</w:t>
            </w:r>
          </w:p>
        </w:tc>
      </w:tr>
    </w:tbl>
    <w:p w14:paraId="2CC37D86">
      <w:pPr>
        <w:spacing w:before="31" w:line="377" w:lineRule="auto"/>
        <w:ind w:right="127"/>
        <w:rPr>
          <w:szCs w:val="21"/>
        </w:rPr>
      </w:pPr>
      <w:r>
        <w:rPr>
          <w:szCs w:val="21"/>
        </w:rPr>
        <w:t>注：1</w:t>
      </w:r>
      <w:r>
        <w:rPr>
          <w:rFonts w:hint="eastAsia"/>
          <w:szCs w:val="21"/>
        </w:rPr>
        <w:t>.</w:t>
      </w:r>
      <w:r>
        <w:rPr>
          <w:szCs w:val="21"/>
        </w:rPr>
        <w:t>在建合同工程的开始时间为该合同工程中标通知书发出之日(不通过招标方式的，开始时间为合同签订之日) ，结束时间为该合同工程通过交工验收或合同解除之日。</w:t>
      </w:r>
    </w:p>
    <w:p w14:paraId="38939D0E">
      <w:pPr>
        <w:spacing w:before="31" w:line="377" w:lineRule="auto"/>
        <w:ind w:right="127"/>
        <w:rPr>
          <w:szCs w:val="21"/>
        </w:rPr>
      </w:pPr>
      <w:r>
        <w:rPr>
          <w:szCs w:val="21"/>
        </w:rPr>
        <w:t>2.拟委任项目经理是否有“在建合同工程”按以下原则认定：</w:t>
      </w:r>
    </w:p>
    <w:p w14:paraId="12B92679">
      <w:pPr>
        <w:spacing w:before="31" w:line="377" w:lineRule="auto"/>
        <w:ind w:right="127"/>
        <w:rPr>
          <w:szCs w:val="21"/>
        </w:rPr>
      </w:pPr>
      <w:r>
        <w:rPr>
          <w:szCs w:val="21"/>
        </w:rPr>
        <w:t>(1).若该合同工程协议书尚未签订，则其中标通知书中明确的项目经理和备选项目经理均视为有 “在建合同工程”；</w:t>
      </w:r>
    </w:p>
    <w:p w14:paraId="1E481C40">
      <w:pPr>
        <w:spacing w:before="31" w:line="377" w:lineRule="auto"/>
        <w:ind w:right="127"/>
        <w:rPr>
          <w:szCs w:val="21"/>
        </w:rPr>
      </w:pPr>
      <w:r>
        <w:rPr>
          <w:szCs w:val="21"/>
        </w:rPr>
        <w:t>(2).若该合同工程协议书已签订的，则仅合同协议书中明确的项目经理视为有“在建合同工程”。</w:t>
      </w:r>
    </w:p>
    <w:p w14:paraId="1B6F9681">
      <w:pPr>
        <w:spacing w:before="31" w:line="377" w:lineRule="auto"/>
        <w:ind w:right="127"/>
        <w:rPr>
          <w:szCs w:val="21"/>
        </w:rPr>
      </w:pPr>
      <w:r>
        <w:rPr>
          <w:szCs w:val="21"/>
        </w:rPr>
        <w:t>(3)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636C6103">
      <w:pPr>
        <w:spacing w:before="31" w:line="377" w:lineRule="auto"/>
        <w:ind w:right="127"/>
        <w:rPr>
          <w:szCs w:val="21"/>
        </w:rPr>
      </w:pPr>
      <w:r>
        <w:rPr>
          <w:szCs w:val="21"/>
        </w:rPr>
        <w:t>3. “在建合同工程”范围：包括在中华人民共和国境内所有建设工程，不受地域、行业和投资性质的限制。</w:t>
      </w:r>
    </w:p>
    <w:p w14:paraId="47BABF44">
      <w:pPr>
        <w:spacing w:before="31" w:line="377" w:lineRule="auto"/>
        <w:ind w:right="127"/>
        <w:rPr>
          <w:szCs w:val="21"/>
        </w:rPr>
      </w:pPr>
      <w:r>
        <w:rPr>
          <w:szCs w:val="21"/>
        </w:rPr>
        <w:t xml:space="preserve">4.所附资料见投标人须知前附表 3.5 项规定。 </w:t>
      </w:r>
    </w:p>
    <w:p w14:paraId="4B0243DB">
      <w:pPr>
        <w:spacing w:before="31" w:line="377" w:lineRule="auto"/>
        <w:ind w:right="127"/>
        <w:rPr>
          <w:szCs w:val="21"/>
        </w:rPr>
      </w:pPr>
      <w:r>
        <w:rPr>
          <w:rFonts w:hint="eastAsia"/>
          <w:szCs w:val="21"/>
        </w:rPr>
        <w:t>5.（1）投标人拟派项目经理的一级建造师注册证书，须提供电子证书打印件的复印件。投标人一级建造师电子证书须执行住房和城乡建设部的文件（建办市〔2021〕40号）的相关规定。一级建造师电子证书打印后，应在个人签名处手写本人签名，未手写签名或与签名图像笔迹不一致的，该电子证书无效。（2）若投标人拟派项目经理为二级建造师的，可提供纸质证书复印件或电子证书打印件的复印件。</w:t>
      </w:r>
    </w:p>
    <w:p w14:paraId="5EF39895">
      <w:pPr>
        <w:rPr>
          <w:rFonts w:ascii="宋体" w:hAnsi="宋体"/>
          <w:b/>
          <w:sz w:val="28"/>
          <w:szCs w:val="28"/>
        </w:rPr>
      </w:pPr>
      <w:bookmarkStart w:id="42" w:name="_Toc25083"/>
    </w:p>
    <w:p w14:paraId="796073D1">
      <w:pPr>
        <w:widowControl/>
        <w:jc w:val="left"/>
        <w:rPr>
          <w:rFonts w:ascii="宋体" w:hAnsi="宋体"/>
          <w:b/>
          <w:sz w:val="28"/>
          <w:szCs w:val="28"/>
        </w:rPr>
      </w:pPr>
      <w:r>
        <w:rPr>
          <w:rFonts w:ascii="宋体" w:hAnsi="宋体"/>
          <w:b/>
          <w:sz w:val="28"/>
          <w:szCs w:val="28"/>
        </w:rPr>
        <w:br w:type="page"/>
      </w:r>
    </w:p>
    <w:p w14:paraId="14920AC9">
      <w:pPr>
        <w:rPr>
          <w:rFonts w:ascii="宋体" w:hAnsi="宋体"/>
          <w:b/>
          <w:sz w:val="28"/>
          <w:szCs w:val="28"/>
        </w:rPr>
      </w:pPr>
    </w:p>
    <w:p w14:paraId="7C0FCEDD">
      <w:pPr>
        <w:rPr>
          <w:rFonts w:ascii="宋体" w:hAnsi="宋体"/>
          <w:b/>
          <w:sz w:val="28"/>
          <w:szCs w:val="28"/>
        </w:rPr>
      </w:pPr>
      <w:r>
        <w:rPr>
          <w:rFonts w:hint="eastAsia" w:ascii="宋体" w:hAnsi="宋体"/>
          <w:b/>
          <w:sz w:val="28"/>
          <w:szCs w:val="28"/>
        </w:rPr>
        <w:t>1. 总则</w:t>
      </w:r>
      <w:bookmarkEnd w:id="42"/>
    </w:p>
    <w:p w14:paraId="4C74334A">
      <w:pPr>
        <w:pStyle w:val="2"/>
        <w:spacing w:before="0" w:after="0" w:line="460" w:lineRule="exact"/>
        <w:rPr>
          <w:rFonts w:ascii="宋体" w:hAnsi="宋体"/>
          <w:sz w:val="21"/>
          <w:szCs w:val="21"/>
        </w:rPr>
      </w:pPr>
      <w:bookmarkStart w:id="43" w:name="_Toc10596"/>
      <w:bookmarkStart w:id="44" w:name="_Toc173244766"/>
      <w:bookmarkStart w:id="45" w:name="_Toc24127"/>
      <w:r>
        <w:rPr>
          <w:rFonts w:hint="eastAsia" w:ascii="宋体" w:hAnsi="宋体"/>
          <w:sz w:val="21"/>
          <w:szCs w:val="21"/>
        </w:rPr>
        <w:t>1.1 项目概况</w:t>
      </w:r>
      <w:bookmarkEnd w:id="43"/>
      <w:bookmarkEnd w:id="44"/>
      <w:bookmarkEnd w:id="45"/>
    </w:p>
    <w:p w14:paraId="5A4053EF">
      <w:pPr>
        <w:spacing w:line="460" w:lineRule="exact"/>
        <w:ind w:firstLine="420" w:firstLineChars="200"/>
        <w:rPr>
          <w:rFonts w:ascii="宋体" w:hAnsi="宋体" w:eastAsia="宋体" w:cs="宋体"/>
          <w:szCs w:val="21"/>
        </w:rPr>
      </w:pPr>
      <w:r>
        <w:rPr>
          <w:rFonts w:hint="eastAsia" w:ascii="宋体" w:hAnsi="宋体" w:eastAsia="宋体" w:cs="宋体"/>
          <w:szCs w:val="21"/>
        </w:rPr>
        <w:t>1.1.1根据《中华人民共和国招标投标法》等有关法律、法规和规章的规定，本招标项目已具备招标条件，现对本标段施工进行招标。</w:t>
      </w:r>
    </w:p>
    <w:p w14:paraId="0051030F">
      <w:pPr>
        <w:spacing w:line="460" w:lineRule="exact"/>
        <w:ind w:firstLine="420" w:firstLineChars="200"/>
        <w:rPr>
          <w:rFonts w:ascii="宋体" w:hAnsi="宋体" w:eastAsia="宋体" w:cs="宋体"/>
          <w:szCs w:val="21"/>
        </w:rPr>
      </w:pPr>
      <w:r>
        <w:rPr>
          <w:rFonts w:hint="eastAsia" w:ascii="宋体" w:hAnsi="宋体" w:eastAsia="宋体" w:cs="宋体"/>
          <w:szCs w:val="21"/>
        </w:rPr>
        <w:t>1.1.2 本招标项目发包人：见投标人须知前附表。</w:t>
      </w:r>
    </w:p>
    <w:p w14:paraId="7D0DDAAB">
      <w:pPr>
        <w:spacing w:line="460" w:lineRule="exact"/>
        <w:ind w:firstLine="420" w:firstLineChars="200"/>
        <w:rPr>
          <w:rFonts w:ascii="宋体" w:hAnsi="宋体" w:eastAsia="宋体" w:cs="宋体"/>
          <w:szCs w:val="21"/>
        </w:rPr>
      </w:pPr>
      <w:r>
        <w:rPr>
          <w:rFonts w:hint="eastAsia" w:ascii="宋体" w:hAnsi="宋体" w:eastAsia="宋体" w:cs="宋体"/>
          <w:szCs w:val="21"/>
        </w:rPr>
        <w:t>1.1.3 本标段招标代理机构：见投标人须知前附表。</w:t>
      </w:r>
    </w:p>
    <w:p w14:paraId="617DA59A">
      <w:pPr>
        <w:spacing w:line="460" w:lineRule="exact"/>
        <w:ind w:firstLine="420" w:firstLineChars="200"/>
        <w:rPr>
          <w:rFonts w:ascii="宋体" w:hAnsi="宋体" w:eastAsia="宋体" w:cs="宋体"/>
          <w:szCs w:val="21"/>
        </w:rPr>
      </w:pPr>
      <w:r>
        <w:rPr>
          <w:rFonts w:hint="eastAsia" w:ascii="宋体" w:hAnsi="宋体" w:eastAsia="宋体" w:cs="宋体"/>
          <w:szCs w:val="21"/>
        </w:rPr>
        <w:t>1.1.4 本招标项目名称：见投标人须知前附表。</w:t>
      </w:r>
    </w:p>
    <w:p w14:paraId="6B2BC7F3">
      <w:pPr>
        <w:spacing w:line="460" w:lineRule="exact"/>
        <w:ind w:firstLine="420" w:firstLineChars="200"/>
        <w:rPr>
          <w:rFonts w:ascii="宋体" w:hAnsi="宋体" w:eastAsia="宋体" w:cs="宋体"/>
          <w:szCs w:val="21"/>
        </w:rPr>
      </w:pPr>
      <w:r>
        <w:rPr>
          <w:rFonts w:hint="eastAsia" w:ascii="宋体" w:hAnsi="宋体" w:eastAsia="宋体" w:cs="宋体"/>
          <w:szCs w:val="21"/>
        </w:rPr>
        <w:t>1.1.5 本标段建设地点：见投标人须知前附表。</w:t>
      </w:r>
    </w:p>
    <w:p w14:paraId="15791AEE">
      <w:pPr>
        <w:pStyle w:val="2"/>
        <w:spacing w:before="0" w:after="0" w:line="460" w:lineRule="exact"/>
        <w:rPr>
          <w:rFonts w:ascii="宋体" w:hAnsi="宋体"/>
          <w:sz w:val="21"/>
          <w:szCs w:val="21"/>
        </w:rPr>
      </w:pPr>
      <w:bookmarkStart w:id="46" w:name="_Toc173246154"/>
      <w:bookmarkStart w:id="47" w:name="_Toc173244767"/>
      <w:bookmarkStart w:id="48" w:name="_Toc21899"/>
      <w:bookmarkStart w:id="49" w:name="_Toc21496"/>
      <w:r>
        <w:rPr>
          <w:rFonts w:hint="eastAsia" w:ascii="宋体" w:hAnsi="宋体"/>
          <w:sz w:val="21"/>
          <w:szCs w:val="21"/>
        </w:rPr>
        <w:t>1.2 资金来源和落实情况</w:t>
      </w:r>
      <w:bookmarkEnd w:id="46"/>
      <w:bookmarkEnd w:id="47"/>
      <w:bookmarkEnd w:id="48"/>
      <w:bookmarkEnd w:id="49"/>
    </w:p>
    <w:p w14:paraId="48F0DB2B">
      <w:pPr>
        <w:spacing w:line="460" w:lineRule="exact"/>
        <w:ind w:firstLine="420" w:firstLineChars="200"/>
        <w:rPr>
          <w:rFonts w:ascii="宋体" w:hAnsi="宋体" w:eastAsia="宋体" w:cs="宋体"/>
          <w:szCs w:val="21"/>
        </w:rPr>
      </w:pPr>
      <w:r>
        <w:rPr>
          <w:rFonts w:hint="eastAsia" w:ascii="宋体" w:hAnsi="宋体" w:eastAsia="宋体" w:cs="宋体"/>
          <w:szCs w:val="21"/>
        </w:rPr>
        <w:t>1.2.1 本招标项目的资金来源：见投标人须知前附表。</w:t>
      </w:r>
    </w:p>
    <w:p w14:paraId="1FAAC21D">
      <w:pPr>
        <w:spacing w:line="460" w:lineRule="exact"/>
        <w:ind w:firstLine="420" w:firstLineChars="200"/>
        <w:rPr>
          <w:rFonts w:ascii="宋体" w:hAnsi="宋体" w:eastAsia="宋体" w:cs="宋体"/>
          <w:szCs w:val="21"/>
        </w:rPr>
      </w:pPr>
      <w:r>
        <w:rPr>
          <w:rFonts w:hint="eastAsia" w:ascii="宋体" w:hAnsi="宋体" w:eastAsia="宋体" w:cs="宋体"/>
          <w:szCs w:val="21"/>
        </w:rPr>
        <w:t>1.2.2 本招标项目的出资比例：见投标人须知前附表。</w:t>
      </w:r>
    </w:p>
    <w:p w14:paraId="431D752D">
      <w:pPr>
        <w:spacing w:line="460" w:lineRule="exact"/>
        <w:ind w:firstLine="420" w:firstLineChars="200"/>
        <w:rPr>
          <w:rFonts w:ascii="宋体" w:hAnsi="宋体" w:eastAsia="宋体" w:cs="宋体"/>
          <w:szCs w:val="21"/>
        </w:rPr>
      </w:pPr>
      <w:r>
        <w:rPr>
          <w:rFonts w:hint="eastAsia" w:ascii="宋体" w:hAnsi="宋体" w:eastAsia="宋体" w:cs="宋体"/>
          <w:szCs w:val="21"/>
        </w:rPr>
        <w:t>1.2.3 本招标项目的资金落实情况：见投标人须知前附表。</w:t>
      </w:r>
    </w:p>
    <w:p w14:paraId="38F9C897">
      <w:pPr>
        <w:pStyle w:val="2"/>
        <w:spacing w:before="0" w:after="0" w:line="460" w:lineRule="exact"/>
        <w:rPr>
          <w:rFonts w:ascii="宋体" w:hAnsi="宋体"/>
          <w:sz w:val="21"/>
          <w:szCs w:val="21"/>
        </w:rPr>
      </w:pPr>
      <w:bookmarkStart w:id="50" w:name="_Toc173246155"/>
      <w:bookmarkStart w:id="51" w:name="_Toc173244768"/>
      <w:bookmarkStart w:id="52" w:name="_Toc29023"/>
      <w:bookmarkStart w:id="53" w:name="_Toc27980"/>
      <w:r>
        <w:rPr>
          <w:rFonts w:hint="eastAsia" w:ascii="宋体" w:hAnsi="宋体"/>
          <w:sz w:val="21"/>
          <w:szCs w:val="21"/>
        </w:rPr>
        <w:t>1.3 招标范围、计划工期和质量要求</w:t>
      </w:r>
      <w:bookmarkEnd w:id="50"/>
      <w:bookmarkEnd w:id="51"/>
      <w:bookmarkEnd w:id="52"/>
      <w:bookmarkEnd w:id="53"/>
    </w:p>
    <w:p w14:paraId="395AC398">
      <w:pPr>
        <w:spacing w:line="460" w:lineRule="exact"/>
        <w:ind w:firstLine="420" w:firstLineChars="200"/>
        <w:rPr>
          <w:rFonts w:ascii="宋体" w:hAnsi="宋体" w:eastAsia="宋体" w:cs="宋体"/>
          <w:szCs w:val="21"/>
        </w:rPr>
      </w:pPr>
      <w:r>
        <w:rPr>
          <w:rFonts w:hint="eastAsia" w:ascii="宋体" w:hAnsi="宋体" w:eastAsia="宋体" w:cs="宋体"/>
          <w:szCs w:val="21"/>
        </w:rPr>
        <w:t>1.3.1 本次招标范围：见投标人须知前附表。</w:t>
      </w:r>
    </w:p>
    <w:p w14:paraId="4F57EAA0">
      <w:pPr>
        <w:spacing w:line="460" w:lineRule="exact"/>
        <w:ind w:firstLine="420" w:firstLineChars="200"/>
        <w:rPr>
          <w:rFonts w:ascii="宋体" w:hAnsi="宋体" w:eastAsia="宋体" w:cs="宋体"/>
          <w:szCs w:val="21"/>
        </w:rPr>
      </w:pPr>
      <w:r>
        <w:rPr>
          <w:rFonts w:hint="eastAsia" w:ascii="宋体" w:hAnsi="宋体" w:eastAsia="宋体" w:cs="宋体"/>
          <w:szCs w:val="21"/>
        </w:rPr>
        <w:t>1.3.2 本标段的计划工期：见投标人须知前附表。</w:t>
      </w:r>
    </w:p>
    <w:p w14:paraId="51B6F056">
      <w:pPr>
        <w:spacing w:line="460" w:lineRule="exact"/>
        <w:ind w:firstLine="420" w:firstLineChars="200"/>
        <w:rPr>
          <w:rFonts w:ascii="宋体" w:hAnsi="宋体" w:eastAsia="宋体" w:cs="宋体"/>
          <w:szCs w:val="21"/>
        </w:rPr>
      </w:pPr>
      <w:r>
        <w:rPr>
          <w:rFonts w:hint="eastAsia" w:ascii="宋体" w:hAnsi="宋体" w:eastAsia="宋体" w:cs="宋体"/>
          <w:szCs w:val="21"/>
        </w:rPr>
        <w:t>1.3.3 本标段的质量要求：见投标人须知前附表。</w:t>
      </w:r>
    </w:p>
    <w:p w14:paraId="58EC5C2B">
      <w:pPr>
        <w:spacing w:line="460" w:lineRule="exact"/>
        <w:ind w:firstLine="420" w:firstLineChars="200"/>
        <w:rPr>
          <w:rFonts w:ascii="宋体" w:hAnsi="宋体" w:eastAsia="宋体" w:cs="宋体"/>
          <w:szCs w:val="21"/>
        </w:rPr>
      </w:pPr>
      <w:r>
        <w:rPr>
          <w:rFonts w:hint="eastAsia" w:ascii="宋体" w:hAnsi="宋体"/>
          <w:color w:val="000000"/>
          <w:szCs w:val="21"/>
        </w:rPr>
        <w:t>1.3.4 本标段的安全目标：见投标人须知前附表。</w:t>
      </w:r>
    </w:p>
    <w:p w14:paraId="05009C5F">
      <w:pPr>
        <w:pStyle w:val="2"/>
        <w:spacing w:before="0" w:after="0" w:line="460" w:lineRule="exact"/>
        <w:rPr>
          <w:rFonts w:ascii="宋体" w:hAnsi="宋体"/>
          <w:sz w:val="21"/>
          <w:szCs w:val="21"/>
        </w:rPr>
      </w:pPr>
      <w:bookmarkStart w:id="54" w:name="_Toc1726"/>
      <w:bookmarkStart w:id="55" w:name="_Toc173246156"/>
      <w:bookmarkStart w:id="56" w:name="_Toc173244769"/>
      <w:bookmarkStart w:id="57" w:name="_Toc707"/>
      <w:r>
        <w:rPr>
          <w:rFonts w:hint="eastAsia" w:ascii="宋体" w:hAnsi="宋体"/>
          <w:sz w:val="21"/>
          <w:szCs w:val="21"/>
        </w:rPr>
        <w:t>1.4 投标人资格要求</w:t>
      </w:r>
      <w:bookmarkEnd w:id="54"/>
      <w:bookmarkEnd w:id="55"/>
      <w:bookmarkEnd w:id="56"/>
      <w:bookmarkEnd w:id="57"/>
    </w:p>
    <w:p w14:paraId="111C8290">
      <w:pPr>
        <w:spacing w:line="460" w:lineRule="exact"/>
        <w:ind w:firstLine="420" w:firstLineChars="200"/>
        <w:rPr>
          <w:rFonts w:ascii="宋体" w:hAnsi="宋体" w:eastAsia="宋体" w:cs="宋体"/>
          <w:szCs w:val="21"/>
        </w:rPr>
      </w:pPr>
      <w:r>
        <w:rPr>
          <w:rFonts w:hint="eastAsia" w:ascii="宋体" w:hAnsi="宋体" w:eastAsia="宋体" w:cs="宋体"/>
          <w:szCs w:val="21"/>
        </w:rPr>
        <w:t>1.4.1 投标人应具备承担本标段施工的资质条件、能力和信誉。</w:t>
      </w:r>
    </w:p>
    <w:p w14:paraId="7E9D205D">
      <w:pPr>
        <w:spacing w:line="460" w:lineRule="exact"/>
        <w:ind w:firstLine="420" w:firstLineChars="200"/>
        <w:rPr>
          <w:rFonts w:ascii="宋体" w:hAnsi="宋体" w:eastAsia="宋体" w:cs="宋体"/>
          <w:szCs w:val="21"/>
        </w:rPr>
      </w:pPr>
      <w:r>
        <w:rPr>
          <w:rFonts w:hint="eastAsia" w:ascii="宋体" w:hAnsi="宋体" w:eastAsia="宋体" w:cs="宋体"/>
          <w:szCs w:val="21"/>
        </w:rPr>
        <w:t>（1）资质条件：见投标人须知前附表；</w:t>
      </w:r>
    </w:p>
    <w:p w14:paraId="26281E68">
      <w:pPr>
        <w:spacing w:line="460" w:lineRule="exact"/>
        <w:ind w:firstLine="420" w:firstLineChars="200"/>
        <w:rPr>
          <w:rFonts w:ascii="宋体" w:hAnsi="宋体" w:eastAsia="宋体" w:cs="宋体"/>
          <w:szCs w:val="21"/>
        </w:rPr>
      </w:pPr>
      <w:r>
        <w:rPr>
          <w:rFonts w:hint="eastAsia" w:ascii="宋体" w:hAnsi="宋体" w:eastAsia="宋体" w:cs="宋体"/>
          <w:szCs w:val="21"/>
        </w:rPr>
        <w:t>（2）财务要求：见投标人须知前附表；</w:t>
      </w:r>
    </w:p>
    <w:p w14:paraId="6C7D79C0">
      <w:pPr>
        <w:spacing w:line="460" w:lineRule="exact"/>
        <w:ind w:firstLine="420" w:firstLineChars="200"/>
        <w:rPr>
          <w:rFonts w:ascii="宋体" w:hAnsi="宋体" w:eastAsia="宋体" w:cs="宋体"/>
          <w:szCs w:val="21"/>
        </w:rPr>
      </w:pPr>
      <w:r>
        <w:rPr>
          <w:rFonts w:hint="eastAsia" w:ascii="宋体" w:hAnsi="宋体" w:eastAsia="宋体" w:cs="宋体"/>
          <w:szCs w:val="21"/>
        </w:rPr>
        <w:t>（3）业绩要求：见投标人须知前附表；</w:t>
      </w:r>
    </w:p>
    <w:p w14:paraId="36753182">
      <w:pPr>
        <w:spacing w:line="460" w:lineRule="exact"/>
        <w:ind w:firstLine="420" w:firstLineChars="200"/>
        <w:rPr>
          <w:rFonts w:ascii="宋体" w:hAnsi="宋体" w:eastAsia="宋体" w:cs="宋体"/>
          <w:szCs w:val="21"/>
        </w:rPr>
      </w:pPr>
      <w:r>
        <w:rPr>
          <w:rFonts w:hint="eastAsia" w:ascii="宋体" w:hAnsi="宋体" w:eastAsia="宋体" w:cs="宋体"/>
          <w:szCs w:val="21"/>
        </w:rPr>
        <w:t>（4）信誉要求：见投标人须知前附表;</w:t>
      </w:r>
    </w:p>
    <w:p w14:paraId="6F44DC19">
      <w:pPr>
        <w:spacing w:line="46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szCs w:val="21"/>
        </w:rPr>
        <w:t>项目经理、项目技术负责人和安全负责人资格：见投标人须知前附表</w:t>
      </w:r>
      <w:r>
        <w:rPr>
          <w:rFonts w:hint="eastAsia" w:ascii="宋体" w:hAnsi="宋体" w:eastAsia="宋体" w:cs="宋体"/>
          <w:szCs w:val="21"/>
        </w:rPr>
        <w:t>；</w:t>
      </w:r>
    </w:p>
    <w:p w14:paraId="2BE8EA29">
      <w:pPr>
        <w:spacing w:line="460" w:lineRule="exact"/>
        <w:ind w:firstLine="420" w:firstLineChars="200"/>
        <w:rPr>
          <w:rFonts w:ascii="宋体" w:hAnsi="宋体" w:eastAsia="宋体" w:cs="宋体"/>
          <w:szCs w:val="21"/>
        </w:rPr>
      </w:pPr>
      <w:r>
        <w:rPr>
          <w:rFonts w:hint="eastAsia" w:ascii="宋体" w:hAnsi="宋体" w:eastAsia="宋体" w:cs="宋体"/>
          <w:szCs w:val="21"/>
        </w:rPr>
        <w:t>（6）其他要求：见投标人须知前附表。</w:t>
      </w:r>
    </w:p>
    <w:p w14:paraId="6392D2B6">
      <w:pPr>
        <w:spacing w:line="460" w:lineRule="exact"/>
        <w:ind w:firstLine="420" w:firstLineChars="200"/>
        <w:rPr>
          <w:rFonts w:ascii="宋体" w:hAnsi="宋体" w:eastAsia="宋体" w:cs="宋体"/>
          <w:szCs w:val="21"/>
        </w:rPr>
      </w:pPr>
      <w:r>
        <w:rPr>
          <w:rFonts w:hint="eastAsia" w:ascii="宋体" w:hAnsi="宋体" w:eastAsia="宋体" w:cs="宋体"/>
          <w:szCs w:val="21"/>
        </w:rPr>
        <w:t>1.4.2 投标人须知前附表规定接受联合体投标的，除应符合本章第1.4.1项和投标人须知前附表的要求外，还应遵守以下规定：</w:t>
      </w:r>
    </w:p>
    <w:p w14:paraId="1AEF831A">
      <w:pPr>
        <w:spacing w:line="460" w:lineRule="exact"/>
        <w:ind w:firstLine="420" w:firstLineChars="200"/>
        <w:rPr>
          <w:rFonts w:ascii="宋体" w:hAnsi="宋体" w:eastAsia="宋体" w:cs="宋体"/>
          <w:szCs w:val="21"/>
        </w:rPr>
      </w:pPr>
      <w:r>
        <w:rPr>
          <w:rFonts w:hint="eastAsia" w:ascii="宋体" w:hAnsi="宋体" w:eastAsia="宋体" w:cs="宋体"/>
          <w:szCs w:val="21"/>
        </w:rPr>
        <w:t>（1）联合体各方应按招标文件提供的格式签订联合体协议书，明确联合体牵头人和各方权利义务；</w:t>
      </w:r>
    </w:p>
    <w:p w14:paraId="284DD74F">
      <w:pPr>
        <w:spacing w:line="460" w:lineRule="exact"/>
        <w:ind w:firstLine="420" w:firstLineChars="200"/>
        <w:rPr>
          <w:rFonts w:ascii="宋体" w:hAnsi="宋体" w:eastAsia="宋体" w:cs="宋体"/>
          <w:szCs w:val="21"/>
        </w:rPr>
      </w:pPr>
      <w:r>
        <w:rPr>
          <w:rFonts w:hint="eastAsia" w:ascii="宋体" w:hAnsi="宋体" w:eastAsia="宋体" w:cs="宋体"/>
          <w:szCs w:val="21"/>
        </w:rPr>
        <w:t>（2）由同一专业的单位组成的联合体，按照资质等级较低的单位确定资质等级；</w:t>
      </w:r>
    </w:p>
    <w:p w14:paraId="58D14FF7">
      <w:pPr>
        <w:spacing w:line="460" w:lineRule="exact"/>
        <w:ind w:firstLine="420" w:firstLineChars="200"/>
        <w:rPr>
          <w:rFonts w:ascii="宋体" w:hAnsi="宋体" w:eastAsia="宋体" w:cs="宋体"/>
          <w:szCs w:val="21"/>
        </w:rPr>
      </w:pPr>
      <w:r>
        <w:rPr>
          <w:rFonts w:hint="eastAsia" w:ascii="宋体" w:hAnsi="宋体" w:eastAsia="宋体" w:cs="宋体"/>
          <w:szCs w:val="21"/>
        </w:rPr>
        <w:t>（3）联合体各方不得再以自己名义单独或参加其他联合体在同一标段中投标；</w:t>
      </w:r>
    </w:p>
    <w:p w14:paraId="6DF12B95">
      <w:pPr>
        <w:spacing w:line="460" w:lineRule="exact"/>
        <w:ind w:firstLine="420" w:firstLineChars="200"/>
        <w:rPr>
          <w:rFonts w:ascii="宋体" w:hAnsi="宋体" w:eastAsia="宋体" w:cs="宋体"/>
          <w:szCs w:val="21"/>
        </w:rPr>
      </w:pPr>
      <w:r>
        <w:rPr>
          <w:rFonts w:hint="eastAsia" w:ascii="宋体" w:hAnsi="宋体" w:eastAsia="宋体" w:cs="宋体"/>
          <w:szCs w:val="21"/>
        </w:rPr>
        <w:t>（4）联合体所有成员数量不得超过投标人须知前附表规定的数量；</w:t>
      </w:r>
    </w:p>
    <w:p w14:paraId="524FF1D3">
      <w:pPr>
        <w:spacing w:line="460" w:lineRule="exact"/>
        <w:ind w:firstLine="420" w:firstLineChars="200"/>
        <w:rPr>
          <w:rFonts w:ascii="宋体" w:hAnsi="宋体" w:eastAsia="宋体" w:cs="宋体"/>
          <w:szCs w:val="21"/>
        </w:rPr>
      </w:pPr>
      <w:r>
        <w:rPr>
          <w:rFonts w:hint="eastAsia" w:ascii="宋体" w:hAnsi="宋体" w:eastAsia="宋体" w:cs="宋体"/>
          <w:szCs w:val="21"/>
        </w:rPr>
        <w:t>（5）联合体牵头人所承担的工程量必须超过总工程量的50%；</w:t>
      </w:r>
    </w:p>
    <w:p w14:paraId="027BC961">
      <w:pPr>
        <w:spacing w:line="460" w:lineRule="exact"/>
        <w:ind w:firstLine="420" w:firstLineChars="200"/>
        <w:rPr>
          <w:rFonts w:ascii="宋体" w:hAnsi="宋体" w:eastAsia="宋体" w:cs="宋体"/>
          <w:szCs w:val="21"/>
        </w:rPr>
      </w:pPr>
      <w:r>
        <w:rPr>
          <w:rFonts w:hint="eastAsia" w:ascii="宋体" w:hAnsi="宋体" w:eastAsia="宋体" w:cs="宋体"/>
          <w:szCs w:val="21"/>
        </w:rPr>
        <w:t>（6）联合体各方应分别按照本招标文件的要求，填写投标文件中的相应表格，并由联合体牵头人负责对联合体各成员的资料进行统一汇总后一并提交给发包人；联合体牵头人所提交的投标文件应认为已代表了联合体各成员的真实情况；</w:t>
      </w:r>
    </w:p>
    <w:p w14:paraId="2C81E18D">
      <w:pPr>
        <w:spacing w:line="460" w:lineRule="exact"/>
        <w:ind w:firstLine="420" w:firstLineChars="200"/>
        <w:rPr>
          <w:rFonts w:ascii="宋体" w:hAnsi="宋体" w:eastAsia="宋体" w:cs="宋体"/>
          <w:szCs w:val="21"/>
        </w:rPr>
      </w:pPr>
      <w:r>
        <w:rPr>
          <w:rFonts w:hint="eastAsia" w:ascii="宋体" w:hAnsi="宋体" w:eastAsia="宋体" w:cs="宋体"/>
          <w:szCs w:val="21"/>
        </w:rPr>
        <w:t>（7）尽管委任了联合体牵头人，但联合体各成员在投标、签约与履行合同过程中，仍负有连带的和各自的法律责任。</w:t>
      </w:r>
    </w:p>
    <w:p w14:paraId="3711AFA2">
      <w:pPr>
        <w:spacing w:line="360" w:lineRule="auto"/>
        <w:ind w:firstLine="420" w:firstLineChars="200"/>
        <w:jc w:val="left"/>
        <w:rPr>
          <w:szCs w:val="21"/>
        </w:rPr>
      </w:pPr>
      <w:bookmarkStart w:id="58" w:name="_Toc28412"/>
      <w:r>
        <w:rPr>
          <w:szCs w:val="21"/>
        </w:rPr>
        <w:t xml:space="preserve">1.4.3 </w:t>
      </w:r>
      <w:r>
        <w:rPr>
          <w:rFonts w:hint="eastAsia"/>
          <w:szCs w:val="21"/>
        </w:rPr>
        <w:t>投标人（包括联合体各成员）不得与本标段相关单位存在下列关联情形：</w:t>
      </w:r>
    </w:p>
    <w:p w14:paraId="5848FE49">
      <w:pPr>
        <w:spacing w:line="360" w:lineRule="auto"/>
        <w:ind w:firstLine="420" w:firstLineChars="200"/>
        <w:jc w:val="left"/>
        <w:rPr>
          <w:szCs w:val="21"/>
        </w:rPr>
      </w:pPr>
      <w:r>
        <w:rPr>
          <w:rFonts w:hint="eastAsia"/>
          <w:szCs w:val="21"/>
        </w:rPr>
        <w:t>（</w:t>
      </w:r>
      <w:r>
        <w:rPr>
          <w:szCs w:val="21"/>
        </w:rPr>
        <w:t>1</w:t>
      </w:r>
      <w:r>
        <w:rPr>
          <w:rFonts w:hint="eastAsia"/>
          <w:szCs w:val="21"/>
        </w:rPr>
        <w:t>）为招标人不具有独立法人资格的附属机构（单位）；</w:t>
      </w:r>
    </w:p>
    <w:p w14:paraId="78F6E7F4">
      <w:pPr>
        <w:spacing w:line="360" w:lineRule="auto"/>
        <w:ind w:firstLine="420" w:firstLineChars="200"/>
        <w:jc w:val="left"/>
        <w:rPr>
          <w:szCs w:val="21"/>
        </w:rPr>
      </w:pPr>
      <w:r>
        <w:rPr>
          <w:rFonts w:hint="eastAsia"/>
          <w:szCs w:val="21"/>
        </w:rPr>
        <w:t>（</w:t>
      </w:r>
      <w:r>
        <w:rPr>
          <w:szCs w:val="21"/>
        </w:rPr>
        <w:t>2</w:t>
      </w:r>
      <w:r>
        <w:rPr>
          <w:rFonts w:hint="eastAsia"/>
          <w:szCs w:val="21"/>
        </w:rPr>
        <w:t>）与招标人存在利害关系且可能影响招标公正性；</w:t>
      </w:r>
    </w:p>
    <w:p w14:paraId="2FB991EE">
      <w:pPr>
        <w:spacing w:line="360" w:lineRule="auto"/>
        <w:ind w:firstLine="420" w:firstLineChars="200"/>
        <w:jc w:val="left"/>
        <w:rPr>
          <w:szCs w:val="21"/>
        </w:rPr>
      </w:pPr>
      <w:r>
        <w:rPr>
          <w:rFonts w:hint="eastAsia"/>
          <w:szCs w:val="21"/>
        </w:rPr>
        <w:t>（</w:t>
      </w:r>
      <w:r>
        <w:rPr>
          <w:szCs w:val="21"/>
        </w:rPr>
        <w:t>3</w:t>
      </w:r>
      <w:r>
        <w:rPr>
          <w:rFonts w:hint="eastAsia"/>
          <w:szCs w:val="21"/>
        </w:rPr>
        <w:t>）与本标段的其他投标人同为一个单位负责人；</w:t>
      </w:r>
    </w:p>
    <w:p w14:paraId="5CC670EE">
      <w:pPr>
        <w:spacing w:line="360" w:lineRule="auto"/>
        <w:ind w:firstLine="420" w:firstLineChars="200"/>
        <w:jc w:val="left"/>
        <w:rPr>
          <w:szCs w:val="21"/>
        </w:rPr>
      </w:pPr>
      <w:r>
        <w:rPr>
          <w:rFonts w:hint="eastAsia"/>
          <w:szCs w:val="21"/>
        </w:rPr>
        <w:t>（</w:t>
      </w:r>
      <w:r>
        <w:rPr>
          <w:szCs w:val="21"/>
        </w:rPr>
        <w:t>4</w:t>
      </w:r>
      <w:r>
        <w:rPr>
          <w:rFonts w:hint="eastAsia"/>
          <w:szCs w:val="21"/>
        </w:rPr>
        <w:t>）与本标段的其他投标人存在控股（含法定代表人控股）、管理关系；</w:t>
      </w:r>
    </w:p>
    <w:p w14:paraId="3D4976FE">
      <w:pPr>
        <w:spacing w:line="360" w:lineRule="auto"/>
        <w:ind w:firstLine="420" w:firstLineChars="200"/>
        <w:jc w:val="left"/>
        <w:rPr>
          <w:szCs w:val="21"/>
        </w:rPr>
      </w:pPr>
      <w:r>
        <w:rPr>
          <w:rFonts w:hint="eastAsia"/>
          <w:szCs w:val="21"/>
        </w:rPr>
        <w:t>（</w:t>
      </w:r>
      <w:r>
        <w:rPr>
          <w:szCs w:val="21"/>
        </w:rPr>
        <w:t>5</w:t>
      </w:r>
      <w:r>
        <w:rPr>
          <w:rFonts w:hint="eastAsia"/>
          <w:szCs w:val="21"/>
        </w:rPr>
        <w:t>）为本标段前期准备提供设计或咨询服务的法人或其他任何附属机构（单位）；</w:t>
      </w:r>
    </w:p>
    <w:p w14:paraId="1FD2E444">
      <w:pPr>
        <w:spacing w:line="360" w:lineRule="auto"/>
        <w:ind w:firstLine="420" w:firstLineChars="200"/>
        <w:jc w:val="left"/>
        <w:rPr>
          <w:szCs w:val="21"/>
        </w:rPr>
      </w:pPr>
      <w:r>
        <w:rPr>
          <w:rFonts w:hint="eastAsia"/>
          <w:szCs w:val="21"/>
        </w:rPr>
        <w:t>（</w:t>
      </w:r>
      <w:r>
        <w:rPr>
          <w:szCs w:val="21"/>
        </w:rPr>
        <w:t>6</w:t>
      </w:r>
      <w:r>
        <w:rPr>
          <w:rFonts w:hint="eastAsia"/>
          <w:szCs w:val="21"/>
        </w:rPr>
        <w:t>）为本标段的监理人；</w:t>
      </w:r>
    </w:p>
    <w:p w14:paraId="44345AF9">
      <w:pPr>
        <w:spacing w:line="360" w:lineRule="auto"/>
        <w:ind w:firstLine="420" w:firstLineChars="200"/>
        <w:jc w:val="left"/>
        <w:rPr>
          <w:szCs w:val="21"/>
        </w:rPr>
      </w:pPr>
      <w:r>
        <w:rPr>
          <w:rFonts w:hint="eastAsia"/>
          <w:szCs w:val="21"/>
        </w:rPr>
        <w:t>（</w:t>
      </w:r>
      <w:r>
        <w:rPr>
          <w:szCs w:val="21"/>
        </w:rPr>
        <w:t>7</w:t>
      </w:r>
      <w:r>
        <w:rPr>
          <w:rFonts w:hint="eastAsia"/>
          <w:szCs w:val="21"/>
        </w:rPr>
        <w:t>）为本标段的代建人；</w:t>
      </w:r>
    </w:p>
    <w:p w14:paraId="7DE3EEAB">
      <w:pPr>
        <w:spacing w:line="360" w:lineRule="auto"/>
        <w:ind w:firstLine="420" w:firstLineChars="200"/>
        <w:jc w:val="left"/>
        <w:rPr>
          <w:szCs w:val="21"/>
        </w:rPr>
      </w:pPr>
      <w:r>
        <w:rPr>
          <w:rFonts w:hint="eastAsia"/>
          <w:szCs w:val="21"/>
        </w:rPr>
        <w:t>（</w:t>
      </w:r>
      <w:r>
        <w:rPr>
          <w:szCs w:val="21"/>
        </w:rPr>
        <w:t>8</w:t>
      </w:r>
      <w:r>
        <w:rPr>
          <w:rFonts w:hint="eastAsia"/>
          <w:szCs w:val="21"/>
        </w:rPr>
        <w:t>）为本标段的招标代理机构；</w:t>
      </w:r>
    </w:p>
    <w:p w14:paraId="4332B169">
      <w:pPr>
        <w:spacing w:line="360" w:lineRule="auto"/>
        <w:ind w:firstLine="420" w:firstLineChars="200"/>
        <w:jc w:val="left"/>
        <w:rPr>
          <w:szCs w:val="21"/>
        </w:rPr>
      </w:pPr>
      <w:r>
        <w:rPr>
          <w:rFonts w:hint="eastAsia"/>
          <w:szCs w:val="21"/>
        </w:rPr>
        <w:t>（</w:t>
      </w:r>
      <w:r>
        <w:rPr>
          <w:szCs w:val="21"/>
        </w:rPr>
        <w:t>9</w:t>
      </w:r>
      <w:r>
        <w:rPr>
          <w:rFonts w:hint="eastAsia"/>
          <w:szCs w:val="21"/>
        </w:rPr>
        <w:t>）与本标段的监理人或代建人或招标代理机构同为一个法定代表人；</w:t>
      </w:r>
    </w:p>
    <w:p w14:paraId="6C9007A5">
      <w:pPr>
        <w:spacing w:line="360" w:lineRule="auto"/>
        <w:ind w:firstLine="420" w:firstLineChars="200"/>
        <w:jc w:val="left"/>
        <w:rPr>
          <w:szCs w:val="21"/>
        </w:rPr>
      </w:pPr>
      <w:r>
        <w:rPr>
          <w:rFonts w:hint="eastAsia"/>
          <w:szCs w:val="21"/>
        </w:rPr>
        <w:t>（</w:t>
      </w:r>
      <w:r>
        <w:rPr>
          <w:szCs w:val="21"/>
        </w:rPr>
        <w:t>10</w:t>
      </w:r>
      <w:r>
        <w:rPr>
          <w:rFonts w:hint="eastAsia"/>
          <w:szCs w:val="21"/>
        </w:rPr>
        <w:t>）与本标段的监理人或代建人或招标代理机构存在控股或参股关系；</w:t>
      </w:r>
    </w:p>
    <w:p w14:paraId="044BB57F">
      <w:pPr>
        <w:spacing w:line="360" w:lineRule="auto"/>
        <w:ind w:firstLine="420" w:firstLineChars="200"/>
        <w:jc w:val="left"/>
        <w:rPr>
          <w:szCs w:val="21"/>
        </w:rPr>
      </w:pPr>
      <w:r>
        <w:rPr>
          <w:rFonts w:hint="eastAsia"/>
          <w:szCs w:val="21"/>
        </w:rPr>
        <w:t>（</w:t>
      </w:r>
      <w:r>
        <w:rPr>
          <w:szCs w:val="21"/>
        </w:rPr>
        <w:t>11</w:t>
      </w:r>
      <w:r>
        <w:rPr>
          <w:rFonts w:hint="eastAsia"/>
          <w:szCs w:val="21"/>
        </w:rPr>
        <w:t>）法律法规或投标人须知前附表规定的其他情形。</w:t>
      </w:r>
    </w:p>
    <w:p w14:paraId="5F92C468">
      <w:pPr>
        <w:spacing w:line="360" w:lineRule="auto"/>
        <w:ind w:firstLine="420" w:firstLineChars="200"/>
        <w:jc w:val="left"/>
        <w:rPr>
          <w:szCs w:val="21"/>
        </w:rPr>
      </w:pPr>
      <w:r>
        <w:rPr>
          <w:szCs w:val="21"/>
        </w:rPr>
        <w:t xml:space="preserve">1.4.4 </w:t>
      </w:r>
      <w:r>
        <w:rPr>
          <w:rFonts w:hint="eastAsia"/>
          <w:szCs w:val="21"/>
        </w:rPr>
        <w:t>投标人（包括联合体各成员）不得存在下列不良状况或不良信用记录：</w:t>
      </w:r>
    </w:p>
    <w:p w14:paraId="5F7622EA">
      <w:pPr>
        <w:spacing w:line="360" w:lineRule="auto"/>
        <w:ind w:firstLine="420" w:firstLineChars="200"/>
        <w:jc w:val="left"/>
        <w:rPr>
          <w:szCs w:val="21"/>
        </w:rPr>
      </w:pPr>
      <w:r>
        <w:rPr>
          <w:rFonts w:hint="eastAsia"/>
          <w:szCs w:val="21"/>
        </w:rPr>
        <w:t>（</w:t>
      </w:r>
      <w:r>
        <w:rPr>
          <w:szCs w:val="21"/>
        </w:rPr>
        <w:t>1</w:t>
      </w:r>
      <w:r>
        <w:rPr>
          <w:rFonts w:hint="eastAsia"/>
          <w:szCs w:val="21"/>
        </w:rPr>
        <w:t>）被交通运输部、浙江省交通运输厅、浙江省发展和改革委员会取消投标资格或禁止进入浙江省建设市场且处于有效期内的；</w:t>
      </w:r>
    </w:p>
    <w:p w14:paraId="4CE47BD1">
      <w:pPr>
        <w:spacing w:line="360" w:lineRule="auto"/>
        <w:ind w:firstLine="420" w:firstLineChars="200"/>
        <w:jc w:val="left"/>
        <w:rPr>
          <w:szCs w:val="21"/>
        </w:rPr>
      </w:pPr>
      <w:r>
        <w:rPr>
          <w:rFonts w:hint="eastAsia"/>
          <w:szCs w:val="21"/>
        </w:rPr>
        <w:t>（</w:t>
      </w:r>
      <w:r>
        <w:rPr>
          <w:szCs w:val="21"/>
        </w:rPr>
        <w:t>2</w:t>
      </w:r>
      <w:r>
        <w:rPr>
          <w:rFonts w:hint="eastAsia"/>
          <w:szCs w:val="21"/>
        </w:rPr>
        <w:t>）被责令停业，暂扣或吊销执照，或吊销资质证书；</w:t>
      </w:r>
    </w:p>
    <w:p w14:paraId="347AC095">
      <w:pPr>
        <w:spacing w:line="360" w:lineRule="auto"/>
        <w:ind w:firstLine="420" w:firstLineChars="200"/>
        <w:jc w:val="left"/>
        <w:rPr>
          <w:szCs w:val="21"/>
        </w:rPr>
      </w:pPr>
      <w:r>
        <w:rPr>
          <w:rFonts w:hint="eastAsia"/>
          <w:szCs w:val="21"/>
        </w:rPr>
        <w:t>（</w:t>
      </w:r>
      <w:r>
        <w:rPr>
          <w:szCs w:val="21"/>
        </w:rPr>
        <w:t>3</w:t>
      </w:r>
      <w:r>
        <w:rPr>
          <w:rFonts w:hint="eastAsia"/>
          <w:szCs w:val="21"/>
        </w:rPr>
        <w:t>）进入清算程序，或被宣告破产，或其他丧失履约能力的情形；</w:t>
      </w:r>
    </w:p>
    <w:p w14:paraId="4111096B">
      <w:pPr>
        <w:spacing w:line="360" w:lineRule="auto"/>
        <w:ind w:firstLine="420" w:firstLineChars="200"/>
        <w:jc w:val="left"/>
        <w:rPr>
          <w:szCs w:val="21"/>
        </w:rPr>
      </w:pPr>
      <w:r>
        <w:rPr>
          <w:rFonts w:hint="eastAsia"/>
          <w:szCs w:val="21"/>
        </w:rPr>
        <w:t>（</w:t>
      </w:r>
      <w:r>
        <w:rPr>
          <w:szCs w:val="21"/>
        </w:rPr>
        <w:t>4</w:t>
      </w:r>
      <w:r>
        <w:rPr>
          <w:rFonts w:hint="eastAsia"/>
          <w:szCs w:val="21"/>
        </w:rPr>
        <w:t>）在国家企业信用信息公示系统（</w:t>
      </w:r>
      <w:r>
        <w:fldChar w:fldCharType="begin"/>
      </w:r>
      <w:r>
        <w:instrText xml:space="preserve"> HYPERLINK "http://www.gsxt.gov.cn" </w:instrText>
      </w:r>
      <w:r>
        <w:fldChar w:fldCharType="separate"/>
      </w:r>
      <w:r>
        <w:t>http://www.gsxt.gov.cn</w:t>
      </w:r>
      <w:r>
        <w:fldChar w:fldCharType="end"/>
      </w:r>
      <w:r>
        <w:rPr>
          <w:rFonts w:hint="eastAsia"/>
          <w:szCs w:val="21"/>
        </w:rPr>
        <w:t>）中被列入严重违法失信企业名单；</w:t>
      </w:r>
    </w:p>
    <w:p w14:paraId="624EBF74">
      <w:pPr>
        <w:spacing w:line="360" w:lineRule="auto"/>
        <w:ind w:firstLine="420" w:firstLineChars="200"/>
        <w:jc w:val="left"/>
        <w:rPr>
          <w:szCs w:val="21"/>
        </w:rPr>
      </w:pPr>
      <w:r>
        <w:rPr>
          <w:rFonts w:hint="eastAsia"/>
          <w:szCs w:val="21"/>
        </w:rPr>
        <w:t>（</w:t>
      </w:r>
      <w:r>
        <w:rPr>
          <w:szCs w:val="21"/>
        </w:rPr>
        <w:t>5</w:t>
      </w:r>
      <w:r>
        <w:rPr>
          <w:rFonts w:hint="eastAsia"/>
          <w:szCs w:val="21"/>
        </w:rPr>
        <w:t>）在</w:t>
      </w:r>
      <w:r>
        <w:rPr>
          <w:szCs w:val="21"/>
        </w:rPr>
        <w:t>“</w:t>
      </w:r>
      <w:r>
        <w:rPr>
          <w:rFonts w:hint="eastAsia"/>
          <w:szCs w:val="21"/>
        </w:rPr>
        <w:t>信用中国</w:t>
      </w:r>
      <w:r>
        <w:rPr>
          <w:szCs w:val="21"/>
        </w:rPr>
        <w:t>”</w:t>
      </w:r>
      <w:r>
        <w:rPr>
          <w:rFonts w:hint="eastAsia"/>
          <w:szCs w:val="21"/>
        </w:rPr>
        <w:t>网站（</w:t>
      </w:r>
      <w:r>
        <w:rPr>
          <w:szCs w:val="21"/>
        </w:rPr>
        <w:t>http://www.creditchina.gov.cn</w:t>
      </w:r>
      <w:r>
        <w:rPr>
          <w:rFonts w:hint="eastAsia"/>
          <w:szCs w:val="21"/>
        </w:rPr>
        <w:t>）中被列入失信被执行人名单；</w:t>
      </w:r>
    </w:p>
    <w:p w14:paraId="0EC8A034">
      <w:pPr>
        <w:spacing w:line="360" w:lineRule="auto"/>
        <w:ind w:firstLine="420" w:firstLineChars="200"/>
        <w:jc w:val="left"/>
        <w:rPr>
          <w:szCs w:val="21"/>
        </w:rPr>
      </w:pPr>
      <w:r>
        <w:rPr>
          <w:rFonts w:hint="eastAsia"/>
          <w:szCs w:val="21"/>
        </w:rPr>
        <w:t>（</w:t>
      </w:r>
      <w:r>
        <w:rPr>
          <w:szCs w:val="21"/>
        </w:rPr>
        <w:t>6</w:t>
      </w:r>
      <w:r>
        <w:rPr>
          <w:rFonts w:hint="eastAsia"/>
          <w:szCs w:val="21"/>
        </w:rPr>
        <w:t>）投标人或其法定代表人、拟委任的项目经理在投标人须知前附表规定日期后有行贿犯罪行为的（行贿犯罪行为的认定以中国裁判文书网（</w:t>
      </w:r>
      <w:r>
        <w:rPr>
          <w:szCs w:val="21"/>
        </w:rPr>
        <w:t>http://wenshu.court.gov.cn/</w:t>
      </w:r>
      <w:r>
        <w:rPr>
          <w:rFonts w:hint="eastAsia"/>
          <w:szCs w:val="21"/>
        </w:rPr>
        <w:t>）</w:t>
      </w:r>
      <w:r>
        <w:rPr>
          <w:rFonts w:hint="eastAsia"/>
          <w:sz w:val="22"/>
          <w:szCs w:val="22"/>
        </w:rPr>
        <w:t>查询结果为准，投标文件中无需提供查询结果</w:t>
      </w:r>
      <w:r>
        <w:rPr>
          <w:rFonts w:hint="eastAsia"/>
          <w:szCs w:val="21"/>
        </w:rPr>
        <w:t>）；</w:t>
      </w:r>
    </w:p>
    <w:p w14:paraId="1EE48A96">
      <w:pPr>
        <w:spacing w:line="360" w:lineRule="auto"/>
        <w:ind w:firstLine="420" w:firstLineChars="200"/>
        <w:jc w:val="left"/>
        <w:rPr>
          <w:szCs w:val="21"/>
        </w:rPr>
      </w:pPr>
      <w:r>
        <w:rPr>
          <w:rFonts w:hint="eastAsia"/>
          <w:szCs w:val="21"/>
        </w:rPr>
        <w:t>（</w:t>
      </w:r>
      <w:r>
        <w:rPr>
          <w:szCs w:val="21"/>
        </w:rPr>
        <w:t>7</w:t>
      </w:r>
      <w:r>
        <w:rPr>
          <w:rFonts w:hint="eastAsia"/>
          <w:szCs w:val="21"/>
        </w:rPr>
        <w:t>）法律法规或投标人须知前附表规定的其他情形。</w:t>
      </w:r>
    </w:p>
    <w:p w14:paraId="6D9C27FC">
      <w:pPr>
        <w:pStyle w:val="2"/>
        <w:spacing w:before="0" w:after="0" w:line="460" w:lineRule="exact"/>
        <w:rPr>
          <w:rFonts w:ascii="宋体" w:hAnsi="宋体"/>
          <w:sz w:val="21"/>
          <w:szCs w:val="21"/>
        </w:rPr>
      </w:pPr>
      <w:bookmarkStart w:id="59" w:name="_Toc173246157"/>
      <w:bookmarkStart w:id="60" w:name="_Toc173244770"/>
      <w:bookmarkStart w:id="61" w:name="_Toc27451"/>
      <w:r>
        <w:rPr>
          <w:rFonts w:hint="eastAsia" w:ascii="宋体" w:hAnsi="宋体"/>
          <w:sz w:val="21"/>
          <w:szCs w:val="21"/>
        </w:rPr>
        <w:t>1.5 费用承担</w:t>
      </w:r>
      <w:bookmarkEnd w:id="58"/>
      <w:bookmarkEnd w:id="59"/>
      <w:bookmarkEnd w:id="60"/>
      <w:bookmarkEnd w:id="61"/>
    </w:p>
    <w:p w14:paraId="5DC18B40">
      <w:pPr>
        <w:widowControl/>
        <w:spacing w:line="460" w:lineRule="exact"/>
        <w:jc w:val="left"/>
        <w:rPr>
          <w:rFonts w:ascii="宋体" w:hAnsi="宋体" w:eastAsia="宋体" w:cs="宋体"/>
          <w:szCs w:val="21"/>
        </w:rPr>
      </w:pPr>
      <w:bookmarkStart w:id="62" w:name="_Toc21599"/>
      <w:r>
        <w:rPr>
          <w:rFonts w:hint="eastAsia" w:ascii="宋体" w:hAnsi="宋体" w:eastAsia="宋体" w:cs="宋体"/>
          <w:szCs w:val="21"/>
        </w:rPr>
        <w:t>投标人准备和参加投标活动发生的费用自理。</w:t>
      </w:r>
    </w:p>
    <w:p w14:paraId="23F1C4C3">
      <w:pPr>
        <w:bidi w:val="0"/>
        <w:rPr>
          <w:rFonts w:hint="eastAsia"/>
          <w:b/>
          <w:bCs/>
          <w:lang w:val="en-US" w:eastAsia="zh-CN"/>
        </w:rPr>
      </w:pPr>
      <w:bookmarkStart w:id="63" w:name="_Toc173246158"/>
      <w:bookmarkStart w:id="64" w:name="_Toc173244771"/>
      <w:bookmarkStart w:id="65" w:name="_Toc173334072"/>
      <w:bookmarkStart w:id="66" w:name="_Toc173330610"/>
      <w:bookmarkStart w:id="67" w:name="_Toc173330739"/>
      <w:r>
        <w:rPr>
          <w:rFonts w:hint="eastAsia"/>
          <w:b/>
          <w:bCs/>
          <w:lang w:val="en-US" w:eastAsia="zh-CN"/>
        </w:rPr>
        <w:t>本工程招标代理费人民币陆仟元（¥5000元）由中标单位支付，在领取中标通知书时支付。</w:t>
      </w:r>
      <w:bookmarkEnd w:id="63"/>
      <w:bookmarkEnd w:id="64"/>
      <w:bookmarkEnd w:id="65"/>
      <w:bookmarkEnd w:id="66"/>
      <w:bookmarkEnd w:id="67"/>
    </w:p>
    <w:p w14:paraId="504B64E6">
      <w:pPr>
        <w:pStyle w:val="2"/>
        <w:spacing w:before="0" w:after="0" w:line="460" w:lineRule="exact"/>
        <w:rPr>
          <w:rFonts w:ascii="宋体" w:hAnsi="宋体"/>
          <w:sz w:val="21"/>
          <w:szCs w:val="21"/>
        </w:rPr>
      </w:pPr>
      <w:bookmarkStart w:id="68" w:name="_Toc173246159"/>
      <w:bookmarkStart w:id="69" w:name="_Toc173244772"/>
      <w:bookmarkStart w:id="70" w:name="_Toc4016"/>
      <w:r>
        <w:rPr>
          <w:rFonts w:hint="eastAsia" w:ascii="宋体" w:hAnsi="宋体"/>
          <w:sz w:val="21"/>
          <w:szCs w:val="21"/>
        </w:rPr>
        <w:t>1.6 保密</w:t>
      </w:r>
      <w:bookmarkEnd w:id="62"/>
      <w:bookmarkEnd w:id="68"/>
      <w:bookmarkEnd w:id="69"/>
      <w:bookmarkEnd w:id="70"/>
    </w:p>
    <w:p w14:paraId="47F9B5A3">
      <w:pPr>
        <w:spacing w:line="460" w:lineRule="exact"/>
        <w:ind w:firstLine="420" w:firstLineChars="200"/>
        <w:rPr>
          <w:rFonts w:ascii="宋体" w:hAnsi="宋体" w:eastAsia="宋体" w:cs="宋体"/>
          <w:szCs w:val="21"/>
        </w:rPr>
      </w:pPr>
      <w:r>
        <w:rPr>
          <w:rFonts w:hint="eastAsia" w:ascii="宋体" w:hAnsi="宋体" w:eastAsia="宋体" w:cs="宋体"/>
          <w:szCs w:val="21"/>
        </w:rPr>
        <w:t>参与招标投标活动的各方应对招标文件和投标文件中的商业和技术等秘密保密，违者应对由此造成的后果承担法律责任。</w:t>
      </w:r>
    </w:p>
    <w:p w14:paraId="44C6A367">
      <w:pPr>
        <w:pStyle w:val="2"/>
        <w:spacing w:before="0" w:after="0" w:line="460" w:lineRule="exact"/>
        <w:rPr>
          <w:rFonts w:ascii="宋体" w:hAnsi="宋体"/>
          <w:sz w:val="21"/>
          <w:szCs w:val="21"/>
        </w:rPr>
      </w:pPr>
      <w:bookmarkStart w:id="71" w:name="_Toc173244773"/>
      <w:bookmarkStart w:id="72" w:name="_Toc173246160"/>
      <w:bookmarkStart w:id="73" w:name="_Toc17491"/>
      <w:bookmarkStart w:id="74" w:name="_Toc16230"/>
      <w:r>
        <w:rPr>
          <w:rFonts w:hint="eastAsia" w:ascii="宋体" w:hAnsi="宋体"/>
          <w:sz w:val="21"/>
          <w:szCs w:val="21"/>
        </w:rPr>
        <w:t>1.7 语言文字</w:t>
      </w:r>
      <w:bookmarkEnd w:id="71"/>
      <w:bookmarkEnd w:id="72"/>
      <w:bookmarkEnd w:id="73"/>
      <w:bookmarkEnd w:id="74"/>
    </w:p>
    <w:p w14:paraId="6535CE1F">
      <w:pPr>
        <w:spacing w:line="460" w:lineRule="exact"/>
        <w:ind w:firstLine="420" w:firstLineChars="200"/>
        <w:rPr>
          <w:rFonts w:ascii="宋体" w:hAnsi="宋体" w:eastAsia="宋体" w:cs="宋体"/>
          <w:szCs w:val="21"/>
        </w:rPr>
      </w:pPr>
      <w:r>
        <w:rPr>
          <w:rFonts w:hint="eastAsia" w:ascii="宋体" w:hAnsi="宋体" w:eastAsia="宋体" w:cs="宋体"/>
          <w:szCs w:val="21"/>
        </w:rPr>
        <w:t>除专用术语外，与招标投标有关的语言均使用中文。必要时专用术语应附有中文注释。</w:t>
      </w:r>
    </w:p>
    <w:p w14:paraId="5FF984FB">
      <w:pPr>
        <w:pStyle w:val="2"/>
        <w:spacing w:before="0" w:after="0" w:line="460" w:lineRule="exact"/>
        <w:rPr>
          <w:rFonts w:ascii="宋体" w:hAnsi="宋体"/>
          <w:sz w:val="21"/>
          <w:szCs w:val="21"/>
        </w:rPr>
      </w:pPr>
      <w:bookmarkStart w:id="75" w:name="_Toc173244774"/>
      <w:bookmarkStart w:id="76" w:name="_Toc25808"/>
      <w:bookmarkStart w:id="77" w:name="_Toc173246161"/>
      <w:bookmarkStart w:id="78" w:name="_Toc29938"/>
      <w:r>
        <w:rPr>
          <w:rFonts w:hint="eastAsia" w:ascii="宋体" w:hAnsi="宋体"/>
          <w:sz w:val="21"/>
          <w:szCs w:val="21"/>
        </w:rPr>
        <w:t>1.8 计量单位</w:t>
      </w:r>
      <w:bookmarkEnd w:id="75"/>
      <w:bookmarkEnd w:id="76"/>
      <w:bookmarkEnd w:id="77"/>
      <w:bookmarkEnd w:id="78"/>
    </w:p>
    <w:p w14:paraId="1FAB553D">
      <w:pPr>
        <w:spacing w:line="460" w:lineRule="exact"/>
        <w:ind w:firstLine="420" w:firstLineChars="200"/>
        <w:rPr>
          <w:rFonts w:ascii="宋体" w:hAnsi="宋体" w:eastAsia="宋体" w:cs="宋体"/>
          <w:szCs w:val="21"/>
        </w:rPr>
      </w:pPr>
      <w:r>
        <w:rPr>
          <w:rFonts w:hint="eastAsia" w:ascii="宋体" w:hAnsi="宋体" w:eastAsia="宋体" w:cs="宋体"/>
          <w:szCs w:val="21"/>
        </w:rPr>
        <w:t>所有计量均采用中华人民共和国法定计量单位。</w:t>
      </w:r>
    </w:p>
    <w:p w14:paraId="7315726E">
      <w:pPr>
        <w:pStyle w:val="2"/>
        <w:spacing w:before="0" w:after="0" w:line="460" w:lineRule="exact"/>
        <w:rPr>
          <w:rFonts w:ascii="宋体" w:hAnsi="宋体"/>
          <w:sz w:val="21"/>
          <w:szCs w:val="21"/>
        </w:rPr>
      </w:pPr>
      <w:bookmarkStart w:id="79" w:name="_Toc173244775"/>
      <w:bookmarkStart w:id="80" w:name="_Toc56"/>
      <w:bookmarkStart w:id="81" w:name="_Toc173246162"/>
      <w:bookmarkStart w:id="82" w:name="_Toc29302"/>
      <w:r>
        <w:rPr>
          <w:rFonts w:hint="eastAsia" w:ascii="宋体" w:hAnsi="宋体"/>
          <w:sz w:val="21"/>
          <w:szCs w:val="21"/>
        </w:rPr>
        <w:t>1.9 踏勘现场</w:t>
      </w:r>
      <w:bookmarkEnd w:id="79"/>
      <w:bookmarkEnd w:id="80"/>
      <w:bookmarkEnd w:id="81"/>
      <w:bookmarkEnd w:id="82"/>
    </w:p>
    <w:p w14:paraId="7D663B78">
      <w:pPr>
        <w:spacing w:line="460" w:lineRule="exact"/>
        <w:ind w:firstLine="420" w:firstLineChars="200"/>
        <w:rPr>
          <w:rFonts w:ascii="宋体" w:hAnsi="宋体" w:eastAsia="宋体" w:cs="宋体"/>
          <w:szCs w:val="21"/>
        </w:rPr>
      </w:pPr>
      <w:r>
        <w:rPr>
          <w:rFonts w:hint="eastAsia" w:ascii="宋体" w:hAnsi="宋体" w:eastAsia="宋体" w:cs="宋体"/>
          <w:szCs w:val="21"/>
        </w:rPr>
        <w:t>1.9.1 投标人须知前附表规定组织踏勘现场的，发包人按投标人须知前附表规定的时间、地点组织投标人踏勘项目现场。</w:t>
      </w:r>
    </w:p>
    <w:p w14:paraId="02B877F9">
      <w:pPr>
        <w:spacing w:line="460" w:lineRule="exact"/>
        <w:ind w:firstLine="420" w:firstLineChars="200"/>
        <w:rPr>
          <w:rFonts w:ascii="宋体" w:hAnsi="宋体" w:eastAsia="宋体" w:cs="宋体"/>
          <w:szCs w:val="21"/>
        </w:rPr>
      </w:pPr>
      <w:r>
        <w:rPr>
          <w:rFonts w:hint="eastAsia" w:ascii="宋体" w:hAnsi="宋体" w:eastAsia="宋体" w:cs="宋体"/>
          <w:szCs w:val="21"/>
        </w:rPr>
        <w:t>1.9.2 投标人踏勘现场发生的费用自理。</w:t>
      </w:r>
    </w:p>
    <w:p w14:paraId="7B415004">
      <w:pPr>
        <w:spacing w:line="460" w:lineRule="exact"/>
        <w:ind w:firstLine="420" w:firstLineChars="200"/>
        <w:rPr>
          <w:rFonts w:ascii="宋体" w:hAnsi="宋体" w:eastAsia="宋体" w:cs="宋体"/>
          <w:szCs w:val="21"/>
        </w:rPr>
      </w:pPr>
      <w:r>
        <w:rPr>
          <w:rFonts w:hint="eastAsia" w:ascii="宋体" w:hAnsi="宋体" w:eastAsia="宋体" w:cs="宋体"/>
          <w:szCs w:val="21"/>
        </w:rPr>
        <w:t>1.9.3 除发包人的原因外，投标人自行负责在踏勘现场中所发生的人员伤亡和财产损失。</w:t>
      </w:r>
    </w:p>
    <w:p w14:paraId="27C8C55F">
      <w:pPr>
        <w:spacing w:line="460" w:lineRule="exact"/>
        <w:ind w:firstLine="420" w:firstLineChars="200"/>
        <w:rPr>
          <w:rFonts w:ascii="宋体" w:hAnsi="宋体" w:eastAsia="宋体" w:cs="宋体"/>
          <w:szCs w:val="21"/>
        </w:rPr>
      </w:pPr>
      <w:r>
        <w:rPr>
          <w:rFonts w:hint="eastAsia" w:ascii="宋体" w:hAnsi="宋体" w:eastAsia="宋体" w:cs="宋体"/>
          <w:szCs w:val="21"/>
        </w:rPr>
        <w:t>1.9.4 发包人在踏勘现场中介绍的工程场地和相关的周边环境情况，供投标人在编制投标文件时参考，发包人不对投标人据此作出的判断和决策负责。</w:t>
      </w:r>
    </w:p>
    <w:p w14:paraId="04B156AB">
      <w:pPr>
        <w:spacing w:line="460" w:lineRule="exact"/>
        <w:ind w:firstLine="420" w:firstLineChars="200"/>
        <w:rPr>
          <w:rFonts w:ascii="宋体" w:hAnsi="宋体" w:eastAsia="宋体" w:cs="宋体"/>
          <w:szCs w:val="21"/>
        </w:rPr>
      </w:pPr>
      <w:r>
        <w:rPr>
          <w:rFonts w:hint="eastAsia" w:ascii="宋体" w:hAnsi="宋体" w:eastAsia="宋体" w:cs="宋体"/>
          <w:szCs w:val="21"/>
        </w:rPr>
        <w:t>1.9.5 发包人提供的本合同工程的水文、地质、气象和料场分布、取土场、弃土场位置等参考资料，并不构成合同文件的组成部分，投标人应对自己对上述资料的解释、推论和应用负责，发包人不对投标人据此作出的判断和决策承担任何责任。</w:t>
      </w:r>
    </w:p>
    <w:p w14:paraId="2ECEA5AA">
      <w:pPr>
        <w:spacing w:line="460" w:lineRule="exact"/>
        <w:outlineLvl w:val="2"/>
        <w:rPr>
          <w:rFonts w:ascii="宋体" w:hAnsi="宋体" w:eastAsia="宋体" w:cs="宋体"/>
        </w:rPr>
      </w:pPr>
      <w:bookmarkStart w:id="83" w:name="_Toc24857"/>
      <w:bookmarkStart w:id="84" w:name="_Toc441076966"/>
      <w:bookmarkStart w:id="85" w:name="_Toc467421238"/>
      <w:bookmarkStart w:id="86" w:name="_Toc467421042"/>
      <w:r>
        <w:rPr>
          <w:rFonts w:hint="eastAsia" w:ascii="宋体" w:hAnsi="宋体" w:eastAsia="宋体" w:cs="宋体"/>
        </w:rPr>
        <w:t>1.10 投标预备会</w:t>
      </w:r>
      <w:bookmarkEnd w:id="83"/>
      <w:bookmarkEnd w:id="84"/>
      <w:bookmarkEnd w:id="85"/>
      <w:bookmarkEnd w:id="86"/>
    </w:p>
    <w:p w14:paraId="2E6DA78E">
      <w:pPr>
        <w:spacing w:line="460" w:lineRule="exact"/>
        <w:ind w:firstLine="435"/>
        <w:rPr>
          <w:rFonts w:ascii="宋体" w:hAnsi="宋体" w:eastAsia="宋体" w:cs="宋体"/>
        </w:rPr>
      </w:pPr>
      <w:r>
        <w:rPr>
          <w:rFonts w:hint="eastAsia" w:ascii="宋体" w:hAnsi="宋体" w:eastAsia="宋体" w:cs="宋体"/>
        </w:rPr>
        <w:t>1.10.1 发包人将按投标人须知前附表规定召开投标预备会。</w:t>
      </w:r>
    </w:p>
    <w:p w14:paraId="5C01383C">
      <w:pPr>
        <w:spacing w:line="460" w:lineRule="exact"/>
        <w:ind w:firstLine="435"/>
        <w:rPr>
          <w:rFonts w:ascii="宋体" w:hAnsi="宋体" w:eastAsia="宋体" w:cs="宋体"/>
        </w:rPr>
      </w:pPr>
      <w:r>
        <w:rPr>
          <w:rFonts w:hint="eastAsia" w:ascii="宋体" w:hAnsi="宋体" w:eastAsia="宋体" w:cs="宋体"/>
        </w:rPr>
        <w:t>1.10.2 投标人在踏勘现场（如果有）及阅读招标文件后提出的与投标有关的问题，发包人将在投标预备会上予以解答。投标人应在投标人须知前附表规定的截止时间之前，以书面形式将要求答复的问题提交给发包人，以便发包人进行准备。</w:t>
      </w:r>
    </w:p>
    <w:p w14:paraId="2A290AB5">
      <w:pPr>
        <w:spacing w:line="460" w:lineRule="exact"/>
        <w:ind w:firstLine="315" w:firstLineChars="150"/>
        <w:outlineLvl w:val="2"/>
        <w:rPr>
          <w:rFonts w:ascii="宋体" w:hAnsi="宋体" w:eastAsia="宋体" w:cs="宋体"/>
          <w:szCs w:val="21"/>
        </w:rPr>
      </w:pPr>
      <w:bookmarkStart w:id="87" w:name="_Toc22426"/>
      <w:r>
        <w:rPr>
          <w:rFonts w:hint="eastAsia" w:ascii="宋体" w:hAnsi="宋体" w:eastAsia="宋体" w:cs="宋体"/>
        </w:rPr>
        <w:t xml:space="preserve">1.10.3 </w:t>
      </w:r>
      <w:r>
        <w:rPr>
          <w:rFonts w:hint="eastAsia" w:ascii="宋体" w:hAnsi="宋体" w:eastAsia="宋体" w:cs="宋体"/>
          <w:szCs w:val="21"/>
        </w:rPr>
        <w:t>发包人将以补遗书形式书面答复投标人提出的问题，按规定报备后，发包人将在</w:t>
      </w:r>
      <w:r>
        <w:rPr>
          <w:rFonts w:hint="eastAsia"/>
          <w:kern w:val="0"/>
          <w:szCs w:val="21"/>
        </w:rPr>
        <w:t>三门县公共资源交易中心</w:t>
      </w:r>
      <w:r>
        <w:rPr>
          <w:rFonts w:hint="eastAsia" w:ascii="宋体" w:hAnsi="宋体" w:eastAsia="宋体" w:cs="宋体"/>
          <w:szCs w:val="21"/>
        </w:rPr>
        <w:t>“网址：</w:t>
      </w:r>
      <w:r>
        <w:fldChar w:fldCharType="begin"/>
      </w:r>
      <w:r>
        <w:instrText xml:space="preserve"> HYPERLINK "http://www.smztb.com" </w:instrText>
      </w:r>
      <w:r>
        <w:fldChar w:fldCharType="separate"/>
      </w:r>
      <w:r>
        <w:rPr>
          <w:rFonts w:hint="eastAsia"/>
          <w:lang w:eastAsia="zh-CN"/>
        </w:rPr>
        <w:t>http://www.sanmen.gov.cn/col/col1229610956/index.html</w:t>
      </w:r>
      <w:r>
        <w:rPr>
          <w:rStyle w:val="59"/>
          <w:rFonts w:hint="eastAsia" w:ascii="宋体" w:hAnsi="宋体" w:eastAsia="宋体" w:cs="宋体"/>
          <w:color w:val="auto"/>
          <w:szCs w:val="21"/>
          <w:u w:val="none"/>
        </w:rPr>
        <w:t>”上公开发布补遗书（补充、澄清、修改文件）对招标文件进行答复。</w:t>
      </w:r>
      <w:r>
        <w:rPr>
          <w:rStyle w:val="59"/>
          <w:rFonts w:hint="eastAsia" w:ascii="宋体" w:hAnsi="宋体" w:eastAsia="宋体" w:cs="宋体"/>
          <w:b/>
          <w:bCs/>
          <w:color w:val="auto"/>
          <w:szCs w:val="21"/>
          <w:u w:val="none"/>
        </w:rPr>
        <w:t>潜在投标人应自行关注网站公告，发包人不再一一通知。</w:t>
      </w:r>
      <w:r>
        <w:rPr>
          <w:rStyle w:val="59"/>
          <w:rFonts w:hint="eastAsia" w:ascii="宋体" w:hAnsi="宋体" w:eastAsia="宋体" w:cs="宋体"/>
          <w:b/>
          <w:bCs/>
          <w:color w:val="auto"/>
          <w:szCs w:val="21"/>
          <w:u w:val="none"/>
        </w:rPr>
        <w:fldChar w:fldCharType="end"/>
      </w:r>
      <w:bookmarkEnd w:id="87"/>
    </w:p>
    <w:p w14:paraId="28A4B204">
      <w:pPr>
        <w:pStyle w:val="2"/>
        <w:spacing w:before="0" w:after="0" w:line="460" w:lineRule="exact"/>
        <w:rPr>
          <w:rFonts w:ascii="宋体" w:hAnsi="宋体"/>
          <w:sz w:val="21"/>
          <w:szCs w:val="21"/>
        </w:rPr>
      </w:pPr>
      <w:bookmarkStart w:id="88" w:name="_Toc3473"/>
      <w:bookmarkStart w:id="89" w:name="_Toc173244776"/>
      <w:bookmarkStart w:id="90" w:name="_Toc173246163"/>
      <w:bookmarkStart w:id="91" w:name="_Toc6880"/>
      <w:r>
        <w:rPr>
          <w:rFonts w:hint="eastAsia" w:ascii="宋体" w:hAnsi="宋体"/>
          <w:sz w:val="21"/>
          <w:szCs w:val="21"/>
        </w:rPr>
        <w:t>1.11 分包</w:t>
      </w:r>
      <w:bookmarkEnd w:id="88"/>
      <w:bookmarkEnd w:id="89"/>
      <w:bookmarkEnd w:id="90"/>
      <w:bookmarkEnd w:id="91"/>
    </w:p>
    <w:p w14:paraId="606ABE87">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本项目严禁转包和违规分包，且不得再次分包。投标人拟在中标后将中标项目的部分非主体、非关键性工作进行分包的，应符合以下规定： </w:t>
      </w:r>
    </w:p>
    <w:p w14:paraId="60917CA2">
      <w:pPr>
        <w:spacing w:line="460" w:lineRule="exact"/>
        <w:ind w:firstLine="420" w:firstLineChars="200"/>
        <w:rPr>
          <w:rFonts w:ascii="宋体" w:hAnsi="宋体" w:eastAsia="宋体" w:cs="宋体"/>
          <w:szCs w:val="21"/>
        </w:rPr>
      </w:pPr>
      <w:r>
        <w:rPr>
          <w:rFonts w:hint="eastAsia" w:ascii="宋体" w:hAnsi="宋体" w:eastAsia="宋体" w:cs="宋体"/>
          <w:szCs w:val="21"/>
        </w:rPr>
        <w:t>分包内容要求：允许分包的工程范围仅限于非关键性工程或者适合专业化队伍施工的专业工程；</w:t>
      </w:r>
    </w:p>
    <w:p w14:paraId="616FBDEC">
      <w:pPr>
        <w:spacing w:line="460" w:lineRule="exact"/>
        <w:ind w:firstLine="420" w:firstLineChars="200"/>
        <w:rPr>
          <w:rFonts w:ascii="宋体" w:hAnsi="宋体" w:eastAsia="宋体" w:cs="宋体"/>
          <w:szCs w:val="21"/>
        </w:rPr>
      </w:pPr>
      <w:r>
        <w:rPr>
          <w:rFonts w:hint="eastAsia" w:ascii="宋体" w:hAnsi="宋体" w:eastAsia="宋体" w:cs="宋体"/>
          <w:szCs w:val="21"/>
        </w:rPr>
        <w:t>分包金额要求：专业工程分包的工程量累计不得超过总工程量的30%；</w:t>
      </w:r>
    </w:p>
    <w:p w14:paraId="22A7DE9F">
      <w:pPr>
        <w:spacing w:line="460" w:lineRule="exact"/>
        <w:ind w:firstLine="420" w:firstLineChars="200"/>
        <w:rPr>
          <w:rFonts w:ascii="宋体" w:hAnsi="宋体" w:eastAsia="宋体" w:cs="宋体"/>
          <w:szCs w:val="21"/>
        </w:rPr>
      </w:pPr>
      <w:r>
        <w:rPr>
          <w:rFonts w:hint="eastAsia" w:ascii="宋体" w:hAnsi="宋体" w:eastAsia="宋体" w:cs="宋体"/>
          <w:szCs w:val="21"/>
        </w:rPr>
        <w:t>接受分包的第三人资质要求：分包人的资格能力应与其分包工程的标准和规模相适应，具备相应的专业承包资质或劳务分包资质；</w:t>
      </w:r>
    </w:p>
    <w:p w14:paraId="1840A183">
      <w:pPr>
        <w:spacing w:line="460" w:lineRule="exact"/>
        <w:ind w:firstLine="420" w:firstLineChars="200"/>
        <w:rPr>
          <w:rFonts w:ascii="宋体" w:hAnsi="宋体" w:eastAsia="宋体" w:cs="宋体"/>
          <w:szCs w:val="21"/>
        </w:rPr>
      </w:pPr>
      <w:r>
        <w:rPr>
          <w:rFonts w:hint="eastAsia" w:ascii="宋体" w:hAnsi="宋体" w:eastAsia="宋体" w:cs="宋体"/>
          <w:szCs w:val="21"/>
        </w:rPr>
        <w:t>其他要求；投标人如有分包计划，应按第九章“投标文件格式”的要求填写“拟分包项目调查表”，且投标人中标后的分包应满足合同条款第4.3款的相关要求。</w:t>
      </w:r>
    </w:p>
    <w:p w14:paraId="4A40CD81">
      <w:pPr>
        <w:pStyle w:val="2"/>
        <w:spacing w:before="0" w:after="0" w:line="460" w:lineRule="exact"/>
        <w:rPr>
          <w:rFonts w:ascii="宋体" w:hAnsi="宋体"/>
          <w:sz w:val="21"/>
          <w:szCs w:val="21"/>
          <w:vertAlign w:val="superscript"/>
        </w:rPr>
      </w:pPr>
      <w:bookmarkStart w:id="92" w:name="_Toc173244777"/>
      <w:bookmarkStart w:id="93" w:name="_Toc173246164"/>
      <w:bookmarkStart w:id="94" w:name="_Toc1094"/>
      <w:bookmarkStart w:id="95" w:name="_Toc3180"/>
      <w:r>
        <w:rPr>
          <w:rFonts w:hint="eastAsia" w:ascii="宋体" w:hAnsi="宋体"/>
          <w:sz w:val="21"/>
          <w:szCs w:val="21"/>
        </w:rPr>
        <w:t>1.12 偏离</w:t>
      </w:r>
      <w:bookmarkEnd w:id="92"/>
      <w:bookmarkEnd w:id="93"/>
      <w:bookmarkEnd w:id="94"/>
      <w:bookmarkEnd w:id="95"/>
    </w:p>
    <w:p w14:paraId="1E96A415">
      <w:pPr>
        <w:spacing w:line="460" w:lineRule="exact"/>
        <w:ind w:firstLine="420" w:firstLineChars="200"/>
        <w:rPr>
          <w:rFonts w:ascii="宋体" w:hAnsi="宋体" w:eastAsia="宋体" w:cs="宋体"/>
          <w:szCs w:val="21"/>
        </w:rPr>
      </w:pPr>
      <w:r>
        <w:rPr>
          <w:rFonts w:hint="eastAsia" w:ascii="宋体" w:hAnsi="宋体" w:eastAsia="宋体" w:cs="宋体"/>
          <w:szCs w:val="21"/>
        </w:rPr>
        <w:t>投标人须知前附表允许投标文件偏离招标文件某些要求的，偏离应当符合招标文件规定的偏离范围和幅度。</w:t>
      </w:r>
    </w:p>
    <w:p w14:paraId="7A438D7F">
      <w:pPr>
        <w:pStyle w:val="2"/>
        <w:spacing w:before="0" w:after="0" w:line="460" w:lineRule="exact"/>
        <w:rPr>
          <w:rFonts w:ascii="宋体" w:hAnsi="宋体"/>
          <w:sz w:val="21"/>
          <w:szCs w:val="21"/>
        </w:rPr>
      </w:pPr>
      <w:bookmarkStart w:id="96" w:name="_Toc19356"/>
      <w:bookmarkStart w:id="97" w:name="_Toc173244778"/>
      <w:bookmarkStart w:id="98" w:name="_Toc20062"/>
      <w:r>
        <w:rPr>
          <w:rFonts w:hint="eastAsia" w:ascii="宋体" w:hAnsi="宋体"/>
          <w:sz w:val="21"/>
          <w:szCs w:val="21"/>
        </w:rPr>
        <w:t>2. 招标文件</w:t>
      </w:r>
      <w:bookmarkEnd w:id="96"/>
      <w:bookmarkEnd w:id="97"/>
      <w:bookmarkEnd w:id="98"/>
    </w:p>
    <w:p w14:paraId="26B45B03">
      <w:pPr>
        <w:pStyle w:val="2"/>
        <w:keepNext w:val="0"/>
        <w:keepLines w:val="0"/>
        <w:spacing w:before="0" w:after="0" w:line="460" w:lineRule="exact"/>
        <w:rPr>
          <w:rFonts w:ascii="宋体" w:hAnsi="宋体"/>
          <w:sz w:val="21"/>
          <w:szCs w:val="21"/>
        </w:rPr>
      </w:pPr>
      <w:bookmarkStart w:id="99" w:name="_Toc173244779"/>
      <w:bookmarkStart w:id="100" w:name="_Toc7209"/>
      <w:bookmarkStart w:id="101" w:name="_Toc32761"/>
      <w:r>
        <w:rPr>
          <w:rFonts w:hint="eastAsia" w:ascii="宋体" w:hAnsi="宋体"/>
          <w:sz w:val="21"/>
          <w:szCs w:val="21"/>
        </w:rPr>
        <w:t>2.1 招标文件的组成</w:t>
      </w:r>
      <w:bookmarkEnd w:id="99"/>
      <w:bookmarkEnd w:id="100"/>
      <w:bookmarkEnd w:id="101"/>
    </w:p>
    <w:p w14:paraId="5CED9237">
      <w:pPr>
        <w:spacing w:line="460" w:lineRule="exact"/>
        <w:ind w:firstLine="420" w:firstLineChars="200"/>
        <w:rPr>
          <w:rFonts w:ascii="宋体" w:hAnsi="宋体" w:eastAsia="宋体" w:cs="宋体"/>
          <w:szCs w:val="21"/>
        </w:rPr>
      </w:pPr>
      <w:r>
        <w:rPr>
          <w:rFonts w:hint="eastAsia" w:ascii="宋体" w:hAnsi="宋体" w:eastAsia="宋体" w:cs="宋体"/>
          <w:szCs w:val="21"/>
        </w:rPr>
        <w:t>本招标文件包括：</w:t>
      </w:r>
    </w:p>
    <w:p w14:paraId="357F3193">
      <w:pPr>
        <w:spacing w:line="460" w:lineRule="exact"/>
        <w:ind w:firstLine="420" w:firstLineChars="200"/>
        <w:rPr>
          <w:rFonts w:ascii="宋体" w:hAnsi="宋体" w:eastAsia="宋体" w:cs="宋体"/>
          <w:szCs w:val="21"/>
        </w:rPr>
      </w:pPr>
      <w:r>
        <w:rPr>
          <w:rFonts w:hint="eastAsia" w:ascii="宋体" w:hAnsi="宋体" w:eastAsia="宋体" w:cs="宋体"/>
          <w:szCs w:val="21"/>
        </w:rPr>
        <w:t>（1）招标公告（或投标邀请书）；</w:t>
      </w:r>
    </w:p>
    <w:p w14:paraId="498B9F3A">
      <w:pPr>
        <w:spacing w:line="460" w:lineRule="exact"/>
        <w:ind w:firstLine="420" w:firstLineChars="200"/>
        <w:rPr>
          <w:rFonts w:ascii="宋体" w:hAnsi="宋体" w:eastAsia="宋体" w:cs="宋体"/>
          <w:szCs w:val="21"/>
        </w:rPr>
      </w:pPr>
      <w:r>
        <w:rPr>
          <w:rFonts w:hint="eastAsia" w:ascii="宋体" w:hAnsi="宋体" w:eastAsia="宋体" w:cs="宋体"/>
          <w:szCs w:val="21"/>
        </w:rPr>
        <w:t>（2）投标人须知；</w:t>
      </w:r>
    </w:p>
    <w:p w14:paraId="14D066F7">
      <w:pPr>
        <w:spacing w:line="460" w:lineRule="exact"/>
        <w:ind w:firstLine="420" w:firstLineChars="200"/>
        <w:rPr>
          <w:rFonts w:ascii="宋体" w:hAnsi="宋体" w:eastAsia="宋体" w:cs="宋体"/>
          <w:szCs w:val="21"/>
        </w:rPr>
      </w:pPr>
      <w:r>
        <w:rPr>
          <w:rFonts w:hint="eastAsia" w:ascii="宋体" w:hAnsi="宋体" w:eastAsia="宋体" w:cs="宋体"/>
          <w:szCs w:val="21"/>
        </w:rPr>
        <w:t>（3）评标办法；</w:t>
      </w:r>
    </w:p>
    <w:p w14:paraId="61FC1649">
      <w:pPr>
        <w:spacing w:line="460" w:lineRule="exact"/>
        <w:ind w:firstLine="420" w:firstLineChars="200"/>
        <w:rPr>
          <w:rFonts w:ascii="宋体" w:hAnsi="宋体" w:eastAsia="宋体" w:cs="宋体"/>
          <w:szCs w:val="21"/>
        </w:rPr>
      </w:pPr>
      <w:r>
        <w:rPr>
          <w:rFonts w:hint="eastAsia" w:ascii="宋体" w:hAnsi="宋体" w:eastAsia="宋体" w:cs="宋体"/>
          <w:szCs w:val="21"/>
        </w:rPr>
        <w:t>（4）合同条款及格式；</w:t>
      </w:r>
    </w:p>
    <w:p w14:paraId="2043B269">
      <w:pPr>
        <w:spacing w:line="460" w:lineRule="exact"/>
        <w:ind w:firstLine="420" w:firstLineChars="200"/>
        <w:rPr>
          <w:rFonts w:ascii="宋体" w:hAnsi="宋体" w:eastAsia="宋体" w:cs="宋体"/>
          <w:szCs w:val="21"/>
        </w:rPr>
      </w:pPr>
      <w:r>
        <w:rPr>
          <w:rFonts w:hint="eastAsia" w:ascii="宋体" w:hAnsi="宋体" w:eastAsia="宋体" w:cs="宋体"/>
          <w:szCs w:val="21"/>
        </w:rPr>
        <w:t>（5）工程量清单；</w:t>
      </w:r>
    </w:p>
    <w:p w14:paraId="32A3488C">
      <w:pPr>
        <w:spacing w:line="460" w:lineRule="exact"/>
        <w:ind w:firstLine="420" w:firstLineChars="200"/>
        <w:rPr>
          <w:rFonts w:ascii="宋体" w:hAnsi="宋体" w:eastAsia="宋体" w:cs="宋体"/>
          <w:szCs w:val="21"/>
        </w:rPr>
      </w:pPr>
      <w:r>
        <w:rPr>
          <w:rFonts w:hint="eastAsia" w:ascii="宋体" w:hAnsi="宋体" w:eastAsia="宋体" w:cs="宋体"/>
          <w:szCs w:val="21"/>
        </w:rPr>
        <w:t>（6）图纸；</w:t>
      </w:r>
    </w:p>
    <w:p w14:paraId="08349C8B">
      <w:pPr>
        <w:spacing w:line="460" w:lineRule="exact"/>
        <w:ind w:firstLine="420" w:firstLineChars="200"/>
        <w:rPr>
          <w:rFonts w:ascii="宋体" w:hAnsi="宋体" w:eastAsia="宋体" w:cs="宋体"/>
          <w:szCs w:val="21"/>
        </w:rPr>
      </w:pPr>
      <w:r>
        <w:rPr>
          <w:rFonts w:hint="eastAsia" w:ascii="宋体" w:hAnsi="宋体" w:eastAsia="宋体" w:cs="宋体"/>
          <w:szCs w:val="21"/>
        </w:rPr>
        <w:t>（7）技术规范；</w:t>
      </w:r>
    </w:p>
    <w:p w14:paraId="0E905A6C">
      <w:pPr>
        <w:spacing w:line="460" w:lineRule="exact"/>
        <w:ind w:firstLine="420" w:firstLineChars="200"/>
        <w:rPr>
          <w:rFonts w:ascii="宋体" w:hAnsi="宋体" w:eastAsia="宋体" w:cs="宋体"/>
          <w:szCs w:val="21"/>
        </w:rPr>
      </w:pPr>
      <w:r>
        <w:rPr>
          <w:rFonts w:hint="eastAsia" w:ascii="宋体" w:hAnsi="宋体" w:eastAsia="宋体" w:cs="宋体"/>
          <w:szCs w:val="21"/>
        </w:rPr>
        <w:t>（8）投标文件格式；</w:t>
      </w:r>
    </w:p>
    <w:p w14:paraId="489F03C5">
      <w:pPr>
        <w:spacing w:line="460" w:lineRule="exact"/>
        <w:ind w:firstLine="420" w:firstLineChars="200"/>
        <w:rPr>
          <w:rFonts w:ascii="宋体" w:hAnsi="宋体" w:eastAsia="宋体" w:cs="宋体"/>
          <w:szCs w:val="21"/>
        </w:rPr>
      </w:pPr>
      <w:r>
        <w:rPr>
          <w:rFonts w:hint="eastAsia" w:ascii="宋体" w:hAnsi="宋体" w:eastAsia="宋体" w:cs="宋体"/>
          <w:szCs w:val="21"/>
        </w:rPr>
        <w:t>（9）投标人须知前附表规定的其他材料。</w:t>
      </w:r>
    </w:p>
    <w:p w14:paraId="02C6F7A0">
      <w:pPr>
        <w:spacing w:line="460" w:lineRule="exact"/>
        <w:ind w:firstLine="422" w:firstLineChars="200"/>
        <w:rPr>
          <w:rFonts w:ascii="宋体" w:hAnsi="宋体" w:eastAsia="宋体" w:cs="宋体"/>
          <w:b/>
        </w:rPr>
      </w:pPr>
      <w:r>
        <w:rPr>
          <w:rFonts w:hint="eastAsia" w:ascii="宋体" w:hAnsi="宋体" w:eastAsia="宋体" w:cs="宋体"/>
          <w:b/>
        </w:rPr>
        <w:t>除上款内容外，发包人在提交投标文件截止时间前，发布在三门县公共资源交易中心网对招标文件的澄清或修改内容，均为招标文件的组成部分，对发包人和投标人起约束作用，投标人应经常浏览发布招标公告的媒体。</w:t>
      </w:r>
    </w:p>
    <w:p w14:paraId="2B1B1ED6">
      <w:pPr>
        <w:spacing w:line="460" w:lineRule="exact"/>
        <w:ind w:firstLine="420" w:firstLineChars="200"/>
        <w:rPr>
          <w:rFonts w:ascii="宋体" w:hAnsi="宋体" w:eastAsia="宋体" w:cs="宋体"/>
        </w:rPr>
      </w:pPr>
      <w:r>
        <w:rPr>
          <w:rFonts w:hint="eastAsia" w:ascii="宋体" w:hAnsi="宋体" w:eastAsia="宋体" w:cs="宋体"/>
        </w:rPr>
        <w:t>投标人通过在</w:t>
      </w:r>
      <w:r>
        <w:rPr>
          <w:rFonts w:hint="eastAsia" w:ascii="宋体" w:hAnsi="宋体" w:eastAsia="宋体" w:cs="宋体"/>
          <w:b/>
        </w:rPr>
        <w:t>三门县公共资源交易中心网</w:t>
      </w:r>
      <w:r>
        <w:rPr>
          <w:rFonts w:hint="eastAsia" w:ascii="宋体" w:hAnsi="宋体" w:eastAsia="宋体" w:cs="宋体"/>
        </w:rPr>
        <w:t>自行下载的方式获取招标文件及相关附件。投标人在获取招标文件后，应仔细检查招标文件的所有内容，如有残缺等问题应自招标文件发布在</w:t>
      </w:r>
      <w:r>
        <w:rPr>
          <w:rFonts w:hint="eastAsia" w:ascii="宋体" w:hAnsi="宋体" w:eastAsia="宋体" w:cs="宋体"/>
          <w:b/>
        </w:rPr>
        <w:t>三门县公共资源交易中心网</w:t>
      </w:r>
      <w:r>
        <w:rPr>
          <w:rFonts w:hint="eastAsia" w:ascii="宋体" w:hAnsi="宋体" w:eastAsia="宋体" w:cs="宋体"/>
        </w:rPr>
        <w:t>3日内向发包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311206BF">
      <w:pPr>
        <w:pStyle w:val="104"/>
        <w:spacing w:line="460" w:lineRule="exact"/>
        <w:rPr>
          <w:rFonts w:ascii="宋体" w:hAnsi="宋体" w:eastAsia="宋体"/>
          <w:sz w:val="21"/>
          <w:szCs w:val="21"/>
        </w:rPr>
      </w:pPr>
      <w:bookmarkStart w:id="102" w:name="_Toc144974512"/>
      <w:bookmarkStart w:id="103" w:name="_Toc372899826"/>
      <w:bookmarkStart w:id="104" w:name="_Toc152042320"/>
      <w:bookmarkStart w:id="105" w:name="_Toc288556251"/>
      <w:bookmarkStart w:id="106" w:name="_Toc394573897"/>
      <w:bookmarkStart w:id="107" w:name="_Toc283976500"/>
      <w:bookmarkStart w:id="108" w:name="_Toc16316"/>
      <w:bookmarkStart w:id="109" w:name="_Toc466827895"/>
      <w:bookmarkStart w:id="110" w:name="_Toc372899703"/>
      <w:bookmarkStart w:id="111" w:name="_Toc237769257"/>
      <w:bookmarkStart w:id="112" w:name="_Toc237768793"/>
      <w:bookmarkStart w:id="113" w:name="_Toc474850381"/>
      <w:bookmarkStart w:id="114" w:name="_Toc321925386"/>
      <w:bookmarkStart w:id="115" w:name="_Toc179632562"/>
      <w:bookmarkStart w:id="116" w:name="_Toc282596264"/>
      <w:bookmarkStart w:id="117" w:name="_Toc466827128"/>
      <w:bookmarkStart w:id="118" w:name="_Toc283886209"/>
      <w:bookmarkStart w:id="119" w:name="_Toc152045544"/>
      <w:r>
        <w:rPr>
          <w:rFonts w:hint="eastAsia" w:ascii="宋体" w:hAnsi="宋体" w:eastAsia="宋体"/>
          <w:sz w:val="21"/>
          <w:szCs w:val="21"/>
        </w:rPr>
        <w:t>2.2 招标文件的澄清</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48D0D49">
      <w:pPr>
        <w:spacing w:line="460" w:lineRule="exact"/>
        <w:ind w:firstLine="420" w:firstLineChars="200"/>
        <w:rPr>
          <w:rFonts w:ascii="宋体" w:hAnsi="宋体" w:eastAsia="宋体" w:cs="宋体"/>
        </w:rPr>
      </w:pPr>
      <w:bookmarkStart w:id="120" w:name="_Toc152042321"/>
      <w:bookmarkStart w:id="121" w:name="_Toc372899827"/>
      <w:bookmarkStart w:id="122" w:name="_Toc466827896"/>
      <w:bookmarkStart w:id="123" w:name="_Toc237769258"/>
      <w:bookmarkStart w:id="124" w:name="_Toc152045545"/>
      <w:bookmarkStart w:id="125" w:name="_Toc321925387"/>
      <w:bookmarkStart w:id="126" w:name="_Toc237768794"/>
      <w:bookmarkStart w:id="127" w:name="_Toc474850382"/>
      <w:bookmarkStart w:id="128" w:name="_Toc283976501"/>
      <w:bookmarkStart w:id="129" w:name="_Toc144974513"/>
      <w:bookmarkStart w:id="130" w:name="_Toc288556252"/>
      <w:bookmarkStart w:id="131" w:name="_Toc466827129"/>
      <w:bookmarkStart w:id="132" w:name="_Toc372899704"/>
      <w:bookmarkStart w:id="133" w:name="_Toc394573898"/>
      <w:bookmarkStart w:id="134" w:name="_Toc283886210"/>
      <w:bookmarkStart w:id="135" w:name="_Toc282596265"/>
      <w:bookmarkStart w:id="136" w:name="_Toc30297"/>
      <w:bookmarkStart w:id="137" w:name="_Toc179632563"/>
      <w:r>
        <w:rPr>
          <w:rFonts w:hint="eastAsia" w:ascii="宋体" w:hAnsi="宋体" w:eastAsia="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3日内向招标人提出，要求招标人对招标文件予以澄清。</w:t>
      </w:r>
    </w:p>
    <w:p w14:paraId="315CAA78">
      <w:pPr>
        <w:spacing w:line="460" w:lineRule="exact"/>
        <w:ind w:firstLine="420" w:firstLineChars="200"/>
        <w:rPr>
          <w:rFonts w:ascii="宋体" w:hAnsi="宋体" w:eastAsia="宋体" w:cs="宋体"/>
        </w:rPr>
      </w:pPr>
      <w:r>
        <w:rPr>
          <w:rFonts w:hint="eastAsia" w:ascii="宋体" w:hAnsi="宋体" w:eastAsia="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2.3款规定）3天前，将澄清的内容在交易场所（发布招标公告的媒体上）发布；不足3日的，招标人应当顺延投标文件的截止时间。</w:t>
      </w:r>
    </w:p>
    <w:p w14:paraId="47A54379">
      <w:pPr>
        <w:spacing w:line="460" w:lineRule="exact"/>
        <w:ind w:firstLine="420" w:firstLineChars="200"/>
        <w:rPr>
          <w:rFonts w:ascii="宋体" w:hAnsi="宋体" w:eastAsia="宋体" w:cs="宋体"/>
        </w:rPr>
      </w:pPr>
      <w:r>
        <w:rPr>
          <w:rFonts w:hint="eastAsia" w:ascii="宋体" w:hAnsi="宋体" w:eastAsia="宋体" w:cs="宋体"/>
        </w:rPr>
        <w:t>2.2.3招标人及招标代理机构的任何工作人员对投标人所作的任何口头解释、介绍、答复，只能供投标人参考，对招标人无任何约束力。</w:t>
      </w:r>
    </w:p>
    <w:p w14:paraId="25EF7A7C">
      <w:pPr>
        <w:pStyle w:val="104"/>
        <w:spacing w:line="460" w:lineRule="exact"/>
        <w:rPr>
          <w:rFonts w:ascii="宋体" w:hAnsi="宋体" w:eastAsia="宋体"/>
          <w:sz w:val="21"/>
          <w:szCs w:val="21"/>
        </w:rPr>
      </w:pPr>
      <w:r>
        <w:rPr>
          <w:rFonts w:hint="eastAsia" w:ascii="宋体" w:hAnsi="宋体" w:eastAsia="宋体"/>
          <w:sz w:val="21"/>
          <w:szCs w:val="21"/>
        </w:rPr>
        <w:t>2.3 招标文件的修改</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2D8BDB6">
      <w:pPr>
        <w:spacing w:line="460" w:lineRule="exact"/>
        <w:ind w:firstLine="420" w:firstLineChars="200"/>
        <w:rPr>
          <w:rFonts w:ascii="宋体" w:hAnsi="宋体" w:eastAsia="宋体" w:cs="宋体"/>
        </w:rPr>
      </w:pPr>
      <w:bookmarkStart w:id="138" w:name="_Toc31749"/>
      <w:r>
        <w:rPr>
          <w:rFonts w:hint="eastAsia" w:ascii="宋体" w:hAnsi="宋体" w:eastAsia="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3日前，将修改的内容在交易场所（发布招标公告的媒体上）发布；不足3日的，招标人应当顺延提交投标文件的截止时间。当招标文件、招标文件的澄清、修改、补充等在同一内容的表述上不一致时，以最后发出的文件为准。</w:t>
      </w:r>
    </w:p>
    <w:p w14:paraId="51C908CF">
      <w:pPr>
        <w:pStyle w:val="2"/>
        <w:spacing w:before="0" w:after="0" w:line="460" w:lineRule="exact"/>
        <w:rPr>
          <w:rFonts w:ascii="宋体" w:hAnsi="宋体"/>
          <w:sz w:val="21"/>
          <w:szCs w:val="21"/>
        </w:rPr>
      </w:pPr>
      <w:bookmarkStart w:id="139" w:name="_Toc173244780"/>
      <w:bookmarkStart w:id="140" w:name="_Toc4934"/>
      <w:r>
        <w:rPr>
          <w:rFonts w:hint="eastAsia" w:ascii="宋体" w:hAnsi="宋体"/>
          <w:sz w:val="21"/>
          <w:szCs w:val="21"/>
        </w:rPr>
        <w:t>3. 投标文件</w:t>
      </w:r>
      <w:bookmarkEnd w:id="138"/>
      <w:bookmarkEnd w:id="139"/>
      <w:bookmarkEnd w:id="140"/>
    </w:p>
    <w:p w14:paraId="742754F6">
      <w:pPr>
        <w:pStyle w:val="2"/>
        <w:spacing w:before="0" w:after="0" w:line="460" w:lineRule="exact"/>
        <w:rPr>
          <w:rFonts w:ascii="宋体" w:hAnsi="宋体"/>
          <w:sz w:val="21"/>
          <w:szCs w:val="21"/>
        </w:rPr>
      </w:pPr>
      <w:bookmarkStart w:id="141" w:name="_Toc173246168"/>
      <w:bookmarkStart w:id="142" w:name="_Toc22620"/>
      <w:bookmarkStart w:id="143" w:name="_Toc173244781"/>
      <w:bookmarkStart w:id="144" w:name="_Toc30134"/>
      <w:r>
        <w:rPr>
          <w:rFonts w:hint="eastAsia" w:ascii="宋体" w:hAnsi="宋体"/>
          <w:sz w:val="21"/>
          <w:szCs w:val="21"/>
        </w:rPr>
        <w:t>3.1 投标文件的组成</w:t>
      </w:r>
      <w:bookmarkEnd w:id="141"/>
      <w:bookmarkEnd w:id="142"/>
      <w:bookmarkEnd w:id="143"/>
      <w:bookmarkEnd w:id="144"/>
    </w:p>
    <w:p w14:paraId="1DAB1AB3">
      <w:pPr>
        <w:spacing w:line="460" w:lineRule="exact"/>
        <w:ind w:firstLine="420" w:firstLineChars="200"/>
        <w:rPr>
          <w:rFonts w:ascii="宋体" w:hAnsi="宋体" w:eastAsia="宋体" w:cs="宋体"/>
          <w:szCs w:val="21"/>
        </w:rPr>
      </w:pPr>
      <w:r>
        <w:rPr>
          <w:rFonts w:hint="eastAsia" w:ascii="宋体" w:hAnsi="宋体" w:eastAsia="宋体" w:cs="宋体"/>
          <w:szCs w:val="21"/>
        </w:rPr>
        <w:t>3.1.1 投标文件应包括下列内容：</w:t>
      </w:r>
    </w:p>
    <w:p w14:paraId="6A838F04">
      <w:pPr>
        <w:spacing w:line="460" w:lineRule="exact"/>
        <w:ind w:firstLine="420" w:firstLineChars="200"/>
        <w:rPr>
          <w:rFonts w:ascii="宋体" w:hAnsi="宋体" w:eastAsia="宋体" w:cs="宋体"/>
          <w:szCs w:val="21"/>
        </w:rPr>
      </w:pPr>
      <w:r>
        <w:rPr>
          <w:rFonts w:hint="eastAsia" w:ascii="宋体" w:hAnsi="宋体" w:eastAsia="宋体" w:cs="宋体"/>
          <w:szCs w:val="21"/>
        </w:rPr>
        <w:t>（1）投标函及投标函附录；</w:t>
      </w:r>
    </w:p>
    <w:p w14:paraId="598037CA">
      <w:pPr>
        <w:spacing w:line="460" w:lineRule="exact"/>
        <w:ind w:firstLine="420" w:firstLineChars="200"/>
        <w:rPr>
          <w:rFonts w:ascii="宋体" w:hAnsi="宋体" w:eastAsia="宋体" w:cs="宋体"/>
          <w:szCs w:val="21"/>
        </w:rPr>
      </w:pPr>
      <w:r>
        <w:rPr>
          <w:rFonts w:hint="eastAsia" w:ascii="宋体" w:hAnsi="宋体" w:eastAsia="宋体" w:cs="宋体"/>
          <w:szCs w:val="21"/>
        </w:rPr>
        <w:t>（2）法定代表人身份证明或附有法定代表人身份证明的授权委托书；</w:t>
      </w:r>
    </w:p>
    <w:p w14:paraId="53A57C22">
      <w:pPr>
        <w:spacing w:line="460" w:lineRule="exact"/>
        <w:ind w:firstLine="420" w:firstLineChars="200"/>
        <w:rPr>
          <w:rFonts w:ascii="宋体" w:hAnsi="宋体" w:eastAsia="宋体" w:cs="宋体"/>
          <w:szCs w:val="21"/>
        </w:rPr>
      </w:pPr>
      <w:r>
        <w:rPr>
          <w:rFonts w:hint="eastAsia" w:ascii="宋体" w:hAnsi="宋体" w:eastAsia="宋体" w:cs="宋体"/>
          <w:szCs w:val="21"/>
        </w:rPr>
        <w:t>（3）联合体协议书</w:t>
      </w:r>
      <w:r>
        <w:rPr>
          <w:rFonts w:hint="eastAsia"/>
          <w:spacing w:val="-3"/>
        </w:rPr>
        <w:t>（</w:t>
      </w:r>
      <w:r>
        <w:rPr>
          <w:rFonts w:hint="eastAsia"/>
          <w:spacing w:val="-2"/>
        </w:rPr>
        <w:t>如有</w:t>
      </w:r>
      <w:r>
        <w:rPr>
          <w:rFonts w:hint="eastAsia"/>
        </w:rPr>
        <w:t>）；（</w:t>
      </w:r>
      <w:r>
        <w:rPr>
          <w:rFonts w:hint="eastAsia"/>
          <w:spacing w:val="-3"/>
        </w:rPr>
        <w:t>本项目不适用</w:t>
      </w:r>
      <w:r>
        <w:rPr>
          <w:rFonts w:hint="eastAsia"/>
        </w:rPr>
        <w:t>）</w:t>
      </w:r>
      <w:r>
        <w:rPr>
          <w:rFonts w:hint="eastAsia" w:ascii="宋体" w:hAnsi="宋体" w:eastAsia="宋体" w:cs="宋体"/>
          <w:szCs w:val="21"/>
        </w:rPr>
        <w:t>；</w:t>
      </w:r>
    </w:p>
    <w:p w14:paraId="59EE4693">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）项目管理机构；</w:t>
      </w:r>
    </w:p>
    <w:p w14:paraId="16B56FFE">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）资格审查资料；</w:t>
      </w:r>
    </w:p>
    <w:p w14:paraId="1139DB4E">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）承诺函；</w:t>
      </w:r>
    </w:p>
    <w:p w14:paraId="5F254ADF">
      <w:pPr>
        <w:spacing w:line="46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7</w:t>
      </w:r>
      <w:r>
        <w:rPr>
          <w:rFonts w:hint="eastAsia" w:ascii="宋体" w:hAnsi="宋体" w:eastAsia="宋体" w:cs="宋体"/>
          <w:szCs w:val="21"/>
        </w:rPr>
        <w:t>）投标人须知前附表规定的其他材料。</w:t>
      </w:r>
    </w:p>
    <w:p w14:paraId="08BBFFF0">
      <w:pPr>
        <w:spacing w:line="460" w:lineRule="exact"/>
        <w:ind w:firstLine="420" w:firstLineChars="200"/>
        <w:rPr>
          <w:rFonts w:ascii="宋体" w:hAnsi="宋体" w:eastAsia="宋体" w:cs="宋体"/>
          <w:szCs w:val="21"/>
        </w:rPr>
      </w:pPr>
      <w:r>
        <w:rPr>
          <w:rFonts w:hint="eastAsia" w:ascii="宋体" w:hAnsi="宋体" w:eastAsia="宋体" w:cs="宋体"/>
          <w:szCs w:val="21"/>
        </w:rPr>
        <w:t>3.1.2 投标人须知前附表规定不接受联合体投标的，或投标人没有组成联合体的，投标文件不包括本章第 3.1.1（3）目所指的联合体协议书。</w:t>
      </w:r>
    </w:p>
    <w:p w14:paraId="02003ABE">
      <w:pPr>
        <w:pStyle w:val="2"/>
        <w:spacing w:before="0" w:after="0" w:line="460" w:lineRule="exact"/>
        <w:rPr>
          <w:rFonts w:ascii="宋体" w:hAnsi="宋体"/>
          <w:sz w:val="21"/>
          <w:szCs w:val="21"/>
        </w:rPr>
      </w:pPr>
      <w:bookmarkStart w:id="145" w:name="_Toc15939"/>
      <w:bookmarkStart w:id="146" w:name="_Toc173246169"/>
      <w:bookmarkStart w:id="147" w:name="_Toc31567"/>
      <w:bookmarkStart w:id="148" w:name="_Toc173244782"/>
      <w:r>
        <w:rPr>
          <w:rFonts w:hint="eastAsia" w:ascii="宋体" w:hAnsi="宋体"/>
          <w:sz w:val="21"/>
          <w:szCs w:val="21"/>
        </w:rPr>
        <w:t>3.2 投标报价</w:t>
      </w:r>
      <w:bookmarkEnd w:id="145"/>
      <w:bookmarkEnd w:id="146"/>
      <w:bookmarkEnd w:id="147"/>
      <w:bookmarkEnd w:id="148"/>
    </w:p>
    <w:p w14:paraId="2F7CB10C">
      <w:pPr>
        <w:spacing w:line="460" w:lineRule="exact"/>
        <w:ind w:firstLine="420" w:firstLineChars="200"/>
        <w:rPr>
          <w:rFonts w:ascii="宋体" w:hAnsi="宋体" w:eastAsia="宋体" w:cs="宋体"/>
          <w:szCs w:val="21"/>
        </w:rPr>
      </w:pPr>
      <w:bookmarkStart w:id="149" w:name="_Toc4025"/>
      <w:r>
        <w:rPr>
          <w:rFonts w:hint="eastAsia" w:ascii="宋体" w:hAnsi="宋体" w:eastAsia="宋体" w:cs="宋体"/>
          <w:szCs w:val="21"/>
        </w:rPr>
        <w:t xml:space="preserve">3.2.1招标控制价：本工程招标控制价具体金额见投标人须知前附表。 </w:t>
      </w:r>
    </w:p>
    <w:p w14:paraId="2A947F85">
      <w:pPr>
        <w:spacing w:line="460" w:lineRule="exact"/>
        <w:ind w:firstLine="420" w:firstLineChars="200"/>
        <w:rPr>
          <w:rFonts w:ascii="宋体" w:hAnsi="宋体" w:eastAsia="宋体" w:cs="宋体"/>
          <w:szCs w:val="21"/>
        </w:rPr>
      </w:pPr>
      <w:r>
        <w:rPr>
          <w:rFonts w:hint="eastAsia" w:ascii="宋体" w:hAnsi="宋体" w:eastAsia="宋体" w:cs="宋体"/>
          <w:szCs w:val="21"/>
        </w:rPr>
        <w:t>3.2.2 投标人在投标截止时间前修改投标函中的投标总报价。</w:t>
      </w:r>
    </w:p>
    <w:p w14:paraId="0637BEFA">
      <w:pPr>
        <w:pStyle w:val="2"/>
        <w:spacing w:before="0" w:after="0" w:line="460" w:lineRule="exact"/>
        <w:rPr>
          <w:rFonts w:ascii="宋体" w:hAnsi="宋体"/>
          <w:sz w:val="21"/>
          <w:szCs w:val="21"/>
        </w:rPr>
      </w:pPr>
      <w:bookmarkStart w:id="150" w:name="_Toc173246170"/>
      <w:bookmarkStart w:id="151" w:name="_Toc173244783"/>
      <w:bookmarkStart w:id="152" w:name="_Toc7672"/>
      <w:r>
        <w:rPr>
          <w:rFonts w:hint="eastAsia" w:ascii="宋体" w:hAnsi="宋体"/>
          <w:sz w:val="21"/>
          <w:szCs w:val="21"/>
        </w:rPr>
        <w:t>3.3 投标有效期</w:t>
      </w:r>
      <w:bookmarkEnd w:id="149"/>
      <w:bookmarkEnd w:id="150"/>
      <w:bookmarkEnd w:id="151"/>
      <w:bookmarkEnd w:id="152"/>
    </w:p>
    <w:p w14:paraId="2A2D532A">
      <w:pPr>
        <w:spacing w:line="460" w:lineRule="exact"/>
        <w:ind w:firstLine="420" w:firstLineChars="200"/>
        <w:rPr>
          <w:rFonts w:ascii="宋体" w:hAnsi="宋体" w:eastAsia="宋体" w:cs="宋体"/>
          <w:szCs w:val="21"/>
        </w:rPr>
      </w:pPr>
      <w:r>
        <w:rPr>
          <w:rFonts w:hint="eastAsia" w:ascii="宋体" w:hAnsi="宋体" w:eastAsia="宋体" w:cs="宋体"/>
          <w:szCs w:val="21"/>
        </w:rPr>
        <w:t>3.3.1 在投标人须知前附表规定的投标有效期内，投标人不得要求撤销或修改其投标文件。</w:t>
      </w:r>
    </w:p>
    <w:p w14:paraId="770CB69F">
      <w:pPr>
        <w:spacing w:line="460" w:lineRule="exact"/>
        <w:ind w:firstLine="420" w:firstLineChars="200"/>
        <w:rPr>
          <w:rFonts w:ascii="宋体" w:hAnsi="宋体" w:eastAsia="宋体" w:cs="宋体"/>
          <w:szCs w:val="21"/>
        </w:rPr>
      </w:pPr>
      <w:r>
        <w:rPr>
          <w:rFonts w:hint="eastAsia" w:ascii="宋体" w:hAnsi="宋体" w:eastAsia="宋体" w:cs="宋体"/>
          <w:szCs w:val="21"/>
        </w:rPr>
        <w:t>3.3.2 出现特殊情况需要延长投标有效期的，发包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A6612FB">
      <w:pPr>
        <w:pStyle w:val="2"/>
        <w:spacing w:before="0" w:after="0" w:line="460" w:lineRule="exact"/>
        <w:rPr>
          <w:rFonts w:ascii="宋体" w:hAnsi="宋体"/>
          <w:sz w:val="21"/>
          <w:szCs w:val="21"/>
        </w:rPr>
      </w:pPr>
      <w:bookmarkStart w:id="153" w:name="_Toc173244784"/>
      <w:bookmarkStart w:id="154" w:name="_Toc30215"/>
      <w:bookmarkStart w:id="155" w:name="_Toc173246171"/>
      <w:bookmarkStart w:id="156" w:name="_Toc11534"/>
      <w:r>
        <w:rPr>
          <w:rFonts w:hint="eastAsia" w:ascii="宋体" w:hAnsi="宋体"/>
          <w:sz w:val="21"/>
          <w:szCs w:val="21"/>
        </w:rPr>
        <w:t>3.4 投标保证金</w:t>
      </w:r>
      <w:bookmarkEnd w:id="153"/>
      <w:bookmarkEnd w:id="154"/>
      <w:bookmarkEnd w:id="155"/>
      <w:bookmarkEnd w:id="156"/>
    </w:p>
    <w:p w14:paraId="261C9E17">
      <w:pPr>
        <w:spacing w:line="460" w:lineRule="exact"/>
        <w:ind w:firstLine="420" w:firstLineChars="200"/>
        <w:rPr>
          <w:rFonts w:ascii="宋体" w:hAnsi="宋体" w:eastAsia="宋体" w:cs="宋体"/>
          <w:szCs w:val="21"/>
        </w:rPr>
      </w:pPr>
      <w:bookmarkStart w:id="157" w:name="_Toc18049"/>
      <w:r>
        <w:rPr>
          <w:rFonts w:hint="eastAsia" w:ascii="宋体" w:hAnsi="宋体" w:eastAsia="宋体" w:cs="宋体"/>
          <w:szCs w:val="21"/>
        </w:rPr>
        <w:t xml:space="preserve">3.4.1 投标人在递交投标文件的同时，应按投标人须知前附表规定递交投标担保。 </w:t>
      </w:r>
    </w:p>
    <w:p w14:paraId="55AFB392">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3.4.2 投标人不按本章第3.4.1项要求提交投标担保的，招标人将视为不响应投标而予以拒绝。 </w:t>
      </w:r>
    </w:p>
    <w:p w14:paraId="03C428D7">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3.4.3投标担保按以下方式退还： </w:t>
      </w:r>
    </w:p>
    <w:p w14:paraId="091449E0">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（1）中标人在合同签订后退还； </w:t>
      </w:r>
    </w:p>
    <w:p w14:paraId="3EECD079">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（2）未中标的投标人（含无效标的）在开标会议结束后当场退还。  </w:t>
      </w:r>
    </w:p>
    <w:p w14:paraId="6DC86B2F">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3.4.4投标人有下列情形的，招标人可以对投标人的投标担保按下列相应规定进行处理： </w:t>
      </w:r>
    </w:p>
    <w:p w14:paraId="59D3CB55">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（1）投标人放弃中标候选人或中标资格的（包括中标人无正当理由不与招标人订立合同；在签订合同时 向招标人提出附加条件；不按照招标文件要求提交履约担保），对其投标担保全部不予退还；对招标人造成的经济损失（包括报价的差额损失）超过投标担保总金额的，应对超过部分予以赔偿； </w:t>
      </w:r>
    </w:p>
    <w:p w14:paraId="588DED3E">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（2）投标人在投标有效期内撤销其投标文件的，对其投标担保全部不予退还； </w:t>
      </w:r>
    </w:p>
    <w:p w14:paraId="0898364C">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3.4.5 投标人涉嫌违法违规或被投诉的，在调查处理期间，其投标担保暂不退还，待调查处理结果明确后，按有关规定办理。 </w:t>
      </w:r>
    </w:p>
    <w:p w14:paraId="6E4C79D0">
      <w:pPr>
        <w:pStyle w:val="2"/>
        <w:spacing w:before="0" w:after="0" w:line="460" w:lineRule="exact"/>
        <w:rPr>
          <w:rFonts w:ascii="宋体" w:hAnsi="宋体"/>
          <w:sz w:val="21"/>
          <w:szCs w:val="21"/>
        </w:rPr>
      </w:pPr>
      <w:bookmarkStart w:id="158" w:name="_Toc173246172"/>
      <w:bookmarkStart w:id="159" w:name="_Toc173244785"/>
      <w:bookmarkStart w:id="160" w:name="_Toc9805"/>
      <w:r>
        <w:rPr>
          <w:rFonts w:hint="eastAsia" w:ascii="宋体" w:hAnsi="宋体"/>
          <w:sz w:val="21"/>
          <w:szCs w:val="21"/>
        </w:rPr>
        <w:t>3.5 资格审查资料</w:t>
      </w:r>
      <w:bookmarkEnd w:id="157"/>
      <w:bookmarkEnd w:id="158"/>
      <w:bookmarkEnd w:id="159"/>
      <w:bookmarkEnd w:id="160"/>
    </w:p>
    <w:p w14:paraId="0B919A4F">
      <w:pPr>
        <w:spacing w:line="380" w:lineRule="exact"/>
        <w:ind w:firstLine="420" w:firstLineChars="200"/>
        <w:rPr>
          <w:rFonts w:ascii="宋体" w:hAnsi="宋体"/>
          <w:color w:val="000000"/>
          <w:szCs w:val="21"/>
        </w:rPr>
      </w:pPr>
      <w:bookmarkStart w:id="161" w:name="_Toc20625"/>
      <w:r>
        <w:rPr>
          <w:rFonts w:hint="eastAsia" w:ascii="宋体" w:hAnsi="宋体"/>
          <w:color w:val="000000"/>
          <w:szCs w:val="21"/>
        </w:rPr>
        <w:t>除投标人须知前附表另有规定外，投标人应按下列规定提供资格审查资料，以证明其满足本章第1.4款规定的资质、财务、业绩、信誉等要求。</w:t>
      </w:r>
    </w:p>
    <w:p w14:paraId="545A6061">
      <w:pPr>
        <w:spacing w:line="380" w:lineRule="exact"/>
        <w:ind w:firstLine="420" w:firstLineChars="200"/>
        <w:rPr>
          <w:rFonts w:ascii="宋体" w:hAnsi="宋体"/>
          <w:color w:val="000000"/>
          <w:szCs w:val="21"/>
        </w:rPr>
      </w:pPr>
      <w:r>
        <w:rPr>
          <w:rFonts w:hint="eastAsia" w:ascii="宋体" w:hAnsi="宋体"/>
          <w:color w:val="000000"/>
          <w:szCs w:val="21"/>
        </w:rPr>
        <w:t>3.5.1 “投标人基本情况表”应附资料见投标人须知前附表。</w:t>
      </w:r>
    </w:p>
    <w:p w14:paraId="697FE809">
      <w:pPr>
        <w:spacing w:line="380" w:lineRule="exact"/>
        <w:ind w:firstLine="420" w:firstLineChars="200"/>
        <w:rPr>
          <w:rFonts w:ascii="宋体" w:hAnsi="宋体"/>
          <w:color w:val="000000"/>
          <w:szCs w:val="21"/>
        </w:rPr>
      </w:pPr>
      <w:r>
        <w:rPr>
          <w:rFonts w:hint="eastAsia" w:ascii="宋体" w:hAnsi="宋体"/>
          <w:color w:val="000000"/>
          <w:szCs w:val="21"/>
        </w:rPr>
        <w:t>3.5.2 若投标人须知前附表要求提供“近年财务状况表”，则“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59FD8284">
      <w:pPr>
        <w:spacing w:line="380" w:lineRule="exact"/>
        <w:ind w:firstLine="420" w:firstLineChars="200"/>
        <w:rPr>
          <w:rFonts w:ascii="宋体" w:hAnsi="宋体"/>
          <w:color w:val="000000"/>
          <w:szCs w:val="21"/>
        </w:rPr>
      </w:pPr>
      <w:r>
        <w:rPr>
          <w:rFonts w:hint="eastAsia" w:ascii="宋体" w:hAnsi="宋体"/>
          <w:color w:val="000000"/>
          <w:szCs w:val="21"/>
        </w:rPr>
        <w:t>3.5.3 “近年完成的类似项目情况表”具体年份及需附资料及要求见投标人须知前附表。每张表格只填写一个项目，并标明序号。</w:t>
      </w:r>
    </w:p>
    <w:p w14:paraId="76CF4A3A">
      <w:pPr>
        <w:spacing w:line="380" w:lineRule="exact"/>
        <w:ind w:firstLine="420" w:firstLineChars="200"/>
        <w:rPr>
          <w:rFonts w:ascii="宋体" w:hAnsi="宋体"/>
          <w:color w:val="000000"/>
          <w:szCs w:val="21"/>
        </w:rPr>
      </w:pPr>
      <w:r>
        <w:rPr>
          <w:rFonts w:hint="eastAsia" w:ascii="宋体" w:hAnsi="宋体"/>
          <w:color w:val="000000"/>
          <w:szCs w:val="21"/>
        </w:rPr>
        <w:t>3.5.4 “投标人的信誉情况表”应附投标人在“国家企业信用信息公示系统”中未被列入严重违法失信企业名单、在“信用中国”网站中未被列入失信被执行人名单的网页截图。</w:t>
      </w:r>
    </w:p>
    <w:p w14:paraId="22C266C7">
      <w:pPr>
        <w:spacing w:line="380" w:lineRule="exact"/>
        <w:ind w:firstLine="420" w:firstLineChars="200"/>
        <w:rPr>
          <w:rFonts w:ascii="宋体" w:hAnsi="宋体"/>
          <w:color w:val="000000"/>
          <w:szCs w:val="21"/>
        </w:rPr>
      </w:pPr>
      <w:r>
        <w:rPr>
          <w:rFonts w:hint="eastAsia" w:ascii="宋体" w:hAnsi="宋体"/>
          <w:color w:val="000000"/>
          <w:szCs w:val="21"/>
        </w:rPr>
        <w:t>3.5.5 “拟委任的项目经理、项目技术负责人和安全负责人资历表” 应附资料及要求见投标人须知前附表。</w:t>
      </w:r>
    </w:p>
    <w:p w14:paraId="3B3BCB81">
      <w:pPr>
        <w:spacing w:line="380" w:lineRule="exact"/>
        <w:ind w:firstLine="420" w:firstLineChars="200"/>
        <w:rPr>
          <w:rFonts w:ascii="宋体" w:hAnsi="宋体"/>
          <w:color w:val="000000"/>
          <w:szCs w:val="21"/>
        </w:rPr>
      </w:pPr>
      <w:r>
        <w:rPr>
          <w:rFonts w:hint="eastAsia" w:ascii="宋体" w:hAnsi="宋体"/>
          <w:color w:val="000000"/>
          <w:szCs w:val="21"/>
        </w:rPr>
        <w:t>3.5.6 “拟委任的其他管理和技术人员汇总表”（如有）应填报满足投标人须知前附表附录 6 规定的其他人员的相关信息。“拟委任的其他管理和技术人员资历表”（如有）需附资料及要求见投标人须知前附表。</w:t>
      </w:r>
    </w:p>
    <w:p w14:paraId="53F213AE">
      <w:pPr>
        <w:spacing w:line="380" w:lineRule="exact"/>
        <w:ind w:firstLine="420" w:firstLineChars="200"/>
        <w:rPr>
          <w:rFonts w:ascii="宋体" w:hAnsi="宋体"/>
          <w:color w:val="000000"/>
          <w:szCs w:val="21"/>
        </w:rPr>
      </w:pPr>
      <w:r>
        <w:rPr>
          <w:rFonts w:hint="eastAsia" w:ascii="宋体" w:hAnsi="宋体"/>
          <w:color w:val="000000"/>
          <w:szCs w:val="21"/>
        </w:rPr>
        <w:t>3.5.7 “拟投入本标段的主要施工机械表”“拟配备本标段的主要材料试验、测量、质检仪器设备表”（如有）应填报满足投标人须知前附表附录6规定</w:t>
      </w:r>
      <w:r>
        <w:rPr>
          <w:rFonts w:hint="eastAsia" w:ascii="宋体" w:hAnsi="宋体"/>
          <w:color w:val="000000"/>
          <w:szCs w:val="21"/>
          <w:lang w:eastAsia="zh-CN"/>
        </w:rPr>
        <w:t>（无）</w:t>
      </w:r>
      <w:r>
        <w:rPr>
          <w:rFonts w:hint="eastAsia" w:ascii="宋体" w:hAnsi="宋体"/>
          <w:color w:val="000000"/>
          <w:szCs w:val="21"/>
        </w:rPr>
        <w:t>的机械设备和试验检测设备。</w:t>
      </w:r>
    </w:p>
    <w:p w14:paraId="03F970DA">
      <w:pPr>
        <w:spacing w:line="380" w:lineRule="exact"/>
        <w:ind w:firstLine="420" w:firstLineChars="200"/>
        <w:rPr>
          <w:rFonts w:ascii="宋体" w:hAnsi="宋体"/>
          <w:color w:val="000000"/>
          <w:szCs w:val="21"/>
        </w:rPr>
      </w:pPr>
      <w:r>
        <w:rPr>
          <w:rFonts w:hint="eastAsia" w:ascii="宋体" w:hAnsi="宋体"/>
          <w:color w:val="000000"/>
          <w:szCs w:val="21"/>
        </w:rPr>
        <w:t>3.5.8 投标人须知前附表规定接受联合体投标的，本章第3.5.1项至第3.5.7项规定的表格和资料应包括联合体各方相关情况。</w:t>
      </w:r>
    </w:p>
    <w:p w14:paraId="4E538EFD">
      <w:pPr>
        <w:spacing w:line="380" w:lineRule="exact"/>
        <w:ind w:firstLine="420" w:firstLineChars="200"/>
        <w:rPr>
          <w:rFonts w:ascii="宋体" w:hAnsi="宋体"/>
          <w:color w:val="000000"/>
          <w:szCs w:val="21"/>
        </w:rPr>
      </w:pPr>
      <w:r>
        <w:rPr>
          <w:rFonts w:hint="eastAsia" w:ascii="宋体" w:hAnsi="宋体"/>
          <w:color w:val="000000"/>
          <w:szCs w:val="21"/>
        </w:rPr>
        <w:t>3.5.9 除合同条款约定的特殊情形外，投标人在投标文件中填报的项目经理和项目技术负责人不允许更换。</w:t>
      </w:r>
    </w:p>
    <w:p w14:paraId="6A08ADB0">
      <w:pPr>
        <w:spacing w:line="380" w:lineRule="exact"/>
        <w:ind w:firstLine="420" w:firstLineChars="200"/>
        <w:rPr>
          <w:rFonts w:ascii="宋体" w:hAnsi="宋体"/>
          <w:color w:val="000000"/>
          <w:szCs w:val="21"/>
        </w:rPr>
      </w:pPr>
      <w:r>
        <w:rPr>
          <w:rFonts w:hint="eastAsia" w:ascii="宋体" w:hAnsi="宋体"/>
          <w:color w:val="000000"/>
          <w:szCs w:val="21"/>
        </w:rPr>
        <w:t>3.5.10 投标人在投标文件中填报的资质、业绩、主要人员资历和目前在岗情况、信用等级等信息，应与其在浙江省交通运输信用综合管理服务系统上填报并发布的相关信息一致。投标人应根据本单位实际情况及时完成相关信息的申报、录入和动态更新，并对相关信息的真实性、完整性和准确性负责。</w:t>
      </w:r>
    </w:p>
    <w:p w14:paraId="7344394E">
      <w:pPr>
        <w:spacing w:line="380" w:lineRule="exact"/>
        <w:ind w:firstLine="420" w:firstLineChars="200"/>
        <w:rPr>
          <w:rFonts w:ascii="宋体" w:hAnsi="宋体"/>
          <w:color w:val="000000"/>
          <w:szCs w:val="21"/>
        </w:rPr>
      </w:pPr>
      <w:r>
        <w:rPr>
          <w:rFonts w:hint="eastAsia" w:ascii="宋体" w:hAnsi="宋体"/>
          <w:color w:val="000000"/>
          <w:szCs w:val="21"/>
        </w:rPr>
        <w:t>3.5.11 招标人有权核查投标人在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5％签约合同价的金额作为违约金。同时招标人将投标人上述弄虚作假行为上报浙江省交通运输厅，作为不良记录纳入浙江省交通运输信用综合管理服务系统。</w:t>
      </w:r>
    </w:p>
    <w:p w14:paraId="179B6A79">
      <w:pPr>
        <w:pStyle w:val="2"/>
        <w:spacing w:before="0" w:after="0" w:line="460" w:lineRule="exact"/>
        <w:rPr>
          <w:rFonts w:ascii="宋体" w:hAnsi="宋体"/>
          <w:sz w:val="21"/>
          <w:szCs w:val="21"/>
        </w:rPr>
      </w:pPr>
      <w:bookmarkStart w:id="162" w:name="_Toc173244786"/>
      <w:bookmarkStart w:id="163" w:name="_Toc173246173"/>
      <w:bookmarkStart w:id="164" w:name="_Toc25592"/>
      <w:r>
        <w:rPr>
          <w:rFonts w:hint="eastAsia" w:ascii="宋体" w:hAnsi="宋体"/>
          <w:sz w:val="21"/>
          <w:szCs w:val="21"/>
        </w:rPr>
        <w:t>3.6 备选投标方案</w:t>
      </w:r>
      <w:bookmarkEnd w:id="161"/>
      <w:bookmarkEnd w:id="162"/>
      <w:bookmarkEnd w:id="163"/>
      <w:bookmarkEnd w:id="164"/>
    </w:p>
    <w:p w14:paraId="79601684">
      <w:pPr>
        <w:spacing w:line="460" w:lineRule="exact"/>
        <w:ind w:firstLine="420" w:firstLineChars="200"/>
        <w:rPr>
          <w:rFonts w:ascii="宋体" w:hAnsi="宋体" w:eastAsia="宋体" w:cs="宋体"/>
          <w:szCs w:val="21"/>
        </w:rPr>
      </w:pPr>
      <w:r>
        <w:rPr>
          <w:rFonts w:hint="eastAsia" w:ascii="宋体" w:hAnsi="宋体" w:eastAsia="宋体" w:cs="宋体"/>
          <w:szCs w:val="21"/>
        </w:rPr>
        <w:t>除投标人须知前附表另有规定外，投标人不得递交备选投标方案。允许投标人递交备选投标方案的，只有中标人所递交的备选投标方案方可予以考虑。或中标人的备选投标方案优于其按照招标文件要求编制的投标方案的，发包人可以接受该备选投标方案。</w:t>
      </w:r>
    </w:p>
    <w:p w14:paraId="6DF70A60">
      <w:pPr>
        <w:pStyle w:val="2"/>
        <w:spacing w:before="0" w:after="0" w:line="460" w:lineRule="exact"/>
        <w:rPr>
          <w:rFonts w:ascii="宋体" w:hAnsi="宋体"/>
          <w:sz w:val="21"/>
          <w:szCs w:val="21"/>
        </w:rPr>
      </w:pPr>
      <w:bookmarkStart w:id="165" w:name="_Toc173246174"/>
      <w:bookmarkStart w:id="166" w:name="_Toc28373"/>
      <w:bookmarkStart w:id="167" w:name="_Toc173244787"/>
      <w:bookmarkStart w:id="168" w:name="_Toc6126"/>
      <w:r>
        <w:rPr>
          <w:rFonts w:hint="eastAsia" w:ascii="宋体" w:hAnsi="宋体"/>
          <w:sz w:val="21"/>
          <w:szCs w:val="21"/>
        </w:rPr>
        <w:t>3.7 投标文件的编制</w:t>
      </w:r>
      <w:bookmarkEnd w:id="165"/>
      <w:bookmarkEnd w:id="166"/>
      <w:bookmarkEnd w:id="167"/>
      <w:bookmarkEnd w:id="168"/>
    </w:p>
    <w:p w14:paraId="6B47FCDE">
      <w:pPr>
        <w:spacing w:line="400" w:lineRule="exact"/>
        <w:ind w:firstLine="420" w:firstLineChars="200"/>
      </w:pPr>
      <w:bookmarkStart w:id="169" w:name="_Toc4575"/>
      <w:r>
        <w:t>3.7.1投标文件应按招标文件提供的格式进行编写。投标文件其它格式要求见投标人须知前附表。</w:t>
      </w:r>
    </w:p>
    <w:p w14:paraId="077FC129">
      <w:pPr>
        <w:spacing w:line="400" w:lineRule="exact"/>
        <w:ind w:firstLine="420" w:firstLineChars="200"/>
      </w:pPr>
      <w:r>
        <w:t>3.7.2投标人投标文件所用的纸张建议采用A4型纸，图表可根据需要作适当扩展。</w:t>
      </w:r>
    </w:p>
    <w:p w14:paraId="034EF6C4">
      <w:pPr>
        <w:spacing w:line="400" w:lineRule="exact"/>
        <w:ind w:firstLine="420" w:firstLineChars="200"/>
      </w:pPr>
      <w:r>
        <w:t>3.7.3</w:t>
      </w:r>
      <w:r>
        <w:rPr>
          <w:rFonts w:eastAsia="黑体"/>
          <w:b/>
        </w:rPr>
        <w:t>投标文件应用不褪色的材料书写或打印，招标文件格式注明签署或盖章的，投标人均应按要求签署或盖章。投标文件应尽量避免涂改、行间插字或删除。如果出现上述情况，改动之处应加盖单位章。</w:t>
      </w:r>
    </w:p>
    <w:p w14:paraId="07BB4DA9">
      <w:pPr>
        <w:pStyle w:val="21"/>
        <w:tabs>
          <w:tab w:val="left" w:pos="574"/>
        </w:tabs>
        <w:spacing w:after="0" w:line="400" w:lineRule="exact"/>
        <w:ind w:firstLine="420" w:firstLineChars="200"/>
      </w:pPr>
      <w:r>
        <w:t>3.7.4投标文件份数见投标人须知前附表。当副本和正本不一致时，以正本为准。如未注明正副本的，由评标</w:t>
      </w:r>
      <w:r>
        <w:rPr>
          <w:rFonts w:hint="eastAsia"/>
          <w:lang w:eastAsia="zh-CN"/>
        </w:rPr>
        <w:t>人员</w:t>
      </w:r>
      <w:r>
        <w:t>或工作人员随机抽签确定一本作为正本。</w:t>
      </w:r>
    </w:p>
    <w:p w14:paraId="277E7B3B">
      <w:pPr>
        <w:spacing w:line="400" w:lineRule="exact"/>
        <w:ind w:firstLine="420" w:firstLineChars="200"/>
      </w:pPr>
      <w:r>
        <w:t>3.7.5投标文件的正本与副本应分别装订成册，装订要求见投标人须知前附表。</w:t>
      </w:r>
    </w:p>
    <w:p w14:paraId="7FA0A9EC">
      <w:pPr>
        <w:pStyle w:val="2"/>
        <w:spacing w:before="0" w:after="0" w:line="460" w:lineRule="exact"/>
        <w:rPr>
          <w:rFonts w:ascii="宋体" w:hAnsi="宋体"/>
          <w:sz w:val="21"/>
          <w:szCs w:val="21"/>
        </w:rPr>
      </w:pPr>
      <w:bookmarkStart w:id="170" w:name="_Toc173244788"/>
      <w:bookmarkStart w:id="171" w:name="_Toc14744"/>
      <w:r>
        <w:rPr>
          <w:rFonts w:hint="eastAsia" w:ascii="宋体" w:hAnsi="宋体"/>
          <w:sz w:val="21"/>
          <w:szCs w:val="21"/>
        </w:rPr>
        <w:t>4. 投标</w:t>
      </w:r>
      <w:bookmarkEnd w:id="169"/>
      <w:bookmarkEnd w:id="170"/>
      <w:bookmarkEnd w:id="171"/>
    </w:p>
    <w:p w14:paraId="30A952B2">
      <w:pPr>
        <w:pStyle w:val="104"/>
        <w:rPr>
          <w:rFonts w:cs="Times New Roman"/>
        </w:rPr>
      </w:pPr>
      <w:bookmarkStart w:id="172" w:name="_Toc394573907"/>
      <w:bookmarkStart w:id="173" w:name="_Toc321925396"/>
      <w:bookmarkStart w:id="174" w:name="_Toc372899713"/>
      <w:bookmarkStart w:id="175" w:name="_Toc372899836"/>
      <w:bookmarkStart w:id="176" w:name="_Toc283886219"/>
      <w:bookmarkStart w:id="177" w:name="_Toc283976510"/>
      <w:bookmarkStart w:id="178" w:name="_Toc288556261"/>
      <w:bookmarkStart w:id="179" w:name="_Toc152042332"/>
      <w:bookmarkStart w:id="180" w:name="_Toc152045556"/>
      <w:bookmarkStart w:id="181" w:name="_Toc179632574"/>
      <w:bookmarkStart w:id="182" w:name="_Toc237768804"/>
      <w:bookmarkStart w:id="183" w:name="_Toc237769268"/>
      <w:bookmarkStart w:id="184" w:name="_Toc282596274"/>
      <w:bookmarkStart w:id="185" w:name="_Toc144974524"/>
      <w:r>
        <w:rPr>
          <w:rFonts w:cs="Times New Roman"/>
        </w:rPr>
        <w:t>4.1 投标文件的密封和标记</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5D76C9C">
      <w:pPr>
        <w:spacing w:line="400" w:lineRule="exact"/>
        <w:ind w:firstLine="420" w:firstLineChars="200"/>
      </w:pPr>
      <w:bookmarkStart w:id="186" w:name="_Toc14501"/>
      <w:r>
        <w:t>4.1.1投标人应将投标文件按规定密封，并注明招标工程（标段）名称、投标人名称及标函名称。密封袋封口处加盖单位公章或法人代表或委托代理人印章或签字。</w:t>
      </w:r>
    </w:p>
    <w:p w14:paraId="568F5A11">
      <w:pPr>
        <w:spacing w:line="400" w:lineRule="exact"/>
        <w:ind w:firstLine="420" w:firstLineChars="200"/>
      </w:pPr>
      <w:r>
        <w:t>4.1.2</w:t>
      </w:r>
      <w:r>
        <w:rPr>
          <w:bCs/>
        </w:rPr>
        <w:t>投标文件的密封及装订要求详见投标人须知前附表。</w:t>
      </w:r>
    </w:p>
    <w:p w14:paraId="4D09C435">
      <w:pPr>
        <w:spacing w:line="400" w:lineRule="exact"/>
        <w:ind w:firstLine="420" w:firstLineChars="200"/>
      </w:pPr>
      <w:r>
        <w:t>4.1.3 未按本章第4.1.1项或第4.1.2项要求密封和加写标记的投标文件，招标人不予受理。</w:t>
      </w:r>
    </w:p>
    <w:p w14:paraId="4CCE753E">
      <w:pPr>
        <w:pStyle w:val="104"/>
        <w:rPr>
          <w:rFonts w:cs="Times New Roman"/>
        </w:rPr>
      </w:pPr>
      <w:bookmarkStart w:id="187" w:name="_Toc372899837"/>
      <w:bookmarkStart w:id="188" w:name="_Toc394573908"/>
      <w:bookmarkStart w:id="189" w:name="_Toc288556262"/>
      <w:bookmarkStart w:id="190" w:name="_Toc321925397"/>
      <w:bookmarkStart w:id="191" w:name="_Toc372899714"/>
      <w:bookmarkStart w:id="192" w:name="_Toc179632575"/>
      <w:bookmarkStart w:id="193" w:name="_Toc237768805"/>
      <w:bookmarkStart w:id="194" w:name="_Toc237769269"/>
      <w:bookmarkStart w:id="195" w:name="_Toc282596275"/>
      <w:bookmarkStart w:id="196" w:name="_Toc283886220"/>
      <w:bookmarkStart w:id="197" w:name="_Toc283976511"/>
      <w:bookmarkStart w:id="198" w:name="_Toc144974525"/>
      <w:bookmarkStart w:id="199" w:name="_Toc152042333"/>
      <w:bookmarkStart w:id="200" w:name="_Toc152045557"/>
      <w:r>
        <w:rPr>
          <w:rFonts w:cs="Times New Roman"/>
        </w:rPr>
        <w:t>4.2 投标文件的递交</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4BBFE4A">
      <w:pPr>
        <w:spacing w:line="400" w:lineRule="exact"/>
        <w:ind w:firstLine="420" w:firstLineChars="200"/>
      </w:pPr>
      <w:r>
        <w:t>4.2.1 投标人应在本章第2.2.2项规定的投标截止时间前递交投标文件。</w:t>
      </w:r>
    </w:p>
    <w:p w14:paraId="5E8E9DEC">
      <w:pPr>
        <w:spacing w:line="400" w:lineRule="exact"/>
        <w:ind w:firstLine="420" w:firstLineChars="200"/>
      </w:pPr>
      <w:r>
        <w:t>4.2.2 投标人递交投标文件的地点：见投标人须知前附表。</w:t>
      </w:r>
    </w:p>
    <w:p w14:paraId="77094490">
      <w:pPr>
        <w:spacing w:line="400" w:lineRule="exact"/>
        <w:ind w:firstLine="420" w:firstLineChars="200"/>
      </w:pPr>
      <w:r>
        <w:t>4.2.3 除投标人须知前附表另有规定外，投标人所递交的投标文件不予退还。</w:t>
      </w:r>
    </w:p>
    <w:p w14:paraId="3BCC391E">
      <w:pPr>
        <w:spacing w:line="400" w:lineRule="exact"/>
        <w:ind w:firstLine="420" w:firstLineChars="200"/>
      </w:pPr>
      <w:r>
        <w:t>4.2.4 招标人收到投标文件后，向投标人出具签收凭证。</w:t>
      </w:r>
    </w:p>
    <w:p w14:paraId="3DF8B3B3">
      <w:pPr>
        <w:spacing w:line="400" w:lineRule="exact"/>
        <w:ind w:firstLine="420" w:firstLineChars="200"/>
      </w:pPr>
      <w:r>
        <w:t>4.2.5逾期送达的或者未送达指定地点的或未同时满足本须知前附表要求的投标文件，招标人不予受理。</w:t>
      </w:r>
    </w:p>
    <w:p w14:paraId="02EDDE48">
      <w:pPr>
        <w:pStyle w:val="104"/>
        <w:rPr>
          <w:rFonts w:cs="Times New Roman"/>
        </w:rPr>
      </w:pPr>
      <w:bookmarkStart w:id="201" w:name="_Toc288556263"/>
      <w:bookmarkStart w:id="202" w:name="_Toc321925398"/>
      <w:bookmarkStart w:id="203" w:name="_Toc372899715"/>
      <w:bookmarkStart w:id="204" w:name="_Toc372899838"/>
      <w:bookmarkStart w:id="205" w:name="_Toc394573909"/>
      <w:bookmarkStart w:id="206" w:name="_Toc282596276"/>
      <w:bookmarkStart w:id="207" w:name="_Toc283886221"/>
      <w:bookmarkStart w:id="208" w:name="_Toc283976512"/>
      <w:bookmarkStart w:id="209" w:name="_Toc179632576"/>
      <w:bookmarkStart w:id="210" w:name="_Toc237768806"/>
      <w:bookmarkStart w:id="211" w:name="_Toc237769270"/>
      <w:bookmarkStart w:id="212" w:name="_Toc144974526"/>
      <w:bookmarkStart w:id="213" w:name="_Toc152042334"/>
      <w:bookmarkStart w:id="214" w:name="_Toc152045558"/>
      <w:r>
        <w:rPr>
          <w:rFonts w:cs="Times New Roman"/>
        </w:rPr>
        <w:t>4.3 投标文件的修改与撤回</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19FE9E3">
      <w:pPr>
        <w:spacing w:line="400" w:lineRule="exact"/>
        <w:ind w:firstLine="420" w:firstLineChars="200"/>
      </w:pPr>
      <w:r>
        <w:t>4.3.1 在本章第2.2.2项规定的投标截止时间前，投标人可以修改或撤回已递交的投标文件，但应以书面形式通知招标人。</w:t>
      </w:r>
    </w:p>
    <w:p w14:paraId="7C3F3130">
      <w:pPr>
        <w:spacing w:line="400" w:lineRule="exact"/>
        <w:ind w:firstLine="420" w:firstLineChars="200"/>
      </w:pPr>
      <w:r>
        <w:t>4.3.2 投标人修改或撤回已递交投标文件的书面通知应按照本章第3.7.3项的要求签字或盖章。招标人收到书面通知后，向投标人出具签收凭证。</w:t>
      </w:r>
    </w:p>
    <w:p w14:paraId="507688BE">
      <w:pPr>
        <w:spacing w:line="400" w:lineRule="exact"/>
        <w:ind w:firstLine="420" w:firstLineChars="200"/>
      </w:pPr>
      <w:r>
        <w:t>4.3.3 修改的内容为投标文件的组成部分。修改的投标文件应按照本章第3条、第4条规定进行编制、密封、标记和递交，并标明“修改”字样。</w:t>
      </w:r>
    </w:p>
    <w:p w14:paraId="23BE5FA5">
      <w:pPr>
        <w:pStyle w:val="2"/>
        <w:spacing w:before="0" w:after="0" w:line="460" w:lineRule="exact"/>
        <w:rPr>
          <w:rFonts w:ascii="宋体" w:hAnsi="宋体"/>
          <w:sz w:val="21"/>
          <w:szCs w:val="21"/>
        </w:rPr>
      </w:pPr>
      <w:bookmarkStart w:id="215" w:name="_Toc173244789"/>
      <w:bookmarkStart w:id="216" w:name="_Toc20131"/>
      <w:r>
        <w:rPr>
          <w:rFonts w:hint="eastAsia" w:ascii="宋体" w:hAnsi="宋体"/>
          <w:sz w:val="21"/>
          <w:szCs w:val="21"/>
        </w:rPr>
        <w:t>5. 开标</w:t>
      </w:r>
      <w:bookmarkEnd w:id="186"/>
      <w:bookmarkEnd w:id="215"/>
      <w:bookmarkEnd w:id="216"/>
    </w:p>
    <w:p w14:paraId="0676ECEF">
      <w:pPr>
        <w:pStyle w:val="2"/>
        <w:spacing w:before="0" w:after="0" w:line="460" w:lineRule="exact"/>
        <w:rPr>
          <w:rFonts w:ascii="宋体" w:hAnsi="宋体"/>
          <w:sz w:val="21"/>
          <w:szCs w:val="21"/>
        </w:rPr>
      </w:pPr>
      <w:bookmarkStart w:id="217" w:name="_Toc18775"/>
      <w:bookmarkStart w:id="218" w:name="_Toc9575"/>
      <w:bookmarkStart w:id="219" w:name="_Toc173244790"/>
      <w:bookmarkStart w:id="220" w:name="_Toc173246177"/>
      <w:r>
        <w:rPr>
          <w:rFonts w:hint="eastAsia" w:ascii="宋体" w:hAnsi="宋体"/>
          <w:sz w:val="21"/>
          <w:szCs w:val="21"/>
        </w:rPr>
        <w:t>5.1 开标时间和地点</w:t>
      </w:r>
      <w:bookmarkEnd w:id="217"/>
      <w:bookmarkEnd w:id="218"/>
      <w:bookmarkEnd w:id="219"/>
      <w:bookmarkEnd w:id="220"/>
    </w:p>
    <w:p w14:paraId="0555405D">
      <w:pPr>
        <w:spacing w:line="400" w:lineRule="exact"/>
        <w:ind w:firstLine="420" w:firstLineChars="200"/>
      </w:pPr>
      <w:r>
        <w:rPr>
          <w:rFonts w:hint="eastAsia" w:ascii="宋体" w:hAnsi="宋体" w:eastAsia="宋体" w:cs="宋体"/>
          <w:szCs w:val="21"/>
        </w:rPr>
        <w:t>发</w:t>
      </w:r>
      <w:bookmarkStart w:id="221" w:name="_Toc3610"/>
      <w:r>
        <w:t>招标人在本章第2.2.2项规定的投标截止时间（开标时间）和投标人须知前附表规定的地点公开开标，并邀请所有投标人的法定代表人或其委托代理人准时参加。</w:t>
      </w:r>
    </w:p>
    <w:p w14:paraId="1C3ECEF4">
      <w:pPr>
        <w:spacing w:line="460" w:lineRule="exact"/>
        <w:rPr>
          <w:rFonts w:ascii="宋体" w:hAnsi="宋体" w:eastAsia="宋体" w:cs="宋体"/>
          <w:b/>
          <w:bCs/>
          <w:kern w:val="44"/>
          <w:szCs w:val="21"/>
        </w:rPr>
      </w:pPr>
      <w:r>
        <w:rPr>
          <w:rFonts w:hint="eastAsia" w:ascii="宋体" w:hAnsi="宋体" w:eastAsia="宋体" w:cs="宋体"/>
          <w:b/>
          <w:bCs/>
          <w:kern w:val="44"/>
          <w:szCs w:val="21"/>
        </w:rPr>
        <w:t>5.2 开标程序</w:t>
      </w:r>
      <w:bookmarkEnd w:id="221"/>
    </w:p>
    <w:p w14:paraId="5792A45B">
      <w:pPr>
        <w:spacing w:line="400" w:lineRule="exact"/>
        <w:ind w:firstLine="420" w:firstLineChars="200"/>
      </w:pPr>
      <w:bookmarkStart w:id="222" w:name="_Toc23383"/>
      <w:r>
        <w:t>主持人按下列程序进行开标：</w:t>
      </w:r>
    </w:p>
    <w:p w14:paraId="351D4A33">
      <w:pPr>
        <w:spacing w:line="400" w:lineRule="exact"/>
        <w:ind w:firstLine="359" w:firstLineChars="171"/>
      </w:pPr>
      <w:r>
        <w:t>（1）宣布开标纪律；</w:t>
      </w:r>
    </w:p>
    <w:p w14:paraId="7E968C8C">
      <w:pPr>
        <w:spacing w:line="400" w:lineRule="exact"/>
        <w:ind w:firstLine="359" w:firstLineChars="171"/>
      </w:pPr>
      <w:r>
        <w:t>（2）公布在投标截止时间前递交投标文件的投标人名称，并点名确认投标人是否派人到场；</w:t>
      </w:r>
    </w:p>
    <w:p w14:paraId="20EEA86A">
      <w:pPr>
        <w:spacing w:line="400" w:lineRule="exact"/>
        <w:ind w:firstLine="359" w:firstLineChars="171"/>
      </w:pPr>
      <w:r>
        <w:t>（3）宣布开标人、唱标人、记录人、监标人等有关人员姓名；</w:t>
      </w:r>
    </w:p>
    <w:p w14:paraId="7DB9E34C">
      <w:pPr>
        <w:spacing w:line="400" w:lineRule="exact"/>
        <w:ind w:firstLine="359" w:firstLineChars="171"/>
      </w:pPr>
      <w:r>
        <w:t>（4）按照投标人须知前附表规定检查投标文件的密封情况；</w:t>
      </w:r>
    </w:p>
    <w:p w14:paraId="6BEF4D7E">
      <w:pPr>
        <w:spacing w:line="400" w:lineRule="exact"/>
        <w:ind w:firstLine="359" w:firstLineChars="171"/>
      </w:pPr>
      <w:r>
        <w:t>（5）按照投标人须知前附表的规定确定并宣布投标文件开标顺序；</w:t>
      </w:r>
    </w:p>
    <w:p w14:paraId="692354A6">
      <w:pPr>
        <w:spacing w:line="400" w:lineRule="exact"/>
        <w:ind w:firstLine="359" w:firstLineChars="171"/>
      </w:pPr>
      <w:r>
        <w:t>（6）按照宣布的开标顺序当众开标，公布投标人名称、标段名称、投标担保的递交情况、投标报价、质量目标、工期及其他内容，并记录在案；</w:t>
      </w:r>
    </w:p>
    <w:p w14:paraId="19499C8B">
      <w:pPr>
        <w:spacing w:line="400" w:lineRule="exact"/>
        <w:ind w:firstLine="359" w:firstLineChars="171"/>
      </w:pPr>
      <w:r>
        <w:t>（7）投标人代表、招标人代表、监标人等有关人员在开标记录上签字确认；</w:t>
      </w:r>
    </w:p>
    <w:p w14:paraId="3C7BE88E">
      <w:pPr>
        <w:spacing w:line="400" w:lineRule="exact"/>
        <w:ind w:firstLine="359" w:firstLineChars="171"/>
      </w:pPr>
      <w:r>
        <w:t>（8）开标结束。</w:t>
      </w:r>
    </w:p>
    <w:p w14:paraId="3E95A4FE">
      <w:pPr>
        <w:pStyle w:val="2"/>
        <w:spacing w:before="0" w:after="0" w:line="460" w:lineRule="exact"/>
        <w:rPr>
          <w:rFonts w:ascii="宋体" w:hAnsi="宋体"/>
          <w:sz w:val="21"/>
          <w:szCs w:val="21"/>
        </w:rPr>
      </w:pPr>
      <w:bookmarkStart w:id="223" w:name="_Toc29680"/>
      <w:bookmarkStart w:id="224" w:name="_Toc173244791"/>
      <w:r>
        <w:rPr>
          <w:rFonts w:hint="eastAsia" w:ascii="宋体" w:hAnsi="宋体"/>
          <w:sz w:val="21"/>
          <w:szCs w:val="21"/>
        </w:rPr>
        <w:t>6. 评标</w:t>
      </w:r>
      <w:bookmarkEnd w:id="222"/>
      <w:bookmarkEnd w:id="223"/>
      <w:bookmarkEnd w:id="224"/>
    </w:p>
    <w:p w14:paraId="69C050CF">
      <w:pPr>
        <w:pStyle w:val="104"/>
        <w:rPr>
          <w:rFonts w:hint="eastAsia" w:eastAsia="黑体" w:cs="Times New Roman"/>
          <w:lang w:eastAsia="zh-CN"/>
        </w:rPr>
      </w:pPr>
      <w:bookmarkStart w:id="225" w:name="_Toc152042339"/>
      <w:bookmarkStart w:id="226" w:name="_Toc144974531"/>
      <w:bookmarkStart w:id="227" w:name="_Toc237768811"/>
      <w:bookmarkStart w:id="228" w:name="_Toc179632581"/>
      <w:bookmarkStart w:id="229" w:name="_Toc152045563"/>
      <w:bookmarkStart w:id="230" w:name="_Toc283886226"/>
      <w:bookmarkStart w:id="231" w:name="_Toc282596281"/>
      <w:bookmarkStart w:id="232" w:name="_Toc237769275"/>
      <w:bookmarkStart w:id="233" w:name="_Toc321925403"/>
      <w:bookmarkStart w:id="234" w:name="_Toc288556268"/>
      <w:bookmarkStart w:id="235" w:name="_Toc283976517"/>
      <w:bookmarkStart w:id="236" w:name="_Toc394573914"/>
      <w:bookmarkStart w:id="237" w:name="_Toc372899843"/>
      <w:bookmarkStart w:id="238" w:name="_Toc372899720"/>
      <w:bookmarkStart w:id="239" w:name="_Toc32297"/>
      <w:r>
        <w:rPr>
          <w:rFonts w:cs="Times New Roman"/>
        </w:rPr>
        <w:t>6.1 评标</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cs="Times New Roman"/>
          <w:lang w:eastAsia="zh-CN"/>
        </w:rPr>
        <w:t>人员</w:t>
      </w:r>
    </w:p>
    <w:p w14:paraId="37727537">
      <w:pPr>
        <w:spacing w:line="400" w:lineRule="exact"/>
        <w:ind w:firstLine="420" w:firstLineChars="200"/>
      </w:pPr>
      <w:bookmarkStart w:id="240" w:name="_Toc144974532"/>
      <w:bookmarkStart w:id="241" w:name="_Toc179632582"/>
      <w:bookmarkStart w:id="242" w:name="_Toc152045564"/>
      <w:bookmarkStart w:id="243" w:name="_Toc152042340"/>
      <w:r>
        <w:t>6.1.1评标由招标人组建的</w:t>
      </w:r>
      <w:r>
        <w:rPr>
          <w:rFonts w:hint="eastAsia"/>
          <w:lang w:eastAsia="zh-CN"/>
        </w:rPr>
        <w:t>相关人员</w:t>
      </w:r>
      <w:r>
        <w:t>负责。评标由招标人或其委托的招标代理机构熟悉相关业务的代表，以及有关</w:t>
      </w:r>
      <w:r>
        <w:rPr>
          <w:rFonts w:hint="eastAsia"/>
          <w:lang w:eastAsia="zh-CN"/>
        </w:rPr>
        <w:t>部门人员</w:t>
      </w:r>
      <w:r>
        <w:t>组成。</w:t>
      </w:r>
    </w:p>
    <w:p w14:paraId="55464315">
      <w:pPr>
        <w:pStyle w:val="104"/>
        <w:tabs>
          <w:tab w:val="left" w:pos="2620"/>
        </w:tabs>
        <w:rPr>
          <w:rFonts w:cs="Times New Roman"/>
        </w:rPr>
      </w:pPr>
      <w:bookmarkStart w:id="244" w:name="_Toc288556269"/>
      <w:bookmarkStart w:id="245" w:name="_Toc372899844"/>
      <w:bookmarkStart w:id="246" w:name="_Toc394573915"/>
      <w:bookmarkStart w:id="247" w:name="_Toc372899721"/>
      <w:bookmarkStart w:id="248" w:name="_Toc282596282"/>
      <w:bookmarkStart w:id="249" w:name="_Toc283886227"/>
      <w:bookmarkStart w:id="250" w:name="_Toc283976518"/>
      <w:bookmarkStart w:id="251" w:name="_Toc237768812"/>
      <w:bookmarkStart w:id="252" w:name="_Toc237769276"/>
      <w:bookmarkStart w:id="253" w:name="_Toc321925404"/>
      <w:r>
        <w:rPr>
          <w:rFonts w:cs="Times New Roman"/>
        </w:rPr>
        <w:t>6.2 评标原则</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cs="Times New Roman"/>
        </w:rPr>
        <w:tab/>
      </w:r>
    </w:p>
    <w:p w14:paraId="694D3973">
      <w:pPr>
        <w:spacing w:line="400" w:lineRule="exact"/>
        <w:ind w:firstLine="420" w:firstLineChars="200"/>
      </w:pPr>
      <w:r>
        <w:t>评标活动遵循公平、公正、科学和择优的原则。</w:t>
      </w:r>
    </w:p>
    <w:p w14:paraId="72546AC0">
      <w:pPr>
        <w:pStyle w:val="104"/>
        <w:rPr>
          <w:rFonts w:cs="Times New Roman"/>
        </w:rPr>
      </w:pPr>
      <w:bookmarkStart w:id="254" w:name="_Toc152042341"/>
      <w:bookmarkStart w:id="255" w:name="_Toc144974533"/>
      <w:bookmarkStart w:id="256" w:name="_Toc237768813"/>
      <w:bookmarkStart w:id="257" w:name="_Toc179632583"/>
      <w:bookmarkStart w:id="258" w:name="_Toc152045565"/>
      <w:bookmarkStart w:id="259" w:name="_Toc283886228"/>
      <w:bookmarkStart w:id="260" w:name="_Toc282596283"/>
      <w:bookmarkStart w:id="261" w:name="_Toc237769277"/>
      <w:bookmarkStart w:id="262" w:name="_Toc321925405"/>
      <w:bookmarkStart w:id="263" w:name="_Toc288556270"/>
      <w:bookmarkStart w:id="264" w:name="_Toc283976519"/>
      <w:bookmarkStart w:id="265" w:name="_Toc394573916"/>
      <w:bookmarkStart w:id="266" w:name="_Toc372899845"/>
      <w:bookmarkStart w:id="267" w:name="_Toc372899722"/>
      <w:r>
        <w:rPr>
          <w:rFonts w:cs="Times New Roman"/>
        </w:rPr>
        <w:t>6.3 评标</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FB0708C">
      <w:pPr>
        <w:spacing w:line="400" w:lineRule="exact"/>
        <w:ind w:firstLine="420" w:firstLineChars="200"/>
      </w:pPr>
      <w:r>
        <w:t>评标按照第三章“评标办法”规定的方法、评审因素、标准和程序对投标文件进行评审。第三章“评标办法”没有规定的方法、评审因素和标准，不作为评标依据。</w:t>
      </w:r>
    </w:p>
    <w:p w14:paraId="0B35A71B">
      <w:pPr>
        <w:pStyle w:val="2"/>
        <w:spacing w:before="0" w:after="0" w:line="460" w:lineRule="exact"/>
        <w:rPr>
          <w:rFonts w:ascii="宋体" w:hAnsi="宋体"/>
          <w:sz w:val="21"/>
          <w:szCs w:val="21"/>
        </w:rPr>
      </w:pPr>
      <w:bookmarkStart w:id="268" w:name="_Toc2940"/>
      <w:bookmarkStart w:id="269" w:name="_Toc173244792"/>
      <w:r>
        <w:rPr>
          <w:rFonts w:hint="eastAsia" w:ascii="宋体" w:hAnsi="宋体"/>
          <w:sz w:val="21"/>
          <w:szCs w:val="21"/>
        </w:rPr>
        <w:t>7. 合同授予</w:t>
      </w:r>
      <w:bookmarkEnd w:id="239"/>
      <w:bookmarkEnd w:id="268"/>
      <w:bookmarkEnd w:id="269"/>
    </w:p>
    <w:p w14:paraId="1A3F9D62">
      <w:pPr>
        <w:pStyle w:val="2"/>
        <w:spacing w:before="0" w:after="0" w:line="460" w:lineRule="exact"/>
        <w:rPr>
          <w:rFonts w:ascii="宋体" w:hAnsi="宋体"/>
          <w:sz w:val="21"/>
          <w:szCs w:val="21"/>
        </w:rPr>
      </w:pPr>
      <w:bookmarkStart w:id="270" w:name="_Toc173244793"/>
      <w:bookmarkStart w:id="271" w:name="_Toc173246180"/>
      <w:bookmarkStart w:id="272" w:name="_Toc2178"/>
      <w:bookmarkStart w:id="273" w:name="_Toc5081"/>
      <w:r>
        <w:rPr>
          <w:rFonts w:hint="eastAsia" w:ascii="宋体" w:hAnsi="宋体"/>
          <w:sz w:val="21"/>
          <w:szCs w:val="21"/>
        </w:rPr>
        <w:t>7.1 中标候选人公示</w:t>
      </w:r>
      <w:bookmarkEnd w:id="270"/>
      <w:bookmarkEnd w:id="271"/>
      <w:bookmarkEnd w:id="272"/>
      <w:r>
        <w:rPr>
          <w:rFonts w:hint="eastAsia" w:ascii="宋体" w:hAnsi="宋体"/>
          <w:sz w:val="21"/>
          <w:szCs w:val="21"/>
        </w:rPr>
        <w:t xml:space="preserve"> </w:t>
      </w:r>
    </w:p>
    <w:p w14:paraId="1B66D2CB">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7.1.1招标人应当将推荐的中标候选人在交易场所（发布招标公告的媒体上）进行公示，公示期不得少于3日（最后一日为工作日）。 </w:t>
      </w:r>
    </w:p>
    <w:p w14:paraId="4E608DF7">
      <w:pPr>
        <w:spacing w:line="460" w:lineRule="exact"/>
        <w:ind w:firstLine="420" w:firstLineChars="200"/>
        <w:rPr>
          <w:rFonts w:ascii="宋体" w:hAnsi="宋体" w:eastAsia="宋体" w:cs="宋体"/>
          <w:szCs w:val="21"/>
        </w:rPr>
      </w:pPr>
      <w:r>
        <w:rPr>
          <w:rFonts w:ascii="宋体" w:hAnsi="宋体" w:eastAsia="宋体" w:cs="宋体"/>
          <w:szCs w:val="21"/>
        </w:rPr>
        <w:t xml:space="preserve">7.1.2 </w:t>
      </w:r>
      <w:r>
        <w:rPr>
          <w:rFonts w:hint="eastAsia" w:ascii="宋体" w:hAnsi="宋体" w:eastAsia="宋体" w:cs="宋体"/>
          <w:szCs w:val="21"/>
        </w:rPr>
        <w:t xml:space="preserve">属于《 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 </w:t>
      </w:r>
      <w:r>
        <w:rPr>
          <w:rFonts w:ascii="宋体" w:hAnsi="宋体" w:eastAsia="宋体" w:cs="宋体"/>
          <w:szCs w:val="21"/>
        </w:rPr>
        <w:t xml:space="preserve">3 </w:t>
      </w:r>
      <w:r>
        <w:rPr>
          <w:rFonts w:hint="eastAsia" w:ascii="宋体" w:hAnsi="宋体" w:eastAsia="宋体" w:cs="宋体"/>
          <w:szCs w:val="21"/>
        </w:rPr>
        <w:t xml:space="preserve">日内向招标监管机构书面申请核查，并提交相关材料。 </w:t>
      </w:r>
    </w:p>
    <w:p w14:paraId="500A49A6">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7.1.3 涉及中标候选人投标资格、项目负责人在建等情形的，招标人（招标代理机构）可以书面形式要求其进行澄清或说明。中标候选人应自收到书面通知之日起3日内进行澄清或说明。 </w:t>
      </w:r>
    </w:p>
    <w:p w14:paraId="4F5534D7">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7.1.4中标候选人有以下情形之一的，其资格无效： </w:t>
      </w:r>
    </w:p>
    <w:p w14:paraId="6805E2B4">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（1）投标资格不符合本章第1.4项规定的； </w:t>
      </w:r>
    </w:p>
    <w:p w14:paraId="6FCD2AC6">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（2）投标人提供虚假材料骗取投标资格的； </w:t>
      </w:r>
    </w:p>
    <w:p w14:paraId="3EE769D2">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（3）按第三章“评标办法”规定应作无效标处理的； </w:t>
      </w:r>
    </w:p>
    <w:p w14:paraId="659770D5">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（4）拒绝按本章第7.1.3款规定进行说明或不能合理说明理由的； </w:t>
      </w:r>
    </w:p>
    <w:p w14:paraId="41B1B8DE">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（5）法律法规规定作无效标处理的其它情形。 </w:t>
      </w:r>
    </w:p>
    <w:p w14:paraId="36A81F91">
      <w:pPr>
        <w:pStyle w:val="2"/>
        <w:spacing w:before="0" w:after="0" w:line="460" w:lineRule="exact"/>
        <w:rPr>
          <w:rFonts w:ascii="宋体" w:hAnsi="宋体"/>
          <w:sz w:val="21"/>
          <w:szCs w:val="21"/>
        </w:rPr>
      </w:pPr>
      <w:bookmarkStart w:id="274" w:name="_Toc173246181"/>
      <w:bookmarkStart w:id="275" w:name="_Toc173244794"/>
      <w:bookmarkStart w:id="276" w:name="_Toc26972"/>
      <w:r>
        <w:rPr>
          <w:rFonts w:hint="eastAsia" w:ascii="宋体" w:hAnsi="宋体"/>
          <w:sz w:val="21"/>
          <w:szCs w:val="21"/>
        </w:rPr>
        <w:t>7.2 中标通知</w:t>
      </w:r>
      <w:bookmarkEnd w:id="273"/>
      <w:bookmarkEnd w:id="274"/>
      <w:bookmarkEnd w:id="275"/>
      <w:bookmarkEnd w:id="276"/>
    </w:p>
    <w:p w14:paraId="14692840">
      <w:pPr>
        <w:spacing w:line="460" w:lineRule="exact"/>
        <w:ind w:firstLine="420" w:firstLineChars="200"/>
        <w:rPr>
          <w:rFonts w:ascii="宋体" w:hAnsi="宋体" w:eastAsia="宋体" w:cs="宋体"/>
          <w:szCs w:val="21"/>
        </w:rPr>
      </w:pPr>
      <w:bookmarkStart w:id="277" w:name="_Toc9056"/>
      <w:r>
        <w:rPr>
          <w:rFonts w:hint="eastAsia" w:ascii="宋体" w:hAnsi="宋体" w:eastAsia="宋体" w:cs="宋体"/>
          <w:szCs w:val="21"/>
        </w:rPr>
        <w:t xml:space="preserve">7.2.1招标人应当确定中标候选人为中标人。如涉及其他投标人资格无效的，评标结果不作调整。 </w:t>
      </w:r>
    </w:p>
    <w:p w14:paraId="5AAAA64B">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中标候选人放弃中标，或者因不可抗力提出不能履行合同，或者因违反本章第7.1.4项规定造成其资格无效的,本次招标失败，重新组织招标。 </w:t>
      </w:r>
    </w:p>
    <w:p w14:paraId="2164C106">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7.2.2中标人确定后，招标人应当向中标人发出《建设工程中标通知书》。 </w:t>
      </w:r>
    </w:p>
    <w:p w14:paraId="7BA25E64">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7.2.3招标人在发出《建设工程中标通知书》的同时，应当将中标结果以书面形式通知所有未中标的投标人。 </w:t>
      </w:r>
    </w:p>
    <w:p w14:paraId="6892EE5E">
      <w:pPr>
        <w:spacing w:line="460" w:lineRule="exact"/>
        <w:ind w:firstLine="420" w:firstLineChars="200"/>
        <w:rPr>
          <w:rFonts w:ascii="宋体" w:hAnsi="宋体" w:eastAsia="宋体" w:cs="宋体"/>
          <w:szCs w:val="21"/>
        </w:rPr>
      </w:pPr>
      <w:r>
        <w:rPr>
          <w:rFonts w:hint="eastAsia" w:ascii="宋体" w:hAnsi="宋体" w:eastAsia="宋体" w:cs="宋体"/>
          <w:szCs w:val="21"/>
        </w:rPr>
        <w:t>7.2.4《建设工程中标通知书》对招标人和中标人具有法律约束力。《建设工程中标通知书》发出后，如中标人违反法律法规规定而中标无效的，应承担相应的法律责任，本次招标失败，应重新组织招标。</w:t>
      </w:r>
    </w:p>
    <w:p w14:paraId="54998D54">
      <w:pPr>
        <w:pStyle w:val="2"/>
        <w:spacing w:before="0" w:after="0" w:line="460" w:lineRule="exact"/>
        <w:rPr>
          <w:rFonts w:ascii="宋体" w:hAnsi="宋体"/>
          <w:sz w:val="21"/>
          <w:szCs w:val="21"/>
        </w:rPr>
      </w:pPr>
      <w:bookmarkStart w:id="278" w:name="_Toc173246182"/>
      <w:bookmarkStart w:id="279" w:name="_Toc173244795"/>
      <w:bookmarkStart w:id="280" w:name="_Toc5690"/>
      <w:r>
        <w:rPr>
          <w:rFonts w:hint="eastAsia" w:ascii="宋体" w:hAnsi="宋体"/>
          <w:sz w:val="21"/>
          <w:szCs w:val="21"/>
        </w:rPr>
        <w:t>7.3 履约</w:t>
      </w:r>
      <w:bookmarkEnd w:id="277"/>
      <w:r>
        <w:rPr>
          <w:rFonts w:hint="eastAsia" w:ascii="宋体" w:hAnsi="宋体"/>
          <w:sz w:val="21"/>
          <w:szCs w:val="21"/>
        </w:rPr>
        <w:t>担保</w:t>
      </w:r>
      <w:bookmarkEnd w:id="278"/>
      <w:bookmarkEnd w:id="279"/>
      <w:bookmarkEnd w:id="280"/>
    </w:p>
    <w:p w14:paraId="22A8800B">
      <w:pPr>
        <w:spacing w:line="380" w:lineRule="exact"/>
        <w:ind w:firstLine="420" w:firstLineChars="200"/>
        <w:rPr>
          <w:rFonts w:ascii="宋体" w:hAnsi="宋体"/>
          <w:color w:val="000000"/>
          <w:szCs w:val="21"/>
        </w:rPr>
      </w:pPr>
      <w:bookmarkStart w:id="281" w:name="_Toc3612"/>
      <w:r>
        <w:rPr>
          <w:rFonts w:hint="eastAsia" w:ascii="宋体" w:hAnsi="宋体"/>
          <w:color w:val="000000"/>
          <w:szCs w:val="21"/>
        </w:rPr>
        <w:t>7.</w:t>
      </w:r>
      <w:r>
        <w:rPr>
          <w:rFonts w:ascii="宋体" w:hAnsi="宋体"/>
          <w:color w:val="000000"/>
          <w:szCs w:val="21"/>
        </w:rPr>
        <w:t>3</w:t>
      </w:r>
      <w:r>
        <w:rPr>
          <w:rFonts w:hint="eastAsia" w:ascii="宋体" w:hAnsi="宋体"/>
          <w:color w:val="000000"/>
          <w:szCs w:val="21"/>
        </w:rPr>
        <w:t>.1 在签订合同前，中标人应按投标人须知前附表规定的形式、金额和招标文件第四章“合同条款及格式”规定的或事先经过招标人书面认可的</w:t>
      </w:r>
      <w:r>
        <w:rPr>
          <w:rFonts w:hint="eastAsia" w:ascii="宋体" w:hAnsi="宋体"/>
          <w:szCs w:val="21"/>
        </w:rPr>
        <w:t>履约担保</w:t>
      </w:r>
      <w:r>
        <w:rPr>
          <w:rFonts w:hint="eastAsia" w:ascii="宋体" w:hAnsi="宋体"/>
          <w:color w:val="000000"/>
          <w:szCs w:val="21"/>
        </w:rPr>
        <w:t>格式向招标人提交</w:t>
      </w:r>
      <w:r>
        <w:rPr>
          <w:rFonts w:hint="eastAsia" w:ascii="宋体" w:hAnsi="宋体"/>
          <w:szCs w:val="21"/>
        </w:rPr>
        <w:t>履约担保</w:t>
      </w:r>
      <w:r>
        <w:rPr>
          <w:rFonts w:hint="eastAsia" w:ascii="宋体" w:hAnsi="宋体"/>
          <w:color w:val="000000"/>
          <w:szCs w:val="21"/>
        </w:rPr>
        <w:t>。联合体中标的，其</w:t>
      </w:r>
      <w:r>
        <w:rPr>
          <w:rFonts w:hint="eastAsia" w:ascii="宋体" w:hAnsi="宋体"/>
          <w:szCs w:val="21"/>
        </w:rPr>
        <w:t>履约担保</w:t>
      </w:r>
      <w:r>
        <w:rPr>
          <w:rFonts w:hint="eastAsia" w:ascii="宋体" w:hAnsi="宋体"/>
          <w:color w:val="000000"/>
          <w:szCs w:val="21"/>
        </w:rPr>
        <w:t>以联合体各方或联合体牵头人的名义提交。</w:t>
      </w:r>
    </w:p>
    <w:p w14:paraId="6E82DC9C">
      <w:pPr>
        <w:spacing w:line="380" w:lineRule="exact"/>
        <w:ind w:firstLine="420" w:firstLineChars="200"/>
        <w:rPr>
          <w:rFonts w:ascii="宋体" w:hAnsi="宋体"/>
          <w:color w:val="000000"/>
          <w:szCs w:val="21"/>
        </w:rPr>
      </w:pPr>
      <w:r>
        <w:rPr>
          <w:rFonts w:hint="eastAsia" w:ascii="宋体" w:hAnsi="宋体"/>
          <w:color w:val="000000"/>
          <w:szCs w:val="21"/>
        </w:rPr>
        <w:t>采用银行保函时，应由符合投标人须知前附表规定级别的银行开具，所需的费用由中标人承担，中标人应保证银行保函有效。</w:t>
      </w:r>
    </w:p>
    <w:p w14:paraId="663CE452">
      <w:pPr>
        <w:spacing w:line="380" w:lineRule="exact"/>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3</w:t>
      </w:r>
      <w:r>
        <w:rPr>
          <w:rFonts w:hint="eastAsia" w:ascii="宋体" w:hAnsi="宋体"/>
          <w:color w:val="000000"/>
          <w:szCs w:val="21"/>
        </w:rPr>
        <w:t>.2 中标人不能按本章第7.</w:t>
      </w:r>
      <w:r>
        <w:rPr>
          <w:rFonts w:ascii="宋体" w:hAnsi="宋体"/>
          <w:color w:val="000000"/>
          <w:szCs w:val="21"/>
        </w:rPr>
        <w:t>3</w:t>
      </w:r>
      <w:r>
        <w:rPr>
          <w:rFonts w:hint="eastAsia" w:ascii="宋体" w:hAnsi="宋体"/>
          <w:color w:val="000000"/>
          <w:szCs w:val="21"/>
        </w:rPr>
        <w:t>.1项要求提交</w:t>
      </w:r>
      <w:r>
        <w:rPr>
          <w:rFonts w:hint="eastAsia" w:ascii="宋体" w:hAnsi="宋体"/>
          <w:szCs w:val="21"/>
        </w:rPr>
        <w:t>履约担保</w:t>
      </w:r>
      <w:r>
        <w:rPr>
          <w:rFonts w:hint="eastAsia" w:ascii="宋体" w:hAnsi="宋体"/>
          <w:color w:val="000000"/>
          <w:szCs w:val="21"/>
        </w:rPr>
        <w:t>的，视为放弃中标，其投标保证金及同期银行存款利息不予退还，给招标人造成的损失超过投标保证金数额及同期银行存款利息的，中标人还应当对超过部分予以赔偿。</w:t>
      </w:r>
    </w:p>
    <w:p w14:paraId="6C73E37F">
      <w:pPr>
        <w:pStyle w:val="2"/>
        <w:spacing w:before="0" w:after="0" w:line="460" w:lineRule="exact"/>
        <w:rPr>
          <w:rFonts w:ascii="宋体" w:hAnsi="宋体"/>
          <w:sz w:val="21"/>
          <w:szCs w:val="21"/>
        </w:rPr>
      </w:pPr>
      <w:bookmarkStart w:id="282" w:name="_Toc173244796"/>
      <w:bookmarkStart w:id="283" w:name="_Toc173246183"/>
      <w:bookmarkStart w:id="284" w:name="_Toc23500"/>
      <w:r>
        <w:rPr>
          <w:rFonts w:hint="eastAsia" w:ascii="宋体" w:hAnsi="宋体"/>
          <w:sz w:val="21"/>
          <w:szCs w:val="21"/>
        </w:rPr>
        <w:t>7.4 签订合同</w:t>
      </w:r>
      <w:bookmarkEnd w:id="281"/>
      <w:bookmarkEnd w:id="282"/>
      <w:bookmarkEnd w:id="283"/>
      <w:bookmarkEnd w:id="284"/>
    </w:p>
    <w:p w14:paraId="79540B67">
      <w:pPr>
        <w:spacing w:line="460" w:lineRule="exact"/>
        <w:ind w:firstLine="420" w:firstLineChars="200"/>
        <w:rPr>
          <w:rFonts w:ascii="宋体" w:hAnsi="宋体" w:eastAsia="宋体" w:cs="宋体"/>
          <w:szCs w:val="21"/>
        </w:rPr>
      </w:pPr>
      <w:bookmarkStart w:id="285" w:name="_Toc21601"/>
      <w:r>
        <w:rPr>
          <w:rFonts w:hint="eastAsia" w:ascii="宋体" w:hAnsi="宋体" w:eastAsia="宋体" w:cs="宋体"/>
          <w:szCs w:val="21"/>
        </w:rPr>
        <w:t xml:space="preserve">7.4.1中标人应在签订合同前向招标人提交履约担保，未提交履约担保的，不授予合同。履约担保额度详见投标人须知前附表，履约担保可以采用工程保函 工程保函（银行保函、保险机构保证保险保单）或现金形式。如不能办理工程保函采用现金的，履约担保必须解入招标文件前附表规定的招标人帐户。 </w:t>
      </w:r>
    </w:p>
    <w:p w14:paraId="22A18628">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7.4.2自《建设工程中标通知书》发出之日起30日内，招标人和中标人应当按照本招标文件和中标人的投标文件订立书面合同。招标人与中标人不得再行订立背离合同实质性内容的其他协议。 </w:t>
      </w:r>
    </w:p>
    <w:p w14:paraId="40BFDC49">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7.4.3招标人与中标人须根据国家、省、市建设工程施工合同管理的规定及招标文件、投标文件，签订施工合同。 </w:t>
      </w:r>
    </w:p>
    <w:p w14:paraId="3725D62A">
      <w:pPr>
        <w:spacing w:line="460" w:lineRule="exact"/>
        <w:ind w:firstLine="420" w:firstLineChars="200"/>
        <w:rPr>
          <w:rFonts w:ascii="宋体" w:hAnsi="宋体" w:eastAsia="宋体" w:cs="宋体"/>
          <w:szCs w:val="21"/>
        </w:rPr>
      </w:pPr>
      <w:r>
        <w:rPr>
          <w:rFonts w:hint="eastAsia" w:ascii="宋体" w:hAnsi="宋体" w:eastAsia="宋体" w:cs="宋体"/>
          <w:szCs w:val="21"/>
        </w:rPr>
        <w:t xml:space="preserve">7.4.4招标人与中标人应当按照《关于在我市工程建设领域推行廉政合同的通知》（台纪[2001]19号）的要求签订《廉政合同》。 </w:t>
      </w:r>
    </w:p>
    <w:p w14:paraId="090ABE49">
      <w:pPr>
        <w:pStyle w:val="2"/>
        <w:spacing w:before="0" w:after="0" w:line="460" w:lineRule="exact"/>
        <w:rPr>
          <w:rFonts w:ascii="宋体" w:hAnsi="宋体"/>
          <w:sz w:val="21"/>
          <w:szCs w:val="21"/>
        </w:rPr>
      </w:pPr>
      <w:bookmarkStart w:id="286" w:name="_Toc173244797"/>
      <w:bookmarkStart w:id="287" w:name="_Toc14147"/>
      <w:r>
        <w:rPr>
          <w:rFonts w:hint="eastAsia" w:ascii="宋体" w:hAnsi="宋体"/>
          <w:sz w:val="21"/>
          <w:szCs w:val="21"/>
        </w:rPr>
        <w:t>8. 重新招标和不再招标</w:t>
      </w:r>
      <w:bookmarkEnd w:id="285"/>
      <w:bookmarkEnd w:id="286"/>
      <w:bookmarkEnd w:id="287"/>
    </w:p>
    <w:p w14:paraId="27094887">
      <w:pPr>
        <w:pStyle w:val="2"/>
        <w:spacing w:before="0" w:after="0" w:line="460" w:lineRule="exact"/>
        <w:rPr>
          <w:rFonts w:ascii="宋体" w:hAnsi="宋体"/>
          <w:sz w:val="21"/>
          <w:szCs w:val="21"/>
        </w:rPr>
      </w:pPr>
      <w:bookmarkStart w:id="288" w:name="_Toc173244798"/>
      <w:bookmarkStart w:id="289" w:name="_Toc173246185"/>
      <w:bookmarkStart w:id="290" w:name="_Toc14036"/>
      <w:bookmarkStart w:id="291" w:name="_Toc11853"/>
      <w:r>
        <w:rPr>
          <w:rFonts w:hint="eastAsia" w:ascii="宋体" w:hAnsi="宋体"/>
          <w:sz w:val="21"/>
          <w:szCs w:val="21"/>
        </w:rPr>
        <w:t>8.1 重新招标</w:t>
      </w:r>
      <w:bookmarkEnd w:id="288"/>
      <w:bookmarkEnd w:id="289"/>
      <w:bookmarkEnd w:id="290"/>
      <w:bookmarkEnd w:id="291"/>
    </w:p>
    <w:p w14:paraId="62CB511C">
      <w:pPr>
        <w:spacing w:line="460" w:lineRule="exact"/>
        <w:ind w:firstLine="420" w:firstLineChars="200"/>
        <w:rPr>
          <w:rFonts w:ascii="宋体" w:hAnsi="宋体" w:eastAsia="宋体" w:cs="宋体"/>
          <w:szCs w:val="21"/>
        </w:rPr>
      </w:pPr>
      <w:r>
        <w:rPr>
          <w:rFonts w:hint="eastAsia" w:ascii="宋体" w:hAnsi="宋体" w:eastAsia="宋体" w:cs="宋体"/>
          <w:szCs w:val="21"/>
        </w:rPr>
        <w:t>有下列情形之一的，发包人将重新招标：</w:t>
      </w:r>
    </w:p>
    <w:p w14:paraId="5708122D">
      <w:pPr>
        <w:spacing w:line="460" w:lineRule="exact"/>
        <w:ind w:firstLine="420" w:firstLineChars="200"/>
        <w:rPr>
          <w:rFonts w:ascii="宋体" w:hAnsi="宋体" w:eastAsia="宋体" w:cs="宋体"/>
          <w:szCs w:val="21"/>
        </w:rPr>
      </w:pPr>
      <w:r>
        <w:rPr>
          <w:rFonts w:hint="eastAsia" w:ascii="宋体" w:hAnsi="宋体" w:eastAsia="宋体" w:cs="宋体"/>
          <w:szCs w:val="21"/>
        </w:rPr>
        <w:t>（1）投标截止时间止，投标人少于3个的；</w:t>
      </w:r>
    </w:p>
    <w:p w14:paraId="02603131">
      <w:pPr>
        <w:spacing w:line="460" w:lineRule="exact"/>
        <w:ind w:firstLine="420" w:firstLineChars="200"/>
        <w:rPr>
          <w:rFonts w:ascii="宋体" w:hAnsi="宋体" w:eastAsia="宋体" w:cs="宋体"/>
          <w:szCs w:val="21"/>
        </w:rPr>
      </w:pPr>
      <w:r>
        <w:rPr>
          <w:rFonts w:hint="eastAsia" w:ascii="宋体" w:hAnsi="宋体" w:eastAsia="宋体" w:cs="宋体"/>
          <w:szCs w:val="21"/>
        </w:rPr>
        <w:t>（2）有效投标少于3个，使得投标明显缺乏竞争，否决所有投标的。</w:t>
      </w:r>
    </w:p>
    <w:p w14:paraId="1198DD50">
      <w:pPr>
        <w:spacing w:line="460" w:lineRule="exact"/>
        <w:ind w:firstLine="420" w:firstLineChars="200"/>
        <w:rPr>
          <w:rFonts w:ascii="宋体" w:hAnsi="宋体" w:eastAsia="宋体" w:cs="宋体"/>
          <w:szCs w:val="21"/>
        </w:rPr>
      </w:pPr>
      <w:r>
        <w:rPr>
          <w:rFonts w:hint="eastAsia" w:ascii="宋体" w:hAnsi="宋体" w:eastAsia="宋体" w:cs="宋体"/>
          <w:szCs w:val="21"/>
        </w:rPr>
        <w:t>（3）中标候选人均未与发包人签订合同的；</w:t>
      </w:r>
    </w:p>
    <w:p w14:paraId="31E2B21B">
      <w:pPr>
        <w:spacing w:line="460" w:lineRule="exact"/>
        <w:ind w:firstLine="420" w:firstLineChars="200"/>
        <w:rPr>
          <w:rFonts w:ascii="宋体" w:hAnsi="宋体" w:eastAsia="宋体" w:cs="宋体"/>
          <w:szCs w:val="21"/>
        </w:rPr>
      </w:pPr>
      <w:r>
        <w:rPr>
          <w:rFonts w:hint="eastAsia" w:ascii="宋体" w:hAnsi="宋体" w:eastAsia="宋体" w:cs="宋体"/>
          <w:szCs w:val="21"/>
        </w:rPr>
        <w:t>（4）法律规定的其他情形。</w:t>
      </w:r>
    </w:p>
    <w:p w14:paraId="18F06BF8">
      <w:pPr>
        <w:pStyle w:val="2"/>
        <w:spacing w:before="0" w:after="0" w:line="460" w:lineRule="exact"/>
        <w:rPr>
          <w:rFonts w:ascii="宋体" w:hAnsi="宋体"/>
          <w:sz w:val="21"/>
          <w:szCs w:val="21"/>
        </w:rPr>
      </w:pPr>
      <w:bookmarkStart w:id="292" w:name="_Toc173244799"/>
      <w:bookmarkStart w:id="293" w:name="_Toc173246186"/>
      <w:bookmarkStart w:id="294" w:name="_Toc21928"/>
      <w:bookmarkStart w:id="295" w:name="_Toc17167"/>
      <w:r>
        <w:rPr>
          <w:rFonts w:hint="eastAsia" w:ascii="宋体" w:hAnsi="宋体"/>
          <w:sz w:val="21"/>
          <w:szCs w:val="21"/>
        </w:rPr>
        <w:t>8.2 不再招标</w:t>
      </w:r>
      <w:bookmarkEnd w:id="292"/>
      <w:bookmarkEnd w:id="293"/>
      <w:bookmarkEnd w:id="294"/>
      <w:bookmarkEnd w:id="295"/>
    </w:p>
    <w:p w14:paraId="1C6DC3B7">
      <w:pPr>
        <w:spacing w:line="460" w:lineRule="exact"/>
        <w:ind w:firstLine="420" w:firstLineChars="200"/>
        <w:rPr>
          <w:rFonts w:ascii="宋体" w:hAnsi="宋体" w:eastAsia="宋体" w:cs="宋体"/>
          <w:szCs w:val="21"/>
        </w:rPr>
      </w:pPr>
      <w:r>
        <w:rPr>
          <w:rFonts w:hint="eastAsia" w:ascii="宋体" w:hAnsi="宋体" w:eastAsia="宋体" w:cs="宋体"/>
          <w:szCs w:val="21"/>
        </w:rPr>
        <w:t>重新招标后投标人仍少于3个或者所有投标被否决的，属于必须审批或核准的工程建设项目，经原审批或核准部门批准后不再进行招标。</w:t>
      </w:r>
    </w:p>
    <w:p w14:paraId="29D7C256">
      <w:pPr>
        <w:pStyle w:val="2"/>
        <w:spacing w:before="0" w:after="0" w:line="460" w:lineRule="exact"/>
        <w:rPr>
          <w:rFonts w:ascii="宋体" w:hAnsi="宋体"/>
          <w:sz w:val="21"/>
          <w:szCs w:val="21"/>
        </w:rPr>
      </w:pPr>
      <w:bookmarkStart w:id="296" w:name="_Toc13522"/>
      <w:bookmarkStart w:id="297" w:name="_Toc173244800"/>
      <w:bookmarkStart w:id="298" w:name="_Toc5273"/>
      <w:r>
        <w:rPr>
          <w:rFonts w:hint="eastAsia" w:ascii="宋体" w:hAnsi="宋体"/>
          <w:sz w:val="21"/>
          <w:szCs w:val="21"/>
        </w:rPr>
        <w:t>9. 纪律和监督</w:t>
      </w:r>
      <w:bookmarkEnd w:id="296"/>
      <w:bookmarkEnd w:id="297"/>
      <w:bookmarkEnd w:id="298"/>
    </w:p>
    <w:p w14:paraId="77240310">
      <w:pPr>
        <w:pStyle w:val="2"/>
        <w:spacing w:before="0" w:after="0" w:line="460" w:lineRule="exact"/>
        <w:rPr>
          <w:rFonts w:ascii="宋体" w:hAnsi="宋体"/>
          <w:sz w:val="21"/>
          <w:szCs w:val="21"/>
        </w:rPr>
      </w:pPr>
      <w:bookmarkStart w:id="299" w:name="_Toc173244801"/>
      <w:bookmarkStart w:id="300" w:name="_Toc173246188"/>
      <w:bookmarkStart w:id="301" w:name="_Toc31184"/>
      <w:bookmarkStart w:id="302" w:name="_Toc14400"/>
      <w:r>
        <w:rPr>
          <w:rFonts w:hint="eastAsia" w:ascii="宋体" w:hAnsi="宋体"/>
          <w:sz w:val="21"/>
          <w:szCs w:val="21"/>
        </w:rPr>
        <w:t>9.1 对发包人的纪律要求</w:t>
      </w:r>
      <w:bookmarkEnd w:id="299"/>
      <w:bookmarkEnd w:id="300"/>
      <w:bookmarkEnd w:id="301"/>
      <w:bookmarkEnd w:id="302"/>
    </w:p>
    <w:p w14:paraId="5C6D1C31">
      <w:pPr>
        <w:spacing w:line="460" w:lineRule="exact"/>
        <w:ind w:firstLine="420" w:firstLineChars="200"/>
        <w:rPr>
          <w:rFonts w:ascii="宋体" w:hAnsi="宋体" w:eastAsia="宋体" w:cs="宋体"/>
          <w:szCs w:val="21"/>
        </w:rPr>
      </w:pPr>
      <w:r>
        <w:rPr>
          <w:rFonts w:hint="eastAsia" w:ascii="宋体" w:hAnsi="宋体" w:eastAsia="宋体" w:cs="宋体"/>
          <w:szCs w:val="21"/>
        </w:rPr>
        <w:t>发包人不得泄漏招标投标活动中应当保密的情况和资料，不得与投标人串通损害国家利益、社会公共利益或者他人合法权益。</w:t>
      </w:r>
    </w:p>
    <w:p w14:paraId="47412B06">
      <w:pPr>
        <w:pStyle w:val="2"/>
        <w:spacing w:before="0" w:after="0" w:line="460" w:lineRule="exact"/>
        <w:rPr>
          <w:rFonts w:ascii="宋体" w:hAnsi="宋体"/>
          <w:sz w:val="21"/>
          <w:szCs w:val="21"/>
        </w:rPr>
      </w:pPr>
      <w:bookmarkStart w:id="303" w:name="_Toc787"/>
      <w:bookmarkStart w:id="304" w:name="_Toc173244802"/>
      <w:bookmarkStart w:id="305" w:name="_Toc173246189"/>
      <w:bookmarkStart w:id="306" w:name="_Toc28009"/>
      <w:r>
        <w:rPr>
          <w:rFonts w:hint="eastAsia" w:ascii="宋体" w:hAnsi="宋体"/>
          <w:sz w:val="21"/>
          <w:szCs w:val="21"/>
        </w:rPr>
        <w:t>9.2 对投标人的纪律要求</w:t>
      </w:r>
      <w:bookmarkEnd w:id="303"/>
      <w:bookmarkEnd w:id="304"/>
      <w:bookmarkEnd w:id="305"/>
      <w:bookmarkEnd w:id="306"/>
    </w:p>
    <w:p w14:paraId="02195E72">
      <w:pPr>
        <w:spacing w:line="460" w:lineRule="exact"/>
        <w:ind w:firstLine="420" w:firstLineChars="200"/>
        <w:rPr>
          <w:rFonts w:ascii="宋体" w:hAnsi="宋体" w:eastAsia="宋体" w:cs="宋体"/>
          <w:szCs w:val="21"/>
        </w:rPr>
      </w:pPr>
      <w:bookmarkStart w:id="307" w:name="_Toc8071"/>
      <w:r>
        <w:rPr>
          <w:rFonts w:hint="eastAsia" w:ascii="宋体" w:hAnsi="宋体" w:eastAsia="宋体" w:cs="宋体"/>
          <w:szCs w:val="21"/>
        </w:rPr>
        <w:t>投标人不得相互串通投标或者与招标人串通投标，不得向招标人行贿谋取中标，不得以他人名义投标或者以其他方式弄虚作假骗取中标；投标人不得以任何方式干扰、影响评标工作。</w:t>
      </w:r>
    </w:p>
    <w:bookmarkEnd w:id="307"/>
    <w:p w14:paraId="1E03B725">
      <w:pPr>
        <w:pStyle w:val="104"/>
        <w:rPr>
          <w:rFonts w:cs="Times New Roman"/>
          <w:sz w:val="21"/>
          <w:szCs w:val="21"/>
        </w:rPr>
      </w:pPr>
      <w:bookmarkStart w:id="308" w:name="_Toc372899734"/>
      <w:bookmarkStart w:id="309" w:name="_Toc283886240"/>
      <w:bookmarkStart w:id="310" w:name="_Toc283976531"/>
      <w:bookmarkStart w:id="311" w:name="_Toc179632595"/>
      <w:bookmarkStart w:id="312" w:name="_Toc237769289"/>
      <w:bookmarkStart w:id="313" w:name="_Toc288556282"/>
      <w:bookmarkStart w:id="314" w:name="_Toc237768825"/>
      <w:bookmarkStart w:id="315" w:name="_Toc282596295"/>
      <w:bookmarkStart w:id="316" w:name="_Toc372899857"/>
      <w:bookmarkStart w:id="317" w:name="_Toc152045577"/>
      <w:bookmarkStart w:id="318" w:name="_Toc152042353"/>
      <w:bookmarkStart w:id="319" w:name="_Toc321925417"/>
      <w:bookmarkStart w:id="320" w:name="_Toc144974545"/>
      <w:bookmarkStart w:id="321" w:name="_Toc394573928"/>
      <w:bookmarkStart w:id="322" w:name="_Toc2232"/>
      <w:r>
        <w:rPr>
          <w:rFonts w:cs="Times New Roman"/>
          <w:sz w:val="21"/>
          <w:szCs w:val="21"/>
        </w:rPr>
        <w:t>9.3 对评标成员的纪律要求</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AC48AC2">
      <w:pPr>
        <w:spacing w:line="400" w:lineRule="exact"/>
        <w:ind w:firstLine="420" w:firstLineChars="200"/>
        <w:rPr>
          <w:szCs w:val="21"/>
        </w:rPr>
      </w:pPr>
      <w:r>
        <w:rPr>
          <w:szCs w:val="21"/>
        </w:rPr>
        <w:t>评标成员不得收受他人的财物或者其他好处，不得向他人透漏对投标文件的评审和比较、中标候选人的推荐情况以及评标有关的其他情况。在评标活动中，评标成员不得擅离职守，影响评标程序正常进行，不得使用第三章“评标办法”没有规定的评审因素和标准进行评标。</w:t>
      </w:r>
    </w:p>
    <w:p w14:paraId="48E585A9">
      <w:pPr>
        <w:pStyle w:val="104"/>
        <w:rPr>
          <w:rFonts w:cs="Times New Roman"/>
          <w:sz w:val="21"/>
          <w:szCs w:val="21"/>
        </w:rPr>
      </w:pPr>
      <w:bookmarkStart w:id="323" w:name="_Toc372899858"/>
      <w:bookmarkStart w:id="324" w:name="_Toc321925418"/>
      <w:bookmarkStart w:id="325" w:name="_Toc152042354"/>
      <w:bookmarkStart w:id="326" w:name="_Toc152045578"/>
      <w:bookmarkStart w:id="327" w:name="_Toc237769290"/>
      <w:bookmarkStart w:id="328" w:name="_Toc282596296"/>
      <w:bookmarkStart w:id="329" w:name="_Toc288556283"/>
      <w:bookmarkStart w:id="330" w:name="_Toc283976532"/>
      <w:bookmarkStart w:id="331" w:name="_Toc372899735"/>
      <w:bookmarkStart w:id="332" w:name="_Toc394573929"/>
      <w:bookmarkStart w:id="333" w:name="_Toc179632596"/>
      <w:bookmarkStart w:id="334" w:name="_Toc237768826"/>
      <w:bookmarkStart w:id="335" w:name="_Toc283886241"/>
      <w:bookmarkStart w:id="336" w:name="_Toc144974546"/>
      <w:r>
        <w:rPr>
          <w:rFonts w:cs="Times New Roman"/>
          <w:sz w:val="21"/>
          <w:szCs w:val="21"/>
        </w:rPr>
        <w:t>9.4 对与评标活动有关的工作人员的纪律要求</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09721D86">
      <w:pPr>
        <w:spacing w:line="400" w:lineRule="exact"/>
        <w:ind w:firstLine="420" w:firstLineChars="200"/>
        <w:rPr>
          <w:szCs w:val="21"/>
        </w:rPr>
      </w:pPr>
      <w:bookmarkStart w:id="337" w:name="_Toc152042355"/>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7"/>
    </w:p>
    <w:p w14:paraId="7F4251B7">
      <w:pPr>
        <w:pStyle w:val="104"/>
        <w:rPr>
          <w:rFonts w:cs="Times New Roman"/>
          <w:sz w:val="21"/>
          <w:szCs w:val="21"/>
        </w:rPr>
      </w:pPr>
      <w:bookmarkStart w:id="338" w:name="_Toc152042356"/>
      <w:bookmarkStart w:id="339" w:name="_Toc321925419"/>
      <w:bookmarkStart w:id="340" w:name="_Toc283976533"/>
      <w:bookmarkStart w:id="341" w:name="_Toc282596297"/>
      <w:bookmarkStart w:id="342" w:name="_Toc237768827"/>
      <w:bookmarkStart w:id="343" w:name="_Toc372899859"/>
      <w:bookmarkStart w:id="344" w:name="_Toc179632597"/>
      <w:bookmarkStart w:id="345" w:name="_Toc152045579"/>
      <w:bookmarkStart w:id="346" w:name="_Toc394573930"/>
      <w:bookmarkStart w:id="347" w:name="_Toc372899736"/>
      <w:bookmarkStart w:id="348" w:name="_Toc288556284"/>
      <w:bookmarkStart w:id="349" w:name="_Toc283886242"/>
      <w:bookmarkStart w:id="350" w:name="_Toc237769291"/>
      <w:r>
        <w:rPr>
          <w:rFonts w:cs="Times New Roman"/>
          <w:sz w:val="21"/>
          <w:szCs w:val="21"/>
        </w:rPr>
        <w:t>9.5 投诉</w:t>
      </w:r>
      <w:bookmarkEnd w:id="336"/>
      <w:bookmarkEnd w:id="338"/>
      <w:bookmarkEnd w:id="339"/>
      <w:bookmarkEnd w:id="340"/>
      <w:bookmarkEnd w:id="341"/>
      <w:bookmarkEnd w:id="342"/>
      <w:bookmarkEnd w:id="343"/>
      <w:bookmarkEnd w:id="344"/>
      <w:bookmarkEnd w:id="345"/>
      <w:bookmarkEnd w:id="346"/>
      <w:bookmarkEnd w:id="347"/>
      <w:bookmarkEnd w:id="348"/>
      <w:bookmarkEnd w:id="349"/>
      <w:bookmarkEnd w:id="350"/>
    </w:p>
    <w:p w14:paraId="3A49C566">
      <w:pPr>
        <w:spacing w:line="400" w:lineRule="exact"/>
        <w:ind w:firstLine="420" w:firstLineChars="200"/>
        <w:rPr>
          <w:szCs w:val="21"/>
        </w:rPr>
      </w:pPr>
      <w:r>
        <w:rPr>
          <w:szCs w:val="21"/>
        </w:rPr>
        <w:t>投标人和其他利害关系人认为本次招标活动违反法律、法规和规章规定的，有权向有关行政监督部门投诉。任何单位和个人发现本次招标活动违反法律、法规和规章规定的，有权向有关行政监督部门举报。</w:t>
      </w:r>
    </w:p>
    <w:p w14:paraId="63CDAF63">
      <w:pPr>
        <w:pStyle w:val="2"/>
        <w:spacing w:before="0" w:after="0" w:line="460" w:lineRule="exact"/>
        <w:rPr>
          <w:rFonts w:ascii="宋体" w:hAnsi="宋体"/>
          <w:sz w:val="21"/>
          <w:szCs w:val="21"/>
        </w:rPr>
      </w:pPr>
      <w:bookmarkStart w:id="351" w:name="_Toc173244803"/>
      <w:bookmarkStart w:id="352" w:name="_Toc29376"/>
      <w:r>
        <w:rPr>
          <w:rFonts w:hint="eastAsia" w:ascii="宋体" w:hAnsi="宋体"/>
          <w:sz w:val="21"/>
          <w:szCs w:val="21"/>
        </w:rPr>
        <w:t>10. 需要补充的其他内容</w:t>
      </w:r>
      <w:bookmarkEnd w:id="322"/>
      <w:bookmarkEnd w:id="351"/>
      <w:bookmarkEnd w:id="352"/>
    </w:p>
    <w:p w14:paraId="4DC0FE5A">
      <w:pPr>
        <w:spacing w:line="460" w:lineRule="exact"/>
        <w:ind w:firstLine="420" w:firstLineChars="200"/>
        <w:rPr>
          <w:rFonts w:ascii="宋体" w:hAnsi="宋体" w:eastAsia="宋体" w:cs="宋体"/>
          <w:szCs w:val="21"/>
        </w:rPr>
      </w:pPr>
      <w:r>
        <w:rPr>
          <w:rFonts w:hint="eastAsia" w:ascii="宋体" w:hAnsi="宋体" w:eastAsia="宋体" w:cs="宋体"/>
          <w:szCs w:val="21"/>
        </w:rPr>
        <w:t>10.1自提交投标文件之日起，投标人应保证其提共的联系方式（电话、传真、电子邮件）一直有效，以保证往来函件（招标文件的澄清、修改等）能及时通知投标人，并能及时反馈信息，否则发包人不承担由此引起的一切后果。</w:t>
      </w:r>
    </w:p>
    <w:p w14:paraId="757759D3">
      <w:pPr>
        <w:spacing w:line="460" w:lineRule="exact"/>
        <w:ind w:firstLine="420" w:firstLineChars="200"/>
        <w:rPr>
          <w:rFonts w:ascii="宋体" w:hAnsi="宋体" w:eastAsia="宋体" w:cs="宋体"/>
          <w:szCs w:val="21"/>
        </w:rPr>
      </w:pPr>
      <w:r>
        <w:rPr>
          <w:rFonts w:hint="eastAsia" w:ascii="宋体" w:hAnsi="宋体" w:eastAsia="宋体" w:cs="宋体"/>
          <w:szCs w:val="21"/>
        </w:rPr>
        <w:t>需要补充的其他内容：见投标人须知前附表。</w:t>
      </w:r>
    </w:p>
    <w:p w14:paraId="05B2B492">
      <w:pPr>
        <w:widowControl/>
        <w:jc w:val="left"/>
        <w:rPr>
          <w:rFonts w:ascii="宋体" w:hAnsi="宋体" w:eastAsia="宋体" w:cs="宋体"/>
          <w:sz w:val="24"/>
        </w:rPr>
      </w:pPr>
      <w:r>
        <w:rPr>
          <w:rFonts w:ascii="宋体" w:hAnsi="宋体" w:eastAsia="宋体" w:cs="宋体"/>
          <w:sz w:val="24"/>
        </w:rPr>
        <w:br w:type="page"/>
      </w:r>
    </w:p>
    <w:p w14:paraId="53487320">
      <w:pPr>
        <w:rPr>
          <w:rFonts w:ascii="宋体" w:hAnsi="宋体" w:eastAsia="宋体" w:cs="宋体"/>
          <w:sz w:val="24"/>
        </w:rPr>
      </w:pPr>
    </w:p>
    <w:p w14:paraId="02AF9B51">
      <w:pPr>
        <w:rPr>
          <w:rFonts w:ascii="宋体" w:hAnsi="宋体" w:eastAsia="宋体" w:cs="宋体"/>
          <w:sz w:val="24"/>
        </w:rPr>
      </w:pPr>
    </w:p>
    <w:p w14:paraId="7307D5AF">
      <w:pPr>
        <w:rPr>
          <w:rFonts w:ascii="宋体" w:hAnsi="宋体" w:eastAsia="宋体" w:cs="宋体"/>
          <w:sz w:val="24"/>
        </w:rPr>
      </w:pPr>
    </w:p>
    <w:p w14:paraId="17623956">
      <w:pPr>
        <w:rPr>
          <w:rFonts w:ascii="宋体" w:hAnsi="宋体" w:eastAsia="宋体" w:cs="宋体"/>
          <w:sz w:val="24"/>
        </w:rPr>
      </w:pPr>
    </w:p>
    <w:p w14:paraId="0AB39780">
      <w:pPr>
        <w:rPr>
          <w:rFonts w:ascii="宋体" w:hAnsi="宋体" w:eastAsia="宋体" w:cs="宋体"/>
          <w:sz w:val="24"/>
        </w:rPr>
      </w:pPr>
    </w:p>
    <w:p w14:paraId="5DB16D33">
      <w:pPr>
        <w:rPr>
          <w:rFonts w:ascii="宋体" w:hAnsi="宋体" w:eastAsia="宋体" w:cs="宋体"/>
          <w:sz w:val="24"/>
        </w:rPr>
      </w:pPr>
    </w:p>
    <w:p w14:paraId="3155F355">
      <w:pPr>
        <w:rPr>
          <w:rFonts w:ascii="宋体" w:hAnsi="宋体" w:eastAsia="宋体" w:cs="宋体"/>
          <w:sz w:val="24"/>
        </w:rPr>
      </w:pPr>
    </w:p>
    <w:p w14:paraId="2917DE67">
      <w:pPr>
        <w:rPr>
          <w:rFonts w:ascii="宋体" w:hAnsi="宋体" w:eastAsia="宋体" w:cs="宋体"/>
          <w:sz w:val="24"/>
        </w:rPr>
      </w:pPr>
    </w:p>
    <w:p w14:paraId="4AE3F4EE">
      <w:pPr>
        <w:rPr>
          <w:rFonts w:ascii="宋体" w:hAnsi="宋体" w:eastAsia="宋体" w:cs="宋体"/>
          <w:sz w:val="24"/>
        </w:rPr>
      </w:pPr>
    </w:p>
    <w:p w14:paraId="576AC97C">
      <w:pPr>
        <w:jc w:val="center"/>
        <w:rPr>
          <w:rFonts w:ascii="宋体" w:hAnsi="宋体" w:eastAsia="宋体" w:cs="宋体"/>
          <w:sz w:val="52"/>
          <w:szCs w:val="52"/>
        </w:rPr>
      </w:pPr>
    </w:p>
    <w:p w14:paraId="23D901B5">
      <w:pPr>
        <w:jc w:val="center"/>
        <w:rPr>
          <w:rFonts w:ascii="宋体" w:hAnsi="宋体" w:eastAsia="宋体" w:cs="宋体"/>
          <w:b/>
          <w:sz w:val="48"/>
          <w:szCs w:val="48"/>
        </w:rPr>
      </w:pPr>
      <w:r>
        <w:rPr>
          <w:rFonts w:hint="eastAsia" w:ascii="宋体" w:hAnsi="宋体" w:eastAsia="宋体" w:cs="宋体"/>
          <w:b/>
          <w:sz w:val="48"/>
          <w:szCs w:val="48"/>
        </w:rPr>
        <w:t>第三章  评 标 办 法</w:t>
      </w:r>
    </w:p>
    <w:p w14:paraId="59CEFC08">
      <w:pPr>
        <w:rPr>
          <w:rFonts w:ascii="宋体" w:hAnsi="宋体" w:eastAsia="宋体" w:cs="宋体"/>
          <w:sz w:val="24"/>
        </w:rPr>
      </w:pPr>
    </w:p>
    <w:p w14:paraId="7E6BC41B">
      <w:pPr>
        <w:pStyle w:val="2"/>
        <w:spacing w:before="0" w:after="0" w:line="360" w:lineRule="auto"/>
        <w:jc w:val="center"/>
        <w:rPr>
          <w:rFonts w:ascii="宋体" w:hAnsi="宋体"/>
          <w:sz w:val="30"/>
          <w:szCs w:val="30"/>
        </w:rPr>
      </w:pPr>
      <w:r>
        <w:rPr>
          <w:rFonts w:hint="eastAsia" w:ascii="宋体" w:hAnsi="宋体"/>
          <w:b w:val="0"/>
          <w:bCs w:val="0"/>
          <w:sz w:val="24"/>
        </w:rPr>
        <w:br w:type="page"/>
      </w:r>
    </w:p>
    <w:p w14:paraId="067D21AE">
      <w:pPr>
        <w:pStyle w:val="2"/>
        <w:snapToGrid w:val="0"/>
        <w:spacing w:before="0" w:after="0" w:line="360" w:lineRule="auto"/>
        <w:jc w:val="center"/>
        <w:rPr>
          <w:rFonts w:ascii="宋体" w:hAnsi="宋体"/>
          <w:sz w:val="30"/>
          <w:szCs w:val="30"/>
        </w:rPr>
      </w:pPr>
      <w:bookmarkStart w:id="353" w:name="_Toc171410477"/>
      <w:bookmarkStart w:id="354" w:name="_Toc9400"/>
      <w:bookmarkStart w:id="355" w:name="_Toc394573943"/>
      <w:bookmarkStart w:id="356" w:name="_Toc173244809"/>
      <w:bookmarkStart w:id="357" w:name="_Toc228163243"/>
      <w:r>
        <w:rPr>
          <w:rFonts w:hint="eastAsia" w:ascii="宋体" w:hAnsi="宋体"/>
          <w:sz w:val="30"/>
          <w:szCs w:val="30"/>
        </w:rPr>
        <w:t>第三章 评标办法（合理区间抽取定价法）</w:t>
      </w:r>
      <w:bookmarkEnd w:id="353"/>
      <w:bookmarkEnd w:id="354"/>
    </w:p>
    <w:p w14:paraId="0705B0F3">
      <w:pPr>
        <w:adjustRightInd w:val="0"/>
        <w:snapToGrid w:val="0"/>
        <w:spacing w:line="400" w:lineRule="exact"/>
        <w:ind w:firstLine="422" w:firstLineChars="200"/>
        <w:rPr>
          <w:b/>
          <w:szCs w:val="21"/>
        </w:rPr>
      </w:pPr>
      <w:bookmarkStart w:id="358" w:name="OLE_LINK3"/>
      <w:bookmarkStart w:id="359" w:name="OLE_LINK4"/>
      <w:r>
        <w:rPr>
          <w:b/>
          <w:szCs w:val="21"/>
        </w:rPr>
        <w:t>1.评标方法</w:t>
      </w:r>
    </w:p>
    <w:p w14:paraId="1CE86528">
      <w:pPr>
        <w:adjustRightInd w:val="0"/>
        <w:snapToGrid w:val="0"/>
        <w:spacing w:line="400" w:lineRule="exact"/>
        <w:ind w:firstLine="420" w:firstLineChars="200"/>
        <w:rPr>
          <w:szCs w:val="21"/>
        </w:rPr>
      </w:pPr>
      <w:r>
        <w:rPr>
          <w:szCs w:val="21"/>
        </w:rPr>
        <w:t>本次评标采用合理区间抽取定价法，评标分值100分。</w:t>
      </w:r>
      <w:r>
        <w:rPr>
          <w:rFonts w:hint="eastAsia"/>
          <w:szCs w:val="21"/>
        </w:rPr>
        <w:t>评标</w:t>
      </w:r>
      <w:r>
        <w:rPr>
          <w:szCs w:val="21"/>
        </w:rPr>
        <w:t>按本章第2款评标程序对投标文件进行评审，由招标人确定中标候选人1名。</w:t>
      </w:r>
    </w:p>
    <w:p w14:paraId="29C33FB0">
      <w:pPr>
        <w:adjustRightInd w:val="0"/>
        <w:snapToGrid w:val="0"/>
        <w:spacing w:line="400" w:lineRule="exact"/>
        <w:ind w:firstLine="422" w:firstLineChars="200"/>
        <w:rPr>
          <w:b/>
          <w:szCs w:val="21"/>
        </w:rPr>
      </w:pPr>
      <w:r>
        <w:rPr>
          <w:b/>
          <w:szCs w:val="21"/>
        </w:rPr>
        <w:t>2.评标程序</w:t>
      </w:r>
    </w:p>
    <w:p w14:paraId="2B78237A">
      <w:pPr>
        <w:adjustRightInd w:val="0"/>
        <w:snapToGrid w:val="0"/>
        <w:spacing w:line="400" w:lineRule="exact"/>
        <w:ind w:firstLine="420" w:firstLineChars="200"/>
        <w:rPr>
          <w:szCs w:val="21"/>
        </w:rPr>
      </w:pPr>
      <w:r>
        <w:rPr>
          <w:szCs w:val="21"/>
        </w:rPr>
        <w:t>（1）评标标底浮动率的确定</w:t>
      </w:r>
    </w:p>
    <w:p w14:paraId="092DCD18">
      <w:pPr>
        <w:adjustRightInd w:val="0"/>
        <w:snapToGrid w:val="0"/>
        <w:spacing w:line="400" w:lineRule="exact"/>
        <w:ind w:firstLine="420" w:firstLineChars="200"/>
        <w:rPr>
          <w:szCs w:val="21"/>
        </w:rPr>
      </w:pPr>
      <w:r>
        <w:rPr>
          <w:szCs w:val="21"/>
        </w:rPr>
        <w:t>（2）投标报价分值计算</w:t>
      </w:r>
    </w:p>
    <w:p w14:paraId="57BAC040">
      <w:pPr>
        <w:adjustRightInd w:val="0"/>
        <w:snapToGrid w:val="0"/>
        <w:spacing w:line="400" w:lineRule="exact"/>
        <w:ind w:firstLine="420" w:firstLineChars="200"/>
        <w:rPr>
          <w:szCs w:val="21"/>
        </w:rPr>
      </w:pPr>
      <w:r>
        <w:rPr>
          <w:szCs w:val="21"/>
        </w:rPr>
        <w:t>（3）推荐中标候选人</w:t>
      </w:r>
    </w:p>
    <w:p w14:paraId="5F909EE6">
      <w:pPr>
        <w:adjustRightInd w:val="0"/>
        <w:snapToGrid w:val="0"/>
        <w:spacing w:line="400" w:lineRule="exact"/>
        <w:ind w:firstLine="422" w:firstLineChars="200"/>
        <w:rPr>
          <w:b/>
          <w:szCs w:val="21"/>
        </w:rPr>
      </w:pPr>
      <w:r>
        <w:rPr>
          <w:b/>
          <w:szCs w:val="21"/>
        </w:rPr>
        <w:t>3.评标标准</w:t>
      </w:r>
    </w:p>
    <w:p w14:paraId="02C7FB7A">
      <w:pPr>
        <w:adjustRightInd w:val="0"/>
        <w:snapToGrid w:val="0"/>
        <w:spacing w:line="400" w:lineRule="exact"/>
        <w:ind w:firstLine="420" w:firstLineChars="200"/>
        <w:rPr>
          <w:szCs w:val="21"/>
        </w:rPr>
      </w:pPr>
      <w:r>
        <w:rPr>
          <w:szCs w:val="21"/>
        </w:rPr>
        <w:t>3.1评标标底浮动率的确定：</w:t>
      </w:r>
    </w:p>
    <w:p w14:paraId="66124D2C">
      <w:pPr>
        <w:adjustRightInd w:val="0"/>
        <w:snapToGrid w:val="0"/>
        <w:spacing w:line="400" w:lineRule="exact"/>
        <w:ind w:firstLine="420" w:firstLineChars="200"/>
        <w:rPr>
          <w:szCs w:val="21"/>
        </w:rPr>
      </w:pPr>
      <w:r>
        <w:rPr>
          <w:szCs w:val="21"/>
        </w:rPr>
        <w:t>由招标人代表在规定合理区间范围（详见投标须知前附表，含上、下限，各档之间的步长为0.2%）内，分别抽取3次，每次随机抽取1个数值，再取该3个数值的算术平均值作为评标标底浮动率（作为工程变更，结算依据，计算结果小数点后保留2位，第3位四舍五入）。</w:t>
      </w:r>
    </w:p>
    <w:p w14:paraId="21AF7EFC">
      <w:pPr>
        <w:adjustRightInd w:val="0"/>
        <w:snapToGrid w:val="0"/>
        <w:spacing w:line="400" w:lineRule="exact"/>
        <w:ind w:firstLine="420" w:firstLineChars="200"/>
        <w:rPr>
          <w:szCs w:val="21"/>
        </w:rPr>
      </w:pPr>
      <w:r>
        <w:rPr>
          <w:szCs w:val="21"/>
        </w:rPr>
        <w:t>3.2投标报价分值计算</w:t>
      </w:r>
    </w:p>
    <w:p w14:paraId="0DB39EE5">
      <w:pPr>
        <w:adjustRightInd w:val="0"/>
        <w:snapToGrid w:val="0"/>
        <w:spacing w:line="400" w:lineRule="exact"/>
        <w:ind w:firstLine="420" w:firstLineChars="200"/>
        <w:rPr>
          <w:szCs w:val="21"/>
        </w:rPr>
      </w:pPr>
      <w:bookmarkStart w:id="360" w:name="OLE_LINK2"/>
      <w:r>
        <w:rPr>
          <w:szCs w:val="21"/>
        </w:rPr>
        <w:t>投标报价分值为满分100分，以评标标底浮动率为基础，将投标人的投标报价浮动率与评标标底浮动率对比，进行计分。</w:t>
      </w:r>
    </w:p>
    <w:p w14:paraId="2742D47F">
      <w:pPr>
        <w:adjustRightInd w:val="0"/>
        <w:snapToGrid w:val="0"/>
        <w:spacing w:line="400" w:lineRule="exact"/>
        <w:ind w:firstLine="420" w:firstLineChars="200"/>
        <w:rPr>
          <w:szCs w:val="21"/>
        </w:rPr>
      </w:pPr>
      <w:r>
        <w:rPr>
          <w:szCs w:val="21"/>
        </w:rPr>
        <w:t>投标报价浮动率等于评标标底浮动率时，得满分100分。</w:t>
      </w:r>
    </w:p>
    <w:p w14:paraId="49D7716B">
      <w:pPr>
        <w:adjustRightInd w:val="0"/>
        <w:snapToGrid w:val="0"/>
        <w:spacing w:line="400" w:lineRule="exact"/>
        <w:ind w:firstLine="420" w:firstLineChars="200"/>
        <w:rPr>
          <w:szCs w:val="21"/>
        </w:rPr>
      </w:pPr>
      <w:r>
        <w:rPr>
          <w:szCs w:val="21"/>
        </w:rPr>
        <w:t>投标报价浮动率每低于评标标底浮动率1个百分点，扣1.5分。</w:t>
      </w:r>
    </w:p>
    <w:p w14:paraId="2B39551C">
      <w:pPr>
        <w:adjustRightInd w:val="0"/>
        <w:snapToGrid w:val="0"/>
        <w:spacing w:line="400" w:lineRule="exact"/>
        <w:ind w:firstLine="420" w:firstLineChars="200"/>
        <w:rPr>
          <w:szCs w:val="21"/>
        </w:rPr>
      </w:pPr>
      <w:r>
        <w:rPr>
          <w:szCs w:val="21"/>
        </w:rPr>
        <w:t>投标报价浮动率每高于评标标底浮动率1个百分点，扣1分。</w:t>
      </w:r>
    </w:p>
    <w:p w14:paraId="1A36EF0B">
      <w:pPr>
        <w:adjustRightInd w:val="0"/>
        <w:snapToGrid w:val="0"/>
        <w:spacing w:line="400" w:lineRule="exact"/>
        <w:ind w:firstLine="420" w:firstLineChars="200"/>
        <w:rPr>
          <w:szCs w:val="21"/>
        </w:rPr>
      </w:pPr>
      <w:r>
        <w:rPr>
          <w:szCs w:val="21"/>
        </w:rPr>
        <w:t>评分不足1个百分点时，使用直线插入法计算，计算公式如下（计算结果小数点后保留2位，第3位四舍五入）：</w:t>
      </w:r>
    </w:p>
    <w:p w14:paraId="0D9D9875">
      <w:pPr>
        <w:jc w:val="center"/>
      </w:pPr>
      <w:r>
        <w:t>报价得分=100－|</w:t>
      </w:r>
      <w:r>
        <w:fldChar w:fldCharType="begin"/>
      </w:r>
      <w:r>
        <w:instrText xml:space="preserve"> EQ \F(投标报价浮动率-评标标底浮动率,评标标底浮动率) </w:instrText>
      </w:r>
      <w:r>
        <w:fldChar w:fldCharType="end"/>
      </w:r>
      <w:r>
        <w:t>|×100×扣分值（标准）</w:t>
      </w:r>
    </w:p>
    <w:p w14:paraId="24AC840B">
      <w:pPr>
        <w:adjustRightInd w:val="0"/>
        <w:snapToGrid w:val="0"/>
        <w:spacing w:line="400" w:lineRule="exact"/>
        <w:ind w:firstLine="420" w:firstLineChars="200"/>
        <w:rPr>
          <w:szCs w:val="21"/>
        </w:rPr>
      </w:pPr>
      <w:r>
        <w:rPr>
          <w:szCs w:val="21"/>
        </w:rPr>
        <w:t>3.3、推荐中标候选人</w:t>
      </w:r>
    </w:p>
    <w:p w14:paraId="0616DC74">
      <w:pPr>
        <w:adjustRightInd w:val="0"/>
        <w:snapToGrid w:val="0"/>
        <w:spacing w:line="400" w:lineRule="exact"/>
        <w:ind w:firstLine="420" w:firstLineChars="200"/>
        <w:rPr>
          <w:szCs w:val="21"/>
        </w:rPr>
      </w:pPr>
      <w:r>
        <w:rPr>
          <w:rFonts w:hint="eastAsia"/>
          <w:szCs w:val="21"/>
          <w:lang w:eastAsia="zh-CN"/>
        </w:rPr>
        <w:t>招标人</w:t>
      </w:r>
      <w:r>
        <w:rPr>
          <w:szCs w:val="21"/>
        </w:rPr>
        <w:t>对投标人</w:t>
      </w:r>
      <w:r>
        <w:t>报价</w:t>
      </w:r>
      <w:r>
        <w:rPr>
          <w:szCs w:val="21"/>
        </w:rPr>
        <w:t>得分从高到低进行排序，</w:t>
      </w:r>
      <w:r>
        <w:rPr>
          <w:rFonts w:hint="eastAsia"/>
          <w:szCs w:val="21"/>
          <w:lang w:eastAsia="zh-CN"/>
        </w:rPr>
        <w:t>若报价得分相同，按投标报价下浮率大者优先排名在前。</w:t>
      </w:r>
      <w:r>
        <w:rPr>
          <w:szCs w:val="21"/>
        </w:rPr>
        <w:t>对排名第一的投标人</w:t>
      </w:r>
      <w:r>
        <w:rPr>
          <w:rFonts w:hint="eastAsia"/>
          <w:szCs w:val="21"/>
        </w:rPr>
        <w:t>资格</w:t>
      </w:r>
      <w:r>
        <w:rPr>
          <w:szCs w:val="21"/>
        </w:rPr>
        <w:t>进行审查</w:t>
      </w:r>
      <w:r>
        <w:rPr>
          <w:rFonts w:hint="eastAsia"/>
          <w:szCs w:val="21"/>
        </w:rPr>
        <w:t>；若排名第一投标人报价得分</w:t>
      </w:r>
      <w:r>
        <w:rPr>
          <w:rFonts w:hint="eastAsia"/>
          <w:szCs w:val="21"/>
          <w:lang w:eastAsia="zh-CN"/>
        </w:rPr>
        <w:t>和下浮率均</w:t>
      </w:r>
      <w:r>
        <w:rPr>
          <w:rFonts w:hint="eastAsia"/>
          <w:szCs w:val="21"/>
        </w:rPr>
        <w:t>相同，则并列第一均进入资格审查。</w:t>
      </w:r>
      <w:r>
        <w:rPr>
          <w:szCs w:val="21"/>
        </w:rPr>
        <w:t>投标人存在以下情形之一的，否决其投标。</w:t>
      </w:r>
    </w:p>
    <w:p w14:paraId="625DF927">
      <w:pPr>
        <w:adjustRightInd w:val="0"/>
        <w:snapToGrid w:val="0"/>
        <w:spacing w:line="400" w:lineRule="exact"/>
        <w:ind w:firstLine="420" w:firstLineChars="200"/>
        <w:rPr>
          <w:szCs w:val="21"/>
        </w:rPr>
      </w:pPr>
      <w:r>
        <w:rPr>
          <w:szCs w:val="21"/>
        </w:rPr>
        <w:t>（1）投标人的资格、项目负责人资格</w:t>
      </w:r>
      <w:r>
        <w:rPr>
          <w:rFonts w:hint="eastAsia"/>
          <w:szCs w:val="21"/>
        </w:rPr>
        <w:t>等资格审查资料</w:t>
      </w:r>
      <w:r>
        <w:rPr>
          <w:szCs w:val="21"/>
        </w:rPr>
        <w:t>不符合招标文件要求；</w:t>
      </w:r>
    </w:p>
    <w:p w14:paraId="357BB095">
      <w:pPr>
        <w:adjustRightInd w:val="0"/>
        <w:snapToGrid w:val="0"/>
        <w:spacing w:line="400" w:lineRule="exact"/>
        <w:ind w:firstLine="420" w:firstLineChars="200"/>
        <w:rPr>
          <w:szCs w:val="21"/>
        </w:rPr>
      </w:pPr>
      <w:r>
        <w:rPr>
          <w:szCs w:val="21"/>
        </w:rPr>
        <w:t>（2）投标人未提供有效的营业执照、企业资质证书；</w:t>
      </w:r>
    </w:p>
    <w:p w14:paraId="632C04C9">
      <w:pPr>
        <w:adjustRightInd w:val="0"/>
        <w:snapToGrid w:val="0"/>
        <w:spacing w:line="400" w:lineRule="exact"/>
        <w:ind w:firstLine="420" w:firstLineChars="200"/>
        <w:rPr>
          <w:szCs w:val="21"/>
        </w:rPr>
      </w:pPr>
      <w:r>
        <w:rPr>
          <w:szCs w:val="21"/>
        </w:rPr>
        <w:t>（3）投标报价浮动率超出合理区理范围 (详见投标须知前附表) ；</w:t>
      </w:r>
    </w:p>
    <w:p w14:paraId="173E67B2">
      <w:pPr>
        <w:adjustRightInd w:val="0"/>
        <w:snapToGrid w:val="0"/>
        <w:spacing w:line="400" w:lineRule="exact"/>
        <w:ind w:firstLine="420" w:firstLineChars="200"/>
        <w:rPr>
          <w:szCs w:val="21"/>
        </w:rPr>
      </w:pPr>
      <w:r>
        <w:rPr>
          <w:szCs w:val="21"/>
        </w:rPr>
        <w:t>（4）投标文件载明的投标工期超过招标文件规定的招标工期的或工期不明确；</w:t>
      </w:r>
    </w:p>
    <w:p w14:paraId="307C1A77">
      <w:pPr>
        <w:adjustRightInd w:val="0"/>
        <w:snapToGrid w:val="0"/>
        <w:spacing w:line="400" w:lineRule="exact"/>
        <w:ind w:firstLine="420" w:firstLineChars="200"/>
        <w:rPr>
          <w:szCs w:val="21"/>
        </w:rPr>
      </w:pPr>
      <w:r>
        <w:rPr>
          <w:szCs w:val="21"/>
        </w:rPr>
        <w:t>（5）投标文件载明的招标项目的质量目标（标准）不满足招标文件规定的质量目标（标准）要求；</w:t>
      </w:r>
    </w:p>
    <w:p w14:paraId="433CC48B">
      <w:pPr>
        <w:adjustRightInd w:val="0"/>
        <w:snapToGrid w:val="0"/>
        <w:spacing w:line="400" w:lineRule="exact"/>
        <w:ind w:firstLine="420" w:firstLineChars="200"/>
        <w:rPr>
          <w:szCs w:val="21"/>
        </w:rPr>
      </w:pPr>
      <w:r>
        <w:rPr>
          <w:szCs w:val="21"/>
        </w:rPr>
        <w:t>（6）投标函</w:t>
      </w:r>
      <w:bookmarkStart w:id="453" w:name="_GoBack"/>
      <w:bookmarkEnd w:id="453"/>
      <w:r>
        <w:rPr>
          <w:szCs w:val="21"/>
        </w:rPr>
        <w:t>未盖投标单位公章和未盖法定代表人印章；</w:t>
      </w:r>
    </w:p>
    <w:p w14:paraId="3F4A9025">
      <w:pPr>
        <w:adjustRightInd w:val="0"/>
        <w:snapToGrid w:val="0"/>
        <w:spacing w:line="400" w:lineRule="exact"/>
        <w:ind w:firstLine="420" w:firstLineChars="200"/>
        <w:rPr>
          <w:szCs w:val="21"/>
        </w:rPr>
      </w:pPr>
      <w:r>
        <w:rPr>
          <w:szCs w:val="21"/>
        </w:rPr>
        <w:t>（7）投标人名称与投标人公章不一致的或法定代表人名称与法定代表人印章不一致；</w:t>
      </w:r>
    </w:p>
    <w:p w14:paraId="06C7388C">
      <w:pPr>
        <w:adjustRightInd w:val="0"/>
        <w:snapToGrid w:val="0"/>
        <w:spacing w:line="400" w:lineRule="exact"/>
        <w:ind w:firstLine="420" w:firstLineChars="200"/>
        <w:rPr>
          <w:szCs w:val="21"/>
        </w:rPr>
      </w:pPr>
      <w:r>
        <w:rPr>
          <w:szCs w:val="21"/>
        </w:rPr>
        <w:t>（8）投标人不按要求提交投标保证金的</w:t>
      </w:r>
      <w:r>
        <w:t>或提供的投标保证金有缺陷而不能接受</w:t>
      </w:r>
      <w:r>
        <w:rPr>
          <w:szCs w:val="21"/>
        </w:rPr>
        <w:t>；</w:t>
      </w:r>
    </w:p>
    <w:p w14:paraId="23943515">
      <w:pPr>
        <w:adjustRightInd w:val="0"/>
        <w:snapToGrid w:val="0"/>
        <w:spacing w:line="400" w:lineRule="exact"/>
        <w:ind w:firstLine="420" w:firstLineChars="200"/>
        <w:rPr>
          <w:szCs w:val="21"/>
        </w:rPr>
      </w:pPr>
      <w:r>
        <w:rPr>
          <w:szCs w:val="21"/>
        </w:rPr>
        <w:t>（9）串通投标或弄虚作假或有其他违法行为；</w:t>
      </w:r>
    </w:p>
    <w:p w14:paraId="3E46588B">
      <w:pPr>
        <w:adjustRightInd w:val="0"/>
        <w:snapToGrid w:val="0"/>
        <w:spacing w:line="400" w:lineRule="exact"/>
        <w:ind w:firstLine="420" w:firstLineChars="200"/>
        <w:rPr>
          <w:szCs w:val="21"/>
        </w:rPr>
      </w:pPr>
      <w:r>
        <w:rPr>
          <w:szCs w:val="21"/>
        </w:rPr>
        <w:t>（10）</w:t>
      </w:r>
      <w:r>
        <w:rPr>
          <w:rFonts w:asciiTheme="minorEastAsia" w:hAnsiTheme="minorEastAsia" w:eastAsiaTheme="minorEastAsia"/>
        </w:rPr>
        <w:t>不同供应商联系人为同一人或不同联系人的联系电话一致的</w:t>
      </w:r>
      <w:r>
        <w:rPr>
          <w:szCs w:val="21"/>
        </w:rPr>
        <w:t>；</w:t>
      </w:r>
    </w:p>
    <w:p w14:paraId="65C03F9C">
      <w:pPr>
        <w:adjustRightInd w:val="0"/>
        <w:snapToGrid w:val="0"/>
        <w:spacing w:line="400" w:lineRule="exact"/>
        <w:ind w:firstLine="420" w:firstLineChars="200"/>
        <w:rPr>
          <w:rFonts w:hint="eastAsia"/>
          <w:szCs w:val="21"/>
        </w:rPr>
      </w:pPr>
      <w:r>
        <w:rPr>
          <w:szCs w:val="21"/>
        </w:rPr>
        <w:t>（11）</w:t>
      </w:r>
      <w:r>
        <w:rPr>
          <w:rFonts w:hint="eastAsia"/>
          <w:szCs w:val="21"/>
        </w:rPr>
        <w:t>投标文件未按招标文件要求签字或盖章的；</w:t>
      </w:r>
    </w:p>
    <w:p w14:paraId="794BCB49">
      <w:pPr>
        <w:adjustRightInd w:val="0"/>
        <w:snapToGrid w:val="0"/>
        <w:spacing w:line="400" w:lineRule="exact"/>
        <w:ind w:firstLine="420" w:firstLineChars="200"/>
        <w:rPr>
          <w:rFonts w:hint="eastAsia" w:eastAsiaTheme="minorEastAsia"/>
          <w:szCs w:val="21"/>
          <w:lang w:eastAsia="zh-CN"/>
        </w:rPr>
      </w:pPr>
      <w:r>
        <w:rPr>
          <w:szCs w:val="21"/>
        </w:rPr>
        <w:t>（1</w:t>
      </w:r>
      <w:r>
        <w:rPr>
          <w:rFonts w:hint="eastAsia"/>
          <w:szCs w:val="21"/>
          <w:lang w:val="en-US" w:eastAsia="zh-CN"/>
        </w:rPr>
        <w:t>2</w:t>
      </w:r>
      <w:r>
        <w:rPr>
          <w:szCs w:val="21"/>
        </w:rPr>
        <w:t>）</w:t>
      </w:r>
      <w:r>
        <w:rPr>
          <w:rFonts w:hint="eastAsia"/>
          <w:szCs w:val="21"/>
          <w:lang w:eastAsia="zh-CN"/>
        </w:rPr>
        <w:t>投标文件组成不符合招标文件要求；</w:t>
      </w:r>
    </w:p>
    <w:p w14:paraId="3A7849FE">
      <w:pPr>
        <w:adjustRightInd w:val="0"/>
        <w:snapToGrid w:val="0"/>
        <w:spacing w:line="400" w:lineRule="exact"/>
        <w:ind w:firstLine="420" w:firstLineChars="200"/>
        <w:rPr>
          <w:szCs w:val="21"/>
        </w:rPr>
      </w:pPr>
      <w:r>
        <w:rPr>
          <w:rFonts w:hint="eastAsia"/>
          <w:szCs w:val="21"/>
        </w:rPr>
        <w:t>（1</w:t>
      </w:r>
      <w:r>
        <w:rPr>
          <w:rFonts w:hint="eastAsia"/>
          <w:szCs w:val="21"/>
          <w:lang w:val="en-US" w:eastAsia="zh-CN"/>
        </w:rPr>
        <w:t>3</w:t>
      </w:r>
      <w:r>
        <w:rPr>
          <w:rFonts w:hint="eastAsia"/>
          <w:szCs w:val="21"/>
        </w:rPr>
        <w:t>）</w:t>
      </w:r>
      <w:r>
        <w:rPr>
          <w:szCs w:val="21"/>
        </w:rPr>
        <w:t>不按要求澄清、说明或补正；</w:t>
      </w:r>
    </w:p>
    <w:p w14:paraId="4EC3F08D">
      <w:pPr>
        <w:adjustRightInd w:val="0"/>
        <w:snapToGrid w:val="0"/>
        <w:spacing w:line="400" w:lineRule="exact"/>
        <w:ind w:firstLine="420" w:firstLineChars="200"/>
        <w:rPr>
          <w:szCs w:val="21"/>
        </w:rPr>
      </w:pPr>
      <w:r>
        <w:rPr>
          <w:szCs w:val="21"/>
        </w:rPr>
        <w:t>（1</w:t>
      </w:r>
      <w:r>
        <w:rPr>
          <w:rFonts w:hint="eastAsia"/>
          <w:szCs w:val="21"/>
          <w:lang w:val="en-US" w:eastAsia="zh-CN"/>
        </w:rPr>
        <w:t>4</w:t>
      </w:r>
      <w:r>
        <w:rPr>
          <w:szCs w:val="21"/>
        </w:rPr>
        <w:t>）投标文件附有招标人不能接受条件；</w:t>
      </w:r>
    </w:p>
    <w:p w14:paraId="56C47335">
      <w:pPr>
        <w:adjustRightInd w:val="0"/>
        <w:snapToGrid w:val="0"/>
        <w:spacing w:line="400" w:lineRule="exact"/>
        <w:ind w:firstLine="420" w:firstLineChars="200"/>
        <w:rPr>
          <w:szCs w:val="21"/>
        </w:rPr>
      </w:pPr>
      <w:r>
        <w:rPr>
          <w:szCs w:val="21"/>
        </w:rPr>
        <w:t>（1</w:t>
      </w:r>
      <w:r>
        <w:rPr>
          <w:rFonts w:hint="eastAsia"/>
          <w:szCs w:val="21"/>
          <w:lang w:val="en-US" w:eastAsia="zh-CN"/>
        </w:rPr>
        <w:t>5</w:t>
      </w:r>
      <w:r>
        <w:rPr>
          <w:szCs w:val="21"/>
        </w:rPr>
        <w:t>）存在招标文件、法律、法规、规章等规定的投标无效或其他应当否决投标的情形。</w:t>
      </w:r>
    </w:p>
    <w:p w14:paraId="78FD9FBD">
      <w:pPr>
        <w:adjustRightInd w:val="0"/>
        <w:snapToGrid w:val="0"/>
        <w:spacing w:line="400" w:lineRule="exact"/>
        <w:ind w:firstLine="420" w:firstLineChars="200"/>
        <w:rPr>
          <w:szCs w:val="21"/>
        </w:rPr>
      </w:pPr>
      <w:r>
        <w:rPr>
          <w:szCs w:val="21"/>
        </w:rPr>
        <w:t>排名第一的投标人审查结果如不符合要求，作无效标处理，空缺的名额由之后排名靠前的投标人进行替补，然后再对其资格进行评审，如再不符合要求，再替补，以此类推。经资格审查合格的一名投标人为本工程的中标候选人。若出现报价得分并列，以报价浮动率值大者排名在前，如均相同，则由招标人代表抽签确定</w:t>
      </w:r>
      <w:r>
        <w:rPr>
          <w:rFonts w:hint="eastAsia"/>
          <w:szCs w:val="21"/>
        </w:rPr>
        <w:t>中标候选人</w:t>
      </w:r>
      <w:r>
        <w:rPr>
          <w:szCs w:val="21"/>
        </w:rPr>
        <w:t>。</w:t>
      </w:r>
    </w:p>
    <w:p w14:paraId="60D6BFF0">
      <w:pPr>
        <w:adjustRightInd w:val="0"/>
        <w:snapToGrid w:val="0"/>
        <w:spacing w:line="400" w:lineRule="exact"/>
        <w:ind w:firstLine="420" w:firstLineChars="200"/>
        <w:rPr>
          <w:szCs w:val="21"/>
        </w:rPr>
      </w:pPr>
      <w:r>
        <w:rPr>
          <w:szCs w:val="21"/>
        </w:rPr>
        <w:t>（1）中标价（合同价）＝预算</w:t>
      </w:r>
      <w:r>
        <w:rPr>
          <w:rFonts w:hint="eastAsia"/>
          <w:szCs w:val="21"/>
        </w:rPr>
        <w:t>审核</w:t>
      </w:r>
      <w:r>
        <w:rPr>
          <w:szCs w:val="21"/>
        </w:rPr>
        <w:t>价×(1－评标标底浮动率)。</w:t>
      </w:r>
    </w:p>
    <w:bookmarkEnd w:id="355"/>
    <w:bookmarkEnd w:id="356"/>
    <w:bookmarkEnd w:id="357"/>
    <w:bookmarkEnd w:id="358"/>
    <w:bookmarkEnd w:id="359"/>
    <w:bookmarkEnd w:id="360"/>
    <w:p w14:paraId="65DADA78">
      <w:pPr>
        <w:spacing w:line="400" w:lineRule="exact"/>
        <w:ind w:firstLine="420" w:firstLineChars="200"/>
        <w:rPr>
          <w:rFonts w:ascii="宋体" w:hAnsi="宋体" w:eastAsia="宋体" w:cs="宋体"/>
          <w:szCs w:val="21"/>
        </w:rPr>
      </w:pPr>
    </w:p>
    <w:p w14:paraId="7A28DE1A">
      <w:pPr>
        <w:spacing w:line="400" w:lineRule="exact"/>
        <w:ind w:firstLine="420" w:firstLineChars="200"/>
        <w:rPr>
          <w:rFonts w:ascii="宋体" w:hAnsi="宋体" w:eastAsia="宋体" w:cs="宋体"/>
          <w:szCs w:val="21"/>
        </w:rPr>
      </w:pPr>
    </w:p>
    <w:p w14:paraId="40BB2FAF">
      <w:pPr>
        <w:spacing w:line="400" w:lineRule="exact"/>
        <w:ind w:firstLine="480" w:firstLineChars="200"/>
        <w:rPr>
          <w:rFonts w:ascii="宋体" w:hAnsi="宋体" w:eastAsia="宋体" w:cs="宋体"/>
          <w:sz w:val="24"/>
        </w:rPr>
      </w:pPr>
      <w:r>
        <w:rPr>
          <w:rFonts w:hint="eastAsia" w:ascii="宋体" w:hAnsi="宋体" w:eastAsia="宋体" w:cs="宋体"/>
          <w:sz w:val="24"/>
        </w:rPr>
        <w:br w:type="page"/>
      </w:r>
    </w:p>
    <w:p w14:paraId="0AD037EB">
      <w:pPr>
        <w:pStyle w:val="2"/>
        <w:keepNext w:val="0"/>
        <w:keepLines w:val="0"/>
        <w:snapToGrid w:val="0"/>
        <w:spacing w:before="0" w:after="0" w:line="360" w:lineRule="auto"/>
        <w:jc w:val="center"/>
        <w:rPr>
          <w:rFonts w:ascii="宋体" w:hAnsi="宋体"/>
          <w:sz w:val="48"/>
          <w:szCs w:val="48"/>
        </w:rPr>
      </w:pPr>
    </w:p>
    <w:p w14:paraId="75F64007">
      <w:pPr>
        <w:pStyle w:val="2"/>
        <w:keepNext w:val="0"/>
        <w:keepLines w:val="0"/>
        <w:snapToGrid w:val="0"/>
        <w:spacing w:before="0" w:after="0" w:line="360" w:lineRule="auto"/>
        <w:jc w:val="center"/>
        <w:rPr>
          <w:rFonts w:ascii="宋体" w:hAnsi="宋体"/>
          <w:sz w:val="48"/>
          <w:szCs w:val="48"/>
        </w:rPr>
      </w:pPr>
    </w:p>
    <w:p w14:paraId="7257A3A0">
      <w:pPr>
        <w:pStyle w:val="2"/>
        <w:keepNext w:val="0"/>
        <w:keepLines w:val="0"/>
        <w:snapToGrid w:val="0"/>
        <w:spacing w:before="0" w:after="0" w:line="360" w:lineRule="auto"/>
        <w:jc w:val="center"/>
        <w:rPr>
          <w:rFonts w:ascii="宋体" w:hAnsi="宋体"/>
          <w:sz w:val="48"/>
          <w:szCs w:val="48"/>
        </w:rPr>
      </w:pPr>
    </w:p>
    <w:p w14:paraId="42FE40EF">
      <w:pPr>
        <w:pStyle w:val="2"/>
        <w:keepNext w:val="0"/>
        <w:keepLines w:val="0"/>
        <w:snapToGrid w:val="0"/>
        <w:spacing w:before="0" w:after="0" w:line="360" w:lineRule="auto"/>
        <w:jc w:val="center"/>
        <w:rPr>
          <w:rFonts w:ascii="宋体" w:hAnsi="宋体"/>
          <w:sz w:val="48"/>
          <w:szCs w:val="48"/>
        </w:rPr>
      </w:pPr>
      <w:bookmarkStart w:id="361" w:name="_Toc173244810"/>
      <w:bookmarkStart w:id="362" w:name="_Toc30604"/>
      <w:r>
        <w:rPr>
          <w:rFonts w:hint="eastAsia" w:ascii="宋体" w:hAnsi="宋体"/>
          <w:sz w:val="48"/>
          <w:szCs w:val="48"/>
        </w:rPr>
        <w:t>第四章  合同条款及格式</w:t>
      </w:r>
      <w:bookmarkEnd w:id="361"/>
      <w:bookmarkEnd w:id="362"/>
    </w:p>
    <w:p w14:paraId="0482AC70">
      <w:pPr>
        <w:pStyle w:val="2"/>
        <w:keepNext w:val="0"/>
        <w:keepLines w:val="0"/>
        <w:spacing w:after="120" w:line="240" w:lineRule="auto"/>
        <w:jc w:val="center"/>
        <w:rPr>
          <w:rFonts w:ascii="宋体" w:hAnsi="宋体"/>
          <w:sz w:val="28"/>
          <w:szCs w:val="28"/>
        </w:rPr>
      </w:pPr>
    </w:p>
    <w:p w14:paraId="5A13A5D5">
      <w:pPr>
        <w:pStyle w:val="2"/>
        <w:keepNext w:val="0"/>
        <w:keepLines w:val="0"/>
        <w:spacing w:after="120" w:line="240" w:lineRule="auto"/>
        <w:jc w:val="center"/>
        <w:rPr>
          <w:rFonts w:ascii="宋体" w:hAnsi="宋体"/>
          <w:sz w:val="28"/>
          <w:szCs w:val="28"/>
        </w:rPr>
      </w:pPr>
    </w:p>
    <w:p w14:paraId="2C68798C">
      <w:pPr>
        <w:pStyle w:val="2"/>
        <w:keepNext w:val="0"/>
        <w:keepLines w:val="0"/>
        <w:spacing w:after="120" w:line="240" w:lineRule="auto"/>
        <w:jc w:val="center"/>
        <w:rPr>
          <w:rFonts w:ascii="宋体" w:hAnsi="宋体"/>
          <w:sz w:val="28"/>
          <w:szCs w:val="28"/>
        </w:rPr>
      </w:pPr>
    </w:p>
    <w:p w14:paraId="45CC50E6">
      <w:pPr>
        <w:pStyle w:val="2"/>
        <w:keepNext w:val="0"/>
        <w:keepLines w:val="0"/>
        <w:spacing w:after="120" w:line="240" w:lineRule="auto"/>
        <w:jc w:val="center"/>
        <w:rPr>
          <w:rFonts w:ascii="宋体" w:hAnsi="宋体"/>
          <w:sz w:val="28"/>
          <w:szCs w:val="28"/>
        </w:rPr>
      </w:pPr>
    </w:p>
    <w:p w14:paraId="4EF562CE">
      <w:pPr>
        <w:pStyle w:val="2"/>
        <w:keepNext w:val="0"/>
        <w:keepLines w:val="0"/>
        <w:spacing w:after="120" w:line="240" w:lineRule="auto"/>
        <w:jc w:val="center"/>
        <w:rPr>
          <w:rFonts w:ascii="宋体" w:hAnsi="宋体"/>
          <w:sz w:val="28"/>
          <w:szCs w:val="28"/>
        </w:rPr>
      </w:pPr>
    </w:p>
    <w:p w14:paraId="777A40FB">
      <w:pPr>
        <w:pStyle w:val="2"/>
        <w:keepNext w:val="0"/>
        <w:keepLines w:val="0"/>
        <w:spacing w:after="120" w:line="240" w:lineRule="auto"/>
        <w:jc w:val="center"/>
        <w:rPr>
          <w:rFonts w:ascii="宋体" w:hAnsi="宋体"/>
          <w:sz w:val="28"/>
          <w:szCs w:val="28"/>
        </w:rPr>
      </w:pPr>
    </w:p>
    <w:p w14:paraId="5175DBE7">
      <w:pPr>
        <w:pStyle w:val="2"/>
        <w:keepNext w:val="0"/>
        <w:keepLines w:val="0"/>
        <w:spacing w:after="120" w:line="240" w:lineRule="auto"/>
        <w:jc w:val="center"/>
        <w:rPr>
          <w:rFonts w:ascii="宋体" w:hAnsi="宋体"/>
          <w:sz w:val="28"/>
          <w:szCs w:val="28"/>
        </w:rPr>
      </w:pPr>
    </w:p>
    <w:p w14:paraId="15D58284">
      <w:pPr>
        <w:pStyle w:val="2"/>
        <w:keepNext w:val="0"/>
        <w:keepLines w:val="0"/>
        <w:spacing w:after="120" w:line="240" w:lineRule="auto"/>
        <w:jc w:val="center"/>
        <w:rPr>
          <w:rFonts w:ascii="宋体" w:hAnsi="宋体"/>
          <w:sz w:val="28"/>
          <w:szCs w:val="28"/>
        </w:rPr>
      </w:pPr>
    </w:p>
    <w:p w14:paraId="0A56A1E5">
      <w:pPr>
        <w:pStyle w:val="2"/>
        <w:keepNext w:val="0"/>
        <w:keepLines w:val="0"/>
        <w:spacing w:after="120" w:line="240" w:lineRule="auto"/>
        <w:jc w:val="center"/>
        <w:rPr>
          <w:rFonts w:ascii="宋体" w:hAnsi="宋体"/>
          <w:sz w:val="28"/>
          <w:szCs w:val="28"/>
        </w:rPr>
      </w:pPr>
    </w:p>
    <w:p w14:paraId="3429F077">
      <w:pPr>
        <w:pStyle w:val="2"/>
        <w:keepNext w:val="0"/>
        <w:keepLines w:val="0"/>
        <w:spacing w:after="120" w:line="240" w:lineRule="auto"/>
        <w:jc w:val="center"/>
        <w:rPr>
          <w:rFonts w:ascii="宋体" w:hAnsi="宋体"/>
          <w:sz w:val="28"/>
          <w:szCs w:val="28"/>
        </w:rPr>
      </w:pPr>
    </w:p>
    <w:p w14:paraId="589E805E">
      <w:pPr>
        <w:pStyle w:val="2"/>
        <w:keepNext w:val="0"/>
        <w:keepLines w:val="0"/>
        <w:spacing w:after="120" w:line="240" w:lineRule="auto"/>
        <w:jc w:val="center"/>
        <w:rPr>
          <w:rFonts w:ascii="宋体" w:hAnsi="宋体"/>
          <w:sz w:val="28"/>
          <w:szCs w:val="28"/>
        </w:rPr>
      </w:pPr>
    </w:p>
    <w:p w14:paraId="72E82EDA">
      <w:pPr>
        <w:pStyle w:val="2"/>
        <w:keepNext w:val="0"/>
        <w:keepLines w:val="0"/>
        <w:spacing w:after="120" w:line="240" w:lineRule="auto"/>
        <w:jc w:val="center"/>
        <w:rPr>
          <w:rFonts w:ascii="宋体" w:hAnsi="宋体"/>
          <w:sz w:val="28"/>
          <w:szCs w:val="28"/>
        </w:rPr>
      </w:pPr>
    </w:p>
    <w:p w14:paraId="1868950F">
      <w:pPr>
        <w:pStyle w:val="2"/>
        <w:keepNext w:val="0"/>
        <w:keepLines w:val="0"/>
        <w:spacing w:after="120" w:line="240" w:lineRule="auto"/>
        <w:jc w:val="center"/>
        <w:rPr>
          <w:rFonts w:ascii="宋体" w:hAnsi="宋体"/>
          <w:sz w:val="28"/>
          <w:szCs w:val="28"/>
        </w:rPr>
      </w:pPr>
    </w:p>
    <w:p w14:paraId="1FFDEED6">
      <w:pPr>
        <w:pStyle w:val="2"/>
        <w:keepNext w:val="0"/>
        <w:keepLines w:val="0"/>
        <w:spacing w:after="120" w:line="240" w:lineRule="auto"/>
        <w:jc w:val="center"/>
        <w:rPr>
          <w:rFonts w:ascii="宋体" w:hAnsi="宋体"/>
          <w:sz w:val="28"/>
          <w:szCs w:val="28"/>
        </w:rPr>
      </w:pPr>
    </w:p>
    <w:p w14:paraId="0BEAC808">
      <w:pPr>
        <w:pStyle w:val="2"/>
        <w:keepNext w:val="0"/>
        <w:keepLines w:val="0"/>
        <w:spacing w:after="120" w:line="240" w:lineRule="auto"/>
        <w:jc w:val="center"/>
        <w:rPr>
          <w:rFonts w:ascii="宋体" w:hAnsi="宋体"/>
          <w:sz w:val="28"/>
          <w:szCs w:val="28"/>
        </w:rPr>
      </w:pPr>
    </w:p>
    <w:p w14:paraId="1A715E15">
      <w:pPr>
        <w:pStyle w:val="2"/>
        <w:keepNext w:val="0"/>
        <w:keepLines w:val="0"/>
        <w:spacing w:after="120" w:line="240" w:lineRule="auto"/>
        <w:jc w:val="center"/>
        <w:rPr>
          <w:rFonts w:ascii="宋体" w:hAnsi="宋体"/>
          <w:sz w:val="28"/>
          <w:szCs w:val="28"/>
        </w:rPr>
      </w:pPr>
    </w:p>
    <w:p w14:paraId="1E0A162A">
      <w:pPr>
        <w:pStyle w:val="2"/>
        <w:keepNext w:val="0"/>
        <w:keepLines w:val="0"/>
        <w:spacing w:after="120" w:line="240" w:lineRule="auto"/>
        <w:jc w:val="center"/>
        <w:rPr>
          <w:rFonts w:ascii="宋体" w:hAnsi="宋体"/>
          <w:sz w:val="28"/>
          <w:szCs w:val="28"/>
        </w:rPr>
      </w:pPr>
    </w:p>
    <w:p w14:paraId="6FB73E5D">
      <w:pPr>
        <w:pStyle w:val="2"/>
        <w:keepNext w:val="0"/>
        <w:keepLines w:val="0"/>
        <w:spacing w:after="120" w:line="240" w:lineRule="auto"/>
        <w:jc w:val="center"/>
        <w:rPr>
          <w:rFonts w:ascii="宋体" w:hAnsi="宋体"/>
          <w:sz w:val="28"/>
          <w:szCs w:val="28"/>
        </w:rPr>
      </w:pPr>
      <w:bookmarkStart w:id="363" w:name="_Toc173244811"/>
      <w:bookmarkStart w:id="364" w:name="_Toc30924"/>
      <w:r>
        <w:rPr>
          <w:rFonts w:hint="eastAsia" w:ascii="宋体" w:hAnsi="宋体"/>
          <w:sz w:val="28"/>
          <w:szCs w:val="28"/>
        </w:rPr>
        <w:t>第一节  通用合同条款</w:t>
      </w:r>
      <w:bookmarkEnd w:id="363"/>
      <w:bookmarkEnd w:id="364"/>
    </w:p>
    <w:p w14:paraId="5A66A52B">
      <w:pPr>
        <w:jc w:val="center"/>
      </w:pPr>
      <w:r>
        <w:rPr>
          <w:rFonts w:hint="eastAsia"/>
        </w:rPr>
        <w:t>“通用合同条款”采用《标准施工招标文件》第四章第一节“通用合同条款”</w:t>
      </w:r>
    </w:p>
    <w:p w14:paraId="7ED6E0AE">
      <w:pPr>
        <w:tabs>
          <w:tab w:val="left" w:pos="3193"/>
        </w:tabs>
        <w:spacing w:line="400" w:lineRule="exact"/>
        <w:ind w:firstLine="420" w:firstLineChars="200"/>
        <w:rPr>
          <w:rFonts w:ascii="宋体" w:hAnsi="宋体" w:eastAsia="宋体" w:cs="宋体"/>
          <w:szCs w:val="21"/>
        </w:rPr>
      </w:pPr>
      <w:r>
        <w:rPr>
          <w:rFonts w:hint="eastAsia" w:ascii="宋体" w:hAnsi="宋体" w:eastAsia="宋体" w:cs="宋体"/>
          <w:szCs w:val="21"/>
        </w:rPr>
        <w:t>。</w:t>
      </w:r>
    </w:p>
    <w:p w14:paraId="28857D68">
      <w:pPr>
        <w:tabs>
          <w:tab w:val="left" w:pos="3193"/>
        </w:tabs>
        <w:spacing w:line="400" w:lineRule="exact"/>
        <w:ind w:firstLine="420" w:firstLineChars="200"/>
        <w:rPr>
          <w:rFonts w:ascii="宋体" w:hAnsi="宋体" w:eastAsia="宋体" w:cs="宋体"/>
          <w:szCs w:val="21"/>
        </w:rPr>
      </w:pPr>
    </w:p>
    <w:p w14:paraId="7D534BEC">
      <w:pPr>
        <w:pStyle w:val="2"/>
        <w:keepNext w:val="0"/>
        <w:keepLines w:val="0"/>
        <w:spacing w:after="120" w:line="240" w:lineRule="auto"/>
        <w:jc w:val="center"/>
        <w:rPr>
          <w:rFonts w:ascii="宋体" w:hAnsi="宋体"/>
          <w:sz w:val="28"/>
          <w:szCs w:val="28"/>
        </w:rPr>
      </w:pPr>
    </w:p>
    <w:p w14:paraId="5BE68573">
      <w:pPr>
        <w:pStyle w:val="2"/>
        <w:keepNext w:val="0"/>
        <w:keepLines w:val="0"/>
        <w:spacing w:after="120" w:line="240" w:lineRule="auto"/>
        <w:jc w:val="center"/>
        <w:rPr>
          <w:rFonts w:ascii="宋体" w:hAnsi="宋体"/>
          <w:sz w:val="28"/>
          <w:szCs w:val="28"/>
        </w:rPr>
      </w:pPr>
    </w:p>
    <w:p w14:paraId="4C6FAEB3">
      <w:pPr>
        <w:pStyle w:val="2"/>
        <w:keepNext w:val="0"/>
        <w:keepLines w:val="0"/>
        <w:spacing w:after="120" w:line="240" w:lineRule="auto"/>
        <w:jc w:val="center"/>
        <w:rPr>
          <w:rFonts w:ascii="宋体" w:hAnsi="宋体"/>
          <w:sz w:val="28"/>
          <w:szCs w:val="28"/>
        </w:rPr>
      </w:pPr>
    </w:p>
    <w:p w14:paraId="3DA38F70">
      <w:pPr>
        <w:pStyle w:val="2"/>
        <w:keepNext w:val="0"/>
        <w:keepLines w:val="0"/>
        <w:spacing w:after="120" w:line="240" w:lineRule="auto"/>
        <w:jc w:val="center"/>
        <w:rPr>
          <w:rFonts w:ascii="宋体" w:hAnsi="宋体"/>
          <w:sz w:val="28"/>
          <w:szCs w:val="28"/>
        </w:rPr>
      </w:pPr>
    </w:p>
    <w:p w14:paraId="4730056F">
      <w:pPr>
        <w:pStyle w:val="2"/>
        <w:keepNext w:val="0"/>
        <w:keepLines w:val="0"/>
        <w:spacing w:after="120" w:line="240" w:lineRule="auto"/>
        <w:jc w:val="center"/>
        <w:rPr>
          <w:rFonts w:ascii="宋体" w:hAnsi="宋体"/>
          <w:sz w:val="28"/>
          <w:szCs w:val="28"/>
        </w:rPr>
      </w:pPr>
    </w:p>
    <w:p w14:paraId="526334D0">
      <w:pPr>
        <w:pStyle w:val="2"/>
        <w:keepNext w:val="0"/>
        <w:keepLines w:val="0"/>
        <w:spacing w:after="120" w:line="240" w:lineRule="auto"/>
        <w:jc w:val="center"/>
        <w:rPr>
          <w:rFonts w:ascii="宋体" w:hAnsi="宋体"/>
          <w:sz w:val="28"/>
          <w:szCs w:val="28"/>
        </w:rPr>
      </w:pPr>
    </w:p>
    <w:p w14:paraId="688B991B">
      <w:pPr>
        <w:pStyle w:val="2"/>
        <w:keepNext w:val="0"/>
        <w:keepLines w:val="0"/>
        <w:spacing w:after="120" w:line="240" w:lineRule="auto"/>
        <w:jc w:val="center"/>
        <w:rPr>
          <w:rFonts w:ascii="宋体" w:hAnsi="宋体"/>
          <w:sz w:val="28"/>
          <w:szCs w:val="28"/>
        </w:rPr>
      </w:pPr>
    </w:p>
    <w:p w14:paraId="3240F3D0">
      <w:pPr>
        <w:pStyle w:val="2"/>
        <w:keepNext w:val="0"/>
        <w:keepLines w:val="0"/>
        <w:spacing w:after="120" w:line="240" w:lineRule="auto"/>
        <w:jc w:val="center"/>
        <w:rPr>
          <w:rFonts w:ascii="宋体" w:hAnsi="宋体"/>
          <w:sz w:val="28"/>
          <w:szCs w:val="28"/>
        </w:rPr>
      </w:pPr>
    </w:p>
    <w:p w14:paraId="444B2F87">
      <w:pPr>
        <w:pStyle w:val="2"/>
        <w:keepNext w:val="0"/>
        <w:keepLines w:val="0"/>
        <w:spacing w:after="120" w:line="240" w:lineRule="auto"/>
        <w:jc w:val="center"/>
        <w:rPr>
          <w:rFonts w:ascii="宋体" w:hAnsi="宋体"/>
          <w:sz w:val="28"/>
          <w:szCs w:val="28"/>
        </w:rPr>
      </w:pPr>
    </w:p>
    <w:p w14:paraId="1C5DC78D">
      <w:pPr>
        <w:pStyle w:val="2"/>
        <w:keepNext w:val="0"/>
        <w:keepLines w:val="0"/>
        <w:spacing w:after="120" w:line="240" w:lineRule="auto"/>
        <w:jc w:val="center"/>
        <w:rPr>
          <w:rFonts w:ascii="宋体" w:hAnsi="宋体"/>
          <w:sz w:val="28"/>
          <w:szCs w:val="28"/>
        </w:rPr>
      </w:pPr>
    </w:p>
    <w:p w14:paraId="69C01183">
      <w:pPr>
        <w:pStyle w:val="2"/>
        <w:keepNext w:val="0"/>
        <w:keepLines w:val="0"/>
        <w:spacing w:after="120" w:line="240" w:lineRule="auto"/>
        <w:jc w:val="center"/>
        <w:rPr>
          <w:rFonts w:ascii="宋体" w:hAnsi="宋体"/>
          <w:sz w:val="28"/>
          <w:szCs w:val="28"/>
        </w:rPr>
      </w:pPr>
    </w:p>
    <w:p w14:paraId="2DB692BA">
      <w:pPr>
        <w:pStyle w:val="2"/>
        <w:keepNext w:val="0"/>
        <w:keepLines w:val="0"/>
        <w:spacing w:after="120" w:line="240" w:lineRule="auto"/>
        <w:jc w:val="center"/>
        <w:rPr>
          <w:rFonts w:ascii="宋体" w:hAnsi="宋体"/>
          <w:sz w:val="28"/>
          <w:szCs w:val="28"/>
        </w:rPr>
      </w:pPr>
    </w:p>
    <w:p w14:paraId="31A5E3A4">
      <w:pPr>
        <w:pStyle w:val="2"/>
        <w:keepNext w:val="0"/>
        <w:keepLines w:val="0"/>
        <w:spacing w:after="120" w:line="240" w:lineRule="auto"/>
        <w:jc w:val="center"/>
        <w:rPr>
          <w:rFonts w:ascii="宋体" w:hAnsi="宋体"/>
          <w:sz w:val="28"/>
          <w:szCs w:val="28"/>
        </w:rPr>
      </w:pPr>
    </w:p>
    <w:p w14:paraId="138ED08A">
      <w:pPr>
        <w:pStyle w:val="2"/>
        <w:keepNext w:val="0"/>
        <w:keepLines w:val="0"/>
        <w:spacing w:after="120" w:line="240" w:lineRule="auto"/>
        <w:jc w:val="center"/>
        <w:rPr>
          <w:rFonts w:ascii="宋体" w:hAnsi="宋体"/>
          <w:sz w:val="28"/>
          <w:szCs w:val="28"/>
        </w:rPr>
      </w:pPr>
    </w:p>
    <w:p w14:paraId="21EB397C">
      <w:pPr>
        <w:jc w:val="center"/>
        <w:rPr>
          <w:rFonts w:ascii="宋体" w:hAnsi="宋体" w:eastAsia="宋体" w:cs="宋体"/>
          <w:sz w:val="28"/>
          <w:szCs w:val="28"/>
        </w:rPr>
      </w:pPr>
    </w:p>
    <w:p w14:paraId="11527663">
      <w:pPr>
        <w:pStyle w:val="2"/>
        <w:keepNext w:val="0"/>
        <w:keepLines w:val="0"/>
        <w:spacing w:after="120" w:line="240" w:lineRule="auto"/>
        <w:jc w:val="center"/>
        <w:rPr>
          <w:rFonts w:hint="eastAsia" w:ascii="宋体" w:hAnsi="宋体"/>
          <w:sz w:val="28"/>
          <w:szCs w:val="28"/>
        </w:rPr>
      </w:pPr>
      <w:bookmarkStart w:id="365" w:name="_Toc11274"/>
      <w:r>
        <w:rPr>
          <w:rFonts w:hint="eastAsia" w:ascii="宋体" w:hAnsi="宋体"/>
          <w:sz w:val="28"/>
          <w:szCs w:val="28"/>
        </w:rPr>
        <w:t>第二节 专用合同条款</w:t>
      </w:r>
      <w:bookmarkEnd w:id="365"/>
    </w:p>
    <w:p w14:paraId="6A44FE9C">
      <w:pPr>
        <w:autoSpaceDE w:val="0"/>
        <w:autoSpaceDN w:val="0"/>
        <w:spacing w:before="71"/>
        <w:jc w:val="left"/>
        <w:rPr>
          <w:rFonts w:ascii="宋体" w:hAnsi="宋体" w:eastAsia="宋体" w:cs="宋体"/>
          <w:b/>
          <w:sz w:val="28"/>
          <w:szCs w:val="21"/>
        </w:rPr>
      </w:pPr>
    </w:p>
    <w:p w14:paraId="5A5D9CF7">
      <w:pPr>
        <w:numPr>
          <w:ilvl w:val="1"/>
          <w:numId w:val="11"/>
        </w:numPr>
        <w:tabs>
          <w:tab w:val="left" w:pos="276"/>
        </w:tabs>
        <w:autoSpaceDE w:val="0"/>
        <w:autoSpaceDN w:val="0"/>
        <w:spacing w:before="1"/>
        <w:ind w:left="276" w:right="142" w:hanging="277"/>
        <w:jc w:val="center"/>
        <w:rPr>
          <w:rFonts w:ascii="黑体" w:hAnsi="宋体" w:eastAsia="黑体" w:cs="宋体"/>
          <w:sz w:val="26"/>
          <w:szCs w:val="22"/>
        </w:rPr>
      </w:pPr>
      <w:bookmarkStart w:id="366" w:name="A.养护工程专用合同条款"/>
      <w:bookmarkEnd w:id="366"/>
      <w:r>
        <w:rPr>
          <w:rFonts w:ascii="黑体" w:hAnsi="宋体" w:eastAsia="黑体" w:cs="宋体"/>
          <w:spacing w:val="-4"/>
          <w:sz w:val="28"/>
          <w:szCs w:val="22"/>
        </w:rPr>
        <w:t>养护工程</w:t>
      </w:r>
      <w:r>
        <w:rPr>
          <w:rFonts w:ascii="宋体" w:hAnsi="宋体" w:eastAsia="宋体" w:cs="宋体"/>
          <w:b/>
          <w:spacing w:val="-5"/>
          <w:sz w:val="28"/>
          <w:szCs w:val="22"/>
        </w:rPr>
        <w:t>专用合同条款</w:t>
      </w:r>
    </w:p>
    <w:p w14:paraId="5A040360">
      <w:pPr>
        <w:autoSpaceDE w:val="0"/>
        <w:autoSpaceDN w:val="0"/>
        <w:spacing w:before="142"/>
        <w:jc w:val="left"/>
        <w:rPr>
          <w:rFonts w:ascii="宋体" w:hAnsi="宋体" w:eastAsia="宋体" w:cs="宋体"/>
          <w:b/>
          <w:sz w:val="28"/>
          <w:szCs w:val="21"/>
        </w:rPr>
      </w:pPr>
    </w:p>
    <w:p w14:paraId="09A72C3D">
      <w:pPr>
        <w:numPr>
          <w:ilvl w:val="0"/>
          <w:numId w:val="12"/>
        </w:numPr>
        <w:tabs>
          <w:tab w:val="left" w:pos="739"/>
        </w:tabs>
        <w:autoSpaceDE w:val="0"/>
        <w:autoSpaceDN w:val="0"/>
        <w:ind w:left="739" w:hanging="313"/>
        <w:rPr>
          <w:rFonts w:ascii="宋体" w:hAnsi="宋体" w:eastAsia="宋体" w:cs="宋体"/>
          <w:szCs w:val="22"/>
        </w:rPr>
      </w:pPr>
      <w:r>
        <w:rPr>
          <w:rFonts w:ascii="宋体" w:hAnsi="宋体" w:eastAsia="宋体" w:cs="宋体"/>
          <w:spacing w:val="-4"/>
          <w:szCs w:val="22"/>
        </w:rPr>
        <w:t>一般约定</w:t>
      </w:r>
    </w:p>
    <w:p w14:paraId="5AAC8D49">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7"/>
          <w:szCs w:val="22"/>
        </w:rPr>
        <w:t>词语定义</w:t>
      </w:r>
    </w:p>
    <w:p w14:paraId="54326E3D">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通用合同条款、专用合同条款中的下列词语应具有本款所赋予的含义。</w:t>
      </w:r>
    </w:p>
    <w:p w14:paraId="7DC1CF53">
      <w:pPr>
        <w:numPr>
          <w:ilvl w:val="2"/>
          <w:numId w:val="12"/>
        </w:numPr>
        <w:tabs>
          <w:tab w:val="left" w:pos="1578"/>
        </w:tabs>
        <w:autoSpaceDE w:val="0"/>
        <w:autoSpaceDN w:val="0"/>
        <w:spacing w:before="125"/>
        <w:ind w:left="1578" w:hanging="732"/>
        <w:rPr>
          <w:rFonts w:ascii="宋体" w:hAnsi="宋体" w:eastAsia="宋体" w:cs="宋体"/>
          <w:szCs w:val="22"/>
        </w:rPr>
      </w:pPr>
      <w:r>
        <w:rPr>
          <w:rFonts w:ascii="宋体" w:hAnsi="宋体" w:eastAsia="宋体" w:cs="宋体"/>
          <w:spacing w:val="-8"/>
          <w:szCs w:val="22"/>
        </w:rPr>
        <w:t>合同</w:t>
      </w:r>
    </w:p>
    <w:p w14:paraId="267653B7">
      <w:pPr>
        <w:numPr>
          <w:ilvl w:val="3"/>
          <w:numId w:val="12"/>
        </w:numPr>
        <w:tabs>
          <w:tab w:val="left" w:pos="1789"/>
        </w:tabs>
        <w:autoSpaceDE w:val="0"/>
        <w:autoSpaceDN w:val="0"/>
        <w:spacing w:before="128" w:line="352" w:lineRule="auto"/>
        <w:ind w:right="569" w:firstLine="420"/>
        <w:rPr>
          <w:rFonts w:ascii="宋体" w:hAnsi="宋体" w:eastAsia="宋体" w:cs="宋体"/>
          <w:szCs w:val="22"/>
        </w:rPr>
      </w:pPr>
      <w:r>
        <w:rPr>
          <w:rFonts w:ascii="宋体" w:hAnsi="宋体" w:eastAsia="宋体" w:cs="宋体"/>
          <w:spacing w:val="-2"/>
          <w:szCs w:val="22"/>
        </w:rPr>
        <w:t>合同文件（或称合同）：指合同协议书、中标通知书、投标函及投标函附录、专用合同条款、通用合同条款、技术标准和要求、图纸、已标价工程量清单，以及其它合同文件。</w:t>
      </w:r>
    </w:p>
    <w:p w14:paraId="087923E8">
      <w:pPr>
        <w:numPr>
          <w:ilvl w:val="3"/>
          <w:numId w:val="12"/>
        </w:numPr>
        <w:tabs>
          <w:tab w:val="left" w:pos="1789"/>
        </w:tabs>
        <w:autoSpaceDE w:val="0"/>
        <w:autoSpaceDN w:val="0"/>
        <w:spacing w:line="270" w:lineRule="exact"/>
        <w:ind w:left="1789" w:hanging="943"/>
        <w:rPr>
          <w:rFonts w:ascii="宋体" w:hAnsi="宋体" w:eastAsia="宋体" w:cs="宋体"/>
          <w:szCs w:val="22"/>
        </w:rPr>
      </w:pPr>
      <w:r>
        <w:rPr>
          <w:rFonts w:ascii="宋体" w:hAnsi="宋体" w:eastAsia="宋体" w:cs="宋体"/>
          <w:spacing w:val="-2"/>
          <w:szCs w:val="22"/>
        </w:rPr>
        <w:t xml:space="preserve">合同协议书：指第 </w:t>
      </w:r>
      <w:r>
        <w:rPr>
          <w:rFonts w:ascii="宋体" w:hAnsi="宋体" w:eastAsia="宋体" w:cs="宋体"/>
          <w:szCs w:val="22"/>
        </w:rPr>
        <w:t>1.5</w:t>
      </w:r>
      <w:r>
        <w:rPr>
          <w:rFonts w:ascii="宋体" w:hAnsi="宋体" w:eastAsia="宋体" w:cs="宋体"/>
          <w:spacing w:val="-5"/>
          <w:szCs w:val="22"/>
        </w:rPr>
        <w:t xml:space="preserve"> 款所指的合同协议书。</w:t>
      </w:r>
    </w:p>
    <w:p w14:paraId="033BA87D">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3"/>
          <w:szCs w:val="22"/>
        </w:rPr>
        <w:t>中标通知书：指发包人通知承包人中标的函件。</w:t>
      </w:r>
    </w:p>
    <w:p w14:paraId="2054D89A">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3"/>
          <w:szCs w:val="22"/>
        </w:rPr>
        <w:t>投标函：指构成合同文件组成部分的由承包人填写并签署的投标函。</w:t>
      </w:r>
    </w:p>
    <w:p w14:paraId="07A2CCE5">
      <w:pPr>
        <w:numPr>
          <w:ilvl w:val="3"/>
          <w:numId w:val="12"/>
        </w:numPr>
        <w:tabs>
          <w:tab w:val="left" w:pos="1789"/>
        </w:tabs>
        <w:autoSpaceDE w:val="0"/>
        <w:autoSpaceDN w:val="0"/>
        <w:spacing w:before="125"/>
        <w:ind w:left="1789" w:hanging="943"/>
        <w:rPr>
          <w:rFonts w:ascii="宋体" w:hAnsi="宋体" w:eastAsia="宋体" w:cs="宋体"/>
          <w:szCs w:val="22"/>
        </w:rPr>
      </w:pPr>
      <w:r>
        <w:rPr>
          <w:rFonts w:ascii="宋体" w:hAnsi="宋体" w:eastAsia="宋体" w:cs="宋体"/>
          <w:spacing w:val="-3"/>
          <w:szCs w:val="22"/>
        </w:rPr>
        <w:t>投标函附录：指附在投标函后构成合同文件的投标函附录。</w:t>
      </w:r>
    </w:p>
    <w:p w14:paraId="72CD562C">
      <w:pPr>
        <w:numPr>
          <w:ilvl w:val="3"/>
          <w:numId w:val="12"/>
        </w:numPr>
        <w:tabs>
          <w:tab w:val="left" w:pos="1789"/>
        </w:tabs>
        <w:autoSpaceDE w:val="0"/>
        <w:autoSpaceDN w:val="0"/>
        <w:spacing w:before="128" w:line="352" w:lineRule="auto"/>
        <w:ind w:right="569" w:firstLine="420"/>
        <w:jc w:val="both"/>
        <w:rPr>
          <w:rFonts w:ascii="宋体" w:hAnsi="宋体" w:eastAsia="宋体" w:cs="宋体"/>
          <w:szCs w:val="22"/>
        </w:rPr>
      </w:pPr>
      <w:r>
        <w:rPr>
          <w:rFonts w:ascii="宋体" w:hAnsi="宋体" w:eastAsia="宋体" w:cs="宋体"/>
          <w:spacing w:val="-2"/>
          <w:szCs w:val="22"/>
        </w:rPr>
        <w:t>技术规范：指本合同所约定的技术标准和要求，是合同文件的组成部分。通用合同条款中“技术标准和要求”一词具有相同含义。</w:t>
      </w:r>
    </w:p>
    <w:p w14:paraId="4C0AF0B1">
      <w:pPr>
        <w:numPr>
          <w:ilvl w:val="3"/>
          <w:numId w:val="12"/>
        </w:numPr>
        <w:tabs>
          <w:tab w:val="left" w:pos="1789"/>
        </w:tabs>
        <w:autoSpaceDE w:val="0"/>
        <w:autoSpaceDN w:val="0"/>
        <w:spacing w:line="352" w:lineRule="auto"/>
        <w:ind w:right="569" w:firstLine="420"/>
        <w:jc w:val="both"/>
        <w:rPr>
          <w:rFonts w:ascii="宋体" w:hAnsi="宋体" w:eastAsia="宋体" w:cs="宋体"/>
          <w:szCs w:val="22"/>
        </w:rPr>
      </w:pPr>
      <w:r>
        <w:rPr>
          <w:rFonts w:ascii="宋体" w:hAnsi="宋体" w:eastAsia="宋体" w:cs="宋体"/>
          <w:spacing w:val="-2"/>
          <w:szCs w:val="22"/>
        </w:rPr>
        <w:t>图纸：指包含在合同中的工程图纸，以及由发包人按合同约定提供的任何补充和修改的图纸，包括配套的说明。</w:t>
      </w:r>
    </w:p>
    <w:p w14:paraId="52FF6DCD">
      <w:pPr>
        <w:numPr>
          <w:ilvl w:val="3"/>
          <w:numId w:val="12"/>
        </w:numPr>
        <w:tabs>
          <w:tab w:val="left" w:pos="1789"/>
        </w:tabs>
        <w:autoSpaceDE w:val="0"/>
        <w:autoSpaceDN w:val="0"/>
        <w:spacing w:line="350" w:lineRule="auto"/>
        <w:ind w:right="569" w:firstLine="420"/>
        <w:jc w:val="both"/>
        <w:rPr>
          <w:rFonts w:ascii="宋体" w:hAnsi="宋体" w:eastAsia="宋体" w:cs="宋体"/>
          <w:szCs w:val="22"/>
        </w:rPr>
      </w:pPr>
      <w:r>
        <w:rPr>
          <w:rFonts w:ascii="宋体" w:hAnsi="宋体" w:eastAsia="宋体" w:cs="宋体"/>
          <w:spacing w:val="-2"/>
          <w:szCs w:val="22"/>
        </w:rPr>
        <w:t>已标价工程量清单：指构成合同文件组成部分的已标明价格、经算术性错误修正及其他错误修正(如有)且承包人已确认的最终的工程量清单，包括工程量清单说明、投标报价说明、其</w:t>
      </w:r>
      <w:r>
        <w:rPr>
          <w:rFonts w:ascii="宋体" w:hAnsi="宋体" w:eastAsia="宋体" w:cs="宋体"/>
          <w:szCs w:val="22"/>
        </w:rPr>
        <w:t>他说明及工程量清单各项表格(工程量清单表</w:t>
      </w:r>
      <w:r>
        <w:rPr>
          <w:rFonts w:ascii="Times New Roman" w:hAnsi="Times New Roman" w:eastAsia="Times New Roman" w:cs="宋体"/>
          <w:spacing w:val="80"/>
          <w:szCs w:val="22"/>
          <w:u w:val="single"/>
        </w:rPr>
        <w:t xml:space="preserve">  </w:t>
      </w:r>
      <w:r>
        <w:rPr>
          <w:rFonts w:ascii="宋体" w:hAnsi="宋体" w:eastAsia="宋体" w:cs="宋体"/>
          <w:szCs w:val="22"/>
        </w:rPr>
        <w:t>、表</w:t>
      </w:r>
      <w:r>
        <w:rPr>
          <w:rFonts w:ascii="Times New Roman" w:hAnsi="Times New Roman" w:eastAsia="Times New Roman" w:cs="宋体"/>
          <w:spacing w:val="80"/>
          <w:szCs w:val="22"/>
          <w:u w:val="single"/>
        </w:rPr>
        <w:t xml:space="preserve">  </w:t>
      </w:r>
      <w:r>
        <w:rPr>
          <w:rFonts w:ascii="宋体" w:hAnsi="宋体" w:eastAsia="宋体" w:cs="宋体"/>
          <w:szCs w:val="22"/>
        </w:rPr>
        <w:t>、……)。</w:t>
      </w:r>
    </w:p>
    <w:p w14:paraId="22B3927B">
      <w:pPr>
        <w:numPr>
          <w:ilvl w:val="3"/>
          <w:numId w:val="12"/>
        </w:numPr>
        <w:tabs>
          <w:tab w:val="left" w:pos="1789"/>
        </w:tabs>
        <w:autoSpaceDE w:val="0"/>
        <w:autoSpaceDN w:val="0"/>
        <w:ind w:left="1789" w:hanging="943"/>
        <w:jc w:val="both"/>
        <w:rPr>
          <w:rFonts w:ascii="宋体" w:hAnsi="宋体" w:eastAsia="宋体" w:cs="宋体"/>
          <w:szCs w:val="22"/>
        </w:rPr>
      </w:pPr>
      <w:r>
        <w:rPr>
          <w:rFonts w:ascii="宋体" w:hAnsi="宋体" w:eastAsia="宋体" w:cs="宋体"/>
          <w:spacing w:val="-3"/>
          <w:szCs w:val="22"/>
        </w:rPr>
        <w:t>其它合同文件：指经合同双方当事人确认构成合同文件的其它文件。</w:t>
      </w:r>
    </w:p>
    <w:p w14:paraId="5D9B67AF">
      <w:pPr>
        <w:numPr>
          <w:ilvl w:val="3"/>
          <w:numId w:val="12"/>
        </w:numPr>
        <w:tabs>
          <w:tab w:val="left" w:pos="1895"/>
        </w:tabs>
        <w:autoSpaceDE w:val="0"/>
        <w:autoSpaceDN w:val="0"/>
        <w:spacing w:before="125" w:line="352" w:lineRule="auto"/>
        <w:ind w:right="569" w:firstLine="420"/>
        <w:jc w:val="both"/>
        <w:rPr>
          <w:rFonts w:ascii="宋体" w:hAnsi="宋体" w:eastAsia="宋体" w:cs="宋体"/>
          <w:szCs w:val="22"/>
        </w:rPr>
      </w:pPr>
      <w:r>
        <w:rPr>
          <w:rFonts w:ascii="宋体" w:hAnsi="宋体" w:eastAsia="宋体" w:cs="宋体"/>
          <w:spacing w:val="-2"/>
          <w:szCs w:val="22"/>
        </w:rPr>
        <w:t>补遗书：指发出招标文件之后由招标人向取得招标文件的投标人发出的、编号的，对招标文件所作的澄清、修改书。</w:t>
      </w:r>
    </w:p>
    <w:p w14:paraId="13F255A7">
      <w:pPr>
        <w:numPr>
          <w:ilvl w:val="2"/>
          <w:numId w:val="12"/>
        </w:numPr>
        <w:tabs>
          <w:tab w:val="left" w:pos="1578"/>
        </w:tabs>
        <w:autoSpaceDE w:val="0"/>
        <w:autoSpaceDN w:val="0"/>
        <w:spacing w:line="272" w:lineRule="exact"/>
        <w:ind w:left="1578" w:hanging="732"/>
        <w:jc w:val="both"/>
        <w:rPr>
          <w:rFonts w:ascii="宋体" w:hAnsi="宋体" w:eastAsia="宋体" w:cs="宋体"/>
          <w:szCs w:val="22"/>
        </w:rPr>
      </w:pPr>
      <w:r>
        <w:rPr>
          <w:rFonts w:ascii="宋体" w:hAnsi="宋体" w:eastAsia="宋体" w:cs="宋体"/>
          <w:spacing w:val="-4"/>
          <w:szCs w:val="22"/>
        </w:rPr>
        <w:t>合同当事人和人员</w:t>
      </w:r>
    </w:p>
    <w:p w14:paraId="74C1C3E4">
      <w:pPr>
        <w:numPr>
          <w:ilvl w:val="3"/>
          <w:numId w:val="12"/>
        </w:numPr>
        <w:tabs>
          <w:tab w:val="left" w:pos="1789"/>
        </w:tabs>
        <w:autoSpaceDE w:val="0"/>
        <w:autoSpaceDN w:val="0"/>
        <w:spacing w:before="125"/>
        <w:ind w:left="1789" w:hanging="943"/>
        <w:jc w:val="both"/>
        <w:rPr>
          <w:rFonts w:ascii="宋体" w:hAnsi="宋体" w:eastAsia="宋体" w:cs="宋体"/>
          <w:szCs w:val="22"/>
        </w:rPr>
      </w:pPr>
      <w:r>
        <w:rPr>
          <w:rFonts w:ascii="宋体" w:hAnsi="宋体" w:eastAsia="宋体" w:cs="宋体"/>
          <w:spacing w:val="-2"/>
          <w:szCs w:val="22"/>
        </w:rPr>
        <w:t>合同当事人：指发包人和（或）</w:t>
      </w:r>
      <w:r>
        <w:rPr>
          <w:rFonts w:ascii="宋体" w:hAnsi="宋体" w:eastAsia="宋体" w:cs="宋体"/>
          <w:spacing w:val="-4"/>
          <w:szCs w:val="22"/>
        </w:rPr>
        <w:t>承包人。</w:t>
      </w:r>
    </w:p>
    <w:p w14:paraId="05A642AD">
      <w:pPr>
        <w:numPr>
          <w:ilvl w:val="3"/>
          <w:numId w:val="12"/>
        </w:numPr>
        <w:tabs>
          <w:tab w:val="left" w:pos="1789"/>
        </w:tabs>
        <w:autoSpaceDE w:val="0"/>
        <w:autoSpaceDN w:val="0"/>
        <w:spacing w:before="128"/>
        <w:ind w:left="1789" w:hanging="943"/>
        <w:jc w:val="both"/>
        <w:rPr>
          <w:rFonts w:ascii="宋体" w:hAnsi="宋体" w:eastAsia="宋体" w:cs="宋体"/>
          <w:szCs w:val="22"/>
        </w:rPr>
      </w:pPr>
      <w:r>
        <w:rPr>
          <w:rFonts w:ascii="宋体" w:hAnsi="宋体" w:eastAsia="宋体" w:cs="宋体"/>
          <w:spacing w:val="-3"/>
          <w:szCs w:val="22"/>
        </w:rPr>
        <w:t>发包人：指专用合同条款中指明并与承包人在合同协议书中签字的当事人。</w:t>
      </w:r>
    </w:p>
    <w:p w14:paraId="3CC520C3">
      <w:pPr>
        <w:numPr>
          <w:ilvl w:val="3"/>
          <w:numId w:val="12"/>
        </w:numPr>
        <w:tabs>
          <w:tab w:val="left" w:pos="1789"/>
        </w:tabs>
        <w:autoSpaceDE w:val="0"/>
        <w:autoSpaceDN w:val="0"/>
        <w:spacing w:before="128" w:line="350" w:lineRule="auto"/>
        <w:ind w:right="569" w:firstLine="420"/>
        <w:jc w:val="both"/>
        <w:rPr>
          <w:rFonts w:ascii="宋体" w:hAnsi="宋体" w:eastAsia="宋体" w:cs="宋体"/>
          <w:szCs w:val="22"/>
        </w:rPr>
      </w:pPr>
      <w:r>
        <w:rPr>
          <w:rFonts w:ascii="宋体" w:hAnsi="宋体" w:eastAsia="宋体" w:cs="宋体"/>
          <w:spacing w:val="-2"/>
          <w:szCs w:val="22"/>
        </w:rPr>
        <w:t>承包人：指其投标已为发包人所接受，并与发包人签订了实施本合同公路养护工程合同协议书的当事人（承包人），以及取得该当事人（承包人）资格的合法继承人（承包人）。</w:t>
      </w:r>
    </w:p>
    <w:p w14:paraId="08B6972B">
      <w:pPr>
        <w:numPr>
          <w:ilvl w:val="3"/>
          <w:numId w:val="12"/>
        </w:numPr>
        <w:tabs>
          <w:tab w:val="left" w:pos="1789"/>
        </w:tabs>
        <w:autoSpaceDE w:val="0"/>
        <w:autoSpaceDN w:val="0"/>
        <w:spacing w:before="2" w:line="352" w:lineRule="auto"/>
        <w:ind w:right="569" w:firstLine="420"/>
        <w:jc w:val="both"/>
        <w:rPr>
          <w:rFonts w:ascii="宋体" w:hAnsi="宋体" w:eastAsia="宋体" w:cs="宋体"/>
          <w:szCs w:val="22"/>
        </w:rPr>
      </w:pPr>
      <w:r>
        <w:rPr>
          <w:rFonts w:ascii="宋体" w:hAnsi="宋体" w:eastAsia="宋体" w:cs="宋体"/>
          <w:spacing w:val="-10"/>
          <w:szCs w:val="22"/>
        </w:rPr>
        <w:t>承包人项目经理：指由承包人书面委派常驻现场负责执行本合同和管理本合同公路养</w:t>
      </w:r>
      <w:r>
        <w:rPr>
          <w:rFonts w:ascii="宋体" w:hAnsi="宋体" w:eastAsia="宋体" w:cs="宋体"/>
          <w:spacing w:val="-2"/>
          <w:szCs w:val="22"/>
        </w:rPr>
        <w:t>护工程的代表。</w:t>
      </w:r>
    </w:p>
    <w:p w14:paraId="6F408D5E">
      <w:pPr>
        <w:numPr>
          <w:ilvl w:val="3"/>
          <w:numId w:val="12"/>
        </w:numPr>
        <w:tabs>
          <w:tab w:val="left" w:pos="1789"/>
        </w:tabs>
        <w:autoSpaceDE w:val="0"/>
        <w:autoSpaceDN w:val="0"/>
        <w:spacing w:line="270" w:lineRule="exact"/>
        <w:ind w:left="1789" w:hanging="943"/>
        <w:jc w:val="both"/>
        <w:rPr>
          <w:rFonts w:ascii="宋体" w:hAnsi="宋体" w:eastAsia="宋体" w:cs="宋体"/>
          <w:szCs w:val="22"/>
        </w:rPr>
      </w:pPr>
      <w:r>
        <w:rPr>
          <w:rFonts w:ascii="宋体" w:hAnsi="宋体" w:eastAsia="宋体" w:cs="宋体"/>
          <w:spacing w:val="-3"/>
          <w:szCs w:val="22"/>
        </w:rPr>
        <w:t>分包人：指从承包人处分包合同中某一部分工程，并与其签订分包合同的分包人。</w:t>
      </w:r>
    </w:p>
    <w:p w14:paraId="48647552">
      <w:pPr>
        <w:numPr>
          <w:ilvl w:val="3"/>
          <w:numId w:val="12"/>
        </w:numPr>
        <w:tabs>
          <w:tab w:val="left" w:pos="1789"/>
        </w:tabs>
        <w:autoSpaceDE w:val="0"/>
        <w:autoSpaceDN w:val="0"/>
        <w:spacing w:before="128" w:line="352" w:lineRule="auto"/>
        <w:ind w:right="567" w:firstLine="420"/>
        <w:jc w:val="both"/>
        <w:rPr>
          <w:rFonts w:ascii="宋体" w:hAnsi="宋体" w:eastAsia="宋体" w:cs="宋体"/>
          <w:szCs w:val="22"/>
        </w:rPr>
      </w:pPr>
      <w:r>
        <w:rPr>
          <w:rFonts w:ascii="宋体" w:hAnsi="宋体" w:eastAsia="宋体" w:cs="宋体"/>
          <w:spacing w:val="-2"/>
          <w:szCs w:val="22"/>
        </w:rPr>
        <w:t>监理人：指发包人为实施本合同委托的承担本合同工程监理工作的独立法人。必须是经工商注册并持有交通主管部门核发的资质证书或资信登记的专职监理企业，依照核定的监理业务</w:t>
      </w:r>
    </w:p>
    <w:p w14:paraId="784D1A64">
      <w:pPr>
        <w:spacing w:line="352" w:lineRule="auto"/>
        <w:sectPr>
          <w:pgSz w:w="11910" w:h="16840"/>
          <w:pgMar w:top="1560" w:right="849" w:bottom="1360" w:left="992" w:header="0" w:footer="1176" w:gutter="0"/>
          <w:cols w:space="720" w:num="1"/>
        </w:sectPr>
      </w:pPr>
    </w:p>
    <w:p w14:paraId="340DADA2">
      <w:pPr>
        <w:autoSpaceDE w:val="0"/>
        <w:autoSpaceDN w:val="0"/>
        <w:spacing w:before="37" w:line="350" w:lineRule="auto"/>
        <w:ind w:left="426" w:right="567"/>
        <w:rPr>
          <w:rFonts w:ascii="宋体" w:hAnsi="宋体" w:eastAsia="宋体" w:cs="宋体"/>
          <w:szCs w:val="21"/>
        </w:rPr>
      </w:pPr>
      <w:r>
        <w:rPr>
          <w:rFonts w:ascii="宋体" w:hAnsi="宋体" w:eastAsia="宋体" w:cs="宋体"/>
          <w:spacing w:val="-2"/>
          <w:szCs w:val="21"/>
        </w:rPr>
        <w:t>范围，承担相应公路工程的监理业务；或由市公路管理部门或发包人组织的内部专业监理，并须将设置的项目监理组织机构、到岗人员及项目监理工作计划报市交通工程质监站，审批后方可开展工</w:t>
      </w:r>
      <w:r>
        <w:rPr>
          <w:rFonts w:ascii="宋体" w:hAnsi="宋体" w:eastAsia="宋体" w:cs="宋体"/>
          <w:spacing w:val="-6"/>
          <w:szCs w:val="21"/>
        </w:rPr>
        <w:t>作。</w:t>
      </w:r>
    </w:p>
    <w:p w14:paraId="1F7C171F">
      <w:pPr>
        <w:autoSpaceDE w:val="0"/>
        <w:autoSpaceDN w:val="0"/>
        <w:spacing w:before="4" w:line="350" w:lineRule="auto"/>
        <w:ind w:left="426" w:right="567" w:firstLine="420"/>
        <w:jc w:val="left"/>
        <w:rPr>
          <w:rFonts w:ascii="宋体" w:hAnsi="宋体" w:eastAsia="宋体" w:cs="宋体"/>
          <w:szCs w:val="21"/>
        </w:rPr>
      </w:pPr>
      <w:r>
        <w:rPr>
          <w:rFonts w:ascii="宋体" w:hAnsi="宋体" w:eastAsia="宋体" w:cs="宋体"/>
          <w:spacing w:val="-2"/>
          <w:szCs w:val="21"/>
        </w:rPr>
        <w:t>监理组织必须接受市交通工程质监站对其监理资格，监理质量控制体系及监理工作质量的监督</w:t>
      </w:r>
      <w:r>
        <w:rPr>
          <w:rFonts w:ascii="宋体" w:hAnsi="宋体" w:eastAsia="宋体" w:cs="宋体"/>
          <w:spacing w:val="-4"/>
          <w:szCs w:val="21"/>
        </w:rPr>
        <w:t>检查。</w:t>
      </w:r>
    </w:p>
    <w:p w14:paraId="72F772EA">
      <w:pPr>
        <w:numPr>
          <w:ilvl w:val="3"/>
          <w:numId w:val="12"/>
        </w:numPr>
        <w:tabs>
          <w:tab w:val="left" w:pos="1789"/>
        </w:tabs>
        <w:autoSpaceDE w:val="0"/>
        <w:autoSpaceDN w:val="0"/>
        <w:spacing w:before="2" w:line="352" w:lineRule="auto"/>
        <w:ind w:right="569" w:firstLine="420"/>
        <w:rPr>
          <w:rFonts w:ascii="宋体" w:hAnsi="宋体" w:eastAsia="宋体" w:cs="宋体"/>
          <w:szCs w:val="22"/>
        </w:rPr>
      </w:pPr>
      <w:r>
        <w:rPr>
          <w:rFonts w:ascii="宋体" w:hAnsi="宋体" w:eastAsia="宋体" w:cs="宋体"/>
          <w:spacing w:val="-2"/>
          <w:szCs w:val="22"/>
        </w:rPr>
        <w:t>总监理工程师（总监）：指由监理人委派常驻施工场地对合同履行实施管理的全权负</w:t>
      </w:r>
      <w:r>
        <w:rPr>
          <w:rFonts w:ascii="宋体" w:hAnsi="宋体" w:eastAsia="宋体" w:cs="宋体"/>
          <w:spacing w:val="-4"/>
          <w:szCs w:val="22"/>
        </w:rPr>
        <w:t>责人。</w:t>
      </w:r>
    </w:p>
    <w:p w14:paraId="7601C4A2">
      <w:pPr>
        <w:numPr>
          <w:ilvl w:val="3"/>
          <w:numId w:val="12"/>
        </w:numPr>
        <w:tabs>
          <w:tab w:val="left" w:pos="1789"/>
        </w:tabs>
        <w:autoSpaceDE w:val="0"/>
        <w:autoSpaceDN w:val="0"/>
        <w:spacing w:line="352" w:lineRule="auto"/>
        <w:ind w:right="569" w:firstLine="420"/>
        <w:rPr>
          <w:rFonts w:ascii="宋体" w:hAnsi="宋体" w:eastAsia="宋体" w:cs="宋体"/>
          <w:szCs w:val="22"/>
        </w:rPr>
      </w:pPr>
      <w:r>
        <w:rPr>
          <w:rFonts w:ascii="宋体" w:hAnsi="宋体" w:eastAsia="宋体" w:cs="宋体"/>
          <w:spacing w:val="-2"/>
          <w:szCs w:val="22"/>
        </w:rPr>
        <w:t>承包人项目技术负责人：指由承包人书面委派常驻现场负责执行、管理本合同公路养护工程的总工程师或技术总负责人。</w:t>
      </w:r>
    </w:p>
    <w:p w14:paraId="176620A4">
      <w:pPr>
        <w:numPr>
          <w:ilvl w:val="2"/>
          <w:numId w:val="12"/>
        </w:numPr>
        <w:tabs>
          <w:tab w:val="left" w:pos="1578"/>
        </w:tabs>
        <w:autoSpaceDE w:val="0"/>
        <w:autoSpaceDN w:val="0"/>
        <w:spacing w:line="272" w:lineRule="exact"/>
        <w:ind w:left="1578" w:hanging="732"/>
        <w:rPr>
          <w:rFonts w:ascii="宋体" w:hAnsi="宋体" w:eastAsia="宋体" w:cs="宋体"/>
          <w:szCs w:val="22"/>
        </w:rPr>
      </w:pPr>
      <w:r>
        <w:rPr>
          <w:rFonts w:ascii="宋体" w:hAnsi="宋体" w:eastAsia="宋体" w:cs="宋体"/>
          <w:spacing w:val="-4"/>
          <w:szCs w:val="22"/>
        </w:rPr>
        <w:t>工程和设备</w:t>
      </w:r>
    </w:p>
    <w:p w14:paraId="4B369D5D">
      <w:pPr>
        <w:numPr>
          <w:ilvl w:val="3"/>
          <w:numId w:val="12"/>
        </w:numPr>
        <w:tabs>
          <w:tab w:val="left" w:pos="1789"/>
        </w:tabs>
        <w:autoSpaceDE w:val="0"/>
        <w:autoSpaceDN w:val="0"/>
        <w:spacing w:before="122"/>
        <w:ind w:left="1789" w:hanging="943"/>
        <w:rPr>
          <w:rFonts w:ascii="宋体" w:hAnsi="宋体" w:eastAsia="宋体" w:cs="宋体"/>
          <w:szCs w:val="22"/>
        </w:rPr>
      </w:pPr>
      <w:r>
        <w:rPr>
          <w:rFonts w:ascii="宋体" w:hAnsi="宋体" w:eastAsia="宋体" w:cs="宋体"/>
          <w:spacing w:val="-2"/>
          <w:szCs w:val="22"/>
        </w:rPr>
        <w:t>养护工程：指预防养护、修复养护、专项养护、应急养护和（或）</w:t>
      </w:r>
      <w:r>
        <w:rPr>
          <w:rFonts w:ascii="宋体" w:hAnsi="宋体" w:eastAsia="宋体" w:cs="宋体"/>
          <w:spacing w:val="-4"/>
          <w:szCs w:val="22"/>
        </w:rPr>
        <w:t>临时工程。</w:t>
      </w:r>
    </w:p>
    <w:p w14:paraId="596A160D">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3"/>
          <w:szCs w:val="22"/>
        </w:rPr>
        <w:t>永久工程：指按合同约定建造并移交给发包人的工程，包括工程设备。</w:t>
      </w:r>
    </w:p>
    <w:p w14:paraId="11F13AA7">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15"/>
          <w:szCs w:val="22"/>
        </w:rPr>
        <w:t>临时工程：指为完成合同约定的永久工程所修建的各类临时性工程，不包括施工设备。</w:t>
      </w:r>
    </w:p>
    <w:p w14:paraId="7CE9916B">
      <w:pPr>
        <w:numPr>
          <w:ilvl w:val="3"/>
          <w:numId w:val="12"/>
        </w:numPr>
        <w:tabs>
          <w:tab w:val="left" w:pos="1789"/>
        </w:tabs>
        <w:autoSpaceDE w:val="0"/>
        <w:autoSpaceDN w:val="0"/>
        <w:spacing w:before="125" w:line="352" w:lineRule="auto"/>
        <w:ind w:right="569" w:firstLine="420"/>
        <w:rPr>
          <w:rFonts w:ascii="宋体" w:hAnsi="宋体" w:eastAsia="宋体" w:cs="宋体"/>
          <w:szCs w:val="22"/>
        </w:rPr>
      </w:pPr>
      <w:r>
        <w:rPr>
          <w:rFonts w:ascii="宋体" w:hAnsi="宋体" w:eastAsia="宋体" w:cs="宋体"/>
          <w:spacing w:val="-2"/>
          <w:szCs w:val="22"/>
        </w:rPr>
        <w:t>单位工程：指在养护工程项目中，根据签订的合同，具有独立施工条件实行单价承包作业的工程。</w:t>
      </w:r>
    </w:p>
    <w:p w14:paraId="6FBB105B">
      <w:pPr>
        <w:numPr>
          <w:ilvl w:val="3"/>
          <w:numId w:val="12"/>
        </w:numPr>
        <w:tabs>
          <w:tab w:val="left" w:pos="1789"/>
        </w:tabs>
        <w:autoSpaceDE w:val="0"/>
        <w:autoSpaceDN w:val="0"/>
        <w:spacing w:line="350" w:lineRule="auto"/>
        <w:ind w:right="569" w:firstLine="420"/>
        <w:rPr>
          <w:rFonts w:ascii="宋体" w:hAnsi="宋体" w:eastAsia="宋体" w:cs="宋体"/>
          <w:szCs w:val="22"/>
        </w:rPr>
      </w:pPr>
      <w:r>
        <w:rPr>
          <w:rFonts w:ascii="宋体" w:hAnsi="宋体" w:eastAsia="宋体" w:cs="宋体"/>
          <w:spacing w:val="-2"/>
          <w:szCs w:val="22"/>
        </w:rPr>
        <w:t>工程设备：指构成或计划构成永久工程一部分的机电设备、金属结构设备、仪器装置及其它类似的设备和装置，包括其配件及备品、备件、易损易耗件等。</w:t>
      </w:r>
    </w:p>
    <w:p w14:paraId="3A726F28">
      <w:pPr>
        <w:numPr>
          <w:ilvl w:val="3"/>
          <w:numId w:val="12"/>
        </w:numPr>
        <w:tabs>
          <w:tab w:val="left" w:pos="1789"/>
        </w:tabs>
        <w:autoSpaceDE w:val="0"/>
        <w:autoSpaceDN w:val="0"/>
        <w:spacing w:before="1" w:line="352" w:lineRule="auto"/>
        <w:ind w:right="569" w:firstLine="420"/>
        <w:rPr>
          <w:rFonts w:ascii="宋体" w:hAnsi="宋体" w:eastAsia="宋体" w:cs="宋体"/>
          <w:szCs w:val="22"/>
        </w:rPr>
      </w:pPr>
      <w:r>
        <w:rPr>
          <w:rFonts w:ascii="宋体" w:hAnsi="宋体" w:eastAsia="宋体" w:cs="宋体"/>
          <w:spacing w:val="-2"/>
          <w:szCs w:val="22"/>
        </w:rPr>
        <w:t>施工设备：指为完成合同约定的各项工作所需的设备、器具和其它物品，不包括工程设备、临时工程和材料。</w:t>
      </w:r>
    </w:p>
    <w:p w14:paraId="360849DB">
      <w:pPr>
        <w:numPr>
          <w:ilvl w:val="3"/>
          <w:numId w:val="12"/>
        </w:numPr>
        <w:tabs>
          <w:tab w:val="left" w:pos="1789"/>
        </w:tabs>
        <w:autoSpaceDE w:val="0"/>
        <w:autoSpaceDN w:val="0"/>
        <w:spacing w:line="270" w:lineRule="exact"/>
        <w:ind w:left="1789" w:hanging="943"/>
        <w:rPr>
          <w:rFonts w:ascii="宋体" w:hAnsi="宋体" w:eastAsia="宋体" w:cs="宋体"/>
          <w:szCs w:val="22"/>
        </w:rPr>
      </w:pPr>
      <w:r>
        <w:rPr>
          <w:rFonts w:ascii="宋体" w:hAnsi="宋体" w:eastAsia="宋体" w:cs="宋体"/>
          <w:spacing w:val="-3"/>
          <w:szCs w:val="22"/>
        </w:rPr>
        <w:t>临时设施：指为完成合同约定的各项工作所服务的临时性生产和生活设施。</w:t>
      </w:r>
    </w:p>
    <w:p w14:paraId="312ADAB4">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3"/>
          <w:szCs w:val="22"/>
        </w:rPr>
        <w:t>承包人设备：指承包人自带的施工设备。</w:t>
      </w:r>
    </w:p>
    <w:p w14:paraId="58FD3394">
      <w:pPr>
        <w:numPr>
          <w:ilvl w:val="3"/>
          <w:numId w:val="12"/>
        </w:numPr>
        <w:tabs>
          <w:tab w:val="left" w:pos="1789"/>
        </w:tabs>
        <w:autoSpaceDE w:val="0"/>
        <w:autoSpaceDN w:val="0"/>
        <w:spacing w:before="128" w:line="350" w:lineRule="auto"/>
        <w:ind w:right="569" w:firstLine="420"/>
        <w:rPr>
          <w:rFonts w:ascii="宋体" w:hAnsi="宋体" w:eastAsia="宋体" w:cs="宋体"/>
          <w:szCs w:val="22"/>
        </w:rPr>
      </w:pPr>
      <w:r>
        <w:rPr>
          <w:rFonts w:ascii="宋体" w:hAnsi="宋体" w:eastAsia="宋体" w:cs="宋体"/>
          <w:spacing w:val="-2"/>
          <w:szCs w:val="22"/>
        </w:rPr>
        <w:t>施工场地（或称工地、现场）：指用于合同工程施工的场所，以及在专用合同条款中指定作为施工场地组成部分的其它场所，包括永久占地和临时占地。</w:t>
      </w:r>
    </w:p>
    <w:p w14:paraId="7CB70B1E">
      <w:pPr>
        <w:numPr>
          <w:ilvl w:val="3"/>
          <w:numId w:val="12"/>
        </w:numPr>
        <w:tabs>
          <w:tab w:val="left" w:pos="1893"/>
        </w:tabs>
        <w:autoSpaceDE w:val="0"/>
        <w:autoSpaceDN w:val="0"/>
        <w:spacing w:before="2"/>
        <w:ind w:left="1893" w:hanging="1047"/>
        <w:rPr>
          <w:rFonts w:ascii="宋体" w:hAnsi="宋体" w:eastAsia="宋体" w:cs="宋体"/>
          <w:szCs w:val="22"/>
        </w:rPr>
      </w:pPr>
      <w:r>
        <w:rPr>
          <w:rFonts w:ascii="宋体" w:hAnsi="宋体" w:eastAsia="宋体" w:cs="宋体"/>
          <w:spacing w:val="-3"/>
          <w:szCs w:val="22"/>
        </w:rPr>
        <w:t>永久占地：指专用合同条款中指明为实施合同工程需永久占用的土地。</w:t>
      </w:r>
    </w:p>
    <w:p w14:paraId="7D3E7E55">
      <w:pPr>
        <w:numPr>
          <w:ilvl w:val="3"/>
          <w:numId w:val="12"/>
        </w:numPr>
        <w:tabs>
          <w:tab w:val="left" w:pos="1893"/>
        </w:tabs>
        <w:autoSpaceDE w:val="0"/>
        <w:autoSpaceDN w:val="0"/>
        <w:spacing w:before="128"/>
        <w:ind w:left="1893" w:hanging="1047"/>
        <w:rPr>
          <w:rFonts w:ascii="宋体" w:hAnsi="宋体" w:eastAsia="宋体" w:cs="宋体"/>
          <w:szCs w:val="22"/>
        </w:rPr>
      </w:pPr>
      <w:r>
        <w:rPr>
          <w:rFonts w:ascii="宋体" w:hAnsi="宋体" w:eastAsia="宋体" w:cs="宋体"/>
          <w:spacing w:val="-3"/>
          <w:szCs w:val="22"/>
        </w:rPr>
        <w:t>临时占地：指专用合同条款中指明为实施合同工程需临时占用的土地。</w:t>
      </w:r>
    </w:p>
    <w:p w14:paraId="74E10C20">
      <w:pPr>
        <w:numPr>
          <w:ilvl w:val="3"/>
          <w:numId w:val="12"/>
        </w:numPr>
        <w:tabs>
          <w:tab w:val="left" w:pos="1895"/>
        </w:tabs>
        <w:autoSpaceDE w:val="0"/>
        <w:autoSpaceDN w:val="0"/>
        <w:spacing w:before="125" w:line="352" w:lineRule="auto"/>
        <w:ind w:right="569" w:firstLine="420"/>
        <w:rPr>
          <w:rFonts w:ascii="宋体" w:hAnsi="宋体" w:eastAsia="宋体" w:cs="宋体"/>
          <w:szCs w:val="22"/>
        </w:rPr>
      </w:pPr>
      <w:r>
        <w:rPr>
          <w:rFonts w:ascii="宋体" w:hAnsi="宋体" w:eastAsia="宋体" w:cs="宋体"/>
          <w:spacing w:val="-2"/>
          <w:szCs w:val="22"/>
        </w:rPr>
        <w:t>分部工程：指在单位工程中，按结构部位、路段长度及施工特点或施工任务划分的若干个工程。</w:t>
      </w:r>
    </w:p>
    <w:p w14:paraId="7388DE22">
      <w:pPr>
        <w:numPr>
          <w:ilvl w:val="3"/>
          <w:numId w:val="12"/>
        </w:numPr>
        <w:tabs>
          <w:tab w:val="left" w:pos="1895"/>
        </w:tabs>
        <w:autoSpaceDE w:val="0"/>
        <w:autoSpaceDN w:val="0"/>
        <w:spacing w:line="350" w:lineRule="auto"/>
        <w:ind w:right="569" w:firstLine="420"/>
        <w:rPr>
          <w:rFonts w:ascii="宋体" w:hAnsi="宋体" w:eastAsia="宋体" w:cs="宋体"/>
          <w:szCs w:val="22"/>
        </w:rPr>
      </w:pPr>
      <w:r>
        <w:rPr>
          <w:rFonts w:ascii="宋体" w:hAnsi="宋体" w:eastAsia="宋体" w:cs="宋体"/>
          <w:spacing w:val="-2"/>
          <w:szCs w:val="22"/>
        </w:rPr>
        <w:t>分项工程：指在分部工程中，按不同的施工方法、材料、工序及路段长度等划分的若干个工程。</w:t>
      </w:r>
    </w:p>
    <w:p w14:paraId="4959AFD5">
      <w:pPr>
        <w:numPr>
          <w:ilvl w:val="2"/>
          <w:numId w:val="12"/>
        </w:numPr>
        <w:tabs>
          <w:tab w:val="left" w:pos="1578"/>
        </w:tabs>
        <w:autoSpaceDE w:val="0"/>
        <w:autoSpaceDN w:val="0"/>
        <w:spacing w:before="1"/>
        <w:ind w:left="1578" w:hanging="732"/>
        <w:rPr>
          <w:rFonts w:ascii="宋体" w:hAnsi="宋体" w:eastAsia="宋体" w:cs="宋体"/>
          <w:szCs w:val="22"/>
        </w:rPr>
      </w:pPr>
      <w:r>
        <w:rPr>
          <w:rFonts w:ascii="宋体" w:hAnsi="宋体" w:eastAsia="宋体" w:cs="宋体"/>
          <w:spacing w:val="-8"/>
          <w:szCs w:val="22"/>
        </w:rPr>
        <w:t>日期</w:t>
      </w:r>
    </w:p>
    <w:p w14:paraId="604DDA3E">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2"/>
          <w:szCs w:val="22"/>
        </w:rPr>
        <w:t xml:space="preserve">开工通知：指监理人按第 </w:t>
      </w:r>
      <w:r>
        <w:rPr>
          <w:rFonts w:ascii="宋体" w:hAnsi="宋体" w:eastAsia="宋体" w:cs="宋体"/>
          <w:szCs w:val="22"/>
        </w:rPr>
        <w:t>11.1</w:t>
      </w:r>
      <w:r>
        <w:rPr>
          <w:rFonts w:ascii="宋体" w:hAnsi="宋体" w:eastAsia="宋体" w:cs="宋体"/>
          <w:spacing w:val="-6"/>
          <w:szCs w:val="22"/>
        </w:rPr>
        <w:t xml:space="preserve"> 款通知承包人开工的函件。</w:t>
      </w:r>
    </w:p>
    <w:p w14:paraId="5481DFCB">
      <w:pPr>
        <w:numPr>
          <w:ilvl w:val="3"/>
          <w:numId w:val="12"/>
        </w:numPr>
        <w:tabs>
          <w:tab w:val="left" w:pos="1789"/>
        </w:tabs>
        <w:autoSpaceDE w:val="0"/>
        <w:autoSpaceDN w:val="0"/>
        <w:spacing w:before="125"/>
        <w:ind w:left="1789" w:hanging="943"/>
        <w:rPr>
          <w:rFonts w:ascii="宋体" w:hAnsi="宋体" w:eastAsia="宋体" w:cs="宋体"/>
          <w:szCs w:val="22"/>
        </w:rPr>
      </w:pPr>
      <w:r>
        <w:rPr>
          <w:rFonts w:ascii="宋体" w:hAnsi="宋体" w:eastAsia="宋体" w:cs="宋体"/>
          <w:spacing w:val="-2"/>
          <w:szCs w:val="22"/>
        </w:rPr>
        <w:t xml:space="preserve">开工日期：指监理人按第 </w:t>
      </w:r>
      <w:r>
        <w:rPr>
          <w:rFonts w:ascii="宋体" w:hAnsi="宋体" w:eastAsia="宋体" w:cs="宋体"/>
          <w:szCs w:val="22"/>
        </w:rPr>
        <w:t>11.1</w:t>
      </w:r>
      <w:r>
        <w:rPr>
          <w:rFonts w:ascii="宋体" w:hAnsi="宋体" w:eastAsia="宋体" w:cs="宋体"/>
          <w:spacing w:val="-6"/>
          <w:szCs w:val="22"/>
        </w:rPr>
        <w:t xml:space="preserve"> 款发出的开工通知中写明的开工日期。</w:t>
      </w:r>
    </w:p>
    <w:p w14:paraId="7C62BB90">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3"/>
          <w:szCs w:val="22"/>
        </w:rPr>
        <w:t xml:space="preserve">工期：指承包人在投标函中承诺的完成合同工程所需的期限，包括按第 </w:t>
      </w:r>
      <w:r>
        <w:rPr>
          <w:rFonts w:ascii="宋体" w:hAnsi="宋体" w:eastAsia="宋体" w:cs="宋体"/>
          <w:spacing w:val="-2"/>
          <w:szCs w:val="22"/>
        </w:rPr>
        <w:t>11.3</w:t>
      </w:r>
      <w:r>
        <w:rPr>
          <w:rFonts w:ascii="宋体" w:hAnsi="宋体" w:eastAsia="宋体" w:cs="宋体"/>
          <w:spacing w:val="-10"/>
          <w:szCs w:val="22"/>
        </w:rPr>
        <w:t xml:space="preserve"> 款、第</w:t>
      </w:r>
    </w:p>
    <w:p w14:paraId="350377F0">
      <w:pPr>
        <w:autoSpaceDE w:val="0"/>
        <w:autoSpaceDN w:val="0"/>
        <w:spacing w:before="128"/>
        <w:ind w:left="426"/>
        <w:jc w:val="left"/>
        <w:rPr>
          <w:rFonts w:ascii="宋体" w:hAnsi="宋体" w:eastAsia="宋体" w:cs="宋体"/>
          <w:szCs w:val="21"/>
        </w:rPr>
      </w:pPr>
      <w:r>
        <w:rPr>
          <w:rFonts w:ascii="宋体" w:hAnsi="宋体" w:eastAsia="宋体" w:cs="宋体"/>
          <w:szCs w:val="21"/>
        </w:rPr>
        <w:t>11.4</w:t>
      </w:r>
      <w:r>
        <w:rPr>
          <w:rFonts w:ascii="宋体" w:hAnsi="宋体" w:eastAsia="宋体" w:cs="宋体"/>
          <w:spacing w:val="-8"/>
          <w:szCs w:val="21"/>
        </w:rPr>
        <w:t xml:space="preserve"> 款和第 </w:t>
      </w:r>
      <w:r>
        <w:rPr>
          <w:rFonts w:ascii="宋体" w:hAnsi="宋体" w:eastAsia="宋体" w:cs="宋体"/>
          <w:szCs w:val="21"/>
        </w:rPr>
        <w:t>11.6</w:t>
      </w:r>
      <w:r>
        <w:rPr>
          <w:rFonts w:ascii="宋体" w:hAnsi="宋体" w:eastAsia="宋体" w:cs="宋体"/>
          <w:spacing w:val="-5"/>
          <w:szCs w:val="21"/>
        </w:rPr>
        <w:t xml:space="preserve"> 款约定所作的变更及按合同约定承包人有权取得的工期延长。</w:t>
      </w:r>
    </w:p>
    <w:p w14:paraId="16C8A823">
      <w:pPr>
        <w:sectPr>
          <w:pgSz w:w="11910" w:h="16840"/>
          <w:pgMar w:top="1640" w:right="849" w:bottom="1360" w:left="992" w:header="0" w:footer="1176" w:gutter="0"/>
          <w:cols w:space="720" w:num="1"/>
        </w:sectPr>
      </w:pPr>
    </w:p>
    <w:p w14:paraId="683EF8E0">
      <w:pPr>
        <w:numPr>
          <w:ilvl w:val="3"/>
          <w:numId w:val="12"/>
        </w:numPr>
        <w:tabs>
          <w:tab w:val="left" w:pos="1789"/>
        </w:tabs>
        <w:autoSpaceDE w:val="0"/>
        <w:autoSpaceDN w:val="0"/>
        <w:spacing w:before="37" w:line="350" w:lineRule="auto"/>
        <w:ind w:right="569" w:firstLine="420"/>
        <w:rPr>
          <w:rFonts w:ascii="宋体" w:hAnsi="宋体" w:eastAsia="宋体" w:cs="宋体"/>
          <w:szCs w:val="22"/>
        </w:rPr>
      </w:pPr>
      <w:r>
        <w:rPr>
          <w:rFonts w:ascii="宋体" w:hAnsi="宋体" w:eastAsia="宋体" w:cs="宋体"/>
          <w:szCs w:val="22"/>
        </w:rPr>
        <w:t xml:space="preserve">竣工日期：指第 </w:t>
      </w:r>
      <w:r>
        <w:fldChar w:fldCharType="begin"/>
      </w:r>
      <w:r>
        <w:instrText xml:space="preserve"> HYPERLINK "1.1.4.3" \h </w:instrText>
      </w:r>
      <w:r>
        <w:fldChar w:fldCharType="separate"/>
      </w:r>
      <w:r>
        <w:rPr>
          <w:rFonts w:ascii="宋体" w:hAnsi="宋体" w:eastAsia="宋体" w:cs="宋体"/>
          <w:szCs w:val="22"/>
        </w:rPr>
        <w:t>1.1.4.3</w:t>
      </w:r>
      <w:r>
        <w:rPr>
          <w:rFonts w:ascii="宋体" w:hAnsi="宋体" w:eastAsia="宋体" w:cs="宋体"/>
          <w:szCs w:val="22"/>
        </w:rPr>
        <w:fldChar w:fldCharType="end"/>
      </w:r>
      <w:r>
        <w:rPr>
          <w:rFonts w:ascii="宋体" w:hAnsi="宋体" w:eastAsia="宋体" w:cs="宋体"/>
          <w:szCs w:val="22"/>
        </w:rPr>
        <w:t xml:space="preserve"> 目约定工期届满时的日期。实际竣工日期以工程接收证书</w:t>
      </w:r>
      <w:r>
        <w:rPr>
          <w:rFonts w:ascii="宋体" w:hAnsi="宋体" w:eastAsia="宋体" w:cs="宋体"/>
          <w:spacing w:val="-2"/>
          <w:szCs w:val="22"/>
        </w:rPr>
        <w:t>中写明的日期为准。</w:t>
      </w:r>
    </w:p>
    <w:p w14:paraId="76AB2FFB">
      <w:pPr>
        <w:numPr>
          <w:ilvl w:val="3"/>
          <w:numId w:val="12"/>
        </w:numPr>
        <w:tabs>
          <w:tab w:val="left" w:pos="1789"/>
        </w:tabs>
        <w:autoSpaceDE w:val="0"/>
        <w:autoSpaceDN w:val="0"/>
        <w:spacing w:before="2"/>
        <w:ind w:left="1789" w:hanging="943"/>
        <w:rPr>
          <w:rFonts w:ascii="宋体" w:hAnsi="宋体" w:eastAsia="宋体" w:cs="宋体"/>
          <w:szCs w:val="22"/>
        </w:rPr>
      </w:pPr>
      <w:r>
        <w:rPr>
          <w:rFonts w:ascii="宋体" w:hAnsi="宋体" w:eastAsia="宋体" w:cs="宋体"/>
          <w:spacing w:val="-3"/>
          <w:szCs w:val="22"/>
        </w:rPr>
        <w:t xml:space="preserve">缺陷责任期：指履行第 </w:t>
      </w:r>
      <w:r>
        <w:rPr>
          <w:rFonts w:ascii="宋体" w:hAnsi="宋体" w:eastAsia="宋体" w:cs="宋体"/>
          <w:spacing w:val="-4"/>
          <w:szCs w:val="22"/>
        </w:rPr>
        <w:t>19.2</w:t>
      </w:r>
      <w:r>
        <w:rPr>
          <w:rFonts w:ascii="宋体" w:hAnsi="宋体" w:eastAsia="宋体" w:cs="宋体"/>
          <w:spacing w:val="-5"/>
          <w:szCs w:val="22"/>
        </w:rPr>
        <w:t xml:space="preserve"> 款约定的缺陷责任的期限，具体期限由专用合同条款约</w:t>
      </w:r>
    </w:p>
    <w:p w14:paraId="1DB100FF">
      <w:pPr>
        <w:autoSpaceDE w:val="0"/>
        <w:autoSpaceDN w:val="0"/>
        <w:spacing w:before="128"/>
        <w:ind w:left="426"/>
        <w:jc w:val="left"/>
        <w:rPr>
          <w:rFonts w:ascii="宋体" w:hAnsi="宋体" w:eastAsia="宋体" w:cs="宋体"/>
          <w:szCs w:val="21"/>
        </w:rPr>
      </w:pPr>
      <w:r>
        <w:rPr>
          <w:rFonts w:ascii="宋体" w:hAnsi="宋体" w:eastAsia="宋体" w:cs="宋体"/>
          <w:spacing w:val="-2"/>
          <w:szCs w:val="21"/>
        </w:rPr>
        <w:t xml:space="preserve">定，包括根据第 </w:t>
      </w:r>
      <w:r>
        <w:rPr>
          <w:rFonts w:ascii="宋体" w:hAnsi="宋体" w:eastAsia="宋体" w:cs="宋体"/>
          <w:szCs w:val="21"/>
        </w:rPr>
        <w:t>19.3</w:t>
      </w:r>
      <w:r>
        <w:rPr>
          <w:rFonts w:ascii="宋体" w:hAnsi="宋体" w:eastAsia="宋体" w:cs="宋体"/>
          <w:spacing w:val="-5"/>
          <w:szCs w:val="21"/>
        </w:rPr>
        <w:t xml:space="preserve"> 款约定所作的延长。</w:t>
      </w:r>
    </w:p>
    <w:p w14:paraId="07F61AE9">
      <w:pPr>
        <w:numPr>
          <w:ilvl w:val="3"/>
          <w:numId w:val="12"/>
        </w:numPr>
        <w:tabs>
          <w:tab w:val="left" w:pos="1789"/>
        </w:tabs>
        <w:autoSpaceDE w:val="0"/>
        <w:autoSpaceDN w:val="0"/>
        <w:spacing w:before="125"/>
        <w:ind w:left="1789" w:hanging="943"/>
        <w:rPr>
          <w:rFonts w:ascii="宋体" w:hAnsi="宋体" w:eastAsia="宋体" w:cs="宋体"/>
          <w:szCs w:val="22"/>
        </w:rPr>
      </w:pPr>
      <w:r>
        <w:rPr>
          <w:rFonts w:ascii="宋体" w:hAnsi="宋体" w:eastAsia="宋体" w:cs="宋体"/>
          <w:spacing w:val="-3"/>
          <w:szCs w:val="22"/>
        </w:rPr>
        <w:t xml:space="preserve">基准日期： 指投标截止时间前 </w:t>
      </w:r>
      <w:r>
        <w:rPr>
          <w:rFonts w:ascii="宋体" w:hAnsi="宋体" w:eastAsia="宋体" w:cs="宋体"/>
          <w:szCs w:val="22"/>
        </w:rPr>
        <w:t>28</w:t>
      </w:r>
      <w:r>
        <w:rPr>
          <w:rFonts w:ascii="宋体" w:hAnsi="宋体" w:eastAsia="宋体" w:cs="宋体"/>
          <w:spacing w:val="-5"/>
          <w:szCs w:val="22"/>
        </w:rPr>
        <w:t xml:space="preserve"> 天的日期。</w:t>
      </w:r>
    </w:p>
    <w:p w14:paraId="17077C11">
      <w:pPr>
        <w:numPr>
          <w:ilvl w:val="3"/>
          <w:numId w:val="12"/>
        </w:numPr>
        <w:tabs>
          <w:tab w:val="left" w:pos="1789"/>
        </w:tabs>
        <w:autoSpaceDE w:val="0"/>
        <w:autoSpaceDN w:val="0"/>
        <w:spacing w:before="128" w:line="352" w:lineRule="auto"/>
        <w:ind w:right="569" w:firstLine="420"/>
        <w:rPr>
          <w:rFonts w:ascii="宋体" w:hAnsi="宋体" w:eastAsia="宋体" w:cs="宋体"/>
          <w:szCs w:val="22"/>
        </w:rPr>
      </w:pPr>
      <w:r>
        <w:rPr>
          <w:rFonts w:ascii="宋体" w:hAnsi="宋体" w:eastAsia="宋体" w:cs="宋体"/>
          <w:szCs w:val="22"/>
        </w:rPr>
        <w:t>天：除特别指明外，指日历天。合同中按天计算时间的，开始当天不计入， 从次日开始计算。期限最后一天的截止时间为当天 24:00。</w:t>
      </w:r>
    </w:p>
    <w:p w14:paraId="375C5659">
      <w:pPr>
        <w:numPr>
          <w:ilvl w:val="2"/>
          <w:numId w:val="12"/>
        </w:numPr>
        <w:tabs>
          <w:tab w:val="left" w:pos="1578"/>
        </w:tabs>
        <w:autoSpaceDE w:val="0"/>
        <w:autoSpaceDN w:val="0"/>
        <w:spacing w:line="270" w:lineRule="exact"/>
        <w:ind w:left="1578" w:hanging="732"/>
        <w:rPr>
          <w:rFonts w:ascii="宋体" w:hAnsi="宋体" w:eastAsia="宋体" w:cs="宋体"/>
          <w:szCs w:val="22"/>
        </w:rPr>
      </w:pPr>
      <w:r>
        <w:rPr>
          <w:rFonts w:ascii="宋体" w:hAnsi="宋体" w:eastAsia="宋体" w:cs="宋体"/>
          <w:spacing w:val="-4"/>
          <w:szCs w:val="22"/>
        </w:rPr>
        <w:t>合同价格和费用</w:t>
      </w:r>
    </w:p>
    <w:p w14:paraId="11DF2A7A">
      <w:pPr>
        <w:numPr>
          <w:ilvl w:val="3"/>
          <w:numId w:val="12"/>
        </w:numPr>
        <w:tabs>
          <w:tab w:val="left" w:pos="1789"/>
        </w:tabs>
        <w:autoSpaceDE w:val="0"/>
        <w:autoSpaceDN w:val="0"/>
        <w:spacing w:before="128" w:line="352" w:lineRule="auto"/>
        <w:ind w:right="569" w:firstLine="420"/>
        <w:rPr>
          <w:rFonts w:ascii="宋体" w:hAnsi="宋体" w:eastAsia="宋体" w:cs="宋体"/>
          <w:szCs w:val="22"/>
        </w:rPr>
      </w:pPr>
      <w:r>
        <w:rPr>
          <w:rFonts w:ascii="宋体" w:hAnsi="宋体" w:eastAsia="宋体" w:cs="宋体"/>
          <w:spacing w:val="-2"/>
          <w:szCs w:val="22"/>
        </w:rPr>
        <w:t>签约合同价：指签定合同时合同协议书中写明的，包括了暂列金额、暂估价的合同总</w:t>
      </w:r>
      <w:r>
        <w:rPr>
          <w:rFonts w:ascii="宋体" w:hAnsi="宋体" w:eastAsia="宋体" w:cs="宋体"/>
          <w:spacing w:val="-4"/>
          <w:szCs w:val="22"/>
        </w:rPr>
        <w:t>金额。</w:t>
      </w:r>
    </w:p>
    <w:p w14:paraId="254AC1CC">
      <w:pPr>
        <w:numPr>
          <w:ilvl w:val="3"/>
          <w:numId w:val="12"/>
        </w:numPr>
        <w:tabs>
          <w:tab w:val="left" w:pos="1789"/>
        </w:tabs>
        <w:autoSpaceDE w:val="0"/>
        <w:autoSpaceDN w:val="0"/>
        <w:spacing w:line="352" w:lineRule="auto"/>
        <w:ind w:right="569" w:firstLine="420"/>
        <w:rPr>
          <w:rFonts w:ascii="宋体" w:hAnsi="宋体" w:eastAsia="宋体" w:cs="宋体"/>
          <w:szCs w:val="22"/>
        </w:rPr>
      </w:pPr>
      <w:r>
        <w:rPr>
          <w:rFonts w:ascii="宋体" w:hAnsi="宋体" w:eastAsia="宋体" w:cs="宋体"/>
          <w:spacing w:val="-2"/>
          <w:szCs w:val="22"/>
        </w:rPr>
        <w:t>合同价格：指承包人按合同约定完成了包括缺陷责任期内的全部承包工作后，发包人应付给承包人的金额，包括在履行合同过程中按合同约定进行的变更和调整。</w:t>
      </w:r>
    </w:p>
    <w:p w14:paraId="6121E2E9">
      <w:pPr>
        <w:numPr>
          <w:ilvl w:val="3"/>
          <w:numId w:val="12"/>
        </w:numPr>
        <w:tabs>
          <w:tab w:val="left" w:pos="1789"/>
        </w:tabs>
        <w:autoSpaceDE w:val="0"/>
        <w:autoSpaceDN w:val="0"/>
        <w:spacing w:line="350" w:lineRule="auto"/>
        <w:ind w:right="569" w:firstLine="420"/>
        <w:rPr>
          <w:rFonts w:ascii="宋体" w:hAnsi="宋体" w:eastAsia="宋体" w:cs="宋体"/>
          <w:szCs w:val="22"/>
        </w:rPr>
      </w:pPr>
      <w:r>
        <w:rPr>
          <w:rFonts w:ascii="宋体" w:hAnsi="宋体" w:eastAsia="宋体" w:cs="宋体"/>
          <w:spacing w:val="-2"/>
          <w:szCs w:val="22"/>
        </w:rPr>
        <w:t>费用：指为履行合同所发生的或将要发生的所有合理开支，包括管理费和应分摊的其它费用，但不包括利润。</w:t>
      </w:r>
    </w:p>
    <w:p w14:paraId="0598076B">
      <w:pPr>
        <w:numPr>
          <w:ilvl w:val="3"/>
          <w:numId w:val="12"/>
        </w:numPr>
        <w:tabs>
          <w:tab w:val="left" w:pos="1789"/>
        </w:tabs>
        <w:autoSpaceDE w:val="0"/>
        <w:autoSpaceDN w:val="0"/>
        <w:spacing w:line="352" w:lineRule="auto"/>
        <w:ind w:right="569" w:firstLine="420"/>
        <w:rPr>
          <w:rFonts w:ascii="宋体" w:hAnsi="宋体" w:eastAsia="宋体" w:cs="宋体"/>
          <w:szCs w:val="22"/>
        </w:rPr>
      </w:pPr>
      <w:r>
        <w:rPr>
          <w:rFonts w:ascii="宋体" w:hAnsi="宋体" w:eastAsia="宋体" w:cs="宋体"/>
          <w:spacing w:val="-2"/>
          <w:szCs w:val="22"/>
        </w:rPr>
        <w:t>暂列金额：指已标价工程量清单中所列的暂列金额，用于在签订协议书时尚未确定或不可预见变更的施工及其所需材料、工程设备、服务等的金额，包括以计日工方式支付的金额。</w:t>
      </w:r>
    </w:p>
    <w:p w14:paraId="43BA32FD">
      <w:pPr>
        <w:numPr>
          <w:ilvl w:val="3"/>
          <w:numId w:val="12"/>
        </w:numPr>
        <w:tabs>
          <w:tab w:val="left" w:pos="1789"/>
        </w:tabs>
        <w:autoSpaceDE w:val="0"/>
        <w:autoSpaceDN w:val="0"/>
        <w:spacing w:line="352" w:lineRule="auto"/>
        <w:ind w:right="569" w:firstLine="420"/>
        <w:rPr>
          <w:rFonts w:ascii="宋体" w:hAnsi="宋体" w:eastAsia="宋体" w:cs="宋体"/>
          <w:szCs w:val="22"/>
        </w:rPr>
      </w:pPr>
      <w:r>
        <w:rPr>
          <w:rFonts w:ascii="宋体" w:hAnsi="宋体" w:eastAsia="宋体" w:cs="宋体"/>
          <w:spacing w:val="-10"/>
          <w:szCs w:val="22"/>
        </w:rPr>
        <w:t>暂估价：指发包人在工程量清单中给定的用于支付必然发生但暂时不能确定价格的材</w:t>
      </w:r>
      <w:r>
        <w:rPr>
          <w:rFonts w:ascii="宋体" w:hAnsi="宋体" w:eastAsia="宋体" w:cs="宋体"/>
          <w:spacing w:val="-2"/>
          <w:szCs w:val="22"/>
        </w:rPr>
        <w:t>料、设备以及专业工程的金额。</w:t>
      </w:r>
    </w:p>
    <w:p w14:paraId="3EF92FFB">
      <w:pPr>
        <w:numPr>
          <w:ilvl w:val="3"/>
          <w:numId w:val="12"/>
        </w:numPr>
        <w:tabs>
          <w:tab w:val="left" w:pos="1789"/>
        </w:tabs>
        <w:autoSpaceDE w:val="0"/>
        <w:autoSpaceDN w:val="0"/>
        <w:spacing w:line="272" w:lineRule="exact"/>
        <w:ind w:left="1789" w:hanging="943"/>
        <w:rPr>
          <w:rFonts w:ascii="宋体" w:hAnsi="宋体" w:eastAsia="宋体" w:cs="宋体"/>
          <w:szCs w:val="22"/>
        </w:rPr>
      </w:pPr>
      <w:r>
        <w:rPr>
          <w:rFonts w:ascii="宋体" w:hAnsi="宋体" w:eastAsia="宋体" w:cs="宋体"/>
          <w:spacing w:val="-5"/>
          <w:szCs w:val="22"/>
        </w:rPr>
        <w:t>计日工：指对零星工作采取的一种计价方式，按合同中的计日工子目及其单价计价付</w:t>
      </w:r>
    </w:p>
    <w:p w14:paraId="709091FE">
      <w:pPr>
        <w:autoSpaceDE w:val="0"/>
        <w:autoSpaceDN w:val="0"/>
        <w:spacing w:before="119"/>
        <w:ind w:left="426"/>
        <w:jc w:val="left"/>
        <w:rPr>
          <w:rFonts w:ascii="宋体" w:hAnsi="宋体" w:eastAsia="宋体" w:cs="宋体"/>
          <w:szCs w:val="21"/>
        </w:rPr>
      </w:pPr>
      <w:r>
        <w:rPr>
          <w:rFonts w:ascii="宋体" w:hAnsi="宋体" w:eastAsia="宋体" w:cs="宋体"/>
          <w:spacing w:val="-8"/>
          <w:szCs w:val="21"/>
        </w:rPr>
        <w:t>款。</w:t>
      </w:r>
    </w:p>
    <w:p w14:paraId="31DF25F2">
      <w:pPr>
        <w:numPr>
          <w:ilvl w:val="3"/>
          <w:numId w:val="12"/>
        </w:numPr>
        <w:tabs>
          <w:tab w:val="left" w:pos="1789"/>
        </w:tabs>
        <w:autoSpaceDE w:val="0"/>
        <w:autoSpaceDN w:val="0"/>
        <w:spacing w:before="128"/>
        <w:ind w:left="1789" w:hanging="943"/>
        <w:rPr>
          <w:rFonts w:ascii="宋体" w:hAnsi="宋体" w:eastAsia="宋体" w:cs="宋体"/>
          <w:szCs w:val="22"/>
        </w:rPr>
      </w:pPr>
      <w:r>
        <w:rPr>
          <w:rFonts w:ascii="宋体" w:hAnsi="宋体" w:eastAsia="宋体" w:cs="宋体"/>
          <w:spacing w:val="-2"/>
          <w:szCs w:val="22"/>
        </w:rPr>
        <w:t>质量保证金（或称保留金）</w:t>
      </w:r>
      <w:r>
        <w:rPr>
          <w:rFonts w:ascii="宋体" w:hAnsi="宋体" w:eastAsia="宋体" w:cs="宋体"/>
          <w:spacing w:val="-7"/>
          <w:szCs w:val="22"/>
        </w:rPr>
        <w:t xml:space="preserve">：指按第 </w:t>
      </w:r>
      <w:r>
        <w:rPr>
          <w:rFonts w:ascii="宋体" w:hAnsi="宋体" w:eastAsia="宋体" w:cs="宋体"/>
          <w:spacing w:val="-2"/>
          <w:szCs w:val="22"/>
        </w:rPr>
        <w:t>17.4.1</w:t>
      </w:r>
      <w:r>
        <w:rPr>
          <w:rFonts w:ascii="宋体" w:hAnsi="宋体" w:eastAsia="宋体" w:cs="宋体"/>
          <w:spacing w:val="-8"/>
          <w:szCs w:val="22"/>
        </w:rPr>
        <w:t xml:space="preserve"> 项约定用于保证在缺陷责任期内履行缺</w:t>
      </w:r>
    </w:p>
    <w:p w14:paraId="0BAF388F">
      <w:pPr>
        <w:autoSpaceDE w:val="0"/>
        <w:autoSpaceDN w:val="0"/>
        <w:spacing w:before="128"/>
        <w:ind w:left="426"/>
        <w:jc w:val="left"/>
        <w:rPr>
          <w:rFonts w:ascii="宋体" w:hAnsi="宋体" w:eastAsia="宋体" w:cs="宋体"/>
          <w:szCs w:val="21"/>
        </w:rPr>
      </w:pPr>
      <w:r>
        <w:rPr>
          <w:rFonts w:ascii="宋体" w:hAnsi="宋体" w:eastAsia="宋体" w:cs="宋体"/>
          <w:spacing w:val="-3"/>
          <w:szCs w:val="21"/>
        </w:rPr>
        <w:t>陷修复义务的金额。</w:t>
      </w:r>
    </w:p>
    <w:p w14:paraId="063641A8">
      <w:pPr>
        <w:numPr>
          <w:ilvl w:val="2"/>
          <w:numId w:val="12"/>
        </w:numPr>
        <w:tabs>
          <w:tab w:val="left" w:pos="1578"/>
        </w:tabs>
        <w:autoSpaceDE w:val="0"/>
        <w:autoSpaceDN w:val="0"/>
        <w:spacing w:before="125"/>
        <w:ind w:left="1578" w:hanging="732"/>
        <w:jc w:val="both"/>
        <w:rPr>
          <w:rFonts w:ascii="宋体" w:hAnsi="宋体" w:eastAsia="宋体" w:cs="宋体"/>
          <w:szCs w:val="22"/>
        </w:rPr>
      </w:pPr>
      <w:r>
        <w:rPr>
          <w:rFonts w:ascii="宋体" w:hAnsi="宋体" w:eastAsia="宋体" w:cs="宋体"/>
          <w:spacing w:val="-8"/>
          <w:szCs w:val="22"/>
        </w:rPr>
        <w:t>其它</w:t>
      </w:r>
    </w:p>
    <w:p w14:paraId="11A1C7BB">
      <w:pPr>
        <w:numPr>
          <w:ilvl w:val="3"/>
          <w:numId w:val="12"/>
        </w:numPr>
        <w:tabs>
          <w:tab w:val="left" w:pos="1789"/>
        </w:tabs>
        <w:autoSpaceDE w:val="0"/>
        <w:autoSpaceDN w:val="0"/>
        <w:spacing w:before="128" w:line="352" w:lineRule="auto"/>
        <w:ind w:right="569" w:firstLine="420"/>
        <w:jc w:val="both"/>
        <w:rPr>
          <w:rFonts w:ascii="宋体" w:hAnsi="宋体" w:eastAsia="宋体" w:cs="宋体"/>
          <w:szCs w:val="22"/>
        </w:rPr>
      </w:pPr>
      <w:r>
        <w:rPr>
          <w:rFonts w:ascii="宋体" w:hAnsi="宋体" w:eastAsia="宋体" w:cs="宋体"/>
          <w:spacing w:val="-2"/>
          <w:szCs w:val="22"/>
        </w:rPr>
        <w:t>书面形式：指合同文件、信函、电报、传真、数据电文、电子邮件、会议纪要等可以有形地表现所载内容的形式。</w:t>
      </w:r>
    </w:p>
    <w:p w14:paraId="389FC039">
      <w:pPr>
        <w:numPr>
          <w:ilvl w:val="3"/>
          <w:numId w:val="12"/>
        </w:numPr>
        <w:tabs>
          <w:tab w:val="left" w:pos="1789"/>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交工验收：指本工程已按合同规定实质上完工，并按合同规定完成了检测和检验，且按现行交（竣）工验收办法，编制好竣工图表和施工资料后，承包人可向监理人提出交（竣）工验收和发给交工证书的申请，同时抄送发包人。如经交（竣）工验收认为质量合格，发包人应在验收</w:t>
      </w:r>
      <w:r>
        <w:rPr>
          <w:rFonts w:ascii="宋体" w:hAnsi="宋体" w:eastAsia="宋体" w:cs="宋体"/>
          <w:szCs w:val="22"/>
        </w:rPr>
        <w:t>工作完毕后 14 天内向承包人签发交工证书。通用合同条款中“竣工验收”一词具有相同含义。</w:t>
      </w:r>
    </w:p>
    <w:p w14:paraId="448D77CD">
      <w:pPr>
        <w:numPr>
          <w:ilvl w:val="3"/>
          <w:numId w:val="12"/>
        </w:numPr>
        <w:tabs>
          <w:tab w:val="left" w:pos="1789"/>
        </w:tabs>
        <w:autoSpaceDE w:val="0"/>
        <w:autoSpaceDN w:val="0"/>
        <w:spacing w:line="352" w:lineRule="auto"/>
        <w:ind w:right="569" w:firstLine="420"/>
        <w:jc w:val="both"/>
        <w:rPr>
          <w:rFonts w:ascii="宋体" w:hAnsi="宋体" w:eastAsia="宋体" w:cs="宋体"/>
          <w:szCs w:val="22"/>
        </w:rPr>
      </w:pPr>
      <w:r>
        <w:rPr>
          <w:rFonts w:ascii="宋体" w:hAnsi="宋体" w:eastAsia="宋体" w:cs="宋体"/>
          <w:spacing w:val="-2"/>
          <w:szCs w:val="22"/>
        </w:rPr>
        <w:t>转包：指承包人违反法律和不履行合同规定的责任和义务，将中标工程全部委托或以专业分包的名义将中标工程肢解后全部委托给其它养护企业施工的行为。</w:t>
      </w:r>
    </w:p>
    <w:p w14:paraId="27CD8905">
      <w:pPr>
        <w:numPr>
          <w:ilvl w:val="3"/>
          <w:numId w:val="12"/>
        </w:numPr>
        <w:tabs>
          <w:tab w:val="left" w:pos="1789"/>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专业分包：指承包人与具有相应资质的施工企业签订专业分包合同，由分包人承担承包人委托的分部工程、分项工程或适合专业化队伍施工的其它工程，整体结算，并能独立控制工程质量、施工进度、材料采购、生产安全的施工行为。</w:t>
      </w:r>
    </w:p>
    <w:p w14:paraId="343ADA81">
      <w:pPr>
        <w:spacing w:line="352" w:lineRule="auto"/>
        <w:sectPr>
          <w:pgSz w:w="11910" w:h="16840"/>
          <w:pgMar w:top="1640" w:right="849" w:bottom="1360" w:left="992" w:header="0" w:footer="1176" w:gutter="0"/>
          <w:cols w:space="720" w:num="1"/>
        </w:sectPr>
      </w:pPr>
    </w:p>
    <w:p w14:paraId="262EAFEC">
      <w:pPr>
        <w:numPr>
          <w:ilvl w:val="3"/>
          <w:numId w:val="12"/>
        </w:numPr>
        <w:tabs>
          <w:tab w:val="left" w:pos="1789"/>
        </w:tabs>
        <w:autoSpaceDE w:val="0"/>
        <w:autoSpaceDN w:val="0"/>
        <w:spacing w:before="37" w:line="350" w:lineRule="auto"/>
        <w:ind w:right="567" w:firstLine="420"/>
        <w:jc w:val="both"/>
        <w:rPr>
          <w:rFonts w:ascii="宋体" w:hAnsi="宋体" w:eastAsia="宋体" w:cs="宋体"/>
          <w:szCs w:val="22"/>
        </w:rPr>
      </w:pPr>
      <w:r>
        <w:rPr>
          <w:rFonts w:ascii="宋体" w:hAnsi="宋体" w:eastAsia="宋体" w:cs="宋体"/>
          <w:spacing w:val="-2"/>
          <w:szCs w:val="22"/>
        </w:rPr>
        <w:t>劳务分包：指承包人与具有劳务分包资质的劳务企业签订劳务分包合同，由劳务企业提供劳务人员及机具，由承包人统一组织施工，统一控制工程质量、施工进度、材料采购、生产安全的施工行为。</w:t>
      </w:r>
    </w:p>
    <w:p w14:paraId="1371B402">
      <w:pPr>
        <w:numPr>
          <w:ilvl w:val="3"/>
          <w:numId w:val="12"/>
        </w:numPr>
        <w:tabs>
          <w:tab w:val="left" w:pos="1789"/>
        </w:tabs>
        <w:autoSpaceDE w:val="0"/>
        <w:autoSpaceDN w:val="0"/>
        <w:spacing w:before="4" w:line="350" w:lineRule="auto"/>
        <w:ind w:right="569" w:firstLine="420"/>
        <w:jc w:val="both"/>
        <w:rPr>
          <w:rFonts w:ascii="宋体" w:hAnsi="宋体" w:eastAsia="宋体" w:cs="宋体"/>
          <w:szCs w:val="22"/>
        </w:rPr>
      </w:pPr>
      <w:r>
        <w:rPr>
          <w:rFonts w:ascii="宋体" w:hAnsi="宋体" w:eastAsia="宋体" w:cs="宋体"/>
          <w:spacing w:val="-2"/>
          <w:szCs w:val="22"/>
        </w:rPr>
        <w:t>雇用民工：指承包人与具有相应劳动能力的自然人签订劳动合同，由承包人统一组织管理，从事分项工程施工或配套工程施工的行为。</w:t>
      </w:r>
    </w:p>
    <w:p w14:paraId="55A43746">
      <w:pPr>
        <w:numPr>
          <w:ilvl w:val="3"/>
          <w:numId w:val="12"/>
        </w:numPr>
        <w:tabs>
          <w:tab w:val="left" w:pos="1789"/>
        </w:tabs>
        <w:autoSpaceDE w:val="0"/>
        <w:autoSpaceDN w:val="0"/>
        <w:spacing w:before="2"/>
        <w:ind w:left="1789" w:hanging="943"/>
        <w:jc w:val="both"/>
        <w:rPr>
          <w:rFonts w:ascii="宋体" w:hAnsi="宋体" w:eastAsia="宋体" w:cs="宋体"/>
          <w:szCs w:val="22"/>
        </w:rPr>
      </w:pPr>
      <w:r>
        <w:rPr>
          <w:rFonts w:ascii="宋体" w:hAnsi="宋体" w:eastAsia="宋体" w:cs="宋体"/>
          <w:spacing w:val="-4"/>
          <w:szCs w:val="22"/>
        </w:rPr>
        <w:t>进度付款证书：指在最后支付证书之外的、由监理人（或发包人）</w:t>
      </w:r>
      <w:r>
        <w:rPr>
          <w:rFonts w:ascii="宋体" w:hAnsi="宋体" w:eastAsia="宋体" w:cs="宋体"/>
          <w:spacing w:val="-5"/>
          <w:szCs w:val="22"/>
        </w:rPr>
        <w:t>签发的任何支付证</w:t>
      </w:r>
    </w:p>
    <w:p w14:paraId="2BA440AD">
      <w:pPr>
        <w:autoSpaceDE w:val="0"/>
        <w:autoSpaceDN w:val="0"/>
        <w:spacing w:before="128"/>
        <w:ind w:left="426"/>
        <w:jc w:val="left"/>
        <w:rPr>
          <w:rFonts w:ascii="宋体" w:hAnsi="宋体" w:eastAsia="宋体" w:cs="宋体"/>
          <w:szCs w:val="21"/>
        </w:rPr>
      </w:pPr>
      <w:r>
        <w:rPr>
          <w:rFonts w:ascii="宋体" w:hAnsi="宋体" w:eastAsia="宋体" w:cs="宋体"/>
          <w:spacing w:val="-8"/>
          <w:szCs w:val="21"/>
        </w:rPr>
        <w:t>书。</w:t>
      </w:r>
    </w:p>
    <w:p w14:paraId="4E339FED">
      <w:pPr>
        <w:numPr>
          <w:ilvl w:val="1"/>
          <w:numId w:val="12"/>
        </w:numPr>
        <w:tabs>
          <w:tab w:val="left" w:pos="950"/>
        </w:tabs>
        <w:autoSpaceDE w:val="0"/>
        <w:autoSpaceDN w:val="0"/>
        <w:spacing w:before="125"/>
        <w:ind w:left="950" w:hanging="524"/>
        <w:rPr>
          <w:rFonts w:ascii="宋体" w:hAnsi="宋体" w:eastAsia="宋体" w:cs="宋体"/>
          <w:szCs w:val="22"/>
        </w:rPr>
      </w:pPr>
      <w:r>
        <w:rPr>
          <w:rFonts w:ascii="宋体" w:hAnsi="宋体" w:eastAsia="宋体" w:cs="宋体"/>
          <w:spacing w:val="-7"/>
          <w:szCs w:val="22"/>
        </w:rPr>
        <w:t>语言文字</w:t>
      </w:r>
    </w:p>
    <w:p w14:paraId="15ECB967">
      <w:pPr>
        <w:autoSpaceDE w:val="0"/>
        <w:autoSpaceDN w:val="0"/>
        <w:spacing w:before="128" w:line="350" w:lineRule="auto"/>
        <w:ind w:left="426" w:right="567" w:firstLine="420"/>
        <w:jc w:val="right"/>
        <w:rPr>
          <w:rFonts w:ascii="宋体" w:hAnsi="宋体" w:eastAsia="宋体" w:cs="宋体"/>
          <w:szCs w:val="21"/>
        </w:rPr>
      </w:pPr>
      <w:r>
        <w:rPr>
          <w:rFonts w:ascii="宋体" w:hAnsi="宋体" w:eastAsia="宋体" w:cs="宋体"/>
          <w:spacing w:val="-2"/>
          <w:szCs w:val="21"/>
        </w:rPr>
        <w:t>合同文件以中国的汉语简体语言文字编写、解释和说明。专用术语使用外文的，应附有中文注释。合同当事人在专用合同条件约定使用两种及以上语言时，汉语为优先解释和说明合同的语言。与合同有关的联络应使用专用合同条件约定的语言。如没有约定，则应使用中国的汉语简体语</w:t>
      </w:r>
    </w:p>
    <w:p w14:paraId="39AC7C8F">
      <w:pPr>
        <w:autoSpaceDE w:val="0"/>
        <w:autoSpaceDN w:val="0"/>
        <w:spacing w:before="4"/>
        <w:ind w:left="426"/>
        <w:jc w:val="left"/>
        <w:rPr>
          <w:rFonts w:ascii="宋体" w:hAnsi="宋体" w:eastAsia="宋体" w:cs="宋体"/>
          <w:szCs w:val="21"/>
        </w:rPr>
      </w:pPr>
      <w:r>
        <w:rPr>
          <w:rFonts w:ascii="宋体" w:hAnsi="宋体" w:eastAsia="宋体" w:cs="宋体"/>
          <w:spacing w:val="-7"/>
          <w:szCs w:val="21"/>
        </w:rPr>
        <w:t>言文字。</w:t>
      </w:r>
    </w:p>
    <w:p w14:paraId="1791EF76">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8"/>
          <w:szCs w:val="22"/>
        </w:rPr>
        <w:t>法律</w:t>
      </w:r>
    </w:p>
    <w:p w14:paraId="163BC9FB">
      <w:pPr>
        <w:autoSpaceDE w:val="0"/>
        <w:autoSpaceDN w:val="0"/>
        <w:spacing w:before="126" w:line="352" w:lineRule="auto"/>
        <w:ind w:left="426" w:right="567" w:firstLine="420"/>
        <w:jc w:val="left"/>
        <w:rPr>
          <w:rFonts w:ascii="宋体" w:hAnsi="宋体" w:eastAsia="宋体" w:cs="宋体"/>
          <w:szCs w:val="21"/>
        </w:rPr>
      </w:pPr>
      <w:r>
        <w:rPr>
          <w:rFonts w:ascii="宋体" w:hAnsi="宋体" w:eastAsia="宋体" w:cs="宋体"/>
          <w:spacing w:val="-2"/>
          <w:szCs w:val="21"/>
        </w:rPr>
        <w:t>适用于合同的法律包括中华人民共和国法律、行政法规、部门规章，以及工程所在地的地方法规、自治条例、单行条例和地方政府规章。</w:t>
      </w:r>
    </w:p>
    <w:p w14:paraId="15FFC3C3">
      <w:pPr>
        <w:numPr>
          <w:ilvl w:val="1"/>
          <w:numId w:val="12"/>
        </w:numPr>
        <w:tabs>
          <w:tab w:val="left" w:pos="950"/>
        </w:tabs>
        <w:autoSpaceDE w:val="0"/>
        <w:autoSpaceDN w:val="0"/>
        <w:spacing w:line="272" w:lineRule="exact"/>
        <w:ind w:left="950" w:hanging="524"/>
        <w:rPr>
          <w:rFonts w:ascii="宋体" w:hAnsi="宋体" w:eastAsia="宋体" w:cs="宋体"/>
          <w:szCs w:val="22"/>
        </w:rPr>
      </w:pPr>
      <w:r>
        <w:rPr>
          <w:rFonts w:ascii="宋体" w:hAnsi="宋体" w:eastAsia="宋体" w:cs="宋体"/>
          <w:spacing w:val="-3"/>
          <w:szCs w:val="22"/>
        </w:rPr>
        <w:t>合同文件的优先顺序</w:t>
      </w:r>
    </w:p>
    <w:p w14:paraId="600D2542">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组成合同的各项文件应互相解释，互为说明。除专用合同条款另有约定外，解释合同文件的优先顺序如下：</w:t>
      </w:r>
    </w:p>
    <w:p w14:paraId="55A241D9">
      <w:pPr>
        <w:numPr>
          <w:ilvl w:val="0"/>
          <w:numId w:val="13"/>
        </w:numPr>
        <w:tabs>
          <w:tab w:val="left" w:pos="1247"/>
        </w:tabs>
        <w:autoSpaceDE w:val="0"/>
        <w:autoSpaceDN w:val="0"/>
        <w:spacing w:line="350" w:lineRule="auto"/>
        <w:ind w:right="569" w:firstLine="314"/>
        <w:rPr>
          <w:rFonts w:ascii="宋体" w:hAnsi="宋体" w:eastAsia="宋体" w:cs="宋体"/>
          <w:szCs w:val="22"/>
        </w:rPr>
      </w:pPr>
      <w:r>
        <w:rPr>
          <w:rFonts w:ascii="宋体" w:hAnsi="宋体" w:eastAsia="宋体" w:cs="宋体"/>
          <w:spacing w:val="-2"/>
          <w:szCs w:val="22"/>
        </w:rPr>
        <w:t>合同协议书及各种合同附件(含廉政合同、安全生产合同、工程质量责任合同、工程资金监管协议及评标期间和合同谈判过程中的澄清文件和补充资料)；</w:t>
      </w:r>
    </w:p>
    <w:p w14:paraId="47F684F6">
      <w:pPr>
        <w:numPr>
          <w:ilvl w:val="0"/>
          <w:numId w:val="13"/>
        </w:numPr>
        <w:tabs>
          <w:tab w:val="left" w:pos="1261"/>
        </w:tabs>
        <w:autoSpaceDE w:val="0"/>
        <w:autoSpaceDN w:val="0"/>
        <w:spacing w:before="1"/>
        <w:ind w:left="1261" w:hanging="521"/>
        <w:rPr>
          <w:rFonts w:ascii="宋体" w:hAnsi="宋体" w:eastAsia="宋体" w:cs="宋体"/>
          <w:szCs w:val="22"/>
        </w:rPr>
      </w:pPr>
      <w:r>
        <w:rPr>
          <w:rFonts w:ascii="宋体" w:hAnsi="宋体" w:eastAsia="宋体" w:cs="宋体"/>
          <w:spacing w:val="-4"/>
          <w:szCs w:val="22"/>
        </w:rPr>
        <w:t>中标通知书；</w:t>
      </w:r>
    </w:p>
    <w:p w14:paraId="0306329A">
      <w:pPr>
        <w:numPr>
          <w:ilvl w:val="0"/>
          <w:numId w:val="13"/>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投标函及投标函附录；</w:t>
      </w:r>
    </w:p>
    <w:p w14:paraId="5021DDD7">
      <w:pPr>
        <w:numPr>
          <w:ilvl w:val="0"/>
          <w:numId w:val="13"/>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2"/>
          <w:szCs w:val="22"/>
        </w:rPr>
        <w:t>项目专用合同条款（含招标文件补遗书中与此有关的部分</w:t>
      </w:r>
      <w:r>
        <w:rPr>
          <w:rFonts w:ascii="宋体" w:hAnsi="宋体" w:eastAsia="宋体" w:cs="宋体"/>
          <w:spacing w:val="-5"/>
          <w:szCs w:val="22"/>
        </w:rPr>
        <w:t>）；</w:t>
      </w:r>
    </w:p>
    <w:p w14:paraId="07FB97B6">
      <w:pPr>
        <w:numPr>
          <w:ilvl w:val="0"/>
          <w:numId w:val="13"/>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养护工程专用合同条款；</w:t>
      </w:r>
    </w:p>
    <w:p w14:paraId="21D9D3E9">
      <w:pPr>
        <w:numPr>
          <w:ilvl w:val="0"/>
          <w:numId w:val="13"/>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4"/>
          <w:szCs w:val="22"/>
        </w:rPr>
        <w:t>通用合同条款；</w:t>
      </w:r>
    </w:p>
    <w:p w14:paraId="49372E79">
      <w:pPr>
        <w:numPr>
          <w:ilvl w:val="0"/>
          <w:numId w:val="13"/>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项目专用技术规范；</w:t>
      </w:r>
    </w:p>
    <w:p w14:paraId="59E316C5">
      <w:pPr>
        <w:numPr>
          <w:ilvl w:val="0"/>
          <w:numId w:val="13"/>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4"/>
          <w:szCs w:val="22"/>
        </w:rPr>
        <w:t>通用技术规范</w:t>
      </w:r>
    </w:p>
    <w:p w14:paraId="51CC20B9">
      <w:pPr>
        <w:numPr>
          <w:ilvl w:val="0"/>
          <w:numId w:val="13"/>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2"/>
          <w:szCs w:val="22"/>
        </w:rPr>
        <w:t>图纸（含招标文件补遗书中与此有关部分）（如有</w:t>
      </w:r>
      <w:r>
        <w:rPr>
          <w:rFonts w:ascii="宋体" w:hAnsi="宋体" w:eastAsia="宋体" w:cs="宋体"/>
          <w:spacing w:val="-5"/>
          <w:szCs w:val="22"/>
        </w:rPr>
        <w:t>）；</w:t>
      </w:r>
    </w:p>
    <w:p w14:paraId="61C86A72">
      <w:pPr>
        <w:numPr>
          <w:ilvl w:val="0"/>
          <w:numId w:val="13"/>
        </w:numPr>
        <w:tabs>
          <w:tab w:val="left" w:pos="1367"/>
        </w:tabs>
        <w:autoSpaceDE w:val="0"/>
        <w:autoSpaceDN w:val="0"/>
        <w:spacing w:before="125"/>
        <w:ind w:left="1367" w:hanging="627"/>
        <w:rPr>
          <w:rFonts w:ascii="宋体" w:hAnsi="宋体" w:eastAsia="宋体" w:cs="宋体"/>
          <w:szCs w:val="22"/>
        </w:rPr>
      </w:pPr>
      <w:r>
        <w:rPr>
          <w:rFonts w:ascii="宋体" w:hAnsi="宋体" w:eastAsia="宋体" w:cs="宋体"/>
          <w:spacing w:val="-3"/>
          <w:szCs w:val="22"/>
        </w:rPr>
        <w:t>已标价工程量清单；</w:t>
      </w:r>
    </w:p>
    <w:p w14:paraId="5D5A3BAF">
      <w:pPr>
        <w:numPr>
          <w:ilvl w:val="0"/>
          <w:numId w:val="13"/>
        </w:numPr>
        <w:tabs>
          <w:tab w:val="left" w:pos="1367"/>
        </w:tabs>
        <w:autoSpaceDE w:val="0"/>
        <w:autoSpaceDN w:val="0"/>
        <w:spacing w:before="128"/>
        <w:ind w:left="1367" w:hanging="627"/>
        <w:rPr>
          <w:rFonts w:ascii="宋体" w:hAnsi="宋体" w:eastAsia="宋体" w:cs="宋体"/>
          <w:szCs w:val="22"/>
        </w:rPr>
      </w:pPr>
      <w:r>
        <w:rPr>
          <w:rFonts w:ascii="宋体" w:hAnsi="宋体" w:eastAsia="宋体" w:cs="宋体"/>
          <w:spacing w:val="-3"/>
          <w:szCs w:val="22"/>
        </w:rPr>
        <w:t>承包人有关人员、设备投入、财务能力的承诺及投标文件中的养护工程作业方案；</w:t>
      </w:r>
    </w:p>
    <w:p w14:paraId="60B8299E">
      <w:pPr>
        <w:numPr>
          <w:ilvl w:val="0"/>
          <w:numId w:val="13"/>
        </w:numPr>
        <w:tabs>
          <w:tab w:val="left" w:pos="1367"/>
        </w:tabs>
        <w:autoSpaceDE w:val="0"/>
        <w:autoSpaceDN w:val="0"/>
        <w:spacing w:before="128"/>
        <w:ind w:left="1367" w:hanging="627"/>
        <w:rPr>
          <w:rFonts w:ascii="宋体" w:hAnsi="宋体" w:eastAsia="宋体" w:cs="宋体"/>
          <w:szCs w:val="22"/>
        </w:rPr>
      </w:pPr>
      <w:r>
        <w:rPr>
          <w:rFonts w:ascii="宋体" w:hAnsi="宋体" w:eastAsia="宋体" w:cs="宋体"/>
          <w:spacing w:val="-4"/>
          <w:szCs w:val="22"/>
        </w:rPr>
        <w:t>其它合同文件。</w:t>
      </w:r>
    </w:p>
    <w:p w14:paraId="1DCE605E">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上述各项合同文件包括合同当事人就该项合同文件所作出的补充和修改，属于同一类内容的文件，应以最新签署的为准。</w:t>
      </w:r>
    </w:p>
    <w:p w14:paraId="5E32BB59">
      <w:pPr>
        <w:spacing w:line="352" w:lineRule="auto"/>
        <w:sectPr>
          <w:pgSz w:w="11910" w:h="16840"/>
          <w:pgMar w:top="1640" w:right="849" w:bottom="1360" w:left="992" w:header="0" w:footer="1176" w:gutter="0"/>
          <w:cols w:space="720" w:num="1"/>
        </w:sectPr>
      </w:pPr>
    </w:p>
    <w:p w14:paraId="33972701">
      <w:pPr>
        <w:autoSpaceDE w:val="0"/>
        <w:autoSpaceDN w:val="0"/>
        <w:spacing w:before="37" w:line="350" w:lineRule="auto"/>
        <w:ind w:left="426" w:right="567" w:firstLine="420"/>
        <w:jc w:val="left"/>
        <w:rPr>
          <w:rFonts w:ascii="宋体" w:hAnsi="宋体" w:eastAsia="宋体" w:cs="宋体"/>
          <w:szCs w:val="21"/>
        </w:rPr>
      </w:pPr>
      <w:r>
        <w:rPr>
          <w:rFonts w:ascii="宋体" w:hAnsi="宋体" w:eastAsia="宋体" w:cs="宋体"/>
          <w:spacing w:val="-2"/>
          <w:szCs w:val="21"/>
        </w:rPr>
        <w:t>在合同订立及履行过程中形成的与合同有关的文件均构成合同文件组成部分，并根据其性质确定优先解释顺序。</w:t>
      </w:r>
    </w:p>
    <w:p w14:paraId="030400C9">
      <w:pPr>
        <w:numPr>
          <w:ilvl w:val="1"/>
          <w:numId w:val="12"/>
        </w:numPr>
        <w:tabs>
          <w:tab w:val="left" w:pos="950"/>
        </w:tabs>
        <w:autoSpaceDE w:val="0"/>
        <w:autoSpaceDN w:val="0"/>
        <w:spacing w:before="2"/>
        <w:ind w:left="950" w:hanging="524"/>
        <w:rPr>
          <w:rFonts w:ascii="宋体" w:hAnsi="宋体" w:eastAsia="宋体" w:cs="宋体"/>
          <w:szCs w:val="22"/>
        </w:rPr>
      </w:pPr>
      <w:r>
        <w:rPr>
          <w:rFonts w:ascii="宋体" w:hAnsi="宋体" w:eastAsia="宋体" w:cs="宋体"/>
          <w:spacing w:val="-4"/>
          <w:szCs w:val="22"/>
        </w:rPr>
        <w:t>合同协议书</w:t>
      </w:r>
    </w:p>
    <w:p w14:paraId="1F1DD9B4">
      <w:pPr>
        <w:autoSpaceDE w:val="0"/>
        <w:autoSpaceDN w:val="0"/>
        <w:spacing w:before="128" w:line="350" w:lineRule="auto"/>
        <w:ind w:left="426" w:right="463" w:firstLine="420"/>
        <w:jc w:val="left"/>
        <w:rPr>
          <w:rFonts w:ascii="宋体" w:hAnsi="宋体" w:eastAsia="宋体" w:cs="宋体"/>
          <w:szCs w:val="21"/>
        </w:rPr>
      </w:pPr>
      <w:r>
        <w:rPr>
          <w:rFonts w:ascii="宋体" w:hAnsi="宋体" w:eastAsia="宋体" w:cs="宋体"/>
          <w:spacing w:val="-5"/>
          <w:szCs w:val="21"/>
        </w:rPr>
        <w:t>承包人按中标通知书规定的时间与发包人签订合同协议书。除法律另有规定或合同另有约定外，</w:t>
      </w:r>
      <w:r>
        <w:rPr>
          <w:rFonts w:ascii="宋体" w:hAnsi="宋体" w:eastAsia="宋体" w:cs="宋体"/>
          <w:spacing w:val="-2"/>
          <w:szCs w:val="21"/>
        </w:rPr>
        <w:t>发包人和承包人的法定代表人或其委托代理人在合同协议书上签字并盖单位章后，合同生效。</w:t>
      </w:r>
    </w:p>
    <w:p w14:paraId="67EE3989">
      <w:pPr>
        <w:numPr>
          <w:ilvl w:val="1"/>
          <w:numId w:val="12"/>
        </w:numPr>
        <w:tabs>
          <w:tab w:val="left" w:pos="524"/>
        </w:tabs>
        <w:autoSpaceDE w:val="0"/>
        <w:autoSpaceDN w:val="0"/>
        <w:spacing w:before="2"/>
        <w:ind w:left="524" w:right="7433" w:hanging="524"/>
        <w:jc w:val="right"/>
        <w:rPr>
          <w:rFonts w:ascii="宋体" w:hAnsi="宋体" w:eastAsia="宋体" w:cs="宋体"/>
          <w:szCs w:val="22"/>
        </w:rPr>
      </w:pPr>
      <w:r>
        <w:rPr>
          <w:rFonts w:ascii="宋体" w:hAnsi="宋体" w:eastAsia="宋体" w:cs="宋体"/>
          <w:spacing w:val="-4"/>
          <w:szCs w:val="22"/>
        </w:rPr>
        <w:t>图纸和承包人文件</w:t>
      </w:r>
    </w:p>
    <w:p w14:paraId="7289346C">
      <w:pPr>
        <w:numPr>
          <w:ilvl w:val="2"/>
          <w:numId w:val="12"/>
        </w:numPr>
        <w:tabs>
          <w:tab w:val="left" w:pos="732"/>
        </w:tabs>
        <w:autoSpaceDE w:val="0"/>
        <w:autoSpaceDN w:val="0"/>
        <w:spacing w:before="127"/>
        <w:ind w:left="732" w:right="7433" w:hanging="732"/>
        <w:jc w:val="right"/>
        <w:rPr>
          <w:rFonts w:ascii="宋体" w:hAnsi="宋体" w:eastAsia="宋体" w:cs="宋体"/>
          <w:szCs w:val="22"/>
        </w:rPr>
      </w:pPr>
      <w:r>
        <w:rPr>
          <w:rFonts w:ascii="宋体" w:hAnsi="宋体" w:eastAsia="宋体" w:cs="宋体"/>
          <w:spacing w:val="-4"/>
          <w:szCs w:val="22"/>
        </w:rPr>
        <w:t>图纸的提供</w:t>
      </w:r>
    </w:p>
    <w:p w14:paraId="4A514820">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zCs w:val="21"/>
        </w:rPr>
        <w:t>监理人应在发出中标通知书之后 14 天内，向承包人免费提供有关技术资料（养护技术规范、</w:t>
      </w:r>
      <w:r>
        <w:rPr>
          <w:rFonts w:ascii="宋体" w:hAnsi="宋体" w:eastAsia="宋体" w:cs="宋体"/>
          <w:spacing w:val="-2"/>
          <w:szCs w:val="21"/>
        </w:rPr>
        <w:t>道路及构筑物现况、公路养护质量检查记录及次、差路率情况等），同时提供由发包人委托的设计单位设计的正确实施和完成及其缺陷修复所需的补充图纸2份，并向承包人作技术交底。承包人需要更多份数时，应自费复制。</w:t>
      </w:r>
    </w:p>
    <w:p w14:paraId="0F1D0289">
      <w:pPr>
        <w:autoSpaceDE w:val="0"/>
        <w:autoSpaceDN w:val="0"/>
        <w:spacing w:line="350" w:lineRule="auto"/>
        <w:ind w:left="426" w:right="463" w:firstLine="420"/>
        <w:rPr>
          <w:rFonts w:ascii="宋体" w:hAnsi="宋体" w:eastAsia="宋体" w:cs="宋体"/>
          <w:szCs w:val="21"/>
        </w:rPr>
      </w:pPr>
      <w:r>
        <w:rPr>
          <w:rFonts w:ascii="宋体" w:hAnsi="宋体" w:eastAsia="宋体" w:cs="宋体"/>
          <w:spacing w:val="-1"/>
          <w:w w:val="99"/>
          <w:szCs w:val="21"/>
        </w:rPr>
        <w:t>上述与本合同相关技术资料，未经发包人同意承包人不得提供给与本工程施工无关的第三方。养护承包期结束，在发给缺陷责任证书时，承包人应将发包人提供的养护技术规范、养护技术资料</w:t>
      </w:r>
      <w:r>
        <w:rPr>
          <w:rFonts w:ascii="宋体" w:hAnsi="宋体" w:eastAsia="宋体" w:cs="宋体"/>
          <w:spacing w:val="-3"/>
          <w:w w:val="99"/>
          <w:szCs w:val="21"/>
        </w:rPr>
        <w:t>和所有图纸以及承包人在养护承包期内积累的所有养护记录和资料</w:t>
      </w:r>
      <w:r>
        <w:rPr>
          <w:rFonts w:ascii="宋体" w:hAnsi="宋体" w:eastAsia="宋体" w:cs="宋体"/>
          <w:spacing w:val="-1"/>
          <w:w w:val="99"/>
          <w:szCs w:val="21"/>
        </w:rPr>
        <w:t>（包括台帐</w:t>
      </w:r>
      <w:r>
        <w:rPr>
          <w:rFonts w:ascii="宋体" w:hAnsi="宋体" w:eastAsia="宋体" w:cs="宋体"/>
          <w:spacing w:val="-32"/>
          <w:w w:val="99"/>
          <w:szCs w:val="21"/>
        </w:rPr>
        <w:t>）</w:t>
      </w:r>
      <w:r>
        <w:rPr>
          <w:rFonts w:ascii="宋体" w:hAnsi="宋体" w:eastAsia="宋体" w:cs="宋体"/>
          <w:spacing w:val="-1"/>
          <w:w w:val="99"/>
          <w:szCs w:val="21"/>
        </w:rPr>
        <w:t>全部交还给发包人。</w:t>
      </w:r>
    </w:p>
    <w:p w14:paraId="3DC173DF">
      <w:pPr>
        <w:autoSpaceDE w:val="0"/>
        <w:autoSpaceDN w:val="0"/>
        <w:ind w:left="846"/>
        <w:rPr>
          <w:rFonts w:ascii="宋体" w:hAnsi="宋体" w:eastAsia="宋体" w:cs="宋体"/>
          <w:szCs w:val="21"/>
        </w:rPr>
      </w:pPr>
      <w:r>
        <w:rPr>
          <w:rFonts w:ascii="宋体" w:hAnsi="宋体" w:eastAsia="宋体" w:cs="宋体"/>
          <w:spacing w:val="-2"/>
          <w:szCs w:val="21"/>
        </w:rPr>
        <w:t>由于发包人未按时提供图纸和有关技术资料而造成工期延误的，按第 11.3</w:t>
      </w:r>
      <w:r>
        <w:rPr>
          <w:rFonts w:ascii="宋体" w:hAnsi="宋体" w:eastAsia="宋体" w:cs="宋体"/>
          <w:spacing w:val="-3"/>
          <w:szCs w:val="21"/>
        </w:rPr>
        <w:t xml:space="preserve"> 款的约定办理。</w:t>
      </w:r>
    </w:p>
    <w:p w14:paraId="62525800">
      <w:pPr>
        <w:numPr>
          <w:ilvl w:val="2"/>
          <w:numId w:val="12"/>
        </w:numPr>
        <w:tabs>
          <w:tab w:val="left" w:pos="1578"/>
        </w:tabs>
        <w:autoSpaceDE w:val="0"/>
        <w:autoSpaceDN w:val="0"/>
        <w:spacing w:before="127"/>
        <w:ind w:left="1578" w:hanging="732"/>
        <w:jc w:val="both"/>
        <w:rPr>
          <w:rFonts w:ascii="宋体" w:hAnsi="宋体" w:eastAsia="宋体" w:cs="宋体"/>
          <w:szCs w:val="22"/>
        </w:rPr>
      </w:pPr>
      <w:r>
        <w:rPr>
          <w:rFonts w:ascii="宋体" w:hAnsi="宋体" w:eastAsia="宋体" w:cs="宋体"/>
          <w:spacing w:val="-4"/>
          <w:szCs w:val="22"/>
        </w:rPr>
        <w:t>承包人提供的文件</w:t>
      </w:r>
    </w:p>
    <w:p w14:paraId="3BD81B21">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pacing w:val="-2"/>
          <w:szCs w:val="21"/>
        </w:rPr>
        <w:t>按专用合同条款约定由承包人提供的文件，包括部分工程的大样图、加工图等，承包人应按约定的数量和期限报送监理人。监理人对承包人文件有异议的，承包人应予以修改，并重新报送监理人。合同约定承包人文件应经审查的，监理人应在合同约定的期限内审查完毕，但监理人的审查并不减轻或免除承包人根据合同约定应当承担的责任。</w:t>
      </w:r>
    </w:p>
    <w:p w14:paraId="2C38E6A1">
      <w:pPr>
        <w:numPr>
          <w:ilvl w:val="2"/>
          <w:numId w:val="12"/>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4"/>
          <w:szCs w:val="22"/>
        </w:rPr>
        <w:t>图纸的修改</w:t>
      </w:r>
    </w:p>
    <w:p w14:paraId="1C81F074">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图纸需要修改和补充的，应由监理人取得发包人同意后，在该工程或工程相应部位施工前的合理期限内签发图纸修改图给承包人，具体签发期限在专用合同条款中约定。承包人应按修改后的图</w:t>
      </w:r>
      <w:r>
        <w:rPr>
          <w:rFonts w:ascii="宋体" w:hAnsi="宋体" w:eastAsia="宋体" w:cs="宋体"/>
          <w:spacing w:val="-4"/>
          <w:szCs w:val="21"/>
        </w:rPr>
        <w:t>纸施工。</w:t>
      </w:r>
    </w:p>
    <w:p w14:paraId="18340C17">
      <w:pPr>
        <w:numPr>
          <w:ilvl w:val="2"/>
          <w:numId w:val="12"/>
        </w:numPr>
        <w:tabs>
          <w:tab w:val="left" w:pos="1578"/>
        </w:tabs>
        <w:autoSpaceDE w:val="0"/>
        <w:autoSpaceDN w:val="0"/>
        <w:spacing w:before="4"/>
        <w:ind w:left="1578" w:hanging="732"/>
        <w:jc w:val="both"/>
        <w:rPr>
          <w:rFonts w:ascii="宋体" w:hAnsi="宋体" w:eastAsia="宋体" w:cs="宋体"/>
          <w:szCs w:val="22"/>
        </w:rPr>
      </w:pPr>
      <w:r>
        <w:rPr>
          <w:rFonts w:ascii="宋体" w:hAnsi="宋体" w:eastAsia="宋体" w:cs="宋体"/>
          <w:spacing w:val="-4"/>
          <w:szCs w:val="22"/>
        </w:rPr>
        <w:t>图纸的错误</w:t>
      </w:r>
    </w:p>
    <w:p w14:paraId="2DD03083">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pacing w:val="-2"/>
          <w:szCs w:val="21"/>
        </w:rPr>
        <w:t>当承包人在查阅合同或在本合同工程实施过程中，发现有关的工程设计、技术规范、图纸或其他资料中的任何差错、遗漏或缺陷后，应及时通知监理人。监理人接到该通知后，应立即就此做出决定，并通知承包人发发包人。</w:t>
      </w:r>
    </w:p>
    <w:p w14:paraId="3DB57AB0">
      <w:pPr>
        <w:numPr>
          <w:ilvl w:val="2"/>
          <w:numId w:val="12"/>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3"/>
          <w:szCs w:val="22"/>
        </w:rPr>
        <w:t>图纸和承包人文件的保管</w:t>
      </w:r>
    </w:p>
    <w:p w14:paraId="285D5718">
      <w:pPr>
        <w:autoSpaceDE w:val="0"/>
        <w:autoSpaceDN w:val="0"/>
        <w:spacing w:before="128" w:line="352" w:lineRule="auto"/>
        <w:ind w:left="426" w:right="568" w:firstLine="420"/>
        <w:rPr>
          <w:rFonts w:ascii="宋体" w:hAnsi="宋体" w:eastAsia="宋体" w:cs="宋体"/>
          <w:szCs w:val="21"/>
        </w:rPr>
      </w:pPr>
      <w:r>
        <w:rPr>
          <w:rFonts w:ascii="宋体" w:hAnsi="宋体" w:eastAsia="宋体" w:cs="宋体"/>
          <w:szCs w:val="21"/>
        </w:rPr>
        <w:t>监理人和承包人均应在施工场地各保存一套完整的包含第 1.6.1</w:t>
      </w:r>
      <w:r>
        <w:rPr>
          <w:rFonts w:ascii="宋体" w:hAnsi="宋体" w:eastAsia="宋体" w:cs="宋体"/>
          <w:spacing w:val="-1"/>
          <w:szCs w:val="21"/>
        </w:rPr>
        <w:t xml:space="preserve"> 项、第 </w:t>
      </w:r>
      <w:r>
        <w:rPr>
          <w:rFonts w:ascii="宋体" w:hAnsi="宋体" w:eastAsia="宋体" w:cs="宋体"/>
          <w:szCs w:val="21"/>
        </w:rPr>
        <w:t>1.6.2项、 第 1.6.3</w:t>
      </w:r>
      <w:r>
        <w:rPr>
          <w:rFonts w:ascii="宋体" w:hAnsi="宋体" w:eastAsia="宋体" w:cs="宋体"/>
          <w:spacing w:val="-2"/>
          <w:szCs w:val="21"/>
        </w:rPr>
        <w:t>项约定内容的图纸和承包人文件。</w:t>
      </w:r>
    </w:p>
    <w:p w14:paraId="7FF58DAD">
      <w:pPr>
        <w:numPr>
          <w:ilvl w:val="1"/>
          <w:numId w:val="12"/>
        </w:numPr>
        <w:tabs>
          <w:tab w:val="left" w:pos="950"/>
        </w:tabs>
        <w:autoSpaceDE w:val="0"/>
        <w:autoSpaceDN w:val="0"/>
        <w:spacing w:line="270" w:lineRule="exact"/>
        <w:ind w:left="950" w:hanging="524"/>
        <w:jc w:val="both"/>
        <w:rPr>
          <w:rFonts w:ascii="宋体" w:hAnsi="宋体" w:eastAsia="宋体" w:cs="宋体"/>
          <w:szCs w:val="22"/>
        </w:rPr>
      </w:pPr>
      <w:r>
        <w:rPr>
          <w:rFonts w:ascii="宋体" w:hAnsi="宋体" w:eastAsia="宋体" w:cs="宋体"/>
          <w:spacing w:val="-8"/>
          <w:szCs w:val="22"/>
        </w:rPr>
        <w:t>联络</w:t>
      </w:r>
    </w:p>
    <w:p w14:paraId="742DDEC4">
      <w:pPr>
        <w:numPr>
          <w:ilvl w:val="2"/>
          <w:numId w:val="12"/>
        </w:numPr>
        <w:tabs>
          <w:tab w:val="left" w:pos="1578"/>
        </w:tabs>
        <w:autoSpaceDE w:val="0"/>
        <w:autoSpaceDN w:val="0"/>
        <w:spacing w:before="128" w:line="352" w:lineRule="auto"/>
        <w:ind w:left="426" w:right="569" w:firstLine="420"/>
        <w:jc w:val="both"/>
        <w:rPr>
          <w:rFonts w:ascii="宋体" w:hAnsi="宋体" w:eastAsia="宋体" w:cs="宋体"/>
          <w:szCs w:val="22"/>
        </w:rPr>
      </w:pPr>
      <w:r>
        <w:rPr>
          <w:rFonts w:ascii="宋体" w:hAnsi="宋体" w:eastAsia="宋体" w:cs="宋体"/>
          <w:spacing w:val="-2"/>
          <w:szCs w:val="22"/>
        </w:rPr>
        <w:t>与合同有关的通知、批准、证明、证书、指示、指令、要求、请求、同意、意见、确定和决定等，均应采用书面形式。</w:t>
      </w:r>
    </w:p>
    <w:p w14:paraId="0520CD27">
      <w:pPr>
        <w:spacing w:line="352" w:lineRule="auto"/>
        <w:sectPr>
          <w:pgSz w:w="11910" w:h="16840"/>
          <w:pgMar w:top="1640" w:right="849" w:bottom="1360" w:left="992" w:header="0" w:footer="1176" w:gutter="0"/>
          <w:cols w:space="720" w:num="1"/>
        </w:sectPr>
      </w:pPr>
    </w:p>
    <w:p w14:paraId="2AEEFF29">
      <w:pPr>
        <w:numPr>
          <w:ilvl w:val="2"/>
          <w:numId w:val="12"/>
        </w:numPr>
        <w:tabs>
          <w:tab w:val="left" w:pos="1581"/>
        </w:tabs>
        <w:autoSpaceDE w:val="0"/>
        <w:autoSpaceDN w:val="0"/>
        <w:spacing w:before="37" w:line="350" w:lineRule="auto"/>
        <w:ind w:left="426" w:right="567" w:firstLine="420"/>
        <w:jc w:val="both"/>
        <w:rPr>
          <w:rFonts w:ascii="宋体" w:hAnsi="宋体" w:eastAsia="宋体" w:cs="宋体"/>
          <w:szCs w:val="22"/>
        </w:rPr>
      </w:pPr>
      <w:r>
        <w:rPr>
          <w:rFonts w:ascii="宋体" w:hAnsi="宋体" w:eastAsia="宋体" w:cs="宋体"/>
          <w:szCs w:val="22"/>
        </w:rPr>
        <w:t>第 1.7.1 项中的通知、批准、证明、证书、指示、指令、要求、请求、同意、意见、</w:t>
      </w:r>
      <w:r>
        <w:rPr>
          <w:rFonts w:ascii="宋体" w:hAnsi="宋体" w:eastAsia="宋体" w:cs="宋体"/>
          <w:spacing w:val="-2"/>
          <w:szCs w:val="22"/>
        </w:rPr>
        <w:t>确定和决定等来往函件，均应在合同约定的期限内（如无约定，应在合理期限内）通过特快专递或专人、挂号信、传真或双方商定的电子传输方式送达指定地点和接收人，并办理签收手续。</w:t>
      </w:r>
    </w:p>
    <w:p w14:paraId="54291E0A">
      <w:pPr>
        <w:numPr>
          <w:ilvl w:val="2"/>
          <w:numId w:val="12"/>
        </w:numPr>
        <w:tabs>
          <w:tab w:val="left" w:pos="1578"/>
        </w:tabs>
        <w:autoSpaceDE w:val="0"/>
        <w:autoSpaceDN w:val="0"/>
        <w:spacing w:before="4"/>
        <w:ind w:left="1578" w:hanging="732"/>
        <w:jc w:val="both"/>
        <w:rPr>
          <w:rFonts w:ascii="宋体" w:hAnsi="宋体" w:eastAsia="宋体" w:cs="宋体"/>
          <w:szCs w:val="22"/>
        </w:rPr>
      </w:pPr>
      <w:r>
        <w:rPr>
          <w:rFonts w:ascii="宋体" w:hAnsi="宋体" w:eastAsia="宋体" w:cs="宋体"/>
          <w:spacing w:val="-6"/>
          <w:szCs w:val="22"/>
        </w:rPr>
        <w:t>发包人和承包人应在专用合同条件中约定各自的送达方式和收件地址。任何一方合同当</w:t>
      </w:r>
    </w:p>
    <w:p w14:paraId="0870E49E">
      <w:pPr>
        <w:autoSpaceDE w:val="0"/>
        <w:autoSpaceDN w:val="0"/>
        <w:spacing w:before="125"/>
        <w:ind w:left="426"/>
        <w:rPr>
          <w:rFonts w:ascii="宋体" w:hAnsi="宋体" w:eastAsia="宋体" w:cs="宋体"/>
          <w:szCs w:val="21"/>
        </w:rPr>
      </w:pPr>
      <w:r>
        <w:rPr>
          <w:rFonts w:ascii="宋体" w:hAnsi="宋体" w:eastAsia="宋体" w:cs="宋体"/>
          <w:spacing w:val="-2"/>
          <w:szCs w:val="21"/>
        </w:rPr>
        <w:t>事人指定的送达方式或收件地址发生变动的，应提前 3</w:t>
      </w:r>
      <w:r>
        <w:rPr>
          <w:rFonts w:ascii="宋体" w:hAnsi="宋体" w:eastAsia="宋体" w:cs="宋体"/>
          <w:spacing w:val="-3"/>
          <w:szCs w:val="21"/>
        </w:rPr>
        <w:t xml:space="preserve"> 天以书面形式通知对方。</w:t>
      </w:r>
    </w:p>
    <w:p w14:paraId="7A328849">
      <w:pPr>
        <w:numPr>
          <w:ilvl w:val="2"/>
          <w:numId w:val="12"/>
        </w:numPr>
        <w:tabs>
          <w:tab w:val="left" w:pos="1578"/>
        </w:tabs>
        <w:autoSpaceDE w:val="0"/>
        <w:autoSpaceDN w:val="0"/>
        <w:spacing w:before="128" w:line="352" w:lineRule="auto"/>
        <w:ind w:left="426" w:right="503" w:firstLine="420"/>
        <w:jc w:val="both"/>
        <w:rPr>
          <w:rFonts w:ascii="宋体" w:hAnsi="宋体" w:eastAsia="宋体" w:cs="宋体"/>
          <w:szCs w:val="22"/>
        </w:rPr>
      </w:pPr>
      <w:r>
        <w:rPr>
          <w:rFonts w:ascii="宋体" w:hAnsi="宋体" w:eastAsia="宋体" w:cs="宋体"/>
          <w:spacing w:val="-2"/>
          <w:szCs w:val="22"/>
        </w:rPr>
        <w:t>发包人和承包人应当及时签收另一方通过约定的送达方式送达至收件地址的来往文件。拒不签收的，由此增加的费用和（或）延误的工期由拒绝接收一方承担。</w:t>
      </w:r>
    </w:p>
    <w:p w14:paraId="3CF0C460">
      <w:pPr>
        <w:numPr>
          <w:ilvl w:val="2"/>
          <w:numId w:val="12"/>
        </w:numPr>
        <w:tabs>
          <w:tab w:val="left" w:pos="1578"/>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6"/>
          <w:szCs w:val="22"/>
        </w:rPr>
        <w:t>对于监理人向承包人发出的任何通知，均应以书面形式由监理人或其代表签认后送交承</w:t>
      </w:r>
      <w:r>
        <w:rPr>
          <w:rFonts w:ascii="宋体" w:hAnsi="宋体" w:eastAsia="宋体" w:cs="宋体"/>
          <w:spacing w:val="-2"/>
          <w:szCs w:val="22"/>
        </w:rPr>
        <w:t>包人实施，并抄送发包人；对于合同一方向另一方发出的任何通知，均应抄送监理人。对于由监理人审查后报发包人批准的事项，应由监理人向承包人出具经发包人签认的批准文件。</w:t>
      </w:r>
    </w:p>
    <w:p w14:paraId="363088F5">
      <w:pPr>
        <w:numPr>
          <w:ilvl w:val="1"/>
          <w:numId w:val="12"/>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8"/>
          <w:szCs w:val="22"/>
        </w:rPr>
        <w:t>转让</w:t>
      </w:r>
    </w:p>
    <w:p w14:paraId="4F3ACA95">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除合同另有约定外，未经对方当事人同意，一方当事人不得将合同权利全部或部分转让给第三人，也不得全部或部分转移合同义务。</w:t>
      </w:r>
    </w:p>
    <w:p w14:paraId="279FE9BD">
      <w:pPr>
        <w:numPr>
          <w:ilvl w:val="1"/>
          <w:numId w:val="12"/>
        </w:numPr>
        <w:tabs>
          <w:tab w:val="left" w:pos="950"/>
        </w:tabs>
        <w:autoSpaceDE w:val="0"/>
        <w:autoSpaceDN w:val="0"/>
        <w:spacing w:line="270" w:lineRule="exact"/>
        <w:ind w:left="950" w:hanging="524"/>
        <w:rPr>
          <w:rFonts w:ascii="宋体" w:hAnsi="宋体" w:eastAsia="宋体" w:cs="宋体"/>
          <w:szCs w:val="22"/>
        </w:rPr>
      </w:pPr>
      <w:r>
        <w:rPr>
          <w:rFonts w:ascii="宋体" w:hAnsi="宋体" w:eastAsia="宋体" w:cs="宋体"/>
          <w:spacing w:val="-7"/>
          <w:szCs w:val="22"/>
        </w:rPr>
        <w:t>严禁贿赂</w:t>
      </w:r>
    </w:p>
    <w:p w14:paraId="0D03A428">
      <w:pPr>
        <w:autoSpaceDE w:val="0"/>
        <w:autoSpaceDN w:val="0"/>
        <w:spacing w:before="127" w:line="352" w:lineRule="auto"/>
        <w:ind w:left="426" w:right="567" w:firstLine="420"/>
        <w:jc w:val="left"/>
        <w:rPr>
          <w:rFonts w:ascii="宋体" w:hAnsi="宋体" w:eastAsia="宋体" w:cs="宋体"/>
          <w:szCs w:val="21"/>
        </w:rPr>
      </w:pPr>
      <w:r>
        <w:rPr>
          <w:rFonts w:ascii="宋体" w:hAnsi="宋体" w:eastAsia="宋体" w:cs="宋体"/>
          <w:spacing w:val="-2"/>
          <w:szCs w:val="21"/>
        </w:rPr>
        <w:t>合同双方当事人不得以贿赂或变相贿赂的方式，谋取不当利益或损害对方权益。因贿赂造成对方损失的，行为人应赔偿损失，并承担相应的法律责任。</w:t>
      </w:r>
    </w:p>
    <w:p w14:paraId="48066E85">
      <w:pPr>
        <w:autoSpaceDE w:val="0"/>
        <w:autoSpaceDN w:val="0"/>
        <w:spacing w:line="352" w:lineRule="auto"/>
        <w:ind w:left="426" w:right="567" w:firstLine="420"/>
        <w:rPr>
          <w:rFonts w:ascii="宋体" w:hAnsi="宋体" w:eastAsia="宋体" w:cs="宋体"/>
          <w:szCs w:val="21"/>
        </w:rPr>
      </w:pPr>
      <w:r>
        <w:rPr>
          <w:rFonts w:ascii="宋体" w:hAnsi="宋体" w:eastAsia="宋体" w:cs="宋体"/>
          <w:spacing w:val="-2"/>
          <w:szCs w:val="21"/>
        </w:rPr>
        <w:t>在合同执行过程中，发包人和承包人应严格履行《廉政合同》约定的双方在廉政建设方面的权利和义务以及应承担的违约责任。承包人如果用行贿、送礼或其它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18F68394">
      <w:pPr>
        <w:numPr>
          <w:ilvl w:val="1"/>
          <w:numId w:val="12"/>
        </w:numPr>
        <w:tabs>
          <w:tab w:val="left" w:pos="1054"/>
        </w:tabs>
        <w:autoSpaceDE w:val="0"/>
        <w:autoSpaceDN w:val="0"/>
        <w:spacing w:line="268" w:lineRule="exact"/>
        <w:ind w:left="1054" w:hanging="628"/>
        <w:jc w:val="both"/>
        <w:rPr>
          <w:rFonts w:ascii="宋体" w:hAnsi="宋体" w:eastAsia="宋体" w:cs="宋体"/>
          <w:szCs w:val="22"/>
        </w:rPr>
      </w:pPr>
      <w:r>
        <w:rPr>
          <w:rFonts w:ascii="宋体" w:hAnsi="宋体" w:eastAsia="宋体" w:cs="宋体"/>
          <w:spacing w:val="-4"/>
          <w:szCs w:val="22"/>
        </w:rPr>
        <w:t>化石、文物</w:t>
      </w:r>
    </w:p>
    <w:p w14:paraId="65AEC850">
      <w:pPr>
        <w:numPr>
          <w:ilvl w:val="2"/>
          <w:numId w:val="12"/>
        </w:numPr>
        <w:tabs>
          <w:tab w:val="left" w:pos="1687"/>
        </w:tabs>
        <w:autoSpaceDE w:val="0"/>
        <w:autoSpaceDN w:val="0"/>
        <w:spacing w:before="122" w:line="352" w:lineRule="auto"/>
        <w:ind w:left="426" w:right="567" w:firstLine="420"/>
        <w:jc w:val="both"/>
        <w:rPr>
          <w:rFonts w:ascii="宋体" w:hAnsi="宋体" w:eastAsia="宋体" w:cs="宋体"/>
          <w:szCs w:val="22"/>
        </w:rPr>
      </w:pPr>
      <w:r>
        <w:rPr>
          <w:rFonts w:ascii="宋体" w:hAnsi="宋体" w:eastAsia="宋体" w:cs="宋体"/>
          <w:spacing w:val="-2"/>
          <w:szCs w:val="22"/>
        </w:rPr>
        <w:t>在施工场地发掘的所有文物、古迹以及具有地质研究或考古价值的其它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474A318">
      <w:pPr>
        <w:numPr>
          <w:ilvl w:val="2"/>
          <w:numId w:val="12"/>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承包人发现文物后不及时报告或隐瞒不报，致使文物丢失或损坏的，应赔偿损失，并承担相应的法律责任。</w:t>
      </w:r>
    </w:p>
    <w:p w14:paraId="1A9BBAC3">
      <w:pPr>
        <w:numPr>
          <w:ilvl w:val="1"/>
          <w:numId w:val="12"/>
        </w:numPr>
        <w:tabs>
          <w:tab w:val="left" w:pos="1054"/>
        </w:tabs>
        <w:autoSpaceDE w:val="0"/>
        <w:autoSpaceDN w:val="0"/>
        <w:spacing w:line="270" w:lineRule="exact"/>
        <w:ind w:left="1054" w:hanging="628"/>
        <w:jc w:val="both"/>
        <w:rPr>
          <w:rFonts w:ascii="宋体" w:hAnsi="宋体" w:eastAsia="宋体" w:cs="宋体"/>
          <w:szCs w:val="22"/>
        </w:rPr>
      </w:pPr>
      <w:r>
        <w:rPr>
          <w:rFonts w:ascii="宋体" w:hAnsi="宋体" w:eastAsia="宋体" w:cs="宋体"/>
          <w:spacing w:val="-7"/>
          <w:szCs w:val="22"/>
        </w:rPr>
        <w:t>专利技术</w:t>
      </w:r>
    </w:p>
    <w:p w14:paraId="6438A936">
      <w:pPr>
        <w:numPr>
          <w:ilvl w:val="2"/>
          <w:numId w:val="12"/>
        </w:numPr>
        <w:tabs>
          <w:tab w:val="left" w:pos="1687"/>
        </w:tabs>
        <w:autoSpaceDE w:val="0"/>
        <w:autoSpaceDN w:val="0"/>
        <w:spacing w:before="124" w:line="350" w:lineRule="auto"/>
        <w:ind w:left="426" w:right="567" w:firstLine="420"/>
        <w:jc w:val="both"/>
        <w:rPr>
          <w:rFonts w:ascii="宋体" w:hAnsi="宋体" w:eastAsia="宋体" w:cs="宋体"/>
          <w:szCs w:val="22"/>
        </w:rPr>
      </w:pPr>
      <w:r>
        <w:rPr>
          <w:rFonts w:ascii="宋体" w:hAnsi="宋体" w:eastAsia="宋体" w:cs="宋体"/>
          <w:spacing w:val="-2"/>
          <w:szCs w:val="22"/>
        </w:rPr>
        <w:t>承包人在使用任何材料、承包人设备、工程设备或采用施工工艺时，因侵犯专利权或其它知识产权所引起的责任，由承包人承担，但由于遵照发包人提供的设计或技术标准和要求引起</w:t>
      </w:r>
      <w:r>
        <w:rPr>
          <w:rFonts w:ascii="宋体" w:hAnsi="宋体" w:eastAsia="宋体" w:cs="宋体"/>
          <w:spacing w:val="-4"/>
          <w:szCs w:val="22"/>
        </w:rPr>
        <w:t>的除外。</w:t>
      </w:r>
    </w:p>
    <w:p w14:paraId="4764C258">
      <w:pPr>
        <w:numPr>
          <w:ilvl w:val="2"/>
          <w:numId w:val="12"/>
        </w:numPr>
        <w:tabs>
          <w:tab w:val="left" w:pos="1684"/>
        </w:tabs>
        <w:autoSpaceDE w:val="0"/>
        <w:autoSpaceDN w:val="0"/>
        <w:spacing w:before="4"/>
        <w:ind w:left="1684" w:hanging="838"/>
        <w:jc w:val="both"/>
        <w:rPr>
          <w:rFonts w:ascii="宋体" w:hAnsi="宋体" w:eastAsia="宋体" w:cs="宋体"/>
          <w:szCs w:val="22"/>
        </w:rPr>
      </w:pPr>
      <w:r>
        <w:rPr>
          <w:rFonts w:ascii="宋体" w:hAnsi="宋体" w:eastAsia="宋体" w:cs="宋体"/>
          <w:spacing w:val="-3"/>
          <w:szCs w:val="22"/>
        </w:rPr>
        <w:t>承包人在投标文件中采用专利技术的，专利技术的使用费包含在投标报价内。</w:t>
      </w:r>
    </w:p>
    <w:p w14:paraId="4C542780">
      <w:pPr>
        <w:sectPr>
          <w:pgSz w:w="11910" w:h="16840"/>
          <w:pgMar w:top="1640" w:right="849" w:bottom="1360" w:left="992" w:header="0" w:footer="1176" w:gutter="0"/>
          <w:cols w:space="720" w:num="1"/>
        </w:sectPr>
      </w:pPr>
    </w:p>
    <w:p w14:paraId="07063B0D">
      <w:pPr>
        <w:numPr>
          <w:ilvl w:val="2"/>
          <w:numId w:val="12"/>
        </w:numPr>
        <w:tabs>
          <w:tab w:val="left" w:pos="1687"/>
        </w:tabs>
        <w:autoSpaceDE w:val="0"/>
        <w:autoSpaceDN w:val="0"/>
        <w:spacing w:before="37" w:line="350" w:lineRule="auto"/>
        <w:ind w:left="426" w:right="567" w:firstLine="420"/>
        <w:jc w:val="both"/>
        <w:rPr>
          <w:rFonts w:ascii="宋体" w:hAnsi="宋体" w:eastAsia="宋体" w:cs="宋体"/>
          <w:szCs w:val="22"/>
        </w:rPr>
      </w:pPr>
      <w:r>
        <w:rPr>
          <w:rFonts w:ascii="宋体" w:hAnsi="宋体" w:eastAsia="宋体" w:cs="宋体"/>
          <w:spacing w:val="-2"/>
          <w:szCs w:val="22"/>
        </w:rPr>
        <w:t>承包人的技术秘密和声明需要保密的资料和信息，发包人和监理人不得为合同以外的目的泄露给他人。</w:t>
      </w:r>
    </w:p>
    <w:p w14:paraId="799D7D29">
      <w:pPr>
        <w:numPr>
          <w:ilvl w:val="1"/>
          <w:numId w:val="12"/>
        </w:numPr>
        <w:tabs>
          <w:tab w:val="left" w:pos="1054"/>
        </w:tabs>
        <w:autoSpaceDE w:val="0"/>
        <w:autoSpaceDN w:val="0"/>
        <w:spacing w:before="2"/>
        <w:ind w:left="1054" w:hanging="628"/>
        <w:jc w:val="both"/>
        <w:rPr>
          <w:rFonts w:ascii="宋体" w:hAnsi="宋体" w:eastAsia="宋体" w:cs="宋体"/>
          <w:szCs w:val="22"/>
        </w:rPr>
      </w:pPr>
      <w:r>
        <w:rPr>
          <w:rFonts w:ascii="宋体" w:hAnsi="宋体" w:eastAsia="宋体" w:cs="宋体"/>
          <w:spacing w:val="-4"/>
          <w:szCs w:val="22"/>
        </w:rPr>
        <w:t>图纸和文件的保密</w:t>
      </w:r>
    </w:p>
    <w:p w14:paraId="5CE9183B">
      <w:pPr>
        <w:numPr>
          <w:ilvl w:val="2"/>
          <w:numId w:val="12"/>
        </w:numPr>
        <w:tabs>
          <w:tab w:val="left" w:pos="1687"/>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发包人提供的图纸和文件，未经发包人同意，承包人不得为合同以外的目的泄露给他人或公开发表与引用。</w:t>
      </w:r>
    </w:p>
    <w:p w14:paraId="31229EDD">
      <w:pPr>
        <w:numPr>
          <w:ilvl w:val="2"/>
          <w:numId w:val="12"/>
        </w:numPr>
        <w:tabs>
          <w:tab w:val="left" w:pos="1687"/>
        </w:tabs>
        <w:autoSpaceDE w:val="0"/>
        <w:autoSpaceDN w:val="0"/>
        <w:spacing w:before="2" w:line="352" w:lineRule="auto"/>
        <w:ind w:left="426" w:right="567" w:firstLine="420"/>
        <w:jc w:val="both"/>
        <w:rPr>
          <w:rFonts w:ascii="宋体" w:hAnsi="宋体" w:eastAsia="宋体" w:cs="宋体"/>
          <w:szCs w:val="22"/>
        </w:rPr>
      </w:pPr>
      <w:r>
        <w:rPr>
          <w:rFonts w:ascii="宋体" w:hAnsi="宋体" w:eastAsia="宋体" w:cs="宋体"/>
          <w:spacing w:val="-2"/>
          <w:szCs w:val="22"/>
        </w:rPr>
        <w:t>承包人提供的文件，未经承包人同意，发包人和监理人不得为合同以外的目的泄露给他人或公开发表与引用。</w:t>
      </w:r>
    </w:p>
    <w:p w14:paraId="0C9BAE0E">
      <w:pPr>
        <w:numPr>
          <w:ilvl w:val="2"/>
          <w:numId w:val="12"/>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2F06F6EA">
      <w:pPr>
        <w:numPr>
          <w:ilvl w:val="0"/>
          <w:numId w:val="12"/>
        </w:numPr>
        <w:tabs>
          <w:tab w:val="left" w:pos="739"/>
        </w:tabs>
        <w:autoSpaceDE w:val="0"/>
        <w:autoSpaceDN w:val="0"/>
        <w:spacing w:line="269" w:lineRule="exact"/>
        <w:ind w:left="739" w:hanging="313"/>
        <w:rPr>
          <w:rFonts w:ascii="宋体" w:hAnsi="宋体" w:eastAsia="宋体" w:cs="宋体"/>
          <w:szCs w:val="22"/>
        </w:rPr>
      </w:pPr>
      <w:r>
        <w:rPr>
          <w:rFonts w:ascii="宋体" w:hAnsi="宋体" w:eastAsia="宋体" w:cs="宋体"/>
          <w:spacing w:val="-4"/>
          <w:szCs w:val="22"/>
        </w:rPr>
        <w:t>发包人义务</w:t>
      </w:r>
    </w:p>
    <w:p w14:paraId="59E8D339">
      <w:pPr>
        <w:numPr>
          <w:ilvl w:val="1"/>
          <w:numId w:val="12"/>
        </w:numPr>
        <w:tabs>
          <w:tab w:val="left" w:pos="950"/>
        </w:tabs>
        <w:autoSpaceDE w:val="0"/>
        <w:autoSpaceDN w:val="0"/>
        <w:spacing w:before="124"/>
        <w:ind w:left="950" w:hanging="524"/>
        <w:rPr>
          <w:rFonts w:ascii="宋体" w:hAnsi="宋体" w:eastAsia="宋体" w:cs="宋体"/>
          <w:szCs w:val="22"/>
        </w:rPr>
      </w:pPr>
      <w:r>
        <w:rPr>
          <w:rFonts w:ascii="宋体" w:hAnsi="宋体" w:eastAsia="宋体" w:cs="宋体"/>
          <w:spacing w:val="-7"/>
          <w:szCs w:val="22"/>
        </w:rPr>
        <w:t>遵守法律</w:t>
      </w:r>
    </w:p>
    <w:p w14:paraId="19FDD9FF">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发包人在履行合同过程中应遵守法律，并保证承包人免于承担因发包人违反法律而引起的任何责任。发包人不得以任何理由，要求承包人在工程实施过程中违反法律、行政法规以及建设工程质量、安全、环保标准，任意压缩合理工期或者降低工程质量。</w:t>
      </w:r>
    </w:p>
    <w:p w14:paraId="59BF8BE6">
      <w:pPr>
        <w:numPr>
          <w:ilvl w:val="1"/>
          <w:numId w:val="12"/>
        </w:numPr>
        <w:tabs>
          <w:tab w:val="left" w:pos="950"/>
        </w:tabs>
        <w:autoSpaceDE w:val="0"/>
        <w:autoSpaceDN w:val="0"/>
        <w:spacing w:before="4"/>
        <w:ind w:left="950" w:hanging="524"/>
        <w:jc w:val="both"/>
        <w:rPr>
          <w:rFonts w:ascii="宋体" w:hAnsi="宋体" w:eastAsia="宋体" w:cs="宋体"/>
          <w:szCs w:val="22"/>
        </w:rPr>
      </w:pPr>
      <w:r>
        <w:rPr>
          <w:rFonts w:ascii="宋体" w:hAnsi="宋体" w:eastAsia="宋体" w:cs="宋体"/>
          <w:spacing w:val="-4"/>
          <w:szCs w:val="22"/>
        </w:rPr>
        <w:t>发出开工通知</w:t>
      </w:r>
    </w:p>
    <w:p w14:paraId="370D1EA4">
      <w:pPr>
        <w:autoSpaceDE w:val="0"/>
        <w:autoSpaceDN w:val="0"/>
        <w:spacing w:before="125"/>
        <w:ind w:left="846"/>
        <w:rPr>
          <w:rFonts w:ascii="宋体" w:hAnsi="宋体" w:eastAsia="宋体" w:cs="宋体"/>
          <w:szCs w:val="21"/>
        </w:rPr>
      </w:pPr>
      <w:r>
        <w:rPr>
          <w:rFonts w:ascii="宋体" w:hAnsi="宋体" w:eastAsia="宋体" w:cs="宋体"/>
          <w:spacing w:val="-2"/>
          <w:szCs w:val="21"/>
        </w:rPr>
        <w:t xml:space="preserve">发包人应委托监理人按第 </w:t>
      </w:r>
      <w:r>
        <w:rPr>
          <w:rFonts w:ascii="宋体" w:hAnsi="宋体" w:eastAsia="宋体" w:cs="宋体"/>
          <w:szCs w:val="21"/>
        </w:rPr>
        <w:t>11.1</w:t>
      </w:r>
      <w:r>
        <w:rPr>
          <w:rFonts w:ascii="宋体" w:hAnsi="宋体" w:eastAsia="宋体" w:cs="宋体"/>
          <w:spacing w:val="-6"/>
          <w:szCs w:val="21"/>
        </w:rPr>
        <w:t xml:space="preserve"> 款的约定向承包人发出开工通知。</w:t>
      </w:r>
    </w:p>
    <w:p w14:paraId="098119D0">
      <w:pPr>
        <w:numPr>
          <w:ilvl w:val="1"/>
          <w:numId w:val="12"/>
        </w:numPr>
        <w:tabs>
          <w:tab w:val="left" w:pos="950"/>
        </w:tabs>
        <w:autoSpaceDE w:val="0"/>
        <w:autoSpaceDN w:val="0"/>
        <w:spacing w:before="128"/>
        <w:ind w:left="950" w:hanging="524"/>
        <w:jc w:val="both"/>
        <w:rPr>
          <w:rFonts w:ascii="宋体" w:hAnsi="宋体" w:eastAsia="宋体" w:cs="宋体"/>
          <w:szCs w:val="22"/>
        </w:rPr>
      </w:pPr>
      <w:r>
        <w:rPr>
          <w:rFonts w:ascii="宋体" w:hAnsi="宋体" w:eastAsia="宋体" w:cs="宋体"/>
          <w:spacing w:val="-4"/>
          <w:szCs w:val="22"/>
        </w:rPr>
        <w:t>提供施工场地</w:t>
      </w:r>
    </w:p>
    <w:p w14:paraId="53CDEF12">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发包人应按专用合同条款约定向承包人提供施工场地，以及施工场地内地下管线和地下设施等有关资料，并保证资料的真实、准确、完整。</w:t>
      </w:r>
    </w:p>
    <w:p w14:paraId="4E8CDD91">
      <w:pPr>
        <w:autoSpaceDE w:val="0"/>
        <w:autoSpaceDN w:val="0"/>
        <w:spacing w:before="2"/>
        <w:ind w:left="846"/>
        <w:jc w:val="left"/>
        <w:rPr>
          <w:rFonts w:ascii="宋体" w:hAnsi="宋体" w:eastAsia="宋体" w:cs="宋体"/>
          <w:szCs w:val="21"/>
        </w:rPr>
      </w:pPr>
      <w:r>
        <w:rPr>
          <w:rFonts w:ascii="宋体" w:hAnsi="宋体" w:eastAsia="宋体" w:cs="宋体"/>
          <w:spacing w:val="-3"/>
          <w:szCs w:val="21"/>
        </w:rPr>
        <w:t>发包人应协调承包人办理临时用地的租用。</w:t>
      </w:r>
    </w:p>
    <w:p w14:paraId="3E462D76">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3"/>
          <w:szCs w:val="22"/>
        </w:rPr>
        <w:t>协助承包人办理证件和批件</w:t>
      </w:r>
    </w:p>
    <w:p w14:paraId="790A757E">
      <w:pPr>
        <w:autoSpaceDE w:val="0"/>
        <w:autoSpaceDN w:val="0"/>
        <w:spacing w:before="125"/>
        <w:ind w:left="846"/>
        <w:jc w:val="left"/>
        <w:rPr>
          <w:rFonts w:ascii="宋体" w:hAnsi="宋体" w:eastAsia="宋体" w:cs="宋体"/>
          <w:szCs w:val="21"/>
        </w:rPr>
      </w:pPr>
      <w:r>
        <w:rPr>
          <w:rFonts w:ascii="宋体" w:hAnsi="宋体" w:eastAsia="宋体" w:cs="宋体"/>
          <w:spacing w:val="-3"/>
          <w:szCs w:val="21"/>
        </w:rPr>
        <w:t>发包人应协助承包人办理法律规定的有关施工证件和批件。</w:t>
      </w:r>
    </w:p>
    <w:p w14:paraId="27E3F419">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4"/>
          <w:szCs w:val="22"/>
        </w:rPr>
        <w:t>组织设计交底</w:t>
      </w:r>
    </w:p>
    <w:p w14:paraId="48F49457">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发包人应根据合同进度计划，组织设计单位向承包人进行设计交底。</w:t>
      </w:r>
    </w:p>
    <w:p w14:paraId="3C4CC503">
      <w:pPr>
        <w:numPr>
          <w:ilvl w:val="1"/>
          <w:numId w:val="12"/>
        </w:numPr>
        <w:tabs>
          <w:tab w:val="left" w:pos="950"/>
        </w:tabs>
        <w:autoSpaceDE w:val="0"/>
        <w:autoSpaceDN w:val="0"/>
        <w:spacing w:before="125"/>
        <w:ind w:left="950" w:hanging="524"/>
        <w:rPr>
          <w:rFonts w:ascii="宋体" w:hAnsi="宋体" w:eastAsia="宋体" w:cs="宋体"/>
          <w:szCs w:val="22"/>
        </w:rPr>
      </w:pPr>
      <w:r>
        <w:rPr>
          <w:rFonts w:ascii="宋体" w:hAnsi="宋体" w:eastAsia="宋体" w:cs="宋体"/>
          <w:spacing w:val="-4"/>
          <w:szCs w:val="22"/>
        </w:rPr>
        <w:t>支付合同价款</w:t>
      </w:r>
    </w:p>
    <w:p w14:paraId="153644C6">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发包人应按合同约定向承包人及时支付合同价款。</w:t>
      </w:r>
    </w:p>
    <w:p w14:paraId="003CE35D">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4"/>
          <w:szCs w:val="22"/>
        </w:rPr>
        <w:t>组织竣工验收</w:t>
      </w:r>
    </w:p>
    <w:p w14:paraId="66249117">
      <w:pPr>
        <w:autoSpaceDE w:val="0"/>
        <w:autoSpaceDN w:val="0"/>
        <w:spacing w:before="125"/>
        <w:ind w:left="846"/>
        <w:jc w:val="left"/>
        <w:rPr>
          <w:rFonts w:ascii="宋体" w:hAnsi="宋体" w:eastAsia="宋体" w:cs="宋体"/>
          <w:szCs w:val="21"/>
        </w:rPr>
      </w:pPr>
      <w:r>
        <w:rPr>
          <w:rFonts w:ascii="宋体" w:hAnsi="宋体" w:eastAsia="宋体" w:cs="宋体"/>
          <w:spacing w:val="-3"/>
          <w:szCs w:val="21"/>
        </w:rPr>
        <w:t>发包人应按合同约定及时组织竣工验收。</w:t>
      </w:r>
    </w:p>
    <w:p w14:paraId="74FF6A30">
      <w:pPr>
        <w:numPr>
          <w:ilvl w:val="1"/>
          <w:numId w:val="12"/>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7"/>
          <w:szCs w:val="22"/>
        </w:rPr>
        <w:t>其它义务</w:t>
      </w:r>
    </w:p>
    <w:p w14:paraId="17A8264F">
      <w:pPr>
        <w:autoSpaceDE w:val="0"/>
        <w:autoSpaceDN w:val="0"/>
        <w:spacing w:before="128" w:line="350" w:lineRule="auto"/>
        <w:ind w:left="426" w:right="5858" w:firstLine="420"/>
        <w:jc w:val="left"/>
        <w:rPr>
          <w:rFonts w:ascii="宋体" w:hAnsi="宋体" w:eastAsia="宋体" w:cs="宋体"/>
          <w:szCs w:val="21"/>
        </w:rPr>
      </w:pPr>
      <w:r>
        <w:rPr>
          <w:rFonts w:ascii="宋体" w:hAnsi="宋体" w:eastAsia="宋体" w:cs="宋体"/>
          <w:spacing w:val="-2"/>
          <w:szCs w:val="21"/>
        </w:rPr>
        <w:t>发包人应履行合同约定的其它义务。 3．监理人</w:t>
      </w:r>
    </w:p>
    <w:p w14:paraId="2E2389CC">
      <w:pPr>
        <w:numPr>
          <w:ilvl w:val="1"/>
          <w:numId w:val="14"/>
        </w:numPr>
        <w:tabs>
          <w:tab w:val="left" w:pos="950"/>
        </w:tabs>
        <w:autoSpaceDE w:val="0"/>
        <w:autoSpaceDN w:val="0"/>
        <w:spacing w:before="2"/>
        <w:ind w:left="950" w:hanging="524"/>
        <w:rPr>
          <w:rFonts w:ascii="宋体" w:hAnsi="宋体" w:eastAsia="宋体" w:cs="宋体"/>
          <w:szCs w:val="22"/>
        </w:rPr>
      </w:pPr>
      <w:r>
        <w:rPr>
          <w:rFonts w:ascii="宋体" w:hAnsi="宋体" w:eastAsia="宋体" w:cs="宋体"/>
          <w:spacing w:val="-3"/>
          <w:szCs w:val="22"/>
        </w:rPr>
        <w:t>监理人的职责和权力</w:t>
      </w:r>
    </w:p>
    <w:p w14:paraId="043B174C">
      <w:pPr>
        <w:jc w:val="left"/>
        <w:sectPr>
          <w:pgSz w:w="11910" w:h="16840"/>
          <w:pgMar w:top="1640" w:right="849" w:bottom="1360" w:left="992" w:header="0" w:footer="1176" w:gutter="0"/>
          <w:cols w:space="720" w:num="1"/>
        </w:sectPr>
      </w:pPr>
    </w:p>
    <w:p w14:paraId="3785EEEB">
      <w:pPr>
        <w:numPr>
          <w:ilvl w:val="2"/>
          <w:numId w:val="14"/>
        </w:numPr>
        <w:tabs>
          <w:tab w:val="left" w:pos="1578"/>
        </w:tabs>
        <w:autoSpaceDE w:val="0"/>
        <w:autoSpaceDN w:val="0"/>
        <w:spacing w:before="37" w:line="350" w:lineRule="auto"/>
        <w:ind w:right="569" w:firstLine="420"/>
        <w:rPr>
          <w:rFonts w:ascii="宋体" w:hAnsi="宋体" w:eastAsia="宋体" w:cs="宋体"/>
          <w:szCs w:val="22"/>
        </w:rPr>
      </w:pPr>
      <w:r>
        <w:rPr>
          <w:rFonts w:ascii="宋体" w:hAnsi="宋体" w:eastAsia="宋体" w:cs="宋体"/>
          <w:spacing w:val="-2"/>
          <w:szCs w:val="22"/>
        </w:rPr>
        <w:t>监理人受发包人委托，享有合同约定的权力。监理人在行使某项权力前需要经发包人事先批准而通用合同条款没有指明的，应在专用合同条款中指明。</w:t>
      </w:r>
    </w:p>
    <w:p w14:paraId="0B5D2B59">
      <w:pPr>
        <w:autoSpaceDE w:val="0"/>
        <w:autoSpaceDN w:val="0"/>
        <w:spacing w:before="2"/>
        <w:ind w:left="846"/>
        <w:jc w:val="left"/>
        <w:rPr>
          <w:rFonts w:ascii="宋体" w:hAnsi="宋体" w:eastAsia="宋体" w:cs="宋体"/>
          <w:szCs w:val="21"/>
        </w:rPr>
      </w:pPr>
      <w:r>
        <w:rPr>
          <w:rFonts w:ascii="宋体" w:hAnsi="宋体" w:eastAsia="宋体" w:cs="宋体"/>
          <w:spacing w:val="-3"/>
          <w:szCs w:val="21"/>
        </w:rPr>
        <w:t>监理人在行使下列权力前需要经发包人事先批准：</w:t>
      </w:r>
    </w:p>
    <w:p w14:paraId="6B41DD1F">
      <w:pPr>
        <w:numPr>
          <w:ilvl w:val="0"/>
          <w:numId w:val="15"/>
        </w:numPr>
        <w:autoSpaceDE w:val="0"/>
        <w:autoSpaceDN w:val="0"/>
        <w:spacing w:before="128"/>
        <w:ind w:left="740"/>
        <w:jc w:val="left"/>
        <w:rPr>
          <w:rFonts w:ascii="宋体" w:hAnsi="宋体" w:eastAsia="宋体" w:cs="宋体"/>
          <w:spacing w:val="-6"/>
          <w:szCs w:val="21"/>
        </w:rPr>
      </w:pPr>
      <w:r>
        <w:rPr>
          <w:rFonts w:ascii="宋体" w:hAnsi="宋体" w:eastAsia="宋体" w:cs="宋体"/>
          <w:spacing w:val="-6"/>
          <w:szCs w:val="21"/>
        </w:rPr>
        <w:t xml:space="preserve">根据第 </w:t>
      </w:r>
      <w:r>
        <w:rPr>
          <w:rFonts w:ascii="宋体" w:hAnsi="宋体" w:eastAsia="宋体" w:cs="宋体"/>
          <w:szCs w:val="21"/>
        </w:rPr>
        <w:t>4.3</w:t>
      </w:r>
      <w:r>
        <w:rPr>
          <w:rFonts w:ascii="宋体" w:hAnsi="宋体" w:eastAsia="宋体" w:cs="宋体"/>
          <w:spacing w:val="-6"/>
          <w:szCs w:val="21"/>
        </w:rPr>
        <w:t xml:space="preserve"> 款，同意分包本工程的某非主体部和非关键性工作；</w:t>
      </w:r>
    </w:p>
    <w:p w14:paraId="4E915C14">
      <w:pPr>
        <w:numPr>
          <w:ilvl w:val="0"/>
          <w:numId w:val="15"/>
        </w:numPr>
        <w:autoSpaceDE w:val="0"/>
        <w:autoSpaceDN w:val="0"/>
        <w:spacing w:before="128"/>
        <w:ind w:left="740"/>
        <w:jc w:val="left"/>
        <w:rPr>
          <w:rFonts w:ascii="宋体" w:hAnsi="宋体" w:eastAsia="宋体" w:cs="宋体"/>
          <w:spacing w:val="-6"/>
          <w:szCs w:val="21"/>
        </w:rPr>
      </w:pPr>
      <w:r>
        <w:rPr>
          <w:rFonts w:ascii="宋体" w:hAnsi="宋体" w:eastAsia="宋体" w:cs="宋体"/>
          <w:spacing w:val="-5"/>
          <w:szCs w:val="21"/>
        </w:rPr>
        <w:t>确定第</w:t>
      </w:r>
      <w:r>
        <w:rPr>
          <w:rFonts w:ascii="宋体" w:hAnsi="宋体" w:eastAsia="宋体" w:cs="宋体"/>
          <w:spacing w:val="-4"/>
          <w:szCs w:val="21"/>
        </w:rPr>
        <w:t>4.11</w:t>
      </w:r>
      <w:r>
        <w:rPr>
          <w:rFonts w:ascii="宋体" w:hAnsi="宋体" w:eastAsia="宋体" w:cs="宋体"/>
          <w:spacing w:val="-3"/>
          <w:szCs w:val="21"/>
        </w:rPr>
        <w:t>款下产生的费用增加额；</w:t>
      </w:r>
    </w:p>
    <w:p w14:paraId="009A169D">
      <w:pPr>
        <w:numPr>
          <w:ilvl w:val="0"/>
          <w:numId w:val="15"/>
        </w:numPr>
        <w:autoSpaceDE w:val="0"/>
        <w:autoSpaceDN w:val="0"/>
        <w:spacing w:before="128"/>
        <w:ind w:left="740"/>
        <w:jc w:val="left"/>
        <w:rPr>
          <w:rFonts w:ascii="宋体" w:hAnsi="宋体" w:eastAsia="宋体" w:cs="宋体"/>
          <w:spacing w:val="-6"/>
          <w:szCs w:val="21"/>
        </w:rPr>
      </w:pPr>
      <w:r>
        <w:rPr>
          <w:rFonts w:ascii="宋体" w:hAnsi="宋体" w:eastAsia="宋体" w:cs="宋体"/>
          <w:spacing w:val="-5"/>
          <w:szCs w:val="21"/>
        </w:rPr>
        <w:t>根据第</w:t>
      </w:r>
      <w:r>
        <w:rPr>
          <w:rFonts w:ascii="宋体" w:hAnsi="宋体" w:eastAsia="宋体" w:cs="宋体"/>
          <w:spacing w:val="-4"/>
          <w:szCs w:val="21"/>
        </w:rPr>
        <w:t>11.1</w:t>
      </w:r>
      <w:r>
        <w:rPr>
          <w:rFonts w:ascii="宋体" w:hAnsi="宋体" w:eastAsia="宋体" w:cs="宋体"/>
          <w:spacing w:val="-3"/>
          <w:szCs w:val="21"/>
        </w:rPr>
        <w:t xml:space="preserve">款、第 </w:t>
      </w:r>
      <w:r>
        <w:rPr>
          <w:rFonts w:ascii="宋体" w:hAnsi="宋体" w:eastAsia="宋体" w:cs="宋体"/>
          <w:szCs w:val="21"/>
        </w:rPr>
        <w:t>12.3</w:t>
      </w:r>
      <w:r>
        <w:rPr>
          <w:rFonts w:ascii="宋体" w:hAnsi="宋体" w:eastAsia="宋体" w:cs="宋体"/>
          <w:spacing w:val="-5"/>
          <w:szCs w:val="21"/>
        </w:rPr>
        <w:t xml:space="preserve"> 款、第 </w:t>
      </w:r>
      <w:r>
        <w:rPr>
          <w:rFonts w:ascii="宋体" w:hAnsi="宋体" w:eastAsia="宋体" w:cs="宋体"/>
          <w:szCs w:val="21"/>
        </w:rPr>
        <w:t>12.4</w:t>
      </w:r>
      <w:r>
        <w:rPr>
          <w:rFonts w:ascii="宋体" w:hAnsi="宋体" w:eastAsia="宋体" w:cs="宋体"/>
          <w:spacing w:val="-4"/>
          <w:szCs w:val="21"/>
        </w:rPr>
        <w:t xml:space="preserve"> 款发布开工通知、暂停施工指示或复工通知；</w:t>
      </w:r>
    </w:p>
    <w:p w14:paraId="4DD3CFAF">
      <w:pPr>
        <w:numPr>
          <w:ilvl w:val="0"/>
          <w:numId w:val="15"/>
        </w:numPr>
        <w:autoSpaceDE w:val="0"/>
        <w:autoSpaceDN w:val="0"/>
        <w:spacing w:before="128"/>
        <w:ind w:left="740"/>
        <w:jc w:val="left"/>
        <w:rPr>
          <w:rFonts w:ascii="宋体" w:hAnsi="宋体" w:eastAsia="宋体" w:cs="宋体"/>
          <w:spacing w:val="-6"/>
          <w:szCs w:val="21"/>
        </w:rPr>
      </w:pPr>
      <w:r>
        <w:rPr>
          <w:rFonts w:ascii="宋体" w:hAnsi="宋体" w:eastAsia="宋体" w:cs="宋体"/>
          <w:spacing w:val="-5"/>
          <w:szCs w:val="21"/>
        </w:rPr>
        <w:t>决定第</w:t>
      </w:r>
      <w:r>
        <w:rPr>
          <w:rFonts w:ascii="宋体" w:hAnsi="宋体" w:eastAsia="宋体" w:cs="宋体"/>
          <w:spacing w:val="-4"/>
          <w:szCs w:val="21"/>
        </w:rPr>
        <w:t>11.3</w:t>
      </w:r>
      <w:r>
        <w:rPr>
          <w:rFonts w:ascii="宋体" w:hAnsi="宋体" w:eastAsia="宋体" w:cs="宋体"/>
          <w:spacing w:val="-3"/>
          <w:szCs w:val="21"/>
        </w:rPr>
        <w:t xml:space="preserve">款、第 </w:t>
      </w:r>
      <w:r>
        <w:rPr>
          <w:rFonts w:ascii="宋体" w:hAnsi="宋体" w:eastAsia="宋体" w:cs="宋体"/>
          <w:szCs w:val="21"/>
        </w:rPr>
        <w:t>11.4</w:t>
      </w:r>
      <w:r>
        <w:rPr>
          <w:rFonts w:ascii="宋体" w:hAnsi="宋体" w:eastAsia="宋体" w:cs="宋体"/>
          <w:spacing w:val="-4"/>
          <w:szCs w:val="21"/>
        </w:rPr>
        <w:t xml:space="preserve"> 款下的工期延期；</w:t>
      </w:r>
    </w:p>
    <w:p w14:paraId="50FEC72F">
      <w:pPr>
        <w:numPr>
          <w:ilvl w:val="0"/>
          <w:numId w:val="15"/>
        </w:numPr>
        <w:autoSpaceDE w:val="0"/>
        <w:autoSpaceDN w:val="0"/>
        <w:spacing w:before="128"/>
        <w:ind w:left="740"/>
        <w:jc w:val="left"/>
        <w:rPr>
          <w:rFonts w:ascii="宋体" w:hAnsi="宋体" w:eastAsia="宋体" w:cs="宋体"/>
          <w:spacing w:val="-5"/>
          <w:szCs w:val="21"/>
        </w:rPr>
      </w:pPr>
      <w:r>
        <w:rPr>
          <w:rFonts w:ascii="宋体" w:hAnsi="宋体" w:eastAsia="宋体" w:cs="宋体"/>
          <w:spacing w:val="-5"/>
          <w:szCs w:val="21"/>
        </w:rPr>
        <w:t>根据第</w:t>
      </w:r>
      <w:r>
        <w:rPr>
          <w:rFonts w:ascii="宋体" w:hAnsi="宋体" w:eastAsia="宋体" w:cs="宋体"/>
          <w:spacing w:val="-4"/>
          <w:szCs w:val="21"/>
        </w:rPr>
        <w:t>15.3</w:t>
      </w:r>
      <w:r>
        <w:rPr>
          <w:rFonts w:ascii="宋体" w:hAnsi="宋体" w:eastAsia="宋体" w:cs="宋体"/>
          <w:spacing w:val="-3"/>
          <w:szCs w:val="21"/>
        </w:rPr>
        <w:t>款发出的变更指示，其单项工程变更或累计变更涉及的金额超过了项目专用合同条款数据表</w:t>
      </w:r>
      <w:r>
        <w:rPr>
          <w:rFonts w:ascii="宋体" w:hAnsi="宋体" w:eastAsia="宋体" w:cs="宋体"/>
          <w:spacing w:val="-5"/>
          <w:szCs w:val="21"/>
        </w:rPr>
        <w:t>中规定的金额；</w:t>
      </w:r>
    </w:p>
    <w:p w14:paraId="403AB761">
      <w:pPr>
        <w:numPr>
          <w:ilvl w:val="0"/>
          <w:numId w:val="15"/>
        </w:numPr>
        <w:autoSpaceDE w:val="0"/>
        <w:autoSpaceDN w:val="0"/>
        <w:spacing w:before="128"/>
        <w:ind w:left="740"/>
        <w:jc w:val="left"/>
        <w:rPr>
          <w:rFonts w:ascii="宋体" w:hAnsi="宋体" w:eastAsia="宋体" w:cs="宋体"/>
          <w:spacing w:val="-5"/>
          <w:szCs w:val="21"/>
        </w:rPr>
      </w:pPr>
      <w:r>
        <w:rPr>
          <w:rFonts w:ascii="宋体" w:hAnsi="宋体" w:eastAsia="宋体" w:cs="宋体"/>
          <w:spacing w:val="-5"/>
          <w:szCs w:val="21"/>
        </w:rPr>
        <w:t>根据第 15.4 款下变更工作的单价；</w:t>
      </w:r>
    </w:p>
    <w:p w14:paraId="7985CB23">
      <w:pPr>
        <w:numPr>
          <w:ilvl w:val="0"/>
          <w:numId w:val="15"/>
        </w:numPr>
        <w:autoSpaceDE w:val="0"/>
        <w:autoSpaceDN w:val="0"/>
        <w:spacing w:before="128"/>
        <w:ind w:left="740"/>
        <w:jc w:val="left"/>
        <w:rPr>
          <w:rFonts w:ascii="宋体" w:hAnsi="宋体" w:eastAsia="宋体" w:cs="宋体"/>
          <w:spacing w:val="-5"/>
          <w:szCs w:val="21"/>
        </w:rPr>
      </w:pPr>
      <w:r>
        <w:rPr>
          <w:rFonts w:ascii="宋体" w:hAnsi="宋体" w:eastAsia="宋体" w:cs="宋体"/>
          <w:spacing w:val="-5"/>
          <w:szCs w:val="21"/>
        </w:rPr>
        <w:t>按照第 15.6 款决定有关暂列金额的使用；</w:t>
      </w:r>
    </w:p>
    <w:p w14:paraId="578A218E">
      <w:pPr>
        <w:numPr>
          <w:ilvl w:val="0"/>
          <w:numId w:val="15"/>
        </w:numPr>
        <w:autoSpaceDE w:val="0"/>
        <w:autoSpaceDN w:val="0"/>
        <w:spacing w:before="128" w:line="360" w:lineRule="auto"/>
        <w:ind w:left="740"/>
        <w:jc w:val="left"/>
        <w:rPr>
          <w:rFonts w:ascii="宋体" w:hAnsi="宋体" w:eastAsia="宋体" w:cs="宋体"/>
          <w:spacing w:val="-5"/>
          <w:szCs w:val="21"/>
        </w:rPr>
      </w:pPr>
      <w:r>
        <w:rPr>
          <w:rFonts w:ascii="宋体" w:hAnsi="宋体" w:eastAsia="宋体" w:cs="宋体"/>
          <w:spacing w:val="-5"/>
          <w:szCs w:val="21"/>
        </w:rPr>
        <w:t>确定第 23.1 款项下的索赔额；</w:t>
      </w:r>
    </w:p>
    <w:p w14:paraId="298D80DA">
      <w:pPr>
        <w:tabs>
          <w:tab w:val="left" w:pos="1578"/>
        </w:tabs>
        <w:autoSpaceDE w:val="0"/>
        <w:autoSpaceDN w:val="0"/>
        <w:spacing w:before="2" w:line="360" w:lineRule="auto"/>
        <w:ind w:left="399" w:leftChars="190" w:right="503" w:firstLine="412" w:firstLineChars="200"/>
        <w:jc w:val="left"/>
        <w:rPr>
          <w:rFonts w:ascii="宋体" w:hAnsi="宋体" w:eastAsia="宋体" w:cs="宋体"/>
          <w:spacing w:val="-2"/>
          <w:szCs w:val="22"/>
        </w:rPr>
      </w:pPr>
      <w:r>
        <w:rPr>
          <w:rFonts w:ascii="宋体" w:hAnsi="宋体" w:eastAsia="宋体" w:cs="宋体"/>
          <w:spacing w:val="-2"/>
          <w:szCs w:val="22"/>
        </w:rPr>
        <w:t>如果发生紧急情况，监理人认为将造成人员伤亡，或危及本工程或邻近的财产需立即采取行动，监理人有权在未征得发包人的批准情况下发布处理紧急情况所必需的指令，承包人应予执行，由此造成的费用增加由监理人按第 3.5 款商定或确定。</w:t>
      </w:r>
    </w:p>
    <w:p w14:paraId="7078CEF0">
      <w:pPr>
        <w:numPr>
          <w:ilvl w:val="2"/>
          <w:numId w:val="14"/>
        </w:numPr>
        <w:tabs>
          <w:tab w:val="left" w:pos="1578"/>
        </w:tabs>
        <w:autoSpaceDE w:val="0"/>
        <w:autoSpaceDN w:val="0"/>
        <w:spacing w:before="4" w:line="350" w:lineRule="auto"/>
        <w:ind w:right="569" w:firstLine="420"/>
        <w:rPr>
          <w:rFonts w:ascii="宋体" w:hAnsi="宋体" w:eastAsia="宋体" w:cs="宋体"/>
          <w:szCs w:val="22"/>
        </w:rPr>
      </w:pPr>
      <w:r>
        <w:rPr>
          <w:rFonts w:ascii="宋体" w:hAnsi="宋体" w:eastAsia="宋体" w:cs="宋体"/>
          <w:spacing w:val="-5"/>
          <w:szCs w:val="22"/>
        </w:rPr>
        <w:t>监理人发出的任何指示应视为已得到发包人的批准，但监理人无权免除或变更合同约定</w:t>
      </w:r>
      <w:r>
        <w:rPr>
          <w:rFonts w:ascii="宋体" w:hAnsi="宋体" w:eastAsia="宋体" w:cs="宋体"/>
          <w:spacing w:val="-2"/>
          <w:szCs w:val="22"/>
        </w:rPr>
        <w:t>的发包人和承包人的权利、义务和责任。</w:t>
      </w:r>
    </w:p>
    <w:p w14:paraId="07F82391">
      <w:pPr>
        <w:numPr>
          <w:ilvl w:val="2"/>
          <w:numId w:val="14"/>
        </w:numPr>
        <w:tabs>
          <w:tab w:val="left" w:pos="1578"/>
        </w:tabs>
        <w:autoSpaceDE w:val="0"/>
        <w:autoSpaceDN w:val="0"/>
        <w:spacing w:before="2" w:line="352" w:lineRule="auto"/>
        <w:ind w:right="503" w:firstLine="420"/>
        <w:rPr>
          <w:rFonts w:ascii="宋体" w:hAnsi="宋体" w:eastAsia="宋体" w:cs="宋体"/>
          <w:szCs w:val="22"/>
        </w:rPr>
      </w:pPr>
      <w:r>
        <w:rPr>
          <w:rFonts w:ascii="宋体" w:hAnsi="宋体" w:eastAsia="宋体" w:cs="宋体"/>
          <w:spacing w:val="-2"/>
          <w:szCs w:val="22"/>
        </w:rPr>
        <w:t>合同约定应由承包人承担的义务和责任，不因监理人对承包人提交文件的审查或批准，对工程、材料和设备的检查和检验，以及为实施监理作出的指示等职务行为而减轻或解除。</w:t>
      </w:r>
    </w:p>
    <w:p w14:paraId="482F6B06">
      <w:pPr>
        <w:numPr>
          <w:ilvl w:val="1"/>
          <w:numId w:val="14"/>
        </w:numPr>
        <w:tabs>
          <w:tab w:val="left" w:pos="950"/>
        </w:tabs>
        <w:autoSpaceDE w:val="0"/>
        <w:autoSpaceDN w:val="0"/>
        <w:spacing w:line="270" w:lineRule="exact"/>
        <w:ind w:left="950" w:hanging="524"/>
        <w:rPr>
          <w:rFonts w:ascii="宋体" w:hAnsi="宋体" w:eastAsia="宋体" w:cs="宋体"/>
          <w:szCs w:val="22"/>
        </w:rPr>
      </w:pPr>
      <w:r>
        <w:rPr>
          <w:rFonts w:ascii="宋体" w:hAnsi="宋体" w:eastAsia="宋体" w:cs="宋体"/>
          <w:spacing w:val="-4"/>
          <w:szCs w:val="22"/>
        </w:rPr>
        <w:t>总监理工程师</w:t>
      </w:r>
    </w:p>
    <w:p w14:paraId="461AE167">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发包人应在发出开工通知前将总监理工程师的任命通知承包人。总监理工程师更换时，应在调</w:t>
      </w:r>
      <w:r>
        <w:rPr>
          <w:rFonts w:ascii="宋体" w:hAnsi="宋体" w:eastAsia="宋体" w:cs="宋体"/>
          <w:szCs w:val="21"/>
        </w:rPr>
        <w:t>离 14 天前通知承包人。总监理工程师短期离开施工场地的，应委派代表代行其职责，并通知承包</w:t>
      </w:r>
      <w:r>
        <w:rPr>
          <w:rFonts w:ascii="宋体" w:hAnsi="宋体" w:eastAsia="宋体" w:cs="宋体"/>
          <w:spacing w:val="-6"/>
          <w:szCs w:val="21"/>
        </w:rPr>
        <w:t>人。</w:t>
      </w:r>
    </w:p>
    <w:p w14:paraId="68910014">
      <w:pPr>
        <w:numPr>
          <w:ilvl w:val="1"/>
          <w:numId w:val="14"/>
        </w:numPr>
        <w:tabs>
          <w:tab w:val="left" w:pos="950"/>
        </w:tabs>
        <w:autoSpaceDE w:val="0"/>
        <w:autoSpaceDN w:val="0"/>
        <w:spacing w:before="4"/>
        <w:ind w:left="950" w:hanging="524"/>
        <w:jc w:val="both"/>
        <w:rPr>
          <w:rFonts w:ascii="宋体" w:hAnsi="宋体" w:eastAsia="宋体" w:cs="宋体"/>
          <w:szCs w:val="22"/>
        </w:rPr>
      </w:pPr>
      <w:r>
        <w:rPr>
          <w:rFonts w:ascii="宋体" w:hAnsi="宋体" w:eastAsia="宋体" w:cs="宋体"/>
          <w:spacing w:val="-7"/>
          <w:szCs w:val="22"/>
        </w:rPr>
        <w:t>监理人员</w:t>
      </w:r>
    </w:p>
    <w:p w14:paraId="777CB271">
      <w:pPr>
        <w:numPr>
          <w:ilvl w:val="2"/>
          <w:numId w:val="14"/>
        </w:numPr>
        <w:tabs>
          <w:tab w:val="left" w:pos="1578"/>
        </w:tabs>
        <w:autoSpaceDE w:val="0"/>
        <w:autoSpaceDN w:val="0"/>
        <w:spacing w:before="128" w:line="352" w:lineRule="auto"/>
        <w:ind w:right="567" w:firstLine="420"/>
        <w:jc w:val="both"/>
        <w:rPr>
          <w:rFonts w:ascii="宋体" w:hAnsi="宋体" w:eastAsia="宋体" w:cs="宋体"/>
          <w:szCs w:val="22"/>
        </w:rPr>
      </w:pPr>
      <w:r>
        <w:rPr>
          <w:rFonts w:ascii="宋体" w:hAnsi="宋体" w:eastAsia="宋体" w:cs="宋体"/>
          <w:spacing w:val="-4"/>
          <w:szCs w:val="22"/>
        </w:rPr>
        <w:t>总监理工程师可以授权其他监理人员负责执行其指派的一项或多项监理工作。总监理工</w:t>
      </w:r>
      <w:r>
        <w:rPr>
          <w:rFonts w:ascii="宋体" w:hAnsi="宋体" w:eastAsia="宋体" w:cs="宋体"/>
          <w:spacing w:val="-2"/>
          <w:szCs w:val="22"/>
        </w:rPr>
        <w:t>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87112CD">
      <w:pPr>
        <w:numPr>
          <w:ilvl w:val="2"/>
          <w:numId w:val="14"/>
        </w:numPr>
        <w:tabs>
          <w:tab w:val="left" w:pos="1578"/>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7"/>
          <w:szCs w:val="22"/>
        </w:rPr>
        <w:t>监理人员对承包人的任何工作、工程或其采用的材料和工程设备未在约定的或合理的期</w:t>
      </w:r>
      <w:r>
        <w:rPr>
          <w:rFonts w:ascii="宋体" w:hAnsi="宋体" w:eastAsia="宋体" w:cs="宋体"/>
          <w:spacing w:val="-2"/>
          <w:szCs w:val="22"/>
        </w:rPr>
        <w:t>限内提出否定意见的，视为已获批准，但不影响监理人在以后拒绝该项工作、工程、材料或工程设备的权利。</w:t>
      </w:r>
    </w:p>
    <w:p w14:paraId="37C6622D">
      <w:pPr>
        <w:numPr>
          <w:ilvl w:val="2"/>
          <w:numId w:val="14"/>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6"/>
          <w:szCs w:val="22"/>
        </w:rPr>
        <w:t>承包人对总监理工程师授权的监理人员发出的指示有疑问的，可向总监理工程师提出书</w:t>
      </w:r>
    </w:p>
    <w:p w14:paraId="4FF4C7F3">
      <w:pPr>
        <w:autoSpaceDE w:val="0"/>
        <w:autoSpaceDN w:val="0"/>
        <w:spacing w:before="121"/>
        <w:ind w:left="426"/>
        <w:rPr>
          <w:rFonts w:ascii="宋体" w:hAnsi="宋体" w:eastAsia="宋体" w:cs="宋体"/>
          <w:szCs w:val="21"/>
        </w:rPr>
      </w:pPr>
      <w:r>
        <w:rPr>
          <w:rFonts w:ascii="宋体" w:hAnsi="宋体" w:eastAsia="宋体" w:cs="宋体"/>
          <w:spacing w:val="-2"/>
          <w:szCs w:val="21"/>
        </w:rPr>
        <w:t xml:space="preserve">面异议，总监理工程师应在 </w:t>
      </w:r>
      <w:r>
        <w:rPr>
          <w:rFonts w:ascii="宋体" w:hAnsi="宋体" w:eastAsia="宋体" w:cs="宋体"/>
          <w:szCs w:val="21"/>
        </w:rPr>
        <w:t>48</w:t>
      </w:r>
      <w:r>
        <w:rPr>
          <w:rFonts w:ascii="宋体" w:hAnsi="宋体" w:eastAsia="宋体" w:cs="宋体"/>
          <w:spacing w:val="-6"/>
          <w:szCs w:val="21"/>
        </w:rPr>
        <w:t xml:space="preserve"> 小时内对该指示予以确认、更改或撤销。</w:t>
      </w:r>
    </w:p>
    <w:p w14:paraId="7FAA1A6C">
      <w:pPr>
        <w:sectPr>
          <w:pgSz w:w="11910" w:h="16840"/>
          <w:pgMar w:top="1640" w:right="849" w:bottom="1360" w:left="992" w:header="0" w:footer="1176" w:gutter="0"/>
          <w:cols w:space="720" w:num="1"/>
        </w:sectPr>
      </w:pPr>
    </w:p>
    <w:p w14:paraId="37CDAB4E">
      <w:pPr>
        <w:numPr>
          <w:ilvl w:val="2"/>
          <w:numId w:val="14"/>
        </w:numPr>
        <w:tabs>
          <w:tab w:val="left" w:pos="1581"/>
        </w:tabs>
        <w:autoSpaceDE w:val="0"/>
        <w:autoSpaceDN w:val="0"/>
        <w:spacing w:before="37" w:line="350" w:lineRule="auto"/>
        <w:ind w:right="569" w:firstLine="420"/>
        <w:rPr>
          <w:rFonts w:ascii="宋体" w:hAnsi="宋体" w:eastAsia="宋体" w:cs="宋体"/>
          <w:szCs w:val="22"/>
        </w:rPr>
      </w:pPr>
      <w:r>
        <w:rPr>
          <w:rFonts w:ascii="宋体" w:hAnsi="宋体" w:eastAsia="宋体" w:cs="宋体"/>
          <w:szCs w:val="22"/>
        </w:rPr>
        <w:t>除专用合同条款另有约定外，总监理工程师不应将第 3.5</w:t>
      </w:r>
      <w:r>
        <w:rPr>
          <w:rFonts w:ascii="宋体" w:hAnsi="宋体" w:eastAsia="宋体" w:cs="宋体"/>
          <w:spacing w:val="-1"/>
          <w:szCs w:val="22"/>
        </w:rPr>
        <w:t xml:space="preserve"> 款约定应由总监理工程师作</w:t>
      </w:r>
      <w:r>
        <w:rPr>
          <w:rFonts w:ascii="宋体" w:hAnsi="宋体" w:eastAsia="宋体" w:cs="宋体"/>
          <w:spacing w:val="-2"/>
          <w:szCs w:val="22"/>
        </w:rPr>
        <w:t>出确定的权力授权或委托给其他监理人员。</w:t>
      </w:r>
    </w:p>
    <w:p w14:paraId="1ACB8EB4">
      <w:pPr>
        <w:numPr>
          <w:ilvl w:val="1"/>
          <w:numId w:val="14"/>
        </w:numPr>
        <w:tabs>
          <w:tab w:val="left" w:pos="950"/>
        </w:tabs>
        <w:autoSpaceDE w:val="0"/>
        <w:autoSpaceDN w:val="0"/>
        <w:spacing w:before="2"/>
        <w:ind w:left="950" w:hanging="524"/>
        <w:rPr>
          <w:rFonts w:ascii="宋体" w:hAnsi="宋体" w:eastAsia="宋体" w:cs="宋体"/>
          <w:szCs w:val="22"/>
        </w:rPr>
      </w:pPr>
      <w:r>
        <w:rPr>
          <w:rFonts w:ascii="宋体" w:hAnsi="宋体" w:eastAsia="宋体" w:cs="宋体"/>
          <w:spacing w:val="-4"/>
          <w:szCs w:val="22"/>
        </w:rPr>
        <w:t>监理人的指示</w:t>
      </w:r>
    </w:p>
    <w:p w14:paraId="126B708D">
      <w:pPr>
        <w:numPr>
          <w:ilvl w:val="2"/>
          <w:numId w:val="14"/>
        </w:numPr>
        <w:tabs>
          <w:tab w:val="left" w:pos="1581"/>
        </w:tabs>
        <w:autoSpaceDE w:val="0"/>
        <w:autoSpaceDN w:val="0"/>
        <w:spacing w:before="128"/>
        <w:ind w:left="1581"/>
        <w:rPr>
          <w:rFonts w:ascii="宋体" w:hAnsi="宋体" w:eastAsia="宋体" w:cs="宋体"/>
          <w:szCs w:val="22"/>
        </w:rPr>
      </w:pPr>
      <w:r>
        <w:rPr>
          <w:rFonts w:ascii="宋体" w:hAnsi="宋体" w:eastAsia="宋体" w:cs="宋体"/>
          <w:spacing w:val="-1"/>
          <w:szCs w:val="22"/>
        </w:rPr>
        <w:t xml:space="preserve">监理人应按第 </w:t>
      </w:r>
      <w:r>
        <w:rPr>
          <w:rFonts w:ascii="宋体" w:hAnsi="宋体" w:eastAsia="宋体" w:cs="宋体"/>
          <w:szCs w:val="22"/>
        </w:rPr>
        <w:t>3.1</w:t>
      </w:r>
      <w:r>
        <w:rPr>
          <w:rFonts w:ascii="宋体" w:hAnsi="宋体" w:eastAsia="宋体" w:cs="宋体"/>
          <w:spacing w:val="-4"/>
          <w:szCs w:val="22"/>
        </w:rPr>
        <w:t xml:space="preserve"> 款的约定向承包人发出指示，监理人的指示应采用书面形式，盖有</w:t>
      </w:r>
    </w:p>
    <w:p w14:paraId="66F019DC">
      <w:pPr>
        <w:autoSpaceDE w:val="0"/>
        <w:autoSpaceDN w:val="0"/>
        <w:spacing w:before="125" w:line="352" w:lineRule="auto"/>
        <w:ind w:left="426" w:right="569"/>
        <w:jc w:val="left"/>
        <w:rPr>
          <w:rFonts w:ascii="宋体" w:hAnsi="宋体" w:eastAsia="宋体" w:cs="宋体"/>
          <w:szCs w:val="21"/>
        </w:rPr>
      </w:pPr>
      <w:r>
        <w:rPr>
          <w:rFonts w:ascii="宋体" w:hAnsi="宋体" w:eastAsia="宋体" w:cs="宋体"/>
          <w:spacing w:val="-6"/>
          <w:szCs w:val="21"/>
        </w:rPr>
        <w:t xml:space="preserve">监理人授权的施工场地机构章，并由总监理工程师或总监理工程师按第 </w:t>
      </w:r>
      <w:r>
        <w:rPr>
          <w:rFonts w:ascii="宋体" w:hAnsi="宋体" w:eastAsia="宋体" w:cs="宋体"/>
          <w:szCs w:val="21"/>
        </w:rPr>
        <w:t>3.3.1</w:t>
      </w:r>
      <w:r>
        <w:rPr>
          <w:rFonts w:ascii="宋体" w:hAnsi="宋体" w:eastAsia="宋体" w:cs="宋体"/>
          <w:spacing w:val="-5"/>
          <w:szCs w:val="21"/>
        </w:rPr>
        <w:t xml:space="preserve"> 项约定授权的监理人</w:t>
      </w:r>
      <w:r>
        <w:rPr>
          <w:rFonts w:ascii="宋体" w:hAnsi="宋体" w:eastAsia="宋体" w:cs="宋体"/>
          <w:spacing w:val="-4"/>
          <w:szCs w:val="21"/>
        </w:rPr>
        <w:t>员签字。</w:t>
      </w:r>
    </w:p>
    <w:p w14:paraId="4152A0C5">
      <w:pPr>
        <w:numPr>
          <w:ilvl w:val="2"/>
          <w:numId w:val="14"/>
        </w:numPr>
        <w:tabs>
          <w:tab w:val="left" w:pos="1578"/>
        </w:tabs>
        <w:autoSpaceDE w:val="0"/>
        <w:autoSpaceDN w:val="0"/>
        <w:spacing w:line="272" w:lineRule="exact"/>
        <w:ind w:left="1578" w:hanging="732"/>
        <w:rPr>
          <w:rFonts w:ascii="宋体" w:hAnsi="宋体" w:eastAsia="宋体" w:cs="宋体"/>
          <w:szCs w:val="22"/>
        </w:rPr>
      </w:pPr>
      <w:r>
        <w:rPr>
          <w:rFonts w:ascii="宋体" w:hAnsi="宋体" w:eastAsia="宋体" w:cs="宋体"/>
          <w:spacing w:val="-3"/>
          <w:szCs w:val="22"/>
        </w:rPr>
        <w:t xml:space="preserve">承包人收到监理人按第 </w:t>
      </w:r>
      <w:r>
        <w:rPr>
          <w:rFonts w:ascii="宋体" w:hAnsi="宋体" w:eastAsia="宋体" w:cs="宋体"/>
          <w:spacing w:val="-2"/>
          <w:szCs w:val="22"/>
        </w:rPr>
        <w:t>3.4.1</w:t>
      </w:r>
      <w:r>
        <w:rPr>
          <w:rFonts w:ascii="宋体" w:hAnsi="宋体" w:eastAsia="宋体" w:cs="宋体"/>
          <w:spacing w:val="-7"/>
          <w:szCs w:val="22"/>
        </w:rPr>
        <w:t xml:space="preserve"> 项作出的指示后应遵照执行。 指示构成变更的，应按第</w:t>
      </w:r>
    </w:p>
    <w:p w14:paraId="1C76AF6A">
      <w:pPr>
        <w:autoSpaceDE w:val="0"/>
        <w:autoSpaceDN w:val="0"/>
        <w:spacing w:before="125"/>
        <w:ind w:left="426"/>
        <w:jc w:val="left"/>
        <w:rPr>
          <w:rFonts w:ascii="宋体" w:hAnsi="宋体" w:eastAsia="宋体" w:cs="宋体"/>
          <w:szCs w:val="21"/>
        </w:rPr>
      </w:pPr>
      <w:r>
        <w:rPr>
          <w:rFonts w:ascii="宋体" w:hAnsi="宋体" w:eastAsia="宋体" w:cs="宋体"/>
          <w:szCs w:val="21"/>
        </w:rPr>
        <w:t>15</w:t>
      </w:r>
      <w:r>
        <w:rPr>
          <w:rFonts w:ascii="宋体" w:hAnsi="宋体" w:eastAsia="宋体" w:cs="宋体"/>
          <w:spacing w:val="-5"/>
          <w:szCs w:val="21"/>
        </w:rPr>
        <w:t xml:space="preserve"> 条处理。</w:t>
      </w:r>
    </w:p>
    <w:p w14:paraId="3D230A19">
      <w:pPr>
        <w:numPr>
          <w:ilvl w:val="2"/>
          <w:numId w:val="14"/>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5"/>
          <w:szCs w:val="22"/>
        </w:rPr>
        <w:t>在紧急情况下，总监理工程师或被授权的监理人员可以当场签发临时书面指示，承包人</w:t>
      </w:r>
    </w:p>
    <w:p w14:paraId="68201A44">
      <w:pPr>
        <w:autoSpaceDE w:val="0"/>
        <w:autoSpaceDN w:val="0"/>
        <w:spacing w:before="128"/>
        <w:ind w:left="426"/>
        <w:jc w:val="left"/>
        <w:rPr>
          <w:rFonts w:ascii="宋体" w:hAnsi="宋体" w:eastAsia="宋体" w:cs="宋体"/>
          <w:szCs w:val="21"/>
        </w:rPr>
      </w:pPr>
      <w:r>
        <w:rPr>
          <w:rFonts w:ascii="宋体" w:hAnsi="宋体" w:eastAsia="宋体" w:cs="宋体"/>
          <w:spacing w:val="-1"/>
          <w:szCs w:val="21"/>
        </w:rPr>
        <w:t xml:space="preserve">应遵照执行。承包人应在收到上述临时书面指示后 </w:t>
      </w:r>
      <w:r>
        <w:rPr>
          <w:rFonts w:ascii="宋体" w:hAnsi="宋体" w:eastAsia="宋体" w:cs="宋体"/>
          <w:szCs w:val="21"/>
        </w:rPr>
        <w:t>24</w:t>
      </w:r>
      <w:r>
        <w:rPr>
          <w:rFonts w:ascii="宋体" w:hAnsi="宋体" w:eastAsia="宋体" w:cs="宋体"/>
          <w:spacing w:val="-4"/>
          <w:szCs w:val="21"/>
        </w:rPr>
        <w:t xml:space="preserve"> 小时内，向监理人发出书面确认函。监理人</w:t>
      </w:r>
    </w:p>
    <w:p w14:paraId="5E24DFA2">
      <w:pPr>
        <w:autoSpaceDE w:val="0"/>
        <w:autoSpaceDN w:val="0"/>
        <w:spacing w:before="125"/>
        <w:ind w:left="426"/>
        <w:jc w:val="left"/>
        <w:rPr>
          <w:rFonts w:ascii="宋体" w:hAnsi="宋体" w:eastAsia="宋体" w:cs="宋体"/>
          <w:szCs w:val="21"/>
        </w:rPr>
      </w:pPr>
      <w:r>
        <w:rPr>
          <w:rFonts w:ascii="宋体" w:hAnsi="宋体" w:eastAsia="宋体" w:cs="宋体"/>
          <w:spacing w:val="-2"/>
          <w:szCs w:val="21"/>
        </w:rPr>
        <w:t>在收到书面确认函后 24</w:t>
      </w:r>
      <w:r>
        <w:rPr>
          <w:rFonts w:ascii="宋体" w:hAnsi="宋体" w:eastAsia="宋体" w:cs="宋体"/>
          <w:spacing w:val="-3"/>
          <w:szCs w:val="21"/>
        </w:rPr>
        <w:t xml:space="preserve"> 小时内未予答复的，该书面确认函应被视为监理人的正式指示。</w:t>
      </w:r>
    </w:p>
    <w:p w14:paraId="4F01C3E1">
      <w:pPr>
        <w:numPr>
          <w:ilvl w:val="2"/>
          <w:numId w:val="14"/>
        </w:numPr>
        <w:tabs>
          <w:tab w:val="left" w:pos="1581"/>
        </w:tabs>
        <w:autoSpaceDE w:val="0"/>
        <w:autoSpaceDN w:val="0"/>
        <w:spacing w:before="128" w:line="352" w:lineRule="auto"/>
        <w:ind w:right="566" w:firstLine="420"/>
        <w:rPr>
          <w:rFonts w:ascii="宋体" w:hAnsi="宋体" w:eastAsia="宋体" w:cs="宋体"/>
          <w:szCs w:val="22"/>
        </w:rPr>
      </w:pPr>
      <w:r>
        <w:rPr>
          <w:rFonts w:ascii="宋体" w:hAnsi="宋体" w:eastAsia="宋体" w:cs="宋体"/>
          <w:szCs w:val="22"/>
        </w:rPr>
        <w:t>除合同另有约定外，承包人只从总监理工程师或按第 3.3.1 项被授权的监理人员处取</w:t>
      </w:r>
      <w:r>
        <w:rPr>
          <w:rFonts w:ascii="宋体" w:hAnsi="宋体" w:eastAsia="宋体" w:cs="宋体"/>
          <w:spacing w:val="-4"/>
          <w:szCs w:val="22"/>
        </w:rPr>
        <w:t>得指示。</w:t>
      </w:r>
    </w:p>
    <w:p w14:paraId="1E583250">
      <w:pPr>
        <w:numPr>
          <w:ilvl w:val="2"/>
          <w:numId w:val="14"/>
        </w:numPr>
        <w:tabs>
          <w:tab w:val="left" w:pos="1586"/>
        </w:tabs>
        <w:autoSpaceDE w:val="0"/>
        <w:autoSpaceDN w:val="0"/>
        <w:spacing w:line="270" w:lineRule="exact"/>
        <w:ind w:left="1586" w:hanging="740"/>
        <w:rPr>
          <w:rFonts w:ascii="宋体" w:hAnsi="宋体" w:eastAsia="宋体" w:cs="宋体"/>
          <w:szCs w:val="22"/>
        </w:rPr>
      </w:pPr>
      <w:r>
        <w:rPr>
          <w:rFonts w:ascii="宋体" w:hAnsi="宋体" w:eastAsia="宋体" w:cs="宋体"/>
          <w:spacing w:val="-1"/>
          <w:szCs w:val="22"/>
        </w:rPr>
        <w:t>由于监理人未能按合同约定发出指示、指示延误或指示错误而导致承包人费用增加和</w:t>
      </w:r>
    </w:p>
    <w:p w14:paraId="10B42277">
      <w:pPr>
        <w:autoSpaceDE w:val="0"/>
        <w:autoSpaceDN w:val="0"/>
        <w:spacing w:before="128"/>
        <w:ind w:left="320"/>
        <w:jc w:val="left"/>
        <w:rPr>
          <w:rFonts w:ascii="宋体" w:hAnsi="宋体" w:eastAsia="宋体" w:cs="宋体"/>
          <w:szCs w:val="21"/>
        </w:rPr>
      </w:pPr>
      <w:r>
        <w:rPr>
          <w:rFonts w:ascii="宋体" w:hAnsi="宋体" w:eastAsia="宋体" w:cs="宋体"/>
          <w:spacing w:val="-2"/>
          <w:szCs w:val="21"/>
        </w:rPr>
        <w:t>（或）工期延误的，由发包人承担由此增加的费用和（或）</w:t>
      </w:r>
      <w:r>
        <w:rPr>
          <w:rFonts w:ascii="宋体" w:hAnsi="宋体" w:eastAsia="宋体" w:cs="宋体"/>
          <w:spacing w:val="-3"/>
          <w:szCs w:val="21"/>
        </w:rPr>
        <w:t>工期延误，并向承包人支付合理利润。</w:t>
      </w:r>
    </w:p>
    <w:p w14:paraId="6D005185">
      <w:pPr>
        <w:numPr>
          <w:ilvl w:val="1"/>
          <w:numId w:val="14"/>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4"/>
          <w:szCs w:val="22"/>
        </w:rPr>
        <w:t>商定或确定</w:t>
      </w:r>
    </w:p>
    <w:p w14:paraId="08B545D6">
      <w:pPr>
        <w:numPr>
          <w:ilvl w:val="2"/>
          <w:numId w:val="14"/>
        </w:numPr>
        <w:tabs>
          <w:tab w:val="left" w:pos="1586"/>
        </w:tabs>
        <w:autoSpaceDE w:val="0"/>
        <w:autoSpaceDN w:val="0"/>
        <w:spacing w:before="125" w:line="352" w:lineRule="auto"/>
        <w:ind w:right="569" w:firstLine="420"/>
        <w:jc w:val="both"/>
        <w:rPr>
          <w:rFonts w:ascii="宋体" w:hAnsi="宋体" w:eastAsia="宋体" w:cs="宋体"/>
          <w:szCs w:val="22"/>
        </w:rPr>
      </w:pPr>
      <w:r>
        <w:rPr>
          <w:rFonts w:ascii="宋体" w:hAnsi="宋体" w:eastAsia="宋体" w:cs="宋体"/>
          <w:spacing w:val="-2"/>
          <w:szCs w:val="21"/>
        </w:rPr>
        <w:t>合同约定监理人应按照本款对任何事项进行商定或确定时，监理人应与合同当事人协商，尽量达成一致。监理人应将商定的结果以书面形式通知发包人和承包人，并由双方签署确认</w:t>
      </w:r>
      <w:r>
        <w:rPr>
          <w:rFonts w:ascii="宋体" w:hAnsi="宋体" w:eastAsia="宋体" w:cs="宋体"/>
          <w:spacing w:val="-1"/>
          <w:w w:val="99"/>
          <w:szCs w:val="22"/>
        </w:rPr>
        <w:t>。</w:t>
      </w:r>
    </w:p>
    <w:p w14:paraId="7227FFE7">
      <w:pPr>
        <w:numPr>
          <w:ilvl w:val="2"/>
          <w:numId w:val="14"/>
        </w:numPr>
        <w:tabs>
          <w:tab w:val="left" w:pos="1578"/>
        </w:tabs>
        <w:autoSpaceDE w:val="0"/>
        <w:autoSpaceDN w:val="0"/>
        <w:spacing w:line="272" w:lineRule="exact"/>
        <w:ind w:left="1578" w:hanging="732"/>
        <w:jc w:val="both"/>
        <w:rPr>
          <w:rFonts w:ascii="宋体" w:hAnsi="宋体" w:eastAsia="宋体" w:cs="宋体"/>
          <w:szCs w:val="22"/>
        </w:rPr>
      </w:pPr>
      <w:r>
        <w:rPr>
          <w:rFonts w:ascii="宋体" w:hAnsi="宋体" w:eastAsia="宋体" w:cs="宋体"/>
          <w:spacing w:val="-8"/>
          <w:szCs w:val="22"/>
        </w:rPr>
        <w:t>除专用合同条件另有约定外，商定的期限应为监理人收到任何一方就商定事由发出的通</w:t>
      </w:r>
    </w:p>
    <w:p w14:paraId="2DF9C16F">
      <w:pPr>
        <w:autoSpaceDE w:val="0"/>
        <w:autoSpaceDN w:val="0"/>
        <w:spacing w:before="126"/>
        <w:ind w:left="426"/>
        <w:rPr>
          <w:rFonts w:ascii="宋体" w:hAnsi="宋体" w:eastAsia="宋体" w:cs="宋体"/>
          <w:szCs w:val="21"/>
        </w:rPr>
      </w:pPr>
      <w:r>
        <w:rPr>
          <w:rFonts w:ascii="宋体" w:hAnsi="宋体" w:eastAsia="宋体" w:cs="宋体"/>
          <w:spacing w:val="-4"/>
          <w:szCs w:val="21"/>
        </w:rPr>
        <w:t xml:space="preserve">知后 </w:t>
      </w:r>
      <w:r>
        <w:rPr>
          <w:rFonts w:ascii="宋体" w:hAnsi="宋体" w:eastAsia="宋体" w:cs="宋体"/>
          <w:szCs w:val="21"/>
        </w:rPr>
        <w:t>42</w:t>
      </w:r>
      <w:r>
        <w:rPr>
          <w:rFonts w:ascii="宋体" w:hAnsi="宋体" w:eastAsia="宋体" w:cs="宋体"/>
          <w:spacing w:val="-4"/>
          <w:szCs w:val="21"/>
        </w:rPr>
        <w:t xml:space="preserve"> 天内或监理人提出并经双方同意的其他期限。未能在该期限内达成一致的，监理人应按合</w:t>
      </w:r>
    </w:p>
    <w:p w14:paraId="1233FA38">
      <w:pPr>
        <w:autoSpaceDE w:val="0"/>
        <w:autoSpaceDN w:val="0"/>
        <w:spacing w:before="127" w:line="352" w:lineRule="auto"/>
        <w:ind w:left="426" w:right="569"/>
        <w:rPr>
          <w:rFonts w:ascii="宋体" w:hAnsi="宋体" w:eastAsia="宋体" w:cs="宋体"/>
          <w:szCs w:val="21"/>
        </w:rPr>
      </w:pPr>
      <w:r>
        <w:rPr>
          <w:rFonts w:ascii="宋体" w:hAnsi="宋体" w:eastAsia="宋体" w:cs="宋体"/>
          <w:szCs w:val="21"/>
        </w:rPr>
        <w:t>同约定审慎做出公正的确定。确定的期限应为商定的期限届满后 42</w:t>
      </w:r>
      <w:r>
        <w:rPr>
          <w:rFonts w:ascii="宋体" w:hAnsi="宋体" w:eastAsia="宋体" w:cs="宋体"/>
          <w:spacing w:val="-1"/>
          <w:szCs w:val="21"/>
        </w:rPr>
        <w:t xml:space="preserve"> 天内或监理人提出并经双方同</w:t>
      </w:r>
      <w:r>
        <w:rPr>
          <w:rFonts w:ascii="宋体" w:hAnsi="宋体" w:eastAsia="宋体" w:cs="宋体"/>
          <w:spacing w:val="-2"/>
          <w:szCs w:val="21"/>
        </w:rPr>
        <w:t>意的其他期限。监理人应将确定的结果以书面形式通知发包人和承包人，并附详细依据。</w:t>
      </w:r>
    </w:p>
    <w:p w14:paraId="3CE3E7FC">
      <w:pPr>
        <w:numPr>
          <w:ilvl w:val="2"/>
          <w:numId w:val="14"/>
        </w:numPr>
        <w:tabs>
          <w:tab w:val="left" w:pos="1578"/>
        </w:tabs>
        <w:autoSpaceDE w:val="0"/>
        <w:autoSpaceDN w:val="0"/>
        <w:spacing w:line="270" w:lineRule="exact"/>
        <w:ind w:left="1578" w:hanging="732"/>
        <w:jc w:val="both"/>
        <w:rPr>
          <w:rFonts w:ascii="宋体" w:hAnsi="宋体" w:eastAsia="宋体" w:cs="宋体"/>
          <w:szCs w:val="22"/>
        </w:rPr>
      </w:pPr>
      <w:r>
        <w:rPr>
          <w:rFonts w:ascii="宋体" w:hAnsi="宋体" w:eastAsia="宋体" w:cs="宋体"/>
          <w:spacing w:val="-6"/>
          <w:szCs w:val="22"/>
        </w:rPr>
        <w:t xml:space="preserve">任何一方对监理人的确定有异议的，应在收到确定的结果后 </w:t>
      </w:r>
      <w:r>
        <w:rPr>
          <w:rFonts w:ascii="宋体" w:hAnsi="宋体" w:eastAsia="宋体" w:cs="宋体"/>
          <w:spacing w:val="-2"/>
          <w:szCs w:val="22"/>
        </w:rPr>
        <w:t>28</w:t>
      </w:r>
      <w:r>
        <w:rPr>
          <w:rFonts w:ascii="宋体" w:hAnsi="宋体" w:eastAsia="宋体" w:cs="宋体"/>
          <w:spacing w:val="-3"/>
          <w:szCs w:val="22"/>
        </w:rPr>
        <w:t xml:space="preserve"> 天内向另一方发出书面</w:t>
      </w:r>
    </w:p>
    <w:p w14:paraId="69C29D13">
      <w:pPr>
        <w:autoSpaceDE w:val="0"/>
        <w:autoSpaceDN w:val="0"/>
        <w:spacing w:before="128" w:line="352" w:lineRule="auto"/>
        <w:ind w:left="426" w:right="567"/>
        <w:rPr>
          <w:rFonts w:ascii="宋体" w:hAnsi="宋体" w:eastAsia="宋体" w:cs="宋体"/>
          <w:szCs w:val="21"/>
        </w:rPr>
      </w:pPr>
      <w:r>
        <w:rPr>
          <w:rFonts w:ascii="宋体" w:hAnsi="宋体" w:eastAsia="宋体" w:cs="宋体"/>
          <w:szCs w:val="21"/>
        </w:rPr>
        <w:t>异议通知并抄送监理人。除第 23.2 款[承包人索赔处理程序]另有约定外，监理人未能在确定的期</w:t>
      </w:r>
      <w:r>
        <w:rPr>
          <w:rFonts w:ascii="宋体" w:hAnsi="宋体" w:eastAsia="宋体" w:cs="宋体"/>
          <w:spacing w:val="-2"/>
          <w:szCs w:val="21"/>
        </w:rPr>
        <w:t>限内发出确定的结果通知的，或者任何一方发出对确定的结果有异议的通知的，则构成争议并应按</w:t>
      </w:r>
      <w:r>
        <w:rPr>
          <w:rFonts w:ascii="宋体" w:hAnsi="宋体" w:eastAsia="宋体" w:cs="宋体"/>
          <w:szCs w:val="21"/>
        </w:rPr>
        <w:t>照第 24 条[争议解决]的约定处理。如未在 28 天内发出上述通知的，监理人的确定应被视为已被</w:t>
      </w:r>
      <w:r>
        <w:rPr>
          <w:rFonts w:ascii="宋体" w:hAnsi="宋体" w:eastAsia="宋体" w:cs="宋体"/>
          <w:spacing w:val="-2"/>
          <w:szCs w:val="21"/>
        </w:rPr>
        <w:t>双方接受并对双方具有约束力，但专用合同条件另有约定的除外。</w:t>
      </w:r>
    </w:p>
    <w:p w14:paraId="75EFF1DF">
      <w:pPr>
        <w:numPr>
          <w:ilvl w:val="2"/>
          <w:numId w:val="14"/>
        </w:numPr>
        <w:tabs>
          <w:tab w:val="left" w:pos="1578"/>
        </w:tabs>
        <w:autoSpaceDE w:val="0"/>
        <w:autoSpaceDN w:val="0"/>
        <w:spacing w:line="350" w:lineRule="auto"/>
        <w:ind w:right="567" w:firstLine="420"/>
        <w:jc w:val="both"/>
        <w:rPr>
          <w:rFonts w:ascii="宋体" w:hAnsi="宋体" w:eastAsia="宋体" w:cs="宋体"/>
          <w:szCs w:val="22"/>
        </w:rPr>
      </w:pPr>
      <w:r>
        <w:rPr>
          <w:rFonts w:ascii="宋体" w:hAnsi="宋体" w:eastAsia="宋体" w:cs="宋体"/>
          <w:spacing w:val="-3"/>
          <w:szCs w:val="22"/>
        </w:rPr>
        <w:t xml:space="preserve">在该争议解决前，双方应暂按监理人的确定执行。按照第 </w:t>
      </w:r>
      <w:r>
        <w:rPr>
          <w:rFonts w:ascii="宋体" w:hAnsi="宋体" w:eastAsia="宋体" w:cs="宋体"/>
          <w:spacing w:val="-2"/>
          <w:szCs w:val="22"/>
        </w:rPr>
        <w:t>24</w:t>
      </w:r>
      <w:r>
        <w:rPr>
          <w:rFonts w:ascii="宋体" w:hAnsi="宋体" w:eastAsia="宋体" w:cs="宋体"/>
          <w:spacing w:val="-5"/>
          <w:szCs w:val="22"/>
        </w:rPr>
        <w:t xml:space="preserve"> 条[争议解决]的约定对监</w:t>
      </w:r>
      <w:r>
        <w:rPr>
          <w:rFonts w:ascii="宋体" w:hAnsi="宋体" w:eastAsia="宋体" w:cs="宋体"/>
          <w:spacing w:val="-2"/>
          <w:szCs w:val="22"/>
        </w:rPr>
        <w:t>理人的确定作出修改的，按修改后的结果执行，由此导致承包人增加的费用和延误的工期由责任方</w:t>
      </w:r>
      <w:r>
        <w:rPr>
          <w:rFonts w:ascii="宋体" w:hAnsi="宋体" w:eastAsia="宋体" w:cs="宋体"/>
          <w:spacing w:val="-4"/>
          <w:szCs w:val="22"/>
        </w:rPr>
        <w:t>承担。</w:t>
      </w:r>
    </w:p>
    <w:p w14:paraId="25BEB4A1">
      <w:pPr>
        <w:numPr>
          <w:ilvl w:val="0"/>
          <w:numId w:val="16"/>
        </w:numPr>
        <w:tabs>
          <w:tab w:val="left" w:pos="739"/>
        </w:tabs>
        <w:autoSpaceDE w:val="0"/>
        <w:autoSpaceDN w:val="0"/>
        <w:ind w:left="739" w:hanging="313"/>
        <w:rPr>
          <w:rFonts w:ascii="宋体" w:hAnsi="宋体" w:eastAsia="宋体" w:cs="宋体"/>
          <w:szCs w:val="22"/>
        </w:rPr>
      </w:pPr>
      <w:r>
        <w:rPr>
          <w:rFonts w:ascii="宋体" w:hAnsi="宋体" w:eastAsia="宋体" w:cs="宋体"/>
          <w:spacing w:val="-5"/>
          <w:szCs w:val="22"/>
        </w:rPr>
        <w:t>承包人</w:t>
      </w:r>
    </w:p>
    <w:p w14:paraId="0EC83C7B">
      <w:pPr>
        <w:numPr>
          <w:ilvl w:val="1"/>
          <w:numId w:val="16"/>
        </w:numPr>
        <w:tabs>
          <w:tab w:val="left" w:pos="950"/>
        </w:tabs>
        <w:autoSpaceDE w:val="0"/>
        <w:autoSpaceDN w:val="0"/>
        <w:spacing w:before="125"/>
        <w:ind w:left="950" w:hanging="524"/>
        <w:jc w:val="left"/>
        <w:rPr>
          <w:rFonts w:ascii="宋体" w:hAnsi="宋体" w:eastAsia="宋体" w:cs="宋体"/>
          <w:szCs w:val="22"/>
        </w:rPr>
      </w:pPr>
      <w:r>
        <w:rPr>
          <w:rFonts w:ascii="宋体" w:hAnsi="宋体" w:eastAsia="宋体" w:cs="宋体"/>
          <w:spacing w:val="-4"/>
          <w:szCs w:val="22"/>
        </w:rPr>
        <w:t>承包人的一般义务</w:t>
      </w:r>
    </w:p>
    <w:p w14:paraId="650B8ECE">
      <w:pPr>
        <w:numPr>
          <w:ilvl w:val="2"/>
          <w:numId w:val="16"/>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7"/>
          <w:szCs w:val="22"/>
        </w:rPr>
        <w:t>遵守法律</w:t>
      </w:r>
    </w:p>
    <w:p w14:paraId="211F021C">
      <w:pPr>
        <w:jc w:val="left"/>
        <w:sectPr>
          <w:pgSz w:w="11910" w:h="16840"/>
          <w:pgMar w:top="1640" w:right="849" w:bottom="1360" w:left="992" w:header="0" w:footer="1176" w:gutter="0"/>
          <w:cols w:space="720" w:num="1"/>
        </w:sectPr>
      </w:pPr>
    </w:p>
    <w:p w14:paraId="5CFE7ED4">
      <w:pPr>
        <w:autoSpaceDE w:val="0"/>
        <w:autoSpaceDN w:val="0"/>
        <w:spacing w:before="37" w:line="350" w:lineRule="auto"/>
        <w:ind w:left="426" w:right="567" w:firstLine="420"/>
        <w:jc w:val="left"/>
        <w:rPr>
          <w:rFonts w:ascii="宋体" w:hAnsi="宋体" w:eastAsia="宋体" w:cs="宋体"/>
          <w:szCs w:val="21"/>
        </w:rPr>
      </w:pPr>
      <w:r>
        <w:rPr>
          <w:rFonts w:ascii="宋体" w:hAnsi="宋体" w:eastAsia="宋体" w:cs="宋体"/>
          <w:spacing w:val="-2"/>
          <w:szCs w:val="21"/>
        </w:rPr>
        <w:t>承包人在履行合同过程中应遵守法律，并保证发包人免于承担因承包人违反法律而引起的任何</w:t>
      </w:r>
      <w:r>
        <w:rPr>
          <w:rFonts w:ascii="宋体" w:hAnsi="宋体" w:eastAsia="宋体" w:cs="宋体"/>
          <w:spacing w:val="-4"/>
          <w:szCs w:val="21"/>
        </w:rPr>
        <w:t>责任。</w:t>
      </w:r>
    </w:p>
    <w:p w14:paraId="447F0EDB">
      <w:pPr>
        <w:numPr>
          <w:ilvl w:val="2"/>
          <w:numId w:val="16"/>
        </w:numPr>
        <w:tabs>
          <w:tab w:val="left" w:pos="1578"/>
        </w:tabs>
        <w:autoSpaceDE w:val="0"/>
        <w:autoSpaceDN w:val="0"/>
        <w:spacing w:before="2"/>
        <w:ind w:left="1578" w:hanging="732"/>
        <w:rPr>
          <w:rFonts w:ascii="宋体" w:hAnsi="宋体" w:eastAsia="宋体" w:cs="宋体"/>
          <w:szCs w:val="22"/>
        </w:rPr>
      </w:pPr>
      <w:r>
        <w:rPr>
          <w:rFonts w:ascii="宋体" w:hAnsi="宋体" w:eastAsia="宋体" w:cs="宋体"/>
          <w:spacing w:val="-7"/>
          <w:szCs w:val="22"/>
        </w:rPr>
        <w:t>依法纳税</w:t>
      </w:r>
    </w:p>
    <w:p w14:paraId="572FFA10">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承包人应按有关法律规定纳税，应缴纳的税金包括在合同价格内。</w:t>
      </w:r>
    </w:p>
    <w:p w14:paraId="5DA37D89">
      <w:pPr>
        <w:numPr>
          <w:ilvl w:val="2"/>
          <w:numId w:val="16"/>
        </w:numPr>
        <w:tabs>
          <w:tab w:val="left" w:pos="1578"/>
        </w:tabs>
        <w:autoSpaceDE w:val="0"/>
        <w:autoSpaceDN w:val="0"/>
        <w:spacing w:before="125"/>
        <w:ind w:left="1578" w:hanging="732"/>
        <w:rPr>
          <w:rFonts w:ascii="宋体" w:hAnsi="宋体" w:eastAsia="宋体" w:cs="宋体"/>
          <w:szCs w:val="22"/>
        </w:rPr>
      </w:pPr>
      <w:r>
        <w:rPr>
          <w:rFonts w:ascii="宋体" w:hAnsi="宋体" w:eastAsia="宋体" w:cs="宋体"/>
          <w:spacing w:val="-4"/>
          <w:szCs w:val="22"/>
        </w:rPr>
        <w:t>完成各项承包工作</w:t>
      </w:r>
    </w:p>
    <w:p w14:paraId="03C340BE">
      <w:pPr>
        <w:autoSpaceDE w:val="0"/>
        <w:autoSpaceDN w:val="0"/>
        <w:spacing w:before="128" w:line="352" w:lineRule="auto"/>
        <w:ind w:left="426" w:right="567" w:firstLine="420"/>
        <w:rPr>
          <w:rFonts w:ascii="宋体" w:hAnsi="宋体" w:eastAsia="宋体" w:cs="宋体"/>
          <w:szCs w:val="21"/>
        </w:rPr>
      </w:pPr>
      <w:r>
        <w:rPr>
          <w:rFonts w:ascii="宋体" w:hAnsi="宋体" w:eastAsia="宋体" w:cs="宋体"/>
          <w:spacing w:val="-3"/>
          <w:szCs w:val="21"/>
        </w:rPr>
        <w:t xml:space="preserve">承包人应按合同约定以及监理人根据第 </w:t>
      </w:r>
      <w:r>
        <w:rPr>
          <w:rFonts w:ascii="宋体" w:hAnsi="宋体" w:eastAsia="宋体" w:cs="宋体"/>
          <w:spacing w:val="-2"/>
          <w:szCs w:val="21"/>
        </w:rPr>
        <w:t>3.4</w:t>
      </w:r>
      <w:r>
        <w:rPr>
          <w:rFonts w:ascii="宋体" w:hAnsi="宋体" w:eastAsia="宋体" w:cs="宋体"/>
          <w:spacing w:val="-5"/>
          <w:szCs w:val="21"/>
        </w:rPr>
        <w:t xml:space="preserve"> 款作出的指示，实施、完成全部工程，并修补工程</w:t>
      </w:r>
      <w:r>
        <w:rPr>
          <w:rFonts w:ascii="宋体" w:hAnsi="宋体" w:eastAsia="宋体" w:cs="宋体"/>
          <w:spacing w:val="-2"/>
          <w:szCs w:val="21"/>
        </w:rPr>
        <w:t>中的任何缺陷。除专用合同条款另有约定外，承包人应提供为完成合同工作所需的劳务、材料、施工设备、工程设备和其它物品，并按合同约定负责临时设施的设计、施工、运行、维护、管理和拆</w:t>
      </w:r>
      <w:r>
        <w:rPr>
          <w:rFonts w:ascii="宋体" w:hAnsi="宋体" w:eastAsia="宋体" w:cs="宋体"/>
          <w:spacing w:val="-6"/>
          <w:szCs w:val="21"/>
        </w:rPr>
        <w:t>除。</w:t>
      </w:r>
    </w:p>
    <w:p w14:paraId="411012D4">
      <w:pPr>
        <w:autoSpaceDE w:val="0"/>
        <w:autoSpaceDN w:val="0"/>
        <w:spacing w:line="350" w:lineRule="auto"/>
        <w:ind w:left="426" w:right="463" w:firstLine="420"/>
        <w:jc w:val="left"/>
        <w:rPr>
          <w:rFonts w:ascii="宋体" w:hAnsi="宋体" w:eastAsia="宋体" w:cs="宋体"/>
          <w:szCs w:val="21"/>
        </w:rPr>
      </w:pPr>
      <w:r>
        <w:rPr>
          <w:rFonts w:ascii="宋体" w:hAnsi="宋体" w:eastAsia="宋体" w:cs="宋体"/>
          <w:spacing w:val="-2"/>
          <w:szCs w:val="21"/>
        </w:rPr>
        <w:t>承包人应负责做好合同规定的养护工程作业方案，精心组织养护，加强养护质量控制，完成本合同公路养护工程。为此，承包人应提供所需的全部监督管理、劳务、材料、设备、养护装备和其它物品。承包人应加强养护工程的质量控制，合同期内的公路养护质量指数MQI 及其分项指标 PQI、 SCI、BCI、TCI 等及次差路率指标 RoP 应符合技术规范第 106 节的规定要求，达到该要求是工程款支付的前提条件</w:t>
      </w:r>
      <w:r>
        <w:rPr>
          <w:rFonts w:ascii="宋体" w:hAnsi="宋体" w:eastAsia="宋体" w:cs="宋体"/>
          <w:spacing w:val="-1"/>
          <w:w w:val="99"/>
          <w:szCs w:val="21"/>
        </w:rPr>
        <w:t>。</w:t>
      </w:r>
    </w:p>
    <w:p w14:paraId="70B3FD8B">
      <w:pPr>
        <w:numPr>
          <w:ilvl w:val="2"/>
          <w:numId w:val="16"/>
        </w:numPr>
        <w:tabs>
          <w:tab w:val="left" w:pos="1578"/>
        </w:tabs>
        <w:autoSpaceDE w:val="0"/>
        <w:autoSpaceDN w:val="0"/>
        <w:spacing w:before="2"/>
        <w:ind w:left="1578" w:hanging="732"/>
        <w:rPr>
          <w:rFonts w:ascii="宋体" w:hAnsi="宋体" w:eastAsia="宋体" w:cs="宋体"/>
          <w:szCs w:val="22"/>
        </w:rPr>
      </w:pPr>
      <w:r>
        <w:rPr>
          <w:rFonts w:ascii="宋体" w:hAnsi="宋体" w:eastAsia="宋体" w:cs="宋体"/>
          <w:spacing w:val="-3"/>
          <w:szCs w:val="22"/>
        </w:rPr>
        <w:t>对施工作业和施工方法的完备性负责</w:t>
      </w:r>
    </w:p>
    <w:p w14:paraId="56D0023D">
      <w:pPr>
        <w:autoSpaceDE w:val="0"/>
        <w:autoSpaceDN w:val="0"/>
        <w:spacing w:before="127" w:line="350" w:lineRule="auto"/>
        <w:ind w:left="426" w:right="567" w:firstLine="420"/>
        <w:jc w:val="left"/>
        <w:rPr>
          <w:rFonts w:ascii="宋体" w:hAnsi="宋体" w:eastAsia="宋体" w:cs="宋体"/>
          <w:szCs w:val="21"/>
        </w:rPr>
      </w:pPr>
      <w:r>
        <w:rPr>
          <w:rFonts w:ascii="宋体" w:hAnsi="宋体" w:eastAsia="宋体" w:cs="宋体"/>
          <w:spacing w:val="-2"/>
          <w:szCs w:val="21"/>
        </w:rPr>
        <w:t>承包人应按合同约定的工作内容和施工进度要求，编制养护工程作业方案和施工措施计划，并对所有施工作业和施工方法的完备性和安全可靠性负责。</w:t>
      </w:r>
    </w:p>
    <w:p w14:paraId="6C07C398">
      <w:pPr>
        <w:autoSpaceDE w:val="0"/>
        <w:autoSpaceDN w:val="0"/>
        <w:spacing w:before="2" w:line="350" w:lineRule="auto"/>
        <w:ind w:left="426" w:right="567" w:firstLine="420"/>
        <w:rPr>
          <w:rFonts w:ascii="宋体" w:hAnsi="宋体" w:eastAsia="宋体" w:cs="宋体"/>
          <w:szCs w:val="21"/>
        </w:rPr>
      </w:pPr>
      <w:r>
        <w:rPr>
          <w:rFonts w:ascii="宋体" w:hAnsi="宋体" w:eastAsia="宋体" w:cs="宋体"/>
          <w:spacing w:val="-2"/>
          <w:szCs w:val="21"/>
        </w:rPr>
        <w:t>承包人应对全部现场作业和施工方法的适用性、可靠性和安全性承担全部责任。承包人应根据发包人提供的原有公路技术状况，进行认真的核查，协助和配合发包人进行各项检查，发现病害及时查明原因，为消除病害，提交经补充修改后的养护工程作业方案。</w:t>
      </w:r>
    </w:p>
    <w:p w14:paraId="52F04052">
      <w:pPr>
        <w:numPr>
          <w:ilvl w:val="2"/>
          <w:numId w:val="16"/>
        </w:numPr>
        <w:tabs>
          <w:tab w:val="left" w:pos="1578"/>
        </w:tabs>
        <w:autoSpaceDE w:val="0"/>
        <w:autoSpaceDN w:val="0"/>
        <w:spacing w:before="5"/>
        <w:ind w:left="1578" w:hanging="732"/>
        <w:jc w:val="both"/>
        <w:rPr>
          <w:rFonts w:ascii="宋体" w:hAnsi="宋体" w:eastAsia="宋体" w:cs="宋体"/>
          <w:szCs w:val="22"/>
        </w:rPr>
      </w:pPr>
      <w:r>
        <w:rPr>
          <w:rFonts w:ascii="宋体" w:hAnsi="宋体" w:eastAsia="宋体" w:cs="宋体"/>
          <w:spacing w:val="-3"/>
          <w:szCs w:val="22"/>
        </w:rPr>
        <w:t>保证养护工程施工和人员的安全</w:t>
      </w:r>
    </w:p>
    <w:p w14:paraId="379CF131">
      <w:pPr>
        <w:autoSpaceDE w:val="0"/>
        <w:autoSpaceDN w:val="0"/>
        <w:spacing w:before="128" w:line="350" w:lineRule="auto"/>
        <w:ind w:left="426" w:right="503" w:firstLine="420"/>
        <w:jc w:val="left"/>
        <w:rPr>
          <w:rFonts w:ascii="宋体" w:hAnsi="宋体" w:eastAsia="宋体" w:cs="宋体"/>
          <w:szCs w:val="21"/>
        </w:rPr>
      </w:pPr>
      <w:r>
        <w:rPr>
          <w:rFonts w:ascii="宋体" w:hAnsi="宋体" w:eastAsia="宋体" w:cs="宋体"/>
          <w:spacing w:val="-3"/>
          <w:szCs w:val="21"/>
        </w:rPr>
        <w:t xml:space="preserve">承包人应按第 </w:t>
      </w:r>
      <w:r>
        <w:rPr>
          <w:rFonts w:ascii="宋体" w:hAnsi="宋体" w:eastAsia="宋体" w:cs="宋体"/>
          <w:szCs w:val="21"/>
        </w:rPr>
        <w:t>9.2</w:t>
      </w:r>
      <w:r>
        <w:rPr>
          <w:rFonts w:ascii="宋体" w:hAnsi="宋体" w:eastAsia="宋体" w:cs="宋体"/>
          <w:spacing w:val="-5"/>
          <w:szCs w:val="21"/>
        </w:rPr>
        <w:t xml:space="preserve"> 款约定采取施工安全措施，确保工程及其人员、材料、设备和设施的安全，</w:t>
      </w:r>
      <w:r>
        <w:rPr>
          <w:rFonts w:ascii="宋体" w:hAnsi="宋体" w:eastAsia="宋体" w:cs="宋体"/>
          <w:spacing w:val="-2"/>
          <w:szCs w:val="21"/>
        </w:rPr>
        <w:t>防止因工程施工造成的人身伤害和财产损失。</w:t>
      </w:r>
    </w:p>
    <w:p w14:paraId="2874C760">
      <w:pPr>
        <w:autoSpaceDE w:val="0"/>
        <w:autoSpaceDN w:val="0"/>
        <w:spacing w:before="2" w:line="352" w:lineRule="auto"/>
        <w:ind w:left="426" w:right="463" w:firstLine="420"/>
        <w:jc w:val="left"/>
        <w:rPr>
          <w:rFonts w:ascii="宋体" w:hAnsi="宋体" w:eastAsia="宋体" w:cs="宋体"/>
          <w:szCs w:val="21"/>
        </w:rPr>
      </w:pPr>
      <w:r>
        <w:rPr>
          <w:rFonts w:ascii="宋体" w:hAnsi="宋体" w:eastAsia="宋体" w:cs="宋体"/>
          <w:spacing w:val="-2"/>
          <w:szCs w:val="21"/>
        </w:rPr>
        <w:t>在实施和完成养护工程的整个过程中，承包人应该充分关注和保障所有在现场工作人员安全，采取有效措施，使养护作业现场和本合同养护工程的实施保持有条不紊，以免人员的安全受到威胁</w:t>
      </w:r>
      <w:r>
        <w:rPr>
          <w:rFonts w:ascii="宋体" w:hAnsi="宋体" w:eastAsia="宋体" w:cs="宋体"/>
          <w:spacing w:val="-7"/>
          <w:w w:val="99"/>
          <w:szCs w:val="21"/>
        </w:rPr>
        <w:t>：</w:t>
      </w:r>
    </w:p>
    <w:p w14:paraId="36DED1C7">
      <w:pPr>
        <w:numPr>
          <w:ilvl w:val="0"/>
          <w:numId w:val="17"/>
        </w:numPr>
        <w:tabs>
          <w:tab w:val="left" w:pos="1267"/>
        </w:tabs>
        <w:autoSpaceDE w:val="0"/>
        <w:autoSpaceDN w:val="0"/>
        <w:spacing w:line="352" w:lineRule="auto"/>
        <w:ind w:right="569" w:firstLine="314"/>
        <w:jc w:val="both"/>
        <w:rPr>
          <w:rFonts w:ascii="宋体" w:hAnsi="宋体" w:eastAsia="宋体" w:cs="宋体"/>
          <w:szCs w:val="22"/>
        </w:rPr>
      </w:pPr>
      <w:r>
        <w:rPr>
          <w:rFonts w:ascii="宋体" w:hAnsi="宋体" w:eastAsia="宋体" w:cs="宋体"/>
          <w:szCs w:val="22"/>
        </w:rPr>
        <w:t>按施工人员的 2～4</w:t>
      </w:r>
      <w:r>
        <w:rPr>
          <w:rFonts w:ascii="宋体" w:hAnsi="宋体" w:eastAsia="宋体" w:cs="宋体"/>
          <w:spacing w:val="-1"/>
          <w:szCs w:val="22"/>
        </w:rPr>
        <w:t xml:space="preserve">％配备专职安全员并有一名安全负责人，且不少于 </w:t>
      </w:r>
      <w:r>
        <w:rPr>
          <w:rFonts w:ascii="宋体" w:hAnsi="宋体" w:eastAsia="宋体" w:cs="宋体"/>
          <w:szCs w:val="22"/>
        </w:rPr>
        <w:t>1 人，同时每个施</w:t>
      </w:r>
      <w:r>
        <w:rPr>
          <w:rFonts w:ascii="宋体" w:hAnsi="宋体" w:eastAsia="宋体" w:cs="宋体"/>
          <w:spacing w:val="-2"/>
          <w:szCs w:val="22"/>
        </w:rPr>
        <w:t>工作业点必须有安全员；</w:t>
      </w:r>
    </w:p>
    <w:p w14:paraId="799F73ED">
      <w:pPr>
        <w:numPr>
          <w:ilvl w:val="0"/>
          <w:numId w:val="17"/>
        </w:numPr>
        <w:tabs>
          <w:tab w:val="left" w:pos="1267"/>
        </w:tabs>
        <w:autoSpaceDE w:val="0"/>
        <w:autoSpaceDN w:val="0"/>
        <w:spacing w:line="350" w:lineRule="auto"/>
        <w:ind w:right="567" w:firstLine="314"/>
        <w:jc w:val="both"/>
        <w:rPr>
          <w:rFonts w:ascii="宋体" w:hAnsi="宋体" w:eastAsia="宋体" w:cs="宋体"/>
          <w:szCs w:val="22"/>
        </w:rPr>
      </w:pPr>
      <w:r>
        <w:rPr>
          <w:rFonts w:ascii="宋体" w:hAnsi="宋体" w:eastAsia="宋体" w:cs="宋体"/>
          <w:spacing w:val="-2"/>
          <w:szCs w:val="22"/>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511C9EB">
      <w:pPr>
        <w:numPr>
          <w:ilvl w:val="0"/>
          <w:numId w:val="17"/>
        </w:numPr>
        <w:tabs>
          <w:tab w:val="left" w:pos="1267"/>
        </w:tabs>
        <w:autoSpaceDE w:val="0"/>
        <w:autoSpaceDN w:val="0"/>
        <w:spacing w:line="352" w:lineRule="auto"/>
        <w:ind w:right="567" w:firstLine="314"/>
        <w:jc w:val="both"/>
        <w:rPr>
          <w:rFonts w:ascii="宋体" w:hAnsi="宋体" w:eastAsia="宋体" w:cs="宋体"/>
          <w:szCs w:val="22"/>
        </w:rPr>
      </w:pPr>
      <w:r>
        <w:rPr>
          <w:rFonts w:ascii="宋体" w:hAnsi="宋体" w:eastAsia="宋体" w:cs="宋体"/>
          <w:spacing w:val="-2"/>
          <w:szCs w:val="22"/>
        </w:rPr>
        <w:t>承包人应当在施工现场建立消防安全责任制度，对于易燃易爆的材料除应专门妥善保管之外，还应确定消防安全责任人，制定用火、用电、使用易燃易爆材料等各项消防管理制度和操作规程，设置消防通道，配备相应的消防设施和灭火器材，所有施工人员都应熟悉消防设备的性能和使</w:t>
      </w:r>
      <w:r>
        <w:rPr>
          <w:rFonts w:ascii="宋体" w:hAnsi="宋体" w:eastAsia="宋体" w:cs="宋体"/>
          <w:spacing w:val="-4"/>
          <w:szCs w:val="22"/>
        </w:rPr>
        <w:t>用方法。</w:t>
      </w:r>
    </w:p>
    <w:p w14:paraId="5C1292C3">
      <w:pPr>
        <w:spacing w:line="352" w:lineRule="auto"/>
        <w:sectPr>
          <w:pgSz w:w="11910" w:h="16840"/>
          <w:pgMar w:top="1640" w:right="849" w:bottom="1360" w:left="992" w:header="0" w:footer="1176" w:gutter="0"/>
          <w:cols w:space="720" w:num="1"/>
        </w:sectPr>
      </w:pPr>
    </w:p>
    <w:p w14:paraId="0BF9E783">
      <w:pPr>
        <w:numPr>
          <w:ilvl w:val="0"/>
          <w:numId w:val="17"/>
        </w:numPr>
        <w:tabs>
          <w:tab w:val="left" w:pos="1261"/>
        </w:tabs>
        <w:autoSpaceDE w:val="0"/>
        <w:autoSpaceDN w:val="0"/>
        <w:spacing w:before="37"/>
        <w:ind w:left="1261" w:hanging="521"/>
        <w:rPr>
          <w:rFonts w:ascii="宋体" w:hAnsi="宋体" w:eastAsia="宋体" w:cs="宋体"/>
          <w:szCs w:val="22"/>
        </w:rPr>
      </w:pPr>
      <w:r>
        <w:rPr>
          <w:rFonts w:ascii="宋体" w:hAnsi="宋体" w:eastAsia="宋体" w:cs="宋体"/>
          <w:spacing w:val="-3"/>
          <w:szCs w:val="22"/>
        </w:rPr>
        <w:t>所有施工机具设备和高空作业的设备均应定期检查，并有安全负责人的签字记录；</w:t>
      </w:r>
    </w:p>
    <w:p w14:paraId="1ACB4C45">
      <w:pPr>
        <w:numPr>
          <w:ilvl w:val="0"/>
          <w:numId w:val="17"/>
        </w:numPr>
        <w:tabs>
          <w:tab w:val="left" w:pos="1218"/>
        </w:tabs>
        <w:autoSpaceDE w:val="0"/>
        <w:autoSpaceDN w:val="0"/>
        <w:spacing w:before="125" w:line="352" w:lineRule="auto"/>
        <w:ind w:right="463" w:firstLine="314"/>
        <w:rPr>
          <w:rFonts w:ascii="宋体" w:hAnsi="宋体" w:eastAsia="宋体" w:cs="宋体"/>
          <w:szCs w:val="22"/>
        </w:rPr>
      </w:pPr>
      <w:r>
        <w:rPr>
          <w:rFonts w:ascii="宋体" w:hAnsi="宋体" w:eastAsia="宋体" w:cs="宋体"/>
          <w:spacing w:val="-7"/>
          <w:szCs w:val="22"/>
        </w:rPr>
        <w:t>根据养护工程的性质和施工特点，严格执行《公路工程施工安全技术规范》</w:t>
      </w:r>
      <w:r>
        <w:rPr>
          <w:rFonts w:ascii="宋体" w:hAnsi="宋体" w:eastAsia="宋体" w:cs="宋体"/>
          <w:spacing w:val="-4"/>
          <w:szCs w:val="22"/>
        </w:rPr>
        <w:t>（JTG</w:t>
      </w:r>
      <w:r>
        <w:rPr>
          <w:rFonts w:ascii="宋体" w:hAnsi="宋体" w:eastAsia="宋体" w:cs="宋体"/>
          <w:spacing w:val="-44"/>
          <w:szCs w:val="22"/>
        </w:rPr>
        <w:t xml:space="preserve"> </w:t>
      </w:r>
      <w:r>
        <w:rPr>
          <w:rFonts w:ascii="宋体" w:hAnsi="宋体" w:eastAsia="宋体" w:cs="宋体"/>
          <w:spacing w:val="-4"/>
          <w:szCs w:val="22"/>
        </w:rPr>
        <w:t>F90-2015）</w:t>
      </w:r>
      <w:r>
        <w:rPr>
          <w:rFonts w:ascii="宋体" w:hAnsi="宋体" w:eastAsia="宋体" w:cs="宋体"/>
          <w:szCs w:val="22"/>
        </w:rPr>
        <w:t>和《公路养护安全作业规程》（JTG H30-2015）的具体规定；</w:t>
      </w:r>
    </w:p>
    <w:p w14:paraId="46DB5284">
      <w:pPr>
        <w:numPr>
          <w:ilvl w:val="2"/>
          <w:numId w:val="16"/>
        </w:numPr>
        <w:tabs>
          <w:tab w:val="left" w:pos="1578"/>
        </w:tabs>
        <w:autoSpaceDE w:val="0"/>
        <w:autoSpaceDN w:val="0"/>
        <w:spacing w:line="272" w:lineRule="exact"/>
        <w:ind w:left="1578" w:hanging="732"/>
        <w:rPr>
          <w:rFonts w:ascii="宋体" w:hAnsi="宋体" w:eastAsia="宋体" w:cs="宋体"/>
          <w:szCs w:val="22"/>
        </w:rPr>
      </w:pPr>
      <w:r>
        <w:rPr>
          <w:rFonts w:ascii="宋体" w:hAnsi="宋体" w:eastAsia="宋体" w:cs="宋体"/>
          <w:spacing w:val="-3"/>
          <w:szCs w:val="22"/>
        </w:rPr>
        <w:t>负责施工场地及其周边环境与生态的保护工作</w:t>
      </w:r>
    </w:p>
    <w:p w14:paraId="033CF6B9">
      <w:pPr>
        <w:autoSpaceDE w:val="0"/>
        <w:autoSpaceDN w:val="0"/>
        <w:spacing w:before="126"/>
        <w:ind w:left="846"/>
        <w:jc w:val="left"/>
        <w:rPr>
          <w:rFonts w:ascii="宋体" w:hAnsi="宋体" w:eastAsia="宋体" w:cs="宋体"/>
          <w:szCs w:val="21"/>
        </w:rPr>
      </w:pPr>
      <w:r>
        <w:rPr>
          <w:rFonts w:ascii="宋体" w:hAnsi="宋体" w:eastAsia="宋体" w:cs="宋体"/>
          <w:spacing w:val="-4"/>
          <w:szCs w:val="21"/>
        </w:rPr>
        <w:t xml:space="preserve">承包人应按照第 </w:t>
      </w:r>
      <w:r>
        <w:rPr>
          <w:rFonts w:ascii="宋体" w:hAnsi="宋体" w:eastAsia="宋体" w:cs="宋体"/>
          <w:szCs w:val="21"/>
        </w:rPr>
        <w:t>9.4</w:t>
      </w:r>
      <w:r>
        <w:rPr>
          <w:rFonts w:ascii="宋体" w:hAnsi="宋体" w:eastAsia="宋体" w:cs="宋体"/>
          <w:spacing w:val="-7"/>
          <w:szCs w:val="21"/>
        </w:rPr>
        <w:t xml:space="preserve"> 款约定负责施工场地及其周边环境与生态的保护工作。</w:t>
      </w:r>
    </w:p>
    <w:p w14:paraId="5AD81E5F">
      <w:pPr>
        <w:numPr>
          <w:ilvl w:val="2"/>
          <w:numId w:val="16"/>
        </w:numPr>
        <w:tabs>
          <w:tab w:val="left" w:pos="1578"/>
        </w:tabs>
        <w:autoSpaceDE w:val="0"/>
        <w:autoSpaceDN w:val="0"/>
        <w:spacing w:before="127"/>
        <w:ind w:left="1578" w:hanging="732"/>
        <w:rPr>
          <w:rFonts w:ascii="宋体" w:hAnsi="宋体" w:eastAsia="宋体" w:cs="宋体"/>
          <w:szCs w:val="22"/>
        </w:rPr>
      </w:pPr>
      <w:r>
        <w:rPr>
          <w:rFonts w:ascii="宋体" w:hAnsi="宋体" w:eastAsia="宋体" w:cs="宋体"/>
          <w:spacing w:val="-3"/>
          <w:szCs w:val="22"/>
        </w:rPr>
        <w:t>避免施工对公众与他人的利益造成损害</w:t>
      </w:r>
    </w:p>
    <w:p w14:paraId="4CD7877A">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0F0B29">
      <w:pPr>
        <w:autoSpaceDE w:val="0"/>
        <w:autoSpaceDN w:val="0"/>
        <w:spacing w:before="4" w:line="350" w:lineRule="auto"/>
        <w:ind w:left="846" w:right="463"/>
        <w:jc w:val="left"/>
        <w:rPr>
          <w:rFonts w:ascii="宋体" w:hAnsi="宋体" w:eastAsia="宋体" w:cs="宋体"/>
          <w:szCs w:val="21"/>
        </w:rPr>
      </w:pPr>
      <w:r>
        <w:rPr>
          <w:rFonts w:ascii="宋体" w:hAnsi="宋体" w:eastAsia="宋体" w:cs="宋体"/>
          <w:spacing w:val="-2"/>
          <w:szCs w:val="21"/>
        </w:rPr>
        <w:t>承包人在养护过程中必须采取一切措施，确保车辆正常运行，做到养护作业、车辆通行两不误。</w:t>
      </w:r>
      <w:r>
        <w:rPr>
          <w:rFonts w:ascii="宋体" w:hAnsi="宋体" w:eastAsia="宋体" w:cs="宋体"/>
          <w:spacing w:val="-5"/>
          <w:szCs w:val="21"/>
        </w:rPr>
        <w:t>实施养护作业路段应配备交通标志等设施，指定专人维持车辆通行秩序。如因承包人措施不力，</w:t>
      </w:r>
    </w:p>
    <w:p w14:paraId="1C94138B">
      <w:pPr>
        <w:autoSpaceDE w:val="0"/>
        <w:autoSpaceDN w:val="0"/>
        <w:spacing w:before="2" w:line="352" w:lineRule="auto"/>
        <w:ind w:left="426" w:right="567"/>
        <w:jc w:val="left"/>
        <w:rPr>
          <w:rFonts w:ascii="宋体" w:hAnsi="宋体" w:eastAsia="宋体" w:cs="宋体"/>
          <w:szCs w:val="21"/>
        </w:rPr>
      </w:pPr>
      <w:r>
        <w:rPr>
          <w:rFonts w:ascii="宋体" w:hAnsi="宋体" w:eastAsia="宋体" w:cs="宋体"/>
          <w:spacing w:val="-2"/>
          <w:szCs w:val="21"/>
        </w:rPr>
        <w:t>导致阻车或事故频发而造成较大影响，引起索赔、赔偿或养护费用增加时，应由承包人承担一切责任和费用。</w:t>
      </w:r>
    </w:p>
    <w:p w14:paraId="55E80CE4">
      <w:pPr>
        <w:numPr>
          <w:ilvl w:val="2"/>
          <w:numId w:val="16"/>
        </w:numPr>
        <w:tabs>
          <w:tab w:val="left" w:pos="1578"/>
        </w:tabs>
        <w:autoSpaceDE w:val="0"/>
        <w:autoSpaceDN w:val="0"/>
        <w:spacing w:line="270" w:lineRule="exact"/>
        <w:ind w:left="1578" w:hanging="732"/>
        <w:jc w:val="both"/>
        <w:rPr>
          <w:rFonts w:ascii="宋体" w:hAnsi="宋体" w:eastAsia="宋体" w:cs="宋体"/>
          <w:szCs w:val="22"/>
        </w:rPr>
      </w:pPr>
      <w:r>
        <w:rPr>
          <w:rFonts w:ascii="宋体" w:hAnsi="宋体" w:eastAsia="宋体" w:cs="宋体"/>
          <w:spacing w:val="-4"/>
          <w:szCs w:val="22"/>
        </w:rPr>
        <w:t>为他人提供方便</w:t>
      </w:r>
    </w:p>
    <w:p w14:paraId="2A2C57FF">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承包人应按监理人的指示为他人在施工场地或附近实施与工程有关的其它各项工作提供可能的</w:t>
      </w:r>
      <w:r>
        <w:rPr>
          <w:rFonts w:ascii="宋体" w:hAnsi="宋体" w:eastAsia="宋体" w:cs="宋体"/>
          <w:spacing w:val="-3"/>
          <w:szCs w:val="21"/>
        </w:rPr>
        <w:t xml:space="preserve">条件。除合同另有约定外，提供有关条件的内容和可能发生的费用，由监理人按第 </w:t>
      </w:r>
      <w:r>
        <w:rPr>
          <w:rFonts w:ascii="宋体" w:hAnsi="宋体" w:eastAsia="宋体" w:cs="宋体"/>
          <w:spacing w:val="-2"/>
          <w:szCs w:val="21"/>
        </w:rPr>
        <w:t>3.5</w:t>
      </w:r>
      <w:r>
        <w:rPr>
          <w:rFonts w:ascii="宋体" w:hAnsi="宋体" w:eastAsia="宋体" w:cs="宋体"/>
          <w:spacing w:val="-4"/>
          <w:szCs w:val="21"/>
        </w:rPr>
        <w:t xml:space="preserve"> 款商定或确</w:t>
      </w:r>
      <w:r>
        <w:rPr>
          <w:rFonts w:ascii="宋体" w:hAnsi="宋体" w:eastAsia="宋体" w:cs="宋体"/>
          <w:spacing w:val="-6"/>
          <w:szCs w:val="21"/>
        </w:rPr>
        <w:t>定。</w:t>
      </w:r>
    </w:p>
    <w:p w14:paraId="3ECFC05B">
      <w:pPr>
        <w:autoSpaceDE w:val="0"/>
        <w:autoSpaceDN w:val="0"/>
        <w:spacing w:before="4" w:line="350" w:lineRule="auto"/>
        <w:ind w:left="426" w:right="567" w:firstLine="420"/>
        <w:rPr>
          <w:rFonts w:ascii="宋体" w:hAnsi="宋体" w:eastAsia="宋体" w:cs="宋体"/>
          <w:szCs w:val="21"/>
        </w:rPr>
      </w:pPr>
      <w:r>
        <w:rPr>
          <w:rFonts w:ascii="宋体" w:hAnsi="宋体" w:eastAsia="宋体" w:cs="宋体"/>
          <w:spacing w:val="-2"/>
          <w:szCs w:val="21"/>
        </w:rPr>
        <w:t>为保护实施的养护工程免遭损坏，或为了现场附近和过往群众的方便与安全，在确有必要的时候和地方，或当监理人或有关主管部门要求时，应自费提供照明、警卫、护栏、警告标志等安全防</w:t>
      </w:r>
      <w:r>
        <w:rPr>
          <w:rFonts w:ascii="宋体" w:hAnsi="宋体" w:eastAsia="宋体" w:cs="宋体"/>
          <w:spacing w:val="-4"/>
          <w:szCs w:val="21"/>
        </w:rPr>
        <w:t>护设施。</w:t>
      </w:r>
    </w:p>
    <w:p w14:paraId="23931185">
      <w:pPr>
        <w:numPr>
          <w:ilvl w:val="2"/>
          <w:numId w:val="16"/>
        </w:numPr>
        <w:tabs>
          <w:tab w:val="left" w:pos="1578"/>
        </w:tabs>
        <w:autoSpaceDE w:val="0"/>
        <w:autoSpaceDN w:val="0"/>
        <w:spacing w:before="5"/>
        <w:ind w:left="1578" w:hanging="732"/>
        <w:jc w:val="both"/>
        <w:rPr>
          <w:rFonts w:ascii="宋体" w:hAnsi="宋体" w:eastAsia="宋体" w:cs="宋体"/>
          <w:szCs w:val="22"/>
        </w:rPr>
      </w:pPr>
      <w:r>
        <w:rPr>
          <w:rFonts w:ascii="宋体" w:hAnsi="宋体" w:eastAsia="宋体" w:cs="宋体"/>
          <w:spacing w:val="-4"/>
          <w:szCs w:val="22"/>
        </w:rPr>
        <w:t>工程的维护和照管</w:t>
      </w:r>
    </w:p>
    <w:p w14:paraId="57F32EBA">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工程接收证书颁发前，承包人应负责照管和维护工程。工程接收证书颁发时尚有部分未竣工工程的，承包人还应负责该未竣工工程的照管和维护工作，直至竣工后移交给发包人为止。</w:t>
      </w:r>
    </w:p>
    <w:p w14:paraId="5E6E030E">
      <w:pPr>
        <w:numPr>
          <w:ilvl w:val="2"/>
          <w:numId w:val="16"/>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7"/>
          <w:szCs w:val="22"/>
        </w:rPr>
        <w:t>其它义务</w:t>
      </w:r>
    </w:p>
    <w:p w14:paraId="7D54F62C">
      <w:pPr>
        <w:autoSpaceDE w:val="0"/>
        <w:autoSpaceDN w:val="0"/>
        <w:spacing w:before="127"/>
        <w:ind w:left="846"/>
        <w:jc w:val="left"/>
        <w:rPr>
          <w:rFonts w:ascii="宋体" w:hAnsi="宋体" w:eastAsia="宋体" w:cs="宋体"/>
          <w:szCs w:val="21"/>
        </w:rPr>
      </w:pPr>
      <w:r>
        <w:rPr>
          <w:rFonts w:ascii="宋体" w:hAnsi="宋体" w:eastAsia="宋体" w:cs="宋体"/>
          <w:spacing w:val="-3"/>
          <w:szCs w:val="21"/>
        </w:rPr>
        <w:t>承包人应履行合同约定的其它义务。</w:t>
      </w:r>
    </w:p>
    <w:p w14:paraId="30A0BF35">
      <w:pPr>
        <w:numPr>
          <w:ilvl w:val="0"/>
          <w:numId w:val="18"/>
        </w:numPr>
        <w:tabs>
          <w:tab w:val="left" w:pos="1267"/>
        </w:tabs>
        <w:autoSpaceDE w:val="0"/>
        <w:autoSpaceDN w:val="0"/>
        <w:spacing w:before="126" w:line="352" w:lineRule="auto"/>
        <w:ind w:right="569" w:firstLine="314"/>
        <w:rPr>
          <w:rFonts w:ascii="宋体" w:hAnsi="宋体" w:eastAsia="宋体" w:cs="宋体"/>
          <w:szCs w:val="22"/>
        </w:rPr>
      </w:pPr>
      <w:r>
        <w:rPr>
          <w:rFonts w:ascii="宋体" w:hAnsi="宋体" w:eastAsia="宋体" w:cs="宋体"/>
          <w:spacing w:val="-2"/>
          <w:szCs w:val="22"/>
        </w:rPr>
        <w:t>除专用合同条款另有约定外，承包人应承担并支付为完成本合同工程所需的石料、砂、砾石、黏土或其它当地材料等所发生的料场使用费及其它开支或补偿费。</w:t>
      </w:r>
    </w:p>
    <w:p w14:paraId="0245CF85">
      <w:pPr>
        <w:numPr>
          <w:ilvl w:val="0"/>
          <w:numId w:val="18"/>
        </w:numPr>
        <w:tabs>
          <w:tab w:val="left" w:pos="1267"/>
        </w:tabs>
        <w:autoSpaceDE w:val="0"/>
        <w:autoSpaceDN w:val="0"/>
        <w:spacing w:line="350" w:lineRule="auto"/>
        <w:ind w:right="569" w:firstLine="314"/>
        <w:rPr>
          <w:rFonts w:ascii="宋体" w:hAnsi="宋体" w:eastAsia="宋体" w:cs="宋体"/>
          <w:szCs w:val="22"/>
        </w:rPr>
      </w:pPr>
      <w:r>
        <w:rPr>
          <w:rFonts w:ascii="宋体" w:hAnsi="宋体" w:eastAsia="宋体" w:cs="宋体"/>
          <w:spacing w:val="-2"/>
          <w:szCs w:val="22"/>
        </w:rPr>
        <w:t>承包人应严格遵守国家有关解决拖欠工程款和民工工资的法律、法规，及时支付工程中的材料、设备货款及民工工资等费用。</w:t>
      </w:r>
    </w:p>
    <w:p w14:paraId="64B02F13">
      <w:pPr>
        <w:autoSpaceDE w:val="0"/>
        <w:autoSpaceDN w:val="0"/>
        <w:spacing w:before="1" w:line="352" w:lineRule="auto"/>
        <w:ind w:left="426" w:right="567" w:firstLine="420"/>
        <w:rPr>
          <w:rFonts w:ascii="宋体" w:hAnsi="宋体" w:eastAsia="宋体" w:cs="宋体"/>
          <w:szCs w:val="21"/>
        </w:rPr>
      </w:pPr>
      <w:r>
        <w:rPr>
          <w:rFonts w:ascii="宋体" w:hAnsi="宋体" w:eastAsia="宋体" w:cs="宋体"/>
          <w:spacing w:val="-2"/>
          <w:szCs w:val="21"/>
        </w:rPr>
        <w:t>承包人应在本养护工程中严格执行交通运输部《关于公路水运工程建设领域保障农民工工资支</w:t>
      </w:r>
      <w:r>
        <w:rPr>
          <w:rFonts w:ascii="宋体" w:hAnsi="宋体" w:eastAsia="宋体" w:cs="宋体"/>
          <w:spacing w:val="-4"/>
          <w:szCs w:val="21"/>
        </w:rPr>
        <w:t>付的意见》 (交公路规〔</w:t>
      </w:r>
      <w:r>
        <w:rPr>
          <w:rFonts w:ascii="宋体" w:hAnsi="宋体" w:eastAsia="宋体" w:cs="宋体"/>
          <w:spacing w:val="-2"/>
          <w:szCs w:val="21"/>
        </w:rPr>
        <w:t>2020〕5 号文)及浙江省劳动和社会保障厅、浙江省及项目所在地政府有关拖欠工程款和农民工工资相关法律法规及规定，及时支付工程中的材料、设备货款及民工工资等费</w:t>
      </w:r>
      <w:r>
        <w:rPr>
          <w:rFonts w:ascii="宋体" w:hAnsi="宋体" w:eastAsia="宋体" w:cs="宋体"/>
          <w:spacing w:val="-3"/>
          <w:szCs w:val="21"/>
        </w:rPr>
        <w:t>用。承包人不得以任何借口拖欠材料、设备货款及民工工资等费用，如果出现此种现象，发包人有</w:t>
      </w:r>
    </w:p>
    <w:p w14:paraId="74CE5C82">
      <w:pPr>
        <w:spacing w:line="352" w:lineRule="auto"/>
        <w:sectPr>
          <w:pgSz w:w="11910" w:h="16840"/>
          <w:pgMar w:top="1640" w:right="849" w:bottom="1360" w:left="992" w:header="0" w:footer="1176" w:gutter="0"/>
          <w:cols w:space="720" w:num="1"/>
        </w:sectPr>
      </w:pPr>
    </w:p>
    <w:p w14:paraId="775D6D14">
      <w:pPr>
        <w:autoSpaceDE w:val="0"/>
        <w:autoSpaceDN w:val="0"/>
        <w:spacing w:before="37" w:line="350" w:lineRule="auto"/>
        <w:ind w:left="426" w:right="567"/>
        <w:jc w:val="left"/>
        <w:rPr>
          <w:rFonts w:ascii="宋体" w:hAnsi="宋体" w:eastAsia="宋体" w:cs="宋体"/>
          <w:szCs w:val="21"/>
        </w:rPr>
      </w:pPr>
      <w:r>
        <w:rPr>
          <w:rFonts w:ascii="宋体" w:hAnsi="宋体" w:eastAsia="宋体" w:cs="宋体"/>
          <w:spacing w:val="-2"/>
          <w:szCs w:val="21"/>
        </w:rPr>
        <w:t>权代为支付其拖欠的材料、设备货款及民工工资，并从应付给承包人的工程款中扣除相应款项。对恶意拖欠和拒不按计划支付的，作为不良记录纳入浙江省交通运输信用系统。</w:t>
      </w:r>
    </w:p>
    <w:p w14:paraId="53C6CA69">
      <w:pPr>
        <w:autoSpaceDE w:val="0"/>
        <w:autoSpaceDN w:val="0"/>
        <w:spacing w:before="2" w:line="352" w:lineRule="auto"/>
        <w:ind w:left="426" w:right="463" w:firstLine="420"/>
        <w:jc w:val="left"/>
        <w:rPr>
          <w:rFonts w:ascii="宋体" w:hAnsi="宋体" w:eastAsia="宋体" w:cs="宋体"/>
          <w:szCs w:val="21"/>
        </w:rPr>
      </w:pPr>
      <w:r>
        <w:rPr>
          <w:rFonts w:ascii="宋体" w:hAnsi="宋体" w:eastAsia="宋体" w:cs="宋体"/>
          <w:spacing w:val="-2"/>
          <w:szCs w:val="21"/>
        </w:rPr>
        <w:t>承包人的项目经理部是民工工资支付行为的主体，承包人的项目经理是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w:t>
      </w:r>
      <w:r>
        <w:rPr>
          <w:rFonts w:ascii="宋体" w:hAnsi="宋体" w:eastAsia="宋体" w:cs="宋体"/>
          <w:spacing w:val="-1"/>
          <w:w w:val="99"/>
          <w:szCs w:val="21"/>
        </w:rPr>
        <w:t>。</w:t>
      </w:r>
    </w:p>
    <w:p w14:paraId="51A6316B">
      <w:pPr>
        <w:autoSpaceDE w:val="0"/>
        <w:autoSpaceDN w:val="0"/>
        <w:spacing w:line="266" w:lineRule="exact"/>
        <w:ind w:left="846"/>
        <w:jc w:val="left"/>
        <w:rPr>
          <w:rFonts w:ascii="宋体" w:hAnsi="宋体" w:eastAsia="宋体" w:cs="宋体"/>
          <w:szCs w:val="21"/>
        </w:rPr>
      </w:pPr>
      <w:r>
        <w:rPr>
          <w:rFonts w:ascii="宋体" w:hAnsi="宋体" w:eastAsia="宋体" w:cs="宋体"/>
          <w:spacing w:val="-3"/>
          <w:szCs w:val="21"/>
        </w:rPr>
        <w:t>承包人应按规定缴纳农民工工资保证金。</w:t>
      </w:r>
    </w:p>
    <w:p w14:paraId="7D063B96">
      <w:pPr>
        <w:autoSpaceDE w:val="0"/>
        <w:autoSpaceDN w:val="0"/>
        <w:spacing w:before="128" w:line="350" w:lineRule="auto"/>
        <w:ind w:left="426" w:right="463" w:firstLine="420"/>
        <w:jc w:val="left"/>
        <w:rPr>
          <w:rFonts w:ascii="宋体" w:hAnsi="宋体" w:eastAsia="宋体" w:cs="宋体"/>
          <w:szCs w:val="21"/>
        </w:rPr>
      </w:pPr>
      <w:r>
        <w:rPr>
          <w:rFonts w:ascii="宋体" w:hAnsi="宋体" w:eastAsia="宋体" w:cs="宋体"/>
          <w:spacing w:val="-2"/>
          <w:szCs w:val="21"/>
        </w:rPr>
        <w:t>承包人应在用工后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2个监督电（电话为当地交通主管部门和劳动保障部门等第三方单位可打通的号码），公示期符合相关规定。承包人应加强劳动合同管理，规范公路建设用工行为。不拖欠农民工工资，及时、足额发放农民工工资</w:t>
      </w:r>
      <w:r>
        <w:rPr>
          <w:rFonts w:ascii="宋体" w:hAnsi="宋体" w:eastAsia="宋体" w:cs="宋体"/>
          <w:spacing w:val="-1"/>
          <w:w w:val="99"/>
          <w:szCs w:val="21"/>
        </w:rPr>
        <w:t>。</w:t>
      </w:r>
    </w:p>
    <w:p w14:paraId="496798EA">
      <w:pPr>
        <w:numPr>
          <w:ilvl w:val="0"/>
          <w:numId w:val="18"/>
        </w:numPr>
        <w:tabs>
          <w:tab w:val="left" w:pos="1267"/>
        </w:tabs>
        <w:autoSpaceDE w:val="0"/>
        <w:autoSpaceDN w:val="0"/>
        <w:spacing w:before="8"/>
        <w:ind w:left="1267" w:hanging="527"/>
        <w:rPr>
          <w:rFonts w:ascii="宋体" w:hAnsi="宋体" w:eastAsia="宋体" w:cs="宋体"/>
          <w:szCs w:val="22"/>
        </w:rPr>
      </w:pPr>
      <w:r>
        <w:rPr>
          <w:rFonts w:ascii="宋体" w:hAnsi="宋体" w:eastAsia="宋体" w:cs="宋体"/>
          <w:spacing w:val="-3"/>
          <w:szCs w:val="22"/>
        </w:rPr>
        <w:t>承包人在递交投标文件的同时，应按招标文件第八章投标文件格式附表四的格式填写一份</w:t>
      </w:r>
    </w:p>
    <w:p w14:paraId="71B28673">
      <w:pPr>
        <w:autoSpaceDE w:val="0"/>
        <w:autoSpaceDN w:val="0"/>
        <w:spacing w:before="128" w:line="352" w:lineRule="auto"/>
        <w:ind w:left="426" w:right="567" w:hanging="106"/>
        <w:rPr>
          <w:rFonts w:ascii="宋体" w:hAnsi="宋体" w:eastAsia="宋体" w:cs="宋体"/>
          <w:szCs w:val="21"/>
        </w:rPr>
      </w:pPr>
      <w:r>
        <w:rPr>
          <w:rFonts w:ascii="宋体" w:hAnsi="宋体" w:eastAsia="宋体" w:cs="宋体"/>
          <w:spacing w:val="-2"/>
          <w:szCs w:val="21"/>
        </w:rPr>
        <w:t>《临时占地计划表》（临时用地范围包括承包人驻地的办公和生活用地、仓库与料场用地、预制场用地、借土场地及临时堆土场地、工地试验室用地、临时道路用地等）。中标后应在此表范围内按实</w:t>
      </w:r>
      <w:r>
        <w:rPr>
          <w:rFonts w:ascii="宋体" w:hAnsi="宋体" w:eastAsia="宋体" w:cs="宋体"/>
          <w:spacing w:val="-3"/>
          <w:szCs w:val="21"/>
        </w:rPr>
        <w:t xml:space="preserve">际需要与先后次序，提出具体计划报监理人同意，并报发包人。租地费用列入工程量清单 </w:t>
      </w:r>
      <w:r>
        <w:rPr>
          <w:rFonts w:ascii="宋体" w:hAnsi="宋体" w:eastAsia="宋体" w:cs="宋体"/>
          <w:spacing w:val="-2"/>
          <w:szCs w:val="21"/>
        </w:rPr>
        <w:t>100</w:t>
      </w:r>
      <w:r>
        <w:rPr>
          <w:rFonts w:ascii="宋体" w:hAnsi="宋体" w:eastAsia="宋体" w:cs="宋体"/>
          <w:spacing w:val="-4"/>
          <w:szCs w:val="21"/>
        </w:rPr>
        <w:t xml:space="preserve"> 章中</w:t>
      </w:r>
      <w:r>
        <w:rPr>
          <w:rFonts w:ascii="宋体" w:hAnsi="宋体" w:eastAsia="宋体" w:cs="宋体"/>
          <w:spacing w:val="-2"/>
          <w:szCs w:val="21"/>
        </w:rPr>
        <w:t>由承包人报价。临时用地退还前，承包人应自费恢复到临时用地使用前的状况。如因承包人撤离后未按要求对临时用地进行恢复或虽进行了恢复但未达到使用标准的，将由发包人委托第三方进行恢复，所发生的费用将从应付给承包人的任何款项内扣除。超出《临时占地计划表》的临时用地由承包人自行办理并自付费用。</w:t>
      </w:r>
    </w:p>
    <w:p w14:paraId="73777628">
      <w:pPr>
        <w:numPr>
          <w:ilvl w:val="0"/>
          <w:numId w:val="18"/>
        </w:numPr>
        <w:tabs>
          <w:tab w:val="left" w:pos="1261"/>
        </w:tabs>
        <w:autoSpaceDE w:val="0"/>
        <w:autoSpaceDN w:val="0"/>
        <w:spacing w:line="262" w:lineRule="exact"/>
        <w:ind w:left="1261" w:hanging="521"/>
        <w:rPr>
          <w:rFonts w:ascii="宋体" w:hAnsi="宋体" w:eastAsia="宋体" w:cs="宋体"/>
          <w:szCs w:val="22"/>
        </w:rPr>
      </w:pPr>
      <w:r>
        <w:rPr>
          <w:rFonts w:ascii="宋体" w:hAnsi="宋体" w:eastAsia="宋体" w:cs="宋体"/>
          <w:spacing w:val="-3"/>
          <w:szCs w:val="22"/>
        </w:rPr>
        <w:t>承包人应履行专用合同条款约定的其它义务。</w:t>
      </w:r>
    </w:p>
    <w:p w14:paraId="6AEB04C5">
      <w:pPr>
        <w:numPr>
          <w:ilvl w:val="1"/>
          <w:numId w:val="16"/>
        </w:numPr>
        <w:tabs>
          <w:tab w:val="left" w:pos="1370"/>
        </w:tabs>
        <w:autoSpaceDE w:val="0"/>
        <w:autoSpaceDN w:val="0"/>
        <w:spacing w:before="128"/>
        <w:ind w:left="1370" w:hanging="524"/>
        <w:jc w:val="both"/>
        <w:rPr>
          <w:rFonts w:ascii="宋体" w:hAnsi="宋体" w:eastAsia="宋体" w:cs="宋体"/>
          <w:szCs w:val="22"/>
        </w:rPr>
      </w:pPr>
      <w:r>
        <w:rPr>
          <w:rFonts w:ascii="宋体" w:hAnsi="宋体" w:eastAsia="宋体" w:cs="宋体"/>
          <w:spacing w:val="-7"/>
          <w:szCs w:val="22"/>
        </w:rPr>
        <w:t>履约担保</w:t>
      </w:r>
    </w:p>
    <w:p w14:paraId="6CBC4F08">
      <w:pPr>
        <w:autoSpaceDE w:val="0"/>
        <w:autoSpaceDN w:val="0"/>
        <w:spacing w:before="128" w:line="352" w:lineRule="auto"/>
        <w:ind w:left="426" w:right="567" w:firstLine="420"/>
        <w:rPr>
          <w:rFonts w:ascii="宋体" w:hAnsi="宋体" w:eastAsia="宋体" w:cs="宋体"/>
          <w:szCs w:val="21"/>
        </w:rPr>
      </w:pPr>
      <w:r>
        <w:rPr>
          <w:rFonts w:ascii="宋体" w:hAnsi="宋体" w:eastAsia="宋体" w:cs="宋体"/>
          <w:spacing w:val="-2"/>
          <w:szCs w:val="21"/>
        </w:rPr>
        <w:t>发包人需要承包人提供履约担保的，由合同当事人在专用合同条件中约定履约担保的方式、金额及提交的时间等。履约担保可以采用银行转账、银行保函、保险机构保证保险保单或融资性担保公司保函等形式，承包人为联合体的，其履约担保由联合体各方或者联合体中牵头人的名义代表联合体提交，具体由合同当事人在专用合同条件中约定。</w:t>
      </w:r>
    </w:p>
    <w:p w14:paraId="70C077BB">
      <w:pPr>
        <w:autoSpaceDE w:val="0"/>
        <w:autoSpaceDN w:val="0"/>
        <w:spacing w:line="352" w:lineRule="auto"/>
        <w:ind w:left="426" w:right="568" w:firstLine="420"/>
        <w:rPr>
          <w:rFonts w:ascii="宋体" w:hAnsi="宋体" w:eastAsia="宋体" w:cs="宋体"/>
          <w:szCs w:val="21"/>
        </w:rPr>
      </w:pPr>
      <w:r>
        <w:rPr>
          <w:rFonts w:ascii="宋体" w:hAnsi="宋体" w:eastAsia="宋体" w:cs="宋体"/>
          <w:szCs w:val="21"/>
        </w:rPr>
        <w:t>承包人应保证其履约担保在工程竣工验收通过前一直有效。发包人应在工程竣工验收通过后 7</w:t>
      </w:r>
      <w:r>
        <w:rPr>
          <w:rFonts w:ascii="宋体" w:hAnsi="宋体" w:eastAsia="宋体" w:cs="宋体"/>
          <w:spacing w:val="-2"/>
          <w:szCs w:val="21"/>
        </w:rPr>
        <w:t>天内将履约担保款项退还给承包人或者解除履约担保。</w:t>
      </w:r>
    </w:p>
    <w:p w14:paraId="40A9545C">
      <w:pPr>
        <w:autoSpaceDE w:val="0"/>
        <w:autoSpaceDN w:val="0"/>
        <w:spacing w:line="350" w:lineRule="auto"/>
        <w:ind w:left="426" w:right="567" w:firstLine="420"/>
        <w:jc w:val="left"/>
        <w:rPr>
          <w:rFonts w:ascii="宋体" w:hAnsi="宋体" w:eastAsia="宋体" w:cs="宋体"/>
          <w:szCs w:val="21"/>
        </w:rPr>
      </w:pPr>
      <w:r>
        <w:rPr>
          <w:rFonts w:ascii="宋体" w:hAnsi="宋体" w:eastAsia="宋体" w:cs="宋体"/>
          <w:spacing w:val="-2"/>
          <w:szCs w:val="21"/>
        </w:rPr>
        <w:t>因承包人原因导致工期延长的，继续提供履约担保所增加的费用由承包人承担；非因承包人原因导致工期延长的，继续提供履约担保所增加的费用由发包人承担。</w:t>
      </w:r>
    </w:p>
    <w:p w14:paraId="69E208A5">
      <w:pPr>
        <w:numPr>
          <w:ilvl w:val="1"/>
          <w:numId w:val="16"/>
        </w:numPr>
        <w:tabs>
          <w:tab w:val="left" w:pos="950"/>
        </w:tabs>
        <w:autoSpaceDE w:val="0"/>
        <w:autoSpaceDN w:val="0"/>
        <w:ind w:left="950" w:hanging="524"/>
        <w:jc w:val="left"/>
        <w:rPr>
          <w:rFonts w:ascii="宋体" w:hAnsi="宋体" w:eastAsia="宋体" w:cs="宋体"/>
          <w:szCs w:val="22"/>
        </w:rPr>
      </w:pPr>
      <w:r>
        <w:rPr>
          <w:rFonts w:ascii="宋体" w:hAnsi="宋体" w:eastAsia="宋体" w:cs="宋体"/>
          <w:spacing w:val="-8"/>
          <w:szCs w:val="22"/>
        </w:rPr>
        <w:t>分包</w:t>
      </w:r>
    </w:p>
    <w:p w14:paraId="2A030136">
      <w:pPr>
        <w:jc w:val="left"/>
        <w:sectPr>
          <w:pgSz w:w="11910" w:h="16840"/>
          <w:pgMar w:top="1640" w:right="849" w:bottom="1360" w:left="992" w:header="0" w:footer="1176" w:gutter="0"/>
          <w:cols w:space="720" w:num="1"/>
        </w:sectPr>
      </w:pPr>
    </w:p>
    <w:p w14:paraId="2CBCA0CA">
      <w:pPr>
        <w:numPr>
          <w:ilvl w:val="2"/>
          <w:numId w:val="16"/>
        </w:numPr>
        <w:tabs>
          <w:tab w:val="left" w:pos="1578"/>
        </w:tabs>
        <w:autoSpaceDE w:val="0"/>
        <w:autoSpaceDN w:val="0"/>
        <w:spacing w:before="37" w:line="350" w:lineRule="auto"/>
        <w:ind w:left="426" w:right="569" w:firstLine="420"/>
        <w:jc w:val="both"/>
        <w:rPr>
          <w:rFonts w:ascii="宋体" w:hAnsi="宋体" w:eastAsia="宋体" w:cs="宋体"/>
          <w:szCs w:val="22"/>
        </w:rPr>
      </w:pPr>
      <w:r>
        <w:rPr>
          <w:rFonts w:ascii="宋体" w:hAnsi="宋体" w:eastAsia="宋体" w:cs="宋体"/>
          <w:spacing w:val="-5"/>
          <w:szCs w:val="22"/>
        </w:rPr>
        <w:t>承包人不得将其承包的全部工程转包给第三人，或将其承包的全部工程肢解后以分包的</w:t>
      </w:r>
      <w:r>
        <w:rPr>
          <w:rFonts w:ascii="宋体" w:hAnsi="宋体" w:eastAsia="宋体" w:cs="宋体"/>
          <w:spacing w:val="-2"/>
          <w:szCs w:val="22"/>
        </w:rPr>
        <w:t>名义转包给第三人。</w:t>
      </w:r>
    </w:p>
    <w:p w14:paraId="0E2F7785">
      <w:pPr>
        <w:numPr>
          <w:ilvl w:val="2"/>
          <w:numId w:val="16"/>
        </w:numPr>
        <w:tabs>
          <w:tab w:val="left" w:pos="1578"/>
        </w:tabs>
        <w:autoSpaceDE w:val="0"/>
        <w:autoSpaceDN w:val="0"/>
        <w:spacing w:before="2" w:line="352" w:lineRule="auto"/>
        <w:ind w:left="426" w:right="567" w:firstLine="420"/>
        <w:jc w:val="both"/>
        <w:rPr>
          <w:rFonts w:ascii="宋体" w:hAnsi="宋体" w:eastAsia="宋体" w:cs="宋体"/>
          <w:szCs w:val="22"/>
        </w:rPr>
      </w:pPr>
      <w:r>
        <w:rPr>
          <w:rFonts w:ascii="宋体" w:hAnsi="宋体" w:eastAsia="宋体" w:cs="宋体"/>
          <w:spacing w:val="-2"/>
          <w:szCs w:val="22"/>
        </w:rPr>
        <w:t>承包人不得将工程主体、关键性工作分包给第三人。除专用合同条款另有约定外，未经发包人同意，承包人不得将工程的其它部分或工作分包给第三人，不得以劳务分包的名义转包或违法分包工程。经发包人同意，承包人可将工程的其它部分或工作分包给第三人。分包包括专业分包和劳务分包。</w:t>
      </w:r>
    </w:p>
    <w:p w14:paraId="29EC6770">
      <w:pPr>
        <w:numPr>
          <w:ilvl w:val="2"/>
          <w:numId w:val="16"/>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3"/>
          <w:szCs w:val="22"/>
        </w:rPr>
        <w:t>在养护工程施工过程在中，承包人进行专业分包必须遵守以下规定：</w:t>
      </w:r>
    </w:p>
    <w:p w14:paraId="1509A6F6">
      <w:pPr>
        <w:numPr>
          <w:ilvl w:val="0"/>
          <w:numId w:val="19"/>
        </w:numPr>
        <w:tabs>
          <w:tab w:val="left" w:pos="1267"/>
        </w:tabs>
        <w:autoSpaceDE w:val="0"/>
        <w:autoSpaceDN w:val="0"/>
        <w:spacing w:before="125" w:line="352" w:lineRule="auto"/>
        <w:ind w:right="569" w:firstLine="314"/>
        <w:rPr>
          <w:rFonts w:ascii="宋体" w:hAnsi="宋体" w:eastAsia="宋体" w:cs="宋体"/>
          <w:szCs w:val="22"/>
        </w:rPr>
      </w:pPr>
      <w:r>
        <w:rPr>
          <w:rFonts w:ascii="宋体" w:hAnsi="宋体" w:eastAsia="宋体" w:cs="宋体"/>
          <w:spacing w:val="-2"/>
          <w:szCs w:val="22"/>
        </w:rPr>
        <w:t>允许专业分包的工程范围仅限于分部工程或分项工程、适合专业化队伍施工的工程，专业</w:t>
      </w:r>
      <w:r>
        <w:rPr>
          <w:rFonts w:ascii="宋体" w:hAnsi="宋体" w:eastAsia="宋体" w:cs="宋体"/>
          <w:szCs w:val="22"/>
        </w:rPr>
        <w:t>分包的工程量累计不得超过总工程量的 30％。</w:t>
      </w:r>
    </w:p>
    <w:p w14:paraId="6DCF0BEF">
      <w:pPr>
        <w:numPr>
          <w:ilvl w:val="0"/>
          <w:numId w:val="19"/>
        </w:numPr>
        <w:tabs>
          <w:tab w:val="left" w:pos="1267"/>
        </w:tabs>
        <w:autoSpaceDE w:val="0"/>
        <w:autoSpaceDN w:val="0"/>
        <w:spacing w:line="350" w:lineRule="auto"/>
        <w:ind w:right="569" w:firstLine="314"/>
        <w:rPr>
          <w:rFonts w:ascii="宋体" w:hAnsi="宋体" w:eastAsia="宋体" w:cs="宋体"/>
          <w:szCs w:val="22"/>
        </w:rPr>
      </w:pPr>
      <w:r>
        <w:rPr>
          <w:rFonts w:ascii="宋体" w:hAnsi="宋体" w:eastAsia="宋体" w:cs="宋体"/>
          <w:spacing w:val="-2"/>
          <w:szCs w:val="22"/>
        </w:rPr>
        <w:t>专业分包人的资格能力（含安全生产能力）应与其分包工程的标准和规模相适应，具备相应的专业承包资质。</w:t>
      </w:r>
    </w:p>
    <w:p w14:paraId="02FF8FBF">
      <w:pPr>
        <w:numPr>
          <w:ilvl w:val="0"/>
          <w:numId w:val="19"/>
        </w:numPr>
        <w:tabs>
          <w:tab w:val="left" w:pos="1261"/>
        </w:tabs>
        <w:autoSpaceDE w:val="0"/>
        <w:autoSpaceDN w:val="0"/>
        <w:spacing w:before="1"/>
        <w:ind w:left="1261" w:hanging="521"/>
        <w:rPr>
          <w:rFonts w:ascii="宋体" w:hAnsi="宋体" w:eastAsia="宋体" w:cs="宋体"/>
          <w:szCs w:val="22"/>
        </w:rPr>
      </w:pPr>
      <w:r>
        <w:rPr>
          <w:rFonts w:ascii="宋体" w:hAnsi="宋体" w:eastAsia="宋体" w:cs="宋体"/>
          <w:spacing w:val="-3"/>
          <w:szCs w:val="22"/>
        </w:rPr>
        <w:t>专业分包工程不得再次分包。</w:t>
      </w:r>
    </w:p>
    <w:p w14:paraId="1080FF9F">
      <w:pPr>
        <w:numPr>
          <w:ilvl w:val="0"/>
          <w:numId w:val="19"/>
        </w:numPr>
        <w:tabs>
          <w:tab w:val="left" w:pos="1267"/>
        </w:tabs>
        <w:autoSpaceDE w:val="0"/>
        <w:autoSpaceDN w:val="0"/>
        <w:spacing w:before="128" w:line="350" w:lineRule="auto"/>
        <w:ind w:right="569" w:firstLine="314"/>
        <w:rPr>
          <w:rFonts w:ascii="宋体" w:hAnsi="宋体" w:eastAsia="宋体" w:cs="宋体"/>
          <w:szCs w:val="22"/>
        </w:rPr>
      </w:pPr>
      <w:r>
        <w:rPr>
          <w:rFonts w:ascii="宋体" w:hAnsi="宋体" w:eastAsia="宋体" w:cs="宋体"/>
          <w:spacing w:val="-2"/>
          <w:szCs w:val="22"/>
        </w:rPr>
        <w:t>承包人和专业分包人应当依法签订专业分包合同，并按照合同履行约定的义务。专业分包合同必须明确约定工程款支付条款、结算方式以及保证按期支付的相应措施，确保工程款的支付。</w:t>
      </w:r>
    </w:p>
    <w:p w14:paraId="63615043">
      <w:pPr>
        <w:numPr>
          <w:ilvl w:val="0"/>
          <w:numId w:val="19"/>
        </w:numPr>
        <w:tabs>
          <w:tab w:val="left" w:pos="1267"/>
        </w:tabs>
        <w:autoSpaceDE w:val="0"/>
        <w:autoSpaceDN w:val="0"/>
        <w:spacing w:before="2" w:line="350" w:lineRule="auto"/>
        <w:ind w:right="567" w:firstLine="314"/>
        <w:jc w:val="both"/>
        <w:rPr>
          <w:rFonts w:ascii="宋体" w:hAnsi="宋体" w:eastAsia="宋体" w:cs="宋体"/>
          <w:szCs w:val="22"/>
        </w:rPr>
      </w:pPr>
      <w:r>
        <w:rPr>
          <w:rFonts w:ascii="宋体" w:hAnsi="宋体" w:eastAsia="宋体" w:cs="宋体"/>
          <w:spacing w:val="-2"/>
          <w:szCs w:val="22"/>
        </w:rPr>
        <w:t>承包人对施工现场安全负总责，并对专业分包人的安全生产进行培训和管理。专业分包人应将其专业分包工程的养护工程作业方案和施工安全方案报承包人备案。专业分包人对分包施工现场安全负责，发现事故隐患，应及时处理。</w:t>
      </w:r>
    </w:p>
    <w:p w14:paraId="5CB4AC8F">
      <w:pPr>
        <w:numPr>
          <w:ilvl w:val="0"/>
          <w:numId w:val="19"/>
        </w:numPr>
        <w:tabs>
          <w:tab w:val="left" w:pos="1267"/>
        </w:tabs>
        <w:autoSpaceDE w:val="0"/>
        <w:autoSpaceDN w:val="0"/>
        <w:spacing w:before="4" w:line="352" w:lineRule="auto"/>
        <w:ind w:right="569" w:firstLine="314"/>
        <w:rPr>
          <w:rFonts w:ascii="宋体" w:hAnsi="宋体" w:eastAsia="宋体" w:cs="宋体"/>
          <w:szCs w:val="22"/>
        </w:rPr>
      </w:pPr>
      <w:r>
        <w:rPr>
          <w:rFonts w:ascii="宋体" w:hAnsi="宋体" w:eastAsia="宋体" w:cs="宋体"/>
          <w:spacing w:val="-2"/>
          <w:szCs w:val="22"/>
        </w:rPr>
        <w:t>所有专业分包计划和专业分包合同须报监理人审批，并报发包人核备。监理人审批专业分包并不解除合同规定的承包人的任何责任或义务。</w:t>
      </w:r>
    </w:p>
    <w:p w14:paraId="4849A9F4">
      <w:pPr>
        <w:autoSpaceDE w:val="0"/>
        <w:autoSpaceDN w:val="0"/>
        <w:spacing w:line="270" w:lineRule="exact"/>
        <w:ind w:left="846"/>
        <w:jc w:val="left"/>
        <w:rPr>
          <w:rFonts w:ascii="宋体" w:hAnsi="宋体" w:eastAsia="宋体" w:cs="宋体"/>
          <w:szCs w:val="21"/>
        </w:rPr>
      </w:pPr>
      <w:r>
        <w:rPr>
          <w:rFonts w:ascii="宋体" w:hAnsi="宋体" w:eastAsia="宋体" w:cs="宋体"/>
          <w:spacing w:val="-3"/>
          <w:szCs w:val="21"/>
        </w:rPr>
        <w:t>违反上述规定之一者属违规分包。</w:t>
      </w:r>
    </w:p>
    <w:p w14:paraId="3C876147">
      <w:pPr>
        <w:numPr>
          <w:ilvl w:val="2"/>
          <w:numId w:val="16"/>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3"/>
          <w:szCs w:val="22"/>
        </w:rPr>
        <w:t>在养护工程施工过程中，承包人进行劳务分包必须遵守以下规定：</w:t>
      </w:r>
    </w:p>
    <w:p w14:paraId="14951C77">
      <w:pPr>
        <w:numPr>
          <w:ilvl w:val="0"/>
          <w:numId w:val="20"/>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劳务分包人应具有劳务分包资质。</w:t>
      </w:r>
    </w:p>
    <w:p w14:paraId="7379593D">
      <w:pPr>
        <w:numPr>
          <w:ilvl w:val="0"/>
          <w:numId w:val="20"/>
        </w:numPr>
        <w:tabs>
          <w:tab w:val="left" w:pos="1267"/>
        </w:tabs>
        <w:autoSpaceDE w:val="0"/>
        <w:autoSpaceDN w:val="0"/>
        <w:spacing w:before="125" w:line="352" w:lineRule="auto"/>
        <w:ind w:left="426" w:right="567" w:firstLine="314"/>
        <w:jc w:val="both"/>
        <w:rPr>
          <w:rFonts w:ascii="宋体" w:hAnsi="宋体" w:eastAsia="宋体" w:cs="宋体"/>
          <w:szCs w:val="22"/>
        </w:rPr>
      </w:pPr>
      <w:r>
        <w:rPr>
          <w:rFonts w:ascii="宋体" w:hAnsi="宋体" w:eastAsia="宋体" w:cs="宋体"/>
          <w:spacing w:val="-2"/>
          <w:szCs w:val="22"/>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3A0CD973">
      <w:pPr>
        <w:numPr>
          <w:ilvl w:val="0"/>
          <w:numId w:val="20"/>
        </w:numPr>
        <w:tabs>
          <w:tab w:val="left" w:pos="1267"/>
        </w:tabs>
        <w:autoSpaceDE w:val="0"/>
        <w:autoSpaceDN w:val="0"/>
        <w:spacing w:line="350" w:lineRule="auto"/>
        <w:ind w:left="426" w:right="567" w:firstLine="314"/>
        <w:jc w:val="both"/>
        <w:rPr>
          <w:rFonts w:ascii="宋体" w:hAnsi="宋体" w:eastAsia="宋体" w:cs="宋体"/>
          <w:szCs w:val="22"/>
        </w:rPr>
      </w:pPr>
      <w:r>
        <w:rPr>
          <w:rFonts w:ascii="宋体" w:hAnsi="宋体" w:eastAsia="宋体" w:cs="宋体"/>
          <w:spacing w:val="-2"/>
          <w:szCs w:val="22"/>
        </w:rPr>
        <w:t>承包人雇用的劳务作业人员应加入到承包人的施工班组统一管理。有关施工质量、施工安全、施工进度、环境保护、技术方案、试验检测、材料保管与供应、机械设备等都必须由承包人管理与调配，不得以包代管。</w:t>
      </w:r>
    </w:p>
    <w:p w14:paraId="2951A013">
      <w:pPr>
        <w:numPr>
          <w:ilvl w:val="0"/>
          <w:numId w:val="20"/>
        </w:numPr>
        <w:tabs>
          <w:tab w:val="left" w:pos="1267"/>
        </w:tabs>
        <w:autoSpaceDE w:val="0"/>
        <w:autoSpaceDN w:val="0"/>
        <w:spacing w:line="352" w:lineRule="auto"/>
        <w:ind w:left="426" w:right="569" w:firstLine="314"/>
        <w:rPr>
          <w:rFonts w:ascii="宋体" w:hAnsi="宋体" w:eastAsia="宋体" w:cs="宋体"/>
          <w:szCs w:val="22"/>
        </w:rPr>
      </w:pPr>
      <w:r>
        <w:rPr>
          <w:rFonts w:ascii="宋体" w:hAnsi="宋体" w:eastAsia="宋体" w:cs="宋体"/>
          <w:spacing w:val="-2"/>
          <w:szCs w:val="22"/>
        </w:rPr>
        <w:t>承包人应当对劳务分包人员进行安全培训和管理，劳务分包人不得将其分包的劳务作业再</w:t>
      </w:r>
      <w:r>
        <w:rPr>
          <w:rFonts w:ascii="宋体" w:hAnsi="宋体" w:eastAsia="宋体" w:cs="宋体"/>
          <w:spacing w:val="-4"/>
          <w:szCs w:val="22"/>
        </w:rPr>
        <w:t>次分包。</w:t>
      </w:r>
    </w:p>
    <w:p w14:paraId="5AC6ACAA">
      <w:pPr>
        <w:autoSpaceDE w:val="0"/>
        <w:autoSpaceDN w:val="0"/>
        <w:spacing w:line="270" w:lineRule="exact"/>
        <w:ind w:left="846"/>
        <w:jc w:val="left"/>
        <w:rPr>
          <w:rFonts w:ascii="宋体" w:hAnsi="宋体" w:eastAsia="宋体" w:cs="宋体"/>
          <w:szCs w:val="21"/>
        </w:rPr>
      </w:pPr>
      <w:r>
        <w:rPr>
          <w:rFonts w:ascii="宋体" w:hAnsi="宋体" w:eastAsia="宋体" w:cs="宋体"/>
          <w:spacing w:val="-3"/>
          <w:szCs w:val="21"/>
        </w:rPr>
        <w:t>违反上述规定之一者属违规分包。</w:t>
      </w:r>
    </w:p>
    <w:p w14:paraId="6FD01156">
      <w:pPr>
        <w:numPr>
          <w:ilvl w:val="2"/>
          <w:numId w:val="16"/>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3"/>
          <w:szCs w:val="22"/>
        </w:rPr>
        <w:t>承包人应与分包人就分包工程向发包人承担连带责任。</w:t>
      </w:r>
    </w:p>
    <w:p w14:paraId="14A94EFD">
      <w:pPr>
        <w:numPr>
          <w:ilvl w:val="2"/>
          <w:numId w:val="16"/>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3"/>
          <w:szCs w:val="22"/>
        </w:rPr>
        <w:t>发包人对承包人与分包人之间的法律与经济纠纷不承担任何责任和义务。</w:t>
      </w:r>
    </w:p>
    <w:p w14:paraId="5EA6E687">
      <w:pPr>
        <w:jc w:val="left"/>
        <w:sectPr>
          <w:pgSz w:w="11910" w:h="16840"/>
          <w:pgMar w:top="1640" w:right="849" w:bottom="1360" w:left="992" w:header="0" w:footer="1176" w:gutter="0"/>
          <w:cols w:space="720" w:num="1"/>
        </w:sectPr>
      </w:pPr>
    </w:p>
    <w:p w14:paraId="3FFA47E0">
      <w:pPr>
        <w:numPr>
          <w:ilvl w:val="1"/>
          <w:numId w:val="16"/>
        </w:numPr>
        <w:tabs>
          <w:tab w:val="left" w:pos="950"/>
        </w:tabs>
        <w:autoSpaceDE w:val="0"/>
        <w:autoSpaceDN w:val="0"/>
        <w:spacing w:before="37"/>
        <w:ind w:left="950" w:hanging="524"/>
        <w:jc w:val="both"/>
        <w:rPr>
          <w:rFonts w:ascii="宋体" w:hAnsi="宋体" w:eastAsia="宋体" w:cs="宋体"/>
          <w:szCs w:val="22"/>
        </w:rPr>
      </w:pPr>
      <w:r>
        <w:rPr>
          <w:rFonts w:ascii="宋体" w:hAnsi="宋体" w:eastAsia="宋体" w:cs="宋体"/>
          <w:spacing w:val="-5"/>
          <w:szCs w:val="22"/>
        </w:rPr>
        <w:t>联合体</w:t>
      </w:r>
    </w:p>
    <w:p w14:paraId="55084F91">
      <w:pPr>
        <w:numPr>
          <w:ilvl w:val="2"/>
          <w:numId w:val="16"/>
        </w:numPr>
        <w:tabs>
          <w:tab w:val="left" w:pos="1686"/>
        </w:tabs>
        <w:autoSpaceDE w:val="0"/>
        <w:autoSpaceDN w:val="0"/>
        <w:spacing w:before="125" w:line="352" w:lineRule="auto"/>
        <w:ind w:left="426" w:right="569" w:firstLine="420"/>
        <w:jc w:val="both"/>
        <w:rPr>
          <w:rFonts w:ascii="宋体" w:hAnsi="宋体" w:eastAsia="宋体" w:cs="宋体"/>
          <w:szCs w:val="22"/>
        </w:rPr>
      </w:pPr>
      <w:r>
        <w:rPr>
          <w:rFonts w:ascii="宋体" w:hAnsi="宋体" w:eastAsia="宋体" w:cs="宋体"/>
          <w:spacing w:val="-2"/>
          <w:szCs w:val="22"/>
        </w:rPr>
        <w:t>经发包人同意，以联合体方式承包工程的，联合体各方应共同与发包人签订合同协议书。联合体各方应为履行合同向发包人承担连带责任。</w:t>
      </w:r>
    </w:p>
    <w:p w14:paraId="6969A948">
      <w:pPr>
        <w:numPr>
          <w:ilvl w:val="2"/>
          <w:numId w:val="16"/>
        </w:numPr>
        <w:tabs>
          <w:tab w:val="left" w:pos="1578"/>
        </w:tabs>
        <w:autoSpaceDE w:val="0"/>
        <w:autoSpaceDN w:val="0"/>
        <w:spacing w:line="350" w:lineRule="auto"/>
        <w:ind w:left="426" w:right="569" w:firstLine="420"/>
        <w:jc w:val="both"/>
        <w:rPr>
          <w:rFonts w:ascii="宋体" w:hAnsi="宋体" w:eastAsia="宋体" w:cs="宋体"/>
          <w:szCs w:val="22"/>
        </w:rPr>
      </w:pPr>
      <w:r>
        <w:rPr>
          <w:rFonts w:ascii="宋体" w:hAnsi="宋体" w:eastAsia="宋体" w:cs="宋体"/>
          <w:spacing w:val="-2"/>
          <w:szCs w:val="22"/>
        </w:rPr>
        <w:t>联合体协议经发包人确认后作为合同附件。在履行合同过程中，未经发包人同意，不得变更联合体成员和其负责的工作范围，或者修改联合体协议中与本合同履行相关的内容。</w:t>
      </w:r>
    </w:p>
    <w:p w14:paraId="4513FFB5">
      <w:pPr>
        <w:numPr>
          <w:ilvl w:val="2"/>
          <w:numId w:val="16"/>
        </w:numPr>
        <w:tabs>
          <w:tab w:val="left" w:pos="1578"/>
        </w:tabs>
        <w:autoSpaceDE w:val="0"/>
        <w:autoSpaceDN w:val="0"/>
        <w:spacing w:before="1" w:line="352" w:lineRule="auto"/>
        <w:ind w:left="426" w:right="569" w:firstLine="420"/>
        <w:jc w:val="both"/>
        <w:rPr>
          <w:rFonts w:ascii="宋体" w:hAnsi="宋体" w:eastAsia="宋体" w:cs="宋体"/>
          <w:szCs w:val="22"/>
        </w:rPr>
      </w:pPr>
      <w:r>
        <w:rPr>
          <w:rFonts w:ascii="宋体" w:hAnsi="宋体" w:eastAsia="宋体" w:cs="宋体"/>
          <w:spacing w:val="-2"/>
          <w:szCs w:val="22"/>
        </w:rPr>
        <w:t>联合体牵头人负责与发包人和监理人联系，并接受指示，负责组织联合体各成员全面履</w:t>
      </w:r>
      <w:r>
        <w:rPr>
          <w:rFonts w:ascii="宋体" w:hAnsi="宋体" w:eastAsia="宋体" w:cs="宋体"/>
          <w:spacing w:val="-4"/>
          <w:szCs w:val="22"/>
        </w:rPr>
        <w:t>行合同。</w:t>
      </w:r>
    </w:p>
    <w:p w14:paraId="144227C2">
      <w:pPr>
        <w:numPr>
          <w:ilvl w:val="2"/>
          <w:numId w:val="16"/>
        </w:numPr>
        <w:tabs>
          <w:tab w:val="left" w:pos="1578"/>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7705E439">
      <w:pPr>
        <w:numPr>
          <w:ilvl w:val="1"/>
          <w:numId w:val="16"/>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4"/>
          <w:szCs w:val="22"/>
        </w:rPr>
        <w:t>承包人项目经理</w:t>
      </w:r>
    </w:p>
    <w:p w14:paraId="64BDC3F5">
      <w:pPr>
        <w:numPr>
          <w:ilvl w:val="2"/>
          <w:numId w:val="16"/>
        </w:numPr>
        <w:tabs>
          <w:tab w:val="left" w:pos="1578"/>
        </w:tabs>
        <w:autoSpaceDE w:val="0"/>
        <w:autoSpaceDN w:val="0"/>
        <w:spacing w:before="125"/>
        <w:ind w:left="1578" w:hanging="732"/>
        <w:jc w:val="both"/>
        <w:rPr>
          <w:rFonts w:ascii="宋体" w:hAnsi="宋体" w:eastAsia="宋体" w:cs="宋体"/>
          <w:szCs w:val="22"/>
        </w:rPr>
      </w:pPr>
      <w:r>
        <w:rPr>
          <w:rFonts w:ascii="宋体" w:hAnsi="宋体" w:eastAsia="宋体" w:cs="宋体"/>
          <w:spacing w:val="-5"/>
          <w:szCs w:val="22"/>
        </w:rPr>
        <w:t>承包人应按合同约定指派项目经理，并在约定的期限内到职。承包人更换项目经理应事</w:t>
      </w:r>
    </w:p>
    <w:p w14:paraId="0402384C">
      <w:pPr>
        <w:autoSpaceDE w:val="0"/>
        <w:autoSpaceDN w:val="0"/>
        <w:spacing w:before="127" w:line="350" w:lineRule="auto"/>
        <w:ind w:left="426" w:right="463"/>
        <w:rPr>
          <w:rFonts w:ascii="宋体" w:hAnsi="宋体" w:eastAsia="宋体" w:cs="宋体"/>
          <w:szCs w:val="21"/>
        </w:rPr>
      </w:pPr>
      <w:r>
        <w:rPr>
          <w:rFonts w:ascii="宋体" w:hAnsi="宋体" w:eastAsia="宋体" w:cs="宋体"/>
          <w:spacing w:val="-3"/>
          <w:szCs w:val="21"/>
        </w:rPr>
        <w:t xml:space="preserve">先征得发包人同意，并应在更换 </w:t>
      </w:r>
      <w:r>
        <w:rPr>
          <w:rFonts w:ascii="宋体" w:hAnsi="宋体" w:eastAsia="宋体" w:cs="宋体"/>
          <w:spacing w:val="-2"/>
          <w:szCs w:val="21"/>
        </w:rPr>
        <w:t>14</w:t>
      </w:r>
      <w:r>
        <w:rPr>
          <w:rFonts w:ascii="宋体" w:hAnsi="宋体" w:eastAsia="宋体" w:cs="宋体"/>
          <w:spacing w:val="-4"/>
          <w:szCs w:val="21"/>
        </w:rPr>
        <w:t xml:space="preserve"> 天前通知发包人和监理人。承包人项目经理短期离开施工场地，</w:t>
      </w:r>
      <w:r>
        <w:rPr>
          <w:rFonts w:ascii="宋体" w:hAnsi="宋体" w:eastAsia="宋体" w:cs="宋体"/>
          <w:spacing w:val="-2"/>
          <w:szCs w:val="21"/>
        </w:rPr>
        <w:t>应事先征得监理人同意，并委派代表代行其职责。</w:t>
      </w:r>
    </w:p>
    <w:p w14:paraId="34FCFD12">
      <w:pPr>
        <w:numPr>
          <w:ilvl w:val="2"/>
          <w:numId w:val="16"/>
        </w:numPr>
        <w:tabs>
          <w:tab w:val="left" w:pos="1581"/>
        </w:tabs>
        <w:autoSpaceDE w:val="0"/>
        <w:autoSpaceDN w:val="0"/>
        <w:spacing w:before="2" w:line="350" w:lineRule="auto"/>
        <w:ind w:left="426" w:right="463" w:firstLine="420"/>
        <w:rPr>
          <w:rFonts w:ascii="宋体" w:hAnsi="宋体" w:eastAsia="宋体" w:cs="宋体"/>
          <w:szCs w:val="22"/>
        </w:rPr>
      </w:pPr>
      <w:r>
        <w:rPr>
          <w:rFonts w:ascii="宋体" w:hAnsi="宋体" w:eastAsia="宋体" w:cs="宋体"/>
          <w:szCs w:val="22"/>
        </w:rPr>
        <w:t>承包人项目经理应按合同约定以及监理人按第 3.4 款作出的指示，负责组织合同工程</w:t>
      </w:r>
      <w:r>
        <w:rPr>
          <w:rFonts w:ascii="宋体" w:hAnsi="宋体" w:eastAsia="宋体" w:cs="宋体"/>
          <w:spacing w:val="-2"/>
          <w:szCs w:val="22"/>
        </w:rPr>
        <w:t>的实施。在情况紧急且无法与监理人取得联系时，可采取保证工程和人员生命财产安全的紧急措施，</w:t>
      </w:r>
      <w:r>
        <w:rPr>
          <w:rFonts w:ascii="宋体" w:hAnsi="宋体" w:eastAsia="宋体" w:cs="宋体"/>
          <w:szCs w:val="22"/>
        </w:rPr>
        <w:t>并在采取措施后 48 小时内向监理人提交书面报告。</w:t>
      </w:r>
    </w:p>
    <w:p w14:paraId="3C496D3A">
      <w:pPr>
        <w:numPr>
          <w:ilvl w:val="2"/>
          <w:numId w:val="16"/>
        </w:numPr>
        <w:tabs>
          <w:tab w:val="left" w:pos="1578"/>
        </w:tabs>
        <w:autoSpaceDE w:val="0"/>
        <w:autoSpaceDN w:val="0"/>
        <w:spacing w:before="5" w:line="352" w:lineRule="auto"/>
        <w:ind w:left="426" w:right="569" w:firstLine="420"/>
        <w:rPr>
          <w:rFonts w:ascii="宋体" w:hAnsi="宋体" w:eastAsia="宋体" w:cs="宋体"/>
          <w:szCs w:val="22"/>
        </w:rPr>
      </w:pPr>
      <w:r>
        <w:rPr>
          <w:rFonts w:ascii="宋体" w:hAnsi="宋体" w:eastAsia="宋体" w:cs="宋体"/>
          <w:spacing w:val="-4"/>
          <w:szCs w:val="22"/>
        </w:rPr>
        <w:t>承包人为履行合同发出的一切函件均应盖有承包人授权的施工场地管理机构章，并由承</w:t>
      </w:r>
      <w:r>
        <w:rPr>
          <w:rFonts w:ascii="宋体" w:hAnsi="宋体" w:eastAsia="宋体" w:cs="宋体"/>
          <w:spacing w:val="-2"/>
          <w:szCs w:val="22"/>
        </w:rPr>
        <w:t>包人项目经理或其授权代表签字。</w:t>
      </w:r>
    </w:p>
    <w:p w14:paraId="4B85FB48">
      <w:pPr>
        <w:numPr>
          <w:ilvl w:val="2"/>
          <w:numId w:val="16"/>
        </w:numPr>
        <w:tabs>
          <w:tab w:val="left" w:pos="1578"/>
        </w:tabs>
        <w:autoSpaceDE w:val="0"/>
        <w:autoSpaceDN w:val="0"/>
        <w:spacing w:line="352" w:lineRule="auto"/>
        <w:ind w:left="426" w:right="569" w:firstLine="420"/>
        <w:rPr>
          <w:rFonts w:ascii="宋体" w:hAnsi="宋体" w:eastAsia="宋体" w:cs="宋体"/>
          <w:szCs w:val="22"/>
        </w:rPr>
      </w:pPr>
      <w:r>
        <w:rPr>
          <w:rFonts w:ascii="宋体" w:hAnsi="宋体" w:eastAsia="宋体" w:cs="宋体"/>
          <w:spacing w:val="-5"/>
          <w:szCs w:val="22"/>
        </w:rPr>
        <w:t>承包人项目经理可以授权其下属人员履行其某项职责，该下属人员应具备履行相应职责</w:t>
      </w:r>
      <w:r>
        <w:rPr>
          <w:rFonts w:ascii="宋体" w:hAnsi="宋体" w:eastAsia="宋体" w:cs="宋体"/>
          <w:spacing w:val="-2"/>
          <w:szCs w:val="22"/>
        </w:rPr>
        <w:t>的能力，并应事先应将上述人员的姓名和授权范围通知监理人。</w:t>
      </w:r>
    </w:p>
    <w:p w14:paraId="48EA37AB">
      <w:pPr>
        <w:numPr>
          <w:ilvl w:val="1"/>
          <w:numId w:val="16"/>
        </w:numPr>
        <w:tabs>
          <w:tab w:val="left" w:pos="950"/>
        </w:tabs>
        <w:autoSpaceDE w:val="0"/>
        <w:autoSpaceDN w:val="0"/>
        <w:spacing w:line="272" w:lineRule="exact"/>
        <w:ind w:left="950" w:hanging="524"/>
        <w:jc w:val="left"/>
        <w:rPr>
          <w:rFonts w:ascii="宋体" w:hAnsi="宋体" w:eastAsia="宋体" w:cs="宋体"/>
          <w:szCs w:val="22"/>
        </w:rPr>
      </w:pPr>
      <w:r>
        <w:rPr>
          <w:rFonts w:ascii="宋体" w:hAnsi="宋体" w:eastAsia="宋体" w:cs="宋体"/>
          <w:spacing w:val="-4"/>
          <w:szCs w:val="22"/>
        </w:rPr>
        <w:t>承包人人员的管理</w:t>
      </w:r>
    </w:p>
    <w:p w14:paraId="516E78CE">
      <w:pPr>
        <w:numPr>
          <w:ilvl w:val="2"/>
          <w:numId w:val="16"/>
        </w:numPr>
        <w:tabs>
          <w:tab w:val="left" w:pos="1578"/>
        </w:tabs>
        <w:autoSpaceDE w:val="0"/>
        <w:autoSpaceDN w:val="0"/>
        <w:spacing w:before="122" w:line="352" w:lineRule="auto"/>
        <w:ind w:left="426" w:right="567" w:firstLine="420"/>
        <w:jc w:val="both"/>
        <w:rPr>
          <w:rFonts w:ascii="宋体" w:hAnsi="宋体" w:eastAsia="宋体" w:cs="宋体"/>
          <w:szCs w:val="22"/>
        </w:rPr>
      </w:pPr>
      <w:r>
        <w:rPr>
          <w:rFonts w:ascii="宋体" w:hAnsi="宋体" w:eastAsia="宋体" w:cs="宋体"/>
          <w:spacing w:val="-2"/>
          <w:szCs w:val="22"/>
        </w:rPr>
        <w:t xml:space="preserve">承包人应在接到开工通知后 </w:t>
      </w:r>
      <w:r>
        <w:rPr>
          <w:rFonts w:ascii="宋体" w:hAnsi="宋体" w:eastAsia="宋体" w:cs="宋体"/>
          <w:szCs w:val="22"/>
        </w:rPr>
        <w:t>28</w:t>
      </w:r>
      <w:r>
        <w:rPr>
          <w:rFonts w:ascii="宋体" w:hAnsi="宋体" w:eastAsia="宋体" w:cs="宋体"/>
          <w:spacing w:val="-10"/>
          <w:szCs w:val="22"/>
        </w:rPr>
        <w:t xml:space="preserve"> 天内，向监理人提交承包人在施工场地的管理机构以及</w:t>
      </w:r>
      <w:r>
        <w:rPr>
          <w:rFonts w:ascii="宋体" w:hAnsi="宋体" w:eastAsia="宋体" w:cs="宋体"/>
          <w:spacing w:val="-2"/>
          <w:szCs w:val="22"/>
        </w:rPr>
        <w:t>人员安排的报告，其内容应包括管理机构的设置、各主要岗位的技术和管理人员名单及其资格，以及各工种技术工人的安排状况。承包人应向监理人提交施工场地人员变动情况的报告。</w:t>
      </w:r>
    </w:p>
    <w:p w14:paraId="1D87398A">
      <w:pPr>
        <w:numPr>
          <w:ilvl w:val="2"/>
          <w:numId w:val="16"/>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3"/>
          <w:szCs w:val="22"/>
        </w:rPr>
        <w:t>为完成合同约定的各项工作，承包人应向施工场地派遣或雇佣足够数量的下列人员：</w:t>
      </w:r>
    </w:p>
    <w:p w14:paraId="732BE09D">
      <w:pPr>
        <w:numPr>
          <w:ilvl w:val="0"/>
          <w:numId w:val="21"/>
        </w:numPr>
        <w:tabs>
          <w:tab w:val="left" w:pos="1261"/>
        </w:tabs>
        <w:autoSpaceDE w:val="0"/>
        <w:autoSpaceDN w:val="0"/>
        <w:spacing w:before="127"/>
        <w:ind w:left="1261" w:hanging="521"/>
        <w:rPr>
          <w:rFonts w:ascii="宋体" w:hAnsi="宋体" w:eastAsia="宋体" w:cs="宋体"/>
          <w:szCs w:val="22"/>
        </w:rPr>
      </w:pPr>
      <w:r>
        <w:rPr>
          <w:rFonts w:ascii="宋体" w:hAnsi="宋体" w:eastAsia="宋体" w:cs="宋体"/>
          <w:spacing w:val="-3"/>
          <w:szCs w:val="22"/>
        </w:rPr>
        <w:t>具有相应资格的专业技工和合格的普工；</w:t>
      </w:r>
    </w:p>
    <w:p w14:paraId="3ADFA5A9">
      <w:pPr>
        <w:numPr>
          <w:ilvl w:val="0"/>
          <w:numId w:val="21"/>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具有相应施工经验的技术人员；</w:t>
      </w:r>
    </w:p>
    <w:p w14:paraId="71305BE9">
      <w:pPr>
        <w:numPr>
          <w:ilvl w:val="0"/>
          <w:numId w:val="21"/>
        </w:numPr>
        <w:tabs>
          <w:tab w:val="left" w:pos="1261"/>
        </w:tabs>
        <w:autoSpaceDE w:val="0"/>
        <w:autoSpaceDN w:val="0"/>
        <w:spacing w:before="126"/>
        <w:ind w:left="1261" w:hanging="521"/>
        <w:rPr>
          <w:rFonts w:ascii="宋体" w:hAnsi="宋体" w:eastAsia="宋体" w:cs="宋体"/>
          <w:szCs w:val="22"/>
        </w:rPr>
      </w:pPr>
      <w:r>
        <w:rPr>
          <w:rFonts w:ascii="宋体" w:hAnsi="宋体" w:eastAsia="宋体" w:cs="宋体"/>
          <w:spacing w:val="-3"/>
          <w:szCs w:val="22"/>
        </w:rPr>
        <w:t>具有相应岗位资格的各级管理人员。</w:t>
      </w:r>
    </w:p>
    <w:p w14:paraId="76786716">
      <w:pPr>
        <w:numPr>
          <w:ilvl w:val="2"/>
          <w:numId w:val="16"/>
        </w:numPr>
        <w:tabs>
          <w:tab w:val="left" w:pos="1578"/>
        </w:tabs>
        <w:autoSpaceDE w:val="0"/>
        <w:autoSpaceDN w:val="0"/>
        <w:spacing w:before="127" w:line="350" w:lineRule="auto"/>
        <w:ind w:left="426" w:right="567" w:firstLine="420"/>
        <w:jc w:val="both"/>
        <w:rPr>
          <w:rFonts w:ascii="宋体" w:hAnsi="宋体" w:eastAsia="宋体" w:cs="宋体"/>
          <w:szCs w:val="22"/>
        </w:rPr>
      </w:pPr>
      <w:r>
        <w:rPr>
          <w:rFonts w:ascii="宋体" w:hAnsi="宋体" w:eastAsia="宋体" w:cs="宋体"/>
          <w:spacing w:val="-4"/>
          <w:szCs w:val="22"/>
        </w:rPr>
        <w:t>承包人安排在施工场地的主要管理人员和技术骨干应与承包人承诺的名单一致，并保持</w:t>
      </w:r>
      <w:r>
        <w:rPr>
          <w:rFonts w:ascii="宋体" w:hAnsi="宋体" w:eastAsia="宋体" w:cs="宋体"/>
          <w:spacing w:val="-2"/>
          <w:szCs w:val="22"/>
        </w:rPr>
        <w:t>相对稳定。未经监理人批准，上述人员不应无故不到位或被替换；若确认无法到位或需替换，需经监理人审核并报发包人批准后，用同等资质和经历的人员替换。</w:t>
      </w:r>
    </w:p>
    <w:p w14:paraId="36119EC6">
      <w:pPr>
        <w:numPr>
          <w:ilvl w:val="2"/>
          <w:numId w:val="16"/>
        </w:numPr>
        <w:tabs>
          <w:tab w:val="left" w:pos="1578"/>
        </w:tabs>
        <w:autoSpaceDE w:val="0"/>
        <w:autoSpaceDN w:val="0"/>
        <w:spacing w:before="5" w:line="352" w:lineRule="auto"/>
        <w:ind w:left="426" w:right="569" w:firstLine="420"/>
        <w:jc w:val="both"/>
        <w:rPr>
          <w:rFonts w:ascii="宋体" w:hAnsi="宋体" w:eastAsia="宋体" w:cs="宋体"/>
          <w:szCs w:val="22"/>
        </w:rPr>
      </w:pPr>
      <w:r>
        <w:rPr>
          <w:rFonts w:ascii="宋体" w:hAnsi="宋体" w:eastAsia="宋体" w:cs="宋体"/>
          <w:spacing w:val="-2"/>
          <w:szCs w:val="22"/>
        </w:rPr>
        <w:t>特殊岗位的工作人员均应持有相应的资格证明，监理人有权随时检查。监理人认为有必要时，可进行现场考核。</w:t>
      </w:r>
    </w:p>
    <w:p w14:paraId="77FFD710">
      <w:pPr>
        <w:spacing w:line="352" w:lineRule="auto"/>
        <w:sectPr>
          <w:pgSz w:w="11910" w:h="16840"/>
          <w:pgMar w:top="1640" w:right="849" w:bottom="1360" w:left="992" w:header="0" w:footer="1176" w:gutter="0"/>
          <w:cols w:space="720" w:num="1"/>
        </w:sectPr>
      </w:pPr>
    </w:p>
    <w:p w14:paraId="20E512C8">
      <w:pPr>
        <w:numPr>
          <w:ilvl w:val="2"/>
          <w:numId w:val="16"/>
        </w:numPr>
        <w:tabs>
          <w:tab w:val="left" w:pos="1586"/>
        </w:tabs>
        <w:autoSpaceDE w:val="0"/>
        <w:autoSpaceDN w:val="0"/>
        <w:spacing w:before="37"/>
        <w:ind w:left="1586" w:hanging="740"/>
        <w:rPr>
          <w:rFonts w:ascii="宋体" w:hAnsi="宋体" w:eastAsia="宋体" w:cs="宋体"/>
          <w:szCs w:val="22"/>
        </w:rPr>
      </w:pPr>
      <w:r>
        <w:rPr>
          <w:rFonts w:ascii="宋体" w:hAnsi="宋体" w:eastAsia="宋体" w:cs="宋体"/>
          <w:spacing w:val="-1"/>
          <w:szCs w:val="22"/>
        </w:rPr>
        <w:t>尽管承包人已按承诺派遣了上述各类人员，但若这些人员仍不能满足合同进度计划和</w:t>
      </w:r>
    </w:p>
    <w:p w14:paraId="65D88216">
      <w:pPr>
        <w:autoSpaceDE w:val="0"/>
        <w:autoSpaceDN w:val="0"/>
        <w:spacing w:before="125" w:line="352" w:lineRule="auto"/>
        <w:ind w:left="426" w:right="463" w:hanging="106"/>
        <w:jc w:val="left"/>
        <w:rPr>
          <w:rFonts w:ascii="宋体" w:hAnsi="宋体" w:eastAsia="宋体" w:cs="宋体"/>
          <w:szCs w:val="21"/>
        </w:rPr>
      </w:pPr>
      <w:r>
        <w:rPr>
          <w:rFonts w:ascii="宋体" w:hAnsi="宋体" w:eastAsia="宋体" w:cs="宋体"/>
          <w:spacing w:val="-2"/>
          <w:szCs w:val="21"/>
        </w:rPr>
        <w:t>（或）质量要求时，监理人有权要求承包人继续增派或雇用这类人员，并书面通知承包人和抄送发包</w:t>
      </w:r>
      <w:r>
        <w:rPr>
          <w:rFonts w:ascii="宋体" w:hAnsi="宋体" w:eastAsia="宋体" w:cs="宋体"/>
          <w:spacing w:val="-18"/>
          <w:szCs w:val="21"/>
        </w:rPr>
        <w:t>人。承包人在接到上述通知后应立即执行监理人的上述指示，不得无故拖延。由此增加的费用和</w:t>
      </w:r>
      <w:r>
        <w:rPr>
          <w:rFonts w:ascii="宋体" w:hAnsi="宋体" w:eastAsia="宋体" w:cs="宋体"/>
          <w:spacing w:val="-2"/>
          <w:szCs w:val="21"/>
        </w:rPr>
        <w:t>（或）工期延误由承包人承担。</w:t>
      </w:r>
    </w:p>
    <w:p w14:paraId="57B3C399">
      <w:pPr>
        <w:numPr>
          <w:ilvl w:val="1"/>
          <w:numId w:val="16"/>
        </w:numPr>
        <w:tabs>
          <w:tab w:val="left" w:pos="1370"/>
        </w:tabs>
        <w:autoSpaceDE w:val="0"/>
        <w:autoSpaceDN w:val="0"/>
        <w:spacing w:line="269" w:lineRule="exact"/>
        <w:ind w:left="1370" w:hanging="524"/>
        <w:jc w:val="both"/>
        <w:rPr>
          <w:rFonts w:ascii="宋体" w:hAnsi="宋体" w:eastAsia="宋体" w:cs="宋体"/>
          <w:szCs w:val="22"/>
        </w:rPr>
      </w:pPr>
      <w:r>
        <w:rPr>
          <w:rFonts w:ascii="宋体" w:hAnsi="宋体" w:eastAsia="宋体" w:cs="宋体"/>
          <w:spacing w:val="-3"/>
          <w:szCs w:val="22"/>
        </w:rPr>
        <w:t>撤换承包人项目经理和其他人员</w:t>
      </w:r>
    </w:p>
    <w:p w14:paraId="0B9FB5C2">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0197D099">
      <w:pPr>
        <w:numPr>
          <w:ilvl w:val="1"/>
          <w:numId w:val="16"/>
        </w:numPr>
        <w:tabs>
          <w:tab w:val="left" w:pos="1370"/>
        </w:tabs>
        <w:autoSpaceDE w:val="0"/>
        <w:autoSpaceDN w:val="0"/>
        <w:spacing w:before="4"/>
        <w:ind w:left="1370" w:hanging="524"/>
        <w:jc w:val="both"/>
        <w:rPr>
          <w:rFonts w:ascii="宋体" w:hAnsi="宋体" w:eastAsia="宋体" w:cs="宋体"/>
          <w:szCs w:val="22"/>
        </w:rPr>
      </w:pPr>
      <w:r>
        <w:rPr>
          <w:rFonts w:ascii="宋体" w:hAnsi="宋体" w:eastAsia="宋体" w:cs="宋体"/>
          <w:spacing w:val="-3"/>
          <w:szCs w:val="22"/>
        </w:rPr>
        <w:t>保障承包人人员的合法权益</w:t>
      </w:r>
    </w:p>
    <w:p w14:paraId="525973E0">
      <w:pPr>
        <w:numPr>
          <w:ilvl w:val="2"/>
          <w:numId w:val="16"/>
        </w:numPr>
        <w:tabs>
          <w:tab w:val="left" w:pos="1578"/>
        </w:tabs>
        <w:autoSpaceDE w:val="0"/>
        <w:autoSpaceDN w:val="0"/>
        <w:spacing w:before="128"/>
        <w:ind w:left="1578" w:hanging="732"/>
        <w:jc w:val="both"/>
        <w:rPr>
          <w:rFonts w:ascii="宋体" w:hAnsi="宋体" w:eastAsia="宋体" w:cs="宋体"/>
          <w:szCs w:val="22"/>
        </w:rPr>
      </w:pPr>
      <w:r>
        <w:rPr>
          <w:rFonts w:ascii="宋体" w:hAnsi="宋体" w:eastAsia="宋体" w:cs="宋体"/>
          <w:spacing w:val="-3"/>
          <w:szCs w:val="22"/>
        </w:rPr>
        <w:t>承包人应与其雇佣的人员签订劳动合同，并按时发放工资。</w:t>
      </w:r>
    </w:p>
    <w:p w14:paraId="1931C6A9">
      <w:pPr>
        <w:numPr>
          <w:ilvl w:val="2"/>
          <w:numId w:val="16"/>
        </w:numPr>
        <w:tabs>
          <w:tab w:val="left" w:pos="1578"/>
        </w:tabs>
        <w:autoSpaceDE w:val="0"/>
        <w:autoSpaceDN w:val="0"/>
        <w:spacing w:before="125" w:line="352" w:lineRule="auto"/>
        <w:ind w:left="426" w:right="567" w:firstLine="420"/>
        <w:jc w:val="both"/>
        <w:rPr>
          <w:rFonts w:ascii="宋体" w:hAnsi="宋体" w:eastAsia="宋体" w:cs="宋体"/>
          <w:szCs w:val="22"/>
        </w:rPr>
      </w:pPr>
      <w:r>
        <w:rPr>
          <w:rFonts w:ascii="宋体" w:hAnsi="宋体" w:eastAsia="宋体" w:cs="宋体"/>
          <w:spacing w:val="-2"/>
          <w:szCs w:val="22"/>
        </w:rPr>
        <w:t>承包人应按劳动法的规定安排工作时间，保证其雇佣人员享有休息和休假的权利。因工程施工的特殊需要占用休假日或延长工作时间的，应不超过法律规定的限度，并按法律规定给予补休或付酬。</w:t>
      </w:r>
    </w:p>
    <w:p w14:paraId="7640411D">
      <w:pPr>
        <w:numPr>
          <w:ilvl w:val="2"/>
          <w:numId w:val="16"/>
        </w:numPr>
        <w:tabs>
          <w:tab w:val="left" w:pos="1586"/>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承包人应为其雇佣人员提供必要的食宿条件，以及符合环境保护和卫生要求的生活环境，在远离城镇的施工场地，承包人应至少设一名具有一定卫生常识及传染病防治知识的卫生督查员，负责承包人所在施工现场的传染病检查、控制、报告</w:t>
      </w:r>
      <w:r>
        <w:rPr>
          <w:rFonts w:ascii="宋体" w:hAnsi="宋体" w:eastAsia="宋体" w:cs="宋体"/>
          <w:spacing w:val="-1"/>
          <w:w w:val="99"/>
          <w:szCs w:val="22"/>
        </w:rPr>
        <w:t>。</w:t>
      </w:r>
    </w:p>
    <w:p w14:paraId="152B0F5B">
      <w:pPr>
        <w:autoSpaceDE w:val="0"/>
        <w:autoSpaceDN w:val="0"/>
        <w:spacing w:line="352" w:lineRule="auto"/>
        <w:ind w:left="426" w:right="567" w:firstLine="420"/>
        <w:rPr>
          <w:rFonts w:ascii="宋体" w:hAnsi="宋体" w:eastAsia="宋体" w:cs="宋体"/>
          <w:szCs w:val="21"/>
        </w:rPr>
      </w:pPr>
      <w:r>
        <w:rPr>
          <w:rFonts w:ascii="宋体" w:hAnsi="宋体" w:eastAsia="宋体" w:cs="宋体"/>
          <w:spacing w:val="-2"/>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14:paraId="2ADCA91F">
      <w:pPr>
        <w:numPr>
          <w:ilvl w:val="2"/>
          <w:numId w:val="16"/>
        </w:numPr>
        <w:tabs>
          <w:tab w:val="left" w:pos="1578"/>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A920BB0">
      <w:pPr>
        <w:numPr>
          <w:ilvl w:val="2"/>
          <w:numId w:val="16"/>
        </w:numPr>
        <w:tabs>
          <w:tab w:val="left" w:pos="1578"/>
        </w:tabs>
        <w:autoSpaceDE w:val="0"/>
        <w:autoSpaceDN w:val="0"/>
        <w:spacing w:line="269" w:lineRule="exact"/>
        <w:ind w:left="1578" w:hanging="732"/>
        <w:jc w:val="both"/>
        <w:rPr>
          <w:rFonts w:ascii="宋体" w:hAnsi="宋体" w:eastAsia="宋体" w:cs="宋体"/>
          <w:szCs w:val="22"/>
        </w:rPr>
      </w:pPr>
      <w:r>
        <w:rPr>
          <w:rFonts w:ascii="宋体" w:hAnsi="宋体" w:eastAsia="宋体" w:cs="宋体"/>
          <w:spacing w:val="-3"/>
          <w:szCs w:val="22"/>
        </w:rPr>
        <w:t>承包人应按有关法律规定和合同约定，为其雇佣人员办理保险。</w:t>
      </w:r>
    </w:p>
    <w:p w14:paraId="32AA8880">
      <w:pPr>
        <w:numPr>
          <w:ilvl w:val="2"/>
          <w:numId w:val="16"/>
        </w:numPr>
        <w:tabs>
          <w:tab w:val="left" w:pos="1578"/>
        </w:tabs>
        <w:autoSpaceDE w:val="0"/>
        <w:autoSpaceDN w:val="0"/>
        <w:spacing w:before="116"/>
        <w:ind w:left="1578" w:hanging="732"/>
        <w:jc w:val="both"/>
        <w:rPr>
          <w:rFonts w:ascii="宋体" w:hAnsi="宋体" w:eastAsia="宋体" w:cs="宋体"/>
          <w:szCs w:val="22"/>
        </w:rPr>
      </w:pPr>
      <w:r>
        <w:rPr>
          <w:rFonts w:ascii="宋体" w:hAnsi="宋体" w:eastAsia="宋体" w:cs="宋体"/>
          <w:spacing w:val="-3"/>
          <w:szCs w:val="22"/>
        </w:rPr>
        <w:t>承包人应负责处理其雇佣人员因工伤亡事故的善后事宜。</w:t>
      </w:r>
    </w:p>
    <w:p w14:paraId="766B6E5C">
      <w:pPr>
        <w:numPr>
          <w:ilvl w:val="1"/>
          <w:numId w:val="16"/>
        </w:numPr>
        <w:tabs>
          <w:tab w:val="left" w:pos="950"/>
        </w:tabs>
        <w:autoSpaceDE w:val="0"/>
        <w:autoSpaceDN w:val="0"/>
        <w:spacing w:before="128"/>
        <w:ind w:left="950" w:hanging="524"/>
        <w:jc w:val="both"/>
        <w:rPr>
          <w:rFonts w:ascii="宋体" w:hAnsi="宋体" w:eastAsia="宋体" w:cs="宋体"/>
          <w:szCs w:val="22"/>
        </w:rPr>
      </w:pPr>
      <w:r>
        <w:rPr>
          <w:rFonts w:ascii="宋体" w:hAnsi="宋体" w:eastAsia="宋体" w:cs="宋体"/>
          <w:spacing w:val="-3"/>
          <w:szCs w:val="22"/>
        </w:rPr>
        <w:t>工程价款应专款专用</w:t>
      </w:r>
    </w:p>
    <w:p w14:paraId="6828300D">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pacing w:val="-2"/>
          <w:szCs w:val="21"/>
        </w:rPr>
        <w:t>发包人按合同约定支付给承包人的各项价款应专用于合同工程。承包人必须在发包人指定的银行开户，并应向发包人授权进行本合同工程开户银行工程资金的查询。发包人支付的工程进度款应为本工程的专款专用资金，不得转移或用于其它工程。发包人的期中支付款将转入该银行所设的专门账户，发包人及其派出机构有权不定期对承包人工程资金使用情况进行检查，发现问题及时责令承包人限期改正。否则，将终止月支付，直至承包人改正为止。</w:t>
      </w:r>
    </w:p>
    <w:p w14:paraId="3530B26F">
      <w:pPr>
        <w:numPr>
          <w:ilvl w:val="1"/>
          <w:numId w:val="16"/>
        </w:numPr>
        <w:tabs>
          <w:tab w:val="left" w:pos="1054"/>
        </w:tabs>
        <w:autoSpaceDE w:val="0"/>
        <w:autoSpaceDN w:val="0"/>
        <w:spacing w:line="268" w:lineRule="exact"/>
        <w:ind w:left="1054" w:hanging="628"/>
        <w:jc w:val="both"/>
        <w:rPr>
          <w:rFonts w:ascii="宋体" w:hAnsi="宋体" w:eastAsia="宋体" w:cs="宋体"/>
          <w:szCs w:val="22"/>
        </w:rPr>
      </w:pPr>
      <w:r>
        <w:rPr>
          <w:rFonts w:ascii="宋体" w:hAnsi="宋体" w:eastAsia="宋体" w:cs="宋体"/>
          <w:spacing w:val="-4"/>
          <w:szCs w:val="22"/>
        </w:rPr>
        <w:t>承包人现场查勘</w:t>
      </w:r>
    </w:p>
    <w:p w14:paraId="7D0B6101">
      <w:pPr>
        <w:numPr>
          <w:ilvl w:val="2"/>
          <w:numId w:val="16"/>
        </w:numPr>
        <w:tabs>
          <w:tab w:val="left" w:pos="1687"/>
        </w:tabs>
        <w:autoSpaceDE w:val="0"/>
        <w:autoSpaceDN w:val="0"/>
        <w:spacing w:before="125" w:line="352" w:lineRule="auto"/>
        <w:ind w:left="426" w:right="567" w:firstLine="420"/>
        <w:jc w:val="both"/>
        <w:rPr>
          <w:rFonts w:ascii="宋体" w:hAnsi="宋体" w:eastAsia="宋体" w:cs="宋体"/>
          <w:szCs w:val="22"/>
        </w:rPr>
      </w:pPr>
      <w:r>
        <w:rPr>
          <w:rFonts w:ascii="宋体" w:hAnsi="宋体" w:eastAsia="宋体" w:cs="宋体"/>
          <w:spacing w:val="-2"/>
          <w:szCs w:val="22"/>
        </w:rPr>
        <w:t>发包人提供的本合同工程的道路现状、交通流量、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4BA8F5C0">
      <w:pPr>
        <w:spacing w:line="352" w:lineRule="auto"/>
        <w:sectPr>
          <w:pgSz w:w="11910" w:h="16840"/>
          <w:pgMar w:top="1640" w:right="849" w:bottom="1360" w:left="992" w:header="0" w:footer="1176" w:gutter="0"/>
          <w:cols w:space="720" w:num="1"/>
        </w:sectPr>
      </w:pPr>
    </w:p>
    <w:p w14:paraId="23D590A4">
      <w:pPr>
        <w:numPr>
          <w:ilvl w:val="2"/>
          <w:numId w:val="16"/>
        </w:numPr>
        <w:tabs>
          <w:tab w:val="left" w:pos="1687"/>
        </w:tabs>
        <w:autoSpaceDE w:val="0"/>
        <w:autoSpaceDN w:val="0"/>
        <w:spacing w:before="37" w:line="350" w:lineRule="auto"/>
        <w:ind w:left="426" w:right="567" w:firstLine="420"/>
        <w:rPr>
          <w:rFonts w:ascii="宋体" w:hAnsi="宋体" w:eastAsia="宋体" w:cs="宋体"/>
          <w:szCs w:val="22"/>
        </w:rPr>
      </w:pPr>
      <w:r>
        <w:rPr>
          <w:rFonts w:ascii="宋体" w:hAnsi="宋体" w:eastAsia="宋体" w:cs="宋体"/>
          <w:spacing w:val="-2"/>
          <w:szCs w:val="22"/>
        </w:rPr>
        <w:t>承包人在送交投标文件之前，应认为已进行了现场考察，对现场和其周围环境以及可得到的有关资料进行了察看和核查，在考察时间允许的情况下已经查明了以下方面：</w:t>
      </w:r>
    </w:p>
    <w:p w14:paraId="280F3111">
      <w:pPr>
        <w:numPr>
          <w:ilvl w:val="0"/>
          <w:numId w:val="22"/>
        </w:numPr>
        <w:tabs>
          <w:tab w:val="left" w:pos="1261"/>
        </w:tabs>
        <w:autoSpaceDE w:val="0"/>
        <w:autoSpaceDN w:val="0"/>
        <w:spacing w:before="2"/>
        <w:ind w:left="1261" w:hanging="521"/>
        <w:rPr>
          <w:rFonts w:ascii="宋体" w:hAnsi="宋体" w:eastAsia="宋体" w:cs="宋体"/>
          <w:szCs w:val="22"/>
        </w:rPr>
      </w:pPr>
      <w:r>
        <w:rPr>
          <w:rFonts w:ascii="宋体" w:hAnsi="宋体" w:eastAsia="宋体" w:cs="宋体"/>
          <w:spacing w:val="-3"/>
          <w:szCs w:val="22"/>
        </w:rPr>
        <w:t>现场的地形地貌和特征，包括地表以下的情况；</w:t>
      </w:r>
    </w:p>
    <w:p w14:paraId="73B5530F">
      <w:pPr>
        <w:numPr>
          <w:ilvl w:val="0"/>
          <w:numId w:val="22"/>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4"/>
          <w:szCs w:val="22"/>
        </w:rPr>
        <w:t>水文和气象条件；</w:t>
      </w:r>
    </w:p>
    <w:p w14:paraId="2B9B8128">
      <w:pPr>
        <w:numPr>
          <w:ilvl w:val="0"/>
          <w:numId w:val="22"/>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实施和完成本合同养护工程的工作范围、性质和所需用的材料采购和加工；</w:t>
      </w:r>
    </w:p>
    <w:p w14:paraId="219B24D7">
      <w:pPr>
        <w:numPr>
          <w:ilvl w:val="0"/>
          <w:numId w:val="22"/>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附近道路和水、电、食宿供应条件；</w:t>
      </w:r>
    </w:p>
    <w:p w14:paraId="47281D1C">
      <w:pPr>
        <w:numPr>
          <w:ilvl w:val="0"/>
          <w:numId w:val="22"/>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当地的乡规民约和风俗习惯；</w:t>
      </w:r>
    </w:p>
    <w:p w14:paraId="6AC976A0">
      <w:pPr>
        <w:numPr>
          <w:ilvl w:val="0"/>
          <w:numId w:val="22"/>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与完成合同工作有关的其他资料。</w:t>
      </w:r>
    </w:p>
    <w:p w14:paraId="49F5DF46">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4.11[不利物质条件]约定的情形除外。</w:t>
      </w:r>
    </w:p>
    <w:p w14:paraId="6C21A084">
      <w:pPr>
        <w:autoSpaceDE w:val="0"/>
        <w:autoSpaceDN w:val="0"/>
        <w:spacing w:before="4"/>
        <w:ind w:left="846"/>
        <w:rPr>
          <w:rFonts w:ascii="宋体" w:hAnsi="宋体" w:eastAsia="宋体" w:cs="宋体"/>
          <w:szCs w:val="21"/>
        </w:rPr>
      </w:pPr>
      <w:r>
        <w:rPr>
          <w:rFonts w:ascii="宋体" w:hAnsi="宋体" w:eastAsia="宋体" w:cs="宋体"/>
          <w:spacing w:val="-2"/>
          <w:szCs w:val="21"/>
        </w:rPr>
        <w:t xml:space="preserve">通用合同条款补充第 </w:t>
      </w:r>
      <w:r>
        <w:rPr>
          <w:rFonts w:ascii="宋体" w:hAnsi="宋体" w:eastAsia="宋体" w:cs="宋体"/>
          <w:szCs w:val="21"/>
        </w:rPr>
        <w:t>4.10.3</w:t>
      </w:r>
      <w:r>
        <w:rPr>
          <w:rFonts w:ascii="宋体" w:hAnsi="宋体" w:eastAsia="宋体" w:cs="宋体"/>
          <w:spacing w:val="-8"/>
          <w:szCs w:val="21"/>
        </w:rPr>
        <w:t xml:space="preserve"> 项：</w:t>
      </w:r>
    </w:p>
    <w:p w14:paraId="210F2A6D">
      <w:pPr>
        <w:numPr>
          <w:ilvl w:val="2"/>
          <w:numId w:val="16"/>
        </w:numPr>
        <w:tabs>
          <w:tab w:val="left" w:pos="1687"/>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承包人应认真查勘施工现场，充分考虑到施工区域交通运输状况，充分做好边通车、边养护作业的施工方案及养护措施，以及材料、设备等进入施工现场的公路和水路现状，并在投标报价中考虑上述因素而产生的所有费用，这些费用均由承包人承担。</w:t>
      </w:r>
    </w:p>
    <w:p w14:paraId="27DC7513">
      <w:pPr>
        <w:numPr>
          <w:ilvl w:val="1"/>
          <w:numId w:val="16"/>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4"/>
          <w:szCs w:val="22"/>
        </w:rPr>
        <w:t>不利物质条件</w:t>
      </w:r>
    </w:p>
    <w:p w14:paraId="5DA31C62">
      <w:pPr>
        <w:numPr>
          <w:ilvl w:val="2"/>
          <w:numId w:val="16"/>
        </w:numPr>
        <w:tabs>
          <w:tab w:val="left" w:pos="1687"/>
        </w:tabs>
        <w:autoSpaceDE w:val="0"/>
        <w:autoSpaceDN w:val="0"/>
        <w:spacing w:before="126" w:line="352" w:lineRule="auto"/>
        <w:ind w:left="426" w:right="567" w:firstLine="420"/>
        <w:jc w:val="both"/>
        <w:rPr>
          <w:rFonts w:ascii="宋体" w:hAnsi="宋体" w:eastAsia="宋体" w:cs="宋体"/>
          <w:szCs w:val="22"/>
        </w:rPr>
      </w:pPr>
      <w:r>
        <w:rPr>
          <w:rFonts w:ascii="宋体" w:hAnsi="宋体" w:eastAsia="宋体" w:cs="宋体"/>
          <w:spacing w:val="-2"/>
          <w:szCs w:val="22"/>
        </w:rPr>
        <w:t>不利物质条件，除专用合同条款另有约定外，是指承包人在施工场地遇到的不可预见的自然物质条件、非自然的物质障碍和污染物，包括地表以下物质条件和水文条件以及专业合同条款约定的其他情形，但不包括气候条件。</w:t>
      </w:r>
    </w:p>
    <w:p w14:paraId="56FF5AA3">
      <w:pPr>
        <w:numPr>
          <w:ilvl w:val="2"/>
          <w:numId w:val="16"/>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承包人遇到不利物质条件时，应采取适应不利物质条件的合理措施继续施工，并及时通知监理人、抄送发包人。通知应载明不可预见的困难的内容、承包人认为不可预见的理由以及承</w:t>
      </w:r>
      <w:r>
        <w:rPr>
          <w:rFonts w:ascii="宋体" w:hAnsi="宋体" w:eastAsia="宋体" w:cs="宋体"/>
          <w:szCs w:val="22"/>
        </w:rPr>
        <w:t>包人制定的处理方案。监理人应当及时发出指示，指示构成变更的，按第 15 条约定办理。监理人</w:t>
      </w:r>
      <w:r>
        <w:rPr>
          <w:rFonts w:ascii="宋体" w:hAnsi="宋体" w:eastAsia="宋体" w:cs="宋体"/>
          <w:spacing w:val="-2"/>
          <w:szCs w:val="22"/>
        </w:rPr>
        <w:t>没有发出指示的，承包人因采取合理措施而增加的费用和（或）工期延误，由发包人承担。</w:t>
      </w:r>
    </w:p>
    <w:p w14:paraId="167BF3E6">
      <w:pPr>
        <w:numPr>
          <w:ilvl w:val="2"/>
          <w:numId w:val="16"/>
        </w:numPr>
        <w:tabs>
          <w:tab w:val="left" w:pos="1684"/>
        </w:tabs>
        <w:autoSpaceDE w:val="0"/>
        <w:autoSpaceDN w:val="0"/>
        <w:spacing w:line="269" w:lineRule="exact"/>
        <w:ind w:left="1684" w:hanging="838"/>
        <w:jc w:val="both"/>
        <w:rPr>
          <w:rFonts w:ascii="宋体" w:hAnsi="宋体" w:eastAsia="宋体" w:cs="宋体"/>
          <w:szCs w:val="22"/>
        </w:rPr>
      </w:pPr>
      <w:r>
        <w:rPr>
          <w:rFonts w:ascii="宋体" w:hAnsi="宋体" w:eastAsia="宋体" w:cs="宋体"/>
          <w:spacing w:val="-3"/>
          <w:szCs w:val="22"/>
        </w:rPr>
        <w:t>可预见的不利物质条件</w:t>
      </w:r>
    </w:p>
    <w:p w14:paraId="4792F470">
      <w:pPr>
        <w:numPr>
          <w:ilvl w:val="0"/>
          <w:numId w:val="23"/>
        </w:numPr>
        <w:tabs>
          <w:tab w:val="left" w:pos="1267"/>
        </w:tabs>
        <w:autoSpaceDE w:val="0"/>
        <w:autoSpaceDN w:val="0"/>
        <w:spacing w:before="123" w:line="350" w:lineRule="auto"/>
        <w:ind w:right="569" w:firstLine="314"/>
        <w:rPr>
          <w:rFonts w:ascii="宋体" w:hAnsi="宋体" w:eastAsia="宋体" w:cs="宋体"/>
          <w:szCs w:val="22"/>
        </w:rPr>
      </w:pPr>
      <w:r>
        <w:rPr>
          <w:rFonts w:ascii="宋体" w:hAnsi="宋体" w:eastAsia="宋体" w:cs="宋体"/>
          <w:spacing w:val="-2"/>
          <w:szCs w:val="22"/>
        </w:rPr>
        <w:t>对于专用合同条款中已经明确指出的不利物质条件无论承包人是否有其经历和经验均视为承包人在接受合同时已预见其影响，并已在签约合同价中计入因其影响而可能发生的一切费用。</w:t>
      </w:r>
    </w:p>
    <w:p w14:paraId="4D5F3B3E">
      <w:pPr>
        <w:numPr>
          <w:ilvl w:val="0"/>
          <w:numId w:val="23"/>
        </w:numPr>
        <w:tabs>
          <w:tab w:val="left" w:pos="1267"/>
        </w:tabs>
        <w:autoSpaceDE w:val="0"/>
        <w:autoSpaceDN w:val="0"/>
        <w:spacing w:before="2" w:line="352" w:lineRule="auto"/>
        <w:ind w:right="569" w:firstLine="314"/>
        <w:rPr>
          <w:rFonts w:ascii="宋体" w:hAnsi="宋体" w:eastAsia="宋体" w:cs="宋体"/>
          <w:szCs w:val="22"/>
        </w:rPr>
      </w:pPr>
      <w:r>
        <w:rPr>
          <w:rFonts w:ascii="宋体" w:hAnsi="宋体" w:eastAsia="宋体" w:cs="宋体"/>
          <w:spacing w:val="-2"/>
          <w:szCs w:val="22"/>
        </w:rPr>
        <w:t>对于专用合同条款未明确指出，但是在不利物质条件发生之前，监理人已经指示承包人有可能发生，但承包人未能及时采取有效措施，而导致的损失和后果均由承包人承担。</w:t>
      </w:r>
    </w:p>
    <w:p w14:paraId="102146D8">
      <w:pPr>
        <w:numPr>
          <w:ilvl w:val="1"/>
          <w:numId w:val="16"/>
        </w:numPr>
        <w:tabs>
          <w:tab w:val="left" w:pos="1054"/>
        </w:tabs>
        <w:autoSpaceDE w:val="0"/>
        <w:autoSpaceDN w:val="0"/>
        <w:spacing w:line="270" w:lineRule="exact"/>
        <w:ind w:left="1054" w:hanging="628"/>
        <w:jc w:val="left"/>
        <w:rPr>
          <w:rFonts w:ascii="宋体" w:hAnsi="宋体" w:eastAsia="宋体" w:cs="宋体"/>
          <w:szCs w:val="22"/>
        </w:rPr>
      </w:pPr>
      <w:r>
        <w:rPr>
          <w:rFonts w:ascii="宋体" w:hAnsi="宋体" w:eastAsia="宋体" w:cs="宋体"/>
          <w:spacing w:val="-4"/>
          <w:szCs w:val="22"/>
        </w:rPr>
        <w:t>投标文件的完备性</w:t>
      </w:r>
    </w:p>
    <w:p w14:paraId="22C9E654">
      <w:pPr>
        <w:autoSpaceDE w:val="0"/>
        <w:autoSpaceDN w:val="0"/>
        <w:spacing w:before="128" w:line="352" w:lineRule="auto"/>
        <w:ind w:left="426" w:right="567" w:firstLine="420"/>
        <w:rPr>
          <w:rFonts w:ascii="宋体" w:hAnsi="宋体" w:eastAsia="宋体" w:cs="宋体"/>
          <w:szCs w:val="21"/>
        </w:rPr>
      </w:pPr>
      <w:r>
        <w:rPr>
          <w:rFonts w:ascii="宋体" w:hAnsi="宋体" w:eastAsia="宋体" w:cs="宋体"/>
          <w:spacing w:val="-2"/>
          <w:szCs w:val="21"/>
        </w:rPr>
        <w:t>合同双方一致认为，承包人在递交投标文件前，对本养护工程合同的投标文件和已标价工程量清单中开列的单价和总额价是正确和完备的。投标的单价和总额价应已包括了合同中规定的承包人的全部义务（包括提供货物、材料、设备、服务的义务，并包括了暂列金额和暂估价范围内的额外工作的义务）以及为实施和完成本合同养护工程及其缺陷修复所必需的一切工作和条件。</w:t>
      </w:r>
    </w:p>
    <w:p w14:paraId="67DD6C05">
      <w:pPr>
        <w:numPr>
          <w:ilvl w:val="0"/>
          <w:numId w:val="16"/>
        </w:numPr>
        <w:tabs>
          <w:tab w:val="left" w:pos="740"/>
        </w:tabs>
        <w:autoSpaceDE w:val="0"/>
        <w:autoSpaceDN w:val="0"/>
        <w:spacing w:line="269" w:lineRule="exact"/>
        <w:ind w:left="740" w:hanging="314"/>
        <w:jc w:val="both"/>
        <w:rPr>
          <w:rFonts w:ascii="宋体" w:hAnsi="宋体" w:eastAsia="宋体" w:cs="宋体"/>
          <w:szCs w:val="22"/>
        </w:rPr>
      </w:pPr>
      <w:r>
        <w:rPr>
          <w:rFonts w:ascii="宋体" w:hAnsi="宋体" w:eastAsia="宋体" w:cs="宋体"/>
          <w:spacing w:val="-4"/>
          <w:szCs w:val="22"/>
        </w:rPr>
        <w:t>材料和工程设备</w:t>
      </w:r>
    </w:p>
    <w:p w14:paraId="209FF88B">
      <w:pPr>
        <w:spacing w:line="269" w:lineRule="exact"/>
        <w:sectPr>
          <w:pgSz w:w="11910" w:h="16840"/>
          <w:pgMar w:top="1640" w:right="849" w:bottom="1360" w:left="992" w:header="0" w:footer="1176" w:gutter="0"/>
          <w:cols w:space="720" w:num="1"/>
        </w:sectPr>
      </w:pPr>
    </w:p>
    <w:p w14:paraId="4CFD0E91">
      <w:pPr>
        <w:numPr>
          <w:ilvl w:val="1"/>
          <w:numId w:val="16"/>
        </w:numPr>
        <w:tabs>
          <w:tab w:val="left" w:pos="950"/>
        </w:tabs>
        <w:autoSpaceDE w:val="0"/>
        <w:autoSpaceDN w:val="0"/>
        <w:spacing w:before="37"/>
        <w:ind w:left="950" w:hanging="524"/>
        <w:jc w:val="both"/>
        <w:rPr>
          <w:rFonts w:ascii="宋体" w:hAnsi="宋体" w:eastAsia="宋体" w:cs="宋体"/>
          <w:szCs w:val="22"/>
        </w:rPr>
      </w:pPr>
      <w:r>
        <w:rPr>
          <w:rFonts w:ascii="宋体" w:hAnsi="宋体" w:eastAsia="宋体" w:cs="宋体"/>
          <w:spacing w:val="-3"/>
          <w:szCs w:val="22"/>
        </w:rPr>
        <w:t>承包人提供的材料和工程设备</w:t>
      </w:r>
    </w:p>
    <w:p w14:paraId="20E148CD">
      <w:pPr>
        <w:numPr>
          <w:ilvl w:val="2"/>
          <w:numId w:val="16"/>
        </w:numPr>
        <w:tabs>
          <w:tab w:val="left" w:pos="1578"/>
        </w:tabs>
        <w:autoSpaceDE w:val="0"/>
        <w:autoSpaceDN w:val="0"/>
        <w:spacing w:before="125" w:line="352" w:lineRule="auto"/>
        <w:ind w:left="426" w:right="569" w:firstLine="420"/>
        <w:jc w:val="both"/>
        <w:rPr>
          <w:rFonts w:ascii="宋体" w:hAnsi="宋体" w:eastAsia="宋体" w:cs="宋体"/>
          <w:szCs w:val="22"/>
        </w:rPr>
      </w:pPr>
      <w:r>
        <w:rPr>
          <w:rFonts w:ascii="宋体" w:hAnsi="宋体" w:eastAsia="宋体" w:cs="宋体"/>
          <w:spacing w:val="-2"/>
          <w:szCs w:val="22"/>
        </w:rPr>
        <w:t>除专用合同条款另有约定外，承包人提供的材料和工程设备均由承包人负责采购、运输和保管。承包人应对其采购的材料和工程设备负责。</w:t>
      </w:r>
    </w:p>
    <w:p w14:paraId="4B54EBEC">
      <w:pPr>
        <w:numPr>
          <w:ilvl w:val="2"/>
          <w:numId w:val="16"/>
        </w:numPr>
        <w:tabs>
          <w:tab w:val="left" w:pos="1578"/>
        </w:tabs>
        <w:autoSpaceDE w:val="0"/>
        <w:autoSpaceDN w:val="0"/>
        <w:spacing w:line="350" w:lineRule="auto"/>
        <w:ind w:left="426" w:right="567" w:firstLine="420"/>
        <w:jc w:val="both"/>
        <w:rPr>
          <w:rFonts w:ascii="宋体" w:hAnsi="宋体" w:eastAsia="宋体" w:cs="宋体"/>
          <w:szCs w:val="22"/>
        </w:rPr>
      </w:pPr>
      <w:r>
        <w:rPr>
          <w:rFonts w:ascii="宋体" w:hAnsi="宋体" w:eastAsia="宋体" w:cs="宋体"/>
          <w:spacing w:val="-5"/>
          <w:szCs w:val="22"/>
        </w:rPr>
        <w:t>承包人在用于本养护工程的材料和设备进场以前，承包人必须向监理人提交生产厂商出</w:t>
      </w:r>
      <w:r>
        <w:rPr>
          <w:rFonts w:ascii="宋体" w:hAnsi="宋体" w:eastAsia="宋体" w:cs="宋体"/>
          <w:spacing w:val="-2"/>
          <w:szCs w:val="22"/>
        </w:rPr>
        <w:t>具的质量合格证书和承包人检验合格证书，证明材料、设备质量应符合本合同技术规范的规定，供监理人批准。</w:t>
      </w:r>
    </w:p>
    <w:p w14:paraId="4ACBB291">
      <w:pPr>
        <w:numPr>
          <w:ilvl w:val="2"/>
          <w:numId w:val="16"/>
        </w:numPr>
        <w:tabs>
          <w:tab w:val="left" w:pos="1578"/>
        </w:tabs>
        <w:autoSpaceDE w:val="0"/>
        <w:autoSpaceDN w:val="0"/>
        <w:spacing w:before="3" w:line="352" w:lineRule="auto"/>
        <w:ind w:left="426" w:right="567" w:firstLine="420"/>
        <w:jc w:val="both"/>
        <w:rPr>
          <w:rFonts w:ascii="宋体" w:hAnsi="宋体" w:eastAsia="宋体" w:cs="宋体"/>
          <w:szCs w:val="22"/>
        </w:rPr>
      </w:pPr>
      <w:r>
        <w:rPr>
          <w:rFonts w:ascii="宋体" w:hAnsi="宋体" w:eastAsia="宋体" w:cs="宋体"/>
          <w:spacing w:val="-2"/>
          <w:szCs w:val="22"/>
        </w:rPr>
        <w:t>对承包人提供的材料和工程设备，承包人应会同监理人对材料或设备进行的检验、查验材料合格证明、产品合格证书和交货验收提供一切必要的协助；并按合同约定和监理人指示，在材料用于工程之前，承包人应按监理人的要求进行材料的抽样检验和工程设备的检验测试，提供材料样品以供检验。检验和测试结果应提交监理人，所需费用由承包人承担。</w:t>
      </w:r>
    </w:p>
    <w:p w14:paraId="6BBBF995">
      <w:pPr>
        <w:numPr>
          <w:ilvl w:val="2"/>
          <w:numId w:val="16"/>
        </w:numPr>
        <w:tabs>
          <w:tab w:val="left" w:pos="1586"/>
        </w:tabs>
        <w:autoSpaceDE w:val="0"/>
        <w:autoSpaceDN w:val="0"/>
        <w:spacing w:line="352" w:lineRule="auto"/>
        <w:ind w:left="426" w:right="463" w:firstLine="420"/>
        <w:rPr>
          <w:rFonts w:ascii="宋体" w:hAnsi="宋体" w:eastAsia="宋体" w:cs="宋体"/>
          <w:szCs w:val="22"/>
        </w:rPr>
      </w:pPr>
      <w:r>
        <w:rPr>
          <w:rFonts w:ascii="宋体" w:hAnsi="宋体" w:eastAsia="宋体" w:cs="宋体"/>
          <w:spacing w:val="-2"/>
          <w:szCs w:val="22"/>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r>
        <w:rPr>
          <w:rFonts w:ascii="宋体" w:hAnsi="宋体" w:eastAsia="宋体" w:cs="宋体"/>
          <w:spacing w:val="-1"/>
          <w:w w:val="99"/>
          <w:szCs w:val="22"/>
        </w:rPr>
        <w:t>。</w:t>
      </w:r>
    </w:p>
    <w:p w14:paraId="46C7CB2C">
      <w:pPr>
        <w:numPr>
          <w:ilvl w:val="1"/>
          <w:numId w:val="16"/>
        </w:numPr>
        <w:tabs>
          <w:tab w:val="left" w:pos="950"/>
        </w:tabs>
        <w:autoSpaceDE w:val="0"/>
        <w:autoSpaceDN w:val="0"/>
        <w:spacing w:line="268" w:lineRule="exact"/>
        <w:ind w:left="950" w:hanging="524"/>
        <w:jc w:val="left"/>
        <w:rPr>
          <w:rFonts w:ascii="宋体" w:hAnsi="宋体" w:eastAsia="宋体" w:cs="宋体"/>
          <w:szCs w:val="22"/>
        </w:rPr>
      </w:pPr>
      <w:r>
        <w:rPr>
          <w:rFonts w:ascii="宋体" w:hAnsi="宋体" w:eastAsia="宋体" w:cs="宋体"/>
          <w:spacing w:val="-3"/>
          <w:szCs w:val="22"/>
        </w:rPr>
        <w:t>发包人提供的材料和工程设备</w:t>
      </w:r>
    </w:p>
    <w:p w14:paraId="07FA362B">
      <w:pPr>
        <w:numPr>
          <w:ilvl w:val="2"/>
          <w:numId w:val="16"/>
        </w:numPr>
        <w:tabs>
          <w:tab w:val="left" w:pos="1578"/>
        </w:tabs>
        <w:autoSpaceDE w:val="0"/>
        <w:autoSpaceDN w:val="0"/>
        <w:spacing w:before="119" w:line="352" w:lineRule="auto"/>
        <w:ind w:left="426" w:right="463" w:firstLine="420"/>
        <w:rPr>
          <w:rFonts w:ascii="宋体" w:hAnsi="宋体" w:eastAsia="宋体" w:cs="宋体"/>
          <w:szCs w:val="22"/>
        </w:rPr>
      </w:pPr>
      <w:r>
        <w:rPr>
          <w:rFonts w:ascii="宋体" w:hAnsi="宋体" w:eastAsia="宋体" w:cs="宋体"/>
          <w:spacing w:val="-11"/>
          <w:szCs w:val="22"/>
        </w:rPr>
        <w:t>发包人提供的材料和工程设备，应在专用合同条款中写明材料和工程设备的名称、规格、</w:t>
      </w:r>
      <w:r>
        <w:rPr>
          <w:rFonts w:ascii="宋体" w:hAnsi="宋体" w:eastAsia="宋体" w:cs="宋体"/>
          <w:spacing w:val="-2"/>
          <w:szCs w:val="22"/>
        </w:rPr>
        <w:t>数量、价格、交货方式、交货地点和计划交货日期等。</w:t>
      </w:r>
    </w:p>
    <w:p w14:paraId="10AC9861">
      <w:pPr>
        <w:numPr>
          <w:ilvl w:val="2"/>
          <w:numId w:val="16"/>
        </w:numPr>
        <w:tabs>
          <w:tab w:val="left" w:pos="1578"/>
        </w:tabs>
        <w:autoSpaceDE w:val="0"/>
        <w:autoSpaceDN w:val="0"/>
        <w:spacing w:line="350" w:lineRule="auto"/>
        <w:ind w:left="426" w:right="569" w:firstLine="420"/>
        <w:rPr>
          <w:rFonts w:ascii="宋体" w:hAnsi="宋体" w:eastAsia="宋体" w:cs="宋体"/>
          <w:szCs w:val="22"/>
        </w:rPr>
      </w:pPr>
      <w:r>
        <w:rPr>
          <w:rFonts w:ascii="宋体" w:hAnsi="宋体" w:eastAsia="宋体" w:cs="宋体"/>
          <w:spacing w:val="-2"/>
          <w:szCs w:val="22"/>
        </w:rPr>
        <w:t>承包人应根据合同进度计划的安排，向监理人报送要求发包人交货的日期计划。发包人应按照监理人与合同双方当事人商定的交货日期，向承包人提交材料和工程设备。</w:t>
      </w:r>
    </w:p>
    <w:p w14:paraId="0D7B05D8">
      <w:pPr>
        <w:numPr>
          <w:ilvl w:val="2"/>
          <w:numId w:val="16"/>
        </w:numPr>
        <w:tabs>
          <w:tab w:val="left" w:pos="1581"/>
        </w:tabs>
        <w:autoSpaceDE w:val="0"/>
        <w:autoSpaceDN w:val="0"/>
        <w:spacing w:before="1" w:line="350" w:lineRule="auto"/>
        <w:ind w:left="426" w:right="567" w:firstLine="420"/>
        <w:jc w:val="both"/>
        <w:rPr>
          <w:rFonts w:ascii="宋体" w:hAnsi="宋体" w:eastAsia="宋体" w:cs="宋体"/>
          <w:szCs w:val="22"/>
        </w:rPr>
      </w:pPr>
      <w:r>
        <w:rPr>
          <w:rFonts w:ascii="宋体" w:hAnsi="宋体" w:eastAsia="宋体" w:cs="宋体"/>
          <w:szCs w:val="22"/>
        </w:rPr>
        <w:t>发包人应在材料和工程设备到货 7 天前通知承包人，承包人应会同监理人在约定的时</w:t>
      </w:r>
      <w:r>
        <w:rPr>
          <w:rFonts w:ascii="宋体" w:hAnsi="宋体" w:eastAsia="宋体" w:cs="宋体"/>
          <w:spacing w:val="-2"/>
          <w:szCs w:val="22"/>
        </w:rPr>
        <w:t>间内，赴交货地点共同进行验收。除专用合同条款另有约定外，发包人提供的材料和工程设备验收后，由承包人负责接收、运输和保管。</w:t>
      </w:r>
    </w:p>
    <w:p w14:paraId="480320F9">
      <w:pPr>
        <w:autoSpaceDE w:val="0"/>
        <w:autoSpaceDN w:val="0"/>
        <w:spacing w:before="4" w:line="350" w:lineRule="auto"/>
        <w:ind w:left="426" w:right="567" w:firstLine="420"/>
        <w:rPr>
          <w:rFonts w:ascii="宋体" w:hAnsi="宋体" w:eastAsia="宋体" w:cs="宋体"/>
          <w:szCs w:val="21"/>
        </w:rPr>
      </w:pPr>
      <w:r>
        <w:rPr>
          <w:rFonts w:ascii="宋体" w:hAnsi="宋体" w:eastAsia="宋体" w:cs="宋体"/>
          <w:spacing w:val="-2"/>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F8DF04E">
      <w:pPr>
        <w:numPr>
          <w:ilvl w:val="2"/>
          <w:numId w:val="16"/>
        </w:numPr>
        <w:tabs>
          <w:tab w:val="left" w:pos="1578"/>
        </w:tabs>
        <w:autoSpaceDE w:val="0"/>
        <w:autoSpaceDN w:val="0"/>
        <w:spacing w:before="4" w:line="352" w:lineRule="auto"/>
        <w:ind w:left="426" w:right="569" w:firstLine="420"/>
        <w:jc w:val="both"/>
        <w:rPr>
          <w:rFonts w:ascii="宋体" w:hAnsi="宋体" w:eastAsia="宋体" w:cs="宋体"/>
          <w:szCs w:val="22"/>
        </w:rPr>
      </w:pPr>
      <w:r>
        <w:rPr>
          <w:rFonts w:ascii="宋体" w:hAnsi="宋体" w:eastAsia="宋体" w:cs="宋体"/>
          <w:spacing w:val="-2"/>
          <w:szCs w:val="22"/>
        </w:rPr>
        <w:t>发包人要求向承包人提前交货的，承包人不得拒绝，但发包人应承担承包人由此增加的</w:t>
      </w:r>
      <w:r>
        <w:rPr>
          <w:rFonts w:ascii="宋体" w:hAnsi="宋体" w:eastAsia="宋体" w:cs="宋体"/>
          <w:spacing w:val="-4"/>
          <w:szCs w:val="22"/>
        </w:rPr>
        <w:t>费用。</w:t>
      </w:r>
    </w:p>
    <w:p w14:paraId="28A33AAC">
      <w:pPr>
        <w:numPr>
          <w:ilvl w:val="2"/>
          <w:numId w:val="16"/>
        </w:numPr>
        <w:tabs>
          <w:tab w:val="left" w:pos="1578"/>
        </w:tabs>
        <w:autoSpaceDE w:val="0"/>
        <w:autoSpaceDN w:val="0"/>
        <w:spacing w:line="352" w:lineRule="auto"/>
        <w:ind w:left="426" w:right="569" w:firstLine="420"/>
        <w:jc w:val="both"/>
        <w:rPr>
          <w:rFonts w:ascii="宋体" w:hAnsi="宋体" w:eastAsia="宋体" w:cs="宋体"/>
          <w:szCs w:val="22"/>
        </w:rPr>
      </w:pPr>
      <w:r>
        <w:rPr>
          <w:rFonts w:ascii="宋体" w:hAnsi="宋体" w:eastAsia="宋体" w:cs="宋体"/>
          <w:spacing w:val="-2"/>
          <w:szCs w:val="22"/>
        </w:rPr>
        <w:t>承包人要求更改交货日期或地点的，应事先报请监理人批准。由于承包人要求更改交货时间或地点所增加的费用和（或）工期延误由承包人承担。</w:t>
      </w:r>
    </w:p>
    <w:p w14:paraId="14813775">
      <w:pPr>
        <w:numPr>
          <w:ilvl w:val="2"/>
          <w:numId w:val="16"/>
        </w:numPr>
        <w:tabs>
          <w:tab w:val="left" w:pos="1578"/>
        </w:tabs>
        <w:autoSpaceDE w:val="0"/>
        <w:autoSpaceDN w:val="0"/>
        <w:spacing w:line="350" w:lineRule="auto"/>
        <w:ind w:left="426" w:right="567" w:firstLine="420"/>
        <w:jc w:val="both"/>
        <w:rPr>
          <w:rFonts w:ascii="宋体" w:hAnsi="宋体" w:eastAsia="宋体" w:cs="宋体"/>
          <w:szCs w:val="22"/>
        </w:rPr>
      </w:pPr>
      <w:r>
        <w:rPr>
          <w:rFonts w:ascii="宋体" w:hAnsi="宋体" w:eastAsia="宋体" w:cs="宋体"/>
          <w:spacing w:val="-2"/>
          <w:szCs w:val="22"/>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0DC40BF0">
      <w:pPr>
        <w:numPr>
          <w:ilvl w:val="1"/>
          <w:numId w:val="16"/>
        </w:numPr>
        <w:tabs>
          <w:tab w:val="left" w:pos="950"/>
        </w:tabs>
        <w:autoSpaceDE w:val="0"/>
        <w:autoSpaceDN w:val="0"/>
        <w:ind w:left="950" w:hanging="524"/>
        <w:jc w:val="both"/>
        <w:rPr>
          <w:rFonts w:ascii="宋体" w:hAnsi="宋体" w:eastAsia="宋体" w:cs="宋体"/>
          <w:szCs w:val="22"/>
        </w:rPr>
      </w:pPr>
      <w:r>
        <w:rPr>
          <w:rFonts w:ascii="宋体" w:hAnsi="宋体" w:eastAsia="宋体" w:cs="宋体"/>
          <w:spacing w:val="-3"/>
          <w:szCs w:val="22"/>
        </w:rPr>
        <w:t>材料和工程设备专用于合同工程</w:t>
      </w:r>
    </w:p>
    <w:p w14:paraId="78A6871B">
      <w:pPr>
        <w:sectPr>
          <w:pgSz w:w="11910" w:h="16840"/>
          <w:pgMar w:top="1640" w:right="849" w:bottom="1360" w:left="992" w:header="0" w:footer="1176" w:gutter="0"/>
          <w:cols w:space="720" w:num="1"/>
        </w:sectPr>
      </w:pPr>
    </w:p>
    <w:p w14:paraId="5FCA16BB">
      <w:pPr>
        <w:numPr>
          <w:ilvl w:val="2"/>
          <w:numId w:val="16"/>
        </w:numPr>
        <w:tabs>
          <w:tab w:val="left" w:pos="1578"/>
        </w:tabs>
        <w:autoSpaceDE w:val="0"/>
        <w:autoSpaceDN w:val="0"/>
        <w:spacing w:before="37" w:line="350" w:lineRule="auto"/>
        <w:ind w:left="426" w:right="569" w:firstLine="420"/>
        <w:jc w:val="both"/>
        <w:rPr>
          <w:rFonts w:ascii="宋体" w:hAnsi="宋体" w:eastAsia="宋体" w:cs="宋体"/>
          <w:szCs w:val="22"/>
        </w:rPr>
      </w:pPr>
      <w:r>
        <w:rPr>
          <w:rFonts w:ascii="宋体" w:hAnsi="宋体" w:eastAsia="宋体" w:cs="宋体"/>
          <w:spacing w:val="-2"/>
          <w:szCs w:val="22"/>
        </w:rPr>
        <w:t>运入施工场地的材料、工程设备，包括备品备件、安装专用工器具与随机资料，必须专用于合同工程，未经监理人同意，承包人不得运出施工场地或挪作他用。</w:t>
      </w:r>
    </w:p>
    <w:p w14:paraId="3E75F5D3">
      <w:pPr>
        <w:numPr>
          <w:ilvl w:val="2"/>
          <w:numId w:val="16"/>
        </w:numPr>
        <w:tabs>
          <w:tab w:val="left" w:pos="1578"/>
        </w:tabs>
        <w:autoSpaceDE w:val="0"/>
        <w:autoSpaceDN w:val="0"/>
        <w:spacing w:before="2" w:line="350" w:lineRule="auto"/>
        <w:ind w:left="426" w:right="567" w:firstLine="420"/>
        <w:jc w:val="both"/>
        <w:rPr>
          <w:rFonts w:ascii="宋体" w:hAnsi="宋体" w:eastAsia="宋体" w:cs="宋体"/>
          <w:szCs w:val="22"/>
        </w:rPr>
      </w:pPr>
      <w:r>
        <w:rPr>
          <w:rFonts w:ascii="宋体" w:hAnsi="宋体" w:eastAsia="宋体" w:cs="宋体"/>
          <w:spacing w:val="-2"/>
          <w:szCs w:val="22"/>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3386AE7">
      <w:pPr>
        <w:numPr>
          <w:ilvl w:val="2"/>
          <w:numId w:val="16"/>
        </w:numPr>
        <w:tabs>
          <w:tab w:val="left" w:pos="1578"/>
        </w:tabs>
        <w:autoSpaceDE w:val="0"/>
        <w:autoSpaceDN w:val="0"/>
        <w:spacing w:before="4" w:line="350" w:lineRule="auto"/>
        <w:ind w:left="426" w:right="567" w:firstLine="420"/>
        <w:jc w:val="both"/>
        <w:rPr>
          <w:rFonts w:ascii="宋体" w:hAnsi="宋体" w:eastAsia="宋体" w:cs="宋体"/>
          <w:szCs w:val="22"/>
        </w:rPr>
      </w:pPr>
      <w:r>
        <w:rPr>
          <w:rFonts w:ascii="宋体" w:hAnsi="宋体" w:eastAsia="宋体" w:cs="宋体"/>
          <w:spacing w:val="-6"/>
          <w:szCs w:val="22"/>
        </w:rPr>
        <w:t>用于本养护工程的材料和设备进场以前，承包人必须向监理人提交生产厂商出具的质量</w:t>
      </w:r>
      <w:r>
        <w:rPr>
          <w:rFonts w:ascii="宋体" w:hAnsi="宋体" w:eastAsia="宋体" w:cs="宋体"/>
          <w:spacing w:val="-2"/>
          <w:szCs w:val="22"/>
        </w:rPr>
        <w:t>合格证书和承包人检验合格证书，证明材料、设备质量应符合本合同技术规范的规定，供监理人批</w:t>
      </w:r>
      <w:r>
        <w:rPr>
          <w:rFonts w:ascii="宋体" w:hAnsi="宋体" w:eastAsia="宋体" w:cs="宋体"/>
          <w:spacing w:val="-6"/>
          <w:szCs w:val="22"/>
        </w:rPr>
        <w:t>准。</w:t>
      </w:r>
    </w:p>
    <w:p w14:paraId="60697CE3">
      <w:pPr>
        <w:autoSpaceDE w:val="0"/>
        <w:autoSpaceDN w:val="0"/>
        <w:spacing w:before="4"/>
        <w:ind w:left="846"/>
        <w:jc w:val="left"/>
        <w:rPr>
          <w:rFonts w:ascii="宋体" w:hAnsi="宋体" w:eastAsia="宋体" w:cs="宋体"/>
          <w:szCs w:val="21"/>
        </w:rPr>
      </w:pPr>
      <w:r>
        <w:rPr>
          <w:rFonts w:ascii="宋体" w:hAnsi="宋体" w:eastAsia="宋体" w:cs="宋体"/>
          <w:spacing w:val="-3"/>
          <w:szCs w:val="21"/>
        </w:rPr>
        <w:t>承包人应随时按发包人的指令，在制造、加工或施工现场对材料和设备进行检验。</w:t>
      </w:r>
    </w:p>
    <w:p w14:paraId="1FD31A86">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承包人应为监理人对材料或设备的检验提供一切必要的协助，在材料用于工程之前，承包人应按监理人的要求提供材料样品以供检验。</w:t>
      </w:r>
    </w:p>
    <w:p w14:paraId="59CC5FE5">
      <w:pPr>
        <w:numPr>
          <w:ilvl w:val="1"/>
          <w:numId w:val="16"/>
        </w:numPr>
        <w:tabs>
          <w:tab w:val="left" w:pos="950"/>
        </w:tabs>
        <w:autoSpaceDE w:val="0"/>
        <w:autoSpaceDN w:val="0"/>
        <w:spacing w:before="2"/>
        <w:ind w:left="950" w:hanging="524"/>
        <w:jc w:val="left"/>
        <w:rPr>
          <w:rFonts w:ascii="宋体" w:hAnsi="宋体" w:eastAsia="宋体" w:cs="宋体"/>
          <w:szCs w:val="22"/>
        </w:rPr>
      </w:pPr>
      <w:r>
        <w:rPr>
          <w:rFonts w:ascii="宋体" w:hAnsi="宋体" w:eastAsia="宋体" w:cs="宋体"/>
          <w:spacing w:val="-3"/>
          <w:szCs w:val="22"/>
        </w:rPr>
        <w:t>禁止使用不合格的材料和工程设备</w:t>
      </w:r>
    </w:p>
    <w:p w14:paraId="40F1D155">
      <w:pPr>
        <w:numPr>
          <w:ilvl w:val="2"/>
          <w:numId w:val="16"/>
        </w:numPr>
        <w:tabs>
          <w:tab w:val="left" w:pos="1578"/>
        </w:tabs>
        <w:autoSpaceDE w:val="0"/>
        <w:autoSpaceDN w:val="0"/>
        <w:spacing w:before="128" w:line="350" w:lineRule="auto"/>
        <w:ind w:left="426" w:right="569" w:firstLine="420"/>
        <w:rPr>
          <w:rFonts w:ascii="宋体" w:hAnsi="宋体" w:eastAsia="宋体" w:cs="宋体"/>
          <w:szCs w:val="22"/>
        </w:rPr>
      </w:pPr>
      <w:r>
        <w:rPr>
          <w:rFonts w:ascii="宋体" w:hAnsi="宋体" w:eastAsia="宋体" w:cs="宋体"/>
          <w:spacing w:val="-2"/>
          <w:szCs w:val="22"/>
        </w:rPr>
        <w:t>监理人有权拒绝承包人提供的不合格材料或工程设备，并要求承包人立即进行更换。监理人应在更换后再次进行检查和检验，由此增加的费用和（或）工期延误由承包人承担。</w:t>
      </w:r>
    </w:p>
    <w:p w14:paraId="4CA66581">
      <w:pPr>
        <w:numPr>
          <w:ilvl w:val="2"/>
          <w:numId w:val="16"/>
        </w:numPr>
        <w:tabs>
          <w:tab w:val="left" w:pos="1578"/>
        </w:tabs>
        <w:autoSpaceDE w:val="0"/>
        <w:autoSpaceDN w:val="0"/>
        <w:spacing w:before="2" w:line="352" w:lineRule="auto"/>
        <w:ind w:left="426" w:right="569" w:firstLine="420"/>
        <w:rPr>
          <w:rFonts w:ascii="宋体" w:hAnsi="宋体" w:eastAsia="宋体" w:cs="宋体"/>
          <w:szCs w:val="22"/>
        </w:rPr>
      </w:pPr>
      <w:r>
        <w:rPr>
          <w:rFonts w:ascii="宋体" w:hAnsi="宋体" w:eastAsia="宋体" w:cs="宋体"/>
          <w:spacing w:val="-5"/>
          <w:szCs w:val="22"/>
        </w:rPr>
        <w:t>监理人发现承包人使用了不合格的材料和工程设备，应即时发出指示要求承包人立即改</w:t>
      </w:r>
      <w:r>
        <w:rPr>
          <w:rFonts w:ascii="宋体" w:hAnsi="宋体" w:eastAsia="宋体" w:cs="宋体"/>
          <w:spacing w:val="-2"/>
          <w:szCs w:val="22"/>
        </w:rPr>
        <w:t>正，并禁止在工程中继续使用不合格的材料和工程设备。</w:t>
      </w:r>
    </w:p>
    <w:p w14:paraId="21A68EC2">
      <w:pPr>
        <w:numPr>
          <w:ilvl w:val="2"/>
          <w:numId w:val="16"/>
        </w:numPr>
        <w:tabs>
          <w:tab w:val="left" w:pos="1578"/>
        </w:tabs>
        <w:autoSpaceDE w:val="0"/>
        <w:autoSpaceDN w:val="0"/>
        <w:spacing w:line="352" w:lineRule="auto"/>
        <w:ind w:left="426" w:right="569" w:firstLine="420"/>
        <w:rPr>
          <w:rFonts w:ascii="宋体" w:hAnsi="宋体" w:eastAsia="宋体" w:cs="宋体"/>
          <w:szCs w:val="22"/>
        </w:rPr>
      </w:pPr>
      <w:r>
        <w:rPr>
          <w:rFonts w:ascii="宋体" w:hAnsi="宋体" w:eastAsia="宋体" w:cs="宋体"/>
          <w:spacing w:val="-2"/>
          <w:szCs w:val="22"/>
        </w:rPr>
        <w:t>发包人提供的材料或工程设备不符合合同要求的，承包人有权拒绝，并可要求发包人更换，由此增加的费用和（或）工期延误由发包人承担。</w:t>
      </w:r>
    </w:p>
    <w:p w14:paraId="164EDE4C">
      <w:pPr>
        <w:numPr>
          <w:ilvl w:val="0"/>
          <w:numId w:val="16"/>
        </w:numPr>
        <w:tabs>
          <w:tab w:val="left" w:pos="739"/>
        </w:tabs>
        <w:autoSpaceDE w:val="0"/>
        <w:autoSpaceDN w:val="0"/>
        <w:spacing w:line="272" w:lineRule="exact"/>
        <w:ind w:left="739" w:hanging="313"/>
        <w:rPr>
          <w:rFonts w:ascii="宋体" w:hAnsi="宋体" w:eastAsia="宋体" w:cs="宋体"/>
          <w:szCs w:val="22"/>
        </w:rPr>
      </w:pPr>
      <w:r>
        <w:rPr>
          <w:rFonts w:ascii="宋体" w:hAnsi="宋体" w:eastAsia="宋体" w:cs="宋体"/>
          <w:spacing w:val="-3"/>
          <w:szCs w:val="22"/>
        </w:rPr>
        <w:t>施工设备和临时设施</w:t>
      </w:r>
    </w:p>
    <w:p w14:paraId="36998645">
      <w:pPr>
        <w:numPr>
          <w:ilvl w:val="1"/>
          <w:numId w:val="16"/>
        </w:numPr>
        <w:tabs>
          <w:tab w:val="left" w:pos="950"/>
        </w:tabs>
        <w:autoSpaceDE w:val="0"/>
        <w:autoSpaceDN w:val="0"/>
        <w:spacing w:before="122"/>
        <w:ind w:left="950" w:hanging="524"/>
        <w:jc w:val="left"/>
        <w:rPr>
          <w:rFonts w:ascii="宋体" w:hAnsi="宋体" w:eastAsia="宋体" w:cs="宋体"/>
          <w:szCs w:val="22"/>
        </w:rPr>
      </w:pPr>
      <w:r>
        <w:rPr>
          <w:rFonts w:ascii="宋体" w:hAnsi="宋体" w:eastAsia="宋体" w:cs="宋体"/>
          <w:spacing w:val="-3"/>
          <w:szCs w:val="22"/>
        </w:rPr>
        <w:t>承包人提供的施工设备和临时设施</w:t>
      </w:r>
    </w:p>
    <w:p w14:paraId="182CDED6">
      <w:pPr>
        <w:numPr>
          <w:ilvl w:val="2"/>
          <w:numId w:val="16"/>
        </w:numPr>
        <w:tabs>
          <w:tab w:val="left" w:pos="1578"/>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承包人应按合同进度计划的要求，及时配置施工设备和修建临时设施。进入施工场地的承包人设备需经监理人核查后才能投入使用。承包人更换合同约定的承包人设备的，应报监理人批</w:t>
      </w:r>
      <w:r>
        <w:rPr>
          <w:rFonts w:ascii="宋体" w:hAnsi="宋体" w:eastAsia="宋体" w:cs="宋体"/>
          <w:spacing w:val="-6"/>
          <w:szCs w:val="22"/>
        </w:rPr>
        <w:t>准。</w:t>
      </w:r>
    </w:p>
    <w:p w14:paraId="55975153">
      <w:pPr>
        <w:numPr>
          <w:ilvl w:val="2"/>
          <w:numId w:val="16"/>
        </w:numPr>
        <w:tabs>
          <w:tab w:val="left" w:pos="1578"/>
        </w:tabs>
        <w:autoSpaceDE w:val="0"/>
        <w:autoSpaceDN w:val="0"/>
        <w:spacing w:before="4" w:line="352" w:lineRule="auto"/>
        <w:ind w:left="426" w:right="463" w:firstLine="420"/>
        <w:rPr>
          <w:rFonts w:ascii="宋体" w:hAnsi="宋体" w:eastAsia="宋体" w:cs="宋体"/>
          <w:szCs w:val="22"/>
        </w:rPr>
      </w:pPr>
      <w:r>
        <w:rPr>
          <w:rFonts w:ascii="宋体" w:hAnsi="宋体" w:eastAsia="宋体" w:cs="宋体"/>
          <w:spacing w:val="-12"/>
          <w:szCs w:val="22"/>
        </w:rPr>
        <w:t>除专用合同条款另有约定外，承包人应自行承担修建临时设施的费用，需要临时占地的，</w:t>
      </w:r>
      <w:r>
        <w:rPr>
          <w:rFonts w:ascii="宋体" w:hAnsi="宋体" w:eastAsia="宋体" w:cs="宋体"/>
          <w:spacing w:val="-2"/>
          <w:szCs w:val="22"/>
        </w:rPr>
        <w:t>应由发包人办理申请手续并承担相应费用。</w:t>
      </w:r>
    </w:p>
    <w:p w14:paraId="637B310C">
      <w:pPr>
        <w:numPr>
          <w:ilvl w:val="1"/>
          <w:numId w:val="16"/>
        </w:numPr>
        <w:tabs>
          <w:tab w:val="left" w:pos="950"/>
        </w:tabs>
        <w:autoSpaceDE w:val="0"/>
        <w:autoSpaceDN w:val="0"/>
        <w:spacing w:line="270" w:lineRule="exact"/>
        <w:ind w:left="950" w:hanging="524"/>
        <w:jc w:val="left"/>
        <w:rPr>
          <w:rFonts w:ascii="宋体" w:hAnsi="宋体" w:eastAsia="宋体" w:cs="宋体"/>
          <w:szCs w:val="22"/>
        </w:rPr>
      </w:pPr>
      <w:r>
        <w:rPr>
          <w:rFonts w:ascii="宋体" w:hAnsi="宋体" w:eastAsia="宋体" w:cs="宋体"/>
          <w:spacing w:val="-3"/>
          <w:szCs w:val="22"/>
        </w:rPr>
        <w:t>发包人提供的施工设备和临时设施</w:t>
      </w:r>
    </w:p>
    <w:p w14:paraId="4A4DB1CE">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发包人提供的施工设备或临时设施在专用合同条款中约定。</w:t>
      </w:r>
    </w:p>
    <w:p w14:paraId="5DC1F526">
      <w:pPr>
        <w:numPr>
          <w:ilvl w:val="1"/>
          <w:numId w:val="16"/>
        </w:numPr>
        <w:tabs>
          <w:tab w:val="left" w:pos="950"/>
        </w:tabs>
        <w:autoSpaceDE w:val="0"/>
        <w:autoSpaceDN w:val="0"/>
        <w:spacing w:before="128"/>
        <w:ind w:left="950" w:hanging="524"/>
        <w:jc w:val="left"/>
        <w:rPr>
          <w:rFonts w:ascii="宋体" w:hAnsi="宋体" w:eastAsia="宋体" w:cs="宋体"/>
          <w:szCs w:val="22"/>
        </w:rPr>
      </w:pPr>
      <w:r>
        <w:rPr>
          <w:rFonts w:ascii="宋体" w:hAnsi="宋体" w:eastAsia="宋体" w:cs="宋体"/>
          <w:spacing w:val="-3"/>
          <w:szCs w:val="22"/>
        </w:rPr>
        <w:t>要求承包人增加或更换施工设备</w:t>
      </w:r>
    </w:p>
    <w:p w14:paraId="5F6DA9D6">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pacing w:val="-2"/>
          <w:szCs w:val="21"/>
        </w:rPr>
        <w:t>承包人使用的施工设备不能满足合同进度计划和（或）质量要求时，监理人有权要求承包人增加或更换施工设备，承包人应及时增加或更换，由此增加的费用和（或）工期延误由承包人承担。承包人的机械、车辆必须证（照）齐全，三无车辆不得进场。违反本款规定，则按项目专用合同条</w:t>
      </w:r>
      <w:r>
        <w:rPr>
          <w:rFonts w:ascii="宋体" w:hAnsi="宋体" w:eastAsia="宋体" w:cs="宋体"/>
          <w:szCs w:val="21"/>
        </w:rPr>
        <w:t>款第 22.1 款承包人违约处理。</w:t>
      </w:r>
    </w:p>
    <w:p w14:paraId="1110FB37">
      <w:pPr>
        <w:numPr>
          <w:ilvl w:val="1"/>
          <w:numId w:val="16"/>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3"/>
          <w:szCs w:val="22"/>
        </w:rPr>
        <w:t>施工设备和临时设施专用于合同工程</w:t>
      </w:r>
    </w:p>
    <w:p w14:paraId="5DFCCA46">
      <w:pPr>
        <w:spacing w:line="269" w:lineRule="exact"/>
        <w:sectPr>
          <w:pgSz w:w="11910" w:h="16840"/>
          <w:pgMar w:top="1640" w:right="849" w:bottom="1360" w:left="992" w:header="0" w:footer="1176" w:gutter="0"/>
          <w:cols w:space="720" w:num="1"/>
        </w:sectPr>
      </w:pPr>
    </w:p>
    <w:p w14:paraId="5F757E55">
      <w:pPr>
        <w:numPr>
          <w:ilvl w:val="2"/>
          <w:numId w:val="16"/>
        </w:numPr>
        <w:tabs>
          <w:tab w:val="left" w:pos="1578"/>
        </w:tabs>
        <w:autoSpaceDE w:val="0"/>
        <w:autoSpaceDN w:val="0"/>
        <w:spacing w:before="37" w:line="350" w:lineRule="auto"/>
        <w:ind w:left="426" w:right="567" w:firstLine="420"/>
        <w:jc w:val="both"/>
        <w:rPr>
          <w:rFonts w:ascii="宋体" w:hAnsi="宋体" w:eastAsia="宋体" w:cs="宋体"/>
          <w:szCs w:val="22"/>
        </w:rPr>
      </w:pPr>
      <w:r>
        <w:rPr>
          <w:rFonts w:ascii="宋体" w:hAnsi="宋体" w:eastAsia="宋体" w:cs="宋体"/>
          <w:spacing w:val="-9"/>
          <w:szCs w:val="22"/>
        </w:rPr>
        <w:t>除合同另有约定外，运入施工场地的所有施工设备以及在施工场地建设的临时设施应专</w:t>
      </w:r>
      <w:r>
        <w:rPr>
          <w:rFonts w:ascii="宋体" w:hAnsi="宋体" w:eastAsia="宋体" w:cs="宋体"/>
          <w:spacing w:val="-2"/>
          <w:szCs w:val="22"/>
        </w:rPr>
        <w:t>用于合同工程。未经监理人同意，不得将上述施工设备和临时设施中的任何部分运出施工场地或挪</w:t>
      </w:r>
      <w:r>
        <w:rPr>
          <w:rFonts w:ascii="宋体" w:hAnsi="宋体" w:eastAsia="宋体" w:cs="宋体"/>
          <w:spacing w:val="-4"/>
          <w:szCs w:val="22"/>
        </w:rPr>
        <w:t>作他用。</w:t>
      </w:r>
    </w:p>
    <w:p w14:paraId="77B8AA23">
      <w:pPr>
        <w:numPr>
          <w:ilvl w:val="2"/>
          <w:numId w:val="16"/>
        </w:numPr>
        <w:tabs>
          <w:tab w:val="left" w:pos="1578"/>
        </w:tabs>
        <w:autoSpaceDE w:val="0"/>
        <w:autoSpaceDN w:val="0"/>
        <w:spacing w:before="4"/>
        <w:ind w:left="1578" w:hanging="732"/>
        <w:jc w:val="both"/>
        <w:rPr>
          <w:rFonts w:ascii="宋体" w:hAnsi="宋体" w:eastAsia="宋体" w:cs="宋体"/>
          <w:szCs w:val="22"/>
        </w:rPr>
      </w:pPr>
      <w:r>
        <w:rPr>
          <w:rFonts w:ascii="宋体" w:hAnsi="宋体" w:eastAsia="宋体" w:cs="宋体"/>
          <w:spacing w:val="-3"/>
          <w:szCs w:val="22"/>
        </w:rPr>
        <w:t>经监理人同意，承包人可根据合同进度计划撤走闲置的施工设备。</w:t>
      </w:r>
    </w:p>
    <w:p w14:paraId="4ED07DDA">
      <w:pPr>
        <w:numPr>
          <w:ilvl w:val="0"/>
          <w:numId w:val="16"/>
        </w:numPr>
        <w:tabs>
          <w:tab w:val="left" w:pos="634"/>
        </w:tabs>
        <w:autoSpaceDE w:val="0"/>
        <w:autoSpaceDN w:val="0"/>
        <w:spacing w:before="125"/>
        <w:ind w:left="634" w:hanging="208"/>
        <w:rPr>
          <w:rFonts w:ascii="宋体" w:hAnsi="宋体" w:eastAsia="宋体" w:cs="宋体"/>
          <w:szCs w:val="22"/>
        </w:rPr>
      </w:pPr>
      <w:r>
        <w:rPr>
          <w:rFonts w:ascii="宋体" w:hAnsi="宋体" w:eastAsia="宋体" w:cs="宋体"/>
          <w:spacing w:val="-7"/>
          <w:szCs w:val="22"/>
        </w:rPr>
        <w:t>交通运输</w:t>
      </w:r>
    </w:p>
    <w:p w14:paraId="164D409A">
      <w:pPr>
        <w:numPr>
          <w:ilvl w:val="1"/>
          <w:numId w:val="16"/>
        </w:numPr>
        <w:tabs>
          <w:tab w:val="left" w:pos="950"/>
        </w:tabs>
        <w:autoSpaceDE w:val="0"/>
        <w:autoSpaceDN w:val="0"/>
        <w:spacing w:before="128"/>
        <w:ind w:left="950" w:hanging="524"/>
        <w:jc w:val="left"/>
        <w:rPr>
          <w:rFonts w:ascii="宋体" w:hAnsi="宋体" w:eastAsia="宋体" w:cs="宋体"/>
          <w:szCs w:val="22"/>
        </w:rPr>
      </w:pPr>
      <w:r>
        <w:rPr>
          <w:rFonts w:ascii="宋体" w:hAnsi="宋体" w:eastAsia="宋体" w:cs="宋体"/>
          <w:spacing w:val="-3"/>
          <w:szCs w:val="22"/>
        </w:rPr>
        <w:t>道路通行权和场外设施</w:t>
      </w:r>
    </w:p>
    <w:p w14:paraId="10ED2A88">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64831A20">
      <w:pPr>
        <w:numPr>
          <w:ilvl w:val="1"/>
          <w:numId w:val="16"/>
        </w:numPr>
        <w:tabs>
          <w:tab w:val="left" w:pos="950"/>
        </w:tabs>
        <w:autoSpaceDE w:val="0"/>
        <w:autoSpaceDN w:val="0"/>
        <w:spacing w:before="4"/>
        <w:ind w:left="950" w:hanging="524"/>
        <w:jc w:val="both"/>
        <w:rPr>
          <w:rFonts w:ascii="宋体" w:hAnsi="宋体" w:eastAsia="宋体" w:cs="宋体"/>
          <w:szCs w:val="22"/>
        </w:rPr>
      </w:pPr>
      <w:r>
        <w:rPr>
          <w:rFonts w:ascii="宋体" w:hAnsi="宋体" w:eastAsia="宋体" w:cs="宋体"/>
          <w:spacing w:val="-4"/>
          <w:szCs w:val="22"/>
        </w:rPr>
        <w:t>场内施工道路</w:t>
      </w:r>
    </w:p>
    <w:p w14:paraId="40BA4EBB">
      <w:pPr>
        <w:numPr>
          <w:ilvl w:val="2"/>
          <w:numId w:val="16"/>
        </w:numPr>
        <w:tabs>
          <w:tab w:val="left" w:pos="1578"/>
        </w:tabs>
        <w:autoSpaceDE w:val="0"/>
        <w:autoSpaceDN w:val="0"/>
        <w:spacing w:before="126" w:line="352" w:lineRule="auto"/>
        <w:ind w:left="426" w:right="569" w:firstLine="420"/>
        <w:jc w:val="both"/>
        <w:rPr>
          <w:rFonts w:ascii="宋体" w:hAnsi="宋体" w:eastAsia="宋体" w:cs="宋体"/>
          <w:szCs w:val="22"/>
        </w:rPr>
      </w:pPr>
      <w:r>
        <w:rPr>
          <w:rFonts w:ascii="宋体" w:hAnsi="宋体" w:eastAsia="宋体" w:cs="宋体"/>
          <w:spacing w:val="-2"/>
          <w:szCs w:val="22"/>
        </w:rPr>
        <w:t>除专用合同条款另有约定外，承包人应负责修建、维修、养护和管理施工所需的临时道路和交通设施，包括维修、养护和管理发包人提供的道路和交通设施，并承担相应费用。</w:t>
      </w:r>
    </w:p>
    <w:p w14:paraId="4DB66BAE">
      <w:pPr>
        <w:numPr>
          <w:ilvl w:val="2"/>
          <w:numId w:val="16"/>
        </w:numPr>
        <w:tabs>
          <w:tab w:val="left" w:pos="1578"/>
        </w:tabs>
        <w:autoSpaceDE w:val="0"/>
        <w:autoSpaceDN w:val="0"/>
        <w:spacing w:line="350" w:lineRule="auto"/>
        <w:ind w:left="426" w:right="567" w:firstLine="420"/>
        <w:jc w:val="both"/>
        <w:rPr>
          <w:rFonts w:ascii="宋体" w:hAnsi="宋体" w:eastAsia="宋体" w:cs="宋体"/>
          <w:szCs w:val="22"/>
        </w:rPr>
      </w:pPr>
      <w:r>
        <w:rPr>
          <w:rFonts w:ascii="宋体" w:hAnsi="宋体" w:eastAsia="宋体" w:cs="宋体"/>
          <w:spacing w:val="-2"/>
          <w:szCs w:val="22"/>
        </w:rPr>
        <w:t>除专用合同条款另有约定外，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w:t>
      </w:r>
      <w:r>
        <w:rPr>
          <w:rFonts w:ascii="宋体" w:hAnsi="宋体" w:eastAsia="宋体" w:cs="宋体"/>
          <w:spacing w:val="-4"/>
          <w:szCs w:val="22"/>
        </w:rPr>
        <w:t>要求。</w:t>
      </w:r>
    </w:p>
    <w:p w14:paraId="03104630">
      <w:pPr>
        <w:numPr>
          <w:ilvl w:val="1"/>
          <w:numId w:val="16"/>
        </w:numPr>
        <w:tabs>
          <w:tab w:val="left" w:pos="950"/>
        </w:tabs>
        <w:autoSpaceDE w:val="0"/>
        <w:autoSpaceDN w:val="0"/>
        <w:spacing w:before="5"/>
        <w:ind w:left="950" w:hanging="524"/>
        <w:jc w:val="both"/>
        <w:rPr>
          <w:rFonts w:ascii="宋体" w:hAnsi="宋体" w:eastAsia="宋体" w:cs="宋体"/>
          <w:szCs w:val="22"/>
        </w:rPr>
      </w:pPr>
      <w:r>
        <w:rPr>
          <w:rFonts w:ascii="宋体" w:hAnsi="宋体" w:eastAsia="宋体" w:cs="宋体"/>
          <w:spacing w:val="-7"/>
          <w:szCs w:val="22"/>
        </w:rPr>
        <w:t>场外交通</w:t>
      </w:r>
    </w:p>
    <w:p w14:paraId="4651BEC3">
      <w:pPr>
        <w:numPr>
          <w:ilvl w:val="2"/>
          <w:numId w:val="16"/>
        </w:numPr>
        <w:tabs>
          <w:tab w:val="left" w:pos="1578"/>
        </w:tabs>
        <w:autoSpaceDE w:val="0"/>
        <w:autoSpaceDN w:val="0"/>
        <w:spacing w:before="128"/>
        <w:ind w:left="1578" w:hanging="732"/>
        <w:jc w:val="both"/>
        <w:rPr>
          <w:rFonts w:ascii="宋体" w:hAnsi="宋体" w:eastAsia="宋体" w:cs="宋体"/>
          <w:szCs w:val="22"/>
        </w:rPr>
      </w:pPr>
      <w:r>
        <w:rPr>
          <w:rFonts w:ascii="宋体" w:hAnsi="宋体" w:eastAsia="宋体" w:cs="宋体"/>
          <w:spacing w:val="-3"/>
          <w:szCs w:val="22"/>
        </w:rPr>
        <w:t>承包人车辆外出行驶所需的场外公共道路的通行费、养路费和税款等由承包人承担。</w:t>
      </w:r>
    </w:p>
    <w:p w14:paraId="6F45F64E">
      <w:pPr>
        <w:numPr>
          <w:ilvl w:val="2"/>
          <w:numId w:val="16"/>
        </w:numPr>
        <w:tabs>
          <w:tab w:val="left" w:pos="1578"/>
        </w:tabs>
        <w:autoSpaceDE w:val="0"/>
        <w:autoSpaceDN w:val="0"/>
        <w:spacing w:before="125" w:line="352" w:lineRule="auto"/>
        <w:ind w:left="426" w:right="569" w:firstLine="420"/>
        <w:jc w:val="both"/>
        <w:rPr>
          <w:rFonts w:ascii="宋体" w:hAnsi="宋体" w:eastAsia="宋体" w:cs="宋体"/>
          <w:szCs w:val="22"/>
        </w:rPr>
      </w:pPr>
      <w:r>
        <w:rPr>
          <w:rFonts w:ascii="宋体" w:hAnsi="宋体" w:eastAsia="宋体" w:cs="宋体"/>
          <w:spacing w:val="-2"/>
          <w:szCs w:val="22"/>
        </w:rPr>
        <w:t>承包人应遵守有关交通法规，严格按照道路和桥梁的限制荷重安全行驶，并服从交通管理部门的检查和监督。</w:t>
      </w:r>
    </w:p>
    <w:p w14:paraId="7A82FB9C">
      <w:pPr>
        <w:numPr>
          <w:ilvl w:val="1"/>
          <w:numId w:val="16"/>
        </w:numPr>
        <w:tabs>
          <w:tab w:val="left" w:pos="950"/>
        </w:tabs>
        <w:autoSpaceDE w:val="0"/>
        <w:autoSpaceDN w:val="0"/>
        <w:spacing w:line="272" w:lineRule="exact"/>
        <w:ind w:left="950" w:hanging="524"/>
        <w:jc w:val="both"/>
        <w:rPr>
          <w:rFonts w:ascii="宋体" w:hAnsi="宋体" w:eastAsia="宋体" w:cs="宋体"/>
          <w:szCs w:val="22"/>
        </w:rPr>
      </w:pPr>
      <w:r>
        <w:rPr>
          <w:rFonts w:ascii="宋体" w:hAnsi="宋体" w:eastAsia="宋体" w:cs="宋体"/>
          <w:spacing w:val="-3"/>
          <w:szCs w:val="22"/>
        </w:rPr>
        <w:t>超大件和超重件的运输</w:t>
      </w:r>
    </w:p>
    <w:p w14:paraId="72F65E72">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pacing w:val="-2"/>
          <w:szCs w:val="21"/>
        </w:rPr>
        <w:t>由承包人负责运输的超大件或超重件，应由承包人负责向交通管理部门办理申请手续，发包人给予协助。运输超大件或超重件所需的道路和桥梁临时加固改造费用和其它有关费用，由承包人承担，但专用合同条款另有约定除外。</w:t>
      </w:r>
    </w:p>
    <w:p w14:paraId="18BBA7F6">
      <w:pPr>
        <w:numPr>
          <w:ilvl w:val="1"/>
          <w:numId w:val="16"/>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3"/>
          <w:szCs w:val="22"/>
        </w:rPr>
        <w:t>道路和桥梁的损坏责任</w:t>
      </w:r>
    </w:p>
    <w:p w14:paraId="5C5E31D1">
      <w:pPr>
        <w:autoSpaceDE w:val="0"/>
        <w:autoSpaceDN w:val="0"/>
        <w:spacing w:before="127" w:line="352" w:lineRule="auto"/>
        <w:ind w:left="426" w:right="567" w:firstLine="420"/>
        <w:jc w:val="left"/>
        <w:rPr>
          <w:rFonts w:ascii="宋体" w:hAnsi="宋体" w:eastAsia="宋体" w:cs="宋体"/>
          <w:szCs w:val="21"/>
        </w:rPr>
      </w:pPr>
      <w:r>
        <w:rPr>
          <w:rFonts w:ascii="宋体" w:hAnsi="宋体" w:eastAsia="宋体" w:cs="宋体"/>
          <w:spacing w:val="-2"/>
          <w:szCs w:val="21"/>
        </w:rPr>
        <w:t>因承包人运输造成施工场地内外公共道路和桥梁损坏的，由承包人承担修复损坏的全部费用和可能引起的赔偿。</w:t>
      </w:r>
    </w:p>
    <w:p w14:paraId="0D2C8207">
      <w:pPr>
        <w:numPr>
          <w:ilvl w:val="1"/>
          <w:numId w:val="16"/>
        </w:numPr>
        <w:tabs>
          <w:tab w:val="left" w:pos="950"/>
        </w:tabs>
        <w:autoSpaceDE w:val="0"/>
        <w:autoSpaceDN w:val="0"/>
        <w:spacing w:line="270" w:lineRule="exact"/>
        <w:ind w:left="950" w:hanging="524"/>
        <w:jc w:val="left"/>
        <w:rPr>
          <w:rFonts w:ascii="宋体" w:hAnsi="宋体" w:eastAsia="宋体" w:cs="宋体"/>
          <w:szCs w:val="22"/>
        </w:rPr>
      </w:pPr>
      <w:r>
        <w:rPr>
          <w:rFonts w:ascii="宋体" w:hAnsi="宋体" w:eastAsia="宋体" w:cs="宋体"/>
          <w:spacing w:val="-4"/>
          <w:szCs w:val="22"/>
        </w:rPr>
        <w:t>水路和航空运输</w:t>
      </w:r>
    </w:p>
    <w:p w14:paraId="158DC8E7">
      <w:pPr>
        <w:autoSpaceDE w:val="0"/>
        <w:autoSpaceDN w:val="0"/>
        <w:spacing w:before="128" w:line="350" w:lineRule="auto"/>
        <w:ind w:left="426" w:right="569" w:firstLine="420"/>
        <w:rPr>
          <w:rFonts w:ascii="宋体" w:hAnsi="宋体" w:eastAsia="宋体" w:cs="宋体"/>
          <w:szCs w:val="21"/>
        </w:rPr>
      </w:pPr>
      <w:r>
        <w:rPr>
          <w:rFonts w:ascii="宋体" w:hAnsi="宋体" w:eastAsia="宋体" w:cs="宋体"/>
          <w:spacing w:val="-2"/>
          <w:szCs w:val="21"/>
        </w:rPr>
        <w:t>本条上述各款的内容适用于水路运输和航空运输，其中“道路”一词的涵义包括河道、航线、船闸、机场、码头、堤防以及水路或航空运输中其它相似结构物；“车辆”一词的涵义包括船舶和</w:t>
      </w:r>
      <w:r>
        <w:rPr>
          <w:rFonts w:ascii="宋体" w:hAnsi="宋体" w:eastAsia="宋体" w:cs="宋体"/>
          <w:spacing w:val="-4"/>
          <w:szCs w:val="21"/>
        </w:rPr>
        <w:t>飞机等。</w:t>
      </w:r>
    </w:p>
    <w:p w14:paraId="7B00496C">
      <w:pPr>
        <w:numPr>
          <w:ilvl w:val="0"/>
          <w:numId w:val="16"/>
        </w:numPr>
        <w:tabs>
          <w:tab w:val="left" w:pos="739"/>
        </w:tabs>
        <w:autoSpaceDE w:val="0"/>
        <w:autoSpaceDN w:val="0"/>
        <w:spacing w:before="4"/>
        <w:ind w:left="739" w:hanging="313"/>
        <w:rPr>
          <w:rFonts w:ascii="宋体" w:hAnsi="宋体" w:eastAsia="宋体" w:cs="宋体"/>
          <w:szCs w:val="22"/>
        </w:rPr>
      </w:pPr>
      <w:r>
        <w:rPr>
          <w:rFonts w:ascii="宋体" w:hAnsi="宋体" w:eastAsia="宋体" w:cs="宋体"/>
          <w:spacing w:val="-4"/>
          <w:szCs w:val="22"/>
        </w:rPr>
        <w:t>测量放线</w:t>
      </w:r>
    </w:p>
    <w:p w14:paraId="3841D595">
      <w:pPr>
        <w:numPr>
          <w:ilvl w:val="1"/>
          <w:numId w:val="16"/>
        </w:numPr>
        <w:tabs>
          <w:tab w:val="left" w:pos="950"/>
        </w:tabs>
        <w:autoSpaceDE w:val="0"/>
        <w:autoSpaceDN w:val="0"/>
        <w:spacing w:before="128"/>
        <w:ind w:left="950" w:hanging="524"/>
        <w:jc w:val="left"/>
        <w:rPr>
          <w:rFonts w:ascii="宋体" w:hAnsi="宋体" w:eastAsia="宋体" w:cs="宋体"/>
          <w:szCs w:val="22"/>
        </w:rPr>
      </w:pPr>
      <w:r>
        <w:rPr>
          <w:rFonts w:ascii="宋体" w:hAnsi="宋体" w:eastAsia="宋体" w:cs="宋体"/>
          <w:spacing w:val="-4"/>
          <w:szCs w:val="22"/>
        </w:rPr>
        <w:t>施工控制网</w:t>
      </w:r>
    </w:p>
    <w:p w14:paraId="4C42B487">
      <w:pPr>
        <w:jc w:val="left"/>
        <w:sectPr>
          <w:pgSz w:w="11910" w:h="16840"/>
          <w:pgMar w:top="1640" w:right="849" w:bottom="1360" w:left="992" w:header="0" w:footer="1176" w:gutter="0"/>
          <w:cols w:space="720" w:num="1"/>
        </w:sectPr>
      </w:pPr>
    </w:p>
    <w:p w14:paraId="72FCD6CF">
      <w:pPr>
        <w:numPr>
          <w:ilvl w:val="2"/>
          <w:numId w:val="16"/>
        </w:numPr>
        <w:tabs>
          <w:tab w:val="left" w:pos="1578"/>
        </w:tabs>
        <w:autoSpaceDE w:val="0"/>
        <w:autoSpaceDN w:val="0"/>
        <w:spacing w:before="37" w:line="352" w:lineRule="auto"/>
        <w:ind w:left="426" w:right="567" w:firstLine="420"/>
        <w:jc w:val="both"/>
        <w:rPr>
          <w:rFonts w:ascii="宋体" w:hAnsi="宋体" w:eastAsia="宋体" w:cs="宋体"/>
          <w:szCs w:val="22"/>
        </w:rPr>
      </w:pPr>
      <w:r>
        <w:rPr>
          <w:rFonts w:ascii="宋体" w:hAnsi="宋体" w:eastAsia="宋体" w:cs="宋体"/>
          <w:spacing w:val="-2"/>
          <w:szCs w:val="22"/>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0350A99F">
      <w:pPr>
        <w:numPr>
          <w:ilvl w:val="2"/>
          <w:numId w:val="16"/>
        </w:numPr>
        <w:tabs>
          <w:tab w:val="left" w:pos="1578"/>
        </w:tabs>
        <w:autoSpaceDE w:val="0"/>
        <w:autoSpaceDN w:val="0"/>
        <w:spacing w:line="352" w:lineRule="auto"/>
        <w:ind w:left="426" w:right="569" w:firstLine="420"/>
        <w:jc w:val="both"/>
        <w:rPr>
          <w:rFonts w:ascii="宋体" w:hAnsi="宋体" w:eastAsia="宋体" w:cs="宋体"/>
          <w:szCs w:val="22"/>
        </w:rPr>
      </w:pPr>
      <w:r>
        <w:rPr>
          <w:rFonts w:ascii="宋体" w:hAnsi="宋体" w:eastAsia="宋体" w:cs="宋体"/>
          <w:spacing w:val="-2"/>
          <w:szCs w:val="22"/>
        </w:rPr>
        <w:t>承包人应负责管理施工控制网点。施工控制网点丢失或损坏的，承包人应及时修复。承包人应承担施工控制网点的管理与修复费用，并在工程竣工后将施工控制网点移交发包人。</w:t>
      </w:r>
    </w:p>
    <w:p w14:paraId="13CE3BBB">
      <w:pPr>
        <w:numPr>
          <w:ilvl w:val="1"/>
          <w:numId w:val="16"/>
        </w:numPr>
        <w:tabs>
          <w:tab w:val="left" w:pos="950"/>
        </w:tabs>
        <w:autoSpaceDE w:val="0"/>
        <w:autoSpaceDN w:val="0"/>
        <w:spacing w:line="272" w:lineRule="exact"/>
        <w:ind w:left="950" w:hanging="524"/>
        <w:jc w:val="both"/>
        <w:rPr>
          <w:rFonts w:ascii="宋体" w:hAnsi="宋体" w:eastAsia="宋体" w:cs="宋体"/>
          <w:szCs w:val="22"/>
        </w:rPr>
      </w:pPr>
      <w:r>
        <w:rPr>
          <w:rFonts w:ascii="宋体" w:hAnsi="宋体" w:eastAsia="宋体" w:cs="宋体"/>
          <w:spacing w:val="-7"/>
          <w:szCs w:val="22"/>
        </w:rPr>
        <w:t>施工测量</w:t>
      </w:r>
    </w:p>
    <w:p w14:paraId="7BA202AD">
      <w:pPr>
        <w:numPr>
          <w:ilvl w:val="2"/>
          <w:numId w:val="16"/>
        </w:numPr>
        <w:tabs>
          <w:tab w:val="left" w:pos="1578"/>
        </w:tabs>
        <w:autoSpaceDE w:val="0"/>
        <w:autoSpaceDN w:val="0"/>
        <w:spacing w:before="118" w:line="352" w:lineRule="auto"/>
        <w:ind w:left="426" w:right="567" w:firstLine="420"/>
        <w:jc w:val="both"/>
        <w:rPr>
          <w:rFonts w:ascii="宋体" w:hAnsi="宋体" w:eastAsia="宋体" w:cs="宋体"/>
          <w:szCs w:val="22"/>
        </w:rPr>
      </w:pPr>
      <w:r>
        <w:rPr>
          <w:rFonts w:ascii="宋体" w:hAnsi="宋体" w:eastAsia="宋体" w:cs="宋体"/>
          <w:spacing w:val="-2"/>
          <w:szCs w:val="22"/>
        </w:rPr>
        <w:t>承包人应负责施工过程中的全部施工测量放线工作，并配置合格的人员、仪器、设备和其它物品。承包人应矫正工程的位置、标高、尺寸或基准线中出现的任何差错，并对工程各部分的定位负责。施工过程中对施工现场内水准点等测量标志物的保护工作由承包人负责。</w:t>
      </w:r>
    </w:p>
    <w:p w14:paraId="76097041">
      <w:pPr>
        <w:numPr>
          <w:ilvl w:val="2"/>
          <w:numId w:val="16"/>
        </w:numPr>
        <w:tabs>
          <w:tab w:val="left" w:pos="1586"/>
        </w:tabs>
        <w:autoSpaceDE w:val="0"/>
        <w:autoSpaceDN w:val="0"/>
        <w:spacing w:line="352" w:lineRule="auto"/>
        <w:ind w:left="426" w:right="569" w:firstLine="420"/>
        <w:jc w:val="both"/>
        <w:rPr>
          <w:rFonts w:ascii="宋体" w:hAnsi="宋体" w:eastAsia="宋体" w:cs="宋体"/>
          <w:szCs w:val="22"/>
        </w:rPr>
      </w:pPr>
      <w:r>
        <w:rPr>
          <w:rFonts w:ascii="宋体" w:hAnsi="宋体" w:eastAsia="宋体" w:cs="宋体"/>
          <w:spacing w:val="-2"/>
          <w:szCs w:val="22"/>
        </w:rPr>
        <w:t>监理人可以指示承包人进行抽样复测，当复测中发现错误或出现超过合同约定的误差时，承包人应按监理人指示进行修正或补测，并承担相应的复测费用</w:t>
      </w:r>
      <w:r>
        <w:rPr>
          <w:rFonts w:ascii="宋体" w:hAnsi="宋体" w:eastAsia="宋体" w:cs="宋体"/>
          <w:spacing w:val="-1"/>
          <w:w w:val="99"/>
          <w:szCs w:val="22"/>
        </w:rPr>
        <w:t>。</w:t>
      </w:r>
    </w:p>
    <w:p w14:paraId="574E1BFC">
      <w:pPr>
        <w:numPr>
          <w:ilvl w:val="1"/>
          <w:numId w:val="16"/>
        </w:numPr>
        <w:tabs>
          <w:tab w:val="left" w:pos="950"/>
        </w:tabs>
        <w:autoSpaceDE w:val="0"/>
        <w:autoSpaceDN w:val="0"/>
        <w:spacing w:line="272" w:lineRule="exact"/>
        <w:ind w:left="950" w:hanging="524"/>
        <w:jc w:val="both"/>
        <w:rPr>
          <w:rFonts w:ascii="宋体" w:hAnsi="宋体" w:eastAsia="宋体" w:cs="宋体"/>
          <w:szCs w:val="22"/>
        </w:rPr>
      </w:pPr>
      <w:r>
        <w:rPr>
          <w:rFonts w:ascii="宋体" w:hAnsi="宋体" w:eastAsia="宋体" w:cs="宋体"/>
          <w:spacing w:val="-3"/>
          <w:szCs w:val="22"/>
        </w:rPr>
        <w:t>基准资料错误的责任</w:t>
      </w:r>
    </w:p>
    <w:p w14:paraId="6FFE1A6B">
      <w:pPr>
        <w:autoSpaceDE w:val="0"/>
        <w:autoSpaceDN w:val="0"/>
        <w:spacing w:before="122" w:line="352" w:lineRule="auto"/>
        <w:ind w:left="426" w:right="567" w:firstLine="420"/>
        <w:rPr>
          <w:rFonts w:ascii="宋体" w:hAnsi="宋体" w:eastAsia="宋体" w:cs="宋体"/>
          <w:szCs w:val="21"/>
        </w:rPr>
      </w:pPr>
      <w:r>
        <w:rPr>
          <w:rFonts w:ascii="宋体" w:hAnsi="宋体" w:eastAsia="宋体" w:cs="宋体"/>
          <w:spacing w:val="-2"/>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513F51E">
      <w:pPr>
        <w:numPr>
          <w:ilvl w:val="1"/>
          <w:numId w:val="16"/>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3"/>
          <w:szCs w:val="22"/>
        </w:rPr>
        <w:t>监理人使用施工控制网</w:t>
      </w:r>
    </w:p>
    <w:p w14:paraId="2F5DFA56">
      <w:pPr>
        <w:autoSpaceDE w:val="0"/>
        <w:autoSpaceDN w:val="0"/>
        <w:spacing w:before="128" w:line="350" w:lineRule="auto"/>
        <w:ind w:left="426" w:right="1239" w:firstLine="420"/>
        <w:jc w:val="left"/>
        <w:rPr>
          <w:rFonts w:ascii="宋体" w:hAnsi="宋体" w:eastAsia="宋体" w:cs="宋体"/>
          <w:szCs w:val="21"/>
        </w:rPr>
      </w:pPr>
      <w:r>
        <w:rPr>
          <w:rFonts w:ascii="宋体" w:hAnsi="宋体" w:eastAsia="宋体" w:cs="宋体"/>
          <w:spacing w:val="-2"/>
          <w:szCs w:val="21"/>
        </w:rPr>
        <w:t>监理人需要使用施工控制网的，承包人应提供必要的协助，发包人不再为此支付费用。 9．施工安全、治安保卫和环境保护</w:t>
      </w:r>
    </w:p>
    <w:p w14:paraId="14DD6AD5">
      <w:pPr>
        <w:numPr>
          <w:ilvl w:val="1"/>
          <w:numId w:val="24"/>
        </w:numPr>
        <w:tabs>
          <w:tab w:val="left" w:pos="950"/>
        </w:tabs>
        <w:autoSpaceDE w:val="0"/>
        <w:autoSpaceDN w:val="0"/>
        <w:spacing w:before="2"/>
        <w:ind w:left="950" w:hanging="524"/>
        <w:rPr>
          <w:rFonts w:ascii="宋体" w:hAnsi="宋体" w:eastAsia="宋体" w:cs="宋体"/>
          <w:szCs w:val="22"/>
        </w:rPr>
      </w:pPr>
      <w:r>
        <w:rPr>
          <w:rFonts w:ascii="宋体" w:hAnsi="宋体" w:eastAsia="宋体" w:cs="宋体"/>
          <w:spacing w:val="-3"/>
          <w:szCs w:val="22"/>
        </w:rPr>
        <w:t>发包人的施工安全责任</w:t>
      </w:r>
    </w:p>
    <w:p w14:paraId="75333033">
      <w:pPr>
        <w:numPr>
          <w:ilvl w:val="2"/>
          <w:numId w:val="24"/>
        </w:numPr>
        <w:tabs>
          <w:tab w:val="left" w:pos="1578"/>
        </w:tabs>
        <w:autoSpaceDE w:val="0"/>
        <w:autoSpaceDN w:val="0"/>
        <w:spacing w:before="127" w:line="350" w:lineRule="auto"/>
        <w:ind w:right="569" w:firstLine="420"/>
        <w:rPr>
          <w:rFonts w:ascii="宋体" w:hAnsi="宋体" w:eastAsia="宋体" w:cs="宋体"/>
          <w:szCs w:val="22"/>
        </w:rPr>
      </w:pPr>
      <w:r>
        <w:rPr>
          <w:rFonts w:ascii="宋体" w:hAnsi="宋体" w:eastAsia="宋体" w:cs="宋体"/>
          <w:spacing w:val="-2"/>
          <w:szCs w:val="22"/>
        </w:rPr>
        <w:t>发包人应按合同约定履行安全职责，授权监理人按合同约定的安全工作内容监督、检查承包人安全工作的实施，组织承包人和有关单位进行安全检查。</w:t>
      </w:r>
    </w:p>
    <w:p w14:paraId="18C47F5D">
      <w:pPr>
        <w:numPr>
          <w:ilvl w:val="2"/>
          <w:numId w:val="24"/>
        </w:numPr>
        <w:tabs>
          <w:tab w:val="left" w:pos="1578"/>
        </w:tabs>
        <w:autoSpaceDE w:val="0"/>
        <w:autoSpaceDN w:val="0"/>
        <w:spacing w:before="2" w:line="352" w:lineRule="auto"/>
        <w:ind w:right="569" w:firstLine="420"/>
        <w:rPr>
          <w:rFonts w:ascii="宋体" w:hAnsi="宋体" w:eastAsia="宋体" w:cs="宋体"/>
          <w:szCs w:val="22"/>
        </w:rPr>
      </w:pPr>
      <w:r>
        <w:rPr>
          <w:rFonts w:ascii="宋体" w:hAnsi="宋体" w:eastAsia="宋体" w:cs="宋体"/>
          <w:spacing w:val="-5"/>
          <w:szCs w:val="22"/>
        </w:rPr>
        <w:t>发包人应对其现场机构雇佣的全部人员的工伤事故承担责任，但由于承包人原因造成发</w:t>
      </w:r>
      <w:r>
        <w:rPr>
          <w:rFonts w:ascii="宋体" w:hAnsi="宋体" w:eastAsia="宋体" w:cs="宋体"/>
          <w:spacing w:val="-2"/>
          <w:szCs w:val="22"/>
        </w:rPr>
        <w:t>包人人员工伤的，应由承包人承担责任。</w:t>
      </w:r>
    </w:p>
    <w:p w14:paraId="6FF3DFBC">
      <w:pPr>
        <w:numPr>
          <w:ilvl w:val="2"/>
          <w:numId w:val="24"/>
        </w:numPr>
        <w:tabs>
          <w:tab w:val="left" w:pos="1578"/>
        </w:tabs>
        <w:autoSpaceDE w:val="0"/>
        <w:autoSpaceDN w:val="0"/>
        <w:spacing w:line="270" w:lineRule="exact"/>
        <w:ind w:left="1578" w:hanging="732"/>
        <w:rPr>
          <w:rFonts w:ascii="宋体" w:hAnsi="宋体" w:eastAsia="宋体" w:cs="宋体"/>
          <w:szCs w:val="22"/>
        </w:rPr>
      </w:pPr>
      <w:r>
        <w:rPr>
          <w:rFonts w:ascii="宋体" w:hAnsi="宋体" w:eastAsia="宋体" w:cs="宋体"/>
          <w:spacing w:val="-3"/>
          <w:szCs w:val="22"/>
        </w:rPr>
        <w:t>发包人应负责赔偿以下各种情况造成的第三者人身伤亡和财产损失：</w:t>
      </w:r>
    </w:p>
    <w:p w14:paraId="6040EE49">
      <w:pPr>
        <w:numPr>
          <w:ilvl w:val="0"/>
          <w:numId w:val="25"/>
        </w:numPr>
        <w:tabs>
          <w:tab w:val="left" w:pos="1369"/>
        </w:tabs>
        <w:autoSpaceDE w:val="0"/>
        <w:autoSpaceDN w:val="0"/>
        <w:spacing w:before="128"/>
        <w:ind w:left="1369" w:hanging="629"/>
        <w:rPr>
          <w:rFonts w:ascii="宋体" w:hAnsi="宋体" w:eastAsia="宋体" w:cs="宋体"/>
          <w:szCs w:val="22"/>
        </w:rPr>
      </w:pPr>
      <w:r>
        <w:rPr>
          <w:rFonts w:ascii="宋体" w:hAnsi="宋体" w:eastAsia="宋体" w:cs="宋体"/>
          <w:spacing w:val="-3"/>
          <w:szCs w:val="22"/>
        </w:rPr>
        <w:t>工程或工程的任何部分对土地的占用所造成的第三者财产损失；</w:t>
      </w:r>
    </w:p>
    <w:p w14:paraId="789B1D34">
      <w:pPr>
        <w:numPr>
          <w:ilvl w:val="0"/>
          <w:numId w:val="25"/>
        </w:numPr>
        <w:tabs>
          <w:tab w:val="left" w:pos="1369"/>
        </w:tabs>
        <w:autoSpaceDE w:val="0"/>
        <w:autoSpaceDN w:val="0"/>
        <w:spacing w:before="128"/>
        <w:ind w:left="1369" w:hanging="629"/>
        <w:rPr>
          <w:rFonts w:ascii="宋体" w:hAnsi="宋体" w:eastAsia="宋体" w:cs="宋体"/>
          <w:szCs w:val="22"/>
        </w:rPr>
      </w:pPr>
      <w:r>
        <w:rPr>
          <w:rFonts w:ascii="宋体" w:hAnsi="宋体" w:eastAsia="宋体" w:cs="宋体"/>
          <w:spacing w:val="-3"/>
          <w:szCs w:val="22"/>
        </w:rPr>
        <w:t>由于发包人原因在施工场地及其毗邻地带造成的第三者人身伤亡和财产损失；</w:t>
      </w:r>
    </w:p>
    <w:p w14:paraId="78F32737">
      <w:pPr>
        <w:numPr>
          <w:ilvl w:val="0"/>
          <w:numId w:val="25"/>
        </w:numPr>
        <w:tabs>
          <w:tab w:val="left" w:pos="1369"/>
        </w:tabs>
        <w:autoSpaceDE w:val="0"/>
        <w:autoSpaceDN w:val="0"/>
        <w:spacing w:before="125"/>
        <w:ind w:left="1369" w:hanging="629"/>
        <w:rPr>
          <w:rFonts w:ascii="宋体" w:hAnsi="宋体" w:eastAsia="宋体" w:cs="宋体"/>
          <w:szCs w:val="22"/>
        </w:rPr>
      </w:pPr>
      <w:r>
        <w:rPr>
          <w:rFonts w:ascii="宋体" w:hAnsi="宋体" w:eastAsia="宋体" w:cs="宋体"/>
          <w:spacing w:val="-3"/>
          <w:szCs w:val="22"/>
        </w:rPr>
        <w:t>由于发包人原因对发包人自身、承包人、监理人造成的人身伤害和财产损失。</w:t>
      </w:r>
    </w:p>
    <w:p w14:paraId="1C0747BA">
      <w:pPr>
        <w:numPr>
          <w:ilvl w:val="1"/>
          <w:numId w:val="24"/>
        </w:numPr>
        <w:tabs>
          <w:tab w:val="left" w:pos="950"/>
        </w:tabs>
        <w:autoSpaceDE w:val="0"/>
        <w:autoSpaceDN w:val="0"/>
        <w:spacing w:before="128"/>
        <w:ind w:left="950" w:hanging="524"/>
        <w:rPr>
          <w:rFonts w:ascii="宋体" w:hAnsi="宋体" w:eastAsia="宋体" w:cs="宋体"/>
          <w:szCs w:val="22"/>
        </w:rPr>
      </w:pPr>
      <w:r>
        <w:rPr>
          <w:rFonts w:ascii="宋体" w:hAnsi="宋体" w:eastAsia="宋体" w:cs="宋体"/>
          <w:spacing w:val="-3"/>
          <w:szCs w:val="22"/>
        </w:rPr>
        <w:t>承包人的施工安全责任</w:t>
      </w:r>
    </w:p>
    <w:p w14:paraId="6BF91C36">
      <w:pPr>
        <w:numPr>
          <w:ilvl w:val="2"/>
          <w:numId w:val="24"/>
        </w:numPr>
        <w:tabs>
          <w:tab w:val="left" w:pos="1578"/>
        </w:tabs>
        <w:autoSpaceDE w:val="0"/>
        <w:autoSpaceDN w:val="0"/>
        <w:spacing w:before="128" w:line="350" w:lineRule="auto"/>
        <w:ind w:right="567" w:firstLine="420"/>
        <w:jc w:val="both"/>
        <w:rPr>
          <w:rFonts w:ascii="宋体" w:hAnsi="宋体" w:eastAsia="宋体" w:cs="宋体"/>
          <w:szCs w:val="22"/>
        </w:rPr>
      </w:pPr>
      <w:r>
        <w:rPr>
          <w:rFonts w:ascii="宋体" w:hAnsi="宋体" w:eastAsia="宋体" w:cs="宋体"/>
          <w:spacing w:val="-2"/>
          <w:szCs w:val="22"/>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45D2C10">
      <w:pPr>
        <w:spacing w:line="350" w:lineRule="auto"/>
        <w:sectPr>
          <w:pgSz w:w="11910" w:h="16840"/>
          <w:pgMar w:top="1640" w:right="849" w:bottom="1360" w:left="992" w:header="0" w:footer="1176" w:gutter="0"/>
          <w:cols w:space="720" w:num="1"/>
        </w:sectPr>
      </w:pPr>
    </w:p>
    <w:p w14:paraId="273C727C">
      <w:pPr>
        <w:autoSpaceDE w:val="0"/>
        <w:autoSpaceDN w:val="0"/>
        <w:spacing w:before="37" w:line="350" w:lineRule="auto"/>
        <w:ind w:left="426" w:right="567" w:firstLine="420"/>
        <w:rPr>
          <w:rFonts w:ascii="宋体" w:hAnsi="宋体" w:eastAsia="宋体" w:cs="宋体"/>
          <w:szCs w:val="21"/>
        </w:rPr>
      </w:pPr>
      <w:r>
        <w:rPr>
          <w:rFonts w:ascii="宋体" w:hAnsi="宋体" w:eastAsia="宋体" w:cs="宋体"/>
          <w:spacing w:val="-2"/>
          <w:szCs w:val="21"/>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危险性较大的工程应编制专项养护施工方案，并附安全验算结果，经承包人项目技术负责人签字并报监理人和发包人批准后实施，由专职安全生产管理人员进行现场监督。</w:t>
      </w:r>
    </w:p>
    <w:p w14:paraId="65D08242">
      <w:pPr>
        <w:autoSpaceDE w:val="0"/>
        <w:autoSpaceDN w:val="0"/>
        <w:spacing w:before="8" w:line="350" w:lineRule="auto"/>
        <w:ind w:left="426" w:right="567" w:firstLine="420"/>
        <w:rPr>
          <w:rFonts w:ascii="宋体" w:hAnsi="宋体" w:eastAsia="宋体" w:cs="宋体"/>
          <w:szCs w:val="21"/>
        </w:rPr>
      </w:pPr>
      <w:r>
        <w:rPr>
          <w:rFonts w:ascii="宋体" w:hAnsi="宋体" w:eastAsia="宋体" w:cs="宋体"/>
          <w:spacing w:val="-2"/>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97FAAEF">
      <w:pPr>
        <w:autoSpaceDE w:val="0"/>
        <w:autoSpaceDN w:val="0"/>
        <w:spacing w:before="5" w:line="350" w:lineRule="auto"/>
        <w:ind w:left="426" w:right="567" w:firstLine="420"/>
        <w:rPr>
          <w:rFonts w:ascii="宋体" w:hAnsi="宋体" w:eastAsia="宋体" w:cs="宋体"/>
          <w:szCs w:val="21"/>
        </w:rPr>
      </w:pPr>
      <w:r>
        <w:rPr>
          <w:rFonts w:ascii="宋体" w:hAnsi="宋体" w:eastAsia="宋体" w:cs="宋体"/>
          <w:spacing w:val="-2"/>
          <w:szCs w:val="21"/>
        </w:rPr>
        <w:t>监理人和发包人在检查中发现有安全问题或有违反安全管理规章制度的情况时，可视为承包人</w:t>
      </w:r>
      <w:r>
        <w:rPr>
          <w:rFonts w:ascii="宋体" w:hAnsi="宋体" w:eastAsia="宋体" w:cs="宋体"/>
          <w:szCs w:val="21"/>
        </w:rPr>
        <w:t>违约，应按第 22.1 款的规定办理。</w:t>
      </w:r>
    </w:p>
    <w:p w14:paraId="4440F140">
      <w:pPr>
        <w:numPr>
          <w:ilvl w:val="2"/>
          <w:numId w:val="24"/>
        </w:numPr>
        <w:tabs>
          <w:tab w:val="left" w:pos="1578"/>
        </w:tabs>
        <w:autoSpaceDE w:val="0"/>
        <w:autoSpaceDN w:val="0"/>
        <w:spacing w:before="2" w:line="352" w:lineRule="auto"/>
        <w:ind w:right="569" w:firstLine="420"/>
        <w:jc w:val="both"/>
        <w:rPr>
          <w:rFonts w:ascii="宋体" w:hAnsi="宋体" w:eastAsia="宋体" w:cs="宋体"/>
          <w:szCs w:val="22"/>
        </w:rPr>
      </w:pPr>
      <w:r>
        <w:rPr>
          <w:rFonts w:ascii="宋体" w:hAnsi="宋体" w:eastAsia="宋体" w:cs="宋体"/>
          <w:spacing w:val="-2"/>
          <w:szCs w:val="22"/>
        </w:rPr>
        <w:t>承包人应加强施工作业安全管理，特别应加强易燃、易爆材料、火工器材、有毒与腐蚀性材料和其它危险品的管理，以及对爆破作业和地下工程施工等危险作业的管理。</w:t>
      </w:r>
    </w:p>
    <w:p w14:paraId="59FB297C">
      <w:pPr>
        <w:numPr>
          <w:ilvl w:val="2"/>
          <w:numId w:val="24"/>
        </w:numPr>
        <w:tabs>
          <w:tab w:val="left" w:pos="1578"/>
        </w:tabs>
        <w:autoSpaceDE w:val="0"/>
        <w:autoSpaceDN w:val="0"/>
        <w:spacing w:line="352" w:lineRule="auto"/>
        <w:ind w:right="569" w:firstLine="420"/>
        <w:jc w:val="both"/>
        <w:rPr>
          <w:rFonts w:ascii="宋体" w:hAnsi="宋体" w:eastAsia="宋体" w:cs="宋体"/>
          <w:szCs w:val="22"/>
        </w:rPr>
      </w:pPr>
      <w:r>
        <w:rPr>
          <w:rFonts w:ascii="宋体" w:hAnsi="宋体" w:eastAsia="宋体" w:cs="宋体"/>
          <w:spacing w:val="-5"/>
          <w:szCs w:val="22"/>
        </w:rPr>
        <w:t>承包人应严格按照国家安全标准制定施工安全操作规程，配备必要的安全生产和劳动保</w:t>
      </w:r>
      <w:r>
        <w:rPr>
          <w:rFonts w:ascii="宋体" w:hAnsi="宋体" w:eastAsia="宋体" w:cs="宋体"/>
          <w:spacing w:val="-2"/>
          <w:szCs w:val="22"/>
        </w:rPr>
        <w:t>护设施，加强对承包人人员的安全教育，并发放安全工作手册和劳动保护用具。</w:t>
      </w:r>
    </w:p>
    <w:p w14:paraId="0DEED040">
      <w:pPr>
        <w:numPr>
          <w:ilvl w:val="2"/>
          <w:numId w:val="24"/>
        </w:numPr>
        <w:tabs>
          <w:tab w:val="left" w:pos="1578"/>
        </w:tabs>
        <w:autoSpaceDE w:val="0"/>
        <w:autoSpaceDN w:val="0"/>
        <w:spacing w:line="350" w:lineRule="auto"/>
        <w:ind w:right="569" w:firstLine="420"/>
        <w:jc w:val="both"/>
        <w:rPr>
          <w:rFonts w:ascii="宋体" w:hAnsi="宋体" w:eastAsia="宋体" w:cs="宋体"/>
          <w:szCs w:val="22"/>
        </w:rPr>
      </w:pPr>
      <w:r>
        <w:rPr>
          <w:rFonts w:ascii="宋体" w:hAnsi="宋体" w:eastAsia="宋体" w:cs="宋体"/>
          <w:spacing w:val="-2"/>
          <w:szCs w:val="22"/>
        </w:rPr>
        <w:t>承包人应按监理人的指示制定应对灾害的紧急预案，报送监理人审批。承包人还应按预案做好安全检查，配置必要的救助物资和器材，切实保护好有关人员的人身和财产安全。</w:t>
      </w:r>
    </w:p>
    <w:p w14:paraId="0D8B36DD">
      <w:pPr>
        <w:numPr>
          <w:ilvl w:val="2"/>
          <w:numId w:val="24"/>
        </w:numPr>
        <w:tabs>
          <w:tab w:val="left" w:pos="1581"/>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除专用合同条款另有约定外，安全生产费应为招标人公布的工程量清单预算的2％。安全生产费应用于施工安全防护用具及设施的采购和更新、安全施工措施的落实、安全生产条件的改善，不得挪作它用。如承包人在此基础上增加安全生产费以满足项目施工需要，则承包人应在本项目工程量清单其它相关子目的单价或总额价中予以考虑，发包人不再另行支付。因采取合同未约定</w:t>
      </w:r>
      <w:r>
        <w:rPr>
          <w:rFonts w:ascii="宋体" w:hAnsi="宋体" w:eastAsia="宋体" w:cs="宋体"/>
          <w:szCs w:val="22"/>
        </w:rPr>
        <w:t>的特殊防护措施增加的费用，由监理人按第 3.5 款商定或确定。</w:t>
      </w:r>
    </w:p>
    <w:p w14:paraId="0EA09FA9">
      <w:pPr>
        <w:numPr>
          <w:ilvl w:val="2"/>
          <w:numId w:val="24"/>
        </w:numPr>
        <w:tabs>
          <w:tab w:val="left" w:pos="1578"/>
        </w:tabs>
        <w:autoSpaceDE w:val="0"/>
        <w:autoSpaceDN w:val="0"/>
        <w:spacing w:line="352" w:lineRule="auto"/>
        <w:ind w:right="569" w:firstLine="420"/>
        <w:jc w:val="both"/>
        <w:rPr>
          <w:rFonts w:ascii="宋体" w:hAnsi="宋体" w:eastAsia="宋体" w:cs="宋体"/>
          <w:szCs w:val="22"/>
        </w:rPr>
      </w:pPr>
      <w:r>
        <w:rPr>
          <w:rFonts w:ascii="宋体" w:hAnsi="宋体" w:eastAsia="宋体" w:cs="宋体"/>
          <w:spacing w:val="-2"/>
          <w:szCs w:val="22"/>
        </w:rPr>
        <w:t>承包人应对其履行合同所雇佣的全部人员，包括分包人人员的工伤事故承担责任，但由于发包人原因造成承包人人员工伤事故的，应由发包人承担责任。</w:t>
      </w:r>
    </w:p>
    <w:p w14:paraId="22B1CD12">
      <w:pPr>
        <w:numPr>
          <w:ilvl w:val="2"/>
          <w:numId w:val="24"/>
        </w:numPr>
        <w:tabs>
          <w:tab w:val="left" w:pos="1578"/>
        </w:tabs>
        <w:autoSpaceDE w:val="0"/>
        <w:autoSpaceDN w:val="0"/>
        <w:spacing w:line="350" w:lineRule="auto"/>
        <w:ind w:right="569" w:firstLine="420"/>
        <w:jc w:val="both"/>
        <w:rPr>
          <w:rFonts w:ascii="宋体" w:hAnsi="宋体" w:eastAsia="宋体" w:cs="宋体"/>
          <w:szCs w:val="22"/>
        </w:rPr>
      </w:pPr>
      <w:r>
        <w:rPr>
          <w:rFonts w:ascii="宋体" w:hAnsi="宋体" w:eastAsia="宋体" w:cs="宋体"/>
          <w:spacing w:val="-4"/>
          <w:szCs w:val="22"/>
        </w:rPr>
        <w:t>由于承包人原因在施工场地内及其毗邻地带造成的第三者人员伤亡和财产损失，由承包</w:t>
      </w:r>
      <w:r>
        <w:rPr>
          <w:rFonts w:ascii="宋体" w:hAnsi="宋体" w:eastAsia="宋体" w:cs="宋体"/>
          <w:spacing w:val="-2"/>
          <w:szCs w:val="22"/>
        </w:rPr>
        <w:t>人负责赔偿。</w:t>
      </w:r>
    </w:p>
    <w:p w14:paraId="4864CBE7">
      <w:pPr>
        <w:numPr>
          <w:ilvl w:val="2"/>
          <w:numId w:val="24"/>
        </w:numPr>
        <w:tabs>
          <w:tab w:val="left" w:pos="1578"/>
        </w:tabs>
        <w:autoSpaceDE w:val="0"/>
        <w:autoSpaceDN w:val="0"/>
        <w:spacing w:line="352" w:lineRule="auto"/>
        <w:ind w:right="569" w:firstLine="420"/>
        <w:jc w:val="both"/>
        <w:rPr>
          <w:rFonts w:ascii="宋体" w:hAnsi="宋体" w:eastAsia="宋体" w:cs="宋体"/>
          <w:szCs w:val="22"/>
        </w:rPr>
      </w:pPr>
      <w:r>
        <w:rPr>
          <w:rFonts w:ascii="宋体" w:hAnsi="宋体" w:eastAsia="宋体" w:cs="宋体"/>
          <w:spacing w:val="-2"/>
          <w:szCs w:val="22"/>
        </w:rPr>
        <w:t>在通航水域施工时，承包人应与当地主管部门取得联系，设置必要的导航标志，及时发布航行通告，确保施工水域安全。</w:t>
      </w:r>
    </w:p>
    <w:p w14:paraId="7E8F9783">
      <w:pPr>
        <w:numPr>
          <w:ilvl w:val="2"/>
          <w:numId w:val="24"/>
        </w:numPr>
        <w:tabs>
          <w:tab w:val="left" w:pos="1578"/>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它一切责任应由承包人负责。</w:t>
      </w:r>
    </w:p>
    <w:p w14:paraId="4FC6B73A">
      <w:pPr>
        <w:numPr>
          <w:ilvl w:val="1"/>
          <w:numId w:val="24"/>
        </w:numPr>
        <w:tabs>
          <w:tab w:val="left" w:pos="950"/>
        </w:tabs>
        <w:autoSpaceDE w:val="0"/>
        <w:autoSpaceDN w:val="0"/>
        <w:spacing w:line="269" w:lineRule="exact"/>
        <w:ind w:left="950" w:hanging="524"/>
        <w:jc w:val="both"/>
        <w:rPr>
          <w:rFonts w:ascii="宋体" w:hAnsi="宋体" w:eastAsia="宋体" w:cs="宋体"/>
          <w:szCs w:val="22"/>
        </w:rPr>
      </w:pPr>
      <w:r>
        <w:rPr>
          <w:rFonts w:ascii="宋体" w:hAnsi="宋体" w:eastAsia="宋体" w:cs="宋体"/>
          <w:spacing w:val="-7"/>
          <w:szCs w:val="22"/>
        </w:rPr>
        <w:t>治安保卫</w:t>
      </w:r>
    </w:p>
    <w:p w14:paraId="5C23F4A4">
      <w:pPr>
        <w:numPr>
          <w:ilvl w:val="2"/>
          <w:numId w:val="24"/>
        </w:numPr>
        <w:tabs>
          <w:tab w:val="left" w:pos="1578"/>
        </w:tabs>
        <w:autoSpaceDE w:val="0"/>
        <w:autoSpaceDN w:val="0"/>
        <w:spacing w:before="115" w:line="352" w:lineRule="auto"/>
        <w:ind w:right="569" w:firstLine="420"/>
        <w:jc w:val="both"/>
        <w:rPr>
          <w:rFonts w:ascii="宋体" w:hAnsi="宋体" w:eastAsia="宋体" w:cs="宋体"/>
          <w:szCs w:val="22"/>
        </w:rPr>
      </w:pPr>
      <w:r>
        <w:rPr>
          <w:rFonts w:ascii="宋体" w:hAnsi="宋体" w:eastAsia="宋体" w:cs="宋体"/>
          <w:spacing w:val="-2"/>
          <w:szCs w:val="22"/>
        </w:rPr>
        <w:t>除合同另有约定外，发包人应与当地公安部门协商，在现场建立治安管理机构或联防组织，统一管理施工场地的治安保卫事项，履行合同工程的治安保卫职责。</w:t>
      </w:r>
    </w:p>
    <w:p w14:paraId="159AB280">
      <w:pPr>
        <w:spacing w:line="352" w:lineRule="auto"/>
        <w:sectPr>
          <w:pgSz w:w="11910" w:h="16840"/>
          <w:pgMar w:top="1640" w:right="849" w:bottom="1360" w:left="992" w:header="0" w:footer="1176" w:gutter="0"/>
          <w:cols w:space="720" w:num="1"/>
        </w:sectPr>
      </w:pPr>
    </w:p>
    <w:p w14:paraId="420A443E">
      <w:pPr>
        <w:numPr>
          <w:ilvl w:val="2"/>
          <w:numId w:val="24"/>
        </w:numPr>
        <w:tabs>
          <w:tab w:val="left" w:pos="1578"/>
        </w:tabs>
        <w:autoSpaceDE w:val="0"/>
        <w:autoSpaceDN w:val="0"/>
        <w:spacing w:before="37" w:line="350" w:lineRule="auto"/>
        <w:ind w:right="569" w:firstLine="420"/>
        <w:rPr>
          <w:rFonts w:ascii="宋体" w:hAnsi="宋体" w:eastAsia="宋体" w:cs="宋体"/>
          <w:szCs w:val="22"/>
        </w:rPr>
      </w:pPr>
      <w:r>
        <w:rPr>
          <w:rFonts w:ascii="宋体" w:hAnsi="宋体" w:eastAsia="宋体" w:cs="宋体"/>
          <w:spacing w:val="-4"/>
          <w:szCs w:val="22"/>
        </w:rPr>
        <w:t>发包人和承包人除应协助现场治安管理机构或联防组织维护施工场地的社会治安外，还</w:t>
      </w:r>
      <w:r>
        <w:rPr>
          <w:rFonts w:ascii="宋体" w:hAnsi="宋体" w:eastAsia="宋体" w:cs="宋体"/>
          <w:spacing w:val="-2"/>
          <w:szCs w:val="22"/>
        </w:rPr>
        <w:t>应做好包括生活区在内的各自管辖区的治安保卫工作。</w:t>
      </w:r>
    </w:p>
    <w:p w14:paraId="6B4A71B8">
      <w:pPr>
        <w:numPr>
          <w:ilvl w:val="2"/>
          <w:numId w:val="24"/>
        </w:numPr>
        <w:tabs>
          <w:tab w:val="left" w:pos="1578"/>
        </w:tabs>
        <w:autoSpaceDE w:val="0"/>
        <w:autoSpaceDN w:val="0"/>
        <w:spacing w:before="2" w:line="352" w:lineRule="auto"/>
        <w:ind w:right="463" w:firstLine="420"/>
        <w:rPr>
          <w:rFonts w:ascii="宋体" w:hAnsi="宋体" w:eastAsia="宋体" w:cs="宋体"/>
          <w:szCs w:val="22"/>
        </w:rPr>
      </w:pPr>
      <w:r>
        <w:rPr>
          <w:rFonts w:ascii="宋体" w:hAnsi="宋体" w:eastAsia="宋体" w:cs="宋体"/>
          <w:spacing w:val="-2"/>
          <w:szCs w:val="22"/>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r>
        <w:rPr>
          <w:rFonts w:ascii="宋体" w:hAnsi="宋体" w:eastAsia="宋体" w:cs="宋体"/>
          <w:spacing w:val="-1"/>
          <w:w w:val="99"/>
          <w:szCs w:val="22"/>
        </w:rPr>
        <w:t>。</w:t>
      </w:r>
    </w:p>
    <w:p w14:paraId="73FF007E">
      <w:pPr>
        <w:numPr>
          <w:ilvl w:val="1"/>
          <w:numId w:val="24"/>
        </w:numPr>
        <w:tabs>
          <w:tab w:val="left" w:pos="950"/>
        </w:tabs>
        <w:autoSpaceDE w:val="0"/>
        <w:autoSpaceDN w:val="0"/>
        <w:spacing w:line="269" w:lineRule="exact"/>
        <w:ind w:left="950" w:hanging="524"/>
        <w:rPr>
          <w:rFonts w:ascii="宋体" w:hAnsi="宋体" w:eastAsia="宋体" w:cs="宋体"/>
          <w:szCs w:val="22"/>
        </w:rPr>
      </w:pPr>
      <w:r>
        <w:rPr>
          <w:rFonts w:ascii="宋体" w:hAnsi="宋体" w:eastAsia="宋体" w:cs="宋体"/>
          <w:spacing w:val="-7"/>
          <w:szCs w:val="22"/>
        </w:rPr>
        <w:t>环境保护</w:t>
      </w:r>
    </w:p>
    <w:p w14:paraId="47CE63AD">
      <w:pPr>
        <w:numPr>
          <w:ilvl w:val="2"/>
          <w:numId w:val="24"/>
        </w:numPr>
        <w:tabs>
          <w:tab w:val="left" w:pos="1578"/>
        </w:tabs>
        <w:autoSpaceDE w:val="0"/>
        <w:autoSpaceDN w:val="0"/>
        <w:spacing w:before="125" w:line="352" w:lineRule="auto"/>
        <w:ind w:right="569" w:firstLine="420"/>
        <w:jc w:val="both"/>
        <w:rPr>
          <w:rFonts w:ascii="宋体" w:hAnsi="宋体" w:eastAsia="宋体" w:cs="宋体"/>
          <w:szCs w:val="22"/>
        </w:rPr>
      </w:pPr>
      <w:r>
        <w:rPr>
          <w:rFonts w:ascii="宋体" w:hAnsi="宋体" w:eastAsia="宋体" w:cs="宋体"/>
          <w:spacing w:val="-2"/>
          <w:szCs w:val="22"/>
        </w:rPr>
        <w:t>承包人在施工过程中，应遵守有关环境保护的法律，履行合同约定的环境保护义务，并对违反法律和合同约定义务所造成的环境破坏、人身伤害和财产损失负责。</w:t>
      </w:r>
    </w:p>
    <w:p w14:paraId="5E44CF20">
      <w:pPr>
        <w:numPr>
          <w:ilvl w:val="2"/>
          <w:numId w:val="24"/>
        </w:numPr>
        <w:tabs>
          <w:tab w:val="left" w:pos="1578"/>
        </w:tabs>
        <w:autoSpaceDE w:val="0"/>
        <w:autoSpaceDN w:val="0"/>
        <w:spacing w:line="272" w:lineRule="exact"/>
        <w:ind w:left="1578" w:hanging="732"/>
        <w:jc w:val="both"/>
        <w:rPr>
          <w:rFonts w:ascii="宋体" w:hAnsi="宋体" w:eastAsia="宋体" w:cs="宋体"/>
          <w:szCs w:val="22"/>
        </w:rPr>
      </w:pPr>
      <w:r>
        <w:rPr>
          <w:rFonts w:ascii="宋体" w:hAnsi="宋体" w:eastAsia="宋体" w:cs="宋体"/>
          <w:spacing w:val="-3"/>
          <w:szCs w:val="22"/>
        </w:rPr>
        <w:t>承包人应按合同约定的环保工作内容，编制施工环保措施计划，报送监理人审批。</w:t>
      </w:r>
    </w:p>
    <w:p w14:paraId="712AD4DA">
      <w:pPr>
        <w:numPr>
          <w:ilvl w:val="2"/>
          <w:numId w:val="24"/>
        </w:numPr>
        <w:tabs>
          <w:tab w:val="left" w:pos="1578"/>
        </w:tabs>
        <w:autoSpaceDE w:val="0"/>
        <w:autoSpaceDN w:val="0"/>
        <w:spacing w:before="126" w:line="352" w:lineRule="auto"/>
        <w:ind w:right="567" w:firstLine="420"/>
        <w:jc w:val="both"/>
        <w:rPr>
          <w:rFonts w:ascii="宋体" w:hAnsi="宋体" w:eastAsia="宋体" w:cs="宋体"/>
          <w:szCs w:val="22"/>
        </w:rPr>
      </w:pPr>
      <w:r>
        <w:rPr>
          <w:rFonts w:ascii="宋体" w:hAnsi="宋体" w:eastAsia="宋体" w:cs="宋体"/>
          <w:spacing w:val="-5"/>
          <w:szCs w:val="22"/>
        </w:rPr>
        <w:t>承包人应按照批准的施工环保措施计划有序地堆放和处理施工废弃物，避免对环境造成</w:t>
      </w:r>
      <w:r>
        <w:rPr>
          <w:rFonts w:ascii="宋体" w:hAnsi="宋体" w:eastAsia="宋体" w:cs="宋体"/>
          <w:spacing w:val="-2"/>
          <w:szCs w:val="22"/>
        </w:rPr>
        <w:t>破坏。因承包人任意堆放或弃置施工废弃物造成妨碍公共交通、影响城镇居民生活、降低河流行洪能力、危及居民安全、破坏周边环境，或者影响其它承包人施工等后果的，承包人应承担责任。</w:t>
      </w:r>
    </w:p>
    <w:p w14:paraId="0C62E8EC">
      <w:pPr>
        <w:numPr>
          <w:ilvl w:val="2"/>
          <w:numId w:val="24"/>
        </w:numPr>
        <w:tabs>
          <w:tab w:val="left" w:pos="1581"/>
        </w:tabs>
        <w:autoSpaceDE w:val="0"/>
        <w:autoSpaceDN w:val="0"/>
        <w:spacing w:line="352" w:lineRule="auto"/>
        <w:ind w:right="566" w:firstLine="420"/>
        <w:jc w:val="both"/>
        <w:rPr>
          <w:rFonts w:ascii="宋体" w:hAnsi="宋体" w:eastAsia="宋体" w:cs="宋体"/>
          <w:szCs w:val="22"/>
        </w:rPr>
      </w:pPr>
      <w:r>
        <w:rPr>
          <w:rFonts w:ascii="宋体" w:hAnsi="宋体" w:eastAsia="宋体" w:cs="宋体"/>
          <w:spacing w:val="-2"/>
          <w:szCs w:val="22"/>
        </w:rPr>
        <w:t>承包人应按合同约定采取有效措施，对施工开挖的边坡及时进行支护,维护排水设施，并进行水土保护，避免因施工造成的地质灾害。</w:t>
      </w:r>
    </w:p>
    <w:p w14:paraId="22A01BCE">
      <w:pPr>
        <w:numPr>
          <w:ilvl w:val="2"/>
          <w:numId w:val="24"/>
        </w:numPr>
        <w:tabs>
          <w:tab w:val="left" w:pos="1586"/>
        </w:tabs>
        <w:autoSpaceDE w:val="0"/>
        <w:autoSpaceDN w:val="0"/>
        <w:spacing w:line="272" w:lineRule="exact"/>
        <w:ind w:left="1586" w:hanging="740"/>
        <w:jc w:val="both"/>
        <w:rPr>
          <w:rFonts w:ascii="宋体" w:hAnsi="宋体" w:eastAsia="宋体" w:cs="宋体"/>
          <w:szCs w:val="22"/>
        </w:rPr>
      </w:pPr>
      <w:r>
        <w:rPr>
          <w:rFonts w:ascii="宋体" w:hAnsi="宋体" w:eastAsia="宋体" w:cs="宋体"/>
          <w:spacing w:val="-1"/>
          <w:szCs w:val="22"/>
        </w:rPr>
        <w:t>承包人应按国家饮用水管理标准定期对饮用水源进行监测，防止施工活动污染饮用水</w:t>
      </w:r>
    </w:p>
    <w:p w14:paraId="5C8DC853">
      <w:pPr>
        <w:autoSpaceDE w:val="0"/>
        <w:autoSpaceDN w:val="0"/>
        <w:spacing w:before="121"/>
        <w:ind w:left="426"/>
        <w:jc w:val="left"/>
        <w:rPr>
          <w:rFonts w:ascii="宋体" w:hAnsi="宋体" w:eastAsia="宋体" w:cs="宋体"/>
          <w:szCs w:val="21"/>
        </w:rPr>
      </w:pPr>
      <w:r>
        <w:rPr>
          <w:rFonts w:ascii="宋体" w:hAnsi="宋体" w:eastAsia="宋体" w:cs="宋体"/>
          <w:spacing w:val="-8"/>
          <w:szCs w:val="21"/>
        </w:rPr>
        <w:t>源。</w:t>
      </w:r>
    </w:p>
    <w:p w14:paraId="3098CFAD">
      <w:pPr>
        <w:numPr>
          <w:ilvl w:val="2"/>
          <w:numId w:val="24"/>
        </w:numPr>
        <w:tabs>
          <w:tab w:val="left" w:pos="1578"/>
        </w:tabs>
        <w:autoSpaceDE w:val="0"/>
        <w:autoSpaceDN w:val="0"/>
        <w:spacing w:before="128"/>
        <w:ind w:left="1578" w:hanging="732"/>
        <w:rPr>
          <w:rFonts w:ascii="宋体" w:hAnsi="宋体" w:eastAsia="宋体" w:cs="宋体"/>
          <w:szCs w:val="22"/>
        </w:rPr>
      </w:pPr>
      <w:r>
        <w:rPr>
          <w:rFonts w:ascii="宋体" w:hAnsi="宋体" w:eastAsia="宋体" w:cs="宋体"/>
          <w:spacing w:val="-3"/>
          <w:szCs w:val="22"/>
        </w:rPr>
        <w:t>承包人应按合同约定，加强对噪声、粉尘、废气、废水和废油的控制，努力降低噪声，</w:t>
      </w:r>
    </w:p>
    <w:p w14:paraId="22799D8C">
      <w:pPr>
        <w:autoSpaceDE w:val="0"/>
        <w:autoSpaceDN w:val="0"/>
        <w:spacing w:before="128"/>
        <w:ind w:left="426"/>
        <w:jc w:val="left"/>
        <w:rPr>
          <w:rFonts w:ascii="宋体" w:hAnsi="宋体" w:eastAsia="宋体" w:cs="宋体"/>
          <w:szCs w:val="21"/>
        </w:rPr>
      </w:pPr>
      <w:r>
        <w:rPr>
          <w:rFonts w:ascii="宋体" w:hAnsi="宋体" w:eastAsia="宋体" w:cs="宋体"/>
          <w:spacing w:val="-3"/>
          <w:szCs w:val="21"/>
        </w:rPr>
        <w:t>控制粉尘和废气浓度，做好废水和废油的治理和排放。</w:t>
      </w:r>
    </w:p>
    <w:p w14:paraId="3EC53728">
      <w:pPr>
        <w:numPr>
          <w:ilvl w:val="2"/>
          <w:numId w:val="24"/>
        </w:numPr>
        <w:tabs>
          <w:tab w:val="left" w:pos="1578"/>
        </w:tabs>
        <w:autoSpaceDE w:val="0"/>
        <w:autoSpaceDN w:val="0"/>
        <w:spacing w:before="125"/>
        <w:ind w:left="1578" w:hanging="732"/>
        <w:rPr>
          <w:rFonts w:ascii="宋体" w:hAnsi="宋体" w:eastAsia="宋体" w:cs="宋体"/>
          <w:szCs w:val="22"/>
        </w:rPr>
      </w:pPr>
      <w:r>
        <w:rPr>
          <w:rFonts w:ascii="宋体" w:hAnsi="宋体" w:eastAsia="宋体" w:cs="宋体"/>
          <w:spacing w:val="-3"/>
          <w:szCs w:val="22"/>
        </w:rPr>
        <w:t>承包人应切实执行技术规范中有关环境保护方面的条款和规定。</w:t>
      </w:r>
    </w:p>
    <w:p w14:paraId="06A5F59A">
      <w:pPr>
        <w:numPr>
          <w:ilvl w:val="0"/>
          <w:numId w:val="26"/>
        </w:numPr>
        <w:tabs>
          <w:tab w:val="left" w:pos="1267"/>
        </w:tabs>
        <w:autoSpaceDE w:val="0"/>
        <w:autoSpaceDN w:val="0"/>
        <w:spacing w:before="128" w:line="350" w:lineRule="auto"/>
        <w:ind w:right="567" w:firstLine="314"/>
        <w:jc w:val="both"/>
        <w:rPr>
          <w:rFonts w:ascii="宋体" w:hAnsi="宋体" w:eastAsia="宋体" w:cs="宋体"/>
          <w:szCs w:val="22"/>
        </w:rPr>
      </w:pPr>
      <w:r>
        <w:rPr>
          <w:rFonts w:ascii="宋体" w:hAnsi="宋体" w:eastAsia="宋体" w:cs="宋体"/>
          <w:spacing w:val="-2"/>
          <w:szCs w:val="22"/>
        </w:rPr>
        <w:t>对于来自养护工程实施时的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w:t>
      </w:r>
      <w:r>
        <w:rPr>
          <w:rFonts w:ascii="宋体" w:hAnsi="宋体" w:eastAsia="宋体" w:cs="宋体"/>
          <w:spacing w:val="-14"/>
          <w:szCs w:val="22"/>
        </w:rPr>
        <w:t xml:space="preserve">常性保养，尽量使其噪声降低到最低水平。为保护施工现场附近居民的夜间休息，对居民区 </w:t>
      </w:r>
      <w:r>
        <w:rPr>
          <w:rFonts w:ascii="宋体" w:hAnsi="宋体" w:eastAsia="宋体" w:cs="宋体"/>
          <w:szCs w:val="22"/>
        </w:rPr>
        <w:t>150m</w:t>
      </w:r>
      <w:r>
        <w:rPr>
          <w:rFonts w:ascii="宋体" w:hAnsi="宋体" w:eastAsia="宋体" w:cs="宋体"/>
          <w:spacing w:val="-10"/>
          <w:szCs w:val="22"/>
        </w:rPr>
        <w:t xml:space="preserve"> 以</w:t>
      </w:r>
      <w:r>
        <w:rPr>
          <w:rFonts w:ascii="宋体" w:hAnsi="宋体" w:eastAsia="宋体" w:cs="宋体"/>
          <w:spacing w:val="-2"/>
          <w:szCs w:val="22"/>
        </w:rPr>
        <w:t>内的施工现场，施工时间应加以控制。</w:t>
      </w:r>
    </w:p>
    <w:p w14:paraId="5CCBD12B">
      <w:pPr>
        <w:numPr>
          <w:ilvl w:val="0"/>
          <w:numId w:val="26"/>
        </w:numPr>
        <w:tabs>
          <w:tab w:val="left" w:pos="1267"/>
        </w:tabs>
        <w:autoSpaceDE w:val="0"/>
        <w:autoSpaceDN w:val="0"/>
        <w:spacing w:before="8" w:line="352" w:lineRule="auto"/>
        <w:ind w:right="569" w:firstLine="314"/>
        <w:rPr>
          <w:rFonts w:ascii="宋体" w:hAnsi="宋体" w:eastAsia="宋体" w:cs="宋体"/>
          <w:szCs w:val="22"/>
        </w:rPr>
      </w:pPr>
      <w:r>
        <w:rPr>
          <w:rFonts w:ascii="宋体" w:hAnsi="宋体" w:eastAsia="宋体" w:cs="宋体"/>
          <w:spacing w:val="-2"/>
          <w:szCs w:val="22"/>
        </w:rPr>
        <w:t>对于养护施工中粉尘的主要污染源——灰土拌和、施工车辆和筑路机械运行及运输产生的扬尘，应采取有效措施减轻其对施工现场的大气污染，保护人民健康，如：</w:t>
      </w:r>
    </w:p>
    <w:p w14:paraId="7EF32320">
      <w:pPr>
        <w:numPr>
          <w:ilvl w:val="1"/>
          <w:numId w:val="26"/>
        </w:numPr>
        <w:tabs>
          <w:tab w:val="left" w:pos="1159"/>
        </w:tabs>
        <w:autoSpaceDE w:val="0"/>
        <w:autoSpaceDN w:val="0"/>
        <w:spacing w:line="270" w:lineRule="exact"/>
        <w:ind w:left="1159" w:hanging="313"/>
        <w:rPr>
          <w:rFonts w:ascii="宋体" w:hAnsi="宋体" w:eastAsia="宋体" w:cs="宋体"/>
          <w:szCs w:val="22"/>
        </w:rPr>
      </w:pPr>
      <w:r>
        <w:rPr>
          <w:rFonts w:ascii="宋体" w:hAnsi="宋体" w:eastAsia="宋体" w:cs="宋体"/>
          <w:spacing w:val="-3"/>
          <w:szCs w:val="22"/>
        </w:rPr>
        <w:t>拌和设备应有较好的密封，或有防尘设备。</w:t>
      </w:r>
    </w:p>
    <w:p w14:paraId="3DA32BD5">
      <w:pPr>
        <w:numPr>
          <w:ilvl w:val="1"/>
          <w:numId w:val="26"/>
        </w:numPr>
        <w:tabs>
          <w:tab w:val="left" w:pos="1159"/>
        </w:tabs>
        <w:autoSpaceDE w:val="0"/>
        <w:autoSpaceDN w:val="0"/>
        <w:spacing w:before="128" w:line="352" w:lineRule="auto"/>
        <w:ind w:left="846" w:right="2813" w:firstLine="0"/>
        <w:rPr>
          <w:rFonts w:ascii="宋体" w:hAnsi="宋体" w:eastAsia="宋体" w:cs="宋体"/>
          <w:szCs w:val="22"/>
        </w:rPr>
      </w:pPr>
      <w:r>
        <w:rPr>
          <w:rFonts w:ascii="宋体" w:hAnsi="宋体" w:eastAsia="宋体" w:cs="宋体"/>
          <w:spacing w:val="-2"/>
          <w:szCs w:val="22"/>
        </w:rPr>
        <w:t>施工通道、沥青混凝土拌和站及灰土拌和站应经常进行洒水降尘。 c．路面施工应注意保持水分，以免扬尘。</w:t>
      </w:r>
    </w:p>
    <w:p w14:paraId="62AEF37C">
      <w:pPr>
        <w:numPr>
          <w:ilvl w:val="0"/>
          <w:numId w:val="26"/>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采取可靠措施保证原有交通的正常通行，维持沿线村镇的居民饮水、农田灌溉、生产生活用电及通信等管线的正常使用。</w:t>
      </w:r>
    </w:p>
    <w:p w14:paraId="392C43D9">
      <w:pPr>
        <w:spacing w:line="352" w:lineRule="auto"/>
        <w:jc w:val="left"/>
        <w:sectPr>
          <w:pgSz w:w="11910" w:h="16840"/>
          <w:pgMar w:top="1640" w:right="849" w:bottom="1360" w:left="992" w:header="0" w:footer="1176" w:gutter="0"/>
          <w:cols w:space="720" w:num="1"/>
        </w:sectPr>
      </w:pPr>
    </w:p>
    <w:p w14:paraId="0F4B6466">
      <w:pPr>
        <w:numPr>
          <w:ilvl w:val="2"/>
          <w:numId w:val="24"/>
        </w:numPr>
        <w:tabs>
          <w:tab w:val="left" w:pos="1578"/>
        </w:tabs>
        <w:autoSpaceDE w:val="0"/>
        <w:autoSpaceDN w:val="0"/>
        <w:spacing w:before="37" w:line="350" w:lineRule="auto"/>
        <w:ind w:right="567" w:firstLine="420"/>
        <w:jc w:val="both"/>
        <w:rPr>
          <w:rFonts w:ascii="宋体" w:hAnsi="宋体" w:eastAsia="宋体" w:cs="宋体"/>
          <w:szCs w:val="22"/>
        </w:rPr>
      </w:pPr>
      <w:r>
        <w:rPr>
          <w:rFonts w:ascii="宋体" w:hAnsi="宋体" w:eastAsia="宋体" w:cs="宋体"/>
          <w:spacing w:val="-2"/>
          <w:szCs w:val="22"/>
        </w:rPr>
        <w:t>在养护工程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它一切责任应由承包人负责。</w:t>
      </w:r>
    </w:p>
    <w:p w14:paraId="314EC4AC">
      <w:pPr>
        <w:numPr>
          <w:ilvl w:val="2"/>
          <w:numId w:val="24"/>
        </w:numPr>
        <w:tabs>
          <w:tab w:val="left" w:pos="1578"/>
        </w:tabs>
        <w:autoSpaceDE w:val="0"/>
        <w:autoSpaceDN w:val="0"/>
        <w:spacing w:before="4" w:line="350" w:lineRule="auto"/>
        <w:ind w:right="569" w:firstLine="420"/>
        <w:jc w:val="both"/>
        <w:rPr>
          <w:rFonts w:ascii="宋体" w:hAnsi="宋体" w:eastAsia="宋体" w:cs="宋体"/>
          <w:szCs w:val="22"/>
        </w:rPr>
      </w:pPr>
      <w:r>
        <w:rPr>
          <w:rFonts w:ascii="宋体" w:hAnsi="宋体" w:eastAsia="宋体" w:cs="宋体"/>
          <w:spacing w:val="-2"/>
          <w:szCs w:val="22"/>
        </w:rPr>
        <w:t>在养护工程施工期间，承包人应随时保持现场整洁，施工设备和材料、工程设备应整齐妥善存放和储存，废料与垃圾及不再需要的临时设施应及时从现场清除、拆除运走。</w:t>
      </w:r>
    </w:p>
    <w:p w14:paraId="5D82E3C0">
      <w:pPr>
        <w:numPr>
          <w:ilvl w:val="2"/>
          <w:numId w:val="24"/>
        </w:numPr>
        <w:tabs>
          <w:tab w:val="left" w:pos="1687"/>
        </w:tabs>
        <w:autoSpaceDE w:val="0"/>
        <w:autoSpaceDN w:val="0"/>
        <w:spacing w:before="2" w:line="352" w:lineRule="auto"/>
        <w:ind w:right="463" w:firstLine="420"/>
        <w:rPr>
          <w:rFonts w:ascii="宋体" w:hAnsi="宋体" w:eastAsia="宋体" w:cs="宋体"/>
          <w:szCs w:val="22"/>
        </w:rPr>
      </w:pPr>
      <w:r>
        <w:rPr>
          <w:rFonts w:ascii="宋体" w:hAnsi="宋体" w:eastAsia="宋体" w:cs="宋体"/>
          <w:spacing w:val="-2"/>
          <w:szCs w:val="22"/>
        </w:rPr>
        <w:t>承包人应严格按照国家有关法规要求，做好施工过程中的生态保护和水土保持工作。施工中要尽可能减少对原地面的扰动，减少对地面草木的破坏，需要爆破作业的，应按规定进行控爆设计。雨季填筑路基应随挖、随填、随压，要完善施工中的临时排水系统，加强施工便道的管理。取（弃）土场必须先挡后弃，严禁在指定的取（弃）土场以外的地方乱挖乱弃</w:t>
      </w:r>
      <w:r>
        <w:rPr>
          <w:rFonts w:ascii="宋体" w:hAnsi="宋体" w:eastAsia="宋体" w:cs="宋体"/>
          <w:spacing w:val="-1"/>
          <w:w w:val="99"/>
          <w:szCs w:val="22"/>
        </w:rPr>
        <w:t>。</w:t>
      </w:r>
    </w:p>
    <w:p w14:paraId="70453B3A">
      <w:pPr>
        <w:numPr>
          <w:ilvl w:val="1"/>
          <w:numId w:val="24"/>
        </w:numPr>
        <w:tabs>
          <w:tab w:val="left" w:pos="950"/>
        </w:tabs>
        <w:autoSpaceDE w:val="0"/>
        <w:autoSpaceDN w:val="0"/>
        <w:spacing w:line="269" w:lineRule="exact"/>
        <w:ind w:left="950" w:hanging="524"/>
        <w:rPr>
          <w:rFonts w:ascii="宋体" w:hAnsi="宋体" w:eastAsia="宋体" w:cs="宋体"/>
          <w:szCs w:val="22"/>
        </w:rPr>
      </w:pPr>
      <w:r>
        <w:rPr>
          <w:rFonts w:ascii="宋体" w:hAnsi="宋体" w:eastAsia="宋体" w:cs="宋体"/>
          <w:spacing w:val="-7"/>
          <w:szCs w:val="22"/>
        </w:rPr>
        <w:t>事故处理</w:t>
      </w:r>
    </w:p>
    <w:p w14:paraId="19141C23">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pacing w:val="-2"/>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 10．进度计划</w:t>
      </w:r>
    </w:p>
    <w:p w14:paraId="3C5AE9C4">
      <w:pPr>
        <w:numPr>
          <w:ilvl w:val="1"/>
          <w:numId w:val="27"/>
        </w:numPr>
        <w:tabs>
          <w:tab w:val="left" w:pos="1054"/>
        </w:tabs>
        <w:autoSpaceDE w:val="0"/>
        <w:autoSpaceDN w:val="0"/>
        <w:spacing w:line="268" w:lineRule="exact"/>
        <w:ind w:left="1054" w:hanging="628"/>
        <w:jc w:val="both"/>
        <w:rPr>
          <w:rFonts w:ascii="宋体" w:hAnsi="宋体" w:eastAsia="宋体" w:cs="宋体"/>
          <w:szCs w:val="22"/>
        </w:rPr>
      </w:pPr>
      <w:r>
        <w:rPr>
          <w:rFonts w:ascii="宋体" w:hAnsi="宋体" w:eastAsia="宋体" w:cs="宋体"/>
          <w:spacing w:val="-4"/>
          <w:szCs w:val="22"/>
        </w:rPr>
        <w:t>合同进度计划</w:t>
      </w:r>
    </w:p>
    <w:p w14:paraId="3F0734EE">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pacing w:val="-2"/>
          <w:szCs w:val="21"/>
        </w:rPr>
        <w:t>承包人应按专用合同条款约定的内容和期限，编制详细的施工进度计划和养护工程作业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54447956">
      <w:pPr>
        <w:autoSpaceDE w:val="0"/>
        <w:autoSpaceDN w:val="0"/>
        <w:spacing w:line="350" w:lineRule="auto"/>
        <w:ind w:left="426" w:right="567" w:firstLine="420"/>
        <w:rPr>
          <w:rFonts w:ascii="宋体" w:hAnsi="宋体" w:eastAsia="宋体" w:cs="宋体"/>
          <w:szCs w:val="21"/>
        </w:rPr>
      </w:pPr>
      <w:r>
        <w:rPr>
          <w:rFonts w:ascii="宋体" w:hAnsi="宋体" w:eastAsia="宋体" w:cs="宋体"/>
          <w:spacing w:val="-1"/>
          <w:szCs w:val="21"/>
        </w:rPr>
        <w:t xml:space="preserve">承包人在签订合同协议书后 </w:t>
      </w:r>
      <w:r>
        <w:rPr>
          <w:rFonts w:ascii="宋体" w:hAnsi="宋体" w:eastAsia="宋体" w:cs="宋体"/>
          <w:szCs w:val="21"/>
        </w:rPr>
        <w:t>21</w:t>
      </w:r>
      <w:r>
        <w:rPr>
          <w:rFonts w:ascii="宋体" w:hAnsi="宋体" w:eastAsia="宋体" w:cs="宋体"/>
          <w:spacing w:val="-10"/>
          <w:szCs w:val="21"/>
        </w:rPr>
        <w:t xml:space="preserve"> 天之内，向监理人提交 </w:t>
      </w:r>
      <w:r>
        <w:rPr>
          <w:rFonts w:ascii="宋体" w:hAnsi="宋体" w:eastAsia="宋体" w:cs="宋体"/>
          <w:szCs w:val="21"/>
        </w:rPr>
        <w:t>2</w:t>
      </w:r>
      <w:r>
        <w:rPr>
          <w:rFonts w:ascii="宋体" w:hAnsi="宋体" w:eastAsia="宋体" w:cs="宋体"/>
          <w:spacing w:val="-3"/>
          <w:szCs w:val="21"/>
        </w:rPr>
        <w:t xml:space="preserve"> 份其格式和内容符合监理人规定的养</w:t>
      </w:r>
      <w:r>
        <w:rPr>
          <w:rFonts w:ascii="宋体" w:hAnsi="宋体" w:eastAsia="宋体" w:cs="宋体"/>
          <w:spacing w:val="-2"/>
          <w:szCs w:val="21"/>
        </w:rPr>
        <w:t>护工程施工计划，以及为完成该计划而建议采用的工作安排和施工方案说明。监理人应在收到该计</w:t>
      </w:r>
      <w:r>
        <w:rPr>
          <w:rFonts w:ascii="宋体" w:hAnsi="宋体" w:eastAsia="宋体" w:cs="宋体"/>
          <w:szCs w:val="21"/>
        </w:rPr>
        <w:t>划后的 14 天内审查同意或提出修改意见。</w:t>
      </w:r>
    </w:p>
    <w:p w14:paraId="5F88A013">
      <w:pPr>
        <w:numPr>
          <w:ilvl w:val="1"/>
          <w:numId w:val="27"/>
        </w:numPr>
        <w:tabs>
          <w:tab w:val="left" w:pos="1054"/>
        </w:tabs>
        <w:autoSpaceDE w:val="0"/>
        <w:autoSpaceDN w:val="0"/>
        <w:ind w:left="1054" w:hanging="628"/>
        <w:jc w:val="both"/>
        <w:rPr>
          <w:rFonts w:ascii="宋体" w:hAnsi="宋体" w:eastAsia="宋体" w:cs="宋体"/>
          <w:szCs w:val="22"/>
        </w:rPr>
      </w:pPr>
      <w:r>
        <w:rPr>
          <w:rFonts w:ascii="宋体" w:hAnsi="宋体" w:eastAsia="宋体" w:cs="宋体"/>
          <w:spacing w:val="-3"/>
          <w:szCs w:val="22"/>
        </w:rPr>
        <w:t>合同进度计划的修订</w:t>
      </w:r>
    </w:p>
    <w:p w14:paraId="5608EB77">
      <w:pPr>
        <w:autoSpaceDE w:val="0"/>
        <w:autoSpaceDN w:val="0"/>
        <w:spacing w:before="127" w:line="352" w:lineRule="auto"/>
        <w:ind w:left="426" w:right="567" w:firstLine="420"/>
        <w:rPr>
          <w:rFonts w:ascii="宋体" w:hAnsi="宋体" w:eastAsia="宋体" w:cs="宋体"/>
          <w:szCs w:val="21"/>
        </w:rPr>
      </w:pPr>
      <w:r>
        <w:rPr>
          <w:rFonts w:ascii="宋体" w:hAnsi="宋体" w:eastAsia="宋体" w:cs="宋体"/>
          <w:spacing w:val="-2"/>
          <w:szCs w:val="21"/>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承包人如不接受，应当在14天内答复，如未按时答复视作已接受修订项目</w:t>
      </w:r>
      <w:r>
        <w:rPr>
          <w:rFonts w:ascii="宋体" w:hAnsi="宋体" w:eastAsia="宋体" w:cs="宋体"/>
          <w:spacing w:val="-8"/>
          <w:szCs w:val="21"/>
        </w:rPr>
        <w:t>进度计划通知中的内容。监理人应在专用合同条款约定的期限内批复,监理人在批复前应获得发包人</w:t>
      </w:r>
      <w:r>
        <w:rPr>
          <w:rFonts w:ascii="宋体" w:hAnsi="宋体" w:eastAsia="宋体" w:cs="宋体"/>
          <w:spacing w:val="-2"/>
          <w:szCs w:val="21"/>
        </w:rPr>
        <w:t>同意。如未按时答复视作已批准承包人修订后的项目进度计划。监理人对承包人提交的项目进度计划的确认，不能减轻或免除承包人根据法律规定和合同约定应承担的任何责任或义务。</w:t>
      </w:r>
    </w:p>
    <w:p w14:paraId="36EBEE9E">
      <w:pPr>
        <w:numPr>
          <w:ilvl w:val="0"/>
          <w:numId w:val="28"/>
        </w:numPr>
        <w:tabs>
          <w:tab w:val="left" w:pos="739"/>
        </w:tabs>
        <w:autoSpaceDE w:val="0"/>
        <w:autoSpaceDN w:val="0"/>
        <w:spacing w:line="262" w:lineRule="exact"/>
        <w:ind w:left="739" w:hanging="313"/>
        <w:rPr>
          <w:rFonts w:ascii="宋体" w:hAnsi="宋体" w:eastAsia="宋体" w:cs="宋体"/>
          <w:szCs w:val="22"/>
        </w:rPr>
      </w:pPr>
      <w:r>
        <w:rPr>
          <w:rFonts w:ascii="宋体" w:hAnsi="宋体" w:eastAsia="宋体" w:cs="宋体"/>
          <w:spacing w:val="-4"/>
          <w:szCs w:val="22"/>
        </w:rPr>
        <w:t>开工和交工</w:t>
      </w:r>
    </w:p>
    <w:p w14:paraId="2D45D06C">
      <w:pPr>
        <w:numPr>
          <w:ilvl w:val="1"/>
          <w:numId w:val="28"/>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8"/>
          <w:szCs w:val="22"/>
        </w:rPr>
        <w:t>开工</w:t>
      </w:r>
    </w:p>
    <w:p w14:paraId="505B8D6B">
      <w:pPr>
        <w:jc w:val="left"/>
        <w:sectPr>
          <w:pgSz w:w="11910" w:h="16840"/>
          <w:pgMar w:top="1640" w:right="849" w:bottom="1360" w:left="992" w:header="0" w:footer="1176" w:gutter="0"/>
          <w:cols w:space="720" w:num="1"/>
        </w:sectPr>
      </w:pPr>
    </w:p>
    <w:p w14:paraId="68F1F9DA">
      <w:pPr>
        <w:numPr>
          <w:ilvl w:val="2"/>
          <w:numId w:val="28"/>
        </w:numPr>
        <w:tabs>
          <w:tab w:val="left" w:pos="1684"/>
        </w:tabs>
        <w:autoSpaceDE w:val="0"/>
        <w:autoSpaceDN w:val="0"/>
        <w:spacing w:before="37" w:line="350" w:lineRule="auto"/>
        <w:ind w:right="569" w:firstLine="420"/>
        <w:rPr>
          <w:rFonts w:ascii="宋体" w:hAnsi="宋体" w:eastAsia="宋体" w:cs="宋体"/>
          <w:szCs w:val="22"/>
        </w:rPr>
      </w:pPr>
      <w:r>
        <w:rPr>
          <w:rFonts w:ascii="宋体" w:hAnsi="宋体" w:eastAsia="宋体" w:cs="宋体"/>
          <w:spacing w:val="-2"/>
          <w:szCs w:val="22"/>
        </w:rPr>
        <w:t xml:space="preserve">监理人应在开工日期 </w:t>
      </w:r>
      <w:r>
        <w:rPr>
          <w:rFonts w:ascii="宋体" w:hAnsi="宋体" w:eastAsia="宋体" w:cs="宋体"/>
          <w:szCs w:val="22"/>
        </w:rPr>
        <w:t>7</w:t>
      </w:r>
      <w:r>
        <w:rPr>
          <w:rFonts w:ascii="宋体" w:hAnsi="宋体" w:eastAsia="宋体" w:cs="宋体"/>
          <w:spacing w:val="-9"/>
          <w:szCs w:val="22"/>
        </w:rPr>
        <w:t xml:space="preserve"> 天前向承包人发出开工通知。监理人在发出开工通知前应获得</w:t>
      </w:r>
      <w:r>
        <w:rPr>
          <w:rFonts w:ascii="宋体" w:hAnsi="宋体" w:eastAsia="宋体" w:cs="宋体"/>
          <w:spacing w:val="-2"/>
          <w:szCs w:val="22"/>
        </w:rPr>
        <w:t>发包人同意。工期自监理人发出的开工通知中载明的开工日期起计算。</w:t>
      </w:r>
    </w:p>
    <w:p w14:paraId="71651484">
      <w:pPr>
        <w:autoSpaceDE w:val="0"/>
        <w:autoSpaceDN w:val="0"/>
        <w:spacing w:before="2"/>
        <w:ind w:left="846"/>
        <w:jc w:val="left"/>
        <w:rPr>
          <w:rFonts w:ascii="宋体" w:hAnsi="宋体" w:eastAsia="宋体" w:cs="宋体"/>
          <w:szCs w:val="21"/>
        </w:rPr>
      </w:pPr>
      <w:r>
        <w:rPr>
          <w:rFonts w:ascii="宋体" w:hAnsi="宋体" w:eastAsia="宋体" w:cs="宋体"/>
          <w:spacing w:val="-3"/>
          <w:szCs w:val="21"/>
        </w:rPr>
        <w:t>承包人应在开工日期后尽快施工。</w:t>
      </w:r>
    </w:p>
    <w:p w14:paraId="0F43F67E">
      <w:pPr>
        <w:numPr>
          <w:ilvl w:val="2"/>
          <w:numId w:val="28"/>
        </w:numPr>
        <w:tabs>
          <w:tab w:val="left" w:pos="1687"/>
        </w:tabs>
        <w:autoSpaceDE w:val="0"/>
        <w:autoSpaceDN w:val="0"/>
        <w:spacing w:before="128" w:line="350" w:lineRule="auto"/>
        <w:ind w:right="567" w:firstLine="420"/>
        <w:jc w:val="both"/>
        <w:rPr>
          <w:rFonts w:ascii="宋体" w:hAnsi="宋体" w:eastAsia="宋体" w:cs="宋体"/>
          <w:szCs w:val="22"/>
        </w:rPr>
      </w:pPr>
      <w:r>
        <w:rPr>
          <w:rFonts w:ascii="宋体" w:hAnsi="宋体" w:eastAsia="宋体" w:cs="宋体"/>
          <w:szCs w:val="22"/>
        </w:rPr>
        <w:t>承包人应按第 10.1 款约定的合同进度计划，向监理人提交工程开工报审表，经监理</w:t>
      </w:r>
      <w:r>
        <w:rPr>
          <w:rFonts w:ascii="宋体" w:hAnsi="宋体" w:eastAsia="宋体" w:cs="宋体"/>
          <w:spacing w:val="-2"/>
          <w:szCs w:val="22"/>
        </w:rPr>
        <w:t>人审批后执行。开工报审表应详细说明按合同进度计划正常施工所需的施工道路、临时设施、材料设备、施工人员等施工组织措施的落实情况以及工程的进度安排。</w:t>
      </w:r>
    </w:p>
    <w:p w14:paraId="0AA10B81">
      <w:pPr>
        <w:numPr>
          <w:ilvl w:val="1"/>
          <w:numId w:val="28"/>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8"/>
          <w:szCs w:val="22"/>
        </w:rPr>
        <w:t>交工</w:t>
      </w:r>
    </w:p>
    <w:p w14:paraId="29B3A38A">
      <w:pPr>
        <w:autoSpaceDE w:val="0"/>
        <w:autoSpaceDN w:val="0"/>
        <w:spacing w:before="125"/>
        <w:ind w:left="846"/>
        <w:rPr>
          <w:rFonts w:ascii="宋体" w:hAnsi="宋体" w:eastAsia="宋体" w:cs="宋体"/>
          <w:szCs w:val="21"/>
        </w:rPr>
      </w:pPr>
      <w:r>
        <w:rPr>
          <w:rFonts w:ascii="宋体" w:hAnsi="宋体" w:eastAsia="宋体" w:cs="宋体"/>
          <w:spacing w:val="-1"/>
          <w:szCs w:val="21"/>
        </w:rPr>
        <w:t xml:space="preserve">承包人应在第 </w:t>
      </w:r>
      <w:r>
        <w:fldChar w:fldCharType="begin"/>
      </w:r>
      <w:r>
        <w:instrText xml:space="preserve"> HYPERLINK "1.1.4.3" \h </w:instrText>
      </w:r>
      <w:r>
        <w:fldChar w:fldCharType="separate"/>
      </w:r>
      <w:r>
        <w:rPr>
          <w:rFonts w:ascii="宋体" w:hAnsi="宋体" w:eastAsia="宋体" w:cs="宋体"/>
          <w:spacing w:val="-2"/>
          <w:szCs w:val="21"/>
        </w:rPr>
        <w:t>1.1.4.3</w:t>
      </w:r>
      <w:r>
        <w:rPr>
          <w:rFonts w:ascii="宋体" w:hAnsi="宋体" w:eastAsia="宋体" w:cs="宋体"/>
          <w:spacing w:val="-2"/>
          <w:szCs w:val="21"/>
        </w:rPr>
        <w:fldChar w:fldCharType="end"/>
      </w:r>
      <w:r>
        <w:rPr>
          <w:rFonts w:ascii="宋体" w:hAnsi="宋体" w:eastAsia="宋体" w:cs="宋体"/>
          <w:spacing w:val="-3"/>
          <w:szCs w:val="21"/>
        </w:rPr>
        <w:t xml:space="preserve"> 目约定的期限内完成合同工程。实际交工日期在接收证书中写明。</w:t>
      </w:r>
    </w:p>
    <w:p w14:paraId="495A308E">
      <w:pPr>
        <w:numPr>
          <w:ilvl w:val="1"/>
          <w:numId w:val="28"/>
        </w:numPr>
        <w:tabs>
          <w:tab w:val="left" w:pos="1054"/>
        </w:tabs>
        <w:autoSpaceDE w:val="0"/>
        <w:autoSpaceDN w:val="0"/>
        <w:spacing w:before="128"/>
        <w:ind w:left="1054" w:hanging="628"/>
        <w:jc w:val="both"/>
        <w:rPr>
          <w:rFonts w:ascii="宋体" w:hAnsi="宋体" w:eastAsia="宋体" w:cs="宋体"/>
          <w:szCs w:val="22"/>
        </w:rPr>
      </w:pPr>
      <w:r>
        <w:rPr>
          <w:rFonts w:ascii="宋体" w:hAnsi="宋体" w:eastAsia="宋体" w:cs="宋体"/>
          <w:spacing w:val="-4"/>
          <w:szCs w:val="22"/>
        </w:rPr>
        <w:t>发包人的工期延误</w:t>
      </w:r>
    </w:p>
    <w:p w14:paraId="41FB5D9C">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在履行合同过程中，由于发包人的下列原因造成工期延误的，承包人有权要求发包人延长工期</w:t>
      </w:r>
      <w:r>
        <w:rPr>
          <w:rFonts w:ascii="宋体" w:hAnsi="宋体" w:eastAsia="宋体" w:cs="宋体"/>
          <w:szCs w:val="21"/>
        </w:rPr>
        <w:t>和（或）增加费用，并支付合理利润。需要修订合同进度计划的，按照第 10.2 款的约定办理。</w:t>
      </w:r>
    </w:p>
    <w:p w14:paraId="5EFB118F">
      <w:pPr>
        <w:numPr>
          <w:ilvl w:val="0"/>
          <w:numId w:val="29"/>
        </w:numPr>
        <w:tabs>
          <w:tab w:val="left" w:pos="1261"/>
        </w:tabs>
        <w:autoSpaceDE w:val="0"/>
        <w:autoSpaceDN w:val="0"/>
        <w:spacing w:before="2"/>
        <w:ind w:left="1261" w:hanging="521"/>
        <w:rPr>
          <w:rFonts w:ascii="宋体" w:hAnsi="宋体" w:eastAsia="宋体" w:cs="宋体"/>
          <w:szCs w:val="22"/>
        </w:rPr>
      </w:pPr>
      <w:r>
        <w:rPr>
          <w:rFonts w:ascii="宋体" w:hAnsi="宋体" w:eastAsia="宋体" w:cs="宋体"/>
          <w:spacing w:val="-3"/>
          <w:szCs w:val="22"/>
        </w:rPr>
        <w:t>增加合同工作内容；</w:t>
      </w:r>
    </w:p>
    <w:p w14:paraId="5A84EE76">
      <w:pPr>
        <w:numPr>
          <w:ilvl w:val="0"/>
          <w:numId w:val="2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改变合同中任何一项工作的质量要求或其它特性；</w:t>
      </w:r>
    </w:p>
    <w:p w14:paraId="1E38D03F">
      <w:pPr>
        <w:numPr>
          <w:ilvl w:val="0"/>
          <w:numId w:val="29"/>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发包人迟延提供材料、工程设备或变更交货地点的；</w:t>
      </w:r>
    </w:p>
    <w:p w14:paraId="0DB0CEA3">
      <w:pPr>
        <w:numPr>
          <w:ilvl w:val="0"/>
          <w:numId w:val="2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因发包人原因导致的暂停施工；</w:t>
      </w:r>
    </w:p>
    <w:p w14:paraId="2D3C8DA0">
      <w:pPr>
        <w:numPr>
          <w:ilvl w:val="0"/>
          <w:numId w:val="2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4"/>
          <w:szCs w:val="22"/>
        </w:rPr>
        <w:t>提供图纸延误；</w:t>
      </w:r>
    </w:p>
    <w:p w14:paraId="647464E6">
      <w:pPr>
        <w:numPr>
          <w:ilvl w:val="0"/>
          <w:numId w:val="29"/>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未按合同约定及时支付预付款、进度款；</w:t>
      </w:r>
    </w:p>
    <w:p w14:paraId="160DB120">
      <w:pPr>
        <w:numPr>
          <w:ilvl w:val="0"/>
          <w:numId w:val="2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发包人造成工期延误的其它原因。</w:t>
      </w:r>
    </w:p>
    <w:p w14:paraId="3DB6F5E2">
      <w:pPr>
        <w:numPr>
          <w:ilvl w:val="1"/>
          <w:numId w:val="28"/>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3"/>
          <w:szCs w:val="22"/>
        </w:rPr>
        <w:t>异常恶劣的气候条件</w:t>
      </w:r>
    </w:p>
    <w:p w14:paraId="77E615AE">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由于出现项目专用合同条款规定的异常恶劣气候的条件导致工期延误的，承包人有权要求发包人延长工期。</w:t>
      </w:r>
    </w:p>
    <w:p w14:paraId="3D76870C">
      <w:pPr>
        <w:numPr>
          <w:ilvl w:val="1"/>
          <w:numId w:val="28"/>
        </w:numPr>
        <w:tabs>
          <w:tab w:val="left" w:pos="1054"/>
        </w:tabs>
        <w:autoSpaceDE w:val="0"/>
        <w:autoSpaceDN w:val="0"/>
        <w:spacing w:line="272" w:lineRule="exact"/>
        <w:ind w:left="1054" w:hanging="628"/>
        <w:rPr>
          <w:rFonts w:ascii="宋体" w:hAnsi="宋体" w:eastAsia="宋体" w:cs="宋体"/>
          <w:szCs w:val="22"/>
        </w:rPr>
      </w:pPr>
      <w:r>
        <w:rPr>
          <w:rFonts w:ascii="宋体" w:hAnsi="宋体" w:eastAsia="宋体" w:cs="宋体"/>
          <w:spacing w:val="-4"/>
          <w:szCs w:val="22"/>
        </w:rPr>
        <w:t>承包人的工期延误</w:t>
      </w:r>
    </w:p>
    <w:p w14:paraId="03435DA5">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pacing w:val="-2"/>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交工违约金。逾期交工违约金的日期计算，自预定的交工日期起到养护工程合同的工程交工证书中写明的交工日期或已批准的延长工期止，按天计算。逾期交工违约金应不超过在投标函附录中写明的限额。发包人可以从应付或到期应付给承包人的任何款项中扣除此违约金，不排除采用其它扣款方法。</w:t>
      </w:r>
    </w:p>
    <w:p w14:paraId="5C2A7735">
      <w:pPr>
        <w:autoSpaceDE w:val="0"/>
        <w:autoSpaceDN w:val="0"/>
        <w:spacing w:line="265" w:lineRule="exact"/>
        <w:ind w:left="846"/>
        <w:jc w:val="left"/>
        <w:rPr>
          <w:rFonts w:ascii="宋体" w:hAnsi="宋体" w:eastAsia="宋体" w:cs="宋体"/>
          <w:szCs w:val="21"/>
        </w:rPr>
      </w:pPr>
      <w:r>
        <w:rPr>
          <w:rFonts w:ascii="宋体" w:hAnsi="宋体" w:eastAsia="宋体" w:cs="宋体"/>
          <w:spacing w:val="-3"/>
          <w:szCs w:val="21"/>
        </w:rPr>
        <w:t>承包人支付逾期交工违约金，不免除承包人完成工程及修补缺陷的义务。</w:t>
      </w:r>
    </w:p>
    <w:p w14:paraId="0995C56B">
      <w:pPr>
        <w:numPr>
          <w:ilvl w:val="1"/>
          <w:numId w:val="28"/>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7"/>
          <w:szCs w:val="22"/>
        </w:rPr>
        <w:t>工期提前</w:t>
      </w:r>
    </w:p>
    <w:p w14:paraId="01B1914F">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发包人要求承包人提前竣工，或承包人提出提前竣工的建议能够给发包人带来效益的，应由监理人与承包人共同协商采取加快工程进度的措施和修订合同进度计划。</w:t>
      </w:r>
    </w:p>
    <w:p w14:paraId="2CECEC8C">
      <w:pPr>
        <w:spacing w:line="350" w:lineRule="auto"/>
        <w:sectPr>
          <w:pgSz w:w="11910" w:h="16840"/>
          <w:pgMar w:top="1640" w:right="849" w:bottom="1360" w:left="992" w:header="0" w:footer="1176" w:gutter="0"/>
          <w:cols w:space="720" w:num="1"/>
        </w:sectPr>
      </w:pPr>
    </w:p>
    <w:p w14:paraId="35EF42F1">
      <w:pPr>
        <w:autoSpaceDE w:val="0"/>
        <w:autoSpaceDN w:val="0"/>
        <w:spacing w:before="37" w:line="350" w:lineRule="auto"/>
        <w:ind w:left="426" w:right="567" w:firstLine="420"/>
        <w:rPr>
          <w:rFonts w:ascii="宋体" w:hAnsi="宋体" w:eastAsia="宋体" w:cs="宋体"/>
          <w:szCs w:val="21"/>
        </w:rPr>
      </w:pPr>
      <w:r>
        <w:rPr>
          <w:rFonts w:ascii="宋体" w:hAnsi="宋体" w:eastAsia="宋体" w:cs="宋体"/>
          <w:spacing w:val="-2"/>
          <w:szCs w:val="21"/>
        </w:rPr>
        <w:t>发包人应承担承包人由此增加的费用，并向承包人支付在投标函附录中写明的相应奖金。发包人不得以任何理由要求承包人超过合理限度压缩工期。承包人有权不接受提前竣工的指示，工期按照合同约定执行。</w:t>
      </w:r>
    </w:p>
    <w:p w14:paraId="464CBFA4">
      <w:pPr>
        <w:numPr>
          <w:ilvl w:val="1"/>
          <w:numId w:val="28"/>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4"/>
          <w:szCs w:val="22"/>
        </w:rPr>
        <w:t>工作时间的限制</w:t>
      </w:r>
    </w:p>
    <w:p w14:paraId="227BB18F">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承包人在夜间或国家规定的节假日进行公路养护工程的施工，应向监理人报告，以便监理人履行监理职责和义务。</w:t>
      </w:r>
    </w:p>
    <w:p w14:paraId="33B2666A">
      <w:pPr>
        <w:autoSpaceDE w:val="0"/>
        <w:autoSpaceDN w:val="0"/>
        <w:spacing w:line="350" w:lineRule="auto"/>
        <w:ind w:left="426" w:right="567" w:firstLine="420"/>
        <w:jc w:val="left"/>
        <w:rPr>
          <w:rFonts w:ascii="宋体" w:hAnsi="宋体" w:eastAsia="宋体" w:cs="宋体"/>
          <w:szCs w:val="21"/>
        </w:rPr>
      </w:pPr>
      <w:r>
        <w:rPr>
          <w:rFonts w:ascii="宋体" w:hAnsi="宋体" w:eastAsia="宋体" w:cs="宋体"/>
          <w:spacing w:val="-2"/>
          <w:szCs w:val="21"/>
        </w:rPr>
        <w:t>但是，为了抢救生命或保护财产，或为了工程的安全、质量而不可避免地短暂作业，则不必事先向监理人报告。但承包人应在事后立即向监理人报告。</w:t>
      </w:r>
    </w:p>
    <w:p w14:paraId="7426A38B">
      <w:pPr>
        <w:autoSpaceDE w:val="0"/>
        <w:autoSpaceDN w:val="0"/>
        <w:spacing w:before="1" w:line="352" w:lineRule="auto"/>
        <w:ind w:left="426" w:right="3340" w:firstLine="420"/>
        <w:jc w:val="left"/>
        <w:rPr>
          <w:rFonts w:ascii="宋体" w:hAnsi="宋体" w:eastAsia="宋体" w:cs="宋体"/>
          <w:szCs w:val="21"/>
        </w:rPr>
      </w:pPr>
      <w:r>
        <w:rPr>
          <w:rFonts w:ascii="宋体" w:hAnsi="宋体" w:eastAsia="宋体" w:cs="宋体"/>
          <w:spacing w:val="-2"/>
          <w:szCs w:val="21"/>
        </w:rPr>
        <w:t>本款规定不适用于习惯上或施工本身要求实行连续生产的作业。 12.暂停施工</w:t>
      </w:r>
    </w:p>
    <w:p w14:paraId="340B4443">
      <w:pPr>
        <w:numPr>
          <w:ilvl w:val="1"/>
          <w:numId w:val="30"/>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3"/>
          <w:szCs w:val="22"/>
        </w:rPr>
        <w:t>承包人暂停施工的责任</w:t>
      </w:r>
    </w:p>
    <w:p w14:paraId="6CEB9320">
      <w:pPr>
        <w:autoSpaceDE w:val="0"/>
        <w:autoSpaceDN w:val="0"/>
        <w:spacing w:before="128"/>
        <w:ind w:left="846"/>
        <w:jc w:val="left"/>
        <w:rPr>
          <w:rFonts w:ascii="宋体" w:hAnsi="宋体" w:eastAsia="宋体" w:cs="宋体"/>
          <w:szCs w:val="21"/>
        </w:rPr>
      </w:pPr>
      <w:r>
        <w:rPr>
          <w:rFonts w:ascii="宋体" w:hAnsi="宋体" w:eastAsia="宋体" w:cs="宋体"/>
          <w:spacing w:val="-2"/>
          <w:szCs w:val="21"/>
        </w:rPr>
        <w:t>因下列暂停施工增加的费用和（或）</w:t>
      </w:r>
      <w:r>
        <w:rPr>
          <w:rFonts w:ascii="宋体" w:hAnsi="宋体" w:eastAsia="宋体" w:cs="宋体"/>
          <w:spacing w:val="-3"/>
          <w:szCs w:val="21"/>
        </w:rPr>
        <w:t>工期延误由承包人承担：</w:t>
      </w:r>
    </w:p>
    <w:p w14:paraId="17E32323">
      <w:pPr>
        <w:numPr>
          <w:ilvl w:val="0"/>
          <w:numId w:val="31"/>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承包人违约引起的暂停施工；</w:t>
      </w:r>
    </w:p>
    <w:p w14:paraId="17B28E61">
      <w:pPr>
        <w:numPr>
          <w:ilvl w:val="0"/>
          <w:numId w:val="31"/>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由于承包人原因为工程合理施工和安全保障所必需的暂停施工；</w:t>
      </w:r>
    </w:p>
    <w:p w14:paraId="1684627E">
      <w:pPr>
        <w:numPr>
          <w:ilvl w:val="0"/>
          <w:numId w:val="31"/>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承包人擅自暂停施工；</w:t>
      </w:r>
    </w:p>
    <w:p w14:paraId="5E4C805C">
      <w:pPr>
        <w:numPr>
          <w:ilvl w:val="0"/>
          <w:numId w:val="31"/>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承包人其它原因引起的暂停施工；</w:t>
      </w:r>
    </w:p>
    <w:p w14:paraId="693F23EE">
      <w:pPr>
        <w:numPr>
          <w:ilvl w:val="0"/>
          <w:numId w:val="31"/>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zCs w:val="22"/>
        </w:rPr>
        <w:t>现场气候条件导致的必要停工（</w:t>
      </w:r>
      <w:r>
        <w:rPr>
          <w:rFonts w:ascii="宋体" w:hAnsi="宋体" w:eastAsia="宋体" w:cs="宋体"/>
          <w:spacing w:val="-12"/>
          <w:szCs w:val="22"/>
        </w:rPr>
        <w:t xml:space="preserve">第 </w:t>
      </w:r>
      <w:r>
        <w:rPr>
          <w:rFonts w:ascii="宋体" w:hAnsi="宋体" w:eastAsia="宋体" w:cs="宋体"/>
          <w:szCs w:val="22"/>
        </w:rPr>
        <w:t>11.4</w:t>
      </w:r>
      <w:r>
        <w:rPr>
          <w:rFonts w:ascii="宋体" w:hAnsi="宋体" w:eastAsia="宋体" w:cs="宋体"/>
          <w:spacing w:val="-6"/>
          <w:szCs w:val="22"/>
        </w:rPr>
        <w:t xml:space="preserve"> 款规定的异常恶劣的气候条件除外</w:t>
      </w:r>
      <w:r>
        <w:rPr>
          <w:rFonts w:ascii="宋体" w:hAnsi="宋体" w:eastAsia="宋体" w:cs="宋体"/>
          <w:spacing w:val="-5"/>
          <w:szCs w:val="22"/>
        </w:rPr>
        <w:t>）；</w:t>
      </w:r>
    </w:p>
    <w:p w14:paraId="0C8D4D8A">
      <w:pPr>
        <w:numPr>
          <w:ilvl w:val="0"/>
          <w:numId w:val="31"/>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专用合同条款可能约定的由承包人承担的其它暂停施工。</w:t>
      </w:r>
    </w:p>
    <w:p w14:paraId="5AC85088">
      <w:pPr>
        <w:numPr>
          <w:ilvl w:val="1"/>
          <w:numId w:val="30"/>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3"/>
          <w:szCs w:val="22"/>
        </w:rPr>
        <w:t>发包人暂停施工的责任</w:t>
      </w:r>
    </w:p>
    <w:p w14:paraId="75FF211C">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由于发包人原因引起的暂停施工造成工期延误的，承包人有权要求发包人延长工期和（或）增加费用，并支付合理利润。</w:t>
      </w:r>
    </w:p>
    <w:p w14:paraId="2D967B6C">
      <w:pPr>
        <w:numPr>
          <w:ilvl w:val="1"/>
          <w:numId w:val="30"/>
        </w:numPr>
        <w:tabs>
          <w:tab w:val="left" w:pos="1054"/>
        </w:tabs>
        <w:autoSpaceDE w:val="0"/>
        <w:autoSpaceDN w:val="0"/>
        <w:spacing w:line="272" w:lineRule="exact"/>
        <w:ind w:left="1054" w:hanging="628"/>
        <w:rPr>
          <w:rFonts w:ascii="宋体" w:hAnsi="宋体" w:eastAsia="宋体" w:cs="宋体"/>
          <w:szCs w:val="22"/>
        </w:rPr>
      </w:pPr>
      <w:r>
        <w:rPr>
          <w:rFonts w:ascii="宋体" w:hAnsi="宋体" w:eastAsia="宋体" w:cs="宋体"/>
          <w:spacing w:val="-3"/>
          <w:szCs w:val="22"/>
        </w:rPr>
        <w:t>监理人暂停施工指示</w:t>
      </w:r>
    </w:p>
    <w:p w14:paraId="2E115A37">
      <w:pPr>
        <w:numPr>
          <w:ilvl w:val="2"/>
          <w:numId w:val="30"/>
        </w:numPr>
        <w:tabs>
          <w:tab w:val="left" w:pos="1687"/>
        </w:tabs>
        <w:autoSpaceDE w:val="0"/>
        <w:autoSpaceDN w:val="0"/>
        <w:spacing w:before="126" w:line="352" w:lineRule="auto"/>
        <w:ind w:right="567" w:firstLine="420"/>
        <w:jc w:val="both"/>
        <w:rPr>
          <w:rFonts w:ascii="宋体" w:hAnsi="宋体" w:eastAsia="宋体" w:cs="宋体"/>
          <w:szCs w:val="22"/>
        </w:rPr>
      </w:pPr>
      <w:r>
        <w:rPr>
          <w:rFonts w:ascii="宋体" w:hAnsi="宋体" w:eastAsia="宋体" w:cs="宋体"/>
          <w:spacing w:val="-2"/>
          <w:szCs w:val="22"/>
        </w:rPr>
        <w:t>监理人认为有必要时，可向承包人作出暂停施工的指示，承包人应按监理人指示暂停施工。不论由于何种原因引起的暂停施工，暂停施工期间承包人应负责妥善保护工程并提供安全保</w:t>
      </w:r>
      <w:r>
        <w:rPr>
          <w:rFonts w:ascii="宋体" w:hAnsi="宋体" w:eastAsia="宋体" w:cs="宋体"/>
          <w:spacing w:val="-6"/>
          <w:szCs w:val="22"/>
        </w:rPr>
        <w:t>障。</w:t>
      </w:r>
    </w:p>
    <w:p w14:paraId="78ED3486">
      <w:pPr>
        <w:numPr>
          <w:ilvl w:val="2"/>
          <w:numId w:val="30"/>
        </w:numPr>
        <w:tabs>
          <w:tab w:val="left" w:pos="1687"/>
        </w:tabs>
        <w:autoSpaceDE w:val="0"/>
        <w:autoSpaceDN w:val="0"/>
        <w:spacing w:line="269" w:lineRule="exact"/>
        <w:ind w:left="1687" w:hanging="841"/>
        <w:jc w:val="both"/>
        <w:rPr>
          <w:rFonts w:ascii="宋体" w:hAnsi="宋体" w:eastAsia="宋体" w:cs="宋体"/>
          <w:szCs w:val="22"/>
        </w:rPr>
      </w:pPr>
      <w:r>
        <w:rPr>
          <w:rFonts w:ascii="宋体" w:hAnsi="宋体" w:eastAsia="宋体" w:cs="宋体"/>
          <w:spacing w:val="-3"/>
          <w:szCs w:val="22"/>
        </w:rPr>
        <w:t>由于发包人的原因发生暂停施工的紧急情况，且监理人未及时下达暂停施工指示的，</w:t>
      </w:r>
    </w:p>
    <w:p w14:paraId="5E177BD0">
      <w:pPr>
        <w:autoSpaceDE w:val="0"/>
        <w:autoSpaceDN w:val="0"/>
        <w:spacing w:before="127" w:line="352" w:lineRule="auto"/>
        <w:ind w:left="426" w:right="568"/>
        <w:rPr>
          <w:rFonts w:ascii="宋体" w:hAnsi="宋体" w:eastAsia="宋体" w:cs="宋体"/>
          <w:szCs w:val="21"/>
        </w:rPr>
      </w:pPr>
      <w:r>
        <w:rPr>
          <w:rFonts w:ascii="宋体" w:hAnsi="宋体" w:eastAsia="宋体" w:cs="宋体"/>
          <w:spacing w:val="-3"/>
          <w:szCs w:val="21"/>
        </w:rPr>
        <w:t xml:space="preserve">承包人可先暂停施工，并及时向监理人提出暂停施工的书面请求。监理人应在接到书面请求后的 </w:t>
      </w:r>
      <w:r>
        <w:rPr>
          <w:rFonts w:ascii="宋体" w:hAnsi="宋体" w:eastAsia="宋体" w:cs="宋体"/>
          <w:spacing w:val="-2"/>
          <w:szCs w:val="21"/>
        </w:rPr>
        <w:t>24小时内予以答复，逾期未答复的，视为同意承包人的暂停施工请求。</w:t>
      </w:r>
    </w:p>
    <w:p w14:paraId="35071866">
      <w:pPr>
        <w:numPr>
          <w:ilvl w:val="1"/>
          <w:numId w:val="30"/>
        </w:numPr>
        <w:tabs>
          <w:tab w:val="left" w:pos="1054"/>
        </w:tabs>
        <w:autoSpaceDE w:val="0"/>
        <w:autoSpaceDN w:val="0"/>
        <w:spacing w:line="270" w:lineRule="exact"/>
        <w:ind w:left="1054" w:hanging="628"/>
        <w:jc w:val="both"/>
        <w:rPr>
          <w:rFonts w:ascii="宋体" w:hAnsi="宋体" w:eastAsia="宋体" w:cs="宋体"/>
          <w:szCs w:val="22"/>
        </w:rPr>
      </w:pPr>
      <w:r>
        <w:rPr>
          <w:rFonts w:ascii="宋体" w:hAnsi="宋体" w:eastAsia="宋体" w:cs="宋体"/>
          <w:spacing w:val="-4"/>
          <w:szCs w:val="22"/>
        </w:rPr>
        <w:t>暂停施工后的复工</w:t>
      </w:r>
    </w:p>
    <w:p w14:paraId="4DAD9E4D">
      <w:pPr>
        <w:numPr>
          <w:ilvl w:val="2"/>
          <w:numId w:val="30"/>
        </w:numPr>
        <w:tabs>
          <w:tab w:val="left" w:pos="1687"/>
        </w:tabs>
        <w:autoSpaceDE w:val="0"/>
        <w:autoSpaceDN w:val="0"/>
        <w:spacing w:before="128" w:line="350" w:lineRule="auto"/>
        <w:ind w:right="567" w:firstLine="420"/>
        <w:jc w:val="both"/>
        <w:rPr>
          <w:rFonts w:ascii="宋体" w:hAnsi="宋体" w:eastAsia="宋体" w:cs="宋体"/>
          <w:szCs w:val="22"/>
        </w:rPr>
      </w:pPr>
      <w:r>
        <w:rPr>
          <w:rFonts w:ascii="宋体" w:hAnsi="宋体" w:eastAsia="宋体" w:cs="宋体"/>
          <w:spacing w:val="-2"/>
          <w:szCs w:val="22"/>
        </w:rPr>
        <w:t>暂停施工后，监理人应与发包人和承包人协商，采取有效措施积极消除暂停施工的影响。当工程具备复工条件时，监理人应立即向承包人发出复工通知。承包人收到复工通知后，应在监理人指定的期限内复工。监理人通知的复工时间应当给予承包人必要的准备复工时间。</w:t>
      </w:r>
    </w:p>
    <w:p w14:paraId="78EB07D2">
      <w:pPr>
        <w:numPr>
          <w:ilvl w:val="2"/>
          <w:numId w:val="30"/>
        </w:numPr>
        <w:tabs>
          <w:tab w:val="left" w:pos="1687"/>
        </w:tabs>
        <w:autoSpaceDE w:val="0"/>
        <w:autoSpaceDN w:val="0"/>
        <w:spacing w:before="5" w:line="352" w:lineRule="auto"/>
        <w:ind w:right="567" w:firstLine="420"/>
        <w:jc w:val="both"/>
        <w:rPr>
          <w:rFonts w:ascii="宋体" w:hAnsi="宋体" w:eastAsia="宋体" w:cs="宋体"/>
          <w:szCs w:val="22"/>
        </w:rPr>
      </w:pPr>
      <w:r>
        <w:rPr>
          <w:rFonts w:ascii="宋体" w:hAnsi="宋体" w:eastAsia="宋体" w:cs="宋体"/>
          <w:spacing w:val="-2"/>
          <w:szCs w:val="22"/>
        </w:rPr>
        <w:t>承包人无故拖延和拒绝复工的，由此增加的费用和工期延误由承包人承担；因发包人原因无法按时复工的，承包人有权要求发包人延长工期和（或）增加费用，并支付合理利润。</w:t>
      </w:r>
    </w:p>
    <w:p w14:paraId="0D401549">
      <w:pPr>
        <w:spacing w:line="352" w:lineRule="auto"/>
        <w:sectPr>
          <w:pgSz w:w="11910" w:h="16840"/>
          <w:pgMar w:top="1640" w:right="849" w:bottom="1360" w:left="992" w:header="0" w:footer="1176" w:gutter="0"/>
          <w:cols w:space="720" w:num="1"/>
        </w:sectPr>
      </w:pPr>
    </w:p>
    <w:p w14:paraId="09FF9EE0">
      <w:pPr>
        <w:numPr>
          <w:ilvl w:val="2"/>
          <w:numId w:val="30"/>
        </w:numPr>
        <w:tabs>
          <w:tab w:val="left" w:pos="1687"/>
        </w:tabs>
        <w:autoSpaceDE w:val="0"/>
        <w:autoSpaceDN w:val="0"/>
        <w:spacing w:before="37" w:line="350" w:lineRule="auto"/>
        <w:ind w:right="567" w:firstLine="420"/>
        <w:jc w:val="both"/>
        <w:rPr>
          <w:rFonts w:ascii="宋体" w:hAnsi="宋体" w:eastAsia="宋体" w:cs="宋体"/>
          <w:szCs w:val="22"/>
        </w:rPr>
      </w:pPr>
      <w:r>
        <w:rPr>
          <w:rFonts w:ascii="宋体" w:hAnsi="宋体" w:eastAsia="宋体" w:cs="宋体"/>
          <w:spacing w:val="-2"/>
          <w:szCs w:val="22"/>
        </w:rPr>
        <w:t>不论由于何种原因引起暂停工作，双方均可要求对方一同对受暂停影响的工程、工程设备和工程物资进行检查，承包人应将检查结果及需要恢复、修复的内容和估算通知监理人。</w:t>
      </w:r>
    </w:p>
    <w:p w14:paraId="4BEB0C84">
      <w:pPr>
        <w:numPr>
          <w:ilvl w:val="1"/>
          <w:numId w:val="30"/>
        </w:numPr>
        <w:tabs>
          <w:tab w:val="left" w:pos="1054"/>
        </w:tabs>
        <w:autoSpaceDE w:val="0"/>
        <w:autoSpaceDN w:val="0"/>
        <w:spacing w:before="2"/>
        <w:ind w:left="1054" w:hanging="628"/>
        <w:jc w:val="both"/>
        <w:rPr>
          <w:rFonts w:ascii="宋体" w:hAnsi="宋体" w:eastAsia="宋体" w:cs="宋体"/>
          <w:szCs w:val="22"/>
        </w:rPr>
      </w:pPr>
      <w:r>
        <w:rPr>
          <w:rFonts w:ascii="宋体" w:hAnsi="宋体" w:eastAsia="宋体" w:cs="宋体"/>
          <w:spacing w:val="-1"/>
          <w:szCs w:val="22"/>
        </w:rPr>
        <w:t xml:space="preserve">暂停施工持续 </w:t>
      </w:r>
      <w:r>
        <w:rPr>
          <w:rFonts w:ascii="宋体" w:hAnsi="宋体" w:eastAsia="宋体" w:cs="宋体"/>
          <w:szCs w:val="22"/>
        </w:rPr>
        <w:t>56</w:t>
      </w:r>
      <w:r>
        <w:rPr>
          <w:rFonts w:ascii="宋体" w:hAnsi="宋体" w:eastAsia="宋体" w:cs="宋体"/>
          <w:spacing w:val="-5"/>
          <w:szCs w:val="22"/>
        </w:rPr>
        <w:t xml:space="preserve"> 天以上</w:t>
      </w:r>
    </w:p>
    <w:p w14:paraId="1829399F">
      <w:pPr>
        <w:numPr>
          <w:ilvl w:val="2"/>
          <w:numId w:val="30"/>
        </w:numPr>
        <w:tabs>
          <w:tab w:val="left" w:pos="1687"/>
        </w:tabs>
        <w:autoSpaceDE w:val="0"/>
        <w:autoSpaceDN w:val="0"/>
        <w:spacing w:before="128"/>
        <w:ind w:left="1687" w:hanging="841"/>
        <w:jc w:val="both"/>
        <w:rPr>
          <w:rFonts w:ascii="宋体" w:hAnsi="宋体" w:eastAsia="宋体" w:cs="宋体"/>
          <w:szCs w:val="22"/>
        </w:rPr>
      </w:pPr>
      <w:r>
        <w:rPr>
          <w:rFonts w:ascii="宋体" w:hAnsi="宋体" w:eastAsia="宋体" w:cs="宋体"/>
          <w:spacing w:val="-1"/>
          <w:szCs w:val="22"/>
        </w:rPr>
        <w:t xml:space="preserve">监理人发出暂停施工指示后 </w:t>
      </w:r>
      <w:r>
        <w:rPr>
          <w:rFonts w:ascii="宋体" w:hAnsi="宋体" w:eastAsia="宋体" w:cs="宋体"/>
          <w:szCs w:val="22"/>
        </w:rPr>
        <w:t>56</w:t>
      </w:r>
      <w:r>
        <w:rPr>
          <w:rFonts w:ascii="宋体" w:hAnsi="宋体" w:eastAsia="宋体" w:cs="宋体"/>
          <w:spacing w:val="-4"/>
          <w:szCs w:val="22"/>
        </w:rPr>
        <w:t xml:space="preserve"> 天内未向承包人发出复工通知，除了该项停工属于第</w:t>
      </w:r>
    </w:p>
    <w:p w14:paraId="6FB4ED6C">
      <w:pPr>
        <w:autoSpaceDE w:val="0"/>
        <w:autoSpaceDN w:val="0"/>
        <w:spacing w:before="125" w:line="352" w:lineRule="auto"/>
        <w:ind w:left="426" w:right="567"/>
        <w:rPr>
          <w:rFonts w:ascii="宋体" w:hAnsi="宋体" w:eastAsia="宋体" w:cs="宋体"/>
          <w:szCs w:val="21"/>
        </w:rPr>
      </w:pPr>
      <w:r>
        <w:rPr>
          <w:rFonts w:ascii="宋体" w:hAnsi="宋体" w:eastAsia="宋体" w:cs="宋体"/>
          <w:szCs w:val="21"/>
        </w:rPr>
        <w:t>12.1</w:t>
      </w:r>
      <w:r>
        <w:rPr>
          <w:rFonts w:ascii="宋体" w:hAnsi="宋体" w:eastAsia="宋体" w:cs="宋体"/>
          <w:spacing w:val="-7"/>
          <w:szCs w:val="21"/>
        </w:rPr>
        <w:t xml:space="preserve"> 款的情况外，承包人可向监理人提交书面通知，要求监理人在收到书面通知后 </w:t>
      </w:r>
      <w:r>
        <w:rPr>
          <w:rFonts w:ascii="宋体" w:hAnsi="宋体" w:eastAsia="宋体" w:cs="宋体"/>
          <w:szCs w:val="21"/>
        </w:rPr>
        <w:t>28</w:t>
      </w:r>
      <w:r>
        <w:rPr>
          <w:rFonts w:ascii="宋体" w:hAnsi="宋体" w:eastAsia="宋体" w:cs="宋体"/>
          <w:spacing w:val="-5"/>
          <w:szCs w:val="21"/>
        </w:rPr>
        <w:t xml:space="preserve"> 天内准许已</w:t>
      </w:r>
      <w:r>
        <w:rPr>
          <w:rFonts w:ascii="宋体" w:hAnsi="宋体" w:eastAsia="宋体" w:cs="宋体"/>
          <w:spacing w:val="-2"/>
          <w:szCs w:val="21"/>
        </w:rPr>
        <w:t>暂停施工的工程或其中一部分工程继续施工。如监理人逾期不予批准，则承包人可以通知监理人，将工程受影响的部分视为按第15.1（1）项的可取消工作。如暂停施工影响到整个工程，可视为发包</w:t>
      </w:r>
      <w:r>
        <w:rPr>
          <w:rFonts w:ascii="宋体" w:hAnsi="宋体" w:eastAsia="宋体" w:cs="宋体"/>
          <w:szCs w:val="21"/>
        </w:rPr>
        <w:t>人违约，应按第 22.2 款的规定办理。</w:t>
      </w:r>
    </w:p>
    <w:p w14:paraId="1608F3F1">
      <w:pPr>
        <w:numPr>
          <w:ilvl w:val="2"/>
          <w:numId w:val="30"/>
        </w:numPr>
        <w:tabs>
          <w:tab w:val="left" w:pos="1687"/>
        </w:tabs>
        <w:autoSpaceDE w:val="0"/>
        <w:autoSpaceDN w:val="0"/>
        <w:spacing w:line="269" w:lineRule="exact"/>
        <w:ind w:left="1687" w:hanging="841"/>
        <w:jc w:val="both"/>
        <w:rPr>
          <w:rFonts w:ascii="宋体" w:hAnsi="宋体" w:eastAsia="宋体" w:cs="宋体"/>
          <w:szCs w:val="22"/>
        </w:rPr>
      </w:pPr>
      <w:r>
        <w:rPr>
          <w:rFonts w:ascii="宋体" w:hAnsi="宋体" w:eastAsia="宋体" w:cs="宋体"/>
          <w:spacing w:val="-1"/>
          <w:szCs w:val="22"/>
        </w:rPr>
        <w:t xml:space="preserve">由于承包人责任引起的暂停施工，如承包人在收到监理人暂停施工指示后 </w:t>
      </w:r>
      <w:r>
        <w:rPr>
          <w:rFonts w:ascii="宋体" w:hAnsi="宋体" w:eastAsia="宋体" w:cs="宋体"/>
          <w:szCs w:val="22"/>
        </w:rPr>
        <w:t>56</w:t>
      </w:r>
      <w:r>
        <w:rPr>
          <w:rFonts w:ascii="宋体" w:hAnsi="宋体" w:eastAsia="宋体" w:cs="宋体"/>
          <w:spacing w:val="-5"/>
          <w:szCs w:val="22"/>
        </w:rPr>
        <w:t xml:space="preserve"> 天内不</w:t>
      </w:r>
    </w:p>
    <w:p w14:paraId="45C25638">
      <w:pPr>
        <w:autoSpaceDE w:val="0"/>
        <w:autoSpaceDN w:val="0"/>
        <w:spacing w:before="128" w:line="350" w:lineRule="auto"/>
        <w:ind w:left="426" w:right="1027"/>
        <w:rPr>
          <w:rFonts w:ascii="宋体" w:hAnsi="宋体" w:eastAsia="宋体" w:cs="宋体"/>
          <w:szCs w:val="21"/>
        </w:rPr>
      </w:pPr>
      <w:r>
        <w:rPr>
          <w:rFonts w:ascii="宋体" w:hAnsi="宋体" w:eastAsia="宋体" w:cs="宋体"/>
          <w:spacing w:val="-1"/>
          <w:szCs w:val="21"/>
        </w:rPr>
        <w:t xml:space="preserve">认真采取有效的复工措施，造成工期延误，可视为承包人违约，应按第 </w:t>
      </w:r>
      <w:r>
        <w:rPr>
          <w:rFonts w:ascii="宋体" w:hAnsi="宋体" w:eastAsia="宋体" w:cs="宋体"/>
          <w:szCs w:val="21"/>
        </w:rPr>
        <w:t>22.1</w:t>
      </w:r>
      <w:r>
        <w:rPr>
          <w:rFonts w:ascii="宋体" w:hAnsi="宋体" w:eastAsia="宋体" w:cs="宋体"/>
          <w:spacing w:val="-4"/>
          <w:szCs w:val="21"/>
        </w:rPr>
        <w:t xml:space="preserve"> 款的规定办理。</w:t>
      </w:r>
      <w:r>
        <w:rPr>
          <w:rFonts w:ascii="宋体" w:hAnsi="宋体" w:eastAsia="宋体" w:cs="宋体"/>
          <w:szCs w:val="21"/>
        </w:rPr>
        <w:t xml:space="preserve"> </w:t>
      </w:r>
      <w:r>
        <w:rPr>
          <w:rFonts w:ascii="宋体" w:hAnsi="宋体" w:eastAsia="宋体" w:cs="宋体"/>
          <w:spacing w:val="-2"/>
          <w:szCs w:val="21"/>
        </w:rPr>
        <w:t>13．工程质量</w:t>
      </w:r>
    </w:p>
    <w:p w14:paraId="0F493729">
      <w:pPr>
        <w:numPr>
          <w:ilvl w:val="1"/>
          <w:numId w:val="32"/>
        </w:numPr>
        <w:tabs>
          <w:tab w:val="left" w:pos="1054"/>
        </w:tabs>
        <w:autoSpaceDE w:val="0"/>
        <w:autoSpaceDN w:val="0"/>
        <w:spacing w:before="2"/>
        <w:ind w:left="1054" w:hanging="628"/>
        <w:jc w:val="both"/>
        <w:rPr>
          <w:rFonts w:ascii="宋体" w:hAnsi="宋体" w:eastAsia="宋体" w:cs="宋体"/>
          <w:szCs w:val="22"/>
        </w:rPr>
      </w:pPr>
      <w:r>
        <w:rPr>
          <w:rFonts w:ascii="宋体" w:hAnsi="宋体" w:eastAsia="宋体" w:cs="宋体"/>
          <w:spacing w:val="-4"/>
          <w:szCs w:val="22"/>
        </w:rPr>
        <w:t>工程质量要求</w:t>
      </w:r>
    </w:p>
    <w:p w14:paraId="36E72B02">
      <w:pPr>
        <w:numPr>
          <w:ilvl w:val="2"/>
          <w:numId w:val="32"/>
        </w:numPr>
        <w:tabs>
          <w:tab w:val="left" w:pos="1687"/>
        </w:tabs>
        <w:autoSpaceDE w:val="0"/>
        <w:autoSpaceDN w:val="0"/>
        <w:spacing w:before="128" w:line="350" w:lineRule="auto"/>
        <w:ind w:right="503" w:firstLine="420"/>
        <w:jc w:val="both"/>
        <w:rPr>
          <w:rFonts w:ascii="宋体" w:hAnsi="宋体" w:eastAsia="宋体" w:cs="宋体"/>
          <w:szCs w:val="22"/>
        </w:rPr>
      </w:pPr>
      <w:r>
        <w:rPr>
          <w:rFonts w:ascii="宋体" w:hAnsi="宋体" w:eastAsia="宋体" w:cs="宋体"/>
          <w:spacing w:val="-2"/>
          <w:szCs w:val="22"/>
        </w:rPr>
        <w:t>工程质量验收按验收标准执行。（适用于日常小修工程）已完成合同规定的养护工程质量，按技术规范及《公路养护技术状况标准》进行检测、调查和评定。公路养护质量指数（MQI）</w:t>
      </w:r>
      <w:r>
        <w:rPr>
          <w:rFonts w:ascii="宋体" w:hAnsi="宋体" w:eastAsia="宋体" w:cs="宋体"/>
          <w:szCs w:val="22"/>
        </w:rPr>
        <w:t>应经常保持在 90 分以上。</w:t>
      </w:r>
    </w:p>
    <w:p w14:paraId="7579F0C1">
      <w:pPr>
        <w:autoSpaceDE w:val="0"/>
        <w:autoSpaceDN w:val="0"/>
        <w:spacing w:before="4"/>
        <w:ind w:left="426"/>
        <w:rPr>
          <w:rFonts w:ascii="宋体" w:hAnsi="宋体" w:eastAsia="宋体" w:cs="宋体"/>
          <w:szCs w:val="21"/>
        </w:rPr>
      </w:pPr>
      <w:r>
        <w:rPr>
          <w:rFonts w:ascii="宋体" w:hAnsi="宋体" w:eastAsia="宋体" w:cs="宋体"/>
          <w:szCs w:val="21"/>
        </w:rPr>
        <w:t>13.1.1 工程质量验收按验收标准执行。</w:t>
      </w:r>
    </w:p>
    <w:p w14:paraId="632168CD">
      <w:pPr>
        <w:autoSpaceDE w:val="0"/>
        <w:autoSpaceDN w:val="0"/>
        <w:spacing w:before="125"/>
        <w:ind w:left="846"/>
        <w:jc w:val="left"/>
        <w:rPr>
          <w:rFonts w:ascii="宋体" w:hAnsi="宋体" w:eastAsia="宋体" w:cs="宋体"/>
          <w:szCs w:val="21"/>
        </w:rPr>
      </w:pPr>
      <w:r>
        <w:rPr>
          <w:rFonts w:ascii="宋体" w:hAnsi="宋体" w:eastAsia="宋体" w:cs="宋体"/>
          <w:spacing w:val="-3"/>
          <w:szCs w:val="21"/>
        </w:rPr>
        <w:t>工程质量验收按技术规范及《公路养护工程质量检验评定标准》执行。</w:t>
      </w:r>
    </w:p>
    <w:p w14:paraId="4C45C3FB">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工程质量目标为：合格。承包人应为本合同的施工建立强有力的质保系统和质检系统，认真执行国家、交通运输部和浙江省交通运输厅有关加强质量管理的法规和文件，开展全面质量管理，确保工程质量达到质量目标。</w:t>
      </w:r>
    </w:p>
    <w:p w14:paraId="12F33B25">
      <w:pPr>
        <w:numPr>
          <w:ilvl w:val="2"/>
          <w:numId w:val="32"/>
        </w:numPr>
        <w:tabs>
          <w:tab w:val="left" w:pos="1687"/>
        </w:tabs>
        <w:autoSpaceDE w:val="0"/>
        <w:autoSpaceDN w:val="0"/>
        <w:spacing w:before="4" w:line="352" w:lineRule="auto"/>
        <w:ind w:right="567" w:firstLine="420"/>
        <w:jc w:val="both"/>
        <w:rPr>
          <w:rFonts w:ascii="宋体" w:hAnsi="宋体" w:eastAsia="宋体" w:cs="宋体"/>
          <w:szCs w:val="22"/>
        </w:rPr>
      </w:pPr>
      <w:r>
        <w:rPr>
          <w:rFonts w:ascii="宋体" w:hAnsi="宋体" w:eastAsia="宋体" w:cs="宋体"/>
          <w:spacing w:val="-2"/>
          <w:szCs w:val="22"/>
        </w:rPr>
        <w:t>因承包人原因造成工程质量达不到合同约定验收标准的，监理人有权要求承包人返工直至符合合同要求为止，由此造成的费用增加和（或）工期延误由承包人承担。</w:t>
      </w:r>
    </w:p>
    <w:p w14:paraId="3DD153BC">
      <w:pPr>
        <w:numPr>
          <w:ilvl w:val="2"/>
          <w:numId w:val="32"/>
        </w:numPr>
        <w:tabs>
          <w:tab w:val="left" w:pos="1687"/>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因发包人原因造成工程质量达不到合同约定验收标准的，发包人应承担由于承包人返工造成的费用增加和（或）工期延误，并支付承包人合理利润。</w:t>
      </w:r>
    </w:p>
    <w:p w14:paraId="35E6A1AE">
      <w:pPr>
        <w:numPr>
          <w:ilvl w:val="1"/>
          <w:numId w:val="32"/>
        </w:numPr>
        <w:tabs>
          <w:tab w:val="left" w:pos="1054"/>
        </w:tabs>
        <w:autoSpaceDE w:val="0"/>
        <w:autoSpaceDN w:val="0"/>
        <w:spacing w:line="272" w:lineRule="exact"/>
        <w:ind w:left="1054" w:hanging="628"/>
        <w:jc w:val="both"/>
        <w:rPr>
          <w:rFonts w:ascii="宋体" w:hAnsi="宋体" w:eastAsia="宋体" w:cs="宋体"/>
          <w:szCs w:val="22"/>
        </w:rPr>
      </w:pPr>
      <w:r>
        <w:rPr>
          <w:rFonts w:ascii="宋体" w:hAnsi="宋体" w:eastAsia="宋体" w:cs="宋体"/>
          <w:spacing w:val="-4"/>
          <w:szCs w:val="22"/>
        </w:rPr>
        <w:t>承包人的质量管理</w:t>
      </w:r>
    </w:p>
    <w:p w14:paraId="59913B9D">
      <w:pPr>
        <w:numPr>
          <w:ilvl w:val="2"/>
          <w:numId w:val="32"/>
        </w:numPr>
        <w:tabs>
          <w:tab w:val="left" w:pos="1687"/>
        </w:tabs>
        <w:autoSpaceDE w:val="0"/>
        <w:autoSpaceDN w:val="0"/>
        <w:spacing w:before="122" w:line="352" w:lineRule="auto"/>
        <w:ind w:right="567" w:firstLine="420"/>
        <w:jc w:val="both"/>
        <w:rPr>
          <w:rFonts w:ascii="宋体" w:hAnsi="宋体" w:eastAsia="宋体" w:cs="宋体"/>
          <w:szCs w:val="22"/>
        </w:rPr>
      </w:pPr>
      <w:r>
        <w:rPr>
          <w:rFonts w:ascii="宋体" w:hAnsi="宋体" w:eastAsia="宋体" w:cs="宋体"/>
          <w:spacing w:val="-2"/>
          <w:szCs w:val="22"/>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3F091AC">
      <w:pPr>
        <w:numPr>
          <w:ilvl w:val="2"/>
          <w:numId w:val="32"/>
        </w:numPr>
        <w:tabs>
          <w:tab w:val="left" w:pos="1687"/>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承包人应加强对施工人员的质量教育和技术培训，定期考核施工人员的劳动技能，严格执行规范和操作规程。</w:t>
      </w:r>
    </w:p>
    <w:p w14:paraId="1C49B89B">
      <w:pPr>
        <w:numPr>
          <w:ilvl w:val="2"/>
          <w:numId w:val="32"/>
        </w:numPr>
        <w:tabs>
          <w:tab w:val="left" w:pos="1687"/>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承包人必须遵守国家有关法律、法规和规章，严格执行《公路养护技术规范》、《公路桥涵养护规范》、《公路隧道养护技术规范》、《公路桥梁技术状况评定标准》、《公路养护工程质量检验评定标准》等各类技术规范及规程，全面履行工程合同义务，依法对公路养护工程质量</w:t>
      </w:r>
      <w:r>
        <w:rPr>
          <w:rFonts w:ascii="宋体" w:hAnsi="宋体" w:eastAsia="宋体" w:cs="宋体"/>
          <w:spacing w:val="-4"/>
          <w:szCs w:val="22"/>
        </w:rPr>
        <w:t>负责。</w:t>
      </w:r>
    </w:p>
    <w:p w14:paraId="7AA0F8CA">
      <w:pPr>
        <w:spacing w:line="352" w:lineRule="auto"/>
        <w:sectPr>
          <w:pgSz w:w="11910" w:h="16840"/>
          <w:pgMar w:top="1640" w:right="849" w:bottom="1360" w:left="992" w:header="0" w:footer="1176" w:gutter="0"/>
          <w:cols w:space="720" w:num="1"/>
        </w:sectPr>
      </w:pPr>
    </w:p>
    <w:p w14:paraId="68646BB8">
      <w:pPr>
        <w:numPr>
          <w:ilvl w:val="2"/>
          <w:numId w:val="32"/>
        </w:numPr>
        <w:tabs>
          <w:tab w:val="left" w:pos="1687"/>
        </w:tabs>
        <w:autoSpaceDE w:val="0"/>
        <w:autoSpaceDN w:val="0"/>
        <w:spacing w:before="37" w:line="350" w:lineRule="auto"/>
        <w:ind w:right="567" w:firstLine="420"/>
        <w:rPr>
          <w:rFonts w:ascii="宋体" w:hAnsi="宋体" w:eastAsia="宋体" w:cs="宋体"/>
          <w:szCs w:val="22"/>
        </w:rPr>
      </w:pPr>
      <w:r>
        <w:rPr>
          <w:rFonts w:ascii="宋体" w:hAnsi="宋体" w:eastAsia="宋体" w:cs="宋体"/>
          <w:spacing w:val="-2"/>
          <w:szCs w:val="22"/>
        </w:rPr>
        <w:t>承包人应加强质量监控，确保规范规定的检验、抽检频率，现场质检的原始资料必须真实、准确、可靠，不得追记，接受质量检查时必须出示原始资料。</w:t>
      </w:r>
    </w:p>
    <w:p w14:paraId="7F1C1BFB">
      <w:pPr>
        <w:numPr>
          <w:ilvl w:val="2"/>
          <w:numId w:val="32"/>
        </w:numPr>
        <w:tabs>
          <w:tab w:val="left" w:pos="1687"/>
        </w:tabs>
        <w:autoSpaceDE w:val="0"/>
        <w:autoSpaceDN w:val="0"/>
        <w:spacing w:before="2" w:line="352" w:lineRule="auto"/>
        <w:ind w:right="567" w:firstLine="420"/>
        <w:rPr>
          <w:rFonts w:ascii="宋体" w:hAnsi="宋体" w:eastAsia="宋体" w:cs="宋体"/>
          <w:szCs w:val="22"/>
        </w:rPr>
      </w:pPr>
      <w:r>
        <w:rPr>
          <w:rFonts w:ascii="宋体" w:hAnsi="宋体" w:eastAsia="宋体" w:cs="宋体"/>
          <w:spacing w:val="-2"/>
          <w:szCs w:val="22"/>
        </w:rPr>
        <w:t>承包人必须完善检验手段，根据技术规范的规定配齐检测和试验仪器、仪表，并应及时校正确保其精度；加强材料检验工作，不合格材料严禁用于本工程。</w:t>
      </w:r>
    </w:p>
    <w:p w14:paraId="513C7F8F">
      <w:pPr>
        <w:numPr>
          <w:ilvl w:val="1"/>
          <w:numId w:val="32"/>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4"/>
          <w:szCs w:val="22"/>
        </w:rPr>
        <w:t>承包人的质量检查</w:t>
      </w:r>
    </w:p>
    <w:p w14:paraId="3620B7F5">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承包人应按合同约定对材料、工程设备以及工程的所有部位及其施工工艺进行全过程的质量检查和检验，并作详细记录，编制工程质量报表，报送监理人审查。</w:t>
      </w:r>
    </w:p>
    <w:p w14:paraId="5AE95C39">
      <w:pPr>
        <w:numPr>
          <w:ilvl w:val="1"/>
          <w:numId w:val="32"/>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4"/>
          <w:szCs w:val="22"/>
        </w:rPr>
        <w:t>监理人的质量检查</w:t>
      </w:r>
    </w:p>
    <w:p w14:paraId="21E2B856">
      <w:pPr>
        <w:autoSpaceDE w:val="0"/>
        <w:autoSpaceDN w:val="0"/>
        <w:spacing w:before="127" w:line="352" w:lineRule="auto"/>
        <w:ind w:left="426" w:right="567" w:firstLine="420"/>
        <w:rPr>
          <w:rFonts w:ascii="宋体" w:hAnsi="宋体" w:eastAsia="宋体" w:cs="宋体"/>
          <w:szCs w:val="21"/>
        </w:rPr>
      </w:pPr>
      <w:r>
        <w:rPr>
          <w:rFonts w:ascii="宋体" w:hAnsi="宋体" w:eastAsia="宋体" w:cs="宋体"/>
          <w:spacing w:val="-2"/>
          <w:szCs w:val="21"/>
        </w:rPr>
        <w:t>监理人有权对工程的所有部位及其施工工艺、材料和工程设备进行检查和检验。承包人应为监理人的检查和检验提供方便，包括监理人到施工场地，或制造、加工地点，或合同约定的其它地方进行察看和查阅施工原始记录。承包人还应按监理人指示，进行施工场地取样试验、工程复核测量和设备性能检测，提供试验样品、提交试验报告和测量成果以及监理人要求进行的其它工作。监理人的检查和检验，不免除承包人按合同约定应负的责任。</w:t>
      </w:r>
    </w:p>
    <w:p w14:paraId="4423620F">
      <w:pPr>
        <w:autoSpaceDE w:val="0"/>
        <w:autoSpaceDN w:val="0"/>
        <w:spacing w:line="352" w:lineRule="auto"/>
        <w:ind w:left="426" w:right="567" w:firstLine="420"/>
        <w:jc w:val="left"/>
        <w:rPr>
          <w:rFonts w:ascii="宋体" w:hAnsi="宋体" w:eastAsia="宋体" w:cs="宋体"/>
          <w:szCs w:val="21"/>
        </w:rPr>
      </w:pPr>
      <w:r>
        <w:rPr>
          <w:rFonts w:ascii="宋体" w:hAnsi="宋体" w:eastAsia="宋体" w:cs="宋体"/>
          <w:spacing w:val="-2"/>
          <w:szCs w:val="21"/>
        </w:rPr>
        <w:t>监理人及其委派的检验人员，应能进入工程现场，以及材料加工场所，包括不属于承包人的场所进行检查，承包人应为此提供便利和协助。</w:t>
      </w:r>
    </w:p>
    <w:p w14:paraId="690DDB8F">
      <w:pPr>
        <w:autoSpaceDE w:val="0"/>
        <w:autoSpaceDN w:val="0"/>
        <w:spacing w:line="350" w:lineRule="auto"/>
        <w:ind w:left="426" w:right="567" w:firstLine="420"/>
        <w:jc w:val="left"/>
        <w:rPr>
          <w:rFonts w:ascii="宋体" w:hAnsi="宋体" w:eastAsia="宋体" w:cs="宋体"/>
          <w:szCs w:val="21"/>
        </w:rPr>
      </w:pPr>
      <w:r>
        <w:rPr>
          <w:rFonts w:ascii="宋体" w:hAnsi="宋体" w:eastAsia="宋体" w:cs="宋体"/>
          <w:spacing w:val="-2"/>
          <w:szCs w:val="21"/>
        </w:rPr>
        <w:t>监理人可以将材料检验委托一家独立的有质量检验认证资格的检验单位。该独立检验单位的检</w:t>
      </w:r>
      <w:r>
        <w:rPr>
          <w:rFonts w:ascii="宋体" w:hAnsi="宋体" w:eastAsia="宋体" w:cs="宋体"/>
          <w:szCs w:val="21"/>
        </w:rPr>
        <w:t>验结果应视为监理人完成的。监理人应将这种委托的通知书不少于 7 天前交给承包人。</w:t>
      </w:r>
    </w:p>
    <w:p w14:paraId="63C2B0D6">
      <w:pPr>
        <w:numPr>
          <w:ilvl w:val="1"/>
          <w:numId w:val="32"/>
        </w:numPr>
        <w:tabs>
          <w:tab w:val="left" w:pos="1054"/>
        </w:tabs>
        <w:autoSpaceDE w:val="0"/>
        <w:autoSpaceDN w:val="0"/>
        <w:ind w:left="1054" w:hanging="628"/>
        <w:rPr>
          <w:rFonts w:ascii="宋体" w:hAnsi="宋体" w:eastAsia="宋体" w:cs="宋体"/>
          <w:szCs w:val="22"/>
        </w:rPr>
      </w:pPr>
      <w:r>
        <w:rPr>
          <w:rFonts w:ascii="宋体" w:hAnsi="宋体" w:eastAsia="宋体" w:cs="宋体"/>
          <w:spacing w:val="-3"/>
          <w:szCs w:val="22"/>
        </w:rPr>
        <w:t>工程隐蔽部位覆盖前的检查</w:t>
      </w:r>
    </w:p>
    <w:p w14:paraId="34CA4F3B">
      <w:pPr>
        <w:numPr>
          <w:ilvl w:val="2"/>
          <w:numId w:val="32"/>
        </w:numPr>
        <w:tabs>
          <w:tab w:val="left" w:pos="1684"/>
        </w:tabs>
        <w:autoSpaceDE w:val="0"/>
        <w:autoSpaceDN w:val="0"/>
        <w:spacing w:before="122"/>
        <w:ind w:left="1684" w:hanging="838"/>
        <w:rPr>
          <w:rFonts w:ascii="宋体" w:hAnsi="宋体" w:eastAsia="宋体" w:cs="宋体"/>
          <w:szCs w:val="22"/>
        </w:rPr>
      </w:pPr>
      <w:r>
        <w:rPr>
          <w:rFonts w:ascii="宋体" w:hAnsi="宋体" w:eastAsia="宋体" w:cs="宋体"/>
          <w:spacing w:val="-4"/>
          <w:szCs w:val="22"/>
        </w:rPr>
        <w:t>通知监理人检查</w:t>
      </w:r>
    </w:p>
    <w:p w14:paraId="1F300659">
      <w:pPr>
        <w:autoSpaceDE w:val="0"/>
        <w:autoSpaceDN w:val="0"/>
        <w:spacing w:before="125" w:line="352" w:lineRule="auto"/>
        <w:ind w:left="426" w:right="463" w:firstLine="420"/>
        <w:jc w:val="left"/>
        <w:rPr>
          <w:rFonts w:ascii="宋体" w:hAnsi="宋体" w:eastAsia="宋体" w:cs="宋体"/>
          <w:szCs w:val="21"/>
        </w:rPr>
      </w:pPr>
      <w:r>
        <w:rPr>
          <w:rFonts w:ascii="宋体" w:hAnsi="宋体" w:eastAsia="宋体" w:cs="宋体"/>
          <w:spacing w:val="-3"/>
          <w:szCs w:val="22"/>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由此增加的费用和（或）延误的工期由承包人承担</w:t>
      </w:r>
      <w:r>
        <w:rPr>
          <w:rFonts w:ascii="宋体" w:hAnsi="宋体" w:eastAsia="宋体" w:cs="宋体"/>
          <w:spacing w:val="-1"/>
          <w:w w:val="99"/>
          <w:szCs w:val="21"/>
        </w:rPr>
        <w:t>。</w:t>
      </w:r>
    </w:p>
    <w:p w14:paraId="79384093">
      <w:pPr>
        <w:autoSpaceDE w:val="0"/>
        <w:autoSpaceDN w:val="0"/>
        <w:spacing w:line="350" w:lineRule="auto"/>
        <w:ind w:left="426" w:right="567" w:firstLine="420"/>
        <w:rPr>
          <w:rFonts w:ascii="宋体" w:hAnsi="宋体" w:eastAsia="宋体" w:cs="宋体"/>
          <w:szCs w:val="21"/>
        </w:rPr>
      </w:pPr>
      <w:r>
        <w:rPr>
          <w:rFonts w:ascii="宋体" w:hAnsi="宋体" w:eastAsia="宋体" w:cs="宋体"/>
          <w:spacing w:val="-2"/>
          <w:szCs w:val="21"/>
        </w:rPr>
        <w:t>当监理人有指令时，承包人应对重要隐蔽工程进行拍摄或照相并应保证监理人有充分的机会对将要覆盖或掩蔽的工程进行检查和量测，特别是在基础以上的任一部分工程修筑之前，对该基础进</w:t>
      </w:r>
      <w:r>
        <w:rPr>
          <w:rFonts w:ascii="宋体" w:hAnsi="宋体" w:eastAsia="宋体" w:cs="宋体"/>
          <w:spacing w:val="-4"/>
          <w:szCs w:val="21"/>
        </w:rPr>
        <w:t>行检查。</w:t>
      </w:r>
    </w:p>
    <w:p w14:paraId="3E807C65">
      <w:pPr>
        <w:numPr>
          <w:ilvl w:val="2"/>
          <w:numId w:val="32"/>
        </w:numPr>
        <w:tabs>
          <w:tab w:val="left" w:pos="1684"/>
        </w:tabs>
        <w:autoSpaceDE w:val="0"/>
        <w:autoSpaceDN w:val="0"/>
        <w:ind w:left="1684" w:hanging="838"/>
        <w:jc w:val="both"/>
        <w:rPr>
          <w:rFonts w:ascii="宋体" w:hAnsi="宋体" w:eastAsia="宋体" w:cs="宋体"/>
          <w:szCs w:val="22"/>
        </w:rPr>
      </w:pPr>
      <w:r>
        <w:rPr>
          <w:rFonts w:ascii="宋体" w:hAnsi="宋体" w:eastAsia="宋体" w:cs="宋体"/>
          <w:spacing w:val="-4"/>
          <w:szCs w:val="22"/>
        </w:rPr>
        <w:t>监理人未到场检查</w:t>
      </w:r>
    </w:p>
    <w:p w14:paraId="6FA7199F">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zCs w:val="21"/>
        </w:rPr>
        <w:t>监理人未按第 13.5.1 项约定的时间进行检查的，除监理人另有指示外，承包人可自行完成覆</w:t>
      </w:r>
      <w:r>
        <w:rPr>
          <w:rFonts w:ascii="宋体" w:hAnsi="宋体" w:eastAsia="宋体" w:cs="宋体"/>
          <w:spacing w:val="-3"/>
          <w:szCs w:val="21"/>
        </w:rPr>
        <w:t>盖工作，并作相应记录报送监理人，监理人应签字确认。监理人事后对检查记录有疑问的，可按第</w:t>
      </w:r>
    </w:p>
    <w:p w14:paraId="1D7224D8">
      <w:pPr>
        <w:numPr>
          <w:ilvl w:val="2"/>
          <w:numId w:val="32"/>
        </w:numPr>
        <w:tabs>
          <w:tab w:val="left" w:pos="1159"/>
        </w:tabs>
        <w:autoSpaceDE w:val="0"/>
        <w:autoSpaceDN w:val="0"/>
        <w:spacing w:line="272" w:lineRule="exact"/>
        <w:ind w:left="1159" w:hanging="733"/>
        <w:jc w:val="both"/>
        <w:rPr>
          <w:rFonts w:ascii="宋体" w:hAnsi="宋体" w:eastAsia="宋体" w:cs="宋体"/>
          <w:szCs w:val="22"/>
        </w:rPr>
      </w:pPr>
      <w:r>
        <w:rPr>
          <w:rFonts w:ascii="宋体" w:hAnsi="宋体" w:eastAsia="宋体" w:cs="宋体"/>
          <w:spacing w:val="-3"/>
          <w:szCs w:val="22"/>
        </w:rPr>
        <w:t>项的约定重新检查。</w:t>
      </w:r>
    </w:p>
    <w:p w14:paraId="6323A39C">
      <w:pPr>
        <w:numPr>
          <w:ilvl w:val="2"/>
          <w:numId w:val="33"/>
        </w:numPr>
        <w:tabs>
          <w:tab w:val="left" w:pos="1684"/>
        </w:tabs>
        <w:autoSpaceDE w:val="0"/>
        <w:autoSpaceDN w:val="0"/>
        <w:spacing w:before="125"/>
        <w:ind w:left="1684" w:hanging="838"/>
        <w:jc w:val="both"/>
        <w:rPr>
          <w:rFonts w:ascii="宋体" w:hAnsi="宋体" w:eastAsia="宋体" w:cs="宋体"/>
          <w:szCs w:val="22"/>
        </w:rPr>
      </w:pPr>
      <w:r>
        <w:rPr>
          <w:rFonts w:ascii="宋体" w:hAnsi="宋体" w:eastAsia="宋体" w:cs="宋体"/>
          <w:spacing w:val="-4"/>
          <w:szCs w:val="22"/>
        </w:rPr>
        <w:t>监理人重新检查</w:t>
      </w:r>
    </w:p>
    <w:p w14:paraId="0FB58E3C">
      <w:pPr>
        <w:autoSpaceDE w:val="0"/>
        <w:autoSpaceDN w:val="0"/>
        <w:spacing w:before="128" w:line="352" w:lineRule="auto"/>
        <w:ind w:left="426" w:right="567" w:firstLine="420"/>
        <w:rPr>
          <w:rFonts w:ascii="宋体" w:hAnsi="宋体" w:eastAsia="宋体" w:cs="宋体"/>
          <w:szCs w:val="21"/>
        </w:rPr>
      </w:pPr>
      <w:r>
        <w:rPr>
          <w:rFonts w:ascii="宋体" w:hAnsi="宋体" w:eastAsia="宋体" w:cs="宋体"/>
          <w:szCs w:val="21"/>
        </w:rPr>
        <w:t>承包人按第 13.5.1</w:t>
      </w:r>
      <w:r>
        <w:rPr>
          <w:rFonts w:ascii="宋体" w:hAnsi="宋体" w:eastAsia="宋体" w:cs="宋体"/>
          <w:spacing w:val="-1"/>
          <w:szCs w:val="21"/>
        </w:rPr>
        <w:t xml:space="preserve"> 项或第 </w:t>
      </w:r>
      <w:r>
        <w:rPr>
          <w:rFonts w:ascii="宋体" w:hAnsi="宋体" w:eastAsia="宋体" w:cs="宋体"/>
          <w:szCs w:val="21"/>
        </w:rPr>
        <w:t>13.5.2</w:t>
      </w:r>
      <w:r>
        <w:rPr>
          <w:rFonts w:ascii="宋体" w:hAnsi="宋体" w:eastAsia="宋体" w:cs="宋体"/>
          <w:spacing w:val="-1"/>
          <w:szCs w:val="21"/>
        </w:rPr>
        <w:t xml:space="preserve"> 项覆盖工程隐蔽部位后，监理人对质量有疑问的，可要求</w:t>
      </w:r>
      <w:r>
        <w:rPr>
          <w:rFonts w:ascii="宋体" w:hAnsi="宋体" w:eastAsia="宋体" w:cs="宋体"/>
          <w:spacing w:val="-3"/>
          <w:szCs w:val="21"/>
        </w:rPr>
        <w:t>承包人对已覆盖的部位进行钻孔探测或揭开重新检验，承包人应遵照执行，并在检验后重新覆盖恢</w:t>
      </w:r>
    </w:p>
    <w:p w14:paraId="68B899FD">
      <w:pPr>
        <w:spacing w:line="352" w:lineRule="auto"/>
        <w:sectPr>
          <w:pgSz w:w="11910" w:h="16840"/>
          <w:pgMar w:top="1640" w:right="849" w:bottom="1360" w:left="992" w:header="0" w:footer="1176" w:gutter="0"/>
          <w:cols w:space="720" w:num="1"/>
        </w:sectPr>
      </w:pPr>
    </w:p>
    <w:p w14:paraId="70465C1B">
      <w:pPr>
        <w:autoSpaceDE w:val="0"/>
        <w:autoSpaceDN w:val="0"/>
        <w:spacing w:before="37" w:line="350" w:lineRule="auto"/>
        <w:ind w:left="426" w:right="567"/>
        <w:rPr>
          <w:rFonts w:ascii="宋体" w:hAnsi="宋体" w:eastAsia="宋体" w:cs="宋体"/>
          <w:szCs w:val="21"/>
        </w:rPr>
      </w:pPr>
      <w:r>
        <w:rPr>
          <w:rFonts w:ascii="宋体" w:hAnsi="宋体" w:eastAsia="宋体" w:cs="宋体"/>
          <w:spacing w:val="-2"/>
          <w:szCs w:val="21"/>
        </w:rPr>
        <w:t>复原状。经检验证明工程质量符合合同要求的，由发包人承担由此增加的费用和（或）工期延误，并支付承包人合理利润；经检验证明工程质量不符合合同要求的，由此增加的费用和（或）工期延误由承包人承担。</w:t>
      </w:r>
    </w:p>
    <w:p w14:paraId="09B90436">
      <w:pPr>
        <w:numPr>
          <w:ilvl w:val="2"/>
          <w:numId w:val="33"/>
        </w:numPr>
        <w:tabs>
          <w:tab w:val="left" w:pos="1684"/>
        </w:tabs>
        <w:autoSpaceDE w:val="0"/>
        <w:autoSpaceDN w:val="0"/>
        <w:spacing w:before="4"/>
        <w:ind w:left="1684" w:hanging="838"/>
        <w:rPr>
          <w:rFonts w:ascii="宋体" w:hAnsi="宋体" w:eastAsia="宋体" w:cs="宋体"/>
          <w:szCs w:val="22"/>
        </w:rPr>
      </w:pPr>
      <w:r>
        <w:rPr>
          <w:rFonts w:ascii="宋体" w:hAnsi="宋体" w:eastAsia="宋体" w:cs="宋体"/>
          <w:spacing w:val="-4"/>
          <w:szCs w:val="22"/>
        </w:rPr>
        <w:t>承包人私自覆盖</w:t>
      </w:r>
    </w:p>
    <w:p w14:paraId="54F7599D">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承包人未通知监理人到场检查，私自将工程隐蔽部位覆盖的，监理人有权指示承包人钻孔探测或揭开检查，由此增加的费用和（或）工期延误由承包人承担。</w:t>
      </w:r>
    </w:p>
    <w:p w14:paraId="0A34A752">
      <w:pPr>
        <w:numPr>
          <w:ilvl w:val="1"/>
          <w:numId w:val="32"/>
        </w:numPr>
        <w:tabs>
          <w:tab w:val="left" w:pos="1054"/>
        </w:tabs>
        <w:autoSpaceDE w:val="0"/>
        <w:autoSpaceDN w:val="0"/>
        <w:spacing w:line="272" w:lineRule="exact"/>
        <w:ind w:left="1054" w:hanging="628"/>
        <w:rPr>
          <w:rFonts w:ascii="宋体" w:hAnsi="宋体" w:eastAsia="宋体" w:cs="宋体"/>
          <w:szCs w:val="22"/>
        </w:rPr>
      </w:pPr>
      <w:r>
        <w:rPr>
          <w:rFonts w:ascii="宋体" w:hAnsi="宋体" w:eastAsia="宋体" w:cs="宋体"/>
          <w:spacing w:val="-4"/>
          <w:szCs w:val="22"/>
        </w:rPr>
        <w:t>清除不合格工程</w:t>
      </w:r>
    </w:p>
    <w:p w14:paraId="5198A572">
      <w:pPr>
        <w:numPr>
          <w:ilvl w:val="2"/>
          <w:numId w:val="32"/>
        </w:numPr>
        <w:tabs>
          <w:tab w:val="left" w:pos="1668"/>
        </w:tabs>
        <w:autoSpaceDE w:val="0"/>
        <w:autoSpaceDN w:val="0"/>
        <w:spacing w:before="126" w:line="352" w:lineRule="auto"/>
        <w:ind w:right="567" w:firstLine="420"/>
        <w:jc w:val="both"/>
        <w:rPr>
          <w:rFonts w:ascii="宋体" w:hAnsi="宋体" w:eastAsia="宋体" w:cs="宋体"/>
          <w:szCs w:val="22"/>
        </w:rPr>
      </w:pPr>
      <w:r>
        <w:rPr>
          <w:rFonts w:ascii="宋体" w:hAnsi="宋体" w:eastAsia="宋体" w:cs="宋体"/>
          <w:spacing w:val="-2"/>
          <w:szCs w:val="22"/>
        </w:rPr>
        <w:t>（1）承包人使用不合格材料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7ABFE3B5">
      <w:pPr>
        <w:autoSpaceDE w:val="0"/>
        <w:autoSpaceDN w:val="0"/>
        <w:spacing w:line="352" w:lineRule="auto"/>
        <w:ind w:left="426" w:right="569" w:firstLine="314"/>
        <w:jc w:val="left"/>
        <w:rPr>
          <w:rFonts w:ascii="宋体" w:hAnsi="宋体" w:eastAsia="宋体" w:cs="宋体"/>
          <w:szCs w:val="21"/>
        </w:rPr>
      </w:pPr>
      <w:r>
        <w:rPr>
          <w:rFonts w:ascii="宋体" w:hAnsi="宋体" w:eastAsia="宋体" w:cs="宋体"/>
          <w:spacing w:val="-2"/>
          <w:szCs w:val="21"/>
        </w:rPr>
        <w:t>（2）如果承包人未在规定时间内执行监理人的指示，发包人有权雇用他人执行，由此增加的费用和（或）工期延误由承包人承担。</w:t>
      </w:r>
    </w:p>
    <w:p w14:paraId="581DAED4">
      <w:pPr>
        <w:numPr>
          <w:ilvl w:val="2"/>
          <w:numId w:val="32"/>
        </w:numPr>
        <w:tabs>
          <w:tab w:val="left" w:pos="1687"/>
        </w:tabs>
        <w:autoSpaceDE w:val="0"/>
        <w:autoSpaceDN w:val="0"/>
        <w:spacing w:line="350" w:lineRule="auto"/>
        <w:ind w:right="567" w:firstLine="420"/>
        <w:rPr>
          <w:rFonts w:ascii="宋体" w:hAnsi="宋体" w:eastAsia="宋体" w:cs="宋体"/>
          <w:szCs w:val="22"/>
        </w:rPr>
      </w:pPr>
      <w:r>
        <w:rPr>
          <w:rFonts w:ascii="宋体" w:hAnsi="宋体" w:eastAsia="宋体" w:cs="宋体"/>
          <w:spacing w:val="-2"/>
          <w:szCs w:val="22"/>
        </w:rPr>
        <w:t>由于发包人提供的材料或工程设备不合格造成的工程不合格，需要承包人采取措施补救的，发包人应承担由此增加的费用和（或）工期延误，并支付承包人合理利润。</w:t>
      </w:r>
    </w:p>
    <w:p w14:paraId="01B9C754">
      <w:pPr>
        <w:numPr>
          <w:ilvl w:val="0"/>
          <w:numId w:val="34"/>
        </w:numPr>
        <w:tabs>
          <w:tab w:val="left" w:pos="842"/>
        </w:tabs>
        <w:autoSpaceDE w:val="0"/>
        <w:autoSpaceDN w:val="0"/>
        <w:ind w:left="842" w:hanging="416"/>
        <w:rPr>
          <w:rFonts w:ascii="宋体" w:hAnsi="宋体" w:eastAsia="宋体" w:cs="宋体"/>
          <w:szCs w:val="22"/>
        </w:rPr>
      </w:pPr>
      <w:r>
        <w:rPr>
          <w:rFonts w:ascii="宋体" w:hAnsi="宋体" w:eastAsia="宋体" w:cs="宋体"/>
          <w:spacing w:val="-4"/>
          <w:szCs w:val="22"/>
        </w:rPr>
        <w:t>试验和检验</w:t>
      </w:r>
    </w:p>
    <w:p w14:paraId="30082FB2">
      <w:pPr>
        <w:numPr>
          <w:ilvl w:val="1"/>
          <w:numId w:val="34"/>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3"/>
          <w:szCs w:val="22"/>
        </w:rPr>
        <w:t>材料、工程设备和工程的试验和检验</w:t>
      </w:r>
    </w:p>
    <w:p w14:paraId="5D3F711F">
      <w:pPr>
        <w:numPr>
          <w:ilvl w:val="2"/>
          <w:numId w:val="34"/>
        </w:numPr>
        <w:tabs>
          <w:tab w:val="left" w:pos="1687"/>
        </w:tabs>
        <w:autoSpaceDE w:val="0"/>
        <w:autoSpaceDN w:val="0"/>
        <w:spacing w:before="125" w:line="352" w:lineRule="auto"/>
        <w:ind w:right="567" w:firstLine="420"/>
        <w:jc w:val="both"/>
        <w:rPr>
          <w:rFonts w:ascii="宋体" w:hAnsi="宋体" w:eastAsia="宋体" w:cs="宋体"/>
          <w:szCs w:val="22"/>
        </w:rPr>
      </w:pPr>
      <w:r>
        <w:rPr>
          <w:rFonts w:ascii="宋体" w:hAnsi="宋体" w:eastAsia="宋体" w:cs="宋体"/>
          <w:spacing w:val="-2"/>
          <w:szCs w:val="22"/>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FC83FC">
      <w:pPr>
        <w:numPr>
          <w:ilvl w:val="2"/>
          <w:numId w:val="34"/>
        </w:numPr>
        <w:tabs>
          <w:tab w:val="left" w:pos="1687"/>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监理人未按合同约定派员参加试验和检验的，除监理人另有指示外，承包人可自行试验和检验，并应立即将试验和检验结果报送监理人，监理人应签字确认。</w:t>
      </w:r>
    </w:p>
    <w:p w14:paraId="34AAF840">
      <w:pPr>
        <w:numPr>
          <w:ilvl w:val="2"/>
          <w:numId w:val="34"/>
        </w:numPr>
        <w:tabs>
          <w:tab w:val="left" w:pos="1687"/>
        </w:tabs>
        <w:autoSpaceDE w:val="0"/>
        <w:autoSpaceDN w:val="0"/>
        <w:spacing w:line="350" w:lineRule="auto"/>
        <w:ind w:right="567" w:firstLine="420"/>
        <w:jc w:val="both"/>
        <w:rPr>
          <w:rFonts w:ascii="宋体" w:hAnsi="宋体" w:eastAsia="宋体" w:cs="宋体"/>
          <w:szCs w:val="22"/>
        </w:rPr>
      </w:pPr>
      <w:r>
        <w:rPr>
          <w:rFonts w:ascii="宋体" w:hAnsi="宋体" w:eastAsia="宋体" w:cs="宋体"/>
          <w:spacing w:val="-2"/>
          <w:szCs w:val="22"/>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8167389">
      <w:pPr>
        <w:numPr>
          <w:ilvl w:val="1"/>
          <w:numId w:val="34"/>
        </w:numPr>
        <w:tabs>
          <w:tab w:val="left" w:pos="1054"/>
        </w:tabs>
        <w:autoSpaceDE w:val="0"/>
        <w:autoSpaceDN w:val="0"/>
        <w:spacing w:before="1"/>
        <w:ind w:left="1054" w:hanging="628"/>
        <w:jc w:val="both"/>
        <w:rPr>
          <w:rFonts w:ascii="宋体" w:hAnsi="宋体" w:eastAsia="宋体" w:cs="宋体"/>
          <w:szCs w:val="22"/>
        </w:rPr>
      </w:pPr>
      <w:r>
        <w:rPr>
          <w:rFonts w:ascii="宋体" w:hAnsi="宋体" w:eastAsia="宋体" w:cs="宋体"/>
          <w:spacing w:val="-4"/>
          <w:szCs w:val="22"/>
        </w:rPr>
        <w:t>现场材料试验</w:t>
      </w:r>
    </w:p>
    <w:p w14:paraId="6C9FE31D">
      <w:pPr>
        <w:numPr>
          <w:ilvl w:val="2"/>
          <w:numId w:val="34"/>
        </w:numPr>
        <w:tabs>
          <w:tab w:val="left" w:pos="1687"/>
        </w:tabs>
        <w:autoSpaceDE w:val="0"/>
        <w:autoSpaceDN w:val="0"/>
        <w:spacing w:before="128" w:line="350" w:lineRule="auto"/>
        <w:ind w:right="567" w:firstLine="420"/>
        <w:jc w:val="both"/>
        <w:rPr>
          <w:rFonts w:ascii="宋体" w:hAnsi="宋体" w:eastAsia="宋体" w:cs="宋体"/>
          <w:szCs w:val="22"/>
        </w:rPr>
      </w:pPr>
      <w:r>
        <w:rPr>
          <w:rFonts w:ascii="宋体" w:hAnsi="宋体" w:eastAsia="宋体" w:cs="宋体"/>
          <w:spacing w:val="-2"/>
          <w:szCs w:val="22"/>
        </w:rPr>
        <w:t>承包人根据合同约定或监理人指示进行的现场材料试验，应由承包人提供试验场所、试验人员、试验设备器材以及其它必要的试验条件。</w:t>
      </w:r>
    </w:p>
    <w:p w14:paraId="023D104B">
      <w:pPr>
        <w:numPr>
          <w:ilvl w:val="2"/>
          <w:numId w:val="34"/>
        </w:numPr>
        <w:tabs>
          <w:tab w:val="left" w:pos="1687"/>
        </w:tabs>
        <w:autoSpaceDE w:val="0"/>
        <w:autoSpaceDN w:val="0"/>
        <w:spacing w:before="2" w:line="352" w:lineRule="auto"/>
        <w:ind w:right="567" w:firstLine="420"/>
        <w:jc w:val="both"/>
        <w:rPr>
          <w:rFonts w:ascii="宋体" w:hAnsi="宋体" w:eastAsia="宋体" w:cs="宋体"/>
          <w:szCs w:val="22"/>
        </w:rPr>
      </w:pPr>
      <w:r>
        <w:rPr>
          <w:rFonts w:ascii="宋体" w:hAnsi="宋体" w:eastAsia="宋体" w:cs="宋体"/>
          <w:spacing w:val="-2"/>
          <w:szCs w:val="22"/>
        </w:rPr>
        <w:t>监理人在必要时可以使用承包人的试验场所、试验设备器材以及其它试验条件，进行以工程质量检查为目的的复核性材料试验，承包人应予以协助。</w:t>
      </w:r>
    </w:p>
    <w:p w14:paraId="126E81B1">
      <w:pPr>
        <w:numPr>
          <w:ilvl w:val="1"/>
          <w:numId w:val="34"/>
        </w:numPr>
        <w:tabs>
          <w:tab w:val="left" w:pos="1054"/>
        </w:tabs>
        <w:autoSpaceDE w:val="0"/>
        <w:autoSpaceDN w:val="0"/>
        <w:spacing w:line="270" w:lineRule="exact"/>
        <w:ind w:left="1054" w:hanging="628"/>
        <w:jc w:val="both"/>
        <w:rPr>
          <w:rFonts w:ascii="宋体" w:hAnsi="宋体" w:eastAsia="宋体" w:cs="宋体"/>
          <w:szCs w:val="22"/>
        </w:rPr>
      </w:pPr>
      <w:r>
        <w:rPr>
          <w:rFonts w:ascii="宋体" w:hAnsi="宋体" w:eastAsia="宋体" w:cs="宋体"/>
          <w:spacing w:val="-4"/>
          <w:szCs w:val="22"/>
        </w:rPr>
        <w:t>现场工艺试验</w:t>
      </w:r>
    </w:p>
    <w:p w14:paraId="07D7DDCF">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承包人应按合同约定或监理人指示进行现场工艺试验。对大型的现场工艺试验，监理人认为必要时，应由承包人根据监理人提出的工艺试验要求，编制工艺试验措施计划，报送监理人审批。</w:t>
      </w:r>
    </w:p>
    <w:p w14:paraId="265A8054">
      <w:pPr>
        <w:spacing w:line="352" w:lineRule="auto"/>
        <w:sectPr>
          <w:pgSz w:w="11910" w:h="16840"/>
          <w:pgMar w:top="1640" w:right="849" w:bottom="1360" w:left="992" w:header="0" w:footer="1176" w:gutter="0"/>
          <w:cols w:space="720" w:num="1"/>
        </w:sectPr>
      </w:pPr>
    </w:p>
    <w:p w14:paraId="31A9BBEC">
      <w:pPr>
        <w:numPr>
          <w:ilvl w:val="1"/>
          <w:numId w:val="34"/>
        </w:numPr>
        <w:tabs>
          <w:tab w:val="left" w:pos="1054"/>
        </w:tabs>
        <w:autoSpaceDE w:val="0"/>
        <w:autoSpaceDN w:val="0"/>
        <w:spacing w:before="37"/>
        <w:ind w:left="1054" w:hanging="628"/>
        <w:rPr>
          <w:rFonts w:ascii="宋体" w:hAnsi="宋体" w:eastAsia="宋体" w:cs="宋体"/>
          <w:szCs w:val="22"/>
        </w:rPr>
      </w:pPr>
      <w:r>
        <w:rPr>
          <w:rFonts w:ascii="宋体" w:hAnsi="宋体" w:eastAsia="宋体" w:cs="宋体"/>
          <w:spacing w:val="-4"/>
          <w:szCs w:val="22"/>
        </w:rPr>
        <w:t>试验和检验费用</w:t>
      </w:r>
    </w:p>
    <w:p w14:paraId="4DED29EA">
      <w:pPr>
        <w:numPr>
          <w:ilvl w:val="0"/>
          <w:numId w:val="35"/>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承包人应负责提供合同和技术规范规定的试验和检验所需的全部样品，并承担其它费用。</w:t>
      </w:r>
    </w:p>
    <w:p w14:paraId="04A3210D">
      <w:pPr>
        <w:numPr>
          <w:ilvl w:val="0"/>
          <w:numId w:val="35"/>
        </w:numPr>
        <w:tabs>
          <w:tab w:val="left" w:pos="1267"/>
        </w:tabs>
        <w:autoSpaceDE w:val="0"/>
        <w:autoSpaceDN w:val="0"/>
        <w:spacing w:before="128" w:line="352" w:lineRule="auto"/>
        <w:ind w:left="426" w:right="569" w:firstLine="314"/>
        <w:rPr>
          <w:rFonts w:ascii="宋体" w:hAnsi="宋体" w:eastAsia="宋体" w:cs="宋体"/>
          <w:szCs w:val="22"/>
        </w:rPr>
      </w:pPr>
      <w:r>
        <w:rPr>
          <w:rFonts w:ascii="宋体" w:hAnsi="宋体" w:eastAsia="宋体" w:cs="宋体"/>
          <w:spacing w:val="-2"/>
          <w:szCs w:val="22"/>
        </w:rPr>
        <w:t>在合同中明确规定的试验和检验，包括无须在工程量清单中单独列项和已在工程量清单中单独列项的试验和检验，其试验和检验的费用由承包人负担。</w:t>
      </w:r>
    </w:p>
    <w:p w14:paraId="01D639EF">
      <w:pPr>
        <w:numPr>
          <w:ilvl w:val="0"/>
          <w:numId w:val="35"/>
        </w:numPr>
        <w:tabs>
          <w:tab w:val="left" w:pos="1230"/>
        </w:tabs>
        <w:autoSpaceDE w:val="0"/>
        <w:autoSpaceDN w:val="0"/>
        <w:spacing w:line="352" w:lineRule="auto"/>
        <w:ind w:left="426" w:right="463" w:firstLine="314"/>
        <w:jc w:val="both"/>
        <w:rPr>
          <w:rFonts w:ascii="宋体" w:hAnsi="宋体" w:eastAsia="宋体" w:cs="宋体"/>
          <w:szCs w:val="22"/>
        </w:rPr>
      </w:pPr>
      <w:r>
        <w:rPr>
          <w:rFonts w:ascii="宋体" w:hAnsi="宋体" w:eastAsia="宋体" w:cs="宋体"/>
          <w:spacing w:val="-2"/>
          <w:szCs w:val="22"/>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1D949D1E">
      <w:pPr>
        <w:numPr>
          <w:ilvl w:val="0"/>
          <w:numId w:val="34"/>
        </w:numPr>
        <w:tabs>
          <w:tab w:val="left" w:pos="842"/>
        </w:tabs>
        <w:autoSpaceDE w:val="0"/>
        <w:autoSpaceDN w:val="0"/>
        <w:spacing w:line="269" w:lineRule="exact"/>
        <w:ind w:left="842" w:hanging="416"/>
        <w:rPr>
          <w:rFonts w:ascii="宋体" w:hAnsi="宋体" w:eastAsia="宋体" w:cs="宋体"/>
          <w:szCs w:val="22"/>
        </w:rPr>
      </w:pPr>
      <w:r>
        <w:rPr>
          <w:rFonts w:ascii="宋体" w:hAnsi="宋体" w:eastAsia="宋体" w:cs="宋体"/>
          <w:spacing w:val="-6"/>
          <w:szCs w:val="22"/>
        </w:rPr>
        <w:t>变更</w:t>
      </w:r>
    </w:p>
    <w:p w14:paraId="3A08C5D0">
      <w:pPr>
        <w:numPr>
          <w:ilvl w:val="1"/>
          <w:numId w:val="34"/>
        </w:numPr>
        <w:tabs>
          <w:tab w:val="left" w:pos="1054"/>
        </w:tabs>
        <w:autoSpaceDE w:val="0"/>
        <w:autoSpaceDN w:val="0"/>
        <w:spacing w:before="124"/>
        <w:ind w:left="1054" w:hanging="628"/>
        <w:rPr>
          <w:rFonts w:ascii="宋体" w:hAnsi="宋体" w:eastAsia="宋体" w:cs="宋体"/>
          <w:szCs w:val="22"/>
        </w:rPr>
      </w:pPr>
      <w:r>
        <w:rPr>
          <w:rFonts w:ascii="宋体" w:hAnsi="宋体" w:eastAsia="宋体" w:cs="宋体"/>
          <w:spacing w:val="-4"/>
          <w:szCs w:val="22"/>
        </w:rPr>
        <w:t>变更的范围和内容</w:t>
      </w:r>
    </w:p>
    <w:p w14:paraId="2A6E3495">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除专用合同条款另有约定外，在履行合同中发生以下情形之一，应按照本条规定进行变更。</w:t>
      </w:r>
    </w:p>
    <w:p w14:paraId="7CC43782">
      <w:pPr>
        <w:numPr>
          <w:ilvl w:val="0"/>
          <w:numId w:val="36"/>
        </w:numPr>
        <w:tabs>
          <w:tab w:val="left" w:pos="1267"/>
        </w:tabs>
        <w:autoSpaceDE w:val="0"/>
        <w:autoSpaceDN w:val="0"/>
        <w:spacing w:before="126" w:line="352" w:lineRule="auto"/>
        <w:ind w:right="569" w:firstLine="314"/>
        <w:rPr>
          <w:rFonts w:ascii="宋体" w:hAnsi="宋体" w:eastAsia="宋体" w:cs="宋体"/>
          <w:szCs w:val="22"/>
        </w:rPr>
      </w:pPr>
      <w:r>
        <w:rPr>
          <w:rFonts w:ascii="宋体" w:hAnsi="宋体" w:eastAsia="宋体" w:cs="宋体"/>
          <w:spacing w:val="-2"/>
          <w:szCs w:val="22"/>
        </w:rPr>
        <w:t>取消合同中任何一项工作，但被取消的工作不能转由发包人或其他人实施，由于承包人违约造成的情况除外；</w:t>
      </w:r>
    </w:p>
    <w:p w14:paraId="2889177C">
      <w:pPr>
        <w:numPr>
          <w:ilvl w:val="0"/>
          <w:numId w:val="36"/>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改变合同中任何一项工作的质量或其它特性；</w:t>
      </w:r>
    </w:p>
    <w:p w14:paraId="34BDBF77">
      <w:pPr>
        <w:numPr>
          <w:ilvl w:val="0"/>
          <w:numId w:val="36"/>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改变合同工程的基线、标高、位置或尺寸；</w:t>
      </w:r>
    </w:p>
    <w:p w14:paraId="0F4C0901">
      <w:pPr>
        <w:numPr>
          <w:ilvl w:val="0"/>
          <w:numId w:val="36"/>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改变合同中任何一项工作的施工时间或改变已批准的施工工艺或顺序；</w:t>
      </w:r>
    </w:p>
    <w:p w14:paraId="58F5BE66">
      <w:pPr>
        <w:numPr>
          <w:ilvl w:val="0"/>
          <w:numId w:val="36"/>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为完成工程需要追加的额外工作。</w:t>
      </w:r>
    </w:p>
    <w:p w14:paraId="4A708B3C">
      <w:pPr>
        <w:numPr>
          <w:ilvl w:val="1"/>
          <w:numId w:val="34"/>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5"/>
          <w:szCs w:val="22"/>
        </w:rPr>
        <w:t>变更权</w:t>
      </w:r>
    </w:p>
    <w:p w14:paraId="18FDF1A1">
      <w:pPr>
        <w:autoSpaceDE w:val="0"/>
        <w:autoSpaceDN w:val="0"/>
        <w:spacing w:before="128" w:line="352" w:lineRule="auto"/>
        <w:ind w:left="426" w:right="569" w:firstLine="420"/>
        <w:jc w:val="left"/>
        <w:rPr>
          <w:rFonts w:ascii="宋体" w:hAnsi="宋体" w:eastAsia="宋体" w:cs="宋体"/>
          <w:szCs w:val="21"/>
        </w:rPr>
      </w:pPr>
      <w:r>
        <w:rPr>
          <w:rFonts w:ascii="宋体" w:hAnsi="宋体" w:eastAsia="宋体" w:cs="宋体"/>
          <w:szCs w:val="21"/>
        </w:rPr>
        <w:t>在履行合同过程中，经发包人同意，监理人可按第 15.3</w:t>
      </w:r>
      <w:r>
        <w:rPr>
          <w:rFonts w:ascii="宋体" w:hAnsi="宋体" w:eastAsia="宋体" w:cs="宋体"/>
          <w:spacing w:val="-1"/>
          <w:szCs w:val="21"/>
        </w:rPr>
        <w:t xml:space="preserve"> 款约定的变更程序向承包人作出变更</w:t>
      </w:r>
      <w:r>
        <w:rPr>
          <w:rFonts w:ascii="宋体" w:hAnsi="宋体" w:eastAsia="宋体" w:cs="宋体"/>
          <w:spacing w:val="-2"/>
          <w:szCs w:val="21"/>
        </w:rPr>
        <w:t>指示，承包人应遵照执行。没有监理人的变更指示，承包人不得擅自变更。</w:t>
      </w:r>
    </w:p>
    <w:p w14:paraId="3753606B">
      <w:pPr>
        <w:numPr>
          <w:ilvl w:val="1"/>
          <w:numId w:val="34"/>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7"/>
          <w:szCs w:val="22"/>
        </w:rPr>
        <w:t>变更程序</w:t>
      </w:r>
    </w:p>
    <w:p w14:paraId="63FABE4D">
      <w:pPr>
        <w:numPr>
          <w:ilvl w:val="2"/>
          <w:numId w:val="34"/>
        </w:numPr>
        <w:tabs>
          <w:tab w:val="left" w:pos="1684"/>
        </w:tabs>
        <w:autoSpaceDE w:val="0"/>
        <w:autoSpaceDN w:val="0"/>
        <w:spacing w:before="128"/>
        <w:ind w:left="1684" w:hanging="838"/>
        <w:rPr>
          <w:rFonts w:ascii="宋体" w:hAnsi="宋体" w:eastAsia="宋体" w:cs="宋体"/>
          <w:szCs w:val="22"/>
        </w:rPr>
      </w:pPr>
      <w:r>
        <w:rPr>
          <w:rFonts w:ascii="宋体" w:hAnsi="宋体" w:eastAsia="宋体" w:cs="宋体"/>
          <w:spacing w:val="-4"/>
          <w:szCs w:val="22"/>
        </w:rPr>
        <w:t>变更的提出</w:t>
      </w:r>
    </w:p>
    <w:p w14:paraId="20715C6C">
      <w:pPr>
        <w:numPr>
          <w:ilvl w:val="0"/>
          <w:numId w:val="37"/>
        </w:numPr>
        <w:tabs>
          <w:tab w:val="left" w:pos="1267"/>
        </w:tabs>
        <w:autoSpaceDE w:val="0"/>
        <w:autoSpaceDN w:val="0"/>
        <w:spacing w:before="127" w:line="352" w:lineRule="auto"/>
        <w:ind w:right="463" w:firstLine="314"/>
        <w:jc w:val="both"/>
        <w:rPr>
          <w:rFonts w:ascii="宋体" w:hAnsi="宋体" w:eastAsia="宋体" w:cs="宋体"/>
          <w:szCs w:val="22"/>
        </w:rPr>
      </w:pPr>
      <w:r>
        <w:rPr>
          <w:rFonts w:ascii="宋体" w:hAnsi="宋体" w:eastAsia="宋体" w:cs="宋体"/>
          <w:spacing w:val="1"/>
          <w:w w:val="99"/>
          <w:szCs w:val="22"/>
        </w:rPr>
        <w:t>在合同履行过程中，可能发生第15.</w:t>
      </w:r>
      <w:r>
        <w:rPr>
          <w:rFonts w:ascii="宋体" w:hAnsi="宋体" w:eastAsia="宋体" w:cs="宋体"/>
          <w:spacing w:val="-2"/>
          <w:w w:val="99"/>
          <w:szCs w:val="22"/>
        </w:rPr>
        <w:t>1</w:t>
      </w:r>
      <w:r>
        <w:rPr>
          <w:rFonts w:ascii="宋体" w:hAnsi="宋体" w:eastAsia="宋体" w:cs="宋体"/>
          <w:w w:val="99"/>
          <w:szCs w:val="22"/>
        </w:rPr>
        <w:t>款约定情形的，监理人可向承包人发出变更意向书。</w:t>
      </w:r>
      <w:r>
        <w:rPr>
          <w:rFonts w:ascii="宋体" w:hAnsi="宋体" w:eastAsia="宋体" w:cs="宋体"/>
          <w:spacing w:val="-1"/>
          <w:w w:val="99"/>
          <w:szCs w:val="22"/>
        </w:rPr>
        <w:t>变更意向书应说明变更的具体内容和发包人对变更的时间要求，并附必要的图纸和相关资料。变更意向书应要求承包人提交包括拟实施变更工作的计划、措施和竣工时间等内容的实施方案。发包人</w:t>
      </w:r>
      <w:r>
        <w:rPr>
          <w:rFonts w:ascii="宋体" w:hAnsi="宋体" w:eastAsia="宋体" w:cs="宋体"/>
          <w:spacing w:val="-4"/>
          <w:w w:val="99"/>
          <w:szCs w:val="22"/>
        </w:rPr>
        <w:t>同意承包人根据变更意向书要求提交的变更实施方案的，由监理人按第</w:t>
      </w:r>
      <w:r>
        <w:rPr>
          <w:rFonts w:ascii="宋体" w:hAnsi="宋体" w:eastAsia="宋体" w:cs="宋体"/>
          <w:spacing w:val="1"/>
          <w:w w:val="99"/>
          <w:szCs w:val="22"/>
        </w:rPr>
        <w:t>15.</w:t>
      </w:r>
      <w:r>
        <w:rPr>
          <w:rFonts w:ascii="宋体" w:hAnsi="宋体" w:eastAsia="宋体" w:cs="宋体"/>
          <w:spacing w:val="-2"/>
          <w:w w:val="99"/>
          <w:szCs w:val="22"/>
        </w:rPr>
        <w:t>3</w:t>
      </w:r>
      <w:r>
        <w:rPr>
          <w:rFonts w:ascii="宋体" w:hAnsi="宋体" w:eastAsia="宋体" w:cs="宋体"/>
          <w:spacing w:val="1"/>
          <w:w w:val="99"/>
          <w:szCs w:val="22"/>
        </w:rPr>
        <w:t>.3</w:t>
      </w:r>
      <w:r>
        <w:rPr>
          <w:rFonts w:ascii="宋体" w:hAnsi="宋体" w:eastAsia="宋体" w:cs="宋体"/>
          <w:spacing w:val="-1"/>
          <w:w w:val="99"/>
          <w:szCs w:val="22"/>
        </w:rPr>
        <w:t>项约定发出变更指示。</w:t>
      </w:r>
    </w:p>
    <w:p w14:paraId="41B20BA8">
      <w:pPr>
        <w:numPr>
          <w:ilvl w:val="0"/>
          <w:numId w:val="37"/>
        </w:numPr>
        <w:tabs>
          <w:tab w:val="left" w:pos="1267"/>
        </w:tabs>
        <w:autoSpaceDE w:val="0"/>
        <w:autoSpaceDN w:val="0"/>
        <w:spacing w:line="352" w:lineRule="auto"/>
        <w:ind w:right="566" w:firstLine="314"/>
        <w:jc w:val="both"/>
        <w:rPr>
          <w:rFonts w:ascii="宋体" w:hAnsi="宋体" w:eastAsia="宋体" w:cs="宋体"/>
          <w:szCs w:val="22"/>
        </w:rPr>
      </w:pPr>
      <w:r>
        <w:rPr>
          <w:rFonts w:ascii="宋体" w:hAnsi="宋体" w:eastAsia="宋体" w:cs="宋体"/>
          <w:szCs w:val="22"/>
        </w:rPr>
        <w:t>在合同履行过程中，发生第 15.1 款约定情形的，监理人应按照第15.3.3项约定向承包人</w:t>
      </w:r>
      <w:r>
        <w:rPr>
          <w:rFonts w:ascii="宋体" w:hAnsi="宋体" w:eastAsia="宋体" w:cs="宋体"/>
          <w:spacing w:val="-2"/>
          <w:szCs w:val="22"/>
        </w:rPr>
        <w:t>发出变更指示。</w:t>
      </w:r>
    </w:p>
    <w:p w14:paraId="763D4609">
      <w:pPr>
        <w:numPr>
          <w:ilvl w:val="0"/>
          <w:numId w:val="37"/>
        </w:numPr>
        <w:tabs>
          <w:tab w:val="left" w:pos="1267"/>
        </w:tabs>
        <w:autoSpaceDE w:val="0"/>
        <w:autoSpaceDN w:val="0"/>
        <w:spacing w:line="352" w:lineRule="auto"/>
        <w:ind w:right="566" w:firstLine="314"/>
        <w:jc w:val="both"/>
        <w:rPr>
          <w:rFonts w:ascii="宋体" w:hAnsi="宋体" w:eastAsia="宋体" w:cs="宋体"/>
          <w:szCs w:val="22"/>
        </w:rPr>
      </w:pPr>
      <w:r>
        <w:rPr>
          <w:rFonts w:ascii="宋体" w:hAnsi="宋体" w:eastAsia="宋体" w:cs="宋体"/>
          <w:spacing w:val="-2"/>
          <w:szCs w:val="22"/>
        </w:rPr>
        <w:t>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w:t>
      </w:r>
      <w:r>
        <w:rPr>
          <w:rFonts w:ascii="宋体" w:hAnsi="宋体" w:eastAsia="宋体" w:cs="宋体"/>
          <w:szCs w:val="22"/>
        </w:rPr>
        <w:t>的 14 天内作出变更指示。经研究后不同意作为变更的，应由监理人书面答复承包人。</w:t>
      </w:r>
    </w:p>
    <w:p w14:paraId="4DDC2658">
      <w:pPr>
        <w:numPr>
          <w:ilvl w:val="0"/>
          <w:numId w:val="37"/>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若承包人收到监理人的变更意向书后认为难以实施此项变更，应立即通知监理人，说明原因并附详细依据。监理人与承包人和发包人协商后确定撤销、改变或不改变原变更意向书。</w:t>
      </w:r>
    </w:p>
    <w:p w14:paraId="22F64117">
      <w:pPr>
        <w:numPr>
          <w:ilvl w:val="2"/>
          <w:numId w:val="34"/>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7"/>
          <w:szCs w:val="22"/>
        </w:rPr>
        <w:t>变更估价</w:t>
      </w:r>
    </w:p>
    <w:p w14:paraId="11C287DA">
      <w:pPr>
        <w:spacing w:line="272" w:lineRule="exact"/>
        <w:jc w:val="left"/>
        <w:sectPr>
          <w:pgSz w:w="11910" w:h="16840"/>
          <w:pgMar w:top="1640" w:right="849" w:bottom="1360" w:left="992" w:header="0" w:footer="1176" w:gutter="0"/>
          <w:cols w:space="720" w:num="1"/>
        </w:sectPr>
      </w:pPr>
    </w:p>
    <w:p w14:paraId="45AABA71">
      <w:pPr>
        <w:numPr>
          <w:ilvl w:val="0"/>
          <w:numId w:val="38"/>
        </w:numPr>
        <w:tabs>
          <w:tab w:val="left" w:pos="1267"/>
        </w:tabs>
        <w:autoSpaceDE w:val="0"/>
        <w:autoSpaceDN w:val="0"/>
        <w:spacing w:before="37" w:line="350" w:lineRule="auto"/>
        <w:ind w:right="566" w:firstLine="314"/>
        <w:jc w:val="both"/>
        <w:rPr>
          <w:rFonts w:ascii="宋体" w:hAnsi="宋体" w:eastAsia="宋体" w:cs="宋体"/>
          <w:szCs w:val="22"/>
        </w:rPr>
      </w:pPr>
      <w:r>
        <w:rPr>
          <w:rFonts w:ascii="宋体" w:hAnsi="宋体" w:eastAsia="宋体" w:cs="宋体"/>
          <w:spacing w:val="-2"/>
          <w:szCs w:val="22"/>
        </w:rPr>
        <w:t>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FC72834">
      <w:pPr>
        <w:numPr>
          <w:ilvl w:val="0"/>
          <w:numId w:val="38"/>
        </w:numPr>
        <w:tabs>
          <w:tab w:val="left" w:pos="1267"/>
        </w:tabs>
        <w:autoSpaceDE w:val="0"/>
        <w:autoSpaceDN w:val="0"/>
        <w:spacing w:before="4" w:line="350" w:lineRule="auto"/>
        <w:ind w:right="569" w:firstLine="314"/>
        <w:rPr>
          <w:rFonts w:ascii="宋体" w:hAnsi="宋体" w:eastAsia="宋体" w:cs="宋体"/>
          <w:szCs w:val="22"/>
        </w:rPr>
      </w:pPr>
      <w:r>
        <w:rPr>
          <w:rFonts w:ascii="宋体" w:hAnsi="宋体" w:eastAsia="宋体" w:cs="宋体"/>
          <w:spacing w:val="-2"/>
          <w:szCs w:val="22"/>
        </w:rPr>
        <w:t>变更工作影响工期的，承包人应提出调整工期的具体细节。监理人认为有必要时，可要求承包人提交要求提前或延长工期的施工进度计划及相应施工措施等详细资料。</w:t>
      </w:r>
    </w:p>
    <w:p w14:paraId="5742BF52">
      <w:pPr>
        <w:numPr>
          <w:ilvl w:val="0"/>
          <w:numId w:val="38"/>
        </w:numPr>
        <w:tabs>
          <w:tab w:val="left" w:pos="1206"/>
        </w:tabs>
        <w:autoSpaceDE w:val="0"/>
        <w:autoSpaceDN w:val="0"/>
        <w:spacing w:before="2" w:line="352" w:lineRule="auto"/>
        <w:ind w:right="568" w:firstLine="314"/>
        <w:rPr>
          <w:rFonts w:ascii="宋体" w:hAnsi="宋体" w:eastAsia="宋体" w:cs="宋体"/>
          <w:szCs w:val="22"/>
        </w:rPr>
      </w:pPr>
      <w:r>
        <w:rPr>
          <w:rFonts w:ascii="宋体" w:hAnsi="宋体" w:eastAsia="宋体" w:cs="宋体"/>
          <w:spacing w:val="-6"/>
          <w:szCs w:val="22"/>
        </w:rPr>
        <w:t>除专用合同条款对期限另有约定外，监理人收到承包人变更报价书后的</w:t>
      </w:r>
      <w:r>
        <w:rPr>
          <w:rFonts w:ascii="宋体" w:hAnsi="宋体" w:eastAsia="宋体" w:cs="宋体"/>
          <w:spacing w:val="-2"/>
          <w:szCs w:val="22"/>
        </w:rPr>
        <w:t>14</w:t>
      </w:r>
      <w:r>
        <w:rPr>
          <w:rFonts w:ascii="宋体" w:hAnsi="宋体" w:eastAsia="宋体" w:cs="宋体"/>
          <w:spacing w:val="-12"/>
          <w:szCs w:val="22"/>
        </w:rPr>
        <w:t>天内，根据第</w:t>
      </w:r>
      <w:r>
        <w:rPr>
          <w:rFonts w:ascii="宋体" w:hAnsi="宋体" w:eastAsia="宋体" w:cs="宋体"/>
          <w:spacing w:val="-2"/>
          <w:szCs w:val="22"/>
        </w:rPr>
        <w:t>15.4</w:t>
      </w:r>
      <w:r>
        <w:rPr>
          <w:rFonts w:ascii="宋体" w:hAnsi="宋体" w:eastAsia="宋体" w:cs="宋体"/>
          <w:szCs w:val="22"/>
        </w:rPr>
        <w:t>款约定的估价原则，按照第 3.5 款商定或确定变更价格。</w:t>
      </w:r>
    </w:p>
    <w:p w14:paraId="742581C1">
      <w:pPr>
        <w:numPr>
          <w:ilvl w:val="2"/>
          <w:numId w:val="34"/>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7"/>
          <w:szCs w:val="22"/>
        </w:rPr>
        <w:t>变更指示</w:t>
      </w:r>
    </w:p>
    <w:p w14:paraId="747E3A1C">
      <w:pPr>
        <w:numPr>
          <w:ilvl w:val="0"/>
          <w:numId w:val="3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变更指示只能由监理人发出。</w:t>
      </w:r>
    </w:p>
    <w:p w14:paraId="1ECA25F2">
      <w:pPr>
        <w:numPr>
          <w:ilvl w:val="0"/>
          <w:numId w:val="39"/>
        </w:numPr>
        <w:tabs>
          <w:tab w:val="left" w:pos="1267"/>
        </w:tabs>
        <w:autoSpaceDE w:val="0"/>
        <w:autoSpaceDN w:val="0"/>
        <w:spacing w:before="128" w:line="350" w:lineRule="auto"/>
        <w:ind w:left="426" w:right="569" w:firstLine="314"/>
        <w:rPr>
          <w:rFonts w:ascii="宋体" w:hAnsi="宋体" w:eastAsia="宋体" w:cs="宋体"/>
          <w:szCs w:val="22"/>
        </w:rPr>
      </w:pPr>
      <w:r>
        <w:rPr>
          <w:rFonts w:ascii="宋体" w:hAnsi="宋体" w:eastAsia="宋体" w:cs="宋体"/>
          <w:spacing w:val="-2"/>
          <w:szCs w:val="22"/>
        </w:rPr>
        <w:t>变更指示应说明变更的目的、范围、变更内容以及变更的工程量及其进度和技术要求，并附有关图纸和文件。承包人收到变更指示后，应按变更指示进行变更工作。</w:t>
      </w:r>
    </w:p>
    <w:p w14:paraId="2657BAD2">
      <w:pPr>
        <w:numPr>
          <w:ilvl w:val="1"/>
          <w:numId w:val="34"/>
        </w:numPr>
        <w:tabs>
          <w:tab w:val="left" w:pos="1054"/>
        </w:tabs>
        <w:autoSpaceDE w:val="0"/>
        <w:autoSpaceDN w:val="0"/>
        <w:spacing w:before="2"/>
        <w:ind w:left="1054" w:hanging="628"/>
        <w:rPr>
          <w:rFonts w:ascii="宋体" w:hAnsi="宋体" w:eastAsia="宋体" w:cs="宋体"/>
          <w:szCs w:val="22"/>
        </w:rPr>
      </w:pPr>
      <w:r>
        <w:rPr>
          <w:rFonts w:ascii="宋体" w:hAnsi="宋体" w:eastAsia="宋体" w:cs="宋体"/>
          <w:spacing w:val="-4"/>
          <w:szCs w:val="22"/>
        </w:rPr>
        <w:t>变更的估价原则</w:t>
      </w:r>
    </w:p>
    <w:p w14:paraId="3CEC49E5">
      <w:pPr>
        <w:autoSpaceDE w:val="0"/>
        <w:autoSpaceDN w:val="0"/>
        <w:spacing w:before="127"/>
        <w:ind w:left="846"/>
        <w:jc w:val="left"/>
        <w:rPr>
          <w:rFonts w:ascii="宋体" w:hAnsi="宋体" w:eastAsia="宋体" w:cs="宋体"/>
          <w:szCs w:val="21"/>
        </w:rPr>
      </w:pPr>
      <w:r>
        <w:rPr>
          <w:rFonts w:ascii="宋体" w:hAnsi="宋体" w:eastAsia="宋体" w:cs="宋体"/>
          <w:spacing w:val="-3"/>
          <w:szCs w:val="21"/>
        </w:rPr>
        <w:t>除专用合同条款另有约定外，因变更引起的价格调整按照本款约定处理。</w:t>
      </w:r>
    </w:p>
    <w:p w14:paraId="0A762DB6">
      <w:pPr>
        <w:numPr>
          <w:ilvl w:val="2"/>
          <w:numId w:val="34"/>
        </w:numPr>
        <w:tabs>
          <w:tab w:val="left" w:pos="1684"/>
        </w:tabs>
        <w:autoSpaceDE w:val="0"/>
        <w:autoSpaceDN w:val="0"/>
        <w:spacing w:before="126"/>
        <w:ind w:left="1684" w:hanging="838"/>
        <w:rPr>
          <w:rFonts w:ascii="宋体" w:hAnsi="宋体" w:eastAsia="宋体" w:cs="宋体"/>
          <w:szCs w:val="22"/>
        </w:rPr>
      </w:pPr>
      <w:r>
        <w:rPr>
          <w:rFonts w:ascii="宋体" w:hAnsi="宋体" w:eastAsia="宋体" w:cs="宋体"/>
          <w:spacing w:val="-3"/>
          <w:szCs w:val="22"/>
        </w:rPr>
        <w:t>如果取消某项工作，则该项工作的总额价不予支付；</w:t>
      </w:r>
    </w:p>
    <w:p w14:paraId="0C8EF4F2">
      <w:pPr>
        <w:numPr>
          <w:ilvl w:val="2"/>
          <w:numId w:val="34"/>
        </w:numPr>
        <w:tabs>
          <w:tab w:val="left" w:pos="1687"/>
        </w:tabs>
        <w:autoSpaceDE w:val="0"/>
        <w:autoSpaceDN w:val="0"/>
        <w:spacing w:before="128" w:line="352" w:lineRule="auto"/>
        <w:ind w:right="567" w:firstLine="420"/>
        <w:rPr>
          <w:rFonts w:ascii="宋体" w:hAnsi="宋体" w:eastAsia="宋体" w:cs="宋体"/>
          <w:szCs w:val="22"/>
        </w:rPr>
      </w:pPr>
      <w:r>
        <w:rPr>
          <w:rFonts w:ascii="宋体" w:hAnsi="宋体" w:eastAsia="宋体" w:cs="宋体"/>
          <w:spacing w:val="-2"/>
          <w:szCs w:val="22"/>
        </w:rPr>
        <w:t>如养护路段对工程量清单中子目部分内容需实行专项工程的，则对实施专项工程子目</w:t>
      </w:r>
      <w:r>
        <w:rPr>
          <w:rFonts w:ascii="宋体" w:hAnsi="宋体" w:eastAsia="宋体" w:cs="宋体"/>
          <w:szCs w:val="22"/>
        </w:rPr>
        <w:t>的单价按里程及时间进行折算，相应工程子目单价每月折减 2％ 。（适用于日常小修工程项目）</w:t>
      </w:r>
    </w:p>
    <w:p w14:paraId="077236F5">
      <w:pPr>
        <w:numPr>
          <w:ilvl w:val="2"/>
          <w:numId w:val="34"/>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3"/>
          <w:szCs w:val="22"/>
        </w:rPr>
        <w:t>已标价工程量清单中有适用于变更工作的子目的，采用该子目的单价。</w:t>
      </w:r>
    </w:p>
    <w:p w14:paraId="681B00E5">
      <w:pPr>
        <w:numPr>
          <w:ilvl w:val="2"/>
          <w:numId w:val="34"/>
        </w:numPr>
        <w:tabs>
          <w:tab w:val="left" w:pos="1687"/>
        </w:tabs>
        <w:autoSpaceDE w:val="0"/>
        <w:autoSpaceDN w:val="0"/>
        <w:spacing w:before="127"/>
        <w:ind w:left="1687" w:hanging="841"/>
        <w:rPr>
          <w:rFonts w:ascii="宋体" w:hAnsi="宋体" w:eastAsia="宋体" w:cs="宋体"/>
          <w:szCs w:val="22"/>
        </w:rPr>
      </w:pPr>
      <w:r>
        <w:rPr>
          <w:rFonts w:ascii="宋体" w:hAnsi="宋体" w:eastAsia="宋体" w:cs="宋体"/>
          <w:spacing w:val="-3"/>
          <w:szCs w:val="22"/>
        </w:rPr>
        <w:t>已标价工程量清单中无适用于变更工作的子目，但有类似子目的，可在合理范围内参</w:t>
      </w:r>
    </w:p>
    <w:p w14:paraId="696A789E">
      <w:pPr>
        <w:autoSpaceDE w:val="0"/>
        <w:autoSpaceDN w:val="0"/>
        <w:spacing w:before="128"/>
        <w:ind w:left="426"/>
        <w:jc w:val="left"/>
        <w:rPr>
          <w:rFonts w:ascii="宋体" w:hAnsi="宋体" w:eastAsia="宋体" w:cs="宋体"/>
          <w:szCs w:val="21"/>
        </w:rPr>
      </w:pPr>
      <w:r>
        <w:rPr>
          <w:rFonts w:ascii="宋体" w:hAnsi="宋体" w:eastAsia="宋体" w:cs="宋体"/>
          <w:spacing w:val="-2"/>
          <w:szCs w:val="21"/>
        </w:rPr>
        <w:t xml:space="preserve">照类似子目的单价，由监理人按第 </w:t>
      </w:r>
      <w:r>
        <w:rPr>
          <w:rFonts w:ascii="宋体" w:hAnsi="宋体" w:eastAsia="宋体" w:cs="宋体"/>
          <w:szCs w:val="21"/>
        </w:rPr>
        <w:t>3.5</w:t>
      </w:r>
      <w:r>
        <w:rPr>
          <w:rFonts w:ascii="宋体" w:hAnsi="宋体" w:eastAsia="宋体" w:cs="宋体"/>
          <w:spacing w:val="-6"/>
          <w:szCs w:val="21"/>
        </w:rPr>
        <w:t xml:space="preserve"> 款商定或确定变更工作的单价。</w:t>
      </w:r>
    </w:p>
    <w:p w14:paraId="61E308A2">
      <w:pPr>
        <w:numPr>
          <w:ilvl w:val="2"/>
          <w:numId w:val="34"/>
        </w:numPr>
        <w:tabs>
          <w:tab w:val="left" w:pos="1687"/>
        </w:tabs>
        <w:autoSpaceDE w:val="0"/>
        <w:autoSpaceDN w:val="0"/>
        <w:spacing w:before="126"/>
        <w:ind w:left="1687" w:hanging="841"/>
        <w:rPr>
          <w:rFonts w:ascii="宋体" w:hAnsi="宋体" w:eastAsia="宋体" w:cs="宋体"/>
          <w:szCs w:val="22"/>
        </w:rPr>
      </w:pPr>
      <w:r>
        <w:rPr>
          <w:rFonts w:ascii="宋体" w:hAnsi="宋体" w:eastAsia="宋体" w:cs="宋体"/>
          <w:spacing w:val="-3"/>
          <w:szCs w:val="22"/>
        </w:rPr>
        <w:t>已标价工程量清单中无适用或类似子目的单价，可在综合考虑承包人在投标时所提供</w:t>
      </w:r>
    </w:p>
    <w:p w14:paraId="02B823B2">
      <w:pPr>
        <w:autoSpaceDE w:val="0"/>
        <w:autoSpaceDN w:val="0"/>
        <w:spacing w:before="127"/>
        <w:ind w:left="426"/>
        <w:jc w:val="left"/>
        <w:rPr>
          <w:rFonts w:ascii="宋体" w:hAnsi="宋体" w:eastAsia="宋体" w:cs="宋体"/>
          <w:szCs w:val="21"/>
        </w:rPr>
      </w:pPr>
      <w:r>
        <w:rPr>
          <w:rFonts w:ascii="宋体" w:hAnsi="宋体" w:eastAsia="宋体" w:cs="宋体"/>
          <w:spacing w:val="-2"/>
          <w:szCs w:val="21"/>
        </w:rPr>
        <w:t xml:space="preserve">的单价分析表的基础上，由监理人按第 </w:t>
      </w:r>
      <w:r>
        <w:rPr>
          <w:rFonts w:ascii="宋体" w:hAnsi="宋体" w:eastAsia="宋体" w:cs="宋体"/>
          <w:szCs w:val="21"/>
        </w:rPr>
        <w:t>3.5</w:t>
      </w:r>
      <w:r>
        <w:rPr>
          <w:rFonts w:ascii="宋体" w:hAnsi="宋体" w:eastAsia="宋体" w:cs="宋体"/>
          <w:spacing w:val="-7"/>
          <w:szCs w:val="21"/>
        </w:rPr>
        <w:t xml:space="preserve"> 款商定或确定变更工作的单价。</w:t>
      </w:r>
    </w:p>
    <w:p w14:paraId="670CFFEB">
      <w:pPr>
        <w:numPr>
          <w:ilvl w:val="2"/>
          <w:numId w:val="34"/>
        </w:numPr>
        <w:tabs>
          <w:tab w:val="left" w:pos="1687"/>
        </w:tabs>
        <w:autoSpaceDE w:val="0"/>
        <w:autoSpaceDN w:val="0"/>
        <w:spacing w:before="128" w:line="350" w:lineRule="auto"/>
        <w:ind w:right="567" w:firstLine="420"/>
        <w:rPr>
          <w:rFonts w:ascii="宋体" w:hAnsi="宋体" w:eastAsia="宋体" w:cs="宋体"/>
          <w:szCs w:val="22"/>
        </w:rPr>
      </w:pPr>
      <w:r>
        <w:rPr>
          <w:rFonts w:ascii="宋体" w:hAnsi="宋体" w:eastAsia="宋体" w:cs="宋体"/>
          <w:spacing w:val="-2"/>
          <w:szCs w:val="22"/>
        </w:rPr>
        <w:t>如果本工程的变更指示是因承包人过错、承包人违反合同或承包人责任造成的，则这种违约引起的任何额外费用应由承包人承担。</w:t>
      </w:r>
    </w:p>
    <w:p w14:paraId="25372C79">
      <w:pPr>
        <w:numPr>
          <w:ilvl w:val="1"/>
          <w:numId w:val="34"/>
        </w:numPr>
        <w:tabs>
          <w:tab w:val="left" w:pos="1054"/>
        </w:tabs>
        <w:autoSpaceDE w:val="0"/>
        <w:autoSpaceDN w:val="0"/>
        <w:spacing w:before="2"/>
        <w:ind w:left="1054" w:hanging="628"/>
        <w:rPr>
          <w:rFonts w:ascii="宋体" w:hAnsi="宋体" w:eastAsia="宋体" w:cs="宋体"/>
          <w:szCs w:val="22"/>
        </w:rPr>
      </w:pPr>
      <w:r>
        <w:rPr>
          <w:rFonts w:ascii="宋体" w:hAnsi="宋体" w:eastAsia="宋体" w:cs="宋体"/>
          <w:spacing w:val="-3"/>
          <w:szCs w:val="22"/>
        </w:rPr>
        <w:t>承包人的合理化建议</w:t>
      </w:r>
    </w:p>
    <w:p w14:paraId="45A6DADA">
      <w:pPr>
        <w:numPr>
          <w:ilvl w:val="2"/>
          <w:numId w:val="34"/>
        </w:numPr>
        <w:tabs>
          <w:tab w:val="left" w:pos="1687"/>
        </w:tabs>
        <w:autoSpaceDE w:val="0"/>
        <w:autoSpaceDN w:val="0"/>
        <w:spacing w:before="128" w:line="352" w:lineRule="auto"/>
        <w:ind w:right="567" w:firstLine="420"/>
        <w:jc w:val="both"/>
        <w:rPr>
          <w:rFonts w:ascii="宋体" w:hAnsi="宋体" w:eastAsia="宋体" w:cs="宋体"/>
          <w:szCs w:val="22"/>
        </w:rPr>
      </w:pPr>
      <w:r>
        <w:rPr>
          <w:rFonts w:ascii="宋体" w:hAnsi="宋体" w:eastAsia="宋体" w:cs="宋体"/>
          <w:spacing w:val="-2"/>
          <w:szCs w:val="22"/>
        </w:rPr>
        <w:t>在履行合同过程中，承包人对发包人提供的图纸、技术要求以及其它方面提出的合理化建议，均应以书面形式提交监理人。合理化建议书的内容应包括建议工作的详细说明、进度计划和效益以及与其它工作的协调等，并附必要的设计文件。监理人应与发包人协商是否采纳建议。建</w:t>
      </w:r>
      <w:r>
        <w:rPr>
          <w:rFonts w:ascii="宋体" w:hAnsi="宋体" w:eastAsia="宋体" w:cs="宋体"/>
          <w:szCs w:val="22"/>
        </w:rPr>
        <w:t>议被采纳并构成变更的，应按第 15.3.3 项约定向承包人发出变更指示。</w:t>
      </w:r>
    </w:p>
    <w:p w14:paraId="01A8520D">
      <w:pPr>
        <w:numPr>
          <w:ilvl w:val="2"/>
          <w:numId w:val="34"/>
        </w:numPr>
        <w:tabs>
          <w:tab w:val="left" w:pos="1687"/>
        </w:tabs>
        <w:autoSpaceDE w:val="0"/>
        <w:autoSpaceDN w:val="0"/>
        <w:spacing w:line="352" w:lineRule="auto"/>
        <w:ind w:right="567" w:firstLine="420"/>
        <w:jc w:val="both"/>
        <w:rPr>
          <w:rFonts w:ascii="宋体" w:hAnsi="宋体" w:eastAsia="宋体" w:cs="宋体"/>
          <w:szCs w:val="22"/>
        </w:rPr>
      </w:pPr>
      <w:r>
        <w:rPr>
          <w:rFonts w:ascii="宋体" w:hAnsi="宋体" w:eastAsia="宋体" w:cs="宋体"/>
          <w:spacing w:val="-2"/>
          <w:szCs w:val="22"/>
        </w:rPr>
        <w:t>承包人提出的合理化建议降低了合同价格、缩短了工期或者提高了工程经济效益的，发包人可按国家有关规定在专用合同条款中约定给予奖励。</w:t>
      </w:r>
    </w:p>
    <w:p w14:paraId="6C203011">
      <w:pPr>
        <w:numPr>
          <w:ilvl w:val="1"/>
          <w:numId w:val="34"/>
        </w:numPr>
        <w:tabs>
          <w:tab w:val="left" w:pos="1054"/>
        </w:tabs>
        <w:autoSpaceDE w:val="0"/>
        <w:autoSpaceDN w:val="0"/>
        <w:spacing w:line="272" w:lineRule="exact"/>
        <w:ind w:left="1054" w:hanging="628"/>
        <w:jc w:val="both"/>
        <w:rPr>
          <w:rFonts w:ascii="宋体" w:hAnsi="宋体" w:eastAsia="宋体" w:cs="宋体"/>
          <w:szCs w:val="22"/>
        </w:rPr>
      </w:pPr>
      <w:r>
        <w:rPr>
          <w:rFonts w:ascii="宋体" w:hAnsi="宋体" w:eastAsia="宋体" w:cs="宋体"/>
          <w:spacing w:val="-7"/>
          <w:szCs w:val="22"/>
        </w:rPr>
        <w:t>暂列金额</w:t>
      </w:r>
    </w:p>
    <w:p w14:paraId="67D1A026">
      <w:pPr>
        <w:numPr>
          <w:ilvl w:val="2"/>
          <w:numId w:val="34"/>
        </w:numPr>
        <w:tabs>
          <w:tab w:val="left" w:pos="1684"/>
        </w:tabs>
        <w:autoSpaceDE w:val="0"/>
        <w:autoSpaceDN w:val="0"/>
        <w:spacing w:before="119"/>
        <w:ind w:left="1684" w:hanging="838"/>
        <w:jc w:val="both"/>
        <w:rPr>
          <w:rFonts w:ascii="宋体" w:hAnsi="宋体" w:eastAsia="宋体" w:cs="宋体"/>
          <w:szCs w:val="22"/>
        </w:rPr>
      </w:pPr>
      <w:r>
        <w:rPr>
          <w:rFonts w:ascii="宋体" w:hAnsi="宋体" w:eastAsia="宋体" w:cs="宋体"/>
          <w:spacing w:val="-3"/>
          <w:szCs w:val="22"/>
        </w:rPr>
        <w:t>暂列金额应由监理人报发包人批准后指令全部或部分地使用，或者根本不予动用。</w:t>
      </w:r>
    </w:p>
    <w:p w14:paraId="7E1F9533">
      <w:pPr>
        <w:sectPr>
          <w:pgSz w:w="11910" w:h="16840"/>
          <w:pgMar w:top="1640" w:right="849" w:bottom="1360" w:left="992" w:header="0" w:footer="1176" w:gutter="0"/>
          <w:cols w:space="720" w:num="1"/>
        </w:sectPr>
      </w:pPr>
    </w:p>
    <w:p w14:paraId="3ADAA7B3">
      <w:pPr>
        <w:numPr>
          <w:ilvl w:val="2"/>
          <w:numId w:val="34"/>
        </w:numPr>
        <w:tabs>
          <w:tab w:val="left" w:pos="1687"/>
        </w:tabs>
        <w:autoSpaceDE w:val="0"/>
        <w:autoSpaceDN w:val="0"/>
        <w:spacing w:before="37"/>
        <w:ind w:left="1687" w:hanging="841"/>
        <w:rPr>
          <w:rFonts w:ascii="宋体" w:hAnsi="宋体" w:eastAsia="宋体" w:cs="宋体"/>
          <w:szCs w:val="22"/>
        </w:rPr>
      </w:pPr>
      <w:r>
        <w:rPr>
          <w:rFonts w:ascii="宋体" w:hAnsi="宋体" w:eastAsia="宋体" w:cs="宋体"/>
          <w:spacing w:val="-3"/>
          <w:szCs w:val="22"/>
        </w:rPr>
        <w:t>对于经发包人批准的每一笔暂列金额，监理人有权向承包人发出实施工程或提供材料</w:t>
      </w:r>
    </w:p>
    <w:p w14:paraId="1DEB8BA1">
      <w:pPr>
        <w:autoSpaceDE w:val="0"/>
        <w:autoSpaceDN w:val="0"/>
        <w:spacing w:before="125" w:line="352" w:lineRule="auto"/>
        <w:ind w:left="426" w:right="565"/>
        <w:jc w:val="left"/>
        <w:rPr>
          <w:rFonts w:ascii="宋体" w:hAnsi="宋体" w:eastAsia="宋体" w:cs="宋体"/>
          <w:szCs w:val="21"/>
        </w:rPr>
      </w:pPr>
      <w:r>
        <w:rPr>
          <w:rFonts w:ascii="宋体" w:hAnsi="宋体" w:eastAsia="宋体" w:cs="宋体"/>
          <w:spacing w:val="-1"/>
          <w:szCs w:val="21"/>
        </w:rPr>
        <w:t xml:space="preserve">或服务的指令。这些指令应由承包人完成，监理人应根据第 </w:t>
      </w:r>
      <w:r>
        <w:rPr>
          <w:rFonts w:ascii="宋体" w:hAnsi="宋体" w:eastAsia="宋体" w:cs="宋体"/>
          <w:szCs w:val="21"/>
        </w:rPr>
        <w:t>15.4</w:t>
      </w:r>
      <w:r>
        <w:rPr>
          <w:rFonts w:ascii="宋体" w:hAnsi="宋体" w:eastAsia="宋体" w:cs="宋体"/>
          <w:spacing w:val="-7"/>
          <w:szCs w:val="21"/>
        </w:rPr>
        <w:t xml:space="preserve"> 款约定的变更估价原则和第 </w:t>
      </w:r>
      <w:r>
        <w:rPr>
          <w:rFonts w:ascii="宋体" w:hAnsi="宋体" w:eastAsia="宋体" w:cs="宋体"/>
          <w:szCs w:val="21"/>
        </w:rPr>
        <w:t>15.7</w:t>
      </w:r>
      <w:r>
        <w:rPr>
          <w:rFonts w:ascii="宋体" w:hAnsi="宋体" w:eastAsia="宋体" w:cs="宋体"/>
          <w:spacing w:val="-2"/>
          <w:szCs w:val="21"/>
        </w:rPr>
        <w:t>款的规定，对合同价格进行相应调整。</w:t>
      </w:r>
    </w:p>
    <w:p w14:paraId="42CC67FE">
      <w:pPr>
        <w:numPr>
          <w:ilvl w:val="2"/>
          <w:numId w:val="34"/>
        </w:numPr>
        <w:tabs>
          <w:tab w:val="left" w:pos="1687"/>
        </w:tabs>
        <w:autoSpaceDE w:val="0"/>
        <w:autoSpaceDN w:val="0"/>
        <w:spacing w:line="350" w:lineRule="auto"/>
        <w:ind w:right="567" w:firstLine="420"/>
        <w:rPr>
          <w:rFonts w:ascii="宋体" w:hAnsi="宋体" w:eastAsia="宋体" w:cs="宋体"/>
          <w:szCs w:val="22"/>
        </w:rPr>
      </w:pPr>
      <w:r>
        <w:rPr>
          <w:rFonts w:ascii="宋体" w:hAnsi="宋体" w:eastAsia="宋体" w:cs="宋体"/>
          <w:spacing w:val="-2"/>
          <w:szCs w:val="22"/>
        </w:rPr>
        <w:t>当监理人提出要求时，承包人应提供有关暂列金额支出的所有报价单、发票、凭证和账单或收据，除非该工作是根据已标价工程量清单列明的单价或总额价进行的估价。</w:t>
      </w:r>
    </w:p>
    <w:p w14:paraId="68F4E687">
      <w:pPr>
        <w:numPr>
          <w:ilvl w:val="1"/>
          <w:numId w:val="34"/>
        </w:numPr>
        <w:tabs>
          <w:tab w:val="left" w:pos="1054"/>
        </w:tabs>
        <w:autoSpaceDE w:val="0"/>
        <w:autoSpaceDN w:val="0"/>
        <w:spacing w:before="1"/>
        <w:ind w:left="1054" w:hanging="628"/>
        <w:rPr>
          <w:rFonts w:ascii="宋体" w:hAnsi="宋体" w:eastAsia="宋体" w:cs="宋体"/>
          <w:szCs w:val="22"/>
        </w:rPr>
      </w:pPr>
      <w:r>
        <w:rPr>
          <w:rFonts w:ascii="宋体" w:hAnsi="宋体" w:eastAsia="宋体" w:cs="宋体"/>
          <w:spacing w:val="-5"/>
          <w:szCs w:val="22"/>
        </w:rPr>
        <w:t>计日工</w:t>
      </w:r>
    </w:p>
    <w:p w14:paraId="4D61BF77">
      <w:pPr>
        <w:numPr>
          <w:ilvl w:val="2"/>
          <w:numId w:val="34"/>
        </w:numPr>
        <w:tabs>
          <w:tab w:val="left" w:pos="1687"/>
        </w:tabs>
        <w:autoSpaceDE w:val="0"/>
        <w:autoSpaceDN w:val="0"/>
        <w:spacing w:before="128" w:line="350" w:lineRule="auto"/>
        <w:ind w:right="567" w:firstLine="420"/>
        <w:rPr>
          <w:rFonts w:ascii="宋体" w:hAnsi="宋体" w:eastAsia="宋体" w:cs="宋体"/>
          <w:szCs w:val="22"/>
        </w:rPr>
      </w:pPr>
      <w:r>
        <w:rPr>
          <w:rFonts w:ascii="宋体" w:hAnsi="宋体" w:eastAsia="宋体" w:cs="宋体"/>
          <w:spacing w:val="-2"/>
          <w:szCs w:val="22"/>
        </w:rPr>
        <w:t>发包人认为有必要时，由监理人通知承包人以计日工方式实施变更的零星工作。其价款按列入已标价工程量清单中的计日工计价子目及其单价进行计算。</w:t>
      </w:r>
    </w:p>
    <w:p w14:paraId="5A00BCE6">
      <w:pPr>
        <w:numPr>
          <w:ilvl w:val="2"/>
          <w:numId w:val="34"/>
        </w:numPr>
        <w:tabs>
          <w:tab w:val="left" w:pos="1687"/>
        </w:tabs>
        <w:autoSpaceDE w:val="0"/>
        <w:autoSpaceDN w:val="0"/>
        <w:spacing w:before="2" w:line="352" w:lineRule="auto"/>
        <w:ind w:right="567" w:firstLine="420"/>
        <w:rPr>
          <w:rFonts w:ascii="宋体" w:hAnsi="宋体" w:eastAsia="宋体" w:cs="宋体"/>
          <w:szCs w:val="22"/>
        </w:rPr>
      </w:pPr>
      <w:r>
        <w:rPr>
          <w:rFonts w:ascii="宋体" w:hAnsi="宋体" w:eastAsia="宋体" w:cs="宋体"/>
          <w:spacing w:val="-2"/>
          <w:szCs w:val="22"/>
        </w:rPr>
        <w:t>采用计日工计价的任何一项变更工作，应从暂列金额中支付，承包人应在该项变更的实施过程中，每天提交以下报表和有关凭证报送监理人审批：</w:t>
      </w:r>
    </w:p>
    <w:p w14:paraId="4638BBF7">
      <w:pPr>
        <w:numPr>
          <w:ilvl w:val="0"/>
          <w:numId w:val="40"/>
        </w:numPr>
        <w:tabs>
          <w:tab w:val="left" w:pos="1261"/>
        </w:tabs>
        <w:autoSpaceDE w:val="0"/>
        <w:autoSpaceDN w:val="0"/>
        <w:spacing w:line="270" w:lineRule="exact"/>
        <w:ind w:left="1261" w:hanging="521"/>
        <w:rPr>
          <w:rFonts w:ascii="宋体" w:hAnsi="宋体" w:eastAsia="宋体" w:cs="宋体"/>
          <w:szCs w:val="22"/>
        </w:rPr>
      </w:pPr>
      <w:r>
        <w:rPr>
          <w:rFonts w:ascii="宋体" w:hAnsi="宋体" w:eastAsia="宋体" w:cs="宋体"/>
          <w:spacing w:val="-3"/>
          <w:szCs w:val="22"/>
        </w:rPr>
        <w:t>工作名称、内容和数量；</w:t>
      </w:r>
    </w:p>
    <w:p w14:paraId="7A7F2761">
      <w:pPr>
        <w:numPr>
          <w:ilvl w:val="0"/>
          <w:numId w:val="40"/>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投入该工作所有人员的姓名、工种、级别和耗用工时；</w:t>
      </w:r>
    </w:p>
    <w:p w14:paraId="49B73FFC">
      <w:pPr>
        <w:numPr>
          <w:ilvl w:val="0"/>
          <w:numId w:val="40"/>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投入该工作的材料类别和数量；</w:t>
      </w:r>
    </w:p>
    <w:p w14:paraId="07C2518A">
      <w:pPr>
        <w:numPr>
          <w:ilvl w:val="0"/>
          <w:numId w:val="40"/>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投入该工作的施工设备型号、台数和耗用台时；</w:t>
      </w:r>
    </w:p>
    <w:p w14:paraId="59004B43">
      <w:pPr>
        <w:numPr>
          <w:ilvl w:val="0"/>
          <w:numId w:val="40"/>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监理人要求提交的其它资料和凭证。</w:t>
      </w:r>
    </w:p>
    <w:p w14:paraId="619F85BD">
      <w:pPr>
        <w:numPr>
          <w:ilvl w:val="2"/>
          <w:numId w:val="34"/>
        </w:numPr>
        <w:tabs>
          <w:tab w:val="left" w:pos="1687"/>
        </w:tabs>
        <w:autoSpaceDE w:val="0"/>
        <w:autoSpaceDN w:val="0"/>
        <w:spacing w:before="128" w:line="350" w:lineRule="auto"/>
        <w:ind w:right="569" w:firstLine="420"/>
        <w:rPr>
          <w:rFonts w:ascii="宋体" w:hAnsi="宋体" w:eastAsia="宋体" w:cs="宋体"/>
          <w:szCs w:val="22"/>
        </w:rPr>
      </w:pPr>
      <w:r>
        <w:rPr>
          <w:rFonts w:ascii="宋体" w:hAnsi="宋体" w:eastAsia="宋体" w:cs="宋体"/>
          <w:szCs w:val="22"/>
        </w:rPr>
        <w:t>计日工由承包人汇总后，按第 17.3.2 项的约定列入进度付款申请单，由监理人复核</w:t>
      </w:r>
      <w:r>
        <w:rPr>
          <w:rFonts w:ascii="宋体" w:hAnsi="宋体" w:eastAsia="宋体" w:cs="宋体"/>
          <w:spacing w:val="-2"/>
          <w:szCs w:val="22"/>
        </w:rPr>
        <w:t>并经发包人同意后列入进度付款。</w:t>
      </w:r>
    </w:p>
    <w:p w14:paraId="4F16FD17">
      <w:pPr>
        <w:numPr>
          <w:ilvl w:val="1"/>
          <w:numId w:val="34"/>
        </w:numPr>
        <w:tabs>
          <w:tab w:val="left" w:pos="1054"/>
        </w:tabs>
        <w:autoSpaceDE w:val="0"/>
        <w:autoSpaceDN w:val="0"/>
        <w:spacing w:before="2"/>
        <w:ind w:left="1054" w:hanging="628"/>
        <w:rPr>
          <w:rFonts w:ascii="宋体" w:hAnsi="宋体" w:eastAsia="宋体" w:cs="宋体"/>
          <w:szCs w:val="22"/>
        </w:rPr>
      </w:pPr>
      <w:r>
        <w:rPr>
          <w:rFonts w:ascii="宋体" w:hAnsi="宋体" w:eastAsia="宋体" w:cs="宋体"/>
          <w:spacing w:val="-5"/>
          <w:szCs w:val="22"/>
        </w:rPr>
        <w:t>暂估价</w:t>
      </w:r>
    </w:p>
    <w:p w14:paraId="391CD808">
      <w:pPr>
        <w:numPr>
          <w:ilvl w:val="2"/>
          <w:numId w:val="34"/>
        </w:numPr>
        <w:tabs>
          <w:tab w:val="left" w:pos="1687"/>
        </w:tabs>
        <w:autoSpaceDE w:val="0"/>
        <w:autoSpaceDN w:val="0"/>
        <w:spacing w:before="127" w:line="352" w:lineRule="auto"/>
        <w:ind w:right="567" w:firstLine="420"/>
        <w:jc w:val="both"/>
        <w:rPr>
          <w:rFonts w:ascii="宋体" w:hAnsi="宋体" w:eastAsia="宋体" w:cs="宋体"/>
          <w:szCs w:val="22"/>
        </w:rPr>
      </w:pPr>
      <w:r>
        <w:rPr>
          <w:rFonts w:ascii="宋体" w:hAnsi="宋体" w:eastAsia="宋体" w:cs="宋体"/>
          <w:spacing w:val="-2"/>
          <w:szCs w:val="22"/>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它费用列入合同价格。</w:t>
      </w:r>
    </w:p>
    <w:p w14:paraId="6A953CA4">
      <w:pPr>
        <w:numPr>
          <w:ilvl w:val="2"/>
          <w:numId w:val="34"/>
        </w:numPr>
        <w:tabs>
          <w:tab w:val="left" w:pos="1687"/>
        </w:tabs>
        <w:autoSpaceDE w:val="0"/>
        <w:autoSpaceDN w:val="0"/>
        <w:spacing w:line="266" w:lineRule="exact"/>
        <w:ind w:left="1687" w:hanging="841"/>
        <w:jc w:val="both"/>
        <w:rPr>
          <w:rFonts w:ascii="宋体" w:hAnsi="宋体" w:eastAsia="宋体" w:cs="宋体"/>
          <w:szCs w:val="22"/>
        </w:rPr>
      </w:pPr>
      <w:r>
        <w:rPr>
          <w:rFonts w:ascii="宋体" w:hAnsi="宋体" w:eastAsia="宋体" w:cs="宋体"/>
          <w:spacing w:val="-3"/>
          <w:szCs w:val="22"/>
        </w:rPr>
        <w:t>发包人在工程量清单中给定暂估价的材料和工程设备不属于依法必须招标的范围或未</w:t>
      </w:r>
    </w:p>
    <w:p w14:paraId="4E84E8C6">
      <w:pPr>
        <w:autoSpaceDE w:val="0"/>
        <w:autoSpaceDN w:val="0"/>
        <w:spacing w:before="128" w:line="352" w:lineRule="auto"/>
        <w:ind w:left="426" w:right="569"/>
        <w:rPr>
          <w:rFonts w:ascii="宋体" w:hAnsi="宋体" w:eastAsia="宋体" w:cs="宋体"/>
          <w:szCs w:val="21"/>
        </w:rPr>
      </w:pPr>
      <w:r>
        <w:rPr>
          <w:rFonts w:ascii="宋体" w:hAnsi="宋体" w:eastAsia="宋体" w:cs="宋体"/>
          <w:spacing w:val="-3"/>
          <w:szCs w:val="21"/>
        </w:rPr>
        <w:t xml:space="preserve">达到规定的规模标准的，应由承包人按第 </w:t>
      </w:r>
      <w:r>
        <w:rPr>
          <w:rFonts w:ascii="宋体" w:hAnsi="宋体" w:eastAsia="宋体" w:cs="宋体"/>
          <w:spacing w:val="-2"/>
          <w:szCs w:val="21"/>
        </w:rPr>
        <w:t>5.1</w:t>
      </w:r>
      <w:r>
        <w:rPr>
          <w:rFonts w:ascii="宋体" w:hAnsi="宋体" w:eastAsia="宋体" w:cs="宋体"/>
          <w:spacing w:val="-4"/>
          <w:szCs w:val="21"/>
        </w:rPr>
        <w:t xml:space="preserve"> 款的约定提供。经监理人确认的材料、工程设备的价</w:t>
      </w:r>
      <w:r>
        <w:rPr>
          <w:rFonts w:ascii="宋体" w:hAnsi="宋体" w:eastAsia="宋体" w:cs="宋体"/>
          <w:spacing w:val="-2"/>
          <w:szCs w:val="21"/>
        </w:rPr>
        <w:t>格与工程量清单中所列的暂估价的金额差以及相应的税金等其它费用列入合同价格。</w:t>
      </w:r>
    </w:p>
    <w:p w14:paraId="390C6735">
      <w:pPr>
        <w:numPr>
          <w:ilvl w:val="2"/>
          <w:numId w:val="34"/>
        </w:numPr>
        <w:tabs>
          <w:tab w:val="left" w:pos="1687"/>
        </w:tabs>
        <w:autoSpaceDE w:val="0"/>
        <w:autoSpaceDN w:val="0"/>
        <w:spacing w:line="270" w:lineRule="exact"/>
        <w:ind w:left="1687" w:hanging="841"/>
        <w:jc w:val="both"/>
        <w:rPr>
          <w:rFonts w:ascii="宋体" w:hAnsi="宋体" w:eastAsia="宋体" w:cs="宋体"/>
          <w:szCs w:val="22"/>
        </w:rPr>
      </w:pPr>
      <w:r>
        <w:rPr>
          <w:rFonts w:ascii="宋体" w:hAnsi="宋体" w:eastAsia="宋体" w:cs="宋体"/>
          <w:spacing w:val="-3"/>
          <w:szCs w:val="22"/>
        </w:rPr>
        <w:t>发包人在工程量清单中给定暂估价的专业工程不属于依法必须招标的范围或未达到规</w:t>
      </w:r>
    </w:p>
    <w:p w14:paraId="5B34B386">
      <w:pPr>
        <w:autoSpaceDE w:val="0"/>
        <w:autoSpaceDN w:val="0"/>
        <w:spacing w:before="128" w:line="352" w:lineRule="auto"/>
        <w:ind w:left="426" w:right="569"/>
        <w:jc w:val="left"/>
        <w:rPr>
          <w:rFonts w:ascii="宋体" w:hAnsi="宋体" w:eastAsia="宋体" w:cs="宋体"/>
          <w:szCs w:val="21"/>
        </w:rPr>
      </w:pPr>
      <w:r>
        <w:rPr>
          <w:rFonts w:ascii="宋体" w:hAnsi="宋体" w:eastAsia="宋体" w:cs="宋体"/>
          <w:szCs w:val="21"/>
        </w:rPr>
        <w:t>定的规模标准的，由监理人按照第 15.4 款进行估价，但专用合同条款另有约定的除外。经估价的</w:t>
      </w:r>
      <w:r>
        <w:rPr>
          <w:rFonts w:ascii="宋体" w:hAnsi="宋体" w:eastAsia="宋体" w:cs="宋体"/>
          <w:spacing w:val="-2"/>
          <w:szCs w:val="21"/>
        </w:rPr>
        <w:t>专业工程与工程量清单中所列的暂估价的金额差以及相应的税金等其它费用列入合同价格。</w:t>
      </w:r>
    </w:p>
    <w:p w14:paraId="129AD083">
      <w:pPr>
        <w:numPr>
          <w:ilvl w:val="0"/>
          <w:numId w:val="34"/>
        </w:numPr>
        <w:tabs>
          <w:tab w:val="left" w:pos="842"/>
        </w:tabs>
        <w:autoSpaceDE w:val="0"/>
        <w:autoSpaceDN w:val="0"/>
        <w:spacing w:line="270" w:lineRule="exact"/>
        <w:ind w:left="842" w:hanging="416"/>
        <w:rPr>
          <w:rFonts w:ascii="宋体" w:hAnsi="宋体" w:eastAsia="宋体" w:cs="宋体"/>
          <w:szCs w:val="22"/>
        </w:rPr>
      </w:pPr>
      <w:r>
        <w:rPr>
          <w:rFonts w:ascii="宋体" w:hAnsi="宋体" w:eastAsia="宋体" w:cs="宋体"/>
          <w:spacing w:val="-4"/>
          <w:szCs w:val="22"/>
        </w:rPr>
        <w:t>价格调整</w:t>
      </w:r>
    </w:p>
    <w:p w14:paraId="4A086BE7">
      <w:pPr>
        <w:numPr>
          <w:ilvl w:val="1"/>
          <w:numId w:val="34"/>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3"/>
          <w:szCs w:val="22"/>
        </w:rPr>
        <w:t>物价波动引起的价格调整</w:t>
      </w:r>
    </w:p>
    <w:p w14:paraId="588B5427">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物价波动引起的价格调整在项目专用合同条款中明确。</w:t>
      </w:r>
    </w:p>
    <w:p w14:paraId="3054FC96">
      <w:pPr>
        <w:numPr>
          <w:ilvl w:val="1"/>
          <w:numId w:val="34"/>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3"/>
          <w:szCs w:val="22"/>
        </w:rPr>
        <w:t>法律变化引起的价格调整</w:t>
      </w:r>
    </w:p>
    <w:p w14:paraId="7C88E4CD">
      <w:pPr>
        <w:jc w:val="left"/>
        <w:sectPr>
          <w:pgSz w:w="11910" w:h="16840"/>
          <w:pgMar w:top="1640" w:right="849" w:bottom="1360" w:left="992" w:header="0" w:footer="1176" w:gutter="0"/>
          <w:cols w:space="720" w:num="1"/>
        </w:sectPr>
      </w:pPr>
    </w:p>
    <w:p w14:paraId="6B31231C">
      <w:pPr>
        <w:autoSpaceDE w:val="0"/>
        <w:autoSpaceDN w:val="0"/>
        <w:spacing w:before="37"/>
        <w:ind w:left="846"/>
        <w:jc w:val="left"/>
        <w:rPr>
          <w:rFonts w:ascii="宋体" w:hAnsi="宋体" w:eastAsia="宋体" w:cs="宋体"/>
          <w:szCs w:val="21"/>
        </w:rPr>
      </w:pPr>
      <w:r>
        <w:rPr>
          <w:rFonts w:ascii="宋体" w:hAnsi="宋体" w:eastAsia="宋体" w:cs="宋体"/>
          <w:spacing w:val="-1"/>
          <w:szCs w:val="21"/>
        </w:rPr>
        <w:t xml:space="preserve">在基准日后，因法律变化导致承包人在合同履行中所需要的工程费用发生除第 </w:t>
      </w:r>
      <w:r>
        <w:rPr>
          <w:rFonts w:ascii="宋体" w:hAnsi="宋体" w:eastAsia="宋体" w:cs="宋体"/>
          <w:szCs w:val="21"/>
        </w:rPr>
        <w:t>16.1</w:t>
      </w:r>
      <w:r>
        <w:rPr>
          <w:rFonts w:ascii="宋体" w:hAnsi="宋体" w:eastAsia="宋体" w:cs="宋体"/>
          <w:spacing w:val="-5"/>
          <w:szCs w:val="21"/>
        </w:rPr>
        <w:t xml:space="preserve"> 款约定以</w:t>
      </w:r>
    </w:p>
    <w:p w14:paraId="3FDD94B4">
      <w:pPr>
        <w:autoSpaceDE w:val="0"/>
        <w:autoSpaceDN w:val="0"/>
        <w:spacing w:before="125" w:line="352" w:lineRule="auto"/>
        <w:ind w:left="426" w:right="569"/>
        <w:jc w:val="left"/>
        <w:rPr>
          <w:rFonts w:ascii="宋体" w:hAnsi="宋体" w:eastAsia="宋体" w:cs="宋体"/>
          <w:szCs w:val="21"/>
        </w:rPr>
      </w:pPr>
      <w:r>
        <w:rPr>
          <w:rFonts w:ascii="宋体" w:hAnsi="宋体" w:eastAsia="宋体" w:cs="宋体"/>
          <w:spacing w:val="-3"/>
          <w:szCs w:val="21"/>
        </w:rPr>
        <w:t xml:space="preserve">外的增减时，监理人应根据法律、国家或省、自治区、直辖市有关部门的规定，按第 </w:t>
      </w:r>
      <w:r>
        <w:rPr>
          <w:rFonts w:ascii="宋体" w:hAnsi="宋体" w:eastAsia="宋体" w:cs="宋体"/>
          <w:spacing w:val="-2"/>
          <w:szCs w:val="21"/>
        </w:rPr>
        <w:t>3.5</w:t>
      </w:r>
      <w:r>
        <w:rPr>
          <w:rFonts w:ascii="宋体" w:hAnsi="宋体" w:eastAsia="宋体" w:cs="宋体"/>
          <w:spacing w:val="-4"/>
          <w:szCs w:val="21"/>
        </w:rPr>
        <w:t xml:space="preserve"> 款商定或</w:t>
      </w:r>
      <w:r>
        <w:rPr>
          <w:rFonts w:ascii="宋体" w:hAnsi="宋体" w:eastAsia="宋体" w:cs="宋体"/>
          <w:spacing w:val="-2"/>
          <w:szCs w:val="21"/>
        </w:rPr>
        <w:t>确定需调整的合同价款。</w:t>
      </w:r>
    </w:p>
    <w:p w14:paraId="4466E430">
      <w:pPr>
        <w:numPr>
          <w:ilvl w:val="0"/>
          <w:numId w:val="34"/>
        </w:numPr>
        <w:tabs>
          <w:tab w:val="left" w:pos="842"/>
        </w:tabs>
        <w:autoSpaceDE w:val="0"/>
        <w:autoSpaceDN w:val="0"/>
        <w:spacing w:line="272" w:lineRule="exact"/>
        <w:ind w:left="842" w:hanging="416"/>
        <w:rPr>
          <w:rFonts w:ascii="宋体" w:hAnsi="宋体" w:eastAsia="宋体" w:cs="宋体"/>
          <w:szCs w:val="22"/>
        </w:rPr>
      </w:pPr>
      <w:r>
        <w:rPr>
          <w:rFonts w:ascii="宋体" w:hAnsi="宋体" w:eastAsia="宋体" w:cs="宋体"/>
          <w:spacing w:val="-4"/>
          <w:szCs w:val="22"/>
        </w:rPr>
        <w:t>计量与支付</w:t>
      </w:r>
    </w:p>
    <w:p w14:paraId="2C3D09B3">
      <w:pPr>
        <w:numPr>
          <w:ilvl w:val="1"/>
          <w:numId w:val="34"/>
        </w:numPr>
        <w:tabs>
          <w:tab w:val="left" w:pos="1054"/>
        </w:tabs>
        <w:autoSpaceDE w:val="0"/>
        <w:autoSpaceDN w:val="0"/>
        <w:spacing w:before="126"/>
        <w:ind w:left="1054" w:hanging="628"/>
        <w:rPr>
          <w:rFonts w:ascii="宋体" w:hAnsi="宋体" w:eastAsia="宋体" w:cs="宋体"/>
          <w:szCs w:val="22"/>
        </w:rPr>
      </w:pPr>
      <w:r>
        <w:rPr>
          <w:rFonts w:ascii="宋体" w:hAnsi="宋体" w:eastAsia="宋体" w:cs="宋体"/>
          <w:spacing w:val="-8"/>
          <w:szCs w:val="22"/>
        </w:rPr>
        <w:t>计量</w:t>
      </w:r>
    </w:p>
    <w:p w14:paraId="51B184E6">
      <w:pPr>
        <w:numPr>
          <w:ilvl w:val="2"/>
          <w:numId w:val="34"/>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7"/>
          <w:szCs w:val="22"/>
        </w:rPr>
        <w:t>计量单位</w:t>
      </w:r>
    </w:p>
    <w:p w14:paraId="22DF9D56">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计量采用国家法定的计量单位。</w:t>
      </w:r>
    </w:p>
    <w:p w14:paraId="0823A685">
      <w:pPr>
        <w:numPr>
          <w:ilvl w:val="2"/>
          <w:numId w:val="34"/>
        </w:numPr>
        <w:tabs>
          <w:tab w:val="left" w:pos="1684"/>
        </w:tabs>
        <w:autoSpaceDE w:val="0"/>
        <w:autoSpaceDN w:val="0"/>
        <w:spacing w:before="126"/>
        <w:ind w:left="1684" w:hanging="838"/>
        <w:rPr>
          <w:rFonts w:ascii="宋体" w:hAnsi="宋体" w:eastAsia="宋体" w:cs="宋体"/>
          <w:szCs w:val="22"/>
        </w:rPr>
      </w:pPr>
      <w:r>
        <w:rPr>
          <w:rFonts w:ascii="宋体" w:hAnsi="宋体" w:eastAsia="宋体" w:cs="宋体"/>
          <w:spacing w:val="-2"/>
          <w:szCs w:val="22"/>
        </w:rPr>
        <w:t>计量方法（适用于日常小修工程</w:t>
      </w:r>
      <w:r>
        <w:rPr>
          <w:rFonts w:ascii="宋体" w:hAnsi="宋体" w:eastAsia="宋体" w:cs="宋体"/>
          <w:spacing w:val="-10"/>
          <w:szCs w:val="22"/>
        </w:rPr>
        <w:t>）</w:t>
      </w:r>
    </w:p>
    <w:p w14:paraId="0D908754">
      <w:pPr>
        <w:autoSpaceDE w:val="0"/>
        <w:autoSpaceDN w:val="0"/>
        <w:spacing w:before="127" w:line="350" w:lineRule="auto"/>
        <w:ind w:left="426" w:right="567" w:firstLine="420"/>
        <w:rPr>
          <w:rFonts w:ascii="宋体" w:hAnsi="宋体" w:eastAsia="宋体" w:cs="宋体"/>
          <w:szCs w:val="21"/>
        </w:rPr>
      </w:pPr>
      <w:r>
        <w:rPr>
          <w:rFonts w:ascii="宋体" w:hAnsi="宋体" w:eastAsia="宋体" w:cs="宋体"/>
          <w:spacing w:val="-2"/>
          <w:szCs w:val="21"/>
        </w:rPr>
        <w:t>日常小修工程的总承包项目，须经发包人或公路行业主管部门进行的养护检查和考核，如对本合同养护工程质量目标能达标（或基本达标）的，发包人可以进行小修保养季（年）度总承包养护价款的支付。</w:t>
      </w:r>
    </w:p>
    <w:p w14:paraId="18E763F2">
      <w:pPr>
        <w:autoSpaceDE w:val="0"/>
        <w:autoSpaceDN w:val="0"/>
        <w:spacing w:before="5"/>
        <w:ind w:left="846"/>
        <w:jc w:val="left"/>
        <w:rPr>
          <w:rFonts w:ascii="宋体" w:hAnsi="宋体" w:eastAsia="宋体" w:cs="宋体"/>
          <w:szCs w:val="21"/>
        </w:rPr>
      </w:pPr>
      <w:r>
        <w:rPr>
          <w:rFonts w:ascii="宋体" w:hAnsi="宋体" w:eastAsia="宋体" w:cs="宋体"/>
          <w:spacing w:val="-3"/>
          <w:szCs w:val="21"/>
        </w:rPr>
        <w:t>专项养护工程的工程计量以工程细目的实际完成工程量按量计价，并经验收合格进行工程的计</w:t>
      </w:r>
    </w:p>
    <w:p w14:paraId="50A5A9B7">
      <w:pPr>
        <w:autoSpaceDE w:val="0"/>
        <w:autoSpaceDN w:val="0"/>
        <w:spacing w:before="127"/>
        <w:ind w:left="426"/>
        <w:jc w:val="left"/>
        <w:rPr>
          <w:rFonts w:ascii="宋体" w:hAnsi="宋体" w:eastAsia="宋体" w:cs="宋体"/>
          <w:szCs w:val="21"/>
        </w:rPr>
      </w:pPr>
      <w:r>
        <w:rPr>
          <w:rFonts w:ascii="宋体" w:hAnsi="宋体" w:eastAsia="宋体" w:cs="宋体"/>
          <w:spacing w:val="-8"/>
          <w:szCs w:val="21"/>
        </w:rPr>
        <w:t>量。</w:t>
      </w:r>
    </w:p>
    <w:p w14:paraId="2F5BAB5A">
      <w:pPr>
        <w:autoSpaceDE w:val="0"/>
        <w:autoSpaceDN w:val="0"/>
        <w:spacing w:before="126"/>
        <w:ind w:left="846"/>
        <w:jc w:val="left"/>
        <w:rPr>
          <w:rFonts w:ascii="宋体" w:hAnsi="宋体" w:eastAsia="宋体" w:cs="宋体"/>
          <w:szCs w:val="21"/>
        </w:rPr>
      </w:pPr>
      <w:r>
        <w:rPr>
          <w:rFonts w:ascii="宋体" w:hAnsi="宋体" w:eastAsia="宋体" w:cs="宋体"/>
          <w:spacing w:val="-3"/>
          <w:szCs w:val="21"/>
        </w:rPr>
        <w:t>承包人应与发包人共同参与对专项养护工程的计量，提供计量所需的详细资料和必要的人员、</w:t>
      </w:r>
    </w:p>
    <w:p w14:paraId="6B245466">
      <w:pPr>
        <w:autoSpaceDE w:val="0"/>
        <w:autoSpaceDN w:val="0"/>
        <w:spacing w:before="128"/>
        <w:ind w:left="426"/>
        <w:jc w:val="left"/>
        <w:rPr>
          <w:rFonts w:ascii="宋体" w:hAnsi="宋体" w:eastAsia="宋体" w:cs="宋体"/>
          <w:szCs w:val="21"/>
        </w:rPr>
      </w:pPr>
      <w:r>
        <w:rPr>
          <w:rFonts w:ascii="宋体" w:hAnsi="宋体" w:eastAsia="宋体" w:cs="宋体"/>
          <w:spacing w:val="-3"/>
          <w:szCs w:val="21"/>
        </w:rPr>
        <w:t>设备及相关的记录或者图纸。</w:t>
      </w:r>
    </w:p>
    <w:p w14:paraId="7A0248D7">
      <w:pPr>
        <w:numPr>
          <w:ilvl w:val="2"/>
          <w:numId w:val="41"/>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2"/>
          <w:szCs w:val="22"/>
        </w:rPr>
        <w:t>计量方法（适用于养护工程</w:t>
      </w:r>
      <w:r>
        <w:rPr>
          <w:rFonts w:ascii="宋体" w:hAnsi="宋体" w:eastAsia="宋体" w:cs="宋体"/>
          <w:spacing w:val="-10"/>
          <w:szCs w:val="22"/>
        </w:rPr>
        <w:t>）</w:t>
      </w:r>
    </w:p>
    <w:p w14:paraId="0030454F">
      <w:pPr>
        <w:autoSpaceDE w:val="0"/>
        <w:autoSpaceDN w:val="0"/>
        <w:spacing w:before="126" w:line="352" w:lineRule="auto"/>
        <w:ind w:left="426" w:right="567" w:firstLine="420"/>
        <w:jc w:val="left"/>
        <w:rPr>
          <w:rFonts w:ascii="宋体" w:hAnsi="宋体" w:eastAsia="宋体" w:cs="宋体"/>
          <w:szCs w:val="21"/>
        </w:rPr>
      </w:pPr>
      <w:r>
        <w:rPr>
          <w:rFonts w:ascii="宋体" w:hAnsi="宋体" w:eastAsia="宋体" w:cs="宋体"/>
          <w:spacing w:val="-2"/>
          <w:szCs w:val="21"/>
        </w:rPr>
        <w:t>工程的计量以净值为准，除非专用合同条款另有约定。工程量清单各个子目的具体计量方法按本合同文件技术规范中的规定执行。</w:t>
      </w:r>
    </w:p>
    <w:p w14:paraId="6927B704">
      <w:pPr>
        <w:numPr>
          <w:ilvl w:val="2"/>
          <w:numId w:val="41"/>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7"/>
          <w:szCs w:val="22"/>
        </w:rPr>
        <w:t>计量周期</w:t>
      </w:r>
    </w:p>
    <w:p w14:paraId="445E1298">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除专用合同条款另有约定外，单价子目已完成工程量按月计量，总价子目的计量周期按批准的支付分解报告确定。</w:t>
      </w:r>
    </w:p>
    <w:p w14:paraId="128B5F8D">
      <w:pPr>
        <w:numPr>
          <w:ilvl w:val="2"/>
          <w:numId w:val="41"/>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4"/>
          <w:szCs w:val="22"/>
        </w:rPr>
        <w:t>单价子目的计量</w:t>
      </w:r>
    </w:p>
    <w:p w14:paraId="560FAD83">
      <w:pPr>
        <w:numPr>
          <w:ilvl w:val="0"/>
          <w:numId w:val="42"/>
        </w:numPr>
        <w:tabs>
          <w:tab w:val="left" w:pos="1267"/>
        </w:tabs>
        <w:autoSpaceDE w:val="0"/>
        <w:autoSpaceDN w:val="0"/>
        <w:spacing w:before="126" w:line="352" w:lineRule="auto"/>
        <w:ind w:right="569" w:firstLine="314"/>
        <w:rPr>
          <w:rFonts w:ascii="宋体" w:hAnsi="宋体" w:eastAsia="宋体" w:cs="宋体"/>
          <w:szCs w:val="22"/>
        </w:rPr>
      </w:pPr>
      <w:r>
        <w:rPr>
          <w:rFonts w:ascii="宋体" w:hAnsi="宋体" w:eastAsia="宋体" w:cs="宋体"/>
          <w:spacing w:val="-2"/>
          <w:szCs w:val="22"/>
        </w:rPr>
        <w:t>已标价工程量清单中的单价子目工程量为估算工程量。结算工程量是承包人实际完成的，并按合同约定的计量方法进行计量的工程量。</w:t>
      </w:r>
    </w:p>
    <w:p w14:paraId="4536C504">
      <w:pPr>
        <w:numPr>
          <w:ilvl w:val="0"/>
          <w:numId w:val="42"/>
        </w:numPr>
        <w:tabs>
          <w:tab w:val="left" w:pos="1267"/>
        </w:tabs>
        <w:autoSpaceDE w:val="0"/>
        <w:autoSpaceDN w:val="0"/>
        <w:spacing w:line="350" w:lineRule="auto"/>
        <w:ind w:right="569" w:firstLine="314"/>
        <w:rPr>
          <w:rFonts w:ascii="宋体" w:hAnsi="宋体" w:eastAsia="宋体" w:cs="宋体"/>
          <w:szCs w:val="22"/>
        </w:rPr>
      </w:pPr>
      <w:r>
        <w:rPr>
          <w:rFonts w:ascii="宋体" w:hAnsi="宋体" w:eastAsia="宋体" w:cs="宋体"/>
          <w:spacing w:val="-2"/>
          <w:szCs w:val="22"/>
        </w:rPr>
        <w:t>承包人对已完成的工程进行计量，向监理人提交进度付款申请单、已完成工程量报表和有关计量资料。</w:t>
      </w:r>
    </w:p>
    <w:p w14:paraId="4DD09E08">
      <w:pPr>
        <w:numPr>
          <w:ilvl w:val="0"/>
          <w:numId w:val="42"/>
        </w:numPr>
        <w:tabs>
          <w:tab w:val="left" w:pos="1242"/>
        </w:tabs>
        <w:autoSpaceDE w:val="0"/>
        <w:autoSpaceDN w:val="0"/>
        <w:spacing w:before="1" w:line="352" w:lineRule="auto"/>
        <w:ind w:right="463" w:firstLine="314"/>
        <w:rPr>
          <w:rFonts w:ascii="宋体" w:hAnsi="宋体" w:eastAsia="宋体" w:cs="宋体"/>
          <w:szCs w:val="22"/>
        </w:rPr>
      </w:pPr>
      <w:r>
        <w:rPr>
          <w:rFonts w:ascii="宋体" w:hAnsi="宋体" w:eastAsia="宋体" w:cs="宋体"/>
          <w:spacing w:val="-2"/>
          <w:szCs w:val="22"/>
        </w:rPr>
        <w:t>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r>
        <w:rPr>
          <w:rFonts w:ascii="宋体" w:hAnsi="宋体" w:eastAsia="宋体" w:cs="宋体"/>
          <w:spacing w:val="-1"/>
          <w:w w:val="99"/>
          <w:szCs w:val="22"/>
        </w:rPr>
        <w:t>。</w:t>
      </w:r>
    </w:p>
    <w:p w14:paraId="09C41AE5">
      <w:pPr>
        <w:numPr>
          <w:ilvl w:val="0"/>
          <w:numId w:val="42"/>
        </w:numPr>
        <w:tabs>
          <w:tab w:val="left" w:pos="846"/>
          <w:tab w:val="left" w:pos="1261"/>
        </w:tabs>
        <w:autoSpaceDE w:val="0"/>
        <w:autoSpaceDN w:val="0"/>
        <w:spacing w:line="350" w:lineRule="auto"/>
        <w:ind w:left="846" w:right="1870" w:hanging="106"/>
        <w:rPr>
          <w:rFonts w:ascii="宋体" w:hAnsi="宋体" w:eastAsia="宋体" w:cs="宋体"/>
          <w:spacing w:val="-2"/>
          <w:szCs w:val="22"/>
        </w:rPr>
      </w:pPr>
      <w:r>
        <w:rPr>
          <w:rFonts w:ascii="宋体" w:hAnsi="宋体" w:eastAsia="宋体" w:cs="宋体"/>
          <w:spacing w:val="-2"/>
          <w:szCs w:val="22"/>
        </w:rPr>
        <w:t>监理人认为有必要时，可通知承包人共同进行联合测量、计量，承包人应遵照执行。</w:t>
      </w:r>
    </w:p>
    <w:p w14:paraId="5AEA2957">
      <w:pPr>
        <w:numPr>
          <w:ilvl w:val="0"/>
          <w:numId w:val="42"/>
        </w:numPr>
        <w:tabs>
          <w:tab w:val="left" w:pos="1267"/>
        </w:tabs>
        <w:autoSpaceDE w:val="0"/>
        <w:autoSpaceDN w:val="0"/>
        <w:spacing w:line="352" w:lineRule="auto"/>
        <w:ind w:right="567" w:firstLine="314"/>
        <w:rPr>
          <w:rFonts w:ascii="宋体" w:hAnsi="宋体" w:eastAsia="宋体" w:cs="宋体"/>
          <w:szCs w:val="22"/>
        </w:rPr>
      </w:pPr>
      <w:r>
        <w:rPr>
          <w:rFonts w:ascii="宋体" w:hAnsi="宋体" w:eastAsia="宋体" w:cs="宋体"/>
          <w:spacing w:val="-2"/>
          <w:szCs w:val="22"/>
        </w:rPr>
        <w:t>承包人完成工程量清单中每个子目的工程量后，监理人应要求承包人派员共同对每个子目的历次计量报表进行汇总，以核实最终结算工程量。监理人可要求承包人提供补充计量资料，以确</w:t>
      </w:r>
    </w:p>
    <w:p w14:paraId="22D55677">
      <w:pPr>
        <w:spacing w:line="352" w:lineRule="auto"/>
        <w:jc w:val="left"/>
        <w:sectPr>
          <w:pgSz w:w="11910" w:h="16840"/>
          <w:pgMar w:top="1640" w:right="849" w:bottom="1360" w:left="992" w:header="0" w:footer="1176" w:gutter="0"/>
          <w:cols w:space="720" w:num="1"/>
        </w:sectPr>
      </w:pPr>
    </w:p>
    <w:p w14:paraId="02737A48">
      <w:pPr>
        <w:autoSpaceDE w:val="0"/>
        <w:autoSpaceDN w:val="0"/>
        <w:spacing w:before="37" w:line="350" w:lineRule="auto"/>
        <w:ind w:left="426" w:right="567"/>
        <w:jc w:val="left"/>
        <w:rPr>
          <w:rFonts w:ascii="宋体" w:hAnsi="宋体" w:eastAsia="宋体" w:cs="宋体"/>
          <w:szCs w:val="21"/>
        </w:rPr>
      </w:pPr>
      <w:r>
        <w:rPr>
          <w:rFonts w:ascii="宋体" w:hAnsi="宋体" w:eastAsia="宋体" w:cs="宋体"/>
          <w:spacing w:val="-2"/>
          <w:szCs w:val="21"/>
        </w:rPr>
        <w:t>定最后一次进度付款的准确工程量。承包人未按监理人要求派员参加的，监理人最终核实的工程量视为承包人完成该子目的准确工程量。</w:t>
      </w:r>
    </w:p>
    <w:p w14:paraId="69F33CA6">
      <w:pPr>
        <w:numPr>
          <w:ilvl w:val="0"/>
          <w:numId w:val="42"/>
        </w:numPr>
        <w:tabs>
          <w:tab w:val="left" w:pos="1230"/>
        </w:tabs>
        <w:autoSpaceDE w:val="0"/>
        <w:autoSpaceDN w:val="0"/>
        <w:spacing w:before="2" w:line="352" w:lineRule="auto"/>
        <w:ind w:right="569" w:firstLine="314"/>
        <w:rPr>
          <w:rFonts w:ascii="宋体" w:hAnsi="宋体" w:eastAsia="宋体" w:cs="宋体"/>
          <w:szCs w:val="22"/>
        </w:rPr>
      </w:pPr>
      <w:r>
        <w:rPr>
          <w:rFonts w:ascii="宋体" w:hAnsi="宋体" w:eastAsia="宋体" w:cs="宋体"/>
          <w:spacing w:val="-2"/>
          <w:szCs w:val="22"/>
        </w:rPr>
        <w:t xml:space="preserve">监理人应在收到承包人提交的工程量报表后的 </w:t>
      </w:r>
      <w:r>
        <w:rPr>
          <w:rFonts w:ascii="宋体" w:hAnsi="宋体" w:eastAsia="宋体" w:cs="宋体"/>
          <w:szCs w:val="22"/>
        </w:rPr>
        <w:t>7</w:t>
      </w:r>
      <w:r>
        <w:rPr>
          <w:rFonts w:ascii="宋体" w:hAnsi="宋体" w:eastAsia="宋体" w:cs="宋体"/>
          <w:spacing w:val="-5"/>
          <w:szCs w:val="22"/>
        </w:rPr>
        <w:t xml:space="preserve"> 天内进行复核，监理人未在约定时间内复</w:t>
      </w:r>
      <w:r>
        <w:rPr>
          <w:rFonts w:ascii="宋体" w:hAnsi="宋体" w:eastAsia="宋体" w:cs="宋体"/>
          <w:spacing w:val="-2"/>
          <w:szCs w:val="22"/>
        </w:rPr>
        <w:t>核的，承包人提交的工程量报表中的工程量视为承包人实际完成的工程量，据此计算工程价款。</w:t>
      </w:r>
    </w:p>
    <w:p w14:paraId="46F99049">
      <w:pPr>
        <w:numPr>
          <w:ilvl w:val="0"/>
          <w:numId w:val="42"/>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承包人未在已标价工程量清单中填入单价或总额价的工程子目，将被认为其已包含在本合同的其它子目的单价和总额价中，发包人将不另行支付。</w:t>
      </w:r>
    </w:p>
    <w:p w14:paraId="63FF64F2">
      <w:pPr>
        <w:autoSpaceDE w:val="0"/>
        <w:autoSpaceDN w:val="0"/>
        <w:spacing w:line="272" w:lineRule="exact"/>
        <w:ind w:left="846"/>
        <w:jc w:val="left"/>
        <w:rPr>
          <w:rFonts w:ascii="宋体" w:hAnsi="宋体" w:eastAsia="宋体" w:cs="宋体"/>
          <w:szCs w:val="21"/>
        </w:rPr>
      </w:pPr>
      <w:r>
        <w:rPr>
          <w:rFonts w:ascii="宋体" w:hAnsi="宋体" w:eastAsia="宋体" w:cs="宋体"/>
          <w:spacing w:val="-3"/>
          <w:szCs w:val="21"/>
        </w:rPr>
        <w:t>工程量清单中的工程量计算规则应按有关国家标准、行业标准的规定，并在合同中约定执行。</w:t>
      </w:r>
    </w:p>
    <w:p w14:paraId="06A496CF">
      <w:pPr>
        <w:numPr>
          <w:ilvl w:val="2"/>
          <w:numId w:val="41"/>
        </w:numPr>
        <w:tabs>
          <w:tab w:val="left" w:pos="1684"/>
        </w:tabs>
        <w:autoSpaceDE w:val="0"/>
        <w:autoSpaceDN w:val="0"/>
        <w:spacing w:before="122"/>
        <w:ind w:left="1684" w:hanging="838"/>
        <w:rPr>
          <w:rFonts w:ascii="宋体" w:hAnsi="宋体" w:eastAsia="宋体" w:cs="宋体"/>
          <w:szCs w:val="22"/>
        </w:rPr>
      </w:pPr>
      <w:r>
        <w:rPr>
          <w:rFonts w:ascii="宋体" w:hAnsi="宋体" w:eastAsia="宋体" w:cs="宋体"/>
          <w:spacing w:val="-4"/>
          <w:szCs w:val="22"/>
        </w:rPr>
        <w:t>总价子目的计量</w:t>
      </w:r>
    </w:p>
    <w:p w14:paraId="229681C2">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除专用合同条款另有约定外，总价子目的分解和计量按照下述约定进行。</w:t>
      </w:r>
    </w:p>
    <w:p w14:paraId="795F2775">
      <w:pPr>
        <w:numPr>
          <w:ilvl w:val="0"/>
          <w:numId w:val="43"/>
        </w:numPr>
        <w:tabs>
          <w:tab w:val="left" w:pos="1267"/>
        </w:tabs>
        <w:autoSpaceDE w:val="0"/>
        <w:autoSpaceDN w:val="0"/>
        <w:spacing w:before="127" w:line="350" w:lineRule="auto"/>
        <w:ind w:right="566" w:firstLine="314"/>
        <w:jc w:val="both"/>
        <w:rPr>
          <w:rFonts w:ascii="宋体" w:hAnsi="宋体" w:eastAsia="宋体" w:cs="宋体"/>
          <w:szCs w:val="22"/>
        </w:rPr>
      </w:pPr>
      <w:r>
        <w:rPr>
          <w:rFonts w:ascii="宋体" w:hAnsi="宋体" w:eastAsia="宋体" w:cs="宋体"/>
          <w:szCs w:val="22"/>
        </w:rPr>
        <w:t>总价子目的计量和支付应以总价为基础，不因第 16.1 款中的因素而进行调整。承包人实</w:t>
      </w:r>
      <w:r>
        <w:rPr>
          <w:rFonts w:ascii="宋体" w:hAnsi="宋体" w:eastAsia="宋体" w:cs="宋体"/>
          <w:spacing w:val="-2"/>
          <w:szCs w:val="22"/>
        </w:rPr>
        <w:t>际完成的工程量，是进行工程目标管理和控制进度支付的依据。</w:t>
      </w:r>
    </w:p>
    <w:p w14:paraId="33AEAF88">
      <w:pPr>
        <w:numPr>
          <w:ilvl w:val="0"/>
          <w:numId w:val="43"/>
        </w:numPr>
        <w:tabs>
          <w:tab w:val="left" w:pos="1267"/>
        </w:tabs>
        <w:autoSpaceDE w:val="0"/>
        <w:autoSpaceDN w:val="0"/>
        <w:spacing w:before="2" w:line="350" w:lineRule="auto"/>
        <w:ind w:right="567" w:firstLine="314"/>
        <w:jc w:val="both"/>
        <w:rPr>
          <w:rFonts w:ascii="宋体" w:hAnsi="宋体" w:eastAsia="宋体" w:cs="宋体"/>
          <w:szCs w:val="22"/>
        </w:rPr>
      </w:pPr>
      <w:r>
        <w:rPr>
          <w:rFonts w:ascii="宋体" w:hAnsi="宋体" w:eastAsia="宋体" w:cs="宋体"/>
          <w:spacing w:val="-2"/>
          <w:szCs w:val="22"/>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ECA0CD3">
      <w:pPr>
        <w:numPr>
          <w:ilvl w:val="0"/>
          <w:numId w:val="43"/>
        </w:numPr>
        <w:tabs>
          <w:tab w:val="left" w:pos="1267"/>
        </w:tabs>
        <w:autoSpaceDE w:val="0"/>
        <w:autoSpaceDN w:val="0"/>
        <w:spacing w:before="5" w:line="352" w:lineRule="auto"/>
        <w:ind w:right="569" w:firstLine="314"/>
        <w:jc w:val="both"/>
        <w:rPr>
          <w:rFonts w:ascii="宋体" w:hAnsi="宋体" w:eastAsia="宋体" w:cs="宋体"/>
          <w:szCs w:val="22"/>
        </w:rPr>
      </w:pPr>
      <w:r>
        <w:rPr>
          <w:rFonts w:ascii="宋体" w:hAnsi="宋体" w:eastAsia="宋体" w:cs="宋体"/>
          <w:spacing w:val="-2"/>
          <w:szCs w:val="22"/>
        </w:rPr>
        <w:t>监理人对承包人提交的上述资料进行复核，以确定分阶段实际完成的工程量和工程形象目</w:t>
      </w:r>
      <w:r>
        <w:rPr>
          <w:rFonts w:ascii="宋体" w:hAnsi="宋体" w:eastAsia="宋体" w:cs="宋体"/>
          <w:szCs w:val="22"/>
        </w:rPr>
        <w:t>标。对其有异议的，可要求承包人按第 8.2 款约定进行共同复核和抽样复测。</w:t>
      </w:r>
    </w:p>
    <w:p w14:paraId="538091D0">
      <w:pPr>
        <w:numPr>
          <w:ilvl w:val="0"/>
          <w:numId w:val="43"/>
        </w:numPr>
        <w:tabs>
          <w:tab w:val="left" w:pos="1261"/>
        </w:tabs>
        <w:autoSpaceDE w:val="0"/>
        <w:autoSpaceDN w:val="0"/>
        <w:spacing w:line="270" w:lineRule="exact"/>
        <w:ind w:left="1261" w:hanging="521"/>
        <w:jc w:val="both"/>
        <w:rPr>
          <w:rFonts w:ascii="宋体" w:hAnsi="宋体" w:eastAsia="宋体" w:cs="宋体"/>
          <w:szCs w:val="22"/>
        </w:rPr>
      </w:pPr>
      <w:r>
        <w:rPr>
          <w:rFonts w:ascii="宋体" w:hAnsi="宋体" w:eastAsia="宋体" w:cs="宋体"/>
          <w:szCs w:val="22"/>
        </w:rPr>
        <w:t xml:space="preserve">除按照第 </w:t>
      </w:r>
      <w:r>
        <w:rPr>
          <w:rFonts w:ascii="宋体" w:hAnsi="宋体" w:eastAsia="宋体" w:cs="宋体"/>
          <w:spacing w:val="-2"/>
          <w:szCs w:val="22"/>
        </w:rPr>
        <w:t>15</w:t>
      </w:r>
      <w:r>
        <w:rPr>
          <w:rFonts w:ascii="宋体" w:hAnsi="宋体" w:eastAsia="宋体" w:cs="宋体"/>
          <w:spacing w:val="-3"/>
          <w:szCs w:val="22"/>
        </w:rPr>
        <w:t xml:space="preserve"> 条约定的变更外，总价子目的工程量是承包人用于结算的最终工程量。</w:t>
      </w:r>
    </w:p>
    <w:p w14:paraId="37CA5049">
      <w:pPr>
        <w:numPr>
          <w:ilvl w:val="1"/>
          <w:numId w:val="34"/>
        </w:numPr>
        <w:tabs>
          <w:tab w:val="left" w:pos="1054"/>
        </w:tabs>
        <w:autoSpaceDE w:val="0"/>
        <w:autoSpaceDN w:val="0"/>
        <w:spacing w:before="127"/>
        <w:ind w:left="1054" w:hanging="628"/>
        <w:jc w:val="both"/>
        <w:rPr>
          <w:rFonts w:ascii="宋体" w:hAnsi="宋体" w:eastAsia="宋体" w:cs="宋体"/>
          <w:szCs w:val="22"/>
        </w:rPr>
      </w:pPr>
      <w:r>
        <w:rPr>
          <w:rFonts w:ascii="宋体" w:hAnsi="宋体" w:eastAsia="宋体" w:cs="宋体"/>
          <w:spacing w:val="-5"/>
          <w:szCs w:val="22"/>
        </w:rPr>
        <w:t>预付款</w:t>
      </w:r>
    </w:p>
    <w:p w14:paraId="6DCD7CEF">
      <w:pPr>
        <w:numPr>
          <w:ilvl w:val="2"/>
          <w:numId w:val="34"/>
        </w:numPr>
        <w:tabs>
          <w:tab w:val="left" w:pos="1684"/>
        </w:tabs>
        <w:autoSpaceDE w:val="0"/>
        <w:autoSpaceDN w:val="0"/>
        <w:spacing w:before="128"/>
        <w:ind w:left="1684" w:hanging="838"/>
        <w:rPr>
          <w:rFonts w:ascii="宋体" w:hAnsi="宋体" w:eastAsia="宋体" w:cs="宋体"/>
          <w:szCs w:val="22"/>
        </w:rPr>
      </w:pPr>
      <w:r>
        <w:rPr>
          <w:rFonts w:ascii="宋体" w:hAnsi="宋体" w:eastAsia="宋体" w:cs="宋体"/>
          <w:spacing w:val="-5"/>
          <w:szCs w:val="22"/>
        </w:rPr>
        <w:t>预付款</w:t>
      </w:r>
    </w:p>
    <w:p w14:paraId="41EBCB13">
      <w:pPr>
        <w:autoSpaceDE w:val="0"/>
        <w:autoSpaceDN w:val="0"/>
        <w:spacing w:before="126" w:line="352" w:lineRule="auto"/>
        <w:ind w:left="426" w:right="567" w:firstLine="420"/>
        <w:jc w:val="left"/>
        <w:rPr>
          <w:rFonts w:ascii="宋体" w:hAnsi="宋体" w:eastAsia="宋体" w:cs="宋体"/>
          <w:szCs w:val="21"/>
        </w:rPr>
      </w:pPr>
      <w:r>
        <w:rPr>
          <w:rFonts w:ascii="宋体" w:hAnsi="宋体" w:eastAsia="宋体" w:cs="宋体"/>
          <w:spacing w:val="-2"/>
          <w:szCs w:val="21"/>
        </w:rPr>
        <w:t>预付款用于承包人为合同工程施工购置材料、工程设备、施工设备、修建临时设施以及组织施工队伍进场等。</w:t>
      </w:r>
    </w:p>
    <w:p w14:paraId="21F8605D">
      <w:pPr>
        <w:autoSpaceDE w:val="0"/>
        <w:autoSpaceDN w:val="0"/>
        <w:spacing w:line="272" w:lineRule="exact"/>
        <w:ind w:left="846"/>
        <w:jc w:val="left"/>
        <w:rPr>
          <w:rFonts w:ascii="宋体" w:hAnsi="宋体" w:eastAsia="宋体" w:cs="宋体"/>
          <w:szCs w:val="21"/>
        </w:rPr>
      </w:pPr>
      <w:r>
        <w:rPr>
          <w:rFonts w:ascii="宋体" w:hAnsi="宋体" w:eastAsia="宋体" w:cs="宋体"/>
          <w:spacing w:val="-3"/>
          <w:szCs w:val="21"/>
        </w:rPr>
        <w:t>预付款包括开工预付款和材料预付款。具体额度和预付办法如下：</w:t>
      </w:r>
    </w:p>
    <w:p w14:paraId="56BCB3F0">
      <w:pPr>
        <w:numPr>
          <w:ilvl w:val="0"/>
          <w:numId w:val="44"/>
        </w:numPr>
        <w:tabs>
          <w:tab w:val="left" w:pos="1267"/>
        </w:tabs>
        <w:autoSpaceDE w:val="0"/>
        <w:autoSpaceDN w:val="0"/>
        <w:spacing w:before="125" w:line="352" w:lineRule="auto"/>
        <w:ind w:right="463" w:firstLine="314"/>
        <w:rPr>
          <w:rFonts w:ascii="宋体" w:hAnsi="宋体" w:eastAsia="宋体" w:cs="宋体"/>
          <w:szCs w:val="22"/>
        </w:rPr>
      </w:pPr>
      <w:r>
        <w:rPr>
          <w:rFonts w:ascii="宋体" w:hAnsi="宋体" w:eastAsia="宋体" w:cs="宋体"/>
          <w:spacing w:val="-1"/>
          <w:w w:val="99"/>
          <w:szCs w:val="22"/>
        </w:rPr>
        <w:t>开工预付款的金额在专用合同条款数据表中约定。在承包人签订了合同协议书后，监理人应在当期进度付款证书中向承包人支付开工预付款的</w:t>
      </w:r>
      <w:r>
        <w:rPr>
          <w:rFonts w:ascii="宋体" w:hAnsi="宋体" w:eastAsia="宋体" w:cs="宋体"/>
          <w:spacing w:val="1"/>
          <w:w w:val="99"/>
          <w:szCs w:val="22"/>
        </w:rPr>
        <w:t>70</w:t>
      </w:r>
      <w:r>
        <w:rPr>
          <w:rFonts w:ascii="宋体" w:hAnsi="宋体" w:eastAsia="宋体" w:cs="宋体"/>
          <w:spacing w:val="-8"/>
          <w:w w:val="99"/>
          <w:szCs w:val="22"/>
        </w:rPr>
        <w:t>％的价款；在承包人承诺的主要设备进场后，</w:t>
      </w:r>
      <w:r>
        <w:rPr>
          <w:rFonts w:ascii="宋体" w:hAnsi="宋体" w:eastAsia="宋体" w:cs="宋体"/>
          <w:spacing w:val="-1"/>
          <w:w w:val="99"/>
          <w:szCs w:val="22"/>
        </w:rPr>
        <w:t>再支付预付款的</w:t>
      </w:r>
      <w:r>
        <w:rPr>
          <w:rFonts w:ascii="宋体" w:hAnsi="宋体" w:eastAsia="宋体" w:cs="宋体"/>
          <w:spacing w:val="1"/>
          <w:w w:val="99"/>
          <w:szCs w:val="22"/>
        </w:rPr>
        <w:t>30</w:t>
      </w:r>
      <w:r>
        <w:rPr>
          <w:rFonts w:ascii="宋体" w:hAnsi="宋体" w:eastAsia="宋体" w:cs="宋体"/>
          <w:spacing w:val="-1"/>
          <w:w w:val="99"/>
          <w:szCs w:val="22"/>
        </w:rPr>
        <w:t>％。</w:t>
      </w:r>
    </w:p>
    <w:p w14:paraId="551EB7CE">
      <w:pPr>
        <w:autoSpaceDE w:val="0"/>
        <w:autoSpaceDN w:val="0"/>
        <w:spacing w:line="269" w:lineRule="exact"/>
        <w:ind w:left="846"/>
        <w:jc w:val="left"/>
        <w:rPr>
          <w:rFonts w:ascii="宋体" w:hAnsi="宋体" w:eastAsia="宋体" w:cs="宋体"/>
          <w:szCs w:val="21"/>
        </w:rPr>
      </w:pPr>
      <w:r>
        <w:rPr>
          <w:rFonts w:ascii="宋体" w:hAnsi="宋体" w:eastAsia="宋体" w:cs="宋体"/>
          <w:spacing w:val="-3"/>
          <w:szCs w:val="21"/>
        </w:rPr>
        <w:t>承包人不得将该预付款用于与本工程无关的支出，监理人有权监督承包人对该项费用的使用。</w:t>
      </w:r>
    </w:p>
    <w:p w14:paraId="3E63018F">
      <w:pPr>
        <w:numPr>
          <w:ilvl w:val="0"/>
          <w:numId w:val="44"/>
        </w:numPr>
        <w:tabs>
          <w:tab w:val="left" w:pos="1242"/>
        </w:tabs>
        <w:autoSpaceDE w:val="0"/>
        <w:autoSpaceDN w:val="0"/>
        <w:spacing w:before="128" w:line="352" w:lineRule="auto"/>
        <w:ind w:right="463" w:firstLine="314"/>
        <w:rPr>
          <w:rFonts w:ascii="宋体" w:hAnsi="宋体" w:eastAsia="宋体" w:cs="宋体"/>
          <w:szCs w:val="22"/>
        </w:rPr>
      </w:pPr>
      <w:r>
        <w:rPr>
          <w:rFonts w:ascii="宋体" w:hAnsi="宋体" w:eastAsia="宋体" w:cs="宋体"/>
          <w:spacing w:val="-2"/>
          <w:szCs w:val="22"/>
        </w:rPr>
        <w:t>材料预付款按专用合同条款数据表中所列主要材料单据费用（进口的材料、设备为到岸价，国内采购的为出厂价或销售价，地方材料为堆场价）的百分比支付。其预付条件为：</w:t>
      </w:r>
    </w:p>
    <w:p w14:paraId="4E348EE5">
      <w:pPr>
        <w:numPr>
          <w:ilvl w:val="1"/>
          <w:numId w:val="44"/>
        </w:numPr>
        <w:tabs>
          <w:tab w:val="left" w:pos="1159"/>
        </w:tabs>
        <w:autoSpaceDE w:val="0"/>
        <w:autoSpaceDN w:val="0"/>
        <w:spacing w:line="270" w:lineRule="exact"/>
        <w:ind w:left="1159" w:hanging="313"/>
        <w:rPr>
          <w:rFonts w:ascii="宋体" w:hAnsi="宋体" w:eastAsia="宋体" w:cs="宋体"/>
          <w:szCs w:val="22"/>
        </w:rPr>
      </w:pPr>
      <w:r>
        <w:rPr>
          <w:rFonts w:ascii="宋体" w:hAnsi="宋体" w:eastAsia="宋体" w:cs="宋体"/>
          <w:spacing w:val="-3"/>
          <w:szCs w:val="22"/>
        </w:rPr>
        <w:t>材料符合规范要求并经监理人认可；</w:t>
      </w:r>
    </w:p>
    <w:p w14:paraId="2D1EFFB0">
      <w:pPr>
        <w:numPr>
          <w:ilvl w:val="1"/>
          <w:numId w:val="44"/>
        </w:numPr>
        <w:tabs>
          <w:tab w:val="left" w:pos="1159"/>
        </w:tabs>
        <w:autoSpaceDE w:val="0"/>
        <w:autoSpaceDN w:val="0"/>
        <w:spacing w:before="128"/>
        <w:ind w:left="1159" w:hanging="313"/>
        <w:rPr>
          <w:rFonts w:ascii="宋体" w:hAnsi="宋体" w:eastAsia="宋体" w:cs="宋体"/>
          <w:szCs w:val="22"/>
        </w:rPr>
      </w:pPr>
      <w:r>
        <w:rPr>
          <w:rFonts w:ascii="宋体" w:hAnsi="宋体" w:eastAsia="宋体" w:cs="宋体"/>
          <w:spacing w:val="-3"/>
          <w:szCs w:val="22"/>
        </w:rPr>
        <w:t>承包人已出具材料费用凭证或支付单据；</w:t>
      </w:r>
    </w:p>
    <w:p w14:paraId="06C9D274">
      <w:pPr>
        <w:numPr>
          <w:ilvl w:val="1"/>
          <w:numId w:val="44"/>
        </w:numPr>
        <w:tabs>
          <w:tab w:val="left" w:pos="1143"/>
        </w:tabs>
        <w:autoSpaceDE w:val="0"/>
        <w:autoSpaceDN w:val="0"/>
        <w:spacing w:before="127" w:line="350" w:lineRule="auto"/>
        <w:ind w:left="426" w:right="569" w:firstLine="420"/>
        <w:jc w:val="both"/>
        <w:rPr>
          <w:rFonts w:ascii="宋体" w:hAnsi="宋体" w:eastAsia="宋体" w:cs="宋体"/>
          <w:szCs w:val="22"/>
        </w:rPr>
      </w:pPr>
      <w:r>
        <w:rPr>
          <w:rFonts w:ascii="宋体" w:hAnsi="宋体" w:eastAsia="宋体" w:cs="宋体"/>
          <w:spacing w:val="-2"/>
          <w:szCs w:val="22"/>
        </w:rPr>
        <w:t>材料已在现场交货，且存储良好，监理人认为材料的存储方法符合要求。则监理人应将此项</w:t>
      </w:r>
      <w:r>
        <w:rPr>
          <w:rFonts w:ascii="宋体" w:hAnsi="宋体" w:eastAsia="宋体" w:cs="宋体"/>
          <w:spacing w:val="-3"/>
          <w:szCs w:val="22"/>
        </w:rPr>
        <w:t xml:space="preserve">金额作为材料预付款计入下一次的进度付款证书中。在预计交工前 </w:t>
      </w:r>
      <w:r>
        <w:rPr>
          <w:rFonts w:ascii="宋体" w:hAnsi="宋体" w:eastAsia="宋体" w:cs="宋体"/>
          <w:spacing w:val="-2"/>
          <w:szCs w:val="22"/>
        </w:rPr>
        <w:t>3</w:t>
      </w:r>
      <w:r>
        <w:rPr>
          <w:rFonts w:ascii="宋体" w:hAnsi="宋体" w:eastAsia="宋体" w:cs="宋体"/>
          <w:spacing w:val="-5"/>
          <w:szCs w:val="22"/>
        </w:rPr>
        <w:t xml:space="preserve"> 个月，将不再支付材料、设备</w:t>
      </w:r>
      <w:r>
        <w:rPr>
          <w:rFonts w:ascii="宋体" w:hAnsi="宋体" w:eastAsia="宋体" w:cs="宋体"/>
          <w:spacing w:val="-4"/>
          <w:szCs w:val="22"/>
        </w:rPr>
        <w:t>预付款。</w:t>
      </w:r>
    </w:p>
    <w:p w14:paraId="1FF84817">
      <w:pPr>
        <w:numPr>
          <w:ilvl w:val="2"/>
          <w:numId w:val="34"/>
        </w:numPr>
        <w:tabs>
          <w:tab w:val="left" w:pos="1684"/>
        </w:tabs>
        <w:autoSpaceDE w:val="0"/>
        <w:autoSpaceDN w:val="0"/>
        <w:spacing w:before="5"/>
        <w:ind w:left="1684" w:hanging="838"/>
        <w:jc w:val="both"/>
        <w:rPr>
          <w:rFonts w:ascii="宋体" w:hAnsi="宋体" w:eastAsia="宋体" w:cs="宋体"/>
          <w:szCs w:val="22"/>
        </w:rPr>
      </w:pPr>
      <w:r>
        <w:rPr>
          <w:rFonts w:ascii="宋体" w:hAnsi="宋体" w:eastAsia="宋体" w:cs="宋体"/>
          <w:spacing w:val="-3"/>
          <w:szCs w:val="22"/>
        </w:rPr>
        <w:t>预付款的扣回与还清</w:t>
      </w:r>
    </w:p>
    <w:p w14:paraId="79BCAB9F">
      <w:pPr>
        <w:sectPr>
          <w:pgSz w:w="11910" w:h="16840"/>
          <w:pgMar w:top="1640" w:right="849" w:bottom="1360" w:left="992" w:header="0" w:footer="1176" w:gutter="0"/>
          <w:cols w:space="720" w:num="1"/>
        </w:sectPr>
      </w:pPr>
    </w:p>
    <w:p w14:paraId="0E699013">
      <w:pPr>
        <w:autoSpaceDE w:val="0"/>
        <w:autoSpaceDN w:val="0"/>
        <w:spacing w:before="37"/>
        <w:ind w:left="846"/>
        <w:jc w:val="left"/>
        <w:rPr>
          <w:rFonts w:ascii="宋体" w:hAnsi="宋体" w:eastAsia="宋体" w:cs="宋体"/>
          <w:szCs w:val="21"/>
        </w:rPr>
      </w:pPr>
      <w:r>
        <w:rPr>
          <w:rFonts w:ascii="宋体" w:hAnsi="宋体" w:eastAsia="宋体" w:cs="宋体"/>
          <w:spacing w:val="-3"/>
          <w:szCs w:val="21"/>
        </w:rPr>
        <w:t>预付款扣回办法在专用合同条款中约定。</w:t>
      </w:r>
    </w:p>
    <w:p w14:paraId="0815F8BA">
      <w:pPr>
        <w:numPr>
          <w:ilvl w:val="1"/>
          <w:numId w:val="34"/>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4"/>
          <w:szCs w:val="22"/>
        </w:rPr>
        <w:t>工程进度付款</w:t>
      </w:r>
    </w:p>
    <w:p w14:paraId="5DD8D319">
      <w:pPr>
        <w:numPr>
          <w:ilvl w:val="2"/>
          <w:numId w:val="34"/>
        </w:numPr>
        <w:tabs>
          <w:tab w:val="left" w:pos="1684"/>
        </w:tabs>
        <w:autoSpaceDE w:val="0"/>
        <w:autoSpaceDN w:val="0"/>
        <w:spacing w:before="128"/>
        <w:ind w:left="1684" w:hanging="838"/>
        <w:rPr>
          <w:rFonts w:ascii="宋体" w:hAnsi="宋体" w:eastAsia="宋体" w:cs="宋体"/>
          <w:szCs w:val="22"/>
        </w:rPr>
      </w:pPr>
      <w:r>
        <w:rPr>
          <w:rFonts w:ascii="宋体" w:hAnsi="宋体" w:eastAsia="宋体" w:cs="宋体"/>
          <w:spacing w:val="-7"/>
          <w:szCs w:val="22"/>
        </w:rPr>
        <w:t>付款周期</w:t>
      </w:r>
    </w:p>
    <w:p w14:paraId="7CDF5D2C">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付款周期同计量周期。</w:t>
      </w:r>
    </w:p>
    <w:p w14:paraId="3A87EA3B">
      <w:pPr>
        <w:numPr>
          <w:ilvl w:val="2"/>
          <w:numId w:val="34"/>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4"/>
          <w:szCs w:val="22"/>
        </w:rPr>
        <w:t>进度付款申请单</w:t>
      </w:r>
    </w:p>
    <w:p w14:paraId="658EB9DC">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D07CF21">
      <w:pPr>
        <w:numPr>
          <w:ilvl w:val="0"/>
          <w:numId w:val="45"/>
        </w:numPr>
        <w:tabs>
          <w:tab w:val="left" w:pos="1261"/>
        </w:tabs>
        <w:autoSpaceDE w:val="0"/>
        <w:autoSpaceDN w:val="0"/>
        <w:spacing w:before="4"/>
        <w:ind w:left="1261" w:hanging="521"/>
        <w:rPr>
          <w:rFonts w:ascii="宋体" w:hAnsi="宋体" w:eastAsia="宋体" w:cs="宋体"/>
          <w:szCs w:val="22"/>
        </w:rPr>
      </w:pPr>
      <w:r>
        <w:rPr>
          <w:rFonts w:ascii="宋体" w:hAnsi="宋体" w:eastAsia="宋体" w:cs="宋体"/>
          <w:spacing w:val="-3"/>
          <w:szCs w:val="22"/>
        </w:rPr>
        <w:t>截至本次付款周期末已实施工程的价款；</w:t>
      </w:r>
    </w:p>
    <w:p w14:paraId="38AC1EA2">
      <w:pPr>
        <w:numPr>
          <w:ilvl w:val="0"/>
          <w:numId w:val="45"/>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 xml:space="preserve">根据第 </w:t>
      </w:r>
      <w:r>
        <w:rPr>
          <w:rFonts w:ascii="宋体" w:hAnsi="宋体" w:eastAsia="宋体" w:cs="宋体"/>
          <w:szCs w:val="22"/>
        </w:rPr>
        <w:t>15</w:t>
      </w:r>
      <w:r>
        <w:rPr>
          <w:rFonts w:ascii="宋体" w:hAnsi="宋体" w:eastAsia="宋体" w:cs="宋体"/>
          <w:spacing w:val="-5"/>
          <w:szCs w:val="22"/>
        </w:rPr>
        <w:t xml:space="preserve"> 条应增加和扣减的变更金额；</w:t>
      </w:r>
    </w:p>
    <w:p w14:paraId="24069BBE">
      <w:pPr>
        <w:numPr>
          <w:ilvl w:val="0"/>
          <w:numId w:val="45"/>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 xml:space="preserve">根据第 </w:t>
      </w:r>
      <w:r>
        <w:rPr>
          <w:rFonts w:ascii="宋体" w:hAnsi="宋体" w:eastAsia="宋体" w:cs="宋体"/>
          <w:szCs w:val="22"/>
        </w:rPr>
        <w:t>23</w:t>
      </w:r>
      <w:r>
        <w:rPr>
          <w:rFonts w:ascii="宋体" w:hAnsi="宋体" w:eastAsia="宋体" w:cs="宋体"/>
          <w:spacing w:val="-5"/>
          <w:szCs w:val="22"/>
        </w:rPr>
        <w:t xml:space="preserve"> 条应增加和扣减的索赔金额；</w:t>
      </w:r>
    </w:p>
    <w:p w14:paraId="1A30346B">
      <w:pPr>
        <w:numPr>
          <w:ilvl w:val="0"/>
          <w:numId w:val="45"/>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5"/>
          <w:szCs w:val="22"/>
        </w:rPr>
        <w:t xml:space="preserve">根据第 </w:t>
      </w:r>
      <w:r>
        <w:rPr>
          <w:rFonts w:ascii="宋体" w:hAnsi="宋体" w:eastAsia="宋体" w:cs="宋体"/>
          <w:szCs w:val="22"/>
        </w:rPr>
        <w:t>17.2</w:t>
      </w:r>
      <w:r>
        <w:rPr>
          <w:rFonts w:ascii="宋体" w:hAnsi="宋体" w:eastAsia="宋体" w:cs="宋体"/>
          <w:spacing w:val="-6"/>
          <w:szCs w:val="22"/>
        </w:rPr>
        <w:t xml:space="preserve"> 款约定应支付的预付款和扣减的返还预付款；</w:t>
      </w:r>
    </w:p>
    <w:p w14:paraId="6AE48D78">
      <w:pPr>
        <w:numPr>
          <w:ilvl w:val="0"/>
          <w:numId w:val="45"/>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根据合同应增加和扣减的其它金额。</w:t>
      </w:r>
    </w:p>
    <w:p w14:paraId="28121E3A">
      <w:pPr>
        <w:numPr>
          <w:ilvl w:val="2"/>
          <w:numId w:val="34"/>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3"/>
          <w:szCs w:val="22"/>
        </w:rPr>
        <w:t>进度付款证书和支付时间</w:t>
      </w:r>
    </w:p>
    <w:p w14:paraId="590A0CA2">
      <w:pPr>
        <w:numPr>
          <w:ilvl w:val="0"/>
          <w:numId w:val="46"/>
        </w:numPr>
        <w:tabs>
          <w:tab w:val="left" w:pos="1199"/>
        </w:tabs>
        <w:autoSpaceDE w:val="0"/>
        <w:autoSpaceDN w:val="0"/>
        <w:spacing w:before="128" w:line="352" w:lineRule="auto"/>
        <w:ind w:right="567" w:firstLine="314"/>
        <w:jc w:val="both"/>
        <w:rPr>
          <w:rFonts w:ascii="宋体" w:hAnsi="宋体" w:eastAsia="宋体" w:cs="宋体"/>
          <w:szCs w:val="22"/>
        </w:rPr>
      </w:pPr>
      <w:r>
        <w:rPr>
          <w:rFonts w:ascii="宋体" w:hAnsi="宋体" w:eastAsia="宋体" w:cs="宋体"/>
          <w:spacing w:val="-2"/>
          <w:szCs w:val="22"/>
        </w:rPr>
        <w:t>监理人在收到承包人进度付款申请单以及相应的支持性证明文件后的7天内完成核查并报送发包人，发包人应在收到后7天内完成审批并通过监理人向承包人出具签发进度款支付证书。发包人逾期（包括因监理人原因延误报送的时间）未完成审批且未提出异议的，视为已签发进度款支付证书。监理人有权核减承包人未能按照合同要求履行任何工作或义务的相应金额。</w:t>
      </w:r>
    </w:p>
    <w:p w14:paraId="49D97953">
      <w:pPr>
        <w:numPr>
          <w:ilvl w:val="0"/>
          <w:numId w:val="46"/>
        </w:numPr>
        <w:tabs>
          <w:tab w:val="left" w:pos="1369"/>
        </w:tabs>
        <w:autoSpaceDE w:val="0"/>
        <w:autoSpaceDN w:val="0"/>
        <w:spacing w:line="269" w:lineRule="exact"/>
        <w:ind w:left="1369" w:hanging="629"/>
        <w:jc w:val="both"/>
        <w:rPr>
          <w:rFonts w:ascii="宋体" w:hAnsi="宋体" w:eastAsia="宋体" w:cs="宋体"/>
          <w:szCs w:val="22"/>
        </w:rPr>
      </w:pPr>
      <w:r>
        <w:rPr>
          <w:rFonts w:ascii="宋体" w:hAnsi="宋体" w:eastAsia="宋体" w:cs="宋体"/>
          <w:spacing w:val="-3"/>
          <w:szCs w:val="22"/>
        </w:rPr>
        <w:t>日常小修年度总承包的养护工程价款的支付按以下办法进行：</w:t>
      </w:r>
    </w:p>
    <w:p w14:paraId="5DE630C7">
      <w:pPr>
        <w:numPr>
          <w:ilvl w:val="1"/>
          <w:numId w:val="46"/>
        </w:numPr>
        <w:tabs>
          <w:tab w:val="left" w:pos="1160"/>
          <w:tab w:val="left" w:pos="1180"/>
          <w:tab w:val="left" w:pos="2946"/>
          <w:tab w:val="left" w:pos="4731"/>
        </w:tabs>
        <w:autoSpaceDE w:val="0"/>
        <w:autoSpaceDN w:val="0"/>
        <w:spacing w:before="126" w:line="352" w:lineRule="auto"/>
        <w:ind w:right="569" w:firstLine="420"/>
        <w:rPr>
          <w:rFonts w:ascii="宋体" w:hAnsi="宋体" w:eastAsia="宋体" w:cs="宋体"/>
          <w:szCs w:val="22"/>
        </w:rPr>
      </w:pPr>
      <w:r>
        <w:rPr>
          <w:rFonts w:ascii="宋体" w:hAnsi="宋体" w:eastAsia="宋体" w:cs="宋体"/>
          <w:spacing w:val="12"/>
          <w:szCs w:val="22"/>
        </w:rPr>
        <w:t>以</w:t>
      </w:r>
      <w:r>
        <w:rPr>
          <w:rFonts w:ascii="宋体" w:hAnsi="宋体" w:eastAsia="宋体" w:cs="宋体"/>
          <w:spacing w:val="11"/>
          <w:szCs w:val="22"/>
        </w:rPr>
        <w:t>日</w:t>
      </w:r>
      <w:r>
        <w:rPr>
          <w:rFonts w:ascii="宋体" w:hAnsi="宋体" w:eastAsia="宋体" w:cs="宋体"/>
          <w:spacing w:val="12"/>
          <w:szCs w:val="22"/>
        </w:rPr>
        <w:t>常</w:t>
      </w:r>
      <w:r>
        <w:rPr>
          <w:rFonts w:ascii="宋体" w:hAnsi="宋体" w:eastAsia="宋体" w:cs="宋体"/>
          <w:spacing w:val="11"/>
          <w:szCs w:val="22"/>
        </w:rPr>
        <w:t>小修</w:t>
      </w:r>
      <w:r>
        <w:rPr>
          <w:rFonts w:ascii="宋体" w:hAnsi="宋体" w:eastAsia="宋体" w:cs="宋体"/>
          <w:spacing w:val="12"/>
          <w:szCs w:val="22"/>
        </w:rPr>
        <w:t>年</w:t>
      </w:r>
      <w:r>
        <w:rPr>
          <w:rFonts w:ascii="宋体" w:hAnsi="宋体" w:eastAsia="宋体" w:cs="宋体"/>
          <w:spacing w:val="11"/>
          <w:szCs w:val="22"/>
        </w:rPr>
        <w:t>度</w:t>
      </w:r>
      <w:r>
        <w:rPr>
          <w:rFonts w:ascii="宋体" w:hAnsi="宋体" w:eastAsia="宋体" w:cs="宋体"/>
          <w:spacing w:val="12"/>
          <w:szCs w:val="22"/>
        </w:rPr>
        <w:t>总</w:t>
      </w:r>
      <w:r>
        <w:rPr>
          <w:rFonts w:ascii="宋体" w:hAnsi="宋体" w:eastAsia="宋体" w:cs="宋体"/>
          <w:spacing w:val="11"/>
          <w:szCs w:val="22"/>
        </w:rPr>
        <w:t>承</w:t>
      </w:r>
      <w:r>
        <w:rPr>
          <w:rFonts w:ascii="宋体" w:hAnsi="宋体" w:eastAsia="宋体" w:cs="宋体"/>
          <w:spacing w:val="12"/>
          <w:szCs w:val="22"/>
        </w:rPr>
        <w:t>包</w:t>
      </w:r>
      <w:r>
        <w:rPr>
          <w:rFonts w:ascii="宋体" w:hAnsi="宋体" w:eastAsia="宋体" w:cs="宋体"/>
          <w:spacing w:val="11"/>
          <w:szCs w:val="22"/>
        </w:rPr>
        <w:t>的工</w:t>
      </w:r>
      <w:r>
        <w:rPr>
          <w:rFonts w:ascii="宋体" w:hAnsi="宋体" w:eastAsia="宋体" w:cs="宋体"/>
          <w:spacing w:val="12"/>
          <w:szCs w:val="22"/>
        </w:rPr>
        <w:t>程</w:t>
      </w:r>
      <w:r>
        <w:rPr>
          <w:rFonts w:ascii="宋体" w:hAnsi="宋体" w:eastAsia="宋体" w:cs="宋体"/>
          <w:spacing w:val="11"/>
          <w:szCs w:val="22"/>
        </w:rPr>
        <w:t>价</w:t>
      </w:r>
      <w:r>
        <w:rPr>
          <w:rFonts w:ascii="宋体" w:hAnsi="宋体" w:eastAsia="宋体" w:cs="宋体"/>
          <w:spacing w:val="12"/>
          <w:szCs w:val="22"/>
        </w:rPr>
        <w:t>款</w:t>
      </w:r>
      <w:r>
        <w:rPr>
          <w:rFonts w:ascii="宋体" w:hAnsi="宋体" w:eastAsia="宋体" w:cs="宋体"/>
          <w:spacing w:val="11"/>
          <w:szCs w:val="22"/>
        </w:rPr>
        <w:t>支付</w:t>
      </w:r>
      <w:r>
        <w:rPr>
          <w:rFonts w:ascii="宋体" w:hAnsi="宋体" w:eastAsia="宋体" w:cs="宋体"/>
          <w:spacing w:val="12"/>
          <w:szCs w:val="22"/>
        </w:rPr>
        <w:t>，</w:t>
      </w:r>
      <w:r>
        <w:rPr>
          <w:rFonts w:ascii="宋体" w:hAnsi="宋体" w:eastAsia="宋体" w:cs="宋体"/>
          <w:spacing w:val="11"/>
          <w:szCs w:val="22"/>
        </w:rPr>
        <w:t>以</w:t>
      </w:r>
      <w:r>
        <w:rPr>
          <w:rFonts w:ascii="宋体" w:hAnsi="宋体" w:eastAsia="宋体" w:cs="宋体"/>
          <w:spacing w:val="12"/>
          <w:szCs w:val="22"/>
        </w:rPr>
        <w:t>签</w:t>
      </w:r>
      <w:r>
        <w:rPr>
          <w:rFonts w:ascii="宋体" w:hAnsi="宋体" w:eastAsia="宋体" w:cs="宋体"/>
          <w:spacing w:val="11"/>
          <w:szCs w:val="22"/>
        </w:rPr>
        <w:t>约</w:t>
      </w:r>
      <w:r>
        <w:rPr>
          <w:rFonts w:ascii="宋体" w:hAnsi="宋体" w:eastAsia="宋体" w:cs="宋体"/>
          <w:spacing w:val="12"/>
          <w:szCs w:val="22"/>
        </w:rPr>
        <w:t>合</w:t>
      </w:r>
      <w:r>
        <w:rPr>
          <w:rFonts w:ascii="宋体" w:hAnsi="宋体" w:eastAsia="宋体" w:cs="宋体"/>
          <w:spacing w:val="11"/>
          <w:szCs w:val="22"/>
        </w:rPr>
        <w:t>同总</w:t>
      </w:r>
      <w:r>
        <w:rPr>
          <w:rFonts w:ascii="宋体" w:hAnsi="宋体" w:eastAsia="宋体" w:cs="宋体"/>
          <w:spacing w:val="12"/>
          <w:szCs w:val="22"/>
        </w:rPr>
        <w:t>价</w:t>
      </w:r>
      <w:r>
        <w:rPr>
          <w:rFonts w:ascii="宋体" w:hAnsi="宋体" w:eastAsia="宋体" w:cs="宋体"/>
          <w:spacing w:val="11"/>
          <w:szCs w:val="22"/>
        </w:rPr>
        <w:t>分</w:t>
      </w:r>
      <w:r>
        <w:rPr>
          <w:rFonts w:ascii="宋体" w:hAnsi="宋体" w:eastAsia="宋体" w:cs="宋体"/>
          <w:spacing w:val="12"/>
          <w:szCs w:val="22"/>
        </w:rPr>
        <w:t>季</w:t>
      </w:r>
      <w:r>
        <w:rPr>
          <w:rFonts w:ascii="宋体" w:hAnsi="宋体" w:eastAsia="宋体" w:cs="宋体"/>
          <w:spacing w:val="11"/>
          <w:szCs w:val="22"/>
        </w:rPr>
        <w:t>度按</w:t>
      </w:r>
      <w:r>
        <w:rPr>
          <w:rFonts w:ascii="宋体" w:hAnsi="宋体" w:eastAsia="宋体" w:cs="宋体"/>
          <w:spacing w:val="12"/>
          <w:szCs w:val="22"/>
        </w:rPr>
        <w:t>比</w:t>
      </w:r>
      <w:r>
        <w:rPr>
          <w:rFonts w:ascii="宋体" w:hAnsi="宋体" w:eastAsia="宋体" w:cs="宋体"/>
          <w:spacing w:val="11"/>
          <w:szCs w:val="22"/>
        </w:rPr>
        <w:t>例</w:t>
      </w:r>
      <w:r>
        <w:rPr>
          <w:rFonts w:ascii="宋体" w:hAnsi="宋体" w:eastAsia="宋体" w:cs="宋体"/>
          <w:spacing w:val="12"/>
          <w:szCs w:val="22"/>
        </w:rPr>
        <w:t>支</w:t>
      </w:r>
      <w:r>
        <w:rPr>
          <w:rFonts w:ascii="宋体" w:hAnsi="宋体" w:eastAsia="宋体" w:cs="宋体"/>
          <w:spacing w:val="11"/>
          <w:szCs w:val="22"/>
        </w:rPr>
        <w:t>付</w:t>
      </w:r>
      <w:r>
        <w:rPr>
          <w:rFonts w:ascii="宋体" w:hAnsi="宋体" w:eastAsia="宋体" w:cs="宋体"/>
          <w:spacing w:val="12"/>
          <w:szCs w:val="22"/>
        </w:rPr>
        <w:t>，第1</w:t>
      </w:r>
      <w:r>
        <w:rPr>
          <w:rFonts w:ascii="宋体" w:hAnsi="宋体" w:eastAsia="宋体" w:cs="宋体"/>
          <w:spacing w:val="11"/>
          <w:szCs w:val="22"/>
        </w:rPr>
        <w:t>个</w:t>
      </w:r>
      <w:r>
        <w:rPr>
          <w:rFonts w:ascii="宋体" w:hAnsi="宋体" w:eastAsia="宋体" w:cs="宋体"/>
          <w:szCs w:val="22"/>
        </w:rPr>
        <w:t>季</w:t>
      </w:r>
      <w:r>
        <w:rPr>
          <w:rFonts w:ascii="宋体" w:hAnsi="宋体" w:eastAsia="宋体" w:cs="宋体"/>
          <w:spacing w:val="-10"/>
          <w:szCs w:val="22"/>
        </w:rPr>
        <w:t>度</w:t>
      </w:r>
      <w:r>
        <w:rPr>
          <w:rFonts w:ascii="宋体" w:hAnsi="宋体" w:eastAsia="宋体" w:cs="宋体"/>
          <w:szCs w:val="22"/>
        </w:rPr>
        <w:tab/>
      </w:r>
      <w:r>
        <w:rPr>
          <w:rFonts w:ascii="宋体" w:hAnsi="宋体" w:eastAsia="宋体" w:cs="宋体"/>
          <w:spacing w:val="-2"/>
          <w:szCs w:val="22"/>
        </w:rPr>
        <w:t>％、第2个季度</w:t>
      </w:r>
      <w:r>
        <w:rPr>
          <w:rFonts w:ascii="宋体" w:hAnsi="宋体" w:eastAsia="宋体" w:cs="宋体"/>
          <w:szCs w:val="22"/>
        </w:rPr>
        <w:tab/>
      </w:r>
      <w:r>
        <w:rPr>
          <w:rFonts w:ascii="宋体" w:hAnsi="宋体" w:eastAsia="宋体" w:cs="宋体"/>
          <w:spacing w:val="-2"/>
          <w:szCs w:val="22"/>
        </w:rPr>
        <w:t>％、第3个季度</w:t>
      </w:r>
      <w:r>
        <w:rPr>
          <w:rFonts w:ascii="宋体" w:hAnsi="宋体" w:eastAsia="宋体" w:cs="宋体"/>
          <w:szCs w:val="22"/>
        </w:rPr>
        <w:tab/>
      </w:r>
      <w:r>
        <w:rPr>
          <w:rFonts w:ascii="宋体" w:hAnsi="宋体" w:eastAsia="宋体" w:cs="宋体"/>
          <w:spacing w:val="-2"/>
          <w:szCs w:val="22"/>
        </w:rPr>
        <w:t>％……。以每季首月的前15日内支付。</w:t>
      </w:r>
    </w:p>
    <w:p w14:paraId="47FEF3CA">
      <w:pPr>
        <w:numPr>
          <w:ilvl w:val="1"/>
          <w:numId w:val="46"/>
        </w:numPr>
        <w:tabs>
          <w:tab w:val="left" w:pos="1138"/>
        </w:tabs>
        <w:autoSpaceDE w:val="0"/>
        <w:autoSpaceDN w:val="0"/>
        <w:spacing w:line="350" w:lineRule="auto"/>
        <w:ind w:right="569" w:firstLine="420"/>
        <w:rPr>
          <w:rFonts w:ascii="宋体" w:hAnsi="宋体" w:eastAsia="宋体" w:cs="宋体"/>
          <w:szCs w:val="22"/>
        </w:rPr>
      </w:pPr>
      <w:r>
        <w:rPr>
          <w:rFonts w:ascii="宋体" w:hAnsi="宋体" w:eastAsia="宋体" w:cs="宋体"/>
          <w:spacing w:val="-2"/>
          <w:szCs w:val="22"/>
        </w:rPr>
        <w:t>专项养护工程的养护合同工程价款，经发包人以各工程子目的计量并经验收合格后，与总承包养护项目工程价款合并按季支付。</w:t>
      </w:r>
    </w:p>
    <w:p w14:paraId="27A34E1E">
      <w:pPr>
        <w:numPr>
          <w:ilvl w:val="1"/>
          <w:numId w:val="46"/>
        </w:numPr>
        <w:tabs>
          <w:tab w:val="left" w:pos="1126"/>
        </w:tabs>
        <w:autoSpaceDE w:val="0"/>
        <w:autoSpaceDN w:val="0"/>
        <w:spacing w:before="1" w:line="352" w:lineRule="auto"/>
        <w:ind w:right="569" w:firstLine="420"/>
        <w:rPr>
          <w:rFonts w:ascii="宋体" w:hAnsi="宋体" w:eastAsia="宋体" w:cs="宋体"/>
          <w:szCs w:val="22"/>
        </w:rPr>
      </w:pPr>
      <w:r>
        <w:rPr>
          <w:rFonts w:ascii="宋体" w:hAnsi="宋体" w:eastAsia="宋体" w:cs="宋体"/>
          <w:spacing w:val="-2"/>
          <w:szCs w:val="22"/>
        </w:rPr>
        <w:t>承包人应填按季支付结账单报发包人审批。按季结算支付的中期支付证书应包括材料预付款按规定扣回的款额。</w:t>
      </w:r>
    </w:p>
    <w:p w14:paraId="0B0F2325">
      <w:pPr>
        <w:numPr>
          <w:ilvl w:val="1"/>
          <w:numId w:val="46"/>
        </w:numPr>
        <w:tabs>
          <w:tab w:val="left" w:pos="1126"/>
        </w:tabs>
        <w:autoSpaceDE w:val="0"/>
        <w:autoSpaceDN w:val="0"/>
        <w:spacing w:line="352" w:lineRule="auto"/>
        <w:ind w:right="569" w:firstLine="420"/>
        <w:rPr>
          <w:rFonts w:ascii="宋体" w:hAnsi="宋体" w:eastAsia="宋体" w:cs="宋体"/>
          <w:szCs w:val="22"/>
        </w:rPr>
      </w:pPr>
      <w:r>
        <w:rPr>
          <w:rFonts w:ascii="宋体" w:hAnsi="宋体" w:eastAsia="宋体" w:cs="宋体"/>
          <w:spacing w:val="-2"/>
          <w:szCs w:val="22"/>
        </w:rPr>
        <w:t>承包人应按月如实向发包人报送项目的农民工工资支付情况。承包人没有按时报送农民工工资支付情况的，发包人将暂缓支付当季应支付的工程价款。</w:t>
      </w:r>
    </w:p>
    <w:p w14:paraId="54A0B739">
      <w:pPr>
        <w:numPr>
          <w:ilvl w:val="0"/>
          <w:numId w:val="47"/>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养护工程价款的支付按以下办法进行：</w:t>
      </w:r>
    </w:p>
    <w:p w14:paraId="52341222">
      <w:pPr>
        <w:autoSpaceDE w:val="0"/>
        <w:autoSpaceDN w:val="0"/>
        <w:spacing w:before="122" w:line="352" w:lineRule="auto"/>
        <w:ind w:left="426" w:right="567" w:firstLine="420"/>
        <w:rPr>
          <w:rFonts w:ascii="宋体" w:hAnsi="宋体" w:eastAsia="宋体" w:cs="宋体"/>
          <w:szCs w:val="21"/>
        </w:rPr>
      </w:pPr>
      <w:r>
        <w:rPr>
          <w:rFonts w:ascii="宋体" w:hAnsi="宋体" w:eastAsia="宋体" w:cs="宋体"/>
          <w:spacing w:val="-2"/>
          <w:szCs w:val="21"/>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14:paraId="6F68FCC6">
      <w:pPr>
        <w:numPr>
          <w:ilvl w:val="0"/>
          <w:numId w:val="47"/>
        </w:numPr>
        <w:tabs>
          <w:tab w:val="left" w:pos="1261"/>
        </w:tabs>
        <w:autoSpaceDE w:val="0"/>
        <w:autoSpaceDN w:val="0"/>
        <w:spacing w:line="269" w:lineRule="exact"/>
        <w:ind w:left="1261" w:hanging="521"/>
        <w:jc w:val="both"/>
        <w:rPr>
          <w:rFonts w:ascii="宋体" w:hAnsi="宋体" w:eastAsia="宋体" w:cs="宋体"/>
          <w:szCs w:val="22"/>
        </w:rPr>
      </w:pPr>
      <w:r>
        <w:rPr>
          <w:rFonts w:ascii="宋体" w:hAnsi="宋体" w:eastAsia="宋体" w:cs="宋体"/>
          <w:spacing w:val="-2"/>
          <w:szCs w:val="22"/>
        </w:rPr>
        <w:t>发包人应在监理人收到进度付款申请单后的 28</w:t>
      </w:r>
      <w:r>
        <w:rPr>
          <w:rFonts w:ascii="宋体" w:hAnsi="宋体" w:eastAsia="宋体" w:cs="宋体"/>
          <w:spacing w:val="-3"/>
          <w:szCs w:val="22"/>
        </w:rPr>
        <w:t xml:space="preserve"> 天内，将进度应付款支付给承包人。</w:t>
      </w:r>
    </w:p>
    <w:p w14:paraId="3CE6DE5B">
      <w:pPr>
        <w:autoSpaceDE w:val="0"/>
        <w:autoSpaceDN w:val="0"/>
        <w:spacing w:before="127" w:line="352" w:lineRule="auto"/>
        <w:ind w:left="426" w:right="567" w:firstLine="420"/>
        <w:jc w:val="left"/>
        <w:rPr>
          <w:rFonts w:ascii="宋体" w:hAnsi="宋体" w:eastAsia="宋体" w:cs="宋体"/>
          <w:szCs w:val="21"/>
        </w:rPr>
      </w:pPr>
      <w:r>
        <w:rPr>
          <w:rFonts w:ascii="宋体" w:hAnsi="宋体" w:eastAsia="宋体" w:cs="宋体"/>
          <w:spacing w:val="-2"/>
          <w:szCs w:val="21"/>
        </w:rPr>
        <w:t>发包人不按期支付的，按专用合同条款数据表中约定的利率向承包人支付逾期付款违约金。违约金计算基数为发包人的全部未付款额，时间从应付而未付该款额之日算起（不计复利）。</w:t>
      </w:r>
    </w:p>
    <w:p w14:paraId="5FFD6F16">
      <w:pPr>
        <w:spacing w:line="352" w:lineRule="auto"/>
        <w:sectPr>
          <w:pgSz w:w="11910" w:h="16840"/>
          <w:pgMar w:top="1640" w:right="849" w:bottom="1360" w:left="992" w:header="0" w:footer="1176" w:gutter="0"/>
          <w:cols w:space="720" w:num="1"/>
        </w:sectPr>
      </w:pPr>
    </w:p>
    <w:p w14:paraId="23B1B547">
      <w:pPr>
        <w:numPr>
          <w:ilvl w:val="0"/>
          <w:numId w:val="47"/>
        </w:numPr>
        <w:tabs>
          <w:tab w:val="left" w:pos="1267"/>
        </w:tabs>
        <w:autoSpaceDE w:val="0"/>
        <w:autoSpaceDN w:val="0"/>
        <w:spacing w:before="37" w:line="350" w:lineRule="auto"/>
        <w:ind w:left="426" w:right="569" w:firstLine="314"/>
        <w:rPr>
          <w:rFonts w:ascii="宋体" w:hAnsi="宋体" w:eastAsia="宋体" w:cs="宋体"/>
          <w:szCs w:val="22"/>
        </w:rPr>
      </w:pPr>
      <w:r>
        <w:rPr>
          <w:rFonts w:ascii="宋体" w:hAnsi="宋体" w:eastAsia="宋体" w:cs="宋体"/>
          <w:spacing w:val="-2"/>
          <w:szCs w:val="22"/>
        </w:rPr>
        <w:t>监理人出具进度付款证书，不应视为监理人已同意、批准或接受了承包人完成的该部分工</w:t>
      </w:r>
      <w:r>
        <w:rPr>
          <w:rFonts w:ascii="宋体" w:hAnsi="宋体" w:eastAsia="宋体" w:cs="宋体"/>
          <w:spacing w:val="-6"/>
          <w:szCs w:val="22"/>
        </w:rPr>
        <w:t>作。</w:t>
      </w:r>
    </w:p>
    <w:p w14:paraId="3537A45A">
      <w:pPr>
        <w:numPr>
          <w:ilvl w:val="0"/>
          <w:numId w:val="47"/>
        </w:numPr>
        <w:tabs>
          <w:tab w:val="left" w:pos="1267"/>
        </w:tabs>
        <w:autoSpaceDE w:val="0"/>
        <w:autoSpaceDN w:val="0"/>
        <w:spacing w:before="2" w:line="352" w:lineRule="auto"/>
        <w:ind w:left="426" w:right="569" w:firstLine="314"/>
        <w:rPr>
          <w:rFonts w:ascii="宋体" w:hAnsi="宋体" w:eastAsia="宋体" w:cs="宋体"/>
          <w:szCs w:val="22"/>
        </w:rPr>
      </w:pPr>
      <w:r>
        <w:rPr>
          <w:rFonts w:ascii="宋体" w:hAnsi="宋体" w:eastAsia="宋体" w:cs="宋体"/>
          <w:spacing w:val="-2"/>
          <w:szCs w:val="22"/>
        </w:rPr>
        <w:t>进度付款涉及政府投资资金的，按照国库集中支付等国家相关规定和专用合同条款的约定</w:t>
      </w:r>
      <w:r>
        <w:rPr>
          <w:rFonts w:ascii="宋体" w:hAnsi="宋体" w:eastAsia="宋体" w:cs="宋体"/>
          <w:spacing w:val="-4"/>
          <w:szCs w:val="22"/>
        </w:rPr>
        <w:t>办理。</w:t>
      </w:r>
    </w:p>
    <w:p w14:paraId="31C582CD">
      <w:pPr>
        <w:numPr>
          <w:ilvl w:val="2"/>
          <w:numId w:val="34"/>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3"/>
          <w:szCs w:val="22"/>
        </w:rPr>
        <w:t>工程进度付款的修正</w:t>
      </w:r>
    </w:p>
    <w:p w14:paraId="7DE95E36">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在对以往历次已签发的进度付款证书进行汇总和复核中发现错、漏或重复的，监理人有权予以修正，承包人也有权提出修正申请。经双方复核同意的修正，应在本次进度付款中支付或扣除。</w:t>
      </w:r>
    </w:p>
    <w:p w14:paraId="4B5F4CC6">
      <w:pPr>
        <w:numPr>
          <w:ilvl w:val="1"/>
          <w:numId w:val="34"/>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4"/>
          <w:szCs w:val="22"/>
        </w:rPr>
        <w:t>质量保证金</w:t>
      </w:r>
    </w:p>
    <w:p w14:paraId="1E67C061">
      <w:pPr>
        <w:numPr>
          <w:ilvl w:val="2"/>
          <w:numId w:val="34"/>
        </w:numPr>
        <w:tabs>
          <w:tab w:val="left" w:pos="1687"/>
        </w:tabs>
        <w:autoSpaceDE w:val="0"/>
        <w:autoSpaceDN w:val="0"/>
        <w:spacing w:before="127" w:line="352" w:lineRule="auto"/>
        <w:ind w:right="567" w:firstLine="420"/>
        <w:jc w:val="both"/>
        <w:rPr>
          <w:rFonts w:ascii="宋体" w:hAnsi="宋体" w:eastAsia="宋体" w:cs="宋体"/>
          <w:szCs w:val="22"/>
        </w:rPr>
      </w:pPr>
      <w:r>
        <w:rPr>
          <w:rFonts w:ascii="宋体" w:hAnsi="宋体" w:eastAsia="宋体" w:cs="宋体"/>
          <w:spacing w:val="-2"/>
          <w:szCs w:val="22"/>
        </w:rPr>
        <w:t>质量保证金可以采用现金、支票或工程保函形式（按照“关于在全省工程建设领域改</w:t>
      </w:r>
      <w:r>
        <w:rPr>
          <w:rFonts w:ascii="宋体" w:hAnsi="宋体" w:eastAsia="宋体" w:cs="宋体"/>
          <w:szCs w:val="22"/>
        </w:rPr>
        <w:t>革保证金制度的通知”（浙建〔2020〕7 号）及最新相关文件要求，工程保函包括银行保函、保险</w:t>
      </w:r>
      <w:r>
        <w:rPr>
          <w:rFonts w:ascii="宋体" w:hAnsi="宋体" w:eastAsia="宋体" w:cs="宋体"/>
          <w:spacing w:val="-2"/>
          <w:szCs w:val="22"/>
        </w:rPr>
        <w:t>机构保证保险保单和融资性担保公司保函），金额应符合项目专用合同条款数据表的规定。采用工程保函时，出具保函的机构须具有相应担保能力，且按照发包人批准的格式出具，所需费用由承包</w:t>
      </w:r>
      <w:r>
        <w:rPr>
          <w:rFonts w:ascii="宋体" w:hAnsi="宋体" w:eastAsia="宋体" w:cs="宋体"/>
          <w:spacing w:val="-4"/>
          <w:szCs w:val="22"/>
        </w:rPr>
        <w:t>人承担。</w:t>
      </w:r>
    </w:p>
    <w:p w14:paraId="13A36382">
      <w:pPr>
        <w:autoSpaceDE w:val="0"/>
        <w:autoSpaceDN w:val="0"/>
        <w:spacing w:line="352" w:lineRule="auto"/>
        <w:ind w:left="426" w:right="567" w:firstLine="420"/>
        <w:jc w:val="left"/>
        <w:rPr>
          <w:rFonts w:ascii="宋体" w:hAnsi="宋体" w:eastAsia="宋体" w:cs="宋体"/>
          <w:szCs w:val="21"/>
        </w:rPr>
      </w:pPr>
      <w:r>
        <w:rPr>
          <w:rFonts w:ascii="宋体" w:hAnsi="宋体" w:eastAsia="宋体" w:cs="宋体"/>
          <w:spacing w:val="-2"/>
          <w:szCs w:val="21"/>
        </w:rPr>
        <w:t>质量保证金采用现金、支票形式提交的，发包人应在项目专用合同条款数据表中明确是否计付利息及利息的计算方式。</w:t>
      </w:r>
    </w:p>
    <w:p w14:paraId="73716E86">
      <w:pPr>
        <w:numPr>
          <w:ilvl w:val="2"/>
          <w:numId w:val="34"/>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1"/>
          <w:szCs w:val="22"/>
        </w:rPr>
        <w:t xml:space="preserve">在第 </w:t>
      </w:r>
      <w:r>
        <w:fldChar w:fldCharType="begin"/>
      </w:r>
      <w:r>
        <w:instrText xml:space="preserve"> HYPERLINK "1.1.4.5" \h </w:instrText>
      </w:r>
      <w:r>
        <w:fldChar w:fldCharType="separate"/>
      </w:r>
      <w:r>
        <w:rPr>
          <w:rFonts w:ascii="宋体" w:hAnsi="宋体" w:eastAsia="宋体" w:cs="宋体"/>
          <w:spacing w:val="-2"/>
          <w:szCs w:val="22"/>
        </w:rPr>
        <w:t>1.1.4.5</w:t>
      </w:r>
      <w:r>
        <w:rPr>
          <w:rFonts w:ascii="宋体" w:hAnsi="宋体" w:eastAsia="宋体" w:cs="宋体"/>
          <w:spacing w:val="-2"/>
          <w:szCs w:val="22"/>
        </w:rPr>
        <w:fldChar w:fldCharType="end"/>
      </w:r>
      <w:r>
        <w:rPr>
          <w:rFonts w:ascii="宋体" w:hAnsi="宋体" w:eastAsia="宋体" w:cs="宋体"/>
          <w:spacing w:val="-8"/>
          <w:szCs w:val="22"/>
        </w:rPr>
        <w:t xml:space="preserve"> 目约定的缺陷责任期满时，承包人向发包人申请到期应返还承包人剩余</w:t>
      </w:r>
    </w:p>
    <w:p w14:paraId="35797C73">
      <w:pPr>
        <w:autoSpaceDE w:val="0"/>
        <w:autoSpaceDN w:val="0"/>
        <w:spacing w:before="118" w:line="352" w:lineRule="auto"/>
        <w:ind w:left="426" w:right="569"/>
        <w:jc w:val="left"/>
        <w:rPr>
          <w:rFonts w:ascii="宋体" w:hAnsi="宋体" w:eastAsia="宋体" w:cs="宋体"/>
          <w:szCs w:val="21"/>
        </w:rPr>
      </w:pPr>
      <w:r>
        <w:rPr>
          <w:rFonts w:ascii="宋体" w:hAnsi="宋体" w:eastAsia="宋体" w:cs="宋体"/>
          <w:szCs w:val="21"/>
        </w:rPr>
        <w:t>的质量保证金金额，发包人应在 14 天内会同承包人按照合同约定的内容核实承包人是否完成缺陷</w:t>
      </w:r>
      <w:r>
        <w:rPr>
          <w:rFonts w:ascii="宋体" w:hAnsi="宋体" w:eastAsia="宋体" w:cs="宋体"/>
          <w:spacing w:val="-2"/>
          <w:szCs w:val="21"/>
        </w:rPr>
        <w:t>责任。如无异议，发包人应当在核实后将剩余保证金返还承包人。</w:t>
      </w:r>
    </w:p>
    <w:p w14:paraId="71B43E38">
      <w:pPr>
        <w:numPr>
          <w:ilvl w:val="2"/>
          <w:numId w:val="34"/>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9"/>
          <w:szCs w:val="22"/>
        </w:rPr>
        <w:t xml:space="preserve">在第 </w:t>
      </w:r>
      <w:r>
        <w:fldChar w:fldCharType="begin"/>
      </w:r>
      <w:r>
        <w:instrText xml:space="preserve"> HYPERLINK "1.1.4.5" \h </w:instrText>
      </w:r>
      <w:r>
        <w:fldChar w:fldCharType="separate"/>
      </w:r>
      <w:r>
        <w:rPr>
          <w:rFonts w:ascii="宋体" w:hAnsi="宋体" w:eastAsia="宋体" w:cs="宋体"/>
          <w:spacing w:val="-2"/>
          <w:szCs w:val="22"/>
        </w:rPr>
        <w:t>1.1.4.5</w:t>
      </w:r>
      <w:r>
        <w:rPr>
          <w:rFonts w:ascii="宋体" w:hAnsi="宋体" w:eastAsia="宋体" w:cs="宋体"/>
          <w:spacing w:val="-2"/>
          <w:szCs w:val="22"/>
        </w:rPr>
        <w:fldChar w:fldCharType="end"/>
      </w:r>
      <w:r>
        <w:rPr>
          <w:rFonts w:ascii="宋体" w:hAnsi="宋体" w:eastAsia="宋体" w:cs="宋体"/>
          <w:spacing w:val="-8"/>
          <w:szCs w:val="22"/>
        </w:rPr>
        <w:t xml:space="preserve"> 目约定的缺陷责任期满时，承包人没有完成缺陷责任的，发包人有权扣</w:t>
      </w:r>
    </w:p>
    <w:p w14:paraId="672953A4">
      <w:pPr>
        <w:autoSpaceDE w:val="0"/>
        <w:autoSpaceDN w:val="0"/>
        <w:spacing w:before="126" w:line="352" w:lineRule="auto"/>
        <w:ind w:left="426" w:right="569"/>
        <w:jc w:val="left"/>
        <w:rPr>
          <w:rFonts w:ascii="宋体" w:hAnsi="宋体" w:eastAsia="宋体" w:cs="宋体"/>
          <w:szCs w:val="21"/>
        </w:rPr>
      </w:pPr>
      <w:r>
        <w:rPr>
          <w:rFonts w:ascii="宋体" w:hAnsi="宋体" w:eastAsia="宋体" w:cs="宋体"/>
          <w:szCs w:val="21"/>
        </w:rPr>
        <w:t>留与未履行责任剩余工作所需金额相应的质量保证金余额，并有权根据第 19.3</w:t>
      </w:r>
      <w:r>
        <w:rPr>
          <w:rFonts w:ascii="宋体" w:hAnsi="宋体" w:eastAsia="宋体" w:cs="宋体"/>
          <w:spacing w:val="-1"/>
          <w:szCs w:val="21"/>
        </w:rPr>
        <w:t xml:space="preserve"> 款约定要求延长缺</w:t>
      </w:r>
      <w:r>
        <w:rPr>
          <w:rFonts w:ascii="宋体" w:hAnsi="宋体" w:eastAsia="宋体" w:cs="宋体"/>
          <w:spacing w:val="-2"/>
          <w:szCs w:val="21"/>
        </w:rPr>
        <w:t>陷责任期，直至完成剩余工作为止。</w:t>
      </w:r>
    </w:p>
    <w:p w14:paraId="56EB6BEB">
      <w:pPr>
        <w:numPr>
          <w:ilvl w:val="1"/>
          <w:numId w:val="34"/>
        </w:numPr>
        <w:tabs>
          <w:tab w:val="left" w:pos="1054"/>
        </w:tabs>
        <w:autoSpaceDE w:val="0"/>
        <w:autoSpaceDN w:val="0"/>
        <w:spacing w:line="272" w:lineRule="exact"/>
        <w:ind w:left="1054" w:hanging="628"/>
        <w:rPr>
          <w:rFonts w:ascii="宋体" w:hAnsi="宋体" w:eastAsia="宋体" w:cs="宋体"/>
          <w:szCs w:val="22"/>
        </w:rPr>
      </w:pPr>
      <w:r>
        <w:rPr>
          <w:rFonts w:ascii="宋体" w:hAnsi="宋体" w:eastAsia="宋体" w:cs="宋体"/>
          <w:spacing w:val="-2"/>
          <w:szCs w:val="22"/>
        </w:rPr>
        <w:t>交（竣）</w:t>
      </w:r>
      <w:r>
        <w:rPr>
          <w:rFonts w:ascii="宋体" w:hAnsi="宋体" w:eastAsia="宋体" w:cs="宋体"/>
          <w:spacing w:val="-6"/>
          <w:szCs w:val="22"/>
        </w:rPr>
        <w:t>工结算</w:t>
      </w:r>
    </w:p>
    <w:p w14:paraId="2C92A7B2">
      <w:pPr>
        <w:numPr>
          <w:ilvl w:val="2"/>
          <w:numId w:val="34"/>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2"/>
          <w:szCs w:val="22"/>
        </w:rPr>
        <w:t>交工付款申请单（适用于日常小修工程</w:t>
      </w:r>
      <w:r>
        <w:rPr>
          <w:rFonts w:ascii="宋体" w:hAnsi="宋体" w:eastAsia="宋体" w:cs="宋体"/>
          <w:spacing w:val="-10"/>
          <w:szCs w:val="22"/>
        </w:rPr>
        <w:t>）</w:t>
      </w:r>
    </w:p>
    <w:p w14:paraId="1A88C0D1">
      <w:pPr>
        <w:numPr>
          <w:ilvl w:val="0"/>
          <w:numId w:val="48"/>
        </w:numPr>
        <w:tabs>
          <w:tab w:val="left" w:pos="1267"/>
        </w:tabs>
        <w:autoSpaceDE w:val="0"/>
        <w:autoSpaceDN w:val="0"/>
        <w:spacing w:before="128" w:line="352" w:lineRule="auto"/>
        <w:ind w:right="569" w:firstLine="314"/>
        <w:jc w:val="both"/>
        <w:rPr>
          <w:rFonts w:ascii="宋体" w:hAnsi="宋体" w:eastAsia="宋体" w:cs="宋体"/>
          <w:szCs w:val="22"/>
        </w:rPr>
      </w:pPr>
      <w:r>
        <w:rPr>
          <w:rFonts w:ascii="宋体" w:hAnsi="宋体" w:eastAsia="宋体" w:cs="宋体"/>
          <w:spacing w:val="-2"/>
          <w:szCs w:val="22"/>
        </w:rPr>
        <w:t>承包人向监理人提交交工付款申请单（包括相关证明材料）的份数在专用合同条款数据表</w:t>
      </w:r>
      <w:r>
        <w:rPr>
          <w:rFonts w:ascii="宋体" w:hAnsi="宋体" w:eastAsia="宋体" w:cs="宋体"/>
          <w:szCs w:val="22"/>
        </w:rPr>
        <w:t>中约定；期限：交工验收证书签发后 42 天内。</w:t>
      </w:r>
    </w:p>
    <w:p w14:paraId="20678035">
      <w:pPr>
        <w:numPr>
          <w:ilvl w:val="0"/>
          <w:numId w:val="48"/>
        </w:numPr>
        <w:tabs>
          <w:tab w:val="left" w:pos="1267"/>
        </w:tabs>
        <w:autoSpaceDE w:val="0"/>
        <w:autoSpaceDN w:val="0"/>
        <w:spacing w:line="352" w:lineRule="auto"/>
        <w:ind w:right="567" w:firstLine="314"/>
        <w:jc w:val="both"/>
        <w:rPr>
          <w:rFonts w:ascii="宋体" w:hAnsi="宋体" w:eastAsia="宋体" w:cs="宋体"/>
          <w:szCs w:val="22"/>
        </w:rPr>
      </w:pPr>
      <w:r>
        <w:rPr>
          <w:rFonts w:ascii="宋体" w:hAnsi="宋体" w:eastAsia="宋体" w:cs="宋体"/>
          <w:spacing w:val="-2"/>
          <w:szCs w:val="22"/>
        </w:rPr>
        <w:t>工程接收证书颁发后，承包人应按专用合同条款约定的份数和期限向监理人提交工付款申请单，并提供相关证明材料。除专用合同条款另有约定外，交工付款申请单应包括下列内容：交工结算合同总价、发包人已支付承包人的工程价款、应扣留的质量保证金、应支付的交工付款金额。</w:t>
      </w:r>
    </w:p>
    <w:p w14:paraId="0F83BE57">
      <w:pPr>
        <w:numPr>
          <w:ilvl w:val="0"/>
          <w:numId w:val="48"/>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监理人对交工付款申请单有异议的，有权要求承包人进行修正和提供补充资料。经监理人和承包人协商后，由承包人向监理人提交修正后的交工付款申请单。</w:t>
      </w:r>
    </w:p>
    <w:p w14:paraId="0C517D99">
      <w:pPr>
        <w:numPr>
          <w:ilvl w:val="2"/>
          <w:numId w:val="49"/>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2"/>
          <w:szCs w:val="22"/>
        </w:rPr>
        <w:t>竣工付款申请单（适用养护工程</w:t>
      </w:r>
      <w:r>
        <w:rPr>
          <w:rFonts w:ascii="宋体" w:hAnsi="宋体" w:eastAsia="宋体" w:cs="宋体"/>
          <w:spacing w:val="-10"/>
          <w:szCs w:val="22"/>
        </w:rPr>
        <w:t>）</w:t>
      </w:r>
    </w:p>
    <w:p w14:paraId="7651F31E">
      <w:pPr>
        <w:numPr>
          <w:ilvl w:val="0"/>
          <w:numId w:val="50"/>
        </w:numPr>
        <w:tabs>
          <w:tab w:val="left" w:pos="1267"/>
        </w:tabs>
        <w:autoSpaceDE w:val="0"/>
        <w:autoSpaceDN w:val="0"/>
        <w:spacing w:before="118" w:line="352" w:lineRule="auto"/>
        <w:ind w:right="463" w:firstLine="314"/>
        <w:jc w:val="both"/>
        <w:rPr>
          <w:rFonts w:ascii="宋体" w:hAnsi="宋体" w:eastAsia="宋体" w:cs="宋体"/>
          <w:szCs w:val="22"/>
        </w:rPr>
      </w:pPr>
      <w:r>
        <w:rPr>
          <w:rFonts w:ascii="宋体" w:hAnsi="宋体" w:eastAsia="宋体" w:cs="宋体"/>
          <w:spacing w:val="-2"/>
          <w:szCs w:val="22"/>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r>
        <w:rPr>
          <w:rFonts w:ascii="宋体" w:hAnsi="宋体" w:eastAsia="宋体" w:cs="宋体"/>
          <w:spacing w:val="-6"/>
          <w:w w:val="99"/>
          <w:szCs w:val="22"/>
        </w:rPr>
        <w:t>。</w:t>
      </w:r>
    </w:p>
    <w:p w14:paraId="2DF6F2D6">
      <w:pPr>
        <w:spacing w:line="352" w:lineRule="auto"/>
        <w:sectPr>
          <w:pgSz w:w="11910" w:h="16840"/>
          <w:pgMar w:top="1640" w:right="849" w:bottom="1360" w:left="992" w:header="0" w:footer="1176" w:gutter="0"/>
          <w:cols w:space="720" w:num="1"/>
        </w:sectPr>
      </w:pPr>
    </w:p>
    <w:p w14:paraId="7CBFD512">
      <w:pPr>
        <w:numPr>
          <w:ilvl w:val="0"/>
          <w:numId w:val="50"/>
        </w:numPr>
        <w:tabs>
          <w:tab w:val="left" w:pos="1267"/>
        </w:tabs>
        <w:autoSpaceDE w:val="0"/>
        <w:autoSpaceDN w:val="0"/>
        <w:spacing w:before="37" w:line="350" w:lineRule="auto"/>
        <w:ind w:right="569" w:firstLine="314"/>
        <w:rPr>
          <w:rFonts w:ascii="宋体" w:hAnsi="宋体" w:eastAsia="宋体" w:cs="宋体"/>
          <w:szCs w:val="22"/>
        </w:rPr>
      </w:pPr>
      <w:r>
        <w:rPr>
          <w:rFonts w:ascii="宋体" w:hAnsi="宋体" w:eastAsia="宋体" w:cs="宋体"/>
          <w:spacing w:val="-2"/>
          <w:szCs w:val="22"/>
        </w:rPr>
        <w:t>监理人对竣工付款申请单有异议的，有权要求承包人进行修正和提供补充资料。经监理人和承包人协商后，由承包人向监理人提交修正后的竣工付款申请单。</w:t>
      </w:r>
    </w:p>
    <w:p w14:paraId="49356023">
      <w:pPr>
        <w:numPr>
          <w:ilvl w:val="2"/>
          <w:numId w:val="49"/>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3"/>
          <w:szCs w:val="22"/>
        </w:rPr>
        <w:t>竣工付款证书及支付时间</w:t>
      </w:r>
    </w:p>
    <w:p w14:paraId="378E1C8E">
      <w:pPr>
        <w:numPr>
          <w:ilvl w:val="0"/>
          <w:numId w:val="51"/>
        </w:numPr>
        <w:tabs>
          <w:tab w:val="left" w:pos="1267"/>
        </w:tabs>
        <w:autoSpaceDE w:val="0"/>
        <w:autoSpaceDN w:val="0"/>
        <w:spacing w:before="128" w:line="350" w:lineRule="auto"/>
        <w:ind w:right="566" w:firstLine="314"/>
        <w:jc w:val="both"/>
        <w:rPr>
          <w:rFonts w:ascii="宋体" w:hAnsi="宋体" w:eastAsia="宋体" w:cs="宋体"/>
          <w:szCs w:val="22"/>
        </w:rPr>
      </w:pPr>
      <w:r>
        <w:rPr>
          <w:rFonts w:ascii="宋体" w:hAnsi="宋体" w:eastAsia="宋体" w:cs="宋体"/>
          <w:szCs w:val="22"/>
        </w:rPr>
        <w:t>监理人在收到承包人提交的竣工付款申请单后的 14 天内完成核查，提出发包人到期应支</w:t>
      </w:r>
      <w:r>
        <w:rPr>
          <w:rFonts w:ascii="宋体" w:hAnsi="宋体" w:eastAsia="宋体" w:cs="宋体"/>
          <w:spacing w:val="-2"/>
          <w:szCs w:val="22"/>
        </w:rPr>
        <w:t>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91E4019">
      <w:pPr>
        <w:numPr>
          <w:ilvl w:val="0"/>
          <w:numId w:val="51"/>
        </w:numPr>
        <w:tabs>
          <w:tab w:val="left" w:pos="1267"/>
        </w:tabs>
        <w:autoSpaceDE w:val="0"/>
        <w:autoSpaceDN w:val="0"/>
        <w:spacing w:before="6" w:line="352" w:lineRule="auto"/>
        <w:ind w:right="569" w:firstLine="314"/>
        <w:jc w:val="both"/>
        <w:rPr>
          <w:rFonts w:ascii="宋体" w:hAnsi="宋体" w:eastAsia="宋体" w:cs="宋体"/>
          <w:szCs w:val="22"/>
        </w:rPr>
      </w:pPr>
      <w:r>
        <w:rPr>
          <w:rFonts w:ascii="宋体" w:hAnsi="宋体" w:eastAsia="宋体" w:cs="宋体"/>
          <w:szCs w:val="22"/>
        </w:rPr>
        <w:t>发包人应在监理人出具竣工付款证书后的 14 天内，将应支付款支付给承包人。发包人不按期支付的，按第 17.3.3（2） 目的约定，将逾期付款违约金支付给承包人。</w:t>
      </w:r>
    </w:p>
    <w:p w14:paraId="28032402">
      <w:pPr>
        <w:numPr>
          <w:ilvl w:val="0"/>
          <w:numId w:val="51"/>
        </w:numPr>
        <w:tabs>
          <w:tab w:val="left" w:pos="1267"/>
        </w:tabs>
        <w:autoSpaceDE w:val="0"/>
        <w:autoSpaceDN w:val="0"/>
        <w:spacing w:line="352" w:lineRule="auto"/>
        <w:ind w:right="569" w:firstLine="314"/>
        <w:jc w:val="both"/>
        <w:rPr>
          <w:rFonts w:ascii="宋体" w:hAnsi="宋体" w:eastAsia="宋体" w:cs="宋体"/>
          <w:szCs w:val="22"/>
        </w:rPr>
      </w:pPr>
      <w:r>
        <w:rPr>
          <w:rFonts w:ascii="宋体" w:hAnsi="宋体" w:eastAsia="宋体" w:cs="宋体"/>
          <w:spacing w:val="-2"/>
          <w:szCs w:val="22"/>
        </w:rPr>
        <w:t>承包人对发包人签认的竣工付款证书有异议的，发包人可出具竣工付款申请单中承包人已</w:t>
      </w:r>
      <w:r>
        <w:rPr>
          <w:rFonts w:ascii="宋体" w:hAnsi="宋体" w:eastAsia="宋体" w:cs="宋体"/>
          <w:szCs w:val="22"/>
        </w:rPr>
        <w:t>同意部分的临时付款证书。存在争议的部分，按第 24 条的约定办理。</w:t>
      </w:r>
    </w:p>
    <w:p w14:paraId="1DB9CBD0">
      <w:pPr>
        <w:numPr>
          <w:ilvl w:val="0"/>
          <w:numId w:val="51"/>
        </w:numPr>
        <w:tabs>
          <w:tab w:val="left" w:pos="1261"/>
        </w:tabs>
        <w:autoSpaceDE w:val="0"/>
        <w:autoSpaceDN w:val="0"/>
        <w:spacing w:line="272" w:lineRule="exact"/>
        <w:ind w:left="1261" w:hanging="521"/>
        <w:jc w:val="both"/>
        <w:rPr>
          <w:rFonts w:ascii="宋体" w:hAnsi="宋体" w:eastAsia="宋体" w:cs="宋体"/>
          <w:szCs w:val="22"/>
        </w:rPr>
      </w:pPr>
      <w:r>
        <w:rPr>
          <w:rFonts w:ascii="宋体" w:hAnsi="宋体" w:eastAsia="宋体" w:cs="宋体"/>
          <w:spacing w:val="-2"/>
          <w:szCs w:val="22"/>
        </w:rPr>
        <w:t xml:space="preserve">竣工付款涉及政府投资资金的，按第 </w:t>
      </w:r>
      <w:r>
        <w:rPr>
          <w:rFonts w:ascii="宋体" w:hAnsi="宋体" w:eastAsia="宋体" w:cs="宋体"/>
          <w:szCs w:val="22"/>
        </w:rPr>
        <w:t>17.3.3（4）</w:t>
      </w:r>
      <w:r>
        <w:rPr>
          <w:rFonts w:ascii="宋体" w:hAnsi="宋体" w:eastAsia="宋体" w:cs="宋体"/>
          <w:spacing w:val="-6"/>
          <w:szCs w:val="22"/>
        </w:rPr>
        <w:t xml:space="preserve"> 目的约定办理。</w:t>
      </w:r>
    </w:p>
    <w:p w14:paraId="2F622D90">
      <w:pPr>
        <w:numPr>
          <w:ilvl w:val="1"/>
          <w:numId w:val="34"/>
        </w:numPr>
        <w:tabs>
          <w:tab w:val="left" w:pos="1054"/>
        </w:tabs>
        <w:autoSpaceDE w:val="0"/>
        <w:autoSpaceDN w:val="0"/>
        <w:spacing w:before="122"/>
        <w:ind w:left="1054" w:hanging="628"/>
        <w:jc w:val="both"/>
        <w:rPr>
          <w:rFonts w:ascii="宋体" w:hAnsi="宋体" w:eastAsia="宋体" w:cs="宋体"/>
          <w:szCs w:val="22"/>
        </w:rPr>
      </w:pPr>
      <w:r>
        <w:rPr>
          <w:rFonts w:ascii="宋体" w:hAnsi="宋体" w:eastAsia="宋体" w:cs="宋体"/>
          <w:spacing w:val="-7"/>
          <w:szCs w:val="22"/>
        </w:rPr>
        <w:t>最终结清</w:t>
      </w:r>
    </w:p>
    <w:p w14:paraId="6F9A369A">
      <w:pPr>
        <w:numPr>
          <w:ilvl w:val="2"/>
          <w:numId w:val="34"/>
        </w:numPr>
        <w:tabs>
          <w:tab w:val="left" w:pos="1684"/>
        </w:tabs>
        <w:autoSpaceDE w:val="0"/>
        <w:autoSpaceDN w:val="0"/>
        <w:spacing w:before="128"/>
        <w:ind w:left="1684" w:hanging="838"/>
        <w:jc w:val="both"/>
        <w:rPr>
          <w:rFonts w:ascii="宋体" w:hAnsi="宋体" w:eastAsia="宋体" w:cs="宋体"/>
          <w:szCs w:val="22"/>
        </w:rPr>
      </w:pPr>
      <w:r>
        <w:rPr>
          <w:rFonts w:ascii="宋体" w:hAnsi="宋体" w:eastAsia="宋体" w:cs="宋体"/>
          <w:spacing w:val="-4"/>
          <w:szCs w:val="22"/>
        </w:rPr>
        <w:t>最终结清申请单</w:t>
      </w:r>
    </w:p>
    <w:p w14:paraId="38E84DED">
      <w:pPr>
        <w:numPr>
          <w:ilvl w:val="0"/>
          <w:numId w:val="52"/>
        </w:numPr>
        <w:tabs>
          <w:tab w:val="left" w:pos="1267"/>
        </w:tabs>
        <w:autoSpaceDE w:val="0"/>
        <w:autoSpaceDN w:val="0"/>
        <w:spacing w:before="127" w:line="350" w:lineRule="auto"/>
        <w:ind w:right="569" w:firstLine="314"/>
        <w:rPr>
          <w:rFonts w:ascii="宋体" w:hAnsi="宋体" w:eastAsia="宋体" w:cs="宋体"/>
          <w:szCs w:val="22"/>
        </w:rPr>
      </w:pPr>
      <w:r>
        <w:rPr>
          <w:rFonts w:ascii="宋体" w:hAnsi="宋体" w:eastAsia="宋体" w:cs="宋体"/>
          <w:spacing w:val="-2"/>
          <w:szCs w:val="22"/>
        </w:rPr>
        <w:t>缺陷责任期终止证书签发后，承包人可按专用合同条款约定的份数和期限向监理人提交最终结清申请单，并提供相关证明材料。</w:t>
      </w:r>
    </w:p>
    <w:p w14:paraId="0D2472C2">
      <w:pPr>
        <w:autoSpaceDE w:val="0"/>
        <w:autoSpaceDN w:val="0"/>
        <w:spacing w:before="3" w:line="352" w:lineRule="auto"/>
        <w:ind w:left="426" w:right="567" w:firstLine="420"/>
        <w:jc w:val="left"/>
        <w:rPr>
          <w:rFonts w:ascii="宋体" w:hAnsi="宋体" w:eastAsia="宋体" w:cs="宋体"/>
          <w:szCs w:val="21"/>
        </w:rPr>
      </w:pPr>
      <w:r>
        <w:rPr>
          <w:rFonts w:ascii="宋体" w:hAnsi="宋体" w:eastAsia="宋体" w:cs="宋体"/>
          <w:spacing w:val="-2"/>
          <w:szCs w:val="21"/>
        </w:rPr>
        <w:t>承包人向监理人提交最终结清申请单（包括相关证明材料）的份数在专用合同条款数据表中约</w:t>
      </w:r>
      <w:r>
        <w:rPr>
          <w:rFonts w:ascii="宋体" w:hAnsi="宋体" w:eastAsia="宋体" w:cs="宋体"/>
          <w:szCs w:val="21"/>
        </w:rPr>
        <w:t>定；期限：缺陷责任期终止证书签发后 28 天内。</w:t>
      </w:r>
    </w:p>
    <w:p w14:paraId="2F1ED993">
      <w:pPr>
        <w:autoSpaceDE w:val="0"/>
        <w:autoSpaceDN w:val="0"/>
        <w:spacing w:line="270" w:lineRule="exact"/>
        <w:ind w:left="846"/>
        <w:jc w:val="left"/>
        <w:rPr>
          <w:rFonts w:ascii="宋体" w:hAnsi="宋体" w:eastAsia="宋体" w:cs="宋体"/>
          <w:szCs w:val="21"/>
        </w:rPr>
      </w:pPr>
      <w:r>
        <w:rPr>
          <w:rFonts w:ascii="宋体" w:hAnsi="宋体" w:eastAsia="宋体" w:cs="宋体"/>
          <w:spacing w:val="-1"/>
          <w:szCs w:val="21"/>
        </w:rPr>
        <w:t>最终结清申请单中的总金额应认为是代表了根据合同规定应付给承包人的全部款项的最后结</w:t>
      </w:r>
    </w:p>
    <w:p w14:paraId="76F4528F">
      <w:pPr>
        <w:autoSpaceDE w:val="0"/>
        <w:autoSpaceDN w:val="0"/>
        <w:spacing w:before="127"/>
        <w:ind w:left="426"/>
        <w:jc w:val="left"/>
        <w:rPr>
          <w:rFonts w:ascii="宋体" w:hAnsi="宋体" w:eastAsia="宋体" w:cs="宋体"/>
          <w:szCs w:val="21"/>
        </w:rPr>
      </w:pPr>
      <w:r>
        <w:rPr>
          <w:rFonts w:ascii="宋体" w:hAnsi="宋体" w:eastAsia="宋体" w:cs="宋体"/>
          <w:spacing w:val="-8"/>
          <w:szCs w:val="21"/>
        </w:rPr>
        <w:t>算。</w:t>
      </w:r>
    </w:p>
    <w:p w14:paraId="07622380">
      <w:pPr>
        <w:numPr>
          <w:ilvl w:val="0"/>
          <w:numId w:val="52"/>
        </w:numPr>
        <w:tabs>
          <w:tab w:val="left" w:pos="1267"/>
        </w:tabs>
        <w:autoSpaceDE w:val="0"/>
        <w:autoSpaceDN w:val="0"/>
        <w:spacing w:before="128" w:line="350" w:lineRule="auto"/>
        <w:ind w:right="569" w:firstLine="314"/>
        <w:rPr>
          <w:rFonts w:ascii="宋体" w:hAnsi="宋体" w:eastAsia="宋体" w:cs="宋体"/>
          <w:szCs w:val="22"/>
        </w:rPr>
      </w:pPr>
      <w:r>
        <w:rPr>
          <w:rFonts w:ascii="宋体" w:hAnsi="宋体" w:eastAsia="宋体" w:cs="宋体"/>
          <w:spacing w:val="-2"/>
          <w:szCs w:val="22"/>
        </w:rPr>
        <w:t>发包人对最终结清申请单内容有异议的，有权要求承包人进行修正和提供补充资料，由承包人向监理人提交修正后的最终结清申请单。</w:t>
      </w:r>
    </w:p>
    <w:p w14:paraId="6C9BC8DD">
      <w:pPr>
        <w:numPr>
          <w:ilvl w:val="2"/>
          <w:numId w:val="34"/>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3"/>
          <w:szCs w:val="22"/>
        </w:rPr>
        <w:t>最终结清证书和支付时间</w:t>
      </w:r>
    </w:p>
    <w:p w14:paraId="6937D3A7">
      <w:pPr>
        <w:numPr>
          <w:ilvl w:val="0"/>
          <w:numId w:val="53"/>
        </w:numPr>
        <w:tabs>
          <w:tab w:val="left" w:pos="1267"/>
        </w:tabs>
        <w:autoSpaceDE w:val="0"/>
        <w:autoSpaceDN w:val="0"/>
        <w:spacing w:before="128"/>
        <w:ind w:left="1267" w:hanging="527"/>
        <w:jc w:val="both"/>
        <w:rPr>
          <w:rFonts w:ascii="宋体" w:hAnsi="宋体" w:eastAsia="宋体" w:cs="宋体"/>
          <w:szCs w:val="22"/>
        </w:rPr>
      </w:pPr>
      <w:r>
        <w:rPr>
          <w:rFonts w:ascii="宋体" w:hAnsi="宋体" w:eastAsia="宋体" w:cs="宋体"/>
          <w:spacing w:val="-1"/>
          <w:szCs w:val="22"/>
        </w:rPr>
        <w:t xml:space="preserve">监理人收到承包人提交的最终结清申请单后的 </w:t>
      </w:r>
      <w:r>
        <w:rPr>
          <w:rFonts w:ascii="宋体" w:hAnsi="宋体" w:eastAsia="宋体" w:cs="宋体"/>
          <w:szCs w:val="22"/>
        </w:rPr>
        <w:t>14</w:t>
      </w:r>
      <w:r>
        <w:rPr>
          <w:rFonts w:ascii="宋体" w:hAnsi="宋体" w:eastAsia="宋体" w:cs="宋体"/>
          <w:spacing w:val="-4"/>
          <w:szCs w:val="22"/>
        </w:rPr>
        <w:t xml:space="preserve"> 天内，提出发包人应支付给承包人的价</w:t>
      </w:r>
    </w:p>
    <w:p w14:paraId="1BE0BBA4">
      <w:pPr>
        <w:autoSpaceDE w:val="0"/>
        <w:autoSpaceDN w:val="0"/>
        <w:spacing w:before="125" w:line="352" w:lineRule="auto"/>
        <w:ind w:left="426" w:right="567"/>
        <w:rPr>
          <w:rFonts w:ascii="宋体" w:hAnsi="宋体" w:eastAsia="宋体" w:cs="宋体"/>
          <w:szCs w:val="21"/>
        </w:rPr>
      </w:pPr>
      <w:r>
        <w:rPr>
          <w:rFonts w:ascii="宋体" w:hAnsi="宋体" w:eastAsia="宋体" w:cs="宋体"/>
          <w:szCs w:val="21"/>
        </w:rPr>
        <w:t>款送发包人审核并抄送承包人。发包人应在收到后 14 天内审核完毕，由监理人向承包人出具经发</w:t>
      </w:r>
      <w:r>
        <w:rPr>
          <w:rFonts w:ascii="宋体" w:hAnsi="宋体" w:eastAsia="宋体" w:cs="宋体"/>
          <w:spacing w:val="-2"/>
          <w:szCs w:val="21"/>
        </w:rPr>
        <w:t>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5078FFB">
      <w:pPr>
        <w:numPr>
          <w:ilvl w:val="0"/>
          <w:numId w:val="53"/>
        </w:numPr>
        <w:tabs>
          <w:tab w:val="left" w:pos="1267"/>
        </w:tabs>
        <w:autoSpaceDE w:val="0"/>
        <w:autoSpaceDN w:val="0"/>
        <w:spacing w:line="352" w:lineRule="auto"/>
        <w:ind w:left="426" w:right="569" w:firstLine="314"/>
        <w:jc w:val="both"/>
        <w:rPr>
          <w:rFonts w:ascii="宋体" w:hAnsi="宋体" w:eastAsia="宋体" w:cs="宋体"/>
          <w:szCs w:val="22"/>
        </w:rPr>
      </w:pPr>
      <w:r>
        <w:rPr>
          <w:rFonts w:ascii="宋体" w:hAnsi="宋体" w:eastAsia="宋体" w:cs="宋体"/>
          <w:szCs w:val="22"/>
        </w:rPr>
        <w:t>发包人应在监理人出具最终结清证书后的 14 天内，将应支付款支付给承包人。发包人不按期支付的，按第 17.3.3（2） 目的约定，将逾期付款违约金支付给承包人。</w:t>
      </w:r>
    </w:p>
    <w:p w14:paraId="37BE028C">
      <w:pPr>
        <w:numPr>
          <w:ilvl w:val="0"/>
          <w:numId w:val="53"/>
        </w:numPr>
        <w:tabs>
          <w:tab w:val="left" w:pos="1261"/>
        </w:tabs>
        <w:autoSpaceDE w:val="0"/>
        <w:autoSpaceDN w:val="0"/>
        <w:spacing w:line="270" w:lineRule="exact"/>
        <w:ind w:left="1261" w:hanging="521"/>
        <w:rPr>
          <w:rFonts w:ascii="宋体" w:hAnsi="宋体" w:eastAsia="宋体" w:cs="宋体"/>
          <w:szCs w:val="22"/>
        </w:rPr>
      </w:pPr>
      <w:r>
        <w:rPr>
          <w:rFonts w:ascii="宋体" w:hAnsi="宋体" w:eastAsia="宋体" w:cs="宋体"/>
          <w:spacing w:val="-2"/>
          <w:szCs w:val="22"/>
        </w:rPr>
        <w:t>承包人对发包人签认的最终结清证书有异议的，按第24</w:t>
      </w:r>
      <w:r>
        <w:rPr>
          <w:rFonts w:ascii="宋体" w:hAnsi="宋体" w:eastAsia="宋体" w:cs="宋体"/>
          <w:spacing w:val="-4"/>
          <w:szCs w:val="22"/>
        </w:rPr>
        <w:t>条的约定办理。</w:t>
      </w:r>
    </w:p>
    <w:p w14:paraId="7E4CC51F">
      <w:pPr>
        <w:numPr>
          <w:ilvl w:val="0"/>
          <w:numId w:val="53"/>
        </w:numPr>
        <w:tabs>
          <w:tab w:val="left" w:pos="1261"/>
        </w:tabs>
        <w:autoSpaceDE w:val="0"/>
        <w:autoSpaceDN w:val="0"/>
        <w:spacing w:before="124" w:line="352" w:lineRule="auto"/>
        <w:ind w:left="426" w:right="2290" w:firstLine="314"/>
        <w:rPr>
          <w:rFonts w:ascii="宋体" w:hAnsi="宋体" w:eastAsia="宋体" w:cs="宋体"/>
          <w:szCs w:val="22"/>
        </w:rPr>
      </w:pPr>
      <w:r>
        <w:rPr>
          <w:rFonts w:ascii="宋体" w:hAnsi="宋体" w:eastAsia="宋体" w:cs="宋体"/>
          <w:spacing w:val="-2"/>
          <w:szCs w:val="22"/>
        </w:rPr>
        <w:t xml:space="preserve">最终结清付款涉及政府投资资金的，按第 </w:t>
      </w:r>
      <w:r>
        <w:rPr>
          <w:rFonts w:ascii="宋体" w:hAnsi="宋体" w:eastAsia="宋体" w:cs="宋体"/>
          <w:szCs w:val="22"/>
        </w:rPr>
        <w:t xml:space="preserve">17.3.3（4）目的约定办理。 </w:t>
      </w:r>
      <w:r>
        <w:rPr>
          <w:rFonts w:ascii="宋体" w:hAnsi="宋体" w:eastAsia="宋体" w:cs="宋体"/>
          <w:spacing w:val="-2"/>
          <w:szCs w:val="22"/>
        </w:rPr>
        <w:t>18．交（竣）工验收</w:t>
      </w:r>
    </w:p>
    <w:p w14:paraId="645A8525">
      <w:pPr>
        <w:spacing w:line="352" w:lineRule="auto"/>
        <w:jc w:val="left"/>
        <w:sectPr>
          <w:pgSz w:w="11910" w:h="16840"/>
          <w:pgMar w:top="1640" w:right="849" w:bottom="1360" w:left="992" w:header="0" w:footer="1176" w:gutter="0"/>
          <w:cols w:space="720" w:num="1"/>
        </w:sectPr>
      </w:pPr>
    </w:p>
    <w:p w14:paraId="2F00EA67">
      <w:pPr>
        <w:numPr>
          <w:ilvl w:val="1"/>
          <w:numId w:val="54"/>
        </w:numPr>
        <w:tabs>
          <w:tab w:val="left" w:pos="1054"/>
        </w:tabs>
        <w:autoSpaceDE w:val="0"/>
        <w:autoSpaceDN w:val="0"/>
        <w:spacing w:before="37"/>
        <w:ind w:left="1054" w:hanging="628"/>
        <w:jc w:val="left"/>
        <w:rPr>
          <w:rFonts w:ascii="宋体" w:hAnsi="宋体" w:eastAsia="宋体" w:cs="宋体"/>
          <w:szCs w:val="22"/>
        </w:rPr>
      </w:pPr>
      <w:r>
        <w:rPr>
          <w:rFonts w:ascii="宋体" w:hAnsi="宋体" w:eastAsia="宋体" w:cs="宋体"/>
          <w:spacing w:val="-2"/>
          <w:szCs w:val="22"/>
        </w:rPr>
        <w:t>交（竣）</w:t>
      </w:r>
      <w:r>
        <w:rPr>
          <w:rFonts w:ascii="宋体" w:hAnsi="宋体" w:eastAsia="宋体" w:cs="宋体"/>
          <w:spacing w:val="-4"/>
          <w:szCs w:val="22"/>
        </w:rPr>
        <w:t>工验收的含义</w:t>
      </w:r>
    </w:p>
    <w:p w14:paraId="0E9723FD">
      <w:pPr>
        <w:numPr>
          <w:ilvl w:val="2"/>
          <w:numId w:val="54"/>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2"/>
          <w:szCs w:val="22"/>
        </w:rPr>
        <w:t>交（竣）</w:t>
      </w:r>
      <w:r>
        <w:rPr>
          <w:rFonts w:ascii="宋体" w:hAnsi="宋体" w:eastAsia="宋体" w:cs="宋体"/>
          <w:spacing w:val="-3"/>
          <w:szCs w:val="22"/>
        </w:rPr>
        <w:t>工验收指承包人完成了全部合同工作后，发包人按合同要求进行的验收。</w:t>
      </w:r>
    </w:p>
    <w:p w14:paraId="0E736C0E">
      <w:pPr>
        <w:numPr>
          <w:ilvl w:val="2"/>
          <w:numId w:val="54"/>
        </w:numPr>
        <w:tabs>
          <w:tab w:val="left" w:pos="1687"/>
        </w:tabs>
        <w:autoSpaceDE w:val="0"/>
        <w:autoSpaceDN w:val="0"/>
        <w:spacing w:before="128" w:line="352" w:lineRule="auto"/>
        <w:ind w:left="426" w:right="567" w:firstLine="420"/>
        <w:rPr>
          <w:rFonts w:ascii="宋体" w:hAnsi="宋体" w:eastAsia="宋体" w:cs="宋体"/>
          <w:szCs w:val="22"/>
        </w:rPr>
      </w:pPr>
      <w:r>
        <w:rPr>
          <w:rFonts w:ascii="宋体" w:hAnsi="宋体" w:eastAsia="宋体" w:cs="宋体"/>
          <w:spacing w:val="-2"/>
          <w:szCs w:val="22"/>
        </w:rPr>
        <w:t>国家验收是政府有关部门根据法律、规范、规程和政策要求，针对发包人全面组织实施的整个工程正式交付投运前的验收。</w:t>
      </w:r>
    </w:p>
    <w:p w14:paraId="4F90F52D">
      <w:pPr>
        <w:numPr>
          <w:ilvl w:val="2"/>
          <w:numId w:val="54"/>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2"/>
          <w:szCs w:val="22"/>
        </w:rPr>
        <w:t>公路养护工程一般为交（竣）</w:t>
      </w:r>
      <w:r>
        <w:rPr>
          <w:rFonts w:ascii="宋体" w:hAnsi="宋体" w:eastAsia="宋体" w:cs="宋体"/>
          <w:spacing w:val="-4"/>
          <w:szCs w:val="22"/>
        </w:rPr>
        <w:t>工一次性验收。</w:t>
      </w:r>
    </w:p>
    <w:p w14:paraId="34DBFC7C">
      <w:pPr>
        <w:numPr>
          <w:ilvl w:val="1"/>
          <w:numId w:val="54"/>
        </w:numPr>
        <w:tabs>
          <w:tab w:val="left" w:pos="1474"/>
        </w:tabs>
        <w:autoSpaceDE w:val="0"/>
        <w:autoSpaceDN w:val="0"/>
        <w:spacing w:before="128"/>
        <w:ind w:left="1474" w:hanging="628"/>
        <w:jc w:val="left"/>
        <w:rPr>
          <w:rFonts w:ascii="宋体" w:hAnsi="宋体" w:eastAsia="宋体" w:cs="宋体"/>
          <w:szCs w:val="22"/>
        </w:rPr>
      </w:pPr>
      <w:r>
        <w:rPr>
          <w:rFonts w:ascii="宋体" w:hAnsi="宋体" w:eastAsia="宋体" w:cs="宋体"/>
          <w:spacing w:val="-2"/>
          <w:szCs w:val="22"/>
        </w:rPr>
        <w:t>交（竣）</w:t>
      </w:r>
      <w:r>
        <w:rPr>
          <w:rFonts w:ascii="宋体" w:hAnsi="宋体" w:eastAsia="宋体" w:cs="宋体"/>
          <w:spacing w:val="-4"/>
          <w:szCs w:val="22"/>
        </w:rPr>
        <w:t>工验收申请报告</w:t>
      </w:r>
    </w:p>
    <w:p w14:paraId="2B9020F0">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当工程具备以下条件时，承包人即可向监理人报送竣工验收申请报告：</w:t>
      </w:r>
    </w:p>
    <w:p w14:paraId="2257DF90">
      <w:pPr>
        <w:numPr>
          <w:ilvl w:val="0"/>
          <w:numId w:val="55"/>
        </w:numPr>
        <w:tabs>
          <w:tab w:val="left" w:pos="1267"/>
        </w:tabs>
        <w:autoSpaceDE w:val="0"/>
        <w:autoSpaceDN w:val="0"/>
        <w:spacing w:before="125" w:line="352" w:lineRule="auto"/>
        <w:ind w:right="567" w:firstLine="314"/>
        <w:jc w:val="both"/>
        <w:rPr>
          <w:rFonts w:ascii="宋体" w:hAnsi="宋体" w:eastAsia="宋体" w:cs="宋体"/>
          <w:szCs w:val="22"/>
        </w:rPr>
      </w:pPr>
      <w:r>
        <w:rPr>
          <w:rFonts w:ascii="宋体" w:hAnsi="宋体" w:eastAsia="宋体" w:cs="宋体"/>
          <w:spacing w:val="-2"/>
          <w:szCs w:val="22"/>
        </w:rPr>
        <w:t>除监理人同意列入缺陷责任期内完成的尾工（甩项）工程和缺陷修补工作外，合同范围内的全部单位工程以及有关工作，包括合同要求的试验、试运行以及检验和验收均已完成，并符合合</w:t>
      </w:r>
      <w:r>
        <w:rPr>
          <w:rFonts w:ascii="宋体" w:hAnsi="宋体" w:eastAsia="宋体" w:cs="宋体"/>
          <w:spacing w:val="-4"/>
          <w:szCs w:val="22"/>
        </w:rPr>
        <w:t>同要求；</w:t>
      </w:r>
    </w:p>
    <w:p w14:paraId="7A4A51FA">
      <w:pPr>
        <w:numPr>
          <w:ilvl w:val="0"/>
          <w:numId w:val="55"/>
        </w:numPr>
        <w:tabs>
          <w:tab w:val="left" w:pos="1261"/>
        </w:tabs>
        <w:autoSpaceDE w:val="0"/>
        <w:autoSpaceDN w:val="0"/>
        <w:spacing w:line="269" w:lineRule="exact"/>
        <w:ind w:left="1261" w:hanging="521"/>
        <w:rPr>
          <w:rFonts w:ascii="宋体" w:hAnsi="宋体" w:eastAsia="宋体" w:cs="宋体"/>
          <w:szCs w:val="22"/>
        </w:rPr>
      </w:pPr>
      <w:r>
        <w:rPr>
          <w:rFonts w:ascii="宋体" w:hAnsi="宋体" w:eastAsia="宋体" w:cs="宋体"/>
          <w:spacing w:val="-3"/>
          <w:szCs w:val="22"/>
        </w:rPr>
        <w:t>已按合同约定的内容和份数备齐了符合要求的竣工资料；</w:t>
      </w:r>
    </w:p>
    <w:p w14:paraId="1F138A98">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竣工资料的内容：承包人应按照现行交（竣）工验收办法，编制竣工图表和施工资料。竣工资料的份数在专用合同条款数据表中约定。</w:t>
      </w:r>
    </w:p>
    <w:p w14:paraId="18EDDF5C">
      <w:pPr>
        <w:numPr>
          <w:ilvl w:val="0"/>
          <w:numId w:val="55"/>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已按监理人的要求编制了在缺陷责任期内完成的尾工（甩项）工程和缺陷修补工作清单以及相应施工计划；</w:t>
      </w:r>
    </w:p>
    <w:p w14:paraId="41BDC44C">
      <w:pPr>
        <w:numPr>
          <w:ilvl w:val="0"/>
          <w:numId w:val="55"/>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监理人要求在竣工验收前应完成的其它工作；</w:t>
      </w:r>
    </w:p>
    <w:p w14:paraId="5E7B4897">
      <w:pPr>
        <w:numPr>
          <w:ilvl w:val="0"/>
          <w:numId w:val="55"/>
        </w:numPr>
        <w:tabs>
          <w:tab w:val="left" w:pos="1261"/>
        </w:tabs>
        <w:autoSpaceDE w:val="0"/>
        <w:autoSpaceDN w:val="0"/>
        <w:spacing w:before="122"/>
        <w:ind w:left="1261" w:hanging="521"/>
        <w:rPr>
          <w:rFonts w:ascii="宋体" w:hAnsi="宋体" w:eastAsia="宋体" w:cs="宋体"/>
          <w:szCs w:val="22"/>
        </w:rPr>
      </w:pPr>
      <w:r>
        <w:rPr>
          <w:rFonts w:ascii="宋体" w:hAnsi="宋体" w:eastAsia="宋体" w:cs="宋体"/>
          <w:spacing w:val="-3"/>
          <w:szCs w:val="22"/>
        </w:rPr>
        <w:t>监理人要求提交的竣工验收资料清单。</w:t>
      </w:r>
    </w:p>
    <w:p w14:paraId="029EAB0C">
      <w:pPr>
        <w:numPr>
          <w:ilvl w:val="1"/>
          <w:numId w:val="54"/>
        </w:numPr>
        <w:tabs>
          <w:tab w:val="left" w:pos="1054"/>
        </w:tabs>
        <w:autoSpaceDE w:val="0"/>
        <w:autoSpaceDN w:val="0"/>
        <w:spacing w:before="128"/>
        <w:ind w:left="1054" w:hanging="628"/>
        <w:jc w:val="left"/>
        <w:rPr>
          <w:rFonts w:ascii="宋体" w:hAnsi="宋体" w:eastAsia="宋体" w:cs="宋体"/>
          <w:szCs w:val="22"/>
        </w:rPr>
      </w:pPr>
      <w:r>
        <w:rPr>
          <w:rFonts w:ascii="宋体" w:hAnsi="宋体" w:eastAsia="宋体" w:cs="宋体"/>
          <w:spacing w:val="-8"/>
          <w:szCs w:val="22"/>
        </w:rPr>
        <w:t>验收</w:t>
      </w:r>
    </w:p>
    <w:p w14:paraId="02CC3789">
      <w:pPr>
        <w:autoSpaceDE w:val="0"/>
        <w:autoSpaceDN w:val="0"/>
        <w:spacing w:before="127" w:line="350" w:lineRule="auto"/>
        <w:ind w:left="426" w:right="463" w:firstLine="420"/>
        <w:rPr>
          <w:rFonts w:ascii="宋体" w:hAnsi="宋体" w:eastAsia="宋体" w:cs="宋体"/>
          <w:szCs w:val="21"/>
        </w:rPr>
      </w:pPr>
      <w:r>
        <w:rPr>
          <w:rFonts w:ascii="宋体" w:hAnsi="宋体" w:eastAsia="宋体" w:cs="宋体"/>
          <w:spacing w:val="-2"/>
          <w:szCs w:val="21"/>
        </w:rPr>
        <w:t xml:space="preserve">监理人收到承包人按第 </w:t>
      </w:r>
      <w:r>
        <w:rPr>
          <w:rFonts w:ascii="宋体" w:hAnsi="宋体" w:eastAsia="宋体" w:cs="宋体"/>
          <w:szCs w:val="21"/>
        </w:rPr>
        <w:t>18.2</w:t>
      </w:r>
      <w:r>
        <w:rPr>
          <w:rFonts w:ascii="宋体" w:hAnsi="宋体" w:eastAsia="宋体" w:cs="宋体"/>
          <w:spacing w:val="-9"/>
          <w:szCs w:val="21"/>
        </w:rPr>
        <w:t xml:space="preserve"> 款约定提交的竣工验收申请报告后，应审查申请报告的各项内容，</w:t>
      </w:r>
      <w:r>
        <w:rPr>
          <w:rFonts w:ascii="宋体" w:hAnsi="宋体" w:eastAsia="宋体" w:cs="宋体"/>
          <w:spacing w:val="-2"/>
          <w:szCs w:val="21"/>
        </w:rPr>
        <w:t>并按以下不同情况进行处理。</w:t>
      </w:r>
    </w:p>
    <w:p w14:paraId="5F65CB1E">
      <w:pPr>
        <w:numPr>
          <w:ilvl w:val="2"/>
          <w:numId w:val="54"/>
        </w:numPr>
        <w:tabs>
          <w:tab w:val="left" w:pos="1687"/>
        </w:tabs>
        <w:autoSpaceDE w:val="0"/>
        <w:autoSpaceDN w:val="0"/>
        <w:spacing w:before="2" w:line="350" w:lineRule="auto"/>
        <w:ind w:left="426" w:right="567" w:firstLine="420"/>
        <w:jc w:val="both"/>
        <w:rPr>
          <w:rFonts w:ascii="宋体" w:hAnsi="宋体" w:eastAsia="宋体" w:cs="宋体"/>
          <w:szCs w:val="22"/>
        </w:rPr>
      </w:pPr>
      <w:r>
        <w:rPr>
          <w:rFonts w:ascii="宋体" w:hAnsi="宋体" w:eastAsia="宋体" w:cs="宋体"/>
          <w:szCs w:val="22"/>
        </w:rPr>
        <w:t>监理人审查后认为尚不具备竣工验收条件的，应在收到竣工验收申请报告后的 14 天</w:t>
      </w:r>
      <w:r>
        <w:rPr>
          <w:rFonts w:ascii="宋体" w:hAnsi="宋体" w:eastAsia="宋体" w:cs="宋体"/>
          <w:spacing w:val="-2"/>
          <w:szCs w:val="22"/>
        </w:rPr>
        <w:t>内通知承包人，指出在颁发接收证书前承包人还需进行的工作内容。承包人完成监理人通知的全部工作内容后，应再次提交竣工验收申请报告，直至监理人同意为止。</w:t>
      </w:r>
    </w:p>
    <w:p w14:paraId="71D0F875">
      <w:pPr>
        <w:numPr>
          <w:ilvl w:val="2"/>
          <w:numId w:val="54"/>
        </w:numPr>
        <w:tabs>
          <w:tab w:val="left" w:pos="1687"/>
        </w:tabs>
        <w:autoSpaceDE w:val="0"/>
        <w:autoSpaceDN w:val="0"/>
        <w:spacing w:before="5" w:line="352" w:lineRule="auto"/>
        <w:ind w:left="426" w:right="569" w:firstLine="420"/>
        <w:jc w:val="both"/>
        <w:rPr>
          <w:rFonts w:ascii="宋体" w:hAnsi="宋体" w:eastAsia="宋体" w:cs="宋体"/>
          <w:szCs w:val="22"/>
        </w:rPr>
      </w:pPr>
      <w:r>
        <w:rPr>
          <w:rFonts w:ascii="宋体" w:hAnsi="宋体" w:eastAsia="宋体" w:cs="宋体"/>
          <w:szCs w:val="22"/>
        </w:rPr>
        <w:t>监理人审查后认为已具备竣工验收条件的，应在收到竣工验收申请报告后的 28 天内</w:t>
      </w:r>
      <w:r>
        <w:rPr>
          <w:rFonts w:ascii="宋体" w:hAnsi="宋体" w:eastAsia="宋体" w:cs="宋体"/>
          <w:spacing w:val="-2"/>
          <w:szCs w:val="22"/>
        </w:rPr>
        <w:t>提请发包人进行工程验收。</w:t>
      </w:r>
    </w:p>
    <w:p w14:paraId="7F525D68">
      <w:pPr>
        <w:autoSpaceDE w:val="0"/>
        <w:autoSpaceDN w:val="0"/>
        <w:spacing w:line="352" w:lineRule="auto"/>
        <w:ind w:left="426" w:right="567" w:firstLine="420"/>
        <w:rPr>
          <w:rFonts w:ascii="宋体" w:hAnsi="宋体" w:eastAsia="宋体" w:cs="宋体"/>
          <w:szCs w:val="21"/>
        </w:rPr>
      </w:pPr>
      <w:r>
        <w:rPr>
          <w:rFonts w:ascii="宋体" w:hAnsi="宋体" w:eastAsia="宋体" w:cs="宋体"/>
          <w:spacing w:val="-2"/>
          <w:szCs w:val="21"/>
        </w:rPr>
        <w:t>交工验收由发包人主持，由发包人、监理人、质监、管理养护等有关部门代表组成交工验收小组，对本项目的养护工程质量进行评定，并出具交工验收报告报公路主管部门备案。承包人应按发包人的要求提交竣工资料，完成交工验收准备工作。</w:t>
      </w:r>
    </w:p>
    <w:p w14:paraId="534FD5A0">
      <w:pPr>
        <w:autoSpaceDE w:val="0"/>
        <w:autoSpaceDN w:val="0"/>
        <w:spacing w:line="269" w:lineRule="exact"/>
        <w:ind w:left="846"/>
        <w:jc w:val="left"/>
        <w:rPr>
          <w:rFonts w:ascii="宋体" w:hAnsi="宋体" w:eastAsia="宋体" w:cs="宋体"/>
          <w:szCs w:val="21"/>
        </w:rPr>
      </w:pPr>
      <w:r>
        <w:rPr>
          <w:rFonts w:ascii="宋体" w:hAnsi="宋体" w:eastAsia="宋体" w:cs="宋体"/>
          <w:spacing w:val="-3"/>
          <w:szCs w:val="21"/>
        </w:rPr>
        <w:t>普通国省道非收费公路养护工程的验收工作按《浙江省国省道公路养护管理办法》约定执行。</w:t>
      </w:r>
    </w:p>
    <w:p w14:paraId="141F9D51">
      <w:pPr>
        <w:numPr>
          <w:ilvl w:val="2"/>
          <w:numId w:val="54"/>
        </w:numPr>
        <w:tabs>
          <w:tab w:val="left" w:pos="1684"/>
        </w:tabs>
        <w:autoSpaceDE w:val="0"/>
        <w:autoSpaceDN w:val="0"/>
        <w:spacing w:before="124" w:line="352" w:lineRule="auto"/>
        <w:ind w:left="426" w:right="567" w:firstLine="420"/>
        <w:jc w:val="both"/>
        <w:rPr>
          <w:rFonts w:ascii="宋体" w:hAnsi="宋体" w:eastAsia="宋体" w:cs="宋体"/>
          <w:szCs w:val="22"/>
        </w:rPr>
      </w:pPr>
      <w:r>
        <w:rPr>
          <w:rFonts w:ascii="宋体" w:hAnsi="宋体" w:eastAsia="宋体" w:cs="宋体"/>
          <w:spacing w:val="-2"/>
          <w:szCs w:val="22"/>
        </w:rPr>
        <w:t>发包人经过验收后同意接受工程的，应在监理人收到交（竣）</w:t>
      </w:r>
      <w:r>
        <w:rPr>
          <w:rFonts w:ascii="宋体" w:hAnsi="宋体" w:eastAsia="宋体" w:cs="宋体"/>
          <w:spacing w:val="-4"/>
          <w:szCs w:val="22"/>
        </w:rPr>
        <w:t xml:space="preserve">工验收申请报告后的 </w:t>
      </w:r>
      <w:r>
        <w:rPr>
          <w:rFonts w:ascii="宋体" w:hAnsi="宋体" w:eastAsia="宋体" w:cs="宋体"/>
          <w:spacing w:val="-2"/>
          <w:szCs w:val="22"/>
        </w:rPr>
        <w:t>56天内，由监理人向承包人出具经发包人签认的工程接收证书。发包人验收后同意接收工程但提出整修和完善要求的，限期修好，并颁发工程接收证书。整修和完善工作完成后，监理人复查达到要求的，经发包人同意后，再向承包人出具工程接收证书。</w:t>
      </w:r>
    </w:p>
    <w:p w14:paraId="7AED0755">
      <w:pPr>
        <w:spacing w:line="352" w:lineRule="auto"/>
        <w:sectPr>
          <w:pgSz w:w="11910" w:h="16840"/>
          <w:pgMar w:top="1640" w:right="849" w:bottom="1360" w:left="992" w:header="0" w:footer="1176" w:gutter="0"/>
          <w:cols w:space="720" w:num="1"/>
        </w:sectPr>
      </w:pPr>
    </w:p>
    <w:p w14:paraId="5E2B0AC7">
      <w:pPr>
        <w:numPr>
          <w:ilvl w:val="2"/>
          <w:numId w:val="54"/>
        </w:numPr>
        <w:tabs>
          <w:tab w:val="left" w:pos="1687"/>
        </w:tabs>
        <w:autoSpaceDE w:val="0"/>
        <w:autoSpaceDN w:val="0"/>
        <w:spacing w:before="37" w:line="350" w:lineRule="auto"/>
        <w:ind w:left="426" w:right="567" w:firstLine="420"/>
        <w:jc w:val="both"/>
        <w:rPr>
          <w:rFonts w:ascii="宋体" w:hAnsi="宋体" w:eastAsia="宋体" w:cs="宋体"/>
          <w:szCs w:val="22"/>
        </w:rPr>
      </w:pPr>
      <w:r>
        <w:rPr>
          <w:rFonts w:ascii="宋体" w:hAnsi="宋体" w:eastAsia="宋体" w:cs="宋体"/>
          <w:spacing w:val="-2"/>
          <w:szCs w:val="22"/>
        </w:rPr>
        <w:t>发包人验收后不同意接收工程的，监理人应按照发包人的验收意见发出指示，要求承包人对不合格工程认真返工重作或进行补救处理，并承担由此产生的费。承包人在完成不合格工程</w:t>
      </w:r>
      <w:r>
        <w:rPr>
          <w:rFonts w:ascii="宋体" w:hAnsi="宋体" w:eastAsia="宋体" w:cs="宋体"/>
          <w:szCs w:val="22"/>
        </w:rPr>
        <w:t>的返工重作或补救工作后，应重新提交交（竣）工验收申请报告，按第 18.3.1</w:t>
      </w:r>
      <w:r>
        <w:rPr>
          <w:rFonts w:ascii="宋体" w:hAnsi="宋体" w:eastAsia="宋体" w:cs="宋体"/>
          <w:spacing w:val="-1"/>
          <w:szCs w:val="22"/>
        </w:rPr>
        <w:t xml:space="preserve"> 项、第 </w:t>
      </w:r>
      <w:r>
        <w:rPr>
          <w:rFonts w:ascii="宋体" w:hAnsi="宋体" w:eastAsia="宋体" w:cs="宋体"/>
          <w:szCs w:val="22"/>
        </w:rPr>
        <w:t>18.3.2 项</w:t>
      </w:r>
    </w:p>
    <w:p w14:paraId="2885FD0B">
      <w:pPr>
        <w:autoSpaceDE w:val="0"/>
        <w:autoSpaceDN w:val="0"/>
        <w:spacing w:before="4"/>
        <w:ind w:left="426"/>
        <w:rPr>
          <w:rFonts w:ascii="宋体" w:hAnsi="宋体" w:eastAsia="宋体" w:cs="宋体"/>
          <w:szCs w:val="21"/>
        </w:rPr>
      </w:pPr>
      <w:r>
        <w:rPr>
          <w:rFonts w:ascii="宋体" w:hAnsi="宋体" w:eastAsia="宋体" w:cs="宋体"/>
          <w:spacing w:val="-3"/>
          <w:szCs w:val="21"/>
        </w:rPr>
        <w:t xml:space="preserve">和第 </w:t>
      </w:r>
      <w:r>
        <w:rPr>
          <w:rFonts w:ascii="宋体" w:hAnsi="宋体" w:eastAsia="宋体" w:cs="宋体"/>
          <w:szCs w:val="21"/>
        </w:rPr>
        <w:t>18.3.3</w:t>
      </w:r>
      <w:r>
        <w:rPr>
          <w:rFonts w:ascii="宋体" w:hAnsi="宋体" w:eastAsia="宋体" w:cs="宋体"/>
          <w:spacing w:val="-4"/>
          <w:szCs w:val="21"/>
        </w:rPr>
        <w:t xml:space="preserve"> 项的约定进行。</w:t>
      </w:r>
    </w:p>
    <w:p w14:paraId="1640AE99">
      <w:pPr>
        <w:numPr>
          <w:ilvl w:val="2"/>
          <w:numId w:val="54"/>
        </w:numPr>
        <w:tabs>
          <w:tab w:val="left" w:pos="1687"/>
        </w:tabs>
        <w:autoSpaceDE w:val="0"/>
        <w:autoSpaceDN w:val="0"/>
        <w:spacing w:before="125"/>
        <w:ind w:left="1687" w:hanging="841"/>
        <w:jc w:val="both"/>
        <w:rPr>
          <w:rFonts w:ascii="宋体" w:hAnsi="宋体" w:eastAsia="宋体" w:cs="宋体"/>
          <w:szCs w:val="22"/>
        </w:rPr>
      </w:pPr>
      <w:r>
        <w:rPr>
          <w:rFonts w:ascii="宋体" w:hAnsi="宋体" w:eastAsia="宋体" w:cs="宋体"/>
          <w:spacing w:val="-2"/>
          <w:szCs w:val="22"/>
        </w:rPr>
        <w:t>除专用合同条款另有约定外，经验收合格工程的实际交（竣）</w:t>
      </w:r>
      <w:r>
        <w:rPr>
          <w:rFonts w:ascii="宋体" w:hAnsi="宋体" w:eastAsia="宋体" w:cs="宋体"/>
          <w:spacing w:val="-3"/>
          <w:szCs w:val="22"/>
        </w:rPr>
        <w:t>工日期，以最终提交交</w:t>
      </w:r>
    </w:p>
    <w:p w14:paraId="0A5018E5">
      <w:pPr>
        <w:autoSpaceDE w:val="0"/>
        <w:autoSpaceDN w:val="0"/>
        <w:spacing w:before="128"/>
        <w:ind w:left="320"/>
        <w:jc w:val="left"/>
        <w:rPr>
          <w:rFonts w:ascii="宋体" w:hAnsi="宋体" w:eastAsia="宋体" w:cs="宋体"/>
          <w:szCs w:val="21"/>
        </w:rPr>
      </w:pPr>
      <w:r>
        <w:rPr>
          <w:rFonts w:ascii="宋体" w:hAnsi="宋体" w:eastAsia="宋体" w:cs="宋体"/>
          <w:spacing w:val="-2"/>
          <w:szCs w:val="21"/>
        </w:rPr>
        <w:t>（竣）</w:t>
      </w:r>
      <w:r>
        <w:rPr>
          <w:rFonts w:ascii="宋体" w:hAnsi="宋体" w:eastAsia="宋体" w:cs="宋体"/>
          <w:spacing w:val="-3"/>
          <w:szCs w:val="21"/>
        </w:rPr>
        <w:t>工验收申请报告的日期为准，并在工程接收证书中写明。</w:t>
      </w:r>
    </w:p>
    <w:p w14:paraId="6773CDEA">
      <w:pPr>
        <w:numPr>
          <w:ilvl w:val="2"/>
          <w:numId w:val="54"/>
        </w:numPr>
        <w:tabs>
          <w:tab w:val="left" w:pos="1684"/>
        </w:tabs>
        <w:autoSpaceDE w:val="0"/>
        <w:autoSpaceDN w:val="0"/>
        <w:spacing w:before="128" w:line="350" w:lineRule="auto"/>
        <w:ind w:left="426" w:right="463" w:firstLine="420"/>
        <w:rPr>
          <w:rFonts w:ascii="宋体" w:hAnsi="宋体" w:eastAsia="宋体" w:cs="宋体"/>
          <w:szCs w:val="22"/>
        </w:rPr>
      </w:pPr>
      <w:r>
        <w:rPr>
          <w:rFonts w:ascii="宋体" w:hAnsi="宋体" w:eastAsia="宋体" w:cs="宋体"/>
          <w:spacing w:val="-3"/>
          <w:w w:val="99"/>
          <w:szCs w:val="22"/>
        </w:rPr>
        <w:t>发包人在收到承包人交</w:t>
      </w:r>
      <w:r>
        <w:rPr>
          <w:rFonts w:ascii="宋体" w:hAnsi="宋体" w:eastAsia="宋体" w:cs="宋体"/>
          <w:spacing w:val="-1"/>
          <w:w w:val="99"/>
          <w:szCs w:val="22"/>
        </w:rPr>
        <w:t>（</w:t>
      </w:r>
      <w:r>
        <w:rPr>
          <w:rFonts w:ascii="宋体" w:hAnsi="宋体" w:eastAsia="宋体" w:cs="宋体"/>
          <w:spacing w:val="2"/>
          <w:w w:val="99"/>
          <w:szCs w:val="22"/>
        </w:rPr>
        <w:t>竣</w:t>
      </w:r>
      <w:r>
        <w:rPr>
          <w:rFonts w:ascii="宋体" w:hAnsi="宋体" w:eastAsia="宋体" w:cs="宋体"/>
          <w:spacing w:val="-22"/>
          <w:w w:val="99"/>
          <w:szCs w:val="22"/>
        </w:rPr>
        <w:t>）</w:t>
      </w:r>
      <w:r>
        <w:rPr>
          <w:rFonts w:ascii="宋体" w:hAnsi="宋体" w:eastAsia="宋体" w:cs="宋体"/>
          <w:spacing w:val="-1"/>
          <w:w w:val="99"/>
          <w:szCs w:val="22"/>
        </w:rPr>
        <w:t>工验收申请报告</w:t>
      </w:r>
      <w:r>
        <w:rPr>
          <w:rFonts w:ascii="宋体" w:hAnsi="宋体" w:eastAsia="宋体" w:cs="宋体"/>
          <w:szCs w:val="22"/>
        </w:rPr>
        <w:t xml:space="preserve"> </w:t>
      </w:r>
      <w:r>
        <w:rPr>
          <w:rFonts w:ascii="宋体" w:hAnsi="宋体" w:eastAsia="宋体" w:cs="宋体"/>
          <w:spacing w:val="1"/>
          <w:w w:val="99"/>
          <w:szCs w:val="22"/>
        </w:rPr>
        <w:t>5</w:t>
      </w:r>
      <w:r>
        <w:rPr>
          <w:rFonts w:ascii="宋体" w:hAnsi="宋体" w:eastAsia="宋体" w:cs="宋体"/>
          <w:w w:val="99"/>
          <w:szCs w:val="22"/>
        </w:rPr>
        <w:t>6</w:t>
      </w:r>
      <w:r>
        <w:rPr>
          <w:rFonts w:ascii="宋体" w:hAnsi="宋体" w:eastAsia="宋体" w:cs="宋体"/>
          <w:spacing w:val="-1"/>
          <w:szCs w:val="22"/>
        </w:rPr>
        <w:t xml:space="preserve"> </w:t>
      </w:r>
      <w:r>
        <w:rPr>
          <w:rFonts w:ascii="宋体" w:hAnsi="宋体" w:eastAsia="宋体" w:cs="宋体"/>
          <w:spacing w:val="-4"/>
          <w:w w:val="99"/>
          <w:szCs w:val="22"/>
        </w:rPr>
        <w:t>天后未进行验收的，视为验收合格，</w:t>
      </w:r>
      <w:r>
        <w:rPr>
          <w:rFonts w:ascii="宋体" w:hAnsi="宋体" w:eastAsia="宋体" w:cs="宋体"/>
          <w:spacing w:val="1"/>
          <w:w w:val="99"/>
          <w:szCs w:val="22"/>
        </w:rPr>
        <w:t>实际竣工日期以提交交</w:t>
      </w:r>
      <w:r>
        <w:rPr>
          <w:rFonts w:ascii="宋体" w:hAnsi="宋体" w:eastAsia="宋体" w:cs="宋体"/>
          <w:spacing w:val="2"/>
          <w:w w:val="99"/>
          <w:szCs w:val="22"/>
        </w:rPr>
        <w:t>（竣）</w:t>
      </w:r>
      <w:r>
        <w:rPr>
          <w:rFonts w:ascii="宋体" w:hAnsi="宋体" w:eastAsia="宋体" w:cs="宋体"/>
          <w:spacing w:val="-1"/>
          <w:w w:val="99"/>
          <w:szCs w:val="22"/>
        </w:rPr>
        <w:t>工验收申请报告的日期为准，但发包人由于不可抗力不能进行验收的</w:t>
      </w:r>
      <w:r>
        <w:rPr>
          <w:rFonts w:ascii="宋体" w:hAnsi="宋体" w:eastAsia="宋体" w:cs="宋体"/>
          <w:w w:val="99"/>
          <w:szCs w:val="22"/>
        </w:rPr>
        <w:t>除外。</w:t>
      </w:r>
    </w:p>
    <w:p w14:paraId="1A01B312">
      <w:pPr>
        <w:numPr>
          <w:ilvl w:val="2"/>
          <w:numId w:val="54"/>
        </w:numPr>
        <w:tabs>
          <w:tab w:val="left" w:pos="1687"/>
        </w:tabs>
        <w:autoSpaceDE w:val="0"/>
        <w:autoSpaceDN w:val="0"/>
        <w:spacing w:before="4"/>
        <w:ind w:left="1687" w:hanging="841"/>
        <w:rPr>
          <w:rFonts w:ascii="宋体" w:hAnsi="宋体" w:eastAsia="宋体" w:cs="宋体"/>
          <w:szCs w:val="22"/>
        </w:rPr>
      </w:pPr>
      <w:r>
        <w:rPr>
          <w:rFonts w:ascii="宋体" w:hAnsi="宋体" w:eastAsia="宋体" w:cs="宋体"/>
          <w:spacing w:val="-2"/>
          <w:szCs w:val="22"/>
        </w:rPr>
        <w:t>组织办理交（竣）工验收和签发交（竣）</w:t>
      </w:r>
      <w:r>
        <w:rPr>
          <w:rFonts w:ascii="宋体" w:hAnsi="宋体" w:eastAsia="宋体" w:cs="宋体"/>
          <w:spacing w:val="-3"/>
          <w:szCs w:val="22"/>
        </w:rPr>
        <w:t>工验收证书的费用由发包人承担。但按照第</w:t>
      </w:r>
    </w:p>
    <w:p w14:paraId="773BEC79">
      <w:pPr>
        <w:autoSpaceDE w:val="0"/>
        <w:autoSpaceDN w:val="0"/>
        <w:spacing w:before="126"/>
        <w:ind w:left="426"/>
        <w:jc w:val="left"/>
        <w:rPr>
          <w:rFonts w:ascii="宋体" w:hAnsi="宋体" w:eastAsia="宋体" w:cs="宋体"/>
          <w:szCs w:val="21"/>
        </w:rPr>
      </w:pPr>
      <w:r>
        <w:rPr>
          <w:rFonts w:ascii="宋体" w:hAnsi="宋体" w:eastAsia="宋体" w:cs="宋体"/>
          <w:spacing w:val="-2"/>
          <w:szCs w:val="21"/>
        </w:rPr>
        <w:t>18.3.4 项规定达不到合格标准的交（竣）</w:t>
      </w:r>
      <w:r>
        <w:rPr>
          <w:rFonts w:ascii="宋体" w:hAnsi="宋体" w:eastAsia="宋体" w:cs="宋体"/>
          <w:spacing w:val="-3"/>
          <w:szCs w:val="21"/>
        </w:rPr>
        <w:t>工验收费用由承包人承担。</w:t>
      </w:r>
    </w:p>
    <w:p w14:paraId="5A39FF54">
      <w:pPr>
        <w:numPr>
          <w:ilvl w:val="2"/>
          <w:numId w:val="54"/>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3"/>
          <w:szCs w:val="22"/>
        </w:rPr>
        <w:t>工程未经竣工验收，发包人擅自使用的，以转移占有工程之日为实际竣工日期。</w:t>
      </w:r>
    </w:p>
    <w:p w14:paraId="5FDD351F">
      <w:pPr>
        <w:numPr>
          <w:ilvl w:val="1"/>
          <w:numId w:val="54"/>
        </w:numPr>
        <w:tabs>
          <w:tab w:val="left" w:pos="1054"/>
        </w:tabs>
        <w:autoSpaceDE w:val="0"/>
        <w:autoSpaceDN w:val="0"/>
        <w:spacing w:before="128"/>
        <w:ind w:left="1054" w:hanging="628"/>
        <w:jc w:val="left"/>
        <w:rPr>
          <w:rFonts w:ascii="宋体" w:hAnsi="宋体" w:eastAsia="宋体" w:cs="宋体"/>
          <w:szCs w:val="22"/>
        </w:rPr>
      </w:pPr>
      <w:r>
        <w:rPr>
          <w:rFonts w:ascii="宋体" w:hAnsi="宋体" w:eastAsia="宋体" w:cs="宋体"/>
          <w:spacing w:val="-4"/>
          <w:szCs w:val="22"/>
        </w:rPr>
        <w:t>单位工程验收</w:t>
      </w:r>
    </w:p>
    <w:p w14:paraId="771E2321">
      <w:pPr>
        <w:numPr>
          <w:ilvl w:val="2"/>
          <w:numId w:val="54"/>
        </w:numPr>
        <w:tabs>
          <w:tab w:val="left" w:pos="1687"/>
        </w:tabs>
        <w:autoSpaceDE w:val="0"/>
        <w:autoSpaceDN w:val="0"/>
        <w:spacing w:before="126"/>
        <w:ind w:left="1687" w:hanging="841"/>
        <w:jc w:val="both"/>
        <w:rPr>
          <w:rFonts w:ascii="宋体" w:hAnsi="宋体" w:eastAsia="宋体" w:cs="宋体"/>
          <w:szCs w:val="22"/>
        </w:rPr>
      </w:pPr>
      <w:r>
        <w:rPr>
          <w:rFonts w:ascii="宋体" w:hAnsi="宋体" w:eastAsia="宋体" w:cs="宋体"/>
          <w:spacing w:val="-3"/>
          <w:szCs w:val="22"/>
        </w:rPr>
        <w:t>发包人根据合同进度计划安排，在全部工程竣工前需要使用已经竣工的单位工程时，</w:t>
      </w:r>
    </w:p>
    <w:p w14:paraId="62363AFC">
      <w:pPr>
        <w:autoSpaceDE w:val="0"/>
        <w:autoSpaceDN w:val="0"/>
        <w:spacing w:before="127" w:line="350" w:lineRule="auto"/>
        <w:ind w:left="426" w:right="567"/>
        <w:rPr>
          <w:rFonts w:ascii="宋体" w:hAnsi="宋体" w:eastAsia="宋体" w:cs="宋体"/>
          <w:szCs w:val="21"/>
        </w:rPr>
      </w:pPr>
      <w:r>
        <w:rPr>
          <w:rFonts w:ascii="宋体" w:hAnsi="宋体" w:eastAsia="宋体" w:cs="宋体"/>
          <w:szCs w:val="21"/>
        </w:rPr>
        <w:t>或承包人提出经发包人同意时，可进行单位工程验收。验收的程序可参照第 18.2</w:t>
      </w:r>
      <w:r>
        <w:rPr>
          <w:rFonts w:ascii="宋体" w:hAnsi="宋体" w:eastAsia="宋体" w:cs="宋体"/>
          <w:spacing w:val="-1"/>
          <w:szCs w:val="21"/>
        </w:rPr>
        <w:t xml:space="preserve"> 款与第 </w:t>
      </w:r>
      <w:r>
        <w:rPr>
          <w:rFonts w:ascii="宋体" w:hAnsi="宋体" w:eastAsia="宋体" w:cs="宋体"/>
          <w:szCs w:val="21"/>
        </w:rPr>
        <w:t>18.3</w:t>
      </w:r>
      <w:r>
        <w:rPr>
          <w:rFonts w:ascii="宋体" w:hAnsi="宋体" w:eastAsia="宋体" w:cs="宋体"/>
          <w:spacing w:val="-1"/>
          <w:szCs w:val="21"/>
        </w:rPr>
        <w:t xml:space="preserve"> 款</w:t>
      </w:r>
      <w:r>
        <w:rPr>
          <w:rFonts w:ascii="宋体" w:hAnsi="宋体" w:eastAsia="宋体" w:cs="宋体"/>
          <w:spacing w:val="-2"/>
          <w:szCs w:val="21"/>
        </w:rPr>
        <w:t>的约定进行。验收合格后，由监理人向承包人出具经发包人签认的单位工程验收证书。已签发单位工程接收证书的单位工程由发包人负责照管。</w:t>
      </w:r>
    </w:p>
    <w:p w14:paraId="13EC0AFB">
      <w:pPr>
        <w:autoSpaceDE w:val="0"/>
        <w:autoSpaceDN w:val="0"/>
        <w:spacing w:before="5"/>
        <w:ind w:left="846"/>
        <w:jc w:val="left"/>
        <w:rPr>
          <w:rFonts w:ascii="宋体" w:hAnsi="宋体" w:eastAsia="宋体" w:cs="宋体"/>
          <w:szCs w:val="21"/>
        </w:rPr>
      </w:pPr>
      <w:r>
        <w:rPr>
          <w:rFonts w:ascii="宋体" w:hAnsi="宋体" w:eastAsia="宋体" w:cs="宋体"/>
          <w:spacing w:val="-3"/>
          <w:szCs w:val="21"/>
        </w:rPr>
        <w:t>单位工程的验收成果和结论作为全部工程竣工验收申请报告的附件。</w:t>
      </w:r>
    </w:p>
    <w:p w14:paraId="25F164E3">
      <w:pPr>
        <w:numPr>
          <w:ilvl w:val="2"/>
          <w:numId w:val="54"/>
        </w:numPr>
        <w:tabs>
          <w:tab w:val="left" w:pos="1687"/>
        </w:tabs>
        <w:autoSpaceDE w:val="0"/>
        <w:autoSpaceDN w:val="0"/>
        <w:spacing w:before="128" w:line="350" w:lineRule="auto"/>
        <w:ind w:left="426" w:right="567" w:firstLine="420"/>
        <w:rPr>
          <w:rFonts w:ascii="宋体" w:hAnsi="宋体" w:eastAsia="宋体" w:cs="宋体"/>
          <w:szCs w:val="22"/>
        </w:rPr>
      </w:pPr>
      <w:r>
        <w:rPr>
          <w:rFonts w:ascii="宋体" w:hAnsi="宋体" w:eastAsia="宋体" w:cs="宋体"/>
          <w:spacing w:val="-2"/>
          <w:szCs w:val="22"/>
        </w:rPr>
        <w:t>发包人在全部工程竣工前，使用已接收的单位工程导致承包人费用增加的，发包人应承担由此增加的费用和（或）工期延误，并支付承包人合理利润。</w:t>
      </w:r>
    </w:p>
    <w:p w14:paraId="32B2A7A7">
      <w:pPr>
        <w:numPr>
          <w:ilvl w:val="1"/>
          <w:numId w:val="54"/>
        </w:numPr>
        <w:tabs>
          <w:tab w:val="left" w:pos="1054"/>
        </w:tabs>
        <w:autoSpaceDE w:val="0"/>
        <w:autoSpaceDN w:val="0"/>
        <w:spacing w:before="2"/>
        <w:ind w:left="1054" w:hanging="628"/>
        <w:jc w:val="left"/>
        <w:rPr>
          <w:rFonts w:ascii="宋体" w:hAnsi="宋体" w:eastAsia="宋体" w:cs="宋体"/>
          <w:szCs w:val="22"/>
        </w:rPr>
      </w:pPr>
      <w:r>
        <w:rPr>
          <w:rFonts w:ascii="宋体" w:hAnsi="宋体" w:eastAsia="宋体" w:cs="宋体"/>
          <w:spacing w:val="-4"/>
          <w:szCs w:val="22"/>
        </w:rPr>
        <w:t>施工期运行</w:t>
      </w:r>
    </w:p>
    <w:p w14:paraId="18181361">
      <w:pPr>
        <w:numPr>
          <w:ilvl w:val="2"/>
          <w:numId w:val="54"/>
        </w:numPr>
        <w:tabs>
          <w:tab w:val="left" w:pos="1687"/>
        </w:tabs>
        <w:autoSpaceDE w:val="0"/>
        <w:autoSpaceDN w:val="0"/>
        <w:spacing w:before="127"/>
        <w:ind w:left="1687" w:hanging="841"/>
        <w:rPr>
          <w:rFonts w:ascii="宋体" w:hAnsi="宋体" w:eastAsia="宋体" w:cs="宋体"/>
          <w:szCs w:val="22"/>
        </w:rPr>
      </w:pPr>
      <w:r>
        <w:rPr>
          <w:rFonts w:ascii="宋体" w:hAnsi="宋体" w:eastAsia="宋体" w:cs="宋体"/>
          <w:spacing w:val="-3"/>
          <w:szCs w:val="22"/>
        </w:rPr>
        <w:t>施工期运行是指合同工程尚未全部竣工，其中某项或某几项单位工程或工程设备安装</w:t>
      </w:r>
    </w:p>
    <w:p w14:paraId="3FDA4A4C">
      <w:pPr>
        <w:autoSpaceDE w:val="0"/>
        <w:autoSpaceDN w:val="0"/>
        <w:spacing w:before="126" w:line="352" w:lineRule="auto"/>
        <w:ind w:left="426" w:right="463"/>
        <w:jc w:val="left"/>
        <w:rPr>
          <w:rFonts w:ascii="宋体" w:hAnsi="宋体" w:eastAsia="宋体" w:cs="宋体"/>
          <w:szCs w:val="21"/>
        </w:rPr>
      </w:pPr>
      <w:r>
        <w:rPr>
          <w:rFonts w:ascii="宋体" w:hAnsi="宋体" w:eastAsia="宋体" w:cs="宋体"/>
          <w:spacing w:val="-3"/>
          <w:szCs w:val="21"/>
        </w:rPr>
        <w:t xml:space="preserve">已竣工，根据专用合同条款约定，需要投入施工期运行的，经发包人按第 </w:t>
      </w:r>
      <w:r>
        <w:rPr>
          <w:rFonts w:ascii="宋体" w:hAnsi="宋体" w:eastAsia="宋体" w:cs="宋体"/>
          <w:spacing w:val="-2"/>
          <w:szCs w:val="21"/>
        </w:rPr>
        <w:t>18.4</w:t>
      </w:r>
      <w:r>
        <w:rPr>
          <w:rFonts w:ascii="宋体" w:hAnsi="宋体" w:eastAsia="宋体" w:cs="宋体"/>
          <w:spacing w:val="-4"/>
          <w:szCs w:val="21"/>
        </w:rPr>
        <w:t xml:space="preserve"> 款的约定验收合格，</w:t>
      </w:r>
      <w:r>
        <w:rPr>
          <w:rFonts w:ascii="宋体" w:hAnsi="宋体" w:eastAsia="宋体" w:cs="宋体"/>
          <w:spacing w:val="-2"/>
          <w:szCs w:val="21"/>
        </w:rPr>
        <w:t>证明能确保安全后，才能在施工期投入运行。</w:t>
      </w:r>
    </w:p>
    <w:p w14:paraId="6466ABC9">
      <w:pPr>
        <w:numPr>
          <w:ilvl w:val="2"/>
          <w:numId w:val="54"/>
        </w:numPr>
        <w:tabs>
          <w:tab w:val="left" w:pos="1687"/>
        </w:tabs>
        <w:autoSpaceDE w:val="0"/>
        <w:autoSpaceDN w:val="0"/>
        <w:spacing w:line="350" w:lineRule="auto"/>
        <w:ind w:left="426" w:right="569" w:firstLine="420"/>
        <w:rPr>
          <w:rFonts w:ascii="宋体" w:hAnsi="宋体" w:eastAsia="宋体" w:cs="宋体"/>
          <w:szCs w:val="22"/>
        </w:rPr>
      </w:pPr>
      <w:r>
        <w:rPr>
          <w:rFonts w:ascii="宋体" w:hAnsi="宋体" w:eastAsia="宋体" w:cs="宋体"/>
          <w:szCs w:val="22"/>
        </w:rPr>
        <w:t>在施工期运行中发现工程或工程设备损坏或存在缺陷的，由承包人按第 19.2 款约定</w:t>
      </w:r>
      <w:r>
        <w:rPr>
          <w:rFonts w:ascii="宋体" w:hAnsi="宋体" w:eastAsia="宋体" w:cs="宋体"/>
          <w:spacing w:val="-2"/>
          <w:szCs w:val="22"/>
        </w:rPr>
        <w:t>进行修复。</w:t>
      </w:r>
    </w:p>
    <w:p w14:paraId="3E82214B">
      <w:pPr>
        <w:numPr>
          <w:ilvl w:val="1"/>
          <w:numId w:val="54"/>
        </w:numPr>
        <w:tabs>
          <w:tab w:val="left" w:pos="1054"/>
        </w:tabs>
        <w:autoSpaceDE w:val="0"/>
        <w:autoSpaceDN w:val="0"/>
        <w:spacing w:before="1"/>
        <w:ind w:left="1054" w:hanging="628"/>
        <w:jc w:val="left"/>
        <w:rPr>
          <w:rFonts w:ascii="宋体" w:hAnsi="宋体" w:eastAsia="宋体" w:cs="宋体"/>
          <w:szCs w:val="22"/>
        </w:rPr>
      </w:pPr>
      <w:r>
        <w:rPr>
          <w:rFonts w:ascii="宋体" w:hAnsi="宋体" w:eastAsia="宋体" w:cs="宋体"/>
          <w:spacing w:val="-5"/>
          <w:szCs w:val="22"/>
        </w:rPr>
        <w:t>试运行</w:t>
      </w:r>
    </w:p>
    <w:p w14:paraId="5138A769">
      <w:pPr>
        <w:numPr>
          <w:ilvl w:val="2"/>
          <w:numId w:val="54"/>
        </w:numPr>
        <w:tabs>
          <w:tab w:val="left" w:pos="1687"/>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除专用合同条款另有约定外，承包人应按专用合同条款约定进行工程及工程设备试运行，负责提供试运行所需的人员、器材和必要的条件，并承担全部试运行费用。</w:t>
      </w:r>
    </w:p>
    <w:p w14:paraId="3C5851E8">
      <w:pPr>
        <w:numPr>
          <w:ilvl w:val="2"/>
          <w:numId w:val="54"/>
        </w:numPr>
        <w:tabs>
          <w:tab w:val="left" w:pos="1687"/>
        </w:tabs>
        <w:autoSpaceDE w:val="0"/>
        <w:autoSpaceDN w:val="0"/>
        <w:spacing w:before="2" w:line="350" w:lineRule="auto"/>
        <w:ind w:left="426" w:right="567" w:firstLine="420"/>
        <w:jc w:val="both"/>
        <w:rPr>
          <w:rFonts w:ascii="宋体" w:hAnsi="宋体" w:eastAsia="宋体" w:cs="宋体"/>
          <w:szCs w:val="22"/>
        </w:rPr>
      </w:pPr>
      <w:r>
        <w:rPr>
          <w:rFonts w:ascii="宋体" w:hAnsi="宋体" w:eastAsia="宋体" w:cs="宋体"/>
          <w:spacing w:val="-2"/>
          <w:szCs w:val="22"/>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9B7FA3C">
      <w:pPr>
        <w:numPr>
          <w:ilvl w:val="1"/>
          <w:numId w:val="54"/>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7"/>
          <w:szCs w:val="22"/>
        </w:rPr>
        <w:t>竣工清场</w:t>
      </w:r>
    </w:p>
    <w:p w14:paraId="7FFEADC6">
      <w:pPr>
        <w:sectPr>
          <w:pgSz w:w="11910" w:h="16840"/>
          <w:pgMar w:top="1640" w:right="849" w:bottom="1360" w:left="992" w:header="0" w:footer="1176" w:gutter="0"/>
          <w:cols w:space="720" w:num="1"/>
        </w:sectPr>
      </w:pPr>
    </w:p>
    <w:p w14:paraId="300A0085">
      <w:pPr>
        <w:numPr>
          <w:ilvl w:val="2"/>
          <w:numId w:val="54"/>
        </w:numPr>
        <w:tabs>
          <w:tab w:val="left" w:pos="1579"/>
        </w:tabs>
        <w:autoSpaceDE w:val="0"/>
        <w:autoSpaceDN w:val="0"/>
        <w:spacing w:before="37" w:line="350" w:lineRule="auto"/>
        <w:ind w:left="426" w:right="503" w:firstLine="420"/>
        <w:jc w:val="both"/>
        <w:rPr>
          <w:rFonts w:ascii="宋体" w:hAnsi="宋体" w:eastAsia="宋体" w:cs="宋体"/>
          <w:szCs w:val="22"/>
        </w:rPr>
      </w:pPr>
      <w:r>
        <w:rPr>
          <w:rFonts w:ascii="宋体" w:hAnsi="宋体" w:eastAsia="宋体" w:cs="宋体"/>
          <w:spacing w:val="-2"/>
          <w:szCs w:val="22"/>
        </w:rPr>
        <w:t>除合同另有约定外，工程接收证书颁发后，承包人应按以下要求对施工场地进行清理，并撤离相关人员，使得施工现场处于以下状态，直至监理人检验合格为止。竣工清场费用由承包人</w:t>
      </w:r>
      <w:r>
        <w:rPr>
          <w:rFonts w:ascii="宋体" w:hAnsi="宋体" w:eastAsia="宋体" w:cs="宋体"/>
          <w:spacing w:val="-4"/>
          <w:szCs w:val="22"/>
        </w:rPr>
        <w:t>承担。</w:t>
      </w:r>
    </w:p>
    <w:p w14:paraId="297A642E">
      <w:pPr>
        <w:numPr>
          <w:ilvl w:val="0"/>
          <w:numId w:val="56"/>
        </w:numPr>
        <w:tabs>
          <w:tab w:val="left" w:pos="1261"/>
        </w:tabs>
        <w:autoSpaceDE w:val="0"/>
        <w:autoSpaceDN w:val="0"/>
        <w:spacing w:before="4"/>
        <w:ind w:left="1261" w:hanging="521"/>
        <w:rPr>
          <w:rFonts w:ascii="宋体" w:hAnsi="宋体" w:eastAsia="宋体" w:cs="宋体"/>
          <w:szCs w:val="22"/>
        </w:rPr>
      </w:pPr>
      <w:r>
        <w:rPr>
          <w:rFonts w:ascii="宋体" w:hAnsi="宋体" w:eastAsia="宋体" w:cs="宋体"/>
          <w:spacing w:val="-3"/>
          <w:szCs w:val="22"/>
        </w:rPr>
        <w:t>施工场地内残留的垃圾已全部清除出场；</w:t>
      </w:r>
    </w:p>
    <w:p w14:paraId="40AB0843">
      <w:pPr>
        <w:numPr>
          <w:ilvl w:val="0"/>
          <w:numId w:val="56"/>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临时工程已拆除，场地已按合同要求进行清理、平整或复原；</w:t>
      </w:r>
    </w:p>
    <w:p w14:paraId="0062FA30">
      <w:pPr>
        <w:numPr>
          <w:ilvl w:val="0"/>
          <w:numId w:val="56"/>
        </w:numPr>
        <w:tabs>
          <w:tab w:val="left" w:pos="1242"/>
        </w:tabs>
        <w:autoSpaceDE w:val="0"/>
        <w:autoSpaceDN w:val="0"/>
        <w:spacing w:before="128" w:line="352" w:lineRule="auto"/>
        <w:ind w:left="426" w:right="463" w:firstLine="314"/>
        <w:rPr>
          <w:rFonts w:ascii="宋体" w:hAnsi="宋体" w:eastAsia="宋体" w:cs="宋体"/>
          <w:szCs w:val="22"/>
        </w:rPr>
      </w:pPr>
      <w:r>
        <w:rPr>
          <w:rFonts w:ascii="宋体" w:hAnsi="宋体" w:eastAsia="宋体" w:cs="宋体"/>
          <w:spacing w:val="-2"/>
          <w:szCs w:val="22"/>
        </w:rPr>
        <w:t>按合同约定应撤离的人员、承包人提供的设备和剩余的材料，包括废弃的施工设备和材料，已按计划撤离施工场地；</w:t>
      </w:r>
    </w:p>
    <w:p w14:paraId="5CDBD56F">
      <w:pPr>
        <w:numPr>
          <w:ilvl w:val="0"/>
          <w:numId w:val="56"/>
        </w:numPr>
        <w:tabs>
          <w:tab w:val="left" w:pos="1261"/>
        </w:tabs>
        <w:autoSpaceDE w:val="0"/>
        <w:autoSpaceDN w:val="0"/>
        <w:spacing w:line="270" w:lineRule="exact"/>
        <w:ind w:left="1261" w:hanging="521"/>
        <w:rPr>
          <w:rFonts w:ascii="宋体" w:hAnsi="宋体" w:eastAsia="宋体" w:cs="宋体"/>
          <w:szCs w:val="22"/>
        </w:rPr>
      </w:pPr>
      <w:r>
        <w:rPr>
          <w:rFonts w:ascii="宋体" w:hAnsi="宋体" w:eastAsia="宋体" w:cs="宋体"/>
          <w:spacing w:val="-3"/>
          <w:szCs w:val="22"/>
        </w:rPr>
        <w:t>工程建筑物周边及其附近道路、河道的施工堆积物，已按监理人指示全部清理；</w:t>
      </w:r>
    </w:p>
    <w:p w14:paraId="548EBEB5">
      <w:pPr>
        <w:numPr>
          <w:ilvl w:val="0"/>
          <w:numId w:val="56"/>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监理人指示的其它场地清理工作已全部完成。</w:t>
      </w:r>
    </w:p>
    <w:p w14:paraId="48C208FF">
      <w:pPr>
        <w:numPr>
          <w:ilvl w:val="2"/>
          <w:numId w:val="54"/>
        </w:numPr>
        <w:tabs>
          <w:tab w:val="left" w:pos="1687"/>
        </w:tabs>
        <w:autoSpaceDE w:val="0"/>
        <w:autoSpaceDN w:val="0"/>
        <w:spacing w:before="128" w:line="350" w:lineRule="auto"/>
        <w:ind w:left="426" w:right="567" w:firstLine="420"/>
        <w:rPr>
          <w:rFonts w:ascii="宋体" w:hAnsi="宋体" w:eastAsia="宋体" w:cs="宋体"/>
          <w:szCs w:val="22"/>
        </w:rPr>
      </w:pPr>
      <w:r>
        <w:rPr>
          <w:rFonts w:ascii="宋体" w:hAnsi="宋体" w:eastAsia="宋体" w:cs="宋体"/>
          <w:spacing w:val="-2"/>
          <w:szCs w:val="22"/>
        </w:rPr>
        <w:t>承包人未按监理人的要求恢复临时占地，或者场地清理未达到合同约定的，发包人有权委托其他人恢复或清理，所发生的金额从拟支付给承包人的款项中扣除。</w:t>
      </w:r>
    </w:p>
    <w:p w14:paraId="58F47B5D">
      <w:pPr>
        <w:numPr>
          <w:ilvl w:val="1"/>
          <w:numId w:val="54"/>
        </w:numPr>
        <w:tabs>
          <w:tab w:val="left" w:pos="1054"/>
        </w:tabs>
        <w:autoSpaceDE w:val="0"/>
        <w:autoSpaceDN w:val="0"/>
        <w:spacing w:before="2"/>
        <w:ind w:left="1054" w:hanging="628"/>
        <w:jc w:val="left"/>
        <w:rPr>
          <w:rFonts w:ascii="宋体" w:hAnsi="宋体" w:eastAsia="宋体" w:cs="宋体"/>
          <w:szCs w:val="22"/>
        </w:rPr>
      </w:pPr>
      <w:r>
        <w:rPr>
          <w:rFonts w:ascii="宋体" w:hAnsi="宋体" w:eastAsia="宋体" w:cs="宋体"/>
          <w:spacing w:val="-4"/>
          <w:szCs w:val="22"/>
        </w:rPr>
        <w:t>施工队伍的撤离</w:t>
      </w:r>
    </w:p>
    <w:p w14:paraId="31EDCA05">
      <w:pPr>
        <w:autoSpaceDE w:val="0"/>
        <w:autoSpaceDN w:val="0"/>
        <w:spacing w:before="128" w:line="350" w:lineRule="auto"/>
        <w:ind w:left="426" w:right="463" w:firstLine="420"/>
        <w:jc w:val="left"/>
        <w:rPr>
          <w:rFonts w:ascii="宋体" w:hAnsi="宋体" w:eastAsia="宋体" w:cs="宋体"/>
          <w:szCs w:val="21"/>
        </w:rPr>
      </w:pPr>
      <w:r>
        <w:rPr>
          <w:rFonts w:ascii="宋体" w:hAnsi="宋体" w:eastAsia="宋体" w:cs="宋体"/>
          <w:spacing w:val="-2"/>
          <w:szCs w:val="22"/>
        </w:rPr>
        <w:t>工程接收证书颁发后的 56 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r>
        <w:rPr>
          <w:rFonts w:ascii="宋体" w:hAnsi="宋体" w:eastAsia="宋体" w:cs="宋体"/>
          <w:spacing w:val="-1"/>
          <w:w w:val="99"/>
          <w:szCs w:val="21"/>
        </w:rPr>
        <w:t>。</w:t>
      </w:r>
    </w:p>
    <w:p w14:paraId="61ABF6CD">
      <w:pPr>
        <w:numPr>
          <w:ilvl w:val="1"/>
          <w:numId w:val="54"/>
        </w:numPr>
        <w:tabs>
          <w:tab w:val="left" w:pos="1054"/>
        </w:tabs>
        <w:autoSpaceDE w:val="0"/>
        <w:autoSpaceDN w:val="0"/>
        <w:spacing w:before="4"/>
        <w:ind w:left="1054" w:hanging="628"/>
        <w:jc w:val="left"/>
        <w:rPr>
          <w:rFonts w:ascii="宋体" w:hAnsi="宋体" w:eastAsia="宋体" w:cs="宋体"/>
          <w:szCs w:val="22"/>
        </w:rPr>
      </w:pPr>
      <w:r>
        <w:rPr>
          <w:rFonts w:ascii="宋体" w:hAnsi="宋体" w:eastAsia="宋体" w:cs="宋体"/>
          <w:spacing w:val="-2"/>
          <w:szCs w:val="22"/>
        </w:rPr>
        <w:t>交（竣）</w:t>
      </w:r>
      <w:r>
        <w:rPr>
          <w:rFonts w:ascii="宋体" w:hAnsi="宋体" w:eastAsia="宋体" w:cs="宋体"/>
          <w:spacing w:val="-6"/>
          <w:szCs w:val="22"/>
        </w:rPr>
        <w:t>工文件</w:t>
      </w:r>
    </w:p>
    <w:p w14:paraId="2993B5D7">
      <w:pPr>
        <w:autoSpaceDE w:val="0"/>
        <w:autoSpaceDN w:val="0"/>
        <w:spacing w:before="125" w:line="352" w:lineRule="auto"/>
        <w:ind w:left="426" w:right="567" w:firstLine="420"/>
        <w:rPr>
          <w:rFonts w:ascii="宋体" w:hAnsi="宋体" w:eastAsia="宋体" w:cs="宋体"/>
          <w:szCs w:val="21"/>
        </w:rPr>
      </w:pPr>
      <w:r>
        <w:rPr>
          <w:rFonts w:ascii="宋体" w:hAnsi="宋体" w:eastAsia="宋体" w:cs="宋体"/>
          <w:spacing w:val="-2"/>
          <w:szCs w:val="21"/>
        </w:rPr>
        <w:t>承包人应在交（竣）工验收阶段按招标文件及相关规定，将养护原始记录、文件资料、图表记录等按发包人及行业规定进行编制并提交发包人审核。编制的档案、图表、资料所需的费用由承包</w:t>
      </w:r>
      <w:r>
        <w:rPr>
          <w:rFonts w:ascii="宋体" w:hAnsi="宋体" w:eastAsia="宋体" w:cs="宋体"/>
          <w:spacing w:val="-4"/>
          <w:szCs w:val="21"/>
        </w:rPr>
        <w:t>人承担。</w:t>
      </w:r>
    </w:p>
    <w:p w14:paraId="69CCF429">
      <w:pPr>
        <w:numPr>
          <w:ilvl w:val="1"/>
          <w:numId w:val="54"/>
        </w:numPr>
        <w:tabs>
          <w:tab w:val="left" w:pos="1158"/>
        </w:tabs>
        <w:autoSpaceDE w:val="0"/>
        <w:autoSpaceDN w:val="0"/>
        <w:spacing w:line="269" w:lineRule="exact"/>
        <w:ind w:left="1158" w:hanging="732"/>
        <w:jc w:val="both"/>
        <w:rPr>
          <w:rFonts w:ascii="宋体" w:hAnsi="宋体" w:eastAsia="宋体" w:cs="宋体"/>
          <w:szCs w:val="22"/>
        </w:rPr>
      </w:pPr>
      <w:r>
        <w:rPr>
          <w:rFonts w:ascii="宋体" w:hAnsi="宋体" w:eastAsia="宋体" w:cs="宋体"/>
          <w:spacing w:val="-4"/>
          <w:szCs w:val="22"/>
        </w:rPr>
        <w:t>工程档案管理</w:t>
      </w:r>
    </w:p>
    <w:p w14:paraId="2EB6A63F">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必须确保工程施工原始资料与工程进度同步完成，并由专人负责档案管理工作，同时按照《中华人民共和国档案法》、交通运输部《关于印发公路建设项目文件材料立卷归档管理办法的通知》、《浙江省公路工程竣工文件编制办法》等有关规定做好工程档案资料的编制。承包人在工程施工结束并在发包人要求的规定时间内，移交所有工程档案资料、工程结算报告给发包人。</w:t>
      </w:r>
      <w:r>
        <w:rPr>
          <w:rFonts w:ascii="宋体" w:hAnsi="宋体" w:eastAsia="宋体" w:cs="宋体"/>
          <w:spacing w:val="80"/>
          <w:szCs w:val="21"/>
        </w:rPr>
        <w:t xml:space="preserve"> </w:t>
      </w:r>
      <w:r>
        <w:rPr>
          <w:rFonts w:ascii="宋体" w:hAnsi="宋体" w:eastAsia="宋体" w:cs="宋体"/>
          <w:spacing w:val="-2"/>
          <w:szCs w:val="21"/>
        </w:rPr>
        <w:t>19．缺陷责任与保修责任</w:t>
      </w:r>
    </w:p>
    <w:p w14:paraId="5391FAAF">
      <w:pPr>
        <w:numPr>
          <w:ilvl w:val="1"/>
          <w:numId w:val="57"/>
        </w:numPr>
        <w:tabs>
          <w:tab w:val="left" w:pos="1054"/>
        </w:tabs>
        <w:autoSpaceDE w:val="0"/>
        <w:autoSpaceDN w:val="0"/>
        <w:spacing w:line="266" w:lineRule="exact"/>
        <w:ind w:left="1054" w:hanging="628"/>
        <w:rPr>
          <w:rFonts w:ascii="宋体" w:hAnsi="宋体" w:eastAsia="宋体" w:cs="宋体"/>
          <w:szCs w:val="22"/>
        </w:rPr>
      </w:pPr>
      <w:r>
        <w:rPr>
          <w:rFonts w:ascii="宋体" w:hAnsi="宋体" w:eastAsia="宋体" w:cs="宋体"/>
          <w:spacing w:val="-3"/>
          <w:szCs w:val="22"/>
        </w:rPr>
        <w:t>缺陷责任期的起算时间</w:t>
      </w:r>
    </w:p>
    <w:p w14:paraId="3DC2F6DE">
      <w:pPr>
        <w:autoSpaceDE w:val="0"/>
        <w:autoSpaceDN w:val="0"/>
        <w:spacing w:before="128" w:line="352" w:lineRule="auto"/>
        <w:ind w:left="426" w:right="463" w:firstLine="420"/>
        <w:jc w:val="left"/>
        <w:rPr>
          <w:rFonts w:ascii="宋体" w:hAnsi="宋体" w:eastAsia="宋体" w:cs="宋体"/>
          <w:szCs w:val="21"/>
        </w:rPr>
      </w:pPr>
      <w:r>
        <w:rPr>
          <w:rFonts w:ascii="宋体" w:hAnsi="宋体" w:eastAsia="宋体" w:cs="宋体"/>
          <w:spacing w:val="-2"/>
          <w:szCs w:val="21"/>
        </w:rPr>
        <w:t>缺陷责任期自实际交工日期起计算。在全部工程交工验收前，已经发包人提前验收的单位工程，其缺陷责任期的起算日期相应提前。</w:t>
      </w:r>
    </w:p>
    <w:p w14:paraId="05FA9FBE">
      <w:pPr>
        <w:autoSpaceDE w:val="0"/>
        <w:autoSpaceDN w:val="0"/>
        <w:spacing w:line="270" w:lineRule="exact"/>
        <w:ind w:left="846"/>
        <w:jc w:val="left"/>
        <w:rPr>
          <w:rFonts w:ascii="宋体" w:hAnsi="宋体" w:eastAsia="宋体" w:cs="宋体"/>
          <w:szCs w:val="21"/>
        </w:rPr>
      </w:pPr>
      <w:r>
        <w:rPr>
          <w:rFonts w:ascii="宋体" w:hAnsi="宋体" w:eastAsia="宋体" w:cs="宋体"/>
          <w:spacing w:val="-3"/>
          <w:szCs w:val="21"/>
        </w:rPr>
        <w:t>缺陷责任期由发包方与承包方合同约定。</w:t>
      </w:r>
    </w:p>
    <w:p w14:paraId="50B05FFB">
      <w:pPr>
        <w:numPr>
          <w:ilvl w:val="1"/>
          <w:numId w:val="57"/>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7"/>
          <w:szCs w:val="22"/>
        </w:rPr>
        <w:t>缺陷责任</w:t>
      </w:r>
    </w:p>
    <w:p w14:paraId="2AA62D91">
      <w:pPr>
        <w:numPr>
          <w:ilvl w:val="2"/>
          <w:numId w:val="57"/>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3"/>
          <w:szCs w:val="22"/>
        </w:rPr>
        <w:t>承包人应在缺陷责任期内对已交付使用的工程承担缺陷责任。</w:t>
      </w:r>
    </w:p>
    <w:p w14:paraId="50148AA4">
      <w:pPr>
        <w:numPr>
          <w:ilvl w:val="2"/>
          <w:numId w:val="57"/>
        </w:numPr>
        <w:tabs>
          <w:tab w:val="left" w:pos="1684"/>
        </w:tabs>
        <w:autoSpaceDE w:val="0"/>
        <w:autoSpaceDN w:val="0"/>
        <w:spacing w:before="126" w:line="352" w:lineRule="auto"/>
        <w:ind w:left="426" w:right="463" w:firstLine="420"/>
        <w:rPr>
          <w:rFonts w:ascii="宋体" w:hAnsi="宋体" w:eastAsia="宋体" w:cs="宋体"/>
          <w:szCs w:val="22"/>
        </w:rPr>
      </w:pPr>
      <w:r>
        <w:rPr>
          <w:rFonts w:ascii="宋体" w:hAnsi="宋体" w:eastAsia="宋体" w:cs="宋体"/>
          <w:spacing w:val="-3"/>
          <w:szCs w:val="22"/>
        </w:rPr>
        <w:t>缺陷责任期内，发包人对已接收使用的工程负责日常维护工作。发包人在使用过程中，发现已接收的工程存在新的缺陷或已修复的缺陷部位或部件又遭损坏的，承包人应负责修复，直至检验合格为止</w:t>
      </w:r>
      <w:r>
        <w:rPr>
          <w:rFonts w:ascii="宋体" w:hAnsi="宋体" w:eastAsia="宋体" w:cs="宋体"/>
          <w:spacing w:val="-1"/>
          <w:w w:val="99"/>
          <w:szCs w:val="22"/>
        </w:rPr>
        <w:t>。</w:t>
      </w:r>
    </w:p>
    <w:p w14:paraId="38F66DB2">
      <w:pPr>
        <w:spacing w:line="352" w:lineRule="auto"/>
        <w:jc w:val="left"/>
        <w:sectPr>
          <w:pgSz w:w="11910" w:h="16840"/>
          <w:pgMar w:top="1640" w:right="849" w:bottom="1360" w:left="992" w:header="0" w:footer="1176" w:gutter="0"/>
          <w:cols w:space="720" w:num="1"/>
        </w:sectPr>
      </w:pPr>
    </w:p>
    <w:p w14:paraId="77DDC547">
      <w:pPr>
        <w:autoSpaceDE w:val="0"/>
        <w:autoSpaceDN w:val="0"/>
        <w:spacing w:before="37" w:line="350" w:lineRule="auto"/>
        <w:ind w:left="426" w:right="567" w:firstLine="420"/>
        <w:jc w:val="left"/>
        <w:rPr>
          <w:rFonts w:ascii="宋体" w:hAnsi="宋体" w:eastAsia="宋体" w:cs="宋体"/>
          <w:szCs w:val="21"/>
        </w:rPr>
      </w:pPr>
      <w:r>
        <w:rPr>
          <w:rFonts w:ascii="宋体" w:hAnsi="宋体" w:eastAsia="宋体" w:cs="宋体"/>
          <w:spacing w:val="-2"/>
          <w:szCs w:val="21"/>
        </w:rPr>
        <w:t>在缺陷责任期内，承包人应尽快完成在交工验收证书中写明的未完成工作，并完成对本工程缺陷的修复或监理人指令的修补工作。</w:t>
      </w:r>
    </w:p>
    <w:p w14:paraId="260EA4DE">
      <w:pPr>
        <w:numPr>
          <w:ilvl w:val="2"/>
          <w:numId w:val="57"/>
        </w:numPr>
        <w:tabs>
          <w:tab w:val="left" w:pos="1687"/>
        </w:tabs>
        <w:autoSpaceDE w:val="0"/>
        <w:autoSpaceDN w:val="0"/>
        <w:spacing w:before="2" w:line="350" w:lineRule="auto"/>
        <w:ind w:left="426" w:right="463" w:firstLine="420"/>
        <w:rPr>
          <w:rFonts w:ascii="宋体" w:hAnsi="宋体" w:eastAsia="宋体" w:cs="宋体"/>
          <w:szCs w:val="22"/>
        </w:rPr>
      </w:pPr>
      <w:r>
        <w:rPr>
          <w:rFonts w:ascii="宋体" w:hAnsi="宋体" w:eastAsia="宋体" w:cs="宋体"/>
          <w:spacing w:val="-2"/>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r>
        <w:rPr>
          <w:rFonts w:ascii="宋体" w:hAnsi="宋体" w:eastAsia="宋体" w:cs="宋体"/>
          <w:spacing w:val="-1"/>
          <w:w w:val="99"/>
          <w:szCs w:val="22"/>
        </w:rPr>
        <w:t>。</w:t>
      </w:r>
    </w:p>
    <w:p w14:paraId="211D7D14">
      <w:pPr>
        <w:numPr>
          <w:ilvl w:val="2"/>
          <w:numId w:val="57"/>
        </w:numPr>
        <w:tabs>
          <w:tab w:val="left" w:pos="1687"/>
        </w:tabs>
        <w:autoSpaceDE w:val="0"/>
        <w:autoSpaceDN w:val="0"/>
        <w:spacing w:before="4"/>
        <w:ind w:left="1687" w:hanging="841"/>
        <w:rPr>
          <w:rFonts w:ascii="宋体" w:hAnsi="宋体" w:eastAsia="宋体" w:cs="宋体"/>
          <w:szCs w:val="22"/>
        </w:rPr>
      </w:pPr>
      <w:r>
        <w:rPr>
          <w:rFonts w:ascii="宋体" w:hAnsi="宋体" w:eastAsia="宋体" w:cs="宋体"/>
          <w:spacing w:val="-3"/>
          <w:szCs w:val="22"/>
        </w:rPr>
        <w:t>承包人不能在合理时间内修复缺陷的，发包人可自行修复或委托其他人修复，所需费</w:t>
      </w:r>
    </w:p>
    <w:p w14:paraId="2A667336">
      <w:pPr>
        <w:autoSpaceDE w:val="0"/>
        <w:autoSpaceDN w:val="0"/>
        <w:spacing w:before="128"/>
        <w:ind w:left="426"/>
        <w:jc w:val="left"/>
        <w:rPr>
          <w:rFonts w:ascii="宋体" w:hAnsi="宋体" w:eastAsia="宋体" w:cs="宋体"/>
          <w:szCs w:val="21"/>
        </w:rPr>
      </w:pPr>
      <w:r>
        <w:rPr>
          <w:rFonts w:ascii="宋体" w:hAnsi="宋体" w:eastAsia="宋体" w:cs="宋体"/>
          <w:spacing w:val="-2"/>
          <w:szCs w:val="21"/>
        </w:rPr>
        <w:t xml:space="preserve">用和利润的承担，按第 </w:t>
      </w:r>
      <w:r>
        <w:rPr>
          <w:rFonts w:ascii="宋体" w:hAnsi="宋体" w:eastAsia="宋体" w:cs="宋体"/>
          <w:szCs w:val="21"/>
        </w:rPr>
        <w:t>19.2.3</w:t>
      </w:r>
      <w:r>
        <w:rPr>
          <w:rFonts w:ascii="宋体" w:hAnsi="宋体" w:eastAsia="宋体" w:cs="宋体"/>
          <w:spacing w:val="-5"/>
          <w:szCs w:val="21"/>
        </w:rPr>
        <w:t xml:space="preserve"> 项约定办理。</w:t>
      </w:r>
    </w:p>
    <w:p w14:paraId="14E270CA">
      <w:pPr>
        <w:numPr>
          <w:ilvl w:val="1"/>
          <w:numId w:val="57"/>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4"/>
          <w:szCs w:val="22"/>
        </w:rPr>
        <w:t>缺陷责任期的延长</w:t>
      </w:r>
    </w:p>
    <w:p w14:paraId="567EBD5F">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由于承包人原因造成某项缺陷或损坏使某项工程或工程设备不能按原定目标使用而需要再次检</w:t>
      </w:r>
      <w:r>
        <w:rPr>
          <w:rFonts w:ascii="宋体" w:hAnsi="宋体" w:eastAsia="宋体" w:cs="宋体"/>
          <w:szCs w:val="21"/>
        </w:rPr>
        <w:t>查、检验和修复的，发包人有权要求承包人相应延长缺陷责任期，但缺陷责任期最长不超过 12 个</w:t>
      </w:r>
      <w:r>
        <w:rPr>
          <w:rFonts w:ascii="宋体" w:hAnsi="宋体" w:eastAsia="宋体" w:cs="宋体"/>
          <w:spacing w:val="-6"/>
          <w:szCs w:val="21"/>
        </w:rPr>
        <w:t>月。</w:t>
      </w:r>
    </w:p>
    <w:p w14:paraId="199F89F6">
      <w:pPr>
        <w:numPr>
          <w:ilvl w:val="1"/>
          <w:numId w:val="57"/>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3"/>
          <w:szCs w:val="22"/>
        </w:rPr>
        <w:t>进一步试验和试运行</w:t>
      </w:r>
    </w:p>
    <w:p w14:paraId="2A26A8B0">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任何一项缺陷或损坏修复后，经检查证明其影响了工程或工程设备的使用性能，承包人应重新进行合同约定的试验和试运行，试验和试运行的全部费用应由责任方承担。</w:t>
      </w:r>
    </w:p>
    <w:p w14:paraId="1FE00394">
      <w:pPr>
        <w:numPr>
          <w:ilvl w:val="1"/>
          <w:numId w:val="57"/>
        </w:numPr>
        <w:tabs>
          <w:tab w:val="left" w:pos="1054"/>
        </w:tabs>
        <w:autoSpaceDE w:val="0"/>
        <w:autoSpaceDN w:val="0"/>
        <w:spacing w:before="2"/>
        <w:ind w:left="1054" w:hanging="628"/>
        <w:rPr>
          <w:rFonts w:ascii="宋体" w:hAnsi="宋体" w:eastAsia="宋体" w:cs="宋体"/>
          <w:szCs w:val="22"/>
        </w:rPr>
      </w:pPr>
      <w:r>
        <w:rPr>
          <w:rFonts w:ascii="宋体" w:hAnsi="宋体" w:eastAsia="宋体" w:cs="宋体"/>
          <w:spacing w:val="-4"/>
          <w:szCs w:val="22"/>
        </w:rPr>
        <w:t>承包人的进入权</w:t>
      </w:r>
    </w:p>
    <w:p w14:paraId="00422541">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缺陷责任期内承包人为缺陷修复工作需要，有权进入工程现场，但应遵守发包人的保安和保密</w:t>
      </w:r>
      <w:r>
        <w:rPr>
          <w:rFonts w:ascii="宋体" w:hAnsi="宋体" w:eastAsia="宋体" w:cs="宋体"/>
          <w:spacing w:val="-4"/>
          <w:szCs w:val="21"/>
        </w:rPr>
        <w:t>规定。</w:t>
      </w:r>
    </w:p>
    <w:p w14:paraId="7BECE3D1">
      <w:pPr>
        <w:autoSpaceDE w:val="0"/>
        <w:autoSpaceDN w:val="0"/>
        <w:spacing w:before="2" w:line="352" w:lineRule="auto"/>
        <w:ind w:left="426" w:right="567" w:firstLine="420"/>
        <w:jc w:val="left"/>
        <w:rPr>
          <w:rFonts w:ascii="宋体" w:hAnsi="宋体" w:eastAsia="宋体" w:cs="宋体"/>
          <w:szCs w:val="21"/>
        </w:rPr>
      </w:pPr>
      <w:r>
        <w:rPr>
          <w:rFonts w:ascii="宋体" w:hAnsi="宋体" w:eastAsia="宋体" w:cs="宋体"/>
          <w:spacing w:val="-2"/>
          <w:szCs w:val="21"/>
        </w:rPr>
        <w:t>承包人在缺陷修复施工过程中，应服从管养单位的有关安全管理规定，由于承包人自身原因造成的人员伤亡、设备和材料的损毁及罚款等责任由承包人自负。</w:t>
      </w:r>
    </w:p>
    <w:p w14:paraId="0330F7F9">
      <w:pPr>
        <w:numPr>
          <w:ilvl w:val="1"/>
          <w:numId w:val="57"/>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3"/>
          <w:szCs w:val="22"/>
        </w:rPr>
        <w:t>缺陷责任期终止证书</w:t>
      </w:r>
    </w:p>
    <w:p w14:paraId="345353E9">
      <w:pPr>
        <w:autoSpaceDE w:val="0"/>
        <w:autoSpaceDN w:val="0"/>
        <w:spacing w:before="128" w:line="352" w:lineRule="auto"/>
        <w:ind w:left="426" w:right="569" w:firstLine="420"/>
        <w:jc w:val="left"/>
        <w:rPr>
          <w:rFonts w:ascii="宋体" w:hAnsi="宋体" w:eastAsia="宋体" w:cs="宋体"/>
          <w:szCs w:val="21"/>
        </w:rPr>
      </w:pPr>
      <w:r>
        <w:rPr>
          <w:rFonts w:ascii="宋体" w:hAnsi="宋体" w:eastAsia="宋体" w:cs="宋体"/>
          <w:spacing w:val="-3"/>
          <w:szCs w:val="21"/>
        </w:rPr>
        <w:t xml:space="preserve">在第 </w:t>
      </w:r>
      <w:r>
        <w:fldChar w:fldCharType="begin"/>
      </w:r>
      <w:r>
        <w:instrText xml:space="preserve"> HYPERLINK "1.1.4.5" \h </w:instrText>
      </w:r>
      <w:r>
        <w:fldChar w:fldCharType="separate"/>
      </w:r>
      <w:r>
        <w:rPr>
          <w:rFonts w:ascii="宋体" w:hAnsi="宋体" w:eastAsia="宋体" w:cs="宋体"/>
          <w:spacing w:val="-2"/>
          <w:szCs w:val="21"/>
        </w:rPr>
        <w:t>1.1.4.5</w:t>
      </w:r>
      <w:r>
        <w:rPr>
          <w:rFonts w:ascii="宋体" w:hAnsi="宋体" w:eastAsia="宋体" w:cs="宋体"/>
          <w:spacing w:val="-2"/>
          <w:szCs w:val="21"/>
        </w:rPr>
        <w:fldChar w:fldCharType="end"/>
      </w:r>
      <w:r>
        <w:rPr>
          <w:rFonts w:ascii="宋体" w:hAnsi="宋体" w:eastAsia="宋体" w:cs="宋体"/>
          <w:spacing w:val="-4"/>
          <w:szCs w:val="21"/>
        </w:rPr>
        <w:t xml:space="preserve"> 目约定的缺陷责任期，包括根据第</w:t>
      </w:r>
      <w:r>
        <w:rPr>
          <w:rFonts w:ascii="宋体" w:hAnsi="宋体" w:eastAsia="宋体" w:cs="宋体"/>
          <w:spacing w:val="-2"/>
          <w:szCs w:val="21"/>
        </w:rPr>
        <w:t>19.3款延长的期限终止后14天内，由监理人向承包人出具经发包人签认的缺陷责任期终止证书，并退还剩余的质量保证金。</w:t>
      </w:r>
    </w:p>
    <w:p w14:paraId="08EB55A0">
      <w:pPr>
        <w:numPr>
          <w:ilvl w:val="1"/>
          <w:numId w:val="57"/>
        </w:numPr>
        <w:tabs>
          <w:tab w:val="left" w:pos="1054"/>
        </w:tabs>
        <w:autoSpaceDE w:val="0"/>
        <w:autoSpaceDN w:val="0"/>
        <w:spacing w:line="270" w:lineRule="exact"/>
        <w:ind w:left="1054" w:hanging="628"/>
        <w:rPr>
          <w:rFonts w:ascii="宋体" w:hAnsi="宋体" w:eastAsia="宋体" w:cs="宋体"/>
          <w:szCs w:val="22"/>
        </w:rPr>
      </w:pPr>
      <w:r>
        <w:rPr>
          <w:rFonts w:ascii="宋体" w:hAnsi="宋体" w:eastAsia="宋体" w:cs="宋体"/>
          <w:spacing w:val="-7"/>
          <w:szCs w:val="22"/>
        </w:rPr>
        <w:t>保修责任</w:t>
      </w:r>
    </w:p>
    <w:p w14:paraId="19438DEA">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AA2E40E">
      <w:pPr>
        <w:numPr>
          <w:ilvl w:val="0"/>
          <w:numId w:val="58"/>
        </w:numPr>
        <w:tabs>
          <w:tab w:val="left" w:pos="842"/>
        </w:tabs>
        <w:autoSpaceDE w:val="0"/>
        <w:autoSpaceDN w:val="0"/>
        <w:spacing w:before="4"/>
        <w:ind w:left="842" w:hanging="416"/>
        <w:rPr>
          <w:rFonts w:ascii="宋体" w:hAnsi="宋体" w:eastAsia="宋体" w:cs="宋体"/>
          <w:szCs w:val="22"/>
        </w:rPr>
      </w:pPr>
      <w:r>
        <w:rPr>
          <w:rFonts w:ascii="宋体" w:hAnsi="宋体" w:eastAsia="宋体" w:cs="宋体"/>
          <w:spacing w:val="-6"/>
          <w:szCs w:val="22"/>
        </w:rPr>
        <w:t>保险</w:t>
      </w:r>
    </w:p>
    <w:p w14:paraId="07233538">
      <w:pPr>
        <w:numPr>
          <w:ilvl w:val="1"/>
          <w:numId w:val="58"/>
        </w:numPr>
        <w:tabs>
          <w:tab w:val="left" w:pos="1054"/>
        </w:tabs>
        <w:autoSpaceDE w:val="0"/>
        <w:autoSpaceDN w:val="0"/>
        <w:spacing w:before="128"/>
        <w:ind w:left="1054" w:hanging="628"/>
        <w:rPr>
          <w:rFonts w:ascii="宋体" w:hAnsi="宋体" w:eastAsia="宋体" w:cs="宋体"/>
          <w:szCs w:val="22"/>
        </w:rPr>
      </w:pPr>
      <w:r>
        <w:rPr>
          <w:rFonts w:ascii="宋体" w:hAnsi="宋体" w:eastAsia="宋体" w:cs="宋体"/>
          <w:spacing w:val="-7"/>
          <w:szCs w:val="22"/>
        </w:rPr>
        <w:t>工程保险</w:t>
      </w:r>
    </w:p>
    <w:p w14:paraId="37AB7E80">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除专用合同条款另有约定外，承包人应以发包人和承包人的共同名义向双方同意的保险人投保建筑工程一切险。</w:t>
      </w:r>
    </w:p>
    <w:p w14:paraId="32EC78F7">
      <w:pPr>
        <w:autoSpaceDE w:val="0"/>
        <w:autoSpaceDN w:val="0"/>
        <w:spacing w:line="350" w:lineRule="auto"/>
        <w:ind w:left="426" w:right="567" w:firstLine="420"/>
        <w:jc w:val="left"/>
        <w:rPr>
          <w:rFonts w:ascii="宋体" w:hAnsi="宋体" w:eastAsia="宋体" w:cs="宋体"/>
          <w:szCs w:val="21"/>
        </w:rPr>
      </w:pPr>
      <w:r>
        <w:rPr>
          <w:rFonts w:ascii="宋体" w:hAnsi="宋体" w:eastAsia="宋体" w:cs="宋体"/>
          <w:spacing w:val="-2"/>
          <w:szCs w:val="21"/>
        </w:rPr>
        <w:t>建筑工程一切险的投保内容：为本合同工程的养护工程、临时工程和设备及已运至施工工地用于养护工程的材料和设备所投的保险。</w:t>
      </w:r>
    </w:p>
    <w:p w14:paraId="18693DFB">
      <w:pPr>
        <w:autoSpaceDE w:val="0"/>
        <w:autoSpaceDN w:val="0"/>
        <w:spacing w:before="1" w:line="352" w:lineRule="auto"/>
        <w:ind w:left="426" w:right="569" w:firstLine="420"/>
        <w:jc w:val="left"/>
        <w:rPr>
          <w:rFonts w:ascii="宋体" w:hAnsi="宋体" w:eastAsia="宋体" w:cs="宋体"/>
          <w:szCs w:val="21"/>
        </w:rPr>
      </w:pPr>
      <w:r>
        <w:rPr>
          <w:rFonts w:ascii="宋体" w:hAnsi="宋体" w:eastAsia="宋体" w:cs="宋体"/>
          <w:szCs w:val="21"/>
        </w:rPr>
        <w:t>保险金额：工程量清单第 100</w:t>
      </w:r>
      <w:r>
        <w:rPr>
          <w:rFonts w:ascii="宋体" w:hAnsi="宋体" w:eastAsia="宋体" w:cs="宋体"/>
          <w:spacing w:val="-1"/>
          <w:szCs w:val="21"/>
        </w:rPr>
        <w:t xml:space="preserve"> 章</w:t>
      </w:r>
      <w:r>
        <w:rPr>
          <w:rFonts w:ascii="宋体" w:hAnsi="宋体" w:eastAsia="宋体" w:cs="宋体"/>
          <w:szCs w:val="21"/>
        </w:rPr>
        <w:t>（不含安全生产费、保险费）至第 700</w:t>
      </w:r>
      <w:r>
        <w:rPr>
          <w:rFonts w:ascii="宋体" w:hAnsi="宋体" w:eastAsia="宋体" w:cs="宋体"/>
          <w:spacing w:val="-1"/>
          <w:szCs w:val="21"/>
        </w:rPr>
        <w:t xml:space="preserve"> 章</w:t>
      </w:r>
      <w:r>
        <w:rPr>
          <w:rFonts w:ascii="宋体" w:hAnsi="宋体" w:eastAsia="宋体" w:cs="宋体"/>
          <w:szCs w:val="21"/>
        </w:rPr>
        <w:t>（或第 1000</w:t>
      </w:r>
      <w:r>
        <w:rPr>
          <w:rFonts w:ascii="宋体" w:hAnsi="宋体" w:eastAsia="宋体" w:cs="宋体"/>
          <w:spacing w:val="-1"/>
          <w:szCs w:val="21"/>
        </w:rPr>
        <w:t xml:space="preserve"> 章</w:t>
      </w:r>
      <w:r>
        <w:rPr>
          <w:rFonts w:ascii="宋体" w:hAnsi="宋体" w:eastAsia="宋体" w:cs="宋体"/>
          <w:szCs w:val="21"/>
        </w:rPr>
        <w:t>）</w:t>
      </w:r>
      <w:r>
        <w:rPr>
          <w:rFonts w:ascii="宋体" w:hAnsi="宋体" w:eastAsia="宋体" w:cs="宋体"/>
          <w:spacing w:val="-2"/>
          <w:szCs w:val="21"/>
        </w:rPr>
        <w:t>的合计金额；</w:t>
      </w:r>
    </w:p>
    <w:p w14:paraId="0AD90140">
      <w:pPr>
        <w:spacing w:line="352" w:lineRule="auto"/>
        <w:sectPr>
          <w:pgSz w:w="11910" w:h="16840"/>
          <w:pgMar w:top="1640" w:right="849" w:bottom="1360" w:left="992" w:header="0" w:footer="1176" w:gutter="0"/>
          <w:cols w:space="720" w:num="1"/>
        </w:sectPr>
      </w:pPr>
    </w:p>
    <w:p w14:paraId="55841872">
      <w:pPr>
        <w:autoSpaceDE w:val="0"/>
        <w:autoSpaceDN w:val="0"/>
        <w:spacing w:before="37"/>
        <w:ind w:left="846"/>
        <w:jc w:val="left"/>
        <w:rPr>
          <w:rFonts w:ascii="宋体" w:hAnsi="宋体" w:eastAsia="宋体" w:cs="宋体"/>
          <w:szCs w:val="21"/>
        </w:rPr>
      </w:pPr>
      <w:r>
        <w:rPr>
          <w:rFonts w:ascii="宋体" w:hAnsi="宋体" w:eastAsia="宋体" w:cs="宋体"/>
          <w:spacing w:val="-3"/>
          <w:szCs w:val="21"/>
        </w:rPr>
        <w:t>保险费率：在专用合同条款数据表中约定。</w:t>
      </w:r>
    </w:p>
    <w:p w14:paraId="43301DE9">
      <w:pPr>
        <w:autoSpaceDE w:val="0"/>
        <w:autoSpaceDN w:val="0"/>
        <w:spacing w:before="125" w:line="352" w:lineRule="auto"/>
        <w:ind w:left="846" w:right="503"/>
        <w:jc w:val="left"/>
        <w:rPr>
          <w:rFonts w:ascii="宋体" w:hAnsi="宋体" w:eastAsia="宋体" w:cs="宋体"/>
          <w:szCs w:val="21"/>
        </w:rPr>
      </w:pPr>
      <w:r>
        <w:rPr>
          <w:rFonts w:ascii="宋体" w:hAnsi="宋体" w:eastAsia="宋体" w:cs="宋体"/>
          <w:spacing w:val="-2"/>
          <w:szCs w:val="21"/>
        </w:rPr>
        <w:t>保险期限：开工日起直至本合同工程签发缺陷责任期终止证书止（即合同工期+缺陷责任期）。建筑工程一切险的保险费由承包人报价时列入工程量清单 100</w:t>
      </w:r>
      <w:r>
        <w:rPr>
          <w:rFonts w:ascii="宋体" w:hAnsi="宋体" w:eastAsia="宋体" w:cs="宋体"/>
          <w:spacing w:val="-3"/>
          <w:szCs w:val="21"/>
        </w:rPr>
        <w:t xml:space="preserve"> 章内。发包人在接到保险单后，</w:t>
      </w:r>
    </w:p>
    <w:p w14:paraId="37A84E33">
      <w:pPr>
        <w:autoSpaceDE w:val="0"/>
        <w:autoSpaceDN w:val="0"/>
        <w:spacing w:line="272" w:lineRule="exact"/>
        <w:ind w:left="426"/>
        <w:jc w:val="left"/>
        <w:rPr>
          <w:rFonts w:ascii="宋体" w:hAnsi="宋体" w:eastAsia="宋体" w:cs="宋体"/>
          <w:szCs w:val="21"/>
        </w:rPr>
      </w:pPr>
      <w:r>
        <w:rPr>
          <w:rFonts w:ascii="宋体" w:hAnsi="宋体" w:eastAsia="宋体" w:cs="宋体"/>
          <w:spacing w:val="-3"/>
          <w:szCs w:val="21"/>
        </w:rPr>
        <w:t>将保险单费用直接向承包人支付。</w:t>
      </w:r>
    </w:p>
    <w:p w14:paraId="1FCBC791">
      <w:pPr>
        <w:numPr>
          <w:ilvl w:val="1"/>
          <w:numId w:val="58"/>
        </w:numPr>
        <w:tabs>
          <w:tab w:val="left" w:pos="1054"/>
        </w:tabs>
        <w:autoSpaceDE w:val="0"/>
        <w:autoSpaceDN w:val="0"/>
        <w:spacing w:before="126"/>
        <w:ind w:left="1054" w:hanging="628"/>
        <w:rPr>
          <w:rFonts w:ascii="宋体" w:hAnsi="宋体" w:eastAsia="宋体" w:cs="宋体"/>
          <w:szCs w:val="22"/>
        </w:rPr>
      </w:pPr>
      <w:r>
        <w:rPr>
          <w:rFonts w:ascii="宋体" w:hAnsi="宋体" w:eastAsia="宋体" w:cs="宋体"/>
          <w:spacing w:val="-3"/>
          <w:szCs w:val="22"/>
        </w:rPr>
        <w:t>人员工伤事故的保险</w:t>
      </w:r>
    </w:p>
    <w:p w14:paraId="66A749B0">
      <w:pPr>
        <w:numPr>
          <w:ilvl w:val="2"/>
          <w:numId w:val="58"/>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3"/>
          <w:szCs w:val="22"/>
        </w:rPr>
        <w:t>承包人员工伤事故的保险</w:t>
      </w:r>
    </w:p>
    <w:p w14:paraId="4E7E294D">
      <w:pPr>
        <w:autoSpaceDE w:val="0"/>
        <w:autoSpaceDN w:val="0"/>
        <w:spacing w:before="128" w:line="350" w:lineRule="auto"/>
        <w:ind w:left="426" w:right="463" w:firstLine="420"/>
        <w:jc w:val="left"/>
        <w:rPr>
          <w:rFonts w:ascii="宋体" w:hAnsi="宋体" w:eastAsia="宋体" w:cs="宋体"/>
          <w:szCs w:val="21"/>
        </w:rPr>
      </w:pPr>
      <w:r>
        <w:rPr>
          <w:rFonts w:ascii="宋体" w:hAnsi="宋体" w:eastAsia="宋体" w:cs="宋体"/>
          <w:spacing w:val="-2"/>
          <w:szCs w:val="21"/>
        </w:rPr>
        <w:t>承包人应依照有关法律规定参加工伤保险，为其履行合同所雇佣的全部人员，缴纳工伤保险费，并要求其分包人及由承包人为履行合同聘请的第三方雇用的全部人员也进行此项保险。</w:t>
      </w:r>
    </w:p>
    <w:p w14:paraId="5844AA45">
      <w:pPr>
        <w:numPr>
          <w:ilvl w:val="2"/>
          <w:numId w:val="58"/>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3"/>
          <w:szCs w:val="22"/>
        </w:rPr>
        <w:t>发包人员工伤事故的保险</w:t>
      </w:r>
    </w:p>
    <w:p w14:paraId="4ABB93A3">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发包人应依照有关法律规定参加工伤保险，为其现场机构雇佣的全部人员，缴纳工伤保险费，并要求其监理人及由发包人为履行合同聘请的第三方在施工现场的雇用人员也进行此项保险。</w:t>
      </w:r>
    </w:p>
    <w:p w14:paraId="7DCE6CC7">
      <w:pPr>
        <w:numPr>
          <w:ilvl w:val="1"/>
          <w:numId w:val="58"/>
        </w:numPr>
        <w:tabs>
          <w:tab w:val="left" w:pos="1054"/>
        </w:tabs>
        <w:autoSpaceDE w:val="0"/>
        <w:autoSpaceDN w:val="0"/>
        <w:spacing w:before="2"/>
        <w:ind w:left="1054" w:hanging="628"/>
        <w:rPr>
          <w:rFonts w:ascii="宋体" w:hAnsi="宋体" w:eastAsia="宋体" w:cs="宋体"/>
          <w:szCs w:val="22"/>
        </w:rPr>
      </w:pPr>
      <w:r>
        <w:rPr>
          <w:rFonts w:ascii="宋体" w:hAnsi="宋体" w:eastAsia="宋体" w:cs="宋体"/>
          <w:spacing w:val="-4"/>
          <w:szCs w:val="22"/>
        </w:rPr>
        <w:t>人身意外伤害险</w:t>
      </w:r>
    </w:p>
    <w:p w14:paraId="7FC8218A">
      <w:pPr>
        <w:numPr>
          <w:ilvl w:val="2"/>
          <w:numId w:val="58"/>
        </w:numPr>
        <w:tabs>
          <w:tab w:val="left" w:pos="1687"/>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发包人应在整个施工期间为其现场机构雇用的全部人员，投保人身意外伤害险，缴纳保险费，并要求其监理人及由发包人为履行合同聘请的第三方在施工现场的雇用人员也进行此项保</w:t>
      </w:r>
      <w:r>
        <w:rPr>
          <w:rFonts w:ascii="宋体" w:hAnsi="宋体" w:eastAsia="宋体" w:cs="宋体"/>
          <w:spacing w:val="-6"/>
          <w:szCs w:val="22"/>
        </w:rPr>
        <w:t>险。</w:t>
      </w:r>
    </w:p>
    <w:p w14:paraId="2479B79A">
      <w:pPr>
        <w:numPr>
          <w:ilvl w:val="2"/>
          <w:numId w:val="58"/>
        </w:numPr>
        <w:tabs>
          <w:tab w:val="left" w:pos="1687"/>
        </w:tabs>
        <w:autoSpaceDE w:val="0"/>
        <w:autoSpaceDN w:val="0"/>
        <w:spacing w:before="4" w:line="350" w:lineRule="auto"/>
        <w:ind w:left="426" w:right="567" w:firstLine="420"/>
        <w:jc w:val="both"/>
        <w:rPr>
          <w:rFonts w:ascii="宋体" w:hAnsi="宋体" w:eastAsia="宋体" w:cs="宋体"/>
          <w:szCs w:val="22"/>
        </w:rPr>
      </w:pPr>
      <w:r>
        <w:rPr>
          <w:rFonts w:ascii="宋体" w:hAnsi="宋体" w:eastAsia="宋体" w:cs="宋体"/>
          <w:spacing w:val="-2"/>
          <w:szCs w:val="22"/>
        </w:rPr>
        <w:t>承包人应在整个施工期间为其现场机构雇用的全部人员，投保人身意外伤害险，缴纳保险费，并要求其分包人及由承包人为履行合同聘请的第三方雇用的全部人员也进行此项保险。</w:t>
      </w:r>
    </w:p>
    <w:p w14:paraId="0A68B7E5">
      <w:pPr>
        <w:autoSpaceDE w:val="0"/>
        <w:autoSpaceDN w:val="0"/>
        <w:spacing w:before="2" w:line="350" w:lineRule="auto"/>
        <w:ind w:left="426" w:right="503" w:firstLine="420"/>
        <w:rPr>
          <w:rFonts w:ascii="宋体" w:hAnsi="宋体" w:eastAsia="宋体" w:cs="宋体"/>
          <w:szCs w:val="21"/>
        </w:rPr>
      </w:pPr>
      <w:r>
        <w:rPr>
          <w:rFonts w:ascii="宋体" w:hAnsi="宋体" w:eastAsia="宋体" w:cs="宋体"/>
          <w:szCs w:val="21"/>
        </w:rPr>
        <w:t>承包人对其为本工程合同工作的人员进行人身意外伤害保险，投保金额可暂定为 30 万元，按</w:t>
      </w:r>
      <w:r>
        <w:rPr>
          <w:rFonts w:ascii="宋体" w:hAnsi="宋体" w:eastAsia="宋体" w:cs="宋体"/>
          <w:spacing w:val="-2"/>
          <w:szCs w:val="21"/>
        </w:rPr>
        <w:t>议定的保险费率办理。保险费由投标人报价时列入工程量清单第100章内。发包人在接到保险单后，将按照保险单的费用直接向承包人支付。</w:t>
      </w:r>
    </w:p>
    <w:p w14:paraId="226CD56F">
      <w:pPr>
        <w:numPr>
          <w:ilvl w:val="1"/>
          <w:numId w:val="58"/>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4"/>
          <w:szCs w:val="22"/>
        </w:rPr>
        <w:t>第三者责任险</w:t>
      </w:r>
    </w:p>
    <w:p w14:paraId="7DEFEB50">
      <w:pPr>
        <w:numPr>
          <w:ilvl w:val="2"/>
          <w:numId w:val="58"/>
        </w:numPr>
        <w:tabs>
          <w:tab w:val="left" w:pos="1687"/>
        </w:tabs>
        <w:autoSpaceDE w:val="0"/>
        <w:autoSpaceDN w:val="0"/>
        <w:spacing w:before="128" w:line="350" w:lineRule="auto"/>
        <w:ind w:left="426" w:right="567" w:firstLine="420"/>
        <w:jc w:val="both"/>
        <w:rPr>
          <w:rFonts w:ascii="宋体" w:hAnsi="宋体" w:eastAsia="宋体" w:cs="宋体"/>
          <w:szCs w:val="22"/>
        </w:rPr>
      </w:pPr>
      <w:r>
        <w:rPr>
          <w:rFonts w:ascii="宋体" w:hAnsi="宋体" w:eastAsia="宋体" w:cs="宋体"/>
          <w:spacing w:val="-2"/>
          <w:szCs w:val="22"/>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它费用等赔偿责任。</w:t>
      </w:r>
    </w:p>
    <w:p w14:paraId="0108A869">
      <w:pPr>
        <w:numPr>
          <w:ilvl w:val="2"/>
          <w:numId w:val="58"/>
        </w:numPr>
        <w:tabs>
          <w:tab w:val="left" w:pos="1708"/>
        </w:tabs>
        <w:autoSpaceDE w:val="0"/>
        <w:autoSpaceDN w:val="0"/>
        <w:spacing w:before="4"/>
        <w:ind w:left="1708" w:hanging="862"/>
        <w:jc w:val="both"/>
        <w:rPr>
          <w:rFonts w:ascii="宋体" w:hAnsi="宋体" w:eastAsia="宋体" w:cs="宋体"/>
          <w:szCs w:val="22"/>
        </w:rPr>
      </w:pPr>
      <w:r>
        <w:rPr>
          <w:rFonts w:ascii="宋体" w:hAnsi="宋体" w:eastAsia="宋体" w:cs="宋体"/>
          <w:spacing w:val="9"/>
          <w:szCs w:val="22"/>
        </w:rPr>
        <w:t>在缺陷责任期终止证书颁发前，承包人应以承包人和发包人的共同名义，投保第</w:t>
      </w:r>
    </w:p>
    <w:p w14:paraId="202FA229">
      <w:pPr>
        <w:numPr>
          <w:ilvl w:val="2"/>
          <w:numId w:val="59"/>
        </w:numPr>
        <w:tabs>
          <w:tab w:val="left" w:pos="1159"/>
        </w:tabs>
        <w:autoSpaceDE w:val="0"/>
        <w:autoSpaceDN w:val="0"/>
        <w:spacing w:before="126"/>
        <w:ind w:left="1159" w:hanging="733"/>
        <w:jc w:val="both"/>
        <w:rPr>
          <w:rFonts w:ascii="宋体" w:hAnsi="宋体" w:eastAsia="宋体" w:cs="宋体"/>
          <w:szCs w:val="22"/>
        </w:rPr>
      </w:pPr>
      <w:r>
        <w:rPr>
          <w:rFonts w:ascii="宋体" w:hAnsi="宋体" w:eastAsia="宋体" w:cs="宋体"/>
          <w:spacing w:val="-3"/>
          <w:szCs w:val="22"/>
        </w:rPr>
        <w:t>项约定的第三者责任险，其保险费率、保险金额等有关内容在专用合同条款中约定。</w:t>
      </w:r>
    </w:p>
    <w:p w14:paraId="45A30494">
      <w:pPr>
        <w:autoSpaceDE w:val="0"/>
        <w:autoSpaceDN w:val="0"/>
        <w:spacing w:before="128" w:line="352" w:lineRule="auto"/>
        <w:ind w:left="426" w:right="569" w:firstLine="420"/>
        <w:rPr>
          <w:rFonts w:ascii="宋体" w:hAnsi="宋体" w:eastAsia="宋体" w:cs="宋体"/>
          <w:szCs w:val="21"/>
        </w:rPr>
      </w:pPr>
      <w:r>
        <w:rPr>
          <w:rFonts w:ascii="宋体" w:hAnsi="宋体" w:eastAsia="宋体" w:cs="宋体"/>
          <w:spacing w:val="-3"/>
          <w:szCs w:val="21"/>
        </w:rPr>
        <w:t xml:space="preserve">第三者责任险的保险费由承包人报价时列入工程量清单 </w:t>
      </w:r>
      <w:r>
        <w:rPr>
          <w:rFonts w:ascii="宋体" w:hAnsi="宋体" w:eastAsia="宋体" w:cs="宋体"/>
          <w:spacing w:val="-2"/>
          <w:szCs w:val="21"/>
        </w:rPr>
        <w:t>100</w:t>
      </w:r>
      <w:r>
        <w:rPr>
          <w:rFonts w:ascii="宋体" w:hAnsi="宋体" w:eastAsia="宋体" w:cs="宋体"/>
          <w:spacing w:val="-12"/>
          <w:szCs w:val="21"/>
        </w:rPr>
        <w:t xml:space="preserve"> 章内。发包人在接到保险单后， 将</w:t>
      </w:r>
      <w:r>
        <w:rPr>
          <w:rFonts w:ascii="宋体" w:hAnsi="宋体" w:eastAsia="宋体" w:cs="宋体"/>
          <w:spacing w:val="-2"/>
          <w:szCs w:val="21"/>
        </w:rPr>
        <w:t>按照保险单的费用直接向承包人支付。</w:t>
      </w:r>
    </w:p>
    <w:p w14:paraId="4389ACC3">
      <w:pPr>
        <w:numPr>
          <w:ilvl w:val="1"/>
          <w:numId w:val="58"/>
        </w:numPr>
        <w:tabs>
          <w:tab w:val="left" w:pos="1054"/>
        </w:tabs>
        <w:autoSpaceDE w:val="0"/>
        <w:autoSpaceDN w:val="0"/>
        <w:spacing w:line="270" w:lineRule="exact"/>
        <w:ind w:left="1054" w:hanging="628"/>
        <w:jc w:val="both"/>
        <w:rPr>
          <w:rFonts w:ascii="宋体" w:hAnsi="宋体" w:eastAsia="宋体" w:cs="宋体"/>
          <w:szCs w:val="22"/>
        </w:rPr>
      </w:pPr>
      <w:r>
        <w:rPr>
          <w:rFonts w:ascii="宋体" w:hAnsi="宋体" w:eastAsia="宋体" w:cs="宋体"/>
          <w:spacing w:val="-7"/>
          <w:szCs w:val="22"/>
        </w:rPr>
        <w:t>其它保险</w:t>
      </w:r>
    </w:p>
    <w:p w14:paraId="36F2B525">
      <w:pPr>
        <w:autoSpaceDE w:val="0"/>
        <w:autoSpaceDN w:val="0"/>
        <w:spacing w:before="127" w:line="352" w:lineRule="auto"/>
        <w:ind w:left="846" w:right="567"/>
        <w:jc w:val="left"/>
        <w:rPr>
          <w:rFonts w:ascii="宋体" w:hAnsi="宋体" w:eastAsia="宋体" w:cs="宋体"/>
          <w:szCs w:val="21"/>
        </w:rPr>
      </w:pPr>
      <w:r>
        <w:rPr>
          <w:rFonts w:ascii="宋体" w:hAnsi="宋体" w:eastAsia="宋体" w:cs="宋体"/>
          <w:spacing w:val="-2"/>
          <w:szCs w:val="21"/>
        </w:rPr>
        <w:t>除专用合同条款另有约定外，承包人应为其施工设备、进场的材料和工程设备等办理保险。</w:t>
      </w:r>
      <w:r>
        <w:rPr>
          <w:rFonts w:ascii="宋体" w:hAnsi="宋体" w:eastAsia="宋体" w:cs="宋体"/>
          <w:spacing w:val="80"/>
          <w:szCs w:val="21"/>
        </w:rPr>
        <w:t xml:space="preserve"> </w:t>
      </w:r>
      <w:r>
        <w:rPr>
          <w:rFonts w:ascii="宋体" w:hAnsi="宋体" w:eastAsia="宋体" w:cs="宋体"/>
          <w:spacing w:val="-2"/>
          <w:szCs w:val="21"/>
        </w:rPr>
        <w:t>承包人为其施工设备等办理保险，其投标金额应足以现场重置。办理本款保险的一切费用均由</w:t>
      </w:r>
    </w:p>
    <w:p w14:paraId="127AF50D">
      <w:pPr>
        <w:autoSpaceDE w:val="0"/>
        <w:autoSpaceDN w:val="0"/>
        <w:spacing w:line="270" w:lineRule="exact"/>
        <w:ind w:left="426"/>
        <w:jc w:val="left"/>
        <w:rPr>
          <w:rFonts w:ascii="宋体" w:hAnsi="宋体" w:eastAsia="宋体" w:cs="宋体"/>
          <w:szCs w:val="21"/>
        </w:rPr>
      </w:pPr>
      <w:r>
        <w:rPr>
          <w:rFonts w:ascii="宋体" w:hAnsi="宋体" w:eastAsia="宋体" w:cs="宋体"/>
          <w:spacing w:val="-3"/>
          <w:szCs w:val="21"/>
        </w:rPr>
        <w:t>承包人承担，并包括在工程量清单的单价及总额价中，发包人不单独支付。</w:t>
      </w:r>
    </w:p>
    <w:p w14:paraId="03594F3D">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承包人为本项目办理保险的一切费用，除在工程量清单中另有列明外，均视为已包含在合同价中，不另行支付。</w:t>
      </w:r>
    </w:p>
    <w:p w14:paraId="1D65285E">
      <w:pPr>
        <w:spacing w:line="352" w:lineRule="auto"/>
        <w:sectPr>
          <w:pgSz w:w="11910" w:h="16840"/>
          <w:pgMar w:top="1640" w:right="849" w:bottom="1360" w:left="992" w:header="0" w:footer="1176" w:gutter="0"/>
          <w:cols w:space="720" w:num="1"/>
        </w:sectPr>
      </w:pPr>
    </w:p>
    <w:p w14:paraId="51FA1C7D">
      <w:pPr>
        <w:numPr>
          <w:ilvl w:val="1"/>
          <w:numId w:val="58"/>
        </w:numPr>
        <w:tabs>
          <w:tab w:val="left" w:pos="1054"/>
        </w:tabs>
        <w:autoSpaceDE w:val="0"/>
        <w:autoSpaceDN w:val="0"/>
        <w:spacing w:before="37"/>
        <w:ind w:left="1054" w:hanging="628"/>
        <w:rPr>
          <w:rFonts w:ascii="宋体" w:hAnsi="宋体" w:eastAsia="宋体" w:cs="宋体"/>
          <w:szCs w:val="22"/>
        </w:rPr>
      </w:pPr>
      <w:r>
        <w:rPr>
          <w:rFonts w:ascii="宋体" w:hAnsi="宋体" w:eastAsia="宋体" w:cs="宋体"/>
          <w:spacing w:val="-3"/>
          <w:szCs w:val="22"/>
        </w:rPr>
        <w:t>对各项保险的一般要求</w:t>
      </w:r>
    </w:p>
    <w:p w14:paraId="5777E958">
      <w:pPr>
        <w:numPr>
          <w:ilvl w:val="2"/>
          <w:numId w:val="58"/>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7"/>
          <w:szCs w:val="22"/>
        </w:rPr>
        <w:t>保险凭证</w:t>
      </w:r>
    </w:p>
    <w:p w14:paraId="3B00B2B6">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承包人应在专用合同条款约定的期限内向发包人提交各项保险生效的证据和保险单副本，保险单必须与专用合同条款约定的条件保持一致。</w:t>
      </w:r>
    </w:p>
    <w:p w14:paraId="0B9A8D30">
      <w:pPr>
        <w:numPr>
          <w:ilvl w:val="2"/>
          <w:numId w:val="58"/>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3"/>
          <w:szCs w:val="22"/>
        </w:rPr>
        <w:t>保险合同条款的变动</w:t>
      </w:r>
    </w:p>
    <w:p w14:paraId="7BE6639F">
      <w:pPr>
        <w:autoSpaceDE w:val="0"/>
        <w:autoSpaceDN w:val="0"/>
        <w:spacing w:before="128" w:line="352" w:lineRule="auto"/>
        <w:ind w:left="426" w:right="463" w:firstLine="420"/>
        <w:jc w:val="left"/>
        <w:rPr>
          <w:rFonts w:ascii="宋体" w:hAnsi="宋体" w:eastAsia="宋体" w:cs="宋体"/>
          <w:szCs w:val="21"/>
        </w:rPr>
      </w:pPr>
      <w:r>
        <w:rPr>
          <w:rFonts w:ascii="宋体" w:hAnsi="宋体" w:eastAsia="宋体" w:cs="宋体"/>
          <w:spacing w:val="-2"/>
          <w:szCs w:val="21"/>
        </w:rPr>
        <w:t>承包人需要变动保险合同条款时，应事先征得发包人同意，并通知监理人。保险人作出变动的，承包人应在收到保险人通知后立即通知发包人和监理人。</w:t>
      </w:r>
    </w:p>
    <w:p w14:paraId="638B27F3">
      <w:pPr>
        <w:numPr>
          <w:ilvl w:val="2"/>
          <w:numId w:val="58"/>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7"/>
          <w:szCs w:val="22"/>
        </w:rPr>
        <w:t>持续保险</w:t>
      </w:r>
    </w:p>
    <w:p w14:paraId="6847AD88">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承包人应与保险人保持联系，使保险人能够随时了解工程实施中的变动，并确保按保险合同条款要求持续保险。在整个合同期内，承包人应按合同条款规定保证足够的保险额。</w:t>
      </w:r>
    </w:p>
    <w:p w14:paraId="4DD0FBD3">
      <w:pPr>
        <w:numPr>
          <w:ilvl w:val="2"/>
          <w:numId w:val="58"/>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4"/>
          <w:szCs w:val="22"/>
        </w:rPr>
        <w:t>保险金不足的补偿</w:t>
      </w:r>
    </w:p>
    <w:p w14:paraId="3D27B77C">
      <w:pPr>
        <w:autoSpaceDE w:val="0"/>
        <w:autoSpaceDN w:val="0"/>
        <w:spacing w:before="127" w:line="352" w:lineRule="auto"/>
        <w:ind w:left="426" w:right="567" w:firstLine="420"/>
        <w:jc w:val="left"/>
        <w:rPr>
          <w:rFonts w:ascii="宋体" w:hAnsi="宋体" w:eastAsia="宋体" w:cs="宋体"/>
          <w:szCs w:val="21"/>
        </w:rPr>
      </w:pPr>
      <w:r>
        <w:rPr>
          <w:rFonts w:ascii="宋体" w:hAnsi="宋体" w:eastAsia="宋体" w:cs="宋体"/>
          <w:spacing w:val="-2"/>
          <w:szCs w:val="21"/>
        </w:rPr>
        <w:t>保险金不足以补偿损失的，应由承包人和（或）发包人按合同约定负责补偿。保险金的赔偿金额以有资质的公估单位确定的金额为准，免赔额和超过赔偿限额的部分由承包人承担。</w:t>
      </w:r>
    </w:p>
    <w:p w14:paraId="0CD215A9">
      <w:pPr>
        <w:numPr>
          <w:ilvl w:val="2"/>
          <w:numId w:val="58"/>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3"/>
          <w:szCs w:val="22"/>
        </w:rPr>
        <w:t>未按约定投保的补救</w:t>
      </w:r>
    </w:p>
    <w:p w14:paraId="3D1BFE29">
      <w:pPr>
        <w:numPr>
          <w:ilvl w:val="0"/>
          <w:numId w:val="60"/>
        </w:numPr>
        <w:tabs>
          <w:tab w:val="left" w:pos="1267"/>
        </w:tabs>
        <w:autoSpaceDE w:val="0"/>
        <w:autoSpaceDN w:val="0"/>
        <w:spacing w:before="128" w:line="352" w:lineRule="auto"/>
        <w:ind w:right="569" w:firstLine="314"/>
        <w:rPr>
          <w:rFonts w:ascii="宋体" w:hAnsi="宋体" w:eastAsia="宋体" w:cs="宋体"/>
          <w:szCs w:val="22"/>
        </w:rPr>
      </w:pPr>
      <w:r>
        <w:rPr>
          <w:rFonts w:ascii="宋体" w:hAnsi="宋体" w:eastAsia="宋体" w:cs="宋体"/>
          <w:spacing w:val="-2"/>
          <w:szCs w:val="22"/>
        </w:rPr>
        <w:t>由于负有投保义务的一方当事人未按合同约定办理保险，或未能使保险持续有效的，另一方当事人可代为办理，所需费用由对方当事人承担。</w:t>
      </w:r>
    </w:p>
    <w:p w14:paraId="1E4726BA">
      <w:pPr>
        <w:numPr>
          <w:ilvl w:val="0"/>
          <w:numId w:val="60"/>
        </w:numPr>
        <w:tabs>
          <w:tab w:val="left" w:pos="1267"/>
        </w:tabs>
        <w:autoSpaceDE w:val="0"/>
        <w:autoSpaceDN w:val="0"/>
        <w:spacing w:line="352" w:lineRule="auto"/>
        <w:ind w:right="567" w:firstLine="314"/>
        <w:jc w:val="both"/>
        <w:rPr>
          <w:rFonts w:ascii="宋体" w:hAnsi="宋体" w:eastAsia="宋体" w:cs="宋体"/>
          <w:szCs w:val="22"/>
        </w:rPr>
      </w:pPr>
      <w:r>
        <w:rPr>
          <w:rFonts w:ascii="宋体" w:hAnsi="宋体" w:eastAsia="宋体" w:cs="宋体"/>
          <w:spacing w:val="-2"/>
          <w:szCs w:val="22"/>
        </w:rPr>
        <w:t>由于负有投保义务的一方当事人未按合同约定办理某项保险，或未按保险单规定的条件和限期及时向保险人报告事故情况，或未按要求的保险期限进行投标，或未按要求投保足够的保险金额，导致受益人未能全部得到保险人的赔偿，原应从该项保险得到的保险金应由负有投保义务的一方当事人支付。</w:t>
      </w:r>
    </w:p>
    <w:p w14:paraId="524A718D">
      <w:pPr>
        <w:numPr>
          <w:ilvl w:val="2"/>
          <w:numId w:val="58"/>
        </w:numPr>
        <w:tabs>
          <w:tab w:val="left" w:pos="1684"/>
        </w:tabs>
        <w:autoSpaceDE w:val="0"/>
        <w:autoSpaceDN w:val="0"/>
        <w:spacing w:line="269" w:lineRule="exact"/>
        <w:ind w:left="1684" w:hanging="838"/>
        <w:rPr>
          <w:rFonts w:ascii="宋体" w:hAnsi="宋体" w:eastAsia="宋体" w:cs="宋体"/>
          <w:szCs w:val="22"/>
        </w:rPr>
      </w:pPr>
      <w:r>
        <w:rPr>
          <w:rFonts w:ascii="宋体" w:hAnsi="宋体" w:eastAsia="宋体" w:cs="宋体"/>
          <w:spacing w:val="-7"/>
          <w:szCs w:val="22"/>
        </w:rPr>
        <w:t>报告义务</w:t>
      </w:r>
    </w:p>
    <w:p w14:paraId="415BB7FF">
      <w:pPr>
        <w:autoSpaceDE w:val="0"/>
        <w:autoSpaceDN w:val="0"/>
        <w:spacing w:before="124" w:line="350" w:lineRule="auto"/>
        <w:ind w:left="426" w:right="463" w:firstLine="420"/>
        <w:jc w:val="left"/>
        <w:rPr>
          <w:rFonts w:ascii="宋体" w:hAnsi="宋体" w:eastAsia="宋体" w:cs="宋体"/>
          <w:szCs w:val="21"/>
        </w:rPr>
      </w:pPr>
      <w:r>
        <w:rPr>
          <w:rFonts w:ascii="宋体" w:hAnsi="宋体" w:eastAsia="宋体" w:cs="宋体"/>
          <w:spacing w:val="-2"/>
          <w:szCs w:val="22"/>
        </w:rPr>
        <w:t>当保险事故发生时，投保人应按照保险单规定的条件和期限及时向保险人报告。发包人和承包人应当在知道保险事故发生后及时通知对方。双方按本条规定投保不减少双方在合同下的其他义务</w:t>
      </w:r>
      <w:r>
        <w:rPr>
          <w:rFonts w:ascii="宋体" w:hAnsi="宋体" w:eastAsia="宋体" w:cs="宋体"/>
          <w:spacing w:val="-5"/>
          <w:w w:val="99"/>
          <w:szCs w:val="21"/>
        </w:rPr>
        <w:t xml:space="preserve">。 </w:t>
      </w:r>
      <w:r>
        <w:rPr>
          <w:rFonts w:ascii="宋体" w:hAnsi="宋体" w:eastAsia="宋体" w:cs="宋体"/>
          <w:spacing w:val="1"/>
          <w:w w:val="99"/>
          <w:szCs w:val="21"/>
        </w:rPr>
        <w:t>2</w:t>
      </w:r>
      <w:r>
        <w:rPr>
          <w:rFonts w:ascii="宋体" w:hAnsi="宋体" w:eastAsia="宋体" w:cs="宋体"/>
          <w:spacing w:val="-2"/>
          <w:w w:val="99"/>
          <w:szCs w:val="21"/>
        </w:rPr>
        <w:t>1</w:t>
      </w:r>
      <w:r>
        <w:rPr>
          <w:rFonts w:ascii="宋体" w:hAnsi="宋体" w:eastAsia="宋体" w:cs="宋体"/>
          <w:spacing w:val="-1"/>
          <w:w w:val="99"/>
          <w:szCs w:val="21"/>
        </w:rPr>
        <w:t>．不可抗力</w:t>
      </w:r>
    </w:p>
    <w:p w14:paraId="7E92D473">
      <w:pPr>
        <w:numPr>
          <w:ilvl w:val="1"/>
          <w:numId w:val="61"/>
        </w:numPr>
        <w:tabs>
          <w:tab w:val="left" w:pos="1054"/>
        </w:tabs>
        <w:autoSpaceDE w:val="0"/>
        <w:autoSpaceDN w:val="0"/>
        <w:spacing w:before="5"/>
        <w:ind w:left="1054" w:hanging="628"/>
        <w:rPr>
          <w:rFonts w:ascii="宋体" w:hAnsi="宋体" w:eastAsia="宋体" w:cs="宋体"/>
          <w:szCs w:val="22"/>
        </w:rPr>
      </w:pPr>
      <w:r>
        <w:rPr>
          <w:rFonts w:ascii="宋体" w:hAnsi="宋体" w:eastAsia="宋体" w:cs="宋体"/>
          <w:spacing w:val="-4"/>
          <w:szCs w:val="22"/>
        </w:rPr>
        <w:t>不可抗力的确认</w:t>
      </w:r>
    </w:p>
    <w:p w14:paraId="1B96160D">
      <w:pPr>
        <w:numPr>
          <w:ilvl w:val="2"/>
          <w:numId w:val="61"/>
        </w:numPr>
        <w:tabs>
          <w:tab w:val="left" w:pos="1687"/>
        </w:tabs>
        <w:autoSpaceDE w:val="0"/>
        <w:autoSpaceDN w:val="0"/>
        <w:spacing w:before="125" w:line="352" w:lineRule="auto"/>
        <w:ind w:right="463" w:firstLine="420"/>
        <w:rPr>
          <w:rFonts w:ascii="宋体" w:hAnsi="宋体" w:eastAsia="宋体" w:cs="宋体"/>
          <w:szCs w:val="22"/>
        </w:rPr>
      </w:pPr>
      <w:r>
        <w:rPr>
          <w:rFonts w:ascii="宋体" w:hAnsi="宋体" w:eastAsia="宋体" w:cs="宋体"/>
          <w:spacing w:val="-2"/>
          <w:szCs w:val="22"/>
        </w:rPr>
        <w:t>不可抗力是指承包人和发包人在订立合同时不可预见，在工程施工过程中不可避免发生并不能克服的且不能提前防备的自然灾害和社会性突发事件，如地震、海啸、瘟疫、水灾、骚乱、暴动、战争和专用合同条款约定的其它情形</w:t>
      </w:r>
      <w:r>
        <w:rPr>
          <w:rFonts w:ascii="宋体" w:hAnsi="宋体" w:eastAsia="宋体" w:cs="宋体"/>
          <w:spacing w:val="-1"/>
          <w:w w:val="99"/>
          <w:szCs w:val="22"/>
        </w:rPr>
        <w:t>。</w:t>
      </w:r>
    </w:p>
    <w:p w14:paraId="47AE7F86">
      <w:pPr>
        <w:numPr>
          <w:ilvl w:val="2"/>
          <w:numId w:val="61"/>
        </w:numPr>
        <w:tabs>
          <w:tab w:val="left" w:pos="1687"/>
        </w:tabs>
        <w:autoSpaceDE w:val="0"/>
        <w:autoSpaceDN w:val="0"/>
        <w:spacing w:line="269" w:lineRule="exact"/>
        <w:ind w:left="1687" w:hanging="841"/>
        <w:rPr>
          <w:rFonts w:ascii="宋体" w:hAnsi="宋体" w:eastAsia="宋体" w:cs="宋体"/>
          <w:szCs w:val="22"/>
        </w:rPr>
      </w:pPr>
      <w:r>
        <w:rPr>
          <w:rFonts w:ascii="宋体" w:hAnsi="宋体" w:eastAsia="宋体" w:cs="宋体"/>
          <w:spacing w:val="-3"/>
          <w:szCs w:val="22"/>
        </w:rPr>
        <w:t>不可抗力发生后，发包人和承包人应及时认真统计所造成的损失，收集不可抗力造成</w:t>
      </w:r>
    </w:p>
    <w:p w14:paraId="3B96DD22">
      <w:pPr>
        <w:autoSpaceDE w:val="0"/>
        <w:autoSpaceDN w:val="0"/>
        <w:spacing w:before="128"/>
        <w:ind w:left="426"/>
        <w:jc w:val="left"/>
        <w:rPr>
          <w:rFonts w:ascii="宋体" w:hAnsi="宋体" w:eastAsia="宋体" w:cs="宋体"/>
          <w:szCs w:val="21"/>
        </w:rPr>
      </w:pPr>
      <w:r>
        <w:rPr>
          <w:rFonts w:ascii="宋体" w:hAnsi="宋体" w:eastAsia="宋体" w:cs="宋体"/>
          <w:spacing w:val="-3"/>
          <w:szCs w:val="21"/>
        </w:rPr>
        <w:t xml:space="preserve">损失的证据。合同双方对是否属于不可抗力或其损失的意见不一致的，由监理人按第 </w:t>
      </w:r>
      <w:r>
        <w:rPr>
          <w:rFonts w:ascii="宋体" w:hAnsi="宋体" w:eastAsia="宋体" w:cs="宋体"/>
          <w:spacing w:val="-2"/>
          <w:szCs w:val="21"/>
        </w:rPr>
        <w:t>3.5</w:t>
      </w:r>
      <w:r>
        <w:rPr>
          <w:rFonts w:ascii="宋体" w:hAnsi="宋体" w:eastAsia="宋体" w:cs="宋体"/>
          <w:spacing w:val="-9"/>
          <w:szCs w:val="21"/>
        </w:rPr>
        <w:t xml:space="preserve"> 款商定或</w:t>
      </w:r>
    </w:p>
    <w:p w14:paraId="5FAEA3C9">
      <w:pPr>
        <w:autoSpaceDE w:val="0"/>
        <w:autoSpaceDN w:val="0"/>
        <w:spacing w:before="128"/>
        <w:ind w:left="426"/>
        <w:jc w:val="left"/>
        <w:rPr>
          <w:rFonts w:ascii="宋体" w:hAnsi="宋体" w:eastAsia="宋体" w:cs="宋体"/>
          <w:szCs w:val="21"/>
        </w:rPr>
      </w:pPr>
      <w:r>
        <w:rPr>
          <w:rFonts w:ascii="宋体" w:hAnsi="宋体" w:eastAsia="宋体" w:cs="宋体"/>
          <w:spacing w:val="-2"/>
          <w:szCs w:val="21"/>
        </w:rPr>
        <w:t xml:space="preserve">确定。发生争议时，按第 </w:t>
      </w:r>
      <w:r>
        <w:rPr>
          <w:rFonts w:ascii="宋体" w:hAnsi="宋体" w:eastAsia="宋体" w:cs="宋体"/>
          <w:szCs w:val="21"/>
        </w:rPr>
        <w:t>24</w:t>
      </w:r>
      <w:r>
        <w:rPr>
          <w:rFonts w:ascii="宋体" w:hAnsi="宋体" w:eastAsia="宋体" w:cs="宋体"/>
          <w:spacing w:val="-5"/>
          <w:szCs w:val="21"/>
        </w:rPr>
        <w:t xml:space="preserve"> 条的约定办理。</w:t>
      </w:r>
    </w:p>
    <w:p w14:paraId="30D4ADBA">
      <w:pPr>
        <w:numPr>
          <w:ilvl w:val="1"/>
          <w:numId w:val="61"/>
        </w:numPr>
        <w:tabs>
          <w:tab w:val="left" w:pos="1054"/>
        </w:tabs>
        <w:autoSpaceDE w:val="0"/>
        <w:autoSpaceDN w:val="0"/>
        <w:spacing w:before="125"/>
        <w:ind w:left="1054" w:hanging="628"/>
        <w:rPr>
          <w:rFonts w:ascii="宋体" w:hAnsi="宋体" w:eastAsia="宋体" w:cs="宋体"/>
          <w:szCs w:val="22"/>
        </w:rPr>
      </w:pPr>
      <w:r>
        <w:rPr>
          <w:rFonts w:ascii="宋体" w:hAnsi="宋体" w:eastAsia="宋体" w:cs="宋体"/>
          <w:spacing w:val="-4"/>
          <w:szCs w:val="22"/>
        </w:rPr>
        <w:t>不可抗力的通知</w:t>
      </w:r>
    </w:p>
    <w:p w14:paraId="5CE36616">
      <w:pPr>
        <w:numPr>
          <w:ilvl w:val="2"/>
          <w:numId w:val="61"/>
        </w:numPr>
        <w:tabs>
          <w:tab w:val="left" w:pos="1687"/>
        </w:tabs>
        <w:autoSpaceDE w:val="0"/>
        <w:autoSpaceDN w:val="0"/>
        <w:spacing w:before="128" w:line="352" w:lineRule="auto"/>
        <w:ind w:right="567" w:firstLine="420"/>
        <w:rPr>
          <w:rFonts w:ascii="宋体" w:hAnsi="宋体" w:eastAsia="宋体" w:cs="宋体"/>
          <w:szCs w:val="22"/>
        </w:rPr>
      </w:pPr>
      <w:r>
        <w:rPr>
          <w:rFonts w:ascii="宋体" w:hAnsi="宋体" w:eastAsia="宋体" w:cs="宋体"/>
          <w:spacing w:val="-2"/>
          <w:szCs w:val="22"/>
        </w:rPr>
        <w:t>合同一方当事人遇到不可抗力事件，使其履行合同义务受到阻碍时，应立即通知合同另一方当事人和监理人，书面说明不可抗力和受阻碍的详细情况，并提供必要的证明。</w:t>
      </w:r>
    </w:p>
    <w:p w14:paraId="40B6DCE1">
      <w:pPr>
        <w:spacing w:line="352" w:lineRule="auto"/>
        <w:jc w:val="left"/>
        <w:sectPr>
          <w:pgSz w:w="11910" w:h="16840"/>
          <w:pgMar w:top="1640" w:right="849" w:bottom="1360" w:left="992" w:header="0" w:footer="1176" w:gutter="0"/>
          <w:cols w:space="720" w:num="1"/>
        </w:sectPr>
      </w:pPr>
    </w:p>
    <w:p w14:paraId="0315E89C">
      <w:pPr>
        <w:numPr>
          <w:ilvl w:val="2"/>
          <w:numId w:val="61"/>
        </w:numPr>
        <w:tabs>
          <w:tab w:val="left" w:pos="1687"/>
        </w:tabs>
        <w:autoSpaceDE w:val="0"/>
        <w:autoSpaceDN w:val="0"/>
        <w:spacing w:before="37" w:line="350" w:lineRule="auto"/>
        <w:ind w:right="567" w:firstLine="420"/>
        <w:jc w:val="both"/>
        <w:rPr>
          <w:rFonts w:ascii="宋体" w:hAnsi="宋体" w:eastAsia="宋体" w:cs="宋体"/>
          <w:szCs w:val="22"/>
        </w:rPr>
      </w:pPr>
      <w:r>
        <w:rPr>
          <w:rFonts w:ascii="宋体" w:hAnsi="宋体" w:eastAsia="宋体" w:cs="宋体"/>
          <w:spacing w:val="-2"/>
          <w:szCs w:val="22"/>
        </w:rPr>
        <w:t>如不可抗力持续发生，合同一方当事人应及时向合同另一方当事人和监理人提交中间报告，说明不可抗力和履行合同受阻的情况，并于不可抗力事件结束后28天内提交最终报告及有关</w:t>
      </w:r>
      <w:r>
        <w:rPr>
          <w:rFonts w:ascii="宋体" w:hAnsi="宋体" w:eastAsia="宋体" w:cs="宋体"/>
          <w:spacing w:val="-4"/>
          <w:szCs w:val="22"/>
        </w:rPr>
        <w:t>资料。</w:t>
      </w:r>
    </w:p>
    <w:p w14:paraId="54363FC1">
      <w:pPr>
        <w:numPr>
          <w:ilvl w:val="1"/>
          <w:numId w:val="61"/>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3"/>
          <w:szCs w:val="22"/>
        </w:rPr>
        <w:t>不可抗力后果及其处理</w:t>
      </w:r>
    </w:p>
    <w:p w14:paraId="52AE4BF5">
      <w:pPr>
        <w:numPr>
          <w:ilvl w:val="2"/>
          <w:numId w:val="61"/>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3"/>
          <w:szCs w:val="22"/>
        </w:rPr>
        <w:t>不可抗力造成损害的责任</w:t>
      </w:r>
    </w:p>
    <w:p w14:paraId="0A612F38">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除专用合同条款另有约定外，不可抗力导致的人员伤亡、财产损失、费用增加和（或）工期延误等后果，由合同双方按以下原则承担：</w:t>
      </w:r>
    </w:p>
    <w:p w14:paraId="1E79C435">
      <w:pPr>
        <w:numPr>
          <w:ilvl w:val="0"/>
          <w:numId w:val="62"/>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永久工程，包括已运至施工场地的材料和工程设备的损害，以及因工程损害造成的第三者人员伤亡和财产损失由发包人承担；</w:t>
      </w:r>
    </w:p>
    <w:p w14:paraId="295B2135">
      <w:pPr>
        <w:numPr>
          <w:ilvl w:val="0"/>
          <w:numId w:val="62"/>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承包人设备的损坏由承包人承担；</w:t>
      </w:r>
    </w:p>
    <w:p w14:paraId="70B4216E">
      <w:pPr>
        <w:numPr>
          <w:ilvl w:val="0"/>
          <w:numId w:val="62"/>
        </w:numPr>
        <w:tabs>
          <w:tab w:val="left" w:pos="1261"/>
        </w:tabs>
        <w:autoSpaceDE w:val="0"/>
        <w:autoSpaceDN w:val="0"/>
        <w:spacing w:before="122"/>
        <w:ind w:left="1261" w:hanging="521"/>
        <w:rPr>
          <w:rFonts w:ascii="宋体" w:hAnsi="宋体" w:eastAsia="宋体" w:cs="宋体"/>
          <w:szCs w:val="22"/>
        </w:rPr>
      </w:pPr>
      <w:r>
        <w:rPr>
          <w:rFonts w:ascii="宋体" w:hAnsi="宋体" w:eastAsia="宋体" w:cs="宋体"/>
          <w:spacing w:val="-3"/>
          <w:szCs w:val="22"/>
        </w:rPr>
        <w:t>发包人和承包人各自承担其人员伤亡和其它财产损失及其相关费用；</w:t>
      </w:r>
    </w:p>
    <w:p w14:paraId="62F53A8F">
      <w:pPr>
        <w:numPr>
          <w:ilvl w:val="0"/>
          <w:numId w:val="62"/>
        </w:numPr>
        <w:tabs>
          <w:tab w:val="left" w:pos="1267"/>
        </w:tabs>
        <w:autoSpaceDE w:val="0"/>
        <w:autoSpaceDN w:val="0"/>
        <w:spacing w:before="128" w:line="352" w:lineRule="auto"/>
        <w:ind w:right="569" w:firstLine="314"/>
        <w:rPr>
          <w:rFonts w:ascii="宋体" w:hAnsi="宋体" w:eastAsia="宋体" w:cs="宋体"/>
          <w:szCs w:val="22"/>
        </w:rPr>
      </w:pPr>
      <w:r>
        <w:rPr>
          <w:rFonts w:ascii="宋体" w:hAnsi="宋体" w:eastAsia="宋体" w:cs="宋体"/>
          <w:spacing w:val="-2"/>
          <w:szCs w:val="22"/>
        </w:rPr>
        <w:t>承包人的停工损失由承包人承担，但停工期间应监理人要求照管工程和清理、修复工程的金额由发包人承担；</w:t>
      </w:r>
    </w:p>
    <w:p w14:paraId="6D2118DC">
      <w:pPr>
        <w:numPr>
          <w:ilvl w:val="0"/>
          <w:numId w:val="62"/>
        </w:numPr>
        <w:tabs>
          <w:tab w:val="left" w:pos="1247"/>
        </w:tabs>
        <w:autoSpaceDE w:val="0"/>
        <w:autoSpaceDN w:val="0"/>
        <w:spacing w:line="352" w:lineRule="auto"/>
        <w:ind w:right="463" w:firstLine="314"/>
        <w:rPr>
          <w:rFonts w:ascii="宋体" w:hAnsi="宋体" w:eastAsia="宋体" w:cs="宋体"/>
          <w:szCs w:val="22"/>
        </w:rPr>
      </w:pPr>
      <w:r>
        <w:rPr>
          <w:rFonts w:ascii="宋体" w:hAnsi="宋体" w:eastAsia="宋体" w:cs="宋体"/>
          <w:spacing w:val="-2"/>
          <w:szCs w:val="22"/>
        </w:rPr>
        <w:t>不能按期竣工的，应合理延长工期，承包人不需支付逾期竣工违约金。发包人要求赶工的，承包人应采取赶工措施，赶工费用由发包人承担。</w:t>
      </w:r>
    </w:p>
    <w:p w14:paraId="28B869FB">
      <w:pPr>
        <w:numPr>
          <w:ilvl w:val="2"/>
          <w:numId w:val="61"/>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3"/>
          <w:szCs w:val="22"/>
        </w:rPr>
        <w:t>延迟履行期间发生的不可抗力</w:t>
      </w:r>
    </w:p>
    <w:p w14:paraId="4D731FEC">
      <w:pPr>
        <w:autoSpaceDE w:val="0"/>
        <w:autoSpaceDN w:val="0"/>
        <w:spacing w:before="122"/>
        <w:ind w:left="846"/>
        <w:jc w:val="left"/>
        <w:rPr>
          <w:rFonts w:ascii="宋体" w:hAnsi="宋体" w:eastAsia="宋体" w:cs="宋体"/>
          <w:szCs w:val="21"/>
        </w:rPr>
      </w:pPr>
      <w:r>
        <w:rPr>
          <w:rFonts w:ascii="宋体" w:hAnsi="宋体" w:eastAsia="宋体" w:cs="宋体"/>
          <w:spacing w:val="-3"/>
          <w:szCs w:val="21"/>
        </w:rPr>
        <w:t>合同一方当事人延迟履行，在延迟履行期间发生不可抗力的，不免除其责任。</w:t>
      </w:r>
    </w:p>
    <w:p w14:paraId="5ECF6968">
      <w:pPr>
        <w:numPr>
          <w:ilvl w:val="2"/>
          <w:numId w:val="61"/>
        </w:numPr>
        <w:tabs>
          <w:tab w:val="left" w:pos="1684"/>
        </w:tabs>
        <w:autoSpaceDE w:val="0"/>
        <w:autoSpaceDN w:val="0"/>
        <w:spacing w:before="128"/>
        <w:ind w:left="1684" w:hanging="838"/>
        <w:rPr>
          <w:rFonts w:ascii="宋体" w:hAnsi="宋体" w:eastAsia="宋体" w:cs="宋体"/>
          <w:szCs w:val="22"/>
        </w:rPr>
      </w:pPr>
      <w:r>
        <w:rPr>
          <w:rFonts w:ascii="宋体" w:hAnsi="宋体" w:eastAsia="宋体" w:cs="宋体"/>
          <w:spacing w:val="-3"/>
          <w:szCs w:val="22"/>
        </w:rPr>
        <w:t>避免和减少不可抗力损失</w:t>
      </w:r>
    </w:p>
    <w:p w14:paraId="0D26765B">
      <w:pPr>
        <w:autoSpaceDE w:val="0"/>
        <w:autoSpaceDN w:val="0"/>
        <w:spacing w:before="128" w:line="350" w:lineRule="auto"/>
        <w:ind w:left="426" w:right="567" w:firstLine="420"/>
        <w:jc w:val="left"/>
        <w:rPr>
          <w:rFonts w:ascii="宋体" w:hAnsi="宋体" w:eastAsia="宋体" w:cs="宋体"/>
          <w:szCs w:val="21"/>
        </w:rPr>
      </w:pPr>
      <w:r>
        <w:rPr>
          <w:rFonts w:ascii="宋体" w:hAnsi="宋体" w:eastAsia="宋体" w:cs="宋体"/>
          <w:spacing w:val="-2"/>
          <w:szCs w:val="21"/>
        </w:rPr>
        <w:t>不可抗力发生后，发包人和承包人均应采取措施尽量避免和减少损失的扩大，任何一方没有采取有效措施导致损失扩大的，应对扩大的损失承担责任。</w:t>
      </w:r>
    </w:p>
    <w:p w14:paraId="4233D757">
      <w:pPr>
        <w:numPr>
          <w:ilvl w:val="2"/>
          <w:numId w:val="61"/>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3"/>
          <w:szCs w:val="22"/>
        </w:rPr>
        <w:t>因不可抗力解除合同</w:t>
      </w:r>
    </w:p>
    <w:p w14:paraId="3B5EC6DC">
      <w:pPr>
        <w:autoSpaceDE w:val="0"/>
        <w:autoSpaceDN w:val="0"/>
        <w:spacing w:before="127" w:line="350" w:lineRule="auto"/>
        <w:ind w:left="426" w:right="567" w:firstLine="420"/>
        <w:rPr>
          <w:rFonts w:ascii="宋体" w:hAnsi="宋体" w:eastAsia="宋体" w:cs="宋体"/>
          <w:szCs w:val="21"/>
        </w:rPr>
      </w:pPr>
      <w:r>
        <w:rPr>
          <w:rFonts w:ascii="宋体" w:hAnsi="宋体" w:eastAsia="宋体" w:cs="宋体"/>
          <w:spacing w:val="-2"/>
          <w:szCs w:val="21"/>
        </w:rPr>
        <w:t>合同一方当事人因不可抗力不能履行合同的，应当及时通知对方解除合同。合同解除后，承包</w:t>
      </w:r>
      <w:r>
        <w:rPr>
          <w:rFonts w:ascii="宋体" w:hAnsi="宋体" w:eastAsia="宋体" w:cs="宋体"/>
          <w:szCs w:val="21"/>
        </w:rPr>
        <w:t>人应按照第 22.2.5 项约定撤离施工场地。已经订货的材料由订货方负责退货或解除订货合同，不</w:t>
      </w:r>
      <w:r>
        <w:rPr>
          <w:rFonts w:ascii="宋体" w:hAnsi="宋体" w:eastAsia="宋体" w:cs="宋体"/>
          <w:spacing w:val="-2"/>
          <w:szCs w:val="21"/>
        </w:rPr>
        <w:t xml:space="preserve">能退还的货款和因退货、解除订货合同发生的费用，由发包人承担，因未及时退货造成的损失由责任方承担。合同解除后的付款，参照第 </w:t>
      </w:r>
      <w:r>
        <w:rPr>
          <w:rFonts w:ascii="宋体" w:hAnsi="宋体" w:eastAsia="宋体" w:cs="宋体"/>
          <w:szCs w:val="21"/>
        </w:rPr>
        <w:t>22.2.4</w:t>
      </w:r>
      <w:r>
        <w:rPr>
          <w:rFonts w:ascii="宋体" w:hAnsi="宋体" w:eastAsia="宋体" w:cs="宋体"/>
          <w:spacing w:val="-7"/>
          <w:szCs w:val="21"/>
        </w:rPr>
        <w:t xml:space="preserve"> 项约定，由监理人按第 </w:t>
      </w:r>
      <w:r>
        <w:rPr>
          <w:rFonts w:ascii="宋体" w:hAnsi="宋体" w:eastAsia="宋体" w:cs="宋体"/>
          <w:szCs w:val="21"/>
        </w:rPr>
        <w:t>3.5</w:t>
      </w:r>
      <w:r>
        <w:rPr>
          <w:rFonts w:ascii="宋体" w:hAnsi="宋体" w:eastAsia="宋体" w:cs="宋体"/>
          <w:spacing w:val="-5"/>
          <w:szCs w:val="21"/>
        </w:rPr>
        <w:t xml:space="preserve"> 款商定或确定，但由于</w:t>
      </w:r>
      <w:r>
        <w:rPr>
          <w:rFonts w:ascii="宋体" w:hAnsi="宋体" w:eastAsia="宋体" w:cs="宋体"/>
          <w:spacing w:val="-2"/>
          <w:szCs w:val="21"/>
        </w:rPr>
        <w:t>解除合同应赔偿的承包人损失不予考虑。</w:t>
      </w:r>
    </w:p>
    <w:p w14:paraId="38F83491">
      <w:pPr>
        <w:numPr>
          <w:ilvl w:val="0"/>
          <w:numId w:val="63"/>
        </w:numPr>
        <w:tabs>
          <w:tab w:val="left" w:pos="842"/>
        </w:tabs>
        <w:autoSpaceDE w:val="0"/>
        <w:autoSpaceDN w:val="0"/>
        <w:spacing w:before="7"/>
        <w:ind w:left="842" w:hanging="416"/>
        <w:rPr>
          <w:rFonts w:ascii="宋体" w:hAnsi="宋体" w:eastAsia="宋体" w:cs="宋体"/>
          <w:szCs w:val="22"/>
        </w:rPr>
      </w:pPr>
      <w:r>
        <w:rPr>
          <w:rFonts w:ascii="宋体" w:hAnsi="宋体" w:eastAsia="宋体" w:cs="宋体"/>
          <w:spacing w:val="-6"/>
          <w:szCs w:val="22"/>
        </w:rPr>
        <w:t>违约</w:t>
      </w:r>
    </w:p>
    <w:p w14:paraId="3E9EAB73">
      <w:pPr>
        <w:numPr>
          <w:ilvl w:val="1"/>
          <w:numId w:val="63"/>
        </w:numPr>
        <w:tabs>
          <w:tab w:val="left" w:pos="1054"/>
        </w:tabs>
        <w:autoSpaceDE w:val="0"/>
        <w:autoSpaceDN w:val="0"/>
        <w:spacing w:before="128"/>
        <w:ind w:left="1054" w:hanging="628"/>
        <w:jc w:val="left"/>
        <w:rPr>
          <w:rFonts w:ascii="宋体" w:hAnsi="宋体" w:eastAsia="宋体" w:cs="宋体"/>
          <w:szCs w:val="22"/>
        </w:rPr>
      </w:pPr>
      <w:r>
        <w:rPr>
          <w:rFonts w:ascii="宋体" w:hAnsi="宋体" w:eastAsia="宋体" w:cs="宋体"/>
          <w:spacing w:val="-4"/>
          <w:szCs w:val="22"/>
        </w:rPr>
        <w:t>承包人违约</w:t>
      </w:r>
    </w:p>
    <w:p w14:paraId="71CDE8E4">
      <w:pPr>
        <w:numPr>
          <w:ilvl w:val="2"/>
          <w:numId w:val="63"/>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4"/>
          <w:szCs w:val="22"/>
        </w:rPr>
        <w:t>承包人违约的情形</w:t>
      </w:r>
    </w:p>
    <w:p w14:paraId="75624973">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在履行合同过程中发生的下列情况属承包人违约：</w:t>
      </w:r>
    </w:p>
    <w:p w14:paraId="61DB1DAE">
      <w:pPr>
        <w:numPr>
          <w:ilvl w:val="0"/>
          <w:numId w:val="64"/>
        </w:numPr>
        <w:tabs>
          <w:tab w:val="left" w:pos="1267"/>
        </w:tabs>
        <w:autoSpaceDE w:val="0"/>
        <w:autoSpaceDN w:val="0"/>
        <w:spacing w:before="128" w:line="350" w:lineRule="auto"/>
        <w:ind w:right="569" w:firstLine="314"/>
        <w:rPr>
          <w:rFonts w:ascii="宋体" w:hAnsi="宋体" w:eastAsia="宋体" w:cs="宋体"/>
          <w:szCs w:val="22"/>
        </w:rPr>
      </w:pPr>
      <w:r>
        <w:rPr>
          <w:rFonts w:ascii="宋体" w:hAnsi="宋体" w:eastAsia="宋体" w:cs="宋体"/>
          <w:szCs w:val="22"/>
        </w:rPr>
        <w:t>承包人违反第 1.8</w:t>
      </w:r>
      <w:r>
        <w:rPr>
          <w:rFonts w:ascii="宋体" w:hAnsi="宋体" w:eastAsia="宋体" w:cs="宋体"/>
          <w:spacing w:val="-1"/>
          <w:szCs w:val="22"/>
        </w:rPr>
        <w:t xml:space="preserve"> 款或第 </w:t>
      </w:r>
      <w:r>
        <w:rPr>
          <w:rFonts w:ascii="宋体" w:hAnsi="宋体" w:eastAsia="宋体" w:cs="宋体"/>
          <w:szCs w:val="22"/>
        </w:rPr>
        <w:t>4.3</w:t>
      </w:r>
      <w:r>
        <w:rPr>
          <w:rFonts w:ascii="宋体" w:hAnsi="宋体" w:eastAsia="宋体" w:cs="宋体"/>
          <w:spacing w:val="-1"/>
          <w:szCs w:val="22"/>
        </w:rPr>
        <w:t xml:space="preserve"> 款的约定，私自将合同的全部或部分权利转让给其他人，</w:t>
      </w:r>
      <w:r>
        <w:rPr>
          <w:rFonts w:ascii="宋体" w:hAnsi="宋体" w:eastAsia="宋体" w:cs="宋体"/>
          <w:spacing w:val="-2"/>
          <w:szCs w:val="22"/>
        </w:rPr>
        <w:t>或私自将合同的全部或部分义务转移给其他人；</w:t>
      </w:r>
    </w:p>
    <w:p w14:paraId="28A8369A">
      <w:pPr>
        <w:numPr>
          <w:ilvl w:val="0"/>
          <w:numId w:val="64"/>
        </w:numPr>
        <w:tabs>
          <w:tab w:val="left" w:pos="1267"/>
        </w:tabs>
        <w:autoSpaceDE w:val="0"/>
        <w:autoSpaceDN w:val="0"/>
        <w:spacing w:before="2" w:line="352" w:lineRule="auto"/>
        <w:ind w:right="569" w:firstLine="314"/>
        <w:rPr>
          <w:rFonts w:ascii="宋体" w:hAnsi="宋体" w:eastAsia="宋体" w:cs="宋体"/>
          <w:szCs w:val="22"/>
        </w:rPr>
      </w:pPr>
      <w:r>
        <w:rPr>
          <w:rFonts w:ascii="宋体" w:hAnsi="宋体" w:eastAsia="宋体" w:cs="宋体"/>
          <w:szCs w:val="22"/>
        </w:rPr>
        <w:t>承包人违反第 5.3</w:t>
      </w:r>
      <w:r>
        <w:rPr>
          <w:rFonts w:ascii="宋体" w:hAnsi="宋体" w:eastAsia="宋体" w:cs="宋体"/>
          <w:spacing w:val="-1"/>
          <w:szCs w:val="22"/>
        </w:rPr>
        <w:t xml:space="preserve"> 款或第 </w:t>
      </w:r>
      <w:r>
        <w:rPr>
          <w:rFonts w:ascii="宋体" w:hAnsi="宋体" w:eastAsia="宋体" w:cs="宋体"/>
          <w:szCs w:val="22"/>
        </w:rPr>
        <w:t>6.4</w:t>
      </w:r>
      <w:r>
        <w:rPr>
          <w:rFonts w:ascii="宋体" w:hAnsi="宋体" w:eastAsia="宋体" w:cs="宋体"/>
          <w:spacing w:val="-1"/>
          <w:szCs w:val="22"/>
        </w:rPr>
        <w:t xml:space="preserve"> 款的约定，未经监理人批准，私自将已按合同约定进入施</w:t>
      </w:r>
      <w:r>
        <w:rPr>
          <w:rFonts w:ascii="宋体" w:hAnsi="宋体" w:eastAsia="宋体" w:cs="宋体"/>
          <w:spacing w:val="-2"/>
          <w:szCs w:val="22"/>
        </w:rPr>
        <w:t>工现场的施工设备、临时设施、材料或工程设备撤离施工场地；</w:t>
      </w:r>
    </w:p>
    <w:p w14:paraId="6C992526">
      <w:pPr>
        <w:spacing w:line="352" w:lineRule="auto"/>
        <w:jc w:val="left"/>
        <w:sectPr>
          <w:pgSz w:w="11910" w:h="16840"/>
          <w:pgMar w:top="1640" w:right="849" w:bottom="1360" w:left="992" w:header="0" w:footer="1176" w:gutter="0"/>
          <w:cols w:space="720" w:num="1"/>
        </w:sectPr>
      </w:pPr>
    </w:p>
    <w:p w14:paraId="4A97A8CF">
      <w:pPr>
        <w:numPr>
          <w:ilvl w:val="0"/>
          <w:numId w:val="64"/>
        </w:numPr>
        <w:tabs>
          <w:tab w:val="left" w:pos="1242"/>
        </w:tabs>
        <w:autoSpaceDE w:val="0"/>
        <w:autoSpaceDN w:val="0"/>
        <w:spacing w:before="37" w:line="350" w:lineRule="auto"/>
        <w:ind w:right="569" w:firstLine="314"/>
        <w:rPr>
          <w:rFonts w:ascii="宋体" w:hAnsi="宋体" w:eastAsia="宋体" w:cs="宋体"/>
          <w:szCs w:val="22"/>
        </w:rPr>
      </w:pPr>
      <w:r>
        <w:rPr>
          <w:rFonts w:ascii="宋体" w:hAnsi="宋体" w:eastAsia="宋体" w:cs="宋体"/>
          <w:spacing w:val="-4"/>
          <w:szCs w:val="22"/>
        </w:rPr>
        <w:t xml:space="preserve">承包人违反第 </w:t>
      </w:r>
      <w:r>
        <w:rPr>
          <w:rFonts w:ascii="宋体" w:hAnsi="宋体" w:eastAsia="宋体" w:cs="宋体"/>
          <w:szCs w:val="22"/>
        </w:rPr>
        <w:t>5.4</w:t>
      </w:r>
      <w:r>
        <w:rPr>
          <w:rFonts w:ascii="宋体" w:hAnsi="宋体" w:eastAsia="宋体" w:cs="宋体"/>
          <w:spacing w:val="-5"/>
          <w:szCs w:val="22"/>
        </w:rPr>
        <w:t xml:space="preserve"> 款的约定使用了不合格材料或工程设备，工程质量达不到标准要求，又</w:t>
      </w:r>
      <w:r>
        <w:rPr>
          <w:rFonts w:ascii="宋体" w:hAnsi="宋体" w:eastAsia="宋体" w:cs="宋体"/>
          <w:spacing w:val="-2"/>
          <w:szCs w:val="22"/>
        </w:rPr>
        <w:t>拒绝清除不合格工程；</w:t>
      </w:r>
    </w:p>
    <w:p w14:paraId="2A841725">
      <w:pPr>
        <w:numPr>
          <w:ilvl w:val="0"/>
          <w:numId w:val="64"/>
        </w:numPr>
        <w:tabs>
          <w:tab w:val="left" w:pos="1261"/>
        </w:tabs>
        <w:autoSpaceDE w:val="0"/>
        <w:autoSpaceDN w:val="0"/>
        <w:spacing w:before="2"/>
        <w:ind w:left="1261" w:hanging="521"/>
        <w:rPr>
          <w:rFonts w:ascii="宋体" w:hAnsi="宋体" w:eastAsia="宋体" w:cs="宋体"/>
          <w:szCs w:val="22"/>
        </w:rPr>
      </w:pPr>
      <w:r>
        <w:rPr>
          <w:rFonts w:ascii="宋体" w:hAnsi="宋体" w:eastAsia="宋体" w:cs="宋体"/>
          <w:spacing w:val="-3"/>
          <w:szCs w:val="22"/>
        </w:rPr>
        <w:t>承包人未能按合同进度计划及时完成合同约定的工作，已造成或预期造成工期延误；</w:t>
      </w:r>
    </w:p>
    <w:p w14:paraId="67C4D7C8">
      <w:pPr>
        <w:numPr>
          <w:ilvl w:val="0"/>
          <w:numId w:val="64"/>
        </w:numPr>
        <w:tabs>
          <w:tab w:val="left" w:pos="1267"/>
        </w:tabs>
        <w:autoSpaceDE w:val="0"/>
        <w:autoSpaceDN w:val="0"/>
        <w:spacing w:before="128" w:line="350" w:lineRule="auto"/>
        <w:ind w:right="569" w:firstLine="314"/>
        <w:rPr>
          <w:rFonts w:ascii="宋体" w:hAnsi="宋体" w:eastAsia="宋体" w:cs="宋体"/>
          <w:szCs w:val="22"/>
        </w:rPr>
      </w:pPr>
      <w:r>
        <w:rPr>
          <w:rFonts w:ascii="宋体" w:hAnsi="宋体" w:eastAsia="宋体" w:cs="宋体"/>
          <w:spacing w:val="-2"/>
          <w:szCs w:val="22"/>
        </w:rPr>
        <w:t>承包人在缺陷责任期内，未能对工程接收证书所列的缺陷清单的内容或缺陷责任期内发生的缺陷进行修复，而又拒绝按监理人指示再进行修补；</w:t>
      </w:r>
    </w:p>
    <w:p w14:paraId="36905451">
      <w:pPr>
        <w:numPr>
          <w:ilvl w:val="0"/>
          <w:numId w:val="64"/>
        </w:numPr>
        <w:tabs>
          <w:tab w:val="left" w:pos="1261"/>
        </w:tabs>
        <w:autoSpaceDE w:val="0"/>
        <w:autoSpaceDN w:val="0"/>
        <w:spacing w:before="2"/>
        <w:ind w:left="1261" w:hanging="521"/>
        <w:rPr>
          <w:rFonts w:ascii="宋体" w:hAnsi="宋体" w:eastAsia="宋体" w:cs="宋体"/>
          <w:szCs w:val="22"/>
        </w:rPr>
      </w:pPr>
      <w:r>
        <w:rPr>
          <w:rFonts w:ascii="宋体" w:hAnsi="宋体" w:eastAsia="宋体" w:cs="宋体"/>
          <w:spacing w:val="-3"/>
          <w:szCs w:val="22"/>
        </w:rPr>
        <w:t>承包人无法继续履行或明确表示不履行或实质上已停止履行合同；</w:t>
      </w:r>
    </w:p>
    <w:p w14:paraId="4F31C34D">
      <w:pPr>
        <w:numPr>
          <w:ilvl w:val="0"/>
          <w:numId w:val="64"/>
        </w:numPr>
        <w:tabs>
          <w:tab w:val="left" w:pos="1261"/>
        </w:tabs>
        <w:autoSpaceDE w:val="0"/>
        <w:autoSpaceDN w:val="0"/>
        <w:spacing w:before="127"/>
        <w:ind w:left="1261" w:hanging="521"/>
        <w:rPr>
          <w:rFonts w:ascii="宋体" w:hAnsi="宋体" w:eastAsia="宋体" w:cs="宋体"/>
          <w:szCs w:val="22"/>
        </w:rPr>
      </w:pPr>
      <w:r>
        <w:rPr>
          <w:rFonts w:ascii="宋体" w:hAnsi="宋体" w:eastAsia="宋体" w:cs="宋体"/>
          <w:spacing w:val="-3"/>
          <w:szCs w:val="22"/>
        </w:rPr>
        <w:t>项目已具备开工条件，因承包人原因，承包人未能按期开工；</w:t>
      </w:r>
    </w:p>
    <w:p w14:paraId="27FC4DEF">
      <w:pPr>
        <w:numPr>
          <w:ilvl w:val="0"/>
          <w:numId w:val="64"/>
        </w:numPr>
        <w:tabs>
          <w:tab w:val="left" w:pos="1267"/>
        </w:tabs>
        <w:autoSpaceDE w:val="0"/>
        <w:autoSpaceDN w:val="0"/>
        <w:spacing w:before="126" w:line="352" w:lineRule="auto"/>
        <w:ind w:right="567" w:firstLine="314"/>
        <w:rPr>
          <w:rFonts w:ascii="宋体" w:hAnsi="宋体" w:eastAsia="宋体" w:cs="宋体"/>
          <w:szCs w:val="22"/>
        </w:rPr>
      </w:pPr>
      <w:r>
        <w:rPr>
          <w:rFonts w:ascii="宋体" w:hAnsi="宋体" w:eastAsia="宋体" w:cs="宋体"/>
          <w:szCs w:val="22"/>
        </w:rPr>
        <w:t>承包人违反第 4.6</w:t>
      </w:r>
      <w:r>
        <w:rPr>
          <w:rFonts w:ascii="宋体" w:hAnsi="宋体" w:eastAsia="宋体" w:cs="宋体"/>
          <w:spacing w:val="-1"/>
          <w:szCs w:val="22"/>
        </w:rPr>
        <w:t xml:space="preserve"> 款或 </w:t>
      </w:r>
      <w:r>
        <w:rPr>
          <w:rFonts w:ascii="宋体" w:hAnsi="宋体" w:eastAsia="宋体" w:cs="宋体"/>
          <w:szCs w:val="22"/>
        </w:rPr>
        <w:t>6.3 款的规定，未按承诺或未按监理人的要求及时配备称职的主</w:t>
      </w:r>
      <w:r>
        <w:rPr>
          <w:rFonts w:ascii="宋体" w:hAnsi="宋体" w:eastAsia="宋体" w:cs="宋体"/>
          <w:spacing w:val="-2"/>
          <w:szCs w:val="22"/>
        </w:rPr>
        <w:t>要管理人员、技术骨干或关键施工设备；</w:t>
      </w:r>
    </w:p>
    <w:p w14:paraId="7B1E8F93">
      <w:pPr>
        <w:numPr>
          <w:ilvl w:val="0"/>
          <w:numId w:val="64"/>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经监理人和发包人检查，发现承包人有安全问题或有违反安全管理规章制度的情况；</w:t>
      </w:r>
    </w:p>
    <w:p w14:paraId="6C1F920A">
      <w:pPr>
        <w:numPr>
          <w:ilvl w:val="2"/>
          <w:numId w:val="63"/>
        </w:numPr>
        <w:tabs>
          <w:tab w:val="left" w:pos="1684"/>
        </w:tabs>
        <w:autoSpaceDE w:val="0"/>
        <w:autoSpaceDN w:val="0"/>
        <w:spacing w:before="125"/>
        <w:ind w:left="1684" w:hanging="838"/>
        <w:rPr>
          <w:rFonts w:ascii="宋体" w:hAnsi="宋体" w:eastAsia="宋体" w:cs="宋体"/>
          <w:szCs w:val="22"/>
        </w:rPr>
      </w:pPr>
      <w:r>
        <w:rPr>
          <w:rFonts w:ascii="宋体" w:hAnsi="宋体" w:eastAsia="宋体" w:cs="宋体"/>
          <w:spacing w:val="-3"/>
          <w:szCs w:val="22"/>
        </w:rPr>
        <w:t>对承包人违约的处理</w:t>
      </w:r>
    </w:p>
    <w:p w14:paraId="3DEAF078">
      <w:pPr>
        <w:numPr>
          <w:ilvl w:val="0"/>
          <w:numId w:val="65"/>
        </w:numPr>
        <w:tabs>
          <w:tab w:val="left" w:pos="1249"/>
        </w:tabs>
        <w:autoSpaceDE w:val="0"/>
        <w:autoSpaceDN w:val="0"/>
        <w:spacing w:before="128" w:line="352" w:lineRule="auto"/>
        <w:ind w:right="569" w:firstLine="314"/>
        <w:rPr>
          <w:rFonts w:ascii="宋体" w:hAnsi="宋体" w:eastAsia="宋体" w:cs="宋体"/>
          <w:szCs w:val="22"/>
        </w:rPr>
      </w:pPr>
      <w:r>
        <w:rPr>
          <w:rFonts w:ascii="宋体" w:hAnsi="宋体" w:eastAsia="宋体" w:cs="宋体"/>
          <w:spacing w:val="-2"/>
          <w:szCs w:val="22"/>
        </w:rPr>
        <w:t>承包人发生第 22.1.1（6）</w:t>
      </w:r>
      <w:r>
        <w:rPr>
          <w:rFonts w:ascii="宋体" w:hAnsi="宋体" w:eastAsia="宋体" w:cs="宋体"/>
          <w:spacing w:val="-4"/>
          <w:szCs w:val="22"/>
        </w:rPr>
        <w:t xml:space="preserve"> 目约定的违约情况时，发包人可通知承包人立即解除合同，并</w:t>
      </w:r>
      <w:r>
        <w:rPr>
          <w:rFonts w:ascii="宋体" w:hAnsi="宋体" w:eastAsia="宋体" w:cs="宋体"/>
          <w:spacing w:val="-2"/>
          <w:szCs w:val="22"/>
        </w:rPr>
        <w:t>按有关法律处理。</w:t>
      </w:r>
    </w:p>
    <w:p w14:paraId="5AD815D5">
      <w:pPr>
        <w:numPr>
          <w:ilvl w:val="0"/>
          <w:numId w:val="65"/>
        </w:numPr>
        <w:tabs>
          <w:tab w:val="left" w:pos="1247"/>
        </w:tabs>
        <w:autoSpaceDE w:val="0"/>
        <w:autoSpaceDN w:val="0"/>
        <w:spacing w:line="352" w:lineRule="auto"/>
        <w:ind w:right="569" w:firstLine="314"/>
        <w:rPr>
          <w:rFonts w:ascii="宋体" w:hAnsi="宋体" w:eastAsia="宋体" w:cs="宋体"/>
          <w:szCs w:val="22"/>
        </w:rPr>
      </w:pPr>
      <w:r>
        <w:rPr>
          <w:rFonts w:ascii="宋体" w:hAnsi="宋体" w:eastAsia="宋体" w:cs="宋体"/>
          <w:spacing w:val="-4"/>
          <w:szCs w:val="22"/>
        </w:rPr>
        <w:t xml:space="preserve">承包人发生除第 </w:t>
      </w:r>
      <w:r>
        <w:rPr>
          <w:rFonts w:ascii="宋体" w:hAnsi="宋体" w:eastAsia="宋体" w:cs="宋体"/>
          <w:szCs w:val="22"/>
        </w:rPr>
        <w:t>22.1.1（6）</w:t>
      </w:r>
      <w:r>
        <w:rPr>
          <w:rFonts w:ascii="宋体" w:hAnsi="宋体" w:eastAsia="宋体" w:cs="宋体"/>
          <w:spacing w:val="-5"/>
          <w:szCs w:val="22"/>
        </w:rPr>
        <w:t xml:space="preserve"> 目约定以外的其它违约情况时，监理人可向承包人发出整改</w:t>
      </w:r>
      <w:r>
        <w:rPr>
          <w:rFonts w:ascii="宋体" w:hAnsi="宋体" w:eastAsia="宋体" w:cs="宋体"/>
          <w:spacing w:val="-2"/>
          <w:szCs w:val="22"/>
        </w:rPr>
        <w:t>通知，要求其在指定的期限内改正。承包人应承担其违约所引起的费用增加和（或）工期延误。</w:t>
      </w:r>
    </w:p>
    <w:p w14:paraId="66FA488F">
      <w:pPr>
        <w:numPr>
          <w:ilvl w:val="0"/>
          <w:numId w:val="65"/>
        </w:numPr>
        <w:tabs>
          <w:tab w:val="left" w:pos="1267"/>
        </w:tabs>
        <w:autoSpaceDE w:val="0"/>
        <w:autoSpaceDN w:val="0"/>
        <w:spacing w:line="350" w:lineRule="auto"/>
        <w:ind w:right="569" w:firstLine="314"/>
        <w:rPr>
          <w:rFonts w:ascii="宋体" w:hAnsi="宋体" w:eastAsia="宋体" w:cs="宋体"/>
          <w:szCs w:val="22"/>
        </w:rPr>
      </w:pPr>
      <w:r>
        <w:rPr>
          <w:rFonts w:ascii="宋体" w:hAnsi="宋体" w:eastAsia="宋体" w:cs="宋体"/>
          <w:spacing w:val="-2"/>
          <w:szCs w:val="22"/>
        </w:rPr>
        <w:t>经检查证明承包人已采取了有效措施纠正违约行为，具备复工条件的，可由监理人签发复工通知复工。</w:t>
      </w:r>
    </w:p>
    <w:p w14:paraId="5BCB6CD5">
      <w:pPr>
        <w:numPr>
          <w:ilvl w:val="0"/>
          <w:numId w:val="65"/>
        </w:numPr>
        <w:tabs>
          <w:tab w:val="left" w:pos="1267"/>
        </w:tabs>
        <w:autoSpaceDE w:val="0"/>
        <w:autoSpaceDN w:val="0"/>
        <w:spacing w:line="350" w:lineRule="auto"/>
        <w:ind w:right="567" w:firstLine="314"/>
        <w:jc w:val="both"/>
        <w:rPr>
          <w:rFonts w:ascii="宋体" w:hAnsi="宋体" w:eastAsia="宋体" w:cs="宋体"/>
          <w:szCs w:val="22"/>
        </w:rPr>
      </w:pPr>
      <w:r>
        <w:rPr>
          <w:rFonts w:ascii="宋体" w:hAnsi="宋体" w:eastAsia="宋体" w:cs="宋体"/>
          <w:szCs w:val="22"/>
        </w:rPr>
        <w:t>承包人发生第 22.1.1 项约定的违约情况时，无论发包人是否解除合同，发包人均有权向</w:t>
      </w:r>
      <w:r>
        <w:rPr>
          <w:rFonts w:ascii="宋体" w:hAnsi="宋体" w:eastAsia="宋体" w:cs="宋体"/>
          <w:spacing w:val="-2"/>
          <w:szCs w:val="22"/>
        </w:rPr>
        <w:t>承包人课以专用合同条款中规定的违约金，并由发包人将其违约行为上报省级交通主管部门，作为不良记录纳入浙江省交通运输信用综合管理服务系统。</w:t>
      </w:r>
    </w:p>
    <w:p w14:paraId="15019EAA">
      <w:pPr>
        <w:numPr>
          <w:ilvl w:val="2"/>
          <w:numId w:val="63"/>
        </w:numPr>
        <w:tabs>
          <w:tab w:val="left" w:pos="1684"/>
        </w:tabs>
        <w:autoSpaceDE w:val="0"/>
        <w:autoSpaceDN w:val="0"/>
        <w:spacing w:before="2"/>
        <w:ind w:left="1684" w:hanging="838"/>
        <w:jc w:val="both"/>
        <w:rPr>
          <w:rFonts w:ascii="宋体" w:hAnsi="宋体" w:eastAsia="宋体" w:cs="宋体"/>
          <w:szCs w:val="22"/>
        </w:rPr>
      </w:pPr>
      <w:r>
        <w:rPr>
          <w:rFonts w:ascii="宋体" w:hAnsi="宋体" w:eastAsia="宋体" w:cs="宋体"/>
          <w:spacing w:val="-3"/>
          <w:szCs w:val="22"/>
        </w:rPr>
        <w:t>承包人违约解除合同</w:t>
      </w:r>
    </w:p>
    <w:p w14:paraId="54A0FE18">
      <w:pPr>
        <w:autoSpaceDE w:val="0"/>
        <w:autoSpaceDN w:val="0"/>
        <w:spacing w:before="128" w:line="352" w:lineRule="auto"/>
        <w:ind w:left="426" w:right="567" w:firstLine="420"/>
        <w:rPr>
          <w:rFonts w:ascii="宋体" w:hAnsi="宋体" w:eastAsia="宋体" w:cs="宋体"/>
          <w:szCs w:val="21"/>
        </w:rPr>
      </w:pPr>
      <w:r>
        <w:rPr>
          <w:rFonts w:ascii="宋体" w:hAnsi="宋体" w:eastAsia="宋体" w:cs="宋体"/>
          <w:szCs w:val="21"/>
        </w:rPr>
        <w:t>监理人发出整改通知 28 天后，承包人仍不纠正违约行为的，发包人可向承包人发出解除合同</w:t>
      </w:r>
      <w:r>
        <w:rPr>
          <w:rFonts w:ascii="宋体" w:hAnsi="宋体" w:eastAsia="宋体" w:cs="宋体"/>
          <w:spacing w:val="-2"/>
          <w:szCs w:val="21"/>
        </w:rPr>
        <w:t>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4A7279BE">
      <w:pPr>
        <w:numPr>
          <w:ilvl w:val="2"/>
          <w:numId w:val="63"/>
        </w:numPr>
        <w:tabs>
          <w:tab w:val="left" w:pos="1684"/>
        </w:tabs>
        <w:autoSpaceDE w:val="0"/>
        <w:autoSpaceDN w:val="0"/>
        <w:spacing w:line="266" w:lineRule="exact"/>
        <w:ind w:left="1684" w:hanging="838"/>
        <w:jc w:val="both"/>
        <w:rPr>
          <w:rFonts w:ascii="宋体" w:hAnsi="宋体" w:eastAsia="宋体" w:cs="宋体"/>
          <w:szCs w:val="22"/>
        </w:rPr>
      </w:pPr>
      <w:r>
        <w:rPr>
          <w:rFonts w:ascii="宋体" w:hAnsi="宋体" w:eastAsia="宋体" w:cs="宋体"/>
          <w:spacing w:val="-3"/>
          <w:szCs w:val="22"/>
        </w:rPr>
        <w:t>合同解除后的估价、付款和结清</w:t>
      </w:r>
    </w:p>
    <w:p w14:paraId="32B62844">
      <w:pPr>
        <w:numPr>
          <w:ilvl w:val="0"/>
          <w:numId w:val="66"/>
        </w:numPr>
        <w:tabs>
          <w:tab w:val="left" w:pos="1242"/>
        </w:tabs>
        <w:autoSpaceDE w:val="0"/>
        <w:autoSpaceDN w:val="0"/>
        <w:spacing w:before="127" w:line="352" w:lineRule="auto"/>
        <w:ind w:right="569" w:firstLine="314"/>
        <w:rPr>
          <w:rFonts w:ascii="宋体" w:hAnsi="宋体" w:eastAsia="宋体" w:cs="宋体"/>
          <w:szCs w:val="22"/>
        </w:rPr>
      </w:pPr>
      <w:r>
        <w:rPr>
          <w:rFonts w:ascii="宋体" w:hAnsi="宋体" w:eastAsia="宋体" w:cs="宋体"/>
          <w:spacing w:val="-3"/>
          <w:szCs w:val="22"/>
        </w:rPr>
        <w:t xml:space="preserve">合同解除后，监理人按第 </w:t>
      </w:r>
      <w:r>
        <w:rPr>
          <w:rFonts w:ascii="宋体" w:hAnsi="宋体" w:eastAsia="宋体" w:cs="宋体"/>
          <w:szCs w:val="22"/>
        </w:rPr>
        <w:t>3.5</w:t>
      </w:r>
      <w:r>
        <w:rPr>
          <w:rFonts w:ascii="宋体" w:hAnsi="宋体" w:eastAsia="宋体" w:cs="宋体"/>
          <w:spacing w:val="-5"/>
          <w:szCs w:val="22"/>
        </w:rPr>
        <w:t xml:space="preserve"> 款商定或确定承包人实际完成工作的价值，以及承包人已提</w:t>
      </w:r>
      <w:r>
        <w:rPr>
          <w:rFonts w:ascii="宋体" w:hAnsi="宋体" w:eastAsia="宋体" w:cs="宋体"/>
          <w:spacing w:val="-2"/>
          <w:szCs w:val="22"/>
        </w:rPr>
        <w:t>供的材料、施工设备、工程设备和临时工程等的价值。</w:t>
      </w:r>
    </w:p>
    <w:p w14:paraId="7F759945">
      <w:pPr>
        <w:numPr>
          <w:ilvl w:val="0"/>
          <w:numId w:val="66"/>
        </w:numPr>
        <w:tabs>
          <w:tab w:val="left" w:pos="1267"/>
        </w:tabs>
        <w:autoSpaceDE w:val="0"/>
        <w:autoSpaceDN w:val="0"/>
        <w:spacing w:line="352" w:lineRule="auto"/>
        <w:ind w:right="569" w:firstLine="314"/>
        <w:rPr>
          <w:rFonts w:ascii="宋体" w:hAnsi="宋体" w:eastAsia="宋体" w:cs="宋体"/>
          <w:szCs w:val="22"/>
        </w:rPr>
      </w:pPr>
      <w:r>
        <w:rPr>
          <w:rFonts w:ascii="宋体" w:hAnsi="宋体" w:eastAsia="宋体" w:cs="宋体"/>
          <w:spacing w:val="-2"/>
          <w:szCs w:val="22"/>
        </w:rPr>
        <w:t>合同解除后，发包人应暂停对承包人的一切付款，查清各项付款和已扣款金额，包括承包人应支付的违约金。</w:t>
      </w:r>
    </w:p>
    <w:p w14:paraId="60407039">
      <w:pPr>
        <w:numPr>
          <w:ilvl w:val="0"/>
          <w:numId w:val="66"/>
        </w:numPr>
        <w:tabs>
          <w:tab w:val="left" w:pos="1267"/>
        </w:tabs>
        <w:autoSpaceDE w:val="0"/>
        <w:autoSpaceDN w:val="0"/>
        <w:spacing w:line="350" w:lineRule="auto"/>
        <w:ind w:right="569" w:firstLine="314"/>
        <w:rPr>
          <w:rFonts w:ascii="宋体" w:hAnsi="宋体" w:eastAsia="宋体" w:cs="宋体"/>
          <w:szCs w:val="22"/>
        </w:rPr>
      </w:pPr>
      <w:r>
        <w:rPr>
          <w:rFonts w:ascii="宋体" w:hAnsi="宋体" w:eastAsia="宋体" w:cs="宋体"/>
          <w:szCs w:val="22"/>
        </w:rPr>
        <w:t>合同解除后，发包人应按第 23.4</w:t>
      </w:r>
      <w:r>
        <w:rPr>
          <w:rFonts w:ascii="宋体" w:hAnsi="宋体" w:eastAsia="宋体" w:cs="宋体"/>
          <w:spacing w:val="-1"/>
          <w:szCs w:val="22"/>
        </w:rPr>
        <w:t xml:space="preserve"> 款的约定向承包人索赔由于解除合同给发包人造成的损</w:t>
      </w:r>
      <w:r>
        <w:rPr>
          <w:rFonts w:ascii="宋体" w:hAnsi="宋体" w:eastAsia="宋体" w:cs="宋体"/>
          <w:spacing w:val="-6"/>
          <w:szCs w:val="22"/>
        </w:rPr>
        <w:t>失。</w:t>
      </w:r>
    </w:p>
    <w:p w14:paraId="7EB36375">
      <w:pPr>
        <w:numPr>
          <w:ilvl w:val="0"/>
          <w:numId w:val="66"/>
        </w:numPr>
        <w:tabs>
          <w:tab w:val="left" w:pos="1261"/>
        </w:tabs>
        <w:autoSpaceDE w:val="0"/>
        <w:autoSpaceDN w:val="0"/>
        <w:ind w:left="1261" w:hanging="521"/>
        <w:rPr>
          <w:rFonts w:ascii="宋体" w:hAnsi="宋体" w:eastAsia="宋体" w:cs="宋体"/>
          <w:szCs w:val="22"/>
        </w:rPr>
      </w:pPr>
      <w:r>
        <w:rPr>
          <w:rFonts w:ascii="宋体" w:hAnsi="宋体" w:eastAsia="宋体" w:cs="宋体"/>
          <w:spacing w:val="-3"/>
          <w:szCs w:val="22"/>
        </w:rPr>
        <w:t>合同双方确认上述往来款项后，出具最终结清付款证书，结清全部合同款项。</w:t>
      </w:r>
    </w:p>
    <w:p w14:paraId="3EAE08A8">
      <w:pPr>
        <w:numPr>
          <w:ilvl w:val="0"/>
          <w:numId w:val="66"/>
        </w:numPr>
        <w:tabs>
          <w:tab w:val="left" w:pos="1261"/>
        </w:tabs>
        <w:autoSpaceDE w:val="0"/>
        <w:autoSpaceDN w:val="0"/>
        <w:spacing w:before="126"/>
        <w:ind w:left="1261" w:hanging="521"/>
        <w:rPr>
          <w:rFonts w:ascii="宋体" w:hAnsi="宋体" w:eastAsia="宋体" w:cs="宋体"/>
          <w:szCs w:val="22"/>
        </w:rPr>
      </w:pPr>
      <w:r>
        <w:rPr>
          <w:rFonts w:ascii="宋体" w:hAnsi="宋体" w:eastAsia="宋体" w:cs="宋体"/>
          <w:spacing w:val="-2"/>
          <w:szCs w:val="22"/>
        </w:rPr>
        <w:t>发包人和承包人未能就解除合同后的结清达成一致而形成争议的，按第24</w:t>
      </w:r>
      <w:r>
        <w:rPr>
          <w:rFonts w:ascii="宋体" w:hAnsi="宋体" w:eastAsia="宋体" w:cs="宋体"/>
          <w:spacing w:val="-4"/>
          <w:szCs w:val="22"/>
        </w:rPr>
        <w:t>条的约定办理。</w:t>
      </w:r>
    </w:p>
    <w:p w14:paraId="59FC4CC9">
      <w:pPr>
        <w:jc w:val="left"/>
        <w:sectPr>
          <w:pgSz w:w="11910" w:h="16840"/>
          <w:pgMar w:top="1640" w:right="849" w:bottom="1360" w:left="992" w:header="0" w:footer="1176" w:gutter="0"/>
          <w:cols w:space="720" w:num="1"/>
        </w:sectPr>
      </w:pPr>
    </w:p>
    <w:p w14:paraId="2643CDB3">
      <w:pPr>
        <w:numPr>
          <w:ilvl w:val="2"/>
          <w:numId w:val="63"/>
        </w:numPr>
        <w:tabs>
          <w:tab w:val="left" w:pos="1684"/>
        </w:tabs>
        <w:autoSpaceDE w:val="0"/>
        <w:autoSpaceDN w:val="0"/>
        <w:spacing w:before="37"/>
        <w:ind w:left="1684" w:hanging="838"/>
        <w:rPr>
          <w:rFonts w:ascii="宋体" w:hAnsi="宋体" w:eastAsia="宋体" w:cs="宋体"/>
          <w:szCs w:val="22"/>
        </w:rPr>
      </w:pPr>
      <w:r>
        <w:rPr>
          <w:rFonts w:ascii="宋体" w:hAnsi="宋体" w:eastAsia="宋体" w:cs="宋体"/>
          <w:spacing w:val="-4"/>
          <w:szCs w:val="22"/>
        </w:rPr>
        <w:t>协议利益的转让</w:t>
      </w:r>
    </w:p>
    <w:p w14:paraId="09282319">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因承包人违约解除合同的，发包人有权要求承包人将其为实施合同而签订的材料和设备的订货协议或任何服务协议利益转让给发包人，并在解除合同后的14天内，依法办理转让手续。</w:t>
      </w:r>
    </w:p>
    <w:p w14:paraId="00568CF2">
      <w:pPr>
        <w:numPr>
          <w:ilvl w:val="2"/>
          <w:numId w:val="63"/>
        </w:numPr>
        <w:tabs>
          <w:tab w:val="left" w:pos="1684"/>
        </w:tabs>
        <w:autoSpaceDE w:val="0"/>
        <w:autoSpaceDN w:val="0"/>
        <w:spacing w:line="272" w:lineRule="exact"/>
        <w:ind w:left="1684" w:hanging="838"/>
        <w:rPr>
          <w:rFonts w:ascii="宋体" w:hAnsi="宋体" w:eastAsia="宋体" w:cs="宋体"/>
          <w:szCs w:val="22"/>
        </w:rPr>
      </w:pPr>
      <w:r>
        <w:rPr>
          <w:rFonts w:ascii="宋体" w:hAnsi="宋体" w:eastAsia="宋体" w:cs="宋体"/>
          <w:spacing w:val="-3"/>
          <w:szCs w:val="22"/>
        </w:rPr>
        <w:t>紧急情况下无能力或不愿进行抢救</w:t>
      </w:r>
    </w:p>
    <w:p w14:paraId="48ECEDD2">
      <w:pPr>
        <w:autoSpaceDE w:val="0"/>
        <w:autoSpaceDN w:val="0"/>
        <w:spacing w:before="126" w:line="352" w:lineRule="auto"/>
        <w:ind w:left="426" w:right="567" w:firstLine="420"/>
        <w:rPr>
          <w:rFonts w:ascii="宋体" w:hAnsi="宋体" w:eastAsia="宋体" w:cs="宋体"/>
          <w:szCs w:val="21"/>
        </w:rPr>
      </w:pPr>
      <w:r>
        <w:rPr>
          <w:rFonts w:ascii="宋体" w:hAnsi="宋体" w:eastAsia="宋体" w:cs="宋体"/>
          <w:spacing w:val="-2"/>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D070F85">
      <w:pPr>
        <w:numPr>
          <w:ilvl w:val="1"/>
          <w:numId w:val="63"/>
        </w:numPr>
        <w:tabs>
          <w:tab w:val="left" w:pos="1054"/>
        </w:tabs>
        <w:autoSpaceDE w:val="0"/>
        <w:autoSpaceDN w:val="0"/>
        <w:spacing w:line="269" w:lineRule="exact"/>
        <w:ind w:left="1054" w:hanging="628"/>
        <w:jc w:val="both"/>
        <w:rPr>
          <w:rFonts w:ascii="宋体" w:hAnsi="宋体" w:eastAsia="宋体" w:cs="宋体"/>
          <w:szCs w:val="22"/>
        </w:rPr>
      </w:pPr>
      <w:r>
        <w:rPr>
          <w:rFonts w:ascii="宋体" w:hAnsi="宋体" w:eastAsia="宋体" w:cs="宋体"/>
          <w:spacing w:val="-4"/>
          <w:szCs w:val="22"/>
        </w:rPr>
        <w:t>发包人违约</w:t>
      </w:r>
    </w:p>
    <w:p w14:paraId="3F510641">
      <w:pPr>
        <w:numPr>
          <w:ilvl w:val="2"/>
          <w:numId w:val="63"/>
        </w:numPr>
        <w:tabs>
          <w:tab w:val="left" w:pos="1684"/>
        </w:tabs>
        <w:autoSpaceDE w:val="0"/>
        <w:autoSpaceDN w:val="0"/>
        <w:spacing w:before="127"/>
        <w:ind w:left="1684" w:hanging="838"/>
        <w:rPr>
          <w:rFonts w:ascii="宋体" w:hAnsi="宋体" w:eastAsia="宋体" w:cs="宋体"/>
          <w:szCs w:val="22"/>
        </w:rPr>
      </w:pPr>
      <w:r>
        <w:rPr>
          <w:rFonts w:ascii="宋体" w:hAnsi="宋体" w:eastAsia="宋体" w:cs="宋体"/>
          <w:spacing w:val="-4"/>
          <w:szCs w:val="22"/>
        </w:rPr>
        <w:t>发包人违约的情形</w:t>
      </w:r>
    </w:p>
    <w:p w14:paraId="06873695">
      <w:pPr>
        <w:autoSpaceDE w:val="0"/>
        <w:autoSpaceDN w:val="0"/>
        <w:spacing w:before="128"/>
        <w:ind w:left="846"/>
        <w:jc w:val="left"/>
        <w:rPr>
          <w:rFonts w:ascii="宋体" w:hAnsi="宋体" w:eastAsia="宋体" w:cs="宋体"/>
          <w:szCs w:val="21"/>
        </w:rPr>
      </w:pPr>
      <w:r>
        <w:rPr>
          <w:rFonts w:ascii="宋体" w:hAnsi="宋体" w:eastAsia="宋体" w:cs="宋体"/>
          <w:spacing w:val="-3"/>
          <w:szCs w:val="21"/>
        </w:rPr>
        <w:t>在履行合同过程中发生的下列情形，属发包人违约：</w:t>
      </w:r>
    </w:p>
    <w:p w14:paraId="16DF6A60">
      <w:pPr>
        <w:numPr>
          <w:ilvl w:val="0"/>
          <w:numId w:val="67"/>
        </w:numPr>
        <w:tabs>
          <w:tab w:val="left" w:pos="1267"/>
        </w:tabs>
        <w:autoSpaceDE w:val="0"/>
        <w:autoSpaceDN w:val="0"/>
        <w:spacing w:before="126" w:line="352" w:lineRule="auto"/>
        <w:ind w:right="569" w:firstLine="314"/>
        <w:rPr>
          <w:rFonts w:ascii="宋体" w:hAnsi="宋体" w:eastAsia="宋体" w:cs="宋体"/>
          <w:szCs w:val="22"/>
        </w:rPr>
      </w:pPr>
      <w:r>
        <w:rPr>
          <w:rFonts w:ascii="宋体" w:hAnsi="宋体" w:eastAsia="宋体" w:cs="宋体"/>
          <w:spacing w:val="-2"/>
          <w:szCs w:val="22"/>
        </w:rPr>
        <w:t>发包人未能按合同约定支付预付款或合同价款，或拖延、拒绝批准付款申请和支付凭证，导致付款延误的；</w:t>
      </w:r>
    </w:p>
    <w:p w14:paraId="41D5B842">
      <w:pPr>
        <w:numPr>
          <w:ilvl w:val="0"/>
          <w:numId w:val="67"/>
        </w:numPr>
        <w:tabs>
          <w:tab w:val="left" w:pos="1261"/>
        </w:tabs>
        <w:autoSpaceDE w:val="0"/>
        <w:autoSpaceDN w:val="0"/>
        <w:spacing w:line="272" w:lineRule="exact"/>
        <w:ind w:left="1261" w:hanging="521"/>
        <w:rPr>
          <w:rFonts w:ascii="宋体" w:hAnsi="宋体" w:eastAsia="宋体" w:cs="宋体"/>
          <w:szCs w:val="22"/>
        </w:rPr>
      </w:pPr>
      <w:r>
        <w:rPr>
          <w:rFonts w:ascii="宋体" w:hAnsi="宋体" w:eastAsia="宋体" w:cs="宋体"/>
          <w:spacing w:val="-3"/>
          <w:szCs w:val="22"/>
        </w:rPr>
        <w:t>发包人原因造成停工的；</w:t>
      </w:r>
    </w:p>
    <w:p w14:paraId="520EA849">
      <w:pPr>
        <w:numPr>
          <w:ilvl w:val="0"/>
          <w:numId w:val="67"/>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监理人无正当理由没有在约定期限内发出复工指示，导致承包人无法复工的；</w:t>
      </w:r>
    </w:p>
    <w:p w14:paraId="10784C90">
      <w:pPr>
        <w:numPr>
          <w:ilvl w:val="0"/>
          <w:numId w:val="67"/>
        </w:numPr>
        <w:tabs>
          <w:tab w:val="left" w:pos="1267"/>
        </w:tabs>
        <w:autoSpaceDE w:val="0"/>
        <w:autoSpaceDN w:val="0"/>
        <w:spacing w:before="128" w:line="350" w:lineRule="auto"/>
        <w:ind w:right="567" w:firstLine="314"/>
        <w:jc w:val="both"/>
        <w:rPr>
          <w:rFonts w:ascii="宋体" w:hAnsi="宋体" w:eastAsia="宋体" w:cs="宋体"/>
          <w:szCs w:val="22"/>
        </w:rPr>
      </w:pPr>
      <w:r>
        <w:rPr>
          <w:rFonts w:ascii="宋体" w:hAnsi="宋体" w:eastAsia="宋体" w:cs="宋体"/>
          <w:spacing w:val="-2"/>
          <w:szCs w:val="22"/>
        </w:rPr>
        <w:t>合同实施期间，由于整体规划的需进行项目改建的，则养护合同自然终止。发包人对承包人应承担终止合同前已完成的全部工程价款，其范围限于在已给承包人的暂付款中尚未包括的款项与款额，其单价和总额价应按合同的规定。还应支付下述费用：</w:t>
      </w:r>
    </w:p>
    <w:p w14:paraId="31CC2457">
      <w:pPr>
        <w:numPr>
          <w:ilvl w:val="1"/>
          <w:numId w:val="67"/>
        </w:numPr>
        <w:tabs>
          <w:tab w:val="left" w:pos="1162"/>
        </w:tabs>
        <w:autoSpaceDE w:val="0"/>
        <w:autoSpaceDN w:val="0"/>
        <w:spacing w:before="4" w:line="352" w:lineRule="auto"/>
        <w:ind w:right="567" w:firstLine="420"/>
        <w:rPr>
          <w:rFonts w:ascii="宋体" w:hAnsi="宋体" w:eastAsia="宋体" w:cs="宋体"/>
          <w:szCs w:val="22"/>
        </w:rPr>
      </w:pPr>
      <w:r>
        <w:rPr>
          <w:rFonts w:ascii="宋体" w:hAnsi="宋体" w:eastAsia="宋体" w:cs="宋体"/>
          <w:szCs w:val="22"/>
        </w:rPr>
        <w:t>在工程量清单中第 100 章承包人驻地建设等总额支付项的应付款额，只要这些子目中的工</w:t>
      </w:r>
      <w:r>
        <w:rPr>
          <w:rFonts w:ascii="宋体" w:hAnsi="宋体" w:eastAsia="宋体" w:cs="宋体"/>
          <w:spacing w:val="-2"/>
          <w:szCs w:val="22"/>
        </w:rPr>
        <w:t>作或服务已经进行或履行，或其中的工作或服务已经部分履行了的相应比例费用；</w:t>
      </w:r>
    </w:p>
    <w:p w14:paraId="62492E2E">
      <w:pPr>
        <w:numPr>
          <w:ilvl w:val="1"/>
          <w:numId w:val="67"/>
        </w:numPr>
        <w:tabs>
          <w:tab w:val="left" w:pos="1138"/>
        </w:tabs>
        <w:autoSpaceDE w:val="0"/>
        <w:autoSpaceDN w:val="0"/>
        <w:spacing w:line="352" w:lineRule="auto"/>
        <w:ind w:right="569" w:firstLine="420"/>
        <w:rPr>
          <w:rFonts w:ascii="宋体" w:hAnsi="宋体" w:eastAsia="宋体" w:cs="宋体"/>
          <w:szCs w:val="22"/>
        </w:rPr>
      </w:pPr>
      <w:r>
        <w:rPr>
          <w:rFonts w:ascii="宋体" w:hAnsi="宋体" w:eastAsia="宋体" w:cs="宋体"/>
          <w:spacing w:val="-2"/>
          <w:szCs w:val="22"/>
        </w:rPr>
        <w:t>已经交付承包人或承包人有责任收货的、为本合同养护工程合理订购的材料、设备或货物的费用，发包人一经支付此项费用，该材料、设备或货物即成为发包人的财产；</w:t>
      </w:r>
    </w:p>
    <w:p w14:paraId="387E5761">
      <w:pPr>
        <w:numPr>
          <w:ilvl w:val="1"/>
          <w:numId w:val="67"/>
        </w:numPr>
        <w:tabs>
          <w:tab w:val="left" w:pos="1138"/>
        </w:tabs>
        <w:autoSpaceDE w:val="0"/>
        <w:autoSpaceDN w:val="0"/>
        <w:spacing w:line="350" w:lineRule="auto"/>
        <w:ind w:right="569" w:firstLine="420"/>
        <w:rPr>
          <w:rFonts w:ascii="宋体" w:hAnsi="宋体" w:eastAsia="宋体" w:cs="宋体"/>
          <w:szCs w:val="22"/>
        </w:rPr>
      </w:pPr>
      <w:r>
        <w:rPr>
          <w:rFonts w:ascii="宋体" w:hAnsi="宋体" w:eastAsia="宋体" w:cs="宋体"/>
          <w:spacing w:val="-2"/>
          <w:szCs w:val="22"/>
        </w:rPr>
        <w:t>作为已合理开支的、确实属于承包人为了完成本合同工程而预期开支的任何款额，而该开支还没有包括在本款提及的各项其它支付之内；</w:t>
      </w:r>
    </w:p>
    <w:p w14:paraId="464D26F3">
      <w:pPr>
        <w:numPr>
          <w:ilvl w:val="1"/>
          <w:numId w:val="67"/>
        </w:numPr>
        <w:tabs>
          <w:tab w:val="left" w:pos="1159"/>
        </w:tabs>
        <w:autoSpaceDE w:val="0"/>
        <w:autoSpaceDN w:val="0"/>
        <w:ind w:left="1159" w:hanging="313"/>
        <w:rPr>
          <w:rFonts w:ascii="宋体" w:hAnsi="宋体" w:eastAsia="宋体" w:cs="宋体"/>
          <w:szCs w:val="22"/>
        </w:rPr>
      </w:pPr>
      <w:r>
        <w:rPr>
          <w:rFonts w:ascii="宋体" w:hAnsi="宋体" w:eastAsia="宋体" w:cs="宋体"/>
          <w:spacing w:val="-3"/>
          <w:szCs w:val="22"/>
        </w:rPr>
        <w:t>承包人的员工在上述合同终止时的合理遣返费。</w:t>
      </w:r>
    </w:p>
    <w:p w14:paraId="4538C4B1">
      <w:pPr>
        <w:autoSpaceDE w:val="0"/>
        <w:autoSpaceDN w:val="0"/>
        <w:spacing w:before="125" w:line="350" w:lineRule="auto"/>
        <w:ind w:left="426" w:right="463" w:firstLine="420"/>
        <w:jc w:val="left"/>
        <w:rPr>
          <w:rFonts w:ascii="宋体" w:hAnsi="宋体" w:eastAsia="宋体" w:cs="宋体"/>
          <w:szCs w:val="21"/>
        </w:rPr>
      </w:pPr>
      <w:r>
        <w:rPr>
          <w:rFonts w:ascii="宋体" w:hAnsi="宋体" w:eastAsia="宋体" w:cs="宋体"/>
          <w:spacing w:val="-2"/>
          <w:szCs w:val="21"/>
        </w:rPr>
        <w:t>但是，发包人除按本款规定支付上述费用外，应有权要求承包人偿还各项预付款的未结算余额，以及在合同终止之日，按合同规定应由发包人向承包人收回的任何其</w:t>
      </w:r>
    </w:p>
    <w:p w14:paraId="63593D44">
      <w:pPr>
        <w:autoSpaceDE w:val="0"/>
        <w:autoSpaceDN w:val="0"/>
        <w:spacing w:before="2"/>
        <w:ind w:left="846"/>
        <w:jc w:val="left"/>
        <w:rPr>
          <w:rFonts w:ascii="宋体" w:hAnsi="宋体" w:eastAsia="宋体" w:cs="宋体"/>
          <w:szCs w:val="21"/>
        </w:rPr>
      </w:pPr>
      <w:r>
        <w:rPr>
          <w:rFonts w:ascii="宋体" w:hAnsi="宋体" w:eastAsia="宋体" w:cs="宋体"/>
          <w:spacing w:val="-3"/>
          <w:szCs w:val="21"/>
        </w:rPr>
        <w:t>它款额。根据本款规定应支付的费额，应由发包人在与承包人协商后确定。</w:t>
      </w:r>
    </w:p>
    <w:p w14:paraId="5E51D6BF">
      <w:pPr>
        <w:numPr>
          <w:ilvl w:val="0"/>
          <w:numId w:val="67"/>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发包人不履行合同约定其它义务的。</w:t>
      </w:r>
    </w:p>
    <w:p w14:paraId="3C87F162">
      <w:pPr>
        <w:numPr>
          <w:ilvl w:val="2"/>
          <w:numId w:val="63"/>
        </w:numPr>
        <w:tabs>
          <w:tab w:val="left" w:pos="1684"/>
        </w:tabs>
        <w:autoSpaceDE w:val="0"/>
        <w:autoSpaceDN w:val="0"/>
        <w:spacing w:before="126"/>
        <w:ind w:left="1684" w:hanging="838"/>
        <w:jc w:val="both"/>
        <w:rPr>
          <w:rFonts w:ascii="宋体" w:hAnsi="宋体" w:eastAsia="宋体" w:cs="宋体"/>
          <w:szCs w:val="22"/>
        </w:rPr>
      </w:pPr>
      <w:r>
        <w:rPr>
          <w:rFonts w:ascii="宋体" w:hAnsi="宋体" w:eastAsia="宋体" w:cs="宋体"/>
          <w:spacing w:val="-3"/>
          <w:szCs w:val="22"/>
        </w:rPr>
        <w:t>承包人有权暂停施工</w:t>
      </w:r>
    </w:p>
    <w:p w14:paraId="57F93A5C">
      <w:pPr>
        <w:autoSpaceDE w:val="0"/>
        <w:autoSpaceDN w:val="0"/>
        <w:spacing w:before="127" w:line="350" w:lineRule="auto"/>
        <w:ind w:left="426" w:right="569" w:firstLine="420"/>
        <w:rPr>
          <w:rFonts w:ascii="宋体" w:hAnsi="宋体" w:eastAsia="宋体" w:cs="宋体"/>
          <w:szCs w:val="21"/>
        </w:rPr>
      </w:pPr>
      <w:r>
        <w:rPr>
          <w:rFonts w:ascii="宋体" w:hAnsi="宋体" w:eastAsia="宋体" w:cs="宋体"/>
          <w:spacing w:val="-2"/>
          <w:szCs w:val="21"/>
        </w:rPr>
        <w:t>发包人发生除第 22.2.1（4）</w:t>
      </w:r>
      <w:r>
        <w:rPr>
          <w:rFonts w:ascii="宋体" w:hAnsi="宋体" w:eastAsia="宋体" w:cs="宋体"/>
          <w:spacing w:val="-6"/>
          <w:szCs w:val="21"/>
        </w:rPr>
        <w:t xml:space="preserve"> 目以外的违约情况时，承包人可向发包人发出通知，要求发包人</w:t>
      </w:r>
      <w:r>
        <w:rPr>
          <w:rFonts w:ascii="宋体" w:hAnsi="宋体" w:eastAsia="宋体" w:cs="宋体"/>
          <w:szCs w:val="21"/>
        </w:rPr>
        <w:t>采取有效措施纠正违约行为。发包人收到承包人通知后的 28 天内仍不履行合同义务，承包人有权</w:t>
      </w:r>
      <w:r>
        <w:rPr>
          <w:rFonts w:ascii="宋体" w:hAnsi="宋体" w:eastAsia="宋体" w:cs="宋体"/>
          <w:spacing w:val="-2"/>
          <w:szCs w:val="21"/>
        </w:rPr>
        <w:t>暂停施工，并通知监理人，发包人应承担由此增加的费用和</w:t>
      </w:r>
    </w:p>
    <w:p w14:paraId="3B9044B2">
      <w:pPr>
        <w:autoSpaceDE w:val="0"/>
        <w:autoSpaceDN w:val="0"/>
        <w:spacing w:before="5"/>
        <w:ind w:left="740"/>
        <w:jc w:val="left"/>
        <w:rPr>
          <w:rFonts w:ascii="宋体" w:hAnsi="宋体" w:eastAsia="宋体" w:cs="宋体"/>
          <w:szCs w:val="21"/>
        </w:rPr>
      </w:pPr>
      <w:r>
        <w:rPr>
          <w:rFonts w:ascii="宋体" w:hAnsi="宋体" w:eastAsia="宋体" w:cs="宋体"/>
          <w:spacing w:val="-2"/>
          <w:szCs w:val="21"/>
        </w:rPr>
        <w:t>（或）</w:t>
      </w:r>
      <w:r>
        <w:rPr>
          <w:rFonts w:ascii="宋体" w:hAnsi="宋体" w:eastAsia="宋体" w:cs="宋体"/>
          <w:spacing w:val="-3"/>
          <w:szCs w:val="21"/>
        </w:rPr>
        <w:t>工期延误，并支付承包人合理利润。</w:t>
      </w:r>
    </w:p>
    <w:p w14:paraId="083EC188">
      <w:pPr>
        <w:sectPr>
          <w:pgSz w:w="11910" w:h="16840"/>
          <w:pgMar w:top="1640" w:right="849" w:bottom="1360" w:left="992" w:header="0" w:footer="1176" w:gutter="0"/>
          <w:cols w:space="720" w:num="1"/>
        </w:sectPr>
      </w:pPr>
    </w:p>
    <w:p w14:paraId="6707090A">
      <w:pPr>
        <w:autoSpaceDE w:val="0"/>
        <w:autoSpaceDN w:val="0"/>
        <w:spacing w:before="37" w:line="350" w:lineRule="auto"/>
        <w:ind w:left="426" w:right="569" w:firstLine="420"/>
        <w:jc w:val="left"/>
        <w:rPr>
          <w:rFonts w:ascii="宋体" w:hAnsi="宋体" w:eastAsia="宋体" w:cs="宋体"/>
          <w:szCs w:val="21"/>
        </w:rPr>
      </w:pPr>
      <w:r>
        <w:rPr>
          <w:rFonts w:ascii="宋体" w:hAnsi="宋体" w:eastAsia="宋体" w:cs="宋体"/>
          <w:szCs w:val="21"/>
        </w:rPr>
        <w:t>发包人在规定的支付期到期后的 15 天之内，未能向承包人支付应付养护工程款额（扣除根据</w:t>
      </w:r>
      <w:r>
        <w:rPr>
          <w:rFonts w:ascii="宋体" w:hAnsi="宋体" w:eastAsia="宋体" w:cs="宋体"/>
          <w:spacing w:val="-2"/>
          <w:szCs w:val="21"/>
        </w:rPr>
        <w:t>合同规定有权扣除的款额后），也未向承包人说明理由，则承包人有权终止</w:t>
      </w:r>
    </w:p>
    <w:p w14:paraId="5C341AA6">
      <w:pPr>
        <w:autoSpaceDE w:val="0"/>
        <w:autoSpaceDN w:val="0"/>
        <w:spacing w:before="2"/>
        <w:ind w:left="846"/>
        <w:jc w:val="left"/>
        <w:rPr>
          <w:rFonts w:ascii="宋体" w:hAnsi="宋体" w:eastAsia="宋体" w:cs="宋体"/>
          <w:szCs w:val="21"/>
        </w:rPr>
      </w:pPr>
      <w:r>
        <w:rPr>
          <w:rFonts w:ascii="宋体" w:hAnsi="宋体" w:eastAsia="宋体" w:cs="宋体"/>
          <w:spacing w:val="-1"/>
          <w:szCs w:val="21"/>
        </w:rPr>
        <w:t xml:space="preserve">对本合同项下的承包，并通知发包人，该终止在发出通知 </w:t>
      </w:r>
      <w:r>
        <w:rPr>
          <w:rFonts w:ascii="宋体" w:hAnsi="宋体" w:eastAsia="宋体" w:cs="宋体"/>
          <w:szCs w:val="21"/>
        </w:rPr>
        <w:t>14</w:t>
      </w:r>
      <w:r>
        <w:rPr>
          <w:rFonts w:ascii="宋体" w:hAnsi="宋体" w:eastAsia="宋体" w:cs="宋体"/>
          <w:spacing w:val="-6"/>
          <w:szCs w:val="21"/>
        </w:rPr>
        <w:t xml:space="preserve"> 天后生效。</w:t>
      </w:r>
    </w:p>
    <w:p w14:paraId="3EC2AB02">
      <w:pPr>
        <w:autoSpaceDE w:val="0"/>
        <w:autoSpaceDN w:val="0"/>
        <w:spacing w:before="128" w:line="350" w:lineRule="auto"/>
        <w:ind w:left="426" w:right="569" w:firstLine="420"/>
        <w:jc w:val="left"/>
        <w:rPr>
          <w:rFonts w:ascii="宋体" w:hAnsi="宋体" w:eastAsia="宋体" w:cs="宋体"/>
          <w:szCs w:val="21"/>
        </w:rPr>
      </w:pPr>
      <w:r>
        <w:rPr>
          <w:rFonts w:ascii="宋体" w:hAnsi="宋体" w:eastAsia="宋体" w:cs="宋体"/>
          <w:spacing w:val="-4"/>
          <w:szCs w:val="21"/>
        </w:rPr>
        <w:t xml:space="preserve">应按招标文件中规定计量支付的时间进行进度支付，如连续 </w:t>
      </w:r>
      <w:r>
        <w:rPr>
          <w:rFonts w:ascii="宋体" w:hAnsi="宋体" w:eastAsia="宋体" w:cs="宋体"/>
          <w:szCs w:val="21"/>
        </w:rPr>
        <w:t>2</w:t>
      </w:r>
      <w:r>
        <w:rPr>
          <w:rFonts w:ascii="宋体" w:hAnsi="宋体" w:eastAsia="宋体" w:cs="宋体"/>
          <w:spacing w:val="-4"/>
          <w:szCs w:val="21"/>
        </w:rPr>
        <w:t xml:space="preserve"> 次发生已计量应支付而未支付工</w:t>
      </w:r>
      <w:r>
        <w:rPr>
          <w:rFonts w:ascii="宋体" w:hAnsi="宋体" w:eastAsia="宋体" w:cs="宋体"/>
          <w:spacing w:val="-2"/>
          <w:szCs w:val="21"/>
        </w:rPr>
        <w:t>程款的，承包人可停工（但不得拖欠农民工工资）。造成的损失由发包人承担。</w:t>
      </w:r>
    </w:p>
    <w:p w14:paraId="18EA0E84">
      <w:pPr>
        <w:numPr>
          <w:ilvl w:val="2"/>
          <w:numId w:val="63"/>
        </w:numPr>
        <w:tabs>
          <w:tab w:val="left" w:pos="1684"/>
        </w:tabs>
        <w:autoSpaceDE w:val="0"/>
        <w:autoSpaceDN w:val="0"/>
        <w:spacing w:before="2"/>
        <w:ind w:left="1684" w:hanging="838"/>
        <w:rPr>
          <w:rFonts w:ascii="宋体" w:hAnsi="宋体" w:eastAsia="宋体" w:cs="宋体"/>
          <w:szCs w:val="22"/>
        </w:rPr>
      </w:pPr>
      <w:r>
        <w:rPr>
          <w:rFonts w:ascii="宋体" w:hAnsi="宋体" w:eastAsia="宋体" w:cs="宋体"/>
          <w:spacing w:val="-3"/>
          <w:szCs w:val="22"/>
        </w:rPr>
        <w:t>发包人违约解除合同</w:t>
      </w:r>
    </w:p>
    <w:p w14:paraId="13295107">
      <w:pPr>
        <w:numPr>
          <w:ilvl w:val="0"/>
          <w:numId w:val="68"/>
        </w:numPr>
        <w:tabs>
          <w:tab w:val="left" w:pos="1261"/>
        </w:tabs>
        <w:autoSpaceDE w:val="0"/>
        <w:autoSpaceDN w:val="0"/>
        <w:spacing w:before="127"/>
        <w:ind w:left="1261" w:hanging="521"/>
        <w:jc w:val="both"/>
        <w:rPr>
          <w:rFonts w:ascii="宋体" w:hAnsi="宋体" w:eastAsia="宋体" w:cs="宋体"/>
          <w:szCs w:val="22"/>
        </w:rPr>
      </w:pPr>
      <w:r>
        <w:rPr>
          <w:rFonts w:ascii="宋体" w:hAnsi="宋体" w:eastAsia="宋体" w:cs="宋体"/>
          <w:spacing w:val="-7"/>
          <w:szCs w:val="22"/>
        </w:rPr>
        <w:t xml:space="preserve">发生第 </w:t>
      </w:r>
      <w:r>
        <w:rPr>
          <w:rFonts w:ascii="宋体" w:hAnsi="宋体" w:eastAsia="宋体" w:cs="宋体"/>
          <w:szCs w:val="22"/>
        </w:rPr>
        <w:t>22.2.1（4）</w:t>
      </w:r>
      <w:r>
        <w:rPr>
          <w:rFonts w:ascii="宋体" w:hAnsi="宋体" w:eastAsia="宋体" w:cs="宋体"/>
          <w:spacing w:val="-6"/>
          <w:szCs w:val="22"/>
        </w:rPr>
        <w:t xml:space="preserve"> 目的违约情况时，承包人可书面通知发包人解除合同。</w:t>
      </w:r>
    </w:p>
    <w:p w14:paraId="528B16DC">
      <w:pPr>
        <w:numPr>
          <w:ilvl w:val="0"/>
          <w:numId w:val="68"/>
        </w:numPr>
        <w:tabs>
          <w:tab w:val="left" w:pos="1267"/>
        </w:tabs>
        <w:autoSpaceDE w:val="0"/>
        <w:autoSpaceDN w:val="0"/>
        <w:spacing w:before="126" w:line="352" w:lineRule="auto"/>
        <w:ind w:left="426" w:right="567" w:firstLine="314"/>
        <w:jc w:val="both"/>
        <w:rPr>
          <w:rFonts w:ascii="宋体" w:hAnsi="宋体" w:eastAsia="宋体" w:cs="宋体"/>
          <w:szCs w:val="22"/>
        </w:rPr>
      </w:pPr>
      <w:r>
        <w:rPr>
          <w:rFonts w:ascii="宋体" w:hAnsi="宋体" w:eastAsia="宋体" w:cs="宋体"/>
          <w:szCs w:val="22"/>
        </w:rPr>
        <w:t>承包人按 22.2.2 项暂停施工 28 天后，发包人仍不纠正违约行为的，承包人可向发包人</w:t>
      </w:r>
      <w:r>
        <w:rPr>
          <w:rFonts w:ascii="宋体" w:hAnsi="宋体" w:eastAsia="宋体" w:cs="宋体"/>
          <w:spacing w:val="-2"/>
          <w:szCs w:val="22"/>
        </w:rPr>
        <w:t>发出解除合同通知。但承包人的这一行动不免除发包人承担的违约责任，也不影响承包人根据合同约定享有的索赔权利。</w:t>
      </w:r>
    </w:p>
    <w:p w14:paraId="6954A3C3">
      <w:pPr>
        <w:numPr>
          <w:ilvl w:val="2"/>
          <w:numId w:val="63"/>
        </w:numPr>
        <w:tabs>
          <w:tab w:val="left" w:pos="1684"/>
        </w:tabs>
        <w:autoSpaceDE w:val="0"/>
        <w:autoSpaceDN w:val="0"/>
        <w:spacing w:line="269" w:lineRule="exact"/>
        <w:ind w:left="1684" w:hanging="838"/>
        <w:jc w:val="both"/>
        <w:rPr>
          <w:rFonts w:ascii="宋体" w:hAnsi="宋体" w:eastAsia="宋体" w:cs="宋体"/>
          <w:szCs w:val="22"/>
        </w:rPr>
      </w:pPr>
      <w:r>
        <w:rPr>
          <w:rFonts w:ascii="宋体" w:hAnsi="宋体" w:eastAsia="宋体" w:cs="宋体"/>
          <w:spacing w:val="-4"/>
          <w:szCs w:val="22"/>
        </w:rPr>
        <w:t>解除合同后的付款</w:t>
      </w:r>
    </w:p>
    <w:p w14:paraId="08F9EDBB">
      <w:pPr>
        <w:autoSpaceDE w:val="0"/>
        <w:autoSpaceDN w:val="0"/>
        <w:spacing w:before="128" w:line="352" w:lineRule="auto"/>
        <w:ind w:left="426" w:right="566" w:firstLine="420"/>
        <w:rPr>
          <w:rFonts w:ascii="宋体" w:hAnsi="宋体" w:eastAsia="宋体" w:cs="宋体"/>
          <w:szCs w:val="21"/>
        </w:rPr>
      </w:pPr>
      <w:r>
        <w:rPr>
          <w:rFonts w:ascii="宋体" w:hAnsi="宋体" w:eastAsia="宋体" w:cs="宋体"/>
          <w:szCs w:val="21"/>
        </w:rPr>
        <w:t>因发包人违约解除合同的，发包人应在解除合同后 28 天内向承包人支付下列金额，承包人应</w:t>
      </w:r>
      <w:r>
        <w:rPr>
          <w:rFonts w:ascii="宋体" w:hAnsi="宋体" w:eastAsia="宋体" w:cs="宋体"/>
          <w:spacing w:val="-2"/>
          <w:szCs w:val="21"/>
        </w:rPr>
        <w:t>在此期限内及时向发包人提交要求支付下列金额的有关资料和凭证：</w:t>
      </w:r>
    </w:p>
    <w:p w14:paraId="1EF66051">
      <w:pPr>
        <w:numPr>
          <w:ilvl w:val="0"/>
          <w:numId w:val="69"/>
        </w:numPr>
        <w:tabs>
          <w:tab w:val="left" w:pos="1261"/>
        </w:tabs>
        <w:autoSpaceDE w:val="0"/>
        <w:autoSpaceDN w:val="0"/>
        <w:spacing w:line="270" w:lineRule="exact"/>
        <w:ind w:left="1261" w:hanging="521"/>
        <w:rPr>
          <w:rFonts w:ascii="宋体" w:hAnsi="宋体" w:eastAsia="宋体" w:cs="宋体"/>
          <w:szCs w:val="22"/>
        </w:rPr>
      </w:pPr>
      <w:r>
        <w:rPr>
          <w:rFonts w:ascii="宋体" w:hAnsi="宋体" w:eastAsia="宋体" w:cs="宋体"/>
          <w:spacing w:val="-3"/>
          <w:szCs w:val="22"/>
        </w:rPr>
        <w:t>合同解除日以前所完成工作的价款；</w:t>
      </w:r>
    </w:p>
    <w:p w14:paraId="33BBAE33">
      <w:pPr>
        <w:numPr>
          <w:ilvl w:val="0"/>
          <w:numId w:val="69"/>
        </w:numPr>
        <w:tabs>
          <w:tab w:val="left" w:pos="1267"/>
        </w:tabs>
        <w:autoSpaceDE w:val="0"/>
        <w:autoSpaceDN w:val="0"/>
        <w:spacing w:before="127" w:line="352" w:lineRule="auto"/>
        <w:ind w:left="426" w:right="569" w:firstLine="314"/>
        <w:rPr>
          <w:rFonts w:ascii="宋体" w:hAnsi="宋体" w:eastAsia="宋体" w:cs="宋体"/>
          <w:szCs w:val="22"/>
        </w:rPr>
      </w:pPr>
      <w:r>
        <w:rPr>
          <w:rFonts w:ascii="宋体" w:hAnsi="宋体" w:eastAsia="宋体" w:cs="宋体"/>
          <w:spacing w:val="-2"/>
          <w:szCs w:val="22"/>
        </w:rPr>
        <w:t>承包人为该工程施工订购并已付款的材料和其它物品的金额。发包人付款后，该材料和其它物品归发包人所有；</w:t>
      </w:r>
    </w:p>
    <w:p w14:paraId="1AAAB3A9">
      <w:pPr>
        <w:numPr>
          <w:ilvl w:val="0"/>
          <w:numId w:val="69"/>
        </w:numPr>
        <w:tabs>
          <w:tab w:val="left" w:pos="1261"/>
        </w:tabs>
        <w:autoSpaceDE w:val="0"/>
        <w:autoSpaceDN w:val="0"/>
        <w:spacing w:line="270" w:lineRule="exact"/>
        <w:ind w:left="1261" w:hanging="521"/>
        <w:rPr>
          <w:rFonts w:ascii="宋体" w:hAnsi="宋体" w:eastAsia="宋体" w:cs="宋体"/>
          <w:szCs w:val="22"/>
        </w:rPr>
      </w:pPr>
      <w:r>
        <w:rPr>
          <w:rFonts w:ascii="宋体" w:hAnsi="宋体" w:eastAsia="宋体" w:cs="宋体"/>
          <w:spacing w:val="-3"/>
          <w:szCs w:val="22"/>
        </w:rPr>
        <w:t>承包人为完成工程所发生的，而发包人未支付的金额；</w:t>
      </w:r>
    </w:p>
    <w:p w14:paraId="0E7116B4">
      <w:pPr>
        <w:numPr>
          <w:ilvl w:val="0"/>
          <w:numId w:val="6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承包人撤离施工场地以及遣散承包人人员的金额；</w:t>
      </w:r>
    </w:p>
    <w:p w14:paraId="66170262">
      <w:pPr>
        <w:numPr>
          <w:ilvl w:val="0"/>
          <w:numId w:val="69"/>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由于解除合同应赔偿的承包人损失，包括合同约定的违约金；</w:t>
      </w:r>
    </w:p>
    <w:p w14:paraId="2649C368">
      <w:pPr>
        <w:numPr>
          <w:ilvl w:val="0"/>
          <w:numId w:val="69"/>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按合同约定在合同解除日前应支付给承包人的其它金额。</w:t>
      </w:r>
    </w:p>
    <w:p w14:paraId="5B2A814F">
      <w:pPr>
        <w:autoSpaceDE w:val="0"/>
        <w:autoSpaceDN w:val="0"/>
        <w:spacing w:before="128" w:line="352" w:lineRule="auto"/>
        <w:ind w:left="426" w:right="567" w:firstLine="420"/>
        <w:jc w:val="left"/>
        <w:rPr>
          <w:rFonts w:ascii="宋体" w:hAnsi="宋体" w:eastAsia="宋体" w:cs="宋体"/>
          <w:szCs w:val="21"/>
        </w:rPr>
      </w:pPr>
      <w:r>
        <w:rPr>
          <w:rFonts w:ascii="宋体" w:hAnsi="宋体" w:eastAsia="宋体" w:cs="宋体"/>
          <w:spacing w:val="-2"/>
          <w:szCs w:val="21"/>
        </w:rPr>
        <w:t>发包人应按本项约定支付上述金额并退还质量保证金和履约担保，但有权要求承包人支付应偿还给发包人的各项金额。</w:t>
      </w:r>
    </w:p>
    <w:p w14:paraId="31189F0B">
      <w:pPr>
        <w:numPr>
          <w:ilvl w:val="2"/>
          <w:numId w:val="63"/>
        </w:numPr>
        <w:tabs>
          <w:tab w:val="left" w:pos="1684"/>
        </w:tabs>
        <w:autoSpaceDE w:val="0"/>
        <w:autoSpaceDN w:val="0"/>
        <w:spacing w:line="270" w:lineRule="exact"/>
        <w:ind w:left="1684" w:hanging="838"/>
        <w:rPr>
          <w:rFonts w:ascii="宋体" w:hAnsi="宋体" w:eastAsia="宋体" w:cs="宋体"/>
          <w:szCs w:val="22"/>
        </w:rPr>
      </w:pPr>
      <w:r>
        <w:rPr>
          <w:rFonts w:ascii="宋体" w:hAnsi="宋体" w:eastAsia="宋体" w:cs="宋体"/>
          <w:spacing w:val="-3"/>
          <w:szCs w:val="22"/>
        </w:rPr>
        <w:t>解除合同后的承包人撤离</w:t>
      </w:r>
    </w:p>
    <w:p w14:paraId="70AED9B8">
      <w:pPr>
        <w:autoSpaceDE w:val="0"/>
        <w:autoSpaceDN w:val="0"/>
        <w:spacing w:before="128" w:line="350" w:lineRule="auto"/>
        <w:ind w:left="426" w:right="566" w:firstLine="420"/>
        <w:rPr>
          <w:rFonts w:ascii="宋体" w:hAnsi="宋体" w:eastAsia="宋体" w:cs="宋体"/>
          <w:szCs w:val="21"/>
        </w:rPr>
      </w:pPr>
      <w:r>
        <w:rPr>
          <w:rFonts w:ascii="宋体" w:hAnsi="宋体" w:eastAsia="宋体" w:cs="宋体"/>
          <w:spacing w:val="-2"/>
          <w:szCs w:val="21"/>
        </w:rPr>
        <w:t>因发包人违约而解除合同后，承包人应妥善做好已竣工工程和已购材料、设备的保护和移交工</w:t>
      </w:r>
      <w:r>
        <w:rPr>
          <w:rFonts w:ascii="宋体" w:hAnsi="宋体" w:eastAsia="宋体" w:cs="宋体"/>
          <w:szCs w:val="21"/>
        </w:rPr>
        <w:t>作，按发包人要求将承包人设备和人员撤出施工场地。承包人撤出施工场地应遵守第 18.7.1 项的</w:t>
      </w:r>
      <w:r>
        <w:rPr>
          <w:rFonts w:ascii="宋体" w:hAnsi="宋体" w:eastAsia="宋体" w:cs="宋体"/>
          <w:spacing w:val="-2"/>
          <w:szCs w:val="21"/>
        </w:rPr>
        <w:t>约定，发包人应为承包人撤出提供必要条件。</w:t>
      </w:r>
    </w:p>
    <w:p w14:paraId="4AFE7B1E">
      <w:pPr>
        <w:numPr>
          <w:ilvl w:val="1"/>
          <w:numId w:val="63"/>
        </w:numPr>
        <w:tabs>
          <w:tab w:val="left" w:pos="1474"/>
        </w:tabs>
        <w:autoSpaceDE w:val="0"/>
        <w:autoSpaceDN w:val="0"/>
        <w:spacing w:before="4"/>
        <w:ind w:left="1474" w:hanging="628"/>
        <w:jc w:val="both"/>
        <w:rPr>
          <w:rFonts w:ascii="宋体" w:hAnsi="宋体" w:eastAsia="宋体" w:cs="宋体"/>
          <w:szCs w:val="22"/>
        </w:rPr>
      </w:pPr>
      <w:r>
        <w:rPr>
          <w:rFonts w:ascii="宋体" w:hAnsi="宋体" w:eastAsia="宋体" w:cs="宋体"/>
          <w:spacing w:val="-4"/>
          <w:szCs w:val="22"/>
        </w:rPr>
        <w:t>第三人造成的违约</w:t>
      </w:r>
    </w:p>
    <w:p w14:paraId="7AA3B66D">
      <w:pPr>
        <w:autoSpaceDE w:val="0"/>
        <w:autoSpaceDN w:val="0"/>
        <w:spacing w:before="128" w:line="350" w:lineRule="auto"/>
        <w:ind w:left="426" w:right="463" w:firstLine="420"/>
        <w:jc w:val="left"/>
        <w:rPr>
          <w:rFonts w:ascii="宋体" w:hAnsi="宋体" w:eastAsia="宋体" w:cs="宋体"/>
          <w:szCs w:val="21"/>
        </w:rPr>
      </w:pPr>
      <w:r>
        <w:rPr>
          <w:rFonts w:ascii="宋体" w:hAnsi="宋体" w:eastAsia="宋体" w:cs="宋体"/>
          <w:spacing w:val="-2"/>
          <w:szCs w:val="21"/>
        </w:rPr>
        <w:t>在履行合同过程中，一方当事人因第三人的原因造成违约的，应当向对方当事人承担违约责任。一方当事人和第三人之间的纠纷，依照法律规定或者按照约定解决。</w:t>
      </w:r>
    </w:p>
    <w:p w14:paraId="23A90741">
      <w:pPr>
        <w:numPr>
          <w:ilvl w:val="0"/>
          <w:numId w:val="63"/>
        </w:numPr>
        <w:tabs>
          <w:tab w:val="left" w:pos="842"/>
        </w:tabs>
        <w:autoSpaceDE w:val="0"/>
        <w:autoSpaceDN w:val="0"/>
        <w:spacing w:before="2"/>
        <w:ind w:left="842" w:hanging="416"/>
        <w:rPr>
          <w:rFonts w:ascii="宋体" w:hAnsi="宋体" w:eastAsia="宋体" w:cs="宋体"/>
          <w:szCs w:val="22"/>
        </w:rPr>
      </w:pPr>
      <w:r>
        <w:rPr>
          <w:rFonts w:ascii="宋体" w:hAnsi="宋体" w:eastAsia="宋体" w:cs="宋体"/>
          <w:spacing w:val="-6"/>
          <w:szCs w:val="22"/>
        </w:rPr>
        <w:t>索赔</w:t>
      </w:r>
    </w:p>
    <w:p w14:paraId="1F4A0F16">
      <w:pPr>
        <w:numPr>
          <w:ilvl w:val="1"/>
          <w:numId w:val="63"/>
        </w:numPr>
        <w:tabs>
          <w:tab w:val="left" w:pos="1054"/>
        </w:tabs>
        <w:autoSpaceDE w:val="0"/>
        <w:autoSpaceDN w:val="0"/>
        <w:spacing w:before="128"/>
        <w:ind w:left="1054" w:hanging="628"/>
        <w:jc w:val="left"/>
        <w:rPr>
          <w:rFonts w:ascii="宋体" w:hAnsi="宋体" w:eastAsia="宋体" w:cs="宋体"/>
          <w:szCs w:val="22"/>
        </w:rPr>
      </w:pPr>
      <w:r>
        <w:rPr>
          <w:rFonts w:ascii="宋体" w:hAnsi="宋体" w:eastAsia="宋体" w:cs="宋体"/>
          <w:spacing w:val="-4"/>
          <w:szCs w:val="22"/>
        </w:rPr>
        <w:t>承包人索赔的提出</w:t>
      </w:r>
    </w:p>
    <w:p w14:paraId="5AC6C186">
      <w:pPr>
        <w:autoSpaceDE w:val="0"/>
        <w:autoSpaceDN w:val="0"/>
        <w:spacing w:before="125" w:line="352" w:lineRule="auto"/>
        <w:ind w:left="426" w:right="567" w:firstLine="420"/>
        <w:jc w:val="left"/>
        <w:rPr>
          <w:rFonts w:ascii="宋体" w:hAnsi="宋体" w:eastAsia="宋体" w:cs="宋体"/>
          <w:szCs w:val="21"/>
        </w:rPr>
      </w:pPr>
      <w:r>
        <w:rPr>
          <w:rFonts w:ascii="宋体" w:hAnsi="宋体" w:eastAsia="宋体" w:cs="宋体"/>
          <w:spacing w:val="-2"/>
          <w:szCs w:val="21"/>
        </w:rPr>
        <w:t>根据合同约定，承包人认为有权得到追加付款和（或）延长工期的，应按以下程序向发包人提</w:t>
      </w:r>
      <w:r>
        <w:rPr>
          <w:rFonts w:ascii="宋体" w:hAnsi="宋体" w:eastAsia="宋体" w:cs="宋体"/>
          <w:spacing w:val="-4"/>
          <w:szCs w:val="21"/>
        </w:rPr>
        <w:t>出索赔：</w:t>
      </w:r>
    </w:p>
    <w:p w14:paraId="66956FF9">
      <w:pPr>
        <w:spacing w:line="352" w:lineRule="auto"/>
        <w:sectPr>
          <w:pgSz w:w="11910" w:h="16840"/>
          <w:pgMar w:top="1640" w:right="849" w:bottom="1360" w:left="992" w:header="0" w:footer="1176" w:gutter="0"/>
          <w:cols w:space="720" w:num="1"/>
        </w:sectPr>
      </w:pPr>
    </w:p>
    <w:p w14:paraId="1DB1AB1F">
      <w:pPr>
        <w:numPr>
          <w:ilvl w:val="0"/>
          <w:numId w:val="70"/>
        </w:numPr>
        <w:tabs>
          <w:tab w:val="left" w:pos="527"/>
        </w:tabs>
        <w:autoSpaceDE w:val="0"/>
        <w:autoSpaceDN w:val="0"/>
        <w:spacing w:before="37"/>
        <w:ind w:left="527" w:right="569" w:hanging="527"/>
        <w:jc w:val="right"/>
        <w:rPr>
          <w:rFonts w:ascii="宋体" w:hAnsi="宋体" w:eastAsia="宋体" w:cs="宋体"/>
          <w:szCs w:val="22"/>
        </w:rPr>
      </w:pPr>
      <w:r>
        <w:rPr>
          <w:rFonts w:ascii="宋体" w:hAnsi="宋体" w:eastAsia="宋体" w:cs="宋体"/>
          <w:spacing w:val="-1"/>
          <w:szCs w:val="22"/>
        </w:rPr>
        <w:t xml:space="preserve">承包人应在知道或应当知道索赔事件发生后 </w:t>
      </w:r>
      <w:r>
        <w:rPr>
          <w:rFonts w:ascii="宋体" w:hAnsi="宋体" w:eastAsia="宋体" w:cs="宋体"/>
          <w:szCs w:val="22"/>
        </w:rPr>
        <w:t>28</w:t>
      </w:r>
      <w:r>
        <w:rPr>
          <w:rFonts w:ascii="宋体" w:hAnsi="宋体" w:eastAsia="宋体" w:cs="宋体"/>
          <w:spacing w:val="-4"/>
          <w:szCs w:val="22"/>
        </w:rPr>
        <w:t xml:space="preserve"> 天内，向监理人递交索赔意向通知书，并</w:t>
      </w:r>
    </w:p>
    <w:p w14:paraId="2A9B3B4A">
      <w:pPr>
        <w:autoSpaceDE w:val="0"/>
        <w:autoSpaceDN w:val="0"/>
        <w:spacing w:before="125"/>
        <w:ind w:right="569"/>
        <w:jc w:val="right"/>
        <w:rPr>
          <w:rFonts w:ascii="宋体" w:hAnsi="宋体" w:eastAsia="宋体" w:cs="宋体"/>
          <w:szCs w:val="21"/>
        </w:rPr>
      </w:pPr>
      <w:r>
        <w:rPr>
          <w:rFonts w:ascii="宋体" w:hAnsi="宋体" w:eastAsia="宋体" w:cs="宋体"/>
          <w:spacing w:val="-1"/>
          <w:szCs w:val="21"/>
        </w:rPr>
        <w:t xml:space="preserve">说明发生索赔事件的事由。承包人未在前述 </w:t>
      </w:r>
      <w:r>
        <w:rPr>
          <w:rFonts w:ascii="宋体" w:hAnsi="宋体" w:eastAsia="宋体" w:cs="宋体"/>
          <w:szCs w:val="21"/>
        </w:rPr>
        <w:t>28</w:t>
      </w:r>
      <w:r>
        <w:rPr>
          <w:rFonts w:ascii="宋体" w:hAnsi="宋体" w:eastAsia="宋体" w:cs="宋体"/>
          <w:spacing w:val="-4"/>
          <w:szCs w:val="21"/>
        </w:rPr>
        <w:t xml:space="preserve"> 天内发出索赔意向通知书的，丧失要求追加付款和</w:t>
      </w:r>
    </w:p>
    <w:p w14:paraId="0781E4AF">
      <w:pPr>
        <w:autoSpaceDE w:val="0"/>
        <w:autoSpaceDN w:val="0"/>
        <w:spacing w:before="128"/>
        <w:ind w:left="320"/>
        <w:jc w:val="left"/>
        <w:rPr>
          <w:rFonts w:ascii="宋体" w:hAnsi="宋体" w:eastAsia="宋体" w:cs="宋体"/>
          <w:szCs w:val="21"/>
        </w:rPr>
      </w:pPr>
      <w:r>
        <w:rPr>
          <w:rFonts w:ascii="宋体" w:hAnsi="宋体" w:eastAsia="宋体" w:cs="宋体"/>
          <w:spacing w:val="-2"/>
          <w:szCs w:val="21"/>
        </w:rPr>
        <w:t>（或）</w:t>
      </w:r>
      <w:r>
        <w:rPr>
          <w:rFonts w:ascii="宋体" w:hAnsi="宋体" w:eastAsia="宋体" w:cs="宋体"/>
          <w:spacing w:val="-4"/>
          <w:szCs w:val="21"/>
        </w:rPr>
        <w:t>延长工期的权利；</w:t>
      </w:r>
    </w:p>
    <w:p w14:paraId="7B143BE4">
      <w:pPr>
        <w:numPr>
          <w:ilvl w:val="0"/>
          <w:numId w:val="70"/>
        </w:numPr>
        <w:tabs>
          <w:tab w:val="left" w:pos="1267"/>
        </w:tabs>
        <w:autoSpaceDE w:val="0"/>
        <w:autoSpaceDN w:val="0"/>
        <w:spacing w:before="128" w:line="350" w:lineRule="auto"/>
        <w:ind w:left="426" w:right="569" w:firstLine="314"/>
        <w:rPr>
          <w:rFonts w:ascii="宋体" w:hAnsi="宋体" w:eastAsia="宋体" w:cs="宋体"/>
          <w:szCs w:val="22"/>
        </w:rPr>
      </w:pPr>
      <w:r>
        <w:rPr>
          <w:rFonts w:ascii="宋体" w:hAnsi="宋体" w:eastAsia="宋体" w:cs="宋体"/>
          <w:szCs w:val="22"/>
        </w:rPr>
        <w:t>承包人应在发出索赔意向通知书后 28</w:t>
      </w:r>
      <w:r>
        <w:rPr>
          <w:rFonts w:ascii="宋体" w:hAnsi="宋体" w:eastAsia="宋体" w:cs="宋体"/>
          <w:spacing w:val="-1"/>
          <w:szCs w:val="22"/>
        </w:rPr>
        <w:t xml:space="preserve"> 天内，向监理人正式递交索赔通知书。索赔通知书</w:t>
      </w:r>
      <w:r>
        <w:rPr>
          <w:rFonts w:ascii="宋体" w:hAnsi="宋体" w:eastAsia="宋体" w:cs="宋体"/>
          <w:spacing w:val="-2"/>
          <w:szCs w:val="22"/>
        </w:rPr>
        <w:t>应详细说明索赔理由以及要求追加的付款金额和（或）延长的工期，并附必要的记录和证明材料；</w:t>
      </w:r>
    </w:p>
    <w:p w14:paraId="0AB3CE71">
      <w:pPr>
        <w:numPr>
          <w:ilvl w:val="0"/>
          <w:numId w:val="70"/>
        </w:numPr>
        <w:tabs>
          <w:tab w:val="left" w:pos="1267"/>
        </w:tabs>
        <w:autoSpaceDE w:val="0"/>
        <w:autoSpaceDN w:val="0"/>
        <w:spacing w:before="2" w:line="352" w:lineRule="auto"/>
        <w:ind w:left="426" w:right="569" w:firstLine="314"/>
        <w:rPr>
          <w:rFonts w:ascii="宋体" w:hAnsi="宋体" w:eastAsia="宋体" w:cs="宋体"/>
          <w:szCs w:val="22"/>
        </w:rPr>
      </w:pPr>
      <w:r>
        <w:rPr>
          <w:rFonts w:ascii="宋体" w:hAnsi="宋体" w:eastAsia="宋体" w:cs="宋体"/>
          <w:spacing w:val="-2"/>
          <w:szCs w:val="22"/>
        </w:rPr>
        <w:t>索赔事件具有连续影响的，承包人应按合理时间间隔继续递交延续索赔通知，说明连续影响的实际情况和记录，列出累计的追加付款金额和（或）工期延长天数；</w:t>
      </w:r>
    </w:p>
    <w:p w14:paraId="45BE3C37">
      <w:pPr>
        <w:numPr>
          <w:ilvl w:val="0"/>
          <w:numId w:val="70"/>
        </w:numPr>
        <w:tabs>
          <w:tab w:val="left" w:pos="1267"/>
        </w:tabs>
        <w:autoSpaceDE w:val="0"/>
        <w:autoSpaceDN w:val="0"/>
        <w:spacing w:line="352" w:lineRule="auto"/>
        <w:ind w:left="426" w:right="567" w:firstLine="314"/>
        <w:rPr>
          <w:rFonts w:ascii="宋体" w:hAnsi="宋体" w:eastAsia="宋体" w:cs="宋体"/>
          <w:szCs w:val="22"/>
        </w:rPr>
      </w:pPr>
      <w:r>
        <w:rPr>
          <w:rFonts w:ascii="宋体" w:hAnsi="宋体" w:eastAsia="宋体" w:cs="宋体"/>
          <w:szCs w:val="22"/>
        </w:rPr>
        <w:t>在索赔事件影响结束后的 28 天内，承包人应向监理人递交最终索赔通知书，说明最终要</w:t>
      </w:r>
      <w:r>
        <w:rPr>
          <w:rFonts w:ascii="宋体" w:hAnsi="宋体" w:eastAsia="宋体" w:cs="宋体"/>
          <w:spacing w:val="-2"/>
          <w:szCs w:val="22"/>
        </w:rPr>
        <w:t>求索赔的追加付款金额和（或）延长的工期，并附必要的记录和证明材料。</w:t>
      </w:r>
    </w:p>
    <w:p w14:paraId="022E1728">
      <w:pPr>
        <w:numPr>
          <w:ilvl w:val="1"/>
          <w:numId w:val="63"/>
        </w:numPr>
        <w:tabs>
          <w:tab w:val="left" w:pos="1054"/>
        </w:tabs>
        <w:autoSpaceDE w:val="0"/>
        <w:autoSpaceDN w:val="0"/>
        <w:spacing w:line="272" w:lineRule="exact"/>
        <w:ind w:left="1054" w:hanging="628"/>
        <w:jc w:val="left"/>
        <w:rPr>
          <w:rFonts w:ascii="宋体" w:hAnsi="宋体" w:eastAsia="宋体" w:cs="宋体"/>
          <w:szCs w:val="22"/>
        </w:rPr>
      </w:pPr>
      <w:r>
        <w:rPr>
          <w:rFonts w:ascii="宋体" w:hAnsi="宋体" w:eastAsia="宋体" w:cs="宋体"/>
          <w:spacing w:val="-3"/>
          <w:szCs w:val="22"/>
        </w:rPr>
        <w:t>承包人索赔处理程序</w:t>
      </w:r>
    </w:p>
    <w:p w14:paraId="1FFC6E87">
      <w:pPr>
        <w:numPr>
          <w:ilvl w:val="0"/>
          <w:numId w:val="71"/>
        </w:numPr>
        <w:tabs>
          <w:tab w:val="left" w:pos="1267"/>
        </w:tabs>
        <w:autoSpaceDE w:val="0"/>
        <w:autoSpaceDN w:val="0"/>
        <w:spacing w:before="122" w:line="352" w:lineRule="auto"/>
        <w:ind w:right="569" w:firstLine="314"/>
        <w:rPr>
          <w:rFonts w:ascii="宋体" w:hAnsi="宋体" w:eastAsia="宋体" w:cs="宋体"/>
          <w:szCs w:val="22"/>
        </w:rPr>
      </w:pPr>
      <w:r>
        <w:rPr>
          <w:rFonts w:ascii="宋体" w:hAnsi="宋体" w:eastAsia="宋体" w:cs="宋体"/>
          <w:spacing w:val="-2"/>
          <w:szCs w:val="22"/>
        </w:rPr>
        <w:t>监理人收到承包人提交的索赔通知书后，应及时审查索赔通知书的内容、查验承包人的记录和证明材料，必要时监理人可要求承包人提交全部原始记录副本。</w:t>
      </w:r>
    </w:p>
    <w:p w14:paraId="44592678">
      <w:pPr>
        <w:numPr>
          <w:ilvl w:val="0"/>
          <w:numId w:val="71"/>
        </w:numPr>
        <w:tabs>
          <w:tab w:val="left" w:pos="1247"/>
        </w:tabs>
        <w:autoSpaceDE w:val="0"/>
        <w:autoSpaceDN w:val="0"/>
        <w:spacing w:line="272" w:lineRule="exact"/>
        <w:ind w:left="1247" w:hanging="507"/>
        <w:rPr>
          <w:rFonts w:ascii="宋体" w:hAnsi="宋体" w:eastAsia="宋体" w:cs="宋体"/>
          <w:szCs w:val="22"/>
        </w:rPr>
      </w:pPr>
      <w:r>
        <w:rPr>
          <w:rFonts w:ascii="宋体" w:hAnsi="宋体" w:eastAsia="宋体" w:cs="宋体"/>
          <w:spacing w:val="-4"/>
          <w:szCs w:val="22"/>
        </w:rPr>
        <w:t xml:space="preserve">监理人应按第 </w:t>
      </w:r>
      <w:r>
        <w:rPr>
          <w:rFonts w:ascii="宋体" w:hAnsi="宋体" w:eastAsia="宋体" w:cs="宋体"/>
          <w:spacing w:val="-2"/>
          <w:szCs w:val="22"/>
        </w:rPr>
        <w:t>3.5</w:t>
      </w:r>
      <w:r>
        <w:rPr>
          <w:rFonts w:ascii="宋体" w:hAnsi="宋体" w:eastAsia="宋体" w:cs="宋体"/>
          <w:spacing w:val="-6"/>
          <w:szCs w:val="22"/>
        </w:rPr>
        <w:t xml:space="preserve"> 款商定或确定追加的付款和</w:t>
      </w:r>
      <w:r>
        <w:rPr>
          <w:rFonts w:ascii="宋体" w:hAnsi="宋体" w:eastAsia="宋体" w:cs="宋体"/>
          <w:spacing w:val="-2"/>
          <w:szCs w:val="22"/>
        </w:rPr>
        <w:t>（或）</w:t>
      </w:r>
      <w:r>
        <w:rPr>
          <w:rFonts w:ascii="宋体" w:hAnsi="宋体" w:eastAsia="宋体" w:cs="宋体"/>
          <w:spacing w:val="-3"/>
          <w:szCs w:val="22"/>
        </w:rPr>
        <w:t>延长的工期，并在收到上述索赔通知</w:t>
      </w:r>
    </w:p>
    <w:p w14:paraId="0ED8F8F2">
      <w:pPr>
        <w:autoSpaceDE w:val="0"/>
        <w:autoSpaceDN w:val="0"/>
        <w:spacing w:before="125"/>
        <w:ind w:left="426"/>
        <w:rPr>
          <w:rFonts w:ascii="宋体" w:hAnsi="宋体" w:eastAsia="宋体" w:cs="宋体"/>
          <w:szCs w:val="21"/>
        </w:rPr>
      </w:pPr>
      <w:r>
        <w:rPr>
          <w:rFonts w:ascii="宋体" w:hAnsi="宋体" w:eastAsia="宋体" w:cs="宋体"/>
          <w:spacing w:val="-1"/>
          <w:szCs w:val="21"/>
        </w:rPr>
        <w:t xml:space="preserve">书或有关索赔的进一步证明材料后及时书面告知发包人，并在 </w:t>
      </w:r>
      <w:r>
        <w:rPr>
          <w:rFonts w:ascii="宋体" w:hAnsi="宋体" w:eastAsia="宋体" w:cs="宋体"/>
          <w:szCs w:val="21"/>
        </w:rPr>
        <w:t>42</w:t>
      </w:r>
      <w:r>
        <w:rPr>
          <w:rFonts w:ascii="宋体" w:hAnsi="宋体" w:eastAsia="宋体" w:cs="宋体"/>
          <w:spacing w:val="-4"/>
          <w:szCs w:val="21"/>
        </w:rPr>
        <w:t xml:space="preserve"> 天内，将发包人书面认可的索赔</w:t>
      </w:r>
    </w:p>
    <w:p w14:paraId="745FFF26">
      <w:pPr>
        <w:autoSpaceDE w:val="0"/>
        <w:autoSpaceDN w:val="0"/>
        <w:spacing w:before="128" w:line="350" w:lineRule="auto"/>
        <w:ind w:left="426" w:right="569"/>
        <w:rPr>
          <w:rFonts w:ascii="宋体" w:hAnsi="宋体" w:eastAsia="宋体" w:cs="宋体"/>
          <w:szCs w:val="21"/>
        </w:rPr>
      </w:pPr>
      <w:r>
        <w:rPr>
          <w:rFonts w:ascii="宋体" w:hAnsi="宋体" w:eastAsia="宋体" w:cs="宋体"/>
          <w:szCs w:val="21"/>
        </w:rPr>
        <w:t>处理结果答复承包人。监理人在收到索赔报告或有关索赔的进一步证明材料后的 42 天内不予答复</w:t>
      </w:r>
      <w:r>
        <w:rPr>
          <w:rFonts w:ascii="宋体" w:hAnsi="宋体" w:eastAsia="宋体" w:cs="宋体"/>
          <w:spacing w:val="-3"/>
          <w:szCs w:val="21"/>
        </w:rPr>
        <w:t xml:space="preserve">的，视为认可索赔。如果承包人提出的索赔要求未能遵守第 </w:t>
      </w:r>
      <w:r>
        <w:rPr>
          <w:rFonts w:ascii="宋体" w:hAnsi="宋体" w:eastAsia="宋体" w:cs="宋体"/>
          <w:spacing w:val="-2"/>
          <w:szCs w:val="21"/>
        </w:rPr>
        <w:t>23.1（2）～（4）项的规定，则承包人只限于索赔由于监理人按当时记录予以核实的那部分款额和（或）工期延长天数。</w:t>
      </w:r>
    </w:p>
    <w:p w14:paraId="0D20CF2E">
      <w:pPr>
        <w:numPr>
          <w:ilvl w:val="0"/>
          <w:numId w:val="71"/>
        </w:numPr>
        <w:tabs>
          <w:tab w:val="left" w:pos="1267"/>
        </w:tabs>
        <w:autoSpaceDE w:val="0"/>
        <w:autoSpaceDN w:val="0"/>
        <w:spacing w:before="4" w:line="352" w:lineRule="auto"/>
        <w:ind w:right="569" w:firstLine="314"/>
        <w:jc w:val="both"/>
        <w:rPr>
          <w:rFonts w:ascii="宋体" w:hAnsi="宋体" w:eastAsia="宋体" w:cs="宋体"/>
          <w:szCs w:val="22"/>
        </w:rPr>
      </w:pPr>
      <w:r>
        <w:rPr>
          <w:rFonts w:ascii="宋体" w:hAnsi="宋体" w:eastAsia="宋体" w:cs="宋体"/>
          <w:spacing w:val="-2"/>
          <w:szCs w:val="22"/>
        </w:rPr>
        <w:t>承包人接受索赔处理结果的，发包人应在作出索赔处理结果答复后28天内完成赔付。承包</w:t>
      </w:r>
      <w:r>
        <w:rPr>
          <w:rFonts w:ascii="宋体" w:hAnsi="宋体" w:eastAsia="宋体" w:cs="宋体"/>
          <w:szCs w:val="22"/>
        </w:rPr>
        <w:t>人不接受索赔处理结果的，按第 24 条的约定办理。</w:t>
      </w:r>
    </w:p>
    <w:p w14:paraId="450713E0">
      <w:pPr>
        <w:numPr>
          <w:ilvl w:val="1"/>
          <w:numId w:val="63"/>
        </w:numPr>
        <w:tabs>
          <w:tab w:val="left" w:pos="1054"/>
        </w:tabs>
        <w:autoSpaceDE w:val="0"/>
        <w:autoSpaceDN w:val="0"/>
        <w:spacing w:line="270" w:lineRule="exact"/>
        <w:ind w:left="1054" w:hanging="628"/>
        <w:jc w:val="both"/>
        <w:rPr>
          <w:rFonts w:ascii="宋体" w:hAnsi="宋体" w:eastAsia="宋体" w:cs="宋体"/>
          <w:szCs w:val="22"/>
        </w:rPr>
      </w:pPr>
      <w:r>
        <w:rPr>
          <w:rFonts w:ascii="宋体" w:hAnsi="宋体" w:eastAsia="宋体" w:cs="宋体"/>
          <w:spacing w:val="-3"/>
          <w:szCs w:val="22"/>
        </w:rPr>
        <w:t>承包人提出索赔的期限</w:t>
      </w:r>
    </w:p>
    <w:p w14:paraId="43288B6B">
      <w:pPr>
        <w:numPr>
          <w:ilvl w:val="2"/>
          <w:numId w:val="63"/>
        </w:numPr>
        <w:tabs>
          <w:tab w:val="left" w:pos="1687"/>
        </w:tabs>
        <w:autoSpaceDE w:val="0"/>
        <w:autoSpaceDN w:val="0"/>
        <w:spacing w:before="128" w:line="352" w:lineRule="auto"/>
        <w:ind w:left="426" w:right="567" w:firstLine="420"/>
        <w:jc w:val="both"/>
        <w:rPr>
          <w:rFonts w:ascii="宋体" w:hAnsi="宋体" w:eastAsia="宋体" w:cs="宋体"/>
          <w:szCs w:val="22"/>
        </w:rPr>
      </w:pPr>
      <w:r>
        <w:rPr>
          <w:rFonts w:ascii="宋体" w:hAnsi="宋体" w:eastAsia="宋体" w:cs="宋体"/>
          <w:szCs w:val="22"/>
        </w:rPr>
        <w:t>承包人按第 17.5 款的约定接受了竣工付款证书后，应被认为已无权再提出在合同工</w:t>
      </w:r>
      <w:r>
        <w:rPr>
          <w:rFonts w:ascii="宋体" w:hAnsi="宋体" w:eastAsia="宋体" w:cs="宋体"/>
          <w:spacing w:val="-2"/>
          <w:szCs w:val="22"/>
        </w:rPr>
        <w:t>程接收证书颁发前所发生的任何索赔。</w:t>
      </w:r>
    </w:p>
    <w:p w14:paraId="0FD7A695">
      <w:pPr>
        <w:numPr>
          <w:ilvl w:val="2"/>
          <w:numId w:val="63"/>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zCs w:val="22"/>
        </w:rPr>
        <w:t>承包人按第 17.6 款的约定提交的最终结清申请单中，只限于提出工程接收证书颁发</w:t>
      </w:r>
      <w:r>
        <w:rPr>
          <w:rFonts w:ascii="宋体" w:hAnsi="宋体" w:eastAsia="宋体" w:cs="宋体"/>
          <w:spacing w:val="-2"/>
          <w:szCs w:val="22"/>
        </w:rPr>
        <w:t>后发生的索赔。提出索赔的期限自接受最终结清证书时终止。</w:t>
      </w:r>
    </w:p>
    <w:p w14:paraId="51B3CCB7">
      <w:pPr>
        <w:numPr>
          <w:ilvl w:val="1"/>
          <w:numId w:val="63"/>
        </w:numPr>
        <w:tabs>
          <w:tab w:val="left" w:pos="1054"/>
        </w:tabs>
        <w:autoSpaceDE w:val="0"/>
        <w:autoSpaceDN w:val="0"/>
        <w:spacing w:line="272" w:lineRule="exact"/>
        <w:ind w:left="1054" w:hanging="628"/>
        <w:jc w:val="both"/>
        <w:rPr>
          <w:rFonts w:ascii="宋体" w:hAnsi="宋体" w:eastAsia="宋体" w:cs="宋体"/>
          <w:szCs w:val="22"/>
        </w:rPr>
      </w:pPr>
      <w:r>
        <w:rPr>
          <w:rFonts w:ascii="宋体" w:hAnsi="宋体" w:eastAsia="宋体" w:cs="宋体"/>
          <w:spacing w:val="-4"/>
          <w:szCs w:val="22"/>
        </w:rPr>
        <w:t>发包人的索赔</w:t>
      </w:r>
    </w:p>
    <w:p w14:paraId="74C06D5B">
      <w:pPr>
        <w:numPr>
          <w:ilvl w:val="2"/>
          <w:numId w:val="63"/>
        </w:numPr>
        <w:tabs>
          <w:tab w:val="left" w:pos="1687"/>
        </w:tabs>
        <w:autoSpaceDE w:val="0"/>
        <w:autoSpaceDN w:val="0"/>
        <w:spacing w:before="122"/>
        <w:ind w:left="1687" w:hanging="841"/>
        <w:jc w:val="both"/>
        <w:rPr>
          <w:rFonts w:ascii="宋体" w:hAnsi="宋体" w:eastAsia="宋体" w:cs="宋体"/>
          <w:szCs w:val="22"/>
        </w:rPr>
      </w:pPr>
      <w:r>
        <w:rPr>
          <w:rFonts w:ascii="宋体" w:hAnsi="宋体" w:eastAsia="宋体" w:cs="宋体"/>
          <w:spacing w:val="-3"/>
          <w:szCs w:val="22"/>
        </w:rPr>
        <w:t>发生索赔事件后，监理人应及时书面通知承包人，详细说明发包人有权得到的索赔金</w:t>
      </w:r>
    </w:p>
    <w:p w14:paraId="2EFF3547">
      <w:pPr>
        <w:autoSpaceDE w:val="0"/>
        <w:autoSpaceDN w:val="0"/>
        <w:spacing w:before="128" w:line="352" w:lineRule="auto"/>
        <w:ind w:left="426" w:right="463"/>
        <w:rPr>
          <w:rFonts w:ascii="宋体" w:hAnsi="宋体" w:eastAsia="宋体" w:cs="宋体"/>
          <w:szCs w:val="21"/>
        </w:rPr>
      </w:pPr>
      <w:r>
        <w:rPr>
          <w:rFonts w:ascii="宋体" w:hAnsi="宋体" w:eastAsia="宋体" w:cs="宋体"/>
          <w:spacing w:val="-2"/>
          <w:szCs w:val="21"/>
        </w:rPr>
        <w:t>额和（或）</w:t>
      </w:r>
      <w:r>
        <w:rPr>
          <w:rFonts w:ascii="宋体" w:hAnsi="宋体" w:eastAsia="宋体" w:cs="宋体"/>
          <w:spacing w:val="-3"/>
          <w:szCs w:val="21"/>
        </w:rPr>
        <w:t xml:space="preserve">延长缺陷责任期的细节和依据。发包人提出索赔的期限和要求与第 </w:t>
      </w:r>
      <w:r>
        <w:rPr>
          <w:rFonts w:ascii="宋体" w:hAnsi="宋体" w:eastAsia="宋体" w:cs="宋体"/>
          <w:spacing w:val="-2"/>
          <w:szCs w:val="21"/>
        </w:rPr>
        <w:t>23.3</w:t>
      </w:r>
      <w:r>
        <w:rPr>
          <w:rFonts w:ascii="宋体" w:hAnsi="宋体" w:eastAsia="宋体" w:cs="宋体"/>
          <w:spacing w:val="-4"/>
          <w:szCs w:val="21"/>
        </w:rPr>
        <w:t xml:space="preserve"> 款的约定相同，</w:t>
      </w:r>
      <w:r>
        <w:rPr>
          <w:rFonts w:ascii="宋体" w:hAnsi="宋体" w:eastAsia="宋体" w:cs="宋体"/>
          <w:spacing w:val="-2"/>
          <w:szCs w:val="21"/>
        </w:rPr>
        <w:t>延长缺陷责任期的通知应在缺陷责任期届满前发出。</w:t>
      </w:r>
    </w:p>
    <w:p w14:paraId="1D8F397C">
      <w:pPr>
        <w:numPr>
          <w:ilvl w:val="2"/>
          <w:numId w:val="63"/>
        </w:numPr>
        <w:tabs>
          <w:tab w:val="left" w:pos="1684"/>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4"/>
          <w:szCs w:val="22"/>
        </w:rPr>
        <w:t xml:space="preserve">监理人按第 </w:t>
      </w:r>
      <w:r>
        <w:rPr>
          <w:rFonts w:ascii="宋体" w:hAnsi="宋体" w:eastAsia="宋体" w:cs="宋体"/>
          <w:spacing w:val="-2"/>
          <w:szCs w:val="22"/>
        </w:rPr>
        <w:t>3.5</w:t>
      </w:r>
      <w:r>
        <w:rPr>
          <w:rFonts w:ascii="宋体" w:hAnsi="宋体" w:eastAsia="宋体" w:cs="宋体"/>
          <w:spacing w:val="-5"/>
          <w:szCs w:val="22"/>
        </w:rPr>
        <w:t xml:space="preserve"> 款商定或确定发包人从承包人处得到赔付的金额和</w:t>
      </w:r>
      <w:r>
        <w:rPr>
          <w:rFonts w:ascii="宋体" w:hAnsi="宋体" w:eastAsia="宋体" w:cs="宋体"/>
          <w:spacing w:val="-2"/>
          <w:szCs w:val="22"/>
        </w:rPr>
        <w:t>（或）缺陷责任期的延长期。承包人应付给发包人的金额可从拟支付给承包人的合同价款中扣除，或由承包人以其它方式支付给发包人。</w:t>
      </w:r>
    </w:p>
    <w:p w14:paraId="7EBB7DF8">
      <w:pPr>
        <w:numPr>
          <w:ilvl w:val="0"/>
          <w:numId w:val="63"/>
        </w:numPr>
        <w:tabs>
          <w:tab w:val="left" w:pos="842"/>
        </w:tabs>
        <w:autoSpaceDE w:val="0"/>
        <w:autoSpaceDN w:val="0"/>
        <w:spacing w:line="269" w:lineRule="exact"/>
        <w:ind w:left="842" w:hanging="416"/>
        <w:rPr>
          <w:rFonts w:ascii="宋体" w:hAnsi="宋体" w:eastAsia="宋体" w:cs="宋体"/>
          <w:szCs w:val="22"/>
        </w:rPr>
      </w:pPr>
      <w:r>
        <w:rPr>
          <w:rFonts w:ascii="宋体" w:hAnsi="宋体" w:eastAsia="宋体" w:cs="宋体"/>
          <w:spacing w:val="-4"/>
          <w:szCs w:val="22"/>
        </w:rPr>
        <w:t>争议的解决</w:t>
      </w:r>
    </w:p>
    <w:p w14:paraId="01C52AE2">
      <w:pPr>
        <w:numPr>
          <w:ilvl w:val="1"/>
          <w:numId w:val="63"/>
        </w:numPr>
        <w:tabs>
          <w:tab w:val="left" w:pos="1054"/>
        </w:tabs>
        <w:autoSpaceDE w:val="0"/>
        <w:autoSpaceDN w:val="0"/>
        <w:spacing w:before="124"/>
        <w:ind w:left="1054" w:hanging="628"/>
        <w:jc w:val="left"/>
        <w:rPr>
          <w:rFonts w:ascii="宋体" w:hAnsi="宋体" w:eastAsia="宋体" w:cs="宋体"/>
          <w:szCs w:val="22"/>
        </w:rPr>
      </w:pPr>
      <w:r>
        <w:rPr>
          <w:rFonts w:ascii="宋体" w:hAnsi="宋体" w:eastAsia="宋体" w:cs="宋体"/>
          <w:spacing w:val="-4"/>
          <w:szCs w:val="22"/>
        </w:rPr>
        <w:t>争议的解决方式</w:t>
      </w:r>
    </w:p>
    <w:p w14:paraId="062F6B6B">
      <w:pPr>
        <w:jc w:val="left"/>
        <w:sectPr>
          <w:pgSz w:w="11910" w:h="16840"/>
          <w:pgMar w:top="1640" w:right="849" w:bottom="1360" w:left="992" w:header="0" w:footer="1176" w:gutter="0"/>
          <w:cols w:space="720" w:num="1"/>
        </w:sectPr>
      </w:pPr>
    </w:p>
    <w:p w14:paraId="01D32C2F">
      <w:pPr>
        <w:autoSpaceDE w:val="0"/>
        <w:autoSpaceDN w:val="0"/>
        <w:spacing w:before="37" w:line="350" w:lineRule="auto"/>
        <w:ind w:left="426" w:right="567" w:firstLine="420"/>
        <w:rPr>
          <w:rFonts w:ascii="宋体" w:hAnsi="宋体" w:eastAsia="宋体" w:cs="宋体"/>
          <w:szCs w:val="21"/>
        </w:rPr>
      </w:pPr>
      <w:r>
        <w:rPr>
          <w:rFonts w:ascii="宋体" w:hAnsi="宋体" w:eastAsia="宋体" w:cs="宋体"/>
          <w:spacing w:val="-2"/>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877A9C3">
      <w:pPr>
        <w:numPr>
          <w:ilvl w:val="0"/>
          <w:numId w:val="72"/>
        </w:numPr>
        <w:tabs>
          <w:tab w:val="left" w:pos="1261"/>
        </w:tabs>
        <w:autoSpaceDE w:val="0"/>
        <w:autoSpaceDN w:val="0"/>
        <w:spacing w:before="4"/>
        <w:ind w:left="1261" w:hanging="521"/>
        <w:rPr>
          <w:rFonts w:ascii="宋体" w:hAnsi="宋体" w:eastAsia="宋体" w:cs="宋体"/>
          <w:szCs w:val="22"/>
        </w:rPr>
      </w:pPr>
      <w:r>
        <w:rPr>
          <w:rFonts w:ascii="宋体" w:hAnsi="宋体" w:eastAsia="宋体" w:cs="宋体"/>
          <w:spacing w:val="-3"/>
          <w:szCs w:val="22"/>
        </w:rPr>
        <w:t>向约定的仲裁委员会申请仲裁；</w:t>
      </w:r>
    </w:p>
    <w:p w14:paraId="5B86B5DC">
      <w:pPr>
        <w:numPr>
          <w:ilvl w:val="0"/>
          <w:numId w:val="72"/>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向有管辖权的人民法院提起诉讼。</w:t>
      </w:r>
    </w:p>
    <w:p w14:paraId="13641FD9">
      <w:pPr>
        <w:numPr>
          <w:ilvl w:val="1"/>
          <w:numId w:val="63"/>
        </w:numPr>
        <w:tabs>
          <w:tab w:val="left" w:pos="1054"/>
        </w:tabs>
        <w:autoSpaceDE w:val="0"/>
        <w:autoSpaceDN w:val="0"/>
        <w:spacing w:before="128"/>
        <w:ind w:left="1054" w:hanging="628"/>
        <w:jc w:val="left"/>
        <w:rPr>
          <w:rFonts w:ascii="宋体" w:hAnsi="宋体" w:eastAsia="宋体" w:cs="宋体"/>
          <w:szCs w:val="22"/>
        </w:rPr>
      </w:pPr>
      <w:r>
        <w:rPr>
          <w:rFonts w:ascii="宋体" w:hAnsi="宋体" w:eastAsia="宋体" w:cs="宋体"/>
          <w:spacing w:val="-7"/>
          <w:szCs w:val="22"/>
        </w:rPr>
        <w:t>友好解决</w:t>
      </w:r>
    </w:p>
    <w:p w14:paraId="3B47D74C">
      <w:pPr>
        <w:autoSpaceDE w:val="0"/>
        <w:autoSpaceDN w:val="0"/>
        <w:spacing w:before="128" w:line="350" w:lineRule="auto"/>
        <w:ind w:left="426" w:right="567" w:firstLine="420"/>
        <w:rPr>
          <w:rFonts w:ascii="宋体" w:hAnsi="宋体" w:eastAsia="宋体" w:cs="宋体"/>
          <w:szCs w:val="21"/>
        </w:rPr>
      </w:pPr>
      <w:r>
        <w:rPr>
          <w:rFonts w:ascii="宋体" w:hAnsi="宋体" w:eastAsia="宋体" w:cs="宋体"/>
          <w:spacing w:val="-2"/>
          <w:szCs w:val="21"/>
        </w:rPr>
        <w:t>在提请争议评审、仲裁或者诉讼前，以及在争议评审、仲裁或诉讼过程中，发包人和承包人均可共同努力友好协商解决争议，自行和解达成协议的经双方签字并盖章后作为合同补充文件，双方均应遵照执行。</w:t>
      </w:r>
    </w:p>
    <w:p w14:paraId="25756F0E">
      <w:pPr>
        <w:numPr>
          <w:ilvl w:val="1"/>
          <w:numId w:val="63"/>
        </w:numPr>
        <w:tabs>
          <w:tab w:val="left" w:pos="1054"/>
        </w:tabs>
        <w:autoSpaceDE w:val="0"/>
        <w:autoSpaceDN w:val="0"/>
        <w:spacing w:before="4"/>
        <w:ind w:left="1054" w:hanging="628"/>
        <w:jc w:val="both"/>
        <w:rPr>
          <w:rFonts w:ascii="宋体" w:hAnsi="宋体" w:eastAsia="宋体" w:cs="宋体"/>
          <w:szCs w:val="22"/>
        </w:rPr>
      </w:pPr>
      <w:r>
        <w:rPr>
          <w:rFonts w:ascii="宋体" w:hAnsi="宋体" w:eastAsia="宋体" w:cs="宋体"/>
          <w:spacing w:val="-7"/>
          <w:szCs w:val="22"/>
        </w:rPr>
        <w:t>争议评审</w:t>
      </w:r>
    </w:p>
    <w:p w14:paraId="31A0B3F3">
      <w:pPr>
        <w:numPr>
          <w:ilvl w:val="2"/>
          <w:numId w:val="63"/>
        </w:numPr>
        <w:tabs>
          <w:tab w:val="left" w:pos="1687"/>
        </w:tabs>
        <w:autoSpaceDE w:val="0"/>
        <w:autoSpaceDN w:val="0"/>
        <w:spacing w:before="126" w:line="352" w:lineRule="auto"/>
        <w:ind w:left="426" w:right="569" w:firstLine="420"/>
        <w:jc w:val="both"/>
        <w:rPr>
          <w:rFonts w:ascii="宋体" w:hAnsi="宋体" w:eastAsia="宋体" w:cs="宋体"/>
          <w:szCs w:val="22"/>
        </w:rPr>
      </w:pPr>
      <w:r>
        <w:rPr>
          <w:rFonts w:ascii="宋体" w:hAnsi="宋体" w:eastAsia="宋体" w:cs="宋体"/>
          <w:szCs w:val="22"/>
        </w:rPr>
        <w:t>采用争议评审的，发包人和承包人应在开工日后的 28 天内或在争议发生后，协商成</w:t>
      </w:r>
      <w:r>
        <w:rPr>
          <w:rFonts w:ascii="宋体" w:hAnsi="宋体" w:eastAsia="宋体" w:cs="宋体"/>
          <w:spacing w:val="-2"/>
          <w:szCs w:val="22"/>
        </w:rPr>
        <w:t>立争议评审组。争议评审组由有合同管理和工程实践经验的专家组成。</w:t>
      </w:r>
    </w:p>
    <w:p w14:paraId="401B6F26">
      <w:pPr>
        <w:autoSpaceDE w:val="0"/>
        <w:autoSpaceDN w:val="0"/>
        <w:spacing w:line="350" w:lineRule="auto"/>
        <w:ind w:left="426" w:right="567" w:firstLine="420"/>
        <w:rPr>
          <w:rFonts w:ascii="宋体" w:hAnsi="宋体" w:eastAsia="宋体" w:cs="宋体"/>
          <w:szCs w:val="21"/>
        </w:rPr>
      </w:pPr>
      <w:r>
        <w:rPr>
          <w:rFonts w:ascii="宋体" w:hAnsi="宋体" w:eastAsia="宋体" w:cs="宋体"/>
          <w:szCs w:val="21"/>
        </w:rPr>
        <w:t>争议评审组由 3 人或 5 人组成，专家聘请方法可由发包人和承包人共同协商确定，亦可请政</w:t>
      </w:r>
      <w:r>
        <w:rPr>
          <w:rFonts w:ascii="宋体" w:hAnsi="宋体" w:eastAsia="宋体" w:cs="宋体"/>
          <w:spacing w:val="-2"/>
          <w:szCs w:val="21"/>
        </w:rPr>
        <w:t>府主管部门推荐或通过争议调解机构聘请，并经双方认同。争议评审组成员应与合同双方均无利害关系。争议评审组的各项费用由发包人和承包人平均分担。</w:t>
      </w:r>
    </w:p>
    <w:p w14:paraId="0C68C17A">
      <w:pPr>
        <w:numPr>
          <w:ilvl w:val="2"/>
          <w:numId w:val="63"/>
        </w:numPr>
        <w:tabs>
          <w:tab w:val="left" w:pos="1687"/>
        </w:tabs>
        <w:autoSpaceDE w:val="0"/>
        <w:autoSpaceDN w:val="0"/>
        <w:spacing w:before="3" w:line="350" w:lineRule="auto"/>
        <w:ind w:left="426" w:right="567" w:firstLine="420"/>
        <w:jc w:val="both"/>
        <w:rPr>
          <w:rFonts w:ascii="宋体" w:hAnsi="宋体" w:eastAsia="宋体" w:cs="宋体"/>
          <w:szCs w:val="22"/>
        </w:rPr>
      </w:pPr>
      <w:r>
        <w:rPr>
          <w:rFonts w:ascii="宋体" w:hAnsi="宋体" w:eastAsia="宋体" w:cs="宋体"/>
          <w:spacing w:val="-2"/>
          <w:szCs w:val="22"/>
        </w:rPr>
        <w:t>合同双方的争议，应首先由申请人向争议评审组提交一份详细的评审申请报告，并附必要的文件、图纸和证明材料，申请人还应将上述报告的副本同时提交给被申请人和监理人。</w:t>
      </w:r>
    </w:p>
    <w:p w14:paraId="61B5151A">
      <w:pPr>
        <w:numPr>
          <w:ilvl w:val="2"/>
          <w:numId w:val="63"/>
        </w:numPr>
        <w:tabs>
          <w:tab w:val="left" w:pos="1687"/>
        </w:tabs>
        <w:autoSpaceDE w:val="0"/>
        <w:autoSpaceDN w:val="0"/>
        <w:spacing w:before="2" w:line="352" w:lineRule="auto"/>
        <w:ind w:left="426" w:right="569" w:firstLine="420"/>
        <w:jc w:val="both"/>
        <w:rPr>
          <w:rFonts w:ascii="宋体" w:hAnsi="宋体" w:eastAsia="宋体" w:cs="宋体"/>
          <w:szCs w:val="22"/>
        </w:rPr>
      </w:pPr>
      <w:r>
        <w:rPr>
          <w:rFonts w:ascii="宋体" w:hAnsi="宋体" w:eastAsia="宋体" w:cs="宋体"/>
          <w:szCs w:val="22"/>
        </w:rPr>
        <w:t>被申请人在收到申请人评审申请报告副本后的 28</w:t>
      </w:r>
      <w:r>
        <w:rPr>
          <w:rFonts w:ascii="宋体" w:hAnsi="宋体" w:eastAsia="宋体" w:cs="宋体"/>
          <w:spacing w:val="-1"/>
          <w:szCs w:val="22"/>
        </w:rPr>
        <w:t xml:space="preserve"> 天内，向争议评审组提交一份答辩</w:t>
      </w:r>
      <w:r>
        <w:rPr>
          <w:rFonts w:ascii="宋体" w:hAnsi="宋体" w:eastAsia="宋体" w:cs="宋体"/>
          <w:spacing w:val="-2"/>
          <w:szCs w:val="22"/>
        </w:rPr>
        <w:t>报告，并附证明材料。被申请人应将答辩报告的副本同时提交给申请人和监理人。</w:t>
      </w:r>
    </w:p>
    <w:p w14:paraId="64590AE7">
      <w:pPr>
        <w:numPr>
          <w:ilvl w:val="2"/>
          <w:numId w:val="63"/>
        </w:numPr>
        <w:tabs>
          <w:tab w:val="left" w:pos="1687"/>
        </w:tabs>
        <w:autoSpaceDE w:val="0"/>
        <w:autoSpaceDN w:val="0"/>
        <w:spacing w:line="352" w:lineRule="auto"/>
        <w:ind w:left="426" w:right="566" w:firstLine="420"/>
        <w:jc w:val="both"/>
        <w:rPr>
          <w:rFonts w:ascii="宋体" w:hAnsi="宋体" w:eastAsia="宋体" w:cs="宋体"/>
          <w:szCs w:val="22"/>
        </w:rPr>
      </w:pPr>
      <w:r>
        <w:rPr>
          <w:rFonts w:ascii="宋体" w:hAnsi="宋体" w:eastAsia="宋体" w:cs="宋体"/>
          <w:spacing w:val="-2"/>
          <w:szCs w:val="22"/>
        </w:rPr>
        <w:t>除专用合同条款另有约定外，争议评审组在收到合同双方报告后的14天内，邀请双方代表和有关人员举行调查会，向双方调查争议细节；必要时争议评审组可要求双方进一步提供补充</w:t>
      </w:r>
      <w:r>
        <w:rPr>
          <w:rFonts w:ascii="宋体" w:hAnsi="宋体" w:eastAsia="宋体" w:cs="宋体"/>
          <w:spacing w:val="-4"/>
          <w:szCs w:val="22"/>
        </w:rPr>
        <w:t>材料。</w:t>
      </w:r>
    </w:p>
    <w:p w14:paraId="210B6DFF">
      <w:pPr>
        <w:numPr>
          <w:ilvl w:val="2"/>
          <w:numId w:val="63"/>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除专用合同条款另有约定外，在调查会结束后的14天内，争议评审组应在不受任何干扰的情况下进行独立、公正的评审，作出书面评审意见，并说明理由。在争议评审期间，争议双方暂按监理人的确定执行。</w:t>
      </w:r>
    </w:p>
    <w:p w14:paraId="3868EF7A">
      <w:pPr>
        <w:numPr>
          <w:ilvl w:val="2"/>
          <w:numId w:val="63"/>
        </w:numPr>
        <w:tabs>
          <w:tab w:val="left" w:pos="1687"/>
        </w:tabs>
        <w:autoSpaceDE w:val="0"/>
        <w:autoSpaceDN w:val="0"/>
        <w:spacing w:line="352" w:lineRule="auto"/>
        <w:ind w:left="426" w:right="567" w:firstLine="420"/>
        <w:jc w:val="both"/>
        <w:rPr>
          <w:rFonts w:ascii="宋体" w:hAnsi="宋体" w:eastAsia="宋体" w:cs="宋体"/>
          <w:szCs w:val="22"/>
        </w:rPr>
      </w:pPr>
      <w:r>
        <w:rPr>
          <w:rFonts w:ascii="宋体" w:hAnsi="宋体" w:eastAsia="宋体" w:cs="宋体"/>
          <w:spacing w:val="-2"/>
          <w:szCs w:val="22"/>
        </w:rPr>
        <w:t>发包人和承包人接受评审意见的，由监理人根据评审意见拟定执行协议，经争议双方签字后作为合同的补充文件，并遵照执行。</w:t>
      </w:r>
    </w:p>
    <w:p w14:paraId="602542C5">
      <w:pPr>
        <w:numPr>
          <w:ilvl w:val="2"/>
          <w:numId w:val="63"/>
        </w:numPr>
        <w:tabs>
          <w:tab w:val="left" w:pos="1687"/>
        </w:tabs>
        <w:autoSpaceDE w:val="0"/>
        <w:autoSpaceDN w:val="0"/>
        <w:spacing w:line="272" w:lineRule="exact"/>
        <w:ind w:left="1687" w:hanging="841"/>
        <w:jc w:val="both"/>
        <w:rPr>
          <w:rFonts w:ascii="宋体" w:hAnsi="宋体" w:eastAsia="宋体" w:cs="宋体"/>
          <w:szCs w:val="22"/>
        </w:rPr>
      </w:pPr>
      <w:r>
        <w:rPr>
          <w:rFonts w:ascii="宋体" w:hAnsi="宋体" w:eastAsia="宋体" w:cs="宋体"/>
          <w:spacing w:val="-3"/>
          <w:szCs w:val="22"/>
        </w:rPr>
        <w:t>发包人或承包人不接受评审意见，并要求提交仲裁或提起诉讼的，应在收到评审意见</w:t>
      </w:r>
    </w:p>
    <w:p w14:paraId="5A0266D4">
      <w:pPr>
        <w:autoSpaceDE w:val="0"/>
        <w:autoSpaceDN w:val="0"/>
        <w:spacing w:before="114" w:line="352" w:lineRule="auto"/>
        <w:ind w:left="426" w:right="569"/>
        <w:rPr>
          <w:rFonts w:ascii="宋体" w:hAnsi="宋体" w:eastAsia="宋体" w:cs="宋体"/>
          <w:szCs w:val="21"/>
        </w:rPr>
      </w:pPr>
      <w:r>
        <w:rPr>
          <w:rFonts w:ascii="宋体" w:hAnsi="宋体" w:eastAsia="宋体" w:cs="宋体"/>
          <w:szCs w:val="21"/>
        </w:rPr>
        <w:t>后的 14 天内将仲裁或起诉意向书面通知另一方，并抄送监理人，但在仲裁或诉讼结束前应暂按监</w:t>
      </w:r>
      <w:r>
        <w:rPr>
          <w:rFonts w:ascii="宋体" w:hAnsi="宋体" w:eastAsia="宋体" w:cs="宋体"/>
          <w:spacing w:val="-2"/>
          <w:szCs w:val="21"/>
        </w:rPr>
        <w:t>理人的确定执行。</w:t>
      </w:r>
    </w:p>
    <w:p w14:paraId="2DD3AD47">
      <w:pPr>
        <w:numPr>
          <w:ilvl w:val="1"/>
          <w:numId w:val="63"/>
        </w:numPr>
        <w:tabs>
          <w:tab w:val="left" w:pos="1054"/>
        </w:tabs>
        <w:autoSpaceDE w:val="0"/>
        <w:autoSpaceDN w:val="0"/>
        <w:spacing w:line="272" w:lineRule="exact"/>
        <w:ind w:left="1054" w:hanging="628"/>
        <w:jc w:val="both"/>
        <w:rPr>
          <w:rFonts w:ascii="宋体" w:hAnsi="宋体" w:eastAsia="宋体" w:cs="宋体"/>
          <w:szCs w:val="22"/>
        </w:rPr>
      </w:pPr>
      <w:r>
        <w:rPr>
          <w:rFonts w:ascii="宋体" w:hAnsi="宋体" w:eastAsia="宋体" w:cs="宋体"/>
          <w:spacing w:val="-8"/>
          <w:szCs w:val="22"/>
        </w:rPr>
        <w:t>仲裁</w:t>
      </w:r>
    </w:p>
    <w:p w14:paraId="021BAD3D">
      <w:pPr>
        <w:numPr>
          <w:ilvl w:val="2"/>
          <w:numId w:val="63"/>
        </w:numPr>
        <w:tabs>
          <w:tab w:val="left" w:pos="1684"/>
        </w:tabs>
        <w:autoSpaceDE w:val="0"/>
        <w:autoSpaceDN w:val="0"/>
        <w:spacing w:before="125"/>
        <w:ind w:left="1684" w:hanging="838"/>
        <w:jc w:val="both"/>
        <w:rPr>
          <w:rFonts w:ascii="宋体" w:hAnsi="宋体" w:eastAsia="宋体" w:cs="宋体"/>
          <w:szCs w:val="22"/>
        </w:rPr>
      </w:pPr>
      <w:r>
        <w:rPr>
          <w:rFonts w:ascii="宋体" w:hAnsi="宋体" w:eastAsia="宋体" w:cs="宋体"/>
          <w:spacing w:val="-3"/>
          <w:szCs w:val="22"/>
        </w:rPr>
        <w:t>本款适用于采用仲裁方式最终解决争议的项目。</w:t>
      </w:r>
    </w:p>
    <w:p w14:paraId="6AB4C0D8">
      <w:pPr>
        <w:numPr>
          <w:ilvl w:val="0"/>
          <w:numId w:val="73"/>
        </w:numPr>
        <w:tabs>
          <w:tab w:val="left" w:pos="1267"/>
        </w:tabs>
        <w:autoSpaceDE w:val="0"/>
        <w:autoSpaceDN w:val="0"/>
        <w:spacing w:before="128" w:line="352" w:lineRule="auto"/>
        <w:ind w:right="569" w:firstLine="314"/>
        <w:jc w:val="both"/>
        <w:rPr>
          <w:rFonts w:ascii="宋体" w:hAnsi="宋体" w:eastAsia="宋体" w:cs="宋体"/>
          <w:szCs w:val="22"/>
        </w:rPr>
      </w:pPr>
      <w:r>
        <w:rPr>
          <w:rFonts w:ascii="宋体" w:hAnsi="宋体" w:eastAsia="宋体" w:cs="宋体"/>
          <w:spacing w:val="-2"/>
          <w:szCs w:val="22"/>
        </w:rPr>
        <w:t>对于未能友好解决或未能通过争议评审解决的争议，发包人或承包人任一方均有权提交给</w:t>
      </w:r>
      <w:r>
        <w:rPr>
          <w:rFonts w:ascii="宋体" w:hAnsi="宋体" w:eastAsia="宋体" w:cs="宋体"/>
          <w:szCs w:val="22"/>
        </w:rPr>
        <w:t>第 24.1 款约定的仲裁委员会仲裁。</w:t>
      </w:r>
    </w:p>
    <w:p w14:paraId="738DBE8A">
      <w:pPr>
        <w:spacing w:line="352" w:lineRule="auto"/>
        <w:sectPr>
          <w:pgSz w:w="11910" w:h="16840"/>
          <w:pgMar w:top="1640" w:right="849" w:bottom="1360" w:left="992" w:header="0" w:footer="1176" w:gutter="0"/>
          <w:cols w:space="720" w:num="1"/>
        </w:sectPr>
      </w:pPr>
    </w:p>
    <w:p w14:paraId="27E2B271">
      <w:pPr>
        <w:numPr>
          <w:ilvl w:val="0"/>
          <w:numId w:val="73"/>
        </w:numPr>
        <w:tabs>
          <w:tab w:val="left" w:pos="1267"/>
        </w:tabs>
        <w:autoSpaceDE w:val="0"/>
        <w:autoSpaceDN w:val="0"/>
        <w:spacing w:before="37" w:line="350" w:lineRule="auto"/>
        <w:ind w:right="567" w:firstLine="314"/>
        <w:jc w:val="both"/>
        <w:rPr>
          <w:rFonts w:ascii="宋体" w:hAnsi="宋体" w:eastAsia="宋体" w:cs="宋体"/>
          <w:szCs w:val="22"/>
        </w:rPr>
      </w:pPr>
      <w:r>
        <w:rPr>
          <w:rFonts w:ascii="宋体" w:hAnsi="宋体" w:eastAsia="宋体" w:cs="宋体"/>
          <w:spacing w:val="-2"/>
          <w:szCs w:val="22"/>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534D2DC">
      <w:pPr>
        <w:numPr>
          <w:ilvl w:val="0"/>
          <w:numId w:val="73"/>
        </w:numPr>
        <w:tabs>
          <w:tab w:val="left" w:pos="1261"/>
        </w:tabs>
        <w:autoSpaceDE w:val="0"/>
        <w:autoSpaceDN w:val="0"/>
        <w:spacing w:before="4"/>
        <w:ind w:left="1261" w:hanging="521"/>
        <w:rPr>
          <w:rFonts w:ascii="宋体" w:hAnsi="宋体" w:eastAsia="宋体" w:cs="宋体"/>
          <w:szCs w:val="22"/>
        </w:rPr>
      </w:pPr>
      <w:r>
        <w:rPr>
          <w:rFonts w:ascii="宋体" w:hAnsi="宋体" w:eastAsia="宋体" w:cs="宋体"/>
          <w:spacing w:val="-3"/>
          <w:szCs w:val="22"/>
        </w:rPr>
        <w:t>仲裁裁决是终局性的并对发包人和承包人双方具有约束力。</w:t>
      </w:r>
    </w:p>
    <w:p w14:paraId="6604AA0F">
      <w:pPr>
        <w:numPr>
          <w:ilvl w:val="0"/>
          <w:numId w:val="73"/>
        </w:numPr>
        <w:tabs>
          <w:tab w:val="left" w:pos="1261"/>
        </w:tabs>
        <w:autoSpaceDE w:val="0"/>
        <w:autoSpaceDN w:val="0"/>
        <w:spacing w:before="125"/>
        <w:ind w:left="1261" w:hanging="521"/>
        <w:rPr>
          <w:rFonts w:ascii="宋体" w:hAnsi="宋体" w:eastAsia="宋体" w:cs="宋体"/>
          <w:szCs w:val="22"/>
        </w:rPr>
      </w:pPr>
      <w:r>
        <w:rPr>
          <w:rFonts w:ascii="宋体" w:hAnsi="宋体" w:eastAsia="宋体" w:cs="宋体"/>
          <w:spacing w:val="-3"/>
          <w:szCs w:val="22"/>
        </w:rPr>
        <w:t>全部仲裁费用应由败诉方承担；或按仲裁委员会裁决的比例分担。</w:t>
      </w:r>
    </w:p>
    <w:p w14:paraId="6C4DDDD1">
      <w:pPr>
        <w:numPr>
          <w:ilvl w:val="2"/>
          <w:numId w:val="63"/>
        </w:numPr>
        <w:tabs>
          <w:tab w:val="left" w:pos="1684"/>
        </w:tabs>
        <w:autoSpaceDE w:val="0"/>
        <w:autoSpaceDN w:val="0"/>
        <w:spacing w:before="128"/>
        <w:ind w:left="1684" w:hanging="838"/>
        <w:rPr>
          <w:rFonts w:ascii="宋体" w:hAnsi="宋体" w:eastAsia="宋体" w:cs="宋体"/>
          <w:szCs w:val="22"/>
        </w:rPr>
      </w:pPr>
      <w:r>
        <w:rPr>
          <w:rFonts w:ascii="宋体" w:hAnsi="宋体" w:eastAsia="宋体" w:cs="宋体"/>
          <w:spacing w:val="-4"/>
          <w:szCs w:val="22"/>
        </w:rPr>
        <w:t>仲裁的执行。</w:t>
      </w:r>
    </w:p>
    <w:p w14:paraId="3EBD184B">
      <w:pPr>
        <w:numPr>
          <w:ilvl w:val="0"/>
          <w:numId w:val="74"/>
        </w:numPr>
        <w:tabs>
          <w:tab w:val="left" w:pos="1261"/>
        </w:tabs>
        <w:autoSpaceDE w:val="0"/>
        <w:autoSpaceDN w:val="0"/>
        <w:spacing w:before="128"/>
        <w:ind w:left="1261" w:hanging="521"/>
        <w:rPr>
          <w:rFonts w:ascii="宋体" w:hAnsi="宋体" w:eastAsia="宋体" w:cs="宋体"/>
          <w:szCs w:val="22"/>
        </w:rPr>
      </w:pPr>
      <w:r>
        <w:rPr>
          <w:rFonts w:ascii="宋体" w:hAnsi="宋体" w:eastAsia="宋体" w:cs="宋体"/>
          <w:spacing w:val="-3"/>
          <w:szCs w:val="22"/>
        </w:rPr>
        <w:t>任何一方不履行仲裁机构的裁决的，对方可以向有管辖权的人民法院申请执行。</w:t>
      </w:r>
    </w:p>
    <w:p w14:paraId="02871FF3">
      <w:pPr>
        <w:numPr>
          <w:ilvl w:val="0"/>
          <w:numId w:val="74"/>
        </w:numPr>
        <w:tabs>
          <w:tab w:val="left" w:pos="1261"/>
        </w:tabs>
        <w:autoSpaceDE w:val="0"/>
        <w:autoSpaceDN w:val="0"/>
        <w:spacing w:before="125" w:line="352" w:lineRule="auto"/>
        <w:ind w:left="426" w:right="607" w:firstLine="314"/>
        <w:jc w:val="both"/>
        <w:rPr>
          <w:rFonts w:ascii="宋体" w:hAnsi="宋体" w:eastAsia="宋体" w:cs="宋体"/>
          <w:szCs w:val="22"/>
        </w:rPr>
      </w:pPr>
      <w:r>
        <w:rPr>
          <w:rFonts w:ascii="宋体" w:hAnsi="宋体" w:eastAsia="宋体" w:cs="宋体"/>
          <w:spacing w:val="-2"/>
          <w:szCs w:val="22"/>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59B27B20">
      <w:pPr>
        <w:spacing w:line="352" w:lineRule="auto"/>
        <w:sectPr>
          <w:pgSz w:w="11910" w:h="16840"/>
          <w:pgMar w:top="1640" w:right="849" w:bottom="1360" w:left="992" w:header="0" w:footer="1176" w:gutter="0"/>
          <w:cols w:space="720" w:num="1"/>
        </w:sectPr>
      </w:pPr>
    </w:p>
    <w:p w14:paraId="2E63668D">
      <w:pPr>
        <w:numPr>
          <w:ilvl w:val="1"/>
          <w:numId w:val="11"/>
        </w:numPr>
        <w:tabs>
          <w:tab w:val="left" w:pos="4043"/>
        </w:tabs>
        <w:autoSpaceDE w:val="0"/>
        <w:autoSpaceDN w:val="0"/>
        <w:spacing w:before="49"/>
        <w:ind w:left="4043" w:hanging="418"/>
        <w:jc w:val="left"/>
        <w:outlineLvl w:val="8"/>
        <w:rPr>
          <w:rFonts w:ascii="Arial" w:hAnsi="宋体" w:eastAsia="Arial" w:cs="宋体"/>
          <w:b/>
          <w:bCs/>
          <w:sz w:val="28"/>
          <w:szCs w:val="28"/>
        </w:rPr>
      </w:pPr>
      <w:r>
        <w:rPr>
          <w:rFonts w:ascii="宋体" w:hAnsi="宋体" w:eastAsia="宋体" w:cs="宋体"/>
          <w:b/>
          <w:bCs/>
          <w:spacing w:val="-5"/>
          <w:sz w:val="28"/>
          <w:szCs w:val="28"/>
        </w:rPr>
        <w:t>项目专用合同条款</w:t>
      </w:r>
    </w:p>
    <w:p w14:paraId="1594D8AF">
      <w:pPr>
        <w:autoSpaceDE w:val="0"/>
        <w:autoSpaceDN w:val="0"/>
        <w:jc w:val="left"/>
        <w:rPr>
          <w:rFonts w:ascii="宋体" w:hAnsi="宋体" w:eastAsia="宋体" w:cs="宋体"/>
          <w:b/>
          <w:szCs w:val="21"/>
        </w:rPr>
      </w:pPr>
    </w:p>
    <w:p w14:paraId="0C4763E9">
      <w:pPr>
        <w:autoSpaceDE w:val="0"/>
        <w:autoSpaceDN w:val="0"/>
        <w:spacing w:before="82"/>
        <w:jc w:val="left"/>
        <w:rPr>
          <w:rFonts w:ascii="宋体" w:hAnsi="宋体" w:eastAsia="宋体" w:cs="宋体"/>
          <w:b/>
          <w:szCs w:val="21"/>
        </w:rPr>
      </w:pPr>
    </w:p>
    <w:p w14:paraId="54C65427">
      <w:pPr>
        <w:autoSpaceDE w:val="0"/>
        <w:autoSpaceDN w:val="0"/>
        <w:spacing w:before="1"/>
        <w:ind w:left="846"/>
        <w:jc w:val="left"/>
        <w:rPr>
          <w:rFonts w:ascii="宋体" w:hAnsi="宋体" w:eastAsia="宋体" w:cs="宋体"/>
          <w:szCs w:val="21"/>
        </w:rPr>
      </w:pPr>
      <w:r>
        <w:rPr>
          <w:rFonts w:ascii="宋体" w:hAnsi="宋体" w:eastAsia="宋体" w:cs="宋体"/>
          <w:spacing w:val="-5"/>
          <w:szCs w:val="21"/>
        </w:rPr>
        <w:t>说明：</w:t>
      </w:r>
    </w:p>
    <w:p w14:paraId="46D38EDB">
      <w:pPr>
        <w:autoSpaceDE w:val="0"/>
        <w:autoSpaceDN w:val="0"/>
        <w:spacing w:before="15"/>
        <w:jc w:val="left"/>
        <w:rPr>
          <w:rFonts w:ascii="宋体" w:hAnsi="宋体" w:eastAsia="宋体" w:cs="宋体"/>
          <w:szCs w:val="21"/>
        </w:rPr>
      </w:pPr>
    </w:p>
    <w:p w14:paraId="55A82160">
      <w:pPr>
        <w:numPr>
          <w:ilvl w:val="1"/>
          <w:numId w:val="74"/>
        </w:numPr>
        <w:tabs>
          <w:tab w:val="left" w:pos="1150"/>
        </w:tabs>
        <w:autoSpaceDE w:val="0"/>
        <w:autoSpaceDN w:val="0"/>
        <w:spacing w:line="491" w:lineRule="auto"/>
        <w:ind w:right="566" w:firstLine="420"/>
        <w:jc w:val="both"/>
        <w:rPr>
          <w:rFonts w:ascii="宋体" w:hAnsi="宋体" w:eastAsia="宋体" w:cs="宋体"/>
          <w:szCs w:val="22"/>
        </w:rPr>
      </w:pPr>
      <w:r>
        <w:rPr>
          <w:rFonts w:ascii="宋体" w:hAnsi="宋体" w:eastAsia="宋体" w:cs="宋体"/>
          <w:spacing w:val="-2"/>
          <w:szCs w:val="22"/>
        </w:rPr>
        <w:t>招标人在根据《标准施工招标文件》《浙江省公路养护工程施工招标文件范本（上册）》编</w:t>
      </w:r>
      <w:r>
        <w:rPr>
          <w:rFonts w:ascii="宋体" w:hAnsi="宋体" w:eastAsia="宋体" w:cs="宋体"/>
          <w:spacing w:val="-4"/>
          <w:szCs w:val="22"/>
        </w:rPr>
        <w:t>制项目养护招标文件中的“项目专用合同条款”时，可根据招标项目的具体特点和实际需要，对“通</w:t>
      </w:r>
      <w:r>
        <w:rPr>
          <w:rFonts w:ascii="宋体" w:hAnsi="宋体" w:eastAsia="宋体" w:cs="宋体"/>
          <w:spacing w:val="-2"/>
          <w:szCs w:val="22"/>
        </w:rPr>
        <w:t>用合同条款”及“养护工程专用合同条款”进行补充和细化，除“通用合同条款”明确“项目专用合同条款”可作出不同约定以及“养护工程专用合同条款”明确“项目专用合同条款”可作出不同约定外，补充和细化的内容不得与“通用合同条款”及“养护工程专用合同条款”强制性规定相抵触。同时，补充、细化或约定的不同内容，不得违反法律、行政法规的强制性规定和平等、自愿、公平和诚实信用原则。</w:t>
      </w:r>
    </w:p>
    <w:p w14:paraId="64567894">
      <w:pPr>
        <w:numPr>
          <w:ilvl w:val="1"/>
          <w:numId w:val="74"/>
        </w:numPr>
        <w:tabs>
          <w:tab w:val="left" w:pos="1159"/>
        </w:tabs>
        <w:autoSpaceDE w:val="0"/>
        <w:autoSpaceDN w:val="0"/>
        <w:spacing w:before="2"/>
        <w:ind w:left="1159" w:hanging="313"/>
        <w:rPr>
          <w:rFonts w:ascii="宋体" w:hAnsi="宋体" w:eastAsia="宋体" w:cs="宋体"/>
          <w:szCs w:val="22"/>
        </w:rPr>
      </w:pPr>
      <w:r>
        <w:rPr>
          <w:rFonts w:ascii="宋体" w:hAnsi="宋体" w:eastAsia="宋体" w:cs="宋体"/>
          <w:spacing w:val="-3"/>
          <w:szCs w:val="22"/>
        </w:rPr>
        <w:t>项目专用合同条款的序号应与通用合同条款和养护工程专用合同条款一致。</w:t>
      </w:r>
    </w:p>
    <w:p w14:paraId="55C74493">
      <w:pPr>
        <w:autoSpaceDE w:val="0"/>
        <w:autoSpaceDN w:val="0"/>
        <w:spacing w:before="13"/>
        <w:jc w:val="left"/>
        <w:rPr>
          <w:rFonts w:ascii="宋体" w:hAnsi="宋体" w:eastAsia="宋体" w:cs="宋体"/>
          <w:szCs w:val="21"/>
        </w:rPr>
      </w:pPr>
    </w:p>
    <w:p w14:paraId="5CB39A33">
      <w:pPr>
        <w:numPr>
          <w:ilvl w:val="1"/>
          <w:numId w:val="74"/>
        </w:numPr>
        <w:tabs>
          <w:tab w:val="left" w:pos="1159"/>
        </w:tabs>
        <w:autoSpaceDE w:val="0"/>
        <w:autoSpaceDN w:val="0"/>
        <w:ind w:left="1159" w:hanging="313"/>
        <w:rPr>
          <w:rFonts w:ascii="宋体" w:hAnsi="宋体" w:eastAsia="宋体" w:cs="宋体"/>
          <w:szCs w:val="22"/>
        </w:rPr>
      </w:pPr>
      <w:r>
        <w:rPr>
          <w:rFonts w:ascii="宋体" w:hAnsi="宋体" w:eastAsia="宋体" w:cs="宋体"/>
          <w:spacing w:val="-3"/>
          <w:szCs w:val="22"/>
        </w:rPr>
        <w:t>项目专用合同条款可对下列内容进行补充和细化：</w:t>
      </w:r>
    </w:p>
    <w:p w14:paraId="6D8D14F4">
      <w:pPr>
        <w:autoSpaceDE w:val="0"/>
        <w:autoSpaceDN w:val="0"/>
        <w:spacing w:before="15"/>
        <w:jc w:val="left"/>
        <w:rPr>
          <w:rFonts w:ascii="宋体" w:hAnsi="宋体" w:eastAsia="宋体" w:cs="宋体"/>
          <w:szCs w:val="21"/>
        </w:rPr>
      </w:pPr>
    </w:p>
    <w:p w14:paraId="1D5A1610">
      <w:pPr>
        <w:numPr>
          <w:ilvl w:val="0"/>
          <w:numId w:val="75"/>
        </w:numPr>
        <w:tabs>
          <w:tab w:val="left" w:pos="1221"/>
        </w:tabs>
        <w:autoSpaceDE w:val="0"/>
        <w:autoSpaceDN w:val="0"/>
        <w:spacing w:before="1" w:line="491" w:lineRule="auto"/>
        <w:ind w:right="569" w:firstLine="420"/>
        <w:jc w:val="both"/>
        <w:rPr>
          <w:rFonts w:ascii="宋体" w:hAnsi="宋体" w:eastAsia="宋体" w:cs="宋体"/>
          <w:szCs w:val="22"/>
        </w:rPr>
      </w:pPr>
      <w:r>
        <w:rPr>
          <w:rFonts w:ascii="宋体" w:hAnsi="宋体" w:eastAsia="宋体" w:cs="宋体"/>
          <w:spacing w:val="-4"/>
          <w:szCs w:val="22"/>
        </w:rPr>
        <w:t xml:space="preserve">“通用合同条款”中明确指出“专用合同条款”可对“通用合同条款”进行修改的内容（在 </w:t>
      </w:r>
      <w:r>
        <w:rPr>
          <w:rFonts w:ascii="宋体" w:hAnsi="宋体" w:eastAsia="宋体" w:cs="宋体"/>
          <w:spacing w:val="-2"/>
          <w:szCs w:val="22"/>
        </w:rPr>
        <w:t>“通用合同条款”中用“应按合同约定”“应按专用合同条款约定”“除合同另有约定外”“除专用合同条款另有约定外”“在专用合同条款中约定”等多种文字形式表达）；</w:t>
      </w:r>
    </w:p>
    <w:p w14:paraId="51F46C96">
      <w:pPr>
        <w:numPr>
          <w:ilvl w:val="0"/>
          <w:numId w:val="75"/>
        </w:numPr>
        <w:tabs>
          <w:tab w:val="left" w:pos="1267"/>
        </w:tabs>
        <w:autoSpaceDE w:val="0"/>
        <w:autoSpaceDN w:val="0"/>
        <w:spacing w:before="1" w:line="491" w:lineRule="auto"/>
        <w:ind w:right="463" w:firstLine="420"/>
        <w:rPr>
          <w:rFonts w:ascii="宋体" w:hAnsi="宋体" w:eastAsia="宋体" w:cs="宋体"/>
          <w:szCs w:val="22"/>
        </w:rPr>
      </w:pPr>
      <w:r>
        <w:rPr>
          <w:rFonts w:ascii="宋体" w:hAnsi="宋体" w:eastAsia="宋体" w:cs="宋体"/>
          <w:spacing w:val="-1"/>
          <w:w w:val="99"/>
          <w:szCs w:val="22"/>
        </w:rPr>
        <w:t>“养护工程专用合同条款”中明确指出“项目专用合同条款”可对“养护工程专用合同条</w:t>
      </w:r>
      <w:r>
        <w:rPr>
          <w:rFonts w:ascii="宋体" w:hAnsi="宋体" w:eastAsia="宋体" w:cs="宋体"/>
          <w:spacing w:val="-9"/>
          <w:w w:val="99"/>
          <w:szCs w:val="22"/>
        </w:rPr>
        <w:t>款”进行补充和细化的内容</w:t>
      </w:r>
      <w:r>
        <w:rPr>
          <w:rFonts w:ascii="宋体" w:hAnsi="宋体" w:eastAsia="宋体" w:cs="宋体"/>
          <w:spacing w:val="2"/>
          <w:w w:val="99"/>
          <w:szCs w:val="22"/>
        </w:rPr>
        <w:t>（</w:t>
      </w:r>
      <w:r>
        <w:rPr>
          <w:rFonts w:ascii="宋体" w:hAnsi="宋体" w:eastAsia="宋体" w:cs="宋体"/>
          <w:spacing w:val="-14"/>
          <w:w w:val="99"/>
          <w:szCs w:val="22"/>
        </w:rPr>
        <w:t xml:space="preserve">在“养护工程专用合同条款”中用“除项目专用合同条款另有约定外”， </w:t>
      </w:r>
      <w:r>
        <w:rPr>
          <w:rFonts w:ascii="宋体" w:hAnsi="宋体" w:eastAsia="宋体" w:cs="宋体"/>
          <w:spacing w:val="-1"/>
          <w:w w:val="99"/>
          <w:szCs w:val="22"/>
        </w:rPr>
        <w:t>“项目专用合同条款可能约定的”，“项目专用合同条款约定的其他情形”等多种文字形式表达</w:t>
      </w:r>
      <w:r>
        <w:rPr>
          <w:rFonts w:ascii="宋体" w:hAnsi="宋体" w:eastAsia="宋体" w:cs="宋体"/>
          <w:spacing w:val="2"/>
          <w:w w:val="99"/>
          <w:szCs w:val="22"/>
        </w:rPr>
        <w:t>）</w:t>
      </w:r>
      <w:r>
        <w:rPr>
          <w:rFonts w:ascii="宋体" w:hAnsi="宋体" w:eastAsia="宋体" w:cs="宋体"/>
          <w:w w:val="99"/>
          <w:szCs w:val="22"/>
        </w:rPr>
        <w:t>；</w:t>
      </w:r>
    </w:p>
    <w:p w14:paraId="3D2FDA23">
      <w:pPr>
        <w:numPr>
          <w:ilvl w:val="0"/>
          <w:numId w:val="75"/>
        </w:numPr>
        <w:tabs>
          <w:tab w:val="left" w:pos="1261"/>
        </w:tabs>
        <w:autoSpaceDE w:val="0"/>
        <w:autoSpaceDN w:val="0"/>
        <w:spacing w:before="1"/>
        <w:ind w:left="1261" w:hanging="521"/>
        <w:rPr>
          <w:rFonts w:ascii="宋体" w:hAnsi="宋体" w:eastAsia="宋体" w:cs="宋体"/>
          <w:szCs w:val="22"/>
        </w:rPr>
      </w:pPr>
      <w:r>
        <w:rPr>
          <w:rFonts w:ascii="宋体" w:hAnsi="宋体" w:eastAsia="宋体" w:cs="宋体"/>
          <w:spacing w:val="-3"/>
          <w:szCs w:val="22"/>
        </w:rPr>
        <w:t>其他需要约定、补充、细化的内容。</w:t>
      </w:r>
    </w:p>
    <w:p w14:paraId="2C07BA6B">
      <w:pPr>
        <w:jc w:val="left"/>
        <w:sectPr>
          <w:pgSz w:w="11910" w:h="16840"/>
          <w:pgMar w:top="1600" w:right="849" w:bottom="1360" w:left="992" w:header="0" w:footer="1176" w:gutter="0"/>
          <w:cols w:space="720" w:num="1"/>
        </w:sectPr>
      </w:pPr>
    </w:p>
    <w:p w14:paraId="212276E5">
      <w:pPr>
        <w:autoSpaceDE w:val="0"/>
        <w:autoSpaceDN w:val="0"/>
        <w:spacing w:before="45"/>
        <w:ind w:left="-1" w:right="142"/>
        <w:jc w:val="center"/>
        <w:outlineLvl w:val="8"/>
        <w:rPr>
          <w:rFonts w:ascii="宋体" w:hAnsi="宋体" w:eastAsia="宋体" w:cs="宋体"/>
          <w:b/>
          <w:bCs/>
          <w:sz w:val="28"/>
          <w:szCs w:val="28"/>
        </w:rPr>
      </w:pPr>
      <w:bookmarkStart w:id="367" w:name="项目专用合同条款数据表"/>
      <w:bookmarkEnd w:id="367"/>
      <w:r>
        <w:rPr>
          <w:rFonts w:ascii="宋体" w:hAnsi="宋体" w:eastAsia="宋体" w:cs="宋体"/>
          <w:b/>
          <w:bCs/>
          <w:spacing w:val="-5"/>
          <w:sz w:val="28"/>
          <w:szCs w:val="28"/>
        </w:rPr>
        <w:t>项目专用合同条款数据表</w:t>
      </w:r>
    </w:p>
    <w:p w14:paraId="0F5FD5F9">
      <w:pPr>
        <w:autoSpaceDE w:val="0"/>
        <w:autoSpaceDN w:val="0"/>
        <w:spacing w:before="106" w:line="352" w:lineRule="auto"/>
        <w:ind w:left="426" w:right="567" w:firstLine="420"/>
        <w:rPr>
          <w:rFonts w:ascii="宋体" w:hAnsi="宋体" w:eastAsia="宋体" w:cs="宋体"/>
          <w:szCs w:val="21"/>
        </w:rPr>
      </w:pPr>
      <w:r>
        <w:rPr>
          <w:rFonts w:ascii="宋体" w:hAnsi="宋体" w:eastAsia="宋体" w:cs="宋体"/>
          <w:szCs w:val="21"/>
        </w:rPr>
        <mc:AlternateContent>
          <mc:Choice Requires="wps">
            <w:drawing>
              <wp:anchor distT="0" distB="0" distL="0" distR="0" simplePos="0" relativeHeight="251659264" behindDoc="0" locked="0" layoutInCell="1" allowOverlap="1">
                <wp:simplePos x="0" y="0"/>
                <wp:positionH relativeFrom="page">
                  <wp:posOffset>860425</wp:posOffset>
                </wp:positionH>
                <wp:positionV relativeFrom="paragraph">
                  <wp:posOffset>762000</wp:posOffset>
                </wp:positionV>
                <wp:extent cx="5947410" cy="6886575"/>
                <wp:effectExtent l="0" t="0" r="0" b="0"/>
                <wp:wrapNone/>
                <wp:docPr id="6" name="Textbox 6"/>
                <wp:cNvGraphicFramePr/>
                <a:graphic xmlns:a="http://schemas.openxmlformats.org/drawingml/2006/main">
                  <a:graphicData uri="http://schemas.microsoft.com/office/word/2010/wordprocessingShape">
                    <wps:wsp>
                      <wps:cNvSpPr txBox="1"/>
                      <wps:spPr>
                        <a:xfrm>
                          <a:off x="0" y="0"/>
                          <a:ext cx="5947410" cy="6886575"/>
                        </a:xfrm>
                        <a:prstGeom prst="rect">
                          <a:avLst/>
                        </a:prstGeom>
                      </wps:spPr>
                      <wps:txbx>
                        <w:txbxContent>
                          <w:tbl>
                            <w:tblPr>
                              <w:tblStyle w:val="52"/>
                              <w:tblW w:w="0" w:type="auto"/>
                              <w:tblInd w:w="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2"/>
                              <w:gridCol w:w="1098"/>
                              <w:gridCol w:w="7287"/>
                            </w:tblGrid>
                            <w:tr w14:paraId="503194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832" w:type="dxa"/>
                                  <w:tcBorders>
                                    <w:bottom w:val="single" w:color="000000" w:sz="4" w:space="0"/>
                                    <w:right w:val="single" w:color="000000" w:sz="4" w:space="0"/>
                                  </w:tcBorders>
                                </w:tcPr>
                                <w:p w14:paraId="27C189C0">
                                  <w:pPr>
                                    <w:autoSpaceDE w:val="0"/>
                                    <w:autoSpaceDN w:val="0"/>
                                    <w:spacing w:before="174"/>
                                    <w:ind w:left="27"/>
                                    <w:jc w:val="center"/>
                                    <w:rPr>
                                      <w:rFonts w:ascii="宋体" w:hAnsi="宋体" w:eastAsia="宋体" w:cs="宋体"/>
                                      <w:szCs w:val="22"/>
                                    </w:rPr>
                                  </w:pPr>
                                  <w:r>
                                    <w:rPr>
                                      <w:rFonts w:ascii="宋体" w:hAnsi="宋体" w:eastAsia="宋体" w:cs="宋体"/>
                                      <w:spacing w:val="-8"/>
                                      <w:szCs w:val="22"/>
                                    </w:rPr>
                                    <w:t>序号</w:t>
                                  </w:r>
                                </w:p>
                              </w:tc>
                              <w:tc>
                                <w:tcPr>
                                  <w:tcW w:w="1098" w:type="dxa"/>
                                  <w:tcBorders>
                                    <w:left w:val="single" w:color="000000" w:sz="4" w:space="0"/>
                                    <w:bottom w:val="single" w:color="000000" w:sz="4" w:space="0"/>
                                    <w:right w:val="single" w:color="000000" w:sz="4" w:space="0"/>
                                  </w:tcBorders>
                                </w:tcPr>
                                <w:p w14:paraId="00FFA29C">
                                  <w:pPr>
                                    <w:autoSpaceDE w:val="0"/>
                                    <w:autoSpaceDN w:val="0"/>
                                    <w:spacing w:before="174"/>
                                    <w:ind w:left="28" w:right="1"/>
                                    <w:jc w:val="center"/>
                                    <w:rPr>
                                      <w:rFonts w:ascii="宋体" w:hAnsi="宋体" w:eastAsia="宋体" w:cs="宋体"/>
                                      <w:szCs w:val="22"/>
                                    </w:rPr>
                                  </w:pPr>
                                  <w:r>
                                    <w:rPr>
                                      <w:rFonts w:ascii="宋体" w:hAnsi="宋体" w:eastAsia="宋体" w:cs="宋体"/>
                                      <w:spacing w:val="-5"/>
                                      <w:szCs w:val="22"/>
                                    </w:rPr>
                                    <w:t>条目号</w:t>
                                  </w:r>
                                </w:p>
                              </w:tc>
                              <w:tc>
                                <w:tcPr>
                                  <w:tcW w:w="7287" w:type="dxa"/>
                                  <w:tcBorders>
                                    <w:left w:val="single" w:color="000000" w:sz="4" w:space="0"/>
                                    <w:bottom w:val="single" w:color="000000" w:sz="4" w:space="0"/>
                                  </w:tcBorders>
                                </w:tcPr>
                                <w:p w14:paraId="2DECEA4A">
                                  <w:pPr>
                                    <w:autoSpaceDE w:val="0"/>
                                    <w:autoSpaceDN w:val="0"/>
                                    <w:spacing w:before="174"/>
                                    <w:ind w:left="26"/>
                                    <w:jc w:val="center"/>
                                    <w:rPr>
                                      <w:rFonts w:ascii="宋体" w:hAnsi="宋体" w:eastAsia="宋体" w:cs="宋体"/>
                                      <w:szCs w:val="22"/>
                                    </w:rPr>
                                  </w:pPr>
                                  <w:r>
                                    <w:rPr>
                                      <w:rFonts w:ascii="宋体" w:hAnsi="宋体" w:eastAsia="宋体" w:cs="宋体"/>
                                      <w:spacing w:val="-4"/>
                                      <w:szCs w:val="22"/>
                                    </w:rPr>
                                    <w:t>信息或数据</w:t>
                                  </w:r>
                                </w:p>
                              </w:tc>
                            </w:tr>
                            <w:tr w14:paraId="589A19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2F301417">
                                  <w:pPr>
                                    <w:autoSpaceDE w:val="0"/>
                                    <w:autoSpaceDN w:val="0"/>
                                    <w:spacing w:before="33"/>
                                    <w:jc w:val="left"/>
                                    <w:rPr>
                                      <w:rFonts w:ascii="宋体" w:hAnsi="宋体" w:eastAsia="宋体" w:cs="宋体"/>
                                      <w:szCs w:val="22"/>
                                    </w:rPr>
                                  </w:pPr>
                                </w:p>
                                <w:p w14:paraId="6BC7D22F">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1</w:t>
                                  </w:r>
                                </w:p>
                              </w:tc>
                              <w:tc>
                                <w:tcPr>
                                  <w:tcW w:w="1098" w:type="dxa"/>
                                  <w:tcBorders>
                                    <w:top w:val="single" w:color="000000" w:sz="4" w:space="0"/>
                                    <w:left w:val="single" w:color="000000" w:sz="4" w:space="0"/>
                                    <w:bottom w:val="single" w:color="000000" w:sz="4" w:space="0"/>
                                    <w:right w:val="single" w:color="000000" w:sz="4" w:space="0"/>
                                  </w:tcBorders>
                                </w:tcPr>
                                <w:p w14:paraId="6D7168A2">
                                  <w:pPr>
                                    <w:autoSpaceDE w:val="0"/>
                                    <w:autoSpaceDN w:val="0"/>
                                    <w:spacing w:before="33"/>
                                    <w:jc w:val="left"/>
                                    <w:rPr>
                                      <w:rFonts w:ascii="宋体" w:hAnsi="宋体" w:eastAsia="宋体" w:cs="宋体"/>
                                      <w:szCs w:val="22"/>
                                    </w:rPr>
                                  </w:pPr>
                                </w:p>
                                <w:p w14:paraId="098D1954">
                                  <w:pPr>
                                    <w:autoSpaceDE w:val="0"/>
                                    <w:autoSpaceDN w:val="0"/>
                                    <w:spacing w:before="1"/>
                                    <w:ind w:left="28"/>
                                    <w:jc w:val="center"/>
                                    <w:rPr>
                                      <w:rFonts w:ascii="宋体" w:hAnsi="宋体" w:eastAsia="宋体" w:cs="宋体"/>
                                      <w:szCs w:val="22"/>
                                    </w:rPr>
                                  </w:pPr>
                                  <w:r>
                                    <w:fldChar w:fldCharType="begin"/>
                                  </w:r>
                                  <w:r>
                                    <w:instrText xml:space="preserve"> HYPERLINK "1.1.2.2" \h </w:instrText>
                                  </w:r>
                                  <w:r>
                                    <w:fldChar w:fldCharType="separate"/>
                                  </w:r>
                                  <w:r>
                                    <w:rPr>
                                      <w:rFonts w:ascii="宋体" w:hAnsi="宋体" w:eastAsia="宋体" w:cs="宋体"/>
                                      <w:spacing w:val="-2"/>
                                      <w:szCs w:val="22"/>
                                    </w:rPr>
                                    <w:t>1.1.2.2</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32EB0665">
                                  <w:pPr>
                                    <w:autoSpaceDE w:val="0"/>
                                    <w:autoSpaceDN w:val="0"/>
                                    <w:spacing w:before="105"/>
                                    <w:ind w:left="225"/>
                                    <w:jc w:val="left"/>
                                    <w:rPr>
                                      <w:rFonts w:ascii="宋体" w:hAnsi="宋体" w:eastAsia="宋体" w:cs="宋体"/>
                                      <w:szCs w:val="22"/>
                                    </w:rPr>
                                  </w:pPr>
                                  <w:r>
                                    <w:rPr>
                                      <w:rFonts w:ascii="宋体" w:hAnsi="宋体" w:eastAsia="宋体" w:cs="宋体"/>
                                      <w:spacing w:val="-3"/>
                                      <w:szCs w:val="22"/>
                                    </w:rPr>
                                    <w:t>发包人：三门县公路与运输管理中心</w:t>
                                  </w:r>
                                </w:p>
                                <w:p w14:paraId="0E1530BC">
                                  <w:pPr>
                                    <w:tabs>
                                      <w:tab w:val="left" w:pos="5054"/>
                                    </w:tabs>
                                    <w:autoSpaceDE w:val="0"/>
                                    <w:autoSpaceDN w:val="0"/>
                                    <w:spacing w:before="128"/>
                                    <w:ind w:left="225"/>
                                    <w:jc w:val="left"/>
                                    <w:rPr>
                                      <w:rFonts w:ascii="宋体" w:hAnsi="宋体" w:eastAsia="宋体" w:cs="宋体"/>
                                      <w:szCs w:val="22"/>
                                    </w:rPr>
                                  </w:pPr>
                                  <w:r>
                                    <w:rPr>
                                      <w:rFonts w:ascii="宋体" w:hAnsi="宋体" w:eastAsia="宋体" w:cs="宋体"/>
                                      <w:szCs w:val="22"/>
                                    </w:rPr>
                                    <w:t>地</w:t>
                                  </w:r>
                                  <w:r>
                                    <w:rPr>
                                      <w:rFonts w:ascii="宋体" w:hAnsi="宋体" w:eastAsia="宋体" w:cs="宋体"/>
                                      <w:spacing w:val="75"/>
                                      <w:szCs w:val="22"/>
                                    </w:rPr>
                                    <w:t xml:space="preserve"> </w:t>
                                  </w:r>
                                  <w:r>
                                    <w:rPr>
                                      <w:rFonts w:ascii="宋体" w:hAnsi="宋体" w:eastAsia="宋体" w:cs="宋体"/>
                                      <w:szCs w:val="22"/>
                                    </w:rPr>
                                    <w:t>址：三门县海游街道广场路22号交通大</w:t>
                                  </w:r>
                                  <w:r>
                                    <w:rPr>
                                      <w:rFonts w:ascii="宋体" w:hAnsi="宋体" w:eastAsia="宋体" w:cs="宋体"/>
                                      <w:spacing w:val="-10"/>
                                      <w:szCs w:val="22"/>
                                    </w:rPr>
                                    <w:t>楼</w:t>
                                  </w:r>
                                  <w:r>
                                    <w:rPr>
                                      <w:rFonts w:ascii="宋体" w:hAnsi="宋体" w:eastAsia="宋体" w:cs="宋体"/>
                                      <w:szCs w:val="22"/>
                                    </w:rPr>
                                    <w:tab/>
                                  </w:r>
                                  <w:r>
                                    <w:rPr>
                                      <w:rFonts w:ascii="宋体" w:hAnsi="宋体" w:eastAsia="宋体" w:cs="宋体"/>
                                      <w:spacing w:val="-2"/>
                                      <w:szCs w:val="22"/>
                                    </w:rPr>
                                    <w:t>邮政编码：317100</w:t>
                                  </w:r>
                                </w:p>
                              </w:tc>
                            </w:tr>
                            <w:tr w14:paraId="4D7FDF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7BDA9522">
                                  <w:pPr>
                                    <w:autoSpaceDE w:val="0"/>
                                    <w:autoSpaceDN w:val="0"/>
                                    <w:spacing w:before="32"/>
                                    <w:jc w:val="left"/>
                                    <w:rPr>
                                      <w:rFonts w:ascii="宋体" w:hAnsi="宋体" w:eastAsia="宋体" w:cs="宋体"/>
                                      <w:szCs w:val="22"/>
                                    </w:rPr>
                                  </w:pPr>
                                </w:p>
                                <w:p w14:paraId="68B04CAB">
                                  <w:pPr>
                                    <w:autoSpaceDE w:val="0"/>
                                    <w:autoSpaceDN w:val="0"/>
                                    <w:ind w:left="27" w:right="1"/>
                                    <w:jc w:val="center"/>
                                    <w:rPr>
                                      <w:rFonts w:ascii="宋体" w:hAnsi="宋体" w:eastAsia="宋体" w:cs="宋体"/>
                                      <w:szCs w:val="22"/>
                                    </w:rPr>
                                  </w:pPr>
                                  <w:r>
                                    <w:rPr>
                                      <w:rFonts w:ascii="宋体" w:hAnsi="宋体" w:eastAsia="宋体" w:cs="宋体"/>
                                      <w:spacing w:val="-10"/>
                                      <w:szCs w:val="22"/>
                                    </w:rPr>
                                    <w:t>2</w:t>
                                  </w:r>
                                </w:p>
                              </w:tc>
                              <w:tc>
                                <w:tcPr>
                                  <w:tcW w:w="1098" w:type="dxa"/>
                                  <w:tcBorders>
                                    <w:top w:val="single" w:color="000000" w:sz="4" w:space="0"/>
                                    <w:left w:val="single" w:color="000000" w:sz="4" w:space="0"/>
                                    <w:bottom w:val="single" w:color="000000" w:sz="4" w:space="0"/>
                                    <w:right w:val="single" w:color="000000" w:sz="4" w:space="0"/>
                                  </w:tcBorders>
                                </w:tcPr>
                                <w:p w14:paraId="13DE8345">
                                  <w:pPr>
                                    <w:autoSpaceDE w:val="0"/>
                                    <w:autoSpaceDN w:val="0"/>
                                    <w:spacing w:before="32"/>
                                    <w:jc w:val="left"/>
                                    <w:rPr>
                                      <w:rFonts w:ascii="宋体" w:hAnsi="宋体" w:eastAsia="宋体" w:cs="宋体"/>
                                      <w:szCs w:val="22"/>
                                    </w:rPr>
                                  </w:pPr>
                                </w:p>
                                <w:p w14:paraId="70C4E358">
                                  <w:pPr>
                                    <w:autoSpaceDE w:val="0"/>
                                    <w:autoSpaceDN w:val="0"/>
                                    <w:ind w:left="28"/>
                                    <w:jc w:val="center"/>
                                    <w:rPr>
                                      <w:rFonts w:ascii="宋体" w:hAnsi="宋体" w:eastAsia="宋体" w:cs="宋体"/>
                                      <w:szCs w:val="22"/>
                                    </w:rPr>
                                  </w:pPr>
                                  <w:r>
                                    <w:fldChar w:fldCharType="begin"/>
                                  </w:r>
                                  <w:r>
                                    <w:instrText xml:space="preserve"> HYPERLINK "1.1.2.6" \h </w:instrText>
                                  </w:r>
                                  <w:r>
                                    <w:fldChar w:fldCharType="separate"/>
                                  </w:r>
                                  <w:r>
                                    <w:rPr>
                                      <w:rFonts w:ascii="宋体" w:hAnsi="宋体" w:eastAsia="宋体" w:cs="宋体"/>
                                      <w:spacing w:val="-2"/>
                                      <w:szCs w:val="22"/>
                                    </w:rPr>
                                    <w:t>1.1.2.6</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528C3186">
                                  <w:pPr>
                                    <w:autoSpaceDE w:val="0"/>
                                    <w:autoSpaceDN w:val="0"/>
                                    <w:spacing w:before="106"/>
                                    <w:ind w:left="225"/>
                                    <w:jc w:val="left"/>
                                    <w:rPr>
                                      <w:rFonts w:ascii="宋体" w:hAnsi="宋体" w:eastAsia="宋体" w:cs="宋体"/>
                                      <w:szCs w:val="22"/>
                                    </w:rPr>
                                  </w:pPr>
                                  <w:r>
                                    <w:rPr>
                                      <w:rFonts w:ascii="宋体" w:hAnsi="宋体" w:eastAsia="宋体" w:cs="宋体"/>
                                      <w:spacing w:val="-7"/>
                                      <w:szCs w:val="22"/>
                                    </w:rPr>
                                    <w:t>监理人：</w:t>
                                  </w:r>
                                </w:p>
                                <w:p w14:paraId="5F4FC4A5">
                                  <w:pPr>
                                    <w:tabs>
                                      <w:tab w:val="left" w:pos="3059"/>
                                    </w:tabs>
                                    <w:autoSpaceDE w:val="0"/>
                                    <w:autoSpaceDN w:val="0"/>
                                    <w:spacing w:before="128" w:line="273" w:lineRule="exact"/>
                                    <w:ind w:left="225"/>
                                    <w:jc w:val="left"/>
                                    <w:rPr>
                                      <w:rFonts w:ascii="宋体" w:hAnsi="宋体" w:eastAsia="宋体" w:cs="宋体"/>
                                      <w:szCs w:val="22"/>
                                    </w:rPr>
                                  </w:pPr>
                                  <w:r>
                                    <w:rPr>
                                      <w:rFonts w:ascii="宋体" w:hAnsi="宋体" w:eastAsia="宋体" w:cs="宋体"/>
                                      <w:szCs w:val="22"/>
                                    </w:rPr>
                                    <w:t>地</w:t>
                                  </w:r>
                                  <w:r>
                                    <w:rPr>
                                      <w:rFonts w:ascii="宋体" w:hAnsi="宋体" w:eastAsia="宋体" w:cs="宋体"/>
                                      <w:spacing w:val="48"/>
                                      <w:w w:val="150"/>
                                      <w:szCs w:val="22"/>
                                    </w:rPr>
                                    <w:t xml:space="preserve"> </w:t>
                                  </w:r>
                                  <w:r>
                                    <w:rPr>
                                      <w:rFonts w:ascii="宋体" w:hAnsi="宋体" w:eastAsia="宋体" w:cs="宋体"/>
                                      <w:szCs w:val="22"/>
                                    </w:rPr>
                                    <w:t>址</w:t>
                                  </w:r>
                                  <w:r>
                                    <w:rPr>
                                      <w:rFonts w:ascii="宋体" w:hAnsi="宋体" w:eastAsia="宋体" w:cs="宋体"/>
                                      <w:spacing w:val="-10"/>
                                      <w:szCs w:val="22"/>
                                    </w:rPr>
                                    <w:t>：</w:t>
                                  </w:r>
                                  <w:r>
                                    <w:rPr>
                                      <w:rFonts w:ascii="宋体" w:hAnsi="宋体" w:eastAsia="宋体" w:cs="宋体"/>
                                      <w:szCs w:val="22"/>
                                    </w:rPr>
                                    <w:tab/>
                                  </w:r>
                                  <w:r>
                                    <w:rPr>
                                      <w:rFonts w:ascii="宋体" w:hAnsi="宋体" w:eastAsia="宋体" w:cs="宋体"/>
                                      <w:spacing w:val="-2"/>
                                      <w:szCs w:val="22"/>
                                    </w:rPr>
                                    <w:t>邮政编码</w:t>
                                  </w:r>
                                  <w:r>
                                    <w:rPr>
                                      <w:rFonts w:ascii="宋体" w:hAnsi="宋体" w:eastAsia="宋体" w:cs="宋体"/>
                                      <w:spacing w:val="-10"/>
                                      <w:szCs w:val="22"/>
                                    </w:rPr>
                                    <w:t>：</w:t>
                                  </w:r>
                                </w:p>
                              </w:tc>
                            </w:tr>
                            <w:tr w14:paraId="62619E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832" w:type="dxa"/>
                                  <w:tcBorders>
                                    <w:top w:val="single" w:color="000000" w:sz="4" w:space="0"/>
                                    <w:bottom w:val="single" w:color="000000" w:sz="4" w:space="0"/>
                                    <w:right w:val="single" w:color="000000" w:sz="4" w:space="0"/>
                                  </w:tcBorders>
                                </w:tcPr>
                                <w:p w14:paraId="053D5F36">
                                  <w:pPr>
                                    <w:autoSpaceDE w:val="0"/>
                                    <w:autoSpaceDN w:val="0"/>
                                    <w:spacing w:before="177"/>
                                    <w:ind w:left="27" w:right="1"/>
                                    <w:jc w:val="center"/>
                                    <w:rPr>
                                      <w:rFonts w:ascii="宋体" w:hAnsi="宋体" w:eastAsia="宋体" w:cs="宋体"/>
                                      <w:szCs w:val="22"/>
                                    </w:rPr>
                                  </w:pPr>
                                  <w:r>
                                    <w:rPr>
                                      <w:rFonts w:ascii="宋体" w:hAnsi="宋体" w:eastAsia="宋体" w:cs="宋体"/>
                                      <w:spacing w:val="-10"/>
                                      <w:szCs w:val="22"/>
                                    </w:rPr>
                                    <w:t>3</w:t>
                                  </w:r>
                                </w:p>
                              </w:tc>
                              <w:tc>
                                <w:tcPr>
                                  <w:tcW w:w="1098" w:type="dxa"/>
                                  <w:tcBorders>
                                    <w:top w:val="single" w:color="000000" w:sz="4" w:space="0"/>
                                    <w:left w:val="single" w:color="000000" w:sz="4" w:space="0"/>
                                    <w:bottom w:val="single" w:color="000000" w:sz="4" w:space="0"/>
                                    <w:right w:val="single" w:color="000000" w:sz="4" w:space="0"/>
                                  </w:tcBorders>
                                </w:tcPr>
                                <w:p w14:paraId="0B849A5B">
                                  <w:pPr>
                                    <w:autoSpaceDE w:val="0"/>
                                    <w:autoSpaceDN w:val="0"/>
                                    <w:spacing w:before="177"/>
                                    <w:ind w:left="28"/>
                                    <w:jc w:val="center"/>
                                    <w:rPr>
                                      <w:rFonts w:ascii="宋体" w:hAnsi="宋体" w:eastAsia="宋体" w:cs="宋体"/>
                                      <w:szCs w:val="22"/>
                                    </w:rPr>
                                  </w:pPr>
                                  <w:r>
                                    <w:fldChar w:fldCharType="begin"/>
                                  </w:r>
                                  <w:r>
                                    <w:instrText xml:space="preserve"> HYPERLINK "1.1.4.5" \h </w:instrText>
                                  </w:r>
                                  <w:r>
                                    <w:fldChar w:fldCharType="separate"/>
                                  </w:r>
                                  <w:r>
                                    <w:rPr>
                                      <w:rFonts w:ascii="宋体" w:hAnsi="宋体" w:eastAsia="宋体" w:cs="宋体"/>
                                      <w:spacing w:val="-2"/>
                                      <w:szCs w:val="22"/>
                                    </w:rPr>
                                    <w:t>1.1.4.5</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058883E5">
                                  <w:pPr>
                                    <w:autoSpaceDE w:val="0"/>
                                    <w:autoSpaceDN w:val="0"/>
                                    <w:spacing w:before="177"/>
                                    <w:ind w:left="225"/>
                                    <w:jc w:val="left"/>
                                    <w:rPr>
                                      <w:rFonts w:ascii="宋体" w:hAnsi="宋体" w:eastAsia="宋体" w:cs="宋体"/>
                                      <w:szCs w:val="22"/>
                                    </w:rPr>
                                  </w:pPr>
                                  <w:r>
                                    <w:rPr>
                                      <w:rFonts w:ascii="宋体" w:hAnsi="宋体" w:eastAsia="宋体" w:cs="宋体"/>
                                      <w:szCs w:val="22"/>
                                    </w:rPr>
                                    <w:t>缺陷责任期：自实际交工日期起计算</w:t>
                                  </w:r>
                                  <w:r>
                                    <w:rPr>
                                      <w:rFonts w:ascii="Times New Roman" w:hAnsi="宋体" w:eastAsia="Times New Roman" w:cs="宋体"/>
                                      <w:spacing w:val="34"/>
                                      <w:szCs w:val="22"/>
                                      <w:u w:val="single"/>
                                    </w:rPr>
                                    <w:t xml:space="preserve"> </w:t>
                                  </w:r>
                                  <w:r>
                                    <w:rPr>
                                      <w:rFonts w:ascii="宋体" w:hAnsi="宋体" w:eastAsia="宋体" w:cs="宋体"/>
                                      <w:szCs w:val="22"/>
                                      <w:u w:val="single"/>
                                    </w:rPr>
                                    <w:t>12</w:t>
                                  </w:r>
                                  <w:r>
                                    <w:rPr>
                                      <w:rFonts w:ascii="宋体" w:hAnsi="宋体" w:eastAsia="宋体" w:cs="宋体"/>
                                      <w:spacing w:val="-14"/>
                                      <w:szCs w:val="22"/>
                                      <w:u w:val="single"/>
                                    </w:rPr>
                                    <w:t xml:space="preserve"> </w:t>
                                  </w:r>
                                  <w:r>
                                    <w:rPr>
                                      <w:rFonts w:ascii="宋体" w:hAnsi="宋体" w:eastAsia="宋体" w:cs="宋体"/>
                                      <w:spacing w:val="-5"/>
                                      <w:szCs w:val="22"/>
                                    </w:rPr>
                                    <w:t>个月</w:t>
                                  </w:r>
                                </w:p>
                              </w:tc>
                            </w:tr>
                            <w:tr w14:paraId="7B1353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4D03CB6B">
                                  <w:pPr>
                                    <w:autoSpaceDE w:val="0"/>
                                    <w:autoSpaceDN w:val="0"/>
                                    <w:spacing w:before="32"/>
                                    <w:jc w:val="left"/>
                                    <w:rPr>
                                      <w:rFonts w:ascii="宋体" w:hAnsi="宋体" w:eastAsia="宋体" w:cs="宋体"/>
                                      <w:szCs w:val="22"/>
                                    </w:rPr>
                                  </w:pPr>
                                </w:p>
                                <w:p w14:paraId="2D31D8A6">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4</w:t>
                                  </w:r>
                                </w:p>
                              </w:tc>
                              <w:tc>
                                <w:tcPr>
                                  <w:tcW w:w="1098" w:type="dxa"/>
                                  <w:tcBorders>
                                    <w:top w:val="single" w:color="000000" w:sz="4" w:space="0"/>
                                    <w:left w:val="single" w:color="000000" w:sz="4" w:space="0"/>
                                    <w:bottom w:val="single" w:color="000000" w:sz="4" w:space="0"/>
                                    <w:right w:val="single" w:color="000000" w:sz="4" w:space="0"/>
                                  </w:tcBorders>
                                </w:tcPr>
                                <w:p w14:paraId="06D43F21">
                                  <w:pPr>
                                    <w:autoSpaceDE w:val="0"/>
                                    <w:autoSpaceDN w:val="0"/>
                                    <w:spacing w:before="32"/>
                                    <w:jc w:val="left"/>
                                    <w:rPr>
                                      <w:rFonts w:ascii="宋体" w:hAnsi="宋体" w:eastAsia="宋体" w:cs="宋体"/>
                                      <w:szCs w:val="22"/>
                                    </w:rPr>
                                  </w:pPr>
                                </w:p>
                                <w:p w14:paraId="0E0F2263">
                                  <w:pPr>
                                    <w:autoSpaceDE w:val="0"/>
                                    <w:autoSpaceDN w:val="0"/>
                                    <w:spacing w:before="1"/>
                                    <w:ind w:left="28"/>
                                    <w:jc w:val="center"/>
                                    <w:rPr>
                                      <w:rFonts w:ascii="宋体" w:hAnsi="宋体" w:eastAsia="宋体" w:cs="宋体"/>
                                      <w:szCs w:val="22"/>
                                    </w:rPr>
                                  </w:pPr>
                                  <w:r>
                                    <w:rPr>
                                      <w:rFonts w:ascii="宋体" w:hAnsi="宋体" w:eastAsia="宋体" w:cs="宋体"/>
                                      <w:spacing w:val="-2"/>
                                      <w:szCs w:val="22"/>
                                    </w:rPr>
                                    <w:t>1.6.3</w:t>
                                  </w:r>
                                </w:p>
                              </w:tc>
                              <w:tc>
                                <w:tcPr>
                                  <w:tcW w:w="7287" w:type="dxa"/>
                                  <w:tcBorders>
                                    <w:top w:val="single" w:color="000000" w:sz="4" w:space="0"/>
                                    <w:left w:val="single" w:color="000000" w:sz="4" w:space="0"/>
                                    <w:bottom w:val="single" w:color="000000" w:sz="4" w:space="0"/>
                                  </w:tcBorders>
                                </w:tcPr>
                                <w:p w14:paraId="10D64D74">
                                  <w:pPr>
                                    <w:autoSpaceDE w:val="0"/>
                                    <w:autoSpaceDN w:val="0"/>
                                    <w:spacing w:line="398" w:lineRule="exact"/>
                                    <w:ind w:left="225" w:right="-15"/>
                                    <w:jc w:val="left"/>
                                    <w:rPr>
                                      <w:rFonts w:ascii="宋体" w:hAnsi="宋体" w:eastAsia="宋体" w:cs="宋体"/>
                                      <w:szCs w:val="22"/>
                                    </w:rPr>
                                  </w:pPr>
                                  <w:r>
                                    <w:rPr>
                                      <w:rFonts w:ascii="宋体" w:hAnsi="宋体" w:eastAsia="宋体" w:cs="宋体"/>
                                      <w:spacing w:val="-4"/>
                                      <w:szCs w:val="22"/>
                                    </w:rPr>
                                    <w:t>图纸需要修改和补充的，应由监理人取得发包人同意后，在该工程或工程相应</w:t>
                                  </w:r>
                                  <w:r>
                                    <w:rPr>
                                      <w:rFonts w:ascii="宋体" w:hAnsi="宋体" w:eastAsia="宋体" w:cs="宋体"/>
                                      <w:szCs w:val="22"/>
                                    </w:rPr>
                                    <w:t>部位施工前</w:t>
                                  </w:r>
                                  <w:r>
                                    <w:rPr>
                                      <w:rFonts w:ascii="Times New Roman" w:hAnsi="宋体" w:eastAsia="Times New Roman" w:cs="宋体"/>
                                      <w:spacing w:val="40"/>
                                      <w:szCs w:val="22"/>
                                      <w:u w:val="single"/>
                                    </w:rPr>
                                    <w:t xml:space="preserve"> </w:t>
                                  </w:r>
                                  <w:r>
                                    <w:rPr>
                                      <w:rFonts w:ascii="宋体" w:hAnsi="宋体" w:eastAsia="宋体" w:cs="宋体"/>
                                      <w:szCs w:val="22"/>
                                      <w:u w:val="single"/>
                                    </w:rPr>
                                    <w:t xml:space="preserve">14 </w:t>
                                  </w:r>
                                  <w:r>
                                    <w:rPr>
                                      <w:rFonts w:ascii="宋体" w:hAnsi="宋体" w:eastAsia="宋体" w:cs="宋体"/>
                                      <w:szCs w:val="22"/>
                                    </w:rPr>
                                    <w:t>天内签发图纸修改图给承包人</w:t>
                                  </w:r>
                                </w:p>
                              </w:tc>
                            </w:tr>
                            <w:tr w14:paraId="4AB471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832" w:type="dxa"/>
                                  <w:tcBorders>
                                    <w:top w:val="single" w:color="000000" w:sz="4" w:space="0"/>
                                    <w:bottom w:val="single" w:color="000000" w:sz="4" w:space="0"/>
                                    <w:right w:val="single" w:color="000000" w:sz="4" w:space="0"/>
                                  </w:tcBorders>
                                </w:tcPr>
                                <w:p w14:paraId="3F35BA0E">
                                  <w:pPr>
                                    <w:autoSpaceDE w:val="0"/>
                                    <w:autoSpaceDN w:val="0"/>
                                    <w:spacing w:before="233"/>
                                    <w:jc w:val="left"/>
                                    <w:rPr>
                                      <w:rFonts w:ascii="宋体" w:hAnsi="宋体" w:eastAsia="宋体" w:cs="宋体"/>
                                      <w:szCs w:val="22"/>
                                    </w:rPr>
                                  </w:pPr>
                                </w:p>
                                <w:p w14:paraId="7C0A69AC">
                                  <w:pPr>
                                    <w:autoSpaceDE w:val="0"/>
                                    <w:autoSpaceDN w:val="0"/>
                                    <w:ind w:left="27" w:right="1"/>
                                    <w:jc w:val="center"/>
                                    <w:rPr>
                                      <w:rFonts w:ascii="宋体" w:hAnsi="宋体" w:eastAsia="宋体" w:cs="宋体"/>
                                      <w:szCs w:val="22"/>
                                    </w:rPr>
                                  </w:pPr>
                                  <w:r>
                                    <w:rPr>
                                      <w:rFonts w:ascii="宋体" w:hAnsi="宋体" w:eastAsia="宋体" w:cs="宋体"/>
                                      <w:spacing w:val="-10"/>
                                      <w:szCs w:val="22"/>
                                    </w:rPr>
                                    <w:t>5</w:t>
                                  </w:r>
                                </w:p>
                              </w:tc>
                              <w:tc>
                                <w:tcPr>
                                  <w:tcW w:w="1098" w:type="dxa"/>
                                  <w:tcBorders>
                                    <w:top w:val="single" w:color="000000" w:sz="4" w:space="0"/>
                                    <w:left w:val="single" w:color="000000" w:sz="4" w:space="0"/>
                                    <w:bottom w:val="single" w:color="000000" w:sz="4" w:space="0"/>
                                    <w:right w:val="single" w:color="000000" w:sz="4" w:space="0"/>
                                  </w:tcBorders>
                                </w:tcPr>
                                <w:p w14:paraId="1F8D73EE">
                                  <w:pPr>
                                    <w:autoSpaceDE w:val="0"/>
                                    <w:autoSpaceDN w:val="0"/>
                                    <w:spacing w:before="233"/>
                                    <w:jc w:val="left"/>
                                    <w:rPr>
                                      <w:rFonts w:ascii="宋体" w:hAnsi="宋体" w:eastAsia="宋体" w:cs="宋体"/>
                                      <w:szCs w:val="22"/>
                                    </w:rPr>
                                  </w:pPr>
                                </w:p>
                                <w:p w14:paraId="3C715462">
                                  <w:pPr>
                                    <w:autoSpaceDE w:val="0"/>
                                    <w:autoSpaceDN w:val="0"/>
                                    <w:ind w:left="28"/>
                                    <w:jc w:val="center"/>
                                    <w:rPr>
                                      <w:rFonts w:ascii="宋体" w:hAnsi="宋体" w:eastAsia="宋体" w:cs="宋体"/>
                                      <w:szCs w:val="22"/>
                                    </w:rPr>
                                  </w:pPr>
                                  <w:r>
                                    <w:rPr>
                                      <w:rFonts w:ascii="宋体" w:hAnsi="宋体" w:eastAsia="宋体" w:cs="宋体"/>
                                      <w:spacing w:val="-2"/>
                                      <w:szCs w:val="22"/>
                                    </w:rPr>
                                    <w:t>3.1.1</w:t>
                                  </w:r>
                                </w:p>
                              </w:tc>
                              <w:tc>
                                <w:tcPr>
                                  <w:tcW w:w="7287" w:type="dxa"/>
                                  <w:tcBorders>
                                    <w:top w:val="single" w:color="000000" w:sz="4" w:space="0"/>
                                    <w:left w:val="single" w:color="000000" w:sz="4" w:space="0"/>
                                    <w:bottom w:val="single" w:color="000000" w:sz="4" w:space="0"/>
                                  </w:tcBorders>
                                </w:tcPr>
                                <w:p w14:paraId="283C1F4A">
                                  <w:pPr>
                                    <w:autoSpaceDE w:val="0"/>
                                    <w:autoSpaceDN w:val="0"/>
                                    <w:spacing w:before="105"/>
                                    <w:ind w:left="225"/>
                                    <w:jc w:val="left"/>
                                    <w:rPr>
                                      <w:rFonts w:ascii="宋体" w:hAnsi="宋体" w:eastAsia="宋体" w:cs="宋体"/>
                                      <w:szCs w:val="22"/>
                                    </w:rPr>
                                  </w:pPr>
                                  <w:r>
                                    <w:rPr>
                                      <w:rFonts w:ascii="宋体" w:hAnsi="宋体" w:eastAsia="宋体" w:cs="宋体"/>
                                      <w:spacing w:val="-3"/>
                                      <w:szCs w:val="22"/>
                                    </w:rPr>
                                    <w:t>监理人在行使下列权力前需要经发包人事先批准：</w:t>
                                  </w:r>
                                </w:p>
                                <w:p w14:paraId="70206E9B">
                                  <w:pPr>
                                    <w:autoSpaceDE w:val="0"/>
                                    <w:autoSpaceDN w:val="0"/>
                                    <w:spacing w:before="1" w:line="400" w:lineRule="atLeast"/>
                                    <w:ind w:left="225" w:right="-15" w:hanging="106"/>
                                    <w:jc w:val="left"/>
                                    <w:rPr>
                                      <w:rFonts w:ascii="宋体" w:hAnsi="宋体" w:eastAsia="宋体" w:cs="宋体"/>
                                      <w:szCs w:val="22"/>
                                    </w:rPr>
                                  </w:pPr>
                                  <w:r>
                                    <w:rPr>
                                      <w:rFonts w:ascii="宋体" w:hAnsi="宋体" w:eastAsia="宋体" w:cs="宋体"/>
                                      <w:spacing w:val="-2"/>
                                      <w:szCs w:val="22"/>
                                    </w:rPr>
                                    <w:t>（6）</w:t>
                                  </w:r>
                                  <w:r>
                                    <w:rPr>
                                      <w:rFonts w:ascii="宋体" w:hAnsi="宋体" w:eastAsia="宋体" w:cs="宋体"/>
                                      <w:spacing w:val="-8"/>
                                      <w:szCs w:val="22"/>
                                    </w:rPr>
                                    <w:t xml:space="preserve">根据第 </w:t>
                                  </w:r>
                                  <w:r>
                                    <w:rPr>
                                      <w:rFonts w:ascii="宋体" w:hAnsi="宋体" w:eastAsia="宋体" w:cs="宋体"/>
                                      <w:spacing w:val="-2"/>
                                      <w:szCs w:val="22"/>
                                    </w:rPr>
                                    <w:t>15.3</w:t>
                                  </w:r>
                                  <w:r>
                                    <w:rPr>
                                      <w:rFonts w:ascii="宋体" w:hAnsi="宋体" w:eastAsia="宋体" w:cs="宋体"/>
                                      <w:spacing w:val="-7"/>
                                      <w:szCs w:val="22"/>
                                    </w:rPr>
                                    <w:t xml:space="preserve"> 款发出的变更指示，其单项工程变更涉及的金额超过了该单</w:t>
                                  </w:r>
                                  <w:r>
                                    <w:rPr>
                                      <w:rFonts w:ascii="宋体" w:hAnsi="宋体" w:eastAsia="宋体" w:cs="宋体"/>
                                      <w:szCs w:val="22"/>
                                    </w:rPr>
                                    <w:t>项工程签约时合同价的</w:t>
                                  </w:r>
                                  <w:r>
                                    <w:rPr>
                                      <w:rFonts w:ascii="Times New Roman" w:hAnsi="宋体" w:eastAsia="Times New Roman" w:cs="宋体"/>
                                      <w:spacing w:val="80"/>
                                      <w:w w:val="150"/>
                                      <w:szCs w:val="22"/>
                                      <w:u w:val="single"/>
                                    </w:rPr>
                                    <w:t xml:space="preserve"> </w:t>
                                  </w:r>
                                  <w:r>
                                    <w:rPr>
                                      <w:rFonts w:ascii="宋体" w:hAnsi="宋体" w:eastAsia="宋体" w:cs="宋体"/>
                                      <w:spacing w:val="52"/>
                                      <w:szCs w:val="22"/>
                                      <w:u w:val="single"/>
                                    </w:rPr>
                                    <w:t xml:space="preserve">/ </w:t>
                                  </w:r>
                                  <w:r>
                                    <w:rPr>
                                      <w:rFonts w:ascii="宋体" w:hAnsi="宋体" w:eastAsia="宋体" w:cs="宋体"/>
                                      <w:szCs w:val="22"/>
                                    </w:rPr>
                                    <w:t>％或累计变更超过了签约合同价的</w:t>
                                  </w:r>
                                  <w:r>
                                    <w:rPr>
                                      <w:rFonts w:ascii="Times New Roman" w:hAnsi="宋体" w:eastAsia="Times New Roman" w:cs="宋体"/>
                                      <w:spacing w:val="40"/>
                                      <w:szCs w:val="22"/>
                                      <w:u w:val="single"/>
                                    </w:rPr>
                                    <w:t xml:space="preserve"> </w:t>
                                  </w:r>
                                  <w:r>
                                    <w:rPr>
                                      <w:rFonts w:ascii="宋体" w:hAnsi="宋体" w:eastAsia="宋体" w:cs="宋体"/>
                                      <w:szCs w:val="22"/>
                                      <w:u w:val="single"/>
                                    </w:rPr>
                                    <w:t xml:space="preserve">/ </w:t>
                                  </w:r>
                                  <w:r>
                                    <w:rPr>
                                      <w:rFonts w:ascii="宋体" w:hAnsi="宋体" w:eastAsia="宋体" w:cs="宋体"/>
                                      <w:szCs w:val="22"/>
                                    </w:rPr>
                                    <w:t>％</w:t>
                                  </w:r>
                                </w:p>
                              </w:tc>
                            </w:tr>
                            <w:tr w14:paraId="1B1537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38B4804B">
                                  <w:pPr>
                                    <w:autoSpaceDE w:val="0"/>
                                    <w:autoSpaceDN w:val="0"/>
                                    <w:spacing w:before="33"/>
                                    <w:jc w:val="left"/>
                                    <w:rPr>
                                      <w:rFonts w:ascii="宋体" w:hAnsi="宋体" w:eastAsia="宋体" w:cs="宋体"/>
                                      <w:szCs w:val="22"/>
                                    </w:rPr>
                                  </w:pPr>
                                </w:p>
                                <w:p w14:paraId="7F41AA2B">
                                  <w:pPr>
                                    <w:autoSpaceDE w:val="0"/>
                                    <w:autoSpaceDN w:val="0"/>
                                    <w:ind w:left="27" w:right="1"/>
                                    <w:jc w:val="center"/>
                                    <w:rPr>
                                      <w:rFonts w:ascii="宋体" w:hAnsi="宋体" w:eastAsia="宋体" w:cs="宋体"/>
                                      <w:szCs w:val="22"/>
                                    </w:rPr>
                                  </w:pPr>
                                  <w:r>
                                    <w:rPr>
                                      <w:rFonts w:ascii="宋体" w:hAnsi="宋体" w:eastAsia="宋体" w:cs="宋体"/>
                                      <w:spacing w:val="-10"/>
                                      <w:szCs w:val="22"/>
                                    </w:rPr>
                                    <w:t>6</w:t>
                                  </w:r>
                                </w:p>
                              </w:tc>
                              <w:tc>
                                <w:tcPr>
                                  <w:tcW w:w="1098" w:type="dxa"/>
                                  <w:tcBorders>
                                    <w:top w:val="single" w:color="000000" w:sz="4" w:space="0"/>
                                    <w:left w:val="single" w:color="000000" w:sz="4" w:space="0"/>
                                    <w:bottom w:val="single" w:color="000000" w:sz="4" w:space="0"/>
                                    <w:right w:val="single" w:color="000000" w:sz="4" w:space="0"/>
                                  </w:tcBorders>
                                </w:tcPr>
                                <w:p w14:paraId="4C12BF7C">
                                  <w:pPr>
                                    <w:autoSpaceDE w:val="0"/>
                                    <w:autoSpaceDN w:val="0"/>
                                    <w:spacing w:before="33"/>
                                    <w:jc w:val="left"/>
                                    <w:rPr>
                                      <w:rFonts w:ascii="宋体" w:hAnsi="宋体" w:eastAsia="宋体" w:cs="宋体"/>
                                      <w:szCs w:val="22"/>
                                    </w:rPr>
                                  </w:pPr>
                                </w:p>
                                <w:p w14:paraId="469AF279">
                                  <w:pPr>
                                    <w:autoSpaceDE w:val="0"/>
                                    <w:autoSpaceDN w:val="0"/>
                                    <w:ind w:left="28"/>
                                    <w:jc w:val="center"/>
                                    <w:rPr>
                                      <w:rFonts w:ascii="宋体" w:hAnsi="宋体" w:eastAsia="宋体" w:cs="宋体"/>
                                      <w:szCs w:val="22"/>
                                    </w:rPr>
                                  </w:pPr>
                                  <w:r>
                                    <w:rPr>
                                      <w:rFonts w:ascii="宋体" w:hAnsi="宋体" w:eastAsia="宋体" w:cs="宋体"/>
                                      <w:spacing w:val="-2"/>
                                      <w:szCs w:val="22"/>
                                    </w:rPr>
                                    <w:t>5.2.1</w:t>
                                  </w:r>
                                </w:p>
                              </w:tc>
                              <w:tc>
                                <w:tcPr>
                                  <w:tcW w:w="7287" w:type="dxa"/>
                                  <w:tcBorders>
                                    <w:top w:val="single" w:color="000000" w:sz="4" w:space="0"/>
                                    <w:left w:val="single" w:color="000000" w:sz="4" w:space="0"/>
                                    <w:bottom w:val="single" w:color="000000" w:sz="4" w:space="0"/>
                                  </w:tcBorders>
                                </w:tcPr>
                                <w:p w14:paraId="13718AD0">
                                  <w:pPr>
                                    <w:tabs>
                                      <w:tab w:val="left" w:pos="2639"/>
                                    </w:tabs>
                                    <w:autoSpaceDE w:val="0"/>
                                    <w:autoSpaceDN w:val="0"/>
                                    <w:spacing w:before="105"/>
                                    <w:ind w:left="225"/>
                                    <w:jc w:val="left"/>
                                    <w:rPr>
                                      <w:rFonts w:ascii="宋体" w:hAnsi="宋体" w:eastAsia="宋体" w:cs="宋体"/>
                                      <w:szCs w:val="22"/>
                                    </w:rPr>
                                  </w:pPr>
                                  <w:r>
                                    <w:rPr>
                                      <w:rFonts w:ascii="宋体" w:hAnsi="宋体" w:eastAsia="宋体" w:cs="宋体"/>
                                      <w:spacing w:val="-2"/>
                                      <w:szCs w:val="22"/>
                                    </w:rPr>
                                    <w:t>发包人是否提供材料</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否</w:t>
                                  </w:r>
                                </w:p>
                                <w:p w14:paraId="3832DA88">
                                  <w:pPr>
                                    <w:tabs>
                                      <w:tab w:val="left" w:pos="4739"/>
                                    </w:tabs>
                                    <w:autoSpaceDE w:val="0"/>
                                    <w:autoSpaceDN w:val="0"/>
                                    <w:spacing w:before="128"/>
                                    <w:ind w:left="225"/>
                                    <w:jc w:val="left"/>
                                    <w:rPr>
                                      <w:rFonts w:ascii="宋体" w:hAnsi="宋体" w:eastAsia="宋体" w:cs="宋体"/>
                                      <w:szCs w:val="22"/>
                                    </w:rPr>
                                  </w:pPr>
                                  <w:r>
                                    <w:rPr>
                                      <w:rFonts w:ascii="宋体" w:hAnsi="宋体" w:eastAsia="宋体" w:cs="宋体"/>
                                      <w:spacing w:val="-2"/>
                                      <w:szCs w:val="22"/>
                                    </w:rPr>
                                    <w:t>如发包人负责提供部分材料，相关规定如下</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否</w:t>
                                  </w:r>
                                </w:p>
                              </w:tc>
                            </w:tr>
                            <w:tr w14:paraId="3CAEAF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832" w:type="dxa"/>
                                  <w:tcBorders>
                                    <w:top w:val="single" w:color="000000" w:sz="4" w:space="0"/>
                                    <w:bottom w:val="single" w:color="000000" w:sz="4" w:space="0"/>
                                    <w:right w:val="single" w:color="000000" w:sz="4" w:space="0"/>
                                  </w:tcBorders>
                                </w:tcPr>
                                <w:p w14:paraId="2FBE1A15">
                                  <w:pPr>
                                    <w:autoSpaceDE w:val="0"/>
                                    <w:autoSpaceDN w:val="0"/>
                                    <w:spacing w:before="34"/>
                                    <w:jc w:val="left"/>
                                    <w:rPr>
                                      <w:rFonts w:ascii="宋体" w:hAnsi="宋体" w:eastAsia="宋体" w:cs="宋体"/>
                                      <w:szCs w:val="22"/>
                                    </w:rPr>
                                  </w:pPr>
                                </w:p>
                                <w:p w14:paraId="6EF54151">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7</w:t>
                                  </w:r>
                                </w:p>
                              </w:tc>
                              <w:tc>
                                <w:tcPr>
                                  <w:tcW w:w="1098" w:type="dxa"/>
                                  <w:tcBorders>
                                    <w:top w:val="single" w:color="000000" w:sz="4" w:space="0"/>
                                    <w:left w:val="single" w:color="000000" w:sz="4" w:space="0"/>
                                    <w:bottom w:val="single" w:color="000000" w:sz="4" w:space="0"/>
                                    <w:right w:val="single" w:color="000000" w:sz="4" w:space="0"/>
                                  </w:tcBorders>
                                </w:tcPr>
                                <w:p w14:paraId="24107AA0">
                                  <w:pPr>
                                    <w:autoSpaceDE w:val="0"/>
                                    <w:autoSpaceDN w:val="0"/>
                                    <w:spacing w:before="34"/>
                                    <w:jc w:val="left"/>
                                    <w:rPr>
                                      <w:rFonts w:ascii="宋体" w:hAnsi="宋体" w:eastAsia="宋体" w:cs="宋体"/>
                                      <w:szCs w:val="22"/>
                                    </w:rPr>
                                  </w:pPr>
                                </w:p>
                                <w:p w14:paraId="08B94BED">
                                  <w:pPr>
                                    <w:autoSpaceDE w:val="0"/>
                                    <w:autoSpaceDN w:val="0"/>
                                    <w:spacing w:before="1"/>
                                    <w:ind w:left="28" w:right="2"/>
                                    <w:jc w:val="center"/>
                                    <w:rPr>
                                      <w:rFonts w:ascii="宋体" w:hAnsi="宋体" w:eastAsia="宋体" w:cs="宋体"/>
                                      <w:szCs w:val="22"/>
                                    </w:rPr>
                                  </w:pPr>
                                  <w:r>
                                    <w:rPr>
                                      <w:rFonts w:ascii="宋体" w:hAnsi="宋体" w:eastAsia="宋体" w:cs="宋体"/>
                                      <w:spacing w:val="-5"/>
                                      <w:szCs w:val="22"/>
                                    </w:rPr>
                                    <w:t>6.2</w:t>
                                  </w:r>
                                </w:p>
                              </w:tc>
                              <w:tc>
                                <w:tcPr>
                                  <w:tcW w:w="7287" w:type="dxa"/>
                                  <w:tcBorders>
                                    <w:top w:val="single" w:color="000000" w:sz="4" w:space="0"/>
                                    <w:left w:val="single" w:color="000000" w:sz="4" w:space="0"/>
                                    <w:bottom w:val="single" w:color="000000" w:sz="4" w:space="0"/>
                                  </w:tcBorders>
                                </w:tcPr>
                                <w:p w14:paraId="7A0095AB">
                                  <w:pPr>
                                    <w:autoSpaceDE w:val="0"/>
                                    <w:autoSpaceDN w:val="0"/>
                                    <w:spacing w:before="106"/>
                                    <w:ind w:left="225"/>
                                    <w:jc w:val="left"/>
                                    <w:rPr>
                                      <w:rFonts w:ascii="宋体" w:hAnsi="宋体" w:eastAsia="宋体" w:cs="宋体"/>
                                      <w:szCs w:val="22"/>
                                    </w:rPr>
                                  </w:pPr>
                                  <w:r>
                                    <w:rPr>
                                      <w:rFonts w:ascii="宋体" w:hAnsi="宋体" w:eastAsia="宋体" w:cs="宋体"/>
                                      <w:szCs w:val="22"/>
                                    </w:rPr>
                                    <w:t>发包人是否提供施工设备和临时设施：</w:t>
                                  </w:r>
                                  <w:r>
                                    <w:rPr>
                                      <w:rFonts w:ascii="Times New Roman" w:hAnsi="宋体" w:eastAsia="Times New Roman" w:cs="宋体"/>
                                      <w:spacing w:val="38"/>
                                      <w:szCs w:val="22"/>
                                      <w:u w:val="single"/>
                                    </w:rPr>
                                    <w:t xml:space="preserve">  </w:t>
                                  </w:r>
                                  <w:r>
                                    <w:rPr>
                                      <w:rFonts w:ascii="宋体" w:hAnsi="宋体" w:eastAsia="宋体" w:cs="宋体"/>
                                      <w:spacing w:val="-10"/>
                                      <w:szCs w:val="22"/>
                                      <w:u w:val="single"/>
                                    </w:rPr>
                                    <w:t>否</w:t>
                                  </w:r>
                                </w:p>
                                <w:p w14:paraId="199534EE">
                                  <w:pPr>
                                    <w:autoSpaceDE w:val="0"/>
                                    <w:autoSpaceDN w:val="0"/>
                                    <w:spacing w:before="128"/>
                                    <w:ind w:left="225"/>
                                    <w:jc w:val="left"/>
                                    <w:rPr>
                                      <w:rFonts w:ascii="宋体" w:hAnsi="宋体" w:eastAsia="宋体" w:cs="宋体"/>
                                      <w:szCs w:val="22"/>
                                    </w:rPr>
                                  </w:pPr>
                                  <w:r>
                                    <w:rPr>
                                      <w:rFonts w:ascii="宋体" w:hAnsi="宋体" w:eastAsia="宋体" w:cs="宋体"/>
                                      <w:szCs w:val="22"/>
                                    </w:rPr>
                                    <w:t>如发包人负责提供部分施工设备和临时设施，相关规定如下：</w:t>
                                  </w:r>
                                  <w:r>
                                    <w:rPr>
                                      <w:rFonts w:ascii="Times New Roman" w:hAnsi="宋体" w:eastAsia="Times New Roman" w:cs="宋体"/>
                                      <w:spacing w:val="30"/>
                                      <w:szCs w:val="22"/>
                                      <w:u w:val="single"/>
                                    </w:rPr>
                                    <w:t xml:space="preserve">  </w:t>
                                  </w:r>
                                  <w:r>
                                    <w:rPr>
                                      <w:rFonts w:ascii="宋体" w:hAnsi="宋体" w:eastAsia="宋体" w:cs="宋体"/>
                                      <w:spacing w:val="-10"/>
                                      <w:szCs w:val="22"/>
                                      <w:u w:val="single"/>
                                    </w:rPr>
                                    <w:t>否</w:t>
                                  </w:r>
                                </w:p>
                              </w:tc>
                            </w:tr>
                            <w:tr w14:paraId="61557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832" w:type="dxa"/>
                                  <w:tcBorders>
                                    <w:top w:val="single" w:color="000000" w:sz="4" w:space="0"/>
                                    <w:bottom w:val="single" w:color="000000" w:sz="4" w:space="0"/>
                                    <w:right w:val="single" w:color="000000" w:sz="4" w:space="0"/>
                                  </w:tcBorders>
                                </w:tcPr>
                                <w:p w14:paraId="396FD939">
                                  <w:pPr>
                                    <w:autoSpaceDE w:val="0"/>
                                    <w:autoSpaceDN w:val="0"/>
                                    <w:spacing w:before="156"/>
                                    <w:ind w:left="27" w:right="1"/>
                                    <w:jc w:val="center"/>
                                    <w:rPr>
                                      <w:rFonts w:ascii="宋体" w:hAnsi="宋体" w:eastAsia="宋体" w:cs="宋体"/>
                                      <w:szCs w:val="22"/>
                                    </w:rPr>
                                  </w:pPr>
                                  <w:r>
                                    <w:rPr>
                                      <w:rFonts w:ascii="宋体" w:hAnsi="宋体" w:eastAsia="宋体" w:cs="宋体"/>
                                      <w:spacing w:val="-10"/>
                                      <w:szCs w:val="22"/>
                                    </w:rPr>
                                    <w:t>8</w:t>
                                  </w:r>
                                </w:p>
                              </w:tc>
                              <w:tc>
                                <w:tcPr>
                                  <w:tcW w:w="1098" w:type="dxa"/>
                                  <w:tcBorders>
                                    <w:top w:val="single" w:color="000000" w:sz="4" w:space="0"/>
                                    <w:left w:val="single" w:color="000000" w:sz="4" w:space="0"/>
                                    <w:bottom w:val="single" w:color="000000" w:sz="4" w:space="0"/>
                                    <w:right w:val="single" w:color="000000" w:sz="4" w:space="0"/>
                                  </w:tcBorders>
                                </w:tcPr>
                                <w:p w14:paraId="367B1617">
                                  <w:pPr>
                                    <w:autoSpaceDE w:val="0"/>
                                    <w:autoSpaceDN w:val="0"/>
                                    <w:spacing w:before="156"/>
                                    <w:ind w:left="28"/>
                                    <w:jc w:val="center"/>
                                    <w:rPr>
                                      <w:rFonts w:ascii="宋体" w:hAnsi="宋体" w:eastAsia="宋体" w:cs="宋体"/>
                                      <w:szCs w:val="22"/>
                                    </w:rPr>
                                  </w:pPr>
                                  <w:r>
                                    <w:rPr>
                                      <w:rFonts w:ascii="宋体" w:hAnsi="宋体" w:eastAsia="宋体" w:cs="宋体"/>
                                      <w:spacing w:val="-4"/>
                                      <w:szCs w:val="22"/>
                                    </w:rPr>
                                    <w:t>11.5</w:t>
                                  </w:r>
                                </w:p>
                              </w:tc>
                              <w:tc>
                                <w:tcPr>
                                  <w:tcW w:w="7287" w:type="dxa"/>
                                  <w:tcBorders>
                                    <w:top w:val="single" w:color="000000" w:sz="4" w:space="0"/>
                                    <w:left w:val="single" w:color="000000" w:sz="4" w:space="0"/>
                                    <w:bottom w:val="single" w:color="000000" w:sz="4" w:space="0"/>
                                  </w:tcBorders>
                                </w:tcPr>
                                <w:p w14:paraId="5131FAC5">
                                  <w:pPr>
                                    <w:autoSpaceDE w:val="0"/>
                                    <w:autoSpaceDN w:val="0"/>
                                    <w:spacing w:before="156"/>
                                    <w:ind w:left="225"/>
                                    <w:jc w:val="left"/>
                                    <w:rPr>
                                      <w:rFonts w:ascii="宋体" w:hAnsi="宋体" w:eastAsia="宋体" w:cs="宋体"/>
                                      <w:szCs w:val="22"/>
                                    </w:rPr>
                                  </w:pPr>
                                  <w:r>
                                    <w:rPr>
                                      <w:rFonts w:ascii="宋体" w:hAnsi="宋体" w:eastAsia="宋体" w:cs="宋体"/>
                                      <w:szCs w:val="22"/>
                                    </w:rPr>
                                    <w:t>逾期交工违约金：</w:t>
                                  </w:r>
                                  <w:r>
                                    <w:rPr>
                                      <w:rFonts w:ascii="Times New Roman" w:hAnsi="Times New Roman" w:eastAsia="Times New Roman" w:cs="宋体"/>
                                      <w:spacing w:val="46"/>
                                      <w:szCs w:val="22"/>
                                      <w:u w:val="single"/>
                                    </w:rPr>
                                    <w:t xml:space="preserve">  </w:t>
                                  </w:r>
                                  <w:r>
                                    <w:rPr>
                                      <w:rFonts w:ascii="宋体" w:hAnsi="宋体" w:eastAsia="宋体" w:cs="宋体"/>
                                      <w:szCs w:val="22"/>
                                      <w:u w:val="single"/>
                                    </w:rPr>
                                    <w:t>1000</w:t>
                                  </w:r>
                                  <w:r>
                                    <w:rPr>
                                      <w:rFonts w:ascii="宋体" w:hAnsi="宋体" w:eastAsia="宋体" w:cs="宋体"/>
                                      <w:spacing w:val="41"/>
                                      <w:w w:val="150"/>
                                      <w:szCs w:val="22"/>
                                      <w:u w:val="single"/>
                                    </w:rPr>
                                    <w:t xml:space="preserve"> </w:t>
                                  </w:r>
                                  <w:r>
                                    <w:rPr>
                                      <w:rFonts w:ascii="宋体" w:hAnsi="宋体" w:eastAsia="宋体" w:cs="宋体"/>
                                      <w:spacing w:val="-4"/>
                                      <w:szCs w:val="22"/>
                                    </w:rPr>
                                    <w:t>元∕天</w:t>
                                  </w:r>
                                </w:p>
                              </w:tc>
                            </w:tr>
                            <w:tr w14:paraId="32E515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832" w:type="dxa"/>
                                  <w:tcBorders>
                                    <w:top w:val="single" w:color="000000" w:sz="4" w:space="0"/>
                                    <w:bottom w:val="single" w:color="000000" w:sz="4" w:space="0"/>
                                    <w:right w:val="single" w:color="000000" w:sz="4" w:space="0"/>
                                  </w:tcBorders>
                                </w:tcPr>
                                <w:p w14:paraId="4AA6752D">
                                  <w:pPr>
                                    <w:autoSpaceDE w:val="0"/>
                                    <w:autoSpaceDN w:val="0"/>
                                    <w:spacing w:before="240"/>
                                    <w:ind w:left="27" w:right="1"/>
                                    <w:jc w:val="center"/>
                                    <w:rPr>
                                      <w:rFonts w:ascii="宋体" w:hAnsi="宋体" w:eastAsia="宋体" w:cs="宋体"/>
                                      <w:szCs w:val="22"/>
                                    </w:rPr>
                                  </w:pPr>
                                  <w:r>
                                    <w:rPr>
                                      <w:rFonts w:ascii="宋体" w:hAnsi="宋体" w:eastAsia="宋体" w:cs="宋体"/>
                                      <w:spacing w:val="-10"/>
                                      <w:szCs w:val="22"/>
                                    </w:rPr>
                                    <w:t>9</w:t>
                                  </w:r>
                                </w:p>
                              </w:tc>
                              <w:tc>
                                <w:tcPr>
                                  <w:tcW w:w="1098" w:type="dxa"/>
                                  <w:tcBorders>
                                    <w:top w:val="single" w:color="000000" w:sz="4" w:space="0"/>
                                    <w:left w:val="single" w:color="000000" w:sz="4" w:space="0"/>
                                    <w:bottom w:val="single" w:color="000000" w:sz="4" w:space="0"/>
                                    <w:right w:val="single" w:color="000000" w:sz="4" w:space="0"/>
                                  </w:tcBorders>
                                </w:tcPr>
                                <w:p w14:paraId="6C992086">
                                  <w:pPr>
                                    <w:autoSpaceDE w:val="0"/>
                                    <w:autoSpaceDN w:val="0"/>
                                    <w:spacing w:before="240"/>
                                    <w:ind w:left="28"/>
                                    <w:jc w:val="center"/>
                                    <w:rPr>
                                      <w:rFonts w:ascii="宋体" w:hAnsi="宋体" w:eastAsia="宋体" w:cs="宋体"/>
                                      <w:szCs w:val="22"/>
                                    </w:rPr>
                                  </w:pPr>
                                  <w:r>
                                    <w:rPr>
                                      <w:rFonts w:ascii="宋体" w:hAnsi="宋体" w:eastAsia="宋体" w:cs="宋体"/>
                                      <w:spacing w:val="-4"/>
                                      <w:szCs w:val="22"/>
                                    </w:rPr>
                                    <w:t>11.5</w:t>
                                  </w:r>
                                </w:p>
                              </w:tc>
                              <w:tc>
                                <w:tcPr>
                                  <w:tcW w:w="7287" w:type="dxa"/>
                                  <w:tcBorders>
                                    <w:top w:val="single" w:color="000000" w:sz="4" w:space="0"/>
                                    <w:left w:val="single" w:color="000000" w:sz="4" w:space="0"/>
                                    <w:bottom w:val="single" w:color="000000" w:sz="4" w:space="0"/>
                                  </w:tcBorders>
                                </w:tcPr>
                                <w:p w14:paraId="66BAD825">
                                  <w:pPr>
                                    <w:autoSpaceDE w:val="0"/>
                                    <w:autoSpaceDN w:val="0"/>
                                    <w:spacing w:before="240"/>
                                    <w:ind w:left="225"/>
                                    <w:jc w:val="left"/>
                                    <w:rPr>
                                      <w:rFonts w:ascii="宋体" w:hAnsi="宋体" w:eastAsia="宋体" w:cs="宋体"/>
                                      <w:szCs w:val="22"/>
                                    </w:rPr>
                                  </w:pPr>
                                  <w:r>
                                    <w:rPr>
                                      <w:rFonts w:ascii="宋体" w:hAnsi="宋体" w:eastAsia="宋体" w:cs="宋体"/>
                                      <w:szCs w:val="22"/>
                                    </w:rPr>
                                    <w:t>逾期交工违约金限额：</w:t>
                                  </w:r>
                                  <w:r>
                                    <w:rPr>
                                      <w:rFonts w:ascii="Times New Roman" w:hAnsi="宋体" w:eastAsia="Times New Roman" w:cs="宋体"/>
                                      <w:spacing w:val="40"/>
                                      <w:szCs w:val="22"/>
                                      <w:u w:val="single"/>
                                    </w:rPr>
                                    <w:t xml:space="preserve"> </w:t>
                                  </w:r>
                                  <w:r>
                                    <w:rPr>
                                      <w:rFonts w:ascii="宋体" w:hAnsi="宋体" w:eastAsia="宋体" w:cs="宋体"/>
                                      <w:szCs w:val="22"/>
                                      <w:u w:val="single"/>
                                    </w:rPr>
                                    <w:t>10</w:t>
                                  </w:r>
                                  <w:r>
                                    <w:rPr>
                                      <w:rFonts w:ascii="宋体" w:hAnsi="宋体" w:eastAsia="宋体" w:cs="宋体"/>
                                      <w:spacing w:val="33"/>
                                      <w:w w:val="150"/>
                                      <w:szCs w:val="22"/>
                                      <w:u w:val="single"/>
                                    </w:rPr>
                                    <w:t xml:space="preserve"> </w:t>
                                  </w:r>
                                  <w:r>
                                    <w:rPr>
                                      <w:rFonts w:ascii="宋体" w:hAnsi="宋体" w:eastAsia="宋体" w:cs="宋体"/>
                                      <w:spacing w:val="-2"/>
                                      <w:szCs w:val="22"/>
                                    </w:rPr>
                                    <w:t>％签约合同价</w:t>
                                  </w:r>
                                </w:p>
                              </w:tc>
                            </w:tr>
                            <w:tr w14:paraId="53556E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2" w:hRule="atLeast"/>
                              </w:trPr>
                              <w:tc>
                                <w:tcPr>
                                  <w:tcW w:w="832" w:type="dxa"/>
                                  <w:tcBorders>
                                    <w:top w:val="single" w:color="000000" w:sz="4" w:space="0"/>
                                    <w:bottom w:val="single" w:color="000000" w:sz="4" w:space="0"/>
                                    <w:right w:val="single" w:color="000000" w:sz="4" w:space="0"/>
                                  </w:tcBorders>
                                </w:tcPr>
                                <w:p w14:paraId="37E16106">
                                  <w:pPr>
                                    <w:autoSpaceDE w:val="0"/>
                                    <w:autoSpaceDN w:val="0"/>
                                    <w:spacing w:before="237"/>
                                    <w:ind w:left="27" w:right="1"/>
                                    <w:jc w:val="center"/>
                                    <w:rPr>
                                      <w:rFonts w:ascii="宋体" w:hAnsi="宋体" w:eastAsia="宋体" w:cs="宋体"/>
                                      <w:szCs w:val="22"/>
                                    </w:rPr>
                                  </w:pPr>
                                  <w:r>
                                    <w:rPr>
                                      <w:rFonts w:ascii="宋体" w:hAnsi="宋体" w:eastAsia="宋体" w:cs="宋体"/>
                                      <w:spacing w:val="-5"/>
                                      <w:szCs w:val="22"/>
                                    </w:rPr>
                                    <w:t>10</w:t>
                                  </w:r>
                                </w:p>
                              </w:tc>
                              <w:tc>
                                <w:tcPr>
                                  <w:tcW w:w="1098" w:type="dxa"/>
                                  <w:tcBorders>
                                    <w:top w:val="single" w:color="000000" w:sz="4" w:space="0"/>
                                    <w:left w:val="single" w:color="000000" w:sz="4" w:space="0"/>
                                    <w:bottom w:val="single" w:color="000000" w:sz="4" w:space="0"/>
                                    <w:right w:val="single" w:color="000000" w:sz="4" w:space="0"/>
                                  </w:tcBorders>
                                </w:tcPr>
                                <w:p w14:paraId="1E4213E9">
                                  <w:pPr>
                                    <w:autoSpaceDE w:val="0"/>
                                    <w:autoSpaceDN w:val="0"/>
                                    <w:spacing w:before="237"/>
                                    <w:ind w:left="28"/>
                                    <w:jc w:val="center"/>
                                    <w:rPr>
                                      <w:rFonts w:ascii="宋体" w:hAnsi="宋体" w:eastAsia="宋体" w:cs="宋体"/>
                                      <w:szCs w:val="22"/>
                                    </w:rPr>
                                  </w:pPr>
                                  <w:r>
                                    <w:rPr>
                                      <w:rFonts w:ascii="宋体" w:hAnsi="宋体" w:eastAsia="宋体" w:cs="宋体"/>
                                      <w:spacing w:val="-4"/>
                                      <w:szCs w:val="22"/>
                                    </w:rPr>
                                    <w:t>11.6</w:t>
                                  </w:r>
                                </w:p>
                              </w:tc>
                              <w:tc>
                                <w:tcPr>
                                  <w:tcW w:w="7287" w:type="dxa"/>
                                  <w:tcBorders>
                                    <w:top w:val="single" w:color="000000" w:sz="4" w:space="0"/>
                                    <w:left w:val="single" w:color="000000" w:sz="4" w:space="0"/>
                                    <w:bottom w:val="single" w:color="000000" w:sz="4" w:space="0"/>
                                  </w:tcBorders>
                                </w:tcPr>
                                <w:p w14:paraId="17ABCBBE">
                                  <w:pPr>
                                    <w:tabs>
                                      <w:tab w:val="left" w:pos="2219"/>
                                      <w:tab w:val="left" w:pos="2639"/>
                                    </w:tabs>
                                    <w:autoSpaceDE w:val="0"/>
                                    <w:autoSpaceDN w:val="0"/>
                                    <w:spacing w:before="237"/>
                                    <w:ind w:left="225"/>
                                    <w:jc w:val="left"/>
                                    <w:rPr>
                                      <w:rFonts w:ascii="宋体" w:hAnsi="宋体" w:eastAsia="宋体" w:cs="宋体"/>
                                      <w:szCs w:val="22"/>
                                    </w:rPr>
                                  </w:pPr>
                                  <w:r>
                                    <w:rPr>
                                      <w:rFonts w:ascii="宋体" w:hAnsi="宋体" w:eastAsia="宋体" w:cs="宋体"/>
                                      <w:spacing w:val="-2"/>
                                      <w:szCs w:val="22"/>
                                    </w:rPr>
                                    <w:t>提前交工的奖金</w:t>
                                  </w:r>
                                  <w:r>
                                    <w:rPr>
                                      <w:rFonts w:ascii="宋体" w:hAnsi="宋体" w:eastAsia="宋体" w:cs="宋体"/>
                                      <w:spacing w:val="-10"/>
                                      <w:szCs w:val="22"/>
                                    </w:rPr>
                                    <w:t>：</w:t>
                                  </w:r>
                                  <w:r>
                                    <w:rPr>
                                      <w:rFonts w:ascii="Times New Roman" w:hAnsi="Times New Roman" w:eastAsia="Times New Roman" w:cs="宋体"/>
                                      <w:szCs w:val="22"/>
                                      <w:u w:val="single"/>
                                    </w:rPr>
                                    <w:tab/>
                                  </w:r>
                                  <w:r>
                                    <w:rPr>
                                      <w:rFonts w:ascii="宋体" w:hAnsi="宋体" w:eastAsia="宋体" w:cs="宋体"/>
                                      <w:spacing w:val="-10"/>
                                      <w:szCs w:val="22"/>
                                      <w:u w:val="single"/>
                                    </w:rPr>
                                    <w:t>/</w:t>
                                  </w:r>
                                  <w:r>
                                    <w:rPr>
                                      <w:rFonts w:ascii="宋体" w:hAnsi="宋体" w:eastAsia="宋体" w:cs="宋体"/>
                                      <w:szCs w:val="22"/>
                                      <w:u w:val="single"/>
                                    </w:rPr>
                                    <w:tab/>
                                  </w:r>
                                  <w:r>
                                    <w:rPr>
                                      <w:rFonts w:ascii="宋体" w:hAnsi="宋体" w:eastAsia="宋体" w:cs="宋体"/>
                                      <w:spacing w:val="-2"/>
                                      <w:szCs w:val="22"/>
                                    </w:rPr>
                                    <w:t>元∕</w:t>
                                  </w:r>
                                  <w:r>
                                    <w:rPr>
                                      <w:rFonts w:ascii="宋体" w:hAnsi="宋体" w:eastAsia="宋体" w:cs="宋体"/>
                                      <w:spacing w:val="-10"/>
                                      <w:szCs w:val="22"/>
                                    </w:rPr>
                                    <w:t>天</w:t>
                                  </w:r>
                                </w:p>
                              </w:tc>
                            </w:tr>
                            <w:tr w14:paraId="6D660F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832" w:type="dxa"/>
                                  <w:tcBorders>
                                    <w:top w:val="single" w:color="000000" w:sz="4" w:space="0"/>
                                    <w:bottom w:val="single" w:color="000000" w:sz="4" w:space="0"/>
                                    <w:right w:val="single" w:color="000000" w:sz="4" w:space="0"/>
                                  </w:tcBorders>
                                </w:tcPr>
                                <w:p w14:paraId="4A55C8AD">
                                  <w:pPr>
                                    <w:autoSpaceDE w:val="0"/>
                                    <w:autoSpaceDN w:val="0"/>
                                    <w:spacing w:before="188"/>
                                    <w:ind w:left="27" w:right="1"/>
                                    <w:jc w:val="center"/>
                                    <w:rPr>
                                      <w:rFonts w:ascii="宋体" w:hAnsi="宋体" w:eastAsia="宋体" w:cs="宋体"/>
                                      <w:szCs w:val="22"/>
                                    </w:rPr>
                                  </w:pPr>
                                  <w:r>
                                    <w:rPr>
                                      <w:rFonts w:ascii="宋体" w:hAnsi="宋体" w:eastAsia="宋体" w:cs="宋体"/>
                                      <w:spacing w:val="-5"/>
                                      <w:szCs w:val="22"/>
                                    </w:rPr>
                                    <w:t>11</w:t>
                                  </w:r>
                                </w:p>
                              </w:tc>
                              <w:tc>
                                <w:tcPr>
                                  <w:tcW w:w="1098" w:type="dxa"/>
                                  <w:tcBorders>
                                    <w:top w:val="single" w:color="000000" w:sz="4" w:space="0"/>
                                    <w:left w:val="single" w:color="000000" w:sz="4" w:space="0"/>
                                    <w:bottom w:val="single" w:color="000000" w:sz="4" w:space="0"/>
                                    <w:right w:val="single" w:color="000000" w:sz="4" w:space="0"/>
                                  </w:tcBorders>
                                </w:tcPr>
                                <w:p w14:paraId="4D1A3B90">
                                  <w:pPr>
                                    <w:autoSpaceDE w:val="0"/>
                                    <w:autoSpaceDN w:val="0"/>
                                    <w:spacing w:before="188"/>
                                    <w:ind w:left="28"/>
                                    <w:jc w:val="center"/>
                                    <w:rPr>
                                      <w:rFonts w:ascii="宋体" w:hAnsi="宋体" w:eastAsia="宋体" w:cs="宋体"/>
                                      <w:szCs w:val="22"/>
                                    </w:rPr>
                                  </w:pPr>
                                  <w:r>
                                    <w:rPr>
                                      <w:rFonts w:ascii="宋体" w:hAnsi="宋体" w:eastAsia="宋体" w:cs="宋体"/>
                                      <w:spacing w:val="-4"/>
                                      <w:szCs w:val="22"/>
                                    </w:rPr>
                                    <w:t>11.6</w:t>
                                  </w:r>
                                </w:p>
                              </w:tc>
                              <w:tc>
                                <w:tcPr>
                                  <w:tcW w:w="7287" w:type="dxa"/>
                                  <w:tcBorders>
                                    <w:top w:val="single" w:color="000000" w:sz="4" w:space="0"/>
                                    <w:left w:val="single" w:color="000000" w:sz="4" w:space="0"/>
                                    <w:bottom w:val="single" w:color="000000" w:sz="4" w:space="0"/>
                                  </w:tcBorders>
                                </w:tcPr>
                                <w:p w14:paraId="40A2370A">
                                  <w:pPr>
                                    <w:autoSpaceDE w:val="0"/>
                                    <w:autoSpaceDN w:val="0"/>
                                    <w:spacing w:before="188"/>
                                    <w:ind w:left="225"/>
                                    <w:jc w:val="left"/>
                                    <w:rPr>
                                      <w:rFonts w:ascii="宋体" w:hAnsi="宋体" w:eastAsia="宋体" w:cs="宋体"/>
                                      <w:szCs w:val="22"/>
                                    </w:rPr>
                                  </w:pPr>
                                  <w:r>
                                    <w:rPr>
                                      <w:rFonts w:ascii="宋体" w:hAnsi="宋体" w:eastAsia="宋体" w:cs="宋体"/>
                                      <w:szCs w:val="22"/>
                                    </w:rPr>
                                    <w:t>提前交工的奖金限额：</w:t>
                                  </w:r>
                                  <w:r>
                                    <w:rPr>
                                      <w:rFonts w:ascii="Times New Roman" w:hAnsi="宋体" w:eastAsia="Times New Roman" w:cs="宋体"/>
                                      <w:spacing w:val="44"/>
                                      <w:szCs w:val="22"/>
                                      <w:u w:val="single"/>
                                    </w:rPr>
                                    <w:t xml:space="preserve">  </w:t>
                                  </w:r>
                                  <w:r>
                                    <w:rPr>
                                      <w:rFonts w:ascii="宋体" w:hAnsi="宋体" w:eastAsia="宋体" w:cs="宋体"/>
                                      <w:szCs w:val="22"/>
                                      <w:u w:val="single"/>
                                    </w:rPr>
                                    <w:t>/</w:t>
                                  </w:r>
                                  <w:r>
                                    <w:rPr>
                                      <w:rFonts w:ascii="宋体" w:hAnsi="宋体" w:eastAsia="宋体" w:cs="宋体"/>
                                      <w:spacing w:val="39"/>
                                      <w:w w:val="150"/>
                                      <w:szCs w:val="22"/>
                                      <w:u w:val="single"/>
                                    </w:rPr>
                                    <w:t xml:space="preserve"> </w:t>
                                  </w:r>
                                  <w:r>
                                    <w:rPr>
                                      <w:rFonts w:ascii="宋体" w:hAnsi="宋体" w:eastAsia="宋体" w:cs="宋体"/>
                                      <w:spacing w:val="-2"/>
                                      <w:szCs w:val="22"/>
                                    </w:rPr>
                                    <w:t>％签约合同价</w:t>
                                  </w:r>
                                </w:p>
                              </w:tc>
                            </w:tr>
                            <w:tr w14:paraId="43FFD6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99" w:hRule="atLeast"/>
                              </w:trPr>
                              <w:tc>
                                <w:tcPr>
                                  <w:tcW w:w="832" w:type="dxa"/>
                                  <w:tcBorders>
                                    <w:top w:val="single" w:color="000000" w:sz="4" w:space="0"/>
                                    <w:right w:val="single" w:color="000000" w:sz="4" w:space="0"/>
                                  </w:tcBorders>
                                </w:tcPr>
                                <w:p w14:paraId="5B2776DE">
                                  <w:pPr>
                                    <w:autoSpaceDE w:val="0"/>
                                    <w:autoSpaceDN w:val="0"/>
                                    <w:jc w:val="left"/>
                                    <w:rPr>
                                      <w:rFonts w:ascii="宋体" w:hAnsi="宋体" w:eastAsia="宋体" w:cs="宋体"/>
                                      <w:szCs w:val="22"/>
                                    </w:rPr>
                                  </w:pPr>
                                </w:p>
                                <w:p w14:paraId="3DF530E8">
                                  <w:pPr>
                                    <w:autoSpaceDE w:val="0"/>
                                    <w:autoSpaceDN w:val="0"/>
                                    <w:jc w:val="left"/>
                                    <w:rPr>
                                      <w:rFonts w:ascii="宋体" w:hAnsi="宋体" w:eastAsia="宋体" w:cs="宋体"/>
                                      <w:szCs w:val="22"/>
                                    </w:rPr>
                                  </w:pPr>
                                </w:p>
                                <w:p w14:paraId="16358B3F">
                                  <w:pPr>
                                    <w:autoSpaceDE w:val="0"/>
                                    <w:autoSpaceDN w:val="0"/>
                                    <w:spacing w:before="88"/>
                                    <w:jc w:val="left"/>
                                    <w:rPr>
                                      <w:rFonts w:ascii="宋体" w:hAnsi="宋体" w:eastAsia="宋体" w:cs="宋体"/>
                                      <w:szCs w:val="22"/>
                                    </w:rPr>
                                  </w:pPr>
                                </w:p>
                                <w:p w14:paraId="655C6D77">
                                  <w:pPr>
                                    <w:autoSpaceDE w:val="0"/>
                                    <w:autoSpaceDN w:val="0"/>
                                    <w:ind w:left="27" w:right="1"/>
                                    <w:jc w:val="center"/>
                                    <w:rPr>
                                      <w:rFonts w:ascii="宋体" w:hAnsi="宋体" w:eastAsia="宋体" w:cs="宋体"/>
                                      <w:szCs w:val="22"/>
                                    </w:rPr>
                                  </w:pPr>
                                  <w:r>
                                    <w:rPr>
                                      <w:rFonts w:ascii="宋体" w:hAnsi="宋体" w:eastAsia="宋体" w:cs="宋体"/>
                                      <w:spacing w:val="-5"/>
                                      <w:szCs w:val="22"/>
                                    </w:rPr>
                                    <w:t>12</w:t>
                                  </w:r>
                                </w:p>
                              </w:tc>
                              <w:tc>
                                <w:tcPr>
                                  <w:tcW w:w="1098" w:type="dxa"/>
                                  <w:tcBorders>
                                    <w:top w:val="single" w:color="000000" w:sz="4" w:space="0"/>
                                    <w:left w:val="single" w:color="000000" w:sz="4" w:space="0"/>
                                    <w:right w:val="single" w:color="000000" w:sz="4" w:space="0"/>
                                  </w:tcBorders>
                                </w:tcPr>
                                <w:p w14:paraId="50DFD147">
                                  <w:pPr>
                                    <w:autoSpaceDE w:val="0"/>
                                    <w:autoSpaceDN w:val="0"/>
                                    <w:jc w:val="left"/>
                                    <w:rPr>
                                      <w:rFonts w:ascii="宋体" w:hAnsi="宋体" w:eastAsia="宋体" w:cs="宋体"/>
                                      <w:szCs w:val="22"/>
                                    </w:rPr>
                                  </w:pPr>
                                </w:p>
                                <w:p w14:paraId="0D8AAD27">
                                  <w:pPr>
                                    <w:autoSpaceDE w:val="0"/>
                                    <w:autoSpaceDN w:val="0"/>
                                    <w:jc w:val="left"/>
                                    <w:rPr>
                                      <w:rFonts w:ascii="宋体" w:hAnsi="宋体" w:eastAsia="宋体" w:cs="宋体"/>
                                      <w:szCs w:val="22"/>
                                    </w:rPr>
                                  </w:pPr>
                                </w:p>
                                <w:p w14:paraId="6DBFBD0F">
                                  <w:pPr>
                                    <w:autoSpaceDE w:val="0"/>
                                    <w:autoSpaceDN w:val="0"/>
                                    <w:spacing w:before="88"/>
                                    <w:jc w:val="left"/>
                                    <w:rPr>
                                      <w:rFonts w:ascii="宋体" w:hAnsi="宋体" w:eastAsia="宋体" w:cs="宋体"/>
                                      <w:szCs w:val="22"/>
                                    </w:rPr>
                                  </w:pPr>
                                </w:p>
                                <w:p w14:paraId="3D62408D">
                                  <w:pPr>
                                    <w:autoSpaceDE w:val="0"/>
                                    <w:autoSpaceDN w:val="0"/>
                                    <w:ind w:left="28"/>
                                    <w:jc w:val="center"/>
                                    <w:rPr>
                                      <w:rFonts w:ascii="宋体" w:hAnsi="宋体" w:eastAsia="宋体" w:cs="宋体"/>
                                      <w:szCs w:val="22"/>
                                    </w:rPr>
                                  </w:pPr>
                                  <w:r>
                                    <w:rPr>
                                      <w:rFonts w:ascii="宋体" w:hAnsi="宋体" w:eastAsia="宋体" w:cs="宋体"/>
                                      <w:spacing w:val="-4"/>
                                      <w:szCs w:val="22"/>
                                    </w:rPr>
                                    <w:t>16.1</w:t>
                                  </w:r>
                                </w:p>
                              </w:tc>
                              <w:tc>
                                <w:tcPr>
                                  <w:tcW w:w="7287" w:type="dxa"/>
                                  <w:tcBorders>
                                    <w:top w:val="single" w:color="000000" w:sz="4" w:space="0"/>
                                    <w:left w:val="single" w:color="000000" w:sz="4" w:space="0"/>
                                  </w:tcBorders>
                                </w:tcPr>
                                <w:p w14:paraId="34AD16FC">
                                  <w:pPr>
                                    <w:autoSpaceDE w:val="0"/>
                                    <w:autoSpaceDN w:val="0"/>
                                    <w:spacing w:before="105" w:line="352" w:lineRule="auto"/>
                                    <w:ind w:left="225" w:right="-15"/>
                                    <w:jc w:val="left"/>
                                    <w:rPr>
                                      <w:rFonts w:ascii="宋体" w:hAnsi="宋体" w:eastAsia="宋体" w:cs="宋体"/>
                                      <w:szCs w:val="22"/>
                                    </w:rPr>
                                  </w:pPr>
                                  <w:r>
                                    <w:rPr>
                                      <w:rFonts w:ascii="宋体" w:hAnsi="宋体" w:eastAsia="宋体" w:cs="宋体"/>
                                      <w:spacing w:val="-3"/>
                                      <w:szCs w:val="22"/>
                                    </w:rPr>
                                    <w:t xml:space="preserve">□ 因物价波动引起的价格调整按照第 </w:t>
                                  </w:r>
                                  <w:r>
                                    <w:rPr>
                                      <w:rFonts w:ascii="宋体" w:hAnsi="宋体" w:eastAsia="宋体" w:cs="宋体"/>
                                      <w:szCs w:val="22"/>
                                    </w:rPr>
                                    <w:t>16.1.1</w:t>
                                  </w:r>
                                  <w:r>
                                    <w:rPr>
                                      <w:rFonts w:ascii="宋体" w:hAnsi="宋体" w:eastAsia="宋体" w:cs="宋体"/>
                                      <w:spacing w:val="-3"/>
                                      <w:szCs w:val="22"/>
                                    </w:rPr>
                                    <w:t xml:space="preserve"> 项或第 </w:t>
                                  </w:r>
                                  <w:r>
                                    <w:rPr>
                                      <w:rFonts w:ascii="宋体" w:hAnsi="宋体" w:eastAsia="宋体" w:cs="宋体"/>
                                      <w:szCs w:val="22"/>
                                    </w:rPr>
                                    <w:t>16.1.2</w:t>
                                  </w:r>
                                  <w:r>
                                    <w:rPr>
                                      <w:rFonts w:ascii="宋体" w:hAnsi="宋体" w:eastAsia="宋体" w:cs="宋体"/>
                                      <w:spacing w:val="-2"/>
                                      <w:szCs w:val="22"/>
                                    </w:rPr>
                                    <w:t xml:space="preserve"> 项约定的原则</w:t>
                                  </w:r>
                                  <w:r>
                                    <w:rPr>
                                      <w:rFonts w:ascii="宋体" w:hAnsi="宋体" w:eastAsia="宋体" w:cs="宋体"/>
                                      <w:spacing w:val="-6"/>
                                      <w:szCs w:val="22"/>
                                    </w:rPr>
                                    <w:t>处理</w:t>
                                  </w:r>
                                </w:p>
                                <w:p w14:paraId="7BE01C42">
                                  <w:pPr>
                                    <w:autoSpaceDE w:val="0"/>
                                    <w:autoSpaceDN w:val="0"/>
                                    <w:spacing w:line="350" w:lineRule="auto"/>
                                    <w:ind w:left="225" w:right="-15"/>
                                    <w:jc w:val="left"/>
                                    <w:rPr>
                                      <w:rFonts w:ascii="宋体" w:hAnsi="宋体" w:eastAsia="宋体" w:cs="宋体"/>
                                      <w:szCs w:val="22"/>
                                    </w:rPr>
                                  </w:pPr>
                                  <w:r>
                                    <w:rPr>
                                      <w:rFonts w:ascii="宋体" w:hAnsi="宋体" w:eastAsia="宋体" w:cs="宋体"/>
                                      <w:spacing w:val="-6"/>
                                      <w:szCs w:val="22"/>
                                    </w:rPr>
                                    <w:t xml:space="preserve">若按第 </w:t>
                                  </w:r>
                                  <w:r>
                                    <w:rPr>
                                      <w:rFonts w:ascii="宋体" w:hAnsi="宋体" w:eastAsia="宋体" w:cs="宋体"/>
                                      <w:szCs w:val="22"/>
                                    </w:rPr>
                                    <w:t>16.1.1</w:t>
                                  </w:r>
                                  <w:r>
                                    <w:rPr>
                                      <w:rFonts w:ascii="宋体" w:hAnsi="宋体" w:eastAsia="宋体" w:cs="宋体"/>
                                      <w:spacing w:val="-10"/>
                                      <w:szCs w:val="22"/>
                                    </w:rPr>
                                    <w:t xml:space="preserve"> 项的约定采用价格调整公式进行调价，每半年或一年按价格调</w:t>
                                  </w:r>
                                  <w:r>
                                    <w:rPr>
                                      <w:rFonts w:ascii="宋体" w:hAnsi="宋体" w:eastAsia="宋体" w:cs="宋体"/>
                                      <w:spacing w:val="-2"/>
                                      <w:szCs w:val="22"/>
                                    </w:rPr>
                                    <w:t>整公式进行一次调整</w:t>
                                  </w:r>
                                </w:p>
                                <w:p w14:paraId="1E5373D7">
                                  <w:pPr>
                                    <w:autoSpaceDE w:val="0"/>
                                    <w:autoSpaceDN w:val="0"/>
                                    <w:spacing w:before="1"/>
                                    <w:ind w:left="225"/>
                                    <w:jc w:val="left"/>
                                    <w:rPr>
                                      <w:rFonts w:ascii="宋体" w:hAnsi="宋体" w:eastAsia="宋体" w:cs="宋体"/>
                                      <w:szCs w:val="22"/>
                                    </w:rPr>
                                  </w:pPr>
                                  <w:r>
                                    <w:rPr>
                                      <w:rFonts w:ascii="MS Gothic" w:hAnsi="MS Gothic" w:eastAsia="MS Gothic" w:cs="宋体"/>
                                      <w:spacing w:val="-6"/>
                                      <w:szCs w:val="22"/>
                                    </w:rPr>
                                    <w:t xml:space="preserve">☑ </w:t>
                                  </w:r>
                                  <w:r>
                                    <w:rPr>
                                      <w:rFonts w:ascii="宋体" w:hAnsi="宋体" w:eastAsia="宋体" w:cs="宋体"/>
                                      <w:spacing w:val="-2"/>
                                      <w:szCs w:val="22"/>
                                    </w:rPr>
                                    <w:t>合同期内不调价</w:t>
                                  </w:r>
                                </w:p>
                              </w:tc>
                            </w:tr>
                          </w:tbl>
                          <w:p w14:paraId="79E34A22">
                            <w:pPr>
                              <w:autoSpaceDE w:val="0"/>
                              <w:autoSpaceDN w:val="0"/>
                              <w:jc w:val="left"/>
                              <w:rPr>
                                <w:rFonts w:ascii="宋体" w:hAnsi="宋体" w:eastAsia="宋体" w:cs="宋体"/>
                                <w:szCs w:val="21"/>
                              </w:rPr>
                            </w:pPr>
                          </w:p>
                        </w:txbxContent>
                      </wps:txbx>
                      <wps:bodyPr wrap="square" lIns="0" tIns="0" rIns="0" bIns="0" rtlCol="0">
                        <a:noAutofit/>
                      </wps:bodyPr>
                    </wps:wsp>
                  </a:graphicData>
                </a:graphic>
              </wp:anchor>
            </w:drawing>
          </mc:Choice>
          <mc:Fallback>
            <w:pict>
              <v:shape id="Textbox 6" o:spid="_x0000_s1026" o:spt="202" type="#_x0000_t202" style="position:absolute;left:0pt;margin-left:67.75pt;margin-top:60pt;height:542.25pt;width:468.3pt;mso-position-horizontal-relative:page;z-index:251659264;mso-width-relative:page;mso-height-relative:page;" filled="f" stroked="f" coordsize="21600,21600" o:gfxdata="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z0v22QAAAA0BAAAPAAAAAAAAAAEAIAAAACIAAABkcnMvZG93bnJldi54bWxQSwECFAAUAAAA&#10;CACHTuJA9xAnirQBAAB1AwAADgAAAAAAAAABACAAAAAoAQAAZHJzL2Uyb0RvYy54bWxQSwUGAAAA&#10;AAYABgBZAQAATgUAAAAA&#10;">
                <v:fill on="f" focussize="0,0"/>
                <v:stroke on="f"/>
                <v:imagedata o:title=""/>
                <o:lock v:ext="edit" aspectratio="f"/>
                <v:textbox inset="0mm,0mm,0mm,0mm">
                  <w:txbxContent>
                    <w:tbl>
                      <w:tblPr>
                        <w:tblStyle w:val="52"/>
                        <w:tblW w:w="0" w:type="auto"/>
                        <w:tblInd w:w="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2"/>
                        <w:gridCol w:w="1098"/>
                        <w:gridCol w:w="7287"/>
                      </w:tblGrid>
                      <w:tr w14:paraId="503194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832" w:type="dxa"/>
                            <w:tcBorders>
                              <w:bottom w:val="single" w:color="000000" w:sz="4" w:space="0"/>
                              <w:right w:val="single" w:color="000000" w:sz="4" w:space="0"/>
                            </w:tcBorders>
                          </w:tcPr>
                          <w:p w14:paraId="27C189C0">
                            <w:pPr>
                              <w:autoSpaceDE w:val="0"/>
                              <w:autoSpaceDN w:val="0"/>
                              <w:spacing w:before="174"/>
                              <w:ind w:left="27"/>
                              <w:jc w:val="center"/>
                              <w:rPr>
                                <w:rFonts w:ascii="宋体" w:hAnsi="宋体" w:eastAsia="宋体" w:cs="宋体"/>
                                <w:szCs w:val="22"/>
                              </w:rPr>
                            </w:pPr>
                            <w:r>
                              <w:rPr>
                                <w:rFonts w:ascii="宋体" w:hAnsi="宋体" w:eastAsia="宋体" w:cs="宋体"/>
                                <w:spacing w:val="-8"/>
                                <w:szCs w:val="22"/>
                              </w:rPr>
                              <w:t>序号</w:t>
                            </w:r>
                          </w:p>
                        </w:tc>
                        <w:tc>
                          <w:tcPr>
                            <w:tcW w:w="1098" w:type="dxa"/>
                            <w:tcBorders>
                              <w:left w:val="single" w:color="000000" w:sz="4" w:space="0"/>
                              <w:bottom w:val="single" w:color="000000" w:sz="4" w:space="0"/>
                              <w:right w:val="single" w:color="000000" w:sz="4" w:space="0"/>
                            </w:tcBorders>
                          </w:tcPr>
                          <w:p w14:paraId="00FFA29C">
                            <w:pPr>
                              <w:autoSpaceDE w:val="0"/>
                              <w:autoSpaceDN w:val="0"/>
                              <w:spacing w:before="174"/>
                              <w:ind w:left="28" w:right="1"/>
                              <w:jc w:val="center"/>
                              <w:rPr>
                                <w:rFonts w:ascii="宋体" w:hAnsi="宋体" w:eastAsia="宋体" w:cs="宋体"/>
                                <w:szCs w:val="22"/>
                              </w:rPr>
                            </w:pPr>
                            <w:r>
                              <w:rPr>
                                <w:rFonts w:ascii="宋体" w:hAnsi="宋体" w:eastAsia="宋体" w:cs="宋体"/>
                                <w:spacing w:val="-5"/>
                                <w:szCs w:val="22"/>
                              </w:rPr>
                              <w:t>条目号</w:t>
                            </w:r>
                          </w:p>
                        </w:tc>
                        <w:tc>
                          <w:tcPr>
                            <w:tcW w:w="7287" w:type="dxa"/>
                            <w:tcBorders>
                              <w:left w:val="single" w:color="000000" w:sz="4" w:space="0"/>
                              <w:bottom w:val="single" w:color="000000" w:sz="4" w:space="0"/>
                            </w:tcBorders>
                          </w:tcPr>
                          <w:p w14:paraId="2DECEA4A">
                            <w:pPr>
                              <w:autoSpaceDE w:val="0"/>
                              <w:autoSpaceDN w:val="0"/>
                              <w:spacing w:before="174"/>
                              <w:ind w:left="26"/>
                              <w:jc w:val="center"/>
                              <w:rPr>
                                <w:rFonts w:ascii="宋体" w:hAnsi="宋体" w:eastAsia="宋体" w:cs="宋体"/>
                                <w:szCs w:val="22"/>
                              </w:rPr>
                            </w:pPr>
                            <w:r>
                              <w:rPr>
                                <w:rFonts w:ascii="宋体" w:hAnsi="宋体" w:eastAsia="宋体" w:cs="宋体"/>
                                <w:spacing w:val="-4"/>
                                <w:szCs w:val="22"/>
                              </w:rPr>
                              <w:t>信息或数据</w:t>
                            </w:r>
                          </w:p>
                        </w:tc>
                      </w:tr>
                      <w:tr w14:paraId="589A19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2F301417">
                            <w:pPr>
                              <w:autoSpaceDE w:val="0"/>
                              <w:autoSpaceDN w:val="0"/>
                              <w:spacing w:before="33"/>
                              <w:jc w:val="left"/>
                              <w:rPr>
                                <w:rFonts w:ascii="宋体" w:hAnsi="宋体" w:eastAsia="宋体" w:cs="宋体"/>
                                <w:szCs w:val="22"/>
                              </w:rPr>
                            </w:pPr>
                          </w:p>
                          <w:p w14:paraId="6BC7D22F">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1</w:t>
                            </w:r>
                          </w:p>
                        </w:tc>
                        <w:tc>
                          <w:tcPr>
                            <w:tcW w:w="1098" w:type="dxa"/>
                            <w:tcBorders>
                              <w:top w:val="single" w:color="000000" w:sz="4" w:space="0"/>
                              <w:left w:val="single" w:color="000000" w:sz="4" w:space="0"/>
                              <w:bottom w:val="single" w:color="000000" w:sz="4" w:space="0"/>
                              <w:right w:val="single" w:color="000000" w:sz="4" w:space="0"/>
                            </w:tcBorders>
                          </w:tcPr>
                          <w:p w14:paraId="6D7168A2">
                            <w:pPr>
                              <w:autoSpaceDE w:val="0"/>
                              <w:autoSpaceDN w:val="0"/>
                              <w:spacing w:before="33"/>
                              <w:jc w:val="left"/>
                              <w:rPr>
                                <w:rFonts w:ascii="宋体" w:hAnsi="宋体" w:eastAsia="宋体" w:cs="宋体"/>
                                <w:szCs w:val="22"/>
                              </w:rPr>
                            </w:pPr>
                          </w:p>
                          <w:p w14:paraId="098D1954">
                            <w:pPr>
                              <w:autoSpaceDE w:val="0"/>
                              <w:autoSpaceDN w:val="0"/>
                              <w:spacing w:before="1"/>
                              <w:ind w:left="28"/>
                              <w:jc w:val="center"/>
                              <w:rPr>
                                <w:rFonts w:ascii="宋体" w:hAnsi="宋体" w:eastAsia="宋体" w:cs="宋体"/>
                                <w:szCs w:val="22"/>
                              </w:rPr>
                            </w:pPr>
                            <w:r>
                              <w:fldChar w:fldCharType="begin"/>
                            </w:r>
                            <w:r>
                              <w:instrText xml:space="preserve"> HYPERLINK "1.1.2.2" \h </w:instrText>
                            </w:r>
                            <w:r>
                              <w:fldChar w:fldCharType="separate"/>
                            </w:r>
                            <w:r>
                              <w:rPr>
                                <w:rFonts w:ascii="宋体" w:hAnsi="宋体" w:eastAsia="宋体" w:cs="宋体"/>
                                <w:spacing w:val="-2"/>
                                <w:szCs w:val="22"/>
                              </w:rPr>
                              <w:t>1.1.2.2</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32EB0665">
                            <w:pPr>
                              <w:autoSpaceDE w:val="0"/>
                              <w:autoSpaceDN w:val="0"/>
                              <w:spacing w:before="105"/>
                              <w:ind w:left="225"/>
                              <w:jc w:val="left"/>
                              <w:rPr>
                                <w:rFonts w:ascii="宋体" w:hAnsi="宋体" w:eastAsia="宋体" w:cs="宋体"/>
                                <w:szCs w:val="22"/>
                              </w:rPr>
                            </w:pPr>
                            <w:r>
                              <w:rPr>
                                <w:rFonts w:ascii="宋体" w:hAnsi="宋体" w:eastAsia="宋体" w:cs="宋体"/>
                                <w:spacing w:val="-3"/>
                                <w:szCs w:val="22"/>
                              </w:rPr>
                              <w:t>发包人：三门县公路与运输管理中心</w:t>
                            </w:r>
                          </w:p>
                          <w:p w14:paraId="0E1530BC">
                            <w:pPr>
                              <w:tabs>
                                <w:tab w:val="left" w:pos="5054"/>
                              </w:tabs>
                              <w:autoSpaceDE w:val="0"/>
                              <w:autoSpaceDN w:val="0"/>
                              <w:spacing w:before="128"/>
                              <w:ind w:left="225"/>
                              <w:jc w:val="left"/>
                              <w:rPr>
                                <w:rFonts w:ascii="宋体" w:hAnsi="宋体" w:eastAsia="宋体" w:cs="宋体"/>
                                <w:szCs w:val="22"/>
                              </w:rPr>
                            </w:pPr>
                            <w:r>
                              <w:rPr>
                                <w:rFonts w:ascii="宋体" w:hAnsi="宋体" w:eastAsia="宋体" w:cs="宋体"/>
                                <w:szCs w:val="22"/>
                              </w:rPr>
                              <w:t>地</w:t>
                            </w:r>
                            <w:r>
                              <w:rPr>
                                <w:rFonts w:ascii="宋体" w:hAnsi="宋体" w:eastAsia="宋体" w:cs="宋体"/>
                                <w:spacing w:val="75"/>
                                <w:szCs w:val="22"/>
                              </w:rPr>
                              <w:t xml:space="preserve"> </w:t>
                            </w:r>
                            <w:r>
                              <w:rPr>
                                <w:rFonts w:ascii="宋体" w:hAnsi="宋体" w:eastAsia="宋体" w:cs="宋体"/>
                                <w:szCs w:val="22"/>
                              </w:rPr>
                              <w:t>址：三门县海游街道广场路22号交通大</w:t>
                            </w:r>
                            <w:r>
                              <w:rPr>
                                <w:rFonts w:ascii="宋体" w:hAnsi="宋体" w:eastAsia="宋体" w:cs="宋体"/>
                                <w:spacing w:val="-10"/>
                                <w:szCs w:val="22"/>
                              </w:rPr>
                              <w:t>楼</w:t>
                            </w:r>
                            <w:r>
                              <w:rPr>
                                <w:rFonts w:ascii="宋体" w:hAnsi="宋体" w:eastAsia="宋体" w:cs="宋体"/>
                                <w:szCs w:val="22"/>
                              </w:rPr>
                              <w:tab/>
                            </w:r>
                            <w:r>
                              <w:rPr>
                                <w:rFonts w:ascii="宋体" w:hAnsi="宋体" w:eastAsia="宋体" w:cs="宋体"/>
                                <w:spacing w:val="-2"/>
                                <w:szCs w:val="22"/>
                              </w:rPr>
                              <w:t>邮政编码：317100</w:t>
                            </w:r>
                          </w:p>
                        </w:tc>
                      </w:tr>
                      <w:tr w14:paraId="4D7FDF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7BDA9522">
                            <w:pPr>
                              <w:autoSpaceDE w:val="0"/>
                              <w:autoSpaceDN w:val="0"/>
                              <w:spacing w:before="32"/>
                              <w:jc w:val="left"/>
                              <w:rPr>
                                <w:rFonts w:ascii="宋体" w:hAnsi="宋体" w:eastAsia="宋体" w:cs="宋体"/>
                                <w:szCs w:val="22"/>
                              </w:rPr>
                            </w:pPr>
                          </w:p>
                          <w:p w14:paraId="68B04CAB">
                            <w:pPr>
                              <w:autoSpaceDE w:val="0"/>
                              <w:autoSpaceDN w:val="0"/>
                              <w:ind w:left="27" w:right="1"/>
                              <w:jc w:val="center"/>
                              <w:rPr>
                                <w:rFonts w:ascii="宋体" w:hAnsi="宋体" w:eastAsia="宋体" w:cs="宋体"/>
                                <w:szCs w:val="22"/>
                              </w:rPr>
                            </w:pPr>
                            <w:r>
                              <w:rPr>
                                <w:rFonts w:ascii="宋体" w:hAnsi="宋体" w:eastAsia="宋体" w:cs="宋体"/>
                                <w:spacing w:val="-10"/>
                                <w:szCs w:val="22"/>
                              </w:rPr>
                              <w:t>2</w:t>
                            </w:r>
                          </w:p>
                        </w:tc>
                        <w:tc>
                          <w:tcPr>
                            <w:tcW w:w="1098" w:type="dxa"/>
                            <w:tcBorders>
                              <w:top w:val="single" w:color="000000" w:sz="4" w:space="0"/>
                              <w:left w:val="single" w:color="000000" w:sz="4" w:space="0"/>
                              <w:bottom w:val="single" w:color="000000" w:sz="4" w:space="0"/>
                              <w:right w:val="single" w:color="000000" w:sz="4" w:space="0"/>
                            </w:tcBorders>
                          </w:tcPr>
                          <w:p w14:paraId="13DE8345">
                            <w:pPr>
                              <w:autoSpaceDE w:val="0"/>
                              <w:autoSpaceDN w:val="0"/>
                              <w:spacing w:before="32"/>
                              <w:jc w:val="left"/>
                              <w:rPr>
                                <w:rFonts w:ascii="宋体" w:hAnsi="宋体" w:eastAsia="宋体" w:cs="宋体"/>
                                <w:szCs w:val="22"/>
                              </w:rPr>
                            </w:pPr>
                          </w:p>
                          <w:p w14:paraId="70C4E358">
                            <w:pPr>
                              <w:autoSpaceDE w:val="0"/>
                              <w:autoSpaceDN w:val="0"/>
                              <w:ind w:left="28"/>
                              <w:jc w:val="center"/>
                              <w:rPr>
                                <w:rFonts w:ascii="宋体" w:hAnsi="宋体" w:eastAsia="宋体" w:cs="宋体"/>
                                <w:szCs w:val="22"/>
                              </w:rPr>
                            </w:pPr>
                            <w:r>
                              <w:fldChar w:fldCharType="begin"/>
                            </w:r>
                            <w:r>
                              <w:instrText xml:space="preserve"> HYPERLINK "1.1.2.6" \h </w:instrText>
                            </w:r>
                            <w:r>
                              <w:fldChar w:fldCharType="separate"/>
                            </w:r>
                            <w:r>
                              <w:rPr>
                                <w:rFonts w:ascii="宋体" w:hAnsi="宋体" w:eastAsia="宋体" w:cs="宋体"/>
                                <w:spacing w:val="-2"/>
                                <w:szCs w:val="22"/>
                              </w:rPr>
                              <w:t>1.1.2.6</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528C3186">
                            <w:pPr>
                              <w:autoSpaceDE w:val="0"/>
                              <w:autoSpaceDN w:val="0"/>
                              <w:spacing w:before="106"/>
                              <w:ind w:left="225"/>
                              <w:jc w:val="left"/>
                              <w:rPr>
                                <w:rFonts w:ascii="宋体" w:hAnsi="宋体" w:eastAsia="宋体" w:cs="宋体"/>
                                <w:szCs w:val="22"/>
                              </w:rPr>
                            </w:pPr>
                            <w:r>
                              <w:rPr>
                                <w:rFonts w:ascii="宋体" w:hAnsi="宋体" w:eastAsia="宋体" w:cs="宋体"/>
                                <w:spacing w:val="-7"/>
                                <w:szCs w:val="22"/>
                              </w:rPr>
                              <w:t>监理人：</w:t>
                            </w:r>
                          </w:p>
                          <w:p w14:paraId="5F4FC4A5">
                            <w:pPr>
                              <w:tabs>
                                <w:tab w:val="left" w:pos="3059"/>
                              </w:tabs>
                              <w:autoSpaceDE w:val="0"/>
                              <w:autoSpaceDN w:val="0"/>
                              <w:spacing w:before="128" w:line="273" w:lineRule="exact"/>
                              <w:ind w:left="225"/>
                              <w:jc w:val="left"/>
                              <w:rPr>
                                <w:rFonts w:ascii="宋体" w:hAnsi="宋体" w:eastAsia="宋体" w:cs="宋体"/>
                                <w:szCs w:val="22"/>
                              </w:rPr>
                            </w:pPr>
                            <w:r>
                              <w:rPr>
                                <w:rFonts w:ascii="宋体" w:hAnsi="宋体" w:eastAsia="宋体" w:cs="宋体"/>
                                <w:szCs w:val="22"/>
                              </w:rPr>
                              <w:t>地</w:t>
                            </w:r>
                            <w:r>
                              <w:rPr>
                                <w:rFonts w:ascii="宋体" w:hAnsi="宋体" w:eastAsia="宋体" w:cs="宋体"/>
                                <w:spacing w:val="48"/>
                                <w:w w:val="150"/>
                                <w:szCs w:val="22"/>
                              </w:rPr>
                              <w:t xml:space="preserve"> </w:t>
                            </w:r>
                            <w:r>
                              <w:rPr>
                                <w:rFonts w:ascii="宋体" w:hAnsi="宋体" w:eastAsia="宋体" w:cs="宋体"/>
                                <w:szCs w:val="22"/>
                              </w:rPr>
                              <w:t>址</w:t>
                            </w:r>
                            <w:r>
                              <w:rPr>
                                <w:rFonts w:ascii="宋体" w:hAnsi="宋体" w:eastAsia="宋体" w:cs="宋体"/>
                                <w:spacing w:val="-10"/>
                                <w:szCs w:val="22"/>
                              </w:rPr>
                              <w:t>：</w:t>
                            </w:r>
                            <w:r>
                              <w:rPr>
                                <w:rFonts w:ascii="宋体" w:hAnsi="宋体" w:eastAsia="宋体" w:cs="宋体"/>
                                <w:szCs w:val="22"/>
                              </w:rPr>
                              <w:tab/>
                            </w:r>
                            <w:r>
                              <w:rPr>
                                <w:rFonts w:ascii="宋体" w:hAnsi="宋体" w:eastAsia="宋体" w:cs="宋体"/>
                                <w:spacing w:val="-2"/>
                                <w:szCs w:val="22"/>
                              </w:rPr>
                              <w:t>邮政编码</w:t>
                            </w:r>
                            <w:r>
                              <w:rPr>
                                <w:rFonts w:ascii="宋体" w:hAnsi="宋体" w:eastAsia="宋体" w:cs="宋体"/>
                                <w:spacing w:val="-10"/>
                                <w:szCs w:val="22"/>
                              </w:rPr>
                              <w:t>：</w:t>
                            </w:r>
                          </w:p>
                        </w:tc>
                      </w:tr>
                      <w:tr w14:paraId="62619E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832" w:type="dxa"/>
                            <w:tcBorders>
                              <w:top w:val="single" w:color="000000" w:sz="4" w:space="0"/>
                              <w:bottom w:val="single" w:color="000000" w:sz="4" w:space="0"/>
                              <w:right w:val="single" w:color="000000" w:sz="4" w:space="0"/>
                            </w:tcBorders>
                          </w:tcPr>
                          <w:p w14:paraId="053D5F36">
                            <w:pPr>
                              <w:autoSpaceDE w:val="0"/>
                              <w:autoSpaceDN w:val="0"/>
                              <w:spacing w:before="177"/>
                              <w:ind w:left="27" w:right="1"/>
                              <w:jc w:val="center"/>
                              <w:rPr>
                                <w:rFonts w:ascii="宋体" w:hAnsi="宋体" w:eastAsia="宋体" w:cs="宋体"/>
                                <w:szCs w:val="22"/>
                              </w:rPr>
                            </w:pPr>
                            <w:r>
                              <w:rPr>
                                <w:rFonts w:ascii="宋体" w:hAnsi="宋体" w:eastAsia="宋体" w:cs="宋体"/>
                                <w:spacing w:val="-10"/>
                                <w:szCs w:val="22"/>
                              </w:rPr>
                              <w:t>3</w:t>
                            </w:r>
                          </w:p>
                        </w:tc>
                        <w:tc>
                          <w:tcPr>
                            <w:tcW w:w="1098" w:type="dxa"/>
                            <w:tcBorders>
                              <w:top w:val="single" w:color="000000" w:sz="4" w:space="0"/>
                              <w:left w:val="single" w:color="000000" w:sz="4" w:space="0"/>
                              <w:bottom w:val="single" w:color="000000" w:sz="4" w:space="0"/>
                              <w:right w:val="single" w:color="000000" w:sz="4" w:space="0"/>
                            </w:tcBorders>
                          </w:tcPr>
                          <w:p w14:paraId="0B849A5B">
                            <w:pPr>
                              <w:autoSpaceDE w:val="0"/>
                              <w:autoSpaceDN w:val="0"/>
                              <w:spacing w:before="177"/>
                              <w:ind w:left="28"/>
                              <w:jc w:val="center"/>
                              <w:rPr>
                                <w:rFonts w:ascii="宋体" w:hAnsi="宋体" w:eastAsia="宋体" w:cs="宋体"/>
                                <w:szCs w:val="22"/>
                              </w:rPr>
                            </w:pPr>
                            <w:r>
                              <w:fldChar w:fldCharType="begin"/>
                            </w:r>
                            <w:r>
                              <w:instrText xml:space="preserve"> HYPERLINK "1.1.4.5" \h </w:instrText>
                            </w:r>
                            <w:r>
                              <w:fldChar w:fldCharType="separate"/>
                            </w:r>
                            <w:r>
                              <w:rPr>
                                <w:rFonts w:ascii="宋体" w:hAnsi="宋体" w:eastAsia="宋体" w:cs="宋体"/>
                                <w:spacing w:val="-2"/>
                                <w:szCs w:val="22"/>
                              </w:rPr>
                              <w:t>1.1.4.5</w:t>
                            </w:r>
                            <w:r>
                              <w:rPr>
                                <w:rFonts w:ascii="宋体" w:hAnsi="宋体" w:eastAsia="宋体" w:cs="宋体"/>
                                <w:spacing w:val="-2"/>
                                <w:szCs w:val="22"/>
                              </w:rPr>
                              <w:fldChar w:fldCharType="end"/>
                            </w:r>
                          </w:p>
                        </w:tc>
                        <w:tc>
                          <w:tcPr>
                            <w:tcW w:w="7287" w:type="dxa"/>
                            <w:tcBorders>
                              <w:top w:val="single" w:color="000000" w:sz="4" w:space="0"/>
                              <w:left w:val="single" w:color="000000" w:sz="4" w:space="0"/>
                              <w:bottom w:val="single" w:color="000000" w:sz="4" w:space="0"/>
                            </w:tcBorders>
                          </w:tcPr>
                          <w:p w14:paraId="058883E5">
                            <w:pPr>
                              <w:autoSpaceDE w:val="0"/>
                              <w:autoSpaceDN w:val="0"/>
                              <w:spacing w:before="177"/>
                              <w:ind w:left="225"/>
                              <w:jc w:val="left"/>
                              <w:rPr>
                                <w:rFonts w:ascii="宋体" w:hAnsi="宋体" w:eastAsia="宋体" w:cs="宋体"/>
                                <w:szCs w:val="22"/>
                              </w:rPr>
                            </w:pPr>
                            <w:r>
                              <w:rPr>
                                <w:rFonts w:ascii="宋体" w:hAnsi="宋体" w:eastAsia="宋体" w:cs="宋体"/>
                                <w:szCs w:val="22"/>
                              </w:rPr>
                              <w:t>缺陷责任期：自实际交工日期起计算</w:t>
                            </w:r>
                            <w:r>
                              <w:rPr>
                                <w:rFonts w:ascii="Times New Roman" w:hAnsi="宋体" w:eastAsia="Times New Roman" w:cs="宋体"/>
                                <w:spacing w:val="34"/>
                                <w:szCs w:val="22"/>
                                <w:u w:val="single"/>
                              </w:rPr>
                              <w:t xml:space="preserve"> </w:t>
                            </w:r>
                            <w:r>
                              <w:rPr>
                                <w:rFonts w:ascii="宋体" w:hAnsi="宋体" w:eastAsia="宋体" w:cs="宋体"/>
                                <w:szCs w:val="22"/>
                                <w:u w:val="single"/>
                              </w:rPr>
                              <w:t>12</w:t>
                            </w:r>
                            <w:r>
                              <w:rPr>
                                <w:rFonts w:ascii="宋体" w:hAnsi="宋体" w:eastAsia="宋体" w:cs="宋体"/>
                                <w:spacing w:val="-14"/>
                                <w:szCs w:val="22"/>
                                <w:u w:val="single"/>
                              </w:rPr>
                              <w:t xml:space="preserve"> </w:t>
                            </w:r>
                            <w:r>
                              <w:rPr>
                                <w:rFonts w:ascii="宋体" w:hAnsi="宋体" w:eastAsia="宋体" w:cs="宋体"/>
                                <w:spacing w:val="-5"/>
                                <w:szCs w:val="22"/>
                              </w:rPr>
                              <w:t>个月</w:t>
                            </w:r>
                          </w:p>
                        </w:tc>
                      </w:tr>
                      <w:tr w14:paraId="7B1353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4D03CB6B">
                            <w:pPr>
                              <w:autoSpaceDE w:val="0"/>
                              <w:autoSpaceDN w:val="0"/>
                              <w:spacing w:before="32"/>
                              <w:jc w:val="left"/>
                              <w:rPr>
                                <w:rFonts w:ascii="宋体" w:hAnsi="宋体" w:eastAsia="宋体" w:cs="宋体"/>
                                <w:szCs w:val="22"/>
                              </w:rPr>
                            </w:pPr>
                          </w:p>
                          <w:p w14:paraId="2D31D8A6">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4</w:t>
                            </w:r>
                          </w:p>
                        </w:tc>
                        <w:tc>
                          <w:tcPr>
                            <w:tcW w:w="1098" w:type="dxa"/>
                            <w:tcBorders>
                              <w:top w:val="single" w:color="000000" w:sz="4" w:space="0"/>
                              <w:left w:val="single" w:color="000000" w:sz="4" w:space="0"/>
                              <w:bottom w:val="single" w:color="000000" w:sz="4" w:space="0"/>
                              <w:right w:val="single" w:color="000000" w:sz="4" w:space="0"/>
                            </w:tcBorders>
                          </w:tcPr>
                          <w:p w14:paraId="06D43F21">
                            <w:pPr>
                              <w:autoSpaceDE w:val="0"/>
                              <w:autoSpaceDN w:val="0"/>
                              <w:spacing w:before="32"/>
                              <w:jc w:val="left"/>
                              <w:rPr>
                                <w:rFonts w:ascii="宋体" w:hAnsi="宋体" w:eastAsia="宋体" w:cs="宋体"/>
                                <w:szCs w:val="22"/>
                              </w:rPr>
                            </w:pPr>
                          </w:p>
                          <w:p w14:paraId="0E0F2263">
                            <w:pPr>
                              <w:autoSpaceDE w:val="0"/>
                              <w:autoSpaceDN w:val="0"/>
                              <w:spacing w:before="1"/>
                              <w:ind w:left="28"/>
                              <w:jc w:val="center"/>
                              <w:rPr>
                                <w:rFonts w:ascii="宋体" w:hAnsi="宋体" w:eastAsia="宋体" w:cs="宋体"/>
                                <w:szCs w:val="22"/>
                              </w:rPr>
                            </w:pPr>
                            <w:r>
                              <w:rPr>
                                <w:rFonts w:ascii="宋体" w:hAnsi="宋体" w:eastAsia="宋体" w:cs="宋体"/>
                                <w:spacing w:val="-2"/>
                                <w:szCs w:val="22"/>
                              </w:rPr>
                              <w:t>1.6.3</w:t>
                            </w:r>
                          </w:p>
                        </w:tc>
                        <w:tc>
                          <w:tcPr>
                            <w:tcW w:w="7287" w:type="dxa"/>
                            <w:tcBorders>
                              <w:top w:val="single" w:color="000000" w:sz="4" w:space="0"/>
                              <w:left w:val="single" w:color="000000" w:sz="4" w:space="0"/>
                              <w:bottom w:val="single" w:color="000000" w:sz="4" w:space="0"/>
                            </w:tcBorders>
                          </w:tcPr>
                          <w:p w14:paraId="10D64D74">
                            <w:pPr>
                              <w:autoSpaceDE w:val="0"/>
                              <w:autoSpaceDN w:val="0"/>
                              <w:spacing w:line="398" w:lineRule="exact"/>
                              <w:ind w:left="225" w:right="-15"/>
                              <w:jc w:val="left"/>
                              <w:rPr>
                                <w:rFonts w:ascii="宋体" w:hAnsi="宋体" w:eastAsia="宋体" w:cs="宋体"/>
                                <w:szCs w:val="22"/>
                              </w:rPr>
                            </w:pPr>
                            <w:r>
                              <w:rPr>
                                <w:rFonts w:ascii="宋体" w:hAnsi="宋体" w:eastAsia="宋体" w:cs="宋体"/>
                                <w:spacing w:val="-4"/>
                                <w:szCs w:val="22"/>
                              </w:rPr>
                              <w:t>图纸需要修改和补充的，应由监理人取得发包人同意后，在该工程或工程相应</w:t>
                            </w:r>
                            <w:r>
                              <w:rPr>
                                <w:rFonts w:ascii="宋体" w:hAnsi="宋体" w:eastAsia="宋体" w:cs="宋体"/>
                                <w:szCs w:val="22"/>
                              </w:rPr>
                              <w:t>部位施工前</w:t>
                            </w:r>
                            <w:r>
                              <w:rPr>
                                <w:rFonts w:ascii="Times New Roman" w:hAnsi="宋体" w:eastAsia="Times New Roman" w:cs="宋体"/>
                                <w:spacing w:val="40"/>
                                <w:szCs w:val="22"/>
                                <w:u w:val="single"/>
                              </w:rPr>
                              <w:t xml:space="preserve"> </w:t>
                            </w:r>
                            <w:r>
                              <w:rPr>
                                <w:rFonts w:ascii="宋体" w:hAnsi="宋体" w:eastAsia="宋体" w:cs="宋体"/>
                                <w:szCs w:val="22"/>
                                <w:u w:val="single"/>
                              </w:rPr>
                              <w:t xml:space="preserve">14 </w:t>
                            </w:r>
                            <w:r>
                              <w:rPr>
                                <w:rFonts w:ascii="宋体" w:hAnsi="宋体" w:eastAsia="宋体" w:cs="宋体"/>
                                <w:szCs w:val="22"/>
                              </w:rPr>
                              <w:t>天内签发图纸修改图给承包人</w:t>
                            </w:r>
                          </w:p>
                        </w:tc>
                      </w:tr>
                      <w:tr w14:paraId="4AB471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832" w:type="dxa"/>
                            <w:tcBorders>
                              <w:top w:val="single" w:color="000000" w:sz="4" w:space="0"/>
                              <w:bottom w:val="single" w:color="000000" w:sz="4" w:space="0"/>
                              <w:right w:val="single" w:color="000000" w:sz="4" w:space="0"/>
                            </w:tcBorders>
                          </w:tcPr>
                          <w:p w14:paraId="3F35BA0E">
                            <w:pPr>
                              <w:autoSpaceDE w:val="0"/>
                              <w:autoSpaceDN w:val="0"/>
                              <w:spacing w:before="233"/>
                              <w:jc w:val="left"/>
                              <w:rPr>
                                <w:rFonts w:ascii="宋体" w:hAnsi="宋体" w:eastAsia="宋体" w:cs="宋体"/>
                                <w:szCs w:val="22"/>
                              </w:rPr>
                            </w:pPr>
                          </w:p>
                          <w:p w14:paraId="7C0A69AC">
                            <w:pPr>
                              <w:autoSpaceDE w:val="0"/>
                              <w:autoSpaceDN w:val="0"/>
                              <w:ind w:left="27" w:right="1"/>
                              <w:jc w:val="center"/>
                              <w:rPr>
                                <w:rFonts w:ascii="宋体" w:hAnsi="宋体" w:eastAsia="宋体" w:cs="宋体"/>
                                <w:szCs w:val="22"/>
                              </w:rPr>
                            </w:pPr>
                            <w:r>
                              <w:rPr>
                                <w:rFonts w:ascii="宋体" w:hAnsi="宋体" w:eastAsia="宋体" w:cs="宋体"/>
                                <w:spacing w:val="-10"/>
                                <w:szCs w:val="22"/>
                              </w:rPr>
                              <w:t>5</w:t>
                            </w:r>
                          </w:p>
                        </w:tc>
                        <w:tc>
                          <w:tcPr>
                            <w:tcW w:w="1098" w:type="dxa"/>
                            <w:tcBorders>
                              <w:top w:val="single" w:color="000000" w:sz="4" w:space="0"/>
                              <w:left w:val="single" w:color="000000" w:sz="4" w:space="0"/>
                              <w:bottom w:val="single" w:color="000000" w:sz="4" w:space="0"/>
                              <w:right w:val="single" w:color="000000" w:sz="4" w:space="0"/>
                            </w:tcBorders>
                          </w:tcPr>
                          <w:p w14:paraId="1F8D73EE">
                            <w:pPr>
                              <w:autoSpaceDE w:val="0"/>
                              <w:autoSpaceDN w:val="0"/>
                              <w:spacing w:before="233"/>
                              <w:jc w:val="left"/>
                              <w:rPr>
                                <w:rFonts w:ascii="宋体" w:hAnsi="宋体" w:eastAsia="宋体" w:cs="宋体"/>
                                <w:szCs w:val="22"/>
                              </w:rPr>
                            </w:pPr>
                          </w:p>
                          <w:p w14:paraId="3C715462">
                            <w:pPr>
                              <w:autoSpaceDE w:val="0"/>
                              <w:autoSpaceDN w:val="0"/>
                              <w:ind w:left="28"/>
                              <w:jc w:val="center"/>
                              <w:rPr>
                                <w:rFonts w:ascii="宋体" w:hAnsi="宋体" w:eastAsia="宋体" w:cs="宋体"/>
                                <w:szCs w:val="22"/>
                              </w:rPr>
                            </w:pPr>
                            <w:r>
                              <w:rPr>
                                <w:rFonts w:ascii="宋体" w:hAnsi="宋体" w:eastAsia="宋体" w:cs="宋体"/>
                                <w:spacing w:val="-2"/>
                                <w:szCs w:val="22"/>
                              </w:rPr>
                              <w:t>3.1.1</w:t>
                            </w:r>
                          </w:p>
                        </w:tc>
                        <w:tc>
                          <w:tcPr>
                            <w:tcW w:w="7287" w:type="dxa"/>
                            <w:tcBorders>
                              <w:top w:val="single" w:color="000000" w:sz="4" w:space="0"/>
                              <w:left w:val="single" w:color="000000" w:sz="4" w:space="0"/>
                              <w:bottom w:val="single" w:color="000000" w:sz="4" w:space="0"/>
                            </w:tcBorders>
                          </w:tcPr>
                          <w:p w14:paraId="283C1F4A">
                            <w:pPr>
                              <w:autoSpaceDE w:val="0"/>
                              <w:autoSpaceDN w:val="0"/>
                              <w:spacing w:before="105"/>
                              <w:ind w:left="225"/>
                              <w:jc w:val="left"/>
                              <w:rPr>
                                <w:rFonts w:ascii="宋体" w:hAnsi="宋体" w:eastAsia="宋体" w:cs="宋体"/>
                                <w:szCs w:val="22"/>
                              </w:rPr>
                            </w:pPr>
                            <w:r>
                              <w:rPr>
                                <w:rFonts w:ascii="宋体" w:hAnsi="宋体" w:eastAsia="宋体" w:cs="宋体"/>
                                <w:spacing w:val="-3"/>
                                <w:szCs w:val="22"/>
                              </w:rPr>
                              <w:t>监理人在行使下列权力前需要经发包人事先批准：</w:t>
                            </w:r>
                          </w:p>
                          <w:p w14:paraId="70206E9B">
                            <w:pPr>
                              <w:autoSpaceDE w:val="0"/>
                              <w:autoSpaceDN w:val="0"/>
                              <w:spacing w:before="1" w:line="400" w:lineRule="atLeast"/>
                              <w:ind w:left="225" w:right="-15" w:hanging="106"/>
                              <w:jc w:val="left"/>
                              <w:rPr>
                                <w:rFonts w:ascii="宋体" w:hAnsi="宋体" w:eastAsia="宋体" w:cs="宋体"/>
                                <w:szCs w:val="22"/>
                              </w:rPr>
                            </w:pPr>
                            <w:r>
                              <w:rPr>
                                <w:rFonts w:ascii="宋体" w:hAnsi="宋体" w:eastAsia="宋体" w:cs="宋体"/>
                                <w:spacing w:val="-2"/>
                                <w:szCs w:val="22"/>
                              </w:rPr>
                              <w:t>（6）</w:t>
                            </w:r>
                            <w:r>
                              <w:rPr>
                                <w:rFonts w:ascii="宋体" w:hAnsi="宋体" w:eastAsia="宋体" w:cs="宋体"/>
                                <w:spacing w:val="-8"/>
                                <w:szCs w:val="22"/>
                              </w:rPr>
                              <w:t xml:space="preserve">根据第 </w:t>
                            </w:r>
                            <w:r>
                              <w:rPr>
                                <w:rFonts w:ascii="宋体" w:hAnsi="宋体" w:eastAsia="宋体" w:cs="宋体"/>
                                <w:spacing w:val="-2"/>
                                <w:szCs w:val="22"/>
                              </w:rPr>
                              <w:t>15.3</w:t>
                            </w:r>
                            <w:r>
                              <w:rPr>
                                <w:rFonts w:ascii="宋体" w:hAnsi="宋体" w:eastAsia="宋体" w:cs="宋体"/>
                                <w:spacing w:val="-7"/>
                                <w:szCs w:val="22"/>
                              </w:rPr>
                              <w:t xml:space="preserve"> 款发出的变更指示，其单项工程变更涉及的金额超过了该单</w:t>
                            </w:r>
                            <w:r>
                              <w:rPr>
                                <w:rFonts w:ascii="宋体" w:hAnsi="宋体" w:eastAsia="宋体" w:cs="宋体"/>
                                <w:szCs w:val="22"/>
                              </w:rPr>
                              <w:t>项工程签约时合同价的</w:t>
                            </w:r>
                            <w:r>
                              <w:rPr>
                                <w:rFonts w:ascii="Times New Roman" w:hAnsi="宋体" w:eastAsia="Times New Roman" w:cs="宋体"/>
                                <w:spacing w:val="80"/>
                                <w:w w:val="150"/>
                                <w:szCs w:val="22"/>
                                <w:u w:val="single"/>
                              </w:rPr>
                              <w:t xml:space="preserve"> </w:t>
                            </w:r>
                            <w:r>
                              <w:rPr>
                                <w:rFonts w:ascii="宋体" w:hAnsi="宋体" w:eastAsia="宋体" w:cs="宋体"/>
                                <w:spacing w:val="52"/>
                                <w:szCs w:val="22"/>
                                <w:u w:val="single"/>
                              </w:rPr>
                              <w:t xml:space="preserve">/ </w:t>
                            </w:r>
                            <w:r>
                              <w:rPr>
                                <w:rFonts w:ascii="宋体" w:hAnsi="宋体" w:eastAsia="宋体" w:cs="宋体"/>
                                <w:szCs w:val="22"/>
                              </w:rPr>
                              <w:t>％或累计变更超过了签约合同价的</w:t>
                            </w:r>
                            <w:r>
                              <w:rPr>
                                <w:rFonts w:ascii="Times New Roman" w:hAnsi="宋体" w:eastAsia="Times New Roman" w:cs="宋体"/>
                                <w:spacing w:val="40"/>
                                <w:szCs w:val="22"/>
                                <w:u w:val="single"/>
                              </w:rPr>
                              <w:t xml:space="preserve"> </w:t>
                            </w:r>
                            <w:r>
                              <w:rPr>
                                <w:rFonts w:ascii="宋体" w:hAnsi="宋体" w:eastAsia="宋体" w:cs="宋体"/>
                                <w:szCs w:val="22"/>
                                <w:u w:val="single"/>
                              </w:rPr>
                              <w:t xml:space="preserve">/ </w:t>
                            </w:r>
                            <w:r>
                              <w:rPr>
                                <w:rFonts w:ascii="宋体" w:hAnsi="宋体" w:eastAsia="宋体" w:cs="宋体"/>
                                <w:szCs w:val="22"/>
                              </w:rPr>
                              <w:t>％</w:t>
                            </w:r>
                          </w:p>
                        </w:tc>
                      </w:tr>
                      <w:tr w14:paraId="1B1537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832" w:type="dxa"/>
                            <w:tcBorders>
                              <w:top w:val="single" w:color="000000" w:sz="4" w:space="0"/>
                              <w:bottom w:val="single" w:color="000000" w:sz="4" w:space="0"/>
                              <w:right w:val="single" w:color="000000" w:sz="4" w:space="0"/>
                            </w:tcBorders>
                          </w:tcPr>
                          <w:p w14:paraId="38B4804B">
                            <w:pPr>
                              <w:autoSpaceDE w:val="0"/>
                              <w:autoSpaceDN w:val="0"/>
                              <w:spacing w:before="33"/>
                              <w:jc w:val="left"/>
                              <w:rPr>
                                <w:rFonts w:ascii="宋体" w:hAnsi="宋体" w:eastAsia="宋体" w:cs="宋体"/>
                                <w:szCs w:val="22"/>
                              </w:rPr>
                            </w:pPr>
                          </w:p>
                          <w:p w14:paraId="7F41AA2B">
                            <w:pPr>
                              <w:autoSpaceDE w:val="0"/>
                              <w:autoSpaceDN w:val="0"/>
                              <w:ind w:left="27" w:right="1"/>
                              <w:jc w:val="center"/>
                              <w:rPr>
                                <w:rFonts w:ascii="宋体" w:hAnsi="宋体" w:eastAsia="宋体" w:cs="宋体"/>
                                <w:szCs w:val="22"/>
                              </w:rPr>
                            </w:pPr>
                            <w:r>
                              <w:rPr>
                                <w:rFonts w:ascii="宋体" w:hAnsi="宋体" w:eastAsia="宋体" w:cs="宋体"/>
                                <w:spacing w:val="-10"/>
                                <w:szCs w:val="22"/>
                              </w:rPr>
                              <w:t>6</w:t>
                            </w:r>
                          </w:p>
                        </w:tc>
                        <w:tc>
                          <w:tcPr>
                            <w:tcW w:w="1098" w:type="dxa"/>
                            <w:tcBorders>
                              <w:top w:val="single" w:color="000000" w:sz="4" w:space="0"/>
                              <w:left w:val="single" w:color="000000" w:sz="4" w:space="0"/>
                              <w:bottom w:val="single" w:color="000000" w:sz="4" w:space="0"/>
                              <w:right w:val="single" w:color="000000" w:sz="4" w:space="0"/>
                            </w:tcBorders>
                          </w:tcPr>
                          <w:p w14:paraId="4C12BF7C">
                            <w:pPr>
                              <w:autoSpaceDE w:val="0"/>
                              <w:autoSpaceDN w:val="0"/>
                              <w:spacing w:before="33"/>
                              <w:jc w:val="left"/>
                              <w:rPr>
                                <w:rFonts w:ascii="宋体" w:hAnsi="宋体" w:eastAsia="宋体" w:cs="宋体"/>
                                <w:szCs w:val="22"/>
                              </w:rPr>
                            </w:pPr>
                          </w:p>
                          <w:p w14:paraId="469AF279">
                            <w:pPr>
                              <w:autoSpaceDE w:val="0"/>
                              <w:autoSpaceDN w:val="0"/>
                              <w:ind w:left="28"/>
                              <w:jc w:val="center"/>
                              <w:rPr>
                                <w:rFonts w:ascii="宋体" w:hAnsi="宋体" w:eastAsia="宋体" w:cs="宋体"/>
                                <w:szCs w:val="22"/>
                              </w:rPr>
                            </w:pPr>
                            <w:r>
                              <w:rPr>
                                <w:rFonts w:ascii="宋体" w:hAnsi="宋体" w:eastAsia="宋体" w:cs="宋体"/>
                                <w:spacing w:val="-2"/>
                                <w:szCs w:val="22"/>
                              </w:rPr>
                              <w:t>5.2.1</w:t>
                            </w:r>
                          </w:p>
                        </w:tc>
                        <w:tc>
                          <w:tcPr>
                            <w:tcW w:w="7287" w:type="dxa"/>
                            <w:tcBorders>
                              <w:top w:val="single" w:color="000000" w:sz="4" w:space="0"/>
                              <w:left w:val="single" w:color="000000" w:sz="4" w:space="0"/>
                              <w:bottom w:val="single" w:color="000000" w:sz="4" w:space="0"/>
                            </w:tcBorders>
                          </w:tcPr>
                          <w:p w14:paraId="13718AD0">
                            <w:pPr>
                              <w:tabs>
                                <w:tab w:val="left" w:pos="2639"/>
                              </w:tabs>
                              <w:autoSpaceDE w:val="0"/>
                              <w:autoSpaceDN w:val="0"/>
                              <w:spacing w:before="105"/>
                              <w:ind w:left="225"/>
                              <w:jc w:val="left"/>
                              <w:rPr>
                                <w:rFonts w:ascii="宋体" w:hAnsi="宋体" w:eastAsia="宋体" w:cs="宋体"/>
                                <w:szCs w:val="22"/>
                              </w:rPr>
                            </w:pPr>
                            <w:r>
                              <w:rPr>
                                <w:rFonts w:ascii="宋体" w:hAnsi="宋体" w:eastAsia="宋体" w:cs="宋体"/>
                                <w:spacing w:val="-2"/>
                                <w:szCs w:val="22"/>
                              </w:rPr>
                              <w:t>发包人是否提供材料</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否</w:t>
                            </w:r>
                          </w:p>
                          <w:p w14:paraId="3832DA88">
                            <w:pPr>
                              <w:tabs>
                                <w:tab w:val="left" w:pos="4739"/>
                              </w:tabs>
                              <w:autoSpaceDE w:val="0"/>
                              <w:autoSpaceDN w:val="0"/>
                              <w:spacing w:before="128"/>
                              <w:ind w:left="225"/>
                              <w:jc w:val="left"/>
                              <w:rPr>
                                <w:rFonts w:ascii="宋体" w:hAnsi="宋体" w:eastAsia="宋体" w:cs="宋体"/>
                                <w:szCs w:val="22"/>
                              </w:rPr>
                            </w:pPr>
                            <w:r>
                              <w:rPr>
                                <w:rFonts w:ascii="宋体" w:hAnsi="宋体" w:eastAsia="宋体" w:cs="宋体"/>
                                <w:spacing w:val="-2"/>
                                <w:szCs w:val="22"/>
                              </w:rPr>
                              <w:t>如发包人负责提供部分材料，相关规定如下</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否</w:t>
                            </w:r>
                          </w:p>
                        </w:tc>
                      </w:tr>
                      <w:tr w14:paraId="3CAEAF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832" w:type="dxa"/>
                            <w:tcBorders>
                              <w:top w:val="single" w:color="000000" w:sz="4" w:space="0"/>
                              <w:bottom w:val="single" w:color="000000" w:sz="4" w:space="0"/>
                              <w:right w:val="single" w:color="000000" w:sz="4" w:space="0"/>
                            </w:tcBorders>
                          </w:tcPr>
                          <w:p w14:paraId="2FBE1A15">
                            <w:pPr>
                              <w:autoSpaceDE w:val="0"/>
                              <w:autoSpaceDN w:val="0"/>
                              <w:spacing w:before="34"/>
                              <w:jc w:val="left"/>
                              <w:rPr>
                                <w:rFonts w:ascii="宋体" w:hAnsi="宋体" w:eastAsia="宋体" w:cs="宋体"/>
                                <w:szCs w:val="22"/>
                              </w:rPr>
                            </w:pPr>
                          </w:p>
                          <w:p w14:paraId="6EF54151">
                            <w:pPr>
                              <w:autoSpaceDE w:val="0"/>
                              <w:autoSpaceDN w:val="0"/>
                              <w:spacing w:before="1"/>
                              <w:ind w:left="27" w:right="1"/>
                              <w:jc w:val="center"/>
                              <w:rPr>
                                <w:rFonts w:ascii="宋体" w:hAnsi="宋体" w:eastAsia="宋体" w:cs="宋体"/>
                                <w:szCs w:val="22"/>
                              </w:rPr>
                            </w:pPr>
                            <w:r>
                              <w:rPr>
                                <w:rFonts w:ascii="宋体" w:hAnsi="宋体" w:eastAsia="宋体" w:cs="宋体"/>
                                <w:spacing w:val="-10"/>
                                <w:szCs w:val="22"/>
                              </w:rPr>
                              <w:t>7</w:t>
                            </w:r>
                          </w:p>
                        </w:tc>
                        <w:tc>
                          <w:tcPr>
                            <w:tcW w:w="1098" w:type="dxa"/>
                            <w:tcBorders>
                              <w:top w:val="single" w:color="000000" w:sz="4" w:space="0"/>
                              <w:left w:val="single" w:color="000000" w:sz="4" w:space="0"/>
                              <w:bottom w:val="single" w:color="000000" w:sz="4" w:space="0"/>
                              <w:right w:val="single" w:color="000000" w:sz="4" w:space="0"/>
                            </w:tcBorders>
                          </w:tcPr>
                          <w:p w14:paraId="24107AA0">
                            <w:pPr>
                              <w:autoSpaceDE w:val="0"/>
                              <w:autoSpaceDN w:val="0"/>
                              <w:spacing w:before="34"/>
                              <w:jc w:val="left"/>
                              <w:rPr>
                                <w:rFonts w:ascii="宋体" w:hAnsi="宋体" w:eastAsia="宋体" w:cs="宋体"/>
                                <w:szCs w:val="22"/>
                              </w:rPr>
                            </w:pPr>
                          </w:p>
                          <w:p w14:paraId="08B94BED">
                            <w:pPr>
                              <w:autoSpaceDE w:val="0"/>
                              <w:autoSpaceDN w:val="0"/>
                              <w:spacing w:before="1"/>
                              <w:ind w:left="28" w:right="2"/>
                              <w:jc w:val="center"/>
                              <w:rPr>
                                <w:rFonts w:ascii="宋体" w:hAnsi="宋体" w:eastAsia="宋体" w:cs="宋体"/>
                                <w:szCs w:val="22"/>
                              </w:rPr>
                            </w:pPr>
                            <w:r>
                              <w:rPr>
                                <w:rFonts w:ascii="宋体" w:hAnsi="宋体" w:eastAsia="宋体" w:cs="宋体"/>
                                <w:spacing w:val="-5"/>
                                <w:szCs w:val="22"/>
                              </w:rPr>
                              <w:t>6.2</w:t>
                            </w:r>
                          </w:p>
                        </w:tc>
                        <w:tc>
                          <w:tcPr>
                            <w:tcW w:w="7287" w:type="dxa"/>
                            <w:tcBorders>
                              <w:top w:val="single" w:color="000000" w:sz="4" w:space="0"/>
                              <w:left w:val="single" w:color="000000" w:sz="4" w:space="0"/>
                              <w:bottom w:val="single" w:color="000000" w:sz="4" w:space="0"/>
                            </w:tcBorders>
                          </w:tcPr>
                          <w:p w14:paraId="7A0095AB">
                            <w:pPr>
                              <w:autoSpaceDE w:val="0"/>
                              <w:autoSpaceDN w:val="0"/>
                              <w:spacing w:before="106"/>
                              <w:ind w:left="225"/>
                              <w:jc w:val="left"/>
                              <w:rPr>
                                <w:rFonts w:ascii="宋体" w:hAnsi="宋体" w:eastAsia="宋体" w:cs="宋体"/>
                                <w:szCs w:val="22"/>
                              </w:rPr>
                            </w:pPr>
                            <w:r>
                              <w:rPr>
                                <w:rFonts w:ascii="宋体" w:hAnsi="宋体" w:eastAsia="宋体" w:cs="宋体"/>
                                <w:szCs w:val="22"/>
                              </w:rPr>
                              <w:t>发包人是否提供施工设备和临时设施：</w:t>
                            </w:r>
                            <w:r>
                              <w:rPr>
                                <w:rFonts w:ascii="Times New Roman" w:hAnsi="宋体" w:eastAsia="Times New Roman" w:cs="宋体"/>
                                <w:spacing w:val="38"/>
                                <w:szCs w:val="22"/>
                                <w:u w:val="single"/>
                              </w:rPr>
                              <w:t xml:space="preserve">  </w:t>
                            </w:r>
                            <w:r>
                              <w:rPr>
                                <w:rFonts w:ascii="宋体" w:hAnsi="宋体" w:eastAsia="宋体" w:cs="宋体"/>
                                <w:spacing w:val="-10"/>
                                <w:szCs w:val="22"/>
                                <w:u w:val="single"/>
                              </w:rPr>
                              <w:t>否</w:t>
                            </w:r>
                          </w:p>
                          <w:p w14:paraId="199534EE">
                            <w:pPr>
                              <w:autoSpaceDE w:val="0"/>
                              <w:autoSpaceDN w:val="0"/>
                              <w:spacing w:before="128"/>
                              <w:ind w:left="225"/>
                              <w:jc w:val="left"/>
                              <w:rPr>
                                <w:rFonts w:ascii="宋体" w:hAnsi="宋体" w:eastAsia="宋体" w:cs="宋体"/>
                                <w:szCs w:val="22"/>
                              </w:rPr>
                            </w:pPr>
                            <w:r>
                              <w:rPr>
                                <w:rFonts w:ascii="宋体" w:hAnsi="宋体" w:eastAsia="宋体" w:cs="宋体"/>
                                <w:szCs w:val="22"/>
                              </w:rPr>
                              <w:t>如发包人负责提供部分施工设备和临时设施，相关规定如下：</w:t>
                            </w:r>
                            <w:r>
                              <w:rPr>
                                <w:rFonts w:ascii="Times New Roman" w:hAnsi="宋体" w:eastAsia="Times New Roman" w:cs="宋体"/>
                                <w:spacing w:val="30"/>
                                <w:szCs w:val="22"/>
                                <w:u w:val="single"/>
                              </w:rPr>
                              <w:t xml:space="preserve">  </w:t>
                            </w:r>
                            <w:r>
                              <w:rPr>
                                <w:rFonts w:ascii="宋体" w:hAnsi="宋体" w:eastAsia="宋体" w:cs="宋体"/>
                                <w:spacing w:val="-10"/>
                                <w:szCs w:val="22"/>
                                <w:u w:val="single"/>
                              </w:rPr>
                              <w:t>否</w:t>
                            </w:r>
                          </w:p>
                        </w:tc>
                      </w:tr>
                      <w:tr w14:paraId="61557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832" w:type="dxa"/>
                            <w:tcBorders>
                              <w:top w:val="single" w:color="000000" w:sz="4" w:space="0"/>
                              <w:bottom w:val="single" w:color="000000" w:sz="4" w:space="0"/>
                              <w:right w:val="single" w:color="000000" w:sz="4" w:space="0"/>
                            </w:tcBorders>
                          </w:tcPr>
                          <w:p w14:paraId="396FD939">
                            <w:pPr>
                              <w:autoSpaceDE w:val="0"/>
                              <w:autoSpaceDN w:val="0"/>
                              <w:spacing w:before="156"/>
                              <w:ind w:left="27" w:right="1"/>
                              <w:jc w:val="center"/>
                              <w:rPr>
                                <w:rFonts w:ascii="宋体" w:hAnsi="宋体" w:eastAsia="宋体" w:cs="宋体"/>
                                <w:szCs w:val="22"/>
                              </w:rPr>
                            </w:pPr>
                            <w:r>
                              <w:rPr>
                                <w:rFonts w:ascii="宋体" w:hAnsi="宋体" w:eastAsia="宋体" w:cs="宋体"/>
                                <w:spacing w:val="-10"/>
                                <w:szCs w:val="22"/>
                              </w:rPr>
                              <w:t>8</w:t>
                            </w:r>
                          </w:p>
                        </w:tc>
                        <w:tc>
                          <w:tcPr>
                            <w:tcW w:w="1098" w:type="dxa"/>
                            <w:tcBorders>
                              <w:top w:val="single" w:color="000000" w:sz="4" w:space="0"/>
                              <w:left w:val="single" w:color="000000" w:sz="4" w:space="0"/>
                              <w:bottom w:val="single" w:color="000000" w:sz="4" w:space="0"/>
                              <w:right w:val="single" w:color="000000" w:sz="4" w:space="0"/>
                            </w:tcBorders>
                          </w:tcPr>
                          <w:p w14:paraId="367B1617">
                            <w:pPr>
                              <w:autoSpaceDE w:val="0"/>
                              <w:autoSpaceDN w:val="0"/>
                              <w:spacing w:before="156"/>
                              <w:ind w:left="28"/>
                              <w:jc w:val="center"/>
                              <w:rPr>
                                <w:rFonts w:ascii="宋体" w:hAnsi="宋体" w:eastAsia="宋体" w:cs="宋体"/>
                                <w:szCs w:val="22"/>
                              </w:rPr>
                            </w:pPr>
                            <w:r>
                              <w:rPr>
                                <w:rFonts w:ascii="宋体" w:hAnsi="宋体" w:eastAsia="宋体" w:cs="宋体"/>
                                <w:spacing w:val="-4"/>
                                <w:szCs w:val="22"/>
                              </w:rPr>
                              <w:t>11.5</w:t>
                            </w:r>
                          </w:p>
                        </w:tc>
                        <w:tc>
                          <w:tcPr>
                            <w:tcW w:w="7287" w:type="dxa"/>
                            <w:tcBorders>
                              <w:top w:val="single" w:color="000000" w:sz="4" w:space="0"/>
                              <w:left w:val="single" w:color="000000" w:sz="4" w:space="0"/>
                              <w:bottom w:val="single" w:color="000000" w:sz="4" w:space="0"/>
                            </w:tcBorders>
                          </w:tcPr>
                          <w:p w14:paraId="5131FAC5">
                            <w:pPr>
                              <w:autoSpaceDE w:val="0"/>
                              <w:autoSpaceDN w:val="0"/>
                              <w:spacing w:before="156"/>
                              <w:ind w:left="225"/>
                              <w:jc w:val="left"/>
                              <w:rPr>
                                <w:rFonts w:ascii="宋体" w:hAnsi="宋体" w:eastAsia="宋体" w:cs="宋体"/>
                                <w:szCs w:val="22"/>
                              </w:rPr>
                            </w:pPr>
                            <w:r>
                              <w:rPr>
                                <w:rFonts w:ascii="宋体" w:hAnsi="宋体" w:eastAsia="宋体" w:cs="宋体"/>
                                <w:szCs w:val="22"/>
                              </w:rPr>
                              <w:t>逾期交工违约金：</w:t>
                            </w:r>
                            <w:r>
                              <w:rPr>
                                <w:rFonts w:ascii="Times New Roman" w:hAnsi="Times New Roman" w:eastAsia="Times New Roman" w:cs="宋体"/>
                                <w:spacing w:val="46"/>
                                <w:szCs w:val="22"/>
                                <w:u w:val="single"/>
                              </w:rPr>
                              <w:t xml:space="preserve">  </w:t>
                            </w:r>
                            <w:r>
                              <w:rPr>
                                <w:rFonts w:ascii="宋体" w:hAnsi="宋体" w:eastAsia="宋体" w:cs="宋体"/>
                                <w:szCs w:val="22"/>
                                <w:u w:val="single"/>
                              </w:rPr>
                              <w:t>1000</w:t>
                            </w:r>
                            <w:r>
                              <w:rPr>
                                <w:rFonts w:ascii="宋体" w:hAnsi="宋体" w:eastAsia="宋体" w:cs="宋体"/>
                                <w:spacing w:val="41"/>
                                <w:w w:val="150"/>
                                <w:szCs w:val="22"/>
                                <w:u w:val="single"/>
                              </w:rPr>
                              <w:t xml:space="preserve"> </w:t>
                            </w:r>
                            <w:r>
                              <w:rPr>
                                <w:rFonts w:ascii="宋体" w:hAnsi="宋体" w:eastAsia="宋体" w:cs="宋体"/>
                                <w:spacing w:val="-4"/>
                                <w:szCs w:val="22"/>
                              </w:rPr>
                              <w:t>元∕天</w:t>
                            </w:r>
                          </w:p>
                        </w:tc>
                      </w:tr>
                      <w:tr w14:paraId="32E515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832" w:type="dxa"/>
                            <w:tcBorders>
                              <w:top w:val="single" w:color="000000" w:sz="4" w:space="0"/>
                              <w:bottom w:val="single" w:color="000000" w:sz="4" w:space="0"/>
                              <w:right w:val="single" w:color="000000" w:sz="4" w:space="0"/>
                            </w:tcBorders>
                          </w:tcPr>
                          <w:p w14:paraId="4AA6752D">
                            <w:pPr>
                              <w:autoSpaceDE w:val="0"/>
                              <w:autoSpaceDN w:val="0"/>
                              <w:spacing w:before="240"/>
                              <w:ind w:left="27" w:right="1"/>
                              <w:jc w:val="center"/>
                              <w:rPr>
                                <w:rFonts w:ascii="宋体" w:hAnsi="宋体" w:eastAsia="宋体" w:cs="宋体"/>
                                <w:szCs w:val="22"/>
                              </w:rPr>
                            </w:pPr>
                            <w:r>
                              <w:rPr>
                                <w:rFonts w:ascii="宋体" w:hAnsi="宋体" w:eastAsia="宋体" w:cs="宋体"/>
                                <w:spacing w:val="-10"/>
                                <w:szCs w:val="22"/>
                              </w:rPr>
                              <w:t>9</w:t>
                            </w:r>
                          </w:p>
                        </w:tc>
                        <w:tc>
                          <w:tcPr>
                            <w:tcW w:w="1098" w:type="dxa"/>
                            <w:tcBorders>
                              <w:top w:val="single" w:color="000000" w:sz="4" w:space="0"/>
                              <w:left w:val="single" w:color="000000" w:sz="4" w:space="0"/>
                              <w:bottom w:val="single" w:color="000000" w:sz="4" w:space="0"/>
                              <w:right w:val="single" w:color="000000" w:sz="4" w:space="0"/>
                            </w:tcBorders>
                          </w:tcPr>
                          <w:p w14:paraId="6C992086">
                            <w:pPr>
                              <w:autoSpaceDE w:val="0"/>
                              <w:autoSpaceDN w:val="0"/>
                              <w:spacing w:before="240"/>
                              <w:ind w:left="28"/>
                              <w:jc w:val="center"/>
                              <w:rPr>
                                <w:rFonts w:ascii="宋体" w:hAnsi="宋体" w:eastAsia="宋体" w:cs="宋体"/>
                                <w:szCs w:val="22"/>
                              </w:rPr>
                            </w:pPr>
                            <w:r>
                              <w:rPr>
                                <w:rFonts w:ascii="宋体" w:hAnsi="宋体" w:eastAsia="宋体" w:cs="宋体"/>
                                <w:spacing w:val="-4"/>
                                <w:szCs w:val="22"/>
                              </w:rPr>
                              <w:t>11.5</w:t>
                            </w:r>
                          </w:p>
                        </w:tc>
                        <w:tc>
                          <w:tcPr>
                            <w:tcW w:w="7287" w:type="dxa"/>
                            <w:tcBorders>
                              <w:top w:val="single" w:color="000000" w:sz="4" w:space="0"/>
                              <w:left w:val="single" w:color="000000" w:sz="4" w:space="0"/>
                              <w:bottom w:val="single" w:color="000000" w:sz="4" w:space="0"/>
                            </w:tcBorders>
                          </w:tcPr>
                          <w:p w14:paraId="66BAD825">
                            <w:pPr>
                              <w:autoSpaceDE w:val="0"/>
                              <w:autoSpaceDN w:val="0"/>
                              <w:spacing w:before="240"/>
                              <w:ind w:left="225"/>
                              <w:jc w:val="left"/>
                              <w:rPr>
                                <w:rFonts w:ascii="宋体" w:hAnsi="宋体" w:eastAsia="宋体" w:cs="宋体"/>
                                <w:szCs w:val="22"/>
                              </w:rPr>
                            </w:pPr>
                            <w:r>
                              <w:rPr>
                                <w:rFonts w:ascii="宋体" w:hAnsi="宋体" w:eastAsia="宋体" w:cs="宋体"/>
                                <w:szCs w:val="22"/>
                              </w:rPr>
                              <w:t>逾期交工违约金限额：</w:t>
                            </w:r>
                            <w:r>
                              <w:rPr>
                                <w:rFonts w:ascii="Times New Roman" w:hAnsi="宋体" w:eastAsia="Times New Roman" w:cs="宋体"/>
                                <w:spacing w:val="40"/>
                                <w:szCs w:val="22"/>
                                <w:u w:val="single"/>
                              </w:rPr>
                              <w:t xml:space="preserve"> </w:t>
                            </w:r>
                            <w:r>
                              <w:rPr>
                                <w:rFonts w:ascii="宋体" w:hAnsi="宋体" w:eastAsia="宋体" w:cs="宋体"/>
                                <w:szCs w:val="22"/>
                                <w:u w:val="single"/>
                              </w:rPr>
                              <w:t>10</w:t>
                            </w:r>
                            <w:r>
                              <w:rPr>
                                <w:rFonts w:ascii="宋体" w:hAnsi="宋体" w:eastAsia="宋体" w:cs="宋体"/>
                                <w:spacing w:val="33"/>
                                <w:w w:val="150"/>
                                <w:szCs w:val="22"/>
                                <w:u w:val="single"/>
                              </w:rPr>
                              <w:t xml:space="preserve"> </w:t>
                            </w:r>
                            <w:r>
                              <w:rPr>
                                <w:rFonts w:ascii="宋体" w:hAnsi="宋体" w:eastAsia="宋体" w:cs="宋体"/>
                                <w:spacing w:val="-2"/>
                                <w:szCs w:val="22"/>
                              </w:rPr>
                              <w:t>％签约合同价</w:t>
                            </w:r>
                          </w:p>
                        </w:tc>
                      </w:tr>
                      <w:tr w14:paraId="53556E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2" w:hRule="atLeast"/>
                        </w:trPr>
                        <w:tc>
                          <w:tcPr>
                            <w:tcW w:w="832" w:type="dxa"/>
                            <w:tcBorders>
                              <w:top w:val="single" w:color="000000" w:sz="4" w:space="0"/>
                              <w:bottom w:val="single" w:color="000000" w:sz="4" w:space="0"/>
                              <w:right w:val="single" w:color="000000" w:sz="4" w:space="0"/>
                            </w:tcBorders>
                          </w:tcPr>
                          <w:p w14:paraId="37E16106">
                            <w:pPr>
                              <w:autoSpaceDE w:val="0"/>
                              <w:autoSpaceDN w:val="0"/>
                              <w:spacing w:before="237"/>
                              <w:ind w:left="27" w:right="1"/>
                              <w:jc w:val="center"/>
                              <w:rPr>
                                <w:rFonts w:ascii="宋体" w:hAnsi="宋体" w:eastAsia="宋体" w:cs="宋体"/>
                                <w:szCs w:val="22"/>
                              </w:rPr>
                            </w:pPr>
                            <w:r>
                              <w:rPr>
                                <w:rFonts w:ascii="宋体" w:hAnsi="宋体" w:eastAsia="宋体" w:cs="宋体"/>
                                <w:spacing w:val="-5"/>
                                <w:szCs w:val="22"/>
                              </w:rPr>
                              <w:t>10</w:t>
                            </w:r>
                          </w:p>
                        </w:tc>
                        <w:tc>
                          <w:tcPr>
                            <w:tcW w:w="1098" w:type="dxa"/>
                            <w:tcBorders>
                              <w:top w:val="single" w:color="000000" w:sz="4" w:space="0"/>
                              <w:left w:val="single" w:color="000000" w:sz="4" w:space="0"/>
                              <w:bottom w:val="single" w:color="000000" w:sz="4" w:space="0"/>
                              <w:right w:val="single" w:color="000000" w:sz="4" w:space="0"/>
                            </w:tcBorders>
                          </w:tcPr>
                          <w:p w14:paraId="1E4213E9">
                            <w:pPr>
                              <w:autoSpaceDE w:val="0"/>
                              <w:autoSpaceDN w:val="0"/>
                              <w:spacing w:before="237"/>
                              <w:ind w:left="28"/>
                              <w:jc w:val="center"/>
                              <w:rPr>
                                <w:rFonts w:ascii="宋体" w:hAnsi="宋体" w:eastAsia="宋体" w:cs="宋体"/>
                                <w:szCs w:val="22"/>
                              </w:rPr>
                            </w:pPr>
                            <w:r>
                              <w:rPr>
                                <w:rFonts w:ascii="宋体" w:hAnsi="宋体" w:eastAsia="宋体" w:cs="宋体"/>
                                <w:spacing w:val="-4"/>
                                <w:szCs w:val="22"/>
                              </w:rPr>
                              <w:t>11.6</w:t>
                            </w:r>
                          </w:p>
                        </w:tc>
                        <w:tc>
                          <w:tcPr>
                            <w:tcW w:w="7287" w:type="dxa"/>
                            <w:tcBorders>
                              <w:top w:val="single" w:color="000000" w:sz="4" w:space="0"/>
                              <w:left w:val="single" w:color="000000" w:sz="4" w:space="0"/>
                              <w:bottom w:val="single" w:color="000000" w:sz="4" w:space="0"/>
                            </w:tcBorders>
                          </w:tcPr>
                          <w:p w14:paraId="17ABCBBE">
                            <w:pPr>
                              <w:tabs>
                                <w:tab w:val="left" w:pos="2219"/>
                                <w:tab w:val="left" w:pos="2639"/>
                              </w:tabs>
                              <w:autoSpaceDE w:val="0"/>
                              <w:autoSpaceDN w:val="0"/>
                              <w:spacing w:before="237"/>
                              <w:ind w:left="225"/>
                              <w:jc w:val="left"/>
                              <w:rPr>
                                <w:rFonts w:ascii="宋体" w:hAnsi="宋体" w:eastAsia="宋体" w:cs="宋体"/>
                                <w:szCs w:val="22"/>
                              </w:rPr>
                            </w:pPr>
                            <w:r>
                              <w:rPr>
                                <w:rFonts w:ascii="宋体" w:hAnsi="宋体" w:eastAsia="宋体" w:cs="宋体"/>
                                <w:spacing w:val="-2"/>
                                <w:szCs w:val="22"/>
                              </w:rPr>
                              <w:t>提前交工的奖金</w:t>
                            </w:r>
                            <w:r>
                              <w:rPr>
                                <w:rFonts w:ascii="宋体" w:hAnsi="宋体" w:eastAsia="宋体" w:cs="宋体"/>
                                <w:spacing w:val="-10"/>
                                <w:szCs w:val="22"/>
                              </w:rPr>
                              <w:t>：</w:t>
                            </w:r>
                            <w:r>
                              <w:rPr>
                                <w:rFonts w:ascii="Times New Roman" w:hAnsi="Times New Roman" w:eastAsia="Times New Roman" w:cs="宋体"/>
                                <w:szCs w:val="22"/>
                                <w:u w:val="single"/>
                              </w:rPr>
                              <w:tab/>
                            </w:r>
                            <w:r>
                              <w:rPr>
                                <w:rFonts w:ascii="宋体" w:hAnsi="宋体" w:eastAsia="宋体" w:cs="宋体"/>
                                <w:spacing w:val="-10"/>
                                <w:szCs w:val="22"/>
                                <w:u w:val="single"/>
                              </w:rPr>
                              <w:t>/</w:t>
                            </w:r>
                            <w:r>
                              <w:rPr>
                                <w:rFonts w:ascii="宋体" w:hAnsi="宋体" w:eastAsia="宋体" w:cs="宋体"/>
                                <w:szCs w:val="22"/>
                                <w:u w:val="single"/>
                              </w:rPr>
                              <w:tab/>
                            </w:r>
                            <w:r>
                              <w:rPr>
                                <w:rFonts w:ascii="宋体" w:hAnsi="宋体" w:eastAsia="宋体" w:cs="宋体"/>
                                <w:spacing w:val="-2"/>
                                <w:szCs w:val="22"/>
                              </w:rPr>
                              <w:t>元∕</w:t>
                            </w:r>
                            <w:r>
                              <w:rPr>
                                <w:rFonts w:ascii="宋体" w:hAnsi="宋体" w:eastAsia="宋体" w:cs="宋体"/>
                                <w:spacing w:val="-10"/>
                                <w:szCs w:val="22"/>
                              </w:rPr>
                              <w:t>天</w:t>
                            </w:r>
                          </w:p>
                        </w:tc>
                      </w:tr>
                      <w:tr w14:paraId="6D660F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832" w:type="dxa"/>
                            <w:tcBorders>
                              <w:top w:val="single" w:color="000000" w:sz="4" w:space="0"/>
                              <w:bottom w:val="single" w:color="000000" w:sz="4" w:space="0"/>
                              <w:right w:val="single" w:color="000000" w:sz="4" w:space="0"/>
                            </w:tcBorders>
                          </w:tcPr>
                          <w:p w14:paraId="4A55C8AD">
                            <w:pPr>
                              <w:autoSpaceDE w:val="0"/>
                              <w:autoSpaceDN w:val="0"/>
                              <w:spacing w:before="188"/>
                              <w:ind w:left="27" w:right="1"/>
                              <w:jc w:val="center"/>
                              <w:rPr>
                                <w:rFonts w:ascii="宋体" w:hAnsi="宋体" w:eastAsia="宋体" w:cs="宋体"/>
                                <w:szCs w:val="22"/>
                              </w:rPr>
                            </w:pPr>
                            <w:r>
                              <w:rPr>
                                <w:rFonts w:ascii="宋体" w:hAnsi="宋体" w:eastAsia="宋体" w:cs="宋体"/>
                                <w:spacing w:val="-5"/>
                                <w:szCs w:val="22"/>
                              </w:rPr>
                              <w:t>11</w:t>
                            </w:r>
                          </w:p>
                        </w:tc>
                        <w:tc>
                          <w:tcPr>
                            <w:tcW w:w="1098" w:type="dxa"/>
                            <w:tcBorders>
                              <w:top w:val="single" w:color="000000" w:sz="4" w:space="0"/>
                              <w:left w:val="single" w:color="000000" w:sz="4" w:space="0"/>
                              <w:bottom w:val="single" w:color="000000" w:sz="4" w:space="0"/>
                              <w:right w:val="single" w:color="000000" w:sz="4" w:space="0"/>
                            </w:tcBorders>
                          </w:tcPr>
                          <w:p w14:paraId="4D1A3B90">
                            <w:pPr>
                              <w:autoSpaceDE w:val="0"/>
                              <w:autoSpaceDN w:val="0"/>
                              <w:spacing w:before="188"/>
                              <w:ind w:left="28"/>
                              <w:jc w:val="center"/>
                              <w:rPr>
                                <w:rFonts w:ascii="宋体" w:hAnsi="宋体" w:eastAsia="宋体" w:cs="宋体"/>
                                <w:szCs w:val="22"/>
                              </w:rPr>
                            </w:pPr>
                            <w:r>
                              <w:rPr>
                                <w:rFonts w:ascii="宋体" w:hAnsi="宋体" w:eastAsia="宋体" w:cs="宋体"/>
                                <w:spacing w:val="-4"/>
                                <w:szCs w:val="22"/>
                              </w:rPr>
                              <w:t>11.6</w:t>
                            </w:r>
                          </w:p>
                        </w:tc>
                        <w:tc>
                          <w:tcPr>
                            <w:tcW w:w="7287" w:type="dxa"/>
                            <w:tcBorders>
                              <w:top w:val="single" w:color="000000" w:sz="4" w:space="0"/>
                              <w:left w:val="single" w:color="000000" w:sz="4" w:space="0"/>
                              <w:bottom w:val="single" w:color="000000" w:sz="4" w:space="0"/>
                            </w:tcBorders>
                          </w:tcPr>
                          <w:p w14:paraId="40A2370A">
                            <w:pPr>
                              <w:autoSpaceDE w:val="0"/>
                              <w:autoSpaceDN w:val="0"/>
                              <w:spacing w:before="188"/>
                              <w:ind w:left="225"/>
                              <w:jc w:val="left"/>
                              <w:rPr>
                                <w:rFonts w:ascii="宋体" w:hAnsi="宋体" w:eastAsia="宋体" w:cs="宋体"/>
                                <w:szCs w:val="22"/>
                              </w:rPr>
                            </w:pPr>
                            <w:r>
                              <w:rPr>
                                <w:rFonts w:ascii="宋体" w:hAnsi="宋体" w:eastAsia="宋体" w:cs="宋体"/>
                                <w:szCs w:val="22"/>
                              </w:rPr>
                              <w:t>提前交工的奖金限额：</w:t>
                            </w:r>
                            <w:r>
                              <w:rPr>
                                <w:rFonts w:ascii="Times New Roman" w:hAnsi="宋体" w:eastAsia="Times New Roman" w:cs="宋体"/>
                                <w:spacing w:val="44"/>
                                <w:szCs w:val="22"/>
                                <w:u w:val="single"/>
                              </w:rPr>
                              <w:t xml:space="preserve">  </w:t>
                            </w:r>
                            <w:r>
                              <w:rPr>
                                <w:rFonts w:ascii="宋体" w:hAnsi="宋体" w:eastAsia="宋体" w:cs="宋体"/>
                                <w:szCs w:val="22"/>
                                <w:u w:val="single"/>
                              </w:rPr>
                              <w:t>/</w:t>
                            </w:r>
                            <w:r>
                              <w:rPr>
                                <w:rFonts w:ascii="宋体" w:hAnsi="宋体" w:eastAsia="宋体" w:cs="宋体"/>
                                <w:spacing w:val="39"/>
                                <w:w w:val="150"/>
                                <w:szCs w:val="22"/>
                                <w:u w:val="single"/>
                              </w:rPr>
                              <w:t xml:space="preserve"> </w:t>
                            </w:r>
                            <w:r>
                              <w:rPr>
                                <w:rFonts w:ascii="宋体" w:hAnsi="宋体" w:eastAsia="宋体" w:cs="宋体"/>
                                <w:spacing w:val="-2"/>
                                <w:szCs w:val="22"/>
                              </w:rPr>
                              <w:t>％签约合同价</w:t>
                            </w:r>
                          </w:p>
                        </w:tc>
                      </w:tr>
                      <w:tr w14:paraId="43FFD6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99" w:hRule="atLeast"/>
                        </w:trPr>
                        <w:tc>
                          <w:tcPr>
                            <w:tcW w:w="832" w:type="dxa"/>
                            <w:tcBorders>
                              <w:top w:val="single" w:color="000000" w:sz="4" w:space="0"/>
                              <w:right w:val="single" w:color="000000" w:sz="4" w:space="0"/>
                            </w:tcBorders>
                          </w:tcPr>
                          <w:p w14:paraId="5B2776DE">
                            <w:pPr>
                              <w:autoSpaceDE w:val="0"/>
                              <w:autoSpaceDN w:val="0"/>
                              <w:jc w:val="left"/>
                              <w:rPr>
                                <w:rFonts w:ascii="宋体" w:hAnsi="宋体" w:eastAsia="宋体" w:cs="宋体"/>
                                <w:szCs w:val="22"/>
                              </w:rPr>
                            </w:pPr>
                          </w:p>
                          <w:p w14:paraId="3DF530E8">
                            <w:pPr>
                              <w:autoSpaceDE w:val="0"/>
                              <w:autoSpaceDN w:val="0"/>
                              <w:jc w:val="left"/>
                              <w:rPr>
                                <w:rFonts w:ascii="宋体" w:hAnsi="宋体" w:eastAsia="宋体" w:cs="宋体"/>
                                <w:szCs w:val="22"/>
                              </w:rPr>
                            </w:pPr>
                          </w:p>
                          <w:p w14:paraId="16358B3F">
                            <w:pPr>
                              <w:autoSpaceDE w:val="0"/>
                              <w:autoSpaceDN w:val="0"/>
                              <w:spacing w:before="88"/>
                              <w:jc w:val="left"/>
                              <w:rPr>
                                <w:rFonts w:ascii="宋体" w:hAnsi="宋体" w:eastAsia="宋体" w:cs="宋体"/>
                                <w:szCs w:val="22"/>
                              </w:rPr>
                            </w:pPr>
                          </w:p>
                          <w:p w14:paraId="655C6D77">
                            <w:pPr>
                              <w:autoSpaceDE w:val="0"/>
                              <w:autoSpaceDN w:val="0"/>
                              <w:ind w:left="27" w:right="1"/>
                              <w:jc w:val="center"/>
                              <w:rPr>
                                <w:rFonts w:ascii="宋体" w:hAnsi="宋体" w:eastAsia="宋体" w:cs="宋体"/>
                                <w:szCs w:val="22"/>
                              </w:rPr>
                            </w:pPr>
                            <w:r>
                              <w:rPr>
                                <w:rFonts w:ascii="宋体" w:hAnsi="宋体" w:eastAsia="宋体" w:cs="宋体"/>
                                <w:spacing w:val="-5"/>
                                <w:szCs w:val="22"/>
                              </w:rPr>
                              <w:t>12</w:t>
                            </w:r>
                          </w:p>
                        </w:tc>
                        <w:tc>
                          <w:tcPr>
                            <w:tcW w:w="1098" w:type="dxa"/>
                            <w:tcBorders>
                              <w:top w:val="single" w:color="000000" w:sz="4" w:space="0"/>
                              <w:left w:val="single" w:color="000000" w:sz="4" w:space="0"/>
                              <w:right w:val="single" w:color="000000" w:sz="4" w:space="0"/>
                            </w:tcBorders>
                          </w:tcPr>
                          <w:p w14:paraId="50DFD147">
                            <w:pPr>
                              <w:autoSpaceDE w:val="0"/>
                              <w:autoSpaceDN w:val="0"/>
                              <w:jc w:val="left"/>
                              <w:rPr>
                                <w:rFonts w:ascii="宋体" w:hAnsi="宋体" w:eastAsia="宋体" w:cs="宋体"/>
                                <w:szCs w:val="22"/>
                              </w:rPr>
                            </w:pPr>
                          </w:p>
                          <w:p w14:paraId="0D8AAD27">
                            <w:pPr>
                              <w:autoSpaceDE w:val="0"/>
                              <w:autoSpaceDN w:val="0"/>
                              <w:jc w:val="left"/>
                              <w:rPr>
                                <w:rFonts w:ascii="宋体" w:hAnsi="宋体" w:eastAsia="宋体" w:cs="宋体"/>
                                <w:szCs w:val="22"/>
                              </w:rPr>
                            </w:pPr>
                          </w:p>
                          <w:p w14:paraId="6DBFBD0F">
                            <w:pPr>
                              <w:autoSpaceDE w:val="0"/>
                              <w:autoSpaceDN w:val="0"/>
                              <w:spacing w:before="88"/>
                              <w:jc w:val="left"/>
                              <w:rPr>
                                <w:rFonts w:ascii="宋体" w:hAnsi="宋体" w:eastAsia="宋体" w:cs="宋体"/>
                                <w:szCs w:val="22"/>
                              </w:rPr>
                            </w:pPr>
                          </w:p>
                          <w:p w14:paraId="3D62408D">
                            <w:pPr>
                              <w:autoSpaceDE w:val="0"/>
                              <w:autoSpaceDN w:val="0"/>
                              <w:ind w:left="28"/>
                              <w:jc w:val="center"/>
                              <w:rPr>
                                <w:rFonts w:ascii="宋体" w:hAnsi="宋体" w:eastAsia="宋体" w:cs="宋体"/>
                                <w:szCs w:val="22"/>
                              </w:rPr>
                            </w:pPr>
                            <w:r>
                              <w:rPr>
                                <w:rFonts w:ascii="宋体" w:hAnsi="宋体" w:eastAsia="宋体" w:cs="宋体"/>
                                <w:spacing w:val="-4"/>
                                <w:szCs w:val="22"/>
                              </w:rPr>
                              <w:t>16.1</w:t>
                            </w:r>
                          </w:p>
                        </w:tc>
                        <w:tc>
                          <w:tcPr>
                            <w:tcW w:w="7287" w:type="dxa"/>
                            <w:tcBorders>
                              <w:top w:val="single" w:color="000000" w:sz="4" w:space="0"/>
                              <w:left w:val="single" w:color="000000" w:sz="4" w:space="0"/>
                            </w:tcBorders>
                          </w:tcPr>
                          <w:p w14:paraId="34AD16FC">
                            <w:pPr>
                              <w:autoSpaceDE w:val="0"/>
                              <w:autoSpaceDN w:val="0"/>
                              <w:spacing w:before="105" w:line="352" w:lineRule="auto"/>
                              <w:ind w:left="225" w:right="-15"/>
                              <w:jc w:val="left"/>
                              <w:rPr>
                                <w:rFonts w:ascii="宋体" w:hAnsi="宋体" w:eastAsia="宋体" w:cs="宋体"/>
                                <w:szCs w:val="22"/>
                              </w:rPr>
                            </w:pPr>
                            <w:r>
                              <w:rPr>
                                <w:rFonts w:ascii="宋体" w:hAnsi="宋体" w:eastAsia="宋体" w:cs="宋体"/>
                                <w:spacing w:val="-3"/>
                                <w:szCs w:val="22"/>
                              </w:rPr>
                              <w:t xml:space="preserve">□ 因物价波动引起的价格调整按照第 </w:t>
                            </w:r>
                            <w:r>
                              <w:rPr>
                                <w:rFonts w:ascii="宋体" w:hAnsi="宋体" w:eastAsia="宋体" w:cs="宋体"/>
                                <w:szCs w:val="22"/>
                              </w:rPr>
                              <w:t>16.1.1</w:t>
                            </w:r>
                            <w:r>
                              <w:rPr>
                                <w:rFonts w:ascii="宋体" w:hAnsi="宋体" w:eastAsia="宋体" w:cs="宋体"/>
                                <w:spacing w:val="-3"/>
                                <w:szCs w:val="22"/>
                              </w:rPr>
                              <w:t xml:space="preserve"> 项或第 </w:t>
                            </w:r>
                            <w:r>
                              <w:rPr>
                                <w:rFonts w:ascii="宋体" w:hAnsi="宋体" w:eastAsia="宋体" w:cs="宋体"/>
                                <w:szCs w:val="22"/>
                              </w:rPr>
                              <w:t>16.1.2</w:t>
                            </w:r>
                            <w:r>
                              <w:rPr>
                                <w:rFonts w:ascii="宋体" w:hAnsi="宋体" w:eastAsia="宋体" w:cs="宋体"/>
                                <w:spacing w:val="-2"/>
                                <w:szCs w:val="22"/>
                              </w:rPr>
                              <w:t xml:space="preserve"> 项约定的原则</w:t>
                            </w:r>
                            <w:r>
                              <w:rPr>
                                <w:rFonts w:ascii="宋体" w:hAnsi="宋体" w:eastAsia="宋体" w:cs="宋体"/>
                                <w:spacing w:val="-6"/>
                                <w:szCs w:val="22"/>
                              </w:rPr>
                              <w:t>处理</w:t>
                            </w:r>
                          </w:p>
                          <w:p w14:paraId="7BE01C42">
                            <w:pPr>
                              <w:autoSpaceDE w:val="0"/>
                              <w:autoSpaceDN w:val="0"/>
                              <w:spacing w:line="350" w:lineRule="auto"/>
                              <w:ind w:left="225" w:right="-15"/>
                              <w:jc w:val="left"/>
                              <w:rPr>
                                <w:rFonts w:ascii="宋体" w:hAnsi="宋体" w:eastAsia="宋体" w:cs="宋体"/>
                                <w:szCs w:val="22"/>
                              </w:rPr>
                            </w:pPr>
                            <w:r>
                              <w:rPr>
                                <w:rFonts w:ascii="宋体" w:hAnsi="宋体" w:eastAsia="宋体" w:cs="宋体"/>
                                <w:spacing w:val="-6"/>
                                <w:szCs w:val="22"/>
                              </w:rPr>
                              <w:t xml:space="preserve">若按第 </w:t>
                            </w:r>
                            <w:r>
                              <w:rPr>
                                <w:rFonts w:ascii="宋体" w:hAnsi="宋体" w:eastAsia="宋体" w:cs="宋体"/>
                                <w:szCs w:val="22"/>
                              </w:rPr>
                              <w:t>16.1.1</w:t>
                            </w:r>
                            <w:r>
                              <w:rPr>
                                <w:rFonts w:ascii="宋体" w:hAnsi="宋体" w:eastAsia="宋体" w:cs="宋体"/>
                                <w:spacing w:val="-10"/>
                                <w:szCs w:val="22"/>
                              </w:rPr>
                              <w:t xml:space="preserve"> 项的约定采用价格调整公式进行调价，每半年或一年按价格调</w:t>
                            </w:r>
                            <w:r>
                              <w:rPr>
                                <w:rFonts w:ascii="宋体" w:hAnsi="宋体" w:eastAsia="宋体" w:cs="宋体"/>
                                <w:spacing w:val="-2"/>
                                <w:szCs w:val="22"/>
                              </w:rPr>
                              <w:t>整公式进行一次调整</w:t>
                            </w:r>
                          </w:p>
                          <w:p w14:paraId="1E5373D7">
                            <w:pPr>
                              <w:autoSpaceDE w:val="0"/>
                              <w:autoSpaceDN w:val="0"/>
                              <w:spacing w:before="1"/>
                              <w:ind w:left="225"/>
                              <w:jc w:val="left"/>
                              <w:rPr>
                                <w:rFonts w:ascii="宋体" w:hAnsi="宋体" w:eastAsia="宋体" w:cs="宋体"/>
                                <w:szCs w:val="22"/>
                              </w:rPr>
                            </w:pPr>
                            <w:r>
                              <w:rPr>
                                <w:rFonts w:ascii="MS Gothic" w:hAnsi="MS Gothic" w:eastAsia="MS Gothic" w:cs="宋体"/>
                                <w:spacing w:val="-6"/>
                                <w:szCs w:val="22"/>
                              </w:rPr>
                              <w:t xml:space="preserve">☑ </w:t>
                            </w:r>
                            <w:r>
                              <w:rPr>
                                <w:rFonts w:ascii="宋体" w:hAnsi="宋体" w:eastAsia="宋体" w:cs="宋体"/>
                                <w:spacing w:val="-2"/>
                                <w:szCs w:val="22"/>
                              </w:rPr>
                              <w:t>合同期内不调价</w:t>
                            </w:r>
                          </w:p>
                        </w:tc>
                      </w:tr>
                    </w:tbl>
                    <w:p w14:paraId="79E34A22">
                      <w:pPr>
                        <w:autoSpaceDE w:val="0"/>
                        <w:autoSpaceDN w:val="0"/>
                        <w:jc w:val="left"/>
                        <w:rPr>
                          <w:rFonts w:ascii="宋体" w:hAnsi="宋体" w:eastAsia="宋体" w:cs="宋体"/>
                          <w:szCs w:val="21"/>
                        </w:rPr>
                      </w:pPr>
                    </w:p>
                  </w:txbxContent>
                </v:textbox>
              </v:shape>
            </w:pict>
          </mc:Fallback>
        </mc:AlternateContent>
      </w:r>
      <w:r>
        <w:rPr>
          <w:rFonts w:ascii="宋体" w:hAnsi="宋体" w:eastAsia="宋体" w:cs="宋体"/>
          <w:spacing w:val="-2"/>
          <w:szCs w:val="21"/>
        </w:rPr>
        <w:t>说明：本数据表是项目专用合同条款中适用于本项目的信息和数据的归纳与提示，是专用合同条款的组成部分。第八章“投标文件格式”的投标函附录中的数据（供投标人确认）与本表所列有重复。编写招标文件的单位应仔细校核，不使数据出现差错或不一致。</w:t>
      </w:r>
    </w:p>
    <w:p w14:paraId="5363BFB5">
      <w:pPr>
        <w:spacing w:line="352" w:lineRule="auto"/>
        <w:sectPr>
          <w:pgSz w:w="11910" w:h="16840"/>
          <w:pgMar w:top="1560" w:right="849" w:bottom="1360" w:left="992" w:header="0" w:footer="1176" w:gutter="0"/>
          <w:cols w:space="720" w:num="1"/>
        </w:sectPr>
      </w:pPr>
    </w:p>
    <w:p w14:paraId="32872627">
      <w:pPr>
        <w:autoSpaceDE w:val="0"/>
        <w:autoSpaceDN w:val="0"/>
        <w:spacing w:before="47" w:after="29"/>
        <w:ind w:right="559"/>
        <w:jc w:val="right"/>
        <w:rPr>
          <w:rFonts w:ascii="宋体" w:hAnsi="宋体" w:eastAsia="宋体" w:cs="宋体"/>
          <w:kern w:val="0"/>
          <w:sz w:val="18"/>
          <w:szCs w:val="22"/>
        </w:rPr>
      </w:pPr>
      <w:bookmarkStart w:id="368" w:name="续上表"/>
      <w:bookmarkEnd w:id="368"/>
      <w:r>
        <w:rPr>
          <w:rFonts w:ascii="宋体" w:hAnsi="宋体" w:eastAsia="宋体" w:cs="宋体"/>
          <w:spacing w:val="-10"/>
          <w:kern w:val="0"/>
          <w:sz w:val="18"/>
          <w:szCs w:val="22"/>
        </w:rPr>
        <w:t>续上表</w:t>
      </w:r>
    </w:p>
    <w:tbl>
      <w:tblPr>
        <w:tblStyle w:val="52"/>
        <w:tblW w:w="0" w:type="auto"/>
        <w:tblInd w:w="4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321"/>
        <w:gridCol w:w="780"/>
        <w:gridCol w:w="8529"/>
      </w:tblGrid>
      <w:tr w14:paraId="24A37C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7" w:hRule="atLeast"/>
        </w:trPr>
        <w:tc>
          <w:tcPr>
            <w:tcW w:w="0" w:type="auto"/>
            <w:tcBorders>
              <w:bottom w:val="single" w:color="000000" w:sz="4" w:space="0"/>
              <w:right w:val="single" w:color="000000" w:sz="4" w:space="0"/>
            </w:tcBorders>
          </w:tcPr>
          <w:p w14:paraId="0F26B255">
            <w:pPr>
              <w:autoSpaceDE w:val="0"/>
              <w:autoSpaceDN w:val="0"/>
              <w:spacing w:before="148"/>
              <w:ind w:left="32" w:right="14"/>
              <w:jc w:val="center"/>
              <w:rPr>
                <w:rFonts w:ascii="宋体" w:hAnsi="宋体" w:eastAsia="宋体" w:cs="宋体"/>
                <w:szCs w:val="22"/>
              </w:rPr>
            </w:pPr>
            <w:r>
              <w:rPr>
                <w:rFonts w:ascii="宋体" w:hAnsi="宋体" w:eastAsia="宋体" w:cs="宋体"/>
                <w:spacing w:val="-8"/>
                <w:szCs w:val="22"/>
              </w:rPr>
              <w:t>序号</w:t>
            </w:r>
          </w:p>
        </w:tc>
        <w:tc>
          <w:tcPr>
            <w:tcW w:w="0" w:type="auto"/>
            <w:tcBorders>
              <w:left w:val="single" w:color="000000" w:sz="4" w:space="0"/>
              <w:bottom w:val="single" w:color="000000" w:sz="4" w:space="0"/>
              <w:right w:val="single" w:color="000000" w:sz="4" w:space="0"/>
            </w:tcBorders>
          </w:tcPr>
          <w:p w14:paraId="474F9E40">
            <w:pPr>
              <w:autoSpaceDE w:val="0"/>
              <w:autoSpaceDN w:val="0"/>
              <w:spacing w:before="148"/>
              <w:ind w:left="26" w:right="2"/>
              <w:jc w:val="center"/>
              <w:rPr>
                <w:rFonts w:ascii="宋体" w:hAnsi="宋体" w:eastAsia="宋体" w:cs="宋体"/>
                <w:szCs w:val="22"/>
              </w:rPr>
            </w:pPr>
            <w:r>
              <w:rPr>
                <w:rFonts w:ascii="宋体" w:hAnsi="宋体" w:eastAsia="宋体" w:cs="宋体"/>
                <w:spacing w:val="-5"/>
                <w:szCs w:val="22"/>
              </w:rPr>
              <w:t>条目号</w:t>
            </w:r>
          </w:p>
        </w:tc>
        <w:tc>
          <w:tcPr>
            <w:tcW w:w="0" w:type="auto"/>
            <w:tcBorders>
              <w:left w:val="single" w:color="000000" w:sz="4" w:space="0"/>
              <w:bottom w:val="single" w:color="000000" w:sz="4" w:space="0"/>
            </w:tcBorders>
          </w:tcPr>
          <w:p w14:paraId="117746C0">
            <w:pPr>
              <w:autoSpaceDE w:val="0"/>
              <w:autoSpaceDN w:val="0"/>
              <w:spacing w:before="148"/>
              <w:ind w:left="1377" w:right="1351"/>
              <w:jc w:val="center"/>
              <w:rPr>
                <w:rFonts w:ascii="宋体" w:hAnsi="宋体" w:eastAsia="宋体" w:cs="宋体"/>
                <w:szCs w:val="22"/>
              </w:rPr>
            </w:pPr>
            <w:r>
              <w:rPr>
                <w:rFonts w:ascii="宋体" w:hAnsi="宋体" w:eastAsia="宋体" w:cs="宋体"/>
                <w:spacing w:val="-4"/>
                <w:szCs w:val="22"/>
              </w:rPr>
              <w:t>信息或数据</w:t>
            </w:r>
          </w:p>
        </w:tc>
      </w:tr>
      <w:tr w14:paraId="2F33B5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0" w:type="auto"/>
            <w:tcBorders>
              <w:top w:val="single" w:color="000000" w:sz="4" w:space="0"/>
              <w:bottom w:val="single" w:color="000000" w:sz="4" w:space="0"/>
              <w:right w:val="single" w:color="000000" w:sz="4" w:space="0"/>
            </w:tcBorders>
          </w:tcPr>
          <w:p w14:paraId="61A6D0D1">
            <w:pPr>
              <w:autoSpaceDE w:val="0"/>
              <w:autoSpaceDN w:val="0"/>
              <w:spacing w:before="178"/>
              <w:ind w:left="32" w:right="10"/>
              <w:jc w:val="center"/>
              <w:rPr>
                <w:rFonts w:ascii="宋体" w:hAnsi="宋体" w:eastAsia="宋体" w:cs="宋体"/>
                <w:szCs w:val="22"/>
              </w:rPr>
            </w:pPr>
            <w:r>
              <w:rPr>
                <w:rFonts w:ascii="宋体" w:hAnsi="宋体" w:eastAsia="宋体" w:cs="宋体"/>
                <w:spacing w:val="-5"/>
                <w:szCs w:val="22"/>
              </w:rPr>
              <w:t>13</w:t>
            </w:r>
          </w:p>
        </w:tc>
        <w:tc>
          <w:tcPr>
            <w:tcW w:w="0" w:type="auto"/>
            <w:tcBorders>
              <w:top w:val="single" w:color="000000" w:sz="4" w:space="0"/>
              <w:left w:val="single" w:color="000000" w:sz="4" w:space="0"/>
              <w:bottom w:val="single" w:color="000000" w:sz="4" w:space="0"/>
              <w:right w:val="single" w:color="000000" w:sz="4" w:space="0"/>
            </w:tcBorders>
          </w:tcPr>
          <w:p w14:paraId="0F0671CF">
            <w:pPr>
              <w:autoSpaceDE w:val="0"/>
              <w:autoSpaceDN w:val="0"/>
              <w:spacing w:before="178"/>
              <w:ind w:left="26"/>
              <w:jc w:val="center"/>
              <w:rPr>
                <w:rFonts w:ascii="宋体" w:hAnsi="宋体" w:eastAsia="宋体" w:cs="宋体"/>
                <w:szCs w:val="22"/>
              </w:rPr>
            </w:pPr>
            <w:r>
              <w:rPr>
                <w:rFonts w:ascii="宋体" w:hAnsi="宋体" w:eastAsia="宋体" w:cs="宋体"/>
                <w:spacing w:val="-2"/>
                <w:szCs w:val="22"/>
              </w:rPr>
              <w:t>17.2.1</w:t>
            </w:r>
          </w:p>
        </w:tc>
        <w:tc>
          <w:tcPr>
            <w:tcW w:w="0" w:type="auto"/>
            <w:tcBorders>
              <w:top w:val="single" w:color="000000" w:sz="4" w:space="0"/>
              <w:left w:val="single" w:color="000000" w:sz="4" w:space="0"/>
              <w:bottom w:val="single" w:color="000000" w:sz="4" w:space="0"/>
            </w:tcBorders>
          </w:tcPr>
          <w:p w14:paraId="2692A0F0">
            <w:pPr>
              <w:tabs>
                <w:tab w:val="left" w:pos="2216"/>
              </w:tabs>
              <w:autoSpaceDE w:val="0"/>
              <w:autoSpaceDN w:val="0"/>
              <w:spacing w:before="178"/>
              <w:ind w:left="222"/>
              <w:jc w:val="left"/>
              <w:rPr>
                <w:rFonts w:ascii="宋体" w:hAnsi="宋体" w:eastAsia="宋体" w:cs="宋体"/>
                <w:szCs w:val="22"/>
              </w:rPr>
            </w:pPr>
            <w:r>
              <w:rPr>
                <w:rFonts w:ascii="宋体" w:hAnsi="宋体" w:eastAsia="宋体" w:cs="宋体"/>
                <w:spacing w:val="-2"/>
                <w:szCs w:val="22"/>
              </w:rPr>
              <w:t>开工预付款金额</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zCs w:val="22"/>
                <w:u w:val="single"/>
              </w:rPr>
              <w:t>10</w:t>
            </w:r>
            <w:r>
              <w:rPr>
                <w:rFonts w:ascii="宋体" w:hAnsi="宋体" w:eastAsia="宋体" w:cs="宋体"/>
                <w:spacing w:val="40"/>
                <w:w w:val="150"/>
                <w:szCs w:val="22"/>
                <w:u w:val="single"/>
              </w:rPr>
              <w:t xml:space="preserve"> </w:t>
            </w:r>
            <w:r>
              <w:rPr>
                <w:rFonts w:ascii="宋体" w:hAnsi="宋体" w:eastAsia="宋体" w:cs="宋体"/>
                <w:szCs w:val="22"/>
              </w:rPr>
              <w:t>％签约合同</w:t>
            </w:r>
            <w:r>
              <w:rPr>
                <w:rFonts w:ascii="宋体" w:hAnsi="宋体" w:eastAsia="宋体" w:cs="宋体"/>
                <w:spacing w:val="-10"/>
                <w:szCs w:val="22"/>
              </w:rPr>
              <w:t>价</w:t>
            </w:r>
          </w:p>
        </w:tc>
      </w:tr>
      <w:tr w14:paraId="58F06C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trPr>
        <w:tc>
          <w:tcPr>
            <w:tcW w:w="0" w:type="auto"/>
            <w:tcBorders>
              <w:top w:val="single" w:color="000000" w:sz="4" w:space="0"/>
              <w:bottom w:val="single" w:color="000000" w:sz="4" w:space="0"/>
              <w:right w:val="single" w:color="000000" w:sz="4" w:space="0"/>
            </w:tcBorders>
          </w:tcPr>
          <w:p w14:paraId="2965B7D1">
            <w:pPr>
              <w:autoSpaceDE w:val="0"/>
              <w:autoSpaceDN w:val="0"/>
              <w:spacing w:before="176"/>
              <w:ind w:left="32" w:right="10"/>
              <w:jc w:val="center"/>
              <w:rPr>
                <w:rFonts w:ascii="宋体" w:hAnsi="宋体" w:eastAsia="宋体" w:cs="宋体"/>
                <w:szCs w:val="22"/>
              </w:rPr>
            </w:pPr>
            <w:r>
              <w:rPr>
                <w:rFonts w:ascii="宋体" w:hAnsi="宋体" w:eastAsia="宋体" w:cs="宋体"/>
                <w:spacing w:val="-5"/>
                <w:szCs w:val="22"/>
              </w:rPr>
              <w:t>14</w:t>
            </w:r>
          </w:p>
        </w:tc>
        <w:tc>
          <w:tcPr>
            <w:tcW w:w="0" w:type="auto"/>
            <w:tcBorders>
              <w:top w:val="single" w:color="000000" w:sz="4" w:space="0"/>
              <w:left w:val="single" w:color="000000" w:sz="4" w:space="0"/>
              <w:bottom w:val="single" w:color="000000" w:sz="4" w:space="0"/>
              <w:right w:val="single" w:color="000000" w:sz="4" w:space="0"/>
            </w:tcBorders>
          </w:tcPr>
          <w:p w14:paraId="43DBA2E3">
            <w:pPr>
              <w:autoSpaceDE w:val="0"/>
              <w:autoSpaceDN w:val="0"/>
              <w:spacing w:before="176"/>
              <w:ind w:left="26"/>
              <w:jc w:val="center"/>
              <w:rPr>
                <w:rFonts w:ascii="宋体" w:hAnsi="宋体" w:eastAsia="宋体" w:cs="宋体"/>
                <w:szCs w:val="22"/>
              </w:rPr>
            </w:pPr>
            <w:r>
              <w:rPr>
                <w:rFonts w:ascii="宋体" w:hAnsi="宋体" w:eastAsia="宋体" w:cs="宋体"/>
                <w:spacing w:val="-2"/>
                <w:szCs w:val="22"/>
              </w:rPr>
              <w:t>17.2.1</w:t>
            </w:r>
          </w:p>
        </w:tc>
        <w:tc>
          <w:tcPr>
            <w:tcW w:w="0" w:type="auto"/>
            <w:tcBorders>
              <w:top w:val="single" w:color="000000" w:sz="4" w:space="0"/>
              <w:left w:val="single" w:color="000000" w:sz="4" w:space="0"/>
              <w:bottom w:val="single" w:color="000000" w:sz="4" w:space="0"/>
            </w:tcBorders>
          </w:tcPr>
          <w:p w14:paraId="1367595C">
            <w:pPr>
              <w:tabs>
                <w:tab w:val="left" w:pos="2322"/>
                <w:tab w:val="left" w:pos="2950"/>
                <w:tab w:val="left" w:pos="6101"/>
              </w:tabs>
              <w:autoSpaceDE w:val="0"/>
              <w:autoSpaceDN w:val="0"/>
              <w:spacing w:before="176"/>
              <w:ind w:left="222"/>
              <w:jc w:val="left"/>
              <w:rPr>
                <w:rFonts w:ascii="宋体" w:hAnsi="宋体" w:eastAsia="宋体" w:cs="宋体"/>
                <w:szCs w:val="22"/>
              </w:rPr>
            </w:pPr>
            <w:r>
              <w:rPr>
                <w:rFonts w:ascii="宋体" w:hAnsi="宋体" w:eastAsia="宋体" w:cs="宋体"/>
                <w:spacing w:val="-2"/>
                <w:szCs w:val="22"/>
              </w:rPr>
              <w:t>材料预付款比例</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w:t>
            </w:r>
            <w:r>
              <w:rPr>
                <w:rFonts w:ascii="宋体" w:hAnsi="宋体" w:eastAsia="宋体" w:cs="宋体"/>
                <w:szCs w:val="22"/>
                <w:u w:val="single"/>
              </w:rPr>
              <w:tab/>
            </w:r>
            <w:r>
              <w:rPr>
                <w:rFonts w:ascii="宋体" w:hAnsi="宋体" w:eastAsia="宋体" w:cs="宋体"/>
                <w:szCs w:val="22"/>
              </w:rPr>
              <w:t>等主要材料单据所列费用的</w:t>
            </w:r>
            <w:r>
              <w:rPr>
                <w:rFonts w:ascii="Times New Roman" w:hAnsi="宋体" w:eastAsia="Times New Roman" w:cs="宋体"/>
                <w:spacing w:val="42"/>
                <w:szCs w:val="22"/>
                <w:u w:val="single"/>
              </w:rPr>
              <w:t xml:space="preserve">  </w:t>
            </w:r>
            <w:r>
              <w:rPr>
                <w:rFonts w:ascii="宋体" w:hAnsi="宋体" w:eastAsia="宋体" w:cs="宋体"/>
                <w:spacing w:val="-10"/>
                <w:szCs w:val="22"/>
                <w:u w:val="single"/>
              </w:rPr>
              <w:t>/</w:t>
            </w:r>
            <w:r>
              <w:rPr>
                <w:rFonts w:ascii="宋体" w:hAnsi="宋体" w:eastAsia="宋体" w:cs="宋体"/>
                <w:szCs w:val="22"/>
                <w:u w:val="single"/>
              </w:rPr>
              <w:tab/>
            </w:r>
            <w:r>
              <w:rPr>
                <w:rFonts w:ascii="宋体" w:hAnsi="宋体" w:eastAsia="宋体" w:cs="宋体"/>
                <w:spacing w:val="-10"/>
                <w:szCs w:val="22"/>
              </w:rPr>
              <w:t>％</w:t>
            </w:r>
          </w:p>
        </w:tc>
      </w:tr>
      <w:tr w14:paraId="2A2564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2" w:hRule="atLeast"/>
        </w:trPr>
        <w:tc>
          <w:tcPr>
            <w:tcW w:w="0" w:type="auto"/>
            <w:tcBorders>
              <w:top w:val="single" w:color="000000" w:sz="4" w:space="0"/>
              <w:bottom w:val="single" w:color="000000" w:sz="4" w:space="0"/>
              <w:right w:val="single" w:color="000000" w:sz="4" w:space="0"/>
            </w:tcBorders>
          </w:tcPr>
          <w:p w14:paraId="62C773AA">
            <w:pPr>
              <w:autoSpaceDE w:val="0"/>
              <w:autoSpaceDN w:val="0"/>
              <w:spacing w:before="176"/>
              <w:ind w:left="32" w:right="10"/>
              <w:jc w:val="center"/>
              <w:rPr>
                <w:rFonts w:ascii="宋体" w:hAnsi="宋体" w:eastAsia="宋体" w:cs="宋体"/>
                <w:szCs w:val="22"/>
              </w:rPr>
            </w:pPr>
            <w:r>
              <w:rPr>
                <w:rFonts w:ascii="宋体" w:hAnsi="宋体" w:eastAsia="宋体" w:cs="宋体"/>
                <w:spacing w:val="-5"/>
                <w:szCs w:val="22"/>
              </w:rPr>
              <w:t>15</w:t>
            </w:r>
          </w:p>
        </w:tc>
        <w:tc>
          <w:tcPr>
            <w:tcW w:w="0" w:type="auto"/>
            <w:tcBorders>
              <w:top w:val="single" w:color="000000" w:sz="4" w:space="0"/>
              <w:left w:val="single" w:color="000000" w:sz="4" w:space="0"/>
              <w:bottom w:val="single" w:color="000000" w:sz="4" w:space="0"/>
              <w:right w:val="single" w:color="000000" w:sz="4" w:space="0"/>
            </w:tcBorders>
          </w:tcPr>
          <w:p w14:paraId="45B64BC6">
            <w:pPr>
              <w:autoSpaceDE w:val="0"/>
              <w:autoSpaceDN w:val="0"/>
              <w:spacing w:before="176"/>
              <w:ind w:left="26"/>
              <w:jc w:val="center"/>
              <w:rPr>
                <w:rFonts w:ascii="宋体" w:hAnsi="宋体" w:eastAsia="宋体" w:cs="宋体"/>
                <w:szCs w:val="22"/>
              </w:rPr>
            </w:pPr>
            <w:r>
              <w:rPr>
                <w:rFonts w:ascii="宋体" w:hAnsi="宋体" w:eastAsia="宋体" w:cs="宋体"/>
                <w:spacing w:val="-2"/>
                <w:szCs w:val="22"/>
              </w:rPr>
              <w:t>17.3.2</w:t>
            </w:r>
          </w:p>
        </w:tc>
        <w:tc>
          <w:tcPr>
            <w:tcW w:w="0" w:type="auto"/>
            <w:tcBorders>
              <w:top w:val="single" w:color="000000" w:sz="4" w:space="0"/>
              <w:left w:val="single" w:color="000000" w:sz="4" w:space="0"/>
              <w:bottom w:val="single" w:color="000000" w:sz="4" w:space="0"/>
            </w:tcBorders>
          </w:tcPr>
          <w:p w14:paraId="73C442E0">
            <w:pPr>
              <w:autoSpaceDE w:val="0"/>
              <w:autoSpaceDN w:val="0"/>
              <w:spacing w:before="176"/>
              <w:ind w:left="222"/>
              <w:jc w:val="left"/>
              <w:rPr>
                <w:rFonts w:ascii="宋体" w:hAnsi="宋体" w:eastAsia="宋体" w:cs="宋体"/>
                <w:szCs w:val="22"/>
              </w:rPr>
            </w:pPr>
            <w:r>
              <w:rPr>
                <w:rFonts w:ascii="宋体" w:hAnsi="宋体" w:eastAsia="宋体" w:cs="宋体"/>
                <w:szCs w:val="22"/>
              </w:rPr>
              <w:t>承包人在每个付款周期末向监理人提交进度付款申请单的份数：</w:t>
            </w:r>
            <w:r>
              <w:rPr>
                <w:rFonts w:ascii="Times New Roman" w:hAnsi="宋体" w:eastAsia="Times New Roman" w:cs="宋体"/>
                <w:spacing w:val="36"/>
                <w:szCs w:val="22"/>
                <w:u w:val="single"/>
              </w:rPr>
              <w:t xml:space="preserve"> </w:t>
            </w:r>
            <w:r>
              <w:rPr>
                <w:rFonts w:ascii="宋体" w:hAnsi="宋体" w:eastAsia="宋体" w:cs="宋体"/>
                <w:szCs w:val="22"/>
                <w:u w:val="single"/>
              </w:rPr>
              <w:t>6</w:t>
            </w:r>
            <w:r>
              <w:rPr>
                <w:rFonts w:ascii="宋体" w:hAnsi="宋体" w:eastAsia="宋体" w:cs="宋体"/>
                <w:spacing w:val="74"/>
                <w:szCs w:val="22"/>
                <w:u w:val="single"/>
              </w:rPr>
              <w:t xml:space="preserve"> </w:t>
            </w:r>
            <w:r>
              <w:rPr>
                <w:rFonts w:ascii="宋体" w:hAnsi="宋体" w:eastAsia="宋体" w:cs="宋体"/>
                <w:spacing w:val="-10"/>
                <w:szCs w:val="22"/>
              </w:rPr>
              <w:t>份</w:t>
            </w:r>
          </w:p>
        </w:tc>
      </w:tr>
      <w:tr w14:paraId="240F96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atLeast"/>
        </w:trPr>
        <w:tc>
          <w:tcPr>
            <w:tcW w:w="0" w:type="auto"/>
            <w:tcBorders>
              <w:top w:val="single" w:color="000000" w:sz="4" w:space="0"/>
              <w:bottom w:val="single" w:color="000000" w:sz="4" w:space="0"/>
              <w:right w:val="single" w:color="000000" w:sz="4" w:space="0"/>
            </w:tcBorders>
          </w:tcPr>
          <w:p w14:paraId="55F60A87">
            <w:pPr>
              <w:autoSpaceDE w:val="0"/>
              <w:autoSpaceDN w:val="0"/>
              <w:spacing w:before="210"/>
              <w:ind w:left="32" w:right="10"/>
              <w:jc w:val="center"/>
              <w:rPr>
                <w:rFonts w:ascii="宋体" w:hAnsi="宋体" w:eastAsia="宋体" w:cs="宋体"/>
                <w:szCs w:val="22"/>
              </w:rPr>
            </w:pPr>
            <w:r>
              <w:rPr>
                <w:rFonts w:ascii="宋体" w:hAnsi="宋体" w:eastAsia="宋体" w:cs="宋体"/>
                <w:spacing w:val="-5"/>
                <w:szCs w:val="22"/>
              </w:rPr>
              <w:t>16</w:t>
            </w:r>
          </w:p>
        </w:tc>
        <w:tc>
          <w:tcPr>
            <w:tcW w:w="0" w:type="auto"/>
            <w:tcBorders>
              <w:top w:val="single" w:color="000000" w:sz="4" w:space="0"/>
              <w:left w:val="single" w:color="000000" w:sz="4" w:space="0"/>
              <w:bottom w:val="single" w:color="000000" w:sz="4" w:space="0"/>
              <w:right w:val="single" w:color="000000" w:sz="4" w:space="0"/>
            </w:tcBorders>
          </w:tcPr>
          <w:p w14:paraId="162EA90B">
            <w:pPr>
              <w:autoSpaceDE w:val="0"/>
              <w:autoSpaceDN w:val="0"/>
              <w:spacing w:before="210"/>
              <w:ind w:left="11" w:right="-72"/>
              <w:jc w:val="center"/>
              <w:rPr>
                <w:rFonts w:ascii="宋体" w:hAnsi="宋体" w:eastAsia="宋体" w:cs="宋体"/>
                <w:szCs w:val="22"/>
              </w:rPr>
            </w:pPr>
            <w:r>
              <w:rPr>
                <w:rFonts w:ascii="宋体" w:hAnsi="宋体" w:eastAsia="宋体" w:cs="宋体"/>
                <w:spacing w:val="-2"/>
                <w:szCs w:val="22"/>
              </w:rPr>
              <w:t>17.3.3（2）</w:t>
            </w:r>
          </w:p>
        </w:tc>
        <w:tc>
          <w:tcPr>
            <w:tcW w:w="0" w:type="auto"/>
            <w:tcBorders>
              <w:top w:val="single" w:color="000000" w:sz="4" w:space="0"/>
              <w:left w:val="single" w:color="000000" w:sz="4" w:space="0"/>
              <w:bottom w:val="single" w:color="000000" w:sz="4" w:space="0"/>
            </w:tcBorders>
          </w:tcPr>
          <w:p w14:paraId="6AFF7C6A">
            <w:pPr>
              <w:autoSpaceDE w:val="0"/>
              <w:autoSpaceDN w:val="0"/>
              <w:spacing w:before="210"/>
              <w:ind w:left="222"/>
              <w:jc w:val="left"/>
              <w:rPr>
                <w:rFonts w:ascii="宋体" w:hAnsi="宋体" w:eastAsia="宋体" w:cs="宋体"/>
                <w:szCs w:val="22"/>
              </w:rPr>
            </w:pPr>
            <w:r>
              <w:rPr>
                <w:rFonts w:ascii="宋体" w:hAnsi="宋体" w:eastAsia="宋体" w:cs="宋体"/>
                <w:szCs w:val="22"/>
              </w:rPr>
              <w:t>进度付款证书最低限额：</w:t>
            </w:r>
            <w:r>
              <w:rPr>
                <w:rFonts w:ascii="Times New Roman" w:hAnsi="宋体" w:eastAsia="Times New Roman" w:cs="宋体"/>
                <w:spacing w:val="39"/>
                <w:szCs w:val="22"/>
                <w:u w:val="single"/>
              </w:rPr>
              <w:t xml:space="preserve"> </w:t>
            </w:r>
            <w:r>
              <w:rPr>
                <w:rFonts w:hint="eastAsia" w:ascii="宋体" w:hAnsi="宋体" w:eastAsia="宋体" w:cs="宋体"/>
                <w:szCs w:val="22"/>
                <w:u w:val="single"/>
              </w:rPr>
              <w:t>/</w:t>
            </w:r>
            <w:r>
              <w:rPr>
                <w:rFonts w:ascii="宋体" w:hAnsi="宋体" w:eastAsia="宋体" w:cs="宋体"/>
                <w:spacing w:val="-13"/>
                <w:szCs w:val="22"/>
                <w:u w:val="single"/>
              </w:rPr>
              <w:t xml:space="preserve"> </w:t>
            </w:r>
            <w:r>
              <w:rPr>
                <w:rFonts w:ascii="宋体" w:hAnsi="宋体" w:eastAsia="宋体" w:cs="宋体"/>
                <w:spacing w:val="-5"/>
                <w:szCs w:val="22"/>
              </w:rPr>
              <w:t>万元</w:t>
            </w:r>
          </w:p>
        </w:tc>
      </w:tr>
      <w:tr w14:paraId="301A02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4" w:hRule="atLeast"/>
        </w:trPr>
        <w:tc>
          <w:tcPr>
            <w:tcW w:w="0" w:type="auto"/>
            <w:tcBorders>
              <w:top w:val="single" w:color="000000" w:sz="4" w:space="0"/>
              <w:bottom w:val="single" w:color="000000" w:sz="4" w:space="0"/>
              <w:right w:val="single" w:color="000000" w:sz="4" w:space="0"/>
            </w:tcBorders>
          </w:tcPr>
          <w:p w14:paraId="15579DF6">
            <w:pPr>
              <w:autoSpaceDE w:val="0"/>
              <w:autoSpaceDN w:val="0"/>
              <w:spacing w:before="44"/>
              <w:jc w:val="left"/>
              <w:rPr>
                <w:rFonts w:ascii="宋体" w:hAnsi="宋体" w:eastAsia="宋体" w:cs="宋体"/>
                <w:szCs w:val="22"/>
              </w:rPr>
            </w:pPr>
          </w:p>
          <w:p w14:paraId="0C388EA4">
            <w:pPr>
              <w:autoSpaceDE w:val="0"/>
              <w:autoSpaceDN w:val="0"/>
              <w:ind w:left="32" w:right="10"/>
              <w:jc w:val="center"/>
              <w:rPr>
                <w:rFonts w:ascii="宋体" w:hAnsi="宋体" w:eastAsia="宋体" w:cs="宋体"/>
                <w:szCs w:val="22"/>
              </w:rPr>
            </w:pPr>
            <w:r>
              <w:rPr>
                <w:rFonts w:ascii="宋体" w:hAnsi="宋体" w:eastAsia="宋体" w:cs="宋体"/>
                <w:spacing w:val="-5"/>
                <w:szCs w:val="22"/>
              </w:rPr>
              <w:t>17</w:t>
            </w:r>
          </w:p>
        </w:tc>
        <w:tc>
          <w:tcPr>
            <w:tcW w:w="0" w:type="auto"/>
            <w:tcBorders>
              <w:top w:val="single" w:color="000000" w:sz="4" w:space="0"/>
              <w:left w:val="single" w:color="000000" w:sz="4" w:space="0"/>
              <w:bottom w:val="single" w:color="000000" w:sz="4" w:space="0"/>
              <w:right w:val="single" w:color="000000" w:sz="4" w:space="0"/>
            </w:tcBorders>
          </w:tcPr>
          <w:p w14:paraId="0CD27FEE">
            <w:pPr>
              <w:autoSpaceDE w:val="0"/>
              <w:autoSpaceDN w:val="0"/>
              <w:spacing w:before="44"/>
              <w:jc w:val="left"/>
              <w:rPr>
                <w:rFonts w:ascii="宋体" w:hAnsi="宋体" w:eastAsia="宋体" w:cs="宋体"/>
                <w:szCs w:val="22"/>
              </w:rPr>
            </w:pPr>
          </w:p>
          <w:p w14:paraId="7D461020">
            <w:pPr>
              <w:autoSpaceDE w:val="0"/>
              <w:autoSpaceDN w:val="0"/>
              <w:ind w:left="11" w:right="-72"/>
              <w:jc w:val="center"/>
              <w:rPr>
                <w:rFonts w:ascii="宋体" w:hAnsi="宋体" w:eastAsia="宋体" w:cs="宋体"/>
                <w:szCs w:val="22"/>
              </w:rPr>
            </w:pPr>
            <w:r>
              <w:rPr>
                <w:rFonts w:ascii="宋体" w:hAnsi="宋体" w:eastAsia="宋体" w:cs="宋体"/>
                <w:spacing w:val="-2"/>
                <w:szCs w:val="22"/>
              </w:rPr>
              <w:t>17.3.3（3）</w:t>
            </w:r>
          </w:p>
        </w:tc>
        <w:tc>
          <w:tcPr>
            <w:tcW w:w="0" w:type="auto"/>
            <w:tcBorders>
              <w:top w:val="single" w:color="000000" w:sz="4" w:space="0"/>
              <w:left w:val="single" w:color="000000" w:sz="4" w:space="0"/>
              <w:bottom w:val="single" w:color="000000" w:sz="4" w:space="0"/>
            </w:tcBorders>
          </w:tcPr>
          <w:p w14:paraId="1EF40F94">
            <w:pPr>
              <w:autoSpaceDE w:val="0"/>
              <w:autoSpaceDN w:val="0"/>
              <w:spacing w:before="118"/>
              <w:ind w:left="222" w:right="-15"/>
              <w:jc w:val="left"/>
              <w:rPr>
                <w:rFonts w:ascii="宋体" w:hAnsi="宋体" w:eastAsia="宋体" w:cs="宋体"/>
                <w:szCs w:val="22"/>
              </w:rPr>
            </w:pPr>
            <w:r>
              <w:rPr>
                <w:rFonts w:ascii="宋体" w:hAnsi="宋体" w:eastAsia="宋体" w:cs="宋体"/>
                <w:spacing w:val="-11"/>
                <w:szCs w:val="22"/>
              </w:rPr>
              <w:t>逾期付款违约金的利率：按全国银行间同业拆借中心发布的贷款市场报价利率</w:t>
            </w:r>
            <w:r>
              <w:rPr>
                <w:rFonts w:ascii="宋体" w:hAnsi="宋体" w:eastAsia="宋体" w:cs="宋体"/>
                <w:szCs w:val="22"/>
              </w:rPr>
              <w:t>（LPR）（1</w:t>
            </w:r>
            <w:r>
              <w:rPr>
                <w:rFonts w:ascii="宋体" w:hAnsi="宋体" w:eastAsia="宋体" w:cs="宋体"/>
                <w:spacing w:val="-7"/>
                <w:szCs w:val="22"/>
              </w:rPr>
              <w:t xml:space="preserve"> 年期</w:t>
            </w:r>
            <w:r>
              <w:rPr>
                <w:rFonts w:ascii="宋体" w:hAnsi="宋体" w:eastAsia="宋体" w:cs="宋体"/>
                <w:szCs w:val="22"/>
              </w:rPr>
              <w:t>）</w:t>
            </w:r>
            <w:r>
              <w:rPr>
                <w:rFonts w:ascii="宋体" w:hAnsi="宋体" w:eastAsia="宋体" w:cs="宋体"/>
                <w:spacing w:val="-3"/>
                <w:szCs w:val="22"/>
              </w:rPr>
              <w:t>加手续费</w:t>
            </w:r>
          </w:p>
        </w:tc>
      </w:tr>
      <w:tr w14:paraId="393A06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0" w:type="auto"/>
            <w:tcBorders>
              <w:top w:val="single" w:color="000000" w:sz="4" w:space="0"/>
              <w:bottom w:val="single" w:color="000000" w:sz="4" w:space="0"/>
              <w:right w:val="single" w:color="000000" w:sz="4" w:space="0"/>
            </w:tcBorders>
          </w:tcPr>
          <w:p w14:paraId="364E077C">
            <w:pPr>
              <w:autoSpaceDE w:val="0"/>
              <w:autoSpaceDN w:val="0"/>
              <w:jc w:val="left"/>
              <w:rPr>
                <w:rFonts w:ascii="宋体" w:hAnsi="宋体" w:eastAsia="宋体" w:cs="宋体"/>
                <w:szCs w:val="22"/>
              </w:rPr>
            </w:pPr>
          </w:p>
          <w:p w14:paraId="354BBF32">
            <w:pPr>
              <w:autoSpaceDE w:val="0"/>
              <w:autoSpaceDN w:val="0"/>
              <w:jc w:val="left"/>
              <w:rPr>
                <w:rFonts w:ascii="宋体" w:hAnsi="宋体" w:eastAsia="宋体" w:cs="宋体"/>
                <w:szCs w:val="22"/>
              </w:rPr>
            </w:pPr>
          </w:p>
          <w:p w14:paraId="7866F987">
            <w:pPr>
              <w:autoSpaceDE w:val="0"/>
              <w:autoSpaceDN w:val="0"/>
              <w:jc w:val="left"/>
              <w:rPr>
                <w:rFonts w:ascii="宋体" w:hAnsi="宋体" w:eastAsia="宋体" w:cs="宋体"/>
                <w:szCs w:val="22"/>
              </w:rPr>
            </w:pPr>
          </w:p>
          <w:p w14:paraId="3F56D178">
            <w:pPr>
              <w:autoSpaceDE w:val="0"/>
              <w:autoSpaceDN w:val="0"/>
              <w:jc w:val="left"/>
              <w:rPr>
                <w:rFonts w:ascii="宋体" w:hAnsi="宋体" w:eastAsia="宋体" w:cs="宋体"/>
                <w:szCs w:val="22"/>
              </w:rPr>
            </w:pPr>
          </w:p>
          <w:p w14:paraId="4568B2D2">
            <w:pPr>
              <w:autoSpaceDE w:val="0"/>
              <w:autoSpaceDN w:val="0"/>
              <w:jc w:val="left"/>
              <w:rPr>
                <w:rFonts w:ascii="宋体" w:hAnsi="宋体" w:eastAsia="宋体" w:cs="宋体"/>
                <w:szCs w:val="22"/>
              </w:rPr>
            </w:pPr>
          </w:p>
          <w:p w14:paraId="44473492">
            <w:pPr>
              <w:autoSpaceDE w:val="0"/>
              <w:autoSpaceDN w:val="0"/>
              <w:spacing w:before="67"/>
              <w:jc w:val="left"/>
              <w:rPr>
                <w:rFonts w:ascii="宋体" w:hAnsi="宋体" w:eastAsia="宋体" w:cs="宋体"/>
                <w:szCs w:val="22"/>
              </w:rPr>
            </w:pPr>
          </w:p>
          <w:p w14:paraId="72B409AC">
            <w:pPr>
              <w:autoSpaceDE w:val="0"/>
              <w:autoSpaceDN w:val="0"/>
              <w:ind w:left="32" w:right="10"/>
              <w:jc w:val="center"/>
              <w:rPr>
                <w:rFonts w:ascii="宋体" w:hAnsi="宋体" w:eastAsia="宋体" w:cs="宋体"/>
                <w:szCs w:val="22"/>
              </w:rPr>
            </w:pPr>
            <w:r>
              <w:rPr>
                <w:rFonts w:ascii="宋体" w:hAnsi="宋体" w:eastAsia="宋体" w:cs="宋体"/>
                <w:spacing w:val="-5"/>
                <w:szCs w:val="22"/>
              </w:rPr>
              <w:t>18</w:t>
            </w:r>
          </w:p>
        </w:tc>
        <w:tc>
          <w:tcPr>
            <w:tcW w:w="0" w:type="auto"/>
            <w:tcBorders>
              <w:top w:val="single" w:color="000000" w:sz="4" w:space="0"/>
              <w:left w:val="single" w:color="000000" w:sz="4" w:space="0"/>
              <w:bottom w:val="single" w:color="000000" w:sz="4" w:space="0"/>
              <w:right w:val="single" w:color="000000" w:sz="4" w:space="0"/>
            </w:tcBorders>
          </w:tcPr>
          <w:p w14:paraId="20CBD4EE">
            <w:pPr>
              <w:autoSpaceDE w:val="0"/>
              <w:autoSpaceDN w:val="0"/>
              <w:jc w:val="left"/>
              <w:rPr>
                <w:rFonts w:ascii="宋体" w:hAnsi="宋体" w:eastAsia="宋体" w:cs="宋体"/>
                <w:szCs w:val="22"/>
              </w:rPr>
            </w:pPr>
          </w:p>
          <w:p w14:paraId="191B024A">
            <w:pPr>
              <w:autoSpaceDE w:val="0"/>
              <w:autoSpaceDN w:val="0"/>
              <w:jc w:val="left"/>
              <w:rPr>
                <w:rFonts w:ascii="宋体" w:hAnsi="宋体" w:eastAsia="宋体" w:cs="宋体"/>
                <w:szCs w:val="22"/>
              </w:rPr>
            </w:pPr>
          </w:p>
          <w:p w14:paraId="433DEE11">
            <w:pPr>
              <w:autoSpaceDE w:val="0"/>
              <w:autoSpaceDN w:val="0"/>
              <w:jc w:val="left"/>
              <w:rPr>
                <w:rFonts w:ascii="宋体" w:hAnsi="宋体" w:eastAsia="宋体" w:cs="宋体"/>
                <w:szCs w:val="22"/>
              </w:rPr>
            </w:pPr>
          </w:p>
          <w:p w14:paraId="21030599">
            <w:pPr>
              <w:autoSpaceDE w:val="0"/>
              <w:autoSpaceDN w:val="0"/>
              <w:jc w:val="left"/>
              <w:rPr>
                <w:rFonts w:ascii="宋体" w:hAnsi="宋体" w:eastAsia="宋体" w:cs="宋体"/>
                <w:szCs w:val="22"/>
              </w:rPr>
            </w:pPr>
          </w:p>
          <w:p w14:paraId="53ADD9FA">
            <w:pPr>
              <w:autoSpaceDE w:val="0"/>
              <w:autoSpaceDN w:val="0"/>
              <w:jc w:val="left"/>
              <w:rPr>
                <w:rFonts w:ascii="宋体" w:hAnsi="宋体" w:eastAsia="宋体" w:cs="宋体"/>
                <w:szCs w:val="22"/>
              </w:rPr>
            </w:pPr>
          </w:p>
          <w:p w14:paraId="51E4270B">
            <w:pPr>
              <w:autoSpaceDE w:val="0"/>
              <w:autoSpaceDN w:val="0"/>
              <w:spacing w:before="67"/>
              <w:jc w:val="left"/>
              <w:rPr>
                <w:rFonts w:ascii="宋体" w:hAnsi="宋体" w:eastAsia="宋体" w:cs="宋体"/>
                <w:szCs w:val="22"/>
              </w:rPr>
            </w:pPr>
          </w:p>
          <w:p w14:paraId="28DDD2E7">
            <w:pPr>
              <w:autoSpaceDE w:val="0"/>
              <w:autoSpaceDN w:val="0"/>
              <w:ind w:left="26"/>
              <w:jc w:val="center"/>
              <w:rPr>
                <w:rFonts w:ascii="宋体" w:hAnsi="宋体" w:eastAsia="宋体" w:cs="宋体"/>
                <w:szCs w:val="22"/>
              </w:rPr>
            </w:pPr>
            <w:r>
              <w:rPr>
                <w:rFonts w:ascii="宋体" w:hAnsi="宋体" w:eastAsia="宋体" w:cs="宋体"/>
                <w:spacing w:val="-2"/>
                <w:szCs w:val="22"/>
              </w:rPr>
              <w:t>17.4.1</w:t>
            </w:r>
          </w:p>
        </w:tc>
        <w:tc>
          <w:tcPr>
            <w:tcW w:w="0" w:type="auto"/>
            <w:tcBorders>
              <w:top w:val="single" w:color="000000" w:sz="4" w:space="0"/>
              <w:left w:val="single" w:color="000000" w:sz="4" w:space="0"/>
              <w:bottom w:val="single" w:color="000000" w:sz="4" w:space="0"/>
            </w:tcBorders>
          </w:tcPr>
          <w:p w14:paraId="6A54E877">
            <w:pPr>
              <w:tabs>
                <w:tab w:val="left" w:pos="1690"/>
              </w:tabs>
              <w:wordWrap w:val="0"/>
              <w:autoSpaceDE w:val="0"/>
              <w:autoSpaceDN w:val="0"/>
              <w:adjustRightInd w:val="0"/>
              <w:snapToGrid w:val="0"/>
              <w:spacing w:line="353" w:lineRule="auto"/>
              <w:ind w:left="222"/>
              <w:jc w:val="left"/>
              <w:rPr>
                <w:rFonts w:ascii="宋体" w:hAnsi="宋体" w:eastAsia="宋体" w:cs="宋体"/>
                <w:szCs w:val="22"/>
              </w:rPr>
            </w:pPr>
            <w:r>
              <w:rPr>
                <w:rFonts w:ascii="MS Gothic" w:hAnsi="MS Gothic" w:eastAsia="MS Gothic" w:cs="宋体"/>
                <w:spacing w:val="-2"/>
                <w:szCs w:val="22"/>
              </w:rPr>
              <w:t>☑</w:t>
            </w:r>
            <w:r>
              <w:rPr>
                <w:rFonts w:ascii="宋体" w:hAnsi="宋体" w:eastAsia="宋体" w:cs="宋体"/>
                <w:spacing w:val="-11"/>
                <w:szCs w:val="22"/>
              </w:rPr>
              <w:t>提交质量保证金，质量保证金金额：1.5％结算价，允许采用银行转账、支票或工程保函（包括银行保函、保险机构保证保险保单和融资性担保公司保函）形式。对于信用等级为AA级的承包人，质量保证金减免额</w:t>
            </w:r>
            <w:r>
              <w:rPr>
                <w:rFonts w:ascii="宋体" w:hAnsi="宋体" w:eastAsia="宋体" w:cs="宋体"/>
                <w:szCs w:val="22"/>
              </w:rPr>
              <w:t>度为</w:t>
            </w:r>
            <w:r>
              <w:rPr>
                <w:rFonts w:ascii="Times New Roman" w:hAnsi="Times New Roman" w:eastAsia="Times New Roman" w:cs="宋体"/>
                <w:spacing w:val="80"/>
                <w:w w:val="150"/>
                <w:szCs w:val="22"/>
                <w:u w:val="single"/>
              </w:rPr>
              <w:t xml:space="preserve"> </w:t>
            </w:r>
            <w:r>
              <w:rPr>
                <w:rFonts w:ascii="宋体" w:hAnsi="宋体" w:eastAsia="宋体" w:cs="宋体"/>
                <w:szCs w:val="22"/>
                <w:u w:val="single"/>
              </w:rPr>
              <w:t>/</w:t>
            </w:r>
            <w:r>
              <w:rPr>
                <w:rFonts w:ascii="宋体" w:hAnsi="宋体" w:eastAsia="宋体" w:cs="宋体"/>
                <w:spacing w:val="-4"/>
                <w:szCs w:val="22"/>
                <w:u w:val="single"/>
              </w:rPr>
              <w:t xml:space="preserve"> </w:t>
            </w:r>
            <w:r>
              <w:rPr>
                <w:rFonts w:ascii="宋体" w:hAnsi="宋体" w:eastAsia="宋体" w:cs="宋体"/>
                <w:szCs w:val="22"/>
              </w:rPr>
              <w:t>元，质量保证金提前</w:t>
            </w:r>
            <w:r>
              <w:rPr>
                <w:rFonts w:ascii="Times New Roman" w:hAnsi="Times New Roman" w:eastAsia="Times New Roman" w:cs="宋体"/>
                <w:spacing w:val="80"/>
                <w:w w:val="150"/>
                <w:szCs w:val="22"/>
                <w:u w:val="single"/>
              </w:rPr>
              <w:t xml:space="preserve"> </w:t>
            </w:r>
            <w:r>
              <w:rPr>
                <w:rFonts w:ascii="宋体" w:hAnsi="宋体" w:eastAsia="宋体" w:cs="宋体"/>
                <w:szCs w:val="22"/>
                <w:u w:val="single"/>
              </w:rPr>
              <w:t>/</w:t>
            </w:r>
            <w:r>
              <w:rPr>
                <w:rFonts w:ascii="宋体" w:hAnsi="宋体" w:eastAsia="宋体" w:cs="宋体"/>
                <w:spacing w:val="-4"/>
                <w:szCs w:val="22"/>
              </w:rPr>
              <w:t>月返还。</w:t>
            </w:r>
          </w:p>
          <w:p w14:paraId="5B2BFF08">
            <w:pPr>
              <w:wordWrap w:val="0"/>
              <w:autoSpaceDE w:val="0"/>
              <w:autoSpaceDN w:val="0"/>
              <w:adjustRightInd w:val="0"/>
              <w:snapToGrid w:val="0"/>
              <w:spacing w:line="266" w:lineRule="exact"/>
              <w:ind w:left="222"/>
              <w:jc w:val="left"/>
              <w:rPr>
                <w:rFonts w:ascii="宋体" w:hAnsi="宋体" w:eastAsia="宋体" w:cs="宋体"/>
                <w:spacing w:val="-10"/>
                <w:szCs w:val="22"/>
              </w:rPr>
            </w:pPr>
            <w:r>
              <w:rPr>
                <w:rFonts w:ascii="宋体" w:hAnsi="宋体" w:eastAsia="宋体" w:cs="宋体"/>
                <w:spacing w:val="-3"/>
                <w:szCs w:val="22"/>
              </w:rPr>
              <w:t>质量保证金是否计付利息：□是，利息的计算方式：</w:t>
            </w:r>
            <w:r>
              <w:rPr>
                <w:rFonts w:hint="eastAsia" w:ascii="宋体" w:hAnsi="宋体" w:eastAsia="宋体" w:cs="宋体"/>
                <w:spacing w:val="-3"/>
                <w:szCs w:val="22"/>
                <w:u w:val="single"/>
              </w:rPr>
              <w:t xml:space="preserve">   /     </w:t>
            </w:r>
            <w:r>
              <w:rPr>
                <w:rFonts w:ascii="MS Gothic" w:hAnsi="MS Gothic" w:eastAsia="MS Gothic" w:cs="宋体"/>
                <w:spacing w:val="-5"/>
                <w:szCs w:val="22"/>
              </w:rPr>
              <w:t>☑</w:t>
            </w:r>
            <w:r>
              <w:rPr>
                <w:rFonts w:ascii="宋体" w:hAnsi="宋体" w:eastAsia="宋体" w:cs="宋体"/>
                <w:spacing w:val="-10"/>
                <w:szCs w:val="22"/>
              </w:rPr>
              <w:t>否</w:t>
            </w:r>
            <w:r>
              <w:rPr>
                <w:rFonts w:hint="eastAsia" w:ascii="宋体" w:hAnsi="宋体" w:eastAsia="宋体" w:cs="宋体"/>
                <w:spacing w:val="-10"/>
                <w:szCs w:val="22"/>
              </w:rPr>
              <w:t xml:space="preserve">  </w:t>
            </w:r>
          </w:p>
          <w:p w14:paraId="4B59151C">
            <w:pPr>
              <w:wordWrap w:val="0"/>
              <w:autoSpaceDE w:val="0"/>
              <w:autoSpaceDN w:val="0"/>
              <w:adjustRightInd w:val="0"/>
              <w:snapToGrid w:val="0"/>
              <w:spacing w:line="266" w:lineRule="exact"/>
              <w:ind w:left="222"/>
              <w:jc w:val="left"/>
              <w:rPr>
                <w:rFonts w:ascii="宋体" w:hAnsi="宋体" w:eastAsia="宋体" w:cs="宋体"/>
                <w:szCs w:val="22"/>
              </w:rPr>
            </w:pPr>
            <w:r>
              <w:rPr>
                <w:rFonts w:hint="eastAsia" w:ascii="宋体" w:hAnsi="宋体" w:eastAsia="宋体" w:cs="宋体"/>
                <w:spacing w:val="-7"/>
                <w:szCs w:val="22"/>
              </w:rPr>
              <w:t>□</w:t>
            </w:r>
            <w:r>
              <w:rPr>
                <w:rFonts w:ascii="宋体" w:hAnsi="宋体" w:eastAsia="宋体" w:cs="宋体"/>
                <w:spacing w:val="-7"/>
                <w:szCs w:val="22"/>
              </w:rPr>
              <w:t>不提交</w:t>
            </w:r>
          </w:p>
          <w:p w14:paraId="5CE79D6E">
            <w:pPr>
              <w:wordWrap w:val="0"/>
              <w:autoSpaceDE w:val="0"/>
              <w:autoSpaceDN w:val="0"/>
              <w:adjustRightInd w:val="0"/>
              <w:snapToGrid w:val="0"/>
              <w:spacing w:line="400" w:lineRule="exact"/>
              <w:ind w:left="222" w:right="-15"/>
              <w:jc w:val="left"/>
              <w:rPr>
                <w:rFonts w:ascii="宋体" w:hAnsi="宋体" w:eastAsia="宋体" w:cs="宋体"/>
                <w:szCs w:val="22"/>
              </w:rPr>
            </w:pPr>
            <w:r>
              <w:rPr>
                <w:rFonts w:ascii="宋体" w:hAnsi="宋体" w:eastAsia="宋体" w:cs="宋体"/>
                <w:spacing w:val="-4"/>
                <w:szCs w:val="22"/>
              </w:rPr>
              <w:t>在工程项目交工前，承包人已经提供履约担保的，发包人不得同时预留工程质</w:t>
            </w:r>
            <w:r>
              <w:rPr>
                <w:rFonts w:ascii="宋体" w:hAnsi="宋体" w:eastAsia="宋体" w:cs="宋体"/>
                <w:spacing w:val="-2"/>
                <w:szCs w:val="22"/>
              </w:rPr>
              <w:t>量保证金。</w:t>
            </w:r>
          </w:p>
        </w:tc>
      </w:tr>
      <w:tr w14:paraId="7FD2B3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0" w:type="auto"/>
            <w:tcBorders>
              <w:top w:val="single" w:color="000000" w:sz="4" w:space="0"/>
              <w:bottom w:val="single" w:color="000000" w:sz="4" w:space="0"/>
              <w:right w:val="single" w:color="000000" w:sz="4" w:space="0"/>
            </w:tcBorders>
          </w:tcPr>
          <w:p w14:paraId="3D072E18">
            <w:pPr>
              <w:autoSpaceDE w:val="0"/>
              <w:autoSpaceDN w:val="0"/>
              <w:spacing w:before="155"/>
              <w:ind w:left="32" w:right="10"/>
              <w:jc w:val="center"/>
              <w:rPr>
                <w:rFonts w:ascii="宋体" w:hAnsi="宋体" w:eastAsia="宋体" w:cs="宋体"/>
                <w:szCs w:val="22"/>
              </w:rPr>
            </w:pPr>
            <w:r>
              <w:rPr>
                <w:rFonts w:ascii="宋体" w:hAnsi="宋体" w:eastAsia="宋体" w:cs="宋体"/>
                <w:spacing w:val="-5"/>
                <w:szCs w:val="22"/>
              </w:rPr>
              <w:t>19</w:t>
            </w:r>
          </w:p>
        </w:tc>
        <w:tc>
          <w:tcPr>
            <w:tcW w:w="0" w:type="auto"/>
            <w:tcBorders>
              <w:top w:val="single" w:color="000000" w:sz="4" w:space="0"/>
              <w:left w:val="single" w:color="000000" w:sz="4" w:space="0"/>
              <w:bottom w:val="single" w:color="000000" w:sz="4" w:space="0"/>
              <w:right w:val="single" w:color="000000" w:sz="4" w:space="0"/>
            </w:tcBorders>
          </w:tcPr>
          <w:p w14:paraId="49D94A74">
            <w:pPr>
              <w:autoSpaceDE w:val="0"/>
              <w:autoSpaceDN w:val="0"/>
              <w:spacing w:before="155"/>
              <w:ind w:left="26"/>
              <w:jc w:val="center"/>
              <w:rPr>
                <w:rFonts w:ascii="宋体" w:hAnsi="宋体" w:eastAsia="宋体" w:cs="宋体"/>
                <w:szCs w:val="22"/>
              </w:rPr>
            </w:pPr>
            <w:r>
              <w:rPr>
                <w:rFonts w:ascii="宋体" w:hAnsi="宋体" w:eastAsia="宋体" w:cs="宋体"/>
                <w:spacing w:val="-2"/>
                <w:szCs w:val="22"/>
              </w:rPr>
              <w:t>17.5.1</w:t>
            </w:r>
          </w:p>
        </w:tc>
        <w:tc>
          <w:tcPr>
            <w:tcW w:w="0" w:type="auto"/>
            <w:tcBorders>
              <w:top w:val="single" w:color="000000" w:sz="4" w:space="0"/>
              <w:left w:val="single" w:color="000000" w:sz="4" w:space="0"/>
              <w:bottom w:val="single" w:color="000000" w:sz="4" w:space="0"/>
            </w:tcBorders>
          </w:tcPr>
          <w:p w14:paraId="71E0E535">
            <w:pPr>
              <w:tabs>
                <w:tab w:val="left" w:pos="7058"/>
              </w:tabs>
              <w:autoSpaceDE w:val="0"/>
              <w:autoSpaceDN w:val="0"/>
              <w:spacing w:before="155"/>
              <w:ind w:left="222" w:right="-15"/>
              <w:jc w:val="left"/>
              <w:rPr>
                <w:rFonts w:ascii="宋体" w:hAnsi="宋体" w:eastAsia="宋体" w:cs="宋体"/>
                <w:szCs w:val="22"/>
              </w:rPr>
            </w:pPr>
            <w:r>
              <w:rPr>
                <w:rFonts w:ascii="宋体" w:hAnsi="宋体" w:eastAsia="宋体" w:cs="宋体"/>
                <w:spacing w:val="-4"/>
                <w:szCs w:val="22"/>
              </w:rPr>
              <w:t>承包人向监理人提交交工付款申请单（包括相关证明材料）的份数：</w:t>
            </w:r>
            <w:r>
              <w:rPr>
                <w:rFonts w:ascii="Times New Roman" w:hAnsi="宋体" w:eastAsia="Times New Roman" w:cs="宋体"/>
                <w:spacing w:val="42"/>
                <w:szCs w:val="22"/>
                <w:u w:val="single"/>
              </w:rPr>
              <w:t xml:space="preserve">  </w:t>
            </w:r>
            <w:r>
              <w:rPr>
                <w:rFonts w:ascii="宋体" w:hAnsi="宋体" w:eastAsia="宋体" w:cs="宋体"/>
                <w:spacing w:val="-10"/>
                <w:szCs w:val="22"/>
                <w:u w:val="single"/>
              </w:rPr>
              <w:t>6</w:t>
            </w:r>
            <w:r>
              <w:rPr>
                <w:rFonts w:ascii="宋体" w:hAnsi="宋体" w:eastAsia="宋体" w:cs="宋体"/>
                <w:szCs w:val="22"/>
                <w:u w:val="single"/>
              </w:rPr>
              <w:tab/>
            </w:r>
            <w:r>
              <w:rPr>
                <w:rFonts w:ascii="宋体" w:hAnsi="宋体" w:eastAsia="宋体" w:cs="宋体"/>
                <w:spacing w:val="-10"/>
                <w:szCs w:val="22"/>
              </w:rPr>
              <w:t>份</w:t>
            </w:r>
          </w:p>
        </w:tc>
      </w:tr>
      <w:tr w14:paraId="654DC4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0" w:type="auto"/>
            <w:tcBorders>
              <w:top w:val="single" w:color="000000" w:sz="4" w:space="0"/>
              <w:bottom w:val="single" w:color="000000" w:sz="4" w:space="0"/>
              <w:right w:val="single" w:color="000000" w:sz="4" w:space="0"/>
            </w:tcBorders>
          </w:tcPr>
          <w:p w14:paraId="5019ECA7">
            <w:pPr>
              <w:autoSpaceDE w:val="0"/>
              <w:autoSpaceDN w:val="0"/>
              <w:spacing w:before="155"/>
              <w:ind w:left="32" w:right="10"/>
              <w:jc w:val="center"/>
              <w:rPr>
                <w:rFonts w:ascii="宋体" w:hAnsi="宋体" w:eastAsia="宋体" w:cs="宋体"/>
                <w:szCs w:val="22"/>
              </w:rPr>
            </w:pPr>
            <w:r>
              <w:rPr>
                <w:rFonts w:ascii="宋体" w:hAnsi="宋体" w:eastAsia="宋体" w:cs="宋体"/>
                <w:spacing w:val="-5"/>
                <w:szCs w:val="22"/>
              </w:rPr>
              <w:t>20</w:t>
            </w:r>
          </w:p>
        </w:tc>
        <w:tc>
          <w:tcPr>
            <w:tcW w:w="0" w:type="auto"/>
            <w:tcBorders>
              <w:top w:val="single" w:color="000000" w:sz="4" w:space="0"/>
              <w:left w:val="single" w:color="000000" w:sz="4" w:space="0"/>
              <w:bottom w:val="single" w:color="000000" w:sz="4" w:space="0"/>
              <w:right w:val="single" w:color="000000" w:sz="4" w:space="0"/>
            </w:tcBorders>
          </w:tcPr>
          <w:p w14:paraId="2E15E7D8">
            <w:pPr>
              <w:autoSpaceDE w:val="0"/>
              <w:autoSpaceDN w:val="0"/>
              <w:spacing w:before="155"/>
              <w:ind w:left="26"/>
              <w:jc w:val="center"/>
              <w:rPr>
                <w:rFonts w:ascii="宋体" w:hAnsi="宋体" w:eastAsia="宋体" w:cs="宋体"/>
                <w:szCs w:val="22"/>
              </w:rPr>
            </w:pPr>
            <w:r>
              <w:rPr>
                <w:rFonts w:ascii="宋体" w:hAnsi="宋体" w:eastAsia="宋体" w:cs="宋体"/>
                <w:spacing w:val="-2"/>
                <w:szCs w:val="22"/>
              </w:rPr>
              <w:t>17.6.1</w:t>
            </w:r>
          </w:p>
        </w:tc>
        <w:tc>
          <w:tcPr>
            <w:tcW w:w="0" w:type="auto"/>
            <w:tcBorders>
              <w:top w:val="single" w:color="000000" w:sz="4" w:space="0"/>
              <w:left w:val="single" w:color="000000" w:sz="4" w:space="0"/>
              <w:bottom w:val="single" w:color="000000" w:sz="4" w:space="0"/>
            </w:tcBorders>
          </w:tcPr>
          <w:p w14:paraId="4D6B246C">
            <w:pPr>
              <w:tabs>
                <w:tab w:val="left" w:pos="7058"/>
              </w:tabs>
              <w:autoSpaceDE w:val="0"/>
              <w:autoSpaceDN w:val="0"/>
              <w:spacing w:before="155"/>
              <w:ind w:left="222" w:right="-15"/>
              <w:jc w:val="left"/>
              <w:rPr>
                <w:rFonts w:ascii="宋体" w:hAnsi="宋体" w:eastAsia="宋体" w:cs="宋体"/>
                <w:szCs w:val="22"/>
              </w:rPr>
            </w:pPr>
            <w:r>
              <w:rPr>
                <w:rFonts w:ascii="宋体" w:hAnsi="宋体" w:eastAsia="宋体" w:cs="宋体"/>
                <w:spacing w:val="-4"/>
                <w:szCs w:val="22"/>
              </w:rPr>
              <w:t>承包人向监理人提交最终结清申请单（包括相关证明材料）的份数：</w:t>
            </w:r>
            <w:r>
              <w:rPr>
                <w:rFonts w:ascii="Times New Roman" w:hAnsi="宋体" w:eastAsia="Times New Roman" w:cs="宋体"/>
                <w:spacing w:val="42"/>
                <w:szCs w:val="22"/>
                <w:u w:val="single"/>
              </w:rPr>
              <w:t xml:space="preserve">  </w:t>
            </w:r>
            <w:r>
              <w:rPr>
                <w:rFonts w:ascii="宋体" w:hAnsi="宋体" w:eastAsia="宋体" w:cs="宋体"/>
                <w:spacing w:val="-10"/>
                <w:szCs w:val="22"/>
                <w:u w:val="single"/>
              </w:rPr>
              <w:t>6</w:t>
            </w:r>
            <w:r>
              <w:rPr>
                <w:rFonts w:ascii="宋体" w:hAnsi="宋体" w:eastAsia="宋体" w:cs="宋体"/>
                <w:szCs w:val="22"/>
                <w:u w:val="single"/>
              </w:rPr>
              <w:tab/>
            </w:r>
            <w:r>
              <w:rPr>
                <w:rFonts w:ascii="宋体" w:hAnsi="宋体" w:eastAsia="宋体" w:cs="宋体"/>
                <w:spacing w:val="-10"/>
                <w:szCs w:val="22"/>
              </w:rPr>
              <w:t>份</w:t>
            </w:r>
          </w:p>
        </w:tc>
      </w:tr>
      <w:tr w14:paraId="623A49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0" w:type="auto"/>
            <w:tcBorders>
              <w:top w:val="single" w:color="000000" w:sz="4" w:space="0"/>
              <w:bottom w:val="single" w:color="000000" w:sz="4" w:space="0"/>
              <w:right w:val="single" w:color="000000" w:sz="4" w:space="0"/>
            </w:tcBorders>
          </w:tcPr>
          <w:p w14:paraId="7DEA6A04">
            <w:pPr>
              <w:autoSpaceDE w:val="0"/>
              <w:autoSpaceDN w:val="0"/>
              <w:spacing w:before="153"/>
              <w:ind w:left="32" w:right="10"/>
              <w:jc w:val="center"/>
              <w:rPr>
                <w:rFonts w:ascii="宋体" w:hAnsi="宋体" w:eastAsia="宋体" w:cs="宋体"/>
                <w:szCs w:val="22"/>
              </w:rPr>
            </w:pPr>
            <w:r>
              <w:rPr>
                <w:rFonts w:ascii="宋体" w:hAnsi="宋体" w:eastAsia="宋体" w:cs="宋体"/>
                <w:spacing w:val="-5"/>
                <w:szCs w:val="22"/>
              </w:rPr>
              <w:t>21</w:t>
            </w:r>
          </w:p>
        </w:tc>
        <w:tc>
          <w:tcPr>
            <w:tcW w:w="0" w:type="auto"/>
            <w:tcBorders>
              <w:top w:val="single" w:color="000000" w:sz="4" w:space="0"/>
              <w:left w:val="single" w:color="000000" w:sz="4" w:space="0"/>
              <w:bottom w:val="single" w:color="000000" w:sz="4" w:space="0"/>
              <w:right w:val="single" w:color="000000" w:sz="4" w:space="0"/>
            </w:tcBorders>
          </w:tcPr>
          <w:p w14:paraId="31D24D73">
            <w:pPr>
              <w:autoSpaceDE w:val="0"/>
              <w:autoSpaceDN w:val="0"/>
              <w:spacing w:before="153"/>
              <w:ind w:left="26" w:right="3"/>
              <w:jc w:val="center"/>
              <w:rPr>
                <w:rFonts w:ascii="宋体" w:hAnsi="宋体" w:eastAsia="宋体" w:cs="宋体"/>
                <w:szCs w:val="22"/>
              </w:rPr>
            </w:pPr>
            <w:r>
              <w:rPr>
                <w:rFonts w:ascii="宋体" w:hAnsi="宋体" w:eastAsia="宋体" w:cs="宋体"/>
                <w:spacing w:val="-4"/>
                <w:szCs w:val="22"/>
              </w:rPr>
              <w:t>18.2</w:t>
            </w:r>
          </w:p>
        </w:tc>
        <w:tc>
          <w:tcPr>
            <w:tcW w:w="0" w:type="auto"/>
            <w:tcBorders>
              <w:top w:val="single" w:color="000000" w:sz="4" w:space="0"/>
              <w:left w:val="single" w:color="000000" w:sz="4" w:space="0"/>
              <w:bottom w:val="single" w:color="000000" w:sz="4" w:space="0"/>
            </w:tcBorders>
          </w:tcPr>
          <w:p w14:paraId="2E0DFF24">
            <w:pPr>
              <w:autoSpaceDE w:val="0"/>
              <w:autoSpaceDN w:val="0"/>
              <w:spacing w:before="153"/>
              <w:ind w:left="222"/>
              <w:jc w:val="left"/>
              <w:rPr>
                <w:rFonts w:ascii="宋体" w:hAnsi="宋体" w:eastAsia="宋体" w:cs="宋体"/>
                <w:szCs w:val="22"/>
              </w:rPr>
            </w:pPr>
            <w:r>
              <w:rPr>
                <w:rFonts w:ascii="宋体" w:hAnsi="宋体" w:eastAsia="宋体" w:cs="宋体"/>
                <w:szCs w:val="22"/>
              </w:rPr>
              <w:t>竣工资料的份数：</w:t>
            </w:r>
            <w:r>
              <w:rPr>
                <w:rFonts w:ascii="Times New Roman" w:hAnsi="宋体" w:eastAsia="Times New Roman" w:cs="宋体"/>
                <w:spacing w:val="48"/>
                <w:szCs w:val="22"/>
                <w:u w:val="single"/>
              </w:rPr>
              <w:t xml:space="preserve">  </w:t>
            </w:r>
            <w:r>
              <w:rPr>
                <w:rFonts w:ascii="宋体" w:hAnsi="宋体" w:eastAsia="宋体" w:cs="宋体"/>
                <w:szCs w:val="22"/>
                <w:u w:val="single"/>
              </w:rPr>
              <w:t>6</w:t>
            </w:r>
            <w:r>
              <w:rPr>
                <w:rFonts w:ascii="宋体" w:hAnsi="宋体" w:eastAsia="宋体" w:cs="宋体"/>
                <w:spacing w:val="48"/>
                <w:w w:val="150"/>
                <w:szCs w:val="22"/>
                <w:u w:val="single"/>
              </w:rPr>
              <w:t xml:space="preserve"> </w:t>
            </w:r>
            <w:r>
              <w:rPr>
                <w:rFonts w:ascii="宋体" w:hAnsi="宋体" w:eastAsia="宋体" w:cs="宋体"/>
                <w:spacing w:val="-56"/>
                <w:w w:val="150"/>
                <w:szCs w:val="22"/>
              </w:rPr>
              <w:t xml:space="preserve"> </w:t>
            </w:r>
            <w:r>
              <w:rPr>
                <w:rFonts w:ascii="宋体" w:hAnsi="宋体" w:eastAsia="宋体" w:cs="宋体"/>
                <w:spacing w:val="-10"/>
                <w:szCs w:val="22"/>
              </w:rPr>
              <w:t>份</w:t>
            </w:r>
          </w:p>
        </w:tc>
      </w:tr>
      <w:tr w14:paraId="215B60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0" w:type="auto"/>
            <w:tcBorders>
              <w:top w:val="single" w:color="000000" w:sz="4" w:space="0"/>
              <w:bottom w:val="single" w:color="000000" w:sz="4" w:space="0"/>
              <w:right w:val="single" w:color="000000" w:sz="4" w:space="0"/>
            </w:tcBorders>
          </w:tcPr>
          <w:p w14:paraId="5F918FFD">
            <w:pPr>
              <w:autoSpaceDE w:val="0"/>
              <w:autoSpaceDN w:val="0"/>
              <w:spacing w:before="153"/>
              <w:ind w:left="32" w:right="10"/>
              <w:jc w:val="center"/>
              <w:rPr>
                <w:rFonts w:ascii="宋体" w:hAnsi="宋体" w:eastAsia="宋体" w:cs="宋体"/>
                <w:szCs w:val="22"/>
              </w:rPr>
            </w:pPr>
            <w:r>
              <w:rPr>
                <w:rFonts w:ascii="宋体" w:hAnsi="宋体" w:eastAsia="宋体" w:cs="宋体"/>
                <w:spacing w:val="-5"/>
                <w:szCs w:val="22"/>
              </w:rPr>
              <w:t>22</w:t>
            </w:r>
          </w:p>
        </w:tc>
        <w:tc>
          <w:tcPr>
            <w:tcW w:w="0" w:type="auto"/>
            <w:tcBorders>
              <w:top w:val="single" w:color="000000" w:sz="4" w:space="0"/>
              <w:left w:val="single" w:color="000000" w:sz="4" w:space="0"/>
              <w:bottom w:val="single" w:color="000000" w:sz="4" w:space="0"/>
              <w:right w:val="single" w:color="000000" w:sz="4" w:space="0"/>
            </w:tcBorders>
          </w:tcPr>
          <w:p w14:paraId="3B9C69F7">
            <w:pPr>
              <w:autoSpaceDE w:val="0"/>
              <w:autoSpaceDN w:val="0"/>
              <w:spacing w:before="153"/>
              <w:ind w:left="26" w:right="3"/>
              <w:jc w:val="center"/>
              <w:rPr>
                <w:rFonts w:ascii="宋体" w:hAnsi="宋体" w:eastAsia="宋体" w:cs="宋体"/>
                <w:szCs w:val="22"/>
              </w:rPr>
            </w:pPr>
            <w:r>
              <w:rPr>
                <w:rFonts w:ascii="宋体" w:hAnsi="宋体" w:eastAsia="宋体" w:cs="宋体"/>
                <w:spacing w:val="-4"/>
                <w:szCs w:val="22"/>
              </w:rPr>
              <w:t>19.7</w:t>
            </w:r>
          </w:p>
        </w:tc>
        <w:tc>
          <w:tcPr>
            <w:tcW w:w="0" w:type="auto"/>
            <w:tcBorders>
              <w:top w:val="single" w:color="000000" w:sz="4" w:space="0"/>
              <w:left w:val="single" w:color="000000" w:sz="4" w:space="0"/>
              <w:bottom w:val="single" w:color="000000" w:sz="4" w:space="0"/>
            </w:tcBorders>
          </w:tcPr>
          <w:p w14:paraId="235BB4F3">
            <w:pPr>
              <w:autoSpaceDE w:val="0"/>
              <w:autoSpaceDN w:val="0"/>
              <w:spacing w:before="153"/>
              <w:ind w:left="222"/>
              <w:jc w:val="left"/>
              <w:rPr>
                <w:rFonts w:ascii="宋体" w:hAnsi="宋体" w:eastAsia="宋体" w:cs="宋体"/>
                <w:szCs w:val="22"/>
              </w:rPr>
            </w:pPr>
            <w:r>
              <w:rPr>
                <w:rFonts w:ascii="宋体" w:hAnsi="宋体" w:eastAsia="宋体" w:cs="宋体"/>
                <w:szCs w:val="22"/>
              </w:rPr>
              <w:t>保修期：自实际交工日期起计算</w:t>
            </w:r>
            <w:r>
              <w:rPr>
                <w:rFonts w:ascii="Times New Roman" w:hAnsi="宋体" w:eastAsia="Times New Roman" w:cs="宋体"/>
                <w:spacing w:val="44"/>
                <w:szCs w:val="22"/>
                <w:u w:val="single"/>
              </w:rPr>
              <w:t xml:space="preserve">  </w:t>
            </w:r>
            <w:r>
              <w:rPr>
                <w:rFonts w:ascii="宋体" w:hAnsi="宋体" w:eastAsia="宋体" w:cs="宋体"/>
                <w:szCs w:val="22"/>
                <w:u w:val="single"/>
              </w:rPr>
              <w:t>12</w:t>
            </w:r>
            <w:r>
              <w:rPr>
                <w:rFonts w:ascii="宋体" w:hAnsi="宋体" w:eastAsia="宋体" w:cs="宋体"/>
                <w:spacing w:val="39"/>
                <w:w w:val="150"/>
                <w:szCs w:val="22"/>
                <w:u w:val="single"/>
              </w:rPr>
              <w:t xml:space="preserve"> </w:t>
            </w:r>
            <w:r>
              <w:rPr>
                <w:rFonts w:ascii="宋体" w:hAnsi="宋体" w:eastAsia="宋体" w:cs="宋体"/>
                <w:spacing w:val="-4"/>
                <w:szCs w:val="22"/>
              </w:rPr>
              <w:t>个月。</w:t>
            </w:r>
          </w:p>
        </w:tc>
      </w:tr>
      <w:tr w14:paraId="252E86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0" w:type="auto"/>
            <w:tcBorders>
              <w:top w:val="single" w:color="000000" w:sz="4" w:space="0"/>
              <w:bottom w:val="single" w:color="000000" w:sz="4" w:space="0"/>
              <w:right w:val="single" w:color="000000" w:sz="4" w:space="0"/>
            </w:tcBorders>
          </w:tcPr>
          <w:p w14:paraId="42838A7B">
            <w:pPr>
              <w:autoSpaceDE w:val="0"/>
              <w:autoSpaceDN w:val="0"/>
              <w:spacing w:before="137"/>
              <w:ind w:left="32" w:right="10"/>
              <w:jc w:val="center"/>
              <w:rPr>
                <w:rFonts w:ascii="宋体" w:hAnsi="宋体" w:eastAsia="宋体" w:cs="宋体"/>
                <w:szCs w:val="22"/>
              </w:rPr>
            </w:pPr>
            <w:r>
              <w:rPr>
                <w:rFonts w:ascii="宋体" w:hAnsi="宋体" w:eastAsia="宋体" w:cs="宋体"/>
                <w:spacing w:val="-5"/>
                <w:szCs w:val="22"/>
              </w:rPr>
              <w:t>23</w:t>
            </w:r>
          </w:p>
        </w:tc>
        <w:tc>
          <w:tcPr>
            <w:tcW w:w="0" w:type="auto"/>
            <w:tcBorders>
              <w:top w:val="single" w:color="000000" w:sz="4" w:space="0"/>
              <w:left w:val="single" w:color="000000" w:sz="4" w:space="0"/>
              <w:bottom w:val="single" w:color="000000" w:sz="4" w:space="0"/>
              <w:right w:val="single" w:color="000000" w:sz="4" w:space="0"/>
            </w:tcBorders>
          </w:tcPr>
          <w:p w14:paraId="128C0B2B">
            <w:pPr>
              <w:autoSpaceDE w:val="0"/>
              <w:autoSpaceDN w:val="0"/>
              <w:spacing w:before="137"/>
              <w:ind w:left="26" w:right="3"/>
              <w:jc w:val="center"/>
              <w:rPr>
                <w:rFonts w:ascii="宋体" w:hAnsi="宋体" w:eastAsia="宋体" w:cs="宋体"/>
                <w:szCs w:val="22"/>
              </w:rPr>
            </w:pPr>
            <w:r>
              <w:rPr>
                <w:rFonts w:ascii="宋体" w:hAnsi="宋体" w:eastAsia="宋体" w:cs="宋体"/>
                <w:spacing w:val="-4"/>
                <w:szCs w:val="22"/>
              </w:rPr>
              <w:t>20.1</w:t>
            </w:r>
          </w:p>
        </w:tc>
        <w:tc>
          <w:tcPr>
            <w:tcW w:w="0" w:type="auto"/>
            <w:tcBorders>
              <w:top w:val="single" w:color="000000" w:sz="4" w:space="0"/>
              <w:left w:val="single" w:color="000000" w:sz="4" w:space="0"/>
              <w:bottom w:val="single" w:color="000000" w:sz="4" w:space="0"/>
            </w:tcBorders>
          </w:tcPr>
          <w:p w14:paraId="465D2CFA">
            <w:pPr>
              <w:autoSpaceDE w:val="0"/>
              <w:autoSpaceDN w:val="0"/>
              <w:spacing w:before="137"/>
              <w:ind w:left="222"/>
              <w:jc w:val="left"/>
              <w:rPr>
                <w:rFonts w:ascii="宋体" w:hAnsi="宋体" w:eastAsia="宋体" w:cs="宋体"/>
                <w:szCs w:val="22"/>
              </w:rPr>
            </w:pPr>
            <w:r>
              <w:rPr>
                <w:rFonts w:ascii="宋体" w:hAnsi="宋体" w:eastAsia="宋体" w:cs="宋体"/>
                <w:szCs w:val="22"/>
              </w:rPr>
              <w:t>建筑工程一切险的保险费率：</w:t>
            </w:r>
            <w:r>
              <w:rPr>
                <w:rFonts w:ascii="Times New Roman" w:hAnsi="Times New Roman" w:eastAsia="Times New Roman" w:cs="宋体"/>
                <w:spacing w:val="46"/>
                <w:szCs w:val="22"/>
                <w:u w:val="single"/>
              </w:rPr>
              <w:t xml:space="preserve">  </w:t>
            </w:r>
            <w:r>
              <w:rPr>
                <w:rFonts w:ascii="宋体" w:hAnsi="宋体" w:eastAsia="宋体" w:cs="宋体"/>
                <w:szCs w:val="22"/>
                <w:u w:val="single"/>
              </w:rPr>
              <w:t>3</w:t>
            </w:r>
            <w:r>
              <w:rPr>
                <w:rFonts w:ascii="宋体" w:hAnsi="宋体" w:eastAsia="宋体" w:cs="宋体"/>
                <w:spacing w:val="40"/>
                <w:w w:val="150"/>
                <w:szCs w:val="22"/>
                <w:u w:val="single"/>
              </w:rPr>
              <w:t xml:space="preserve"> </w:t>
            </w:r>
            <w:r>
              <w:rPr>
                <w:rFonts w:ascii="宋体" w:hAnsi="宋体" w:eastAsia="宋体" w:cs="宋体"/>
                <w:spacing w:val="-10"/>
                <w:szCs w:val="22"/>
              </w:rPr>
              <w:t>‰</w:t>
            </w:r>
          </w:p>
        </w:tc>
      </w:tr>
      <w:tr w14:paraId="26AAEA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5" w:hRule="atLeast"/>
        </w:trPr>
        <w:tc>
          <w:tcPr>
            <w:tcW w:w="0" w:type="auto"/>
            <w:tcBorders>
              <w:top w:val="single" w:color="000000" w:sz="4" w:space="0"/>
              <w:bottom w:val="single" w:color="000000" w:sz="4" w:space="0"/>
              <w:right w:val="single" w:color="000000" w:sz="4" w:space="0"/>
            </w:tcBorders>
          </w:tcPr>
          <w:p w14:paraId="7666B981">
            <w:pPr>
              <w:autoSpaceDE w:val="0"/>
              <w:autoSpaceDN w:val="0"/>
              <w:spacing w:before="37"/>
              <w:jc w:val="left"/>
              <w:rPr>
                <w:rFonts w:ascii="宋体" w:hAnsi="宋体" w:eastAsia="宋体" w:cs="宋体"/>
                <w:szCs w:val="22"/>
              </w:rPr>
            </w:pPr>
          </w:p>
          <w:p w14:paraId="215CA754">
            <w:pPr>
              <w:autoSpaceDE w:val="0"/>
              <w:autoSpaceDN w:val="0"/>
              <w:ind w:left="32" w:right="10"/>
              <w:jc w:val="center"/>
              <w:rPr>
                <w:rFonts w:ascii="宋体" w:hAnsi="宋体" w:eastAsia="宋体" w:cs="宋体"/>
                <w:szCs w:val="22"/>
              </w:rPr>
            </w:pPr>
            <w:r>
              <w:rPr>
                <w:rFonts w:ascii="宋体" w:hAnsi="宋体" w:eastAsia="宋体" w:cs="宋体"/>
                <w:spacing w:val="-5"/>
                <w:szCs w:val="22"/>
              </w:rPr>
              <w:t>24</w:t>
            </w:r>
          </w:p>
        </w:tc>
        <w:tc>
          <w:tcPr>
            <w:tcW w:w="0" w:type="auto"/>
            <w:tcBorders>
              <w:top w:val="single" w:color="000000" w:sz="4" w:space="0"/>
              <w:left w:val="single" w:color="000000" w:sz="4" w:space="0"/>
              <w:bottom w:val="single" w:color="000000" w:sz="4" w:space="0"/>
              <w:right w:val="single" w:color="000000" w:sz="4" w:space="0"/>
            </w:tcBorders>
          </w:tcPr>
          <w:p w14:paraId="78714797">
            <w:pPr>
              <w:autoSpaceDE w:val="0"/>
              <w:autoSpaceDN w:val="0"/>
              <w:spacing w:before="37"/>
              <w:jc w:val="left"/>
              <w:rPr>
                <w:rFonts w:ascii="宋体" w:hAnsi="宋体" w:eastAsia="宋体" w:cs="宋体"/>
                <w:szCs w:val="22"/>
              </w:rPr>
            </w:pPr>
          </w:p>
          <w:p w14:paraId="6C0B8211">
            <w:pPr>
              <w:autoSpaceDE w:val="0"/>
              <w:autoSpaceDN w:val="0"/>
              <w:ind w:left="26"/>
              <w:jc w:val="center"/>
              <w:rPr>
                <w:rFonts w:ascii="宋体" w:hAnsi="宋体" w:eastAsia="宋体" w:cs="宋体"/>
                <w:szCs w:val="22"/>
              </w:rPr>
            </w:pPr>
            <w:r>
              <w:rPr>
                <w:rFonts w:ascii="宋体" w:hAnsi="宋体" w:eastAsia="宋体" w:cs="宋体"/>
                <w:spacing w:val="-2"/>
                <w:szCs w:val="22"/>
              </w:rPr>
              <w:t>20.4.2</w:t>
            </w:r>
          </w:p>
        </w:tc>
        <w:tc>
          <w:tcPr>
            <w:tcW w:w="0" w:type="auto"/>
            <w:tcBorders>
              <w:top w:val="single" w:color="000000" w:sz="4" w:space="0"/>
              <w:left w:val="single" w:color="000000" w:sz="4" w:space="0"/>
              <w:bottom w:val="single" w:color="000000" w:sz="4" w:space="0"/>
            </w:tcBorders>
          </w:tcPr>
          <w:p w14:paraId="175D1E95">
            <w:pPr>
              <w:autoSpaceDE w:val="0"/>
              <w:autoSpaceDN w:val="0"/>
              <w:spacing w:line="400" w:lineRule="exact"/>
              <w:ind w:left="222" w:right="-15"/>
              <w:jc w:val="left"/>
              <w:rPr>
                <w:rFonts w:ascii="宋体" w:hAnsi="宋体" w:eastAsia="宋体" w:cs="宋体"/>
                <w:szCs w:val="22"/>
              </w:rPr>
            </w:pPr>
            <w:r>
              <w:rPr>
                <w:rFonts w:ascii="宋体" w:hAnsi="宋体" w:eastAsia="宋体" w:cs="宋体"/>
                <w:spacing w:val="-2"/>
                <w:szCs w:val="22"/>
              </w:rPr>
              <w:t>第三者责任险的最低投保金额：</w:t>
            </w:r>
            <w:r>
              <w:rPr>
                <w:rFonts w:hint="eastAsia" w:ascii="宋体" w:hAnsi="宋体" w:eastAsia="宋体" w:cs="宋体"/>
                <w:spacing w:val="-2"/>
                <w:szCs w:val="22"/>
                <w:u w:val="single"/>
              </w:rPr>
              <w:t>1</w:t>
            </w:r>
            <w:r>
              <w:rPr>
                <w:rFonts w:ascii="宋体" w:hAnsi="宋体" w:eastAsia="宋体" w:cs="宋体"/>
                <w:spacing w:val="-2"/>
                <w:szCs w:val="22"/>
                <w:u w:val="single"/>
              </w:rPr>
              <w:t>00</w:t>
            </w:r>
            <w:r>
              <w:rPr>
                <w:rFonts w:ascii="宋体" w:hAnsi="宋体" w:eastAsia="宋体" w:cs="宋体"/>
                <w:spacing w:val="-2"/>
                <w:szCs w:val="22"/>
              </w:rPr>
              <w:t>万元，事故次数不限(不计免赔额)，保险金额已包含在安全生产责任保险中。</w:t>
            </w:r>
          </w:p>
        </w:tc>
      </w:tr>
      <w:tr w14:paraId="333996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0" w:type="auto"/>
            <w:tcBorders>
              <w:top w:val="single" w:color="000000" w:sz="4" w:space="0"/>
              <w:bottom w:val="single" w:color="000000" w:sz="4" w:space="0"/>
              <w:right w:val="single" w:color="000000" w:sz="4" w:space="0"/>
            </w:tcBorders>
          </w:tcPr>
          <w:p w14:paraId="418FCF83">
            <w:pPr>
              <w:autoSpaceDE w:val="0"/>
              <w:autoSpaceDN w:val="0"/>
              <w:spacing w:before="166"/>
              <w:ind w:left="32" w:right="10"/>
              <w:jc w:val="center"/>
              <w:rPr>
                <w:rFonts w:ascii="宋体" w:hAnsi="宋体" w:eastAsia="宋体" w:cs="宋体"/>
                <w:szCs w:val="22"/>
              </w:rPr>
            </w:pPr>
            <w:r>
              <w:rPr>
                <w:rFonts w:ascii="宋体" w:hAnsi="宋体" w:eastAsia="宋体" w:cs="宋体"/>
                <w:spacing w:val="-5"/>
                <w:szCs w:val="22"/>
              </w:rPr>
              <w:t>25</w:t>
            </w:r>
          </w:p>
        </w:tc>
        <w:tc>
          <w:tcPr>
            <w:tcW w:w="0" w:type="auto"/>
            <w:tcBorders>
              <w:top w:val="single" w:color="000000" w:sz="4" w:space="0"/>
              <w:left w:val="single" w:color="000000" w:sz="4" w:space="0"/>
              <w:bottom w:val="single" w:color="000000" w:sz="4" w:space="0"/>
              <w:right w:val="single" w:color="000000" w:sz="4" w:space="0"/>
            </w:tcBorders>
          </w:tcPr>
          <w:p w14:paraId="1B8A24F5">
            <w:pPr>
              <w:autoSpaceDE w:val="0"/>
              <w:autoSpaceDN w:val="0"/>
              <w:spacing w:before="166"/>
              <w:ind w:left="26" w:right="3"/>
              <w:jc w:val="center"/>
              <w:rPr>
                <w:rFonts w:ascii="宋体" w:hAnsi="宋体" w:eastAsia="宋体" w:cs="宋体"/>
                <w:szCs w:val="22"/>
              </w:rPr>
            </w:pPr>
            <w:r>
              <w:rPr>
                <w:rFonts w:ascii="宋体" w:hAnsi="宋体" w:eastAsia="宋体" w:cs="宋体"/>
                <w:spacing w:val="-4"/>
                <w:szCs w:val="22"/>
              </w:rPr>
              <w:t>20.5</w:t>
            </w:r>
          </w:p>
        </w:tc>
        <w:tc>
          <w:tcPr>
            <w:tcW w:w="0" w:type="auto"/>
            <w:tcBorders>
              <w:top w:val="single" w:color="000000" w:sz="4" w:space="0"/>
              <w:left w:val="single" w:color="000000" w:sz="4" w:space="0"/>
              <w:bottom w:val="single" w:color="000000" w:sz="4" w:space="0"/>
            </w:tcBorders>
          </w:tcPr>
          <w:p w14:paraId="4EA45879">
            <w:pPr>
              <w:autoSpaceDE w:val="0"/>
              <w:autoSpaceDN w:val="0"/>
              <w:spacing w:before="166"/>
              <w:ind w:left="222"/>
              <w:jc w:val="left"/>
              <w:rPr>
                <w:rFonts w:ascii="宋体" w:hAnsi="宋体" w:eastAsia="宋体" w:cs="宋体"/>
                <w:szCs w:val="22"/>
              </w:rPr>
            </w:pPr>
            <w:r>
              <w:rPr>
                <w:rFonts w:ascii="宋体" w:hAnsi="宋体" w:eastAsia="宋体" w:cs="宋体"/>
                <w:spacing w:val="-3"/>
                <w:szCs w:val="22"/>
              </w:rPr>
              <w:t>安全生产责任保险的保险费率：</w:t>
            </w:r>
            <w:r>
              <w:rPr>
                <w:rFonts w:hint="eastAsia" w:ascii="宋体" w:hAnsi="宋体" w:eastAsia="宋体" w:cs="宋体"/>
                <w:spacing w:val="-4"/>
                <w:szCs w:val="22"/>
                <w:u w:val="single"/>
              </w:rPr>
              <w:t>2</w:t>
            </w:r>
            <w:r>
              <w:rPr>
                <w:rFonts w:ascii="宋体" w:hAnsi="宋体" w:eastAsia="宋体" w:cs="宋体"/>
                <w:spacing w:val="-4"/>
                <w:szCs w:val="22"/>
                <w:u w:val="single"/>
              </w:rPr>
              <w:t>‰</w:t>
            </w:r>
          </w:p>
        </w:tc>
      </w:tr>
      <w:tr w14:paraId="22224B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8" w:hRule="atLeast"/>
        </w:trPr>
        <w:tc>
          <w:tcPr>
            <w:tcW w:w="0" w:type="auto"/>
            <w:tcBorders>
              <w:top w:val="single" w:color="000000" w:sz="4" w:space="0"/>
              <w:right w:val="single" w:color="000000" w:sz="4" w:space="0"/>
            </w:tcBorders>
          </w:tcPr>
          <w:p w14:paraId="4572BCBC">
            <w:pPr>
              <w:autoSpaceDE w:val="0"/>
              <w:autoSpaceDN w:val="0"/>
              <w:spacing w:before="47"/>
              <w:jc w:val="left"/>
              <w:rPr>
                <w:rFonts w:ascii="宋体" w:hAnsi="宋体" w:eastAsia="宋体" w:cs="宋体"/>
                <w:szCs w:val="22"/>
              </w:rPr>
            </w:pPr>
          </w:p>
          <w:p w14:paraId="2A090AFE">
            <w:pPr>
              <w:autoSpaceDE w:val="0"/>
              <w:autoSpaceDN w:val="0"/>
              <w:ind w:left="32" w:right="13"/>
              <w:jc w:val="center"/>
              <w:rPr>
                <w:rFonts w:ascii="宋体" w:hAnsi="宋体" w:eastAsia="宋体" w:cs="宋体"/>
                <w:szCs w:val="22"/>
              </w:rPr>
            </w:pPr>
            <w:r>
              <w:rPr>
                <w:rFonts w:ascii="宋体" w:hAnsi="宋体" w:eastAsia="宋体" w:cs="宋体"/>
                <w:spacing w:val="-5"/>
                <w:szCs w:val="22"/>
              </w:rPr>
              <w:t>26</w:t>
            </w:r>
          </w:p>
        </w:tc>
        <w:tc>
          <w:tcPr>
            <w:tcW w:w="0" w:type="auto"/>
            <w:tcBorders>
              <w:top w:val="single" w:color="000000" w:sz="4" w:space="0"/>
              <w:left w:val="single" w:color="000000" w:sz="4" w:space="0"/>
              <w:right w:val="single" w:color="000000" w:sz="4" w:space="0"/>
            </w:tcBorders>
          </w:tcPr>
          <w:p w14:paraId="609AB47A">
            <w:pPr>
              <w:autoSpaceDE w:val="0"/>
              <w:autoSpaceDN w:val="0"/>
              <w:spacing w:before="47"/>
              <w:jc w:val="left"/>
              <w:rPr>
                <w:rFonts w:ascii="宋体" w:hAnsi="宋体" w:eastAsia="宋体" w:cs="宋体"/>
                <w:szCs w:val="22"/>
              </w:rPr>
            </w:pPr>
          </w:p>
          <w:p w14:paraId="26CF2D6B">
            <w:pPr>
              <w:autoSpaceDE w:val="0"/>
              <w:autoSpaceDN w:val="0"/>
              <w:ind w:left="26" w:right="3"/>
              <w:jc w:val="center"/>
              <w:rPr>
                <w:rFonts w:ascii="宋体" w:hAnsi="宋体" w:eastAsia="宋体" w:cs="宋体"/>
                <w:szCs w:val="22"/>
              </w:rPr>
            </w:pPr>
            <w:r>
              <w:rPr>
                <w:rFonts w:ascii="宋体" w:hAnsi="宋体" w:eastAsia="宋体" w:cs="宋体"/>
                <w:spacing w:val="-4"/>
                <w:szCs w:val="22"/>
              </w:rPr>
              <w:t>24.1</w:t>
            </w:r>
          </w:p>
        </w:tc>
        <w:tc>
          <w:tcPr>
            <w:tcW w:w="0" w:type="auto"/>
            <w:tcBorders>
              <w:top w:val="single" w:color="000000" w:sz="4" w:space="0"/>
              <w:left w:val="single" w:color="000000" w:sz="4" w:space="0"/>
            </w:tcBorders>
          </w:tcPr>
          <w:p w14:paraId="5D3E592E">
            <w:pPr>
              <w:autoSpaceDE w:val="0"/>
              <w:autoSpaceDN w:val="0"/>
              <w:spacing w:before="121"/>
              <w:ind w:left="222"/>
              <w:jc w:val="left"/>
              <w:rPr>
                <w:rFonts w:ascii="宋体" w:hAnsi="宋体" w:eastAsia="宋体" w:cs="宋体"/>
                <w:szCs w:val="22"/>
              </w:rPr>
            </w:pPr>
            <w:r>
              <w:rPr>
                <w:rFonts w:ascii="宋体" w:hAnsi="宋体" w:eastAsia="宋体" w:cs="宋体"/>
                <w:spacing w:val="-2"/>
                <w:szCs w:val="22"/>
              </w:rPr>
              <w:t>争议的最终解决方式：</w:t>
            </w:r>
            <w:r>
              <w:rPr>
                <w:rFonts w:ascii="宋体" w:hAnsi="宋体" w:eastAsia="宋体" w:cs="宋体"/>
                <w:spacing w:val="-6"/>
                <w:szCs w:val="22"/>
                <w:u w:val="single"/>
              </w:rPr>
              <w:t>诉讼</w:t>
            </w:r>
          </w:p>
          <w:p w14:paraId="7D7C0317">
            <w:pPr>
              <w:autoSpaceDE w:val="0"/>
              <w:autoSpaceDN w:val="0"/>
              <w:spacing w:before="128"/>
              <w:ind w:left="222"/>
              <w:jc w:val="left"/>
              <w:rPr>
                <w:rFonts w:ascii="宋体" w:hAnsi="宋体" w:eastAsia="宋体" w:cs="宋体"/>
                <w:szCs w:val="22"/>
              </w:rPr>
            </w:pPr>
            <w:r>
              <w:rPr>
                <w:rFonts w:ascii="宋体" w:hAnsi="宋体" w:eastAsia="宋体" w:cs="宋体"/>
                <w:spacing w:val="-2"/>
                <w:szCs w:val="22"/>
              </w:rPr>
              <w:t>争议的最终解决地点：</w:t>
            </w:r>
            <w:r>
              <w:rPr>
                <w:rFonts w:ascii="宋体" w:hAnsi="宋体" w:eastAsia="宋体" w:cs="宋体"/>
                <w:spacing w:val="-4"/>
                <w:szCs w:val="22"/>
                <w:u w:val="single"/>
              </w:rPr>
              <w:t>三门县人民法院</w:t>
            </w:r>
          </w:p>
        </w:tc>
      </w:tr>
    </w:tbl>
    <w:p w14:paraId="49C9B9E2">
      <w:pPr>
        <w:sectPr>
          <w:pgSz w:w="11910" w:h="16840"/>
          <w:pgMar w:top="1660" w:right="849" w:bottom="1360" w:left="992" w:header="0" w:footer="1176" w:gutter="0"/>
          <w:cols w:space="720" w:num="1"/>
        </w:sectPr>
      </w:pPr>
    </w:p>
    <w:p w14:paraId="122A1614">
      <w:pPr>
        <w:autoSpaceDE w:val="0"/>
        <w:autoSpaceDN w:val="0"/>
        <w:spacing w:before="45"/>
        <w:ind w:left="-1" w:right="140"/>
        <w:jc w:val="center"/>
        <w:outlineLvl w:val="8"/>
        <w:rPr>
          <w:rFonts w:ascii="宋体" w:hAnsi="宋体" w:eastAsia="宋体" w:cs="宋体"/>
          <w:b/>
          <w:bCs/>
          <w:sz w:val="28"/>
          <w:szCs w:val="28"/>
        </w:rPr>
      </w:pPr>
      <w:bookmarkStart w:id="369" w:name="项目专用合同条款"/>
      <w:bookmarkEnd w:id="369"/>
      <w:r>
        <w:rPr>
          <w:rFonts w:ascii="宋体" w:hAnsi="宋体" w:eastAsia="宋体" w:cs="宋体"/>
          <w:b/>
          <w:bCs/>
          <w:spacing w:val="-5"/>
          <w:sz w:val="28"/>
          <w:szCs w:val="28"/>
        </w:rPr>
        <w:t>项目专用合同条款</w:t>
      </w:r>
    </w:p>
    <w:p w14:paraId="611C6A7E">
      <w:pPr>
        <w:autoSpaceDE w:val="0"/>
        <w:autoSpaceDN w:val="0"/>
        <w:spacing w:before="106" w:line="352" w:lineRule="auto"/>
        <w:ind w:left="328" w:right="458" w:firstLine="532"/>
        <w:rPr>
          <w:rFonts w:ascii="宋体" w:hAnsi="宋体" w:eastAsia="宋体" w:cs="宋体"/>
          <w:szCs w:val="21"/>
        </w:rPr>
      </w:pPr>
      <w:r>
        <w:rPr>
          <w:rFonts w:ascii="宋体" w:hAnsi="宋体" w:eastAsia="宋体" w:cs="宋体"/>
          <w:spacing w:val="-18"/>
          <w:szCs w:val="21"/>
        </w:rPr>
        <w:t>说明：本部分所列的项目专用合同条款根据本项目的特点和实际需要，是对“通用合同条款”、</w:t>
      </w:r>
      <w:r>
        <w:rPr>
          <w:rFonts w:ascii="宋体" w:hAnsi="宋体" w:eastAsia="宋体" w:cs="宋体"/>
          <w:spacing w:val="80"/>
          <w:szCs w:val="21"/>
        </w:rPr>
        <w:t xml:space="preserve"> </w:t>
      </w:r>
      <w:r>
        <w:rPr>
          <w:rFonts w:ascii="宋体" w:hAnsi="宋体" w:eastAsia="宋体" w:cs="宋体"/>
          <w:spacing w:val="-10"/>
          <w:szCs w:val="21"/>
        </w:rPr>
        <w:t>“养护工程专用合同条款”的补充、细化或约定，应对照“通用合同条款”、“养护工程专用合同条款”</w:t>
      </w:r>
      <w:r>
        <w:rPr>
          <w:rFonts w:ascii="宋体" w:hAnsi="宋体" w:eastAsia="宋体" w:cs="宋体"/>
          <w:spacing w:val="-2"/>
          <w:szCs w:val="21"/>
        </w:rPr>
        <w:t>中同一编号的条款一起阅读和理解。</w:t>
      </w:r>
    </w:p>
    <w:p w14:paraId="2BE8E5BC">
      <w:pPr>
        <w:autoSpaceDE w:val="0"/>
        <w:autoSpaceDN w:val="0"/>
        <w:spacing w:line="269" w:lineRule="exact"/>
        <w:ind w:left="426"/>
        <w:jc w:val="left"/>
        <w:rPr>
          <w:rFonts w:ascii="宋体" w:hAnsi="宋体" w:eastAsia="宋体" w:cs="宋体"/>
          <w:szCs w:val="21"/>
        </w:rPr>
      </w:pPr>
      <w:r>
        <w:rPr>
          <w:rFonts w:ascii="宋体" w:hAnsi="宋体" w:eastAsia="宋体" w:cs="宋体"/>
          <w:spacing w:val="-10"/>
          <w:szCs w:val="21"/>
        </w:rPr>
        <w:t>2．发包人义务</w:t>
      </w:r>
    </w:p>
    <w:p w14:paraId="6065C28E">
      <w:pPr>
        <w:autoSpaceDE w:val="0"/>
        <w:autoSpaceDN w:val="0"/>
        <w:spacing w:before="128" w:line="352" w:lineRule="auto"/>
        <w:ind w:left="824" w:right="7966" w:hanging="399"/>
        <w:jc w:val="left"/>
        <w:rPr>
          <w:rFonts w:ascii="宋体" w:hAnsi="宋体" w:eastAsia="宋体" w:cs="宋体"/>
          <w:szCs w:val="21"/>
        </w:rPr>
      </w:pPr>
      <w:r>
        <w:rPr>
          <w:rFonts w:ascii="宋体" w:hAnsi="宋体" w:eastAsia="宋体" w:cs="宋体"/>
          <w:szCs w:val="21"/>
        </w:rPr>
        <w:t>2.6</w:t>
      </w:r>
      <w:r>
        <w:rPr>
          <w:rFonts w:ascii="宋体" w:hAnsi="宋体" w:eastAsia="宋体" w:cs="宋体"/>
          <w:spacing w:val="-4"/>
          <w:szCs w:val="21"/>
        </w:rPr>
        <w:t xml:space="preserve"> 支付合同价</w:t>
      </w:r>
      <w:r>
        <w:rPr>
          <w:rFonts w:ascii="宋体" w:hAnsi="宋体" w:eastAsia="宋体" w:cs="宋体"/>
          <w:szCs w:val="21"/>
        </w:rPr>
        <w:t>款</w:t>
      </w:r>
      <w:r>
        <w:rPr>
          <w:rFonts w:ascii="宋体" w:hAnsi="宋体" w:eastAsia="宋体" w:cs="宋体"/>
          <w:spacing w:val="-2"/>
          <w:szCs w:val="21"/>
        </w:rPr>
        <w:t>本条补充：</w:t>
      </w:r>
    </w:p>
    <w:p w14:paraId="5A58BFCB">
      <w:pPr>
        <w:autoSpaceDE w:val="0"/>
        <w:autoSpaceDN w:val="0"/>
        <w:spacing w:line="352" w:lineRule="auto"/>
        <w:ind w:left="426" w:right="485" w:firstLine="415"/>
        <w:jc w:val="left"/>
        <w:rPr>
          <w:rFonts w:ascii="宋体" w:hAnsi="宋体" w:eastAsia="宋体" w:cs="宋体"/>
          <w:szCs w:val="21"/>
        </w:rPr>
      </w:pPr>
      <w:r>
        <w:rPr>
          <w:rFonts w:ascii="宋体" w:hAnsi="宋体" w:eastAsia="宋体" w:cs="宋体"/>
          <w:spacing w:val="-7"/>
          <w:szCs w:val="21"/>
        </w:rPr>
        <w:t>发包人应严格执行浙江省交通运输厅《关于做好全省公路水运建设工程人工工资专用账户管理工</w:t>
      </w:r>
      <w:r>
        <w:rPr>
          <w:rFonts w:ascii="宋体" w:hAnsi="宋体" w:eastAsia="宋体" w:cs="宋体"/>
          <w:spacing w:val="-2"/>
          <w:szCs w:val="21"/>
        </w:rPr>
        <w:t>作的通知》 (浙交〔</w:t>
      </w:r>
      <w:r>
        <w:rPr>
          <w:rFonts w:ascii="宋体" w:hAnsi="宋体" w:eastAsia="宋体" w:cs="宋体"/>
          <w:szCs w:val="21"/>
        </w:rPr>
        <w:t>2018〕241</w:t>
      </w:r>
      <w:r>
        <w:rPr>
          <w:rFonts w:ascii="宋体" w:hAnsi="宋体" w:eastAsia="宋体" w:cs="宋体"/>
          <w:spacing w:val="-3"/>
          <w:szCs w:val="21"/>
        </w:rPr>
        <w:t xml:space="preserve"> 号文)、交通运输部《关于公路水运工程建设领域保障农民工工资支</w:t>
      </w:r>
      <w:r>
        <w:rPr>
          <w:rFonts w:ascii="宋体" w:hAnsi="宋体" w:eastAsia="宋体" w:cs="宋体"/>
          <w:spacing w:val="-2"/>
          <w:szCs w:val="21"/>
        </w:rPr>
        <w:t>付的意见》 (交公路规〔</w:t>
      </w:r>
      <w:r>
        <w:rPr>
          <w:rFonts w:ascii="宋体" w:hAnsi="宋体" w:eastAsia="宋体" w:cs="宋体"/>
          <w:szCs w:val="21"/>
        </w:rPr>
        <w:t>2020〕5</w:t>
      </w:r>
      <w:r>
        <w:rPr>
          <w:rFonts w:ascii="宋体" w:hAnsi="宋体" w:eastAsia="宋体" w:cs="宋体"/>
          <w:spacing w:val="-3"/>
          <w:szCs w:val="21"/>
        </w:rPr>
        <w:t xml:space="preserve"> 号文)及浙江省住建厅等部门《关于在全省工程建设领域改革保证</w:t>
      </w:r>
      <w:r>
        <w:rPr>
          <w:rFonts w:ascii="宋体" w:hAnsi="宋体" w:eastAsia="宋体" w:cs="宋体"/>
          <w:spacing w:val="-2"/>
          <w:szCs w:val="21"/>
        </w:rPr>
        <w:t>金制度的通知》（浙建〔2020〕7</w:t>
      </w:r>
      <w:r>
        <w:rPr>
          <w:rFonts w:ascii="宋体" w:hAnsi="宋体" w:eastAsia="宋体" w:cs="宋体"/>
          <w:spacing w:val="-14"/>
          <w:szCs w:val="21"/>
        </w:rPr>
        <w:t xml:space="preserve"> 号</w:t>
      </w:r>
      <w:r>
        <w:rPr>
          <w:rFonts w:ascii="宋体" w:hAnsi="宋体" w:eastAsia="宋体" w:cs="宋体"/>
          <w:spacing w:val="-2"/>
          <w:szCs w:val="21"/>
        </w:rPr>
        <w:t>）文规定，发包人应依据合同约定以及当期核报的人工工资数，将农民工工资及时足额支付到承包人开设的农民工工资专用账户。</w:t>
      </w:r>
    </w:p>
    <w:p w14:paraId="4EF94C16">
      <w:pPr>
        <w:autoSpaceDE w:val="0"/>
        <w:autoSpaceDN w:val="0"/>
        <w:spacing w:line="268" w:lineRule="exact"/>
        <w:ind w:right="8282"/>
        <w:jc w:val="right"/>
        <w:rPr>
          <w:rFonts w:ascii="宋体" w:hAnsi="宋体" w:eastAsia="宋体" w:cs="宋体"/>
          <w:szCs w:val="21"/>
        </w:rPr>
      </w:pPr>
      <w:r>
        <w:rPr>
          <w:rFonts w:ascii="宋体" w:hAnsi="宋体" w:eastAsia="宋体" w:cs="宋体"/>
          <w:szCs w:val="21"/>
        </w:rPr>
        <w:t>2.8</w:t>
      </w:r>
      <w:r>
        <w:rPr>
          <w:rFonts w:ascii="宋体" w:hAnsi="宋体" w:eastAsia="宋体" w:cs="宋体"/>
          <w:spacing w:val="34"/>
          <w:w w:val="150"/>
          <w:szCs w:val="21"/>
        </w:rPr>
        <w:t xml:space="preserve"> </w:t>
      </w:r>
      <w:r>
        <w:rPr>
          <w:rFonts w:ascii="宋体" w:hAnsi="宋体" w:eastAsia="宋体" w:cs="宋体"/>
          <w:spacing w:val="-3"/>
          <w:szCs w:val="21"/>
        </w:rPr>
        <w:t>其它义务</w:t>
      </w:r>
    </w:p>
    <w:p w14:paraId="2BB9D285">
      <w:pPr>
        <w:autoSpaceDE w:val="0"/>
        <w:autoSpaceDN w:val="0"/>
        <w:spacing w:before="122"/>
        <w:ind w:right="8203"/>
        <w:jc w:val="right"/>
        <w:rPr>
          <w:rFonts w:ascii="宋体" w:hAnsi="宋体" w:eastAsia="宋体" w:cs="宋体"/>
          <w:szCs w:val="21"/>
        </w:rPr>
      </w:pPr>
      <w:r>
        <w:rPr>
          <w:rFonts w:ascii="宋体" w:hAnsi="宋体" w:eastAsia="宋体" w:cs="宋体"/>
          <w:spacing w:val="-9"/>
          <w:szCs w:val="21"/>
        </w:rPr>
        <w:t>本条补充：</w:t>
      </w:r>
    </w:p>
    <w:p w14:paraId="577BDDCC">
      <w:pPr>
        <w:autoSpaceDE w:val="0"/>
        <w:autoSpaceDN w:val="0"/>
        <w:spacing w:before="128" w:line="352" w:lineRule="auto"/>
        <w:ind w:left="426" w:right="565" w:firstLine="444"/>
        <w:rPr>
          <w:rFonts w:ascii="宋体" w:hAnsi="宋体" w:eastAsia="宋体" w:cs="宋体"/>
          <w:szCs w:val="21"/>
        </w:rPr>
      </w:pPr>
      <w:r>
        <w:rPr>
          <w:rFonts w:ascii="宋体" w:hAnsi="宋体" w:eastAsia="宋体" w:cs="宋体"/>
          <w:spacing w:val="9"/>
          <w:szCs w:val="21"/>
        </w:rPr>
        <w:t>发包人向承包人提交和履约担保对等金额的支付担保。发包人应在签署合同协议书后</w:t>
      </w:r>
      <w:r>
        <w:rPr>
          <w:rFonts w:ascii="宋体" w:hAnsi="宋体" w:eastAsia="宋体" w:cs="宋体"/>
          <w:szCs w:val="21"/>
        </w:rPr>
        <w:t>28天内，按照金额和条件对等的原则，按招标文件规定的格式或者其他经承包人事先认可的格式向承包</w:t>
      </w:r>
      <w:r>
        <w:rPr>
          <w:rFonts w:ascii="宋体" w:hAnsi="宋体" w:eastAsia="宋体" w:cs="宋体"/>
          <w:spacing w:val="-1"/>
          <w:szCs w:val="21"/>
        </w:rPr>
        <w:t xml:space="preserve">人提交一份支付担保。支付担保的有效期同履约担保。支付担保应在发包人付清交工付款之后 </w:t>
      </w:r>
      <w:r>
        <w:rPr>
          <w:rFonts w:ascii="宋体" w:hAnsi="宋体" w:eastAsia="宋体" w:cs="宋体"/>
          <w:szCs w:val="21"/>
        </w:rPr>
        <w:t>28</w:t>
      </w:r>
      <w:r>
        <w:rPr>
          <w:rFonts w:ascii="宋体" w:hAnsi="宋体" w:eastAsia="宋体" w:cs="宋体"/>
          <w:spacing w:val="-2"/>
          <w:szCs w:val="21"/>
        </w:rPr>
        <w:t>天内退还给发包人，承包人不承担发包人与支付担保有关的任何利息或其他费用或收益。</w:t>
      </w:r>
    </w:p>
    <w:p w14:paraId="27E6C17C">
      <w:pPr>
        <w:numPr>
          <w:ilvl w:val="0"/>
          <w:numId w:val="76"/>
        </w:numPr>
        <w:tabs>
          <w:tab w:val="left" w:pos="727"/>
        </w:tabs>
        <w:autoSpaceDE w:val="0"/>
        <w:autoSpaceDN w:val="0"/>
        <w:spacing w:line="269" w:lineRule="exact"/>
        <w:ind w:left="727" w:hanging="301"/>
        <w:rPr>
          <w:rFonts w:ascii="宋体" w:hAnsi="宋体" w:eastAsia="宋体" w:cs="宋体"/>
          <w:szCs w:val="22"/>
        </w:rPr>
      </w:pPr>
      <w:r>
        <w:rPr>
          <w:rFonts w:ascii="宋体" w:hAnsi="宋体" w:eastAsia="宋体" w:cs="宋体"/>
          <w:spacing w:val="-12"/>
          <w:szCs w:val="22"/>
        </w:rPr>
        <w:t>承包人</w:t>
      </w:r>
    </w:p>
    <w:p w14:paraId="6518D14D">
      <w:pPr>
        <w:numPr>
          <w:ilvl w:val="1"/>
          <w:numId w:val="76"/>
        </w:numPr>
        <w:tabs>
          <w:tab w:val="left" w:pos="921"/>
        </w:tabs>
        <w:autoSpaceDE w:val="0"/>
        <w:autoSpaceDN w:val="0"/>
        <w:spacing w:before="125"/>
        <w:ind w:left="921" w:hanging="495"/>
        <w:rPr>
          <w:rFonts w:ascii="宋体" w:hAnsi="宋体" w:eastAsia="宋体" w:cs="宋体"/>
          <w:szCs w:val="22"/>
        </w:rPr>
      </w:pPr>
      <w:r>
        <w:rPr>
          <w:rFonts w:ascii="宋体" w:hAnsi="宋体" w:eastAsia="宋体" w:cs="宋体"/>
          <w:spacing w:val="-10"/>
          <w:szCs w:val="22"/>
        </w:rPr>
        <w:t>承包人的一般义务</w:t>
      </w:r>
    </w:p>
    <w:p w14:paraId="4AD0AFB5">
      <w:pPr>
        <w:autoSpaceDE w:val="0"/>
        <w:autoSpaceDN w:val="0"/>
        <w:spacing w:before="128"/>
        <w:ind w:left="829"/>
        <w:rPr>
          <w:rFonts w:ascii="宋体" w:hAnsi="宋体" w:eastAsia="宋体" w:cs="宋体"/>
          <w:szCs w:val="21"/>
        </w:rPr>
      </w:pPr>
      <w:r>
        <w:rPr>
          <w:rFonts w:ascii="宋体" w:hAnsi="宋体" w:eastAsia="宋体" w:cs="宋体"/>
          <w:szCs w:val="21"/>
        </w:rPr>
        <w:t>4.1.10</w:t>
      </w:r>
      <w:r>
        <w:rPr>
          <w:rFonts w:ascii="宋体" w:hAnsi="宋体" w:eastAsia="宋体" w:cs="宋体"/>
          <w:spacing w:val="2"/>
          <w:szCs w:val="21"/>
        </w:rPr>
        <w:t xml:space="preserve"> 其它义务</w:t>
      </w:r>
    </w:p>
    <w:p w14:paraId="61B4E8BF">
      <w:pPr>
        <w:autoSpaceDE w:val="0"/>
        <w:autoSpaceDN w:val="0"/>
        <w:spacing w:before="128"/>
        <w:ind w:left="829"/>
        <w:rPr>
          <w:rFonts w:ascii="宋体" w:hAnsi="宋体" w:eastAsia="宋体" w:cs="宋体"/>
          <w:szCs w:val="21"/>
        </w:rPr>
      </w:pPr>
      <w:r>
        <w:rPr>
          <w:rFonts w:ascii="宋体" w:hAnsi="宋体" w:eastAsia="宋体" w:cs="宋体"/>
          <w:spacing w:val="3"/>
          <w:szCs w:val="21"/>
        </w:rPr>
        <w:t xml:space="preserve">本项第 </w:t>
      </w:r>
      <w:r>
        <w:rPr>
          <w:rFonts w:ascii="宋体" w:hAnsi="宋体" w:eastAsia="宋体" w:cs="宋体"/>
          <w:spacing w:val="-2"/>
          <w:szCs w:val="21"/>
        </w:rPr>
        <w:t>4.1.10（2）</w:t>
      </w:r>
      <w:r>
        <w:rPr>
          <w:rFonts w:ascii="宋体" w:hAnsi="宋体" w:eastAsia="宋体" w:cs="宋体"/>
          <w:spacing w:val="-8"/>
          <w:szCs w:val="21"/>
        </w:rPr>
        <w:t xml:space="preserve"> 目细化为：</w:t>
      </w:r>
    </w:p>
    <w:p w14:paraId="195D91BC">
      <w:pPr>
        <w:autoSpaceDE w:val="0"/>
        <w:autoSpaceDN w:val="0"/>
        <w:spacing w:before="125" w:line="352" w:lineRule="auto"/>
        <w:ind w:left="426" w:right="581" w:firstLine="333"/>
        <w:rPr>
          <w:rFonts w:ascii="宋体" w:hAnsi="宋体" w:eastAsia="宋体" w:cs="宋体"/>
          <w:szCs w:val="21"/>
        </w:rPr>
      </w:pPr>
      <w:r>
        <w:rPr>
          <w:rFonts w:ascii="宋体" w:hAnsi="宋体" w:eastAsia="宋体" w:cs="宋体"/>
          <w:szCs w:val="21"/>
        </w:rPr>
        <w:t>（2）</w:t>
      </w:r>
      <w:r>
        <w:rPr>
          <w:rFonts w:ascii="宋体" w:hAnsi="宋体" w:eastAsia="宋体" w:cs="宋体"/>
          <w:spacing w:val="6"/>
          <w:szCs w:val="21"/>
        </w:rPr>
        <w:t>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w:t>
      </w:r>
      <w:r>
        <w:rPr>
          <w:rFonts w:ascii="宋体" w:hAnsi="宋体" w:eastAsia="宋体" w:cs="宋体"/>
          <w:spacing w:val="5"/>
          <w:szCs w:val="21"/>
        </w:rPr>
        <w:t>支付其拖欠的材料、设备货款及民工工资，并从应付给承包人的工程款中扣除相应款项。对恶</w:t>
      </w:r>
      <w:r>
        <w:rPr>
          <w:rFonts w:ascii="宋体" w:hAnsi="宋体" w:eastAsia="宋体" w:cs="宋体"/>
          <w:spacing w:val="10"/>
          <w:szCs w:val="21"/>
        </w:rPr>
        <w:t>意拖欠和拒不按计划支付的，作为不良记录纳入浙江省交通运输信用综合管理服务系统。</w:t>
      </w:r>
    </w:p>
    <w:p w14:paraId="7F7B0227">
      <w:pPr>
        <w:autoSpaceDE w:val="0"/>
        <w:autoSpaceDN w:val="0"/>
        <w:spacing w:line="268" w:lineRule="exact"/>
        <w:ind w:left="870"/>
        <w:jc w:val="left"/>
        <w:rPr>
          <w:rFonts w:ascii="宋体" w:hAnsi="宋体" w:eastAsia="宋体" w:cs="宋体"/>
          <w:szCs w:val="21"/>
        </w:rPr>
      </w:pPr>
      <w:r>
        <w:rPr>
          <w:rFonts w:ascii="宋体" w:hAnsi="宋体" w:eastAsia="宋体" w:cs="宋体"/>
          <w:spacing w:val="8"/>
          <w:szCs w:val="21"/>
        </w:rPr>
        <w:t>承包人应按规定缴纳农民工工资保证金。</w:t>
      </w:r>
    </w:p>
    <w:p w14:paraId="6FF99077">
      <w:pPr>
        <w:autoSpaceDE w:val="0"/>
        <w:autoSpaceDN w:val="0"/>
        <w:spacing w:before="126" w:line="352" w:lineRule="auto"/>
        <w:ind w:left="426" w:right="468" w:firstLine="444"/>
        <w:jc w:val="left"/>
        <w:rPr>
          <w:rFonts w:ascii="宋体" w:hAnsi="宋体" w:eastAsia="宋体" w:cs="宋体"/>
          <w:szCs w:val="21"/>
        </w:rPr>
      </w:pPr>
      <w:r>
        <w:rPr>
          <w:rFonts w:ascii="宋体" w:hAnsi="宋体" w:eastAsia="宋体" w:cs="宋体"/>
          <w:spacing w:val="8"/>
          <w:szCs w:val="21"/>
        </w:rPr>
        <w:t>承包人应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 2 个监督电话（电话为当地交通主管部门和劳动保障部门等第三方单位可打通的号码），公示期符合相关规定。承包人应加强劳动合同管理，规范公路建设用工行为。不拖欠农民工工资，及时、足额发放农民工工资</w:t>
      </w:r>
      <w:r>
        <w:rPr>
          <w:rFonts w:ascii="宋体" w:hAnsi="宋体" w:eastAsia="宋体" w:cs="宋体"/>
          <w:spacing w:val="-11"/>
          <w:w w:val="99"/>
          <w:szCs w:val="21"/>
        </w:rPr>
        <w:t>。</w:t>
      </w:r>
    </w:p>
    <w:p w14:paraId="5B7D26C3">
      <w:pPr>
        <w:spacing w:line="352" w:lineRule="auto"/>
        <w:sectPr>
          <w:pgSz w:w="11910" w:h="16840"/>
          <w:pgMar w:top="1560" w:right="849" w:bottom="1360" w:left="992" w:header="0" w:footer="1176" w:gutter="0"/>
          <w:cols w:space="720" w:num="1"/>
        </w:sectPr>
      </w:pPr>
    </w:p>
    <w:p w14:paraId="2028E831">
      <w:pPr>
        <w:autoSpaceDE w:val="0"/>
        <w:autoSpaceDN w:val="0"/>
        <w:spacing w:before="37"/>
        <w:ind w:left="853"/>
        <w:jc w:val="left"/>
        <w:rPr>
          <w:rFonts w:ascii="宋体" w:hAnsi="宋体" w:eastAsia="宋体" w:cs="宋体"/>
          <w:szCs w:val="21"/>
        </w:rPr>
      </w:pPr>
      <w:r>
        <w:rPr>
          <w:rFonts w:ascii="宋体" w:hAnsi="宋体" w:eastAsia="宋体" w:cs="宋体"/>
          <w:spacing w:val="2"/>
          <w:szCs w:val="21"/>
        </w:rPr>
        <w:t xml:space="preserve">本项补充第 </w:t>
      </w:r>
      <w:r>
        <w:rPr>
          <w:rFonts w:ascii="宋体" w:hAnsi="宋体" w:eastAsia="宋体" w:cs="宋体"/>
          <w:spacing w:val="-2"/>
          <w:szCs w:val="21"/>
        </w:rPr>
        <w:t>4.1.10（4）~（</w:t>
      </w:r>
      <w:r>
        <w:rPr>
          <w:rFonts w:hint="eastAsia" w:ascii="宋体" w:hAnsi="宋体" w:eastAsia="宋体" w:cs="宋体"/>
          <w:spacing w:val="-2"/>
          <w:szCs w:val="21"/>
        </w:rPr>
        <w:t>6</w:t>
      </w:r>
      <w:r>
        <w:rPr>
          <w:rFonts w:ascii="宋体" w:hAnsi="宋体" w:eastAsia="宋体" w:cs="宋体"/>
          <w:spacing w:val="-2"/>
          <w:szCs w:val="21"/>
        </w:rPr>
        <w:t>）:</w:t>
      </w:r>
    </w:p>
    <w:p w14:paraId="680DA150">
      <w:pPr>
        <w:numPr>
          <w:ilvl w:val="0"/>
          <w:numId w:val="75"/>
        </w:numPr>
        <w:tabs>
          <w:tab w:val="left" w:pos="1245"/>
        </w:tabs>
        <w:autoSpaceDE w:val="0"/>
        <w:autoSpaceDN w:val="0"/>
        <w:spacing w:before="125" w:line="352" w:lineRule="auto"/>
        <w:ind w:left="426" w:right="461" w:firstLine="312"/>
        <w:rPr>
          <w:rFonts w:ascii="宋体" w:hAnsi="宋体" w:eastAsia="宋体" w:cs="宋体"/>
          <w:szCs w:val="22"/>
        </w:rPr>
      </w:pPr>
      <w:r>
        <w:rPr>
          <w:rFonts w:ascii="宋体" w:hAnsi="宋体" w:eastAsia="宋体" w:cs="宋体"/>
          <w:spacing w:val="-2"/>
          <w:szCs w:val="22"/>
        </w:rPr>
        <w:t>承包人应按照《浙江省交通建设工程施工安全风险管理办法》（浙交〔2021〕16号）、《公路水运工程平安工地建设管理办法》（交安监发〔2018〕43号）、《浙江省交通建设工程质量和安全</w:t>
      </w:r>
      <w:r>
        <w:rPr>
          <w:rFonts w:ascii="宋体" w:hAnsi="宋体" w:eastAsia="宋体" w:cs="宋体"/>
          <w:spacing w:val="-14"/>
          <w:szCs w:val="22"/>
        </w:rPr>
        <w:t>生产管理条例》、《关于进一步加强全省交通建设工程安全生产管理工作的若干规定》</w:t>
      </w:r>
      <w:r>
        <w:rPr>
          <w:rFonts w:ascii="宋体" w:hAnsi="宋体" w:eastAsia="宋体" w:cs="宋体"/>
          <w:spacing w:val="-4"/>
          <w:szCs w:val="22"/>
        </w:rPr>
        <w:t xml:space="preserve">（浙交〔2020〕 </w:t>
      </w:r>
      <w:r>
        <w:rPr>
          <w:rFonts w:ascii="宋体" w:hAnsi="宋体" w:eastAsia="宋体" w:cs="宋体"/>
          <w:spacing w:val="-2"/>
          <w:szCs w:val="22"/>
        </w:rPr>
        <w:t>104号）、《浙江省交通建设工程安全生产费用管理办法》（浙交〔2021〕12号）等相关部门的要求进行安全、文明施工。承包人应加强做好文明施工，和谐稳定工作，避免发生因承包人原因引起的群体性上访事件。</w:t>
      </w:r>
    </w:p>
    <w:p w14:paraId="38F4B83B">
      <w:pPr>
        <w:numPr>
          <w:ilvl w:val="0"/>
          <w:numId w:val="75"/>
        </w:numPr>
        <w:tabs>
          <w:tab w:val="left" w:pos="1236"/>
        </w:tabs>
        <w:autoSpaceDE w:val="0"/>
        <w:autoSpaceDN w:val="0"/>
        <w:spacing w:line="352" w:lineRule="auto"/>
        <w:ind w:left="426" w:right="564" w:firstLine="312"/>
        <w:jc w:val="both"/>
        <w:rPr>
          <w:rFonts w:ascii="宋体" w:hAnsi="宋体" w:eastAsia="宋体" w:cs="宋体"/>
          <w:szCs w:val="22"/>
        </w:rPr>
      </w:pPr>
      <w:r>
        <w:rPr>
          <w:rFonts w:ascii="宋体" w:hAnsi="宋体" w:eastAsia="宋体" w:cs="宋体"/>
          <w:spacing w:val="-4"/>
          <w:szCs w:val="22"/>
        </w:rPr>
        <w:t>承包人应根据省（市）相关部门对扬尘治理提出的有关要求开展相应工作，此项费用包含在投标总价中发包人不另行计量支付；在施工过程中须采取相关防尘措施，发包人及监理人有权进行监督，并向承包人提出整改要求。如果由于承包人未采取必要措施导致或引发的有关罚款、索赔、损失</w:t>
      </w:r>
      <w:r>
        <w:rPr>
          <w:rFonts w:ascii="宋体" w:hAnsi="宋体" w:eastAsia="宋体" w:cs="宋体"/>
          <w:spacing w:val="-2"/>
          <w:szCs w:val="22"/>
        </w:rPr>
        <w:t>补偿、诉讼费用及其它一切责任应由承包人自行承担。</w:t>
      </w:r>
    </w:p>
    <w:p w14:paraId="0FA12630">
      <w:pPr>
        <w:numPr>
          <w:ilvl w:val="0"/>
          <w:numId w:val="75"/>
        </w:numPr>
        <w:tabs>
          <w:tab w:val="left" w:pos="1236"/>
        </w:tabs>
        <w:autoSpaceDE w:val="0"/>
        <w:autoSpaceDN w:val="0"/>
        <w:spacing w:line="352" w:lineRule="auto"/>
        <w:ind w:left="426" w:right="564" w:firstLine="312"/>
        <w:jc w:val="both"/>
        <w:rPr>
          <w:rFonts w:ascii="宋体" w:hAnsi="宋体" w:eastAsia="宋体" w:cs="宋体"/>
          <w:szCs w:val="22"/>
        </w:rPr>
      </w:pPr>
      <w:r>
        <w:rPr>
          <w:rFonts w:hint="eastAsia" w:ascii="宋体" w:hAnsi="宋体" w:eastAsia="宋体" w:cs="宋体"/>
          <w:sz w:val="22"/>
          <w:szCs w:val="22"/>
        </w:rPr>
        <w:t>施工人员应按要求在台州市养护工程系统上进行考勤。</w:t>
      </w:r>
    </w:p>
    <w:p w14:paraId="5BC46296">
      <w:pPr>
        <w:autoSpaceDE w:val="0"/>
        <w:autoSpaceDN w:val="0"/>
        <w:spacing w:line="269" w:lineRule="exact"/>
        <w:ind w:left="426"/>
        <w:rPr>
          <w:rFonts w:ascii="宋体" w:hAnsi="宋体" w:eastAsia="宋体" w:cs="宋体"/>
          <w:szCs w:val="21"/>
        </w:rPr>
      </w:pPr>
      <w:r>
        <w:rPr>
          <w:rFonts w:ascii="宋体" w:hAnsi="宋体" w:eastAsia="宋体" w:cs="宋体"/>
          <w:szCs w:val="21"/>
        </w:rPr>
        <w:t>4.3</w:t>
      </w:r>
      <w:r>
        <w:rPr>
          <w:rFonts w:ascii="宋体" w:hAnsi="宋体" w:eastAsia="宋体" w:cs="宋体"/>
          <w:spacing w:val="50"/>
          <w:w w:val="150"/>
          <w:szCs w:val="21"/>
        </w:rPr>
        <w:t xml:space="preserve"> </w:t>
      </w:r>
      <w:r>
        <w:rPr>
          <w:rFonts w:ascii="宋体" w:hAnsi="宋体" w:eastAsia="宋体" w:cs="宋体"/>
          <w:spacing w:val="-5"/>
          <w:szCs w:val="21"/>
        </w:rPr>
        <w:t>分包</w:t>
      </w:r>
    </w:p>
    <w:p w14:paraId="205C3345">
      <w:pPr>
        <w:autoSpaceDE w:val="0"/>
        <w:autoSpaceDN w:val="0"/>
        <w:spacing w:before="120"/>
        <w:ind w:left="865"/>
        <w:rPr>
          <w:rFonts w:ascii="宋体" w:hAnsi="宋体" w:eastAsia="宋体" w:cs="宋体"/>
          <w:szCs w:val="21"/>
        </w:rPr>
      </w:pPr>
      <w:r>
        <w:rPr>
          <w:rFonts w:ascii="宋体" w:hAnsi="宋体" w:eastAsia="宋体" w:cs="宋体"/>
          <w:spacing w:val="18"/>
          <w:szCs w:val="21"/>
        </w:rPr>
        <w:t xml:space="preserve">第 </w:t>
      </w:r>
      <w:r>
        <w:rPr>
          <w:rFonts w:ascii="宋体" w:hAnsi="宋体" w:eastAsia="宋体" w:cs="宋体"/>
          <w:szCs w:val="21"/>
        </w:rPr>
        <w:t>4.3.3（1）</w:t>
      </w:r>
      <w:r>
        <w:rPr>
          <w:rFonts w:ascii="宋体" w:hAnsi="宋体" w:eastAsia="宋体" w:cs="宋体"/>
          <w:spacing w:val="9"/>
          <w:szCs w:val="21"/>
        </w:rPr>
        <w:t xml:space="preserve"> 目补充：</w:t>
      </w:r>
    </w:p>
    <w:p w14:paraId="4A9E692E">
      <w:pPr>
        <w:autoSpaceDE w:val="0"/>
        <w:autoSpaceDN w:val="0"/>
        <w:spacing w:before="126"/>
        <w:ind w:left="736"/>
        <w:rPr>
          <w:rFonts w:ascii="宋体" w:hAnsi="宋体" w:eastAsia="宋体" w:cs="宋体"/>
          <w:szCs w:val="21"/>
        </w:rPr>
      </w:pPr>
      <w:r>
        <w:rPr>
          <w:rFonts w:ascii="宋体" w:hAnsi="宋体" w:eastAsia="宋体" w:cs="宋体"/>
          <w:szCs w:val="21"/>
        </w:rPr>
        <w:t>（1）</w:t>
      </w:r>
      <w:r>
        <w:rPr>
          <w:rFonts w:ascii="宋体" w:hAnsi="宋体" w:eastAsia="宋体" w:cs="宋体"/>
          <w:spacing w:val="4"/>
          <w:szCs w:val="21"/>
        </w:rPr>
        <w:t>不允许分包的工程内容为：</w:t>
      </w:r>
      <w:r>
        <w:rPr>
          <w:rFonts w:ascii="Times New Roman" w:hAnsi="宋体" w:eastAsia="Times New Roman" w:cs="宋体"/>
          <w:spacing w:val="66"/>
          <w:szCs w:val="21"/>
          <w:u w:val="single"/>
        </w:rPr>
        <w:t xml:space="preserve">  </w:t>
      </w:r>
      <w:r>
        <w:rPr>
          <w:rFonts w:ascii="宋体" w:hAnsi="宋体" w:eastAsia="宋体" w:cs="宋体"/>
          <w:spacing w:val="5"/>
          <w:szCs w:val="21"/>
          <w:u w:val="single"/>
        </w:rPr>
        <w:t>本项目不允许分包</w:t>
      </w:r>
      <w:r>
        <w:rPr>
          <w:rFonts w:ascii="宋体" w:hAnsi="宋体" w:eastAsia="宋体" w:cs="宋体"/>
          <w:spacing w:val="566"/>
          <w:w w:val="150"/>
          <w:szCs w:val="21"/>
          <w:u w:val="single"/>
        </w:rPr>
        <w:t xml:space="preserve"> </w:t>
      </w:r>
      <w:r>
        <w:rPr>
          <w:rFonts w:ascii="宋体" w:hAnsi="宋体" w:eastAsia="宋体" w:cs="宋体"/>
          <w:spacing w:val="-10"/>
          <w:szCs w:val="21"/>
        </w:rPr>
        <w:t>。</w:t>
      </w:r>
    </w:p>
    <w:p w14:paraId="60C265EF">
      <w:pPr>
        <w:autoSpaceDE w:val="0"/>
        <w:autoSpaceDN w:val="0"/>
        <w:spacing w:before="127" w:line="352" w:lineRule="auto"/>
        <w:ind w:left="426" w:right="629" w:firstLine="439"/>
        <w:jc w:val="left"/>
        <w:rPr>
          <w:rFonts w:ascii="宋体" w:hAnsi="宋体" w:eastAsia="宋体" w:cs="宋体"/>
          <w:szCs w:val="21"/>
        </w:rPr>
      </w:pPr>
      <w:r>
        <w:rPr>
          <w:rFonts w:ascii="宋体" w:hAnsi="宋体" w:eastAsia="宋体" w:cs="宋体"/>
          <w:spacing w:val="4"/>
          <w:szCs w:val="21"/>
        </w:rPr>
        <w:t>承包人在中标后补充提交分包计划的，应按规定及时向监理人提交分包计划并经发包人批准后，可以依法实施分包</w:t>
      </w:r>
      <w:r>
        <w:rPr>
          <w:rFonts w:ascii="宋体" w:hAnsi="宋体" w:eastAsia="宋体" w:cs="宋体"/>
          <w:spacing w:val="8"/>
          <w:w w:val="99"/>
          <w:szCs w:val="21"/>
        </w:rPr>
        <w:t>。</w:t>
      </w:r>
    </w:p>
    <w:p w14:paraId="47E6B175">
      <w:pPr>
        <w:autoSpaceDE w:val="0"/>
        <w:autoSpaceDN w:val="0"/>
        <w:spacing w:line="270" w:lineRule="exact"/>
        <w:ind w:left="836"/>
        <w:jc w:val="left"/>
        <w:rPr>
          <w:rFonts w:ascii="宋体" w:hAnsi="宋体" w:eastAsia="宋体" w:cs="宋体"/>
          <w:szCs w:val="21"/>
        </w:rPr>
      </w:pPr>
      <w:r>
        <w:rPr>
          <w:rFonts w:ascii="宋体" w:hAnsi="宋体" w:eastAsia="宋体" w:cs="宋体"/>
          <w:spacing w:val="-13"/>
          <w:szCs w:val="21"/>
        </w:rPr>
        <w:t xml:space="preserve">第 </w:t>
      </w:r>
      <w:r>
        <w:rPr>
          <w:rFonts w:ascii="宋体" w:hAnsi="宋体" w:eastAsia="宋体" w:cs="宋体"/>
          <w:szCs w:val="21"/>
        </w:rPr>
        <w:t>4.3.7</w:t>
      </w:r>
      <w:r>
        <w:rPr>
          <w:rFonts w:ascii="宋体" w:hAnsi="宋体" w:eastAsia="宋体" w:cs="宋体"/>
          <w:spacing w:val="-7"/>
          <w:szCs w:val="21"/>
        </w:rPr>
        <w:t xml:space="preserve"> 项细化为：</w:t>
      </w:r>
    </w:p>
    <w:p w14:paraId="18FE6605">
      <w:pPr>
        <w:autoSpaceDE w:val="0"/>
        <w:autoSpaceDN w:val="0"/>
        <w:spacing w:before="128" w:line="352" w:lineRule="auto"/>
        <w:ind w:left="426" w:right="571" w:firstLine="410"/>
        <w:jc w:val="left"/>
        <w:rPr>
          <w:rFonts w:ascii="宋体" w:hAnsi="宋体" w:eastAsia="宋体" w:cs="宋体"/>
          <w:szCs w:val="21"/>
        </w:rPr>
      </w:pPr>
      <w:r>
        <w:rPr>
          <w:rFonts w:ascii="宋体" w:hAnsi="宋体" w:eastAsia="宋体" w:cs="宋体"/>
          <w:spacing w:val="-4"/>
          <w:szCs w:val="21"/>
        </w:rPr>
        <w:t>4.3.7</w:t>
      </w:r>
      <w:r>
        <w:rPr>
          <w:rFonts w:ascii="宋体" w:hAnsi="宋体" w:eastAsia="宋体" w:cs="宋体"/>
          <w:spacing w:val="-9"/>
          <w:szCs w:val="21"/>
        </w:rPr>
        <w:t xml:space="preserve"> 本项目的各项分包工作均应遵守《公路工程施工分包管理办法》及《浙江省公路水运工程</w:t>
      </w:r>
      <w:r>
        <w:rPr>
          <w:rFonts w:ascii="宋体" w:hAnsi="宋体" w:eastAsia="宋体" w:cs="宋体"/>
          <w:spacing w:val="-2"/>
          <w:szCs w:val="21"/>
        </w:rPr>
        <w:t>施工分包和劳务合作管理实施细则》的有关规定。</w:t>
      </w:r>
    </w:p>
    <w:p w14:paraId="4BCBD528">
      <w:pPr>
        <w:numPr>
          <w:ilvl w:val="1"/>
          <w:numId w:val="77"/>
        </w:numPr>
        <w:tabs>
          <w:tab w:val="left" w:pos="1038"/>
        </w:tabs>
        <w:autoSpaceDE w:val="0"/>
        <w:autoSpaceDN w:val="0"/>
        <w:spacing w:line="270" w:lineRule="exact"/>
        <w:ind w:left="1038" w:hanging="612"/>
        <w:rPr>
          <w:rFonts w:ascii="宋体" w:hAnsi="宋体" w:eastAsia="宋体" w:cs="宋体"/>
          <w:szCs w:val="22"/>
        </w:rPr>
      </w:pPr>
      <w:r>
        <w:rPr>
          <w:rFonts w:ascii="宋体" w:hAnsi="宋体" w:eastAsia="宋体" w:cs="宋体"/>
          <w:spacing w:val="-7"/>
          <w:szCs w:val="22"/>
        </w:rPr>
        <w:t>不利物质条件</w:t>
      </w:r>
    </w:p>
    <w:p w14:paraId="710C861A">
      <w:pPr>
        <w:numPr>
          <w:ilvl w:val="2"/>
          <w:numId w:val="77"/>
        </w:numPr>
        <w:tabs>
          <w:tab w:val="left" w:pos="1653"/>
          <w:tab w:val="left" w:pos="4223"/>
        </w:tabs>
        <w:autoSpaceDE w:val="0"/>
        <w:autoSpaceDN w:val="0"/>
        <w:spacing w:before="128"/>
        <w:ind w:left="1653" w:hanging="817"/>
        <w:rPr>
          <w:rFonts w:ascii="宋体" w:hAnsi="宋体" w:eastAsia="宋体" w:cs="宋体"/>
          <w:szCs w:val="22"/>
        </w:rPr>
      </w:pPr>
      <w:r>
        <w:rPr>
          <w:rFonts w:ascii="宋体" w:hAnsi="宋体" w:eastAsia="宋体" w:cs="宋体"/>
          <w:spacing w:val="-6"/>
          <w:szCs w:val="22"/>
        </w:rPr>
        <w:t>不利物质条件的范围</w:t>
      </w:r>
      <w:r>
        <w:rPr>
          <w:rFonts w:ascii="宋体" w:hAnsi="宋体" w:eastAsia="宋体" w:cs="宋体"/>
          <w:spacing w:val="-10"/>
          <w:szCs w:val="22"/>
        </w:rPr>
        <w:t>：</w:t>
      </w:r>
      <w:r>
        <w:rPr>
          <w:rFonts w:ascii="Times New Roman" w:hAnsi="宋体" w:eastAsia="Times New Roman" w:cs="宋体"/>
          <w:szCs w:val="22"/>
          <w:u w:val="single"/>
        </w:rPr>
        <w:tab/>
      </w:r>
      <w:r>
        <w:rPr>
          <w:rFonts w:ascii="宋体" w:hAnsi="宋体" w:eastAsia="宋体" w:cs="宋体"/>
          <w:spacing w:val="-10"/>
          <w:szCs w:val="22"/>
          <w:u w:val="single"/>
        </w:rPr>
        <w:t>/</w:t>
      </w:r>
    </w:p>
    <w:p w14:paraId="4E0EDAA5">
      <w:pPr>
        <w:numPr>
          <w:ilvl w:val="0"/>
          <w:numId w:val="16"/>
        </w:numPr>
        <w:tabs>
          <w:tab w:val="left" w:pos="734"/>
        </w:tabs>
        <w:autoSpaceDE w:val="0"/>
        <w:autoSpaceDN w:val="0"/>
        <w:spacing w:before="128"/>
        <w:ind w:left="734" w:hanging="308"/>
        <w:rPr>
          <w:rFonts w:ascii="宋体" w:hAnsi="宋体" w:eastAsia="宋体" w:cs="宋体"/>
          <w:szCs w:val="22"/>
        </w:rPr>
      </w:pPr>
      <w:r>
        <w:rPr>
          <w:rFonts w:ascii="宋体" w:hAnsi="宋体" w:eastAsia="宋体" w:cs="宋体"/>
          <w:spacing w:val="-7"/>
          <w:szCs w:val="22"/>
        </w:rPr>
        <w:t>施工安全、治安保卫和环境保护</w:t>
      </w:r>
    </w:p>
    <w:p w14:paraId="722022C9">
      <w:pPr>
        <w:autoSpaceDE w:val="0"/>
        <w:autoSpaceDN w:val="0"/>
        <w:spacing w:before="125"/>
        <w:ind w:left="426"/>
        <w:jc w:val="left"/>
        <w:rPr>
          <w:rFonts w:ascii="宋体" w:hAnsi="宋体" w:eastAsia="宋体" w:cs="宋体"/>
          <w:szCs w:val="21"/>
        </w:rPr>
      </w:pPr>
      <w:r>
        <w:rPr>
          <w:rFonts w:ascii="宋体" w:hAnsi="宋体" w:eastAsia="宋体" w:cs="宋体"/>
          <w:szCs w:val="21"/>
        </w:rPr>
        <w:t>9.2 承包人的施工安全责任</w:t>
      </w:r>
    </w:p>
    <w:p w14:paraId="6C83DC13">
      <w:pPr>
        <w:autoSpaceDE w:val="0"/>
        <w:autoSpaceDN w:val="0"/>
        <w:spacing w:before="128"/>
        <w:ind w:left="841"/>
        <w:jc w:val="left"/>
        <w:rPr>
          <w:rFonts w:ascii="宋体" w:hAnsi="宋体" w:eastAsia="宋体" w:cs="宋体"/>
          <w:szCs w:val="21"/>
        </w:rPr>
      </w:pPr>
      <w:r>
        <w:rPr>
          <w:rFonts w:ascii="宋体" w:hAnsi="宋体" w:eastAsia="宋体" w:cs="宋体"/>
          <w:spacing w:val="-4"/>
          <w:szCs w:val="21"/>
        </w:rPr>
        <w:t xml:space="preserve">养护工程专用合同条款第 </w:t>
      </w:r>
      <w:r>
        <w:rPr>
          <w:rFonts w:ascii="宋体" w:hAnsi="宋体" w:eastAsia="宋体" w:cs="宋体"/>
          <w:spacing w:val="-2"/>
          <w:szCs w:val="21"/>
        </w:rPr>
        <w:t>9.2.1</w:t>
      </w:r>
      <w:r>
        <w:rPr>
          <w:rFonts w:ascii="宋体" w:hAnsi="宋体" w:eastAsia="宋体" w:cs="宋体"/>
          <w:spacing w:val="-6"/>
          <w:szCs w:val="21"/>
        </w:rPr>
        <w:t xml:space="preserve"> 项补充：</w:t>
      </w:r>
    </w:p>
    <w:p w14:paraId="22F4D418">
      <w:pPr>
        <w:autoSpaceDE w:val="0"/>
        <w:autoSpaceDN w:val="0"/>
        <w:spacing w:before="128" w:line="350" w:lineRule="auto"/>
        <w:ind w:left="426" w:right="566" w:firstLine="415"/>
        <w:jc w:val="left"/>
        <w:rPr>
          <w:rFonts w:ascii="宋体" w:hAnsi="宋体" w:eastAsia="宋体" w:cs="宋体"/>
          <w:szCs w:val="21"/>
        </w:rPr>
      </w:pPr>
      <w:r>
        <w:rPr>
          <w:rFonts w:ascii="宋体" w:hAnsi="宋体" w:eastAsia="宋体" w:cs="宋体"/>
          <w:spacing w:val="-6"/>
          <w:szCs w:val="21"/>
        </w:rPr>
        <w:t>监理人发现承包人在施工现场存在安全隐患或未落实安全生产费用的，应当提出要求其改正，施</w:t>
      </w:r>
      <w:r>
        <w:rPr>
          <w:rFonts w:ascii="宋体" w:hAnsi="宋体" w:eastAsia="宋体" w:cs="宋体"/>
          <w:spacing w:val="-2"/>
          <w:szCs w:val="21"/>
        </w:rPr>
        <w:t>工单位拒不改正的，监理人可暂时停止工程款的计量支付，并及时向发包人报告。</w:t>
      </w:r>
    </w:p>
    <w:p w14:paraId="79759046">
      <w:pPr>
        <w:autoSpaceDE w:val="0"/>
        <w:autoSpaceDN w:val="0"/>
        <w:spacing w:before="2"/>
        <w:ind w:left="836"/>
        <w:jc w:val="left"/>
        <w:rPr>
          <w:rFonts w:ascii="宋体" w:hAnsi="宋体" w:eastAsia="宋体" w:cs="宋体"/>
          <w:szCs w:val="21"/>
        </w:rPr>
      </w:pPr>
      <w:r>
        <w:rPr>
          <w:rFonts w:ascii="宋体" w:hAnsi="宋体" w:eastAsia="宋体" w:cs="宋体"/>
          <w:spacing w:val="-13"/>
          <w:szCs w:val="21"/>
        </w:rPr>
        <w:t xml:space="preserve">第 </w:t>
      </w:r>
      <w:r>
        <w:rPr>
          <w:rFonts w:ascii="宋体" w:hAnsi="宋体" w:eastAsia="宋体" w:cs="宋体"/>
          <w:szCs w:val="21"/>
        </w:rPr>
        <w:t>9.2.5</w:t>
      </w:r>
      <w:r>
        <w:rPr>
          <w:rFonts w:ascii="宋体" w:hAnsi="宋体" w:eastAsia="宋体" w:cs="宋体"/>
          <w:spacing w:val="-7"/>
          <w:szCs w:val="21"/>
        </w:rPr>
        <w:t xml:space="preserve"> 项约定为：</w:t>
      </w:r>
    </w:p>
    <w:p w14:paraId="4F8A4D1C">
      <w:pPr>
        <w:autoSpaceDE w:val="0"/>
        <w:autoSpaceDN w:val="0"/>
        <w:spacing w:before="128" w:line="350" w:lineRule="auto"/>
        <w:ind w:left="426" w:right="564" w:firstLine="410"/>
        <w:rPr>
          <w:rFonts w:ascii="宋体" w:hAnsi="宋体" w:eastAsia="宋体" w:cs="宋体"/>
          <w:szCs w:val="21"/>
        </w:rPr>
      </w:pPr>
      <w:r>
        <w:rPr>
          <w:rFonts w:ascii="宋体" w:hAnsi="宋体" w:eastAsia="宋体" w:cs="宋体"/>
          <w:spacing w:val="-4"/>
          <w:szCs w:val="21"/>
        </w:rPr>
        <w:t>9.2.5</w:t>
      </w:r>
      <w:r>
        <w:rPr>
          <w:rFonts w:ascii="宋体" w:hAnsi="宋体" w:eastAsia="宋体" w:cs="宋体"/>
          <w:spacing w:val="-9"/>
          <w:szCs w:val="21"/>
        </w:rPr>
        <w:t xml:space="preserve"> 安全生产费应为招标人公布的工程量清单预算的</w:t>
      </w:r>
      <w:r>
        <w:rPr>
          <w:rFonts w:ascii="宋体" w:hAnsi="宋体" w:eastAsia="宋体" w:cs="宋体"/>
          <w:spacing w:val="-4"/>
          <w:szCs w:val="21"/>
        </w:rPr>
        <w:t>2</w:t>
      </w:r>
      <w:r>
        <w:rPr>
          <w:rFonts w:ascii="宋体" w:hAnsi="宋体" w:eastAsia="宋体" w:cs="宋体"/>
          <w:spacing w:val="-15"/>
          <w:szCs w:val="21"/>
        </w:rPr>
        <w:t>％。安全生产费应用于施工安全防护用具</w:t>
      </w:r>
      <w:r>
        <w:rPr>
          <w:rFonts w:ascii="宋体" w:hAnsi="宋体" w:eastAsia="宋体" w:cs="宋体"/>
          <w:spacing w:val="-4"/>
          <w:szCs w:val="21"/>
        </w:rPr>
        <w:t>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w:t>
      </w:r>
      <w:r>
        <w:rPr>
          <w:rFonts w:ascii="宋体" w:hAnsi="宋体" w:eastAsia="宋体" w:cs="宋体"/>
          <w:szCs w:val="21"/>
        </w:rPr>
        <w:t>按第 3.5 款商定或确定。</w:t>
      </w:r>
    </w:p>
    <w:p w14:paraId="1D16902B">
      <w:pPr>
        <w:autoSpaceDE w:val="0"/>
        <w:autoSpaceDN w:val="0"/>
        <w:spacing w:before="6" w:line="352" w:lineRule="auto"/>
        <w:ind w:left="426" w:right="461" w:firstLine="410"/>
        <w:jc w:val="left"/>
        <w:rPr>
          <w:rFonts w:ascii="宋体" w:hAnsi="宋体" w:eastAsia="宋体" w:cs="宋体"/>
          <w:szCs w:val="21"/>
        </w:rPr>
      </w:pPr>
      <w:r>
        <w:rPr>
          <w:rFonts w:ascii="宋体" w:hAnsi="宋体" w:eastAsia="宋体" w:cs="宋体"/>
          <w:spacing w:val="-2"/>
          <w:szCs w:val="21"/>
        </w:rPr>
        <w:t>承包人还应执行《浙江省交通建设工程质量和安全生产管理条例》的相关规定和要求。安全生产</w:t>
      </w:r>
      <w:r>
        <w:rPr>
          <w:rFonts w:ascii="宋体" w:hAnsi="宋体" w:eastAsia="宋体" w:cs="宋体"/>
          <w:spacing w:val="-14"/>
          <w:szCs w:val="21"/>
        </w:rPr>
        <w:t>费的使用和支付按《浙江省交通建设工程安全生产费用管理办法》的相关要求以及相关最新规定办理。</w:t>
      </w:r>
    </w:p>
    <w:p w14:paraId="47B79F52">
      <w:pPr>
        <w:spacing w:line="352" w:lineRule="auto"/>
        <w:sectPr>
          <w:pgSz w:w="11910" w:h="16840"/>
          <w:pgMar w:top="1640" w:right="849" w:bottom="1360" w:left="992" w:header="0" w:footer="1176" w:gutter="0"/>
          <w:cols w:space="720" w:num="1"/>
        </w:sectPr>
      </w:pPr>
    </w:p>
    <w:p w14:paraId="4FDDA873">
      <w:pPr>
        <w:numPr>
          <w:ilvl w:val="0"/>
          <w:numId w:val="16"/>
        </w:numPr>
        <w:tabs>
          <w:tab w:val="left" w:pos="837"/>
        </w:tabs>
        <w:autoSpaceDE w:val="0"/>
        <w:autoSpaceDN w:val="0"/>
        <w:spacing w:before="40"/>
        <w:ind w:left="837" w:hanging="411"/>
        <w:rPr>
          <w:rFonts w:ascii="宋体" w:hAnsi="宋体" w:eastAsia="宋体" w:cs="宋体"/>
          <w:szCs w:val="22"/>
        </w:rPr>
      </w:pPr>
      <w:r>
        <w:rPr>
          <w:rFonts w:ascii="宋体" w:hAnsi="宋体" w:eastAsia="宋体" w:cs="宋体"/>
          <w:spacing w:val="-8"/>
          <w:szCs w:val="22"/>
        </w:rPr>
        <w:t>进度计划</w:t>
      </w:r>
    </w:p>
    <w:p w14:paraId="740D0EB2">
      <w:pPr>
        <w:numPr>
          <w:ilvl w:val="1"/>
          <w:numId w:val="16"/>
        </w:numPr>
        <w:tabs>
          <w:tab w:val="left" w:pos="1038"/>
        </w:tabs>
        <w:autoSpaceDE w:val="0"/>
        <w:autoSpaceDN w:val="0"/>
        <w:spacing w:before="106"/>
        <w:ind w:left="1038" w:hanging="612"/>
        <w:jc w:val="left"/>
        <w:rPr>
          <w:rFonts w:ascii="宋体" w:hAnsi="宋体" w:eastAsia="宋体" w:cs="宋体"/>
          <w:szCs w:val="22"/>
        </w:rPr>
      </w:pPr>
      <w:r>
        <w:rPr>
          <w:rFonts w:ascii="宋体" w:hAnsi="宋体" w:eastAsia="宋体" w:cs="宋体"/>
          <w:spacing w:val="-7"/>
          <w:szCs w:val="22"/>
        </w:rPr>
        <w:t>合同进度计划</w:t>
      </w:r>
    </w:p>
    <w:p w14:paraId="47FDEC69">
      <w:pPr>
        <w:autoSpaceDE w:val="0"/>
        <w:autoSpaceDN w:val="0"/>
        <w:spacing w:before="109"/>
        <w:ind w:left="836"/>
        <w:jc w:val="left"/>
        <w:rPr>
          <w:rFonts w:ascii="宋体" w:hAnsi="宋体" w:eastAsia="宋体" w:cs="宋体"/>
          <w:szCs w:val="21"/>
        </w:rPr>
      </w:pPr>
      <w:r>
        <w:rPr>
          <w:rFonts w:ascii="宋体" w:hAnsi="宋体" w:eastAsia="宋体" w:cs="宋体"/>
          <w:spacing w:val="-5"/>
          <w:szCs w:val="21"/>
        </w:rPr>
        <w:t xml:space="preserve">养护工程专用合同条款第 </w:t>
      </w:r>
      <w:r>
        <w:rPr>
          <w:rFonts w:ascii="宋体" w:hAnsi="宋体" w:eastAsia="宋体" w:cs="宋体"/>
          <w:spacing w:val="-4"/>
          <w:szCs w:val="21"/>
        </w:rPr>
        <w:t>10.1</w:t>
      </w:r>
      <w:r>
        <w:rPr>
          <w:rFonts w:ascii="宋体" w:hAnsi="宋体" w:eastAsia="宋体" w:cs="宋体"/>
          <w:spacing w:val="-8"/>
          <w:szCs w:val="21"/>
        </w:rPr>
        <w:t xml:space="preserve"> 款补充：</w:t>
      </w:r>
    </w:p>
    <w:p w14:paraId="35FEFB9A">
      <w:pPr>
        <w:autoSpaceDE w:val="0"/>
        <w:autoSpaceDN w:val="0"/>
        <w:spacing w:before="106"/>
        <w:ind w:left="836"/>
        <w:jc w:val="left"/>
        <w:rPr>
          <w:rFonts w:ascii="宋体" w:hAnsi="宋体" w:eastAsia="宋体" w:cs="宋体"/>
          <w:szCs w:val="21"/>
        </w:rPr>
      </w:pPr>
      <w:r>
        <w:rPr>
          <w:rFonts w:ascii="宋体" w:hAnsi="宋体" w:eastAsia="宋体" w:cs="宋体"/>
          <w:spacing w:val="-6"/>
          <w:szCs w:val="21"/>
        </w:rPr>
        <w:t>承包人编制养护工程作业方案的内容（适用于日常小修工程）：</w:t>
      </w:r>
    </w:p>
    <w:p w14:paraId="0F84BA39">
      <w:pPr>
        <w:numPr>
          <w:ilvl w:val="0"/>
          <w:numId w:val="78"/>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7"/>
          <w:szCs w:val="22"/>
        </w:rPr>
        <w:t>日常养护的巡查制度安排，包括内容、频率、方法等计划</w:t>
      </w:r>
    </w:p>
    <w:p w14:paraId="1803439C">
      <w:pPr>
        <w:numPr>
          <w:ilvl w:val="0"/>
          <w:numId w:val="78"/>
        </w:numPr>
        <w:tabs>
          <w:tab w:val="left" w:pos="1248"/>
        </w:tabs>
        <w:autoSpaceDE w:val="0"/>
        <w:autoSpaceDN w:val="0"/>
        <w:spacing w:before="109"/>
        <w:ind w:left="1248" w:hanging="512"/>
        <w:rPr>
          <w:rFonts w:ascii="宋体" w:hAnsi="宋体" w:eastAsia="宋体" w:cs="宋体"/>
          <w:szCs w:val="22"/>
        </w:rPr>
      </w:pPr>
      <w:r>
        <w:rPr>
          <w:rFonts w:ascii="宋体" w:hAnsi="宋体" w:eastAsia="宋体" w:cs="宋体"/>
          <w:spacing w:val="-7"/>
          <w:szCs w:val="22"/>
        </w:rPr>
        <w:t>对检查、专项调查和技术检测安排，及其结果的养护对策方案</w:t>
      </w:r>
    </w:p>
    <w:p w14:paraId="4FEF6AE2">
      <w:pPr>
        <w:numPr>
          <w:ilvl w:val="0"/>
          <w:numId w:val="78"/>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6"/>
          <w:szCs w:val="22"/>
        </w:rPr>
        <w:t>施工组织、现场布置、劳动力、机械设备、材料供应、资金计划等（如有</w:t>
      </w:r>
      <w:r>
        <w:rPr>
          <w:rFonts w:ascii="宋体" w:hAnsi="宋体" w:eastAsia="宋体" w:cs="宋体"/>
          <w:spacing w:val="-10"/>
          <w:szCs w:val="22"/>
        </w:rPr>
        <w:t>）</w:t>
      </w:r>
    </w:p>
    <w:p w14:paraId="650DA20D">
      <w:pPr>
        <w:numPr>
          <w:ilvl w:val="0"/>
          <w:numId w:val="78"/>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7"/>
          <w:szCs w:val="22"/>
        </w:rPr>
        <w:t>质量、安全、进度及文明施工保证体系</w:t>
      </w:r>
    </w:p>
    <w:p w14:paraId="61049743">
      <w:pPr>
        <w:numPr>
          <w:ilvl w:val="0"/>
          <w:numId w:val="78"/>
        </w:numPr>
        <w:tabs>
          <w:tab w:val="left" w:pos="1248"/>
        </w:tabs>
        <w:autoSpaceDE w:val="0"/>
        <w:autoSpaceDN w:val="0"/>
        <w:spacing w:before="109"/>
        <w:ind w:left="1248" w:hanging="512"/>
        <w:rPr>
          <w:rFonts w:ascii="宋体" w:hAnsi="宋体" w:eastAsia="宋体" w:cs="宋体"/>
          <w:szCs w:val="22"/>
        </w:rPr>
      </w:pPr>
      <w:r>
        <w:rPr>
          <w:rFonts w:ascii="宋体" w:hAnsi="宋体" w:eastAsia="宋体" w:cs="宋体"/>
          <w:spacing w:val="-7"/>
          <w:szCs w:val="22"/>
        </w:rPr>
        <w:t>环境保护措施</w:t>
      </w:r>
    </w:p>
    <w:p w14:paraId="1F996B78">
      <w:pPr>
        <w:numPr>
          <w:ilvl w:val="0"/>
          <w:numId w:val="78"/>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7"/>
          <w:szCs w:val="22"/>
        </w:rPr>
        <w:t>其它应说明的事项</w:t>
      </w:r>
    </w:p>
    <w:p w14:paraId="69B975C7">
      <w:pPr>
        <w:autoSpaceDE w:val="0"/>
        <w:autoSpaceDN w:val="0"/>
        <w:spacing w:before="106"/>
        <w:ind w:left="836"/>
        <w:jc w:val="left"/>
        <w:rPr>
          <w:rFonts w:ascii="宋体" w:hAnsi="宋体" w:eastAsia="宋体" w:cs="宋体"/>
          <w:szCs w:val="21"/>
        </w:rPr>
      </w:pPr>
      <w:r>
        <w:rPr>
          <w:rFonts w:ascii="宋体" w:hAnsi="宋体" w:eastAsia="宋体" w:cs="宋体"/>
          <w:spacing w:val="-6"/>
          <w:szCs w:val="21"/>
        </w:rPr>
        <w:t>承包人编制养护工程作业方案的内容（适用于养护工程）：</w:t>
      </w:r>
    </w:p>
    <w:p w14:paraId="09E62EFE">
      <w:pPr>
        <w:numPr>
          <w:ilvl w:val="0"/>
          <w:numId w:val="79"/>
        </w:numPr>
        <w:tabs>
          <w:tab w:val="left" w:pos="1248"/>
        </w:tabs>
        <w:autoSpaceDE w:val="0"/>
        <w:autoSpaceDN w:val="0"/>
        <w:spacing w:before="109"/>
        <w:ind w:left="1248" w:hanging="512"/>
        <w:rPr>
          <w:rFonts w:ascii="宋体" w:hAnsi="宋体" w:eastAsia="宋体" w:cs="宋体"/>
          <w:szCs w:val="22"/>
        </w:rPr>
      </w:pPr>
      <w:r>
        <w:rPr>
          <w:rFonts w:ascii="宋体" w:hAnsi="宋体" w:eastAsia="宋体" w:cs="宋体"/>
          <w:spacing w:val="-7"/>
          <w:szCs w:val="22"/>
        </w:rPr>
        <w:t>施工组织及现场布置</w:t>
      </w:r>
    </w:p>
    <w:p w14:paraId="3E38A027">
      <w:pPr>
        <w:numPr>
          <w:ilvl w:val="0"/>
          <w:numId w:val="79"/>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7"/>
          <w:szCs w:val="22"/>
        </w:rPr>
        <w:t>技术人员配置及劳动力安排</w:t>
      </w:r>
    </w:p>
    <w:p w14:paraId="334EF791">
      <w:pPr>
        <w:numPr>
          <w:ilvl w:val="0"/>
          <w:numId w:val="79"/>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6"/>
          <w:szCs w:val="22"/>
        </w:rPr>
        <w:t>养护设备配置（包括质量检测设备</w:t>
      </w:r>
      <w:r>
        <w:rPr>
          <w:rFonts w:ascii="宋体" w:hAnsi="宋体" w:eastAsia="宋体" w:cs="宋体"/>
          <w:spacing w:val="-10"/>
          <w:szCs w:val="22"/>
        </w:rPr>
        <w:t>）</w:t>
      </w:r>
    </w:p>
    <w:p w14:paraId="5E8A9877">
      <w:pPr>
        <w:numPr>
          <w:ilvl w:val="0"/>
          <w:numId w:val="79"/>
        </w:numPr>
        <w:tabs>
          <w:tab w:val="left" w:pos="836"/>
          <w:tab w:val="left" w:pos="1247"/>
        </w:tabs>
        <w:autoSpaceDE w:val="0"/>
        <w:autoSpaceDN w:val="0"/>
        <w:spacing w:before="109" w:line="333" w:lineRule="auto"/>
        <w:ind w:left="836" w:right="6854" w:hanging="101"/>
        <w:rPr>
          <w:rFonts w:ascii="宋体" w:hAnsi="宋体" w:eastAsia="宋体" w:cs="宋体"/>
          <w:szCs w:val="22"/>
        </w:rPr>
      </w:pPr>
      <w:r>
        <w:rPr>
          <w:rFonts w:ascii="宋体" w:hAnsi="宋体" w:eastAsia="宋体" w:cs="宋体"/>
          <w:spacing w:val="-2"/>
          <w:szCs w:val="22"/>
        </w:rPr>
        <w:t xml:space="preserve">养护技术方案及措施 </w:t>
      </w:r>
      <w:r>
        <w:rPr>
          <w:rFonts w:ascii="宋体" w:hAnsi="宋体" w:eastAsia="宋体" w:cs="宋体"/>
          <w:spacing w:val="-4"/>
          <w:szCs w:val="22"/>
        </w:rPr>
        <w:t>a．施工现场临时用电方案</w:t>
      </w:r>
    </w:p>
    <w:p w14:paraId="19EF893C">
      <w:pPr>
        <w:autoSpaceDE w:val="0"/>
        <w:autoSpaceDN w:val="0"/>
        <w:spacing w:line="272" w:lineRule="exact"/>
        <w:ind w:left="836"/>
        <w:jc w:val="left"/>
        <w:rPr>
          <w:rFonts w:ascii="宋体" w:hAnsi="宋体" w:eastAsia="宋体" w:cs="宋体"/>
          <w:szCs w:val="21"/>
        </w:rPr>
      </w:pPr>
      <w:r>
        <w:rPr>
          <w:rFonts w:ascii="宋体" w:hAnsi="宋体" w:eastAsia="宋体" w:cs="宋体"/>
          <w:spacing w:val="-6"/>
          <w:szCs w:val="21"/>
        </w:rPr>
        <w:t>b</w:t>
      </w:r>
      <w:r>
        <w:rPr>
          <w:rFonts w:ascii="宋体" w:hAnsi="宋体" w:eastAsia="宋体" w:cs="宋体"/>
          <w:spacing w:val="-7"/>
          <w:szCs w:val="21"/>
        </w:rPr>
        <w:t>．对下列危险性较大的养护作业应当编制专项施工方案：</w:t>
      </w:r>
    </w:p>
    <w:p w14:paraId="76C87D03">
      <w:pPr>
        <w:autoSpaceDE w:val="0"/>
        <w:autoSpaceDN w:val="0"/>
        <w:spacing w:before="108"/>
        <w:ind w:left="836"/>
        <w:jc w:val="left"/>
        <w:rPr>
          <w:rFonts w:ascii="宋体" w:hAnsi="宋体" w:eastAsia="宋体" w:cs="宋体"/>
          <w:szCs w:val="21"/>
        </w:rPr>
      </w:pPr>
      <w:r>
        <w:rPr>
          <w:rFonts w:ascii="宋体" w:hAnsi="宋体" w:eastAsia="宋体" w:cs="宋体"/>
          <w:spacing w:val="-7"/>
          <w:szCs w:val="21"/>
        </w:rPr>
        <w:t>① 不良地质条件下有潜在危险性的土方、石方开挖</w:t>
      </w:r>
    </w:p>
    <w:p w14:paraId="574A39B5">
      <w:pPr>
        <w:autoSpaceDE w:val="0"/>
        <w:autoSpaceDN w:val="0"/>
        <w:spacing w:before="107"/>
        <w:ind w:left="836"/>
        <w:jc w:val="left"/>
        <w:rPr>
          <w:rFonts w:ascii="宋体" w:hAnsi="宋体" w:eastAsia="宋体" w:cs="宋体"/>
          <w:szCs w:val="21"/>
        </w:rPr>
      </w:pPr>
      <w:r>
        <w:rPr>
          <w:rFonts w:ascii="宋体" w:hAnsi="宋体" w:eastAsia="宋体" w:cs="宋体"/>
          <w:spacing w:val="-8"/>
          <w:szCs w:val="21"/>
        </w:rPr>
        <w:t>② 滑坡和高边坡处理</w:t>
      </w:r>
    </w:p>
    <w:p w14:paraId="729FD39A">
      <w:pPr>
        <w:autoSpaceDE w:val="0"/>
        <w:autoSpaceDN w:val="0"/>
        <w:spacing w:before="106"/>
        <w:ind w:left="836"/>
        <w:jc w:val="left"/>
        <w:rPr>
          <w:rFonts w:ascii="宋体" w:hAnsi="宋体" w:eastAsia="宋体" w:cs="宋体"/>
          <w:szCs w:val="21"/>
        </w:rPr>
      </w:pPr>
      <w:r>
        <w:rPr>
          <w:rFonts w:ascii="宋体" w:hAnsi="宋体" w:eastAsia="宋体" w:cs="宋体"/>
          <w:spacing w:val="-7"/>
          <w:szCs w:val="21"/>
        </w:rPr>
        <w:t>③ 桩基础、挡墙基础、深水基础及围堰工程</w:t>
      </w:r>
    </w:p>
    <w:p w14:paraId="21698842">
      <w:pPr>
        <w:autoSpaceDE w:val="0"/>
        <w:autoSpaceDN w:val="0"/>
        <w:spacing w:before="108"/>
        <w:ind w:left="836"/>
        <w:jc w:val="left"/>
        <w:rPr>
          <w:rFonts w:ascii="宋体" w:hAnsi="宋体" w:eastAsia="宋体" w:cs="宋体"/>
          <w:szCs w:val="21"/>
        </w:rPr>
      </w:pPr>
      <w:r>
        <w:rPr>
          <w:rFonts w:ascii="宋体" w:hAnsi="宋体" w:eastAsia="宋体" w:cs="宋体"/>
          <w:spacing w:val="-7"/>
          <w:szCs w:val="21"/>
        </w:rPr>
        <w:t>④ 桥梁工程中的梁、拱、柱等构件施工</w:t>
      </w:r>
    </w:p>
    <w:p w14:paraId="7EAED73D">
      <w:pPr>
        <w:autoSpaceDE w:val="0"/>
        <w:autoSpaceDN w:val="0"/>
        <w:spacing w:before="107"/>
        <w:ind w:left="836"/>
        <w:jc w:val="left"/>
        <w:rPr>
          <w:rFonts w:ascii="宋体" w:hAnsi="宋体" w:eastAsia="宋体" w:cs="宋体"/>
          <w:szCs w:val="21"/>
        </w:rPr>
      </w:pPr>
      <w:r>
        <w:rPr>
          <w:rFonts w:ascii="宋体" w:hAnsi="宋体" w:eastAsia="宋体" w:cs="宋体"/>
          <w:spacing w:val="-7"/>
          <w:szCs w:val="21"/>
        </w:rPr>
        <w:t>⑤ 隧道工程中的不良地质隧道施工</w:t>
      </w:r>
    </w:p>
    <w:p w14:paraId="24FFDAD5">
      <w:pPr>
        <w:autoSpaceDE w:val="0"/>
        <w:autoSpaceDN w:val="0"/>
        <w:spacing w:before="106"/>
        <w:ind w:left="836"/>
        <w:jc w:val="left"/>
        <w:rPr>
          <w:rFonts w:ascii="宋体" w:hAnsi="宋体" w:eastAsia="宋体" w:cs="宋体"/>
          <w:szCs w:val="21"/>
        </w:rPr>
      </w:pPr>
      <w:r>
        <w:rPr>
          <w:rFonts w:ascii="宋体" w:hAnsi="宋体" w:eastAsia="宋体" w:cs="宋体"/>
          <w:spacing w:val="-7"/>
          <w:szCs w:val="21"/>
        </w:rPr>
        <w:t>⑥ 大型临时工程中的大型支架、模板、便桥的架设与拆除</w:t>
      </w:r>
    </w:p>
    <w:p w14:paraId="06C80BCC">
      <w:pPr>
        <w:autoSpaceDE w:val="0"/>
        <w:autoSpaceDN w:val="0"/>
        <w:spacing w:before="108"/>
        <w:ind w:left="836"/>
        <w:jc w:val="left"/>
        <w:rPr>
          <w:rFonts w:ascii="宋体" w:hAnsi="宋体" w:eastAsia="宋体" w:cs="宋体"/>
          <w:szCs w:val="21"/>
        </w:rPr>
      </w:pPr>
      <w:r>
        <w:rPr>
          <w:rFonts w:ascii="宋体" w:hAnsi="宋体" w:eastAsia="宋体" w:cs="宋体"/>
          <w:spacing w:val="-7"/>
          <w:szCs w:val="21"/>
        </w:rPr>
        <w:t>⑦ 爆破工程</w:t>
      </w:r>
    </w:p>
    <w:p w14:paraId="29685F90">
      <w:pPr>
        <w:autoSpaceDE w:val="0"/>
        <w:autoSpaceDN w:val="0"/>
        <w:spacing w:before="107"/>
        <w:ind w:left="836"/>
        <w:jc w:val="left"/>
        <w:rPr>
          <w:rFonts w:ascii="宋体" w:hAnsi="宋体" w:eastAsia="宋体" w:cs="宋体"/>
          <w:szCs w:val="21"/>
        </w:rPr>
      </w:pPr>
      <w:r>
        <w:rPr>
          <w:rFonts w:ascii="宋体" w:hAnsi="宋体" w:eastAsia="宋体" w:cs="宋体"/>
          <w:spacing w:val="-9"/>
          <w:szCs w:val="21"/>
        </w:rPr>
        <w:t>⑧ 其它危险性较大的养护作业</w:t>
      </w:r>
    </w:p>
    <w:p w14:paraId="15FBAF53">
      <w:pPr>
        <w:numPr>
          <w:ilvl w:val="0"/>
          <w:numId w:val="79"/>
        </w:numPr>
        <w:tabs>
          <w:tab w:val="left" w:pos="1248"/>
        </w:tabs>
        <w:autoSpaceDE w:val="0"/>
        <w:autoSpaceDN w:val="0"/>
        <w:spacing w:before="106"/>
        <w:ind w:left="1248" w:hanging="512"/>
        <w:rPr>
          <w:rFonts w:ascii="宋体" w:hAnsi="宋体" w:eastAsia="宋体" w:cs="宋体"/>
          <w:szCs w:val="22"/>
        </w:rPr>
      </w:pPr>
      <w:r>
        <w:rPr>
          <w:rFonts w:ascii="宋体" w:hAnsi="宋体" w:eastAsia="宋体" w:cs="宋体"/>
          <w:spacing w:val="-7"/>
          <w:szCs w:val="22"/>
        </w:rPr>
        <w:t>质量、安全、进度、文明作业保证和保畅</w:t>
      </w:r>
    </w:p>
    <w:p w14:paraId="3234E668">
      <w:pPr>
        <w:numPr>
          <w:ilvl w:val="0"/>
          <w:numId w:val="79"/>
        </w:numPr>
        <w:tabs>
          <w:tab w:val="left" w:pos="1248"/>
        </w:tabs>
        <w:autoSpaceDE w:val="0"/>
        <w:autoSpaceDN w:val="0"/>
        <w:spacing w:before="108"/>
        <w:ind w:left="1248" w:hanging="512"/>
        <w:rPr>
          <w:rFonts w:ascii="宋体" w:hAnsi="宋体" w:eastAsia="宋体" w:cs="宋体"/>
          <w:szCs w:val="22"/>
        </w:rPr>
      </w:pPr>
      <w:r>
        <w:rPr>
          <w:rFonts w:ascii="宋体" w:hAnsi="宋体" w:eastAsia="宋体" w:cs="宋体"/>
          <w:spacing w:val="-7"/>
          <w:szCs w:val="22"/>
        </w:rPr>
        <w:t>环境保护措施</w:t>
      </w:r>
    </w:p>
    <w:p w14:paraId="255739AF">
      <w:pPr>
        <w:numPr>
          <w:ilvl w:val="0"/>
          <w:numId w:val="79"/>
        </w:numPr>
        <w:tabs>
          <w:tab w:val="left" w:pos="1247"/>
        </w:tabs>
        <w:autoSpaceDE w:val="0"/>
        <w:autoSpaceDN w:val="0"/>
        <w:spacing w:before="107" w:line="333" w:lineRule="auto"/>
        <w:ind w:left="426" w:right="7162" w:firstLine="309"/>
        <w:rPr>
          <w:rFonts w:ascii="宋体" w:hAnsi="宋体" w:eastAsia="宋体" w:cs="宋体"/>
          <w:szCs w:val="22"/>
        </w:rPr>
      </w:pPr>
      <w:r>
        <w:rPr>
          <w:rFonts w:ascii="宋体" w:hAnsi="宋体" w:eastAsia="宋体" w:cs="宋体"/>
          <w:spacing w:val="-4"/>
          <w:szCs w:val="22"/>
        </w:rPr>
        <w:t xml:space="preserve">其它应说明的事项 </w:t>
      </w:r>
      <w:r>
        <w:rPr>
          <w:rFonts w:ascii="宋体" w:hAnsi="宋体" w:eastAsia="宋体" w:cs="宋体"/>
          <w:spacing w:val="-2"/>
          <w:szCs w:val="22"/>
        </w:rPr>
        <w:t>11．开工和交工</w:t>
      </w:r>
    </w:p>
    <w:p w14:paraId="220783ED">
      <w:pPr>
        <w:autoSpaceDE w:val="0"/>
        <w:autoSpaceDN w:val="0"/>
        <w:spacing w:before="1" w:line="333" w:lineRule="auto"/>
        <w:ind w:left="836" w:right="7164" w:hanging="411"/>
        <w:jc w:val="left"/>
        <w:rPr>
          <w:rFonts w:ascii="宋体" w:hAnsi="宋体" w:eastAsia="宋体" w:cs="宋体"/>
          <w:szCs w:val="21"/>
        </w:rPr>
      </w:pPr>
      <w:r>
        <w:rPr>
          <w:rFonts w:ascii="宋体" w:hAnsi="宋体" w:eastAsia="宋体" w:cs="宋体"/>
          <w:szCs w:val="21"/>
        </w:rPr>
        <w:t>11.4 异常恶劣的气候条件</w:t>
      </w:r>
      <w:r>
        <w:rPr>
          <w:rFonts w:ascii="宋体" w:hAnsi="宋体" w:eastAsia="宋体" w:cs="宋体"/>
          <w:spacing w:val="-2"/>
          <w:szCs w:val="21"/>
        </w:rPr>
        <w:t>本款约定为：</w:t>
      </w:r>
    </w:p>
    <w:p w14:paraId="0E647184">
      <w:pPr>
        <w:numPr>
          <w:ilvl w:val="0"/>
          <w:numId w:val="80"/>
        </w:numPr>
        <w:tabs>
          <w:tab w:val="left" w:pos="1143"/>
        </w:tabs>
        <w:autoSpaceDE w:val="0"/>
        <w:autoSpaceDN w:val="0"/>
        <w:spacing w:line="336" w:lineRule="auto"/>
        <w:ind w:right="564" w:firstLine="410"/>
        <w:rPr>
          <w:rFonts w:ascii="宋体" w:hAnsi="宋体" w:eastAsia="宋体" w:cs="宋体"/>
          <w:szCs w:val="22"/>
        </w:rPr>
      </w:pPr>
      <w:r>
        <w:rPr>
          <w:rFonts w:ascii="宋体" w:hAnsi="宋体" w:eastAsia="宋体" w:cs="宋体"/>
          <w:spacing w:val="-8"/>
          <w:szCs w:val="22"/>
        </w:rPr>
        <w:t>异常恶劣的气候条件，对本项目而言，是指发生龙卷风、工地受淹、超过桥梁设计洪水位以及</w:t>
      </w:r>
      <w:r>
        <w:rPr>
          <w:rFonts w:ascii="宋体" w:hAnsi="宋体" w:eastAsia="宋体" w:cs="宋体"/>
          <w:spacing w:val="-2"/>
          <w:szCs w:val="22"/>
        </w:rPr>
        <w:t>不利降水等引起延误的情况。</w:t>
      </w:r>
    </w:p>
    <w:p w14:paraId="20C2C140">
      <w:pPr>
        <w:numPr>
          <w:ilvl w:val="0"/>
          <w:numId w:val="80"/>
        </w:numPr>
        <w:tabs>
          <w:tab w:val="left" w:pos="1143"/>
        </w:tabs>
        <w:autoSpaceDE w:val="0"/>
        <w:autoSpaceDN w:val="0"/>
        <w:spacing w:line="269" w:lineRule="exact"/>
        <w:ind w:left="1143" w:hanging="307"/>
        <w:rPr>
          <w:rFonts w:ascii="宋体" w:hAnsi="宋体" w:eastAsia="宋体" w:cs="宋体"/>
          <w:szCs w:val="22"/>
        </w:rPr>
      </w:pPr>
      <w:r>
        <w:rPr>
          <w:rFonts w:ascii="宋体" w:hAnsi="宋体" w:eastAsia="宋体" w:cs="宋体"/>
          <w:spacing w:val="-7"/>
          <w:szCs w:val="22"/>
        </w:rPr>
        <w:t>不利降水的衡量标准为：</w:t>
      </w:r>
    </w:p>
    <w:p w14:paraId="4013220A">
      <w:pPr>
        <w:numPr>
          <w:ilvl w:val="1"/>
          <w:numId w:val="80"/>
        </w:numPr>
        <w:tabs>
          <w:tab w:val="left" w:pos="1041"/>
        </w:tabs>
        <w:autoSpaceDE w:val="0"/>
        <w:autoSpaceDN w:val="0"/>
        <w:spacing w:before="106"/>
        <w:ind w:left="1041" w:hanging="205"/>
        <w:rPr>
          <w:rFonts w:ascii="宋体" w:hAnsi="宋体" w:eastAsia="宋体" w:cs="宋体"/>
          <w:szCs w:val="22"/>
        </w:rPr>
      </w:pPr>
      <w:r>
        <w:rPr>
          <w:rFonts w:ascii="宋体" w:hAnsi="宋体" w:eastAsia="宋体" w:cs="宋体"/>
          <w:spacing w:val="-7"/>
          <w:szCs w:val="22"/>
        </w:rPr>
        <w:t>按本省气象部门统计的项目所在地降水资料，取最近二十年的平均降水天数为标准；</w:t>
      </w:r>
    </w:p>
    <w:p w14:paraId="00F1844C">
      <w:pPr>
        <w:jc w:val="left"/>
        <w:sectPr>
          <w:pgSz w:w="11910" w:h="16840"/>
          <w:pgMar w:top="1620" w:right="849" w:bottom="1360" w:left="992" w:header="0" w:footer="1176" w:gutter="0"/>
          <w:cols w:space="720" w:num="1"/>
        </w:sectPr>
      </w:pPr>
    </w:p>
    <w:p w14:paraId="07043296">
      <w:pPr>
        <w:numPr>
          <w:ilvl w:val="1"/>
          <w:numId w:val="80"/>
        </w:numPr>
        <w:tabs>
          <w:tab w:val="left" w:pos="1041"/>
        </w:tabs>
        <w:autoSpaceDE w:val="0"/>
        <w:autoSpaceDN w:val="0"/>
        <w:spacing w:before="40"/>
        <w:ind w:left="1041" w:hanging="205"/>
        <w:jc w:val="both"/>
        <w:rPr>
          <w:rFonts w:ascii="宋体" w:hAnsi="宋体" w:eastAsia="宋体" w:cs="宋体"/>
          <w:szCs w:val="22"/>
        </w:rPr>
      </w:pPr>
      <w:r>
        <w:rPr>
          <w:rFonts w:ascii="宋体" w:hAnsi="宋体" w:eastAsia="宋体" w:cs="宋体"/>
          <w:spacing w:val="-6"/>
          <w:szCs w:val="22"/>
        </w:rPr>
        <w:t>按项目所在地实际统计的年降水天数与 a</w:t>
      </w:r>
      <w:r>
        <w:rPr>
          <w:rFonts w:ascii="宋体" w:hAnsi="宋体" w:eastAsia="宋体" w:cs="宋体"/>
          <w:spacing w:val="-7"/>
          <w:szCs w:val="22"/>
        </w:rPr>
        <w:t xml:space="preserve"> 所指的年降水天数之差，每年计算一次。</w:t>
      </w:r>
    </w:p>
    <w:p w14:paraId="44ED92FA">
      <w:pPr>
        <w:numPr>
          <w:ilvl w:val="0"/>
          <w:numId w:val="80"/>
        </w:numPr>
        <w:tabs>
          <w:tab w:val="left" w:pos="1143"/>
        </w:tabs>
        <w:autoSpaceDE w:val="0"/>
        <w:autoSpaceDN w:val="0"/>
        <w:spacing w:before="106" w:line="333" w:lineRule="auto"/>
        <w:ind w:right="564" w:firstLine="410"/>
        <w:jc w:val="both"/>
        <w:rPr>
          <w:rFonts w:ascii="宋体" w:hAnsi="宋体" w:eastAsia="宋体" w:cs="宋体"/>
          <w:szCs w:val="22"/>
        </w:rPr>
      </w:pPr>
      <w:r>
        <w:rPr>
          <w:rFonts w:ascii="宋体" w:hAnsi="宋体" w:eastAsia="宋体" w:cs="宋体"/>
          <w:spacing w:val="-11"/>
          <w:szCs w:val="22"/>
        </w:rPr>
        <w:t>异常恶劣气候的时间，监理人将根据承包人的申请和提交的证明予以评定，但在评定时还将考</w:t>
      </w:r>
      <w:r>
        <w:rPr>
          <w:rFonts w:ascii="宋体" w:hAnsi="宋体" w:eastAsia="宋体" w:cs="宋体"/>
          <w:spacing w:val="-4"/>
          <w:szCs w:val="22"/>
        </w:rPr>
        <w:t>虑按同等标准，用施工期限内其它月份良好的气候的时间予以抵补。恶劣气候在每个月对工程进度影</w:t>
      </w:r>
      <w:r>
        <w:rPr>
          <w:rFonts w:ascii="宋体" w:hAnsi="宋体" w:eastAsia="宋体" w:cs="宋体"/>
          <w:spacing w:val="-2"/>
          <w:szCs w:val="22"/>
        </w:rPr>
        <w:t>响的评定，应在整个合同期内予以累计。</w:t>
      </w:r>
    </w:p>
    <w:p w14:paraId="63B296E3">
      <w:pPr>
        <w:numPr>
          <w:ilvl w:val="0"/>
          <w:numId w:val="80"/>
        </w:numPr>
        <w:tabs>
          <w:tab w:val="left" w:pos="1143"/>
        </w:tabs>
        <w:autoSpaceDE w:val="0"/>
        <w:autoSpaceDN w:val="0"/>
        <w:spacing w:before="2" w:line="336" w:lineRule="auto"/>
        <w:ind w:right="564" w:firstLine="410"/>
        <w:rPr>
          <w:rFonts w:ascii="宋体" w:hAnsi="宋体" w:eastAsia="宋体" w:cs="宋体"/>
          <w:szCs w:val="22"/>
        </w:rPr>
      </w:pPr>
      <w:r>
        <w:rPr>
          <w:rFonts w:ascii="宋体" w:hAnsi="宋体" w:eastAsia="宋体" w:cs="宋体"/>
          <w:spacing w:val="-10"/>
          <w:szCs w:val="22"/>
        </w:rPr>
        <w:t>若恶劣气候只是对局部工程有影响，承包人应采取合同措施予以弥补，而不能推迟工程的总工</w:t>
      </w:r>
      <w:r>
        <w:rPr>
          <w:rFonts w:ascii="宋体" w:hAnsi="宋体" w:eastAsia="宋体" w:cs="宋体"/>
          <w:spacing w:val="-6"/>
          <w:szCs w:val="22"/>
        </w:rPr>
        <w:t>期。</w:t>
      </w:r>
    </w:p>
    <w:p w14:paraId="2CE64340">
      <w:pPr>
        <w:numPr>
          <w:ilvl w:val="0"/>
          <w:numId w:val="80"/>
        </w:numPr>
        <w:tabs>
          <w:tab w:val="left" w:pos="1143"/>
        </w:tabs>
        <w:autoSpaceDE w:val="0"/>
        <w:autoSpaceDN w:val="0"/>
        <w:spacing w:line="333" w:lineRule="auto"/>
        <w:ind w:right="564" w:firstLine="410"/>
        <w:rPr>
          <w:rFonts w:ascii="宋体" w:hAnsi="宋体" w:eastAsia="宋体" w:cs="宋体"/>
          <w:szCs w:val="22"/>
        </w:rPr>
      </w:pPr>
      <w:r>
        <w:rPr>
          <w:rFonts w:ascii="宋体" w:hAnsi="宋体" w:eastAsia="宋体" w:cs="宋体"/>
          <w:spacing w:val="-9"/>
          <w:szCs w:val="22"/>
        </w:rPr>
        <w:t>受本款所述的恶劣气候影响的分项工程，必须在工程施工进度网络计划的关键线路上，监理人</w:t>
      </w:r>
      <w:r>
        <w:rPr>
          <w:rFonts w:ascii="宋体" w:hAnsi="宋体" w:eastAsia="宋体" w:cs="宋体"/>
          <w:spacing w:val="-2"/>
          <w:szCs w:val="22"/>
        </w:rPr>
        <w:t>方能考虑延长工程总工期。</w:t>
      </w:r>
    </w:p>
    <w:p w14:paraId="69082DA1">
      <w:pPr>
        <w:numPr>
          <w:ilvl w:val="0"/>
          <w:numId w:val="81"/>
        </w:numPr>
        <w:tabs>
          <w:tab w:val="left" w:pos="837"/>
        </w:tabs>
        <w:autoSpaceDE w:val="0"/>
        <w:autoSpaceDN w:val="0"/>
        <w:ind w:left="837" w:hanging="411"/>
        <w:rPr>
          <w:rFonts w:ascii="宋体" w:hAnsi="宋体" w:eastAsia="宋体" w:cs="宋体"/>
          <w:szCs w:val="22"/>
        </w:rPr>
      </w:pPr>
      <w:r>
        <w:rPr>
          <w:rFonts w:ascii="宋体" w:hAnsi="宋体" w:eastAsia="宋体" w:cs="宋体"/>
          <w:spacing w:val="-8"/>
          <w:szCs w:val="22"/>
        </w:rPr>
        <w:t>暂停施工</w:t>
      </w:r>
    </w:p>
    <w:p w14:paraId="32929CE4">
      <w:pPr>
        <w:numPr>
          <w:ilvl w:val="1"/>
          <w:numId w:val="81"/>
        </w:numPr>
        <w:tabs>
          <w:tab w:val="left" w:pos="1038"/>
        </w:tabs>
        <w:autoSpaceDE w:val="0"/>
        <w:autoSpaceDN w:val="0"/>
        <w:spacing w:before="104"/>
        <w:ind w:left="1038" w:hanging="612"/>
        <w:rPr>
          <w:rFonts w:ascii="宋体" w:hAnsi="宋体" w:eastAsia="宋体" w:cs="宋体"/>
          <w:szCs w:val="22"/>
        </w:rPr>
      </w:pPr>
      <w:r>
        <w:rPr>
          <w:rFonts w:ascii="宋体" w:hAnsi="宋体" w:eastAsia="宋体" w:cs="宋体"/>
          <w:spacing w:val="-7"/>
          <w:szCs w:val="22"/>
        </w:rPr>
        <w:t>承包人暂停施工的责任</w:t>
      </w:r>
    </w:p>
    <w:p w14:paraId="6FC839A1">
      <w:pPr>
        <w:autoSpaceDE w:val="0"/>
        <w:autoSpaceDN w:val="0"/>
        <w:spacing w:before="106"/>
        <w:ind w:left="836"/>
        <w:jc w:val="left"/>
        <w:rPr>
          <w:rFonts w:ascii="宋体" w:hAnsi="宋体" w:eastAsia="宋体" w:cs="宋体"/>
          <w:szCs w:val="21"/>
        </w:rPr>
      </w:pPr>
      <w:r>
        <w:rPr>
          <w:rFonts w:ascii="宋体" w:hAnsi="宋体" w:eastAsia="宋体" w:cs="宋体"/>
          <w:spacing w:val="-4"/>
          <w:szCs w:val="21"/>
        </w:rPr>
        <w:t xml:space="preserve">养护工程专用合同条款第 </w:t>
      </w:r>
      <w:r>
        <w:rPr>
          <w:rFonts w:ascii="宋体" w:hAnsi="宋体" w:eastAsia="宋体" w:cs="宋体"/>
          <w:spacing w:val="-6"/>
          <w:szCs w:val="21"/>
        </w:rPr>
        <w:t>12.1（6）</w:t>
      </w:r>
      <w:r>
        <w:rPr>
          <w:rFonts w:ascii="宋体" w:hAnsi="宋体" w:eastAsia="宋体" w:cs="宋体"/>
          <w:spacing w:val="-7"/>
          <w:szCs w:val="21"/>
        </w:rPr>
        <w:t>项约定为：</w:t>
      </w:r>
    </w:p>
    <w:p w14:paraId="188995FB">
      <w:pPr>
        <w:tabs>
          <w:tab w:val="left" w:pos="4436"/>
        </w:tabs>
        <w:autoSpaceDE w:val="0"/>
        <w:autoSpaceDN w:val="0"/>
        <w:spacing w:before="109"/>
        <w:ind w:left="736"/>
        <w:jc w:val="left"/>
        <w:rPr>
          <w:rFonts w:ascii="宋体" w:hAnsi="宋体" w:eastAsia="宋体" w:cs="宋体"/>
          <w:szCs w:val="21"/>
        </w:rPr>
      </w:pPr>
      <w:r>
        <w:rPr>
          <w:rFonts w:ascii="宋体" w:hAnsi="宋体" w:eastAsia="宋体" w:cs="宋体"/>
          <w:spacing w:val="-6"/>
          <w:szCs w:val="21"/>
        </w:rPr>
        <w:t>（6）由承包人承担的其它暂停施工</w:t>
      </w:r>
      <w:r>
        <w:rPr>
          <w:rFonts w:ascii="宋体" w:hAnsi="宋体" w:eastAsia="宋体" w:cs="宋体"/>
          <w:spacing w:val="-10"/>
          <w:szCs w:val="21"/>
        </w:rPr>
        <w:t>：</w:t>
      </w:r>
      <w:r>
        <w:rPr>
          <w:rFonts w:ascii="Times New Roman" w:hAnsi="宋体" w:eastAsia="Times New Roman" w:cs="宋体"/>
          <w:szCs w:val="21"/>
          <w:u w:val="single"/>
        </w:rPr>
        <w:tab/>
      </w:r>
      <w:r>
        <w:rPr>
          <w:rFonts w:ascii="宋体" w:hAnsi="宋体" w:eastAsia="宋体" w:cs="宋体"/>
          <w:spacing w:val="-10"/>
          <w:szCs w:val="21"/>
          <w:u w:val="single"/>
        </w:rPr>
        <w:t>无</w:t>
      </w:r>
    </w:p>
    <w:p w14:paraId="2CC310A9">
      <w:pPr>
        <w:numPr>
          <w:ilvl w:val="1"/>
          <w:numId w:val="81"/>
        </w:numPr>
        <w:tabs>
          <w:tab w:val="left" w:pos="1038"/>
        </w:tabs>
        <w:autoSpaceDE w:val="0"/>
        <w:autoSpaceDN w:val="0"/>
        <w:spacing w:before="106"/>
        <w:ind w:left="1038" w:hanging="612"/>
        <w:rPr>
          <w:rFonts w:ascii="宋体" w:hAnsi="宋体" w:eastAsia="宋体" w:cs="宋体"/>
          <w:szCs w:val="22"/>
        </w:rPr>
      </w:pPr>
      <w:r>
        <w:rPr>
          <w:rFonts w:ascii="宋体" w:hAnsi="宋体" w:eastAsia="宋体" w:cs="宋体"/>
          <w:spacing w:val="-7"/>
          <w:szCs w:val="22"/>
        </w:rPr>
        <w:t>发包人暂停施工的责任</w:t>
      </w:r>
    </w:p>
    <w:p w14:paraId="5E5A33B2">
      <w:pPr>
        <w:autoSpaceDE w:val="0"/>
        <w:autoSpaceDN w:val="0"/>
        <w:spacing w:before="106"/>
        <w:ind w:left="836"/>
        <w:jc w:val="left"/>
        <w:rPr>
          <w:rFonts w:ascii="宋体" w:hAnsi="宋体" w:eastAsia="宋体" w:cs="宋体"/>
          <w:szCs w:val="21"/>
        </w:rPr>
      </w:pPr>
      <w:r>
        <w:rPr>
          <w:rFonts w:ascii="宋体" w:hAnsi="宋体" w:eastAsia="宋体" w:cs="宋体"/>
          <w:spacing w:val="-5"/>
          <w:szCs w:val="21"/>
        </w:rPr>
        <w:t xml:space="preserve">养护工程专用合同条款第 </w:t>
      </w:r>
      <w:r>
        <w:rPr>
          <w:rFonts w:ascii="宋体" w:hAnsi="宋体" w:eastAsia="宋体" w:cs="宋体"/>
          <w:spacing w:val="-4"/>
          <w:szCs w:val="21"/>
        </w:rPr>
        <w:t>12.2</w:t>
      </w:r>
      <w:r>
        <w:rPr>
          <w:rFonts w:ascii="宋体" w:hAnsi="宋体" w:eastAsia="宋体" w:cs="宋体"/>
          <w:spacing w:val="-8"/>
          <w:szCs w:val="21"/>
        </w:rPr>
        <w:t xml:space="preserve"> 款原内容后补充：</w:t>
      </w:r>
    </w:p>
    <w:p w14:paraId="7F963E56">
      <w:pPr>
        <w:autoSpaceDE w:val="0"/>
        <w:autoSpaceDN w:val="0"/>
        <w:spacing w:before="109" w:line="333" w:lineRule="auto"/>
        <w:ind w:left="426" w:right="564" w:firstLine="410"/>
        <w:jc w:val="left"/>
        <w:rPr>
          <w:rFonts w:ascii="宋体" w:hAnsi="宋体" w:eastAsia="宋体" w:cs="宋体"/>
          <w:szCs w:val="21"/>
        </w:rPr>
      </w:pPr>
      <w:r>
        <w:rPr>
          <w:rFonts w:ascii="宋体" w:hAnsi="宋体" w:eastAsia="宋体" w:cs="宋体"/>
          <w:spacing w:val="-6"/>
          <w:szCs w:val="21"/>
        </w:rPr>
        <w:t xml:space="preserve">发包人如连续 </w:t>
      </w:r>
      <w:r>
        <w:rPr>
          <w:rFonts w:ascii="宋体" w:hAnsi="宋体" w:eastAsia="宋体" w:cs="宋体"/>
          <w:spacing w:val="-4"/>
          <w:szCs w:val="21"/>
        </w:rPr>
        <w:t>2</w:t>
      </w:r>
      <w:r>
        <w:rPr>
          <w:rFonts w:ascii="宋体" w:hAnsi="宋体" w:eastAsia="宋体" w:cs="宋体"/>
          <w:spacing w:val="-13"/>
          <w:szCs w:val="21"/>
        </w:rPr>
        <w:t xml:space="preserve"> 个月发生已计量应支付而未支付工程款的，承包人可停工。造成的损失由发包人</w:t>
      </w:r>
      <w:r>
        <w:rPr>
          <w:rFonts w:ascii="宋体" w:hAnsi="宋体" w:eastAsia="宋体" w:cs="宋体"/>
          <w:spacing w:val="-4"/>
          <w:szCs w:val="21"/>
        </w:rPr>
        <w:t>承担。</w:t>
      </w:r>
    </w:p>
    <w:p w14:paraId="49F12C87">
      <w:pPr>
        <w:numPr>
          <w:ilvl w:val="0"/>
          <w:numId w:val="81"/>
        </w:numPr>
        <w:tabs>
          <w:tab w:val="left" w:pos="837"/>
        </w:tabs>
        <w:autoSpaceDE w:val="0"/>
        <w:autoSpaceDN w:val="0"/>
        <w:spacing w:line="272" w:lineRule="exact"/>
        <w:ind w:left="837" w:hanging="411"/>
        <w:rPr>
          <w:rFonts w:ascii="宋体" w:hAnsi="宋体" w:eastAsia="宋体" w:cs="宋体"/>
          <w:szCs w:val="22"/>
        </w:rPr>
      </w:pPr>
      <w:r>
        <w:rPr>
          <w:rFonts w:ascii="宋体" w:hAnsi="宋体" w:eastAsia="宋体" w:cs="宋体"/>
          <w:spacing w:val="-8"/>
          <w:szCs w:val="22"/>
        </w:rPr>
        <w:t>工程质量</w:t>
      </w:r>
    </w:p>
    <w:p w14:paraId="3A7B9B9B">
      <w:pPr>
        <w:numPr>
          <w:ilvl w:val="1"/>
          <w:numId w:val="81"/>
        </w:numPr>
        <w:tabs>
          <w:tab w:val="left" w:pos="1038"/>
        </w:tabs>
        <w:autoSpaceDE w:val="0"/>
        <w:autoSpaceDN w:val="0"/>
        <w:spacing w:before="109"/>
        <w:ind w:left="1038" w:hanging="612"/>
        <w:rPr>
          <w:rFonts w:ascii="宋体" w:hAnsi="宋体" w:eastAsia="宋体" w:cs="宋体"/>
          <w:szCs w:val="22"/>
        </w:rPr>
      </w:pPr>
      <w:r>
        <w:rPr>
          <w:rFonts w:ascii="宋体" w:hAnsi="宋体" w:eastAsia="宋体" w:cs="宋体"/>
          <w:spacing w:val="-7"/>
          <w:szCs w:val="22"/>
        </w:rPr>
        <w:t>工程质量要求</w:t>
      </w:r>
    </w:p>
    <w:p w14:paraId="110C3C37">
      <w:pPr>
        <w:autoSpaceDE w:val="0"/>
        <w:autoSpaceDN w:val="0"/>
        <w:spacing w:before="106"/>
        <w:ind w:left="836"/>
        <w:jc w:val="left"/>
        <w:rPr>
          <w:rFonts w:ascii="宋体" w:hAnsi="宋体" w:eastAsia="宋体" w:cs="宋体"/>
          <w:szCs w:val="21"/>
        </w:rPr>
      </w:pPr>
      <w:r>
        <w:rPr>
          <w:rFonts w:ascii="宋体" w:hAnsi="宋体" w:eastAsia="宋体" w:cs="宋体"/>
          <w:spacing w:val="-10"/>
          <w:szCs w:val="21"/>
        </w:rPr>
        <w:t xml:space="preserve">第 </w:t>
      </w:r>
      <w:r>
        <w:rPr>
          <w:rFonts w:ascii="宋体" w:hAnsi="宋体" w:eastAsia="宋体" w:cs="宋体"/>
          <w:spacing w:val="-2"/>
          <w:szCs w:val="21"/>
        </w:rPr>
        <w:t>13.1.1</w:t>
      </w:r>
      <w:r>
        <w:rPr>
          <w:rFonts w:ascii="宋体" w:hAnsi="宋体" w:eastAsia="宋体" w:cs="宋体"/>
          <w:spacing w:val="-7"/>
          <w:szCs w:val="21"/>
        </w:rPr>
        <w:t xml:space="preserve"> 项约定为：</w:t>
      </w:r>
    </w:p>
    <w:p w14:paraId="7A091849">
      <w:pPr>
        <w:tabs>
          <w:tab w:val="left" w:pos="1758"/>
          <w:tab w:val="left" w:pos="2674"/>
        </w:tabs>
        <w:autoSpaceDE w:val="0"/>
        <w:autoSpaceDN w:val="0"/>
        <w:spacing w:before="106" w:line="336" w:lineRule="auto"/>
        <w:ind w:left="426" w:right="564" w:firstLine="410"/>
        <w:jc w:val="left"/>
        <w:rPr>
          <w:rFonts w:ascii="宋体" w:hAnsi="宋体" w:eastAsia="宋体" w:cs="宋体"/>
          <w:szCs w:val="21"/>
        </w:rPr>
      </w:pPr>
      <w:r>
        <w:rPr>
          <w:rFonts w:ascii="宋体" w:hAnsi="宋体" w:eastAsia="宋体" w:cs="宋体"/>
          <w:spacing w:val="-6"/>
          <w:szCs w:val="21"/>
        </w:rPr>
        <w:t>工程质量验收按技术规范及《公路养护工程质量检验评定标准》JTG5220-2020</w:t>
      </w:r>
      <w:r>
        <w:rPr>
          <w:rFonts w:ascii="宋体" w:hAnsi="宋体" w:eastAsia="宋体" w:cs="宋体"/>
          <w:spacing w:val="-9"/>
          <w:szCs w:val="21"/>
        </w:rPr>
        <w:t xml:space="preserve"> </w:t>
      </w:r>
      <w:r>
        <w:rPr>
          <w:rFonts w:ascii="宋体" w:hAnsi="宋体" w:eastAsia="宋体" w:cs="宋体"/>
          <w:spacing w:val="-6"/>
          <w:szCs w:val="21"/>
        </w:rPr>
        <w:t>执行。本工程的质</w:t>
      </w:r>
      <w:r>
        <w:rPr>
          <w:rFonts w:ascii="宋体" w:hAnsi="宋体" w:eastAsia="宋体" w:cs="宋体"/>
          <w:spacing w:val="-2"/>
          <w:szCs w:val="21"/>
        </w:rPr>
        <w:t>量目标为：</w:t>
      </w:r>
      <w:r>
        <w:rPr>
          <w:rFonts w:ascii="Times New Roman" w:hAnsi="宋体" w:eastAsia="Times New Roman" w:cs="宋体"/>
          <w:szCs w:val="21"/>
          <w:u w:val="single"/>
        </w:rPr>
        <w:tab/>
      </w:r>
      <w:r>
        <w:rPr>
          <w:rFonts w:ascii="宋体" w:hAnsi="宋体" w:eastAsia="宋体" w:cs="宋体"/>
          <w:spacing w:val="-6"/>
          <w:szCs w:val="21"/>
          <w:u w:val="single"/>
        </w:rPr>
        <w:t>合格</w:t>
      </w:r>
      <w:r>
        <w:rPr>
          <w:rFonts w:ascii="宋体" w:hAnsi="宋体" w:eastAsia="宋体" w:cs="宋体"/>
          <w:szCs w:val="21"/>
          <w:u w:val="single"/>
        </w:rPr>
        <w:tab/>
      </w:r>
      <w:r>
        <w:rPr>
          <w:rFonts w:ascii="宋体" w:hAnsi="宋体" w:eastAsia="宋体" w:cs="宋体"/>
          <w:spacing w:val="-10"/>
          <w:szCs w:val="21"/>
        </w:rPr>
        <w:t>。</w:t>
      </w:r>
    </w:p>
    <w:p w14:paraId="4564B26D">
      <w:pPr>
        <w:numPr>
          <w:ilvl w:val="1"/>
          <w:numId w:val="81"/>
        </w:numPr>
        <w:tabs>
          <w:tab w:val="left" w:pos="1038"/>
        </w:tabs>
        <w:autoSpaceDE w:val="0"/>
        <w:autoSpaceDN w:val="0"/>
        <w:spacing w:line="269" w:lineRule="exact"/>
        <w:ind w:left="1038" w:hanging="612"/>
        <w:rPr>
          <w:rFonts w:ascii="宋体" w:hAnsi="宋体" w:eastAsia="宋体" w:cs="宋体"/>
          <w:szCs w:val="22"/>
        </w:rPr>
      </w:pPr>
      <w:r>
        <w:rPr>
          <w:rFonts w:ascii="宋体" w:hAnsi="宋体" w:eastAsia="宋体" w:cs="宋体"/>
          <w:spacing w:val="-7"/>
          <w:szCs w:val="22"/>
        </w:rPr>
        <w:t>承包人的质量管理</w:t>
      </w:r>
    </w:p>
    <w:p w14:paraId="4C0ABF51">
      <w:pPr>
        <w:autoSpaceDE w:val="0"/>
        <w:autoSpaceDN w:val="0"/>
        <w:spacing w:before="106"/>
        <w:ind w:left="836"/>
        <w:rPr>
          <w:rFonts w:ascii="宋体" w:hAnsi="宋体" w:eastAsia="宋体" w:cs="宋体"/>
          <w:szCs w:val="21"/>
        </w:rPr>
      </w:pPr>
      <w:r>
        <w:rPr>
          <w:rFonts w:ascii="宋体" w:hAnsi="宋体" w:eastAsia="宋体" w:cs="宋体"/>
          <w:spacing w:val="-10"/>
          <w:szCs w:val="21"/>
        </w:rPr>
        <w:t xml:space="preserve">第 </w:t>
      </w:r>
      <w:r>
        <w:rPr>
          <w:rFonts w:ascii="宋体" w:hAnsi="宋体" w:eastAsia="宋体" w:cs="宋体"/>
          <w:spacing w:val="-2"/>
          <w:szCs w:val="21"/>
        </w:rPr>
        <w:t>13.2.4</w:t>
      </w:r>
      <w:r>
        <w:rPr>
          <w:rFonts w:ascii="宋体" w:hAnsi="宋体" w:eastAsia="宋体" w:cs="宋体"/>
          <w:spacing w:val="-7"/>
          <w:szCs w:val="21"/>
        </w:rPr>
        <w:t xml:space="preserve"> 项细化为：</w:t>
      </w:r>
    </w:p>
    <w:p w14:paraId="2131EE12">
      <w:pPr>
        <w:autoSpaceDE w:val="0"/>
        <w:autoSpaceDN w:val="0"/>
        <w:spacing w:before="109" w:line="333" w:lineRule="auto"/>
        <w:ind w:left="426" w:right="461" w:firstLine="410"/>
        <w:rPr>
          <w:rFonts w:ascii="宋体" w:hAnsi="宋体" w:eastAsia="宋体" w:cs="宋体"/>
          <w:szCs w:val="21"/>
        </w:rPr>
      </w:pPr>
      <w:r>
        <w:rPr>
          <w:rFonts w:ascii="宋体" w:hAnsi="宋体" w:eastAsia="宋体" w:cs="宋体"/>
          <w:spacing w:val="-4"/>
          <w:szCs w:val="21"/>
        </w:rPr>
        <w:t>13.2.4</w:t>
      </w:r>
      <w:r>
        <w:rPr>
          <w:rFonts w:ascii="宋体" w:hAnsi="宋体" w:eastAsia="宋体" w:cs="宋体"/>
          <w:spacing w:val="-7"/>
          <w:szCs w:val="21"/>
        </w:rPr>
        <w:t xml:space="preserve"> 承包人应当建立健全工程质量保证体系，制定质量管理制度，强化工程质量管理措施，完</w:t>
      </w:r>
      <w:r>
        <w:rPr>
          <w:rFonts w:ascii="宋体" w:hAnsi="宋体" w:eastAsia="宋体" w:cs="宋体"/>
          <w:spacing w:val="-2"/>
          <w:szCs w:val="21"/>
        </w:rPr>
        <w:t>善工程质量目标保障机制；严格遵守国家有关法律、法规、规章及《浙江省交通建设工程质量和安全</w:t>
      </w:r>
      <w:r>
        <w:rPr>
          <w:rFonts w:ascii="宋体" w:hAnsi="宋体" w:eastAsia="宋体" w:cs="宋体"/>
          <w:spacing w:val="-8"/>
          <w:szCs w:val="21"/>
        </w:rPr>
        <w:t>生产管理条例》，严格执行公路工程强制性技术标准、各类技术规范及规程，全面履行工程合同义务。</w:t>
      </w:r>
    </w:p>
    <w:p w14:paraId="08E17584">
      <w:pPr>
        <w:autoSpaceDE w:val="0"/>
        <w:autoSpaceDN w:val="0"/>
        <w:spacing w:before="1"/>
        <w:ind w:left="426"/>
        <w:rPr>
          <w:rFonts w:ascii="宋体" w:hAnsi="宋体" w:eastAsia="宋体" w:cs="宋体"/>
          <w:szCs w:val="21"/>
        </w:rPr>
      </w:pPr>
      <w:r>
        <w:rPr>
          <w:rFonts w:ascii="宋体" w:hAnsi="宋体" w:eastAsia="宋体" w:cs="宋体"/>
          <w:spacing w:val="-2"/>
          <w:szCs w:val="21"/>
        </w:rPr>
        <w:t>13.5 工程隐蔽部位覆盖前的检查</w:t>
      </w:r>
    </w:p>
    <w:p w14:paraId="69B6D58A">
      <w:pPr>
        <w:autoSpaceDE w:val="0"/>
        <w:autoSpaceDN w:val="0"/>
        <w:spacing w:before="107"/>
        <w:ind w:left="836"/>
        <w:jc w:val="left"/>
        <w:rPr>
          <w:rFonts w:ascii="宋体" w:hAnsi="宋体" w:eastAsia="宋体" w:cs="宋体"/>
          <w:szCs w:val="21"/>
        </w:rPr>
      </w:pPr>
      <w:r>
        <w:rPr>
          <w:rFonts w:ascii="宋体" w:hAnsi="宋体" w:eastAsia="宋体" w:cs="宋体"/>
          <w:spacing w:val="-13"/>
          <w:szCs w:val="21"/>
        </w:rPr>
        <w:t xml:space="preserve">第 </w:t>
      </w:r>
      <w:r>
        <w:rPr>
          <w:rFonts w:ascii="宋体" w:hAnsi="宋体" w:eastAsia="宋体" w:cs="宋体"/>
          <w:szCs w:val="21"/>
        </w:rPr>
        <w:t>13.5.1</w:t>
      </w:r>
      <w:r>
        <w:rPr>
          <w:rFonts w:ascii="宋体" w:hAnsi="宋体" w:eastAsia="宋体" w:cs="宋体"/>
          <w:spacing w:val="-7"/>
          <w:szCs w:val="21"/>
        </w:rPr>
        <w:t xml:space="preserve"> 项补充：</w:t>
      </w:r>
    </w:p>
    <w:p w14:paraId="1950EC14">
      <w:pPr>
        <w:autoSpaceDE w:val="0"/>
        <w:autoSpaceDN w:val="0"/>
        <w:spacing w:before="106" w:line="336" w:lineRule="auto"/>
        <w:ind w:left="426" w:right="571" w:firstLine="410"/>
        <w:jc w:val="left"/>
        <w:rPr>
          <w:rFonts w:ascii="宋体" w:hAnsi="宋体" w:eastAsia="宋体" w:cs="宋体"/>
          <w:szCs w:val="21"/>
        </w:rPr>
      </w:pPr>
      <w:r>
        <w:rPr>
          <w:rFonts w:ascii="宋体" w:hAnsi="宋体" w:eastAsia="宋体" w:cs="宋体"/>
          <w:spacing w:val="-6"/>
          <w:szCs w:val="21"/>
        </w:rPr>
        <w:t>隐蔽工程覆盖前应经监理人检查签认，分阶段（工序）进行摄像或照相，并向监理人提供相关资</w:t>
      </w:r>
      <w:r>
        <w:rPr>
          <w:rFonts w:ascii="宋体" w:hAnsi="宋体" w:eastAsia="宋体" w:cs="宋体"/>
          <w:spacing w:val="-2"/>
          <w:szCs w:val="21"/>
        </w:rPr>
        <w:t>料作为计量支付的依据。</w:t>
      </w:r>
    </w:p>
    <w:p w14:paraId="4627BEE2">
      <w:pPr>
        <w:autoSpaceDE w:val="0"/>
        <w:autoSpaceDN w:val="0"/>
        <w:spacing w:line="269" w:lineRule="exact"/>
        <w:ind w:left="865"/>
        <w:jc w:val="left"/>
        <w:rPr>
          <w:rFonts w:ascii="宋体" w:hAnsi="宋体" w:eastAsia="宋体" w:cs="宋体"/>
          <w:szCs w:val="21"/>
        </w:rPr>
      </w:pPr>
      <w:r>
        <w:rPr>
          <w:rFonts w:ascii="宋体" w:hAnsi="宋体" w:eastAsia="宋体" w:cs="宋体"/>
          <w:spacing w:val="8"/>
          <w:szCs w:val="21"/>
        </w:rPr>
        <w:t xml:space="preserve">补充第 </w:t>
      </w:r>
      <w:r>
        <w:rPr>
          <w:rFonts w:ascii="宋体" w:hAnsi="宋体" w:eastAsia="宋体" w:cs="宋体"/>
          <w:szCs w:val="21"/>
        </w:rPr>
        <w:t>13.7</w:t>
      </w:r>
      <w:r>
        <w:rPr>
          <w:rFonts w:ascii="宋体" w:hAnsi="宋体" w:eastAsia="宋体" w:cs="宋体"/>
          <w:spacing w:val="7"/>
          <w:szCs w:val="21"/>
        </w:rPr>
        <w:t xml:space="preserve"> 款：</w:t>
      </w:r>
    </w:p>
    <w:p w14:paraId="6C8EEA52">
      <w:pPr>
        <w:autoSpaceDE w:val="0"/>
        <w:autoSpaceDN w:val="0"/>
        <w:spacing w:before="106"/>
        <w:ind w:left="426"/>
        <w:jc w:val="left"/>
        <w:rPr>
          <w:rFonts w:ascii="宋体" w:hAnsi="宋体" w:eastAsia="宋体" w:cs="宋体"/>
          <w:szCs w:val="21"/>
        </w:rPr>
      </w:pPr>
      <w:r>
        <w:rPr>
          <w:rFonts w:ascii="宋体" w:hAnsi="宋体" w:eastAsia="宋体" w:cs="宋体"/>
          <w:szCs w:val="21"/>
        </w:rPr>
        <w:t>13.7</w:t>
      </w:r>
      <w:r>
        <w:rPr>
          <w:rFonts w:ascii="宋体" w:hAnsi="宋体" w:eastAsia="宋体" w:cs="宋体"/>
          <w:spacing w:val="10"/>
          <w:szCs w:val="21"/>
        </w:rPr>
        <w:t xml:space="preserve"> 质量抽检</w:t>
      </w:r>
    </w:p>
    <w:p w14:paraId="47E80525">
      <w:pPr>
        <w:autoSpaceDE w:val="0"/>
        <w:autoSpaceDN w:val="0"/>
        <w:spacing w:before="109" w:line="333" w:lineRule="auto"/>
        <w:ind w:left="426" w:right="461" w:firstLine="439"/>
        <w:jc w:val="left"/>
        <w:rPr>
          <w:rFonts w:ascii="宋体" w:hAnsi="宋体" w:eastAsia="宋体" w:cs="宋体"/>
          <w:szCs w:val="21"/>
        </w:rPr>
      </w:pPr>
      <w:r>
        <w:rPr>
          <w:rFonts w:ascii="宋体" w:hAnsi="宋体" w:eastAsia="宋体" w:cs="宋体"/>
          <w:spacing w:val="-2"/>
          <w:szCs w:val="21"/>
        </w:rPr>
        <w:t>主管交通工程质量监督机构有权对承包人施工质量随时进行抽检，并通过监理 对工程质量实施否决，承包人应积极配合并免费提供试验用的试件。承包人为配上述工作发生的材料、机械、人员及试验和检验等费用不另行支付</w:t>
      </w:r>
      <w:r>
        <w:rPr>
          <w:rFonts w:ascii="宋体" w:hAnsi="宋体" w:eastAsia="宋体" w:cs="宋体"/>
          <w:spacing w:val="-3"/>
          <w:w w:val="99"/>
          <w:szCs w:val="21"/>
        </w:rPr>
        <w:t>。</w:t>
      </w:r>
    </w:p>
    <w:p w14:paraId="6696442B">
      <w:pPr>
        <w:spacing w:line="333" w:lineRule="auto"/>
        <w:sectPr>
          <w:pgSz w:w="11910" w:h="16840"/>
          <w:pgMar w:top="1620" w:right="849" w:bottom="1360" w:left="992" w:header="0" w:footer="1176" w:gutter="0"/>
          <w:cols w:space="720" w:num="1"/>
        </w:sectPr>
      </w:pPr>
    </w:p>
    <w:p w14:paraId="472E8B3C">
      <w:pPr>
        <w:numPr>
          <w:ilvl w:val="0"/>
          <w:numId w:val="82"/>
        </w:numPr>
        <w:tabs>
          <w:tab w:val="left" w:pos="863"/>
        </w:tabs>
        <w:autoSpaceDE w:val="0"/>
        <w:autoSpaceDN w:val="0"/>
        <w:spacing w:before="40"/>
        <w:ind w:left="863" w:hanging="437"/>
        <w:rPr>
          <w:rFonts w:ascii="宋体" w:hAnsi="宋体" w:eastAsia="宋体" w:cs="宋体"/>
          <w:szCs w:val="22"/>
        </w:rPr>
      </w:pPr>
      <w:r>
        <w:rPr>
          <w:rFonts w:ascii="宋体" w:hAnsi="宋体" w:eastAsia="宋体" w:cs="宋体"/>
          <w:spacing w:val="-5"/>
          <w:szCs w:val="22"/>
        </w:rPr>
        <w:t>变更</w:t>
      </w:r>
    </w:p>
    <w:p w14:paraId="0228E5B7">
      <w:pPr>
        <w:numPr>
          <w:ilvl w:val="1"/>
          <w:numId w:val="82"/>
        </w:numPr>
        <w:tabs>
          <w:tab w:val="left" w:pos="1093"/>
        </w:tabs>
        <w:autoSpaceDE w:val="0"/>
        <w:autoSpaceDN w:val="0"/>
        <w:spacing w:before="106"/>
        <w:ind w:left="1093" w:hanging="667"/>
        <w:rPr>
          <w:rFonts w:ascii="宋体" w:hAnsi="宋体" w:eastAsia="宋体" w:cs="宋体"/>
          <w:szCs w:val="22"/>
        </w:rPr>
      </w:pPr>
      <w:r>
        <w:rPr>
          <w:rFonts w:ascii="宋体" w:hAnsi="宋体" w:eastAsia="宋体" w:cs="宋体"/>
          <w:spacing w:val="4"/>
          <w:szCs w:val="22"/>
        </w:rPr>
        <w:t>变更的范围和内容</w:t>
      </w:r>
    </w:p>
    <w:p w14:paraId="12D3B764">
      <w:pPr>
        <w:autoSpaceDE w:val="0"/>
        <w:autoSpaceDN w:val="0"/>
        <w:spacing w:before="109"/>
        <w:ind w:left="865"/>
        <w:rPr>
          <w:rFonts w:ascii="宋体" w:hAnsi="宋体" w:eastAsia="宋体" w:cs="宋体"/>
          <w:szCs w:val="21"/>
        </w:rPr>
      </w:pPr>
      <w:r>
        <w:rPr>
          <w:rFonts w:ascii="宋体" w:hAnsi="宋体" w:eastAsia="宋体" w:cs="宋体"/>
          <w:spacing w:val="5"/>
          <w:szCs w:val="21"/>
        </w:rPr>
        <w:t xml:space="preserve">养护工程专用合同条款第 </w:t>
      </w:r>
      <w:r>
        <w:rPr>
          <w:rFonts w:ascii="宋体" w:hAnsi="宋体" w:eastAsia="宋体" w:cs="宋体"/>
          <w:szCs w:val="21"/>
        </w:rPr>
        <w:t>15.1</w:t>
      </w:r>
      <w:r>
        <w:rPr>
          <w:rFonts w:ascii="宋体" w:hAnsi="宋体" w:eastAsia="宋体" w:cs="宋体"/>
          <w:spacing w:val="6"/>
          <w:szCs w:val="21"/>
        </w:rPr>
        <w:t xml:space="preserve"> 款补充：</w:t>
      </w:r>
    </w:p>
    <w:p w14:paraId="4938DB07">
      <w:pPr>
        <w:autoSpaceDE w:val="0"/>
        <w:autoSpaceDN w:val="0"/>
        <w:adjustRightInd w:val="0"/>
        <w:spacing w:before="106" w:line="333" w:lineRule="auto"/>
        <w:ind w:left="846" w:right="648"/>
        <w:jc w:val="left"/>
        <w:rPr>
          <w:rFonts w:ascii="宋体" w:hAnsi="宋体" w:eastAsia="宋体" w:cs="宋体"/>
          <w:szCs w:val="21"/>
        </w:rPr>
      </w:pPr>
      <w:bookmarkStart w:id="370" w:name="OLE_LINK6"/>
      <w:bookmarkStart w:id="371" w:name="OLE_LINK1"/>
      <w:r>
        <w:t>（6）经</w:t>
      </w:r>
      <w:bookmarkEnd w:id="370"/>
      <w:r>
        <w:t>批</w:t>
      </w:r>
      <w:r>
        <w:rPr>
          <w:rFonts w:ascii="宋体" w:hAnsi="宋体" w:eastAsia="宋体" w:cs="宋体"/>
          <w:spacing w:val="-3"/>
          <w:szCs w:val="21"/>
        </w:rPr>
        <w:t>复的设计文件不得随意改变，确需设计变更的，必须严格履行审批手续。普通国道非收费公路设计变更后突破总预算批复金额的，需经省级公路管理机书面同意；普通国道非收费公路养护工程路面结构变化长度或实施里程调整超过15％、桥隧边坡总体处治方案变化等设计变更由设区的市公路管理机构审核审批</w:t>
      </w:r>
      <w:r>
        <w:rPr>
          <w:rFonts w:ascii="宋体" w:hAnsi="宋体" w:eastAsia="宋体" w:cs="宋体"/>
          <w:spacing w:val="8"/>
          <w:w w:val="99"/>
          <w:szCs w:val="21"/>
        </w:rPr>
        <w:t>。</w:t>
      </w:r>
    </w:p>
    <w:p w14:paraId="15E52DB8">
      <w:pPr>
        <w:autoSpaceDE w:val="0"/>
        <w:autoSpaceDN w:val="0"/>
        <w:adjustRightInd w:val="0"/>
        <w:spacing w:before="1"/>
        <w:ind w:left="846"/>
        <w:jc w:val="left"/>
        <w:rPr>
          <w:rFonts w:ascii="宋体" w:hAnsi="宋体" w:eastAsia="宋体" w:cs="宋体"/>
          <w:szCs w:val="21"/>
        </w:rPr>
      </w:pPr>
      <w:r>
        <w:rPr>
          <w:rFonts w:ascii="宋体" w:hAnsi="宋体" w:eastAsia="宋体" w:cs="宋体"/>
          <w:spacing w:val="-2"/>
          <w:szCs w:val="21"/>
        </w:rPr>
        <w:t xml:space="preserve">养护工程专用合同条款第 </w:t>
      </w:r>
      <w:r>
        <w:rPr>
          <w:rFonts w:ascii="宋体" w:hAnsi="宋体" w:eastAsia="宋体" w:cs="宋体"/>
          <w:szCs w:val="21"/>
        </w:rPr>
        <w:t>15.3.4</w:t>
      </w:r>
      <w:r>
        <w:rPr>
          <w:rFonts w:ascii="宋体" w:hAnsi="宋体" w:eastAsia="宋体" w:cs="宋体"/>
          <w:spacing w:val="-6"/>
          <w:szCs w:val="21"/>
        </w:rPr>
        <w:t xml:space="preserve"> 款补充：</w:t>
      </w:r>
    </w:p>
    <w:p w14:paraId="07EDE1CF">
      <w:pPr>
        <w:autoSpaceDE w:val="0"/>
        <w:autoSpaceDN w:val="0"/>
        <w:adjustRightInd w:val="0"/>
        <w:spacing w:before="109"/>
        <w:ind w:left="846"/>
        <w:jc w:val="left"/>
        <w:rPr>
          <w:rFonts w:ascii="宋体" w:hAnsi="宋体" w:eastAsia="宋体" w:cs="宋体"/>
          <w:szCs w:val="21"/>
        </w:rPr>
      </w:pPr>
      <w:r>
        <w:rPr>
          <w:rFonts w:ascii="宋体" w:hAnsi="宋体" w:eastAsia="宋体" w:cs="宋体"/>
          <w:spacing w:val="-3"/>
          <w:szCs w:val="21"/>
        </w:rPr>
        <w:t>本项目所有工程内容的设计变更程序、方法均执行交通运输部《公路工程设计变更管理办法》</w:t>
      </w:r>
    </w:p>
    <w:p w14:paraId="50B57544">
      <w:pPr>
        <w:autoSpaceDE w:val="0"/>
        <w:autoSpaceDN w:val="0"/>
        <w:adjustRightInd w:val="0"/>
        <w:spacing w:before="106" w:line="321" w:lineRule="auto"/>
        <w:ind w:left="416" w:right="511" w:firstLine="9"/>
        <w:rPr>
          <w:rFonts w:ascii="宋体" w:hAnsi="宋体" w:eastAsia="宋体" w:cs="宋体"/>
          <w:kern w:val="0"/>
          <w:szCs w:val="22"/>
        </w:rPr>
      </w:pPr>
      <w:r>
        <w:rPr>
          <w:rFonts w:ascii="宋体" w:hAnsi="宋体" w:eastAsia="宋体" w:cs="宋体"/>
          <w:spacing w:val="-4"/>
          <w:kern w:val="0"/>
          <w:szCs w:val="22"/>
        </w:rPr>
        <w:t>（</w:t>
      </w:r>
      <w:r>
        <w:rPr>
          <w:rFonts w:ascii="宋体" w:hAnsi="宋体" w:eastAsia="宋体" w:cs="宋体"/>
          <w:spacing w:val="-7"/>
          <w:kern w:val="0"/>
          <w:szCs w:val="22"/>
        </w:rPr>
        <w:t xml:space="preserve">交通运输部令 </w:t>
      </w:r>
      <w:r>
        <w:rPr>
          <w:rFonts w:ascii="宋体" w:hAnsi="宋体" w:eastAsia="宋体" w:cs="宋体"/>
          <w:spacing w:val="-4"/>
          <w:kern w:val="0"/>
          <w:szCs w:val="22"/>
        </w:rPr>
        <w:t>2005</w:t>
      </w:r>
      <w:r>
        <w:rPr>
          <w:rFonts w:ascii="宋体" w:hAnsi="宋体" w:eastAsia="宋体" w:cs="宋体"/>
          <w:spacing w:val="-12"/>
          <w:kern w:val="0"/>
          <w:szCs w:val="22"/>
        </w:rPr>
        <w:t xml:space="preserve"> 年第 </w:t>
      </w:r>
      <w:r>
        <w:rPr>
          <w:rFonts w:ascii="宋体" w:hAnsi="宋体" w:eastAsia="宋体" w:cs="宋体"/>
          <w:spacing w:val="-4"/>
          <w:kern w:val="0"/>
          <w:szCs w:val="22"/>
        </w:rPr>
        <w:t>5</w:t>
      </w:r>
      <w:r>
        <w:rPr>
          <w:rFonts w:ascii="宋体" w:hAnsi="宋体" w:eastAsia="宋体" w:cs="宋体"/>
          <w:spacing w:val="-11"/>
          <w:kern w:val="0"/>
          <w:szCs w:val="22"/>
        </w:rPr>
        <w:t xml:space="preserve"> 号</w:t>
      </w:r>
      <w:r>
        <w:rPr>
          <w:rFonts w:ascii="宋体" w:hAnsi="宋体" w:eastAsia="宋体" w:cs="宋体"/>
          <w:spacing w:val="-4"/>
          <w:kern w:val="0"/>
          <w:szCs w:val="22"/>
        </w:rPr>
        <w:t>）、浙江省交通运输厅关于印发《浙江省普通国省道干线公路工程设</w:t>
      </w:r>
      <w:r>
        <w:rPr>
          <w:rFonts w:ascii="宋体" w:hAnsi="宋体" w:eastAsia="宋体" w:cs="宋体"/>
          <w:kern w:val="0"/>
          <w:szCs w:val="22"/>
        </w:rPr>
        <w:t>计变更管理实施细则》的通知（浙交[2017]34号）及</w:t>
      </w:r>
      <w:r>
        <w:rPr>
          <w:rFonts w:ascii="宋体" w:hAnsi="宋体" w:eastAsia="宋体" w:cs="宋体"/>
          <w:spacing w:val="-4"/>
          <w:kern w:val="0"/>
          <w:szCs w:val="22"/>
        </w:rPr>
        <w:t>三门县人民政府文件三政办规〔2023〕4 号（具 体详见三门县政府性投资项目工程变更操作手册）等地方政府的</w:t>
      </w:r>
      <w:r>
        <w:rPr>
          <w:rFonts w:ascii="宋体" w:hAnsi="宋体" w:eastAsia="宋体" w:cs="宋体"/>
          <w:spacing w:val="-6"/>
          <w:kern w:val="0"/>
          <w:szCs w:val="22"/>
        </w:rPr>
        <w:t>相关规定和要求。</w:t>
      </w:r>
    </w:p>
    <w:p w14:paraId="266DA8D6">
      <w:pPr>
        <w:autoSpaceDE w:val="0"/>
        <w:autoSpaceDN w:val="0"/>
        <w:adjustRightInd w:val="0"/>
        <w:spacing w:before="8"/>
        <w:ind w:left="865"/>
        <w:jc w:val="left"/>
        <w:rPr>
          <w:rFonts w:ascii="宋体" w:hAnsi="宋体" w:eastAsia="宋体" w:cs="宋体"/>
          <w:szCs w:val="21"/>
        </w:rPr>
      </w:pPr>
      <w:r>
        <w:rPr>
          <w:rFonts w:ascii="宋体" w:hAnsi="宋体" w:eastAsia="宋体" w:cs="宋体"/>
          <w:spacing w:val="-5"/>
          <w:szCs w:val="21"/>
        </w:rPr>
        <w:t xml:space="preserve">养护工程专用合同条款 </w:t>
      </w:r>
      <w:r>
        <w:rPr>
          <w:rFonts w:ascii="宋体" w:hAnsi="宋体" w:eastAsia="宋体" w:cs="宋体"/>
          <w:spacing w:val="-2"/>
          <w:szCs w:val="21"/>
        </w:rPr>
        <w:t>15.4.5</w:t>
      </w:r>
      <w:r>
        <w:rPr>
          <w:rFonts w:ascii="宋体" w:hAnsi="宋体" w:eastAsia="宋体" w:cs="宋体"/>
          <w:spacing w:val="-10"/>
          <w:szCs w:val="21"/>
        </w:rPr>
        <w:t xml:space="preserve"> 项细化为：</w:t>
      </w:r>
    </w:p>
    <w:p w14:paraId="140033AC">
      <w:pPr>
        <w:autoSpaceDE w:val="0"/>
        <w:autoSpaceDN w:val="0"/>
        <w:adjustRightInd w:val="0"/>
        <w:spacing w:before="106"/>
        <w:ind w:left="846"/>
        <w:jc w:val="left"/>
        <w:rPr>
          <w:rFonts w:ascii="宋体" w:hAnsi="宋体" w:eastAsia="宋体" w:cs="宋体"/>
          <w:szCs w:val="21"/>
        </w:rPr>
      </w:pPr>
      <w:r>
        <w:rPr>
          <w:rFonts w:ascii="宋体" w:hAnsi="宋体" w:eastAsia="宋体" w:cs="宋体"/>
          <w:spacing w:val="-3"/>
          <w:szCs w:val="21"/>
        </w:rPr>
        <w:t>已标价工程量清单中无适用或类似子目的单价，依据以下次序原则进行处理：</w:t>
      </w:r>
    </w:p>
    <w:p w14:paraId="69355ED4">
      <w:pPr>
        <w:autoSpaceDE w:val="0"/>
        <w:autoSpaceDN w:val="0"/>
        <w:adjustRightInd w:val="0"/>
        <w:spacing w:before="108" w:line="333" w:lineRule="auto"/>
        <w:ind w:left="426" w:leftChars="203" w:right="463" w:firstLine="315" w:firstLineChars="150"/>
        <w:jc w:val="left"/>
        <w:rPr>
          <w:rFonts w:hint="eastAsia" w:ascii="宋体" w:hAnsi="宋体" w:eastAsia="宋体" w:cs="宋体"/>
          <w:spacing w:val="-4"/>
          <w:szCs w:val="22"/>
        </w:rPr>
      </w:pPr>
      <w:bookmarkStart w:id="372" w:name="OLE_LINK7"/>
      <w:r>
        <w:rPr>
          <w:rFonts w:hint="eastAsia"/>
        </w:rPr>
        <w:t>（1）</w:t>
      </w:r>
      <w:r>
        <w:t>本</w:t>
      </w:r>
      <w:bookmarkEnd w:id="372"/>
      <w:r>
        <w:t>标段</w:t>
      </w:r>
      <w:r>
        <w:rPr>
          <w:rFonts w:ascii="宋体" w:hAnsi="宋体" w:eastAsia="宋体" w:cs="宋体"/>
          <w:spacing w:val="-4"/>
          <w:szCs w:val="22"/>
        </w:rPr>
        <w:t>中无适用和类似子目的，按本款以下原则组价，经监理人审核、发包人批准后计取；</w:t>
      </w:r>
      <w:bookmarkStart w:id="373" w:name="OLE_LINK19"/>
      <w:bookmarkStart w:id="374" w:name="OLE_LINK21"/>
      <w:bookmarkStart w:id="375" w:name="OLE_LINK20"/>
    </w:p>
    <w:p w14:paraId="07A8614A">
      <w:pPr>
        <w:autoSpaceDE w:val="0"/>
        <w:autoSpaceDN w:val="0"/>
        <w:adjustRightInd w:val="0"/>
        <w:spacing w:before="108" w:line="333" w:lineRule="auto"/>
        <w:ind w:left="426" w:leftChars="203" w:right="463" w:firstLine="315" w:firstLineChars="150"/>
        <w:jc w:val="left"/>
        <w:rPr>
          <w:rFonts w:hint="eastAsia" w:ascii="宋体" w:hAnsi="宋体" w:eastAsia="宋体" w:cs="宋体"/>
          <w:szCs w:val="21"/>
        </w:rPr>
      </w:pPr>
      <w:r>
        <w:rPr>
          <w:rFonts w:ascii="宋体" w:hAnsi="宋体" w:eastAsia="宋体" w:cs="宋体"/>
          <w:szCs w:val="21"/>
        </w:rPr>
        <w:t>a.定额套用：《交通养护工程工程量清单计价规范》DB33/T 751—2009、《浙江省公路养护工程</w:t>
      </w:r>
      <w:bookmarkEnd w:id="373"/>
      <w:r>
        <w:rPr>
          <w:rFonts w:ascii="宋体" w:hAnsi="宋体" w:eastAsia="宋体" w:cs="宋体"/>
          <w:szCs w:val="21"/>
        </w:rPr>
        <w:t>预算编制办法》、《浙江省公路养护工程预算定额》、《浙江省公路养护工程机械台班费用定额》、《</w:t>
      </w:r>
      <w:bookmarkStart w:id="376" w:name="OLE_LINK23"/>
      <w:r>
        <w:rPr>
          <w:rFonts w:ascii="宋体" w:hAnsi="宋体" w:eastAsia="宋体" w:cs="宋体"/>
          <w:szCs w:val="21"/>
        </w:rPr>
        <w:t>公路工程预算定额》(JTG/T 3832-2018)、《公路工</w:t>
      </w:r>
      <w:bookmarkEnd w:id="371"/>
      <w:r>
        <w:rPr>
          <w:rFonts w:ascii="宋体" w:hAnsi="宋体" w:eastAsia="宋体" w:cs="宋体"/>
          <w:szCs w:val="21"/>
        </w:rPr>
        <w:t>程机械台班费用定额》（JTG/T 3833-2018）</w:t>
      </w:r>
      <w:r>
        <w:rPr>
          <w:rFonts w:hint="eastAsia" w:ascii="宋体" w:hAnsi="宋体" w:eastAsia="宋体" w:cs="宋体"/>
          <w:szCs w:val="21"/>
        </w:rPr>
        <w:t>等相关规</w:t>
      </w:r>
      <w:bookmarkStart w:id="377" w:name="OLE_LINK22"/>
      <w:r>
        <w:rPr>
          <w:rFonts w:hint="eastAsia" w:ascii="宋体" w:hAnsi="宋体" w:eastAsia="宋体" w:cs="宋体"/>
          <w:szCs w:val="21"/>
        </w:rPr>
        <w:t>定</w:t>
      </w:r>
      <w:bookmarkEnd w:id="377"/>
      <w:r>
        <w:rPr>
          <w:rFonts w:ascii="宋体" w:hAnsi="宋体" w:eastAsia="宋体" w:cs="宋体"/>
          <w:szCs w:val="21"/>
        </w:rPr>
        <w:t>。</w:t>
      </w:r>
      <w:bookmarkEnd w:id="376"/>
    </w:p>
    <w:bookmarkEnd w:id="374"/>
    <w:p w14:paraId="2C9DCE2F">
      <w:pPr>
        <w:autoSpaceDE w:val="0"/>
        <w:autoSpaceDN w:val="0"/>
        <w:adjustRightInd w:val="0"/>
        <w:spacing w:before="108" w:line="333" w:lineRule="auto"/>
        <w:ind w:left="426" w:leftChars="203" w:right="463" w:firstLine="315" w:firstLineChars="150"/>
        <w:jc w:val="left"/>
        <w:rPr>
          <w:rFonts w:ascii="宋体" w:hAnsi="宋体" w:eastAsia="宋体" w:cs="宋体"/>
          <w:szCs w:val="21"/>
        </w:rPr>
      </w:pPr>
      <w:r>
        <w:rPr>
          <w:rFonts w:ascii="宋体" w:hAnsi="宋体" w:eastAsia="宋体" w:cs="宋体"/>
          <w:szCs w:val="21"/>
        </w:rPr>
        <w:t>b.取费标准、人工费、机械台班费用：按浙交[2019]116</w:t>
      </w:r>
      <w:r>
        <w:rPr>
          <w:rFonts w:ascii="宋体" w:hAnsi="宋体" w:eastAsia="宋体" w:cs="宋体"/>
          <w:spacing w:val="-7"/>
          <w:szCs w:val="21"/>
        </w:rPr>
        <w:t xml:space="preserve"> 号《转发交通运输部 </w:t>
      </w:r>
      <w:r>
        <w:rPr>
          <w:rFonts w:ascii="宋体" w:hAnsi="宋体" w:eastAsia="宋体" w:cs="宋体"/>
          <w:szCs w:val="21"/>
        </w:rPr>
        <w:t>2018</w:t>
      </w:r>
      <w:r>
        <w:rPr>
          <w:rFonts w:ascii="宋体" w:hAnsi="宋体" w:eastAsia="宋体" w:cs="宋体"/>
          <w:spacing w:val="-11"/>
          <w:szCs w:val="21"/>
        </w:rPr>
        <w:t xml:space="preserve"> 年第 </w:t>
      </w:r>
      <w:r>
        <w:rPr>
          <w:rFonts w:ascii="宋体" w:hAnsi="宋体" w:eastAsia="宋体" w:cs="宋体"/>
          <w:szCs w:val="21"/>
        </w:rPr>
        <w:t>86</w:t>
      </w:r>
      <w:r>
        <w:rPr>
          <w:rFonts w:ascii="宋体" w:hAnsi="宋体" w:eastAsia="宋体" w:cs="宋体"/>
          <w:spacing w:val="-12"/>
          <w:szCs w:val="21"/>
        </w:rPr>
        <w:t xml:space="preserve"> 号</w:t>
      </w:r>
      <w:r>
        <w:rPr>
          <w:rFonts w:ascii="宋体" w:hAnsi="宋体" w:eastAsia="宋体" w:cs="宋体"/>
          <w:spacing w:val="-3"/>
          <w:szCs w:val="21"/>
        </w:rPr>
        <w:t>公告的通知》文件计取；</w:t>
      </w:r>
    </w:p>
    <w:p w14:paraId="193C77CE">
      <w:pPr>
        <w:numPr>
          <w:ilvl w:val="0"/>
          <w:numId w:val="83"/>
        </w:numPr>
        <w:tabs>
          <w:tab w:val="left" w:pos="1054"/>
        </w:tabs>
        <w:autoSpaceDE w:val="0"/>
        <w:autoSpaceDN w:val="0"/>
        <w:spacing w:before="109" w:line="333" w:lineRule="auto"/>
        <w:ind w:right="463" w:firstLine="420"/>
        <w:rPr>
          <w:rFonts w:ascii="宋体" w:hAnsi="宋体" w:eastAsia="宋体" w:cs="宋体"/>
          <w:szCs w:val="22"/>
        </w:rPr>
      </w:pPr>
      <w:r>
        <w:rPr>
          <w:rFonts w:ascii="宋体" w:hAnsi="宋体" w:eastAsia="宋体" w:cs="宋体"/>
          <w:spacing w:val="-5"/>
          <w:szCs w:val="22"/>
        </w:rPr>
        <w:t xml:space="preserve">材料：按本项目合同专用条款 </w:t>
      </w:r>
      <w:r>
        <w:rPr>
          <w:rFonts w:ascii="宋体" w:hAnsi="宋体" w:eastAsia="宋体" w:cs="宋体"/>
          <w:spacing w:val="-2"/>
          <w:szCs w:val="22"/>
        </w:rPr>
        <w:t>16.1</w:t>
      </w:r>
      <w:r>
        <w:rPr>
          <w:rFonts w:ascii="宋体" w:hAnsi="宋体" w:eastAsia="宋体" w:cs="宋体"/>
          <w:spacing w:val="-9"/>
          <w:szCs w:val="22"/>
        </w:rPr>
        <w:t xml:space="preserve"> 款公布的基期价格计入，</w:t>
      </w:r>
      <w:r>
        <w:rPr>
          <w:rFonts w:ascii="宋体" w:hAnsi="宋体" w:eastAsia="宋体" w:cs="宋体"/>
          <w:spacing w:val="-2"/>
          <w:szCs w:val="22"/>
        </w:rPr>
        <w:t>16.1</w:t>
      </w:r>
      <w:r>
        <w:rPr>
          <w:rFonts w:ascii="宋体" w:hAnsi="宋体" w:eastAsia="宋体" w:cs="宋体"/>
          <w:spacing w:val="-8"/>
          <w:szCs w:val="22"/>
        </w:rPr>
        <w:t xml:space="preserve"> 款无规定基期价格的材料，</w:t>
      </w:r>
      <w:r>
        <w:rPr>
          <w:rFonts w:ascii="宋体" w:hAnsi="宋体" w:eastAsia="宋体" w:cs="宋体"/>
          <w:spacing w:val="-1"/>
          <w:szCs w:val="22"/>
        </w:rPr>
        <w:t xml:space="preserve">以浙江省交通厅工程造价管理站发布的投标截止期前 </w:t>
      </w:r>
      <w:r>
        <w:rPr>
          <w:rFonts w:ascii="宋体" w:hAnsi="宋体" w:eastAsia="宋体" w:cs="宋体"/>
          <w:szCs w:val="22"/>
        </w:rPr>
        <w:t>1</w:t>
      </w:r>
      <w:r>
        <w:rPr>
          <w:rFonts w:ascii="宋体" w:hAnsi="宋体" w:eastAsia="宋体" w:cs="宋体"/>
          <w:spacing w:val="-5"/>
          <w:szCs w:val="22"/>
        </w:rPr>
        <w:t xml:space="preserve"> 个月《质监与造价》上的信息价计入</w:t>
      </w:r>
      <w:r>
        <w:rPr>
          <w:rFonts w:ascii="宋体" w:hAnsi="宋体" w:eastAsia="宋体" w:cs="宋体"/>
          <w:szCs w:val="22"/>
        </w:rPr>
        <w:t>（台州</w:t>
      </w:r>
      <w:r>
        <w:rPr>
          <w:rFonts w:ascii="宋体" w:hAnsi="宋体" w:eastAsia="宋体" w:cs="宋体"/>
          <w:spacing w:val="-2"/>
          <w:szCs w:val="22"/>
        </w:rPr>
        <w:t>市信息价平均值）；《质监与造价》中也无信息价的，由监理人、发包人、承包人商定；</w:t>
      </w:r>
    </w:p>
    <w:p w14:paraId="17C9D260">
      <w:pPr>
        <w:numPr>
          <w:ilvl w:val="0"/>
          <w:numId w:val="83"/>
        </w:numPr>
        <w:tabs>
          <w:tab w:val="left" w:pos="1057"/>
        </w:tabs>
        <w:autoSpaceDE w:val="0"/>
        <w:autoSpaceDN w:val="0"/>
        <w:spacing w:before="1" w:line="333" w:lineRule="auto"/>
        <w:ind w:right="567" w:firstLine="420"/>
        <w:rPr>
          <w:rFonts w:ascii="宋体" w:hAnsi="宋体" w:eastAsia="宋体" w:cs="宋体"/>
          <w:szCs w:val="22"/>
        </w:rPr>
      </w:pPr>
      <w:r>
        <w:rPr>
          <w:rFonts w:ascii="宋体" w:hAnsi="宋体" w:eastAsia="宋体" w:cs="宋体"/>
          <w:spacing w:val="-2"/>
          <w:szCs w:val="22"/>
        </w:rPr>
        <w:t>无法套用上述定额和取费标准的，依次按水运、市政、水利、铁路、建筑定额和取费标准的顺序进行组价；上述定额有区域性的，优先适用浙江定额与取费标准；</w:t>
      </w:r>
    </w:p>
    <w:p w14:paraId="2D0D8F46">
      <w:pPr>
        <w:numPr>
          <w:ilvl w:val="0"/>
          <w:numId w:val="83"/>
        </w:numPr>
        <w:tabs>
          <w:tab w:val="left" w:pos="1057"/>
        </w:tabs>
        <w:autoSpaceDE w:val="0"/>
        <w:autoSpaceDN w:val="0"/>
        <w:spacing w:line="336" w:lineRule="auto"/>
        <w:ind w:right="567" w:firstLine="420"/>
        <w:rPr>
          <w:rFonts w:ascii="宋体" w:hAnsi="宋体" w:eastAsia="宋体" w:cs="宋体"/>
          <w:szCs w:val="22"/>
        </w:rPr>
      </w:pPr>
      <w:bookmarkStart w:id="378" w:name="OLE_LINK24"/>
      <w:r>
        <w:rPr>
          <w:rFonts w:ascii="宋体" w:hAnsi="宋体" w:eastAsia="宋体" w:cs="宋体"/>
          <w:spacing w:val="-2"/>
          <w:szCs w:val="22"/>
        </w:rPr>
        <w:t>根据上述原则组价的综合单价</w:t>
      </w:r>
      <w:r>
        <w:rPr>
          <w:rFonts w:hint="eastAsia" w:ascii="宋体" w:hAnsi="宋体" w:eastAsia="宋体" w:cs="宋体"/>
          <w:spacing w:val="-2"/>
          <w:szCs w:val="22"/>
        </w:rPr>
        <w:t>进行汇总</w:t>
      </w:r>
      <w:r>
        <w:rPr>
          <w:rFonts w:ascii="宋体" w:hAnsi="宋体" w:eastAsia="宋体" w:cs="宋体"/>
          <w:spacing w:val="-2"/>
          <w:szCs w:val="22"/>
        </w:rPr>
        <w:t>，</w:t>
      </w:r>
      <w:r>
        <w:rPr>
          <w:rFonts w:hint="eastAsia" w:ascii="宋体" w:hAnsi="宋体" w:eastAsia="宋体" w:cs="宋体"/>
          <w:spacing w:val="-2"/>
          <w:szCs w:val="22"/>
        </w:rPr>
        <w:t>纳入总价，实行总价统一下浮</w:t>
      </w:r>
      <w:r>
        <w:rPr>
          <w:rFonts w:ascii="宋体" w:hAnsi="宋体" w:eastAsia="宋体" w:cs="宋体"/>
          <w:spacing w:val="-2"/>
          <w:szCs w:val="22"/>
        </w:rPr>
        <w:t>。</w:t>
      </w:r>
    </w:p>
    <w:bookmarkEnd w:id="375"/>
    <w:bookmarkEnd w:id="378"/>
    <w:p w14:paraId="46DF8EDC">
      <w:pPr>
        <w:tabs>
          <w:tab w:val="left" w:pos="1367"/>
        </w:tabs>
        <w:autoSpaceDE w:val="0"/>
        <w:autoSpaceDN w:val="0"/>
        <w:spacing w:line="334" w:lineRule="auto"/>
        <w:ind w:left="845"/>
        <w:jc w:val="left"/>
        <w:rPr>
          <w:rFonts w:hint="eastAsia"/>
        </w:rPr>
      </w:pPr>
      <w:r>
        <w:rPr>
          <w:rFonts w:hint="eastAsia" w:ascii="宋体" w:hAnsi="宋体" w:eastAsia="宋体" w:cs="宋体"/>
          <w:spacing w:val="-2"/>
          <w:szCs w:val="22"/>
        </w:rPr>
        <w:t>（2）</w:t>
      </w:r>
      <w:r>
        <w:rPr>
          <w:rFonts w:ascii="宋体" w:hAnsi="宋体" w:eastAsia="宋体" w:cs="宋体"/>
          <w:spacing w:val="-2"/>
          <w:szCs w:val="22"/>
        </w:rPr>
        <w:t>无法套用任何现行定额的，由承包人报监理人审核，并经</w:t>
      </w:r>
      <w:r>
        <w:t xml:space="preserve">发包人审批同意后计取。 </w:t>
      </w:r>
    </w:p>
    <w:p w14:paraId="234E681A">
      <w:pPr>
        <w:tabs>
          <w:tab w:val="left" w:pos="1367"/>
        </w:tabs>
        <w:autoSpaceDE w:val="0"/>
        <w:autoSpaceDN w:val="0"/>
        <w:spacing w:line="334" w:lineRule="auto"/>
        <w:ind w:left="845"/>
        <w:jc w:val="left"/>
        <w:rPr>
          <w:rFonts w:hint="eastAsia"/>
        </w:rPr>
      </w:pPr>
      <w:r>
        <w:rPr>
          <w:rFonts w:hint="eastAsia"/>
        </w:rPr>
        <w:t>（3）以上原则组价的综合单价，计算工程总造价，实行统一下浮。</w:t>
      </w:r>
    </w:p>
    <w:p w14:paraId="462D6C10">
      <w:pPr>
        <w:tabs>
          <w:tab w:val="left" w:pos="1367"/>
        </w:tabs>
        <w:autoSpaceDE w:val="0"/>
        <w:autoSpaceDN w:val="0"/>
        <w:spacing w:line="334" w:lineRule="auto"/>
        <w:ind w:firstLine="420" w:firstLineChars="200"/>
        <w:jc w:val="left"/>
      </w:pPr>
      <w:r>
        <w:t>16．价格调整</w:t>
      </w:r>
    </w:p>
    <w:p w14:paraId="5B63A00A">
      <w:pPr>
        <w:autoSpaceDE w:val="0"/>
        <w:autoSpaceDN w:val="0"/>
        <w:ind w:left="426"/>
        <w:jc w:val="left"/>
        <w:rPr>
          <w:rFonts w:ascii="宋体" w:hAnsi="宋体" w:eastAsia="宋体" w:cs="宋体"/>
          <w:spacing w:val="2"/>
          <w:szCs w:val="21"/>
          <w:u w:val="single"/>
        </w:rPr>
      </w:pPr>
      <w:r>
        <w:rPr>
          <w:rFonts w:ascii="宋体" w:hAnsi="宋体" w:eastAsia="宋体" w:cs="宋体"/>
          <w:szCs w:val="21"/>
        </w:rPr>
        <w:t>16.1</w:t>
      </w:r>
      <w:r>
        <w:rPr>
          <w:rFonts w:ascii="宋体" w:hAnsi="宋体" w:eastAsia="宋体" w:cs="宋体"/>
          <w:spacing w:val="6"/>
          <w:szCs w:val="21"/>
        </w:rPr>
        <w:t xml:space="preserve">  物价波动引起的价格调整</w:t>
      </w:r>
      <w:r>
        <w:rPr>
          <w:rFonts w:ascii="Times New Roman" w:hAnsi="宋体" w:eastAsia="Times New Roman" w:cs="宋体"/>
          <w:szCs w:val="21"/>
          <w:u w:val="single"/>
        </w:rPr>
        <w:tab/>
      </w:r>
      <w:r>
        <w:rPr>
          <w:rFonts w:ascii="宋体" w:hAnsi="宋体" w:eastAsia="宋体" w:cs="宋体"/>
          <w:spacing w:val="2"/>
          <w:szCs w:val="21"/>
          <w:u w:val="single"/>
        </w:rPr>
        <w:t>合同期内不调价。</w:t>
      </w:r>
    </w:p>
    <w:p w14:paraId="2F63F640">
      <w:pPr>
        <w:autoSpaceDE w:val="0"/>
        <w:autoSpaceDN w:val="0"/>
        <w:ind w:left="426"/>
        <w:jc w:val="left"/>
        <w:rPr>
          <w:rFonts w:ascii="宋体" w:hAnsi="宋体" w:eastAsia="宋体" w:cs="宋体"/>
          <w:szCs w:val="21"/>
        </w:rPr>
      </w:pPr>
      <w:r>
        <w:rPr>
          <w:rFonts w:ascii="宋体" w:hAnsi="宋体" w:eastAsia="宋体" w:cs="宋体"/>
          <w:szCs w:val="21"/>
        </w:rPr>
        <w:t>17．计量与支付</w:t>
      </w:r>
    </w:p>
    <w:p w14:paraId="30E6ABBF">
      <w:pPr>
        <w:autoSpaceDE w:val="0"/>
        <w:autoSpaceDN w:val="0"/>
        <w:ind w:left="426"/>
        <w:jc w:val="left"/>
        <w:rPr>
          <w:rFonts w:hint="default" w:ascii="宋体" w:hAnsi="宋体" w:eastAsia="宋体" w:cs="宋体"/>
          <w:szCs w:val="21"/>
          <w:lang w:val="en-US" w:eastAsia="zh-CN"/>
        </w:rPr>
      </w:pPr>
      <w:r>
        <w:rPr>
          <w:rFonts w:hint="eastAsia" w:ascii="宋体" w:hAnsi="宋体" w:eastAsia="宋体" w:cs="宋体"/>
          <w:szCs w:val="21"/>
          <w:lang w:val="en-US" w:eastAsia="zh-CN"/>
        </w:rPr>
        <w:t>17.1.3计量周期修改为单价子目和总价子目统一按工程款支付约定形象进度进行计量支付。</w:t>
      </w:r>
    </w:p>
    <w:p w14:paraId="72ACC7E4">
      <w:pPr>
        <w:autoSpaceDE w:val="0"/>
        <w:autoSpaceDN w:val="0"/>
        <w:ind w:left="426"/>
        <w:jc w:val="left"/>
        <w:rPr>
          <w:rFonts w:ascii="宋体" w:hAnsi="宋体" w:eastAsia="宋体" w:cs="宋体"/>
          <w:color w:val="FF0000"/>
          <w:spacing w:val="-4"/>
          <w:szCs w:val="22"/>
        </w:rPr>
      </w:pPr>
      <w:r>
        <w:rPr>
          <w:rFonts w:hint="eastAsia" w:ascii="宋体" w:hAnsi="宋体" w:eastAsia="宋体" w:cs="宋体"/>
          <w:color w:val="FF0000"/>
          <w:spacing w:val="-4"/>
          <w:szCs w:val="22"/>
          <w:lang w:val="zh-CN"/>
        </w:rPr>
        <w:t>17.1.4</w:t>
      </w:r>
      <w:r>
        <w:rPr>
          <w:rFonts w:hint="eastAsia" w:ascii="宋体" w:hAnsi="宋体" w:eastAsia="宋体" w:cs="宋体"/>
          <w:color w:val="FF0000"/>
          <w:spacing w:val="-4"/>
          <w:szCs w:val="22"/>
        </w:rPr>
        <w:t>单价子目的计量</w:t>
      </w:r>
    </w:p>
    <w:p w14:paraId="66682873">
      <w:pPr>
        <w:autoSpaceDE w:val="0"/>
        <w:autoSpaceDN w:val="0"/>
        <w:ind w:left="426"/>
        <w:jc w:val="left"/>
        <w:rPr>
          <w:color w:val="FF0000"/>
          <w:lang w:val="zh-CN"/>
        </w:rPr>
      </w:pPr>
      <w:r>
        <w:rPr>
          <w:rFonts w:hint="eastAsia"/>
          <w:color w:val="FF0000"/>
          <w:lang w:val="zh-CN"/>
        </w:rPr>
        <w:t>修改补充（7）为承包人计量单价按预算审核书中单价（暂估价除外）进行计量，汇总后按招标文件规定评标标底下浮率</w:t>
      </w:r>
      <w:bookmarkStart w:id="379" w:name="OLE_LINK9"/>
      <w:bookmarkStart w:id="380" w:name="OLE_LINK10"/>
      <w:r>
        <w:rPr>
          <w:rFonts w:hint="eastAsia"/>
          <w:color w:val="FF0000"/>
          <w:lang w:val="zh-CN"/>
        </w:rPr>
        <w:t>实行总价下浮</w:t>
      </w:r>
      <w:bookmarkEnd w:id="379"/>
      <w:bookmarkEnd w:id="380"/>
      <w:r>
        <w:rPr>
          <w:rFonts w:hint="eastAsia"/>
          <w:color w:val="FF0000"/>
          <w:lang w:val="zh-CN"/>
        </w:rPr>
        <w:t>。</w:t>
      </w:r>
    </w:p>
    <w:p w14:paraId="2449942D">
      <w:pPr>
        <w:autoSpaceDE w:val="0"/>
        <w:autoSpaceDN w:val="0"/>
        <w:ind w:left="426"/>
        <w:jc w:val="left"/>
        <w:rPr>
          <w:color w:val="FF0000"/>
          <w:lang w:val="zh-CN"/>
        </w:rPr>
      </w:pPr>
      <w:r>
        <w:rPr>
          <w:rFonts w:hint="eastAsia"/>
          <w:color w:val="FF0000"/>
          <w:lang w:val="zh-CN"/>
        </w:rPr>
        <w:t>17.1.5总价子目的计量</w:t>
      </w:r>
    </w:p>
    <w:p w14:paraId="6DDA915D">
      <w:pPr>
        <w:autoSpaceDE w:val="0"/>
        <w:autoSpaceDN w:val="0"/>
        <w:ind w:left="426"/>
        <w:jc w:val="left"/>
        <w:rPr>
          <w:color w:val="FF0000"/>
          <w:lang w:val="zh-CN"/>
        </w:rPr>
      </w:pPr>
      <w:r>
        <w:rPr>
          <w:rFonts w:hint="eastAsia"/>
          <w:color w:val="FF0000"/>
          <w:lang w:val="zh-CN"/>
        </w:rPr>
        <w:t>本项补充：</w:t>
      </w:r>
    </w:p>
    <w:p w14:paraId="5DF6AC66">
      <w:pPr>
        <w:numPr>
          <w:ilvl w:val="0"/>
          <w:numId w:val="73"/>
        </w:numPr>
        <w:autoSpaceDE w:val="0"/>
        <w:autoSpaceDN w:val="0"/>
        <w:ind w:left="1261" w:hanging="521"/>
        <w:rPr>
          <w:color w:val="FF0000"/>
          <w:lang w:val="zh-CN"/>
        </w:rPr>
      </w:pPr>
      <w:r>
        <w:rPr>
          <w:rFonts w:hint="eastAsia"/>
          <w:color w:val="FF0000"/>
          <w:lang w:val="zh-CN"/>
        </w:rPr>
        <w:t>总价子目计量的单价按招标人提供预算审核书中的单价（暂估价除外）进行计量，汇总后按招标文件规定评标标底下浮率实行总价下浮。</w:t>
      </w:r>
    </w:p>
    <w:p w14:paraId="06FF95DA">
      <w:pPr>
        <w:numPr>
          <w:ilvl w:val="1"/>
          <w:numId w:val="84"/>
        </w:numPr>
        <w:tabs>
          <w:tab w:val="left" w:pos="978"/>
        </w:tabs>
        <w:autoSpaceDE w:val="0"/>
        <w:autoSpaceDN w:val="0"/>
        <w:spacing w:line="272" w:lineRule="exact"/>
        <w:ind w:left="978" w:hanging="552"/>
        <w:rPr>
          <w:rFonts w:ascii="宋体" w:hAnsi="宋体"/>
          <w:color w:val="FF0000"/>
          <w:szCs w:val="21"/>
        </w:rPr>
      </w:pPr>
      <w:r>
        <w:rPr>
          <w:rFonts w:hint="eastAsia" w:ascii="宋体" w:hAnsi="宋体" w:eastAsia="宋体" w:cs="宋体"/>
          <w:color w:val="FF0000"/>
          <w:spacing w:val="3"/>
          <w:szCs w:val="22"/>
        </w:rPr>
        <w:t xml:space="preserve"> 预付款：</w:t>
      </w:r>
    </w:p>
    <w:p w14:paraId="65B4AF3C">
      <w:pPr>
        <w:spacing w:line="400" w:lineRule="exact"/>
        <w:rPr>
          <w:rFonts w:ascii="宋体" w:hAnsi="宋体" w:eastAsia="宋体" w:cs="宋体"/>
          <w:b/>
          <w:color w:val="FF0000"/>
          <w:szCs w:val="21"/>
        </w:rPr>
      </w:pPr>
      <w:r>
        <w:rPr>
          <w:rFonts w:hint="eastAsia" w:ascii="宋体" w:hAnsi="宋体" w:eastAsia="宋体" w:cs="宋体"/>
          <w:b/>
          <w:color w:val="FF0000"/>
          <w:szCs w:val="21"/>
        </w:rPr>
        <w:t xml:space="preserve">    </w:t>
      </w:r>
      <w:bookmarkStart w:id="381" w:name="OLE_LINK33"/>
      <w:bookmarkStart w:id="382" w:name="OLE_LINK32"/>
      <w:r>
        <w:rPr>
          <w:rFonts w:hint="eastAsia" w:ascii="宋体" w:hAnsi="宋体" w:eastAsia="宋体" w:cs="宋体"/>
          <w:b/>
          <w:color w:val="FF0000"/>
          <w:szCs w:val="21"/>
        </w:rPr>
        <w:t xml:space="preserve"> </w:t>
      </w:r>
      <w:bookmarkStart w:id="383" w:name="OLE_LINK31"/>
      <w:r>
        <w:rPr>
          <w:rFonts w:hint="eastAsia" w:ascii="宋体" w:hAnsi="宋体" w:eastAsia="宋体" w:cs="宋体"/>
          <w:b/>
          <w:color w:val="FF0000"/>
          <w:szCs w:val="21"/>
        </w:rPr>
        <w:t>将</w:t>
      </w:r>
      <w:bookmarkStart w:id="384" w:name="OLE_LINK29"/>
      <w:bookmarkStart w:id="385" w:name="OLE_LINK27"/>
      <w:r>
        <w:rPr>
          <w:rFonts w:hint="eastAsia" w:ascii="宋体" w:hAnsi="宋体" w:eastAsia="宋体" w:cs="宋体"/>
          <w:b/>
          <w:color w:val="FF0000"/>
          <w:szCs w:val="21"/>
        </w:rPr>
        <w:t>养护专用合同条款</w:t>
      </w:r>
      <w:bookmarkEnd w:id="381"/>
      <w:bookmarkEnd w:id="382"/>
      <w:bookmarkEnd w:id="384"/>
      <w:bookmarkEnd w:id="385"/>
      <w:r>
        <w:rPr>
          <w:rFonts w:hint="eastAsia" w:ascii="宋体" w:hAnsi="宋体" w:eastAsia="宋体" w:cs="宋体"/>
          <w:b/>
          <w:color w:val="FF0000"/>
          <w:szCs w:val="21"/>
        </w:rPr>
        <w:t>第17.2.1 (1)、（2）目细化为：</w:t>
      </w:r>
    </w:p>
    <w:p w14:paraId="4BA514F5">
      <w:pPr>
        <w:spacing w:line="400" w:lineRule="exact"/>
        <w:ind w:firstLine="422" w:firstLineChars="200"/>
        <w:rPr>
          <w:rFonts w:ascii="宋体" w:hAnsi="宋体" w:eastAsia="宋体" w:cs="宋体"/>
          <w:b/>
          <w:color w:val="FF0000"/>
        </w:rPr>
      </w:pPr>
      <w:r>
        <w:rPr>
          <w:rFonts w:hint="eastAsia" w:ascii="宋体" w:hAnsi="宋体" w:eastAsia="宋体" w:cs="宋体"/>
          <w:b/>
          <w:color w:val="FF0000"/>
        </w:rPr>
        <w:t>（1）开工预付款的金</w:t>
      </w:r>
      <w:bookmarkEnd w:id="383"/>
      <w:r>
        <w:rPr>
          <w:rFonts w:hint="eastAsia" w:ascii="宋体" w:hAnsi="宋体" w:eastAsia="宋体" w:cs="宋体"/>
          <w:b/>
          <w:color w:val="FF0000"/>
        </w:rPr>
        <w:t>额为签约合同价的10%</w:t>
      </w:r>
      <w:r>
        <w:rPr>
          <w:rFonts w:hint="eastAsia" w:ascii="宋体" w:hAnsi="宋体"/>
          <w:color w:val="FF0000"/>
          <w:szCs w:val="21"/>
        </w:rPr>
        <w:t>（含农民工工资预付款）</w:t>
      </w:r>
      <w:r>
        <w:rPr>
          <w:rFonts w:hint="eastAsia" w:ascii="宋体" w:hAnsi="宋体" w:eastAsia="宋体" w:cs="宋体"/>
          <w:b/>
          <w:color w:val="FF0000"/>
        </w:rPr>
        <w:t>。在承包人签订了合同协议书并提交了开工预付款保函后且在承包人承诺的主要人员、设备进场后，一次性支付预付款10%。</w:t>
      </w:r>
    </w:p>
    <w:p w14:paraId="28AABD4B">
      <w:pPr>
        <w:spacing w:line="400" w:lineRule="exact"/>
        <w:ind w:firstLine="422" w:firstLineChars="200"/>
        <w:rPr>
          <w:rFonts w:ascii="宋体" w:hAnsi="宋体" w:eastAsia="宋体" w:cs="宋体"/>
          <w:b/>
          <w:color w:val="FF0000"/>
        </w:rPr>
      </w:pPr>
      <w:r>
        <w:rPr>
          <w:rFonts w:hint="eastAsia" w:ascii="宋体" w:hAnsi="宋体" w:eastAsia="宋体" w:cs="宋体"/>
          <w:b/>
          <w:color w:val="FF0000"/>
        </w:rPr>
        <w:t>承包人不得将该项预付款用于与本工程无关的支出，监理人有权监督承包人对该项费用的使用，如经查实承包人滥用开工预付款，发包人有权立即通过向银行发出通知收回开工预付款保函的方式，将该款收回。</w:t>
      </w:r>
    </w:p>
    <w:p w14:paraId="3F497AAD">
      <w:pPr>
        <w:spacing w:line="400" w:lineRule="exact"/>
        <w:ind w:firstLine="422" w:firstLineChars="200"/>
        <w:rPr>
          <w:rFonts w:ascii="宋体" w:hAnsi="宋体" w:eastAsia="宋体" w:cs="宋体"/>
          <w:b/>
          <w:color w:val="FF0000"/>
          <w:szCs w:val="21"/>
        </w:rPr>
      </w:pPr>
      <w:r>
        <w:rPr>
          <w:rFonts w:hint="eastAsia" w:ascii="宋体" w:hAnsi="宋体" w:eastAsia="宋体" w:cs="宋体"/>
          <w:b/>
          <w:color w:val="FF0000"/>
        </w:rPr>
        <w:t>（2）本项目材料、设备预付款比例：无</w:t>
      </w:r>
      <w:r>
        <w:rPr>
          <w:rFonts w:hint="eastAsia" w:ascii="宋体" w:hAnsi="宋体" w:eastAsia="宋体" w:cs="宋体"/>
          <w:b/>
          <w:color w:val="FF0000"/>
          <w:szCs w:val="21"/>
        </w:rPr>
        <w:t>。</w:t>
      </w:r>
    </w:p>
    <w:p w14:paraId="75F6B1C9">
      <w:pPr>
        <w:spacing w:line="400" w:lineRule="exact"/>
        <w:ind w:firstLine="422" w:firstLineChars="200"/>
        <w:rPr>
          <w:rFonts w:ascii="宋体" w:hAnsi="宋体" w:eastAsia="宋体" w:cs="宋体"/>
          <w:b/>
          <w:bCs/>
          <w:color w:val="FF0000"/>
        </w:rPr>
      </w:pPr>
      <w:r>
        <w:rPr>
          <w:rFonts w:hint="eastAsia" w:ascii="宋体" w:hAnsi="宋体" w:eastAsia="宋体" w:cs="宋体"/>
          <w:b/>
          <w:bCs/>
          <w:color w:val="FF0000"/>
        </w:rPr>
        <w:t>养护专用合同条款17.3.3（2）目细化为：</w:t>
      </w:r>
    </w:p>
    <w:p w14:paraId="0C31ABC9">
      <w:pPr>
        <w:spacing w:line="340" w:lineRule="exact"/>
        <w:ind w:firstLine="422" w:firstLineChars="200"/>
        <w:rPr>
          <w:b/>
          <w:color w:val="FF0000"/>
        </w:rPr>
      </w:pPr>
      <w:r>
        <w:rPr>
          <w:rFonts w:hint="eastAsia"/>
          <w:b/>
          <w:color w:val="FF0000"/>
        </w:rPr>
        <w:t>工程完工后工程款累计支付不超过合同价的85%，待工程交工验收合格并经审计</w:t>
      </w:r>
      <w:r>
        <w:rPr>
          <w:b/>
          <w:color w:val="FF0000"/>
        </w:rPr>
        <w:t>（</w:t>
      </w:r>
      <w:r>
        <w:rPr>
          <w:rFonts w:hint="eastAsia"/>
          <w:b/>
          <w:color w:val="FF0000"/>
        </w:rPr>
        <w:t>由发包人委托第三方审核确定，工程款以第三方审定结论为依据</w:t>
      </w:r>
      <w:r>
        <w:rPr>
          <w:b/>
          <w:color w:val="FF0000"/>
        </w:rPr>
        <w:t>）</w:t>
      </w:r>
      <w:r>
        <w:rPr>
          <w:rFonts w:hint="eastAsia"/>
          <w:b/>
          <w:color w:val="FF0000"/>
        </w:rPr>
        <w:t>后付至审定结算价的</w:t>
      </w:r>
      <w:bookmarkStart w:id="386" w:name="OLE_LINK13"/>
      <w:r>
        <w:rPr>
          <w:rFonts w:hint="eastAsia"/>
          <w:b/>
          <w:color w:val="FF0000"/>
        </w:rPr>
        <w:t>100%</w:t>
      </w:r>
      <w:bookmarkEnd w:id="386"/>
      <w:r>
        <w:rPr>
          <w:rFonts w:hint="eastAsia"/>
          <w:b/>
          <w:color w:val="FF0000"/>
        </w:rPr>
        <w:t>。承包人收取备料款及每期工程款时应开具符合税务部门规定的有效发票，其余按合同通用条款。款项支付在发包人确认计量结果后14天内完成支付，每次付款前，承包人应先按发包人要求提供增值税发票。</w:t>
      </w:r>
    </w:p>
    <w:p w14:paraId="5C5C2BA4">
      <w:pPr>
        <w:autoSpaceDE w:val="0"/>
        <w:autoSpaceDN w:val="0"/>
        <w:spacing w:line="271" w:lineRule="exact"/>
        <w:ind w:left="865"/>
        <w:jc w:val="left"/>
        <w:rPr>
          <w:rFonts w:ascii="宋体" w:hAnsi="宋体" w:eastAsia="宋体" w:cs="宋体"/>
          <w:szCs w:val="21"/>
        </w:rPr>
      </w:pPr>
      <w:r>
        <w:rPr>
          <w:rFonts w:ascii="宋体" w:hAnsi="宋体" w:eastAsia="宋体" w:cs="宋体"/>
          <w:spacing w:val="4"/>
          <w:szCs w:val="21"/>
        </w:rPr>
        <w:t>养护专用合同条款补充第</w:t>
      </w:r>
      <w:r>
        <w:rPr>
          <w:rFonts w:ascii="宋体" w:hAnsi="宋体" w:eastAsia="宋体" w:cs="宋体"/>
          <w:szCs w:val="21"/>
        </w:rPr>
        <w:t>17.3.5项：</w:t>
      </w:r>
    </w:p>
    <w:p w14:paraId="0761C6D6">
      <w:pPr>
        <w:autoSpaceDE w:val="0"/>
        <w:autoSpaceDN w:val="0"/>
        <w:spacing w:before="87" w:line="316" w:lineRule="auto"/>
        <w:ind w:left="426" w:right="569" w:firstLine="439"/>
        <w:rPr>
          <w:rFonts w:ascii="宋体" w:hAnsi="宋体" w:eastAsia="宋体" w:cs="宋体"/>
          <w:szCs w:val="21"/>
        </w:rPr>
      </w:pPr>
      <w:r>
        <w:rPr>
          <w:rFonts w:ascii="宋体" w:hAnsi="宋体" w:eastAsia="宋体" w:cs="宋体"/>
          <w:szCs w:val="21"/>
        </w:rPr>
        <w:t>17.3.5</w:t>
      </w:r>
      <w:r>
        <w:rPr>
          <w:rFonts w:ascii="宋体" w:hAnsi="宋体" w:eastAsia="宋体" w:cs="宋体"/>
          <w:spacing w:val="2"/>
          <w:szCs w:val="21"/>
        </w:rPr>
        <w:t xml:space="preserve"> 农民工工资保证金的缴存时间：</w:t>
      </w:r>
      <w:r>
        <w:rPr>
          <w:rFonts w:ascii="宋体" w:hAnsi="宋体" w:eastAsia="宋体" w:cs="宋体"/>
          <w:szCs w:val="21"/>
          <w:u w:val="single"/>
        </w:rPr>
        <w:t>按《浙江省工程建设领域农名工工资保证金管理实</w:t>
      </w:r>
      <w:r>
        <w:rPr>
          <w:rFonts w:ascii="宋体" w:hAnsi="宋体" w:eastAsia="宋体" w:cs="宋体"/>
          <w:spacing w:val="40"/>
          <w:szCs w:val="21"/>
          <w:u w:val="single"/>
        </w:rPr>
        <w:t xml:space="preserve"> </w:t>
      </w:r>
      <w:r>
        <w:rPr>
          <w:rFonts w:ascii="宋体" w:hAnsi="宋体" w:eastAsia="宋体" w:cs="宋体"/>
          <w:spacing w:val="-2"/>
          <w:szCs w:val="21"/>
          <w:u w:val="single"/>
        </w:rPr>
        <w:t>施细则》浙人社发〔2022〕13</w:t>
      </w:r>
      <w:r>
        <w:rPr>
          <w:rFonts w:ascii="宋体" w:hAnsi="宋体" w:eastAsia="宋体" w:cs="宋体"/>
          <w:spacing w:val="-5"/>
          <w:szCs w:val="21"/>
          <w:u w:val="single"/>
        </w:rPr>
        <w:t xml:space="preserve"> 号、《浙江省工程建设领域农民工工资专用账户管理实施细则》浙人</w:t>
      </w:r>
      <w:r>
        <w:rPr>
          <w:rFonts w:ascii="宋体" w:hAnsi="宋体" w:eastAsia="宋体" w:cs="宋体"/>
          <w:szCs w:val="21"/>
          <w:u w:val="single"/>
        </w:rPr>
        <w:t>社发〔2022〕14 号及相关规定执行（如有最新规定，从其规定）。</w:t>
      </w:r>
    </w:p>
    <w:p w14:paraId="06DAF5AE">
      <w:pPr>
        <w:autoSpaceDE w:val="0"/>
        <w:autoSpaceDN w:val="0"/>
        <w:spacing w:line="316" w:lineRule="auto"/>
        <w:ind w:left="426" w:right="463" w:firstLine="439"/>
        <w:jc w:val="left"/>
        <w:rPr>
          <w:rFonts w:ascii="宋体" w:hAnsi="宋体" w:eastAsia="宋体" w:cs="宋体"/>
          <w:szCs w:val="21"/>
        </w:rPr>
      </w:pPr>
      <w:r>
        <w:rPr>
          <w:rFonts w:ascii="宋体" w:hAnsi="宋体" w:eastAsia="宋体" w:cs="宋体"/>
          <w:spacing w:val="1"/>
          <w:szCs w:val="21"/>
        </w:rPr>
        <w:t>农民工工资保证金的缴存金额：</w:t>
      </w:r>
      <w:r>
        <w:rPr>
          <w:rFonts w:ascii="宋体" w:hAnsi="宋体" w:eastAsia="宋体" w:cs="宋体"/>
          <w:szCs w:val="21"/>
          <w:u w:val="single"/>
        </w:rPr>
        <w:t>按《浙江省工程建设领域农名工工资保证金管理实施细则》</w:t>
      </w:r>
      <w:r>
        <w:rPr>
          <w:rFonts w:ascii="宋体" w:hAnsi="宋体" w:eastAsia="宋体" w:cs="宋体"/>
          <w:spacing w:val="40"/>
          <w:szCs w:val="21"/>
          <w:u w:val="single"/>
        </w:rPr>
        <w:t xml:space="preserve">  </w:t>
      </w:r>
      <w:r>
        <w:rPr>
          <w:rFonts w:ascii="宋体" w:hAnsi="宋体" w:eastAsia="宋体" w:cs="宋体"/>
          <w:spacing w:val="-13"/>
          <w:szCs w:val="21"/>
          <w:u w:val="single"/>
        </w:rPr>
        <w:t>浙人社发〔</w:t>
      </w:r>
      <w:r>
        <w:rPr>
          <w:rFonts w:ascii="宋体" w:hAnsi="宋体" w:eastAsia="宋体" w:cs="宋体"/>
          <w:szCs w:val="21"/>
          <w:u w:val="single"/>
        </w:rPr>
        <w:t>2022</w:t>
      </w:r>
      <w:r>
        <w:rPr>
          <w:rFonts w:ascii="宋体" w:hAnsi="宋体" w:eastAsia="宋体" w:cs="宋体"/>
          <w:spacing w:val="-63"/>
          <w:szCs w:val="21"/>
          <w:u w:val="single"/>
        </w:rPr>
        <w:t>〕</w:t>
      </w:r>
      <w:r>
        <w:rPr>
          <w:rFonts w:ascii="宋体" w:hAnsi="宋体" w:eastAsia="宋体" w:cs="宋体"/>
          <w:szCs w:val="21"/>
          <w:u w:val="single"/>
        </w:rPr>
        <w:t>13</w:t>
      </w:r>
      <w:r>
        <w:rPr>
          <w:rFonts w:ascii="宋体" w:hAnsi="宋体" w:eastAsia="宋体" w:cs="宋体"/>
          <w:spacing w:val="-18"/>
          <w:szCs w:val="21"/>
          <w:u w:val="single"/>
        </w:rPr>
        <w:t xml:space="preserve"> 号、《浙江省工程建设领域农民工工资专用账户管理实施细则》浙人社发〔</w:t>
      </w:r>
      <w:r>
        <w:rPr>
          <w:rFonts w:ascii="宋体" w:hAnsi="宋体" w:eastAsia="宋体" w:cs="宋体"/>
          <w:szCs w:val="21"/>
          <w:u w:val="single"/>
        </w:rPr>
        <w:t>2022〕</w:t>
      </w:r>
      <w:r>
        <w:rPr>
          <w:rFonts w:ascii="宋体" w:hAnsi="宋体" w:eastAsia="宋体" w:cs="宋体"/>
          <w:szCs w:val="21"/>
        </w:rPr>
        <w:t xml:space="preserve"> </w:t>
      </w:r>
      <w:r>
        <w:rPr>
          <w:rFonts w:ascii="宋体" w:hAnsi="宋体" w:eastAsia="宋体" w:cs="宋体"/>
          <w:spacing w:val="-2"/>
          <w:szCs w:val="21"/>
          <w:u w:val="single"/>
        </w:rPr>
        <w:t>14号及相关规定执行（如有最新规定，从其规定）。</w:t>
      </w:r>
    </w:p>
    <w:p w14:paraId="3D09163F">
      <w:pPr>
        <w:autoSpaceDE w:val="0"/>
        <w:autoSpaceDN w:val="0"/>
        <w:spacing w:line="316" w:lineRule="auto"/>
        <w:ind w:left="426" w:right="463" w:firstLine="439"/>
        <w:jc w:val="left"/>
        <w:rPr>
          <w:rFonts w:ascii="宋体" w:hAnsi="宋体" w:eastAsia="宋体" w:cs="宋体"/>
          <w:szCs w:val="21"/>
        </w:rPr>
      </w:pPr>
      <w:r>
        <w:rPr>
          <w:rFonts w:ascii="宋体" w:hAnsi="宋体" w:eastAsia="宋体" w:cs="宋体"/>
          <w:spacing w:val="1"/>
          <w:szCs w:val="21"/>
        </w:rPr>
        <w:t>农民工工资保证金的扣留条件：</w:t>
      </w:r>
      <w:r>
        <w:rPr>
          <w:rFonts w:ascii="宋体" w:hAnsi="宋体" w:eastAsia="宋体" w:cs="宋体"/>
          <w:szCs w:val="21"/>
          <w:u w:val="single"/>
        </w:rPr>
        <w:t>按《浙江省工程建设领域农名工工资保证金管理实施细则》</w:t>
      </w:r>
      <w:r>
        <w:rPr>
          <w:rFonts w:ascii="宋体" w:hAnsi="宋体" w:eastAsia="宋体" w:cs="宋体"/>
          <w:spacing w:val="40"/>
          <w:szCs w:val="21"/>
          <w:u w:val="single"/>
        </w:rPr>
        <w:t xml:space="preserve">  </w:t>
      </w:r>
      <w:r>
        <w:rPr>
          <w:rFonts w:ascii="宋体" w:hAnsi="宋体" w:eastAsia="宋体" w:cs="宋体"/>
          <w:spacing w:val="-13"/>
          <w:szCs w:val="21"/>
          <w:u w:val="single"/>
        </w:rPr>
        <w:t>浙人社发〔</w:t>
      </w:r>
      <w:r>
        <w:rPr>
          <w:rFonts w:ascii="宋体" w:hAnsi="宋体" w:eastAsia="宋体" w:cs="宋体"/>
          <w:szCs w:val="21"/>
          <w:u w:val="single"/>
        </w:rPr>
        <w:t>2022</w:t>
      </w:r>
      <w:r>
        <w:rPr>
          <w:rFonts w:ascii="宋体" w:hAnsi="宋体" w:eastAsia="宋体" w:cs="宋体"/>
          <w:spacing w:val="-63"/>
          <w:szCs w:val="21"/>
          <w:u w:val="single"/>
        </w:rPr>
        <w:t>〕</w:t>
      </w:r>
      <w:r>
        <w:rPr>
          <w:rFonts w:ascii="宋体" w:hAnsi="宋体" w:eastAsia="宋体" w:cs="宋体"/>
          <w:szCs w:val="21"/>
          <w:u w:val="single"/>
        </w:rPr>
        <w:t>13</w:t>
      </w:r>
      <w:r>
        <w:rPr>
          <w:rFonts w:ascii="宋体" w:hAnsi="宋体" w:eastAsia="宋体" w:cs="宋体"/>
          <w:spacing w:val="-18"/>
          <w:szCs w:val="21"/>
          <w:u w:val="single"/>
        </w:rPr>
        <w:t xml:space="preserve"> 号、《浙江省工程建设领域农民工工资专用账户管理实施细则》浙人社发〔</w:t>
      </w:r>
      <w:r>
        <w:rPr>
          <w:rFonts w:ascii="宋体" w:hAnsi="宋体" w:eastAsia="宋体" w:cs="宋体"/>
          <w:szCs w:val="21"/>
          <w:u w:val="single"/>
        </w:rPr>
        <w:t>2022〕</w:t>
      </w:r>
      <w:r>
        <w:rPr>
          <w:rFonts w:ascii="宋体" w:hAnsi="宋体" w:eastAsia="宋体" w:cs="宋体"/>
          <w:szCs w:val="21"/>
        </w:rPr>
        <w:t xml:space="preserve"> </w:t>
      </w:r>
      <w:r>
        <w:rPr>
          <w:rFonts w:ascii="宋体" w:hAnsi="宋体" w:eastAsia="宋体" w:cs="宋体"/>
          <w:szCs w:val="21"/>
          <w:u w:val="single"/>
        </w:rPr>
        <w:t>14 号及相关规定执行（如有最新规定，从其规定）。</w:t>
      </w:r>
    </w:p>
    <w:p w14:paraId="5C23A05F">
      <w:pPr>
        <w:autoSpaceDE w:val="0"/>
        <w:autoSpaceDN w:val="0"/>
        <w:spacing w:line="316" w:lineRule="auto"/>
        <w:ind w:left="426" w:right="463" w:firstLine="439"/>
        <w:jc w:val="left"/>
        <w:rPr>
          <w:rFonts w:ascii="宋体" w:hAnsi="宋体" w:eastAsia="宋体" w:cs="宋体"/>
          <w:szCs w:val="21"/>
        </w:rPr>
      </w:pPr>
      <w:r>
        <w:rPr>
          <w:rFonts w:ascii="宋体" w:hAnsi="宋体" w:eastAsia="宋体" w:cs="宋体"/>
          <w:spacing w:val="1"/>
          <w:szCs w:val="21"/>
        </w:rPr>
        <w:t>农民工工资保证金的返还时间：</w:t>
      </w:r>
      <w:r>
        <w:rPr>
          <w:rFonts w:ascii="宋体" w:hAnsi="宋体" w:eastAsia="宋体" w:cs="宋体"/>
          <w:szCs w:val="21"/>
          <w:u w:val="single"/>
        </w:rPr>
        <w:t>按《浙江省工程建设领域农名工工资保证金管理实施细则》</w:t>
      </w:r>
      <w:r>
        <w:rPr>
          <w:rFonts w:ascii="宋体" w:hAnsi="宋体" w:eastAsia="宋体" w:cs="宋体"/>
          <w:spacing w:val="40"/>
          <w:szCs w:val="21"/>
          <w:u w:val="single"/>
        </w:rPr>
        <w:t xml:space="preserve">  </w:t>
      </w:r>
      <w:r>
        <w:rPr>
          <w:rFonts w:ascii="宋体" w:hAnsi="宋体" w:eastAsia="宋体" w:cs="宋体"/>
          <w:spacing w:val="-13"/>
          <w:szCs w:val="21"/>
          <w:u w:val="single"/>
        </w:rPr>
        <w:t>浙人社发〔</w:t>
      </w:r>
      <w:r>
        <w:rPr>
          <w:rFonts w:ascii="宋体" w:hAnsi="宋体" w:eastAsia="宋体" w:cs="宋体"/>
          <w:szCs w:val="21"/>
          <w:u w:val="single"/>
        </w:rPr>
        <w:t>2022</w:t>
      </w:r>
      <w:r>
        <w:rPr>
          <w:rFonts w:ascii="宋体" w:hAnsi="宋体" w:eastAsia="宋体" w:cs="宋体"/>
          <w:spacing w:val="-63"/>
          <w:szCs w:val="21"/>
          <w:u w:val="single"/>
        </w:rPr>
        <w:t>〕</w:t>
      </w:r>
      <w:r>
        <w:rPr>
          <w:rFonts w:ascii="宋体" w:hAnsi="宋体" w:eastAsia="宋体" w:cs="宋体"/>
          <w:szCs w:val="21"/>
          <w:u w:val="single"/>
        </w:rPr>
        <w:t>13</w:t>
      </w:r>
      <w:r>
        <w:rPr>
          <w:rFonts w:ascii="宋体" w:hAnsi="宋体" w:eastAsia="宋体" w:cs="宋体"/>
          <w:spacing w:val="-18"/>
          <w:szCs w:val="21"/>
          <w:u w:val="single"/>
        </w:rPr>
        <w:t xml:space="preserve"> 号、《浙江省工程建设领域农民工工资专用账户管理实施细则》浙人社发〔</w:t>
      </w:r>
      <w:r>
        <w:rPr>
          <w:rFonts w:ascii="宋体" w:hAnsi="宋体" w:eastAsia="宋体" w:cs="宋体"/>
          <w:szCs w:val="21"/>
          <w:u w:val="single"/>
        </w:rPr>
        <w:t>2022〕</w:t>
      </w:r>
      <w:r>
        <w:rPr>
          <w:rFonts w:ascii="宋体" w:hAnsi="宋体" w:eastAsia="宋体" w:cs="宋体"/>
          <w:szCs w:val="21"/>
        </w:rPr>
        <w:t xml:space="preserve"> </w:t>
      </w:r>
      <w:r>
        <w:rPr>
          <w:rFonts w:ascii="宋体" w:hAnsi="宋体" w:eastAsia="宋体" w:cs="宋体"/>
          <w:szCs w:val="21"/>
          <w:u w:val="single"/>
        </w:rPr>
        <w:t>14 号及相关规定执行（如有最新规定，从其规定）。</w:t>
      </w:r>
    </w:p>
    <w:p w14:paraId="042E3F25">
      <w:pPr>
        <w:numPr>
          <w:ilvl w:val="1"/>
          <w:numId w:val="85"/>
        </w:numPr>
        <w:tabs>
          <w:tab w:val="left" w:pos="1417"/>
        </w:tabs>
        <w:autoSpaceDE w:val="0"/>
        <w:autoSpaceDN w:val="0"/>
        <w:spacing w:line="272" w:lineRule="exact"/>
        <w:ind w:left="1417" w:hanging="552"/>
        <w:rPr>
          <w:rFonts w:hint="eastAsia"/>
        </w:rPr>
      </w:pPr>
      <w:r>
        <w:rPr>
          <w:rFonts w:ascii="宋体" w:hAnsi="宋体" w:eastAsia="宋体" w:cs="宋体"/>
          <w:spacing w:val="4"/>
          <w:szCs w:val="22"/>
        </w:rPr>
        <w:t>质量保证金</w:t>
      </w:r>
    </w:p>
    <w:p w14:paraId="2EE41848">
      <w:pPr>
        <w:autoSpaceDE w:val="0"/>
        <w:autoSpaceDN w:val="0"/>
        <w:spacing w:before="43"/>
        <w:ind w:left="865"/>
        <w:jc w:val="left"/>
        <w:rPr>
          <w:rFonts w:ascii="宋体" w:hAnsi="宋体" w:eastAsia="宋体" w:cs="宋体"/>
          <w:szCs w:val="21"/>
        </w:rPr>
      </w:pPr>
      <w:r>
        <w:rPr>
          <w:rFonts w:ascii="宋体" w:hAnsi="宋体" w:eastAsia="宋体" w:cs="宋体"/>
          <w:spacing w:val="11"/>
          <w:szCs w:val="21"/>
        </w:rPr>
        <w:t>第</w:t>
      </w:r>
      <w:r>
        <w:rPr>
          <w:rFonts w:ascii="宋体" w:hAnsi="宋体" w:eastAsia="宋体" w:cs="宋体"/>
          <w:szCs w:val="21"/>
        </w:rPr>
        <w:t>17.4.1</w:t>
      </w:r>
      <w:r>
        <w:rPr>
          <w:rFonts w:ascii="宋体" w:hAnsi="宋体" w:eastAsia="宋体" w:cs="宋体"/>
          <w:spacing w:val="4"/>
          <w:szCs w:val="21"/>
        </w:rPr>
        <w:t>项细化为：</w:t>
      </w:r>
    </w:p>
    <w:p w14:paraId="5E261172">
      <w:pPr>
        <w:numPr>
          <w:ilvl w:val="2"/>
          <w:numId w:val="85"/>
        </w:numPr>
        <w:tabs>
          <w:tab w:val="left" w:pos="1636"/>
        </w:tabs>
        <w:autoSpaceDE w:val="0"/>
        <w:autoSpaceDN w:val="0"/>
        <w:spacing w:before="87" w:line="316" w:lineRule="auto"/>
        <w:ind w:right="518" w:firstLine="439"/>
        <w:rPr>
          <w:rFonts w:ascii="宋体" w:hAnsi="宋体" w:eastAsia="宋体" w:cs="宋体"/>
          <w:szCs w:val="22"/>
        </w:rPr>
      </w:pPr>
      <w:r>
        <w:rPr>
          <w:rFonts w:ascii="宋体" w:hAnsi="宋体" w:eastAsia="宋体" w:cs="宋体"/>
          <w:spacing w:val="-1"/>
          <w:szCs w:val="22"/>
        </w:rPr>
        <w:t>交工验收证书签发后14天内，承包人应向发包人缴纳质量保证金。质量保证金可以采用现金、支票或工程保函形式（按照“关于在全省工程建设领域改革保证金制度的通知”（浙建〔2020〕7号），工程保函包括银行保函、保险机构保证保险保单和融资性担保公司保函），金额应符合项目专用合同条款数据表的规定。采用工程保函时，出具保函的机构须具有相应担保能力，且按照发包人批准的格式出具，所需费用由承包人承担</w:t>
      </w:r>
      <w:r>
        <w:rPr>
          <w:rFonts w:ascii="宋体" w:hAnsi="宋体" w:eastAsia="宋体" w:cs="宋体"/>
          <w:spacing w:val="8"/>
          <w:w w:val="99"/>
          <w:szCs w:val="22"/>
        </w:rPr>
        <w:t>。</w:t>
      </w:r>
    </w:p>
    <w:p w14:paraId="48D9D6BA">
      <w:pPr>
        <w:autoSpaceDE w:val="0"/>
        <w:autoSpaceDN w:val="0"/>
        <w:spacing w:line="316" w:lineRule="auto"/>
        <w:ind w:left="426" w:right="629" w:firstLine="439"/>
        <w:jc w:val="left"/>
        <w:rPr>
          <w:rFonts w:ascii="宋体" w:hAnsi="宋体" w:eastAsia="宋体" w:cs="宋体"/>
          <w:szCs w:val="21"/>
        </w:rPr>
      </w:pPr>
      <w:r>
        <w:rPr>
          <w:rFonts w:ascii="宋体" w:hAnsi="宋体" w:eastAsia="宋体" w:cs="宋体"/>
          <w:spacing w:val="-1"/>
          <w:szCs w:val="22"/>
        </w:rPr>
        <w:t>质量保证金采用现金、支票形式提交的，发包人应在项目专用合同条款数据表中明确是否计付利息及利息的计算方式</w:t>
      </w:r>
      <w:r>
        <w:rPr>
          <w:rFonts w:ascii="宋体" w:hAnsi="宋体" w:eastAsia="宋体" w:cs="宋体"/>
          <w:spacing w:val="8"/>
          <w:w w:val="99"/>
          <w:szCs w:val="21"/>
        </w:rPr>
        <w:t>。</w:t>
      </w:r>
    </w:p>
    <w:p w14:paraId="56B7E8F6">
      <w:pPr>
        <w:autoSpaceDE w:val="0"/>
        <w:autoSpaceDN w:val="0"/>
        <w:spacing w:line="316" w:lineRule="auto"/>
        <w:ind w:left="426" w:right="628" w:firstLine="439"/>
        <w:rPr>
          <w:rFonts w:ascii="宋体" w:hAnsi="宋体" w:eastAsia="宋体" w:cs="宋体"/>
          <w:szCs w:val="21"/>
        </w:rPr>
      </w:pPr>
      <w:r>
        <w:rPr>
          <w:rFonts w:ascii="宋体" w:hAnsi="宋体" w:eastAsia="宋体" w:cs="宋体"/>
          <w:spacing w:val="-1"/>
          <w:szCs w:val="22"/>
        </w:rPr>
        <w:t>根据浙江省最新评价的信用等级最优的承包人，招标人可以给予减少质量保证金额度、提前返还质量保证金等优惠奖励。减少的质量保证金额度及提前返还质量保证金的期限在专用合同条款数据表中明确</w:t>
      </w:r>
      <w:r>
        <w:rPr>
          <w:rFonts w:ascii="宋体" w:hAnsi="宋体" w:eastAsia="宋体" w:cs="宋体"/>
          <w:spacing w:val="8"/>
          <w:w w:val="99"/>
          <w:szCs w:val="21"/>
        </w:rPr>
        <w:t>。</w:t>
      </w:r>
    </w:p>
    <w:p w14:paraId="78DC2AA8">
      <w:pPr>
        <w:numPr>
          <w:ilvl w:val="0"/>
          <w:numId w:val="34"/>
        </w:numPr>
        <w:tabs>
          <w:tab w:val="left" w:pos="863"/>
        </w:tabs>
        <w:autoSpaceDE w:val="0"/>
        <w:autoSpaceDN w:val="0"/>
        <w:spacing w:line="272" w:lineRule="exact"/>
        <w:ind w:left="863" w:hanging="437"/>
        <w:rPr>
          <w:rFonts w:ascii="宋体" w:hAnsi="宋体" w:eastAsia="宋体" w:cs="宋体"/>
          <w:szCs w:val="22"/>
        </w:rPr>
      </w:pPr>
      <w:r>
        <w:rPr>
          <w:rFonts w:ascii="宋体" w:hAnsi="宋体" w:eastAsia="宋体" w:cs="宋体"/>
          <w:szCs w:val="22"/>
        </w:rPr>
        <w:t>交</w:t>
      </w:r>
      <w:r>
        <w:rPr>
          <w:rFonts w:ascii="宋体" w:hAnsi="宋体" w:eastAsia="宋体" w:cs="宋体"/>
          <w:spacing w:val="11"/>
          <w:szCs w:val="22"/>
        </w:rPr>
        <w:t>（竣</w:t>
      </w:r>
      <w:r>
        <w:rPr>
          <w:rFonts w:ascii="宋体" w:hAnsi="宋体" w:eastAsia="宋体" w:cs="宋体"/>
          <w:szCs w:val="22"/>
        </w:rPr>
        <w:t>）</w:t>
      </w:r>
      <w:r>
        <w:rPr>
          <w:rFonts w:ascii="宋体" w:hAnsi="宋体" w:eastAsia="宋体" w:cs="宋体"/>
          <w:spacing w:val="4"/>
          <w:szCs w:val="22"/>
        </w:rPr>
        <w:t>工验收</w:t>
      </w:r>
    </w:p>
    <w:p w14:paraId="763FA5E4">
      <w:pPr>
        <w:numPr>
          <w:ilvl w:val="1"/>
          <w:numId w:val="34"/>
        </w:numPr>
        <w:tabs>
          <w:tab w:val="left" w:pos="1093"/>
        </w:tabs>
        <w:autoSpaceDE w:val="0"/>
        <w:autoSpaceDN w:val="0"/>
        <w:spacing w:before="85"/>
        <w:ind w:left="1093" w:hanging="667"/>
        <w:rPr>
          <w:rFonts w:ascii="宋体" w:hAnsi="宋体" w:eastAsia="宋体" w:cs="宋体"/>
          <w:szCs w:val="22"/>
        </w:rPr>
      </w:pPr>
      <w:r>
        <w:rPr>
          <w:rFonts w:ascii="宋体" w:hAnsi="宋体" w:eastAsia="宋体" w:cs="宋体"/>
          <w:spacing w:val="4"/>
          <w:szCs w:val="22"/>
        </w:rPr>
        <w:t>交竣工验收的含义</w:t>
      </w:r>
    </w:p>
    <w:p w14:paraId="4B02F2B4">
      <w:pPr>
        <w:autoSpaceDE w:val="0"/>
        <w:autoSpaceDN w:val="0"/>
        <w:spacing w:before="87"/>
        <w:ind w:left="865"/>
        <w:rPr>
          <w:rFonts w:ascii="宋体" w:hAnsi="宋体" w:eastAsia="宋体" w:cs="宋体"/>
          <w:szCs w:val="21"/>
        </w:rPr>
      </w:pPr>
      <w:r>
        <w:rPr>
          <w:rFonts w:ascii="宋体" w:hAnsi="宋体" w:eastAsia="宋体" w:cs="宋体"/>
          <w:spacing w:val="5"/>
          <w:szCs w:val="21"/>
        </w:rPr>
        <w:t xml:space="preserve">养护工程专用合同条款第 </w:t>
      </w:r>
      <w:r>
        <w:rPr>
          <w:rFonts w:ascii="宋体" w:hAnsi="宋体" w:eastAsia="宋体" w:cs="宋体"/>
          <w:szCs w:val="21"/>
        </w:rPr>
        <w:t>18.1</w:t>
      </w:r>
      <w:r>
        <w:rPr>
          <w:rFonts w:ascii="宋体" w:hAnsi="宋体" w:eastAsia="宋体" w:cs="宋体"/>
          <w:spacing w:val="6"/>
          <w:szCs w:val="21"/>
        </w:rPr>
        <w:t xml:space="preserve"> 款补充：</w:t>
      </w:r>
    </w:p>
    <w:p w14:paraId="66CF1D88">
      <w:pPr>
        <w:numPr>
          <w:ilvl w:val="2"/>
          <w:numId w:val="86"/>
        </w:numPr>
        <w:tabs>
          <w:tab w:val="left" w:pos="1751"/>
        </w:tabs>
        <w:autoSpaceDE w:val="0"/>
        <w:autoSpaceDN w:val="0"/>
        <w:spacing w:before="87" w:line="316" w:lineRule="auto"/>
        <w:ind w:right="578" w:firstLine="439"/>
        <w:jc w:val="both"/>
        <w:rPr>
          <w:rFonts w:ascii="宋体" w:hAnsi="宋体" w:eastAsia="宋体" w:cs="宋体"/>
          <w:szCs w:val="22"/>
        </w:rPr>
      </w:pPr>
      <w:r>
        <w:rPr>
          <w:rFonts w:ascii="宋体" w:hAnsi="宋体" w:eastAsia="宋体" w:cs="宋体"/>
          <w:spacing w:val="-1"/>
          <w:szCs w:val="22"/>
        </w:rPr>
        <w:t>养护工程一般采用一阶段验收，完工交付使用后6个月内及时完成验收。技术复杂或规模较大的项目可采用两阶段验收，在工程完工后应当及时组织交工验收，一般在质量缺陷责任期满后6个月内完成竣工验收</w:t>
      </w:r>
      <w:r>
        <w:rPr>
          <w:rFonts w:ascii="宋体" w:hAnsi="宋体" w:eastAsia="宋体" w:cs="宋体"/>
          <w:spacing w:val="8"/>
          <w:w w:val="99"/>
          <w:szCs w:val="22"/>
        </w:rPr>
        <w:t>。</w:t>
      </w:r>
    </w:p>
    <w:p w14:paraId="5B5EC5D6">
      <w:pPr>
        <w:numPr>
          <w:ilvl w:val="2"/>
          <w:numId w:val="86"/>
        </w:numPr>
        <w:tabs>
          <w:tab w:val="left" w:pos="1751"/>
        </w:tabs>
        <w:autoSpaceDE w:val="0"/>
        <w:autoSpaceDN w:val="0"/>
        <w:spacing w:line="316" w:lineRule="auto"/>
        <w:ind w:right="617" w:firstLine="439"/>
        <w:jc w:val="both"/>
        <w:rPr>
          <w:rFonts w:ascii="宋体" w:hAnsi="宋体" w:eastAsia="宋体" w:cs="宋体"/>
          <w:szCs w:val="22"/>
        </w:rPr>
      </w:pPr>
      <w:r>
        <w:rPr>
          <w:rFonts w:ascii="宋体" w:hAnsi="宋体" w:eastAsia="宋体" w:cs="宋体"/>
          <w:spacing w:val="-1"/>
          <w:szCs w:val="22"/>
        </w:rPr>
        <w:t>普通国道非收费公路验收工作由设区的市公路管理机构组织并出具验收报告，并抄送省级公路管理机构和设区的市交通运输主管部门</w:t>
      </w:r>
      <w:r>
        <w:rPr>
          <w:rFonts w:ascii="宋体" w:hAnsi="宋体" w:eastAsia="宋体" w:cs="宋体"/>
          <w:spacing w:val="8"/>
          <w:w w:val="99"/>
          <w:szCs w:val="22"/>
        </w:rPr>
        <w:t>。</w:t>
      </w:r>
    </w:p>
    <w:p w14:paraId="3FD43829">
      <w:pPr>
        <w:autoSpaceDE w:val="0"/>
        <w:autoSpaceDN w:val="0"/>
        <w:spacing w:line="316" w:lineRule="auto"/>
        <w:ind w:left="426" w:right="628" w:firstLine="439"/>
        <w:rPr>
          <w:rFonts w:ascii="宋体" w:hAnsi="宋体" w:eastAsia="宋体" w:cs="宋体"/>
          <w:szCs w:val="21"/>
        </w:rPr>
      </w:pPr>
      <w:r>
        <w:rPr>
          <w:rFonts w:ascii="宋体" w:hAnsi="宋体" w:eastAsia="宋体" w:cs="宋体"/>
          <w:spacing w:val="-1"/>
          <w:szCs w:val="22"/>
        </w:rPr>
        <w:t>普通省道非收费公路验收工作由县（市、区）交通运输主管部门组织验收，并向设区的市交通运输部门报告，设区的市交通运输部门将辖区内的每年的省道验收情况汇总后向省级交通运输部门报告；收费公路养护工程项目验收工作由收费公路经营管理者自行组织，并将验收结果向省级和属地设区的市交通运输部门报告</w:t>
      </w:r>
      <w:r>
        <w:rPr>
          <w:rFonts w:ascii="宋体" w:hAnsi="宋体" w:eastAsia="宋体" w:cs="宋体"/>
          <w:spacing w:val="8"/>
          <w:w w:val="99"/>
          <w:szCs w:val="21"/>
        </w:rPr>
        <w:t>。</w:t>
      </w:r>
    </w:p>
    <w:p w14:paraId="6FD5292A">
      <w:pPr>
        <w:autoSpaceDE w:val="0"/>
        <w:autoSpaceDN w:val="0"/>
        <w:spacing w:line="272" w:lineRule="exact"/>
        <w:ind w:left="426"/>
        <w:jc w:val="left"/>
        <w:rPr>
          <w:rFonts w:ascii="宋体" w:hAnsi="宋体" w:eastAsia="宋体" w:cs="宋体"/>
          <w:szCs w:val="21"/>
        </w:rPr>
      </w:pPr>
      <w:r>
        <w:rPr>
          <w:rFonts w:ascii="宋体" w:hAnsi="宋体" w:eastAsia="宋体" w:cs="宋体"/>
          <w:szCs w:val="21"/>
        </w:rPr>
        <w:t>20</w:t>
      </w:r>
      <w:r>
        <w:rPr>
          <w:rFonts w:ascii="宋体" w:hAnsi="宋体" w:eastAsia="宋体" w:cs="宋体"/>
          <w:spacing w:val="-4"/>
          <w:szCs w:val="21"/>
        </w:rPr>
        <w:t>．保险</w:t>
      </w:r>
    </w:p>
    <w:p w14:paraId="099E51BC">
      <w:pPr>
        <w:numPr>
          <w:ilvl w:val="1"/>
          <w:numId w:val="87"/>
        </w:numPr>
        <w:tabs>
          <w:tab w:val="left" w:pos="1093"/>
        </w:tabs>
        <w:autoSpaceDE w:val="0"/>
        <w:autoSpaceDN w:val="0"/>
        <w:spacing w:before="85"/>
        <w:ind w:left="1093" w:hanging="667"/>
        <w:rPr>
          <w:rFonts w:ascii="宋体" w:hAnsi="宋体" w:eastAsia="宋体" w:cs="宋体"/>
          <w:szCs w:val="22"/>
        </w:rPr>
      </w:pPr>
      <w:r>
        <w:rPr>
          <w:rFonts w:ascii="宋体" w:hAnsi="宋体" w:eastAsia="宋体" w:cs="宋体"/>
          <w:spacing w:val="3"/>
          <w:szCs w:val="22"/>
        </w:rPr>
        <w:t>人员工伤事故的保险</w:t>
      </w:r>
    </w:p>
    <w:p w14:paraId="0C19FE17">
      <w:pPr>
        <w:numPr>
          <w:ilvl w:val="2"/>
          <w:numId w:val="87"/>
        </w:numPr>
        <w:tabs>
          <w:tab w:val="left" w:pos="1751"/>
        </w:tabs>
        <w:autoSpaceDE w:val="0"/>
        <w:autoSpaceDN w:val="0"/>
        <w:spacing w:before="87" w:line="316" w:lineRule="auto"/>
        <w:ind w:right="5897" w:firstLine="0"/>
        <w:rPr>
          <w:rFonts w:ascii="宋体" w:hAnsi="宋体" w:eastAsia="宋体" w:cs="宋体"/>
          <w:szCs w:val="22"/>
        </w:rPr>
      </w:pPr>
      <w:r>
        <w:rPr>
          <w:rFonts w:ascii="宋体" w:hAnsi="宋体" w:eastAsia="宋体" w:cs="宋体"/>
          <w:spacing w:val="2"/>
          <w:szCs w:val="22"/>
        </w:rPr>
        <w:t>承包人员工伤事故的保险</w:t>
      </w:r>
      <w:r>
        <w:rPr>
          <w:rFonts w:ascii="宋体" w:hAnsi="宋体" w:eastAsia="宋体" w:cs="宋体"/>
          <w:spacing w:val="3"/>
          <w:szCs w:val="22"/>
        </w:rPr>
        <w:t>本项补充：</w:t>
      </w:r>
    </w:p>
    <w:p w14:paraId="132CC51F">
      <w:pPr>
        <w:autoSpaceDE w:val="0"/>
        <w:autoSpaceDN w:val="0"/>
        <w:spacing w:line="316" w:lineRule="auto"/>
        <w:ind w:left="426" w:right="628" w:firstLine="439"/>
        <w:rPr>
          <w:rFonts w:ascii="宋体" w:hAnsi="宋体" w:eastAsia="宋体" w:cs="宋体"/>
          <w:szCs w:val="21"/>
        </w:rPr>
      </w:pPr>
      <w:r>
        <w:rPr>
          <w:rFonts w:ascii="宋体" w:hAnsi="宋体" w:eastAsia="宋体" w:cs="宋体"/>
          <w:spacing w:val="-1"/>
          <w:szCs w:val="22"/>
        </w:rPr>
        <w:t>承包人应按《浙江省人力资源和社会保障厅等六部门转发人力资源社会保障部等六部门关于铁路、公路、水运、水利、能源、机场工程建设项目参加工伤保险工作的通知》等规定，在开工前及时办理农民工工伤保险，并要求其劳务合作单位也应进行此项保险农民工工伤保险已包含在安全生产责任保险中，发包人不再单独支付</w:t>
      </w:r>
      <w:r>
        <w:rPr>
          <w:rFonts w:ascii="宋体" w:hAnsi="宋体" w:eastAsia="宋体" w:cs="宋体"/>
          <w:spacing w:val="8"/>
          <w:w w:val="99"/>
          <w:szCs w:val="21"/>
        </w:rPr>
        <w:t>。</w:t>
      </w:r>
    </w:p>
    <w:p w14:paraId="386612FE">
      <w:pPr>
        <w:numPr>
          <w:ilvl w:val="1"/>
          <w:numId w:val="88"/>
        </w:numPr>
        <w:tabs>
          <w:tab w:val="left" w:pos="1093"/>
        </w:tabs>
        <w:autoSpaceDE w:val="0"/>
        <w:autoSpaceDN w:val="0"/>
        <w:spacing w:line="272" w:lineRule="exact"/>
        <w:ind w:left="1093" w:hanging="667"/>
        <w:jc w:val="both"/>
        <w:rPr>
          <w:rFonts w:ascii="宋体" w:hAnsi="宋体" w:eastAsia="宋体" w:cs="宋体"/>
          <w:szCs w:val="22"/>
        </w:rPr>
      </w:pPr>
      <w:r>
        <w:rPr>
          <w:rFonts w:ascii="宋体" w:hAnsi="宋体" w:eastAsia="宋体" w:cs="宋体"/>
          <w:spacing w:val="3"/>
          <w:szCs w:val="22"/>
        </w:rPr>
        <w:t>第三者责任险</w:t>
      </w:r>
    </w:p>
    <w:p w14:paraId="547E8350">
      <w:pPr>
        <w:autoSpaceDE w:val="0"/>
        <w:autoSpaceDN w:val="0"/>
        <w:spacing w:before="86"/>
        <w:ind w:left="865"/>
        <w:rPr>
          <w:rFonts w:ascii="宋体" w:hAnsi="宋体" w:eastAsia="宋体" w:cs="宋体"/>
          <w:szCs w:val="21"/>
        </w:rPr>
      </w:pPr>
      <w:r>
        <w:rPr>
          <w:rFonts w:ascii="宋体" w:hAnsi="宋体" w:eastAsia="宋体" w:cs="宋体"/>
          <w:spacing w:val="13"/>
          <w:szCs w:val="21"/>
        </w:rPr>
        <w:t xml:space="preserve">第 </w:t>
      </w:r>
      <w:r>
        <w:rPr>
          <w:rFonts w:ascii="宋体" w:hAnsi="宋体" w:eastAsia="宋体" w:cs="宋体"/>
          <w:szCs w:val="21"/>
        </w:rPr>
        <w:t>20.4.2</w:t>
      </w:r>
      <w:r>
        <w:rPr>
          <w:rFonts w:ascii="宋体" w:hAnsi="宋体" w:eastAsia="宋体" w:cs="宋体"/>
          <w:spacing w:val="7"/>
          <w:szCs w:val="21"/>
        </w:rPr>
        <w:t xml:space="preserve"> 项细化为：</w:t>
      </w:r>
    </w:p>
    <w:p w14:paraId="4516B885">
      <w:pPr>
        <w:numPr>
          <w:ilvl w:val="2"/>
          <w:numId w:val="59"/>
        </w:numPr>
        <w:tabs>
          <w:tab w:val="left" w:pos="1636"/>
        </w:tabs>
        <w:autoSpaceDE w:val="0"/>
        <w:autoSpaceDN w:val="0"/>
        <w:spacing w:before="87" w:line="316" w:lineRule="auto"/>
        <w:ind w:left="426" w:right="578" w:firstLine="439"/>
        <w:jc w:val="both"/>
        <w:rPr>
          <w:rFonts w:ascii="宋体" w:hAnsi="宋体" w:eastAsia="宋体" w:cs="宋体"/>
          <w:szCs w:val="22"/>
        </w:rPr>
      </w:pPr>
      <w:r>
        <w:rPr>
          <w:rFonts w:ascii="宋体" w:hAnsi="宋体" w:eastAsia="宋体" w:cs="宋体"/>
          <w:spacing w:val="-1"/>
          <w:szCs w:val="22"/>
        </w:rPr>
        <w:t>在缺陷责任期终止证书颁发前，承包人应以承包人和发包人的共同名义，投保第三者责任险，第三者责任险已包含在安全生产责任保险中，发包人不再单独支付</w:t>
      </w:r>
      <w:r>
        <w:rPr>
          <w:rFonts w:ascii="宋体" w:hAnsi="宋体" w:eastAsia="宋体" w:cs="宋体"/>
          <w:spacing w:val="8"/>
          <w:w w:val="99"/>
          <w:szCs w:val="22"/>
        </w:rPr>
        <w:t>。</w:t>
      </w:r>
    </w:p>
    <w:p w14:paraId="5B2FD0C2">
      <w:pPr>
        <w:numPr>
          <w:ilvl w:val="1"/>
          <w:numId w:val="88"/>
        </w:numPr>
        <w:tabs>
          <w:tab w:val="left" w:pos="865"/>
          <w:tab w:val="left" w:pos="1092"/>
        </w:tabs>
        <w:autoSpaceDE w:val="0"/>
        <w:autoSpaceDN w:val="0"/>
        <w:spacing w:line="316" w:lineRule="auto"/>
        <w:ind w:left="865" w:right="7889" w:hanging="440"/>
        <w:jc w:val="both"/>
        <w:rPr>
          <w:rFonts w:hint="eastAsia"/>
        </w:rPr>
      </w:pPr>
      <w:r>
        <w:rPr>
          <w:rFonts w:ascii="宋体" w:hAnsi="宋体" w:eastAsia="宋体" w:cs="宋体"/>
          <w:szCs w:val="22"/>
        </w:rPr>
        <w:tab/>
      </w:r>
      <w:r>
        <w:rPr>
          <w:rFonts w:ascii="宋体" w:hAnsi="宋体" w:eastAsia="宋体" w:cs="宋体"/>
          <w:spacing w:val="2"/>
          <w:szCs w:val="22"/>
        </w:rPr>
        <w:t>其他保险</w:t>
      </w:r>
      <w:r>
        <w:rPr>
          <w:rFonts w:ascii="宋体" w:hAnsi="宋体" w:eastAsia="宋体" w:cs="宋体"/>
          <w:szCs w:val="22"/>
        </w:rPr>
        <w:t xml:space="preserve"> </w:t>
      </w:r>
      <w:r>
        <w:rPr>
          <w:rFonts w:ascii="宋体" w:hAnsi="宋体" w:eastAsia="宋体" w:cs="宋体"/>
          <w:spacing w:val="3"/>
          <w:szCs w:val="22"/>
        </w:rPr>
        <w:t>本款细化为：</w:t>
      </w:r>
    </w:p>
    <w:p w14:paraId="3B81B000">
      <w:pPr>
        <w:autoSpaceDE w:val="0"/>
        <w:autoSpaceDN w:val="0"/>
        <w:spacing w:before="43"/>
        <w:ind w:left="865"/>
        <w:jc w:val="left"/>
        <w:rPr>
          <w:rFonts w:ascii="宋体" w:hAnsi="宋体" w:eastAsia="宋体" w:cs="宋体"/>
          <w:szCs w:val="21"/>
        </w:rPr>
      </w:pPr>
      <w:r>
        <w:rPr>
          <w:rFonts w:ascii="宋体" w:hAnsi="宋体" w:eastAsia="宋体" w:cs="宋体"/>
          <w:spacing w:val="-1"/>
          <w:szCs w:val="21"/>
        </w:rPr>
        <w:t>承包人应为其施工设备等办理保险，其投保金额应足以现场重置。</w:t>
      </w:r>
    </w:p>
    <w:p w14:paraId="4AEE17C6">
      <w:pPr>
        <w:autoSpaceDE w:val="0"/>
        <w:autoSpaceDN w:val="0"/>
        <w:spacing w:before="87"/>
        <w:ind w:left="865"/>
        <w:jc w:val="left"/>
        <w:rPr>
          <w:rFonts w:ascii="宋体" w:hAnsi="宋体" w:eastAsia="宋体" w:cs="宋体"/>
          <w:szCs w:val="21"/>
        </w:rPr>
      </w:pPr>
      <w:r>
        <w:rPr>
          <w:rFonts w:ascii="宋体" w:hAnsi="宋体" w:eastAsia="宋体" w:cs="宋体"/>
          <w:spacing w:val="-1"/>
          <w:szCs w:val="21"/>
        </w:rPr>
        <w:t>承包人应办理法律法规规定必须投保的其他保险，如安全生产责任保险。</w:t>
      </w:r>
    </w:p>
    <w:p w14:paraId="425831F3">
      <w:pPr>
        <w:autoSpaceDE w:val="0"/>
        <w:autoSpaceDN w:val="0"/>
        <w:spacing w:before="87" w:line="316" w:lineRule="auto"/>
        <w:ind w:left="426" w:right="629" w:firstLine="439"/>
        <w:jc w:val="left"/>
        <w:rPr>
          <w:rFonts w:ascii="宋体" w:hAnsi="宋体" w:eastAsia="宋体" w:cs="宋体"/>
          <w:szCs w:val="21"/>
        </w:rPr>
      </w:pPr>
      <w:r>
        <w:rPr>
          <w:rFonts w:ascii="宋体" w:hAnsi="宋体" w:eastAsia="宋体" w:cs="宋体"/>
          <w:spacing w:val="10"/>
          <w:szCs w:val="22"/>
        </w:rPr>
        <w:t>承包人为本项目办理保险的一切费用，除在工程量清单中另有列明外，均视为已包含在合同价中，不另行支付。</w:t>
      </w:r>
    </w:p>
    <w:p w14:paraId="43556AAE">
      <w:pPr>
        <w:autoSpaceDE w:val="0"/>
        <w:autoSpaceDN w:val="0"/>
        <w:spacing w:line="316" w:lineRule="auto"/>
        <w:ind w:left="426" w:right="576" w:firstLine="439"/>
        <w:rPr>
          <w:rFonts w:ascii="宋体" w:hAnsi="宋体" w:eastAsia="宋体" w:cs="宋体"/>
          <w:szCs w:val="21"/>
        </w:rPr>
      </w:pPr>
      <w:r>
        <w:rPr>
          <w:rFonts w:ascii="宋体" w:hAnsi="宋体" w:eastAsia="宋体" w:cs="宋体"/>
          <w:spacing w:val="10"/>
          <w:szCs w:val="22"/>
        </w:rPr>
        <w:t>根据《中华人民共和国安全生产法》(2021 修订版)、浙政办发《浙江省人民政府办公厅转发省安监局等部门关于在高危行业全面推进安全生产责任保险的通知》〔2017〕146号文件、《关于进一步推进我省安全生产责任保险规范化工作的通知》浙应急法〔2020〕9 号文件要求，承包人在整个项目实施期间对本标段工程投保安全生产责任制保险。</w:t>
      </w:r>
    </w:p>
    <w:p w14:paraId="0E7250E2">
      <w:pPr>
        <w:autoSpaceDE w:val="0"/>
        <w:autoSpaceDN w:val="0"/>
        <w:spacing w:line="316" w:lineRule="auto"/>
        <w:ind w:left="426" w:right="578" w:firstLine="439"/>
        <w:jc w:val="left"/>
        <w:rPr>
          <w:rFonts w:ascii="宋体" w:hAnsi="宋体" w:eastAsia="宋体" w:cs="宋体"/>
          <w:szCs w:val="21"/>
        </w:rPr>
      </w:pPr>
      <w:r>
        <w:rPr>
          <w:rFonts w:ascii="宋体" w:hAnsi="宋体" w:eastAsia="宋体" w:cs="宋体"/>
          <w:spacing w:val="10"/>
          <w:szCs w:val="22"/>
        </w:rPr>
        <w:t>安全生产责任保险金额：工程量清单第100章（不含安全生产费、保险费）至第1000章的合计金额</w:t>
      </w:r>
      <w:r>
        <w:rPr>
          <w:rFonts w:ascii="宋体" w:hAnsi="宋体" w:eastAsia="宋体" w:cs="宋体"/>
          <w:spacing w:val="7"/>
          <w:w w:val="99"/>
          <w:szCs w:val="21"/>
        </w:rPr>
        <w:t>。</w:t>
      </w:r>
    </w:p>
    <w:p w14:paraId="77099C46">
      <w:pPr>
        <w:autoSpaceDE w:val="0"/>
        <w:autoSpaceDN w:val="0"/>
        <w:spacing w:line="316" w:lineRule="auto"/>
        <w:ind w:left="426" w:right="576" w:firstLine="439"/>
        <w:rPr>
          <w:rFonts w:ascii="宋体" w:hAnsi="宋体" w:eastAsia="宋体" w:cs="宋体"/>
          <w:szCs w:val="21"/>
        </w:rPr>
      </w:pPr>
      <w:r>
        <w:rPr>
          <w:rFonts w:ascii="宋体" w:hAnsi="宋体" w:eastAsia="宋体" w:cs="宋体"/>
          <w:spacing w:val="10"/>
          <w:szCs w:val="22"/>
        </w:rPr>
        <w:t>在缺陷责任期终止证书颁发前，承包人应以承包人和发包人的共同名义，投保本项约定的安全生产责任保险，其保险费率、保险金额等有关内容投标人在报价时暂按项目专用合同条款数据表中约定的费率报价。</w:t>
      </w:r>
    </w:p>
    <w:p w14:paraId="1FE91D31">
      <w:pPr>
        <w:autoSpaceDE w:val="0"/>
        <w:autoSpaceDN w:val="0"/>
        <w:spacing w:line="316" w:lineRule="auto"/>
        <w:ind w:left="426" w:right="576" w:firstLine="439"/>
        <w:rPr>
          <w:rFonts w:ascii="宋体" w:hAnsi="宋体" w:eastAsia="宋体" w:cs="宋体"/>
          <w:szCs w:val="21"/>
        </w:rPr>
      </w:pPr>
      <w:r>
        <w:rPr>
          <w:rFonts w:ascii="宋体" w:hAnsi="宋体" w:eastAsia="宋体" w:cs="宋体"/>
          <w:spacing w:val="10"/>
          <w:szCs w:val="22"/>
        </w:rPr>
        <w:t>安全生产责任保险的保险期限：保险合同签订日起直至本合同工程签发缺陷责任期终止证书止。</w:t>
      </w:r>
    </w:p>
    <w:p w14:paraId="298E515B">
      <w:pPr>
        <w:numPr>
          <w:ilvl w:val="1"/>
          <w:numId w:val="88"/>
        </w:numPr>
        <w:tabs>
          <w:tab w:val="left" w:pos="1093"/>
        </w:tabs>
        <w:autoSpaceDE w:val="0"/>
        <w:autoSpaceDN w:val="0"/>
        <w:spacing w:line="272" w:lineRule="exact"/>
        <w:ind w:left="1093" w:hanging="667"/>
        <w:rPr>
          <w:rFonts w:ascii="宋体" w:hAnsi="宋体" w:eastAsia="宋体" w:cs="宋体"/>
          <w:szCs w:val="22"/>
        </w:rPr>
      </w:pPr>
      <w:r>
        <w:rPr>
          <w:rFonts w:ascii="宋体" w:hAnsi="宋体" w:eastAsia="宋体" w:cs="宋体"/>
          <w:spacing w:val="3"/>
          <w:szCs w:val="22"/>
        </w:rPr>
        <w:t>对各项保险的一般要求</w:t>
      </w:r>
    </w:p>
    <w:p w14:paraId="29853157">
      <w:pPr>
        <w:numPr>
          <w:ilvl w:val="2"/>
          <w:numId w:val="88"/>
        </w:numPr>
        <w:tabs>
          <w:tab w:val="left" w:pos="1751"/>
        </w:tabs>
        <w:autoSpaceDE w:val="0"/>
        <w:autoSpaceDN w:val="0"/>
        <w:spacing w:before="83" w:line="316" w:lineRule="auto"/>
        <w:ind w:right="7438" w:firstLine="0"/>
        <w:rPr>
          <w:rFonts w:ascii="宋体" w:hAnsi="宋体" w:eastAsia="宋体" w:cs="宋体"/>
          <w:szCs w:val="22"/>
        </w:rPr>
      </w:pPr>
      <w:r>
        <w:rPr>
          <w:rFonts w:ascii="宋体" w:hAnsi="宋体" w:eastAsia="宋体" w:cs="宋体"/>
          <w:spacing w:val="2"/>
          <w:szCs w:val="22"/>
        </w:rPr>
        <w:t>保险凭证本项约定为：</w:t>
      </w:r>
    </w:p>
    <w:p w14:paraId="7A4D5869">
      <w:pPr>
        <w:autoSpaceDE w:val="0"/>
        <w:autoSpaceDN w:val="0"/>
        <w:spacing w:line="316" w:lineRule="auto"/>
        <w:ind w:left="541" w:right="1279" w:firstLine="324"/>
        <w:jc w:val="left"/>
        <w:rPr>
          <w:rFonts w:ascii="宋体" w:hAnsi="宋体" w:eastAsia="宋体" w:cs="宋体"/>
          <w:szCs w:val="21"/>
        </w:rPr>
      </w:pPr>
      <w:r>
        <w:rPr>
          <w:rFonts w:ascii="宋体" w:hAnsi="宋体" w:eastAsia="宋体" w:cs="宋体"/>
          <w:szCs w:val="21"/>
        </w:rPr>
        <w:t>承包人向发包人提交各项保险生效的证据和保险单副本的期限：开工后</w:t>
      </w:r>
      <w:r>
        <w:rPr>
          <w:rFonts w:ascii="Times New Roman" w:hAnsi="宋体" w:eastAsia="Times New Roman" w:cs="宋体"/>
          <w:spacing w:val="40"/>
          <w:szCs w:val="21"/>
          <w:u w:val="single"/>
        </w:rPr>
        <w:t xml:space="preserve"> </w:t>
      </w:r>
      <w:r>
        <w:rPr>
          <w:rFonts w:ascii="宋体" w:hAnsi="宋体" w:eastAsia="宋体" w:cs="宋体"/>
          <w:szCs w:val="21"/>
          <w:u w:val="single"/>
        </w:rPr>
        <w:t xml:space="preserve">15 </w:t>
      </w:r>
      <w:r>
        <w:rPr>
          <w:rFonts w:ascii="宋体" w:hAnsi="宋体" w:eastAsia="宋体" w:cs="宋体"/>
          <w:spacing w:val="3"/>
          <w:szCs w:val="21"/>
        </w:rPr>
        <w:t>天内。</w:t>
      </w:r>
      <w:r>
        <w:rPr>
          <w:rFonts w:ascii="宋体" w:hAnsi="宋体" w:eastAsia="宋体" w:cs="宋体"/>
          <w:szCs w:val="21"/>
        </w:rPr>
        <w:t xml:space="preserve"> </w:t>
      </w:r>
      <w:r>
        <w:rPr>
          <w:rFonts w:ascii="宋体" w:hAnsi="宋体" w:eastAsia="宋体" w:cs="宋体"/>
          <w:spacing w:val="-2"/>
          <w:szCs w:val="21"/>
        </w:rPr>
        <w:t>22．违约</w:t>
      </w:r>
    </w:p>
    <w:p w14:paraId="7BB57461">
      <w:pPr>
        <w:numPr>
          <w:ilvl w:val="1"/>
          <w:numId w:val="89"/>
        </w:numPr>
        <w:tabs>
          <w:tab w:val="left" w:pos="1093"/>
        </w:tabs>
        <w:autoSpaceDE w:val="0"/>
        <w:autoSpaceDN w:val="0"/>
        <w:spacing w:line="272" w:lineRule="exact"/>
        <w:ind w:left="1093" w:hanging="667"/>
        <w:rPr>
          <w:rFonts w:ascii="宋体" w:hAnsi="宋体" w:eastAsia="宋体" w:cs="宋体"/>
          <w:szCs w:val="22"/>
        </w:rPr>
      </w:pPr>
      <w:r>
        <w:rPr>
          <w:rFonts w:ascii="宋体" w:hAnsi="宋体" w:eastAsia="宋体" w:cs="宋体"/>
          <w:spacing w:val="4"/>
          <w:szCs w:val="22"/>
        </w:rPr>
        <w:t>承包人违约</w:t>
      </w:r>
    </w:p>
    <w:p w14:paraId="752C41A6">
      <w:pPr>
        <w:numPr>
          <w:ilvl w:val="2"/>
          <w:numId w:val="89"/>
        </w:numPr>
        <w:tabs>
          <w:tab w:val="left" w:pos="1751"/>
        </w:tabs>
        <w:autoSpaceDE w:val="0"/>
        <w:autoSpaceDN w:val="0"/>
        <w:spacing w:before="86"/>
        <w:ind w:left="1751" w:hanging="886"/>
        <w:rPr>
          <w:rFonts w:ascii="宋体" w:hAnsi="宋体" w:eastAsia="宋体" w:cs="宋体"/>
          <w:szCs w:val="22"/>
        </w:rPr>
      </w:pPr>
      <w:r>
        <w:rPr>
          <w:rFonts w:ascii="宋体" w:hAnsi="宋体" w:eastAsia="宋体" w:cs="宋体"/>
          <w:spacing w:val="4"/>
          <w:szCs w:val="22"/>
        </w:rPr>
        <w:t>承包人违约的情形</w:t>
      </w:r>
    </w:p>
    <w:p w14:paraId="3DD15D2B">
      <w:pPr>
        <w:autoSpaceDE w:val="0"/>
        <w:autoSpaceDN w:val="0"/>
        <w:spacing w:before="87"/>
        <w:ind w:left="865"/>
        <w:jc w:val="left"/>
        <w:rPr>
          <w:rFonts w:ascii="宋体" w:hAnsi="宋体" w:eastAsia="宋体" w:cs="宋体"/>
          <w:szCs w:val="21"/>
        </w:rPr>
      </w:pPr>
      <w:r>
        <w:rPr>
          <w:rFonts w:ascii="宋体" w:hAnsi="宋体" w:eastAsia="宋体" w:cs="宋体"/>
          <w:spacing w:val="6"/>
          <w:szCs w:val="21"/>
        </w:rPr>
        <w:t xml:space="preserve">养护工程专用合同条款第 </w:t>
      </w:r>
      <w:r>
        <w:rPr>
          <w:rFonts w:ascii="宋体" w:hAnsi="宋体" w:eastAsia="宋体" w:cs="宋体"/>
          <w:szCs w:val="21"/>
        </w:rPr>
        <w:t>22.1.1</w:t>
      </w:r>
      <w:r>
        <w:rPr>
          <w:rFonts w:ascii="宋体" w:hAnsi="宋体" w:eastAsia="宋体" w:cs="宋体"/>
          <w:spacing w:val="7"/>
          <w:szCs w:val="21"/>
        </w:rPr>
        <w:t xml:space="preserve"> 款补充：</w:t>
      </w:r>
    </w:p>
    <w:p w14:paraId="36649CF2">
      <w:pPr>
        <w:numPr>
          <w:ilvl w:val="0"/>
          <w:numId w:val="90"/>
        </w:numPr>
        <w:tabs>
          <w:tab w:val="left" w:pos="1302"/>
        </w:tabs>
        <w:autoSpaceDE w:val="0"/>
        <w:autoSpaceDN w:val="0"/>
        <w:spacing w:before="87"/>
        <w:ind w:left="1302" w:hanging="437"/>
        <w:rPr>
          <w:rFonts w:ascii="宋体" w:hAnsi="宋体" w:eastAsia="宋体" w:cs="宋体"/>
          <w:szCs w:val="22"/>
        </w:rPr>
      </w:pPr>
      <w:r>
        <w:rPr>
          <w:rFonts w:ascii="宋体" w:hAnsi="宋体" w:eastAsia="宋体" w:cs="宋体"/>
          <w:spacing w:val="10"/>
          <w:szCs w:val="22"/>
        </w:rPr>
        <w:t xml:space="preserve">承包人违反第 </w:t>
      </w:r>
      <w:r>
        <w:rPr>
          <w:rFonts w:ascii="宋体" w:hAnsi="宋体" w:eastAsia="宋体" w:cs="宋体"/>
          <w:szCs w:val="22"/>
        </w:rPr>
        <w:t>13.1.1</w:t>
      </w:r>
      <w:r>
        <w:rPr>
          <w:rFonts w:ascii="宋体" w:hAnsi="宋体" w:eastAsia="宋体" w:cs="宋体"/>
          <w:spacing w:val="2"/>
          <w:szCs w:val="22"/>
        </w:rPr>
        <w:t xml:space="preserve"> 项的约定，工程质量未达到合同约定质量目标要求的；</w:t>
      </w:r>
    </w:p>
    <w:p w14:paraId="11299910">
      <w:pPr>
        <w:numPr>
          <w:ilvl w:val="0"/>
          <w:numId w:val="90"/>
        </w:numPr>
        <w:tabs>
          <w:tab w:val="left" w:pos="1302"/>
        </w:tabs>
        <w:autoSpaceDE w:val="0"/>
        <w:autoSpaceDN w:val="0"/>
        <w:spacing w:before="87" w:line="316" w:lineRule="auto"/>
        <w:ind w:left="426" w:right="578" w:firstLine="439"/>
        <w:rPr>
          <w:rFonts w:ascii="宋体" w:hAnsi="宋体" w:eastAsia="宋体" w:cs="宋体"/>
          <w:szCs w:val="22"/>
        </w:rPr>
      </w:pPr>
      <w:r>
        <w:rPr>
          <w:rFonts w:ascii="宋体" w:hAnsi="宋体" w:eastAsia="宋体" w:cs="宋体"/>
          <w:spacing w:val="4"/>
          <w:szCs w:val="22"/>
        </w:rPr>
        <w:t xml:space="preserve">承包人违反第 </w:t>
      </w:r>
      <w:r>
        <w:rPr>
          <w:rFonts w:ascii="宋体" w:hAnsi="宋体" w:eastAsia="宋体" w:cs="宋体"/>
          <w:szCs w:val="22"/>
        </w:rPr>
        <w:t>4.9</w:t>
      </w:r>
      <w:r>
        <w:rPr>
          <w:rFonts w:ascii="宋体" w:hAnsi="宋体" w:eastAsia="宋体" w:cs="宋体"/>
          <w:spacing w:val="2"/>
          <w:szCs w:val="22"/>
        </w:rPr>
        <w:t xml:space="preserve"> 款及 </w:t>
      </w:r>
      <w:r>
        <w:rPr>
          <w:rFonts w:ascii="宋体" w:hAnsi="宋体" w:eastAsia="宋体" w:cs="宋体"/>
          <w:szCs w:val="22"/>
        </w:rPr>
        <w:t>17.2</w:t>
      </w:r>
      <w:r>
        <w:rPr>
          <w:rFonts w:ascii="宋体" w:hAnsi="宋体" w:eastAsia="宋体" w:cs="宋体"/>
          <w:spacing w:val="-1"/>
          <w:szCs w:val="22"/>
        </w:rPr>
        <w:t xml:space="preserve"> 款的约定，将发包人支付给承包人的各项价款转移或用</w:t>
      </w:r>
      <w:r>
        <w:rPr>
          <w:rFonts w:ascii="宋体" w:hAnsi="宋体" w:eastAsia="宋体" w:cs="宋体"/>
          <w:spacing w:val="2"/>
          <w:szCs w:val="22"/>
        </w:rPr>
        <w:t>于其他工程；</w:t>
      </w:r>
    </w:p>
    <w:p w14:paraId="64776E01">
      <w:pPr>
        <w:numPr>
          <w:ilvl w:val="0"/>
          <w:numId w:val="90"/>
        </w:numPr>
        <w:tabs>
          <w:tab w:val="left" w:pos="1302"/>
        </w:tabs>
        <w:autoSpaceDE w:val="0"/>
        <w:autoSpaceDN w:val="0"/>
        <w:spacing w:line="316" w:lineRule="auto"/>
        <w:ind w:left="426" w:right="576" w:firstLine="439"/>
        <w:rPr>
          <w:rFonts w:ascii="宋体" w:hAnsi="宋体" w:eastAsia="宋体" w:cs="宋体"/>
          <w:szCs w:val="22"/>
        </w:rPr>
      </w:pPr>
      <w:r>
        <w:rPr>
          <w:rFonts w:ascii="宋体" w:hAnsi="宋体" w:eastAsia="宋体" w:cs="宋体"/>
          <w:spacing w:val="3"/>
          <w:szCs w:val="22"/>
        </w:rPr>
        <w:t xml:space="preserve">承包人违反投标人须知 </w:t>
      </w:r>
      <w:r>
        <w:rPr>
          <w:rFonts w:ascii="宋体" w:hAnsi="宋体" w:eastAsia="宋体" w:cs="宋体"/>
          <w:szCs w:val="22"/>
        </w:rPr>
        <w:t>3.5 款的规定，在合同实施期间发现承包人在投标时提供了虚</w:t>
      </w:r>
      <w:r>
        <w:rPr>
          <w:rFonts w:ascii="宋体" w:hAnsi="宋体" w:eastAsia="宋体" w:cs="宋体"/>
          <w:spacing w:val="3"/>
          <w:szCs w:val="22"/>
        </w:rPr>
        <w:t>假资料的；</w:t>
      </w:r>
    </w:p>
    <w:p w14:paraId="0F2CDFE6">
      <w:pPr>
        <w:numPr>
          <w:ilvl w:val="0"/>
          <w:numId w:val="90"/>
        </w:numPr>
        <w:tabs>
          <w:tab w:val="left" w:pos="1302"/>
        </w:tabs>
        <w:autoSpaceDE w:val="0"/>
        <w:autoSpaceDN w:val="0"/>
        <w:spacing w:line="272" w:lineRule="exact"/>
        <w:ind w:left="1302" w:hanging="437"/>
        <w:rPr>
          <w:rFonts w:ascii="宋体" w:hAnsi="宋体" w:eastAsia="宋体" w:cs="宋体"/>
          <w:szCs w:val="22"/>
        </w:rPr>
      </w:pPr>
      <w:r>
        <w:rPr>
          <w:rFonts w:ascii="宋体" w:hAnsi="宋体" w:eastAsia="宋体" w:cs="宋体"/>
          <w:spacing w:val="2"/>
          <w:szCs w:val="22"/>
        </w:rPr>
        <w:t>安全目标未达到招标文件规定要求的。</w:t>
      </w:r>
    </w:p>
    <w:p w14:paraId="3DB7587B">
      <w:pPr>
        <w:numPr>
          <w:ilvl w:val="0"/>
          <w:numId w:val="91"/>
        </w:numPr>
        <w:tabs>
          <w:tab w:val="left" w:pos="1414"/>
        </w:tabs>
        <w:autoSpaceDE w:val="0"/>
        <w:autoSpaceDN w:val="0"/>
        <w:spacing w:before="87"/>
        <w:ind w:left="1414" w:hanging="659"/>
        <w:rPr>
          <w:rFonts w:ascii="宋体" w:hAnsi="宋体" w:eastAsia="宋体" w:cs="宋体"/>
          <w:szCs w:val="22"/>
        </w:rPr>
      </w:pPr>
      <w:r>
        <w:rPr>
          <w:rFonts w:ascii="宋体" w:hAnsi="宋体" w:eastAsia="宋体" w:cs="宋体"/>
          <w:spacing w:val="5"/>
          <w:szCs w:val="22"/>
        </w:rPr>
        <w:t>承包人违反第</w:t>
      </w:r>
      <w:r>
        <w:rPr>
          <w:rFonts w:ascii="宋体" w:hAnsi="宋体" w:eastAsia="宋体" w:cs="宋体"/>
          <w:szCs w:val="22"/>
        </w:rPr>
        <w:t>5.4</w:t>
      </w:r>
      <w:r>
        <w:rPr>
          <w:rFonts w:ascii="宋体" w:hAnsi="宋体" w:eastAsia="宋体" w:cs="宋体"/>
          <w:spacing w:val="3"/>
          <w:szCs w:val="22"/>
        </w:rPr>
        <w:t>条款的约定使用使用铣刨料的。</w:t>
      </w:r>
    </w:p>
    <w:p w14:paraId="362F8BEC">
      <w:pPr>
        <w:numPr>
          <w:ilvl w:val="0"/>
          <w:numId w:val="91"/>
        </w:numPr>
        <w:tabs>
          <w:tab w:val="left" w:pos="1414"/>
        </w:tabs>
        <w:autoSpaceDE w:val="0"/>
        <w:autoSpaceDN w:val="0"/>
        <w:spacing w:before="87"/>
        <w:ind w:left="1414" w:hanging="659"/>
        <w:rPr>
          <w:rFonts w:ascii="宋体" w:hAnsi="宋体" w:eastAsia="宋体" w:cs="宋体"/>
          <w:szCs w:val="22"/>
        </w:rPr>
      </w:pPr>
      <w:r>
        <w:rPr>
          <w:rFonts w:ascii="宋体" w:hAnsi="宋体" w:eastAsia="宋体" w:cs="宋体"/>
          <w:spacing w:val="-1"/>
          <w:szCs w:val="22"/>
        </w:rPr>
        <w:t>承包人违反了投标文件中承诺的机械设备、人员及维修期的承诺要求的。</w:t>
      </w:r>
    </w:p>
    <w:p w14:paraId="2170967F">
      <w:pPr>
        <w:numPr>
          <w:ilvl w:val="0"/>
          <w:numId w:val="91"/>
        </w:numPr>
        <w:tabs>
          <w:tab w:val="left" w:pos="1400"/>
        </w:tabs>
        <w:autoSpaceDE w:val="0"/>
        <w:autoSpaceDN w:val="0"/>
        <w:spacing w:before="87" w:line="316" w:lineRule="auto"/>
        <w:ind w:left="426" w:right="578" w:firstLine="328"/>
        <w:rPr>
          <w:rFonts w:ascii="宋体" w:hAnsi="宋体" w:eastAsia="宋体" w:cs="宋体"/>
          <w:szCs w:val="22"/>
        </w:rPr>
      </w:pPr>
      <w:r>
        <w:rPr>
          <w:rFonts w:ascii="宋体" w:hAnsi="宋体" w:eastAsia="宋体" w:cs="宋体"/>
          <w:spacing w:val="-1"/>
          <w:szCs w:val="22"/>
        </w:rPr>
        <w:t>承包人违反第4.1.10项（11）目的约定，未按要求使用“台州市公路养护工程数智管理系统”的</w:t>
      </w:r>
      <w:r>
        <w:rPr>
          <w:rFonts w:ascii="宋体" w:hAnsi="宋体" w:eastAsia="宋体" w:cs="宋体"/>
          <w:spacing w:val="7"/>
          <w:w w:val="99"/>
          <w:szCs w:val="22"/>
        </w:rPr>
        <w:t>。</w:t>
      </w:r>
    </w:p>
    <w:p w14:paraId="765D2658">
      <w:pPr>
        <w:numPr>
          <w:ilvl w:val="0"/>
          <w:numId w:val="91"/>
        </w:numPr>
        <w:tabs>
          <w:tab w:val="left" w:pos="1415"/>
        </w:tabs>
        <w:autoSpaceDE w:val="0"/>
        <w:autoSpaceDN w:val="0"/>
        <w:spacing w:line="272" w:lineRule="exact"/>
        <w:ind w:left="1415" w:hanging="660"/>
        <w:rPr>
          <w:rFonts w:ascii="宋体" w:hAnsi="宋体" w:eastAsia="宋体" w:cs="宋体"/>
          <w:szCs w:val="22"/>
        </w:rPr>
      </w:pPr>
      <w:r>
        <w:rPr>
          <w:rFonts w:ascii="宋体" w:hAnsi="宋体" w:eastAsia="宋体" w:cs="宋体"/>
          <w:spacing w:val="-1"/>
          <w:szCs w:val="22"/>
        </w:rPr>
        <w:t>承包人未按投标时提供的延长维修期承诺函履行的。</w:t>
      </w:r>
    </w:p>
    <w:p w14:paraId="555C86EB">
      <w:pPr>
        <w:numPr>
          <w:ilvl w:val="2"/>
          <w:numId w:val="89"/>
        </w:numPr>
        <w:tabs>
          <w:tab w:val="left" w:pos="1751"/>
        </w:tabs>
        <w:autoSpaceDE w:val="0"/>
        <w:autoSpaceDN w:val="0"/>
        <w:spacing w:before="87"/>
        <w:ind w:left="1751" w:hanging="886"/>
        <w:rPr>
          <w:rFonts w:ascii="宋体" w:hAnsi="宋体" w:eastAsia="宋体" w:cs="宋体"/>
          <w:szCs w:val="22"/>
        </w:rPr>
      </w:pPr>
      <w:r>
        <w:rPr>
          <w:rFonts w:ascii="宋体" w:hAnsi="宋体" w:eastAsia="宋体" w:cs="宋体"/>
          <w:spacing w:val="3"/>
          <w:szCs w:val="22"/>
        </w:rPr>
        <w:t>对承包人违约的处理</w:t>
      </w:r>
    </w:p>
    <w:p w14:paraId="051B971E">
      <w:pPr>
        <w:autoSpaceDE w:val="0"/>
        <w:autoSpaceDN w:val="0"/>
        <w:spacing w:before="87"/>
        <w:ind w:left="865"/>
        <w:jc w:val="left"/>
        <w:rPr>
          <w:rFonts w:hint="eastAsia" w:ascii="宋体" w:hAnsi="宋体" w:eastAsia="宋体" w:cs="宋体"/>
          <w:spacing w:val="7"/>
          <w:szCs w:val="21"/>
        </w:rPr>
      </w:pPr>
      <w:r>
        <w:rPr>
          <w:rFonts w:ascii="宋体" w:hAnsi="宋体" w:eastAsia="宋体" w:cs="宋体"/>
          <w:spacing w:val="6"/>
          <w:szCs w:val="21"/>
        </w:rPr>
        <w:t xml:space="preserve">养护工程专用合同条款第 </w:t>
      </w:r>
      <w:r>
        <w:rPr>
          <w:rFonts w:ascii="宋体" w:hAnsi="宋体" w:eastAsia="宋体" w:cs="宋体"/>
          <w:szCs w:val="21"/>
        </w:rPr>
        <w:t>22.1.2</w:t>
      </w:r>
      <w:r>
        <w:rPr>
          <w:rFonts w:ascii="宋体" w:hAnsi="宋体" w:eastAsia="宋体" w:cs="宋体"/>
          <w:spacing w:val="7"/>
          <w:szCs w:val="21"/>
        </w:rPr>
        <w:t xml:space="preserve"> 款补充：</w:t>
      </w:r>
    </w:p>
    <w:p w14:paraId="61B58F4F">
      <w:pPr>
        <w:numPr>
          <w:ilvl w:val="0"/>
          <w:numId w:val="92"/>
        </w:numPr>
        <w:tabs>
          <w:tab w:val="left" w:pos="549"/>
        </w:tabs>
        <w:autoSpaceDE w:val="0"/>
        <w:autoSpaceDN w:val="0"/>
        <w:spacing w:before="43"/>
        <w:ind w:left="549" w:right="607" w:hanging="549"/>
        <w:rPr>
          <w:rFonts w:ascii="宋体" w:hAnsi="宋体" w:eastAsia="宋体" w:cs="宋体"/>
          <w:szCs w:val="22"/>
        </w:rPr>
      </w:pPr>
      <w:r>
        <w:rPr>
          <w:rFonts w:ascii="宋体" w:hAnsi="宋体" w:eastAsia="宋体" w:cs="宋体"/>
          <w:spacing w:val="8"/>
          <w:szCs w:val="22"/>
        </w:rPr>
        <w:t xml:space="preserve">承包人发生第 </w:t>
      </w:r>
      <w:r>
        <w:rPr>
          <w:rFonts w:ascii="宋体" w:hAnsi="宋体" w:eastAsia="宋体" w:cs="宋体"/>
          <w:szCs w:val="22"/>
        </w:rPr>
        <w:t>22.1.1</w:t>
      </w:r>
      <w:r>
        <w:rPr>
          <w:rFonts w:ascii="宋体" w:hAnsi="宋体" w:eastAsia="宋体" w:cs="宋体"/>
          <w:spacing w:val="19"/>
          <w:szCs w:val="22"/>
        </w:rPr>
        <w:t xml:space="preserve"> 项</w:t>
      </w:r>
      <w:r>
        <w:rPr>
          <w:rFonts w:ascii="宋体" w:hAnsi="宋体" w:eastAsia="宋体" w:cs="宋体"/>
          <w:szCs w:val="22"/>
        </w:rPr>
        <w:t>(1</w:t>
      </w:r>
      <w:r>
        <w:rPr>
          <w:rFonts w:ascii="宋体" w:hAnsi="宋体" w:eastAsia="宋体" w:cs="宋体"/>
          <w:spacing w:val="9"/>
          <w:szCs w:val="22"/>
        </w:rPr>
        <w:t xml:space="preserve">)目中违反第 </w:t>
      </w:r>
      <w:r>
        <w:rPr>
          <w:rFonts w:ascii="宋体" w:hAnsi="宋体" w:eastAsia="宋体" w:cs="宋体"/>
          <w:szCs w:val="22"/>
        </w:rPr>
        <w:t>1.8</w:t>
      </w:r>
      <w:r>
        <w:rPr>
          <w:rFonts w:ascii="宋体" w:hAnsi="宋体" w:eastAsia="宋体" w:cs="宋体"/>
          <w:spacing w:val="5"/>
          <w:szCs w:val="22"/>
        </w:rPr>
        <w:t xml:space="preserve"> 款约定的情形，除责令立即纠正外，并</w:t>
      </w:r>
    </w:p>
    <w:p w14:paraId="5DED2F0F">
      <w:pPr>
        <w:autoSpaceDE w:val="0"/>
        <w:autoSpaceDN w:val="0"/>
        <w:spacing w:before="87"/>
        <w:ind w:right="578"/>
        <w:jc w:val="right"/>
        <w:rPr>
          <w:rFonts w:ascii="宋体" w:hAnsi="宋体" w:eastAsia="宋体" w:cs="宋体"/>
          <w:szCs w:val="21"/>
        </w:rPr>
      </w:pPr>
      <w:r>
        <w:rPr>
          <w:rFonts w:ascii="宋体" w:hAnsi="宋体" w:eastAsia="宋体" w:cs="宋体"/>
          <w:spacing w:val="6"/>
          <w:szCs w:val="21"/>
        </w:rPr>
        <w:t>课以不超过</w:t>
      </w:r>
      <w:r>
        <w:rPr>
          <w:rFonts w:ascii="宋体" w:hAnsi="宋体" w:eastAsia="宋体" w:cs="宋体"/>
          <w:szCs w:val="21"/>
        </w:rPr>
        <w:t>1</w:t>
      </w:r>
      <w:r>
        <w:rPr>
          <w:rFonts w:ascii="宋体" w:hAnsi="宋体" w:eastAsia="宋体" w:cs="宋体"/>
          <w:spacing w:val="2"/>
          <w:szCs w:val="21"/>
        </w:rPr>
        <w:t xml:space="preserve">％签约合同价的违约金；发生第 </w:t>
      </w:r>
      <w:r>
        <w:rPr>
          <w:rFonts w:ascii="宋体" w:hAnsi="宋体" w:eastAsia="宋体" w:cs="宋体"/>
          <w:szCs w:val="21"/>
        </w:rPr>
        <w:t>22.1.1</w:t>
      </w:r>
      <w:r>
        <w:rPr>
          <w:rFonts w:ascii="宋体" w:hAnsi="宋体" w:eastAsia="宋体" w:cs="宋体"/>
          <w:spacing w:val="14"/>
          <w:szCs w:val="21"/>
        </w:rPr>
        <w:t xml:space="preserve"> 项</w:t>
      </w:r>
      <w:r>
        <w:rPr>
          <w:rFonts w:ascii="宋体" w:hAnsi="宋体" w:eastAsia="宋体" w:cs="宋体"/>
          <w:szCs w:val="21"/>
        </w:rPr>
        <w:t>(1</w:t>
      </w:r>
      <w:r>
        <w:rPr>
          <w:rFonts w:ascii="宋体" w:hAnsi="宋体" w:eastAsia="宋体" w:cs="宋体"/>
          <w:spacing w:val="7"/>
          <w:szCs w:val="21"/>
        </w:rPr>
        <w:t xml:space="preserve">)目中违反第 </w:t>
      </w:r>
      <w:r>
        <w:rPr>
          <w:rFonts w:ascii="宋体" w:hAnsi="宋体" w:eastAsia="宋体" w:cs="宋体"/>
          <w:szCs w:val="21"/>
        </w:rPr>
        <w:t>4.3</w:t>
      </w:r>
      <w:r>
        <w:rPr>
          <w:rFonts w:ascii="宋体" w:hAnsi="宋体" w:eastAsia="宋体" w:cs="宋体"/>
          <w:spacing w:val="4"/>
          <w:szCs w:val="21"/>
        </w:rPr>
        <w:t xml:space="preserve"> 款约定的情形，在</w:t>
      </w:r>
    </w:p>
    <w:p w14:paraId="4A9BA35D">
      <w:pPr>
        <w:autoSpaceDE w:val="0"/>
        <w:autoSpaceDN w:val="0"/>
        <w:spacing w:before="87" w:line="316" w:lineRule="auto"/>
        <w:ind w:left="426" w:right="576"/>
        <w:rPr>
          <w:rFonts w:ascii="宋体" w:hAnsi="宋体" w:eastAsia="宋体" w:cs="宋体"/>
          <w:szCs w:val="21"/>
        </w:rPr>
      </w:pPr>
      <w:r>
        <w:rPr>
          <w:rFonts w:ascii="宋体" w:hAnsi="宋体" w:eastAsia="宋体" w:cs="宋体"/>
          <w:spacing w:val="2"/>
          <w:szCs w:val="21"/>
        </w:rPr>
        <w:t xml:space="preserve">发包人向承包人发出书面通知的 </w:t>
      </w:r>
      <w:r>
        <w:rPr>
          <w:rFonts w:ascii="宋体" w:hAnsi="宋体" w:eastAsia="宋体" w:cs="宋体"/>
          <w:szCs w:val="21"/>
        </w:rPr>
        <w:t>14</w:t>
      </w:r>
      <w:r>
        <w:rPr>
          <w:rFonts w:ascii="宋体" w:hAnsi="宋体" w:eastAsia="宋体" w:cs="宋体"/>
          <w:spacing w:val="-1"/>
          <w:szCs w:val="21"/>
        </w:rPr>
        <w:t xml:space="preserve"> 天内未见纠正后，发包人将酌情向承包人课以不超过</w:t>
      </w:r>
      <w:r>
        <w:rPr>
          <w:rFonts w:ascii="宋体" w:hAnsi="宋体" w:eastAsia="宋体" w:cs="宋体"/>
          <w:szCs w:val="21"/>
        </w:rPr>
        <w:t>1％签约合同价的违约金。即使缴纳了违约金，承包人仍应按合同规定继续实施和完成本合同工程及</w:t>
      </w:r>
      <w:r>
        <w:rPr>
          <w:rFonts w:ascii="宋体" w:hAnsi="宋体" w:eastAsia="宋体" w:cs="宋体"/>
          <w:spacing w:val="2"/>
          <w:szCs w:val="21"/>
        </w:rPr>
        <w:t>其缺陷修复；</w:t>
      </w:r>
    </w:p>
    <w:p w14:paraId="5208D41B">
      <w:pPr>
        <w:numPr>
          <w:ilvl w:val="0"/>
          <w:numId w:val="92"/>
        </w:numPr>
        <w:tabs>
          <w:tab w:val="left" w:pos="1304"/>
        </w:tabs>
        <w:autoSpaceDE w:val="0"/>
        <w:autoSpaceDN w:val="0"/>
        <w:spacing w:line="272" w:lineRule="exact"/>
        <w:ind w:left="1304" w:hanging="549"/>
        <w:jc w:val="both"/>
        <w:rPr>
          <w:rFonts w:ascii="宋体" w:hAnsi="宋体" w:eastAsia="宋体" w:cs="宋体"/>
          <w:szCs w:val="22"/>
        </w:rPr>
      </w:pPr>
      <w:r>
        <w:rPr>
          <w:rFonts w:ascii="宋体" w:hAnsi="宋体" w:eastAsia="宋体" w:cs="宋体"/>
          <w:spacing w:val="8"/>
          <w:szCs w:val="22"/>
        </w:rPr>
        <w:t xml:space="preserve">承包人发生第 </w:t>
      </w:r>
      <w:r>
        <w:rPr>
          <w:rFonts w:ascii="宋体" w:hAnsi="宋体" w:eastAsia="宋体" w:cs="宋体"/>
          <w:szCs w:val="22"/>
        </w:rPr>
        <w:t>22.1.1</w:t>
      </w:r>
      <w:r>
        <w:rPr>
          <w:rFonts w:ascii="宋体" w:hAnsi="宋体" w:eastAsia="宋体" w:cs="宋体"/>
          <w:spacing w:val="19"/>
          <w:szCs w:val="22"/>
        </w:rPr>
        <w:t xml:space="preserve"> 项</w:t>
      </w:r>
      <w:r>
        <w:rPr>
          <w:rFonts w:ascii="宋体" w:hAnsi="宋体" w:eastAsia="宋体" w:cs="宋体"/>
          <w:szCs w:val="22"/>
        </w:rPr>
        <w:t>(2</w:t>
      </w:r>
      <w:r>
        <w:rPr>
          <w:rFonts w:ascii="宋体" w:hAnsi="宋体" w:eastAsia="宋体" w:cs="宋体"/>
          <w:spacing w:val="9"/>
          <w:szCs w:val="22"/>
        </w:rPr>
        <w:t xml:space="preserve">)目中违反第 </w:t>
      </w:r>
      <w:r>
        <w:rPr>
          <w:rFonts w:ascii="宋体" w:hAnsi="宋体" w:eastAsia="宋体" w:cs="宋体"/>
          <w:szCs w:val="22"/>
        </w:rPr>
        <w:t>5.3</w:t>
      </w:r>
      <w:r>
        <w:rPr>
          <w:rFonts w:ascii="宋体" w:hAnsi="宋体" w:eastAsia="宋体" w:cs="宋体"/>
          <w:spacing w:val="5"/>
          <w:szCs w:val="22"/>
        </w:rPr>
        <w:t xml:space="preserve"> 款约定的情形，在发包人向承包人发出</w:t>
      </w:r>
    </w:p>
    <w:p w14:paraId="61F38E54">
      <w:pPr>
        <w:autoSpaceDE w:val="0"/>
        <w:autoSpaceDN w:val="0"/>
        <w:spacing w:before="87"/>
        <w:ind w:left="426"/>
        <w:jc w:val="left"/>
        <w:rPr>
          <w:rFonts w:ascii="宋体" w:hAnsi="宋体" w:eastAsia="宋体" w:cs="宋体"/>
          <w:szCs w:val="21"/>
        </w:rPr>
      </w:pPr>
      <w:r>
        <w:rPr>
          <w:rFonts w:ascii="宋体" w:hAnsi="宋体" w:eastAsia="宋体" w:cs="宋体"/>
          <w:spacing w:val="10"/>
          <w:szCs w:val="21"/>
        </w:rPr>
        <w:t xml:space="preserve">书面通知的 </w:t>
      </w:r>
      <w:r>
        <w:rPr>
          <w:rFonts w:ascii="宋体" w:hAnsi="宋体" w:eastAsia="宋体" w:cs="宋体"/>
          <w:szCs w:val="21"/>
        </w:rPr>
        <w:t>14</w:t>
      </w:r>
      <w:r>
        <w:rPr>
          <w:rFonts w:ascii="宋体" w:hAnsi="宋体" w:eastAsia="宋体" w:cs="宋体"/>
          <w:spacing w:val="-1"/>
          <w:szCs w:val="21"/>
        </w:rPr>
        <w:t xml:space="preserve"> 天内未见纠正后，发包人将向承包人课以不超过材料和工程设备价值两倍的违</w:t>
      </w:r>
    </w:p>
    <w:p w14:paraId="0A0EBB5D">
      <w:pPr>
        <w:autoSpaceDE w:val="0"/>
        <w:autoSpaceDN w:val="0"/>
        <w:spacing w:before="87"/>
        <w:ind w:left="426"/>
        <w:jc w:val="left"/>
        <w:rPr>
          <w:rFonts w:ascii="宋体" w:hAnsi="宋体" w:eastAsia="宋体" w:cs="宋体"/>
          <w:szCs w:val="21"/>
        </w:rPr>
      </w:pPr>
      <w:r>
        <w:rPr>
          <w:rFonts w:ascii="宋体" w:hAnsi="宋体" w:eastAsia="宋体" w:cs="宋体"/>
          <w:spacing w:val="9"/>
          <w:szCs w:val="21"/>
        </w:rPr>
        <w:t xml:space="preserve">约金；发生第 </w:t>
      </w:r>
      <w:r>
        <w:rPr>
          <w:rFonts w:ascii="宋体" w:hAnsi="宋体" w:eastAsia="宋体" w:cs="宋体"/>
          <w:szCs w:val="21"/>
        </w:rPr>
        <w:t>22.1.1</w:t>
      </w:r>
      <w:r>
        <w:rPr>
          <w:rFonts w:ascii="宋体" w:hAnsi="宋体" w:eastAsia="宋体" w:cs="宋体"/>
          <w:spacing w:val="17"/>
          <w:szCs w:val="21"/>
        </w:rPr>
        <w:t xml:space="preserve"> 项</w:t>
      </w:r>
      <w:r>
        <w:rPr>
          <w:rFonts w:ascii="宋体" w:hAnsi="宋体" w:eastAsia="宋体" w:cs="宋体"/>
          <w:szCs w:val="21"/>
        </w:rPr>
        <w:t>(2</w:t>
      </w:r>
      <w:r>
        <w:rPr>
          <w:rFonts w:ascii="宋体" w:hAnsi="宋体" w:eastAsia="宋体" w:cs="宋体"/>
          <w:spacing w:val="9"/>
          <w:szCs w:val="21"/>
        </w:rPr>
        <w:t xml:space="preserve">)目中违反第 </w:t>
      </w:r>
      <w:r>
        <w:rPr>
          <w:rFonts w:ascii="宋体" w:hAnsi="宋体" w:eastAsia="宋体" w:cs="宋体"/>
          <w:szCs w:val="21"/>
        </w:rPr>
        <w:t>6.4</w:t>
      </w:r>
      <w:r>
        <w:rPr>
          <w:rFonts w:ascii="宋体" w:hAnsi="宋体" w:eastAsia="宋体" w:cs="宋体"/>
          <w:spacing w:val="3"/>
          <w:szCs w:val="21"/>
        </w:rPr>
        <w:t xml:space="preserve"> 款约定的情形，在发包人向承包人发出书面通知</w:t>
      </w:r>
    </w:p>
    <w:p w14:paraId="46100CD3">
      <w:pPr>
        <w:autoSpaceDE w:val="0"/>
        <w:autoSpaceDN w:val="0"/>
        <w:spacing w:before="87"/>
        <w:ind w:left="426"/>
        <w:jc w:val="left"/>
        <w:rPr>
          <w:rFonts w:ascii="宋体" w:hAnsi="宋体" w:eastAsia="宋体" w:cs="宋体"/>
          <w:szCs w:val="21"/>
        </w:rPr>
      </w:pPr>
      <w:r>
        <w:rPr>
          <w:rFonts w:ascii="宋体" w:hAnsi="宋体" w:eastAsia="宋体" w:cs="宋体"/>
          <w:spacing w:val="15"/>
          <w:szCs w:val="21"/>
        </w:rPr>
        <w:t xml:space="preserve">的 </w:t>
      </w:r>
      <w:r>
        <w:rPr>
          <w:rFonts w:ascii="宋体" w:hAnsi="宋体" w:eastAsia="宋体" w:cs="宋体"/>
          <w:szCs w:val="21"/>
        </w:rPr>
        <w:t>14 天内未见纠正后，发包人将向承包人课以不超过其台班费两倍的违约金；</w:t>
      </w:r>
    </w:p>
    <w:p w14:paraId="6125CB77">
      <w:pPr>
        <w:numPr>
          <w:ilvl w:val="0"/>
          <w:numId w:val="92"/>
        </w:numPr>
        <w:tabs>
          <w:tab w:val="left" w:pos="1263"/>
        </w:tabs>
        <w:autoSpaceDE w:val="0"/>
        <w:autoSpaceDN w:val="0"/>
        <w:spacing w:before="87" w:line="316" w:lineRule="auto"/>
        <w:ind w:left="426" w:right="578" w:firstLine="328"/>
        <w:jc w:val="both"/>
        <w:rPr>
          <w:rFonts w:ascii="宋体" w:hAnsi="宋体" w:eastAsia="宋体" w:cs="宋体"/>
          <w:szCs w:val="22"/>
        </w:rPr>
      </w:pPr>
      <w:r>
        <w:rPr>
          <w:rFonts w:ascii="宋体" w:hAnsi="宋体" w:eastAsia="宋体" w:cs="宋体"/>
          <w:spacing w:val="4"/>
          <w:szCs w:val="22"/>
        </w:rPr>
        <w:t xml:space="preserve">承包人发生第 </w:t>
      </w:r>
      <w:r>
        <w:rPr>
          <w:rFonts w:ascii="宋体" w:hAnsi="宋体" w:eastAsia="宋体" w:cs="宋体"/>
          <w:szCs w:val="22"/>
        </w:rPr>
        <w:t>22.1.1 项(3)目情形，在发包人向承包人发出书面通知的 14</w:t>
      </w:r>
      <w:r>
        <w:rPr>
          <w:rFonts w:ascii="宋体" w:hAnsi="宋体" w:eastAsia="宋体" w:cs="宋体"/>
          <w:spacing w:val="4"/>
          <w:szCs w:val="22"/>
        </w:rPr>
        <w:t xml:space="preserve"> 天内未见</w:t>
      </w:r>
      <w:r>
        <w:rPr>
          <w:rFonts w:ascii="宋体" w:hAnsi="宋体" w:eastAsia="宋体" w:cs="宋体"/>
          <w:szCs w:val="22"/>
        </w:rPr>
        <w:t>纠正后，发包人将按每一情形酌情向承包人课以不超过 0.5</w:t>
      </w:r>
      <w:r>
        <w:rPr>
          <w:rFonts w:ascii="宋体" w:hAnsi="宋体" w:eastAsia="宋体" w:cs="宋体"/>
          <w:spacing w:val="1"/>
          <w:szCs w:val="22"/>
        </w:rPr>
        <w:t>％签约合同价的违约金。即使缴纳</w:t>
      </w:r>
      <w:r>
        <w:rPr>
          <w:rFonts w:ascii="宋体" w:hAnsi="宋体" w:eastAsia="宋体" w:cs="宋体"/>
          <w:szCs w:val="22"/>
        </w:rPr>
        <w:t>了违约金，承包人仍应按合同规定继续实施和完成本合同工程及其缺陷修复；</w:t>
      </w:r>
    </w:p>
    <w:p w14:paraId="75A1D151">
      <w:pPr>
        <w:numPr>
          <w:ilvl w:val="0"/>
          <w:numId w:val="92"/>
        </w:numPr>
        <w:tabs>
          <w:tab w:val="left" w:pos="1304"/>
        </w:tabs>
        <w:autoSpaceDE w:val="0"/>
        <w:autoSpaceDN w:val="0"/>
        <w:spacing w:line="272" w:lineRule="exact"/>
        <w:ind w:left="1304" w:hanging="549"/>
        <w:jc w:val="both"/>
        <w:rPr>
          <w:rFonts w:ascii="宋体" w:hAnsi="宋体" w:eastAsia="宋体" w:cs="宋体"/>
          <w:szCs w:val="22"/>
        </w:rPr>
      </w:pPr>
      <w:r>
        <w:rPr>
          <w:rFonts w:ascii="宋体" w:hAnsi="宋体" w:eastAsia="宋体" w:cs="宋体"/>
          <w:spacing w:val="10"/>
          <w:szCs w:val="22"/>
        </w:rPr>
        <w:t xml:space="preserve">承包人发生第 </w:t>
      </w:r>
      <w:r>
        <w:rPr>
          <w:rFonts w:ascii="宋体" w:hAnsi="宋体" w:eastAsia="宋体" w:cs="宋体"/>
          <w:szCs w:val="22"/>
        </w:rPr>
        <w:t>22.1.1</w:t>
      </w:r>
      <w:r>
        <w:rPr>
          <w:rFonts w:ascii="宋体" w:hAnsi="宋体" w:eastAsia="宋体" w:cs="宋体"/>
          <w:spacing w:val="28"/>
          <w:szCs w:val="22"/>
        </w:rPr>
        <w:t xml:space="preserve"> 项</w:t>
      </w:r>
      <w:r>
        <w:rPr>
          <w:rFonts w:ascii="宋体" w:hAnsi="宋体" w:eastAsia="宋体" w:cs="宋体"/>
          <w:szCs w:val="22"/>
        </w:rPr>
        <w:t>(4</w:t>
      </w:r>
      <w:r>
        <w:rPr>
          <w:rFonts w:ascii="宋体" w:hAnsi="宋体" w:eastAsia="宋体" w:cs="宋体"/>
          <w:spacing w:val="5"/>
          <w:szCs w:val="22"/>
        </w:rPr>
        <w:t>)目情形，则按第</w:t>
      </w:r>
      <w:r>
        <w:rPr>
          <w:rFonts w:ascii="宋体" w:hAnsi="宋体" w:eastAsia="宋体" w:cs="宋体"/>
          <w:szCs w:val="22"/>
        </w:rPr>
        <w:t>11.5</w:t>
      </w:r>
      <w:r>
        <w:rPr>
          <w:rFonts w:ascii="宋体" w:hAnsi="宋体" w:eastAsia="宋体" w:cs="宋体"/>
          <w:spacing w:val="3"/>
          <w:szCs w:val="22"/>
        </w:rPr>
        <w:t>款规定处理；</w:t>
      </w:r>
    </w:p>
    <w:p w14:paraId="0AF09AD0">
      <w:pPr>
        <w:numPr>
          <w:ilvl w:val="0"/>
          <w:numId w:val="92"/>
        </w:numPr>
        <w:tabs>
          <w:tab w:val="left" w:pos="1304"/>
        </w:tabs>
        <w:autoSpaceDE w:val="0"/>
        <w:autoSpaceDN w:val="0"/>
        <w:spacing w:before="87"/>
        <w:ind w:left="1304" w:hanging="549"/>
        <w:jc w:val="both"/>
        <w:rPr>
          <w:rFonts w:ascii="宋体" w:hAnsi="宋体" w:eastAsia="宋体" w:cs="宋体"/>
          <w:szCs w:val="22"/>
        </w:rPr>
      </w:pPr>
      <w:r>
        <w:rPr>
          <w:rFonts w:ascii="宋体" w:hAnsi="宋体" w:eastAsia="宋体" w:cs="宋体"/>
          <w:spacing w:val="11"/>
          <w:szCs w:val="22"/>
        </w:rPr>
        <w:t xml:space="preserve">承包人发生第 </w:t>
      </w:r>
      <w:r>
        <w:rPr>
          <w:rFonts w:ascii="宋体" w:hAnsi="宋体" w:eastAsia="宋体" w:cs="宋体"/>
          <w:szCs w:val="22"/>
        </w:rPr>
        <w:t>22.1.1</w:t>
      </w:r>
      <w:r>
        <w:rPr>
          <w:rFonts w:ascii="宋体" w:hAnsi="宋体" w:eastAsia="宋体" w:cs="宋体"/>
          <w:spacing w:val="30"/>
          <w:szCs w:val="22"/>
        </w:rPr>
        <w:t xml:space="preserve"> 项</w:t>
      </w:r>
      <w:r>
        <w:rPr>
          <w:rFonts w:ascii="宋体" w:hAnsi="宋体" w:eastAsia="宋体" w:cs="宋体"/>
          <w:szCs w:val="22"/>
        </w:rPr>
        <w:t>(5</w:t>
      </w:r>
      <w:r>
        <w:rPr>
          <w:rFonts w:ascii="宋体" w:hAnsi="宋体" w:eastAsia="宋体" w:cs="宋体"/>
          <w:spacing w:val="5"/>
          <w:szCs w:val="22"/>
        </w:rPr>
        <w:t>)目情形，则按第</w:t>
      </w:r>
      <w:r>
        <w:rPr>
          <w:rFonts w:ascii="宋体" w:hAnsi="宋体" w:eastAsia="宋体" w:cs="宋体"/>
          <w:szCs w:val="22"/>
        </w:rPr>
        <w:t>19.2.4</w:t>
      </w:r>
      <w:r>
        <w:rPr>
          <w:rFonts w:ascii="宋体" w:hAnsi="宋体" w:eastAsia="宋体" w:cs="宋体"/>
          <w:spacing w:val="3"/>
          <w:szCs w:val="22"/>
        </w:rPr>
        <w:t>项规定处理；</w:t>
      </w:r>
    </w:p>
    <w:p w14:paraId="2A508425">
      <w:pPr>
        <w:numPr>
          <w:ilvl w:val="0"/>
          <w:numId w:val="92"/>
        </w:numPr>
        <w:tabs>
          <w:tab w:val="left" w:pos="1267"/>
        </w:tabs>
        <w:autoSpaceDE w:val="0"/>
        <w:autoSpaceDN w:val="0"/>
        <w:spacing w:before="87" w:line="316" w:lineRule="auto"/>
        <w:ind w:left="426" w:right="578" w:firstLine="328"/>
        <w:jc w:val="both"/>
        <w:rPr>
          <w:rFonts w:ascii="宋体" w:hAnsi="宋体" w:eastAsia="宋体" w:cs="宋体"/>
          <w:szCs w:val="22"/>
        </w:rPr>
      </w:pPr>
      <w:r>
        <w:rPr>
          <w:rFonts w:ascii="宋体" w:hAnsi="宋体" w:eastAsia="宋体" w:cs="宋体"/>
          <w:spacing w:val="4"/>
          <w:szCs w:val="22"/>
        </w:rPr>
        <w:t xml:space="preserve">承包人发生第 </w:t>
      </w:r>
      <w:r>
        <w:rPr>
          <w:rFonts w:ascii="宋体" w:hAnsi="宋体" w:eastAsia="宋体" w:cs="宋体"/>
          <w:szCs w:val="22"/>
        </w:rPr>
        <w:t>22.1.1 项(7</w:t>
      </w:r>
      <w:r>
        <w:rPr>
          <w:rFonts w:ascii="宋体" w:hAnsi="宋体" w:eastAsia="宋体" w:cs="宋体"/>
          <w:spacing w:val="3"/>
          <w:szCs w:val="22"/>
        </w:rPr>
        <w:t>)目情形，发包人有权按第</w:t>
      </w:r>
      <w:r>
        <w:rPr>
          <w:rFonts w:ascii="宋体" w:hAnsi="宋体" w:eastAsia="宋体" w:cs="宋体"/>
          <w:szCs w:val="22"/>
        </w:rPr>
        <w:t>11.5</w:t>
      </w:r>
      <w:r>
        <w:rPr>
          <w:rFonts w:ascii="宋体" w:hAnsi="宋体" w:eastAsia="宋体" w:cs="宋体"/>
          <w:spacing w:val="3"/>
          <w:szCs w:val="22"/>
        </w:rPr>
        <w:t>款规定的逾期交工违约金金</w:t>
      </w:r>
      <w:r>
        <w:rPr>
          <w:rFonts w:ascii="宋体" w:hAnsi="宋体" w:eastAsia="宋体" w:cs="宋体"/>
          <w:szCs w:val="22"/>
        </w:rPr>
        <w:t>额的二分之一乘以未按期开工天数处以违约金；</w:t>
      </w:r>
    </w:p>
    <w:p w14:paraId="118D36DC">
      <w:pPr>
        <w:numPr>
          <w:ilvl w:val="0"/>
          <w:numId w:val="92"/>
        </w:numPr>
        <w:tabs>
          <w:tab w:val="left" w:pos="1362"/>
        </w:tabs>
        <w:autoSpaceDE w:val="0"/>
        <w:autoSpaceDN w:val="0"/>
        <w:spacing w:line="272" w:lineRule="exact"/>
        <w:ind w:left="1362" w:hanging="516"/>
        <w:jc w:val="both"/>
        <w:rPr>
          <w:rFonts w:ascii="宋体" w:hAnsi="宋体" w:eastAsia="宋体" w:cs="宋体"/>
          <w:szCs w:val="22"/>
        </w:rPr>
      </w:pPr>
      <w:r>
        <w:rPr>
          <w:rFonts w:ascii="宋体" w:hAnsi="宋体" w:eastAsia="宋体" w:cs="宋体"/>
          <w:spacing w:val="8"/>
          <w:szCs w:val="22"/>
        </w:rPr>
        <w:t xml:space="preserve">承包人发生第 </w:t>
      </w:r>
      <w:r>
        <w:rPr>
          <w:rFonts w:ascii="宋体" w:hAnsi="宋体" w:eastAsia="宋体" w:cs="宋体"/>
          <w:szCs w:val="22"/>
        </w:rPr>
        <w:t>22.1.1</w:t>
      </w:r>
      <w:r>
        <w:rPr>
          <w:rFonts w:ascii="宋体" w:hAnsi="宋体" w:eastAsia="宋体" w:cs="宋体"/>
          <w:spacing w:val="17"/>
          <w:szCs w:val="22"/>
        </w:rPr>
        <w:t xml:space="preserve"> 项</w:t>
      </w:r>
      <w:r>
        <w:rPr>
          <w:rFonts w:ascii="宋体" w:hAnsi="宋体" w:eastAsia="宋体" w:cs="宋体"/>
          <w:szCs w:val="22"/>
        </w:rPr>
        <w:t>(8</w:t>
      </w:r>
      <w:r>
        <w:rPr>
          <w:rFonts w:ascii="宋体" w:hAnsi="宋体" w:eastAsia="宋体" w:cs="宋体"/>
          <w:spacing w:val="8"/>
          <w:szCs w:val="22"/>
        </w:rPr>
        <w:t xml:space="preserve">)目违反第 </w:t>
      </w:r>
      <w:r>
        <w:rPr>
          <w:rFonts w:ascii="宋体" w:hAnsi="宋体" w:eastAsia="宋体" w:cs="宋体"/>
          <w:szCs w:val="22"/>
        </w:rPr>
        <w:t>4.6</w:t>
      </w:r>
      <w:r>
        <w:rPr>
          <w:rFonts w:ascii="宋体" w:hAnsi="宋体" w:eastAsia="宋体" w:cs="宋体"/>
          <w:spacing w:val="3"/>
          <w:szCs w:val="22"/>
        </w:rPr>
        <w:t xml:space="preserve"> 款约定的情形，项目经理或项目技术负责</w:t>
      </w:r>
    </w:p>
    <w:p w14:paraId="5EBAEC0B">
      <w:pPr>
        <w:autoSpaceDE w:val="0"/>
        <w:autoSpaceDN w:val="0"/>
        <w:spacing w:before="87"/>
        <w:ind w:left="426"/>
        <w:jc w:val="left"/>
        <w:rPr>
          <w:rFonts w:ascii="宋体" w:hAnsi="宋体" w:eastAsia="宋体" w:cs="宋体"/>
          <w:szCs w:val="21"/>
        </w:rPr>
      </w:pPr>
      <w:r>
        <w:rPr>
          <w:rFonts w:ascii="宋体" w:hAnsi="宋体" w:eastAsia="宋体" w:cs="宋体"/>
          <w:spacing w:val="-2"/>
          <w:szCs w:val="21"/>
        </w:rPr>
        <w:t xml:space="preserve">人未经发包人同意擅自离开工地或每月在工地不足 </w:t>
      </w:r>
      <w:r>
        <w:rPr>
          <w:rFonts w:ascii="宋体" w:hAnsi="宋体" w:eastAsia="宋体" w:cs="宋体"/>
          <w:szCs w:val="21"/>
        </w:rPr>
        <w:t>20</w:t>
      </w:r>
      <w:r>
        <w:rPr>
          <w:rFonts w:ascii="宋体" w:hAnsi="宋体" w:eastAsia="宋体" w:cs="宋体"/>
          <w:spacing w:val="-23"/>
          <w:szCs w:val="21"/>
        </w:rPr>
        <w:t xml:space="preserve"> 天者</w:t>
      </w:r>
      <w:r>
        <w:rPr>
          <w:rFonts w:ascii="宋体" w:hAnsi="宋体" w:eastAsia="宋体" w:cs="宋体"/>
          <w:spacing w:val="11"/>
          <w:szCs w:val="21"/>
        </w:rPr>
        <w:t>（</w:t>
      </w:r>
      <w:r>
        <w:rPr>
          <w:rFonts w:ascii="宋体" w:hAnsi="宋体" w:eastAsia="宋体" w:cs="宋体"/>
          <w:spacing w:val="2"/>
          <w:szCs w:val="21"/>
        </w:rPr>
        <w:t>特殊情形经监理人批准报发包人同</w:t>
      </w:r>
    </w:p>
    <w:p w14:paraId="4C1C15AD">
      <w:pPr>
        <w:autoSpaceDE w:val="0"/>
        <w:autoSpaceDN w:val="0"/>
        <w:spacing w:before="87"/>
        <w:ind w:left="426"/>
        <w:jc w:val="left"/>
        <w:rPr>
          <w:rFonts w:ascii="宋体" w:hAnsi="宋体" w:eastAsia="宋体" w:cs="宋体"/>
          <w:szCs w:val="21"/>
        </w:rPr>
      </w:pPr>
      <w:r>
        <w:rPr>
          <w:rFonts w:ascii="宋体" w:hAnsi="宋体" w:eastAsia="宋体" w:cs="宋体"/>
          <w:szCs w:val="21"/>
        </w:rPr>
        <w:t>意例外），每天课以违约金</w:t>
      </w:r>
      <w:r>
        <w:rPr>
          <w:rFonts w:ascii="宋体" w:hAnsi="宋体" w:eastAsia="宋体" w:cs="宋体"/>
          <w:spacing w:val="36"/>
          <w:w w:val="150"/>
          <w:szCs w:val="21"/>
        </w:rPr>
        <w:t xml:space="preserve"> </w:t>
      </w:r>
      <w:r>
        <w:rPr>
          <w:rFonts w:ascii="宋体" w:hAnsi="宋体" w:eastAsia="宋体" w:cs="宋体"/>
          <w:szCs w:val="21"/>
        </w:rPr>
        <w:t>2000</w:t>
      </w:r>
      <w:r>
        <w:rPr>
          <w:rFonts w:ascii="宋体" w:hAnsi="宋体" w:eastAsia="宋体" w:cs="宋体"/>
          <w:spacing w:val="28"/>
          <w:w w:val="150"/>
          <w:szCs w:val="21"/>
        </w:rPr>
        <w:t xml:space="preserve"> </w:t>
      </w:r>
      <w:r>
        <w:rPr>
          <w:rFonts w:ascii="宋体" w:hAnsi="宋体" w:eastAsia="宋体" w:cs="宋体"/>
          <w:spacing w:val="-1"/>
          <w:szCs w:val="21"/>
        </w:rPr>
        <w:t>元／人；承包人未经发包人书面同意更换项目经理和项目技术</w:t>
      </w:r>
    </w:p>
    <w:p w14:paraId="69E9BE7D">
      <w:pPr>
        <w:autoSpaceDE w:val="0"/>
        <w:autoSpaceDN w:val="0"/>
        <w:spacing w:before="87"/>
        <w:ind w:left="426"/>
        <w:jc w:val="left"/>
        <w:rPr>
          <w:rFonts w:ascii="宋体" w:hAnsi="宋体" w:eastAsia="宋体" w:cs="宋体"/>
          <w:szCs w:val="21"/>
        </w:rPr>
      </w:pPr>
      <w:r>
        <w:rPr>
          <w:rFonts w:ascii="宋体" w:hAnsi="宋体" w:eastAsia="宋体" w:cs="宋体"/>
          <w:spacing w:val="-1"/>
          <w:szCs w:val="21"/>
        </w:rPr>
        <w:t xml:space="preserve">负责人课以 </w:t>
      </w:r>
      <w:r>
        <w:rPr>
          <w:rFonts w:ascii="宋体" w:hAnsi="宋体" w:eastAsia="宋体" w:cs="宋体"/>
          <w:szCs w:val="21"/>
        </w:rPr>
        <w:t>20</w:t>
      </w:r>
      <w:r>
        <w:rPr>
          <w:rFonts w:ascii="宋体" w:hAnsi="宋体" w:eastAsia="宋体" w:cs="宋体"/>
          <w:spacing w:val="-2"/>
          <w:szCs w:val="21"/>
        </w:rPr>
        <w:t xml:space="preserve"> 万元的违约金，更换其他主要管理人员和技术骨干课以每人次 </w:t>
      </w:r>
      <w:r>
        <w:rPr>
          <w:rFonts w:ascii="宋体" w:hAnsi="宋体" w:eastAsia="宋体" w:cs="宋体"/>
          <w:szCs w:val="21"/>
        </w:rPr>
        <w:t>5</w:t>
      </w:r>
      <w:r>
        <w:rPr>
          <w:rFonts w:ascii="宋体" w:hAnsi="宋体" w:eastAsia="宋体" w:cs="宋体"/>
          <w:spacing w:val="-3"/>
          <w:szCs w:val="21"/>
        </w:rPr>
        <w:t xml:space="preserve"> 万元的违约金；</w:t>
      </w:r>
    </w:p>
    <w:p w14:paraId="02F8566D">
      <w:pPr>
        <w:autoSpaceDE w:val="0"/>
        <w:autoSpaceDN w:val="0"/>
        <w:spacing w:before="87" w:line="316" w:lineRule="auto"/>
        <w:ind w:left="426" w:right="576"/>
        <w:jc w:val="left"/>
        <w:rPr>
          <w:rFonts w:ascii="宋体" w:hAnsi="宋体" w:eastAsia="宋体" w:cs="宋体"/>
          <w:szCs w:val="21"/>
        </w:rPr>
      </w:pPr>
      <w:r>
        <w:rPr>
          <w:rFonts w:ascii="宋体" w:hAnsi="宋体" w:eastAsia="宋体" w:cs="宋体"/>
          <w:spacing w:val="12"/>
          <w:szCs w:val="21"/>
        </w:rPr>
        <w:t xml:space="preserve">发生第 </w:t>
      </w:r>
      <w:r>
        <w:rPr>
          <w:rFonts w:ascii="宋体" w:hAnsi="宋体" w:eastAsia="宋体" w:cs="宋体"/>
          <w:szCs w:val="21"/>
        </w:rPr>
        <w:t>22.1.1</w:t>
      </w:r>
      <w:r>
        <w:rPr>
          <w:rFonts w:ascii="宋体" w:hAnsi="宋体" w:eastAsia="宋体" w:cs="宋体"/>
          <w:spacing w:val="18"/>
          <w:szCs w:val="21"/>
        </w:rPr>
        <w:t xml:space="preserve"> 项</w:t>
      </w:r>
      <w:r>
        <w:rPr>
          <w:rFonts w:ascii="宋体" w:hAnsi="宋体" w:eastAsia="宋体" w:cs="宋体"/>
          <w:szCs w:val="21"/>
        </w:rPr>
        <w:t>(8</w:t>
      </w:r>
      <w:r>
        <w:rPr>
          <w:rFonts w:ascii="宋体" w:hAnsi="宋体" w:eastAsia="宋体" w:cs="宋体"/>
          <w:spacing w:val="-2"/>
          <w:szCs w:val="21"/>
        </w:rPr>
        <w:t xml:space="preserve">)目违反第 </w:t>
      </w:r>
      <w:r>
        <w:rPr>
          <w:rFonts w:ascii="宋体" w:hAnsi="宋体" w:eastAsia="宋体" w:cs="宋体"/>
          <w:szCs w:val="21"/>
        </w:rPr>
        <w:t>6.3</w:t>
      </w:r>
      <w:r>
        <w:rPr>
          <w:rFonts w:ascii="宋体" w:hAnsi="宋体" w:eastAsia="宋体" w:cs="宋体"/>
          <w:spacing w:val="-2"/>
          <w:szCs w:val="21"/>
        </w:rPr>
        <w:t xml:space="preserve"> 款约定的情形，在发包人向承包人发出书面通知的 </w:t>
      </w:r>
      <w:r>
        <w:rPr>
          <w:rFonts w:ascii="宋体" w:hAnsi="宋体" w:eastAsia="宋体" w:cs="宋体"/>
          <w:szCs w:val="21"/>
        </w:rPr>
        <w:t>14</w:t>
      </w:r>
      <w:r>
        <w:rPr>
          <w:rFonts w:ascii="宋体" w:hAnsi="宋体" w:eastAsia="宋体" w:cs="宋体"/>
          <w:spacing w:val="7"/>
          <w:szCs w:val="21"/>
        </w:rPr>
        <w:t xml:space="preserve"> 天内</w:t>
      </w:r>
      <w:r>
        <w:rPr>
          <w:rFonts w:ascii="宋体" w:hAnsi="宋体" w:eastAsia="宋体" w:cs="宋体"/>
          <w:szCs w:val="21"/>
        </w:rPr>
        <w:t>未见纠正后，发包人将向承包人课以不超过 0.5</w:t>
      </w:r>
      <w:r>
        <w:rPr>
          <w:rFonts w:ascii="宋体" w:hAnsi="宋体" w:eastAsia="宋体" w:cs="宋体"/>
          <w:spacing w:val="3"/>
          <w:szCs w:val="21"/>
        </w:rPr>
        <w:t>％签约合同价的违约金；</w:t>
      </w:r>
    </w:p>
    <w:p w14:paraId="54FDF4C9">
      <w:pPr>
        <w:numPr>
          <w:ilvl w:val="0"/>
          <w:numId w:val="92"/>
        </w:numPr>
        <w:tabs>
          <w:tab w:val="left" w:pos="1303"/>
        </w:tabs>
        <w:autoSpaceDE w:val="0"/>
        <w:autoSpaceDN w:val="0"/>
        <w:spacing w:line="316" w:lineRule="auto"/>
        <w:ind w:left="426" w:right="509" w:firstLine="328"/>
        <w:jc w:val="left"/>
        <w:rPr>
          <w:rFonts w:ascii="宋体" w:hAnsi="宋体" w:eastAsia="宋体" w:cs="宋体"/>
          <w:szCs w:val="22"/>
        </w:rPr>
      </w:pPr>
      <w:r>
        <w:rPr>
          <w:rFonts w:ascii="宋体" w:hAnsi="宋体" w:eastAsia="宋体" w:cs="宋体"/>
          <w:spacing w:val="4"/>
          <w:szCs w:val="22"/>
        </w:rPr>
        <w:t xml:space="preserve">承包人发生第 </w:t>
      </w:r>
      <w:r>
        <w:rPr>
          <w:rFonts w:ascii="宋体" w:hAnsi="宋体" w:eastAsia="宋体" w:cs="宋体"/>
          <w:szCs w:val="22"/>
        </w:rPr>
        <w:t>22.1.1</w:t>
      </w:r>
      <w:r>
        <w:rPr>
          <w:rFonts w:ascii="宋体" w:hAnsi="宋体" w:eastAsia="宋体" w:cs="宋体"/>
          <w:spacing w:val="5"/>
          <w:szCs w:val="22"/>
        </w:rPr>
        <w:t xml:space="preserve"> 项</w:t>
      </w:r>
      <w:r>
        <w:rPr>
          <w:rFonts w:ascii="宋体" w:hAnsi="宋体" w:eastAsia="宋体" w:cs="宋体"/>
          <w:szCs w:val="22"/>
        </w:rPr>
        <w:t>(9)目情形，发包人将责令整改；情节严重的，将停工整顿，</w:t>
      </w:r>
      <w:r>
        <w:rPr>
          <w:rFonts w:ascii="宋体" w:hAnsi="宋体" w:eastAsia="宋体" w:cs="宋体"/>
          <w:spacing w:val="4"/>
          <w:szCs w:val="22"/>
        </w:rPr>
        <w:t>课以不超过</w:t>
      </w:r>
      <w:r>
        <w:rPr>
          <w:rFonts w:ascii="宋体" w:hAnsi="宋体" w:eastAsia="宋体" w:cs="宋体"/>
          <w:szCs w:val="22"/>
        </w:rPr>
        <w:t>1</w:t>
      </w:r>
      <w:r>
        <w:rPr>
          <w:rFonts w:ascii="宋体" w:hAnsi="宋体" w:eastAsia="宋体" w:cs="宋体"/>
          <w:spacing w:val="2"/>
          <w:szCs w:val="22"/>
        </w:rPr>
        <w:t>％签约合同价的违约金；</w:t>
      </w:r>
    </w:p>
    <w:p w14:paraId="3AE02648">
      <w:pPr>
        <w:numPr>
          <w:ilvl w:val="0"/>
          <w:numId w:val="92"/>
        </w:numPr>
        <w:tabs>
          <w:tab w:val="left" w:pos="1304"/>
        </w:tabs>
        <w:autoSpaceDE w:val="0"/>
        <w:autoSpaceDN w:val="0"/>
        <w:spacing w:line="272" w:lineRule="exact"/>
        <w:ind w:left="1304" w:hanging="549"/>
        <w:jc w:val="left"/>
        <w:rPr>
          <w:rFonts w:ascii="宋体" w:hAnsi="宋体" w:eastAsia="宋体" w:cs="宋体"/>
          <w:szCs w:val="22"/>
        </w:rPr>
      </w:pPr>
      <w:r>
        <w:rPr>
          <w:rFonts w:ascii="宋体" w:hAnsi="宋体" w:eastAsia="宋体" w:cs="宋体"/>
          <w:spacing w:val="11"/>
          <w:szCs w:val="22"/>
        </w:rPr>
        <w:t xml:space="preserve">承包人发生第 </w:t>
      </w:r>
      <w:r>
        <w:rPr>
          <w:rFonts w:ascii="宋体" w:hAnsi="宋体" w:eastAsia="宋体" w:cs="宋体"/>
          <w:szCs w:val="22"/>
        </w:rPr>
        <w:t>22.1.1</w:t>
      </w:r>
      <w:r>
        <w:rPr>
          <w:rFonts w:ascii="宋体" w:hAnsi="宋体" w:eastAsia="宋体" w:cs="宋体"/>
          <w:spacing w:val="29"/>
          <w:szCs w:val="22"/>
        </w:rPr>
        <w:t xml:space="preserve"> 项</w:t>
      </w:r>
      <w:r>
        <w:rPr>
          <w:rFonts w:ascii="宋体" w:hAnsi="宋体" w:eastAsia="宋体" w:cs="宋体"/>
          <w:szCs w:val="22"/>
        </w:rPr>
        <w:t>(10</w:t>
      </w:r>
      <w:r>
        <w:rPr>
          <w:rFonts w:ascii="宋体" w:hAnsi="宋体" w:eastAsia="宋体" w:cs="宋体"/>
          <w:spacing w:val="5"/>
          <w:szCs w:val="22"/>
        </w:rPr>
        <w:t>)目情形，则课以</w:t>
      </w:r>
      <w:r>
        <w:rPr>
          <w:rFonts w:ascii="宋体" w:hAnsi="宋体" w:eastAsia="宋体" w:cs="宋体"/>
          <w:szCs w:val="22"/>
        </w:rPr>
        <w:t>1</w:t>
      </w:r>
      <w:r>
        <w:rPr>
          <w:rFonts w:ascii="宋体" w:hAnsi="宋体" w:eastAsia="宋体" w:cs="宋体"/>
          <w:spacing w:val="2"/>
          <w:szCs w:val="22"/>
        </w:rPr>
        <w:t>％签约合同价的违约金；</w:t>
      </w:r>
    </w:p>
    <w:p w14:paraId="7A9E9141">
      <w:pPr>
        <w:numPr>
          <w:ilvl w:val="0"/>
          <w:numId w:val="92"/>
        </w:numPr>
        <w:tabs>
          <w:tab w:val="left" w:pos="1415"/>
        </w:tabs>
        <w:autoSpaceDE w:val="0"/>
        <w:autoSpaceDN w:val="0"/>
        <w:spacing w:before="86"/>
        <w:ind w:left="1415" w:hanging="660"/>
        <w:jc w:val="left"/>
        <w:rPr>
          <w:rFonts w:ascii="宋体" w:hAnsi="宋体" w:eastAsia="宋体" w:cs="宋体"/>
          <w:szCs w:val="22"/>
        </w:rPr>
      </w:pPr>
      <w:r>
        <w:rPr>
          <w:rFonts w:ascii="宋体" w:hAnsi="宋体" w:eastAsia="宋体" w:cs="宋体"/>
          <w:spacing w:val="10"/>
          <w:szCs w:val="22"/>
        </w:rPr>
        <w:t xml:space="preserve">承包人发生第 </w:t>
      </w:r>
      <w:r>
        <w:rPr>
          <w:rFonts w:ascii="宋体" w:hAnsi="宋体" w:eastAsia="宋体" w:cs="宋体"/>
          <w:szCs w:val="22"/>
        </w:rPr>
        <w:t>22.1.1</w:t>
      </w:r>
      <w:r>
        <w:rPr>
          <w:rFonts w:ascii="宋体" w:hAnsi="宋体" w:eastAsia="宋体" w:cs="宋体"/>
          <w:spacing w:val="27"/>
          <w:szCs w:val="22"/>
        </w:rPr>
        <w:t xml:space="preserve"> 项</w:t>
      </w:r>
      <w:r>
        <w:rPr>
          <w:rFonts w:ascii="宋体" w:hAnsi="宋体" w:eastAsia="宋体" w:cs="宋体"/>
          <w:szCs w:val="22"/>
        </w:rPr>
        <w:t>(11</w:t>
      </w:r>
      <w:r>
        <w:rPr>
          <w:rFonts w:ascii="宋体" w:hAnsi="宋体" w:eastAsia="宋体" w:cs="宋体"/>
          <w:spacing w:val="4"/>
          <w:szCs w:val="22"/>
        </w:rPr>
        <w:t>)目情形，则课以与转移</w:t>
      </w:r>
      <w:r>
        <w:rPr>
          <w:rFonts w:ascii="宋体" w:hAnsi="宋体" w:eastAsia="宋体" w:cs="宋体"/>
          <w:szCs w:val="22"/>
        </w:rPr>
        <w:t>（</w:t>
      </w:r>
      <w:r>
        <w:rPr>
          <w:rFonts w:ascii="宋体" w:hAnsi="宋体" w:eastAsia="宋体" w:cs="宋体"/>
          <w:spacing w:val="11"/>
          <w:szCs w:val="22"/>
        </w:rPr>
        <w:t>挪用</w:t>
      </w:r>
      <w:r>
        <w:rPr>
          <w:rFonts w:ascii="宋体" w:hAnsi="宋体" w:eastAsia="宋体" w:cs="宋体"/>
          <w:szCs w:val="22"/>
        </w:rPr>
        <w:t>）</w:t>
      </w:r>
      <w:r>
        <w:rPr>
          <w:rFonts w:ascii="宋体" w:hAnsi="宋体" w:eastAsia="宋体" w:cs="宋体"/>
          <w:spacing w:val="4"/>
          <w:szCs w:val="22"/>
        </w:rPr>
        <w:t>资金等额的违约金；</w:t>
      </w:r>
    </w:p>
    <w:p w14:paraId="32FA6E86">
      <w:pPr>
        <w:numPr>
          <w:ilvl w:val="0"/>
          <w:numId w:val="92"/>
        </w:numPr>
        <w:tabs>
          <w:tab w:val="left" w:pos="1378"/>
        </w:tabs>
        <w:autoSpaceDE w:val="0"/>
        <w:autoSpaceDN w:val="0"/>
        <w:spacing w:before="87" w:line="316" w:lineRule="auto"/>
        <w:ind w:left="426" w:right="576" w:firstLine="328"/>
        <w:jc w:val="left"/>
        <w:rPr>
          <w:rFonts w:ascii="宋体" w:hAnsi="宋体" w:eastAsia="宋体" w:cs="宋体"/>
          <w:szCs w:val="22"/>
        </w:rPr>
      </w:pPr>
      <w:r>
        <w:rPr>
          <w:rFonts w:ascii="宋体" w:hAnsi="宋体" w:eastAsia="宋体" w:cs="宋体"/>
          <w:spacing w:val="4"/>
          <w:szCs w:val="22"/>
        </w:rPr>
        <w:t xml:space="preserve">承包人发生第 </w:t>
      </w:r>
      <w:r>
        <w:rPr>
          <w:rFonts w:ascii="宋体" w:hAnsi="宋体" w:eastAsia="宋体" w:cs="宋体"/>
          <w:szCs w:val="22"/>
        </w:rPr>
        <w:t>22.1.1 项(12)目情形，在合同实施期间发现承包人在投标时提供了虚</w:t>
      </w:r>
      <w:r>
        <w:rPr>
          <w:rFonts w:ascii="宋体" w:hAnsi="宋体" w:eastAsia="宋体" w:cs="宋体"/>
          <w:spacing w:val="2"/>
          <w:szCs w:val="22"/>
        </w:rPr>
        <w:t>假材料的，课以不超过</w:t>
      </w:r>
      <w:r>
        <w:rPr>
          <w:rFonts w:ascii="宋体" w:hAnsi="宋体" w:eastAsia="宋体" w:cs="宋体"/>
          <w:szCs w:val="22"/>
        </w:rPr>
        <w:t>1</w:t>
      </w:r>
      <w:r>
        <w:rPr>
          <w:rFonts w:ascii="宋体" w:hAnsi="宋体" w:eastAsia="宋体" w:cs="宋体"/>
          <w:spacing w:val="2"/>
          <w:szCs w:val="22"/>
        </w:rPr>
        <w:t>％签约合同价的违约金；</w:t>
      </w:r>
    </w:p>
    <w:p w14:paraId="4D3E0E8E">
      <w:pPr>
        <w:numPr>
          <w:ilvl w:val="0"/>
          <w:numId w:val="92"/>
        </w:numPr>
        <w:tabs>
          <w:tab w:val="left" w:pos="1415"/>
        </w:tabs>
        <w:autoSpaceDE w:val="0"/>
        <w:autoSpaceDN w:val="0"/>
        <w:spacing w:line="272" w:lineRule="exact"/>
        <w:ind w:left="1415" w:hanging="660"/>
        <w:jc w:val="left"/>
        <w:rPr>
          <w:rFonts w:ascii="宋体" w:hAnsi="宋体" w:eastAsia="宋体" w:cs="宋体"/>
          <w:szCs w:val="22"/>
        </w:rPr>
      </w:pPr>
      <w:r>
        <w:rPr>
          <w:rFonts w:ascii="宋体" w:hAnsi="宋体" w:eastAsia="宋体" w:cs="宋体"/>
          <w:spacing w:val="11"/>
          <w:szCs w:val="22"/>
        </w:rPr>
        <w:t xml:space="preserve">承包人发生第 </w:t>
      </w:r>
      <w:r>
        <w:rPr>
          <w:rFonts w:ascii="宋体" w:hAnsi="宋体" w:eastAsia="宋体" w:cs="宋体"/>
          <w:szCs w:val="22"/>
        </w:rPr>
        <w:t>22.1.1</w:t>
      </w:r>
      <w:r>
        <w:rPr>
          <w:rFonts w:ascii="宋体" w:hAnsi="宋体" w:eastAsia="宋体" w:cs="宋体"/>
          <w:spacing w:val="29"/>
          <w:szCs w:val="22"/>
        </w:rPr>
        <w:t xml:space="preserve"> 项</w:t>
      </w:r>
      <w:r>
        <w:rPr>
          <w:rFonts w:ascii="宋体" w:hAnsi="宋体" w:eastAsia="宋体" w:cs="宋体"/>
          <w:szCs w:val="22"/>
        </w:rPr>
        <w:t>(13</w:t>
      </w:r>
      <w:r>
        <w:rPr>
          <w:rFonts w:ascii="宋体" w:hAnsi="宋体" w:eastAsia="宋体" w:cs="宋体"/>
          <w:spacing w:val="4"/>
          <w:szCs w:val="22"/>
        </w:rPr>
        <w:t>)目情形，则课以不超过</w:t>
      </w:r>
      <w:r>
        <w:rPr>
          <w:rFonts w:ascii="宋体" w:hAnsi="宋体" w:eastAsia="宋体" w:cs="宋体"/>
          <w:szCs w:val="22"/>
        </w:rPr>
        <w:t>1</w:t>
      </w:r>
      <w:r>
        <w:rPr>
          <w:rFonts w:ascii="宋体" w:hAnsi="宋体" w:eastAsia="宋体" w:cs="宋体"/>
          <w:spacing w:val="2"/>
          <w:szCs w:val="22"/>
        </w:rPr>
        <w:t>％签约合同价的违约金。</w:t>
      </w:r>
    </w:p>
    <w:p w14:paraId="1257269D">
      <w:pPr>
        <w:numPr>
          <w:ilvl w:val="0"/>
          <w:numId w:val="92"/>
        </w:numPr>
        <w:tabs>
          <w:tab w:val="left" w:pos="1387"/>
        </w:tabs>
        <w:autoSpaceDE w:val="0"/>
        <w:autoSpaceDN w:val="0"/>
        <w:spacing w:before="87" w:line="316" w:lineRule="auto"/>
        <w:ind w:left="426" w:right="576" w:firstLine="328"/>
        <w:jc w:val="left"/>
        <w:rPr>
          <w:rFonts w:ascii="宋体" w:hAnsi="宋体" w:eastAsia="宋体" w:cs="宋体"/>
          <w:szCs w:val="22"/>
        </w:rPr>
      </w:pPr>
      <w:r>
        <w:rPr>
          <w:rFonts w:ascii="宋体" w:hAnsi="宋体" w:eastAsia="宋体" w:cs="宋体"/>
          <w:spacing w:val="4"/>
          <w:szCs w:val="22"/>
        </w:rPr>
        <w:t xml:space="preserve">承包人发生第 </w:t>
      </w:r>
      <w:r>
        <w:rPr>
          <w:rFonts w:ascii="宋体" w:hAnsi="宋体" w:eastAsia="宋体" w:cs="宋体"/>
          <w:szCs w:val="22"/>
        </w:rPr>
        <w:t>22.1.1</w:t>
      </w:r>
      <w:r>
        <w:rPr>
          <w:rFonts w:ascii="宋体" w:hAnsi="宋体" w:eastAsia="宋体" w:cs="宋体"/>
          <w:spacing w:val="3"/>
          <w:szCs w:val="22"/>
        </w:rPr>
        <w:t xml:space="preserve"> 项(</w:t>
      </w:r>
      <w:r>
        <w:rPr>
          <w:rFonts w:ascii="宋体" w:hAnsi="宋体" w:eastAsia="宋体" w:cs="宋体"/>
          <w:szCs w:val="22"/>
        </w:rPr>
        <w:t>14)</w:t>
      </w:r>
      <w:r>
        <w:rPr>
          <w:rFonts w:ascii="宋体" w:hAnsi="宋体" w:eastAsia="宋体" w:cs="宋体"/>
          <w:spacing w:val="4"/>
          <w:szCs w:val="22"/>
        </w:rPr>
        <w:t>目情形，发现一次则课以</w:t>
      </w:r>
      <w:r>
        <w:rPr>
          <w:rFonts w:ascii="宋体" w:hAnsi="宋体" w:eastAsia="宋体" w:cs="宋体"/>
          <w:szCs w:val="22"/>
        </w:rPr>
        <w:t>10</w:t>
      </w:r>
      <w:r>
        <w:rPr>
          <w:rFonts w:ascii="宋体" w:hAnsi="宋体" w:eastAsia="宋体" w:cs="宋体"/>
          <w:spacing w:val="3"/>
          <w:szCs w:val="22"/>
        </w:rPr>
        <w:t>万元的违约金，并要求承包</w:t>
      </w:r>
      <w:r>
        <w:rPr>
          <w:rFonts w:ascii="宋体" w:hAnsi="宋体" w:eastAsia="宋体" w:cs="宋体"/>
          <w:spacing w:val="2"/>
          <w:szCs w:val="22"/>
        </w:rPr>
        <w:t>人无条件给于返工。</w:t>
      </w:r>
    </w:p>
    <w:p w14:paraId="670C43B8">
      <w:pPr>
        <w:numPr>
          <w:ilvl w:val="0"/>
          <w:numId w:val="92"/>
        </w:numPr>
        <w:tabs>
          <w:tab w:val="left" w:pos="865"/>
          <w:tab w:val="left" w:pos="1413"/>
        </w:tabs>
        <w:autoSpaceDE w:val="0"/>
        <w:autoSpaceDN w:val="0"/>
        <w:spacing w:line="316" w:lineRule="auto"/>
        <w:ind w:left="865" w:right="576" w:hanging="111"/>
        <w:jc w:val="left"/>
        <w:rPr>
          <w:rFonts w:ascii="宋体" w:hAnsi="宋体" w:eastAsia="宋体" w:cs="宋体"/>
          <w:szCs w:val="22"/>
        </w:rPr>
      </w:pPr>
      <w:r>
        <w:rPr>
          <w:rFonts w:ascii="宋体" w:hAnsi="宋体" w:eastAsia="宋体" w:cs="宋体"/>
          <w:spacing w:val="10"/>
          <w:szCs w:val="22"/>
        </w:rPr>
        <w:t xml:space="preserve">承包人发生第 </w:t>
      </w:r>
      <w:r>
        <w:rPr>
          <w:rFonts w:ascii="宋体" w:hAnsi="宋体" w:eastAsia="宋体" w:cs="宋体"/>
          <w:szCs w:val="22"/>
        </w:rPr>
        <w:t>22.1.1</w:t>
      </w:r>
      <w:r>
        <w:rPr>
          <w:rFonts w:ascii="宋体" w:hAnsi="宋体" w:eastAsia="宋体" w:cs="宋体"/>
          <w:spacing w:val="16"/>
          <w:szCs w:val="22"/>
        </w:rPr>
        <w:t xml:space="preserve"> 项(</w:t>
      </w:r>
      <w:r>
        <w:rPr>
          <w:rFonts w:ascii="宋体" w:hAnsi="宋体" w:eastAsia="宋体" w:cs="宋体"/>
          <w:szCs w:val="22"/>
        </w:rPr>
        <w:t>15)</w:t>
      </w:r>
      <w:r>
        <w:rPr>
          <w:rFonts w:ascii="宋体" w:hAnsi="宋体" w:eastAsia="宋体" w:cs="宋体"/>
          <w:spacing w:val="5"/>
          <w:szCs w:val="22"/>
        </w:rPr>
        <w:t>目情形，则课以不超过</w:t>
      </w:r>
      <w:r>
        <w:rPr>
          <w:rFonts w:ascii="宋体" w:hAnsi="宋体" w:eastAsia="宋体" w:cs="宋体"/>
          <w:szCs w:val="22"/>
        </w:rPr>
        <w:t>1</w:t>
      </w:r>
      <w:r>
        <w:rPr>
          <w:rFonts w:ascii="宋体" w:hAnsi="宋体" w:eastAsia="宋体" w:cs="宋体"/>
          <w:spacing w:val="3"/>
          <w:szCs w:val="22"/>
        </w:rPr>
        <w:t>％签约合同价的违约金。</w:t>
      </w:r>
      <w:r>
        <w:rPr>
          <w:rFonts w:ascii="宋体" w:hAnsi="宋体" w:eastAsia="宋体" w:cs="宋体"/>
          <w:szCs w:val="22"/>
        </w:rPr>
        <w:t xml:space="preserve"> </w:t>
      </w:r>
      <w:r>
        <w:rPr>
          <w:rFonts w:ascii="宋体" w:hAnsi="宋体" w:eastAsia="宋体" w:cs="宋体"/>
          <w:spacing w:val="-2"/>
          <w:szCs w:val="22"/>
        </w:rPr>
        <w:t>(15）承包人发生第22.1.1项(16)目情形，未按要求使用“台州市公路养护工程数智管理系</w:t>
      </w:r>
    </w:p>
    <w:p w14:paraId="074A6988">
      <w:pPr>
        <w:autoSpaceDE w:val="0"/>
        <w:autoSpaceDN w:val="0"/>
        <w:spacing w:line="272" w:lineRule="exact"/>
        <w:ind w:left="426"/>
        <w:jc w:val="left"/>
        <w:rPr>
          <w:rFonts w:ascii="宋体" w:hAnsi="宋体" w:eastAsia="宋体" w:cs="宋体"/>
          <w:szCs w:val="21"/>
        </w:rPr>
      </w:pPr>
      <w:r>
        <w:rPr>
          <w:rFonts w:ascii="宋体" w:hAnsi="宋体" w:eastAsia="宋体" w:cs="宋体"/>
          <w:spacing w:val="3"/>
          <w:szCs w:val="21"/>
        </w:rPr>
        <w:t>统”的，每发现一次课以不超过</w:t>
      </w:r>
      <w:r>
        <w:rPr>
          <w:rFonts w:ascii="宋体" w:hAnsi="宋体" w:eastAsia="宋体" w:cs="宋体"/>
          <w:szCs w:val="21"/>
        </w:rPr>
        <w:t>10000</w:t>
      </w:r>
      <w:r>
        <w:rPr>
          <w:rFonts w:ascii="宋体" w:hAnsi="宋体" w:eastAsia="宋体" w:cs="宋体"/>
          <w:spacing w:val="3"/>
          <w:szCs w:val="21"/>
        </w:rPr>
        <w:t>元的违约金。</w:t>
      </w:r>
    </w:p>
    <w:p w14:paraId="3D19BACE">
      <w:pPr>
        <w:autoSpaceDE w:val="0"/>
        <w:autoSpaceDN w:val="0"/>
        <w:spacing w:before="87"/>
        <w:ind w:left="865"/>
        <w:jc w:val="left"/>
        <w:rPr>
          <w:rFonts w:hint="eastAsia" w:ascii="宋体" w:hAnsi="宋体" w:eastAsia="宋体" w:cs="宋体"/>
          <w:spacing w:val="3"/>
          <w:szCs w:val="21"/>
        </w:rPr>
      </w:pPr>
      <w:r>
        <w:rPr>
          <w:rFonts w:ascii="宋体" w:hAnsi="宋体" w:eastAsia="宋体" w:cs="宋体"/>
          <w:szCs w:val="21"/>
        </w:rPr>
        <w:t>(16）</w:t>
      </w:r>
      <w:r>
        <w:rPr>
          <w:rFonts w:ascii="宋体" w:hAnsi="宋体" w:eastAsia="宋体" w:cs="宋体"/>
          <w:spacing w:val="5"/>
          <w:szCs w:val="21"/>
        </w:rPr>
        <w:t>承包人发生第</w:t>
      </w:r>
      <w:r>
        <w:rPr>
          <w:rFonts w:ascii="宋体" w:hAnsi="宋体" w:eastAsia="宋体" w:cs="宋体"/>
          <w:szCs w:val="21"/>
        </w:rPr>
        <w:t>22.1.1</w:t>
      </w:r>
      <w:r>
        <w:rPr>
          <w:rFonts w:ascii="宋体" w:hAnsi="宋体" w:eastAsia="宋体" w:cs="宋体"/>
          <w:spacing w:val="11"/>
          <w:szCs w:val="21"/>
        </w:rPr>
        <w:t>项</w:t>
      </w:r>
      <w:r>
        <w:rPr>
          <w:rFonts w:ascii="宋体" w:hAnsi="宋体" w:eastAsia="宋体" w:cs="宋体"/>
          <w:szCs w:val="21"/>
        </w:rPr>
        <w:t>(17</w:t>
      </w:r>
      <w:r>
        <w:rPr>
          <w:rFonts w:ascii="宋体" w:hAnsi="宋体" w:eastAsia="宋体" w:cs="宋体"/>
          <w:spacing w:val="3"/>
          <w:szCs w:val="21"/>
        </w:rPr>
        <w:t>)目情形，每发生一次课以不超过</w:t>
      </w:r>
      <w:r>
        <w:rPr>
          <w:rFonts w:ascii="宋体" w:hAnsi="宋体" w:eastAsia="宋体" w:cs="宋体"/>
          <w:szCs w:val="21"/>
        </w:rPr>
        <w:t>10000</w:t>
      </w:r>
      <w:r>
        <w:rPr>
          <w:rFonts w:ascii="宋体" w:hAnsi="宋体" w:eastAsia="宋体" w:cs="宋体"/>
          <w:spacing w:val="3"/>
          <w:szCs w:val="21"/>
        </w:rPr>
        <w:t>元的违约金。</w:t>
      </w:r>
    </w:p>
    <w:p w14:paraId="17F95FD3">
      <w:pPr>
        <w:autoSpaceDE w:val="0"/>
        <w:autoSpaceDN w:val="0"/>
        <w:spacing w:before="87"/>
        <w:ind w:left="865"/>
        <w:jc w:val="left"/>
        <w:rPr>
          <w:rFonts w:hint="eastAsia" w:ascii="宋体" w:hAnsi="宋体" w:eastAsia="宋体" w:cs="宋体"/>
          <w:spacing w:val="3"/>
          <w:szCs w:val="21"/>
        </w:rPr>
      </w:pPr>
    </w:p>
    <w:p w14:paraId="501F9E2E">
      <w:pPr>
        <w:autoSpaceDE w:val="0"/>
        <w:autoSpaceDN w:val="0"/>
        <w:spacing w:before="87"/>
        <w:ind w:left="865"/>
        <w:jc w:val="left"/>
        <w:rPr>
          <w:rFonts w:hint="eastAsia" w:ascii="宋体" w:hAnsi="宋体" w:eastAsia="宋体" w:cs="宋体"/>
          <w:spacing w:val="3"/>
          <w:szCs w:val="21"/>
        </w:rPr>
      </w:pPr>
    </w:p>
    <w:p w14:paraId="1D5D5DD5">
      <w:pPr>
        <w:ind w:left="420"/>
        <w:jc w:val="center"/>
        <w:rPr>
          <w:rFonts w:ascii="宋体" w:hAnsi="宋体" w:eastAsia="宋体" w:cs="宋体"/>
          <w:sz w:val="28"/>
          <w:szCs w:val="28"/>
        </w:rPr>
      </w:pPr>
    </w:p>
    <w:p w14:paraId="5DC8001B">
      <w:pPr>
        <w:ind w:left="420"/>
        <w:jc w:val="center"/>
        <w:rPr>
          <w:rFonts w:ascii="宋体" w:hAnsi="宋体" w:eastAsia="宋体" w:cs="宋体"/>
          <w:sz w:val="28"/>
          <w:szCs w:val="28"/>
        </w:rPr>
      </w:pPr>
    </w:p>
    <w:p w14:paraId="43C6F220">
      <w:pPr>
        <w:ind w:left="420"/>
        <w:jc w:val="center"/>
        <w:rPr>
          <w:rFonts w:ascii="宋体" w:hAnsi="宋体" w:eastAsia="宋体" w:cs="宋体"/>
          <w:sz w:val="28"/>
          <w:szCs w:val="28"/>
        </w:rPr>
      </w:pPr>
    </w:p>
    <w:p w14:paraId="310FD047">
      <w:pPr>
        <w:ind w:left="420"/>
        <w:jc w:val="center"/>
        <w:rPr>
          <w:rFonts w:ascii="宋体" w:hAnsi="宋体" w:eastAsia="宋体" w:cs="宋体"/>
          <w:sz w:val="28"/>
          <w:szCs w:val="28"/>
        </w:rPr>
      </w:pPr>
    </w:p>
    <w:p w14:paraId="256194F8">
      <w:pPr>
        <w:widowControl/>
        <w:jc w:val="left"/>
        <w:rPr>
          <w:rFonts w:ascii="宋体" w:hAnsi="宋体" w:eastAsia="宋体" w:cs="宋体"/>
          <w:b/>
          <w:sz w:val="28"/>
          <w:szCs w:val="28"/>
        </w:rPr>
      </w:pPr>
    </w:p>
    <w:p w14:paraId="43FC1FFB">
      <w:pPr>
        <w:rPr>
          <w:rFonts w:ascii="宋体" w:hAnsi="宋体" w:eastAsia="宋体" w:cs="宋体"/>
          <w:sz w:val="24"/>
        </w:rPr>
      </w:pPr>
      <w:r>
        <w:rPr>
          <w:rFonts w:hint="eastAsia" w:ascii="宋体" w:hAnsi="宋体" w:eastAsia="宋体" w:cs="宋体"/>
          <w:sz w:val="24"/>
        </w:rPr>
        <w:br w:type="page"/>
      </w:r>
    </w:p>
    <w:p w14:paraId="06F31C2E">
      <w:pPr>
        <w:pStyle w:val="2"/>
        <w:spacing w:after="120" w:line="240" w:lineRule="auto"/>
        <w:jc w:val="center"/>
        <w:rPr>
          <w:rFonts w:ascii="宋体" w:hAnsi="宋体"/>
          <w:sz w:val="28"/>
          <w:szCs w:val="28"/>
        </w:rPr>
      </w:pPr>
      <w:bookmarkStart w:id="387" w:name="_Toc16581"/>
      <w:bookmarkStart w:id="388" w:name="_Toc173244875"/>
      <w:r>
        <w:rPr>
          <w:rFonts w:hint="eastAsia" w:ascii="宋体" w:hAnsi="宋体"/>
          <w:sz w:val="28"/>
          <w:szCs w:val="28"/>
        </w:rPr>
        <w:t>第三节</w:t>
      </w:r>
      <w:r>
        <w:rPr>
          <w:rFonts w:hint="eastAsia" w:ascii="宋体" w:hAnsi="宋体"/>
          <w:sz w:val="28"/>
          <w:szCs w:val="28"/>
        </w:rPr>
        <w:tab/>
      </w:r>
      <w:r>
        <w:rPr>
          <w:rFonts w:hint="eastAsia" w:ascii="宋体" w:hAnsi="宋体"/>
          <w:sz w:val="28"/>
          <w:szCs w:val="28"/>
        </w:rPr>
        <w:t>合同附件格式</w:t>
      </w:r>
      <w:bookmarkEnd w:id="387"/>
      <w:bookmarkEnd w:id="388"/>
    </w:p>
    <w:p w14:paraId="70B8FB76">
      <w:pPr>
        <w:rPr>
          <w:rFonts w:ascii="宋体" w:hAnsi="宋体" w:eastAsia="宋体" w:cs="宋体"/>
          <w:sz w:val="24"/>
        </w:rPr>
      </w:pPr>
    </w:p>
    <w:p w14:paraId="521DB436">
      <w:pPr>
        <w:rPr>
          <w:rFonts w:ascii="宋体" w:hAnsi="宋体" w:eastAsia="宋体" w:cs="宋体"/>
          <w:sz w:val="24"/>
        </w:rPr>
      </w:pPr>
    </w:p>
    <w:p w14:paraId="376E4199">
      <w:pPr>
        <w:rPr>
          <w:rFonts w:ascii="宋体" w:hAnsi="宋体" w:eastAsia="宋体" w:cs="宋体"/>
          <w:sz w:val="24"/>
        </w:rPr>
      </w:pPr>
    </w:p>
    <w:p w14:paraId="68FB2525">
      <w:pPr>
        <w:rPr>
          <w:rFonts w:ascii="宋体" w:hAnsi="宋体" w:eastAsia="宋体" w:cs="宋体"/>
          <w:sz w:val="24"/>
        </w:rPr>
      </w:pPr>
    </w:p>
    <w:p w14:paraId="26184807">
      <w:pPr>
        <w:rPr>
          <w:rFonts w:ascii="宋体" w:hAnsi="宋体" w:eastAsia="宋体" w:cs="宋体"/>
          <w:sz w:val="24"/>
        </w:rPr>
      </w:pPr>
    </w:p>
    <w:p w14:paraId="6CCA086A">
      <w:pPr>
        <w:rPr>
          <w:rFonts w:ascii="宋体" w:hAnsi="宋体" w:eastAsia="宋体" w:cs="宋体"/>
          <w:sz w:val="24"/>
        </w:rPr>
      </w:pPr>
    </w:p>
    <w:p w14:paraId="25944C94">
      <w:pPr>
        <w:rPr>
          <w:rFonts w:ascii="宋体" w:hAnsi="宋体" w:eastAsia="宋体" w:cs="宋体"/>
          <w:sz w:val="24"/>
        </w:rPr>
      </w:pPr>
    </w:p>
    <w:p w14:paraId="73B26028">
      <w:pPr>
        <w:rPr>
          <w:rFonts w:ascii="宋体" w:hAnsi="宋体" w:eastAsia="宋体" w:cs="宋体"/>
          <w:sz w:val="24"/>
        </w:rPr>
      </w:pPr>
      <w:r>
        <w:rPr>
          <w:rFonts w:hint="eastAsia" w:ascii="宋体" w:hAnsi="宋体" w:eastAsia="宋体" w:cs="宋体"/>
          <w:sz w:val="24"/>
        </w:rPr>
        <w:br w:type="page"/>
      </w:r>
    </w:p>
    <w:p w14:paraId="5C7CDED4">
      <w:pPr>
        <w:rPr>
          <w:rFonts w:ascii="宋体" w:hAnsi="宋体" w:eastAsia="宋体" w:cs="宋体"/>
          <w:sz w:val="28"/>
          <w:szCs w:val="28"/>
        </w:rPr>
      </w:pPr>
      <w:r>
        <w:rPr>
          <w:rFonts w:hint="eastAsia" w:ascii="宋体" w:hAnsi="宋体" w:eastAsia="宋体" w:cs="宋体"/>
          <w:sz w:val="28"/>
          <w:szCs w:val="28"/>
        </w:rPr>
        <w:t>附件一   合同协议书</w:t>
      </w:r>
    </w:p>
    <w:p w14:paraId="14A25282">
      <w:pPr>
        <w:rPr>
          <w:rFonts w:ascii="宋体" w:hAnsi="宋体" w:eastAsia="宋体" w:cs="宋体"/>
          <w:sz w:val="24"/>
        </w:rPr>
      </w:pPr>
    </w:p>
    <w:p w14:paraId="0500AA34">
      <w:pPr>
        <w:jc w:val="center"/>
        <w:rPr>
          <w:rFonts w:ascii="宋体" w:hAnsi="宋体" w:eastAsia="宋体" w:cs="宋体"/>
          <w:sz w:val="28"/>
          <w:szCs w:val="28"/>
        </w:rPr>
      </w:pPr>
      <w:r>
        <w:rPr>
          <w:rFonts w:hint="eastAsia" w:ascii="宋体" w:hAnsi="宋体" w:eastAsia="宋体" w:cs="宋体"/>
          <w:sz w:val="28"/>
          <w:szCs w:val="28"/>
        </w:rPr>
        <w:t>合同协议书</w:t>
      </w:r>
    </w:p>
    <w:p w14:paraId="12B3975D">
      <w:pPr>
        <w:rPr>
          <w:rFonts w:ascii="宋体" w:hAnsi="宋体" w:eastAsia="宋体" w:cs="宋体"/>
          <w:sz w:val="24"/>
        </w:rPr>
      </w:pPr>
    </w:p>
    <w:p w14:paraId="4E554FB6">
      <w:pPr>
        <w:spacing w:line="440" w:lineRule="exact"/>
        <w:ind w:firstLine="42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（承包人名称，以下简称“承包人”）对该项目</w:t>
      </w:r>
      <w:r>
        <w:rPr>
          <w:rFonts w:hint="eastAsia" w:ascii="宋体" w:hAnsi="宋体" w:eastAsia="宋体" w:cs="宋体"/>
          <w:szCs w:val="21"/>
          <w:u w:val="single"/>
        </w:rPr>
        <w:t xml:space="preserve">    </w:t>
      </w:r>
      <w:r>
        <w:rPr>
          <w:rFonts w:hint="eastAsia" w:ascii="宋体" w:hAnsi="宋体" w:eastAsia="宋体" w:cs="宋体"/>
          <w:szCs w:val="21"/>
        </w:rPr>
        <w:t>标段施工的投标。 发包人和承包人共同达成如下协议。</w:t>
      </w:r>
    </w:p>
    <w:p w14:paraId="5EA60FE4">
      <w:pPr>
        <w:spacing w:line="440" w:lineRule="exact"/>
        <w:ind w:firstLine="420" w:firstLineChars="200"/>
        <w:rPr>
          <w:rFonts w:ascii="宋体" w:hAnsi="宋体" w:eastAsia="宋体" w:cs="宋体"/>
          <w:szCs w:val="21"/>
        </w:rPr>
      </w:pPr>
      <w:r>
        <w:rPr>
          <w:rFonts w:hint="eastAsia" w:ascii="宋体" w:hAnsi="宋体" w:eastAsia="宋体" w:cs="宋体"/>
          <w:szCs w:val="21"/>
        </w:rPr>
        <w:t>1．第</w:t>
      </w:r>
      <w:r>
        <w:rPr>
          <w:rFonts w:hint="eastAsia" w:ascii="宋体" w:hAnsi="宋体" w:eastAsia="宋体" w:cs="宋体"/>
          <w:szCs w:val="21"/>
          <w:u w:val="single"/>
        </w:rPr>
        <w:t xml:space="preserve">    </w:t>
      </w:r>
      <w:r>
        <w:rPr>
          <w:rFonts w:hint="eastAsia" w:ascii="宋体" w:hAnsi="宋体" w:eastAsia="宋体" w:cs="宋体"/>
          <w:szCs w:val="21"/>
        </w:rPr>
        <w:t>标段由K</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至K</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，长约</w:t>
      </w:r>
      <w:r>
        <w:rPr>
          <w:rFonts w:hint="eastAsia" w:ascii="宋体" w:hAnsi="宋体" w:eastAsia="宋体" w:cs="宋体"/>
          <w:szCs w:val="21"/>
          <w:u w:val="single"/>
        </w:rPr>
        <w:t xml:space="preserve">    </w:t>
      </w:r>
      <w:r>
        <w:rPr>
          <w:rFonts w:hint="eastAsia" w:ascii="宋体" w:hAnsi="宋体" w:eastAsia="宋体" w:cs="宋体"/>
          <w:szCs w:val="21"/>
        </w:rPr>
        <w:t>km，公路等级为</w:t>
      </w:r>
      <w:r>
        <w:rPr>
          <w:rFonts w:hint="eastAsia" w:ascii="宋体" w:hAnsi="宋体" w:eastAsia="宋体" w:cs="宋体"/>
          <w:szCs w:val="21"/>
          <w:u w:val="single"/>
        </w:rPr>
        <w:t xml:space="preserve">     </w:t>
      </w:r>
      <w:r>
        <w:rPr>
          <w:rFonts w:hint="eastAsia" w:ascii="宋体" w:hAnsi="宋体" w:eastAsia="宋体" w:cs="宋体"/>
          <w:szCs w:val="21"/>
        </w:rPr>
        <w:t>，设计时速为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路面，有</w:t>
      </w:r>
      <w:r>
        <w:rPr>
          <w:rFonts w:hint="eastAsia" w:ascii="宋体" w:hAnsi="宋体" w:eastAsia="宋体" w:cs="宋体"/>
          <w:szCs w:val="21"/>
          <w:u w:val="single"/>
        </w:rPr>
        <w:t xml:space="preserve">    </w:t>
      </w:r>
      <w:r>
        <w:rPr>
          <w:rFonts w:hint="eastAsia" w:ascii="宋体" w:hAnsi="宋体" w:eastAsia="宋体" w:cs="宋体"/>
          <w:szCs w:val="21"/>
        </w:rPr>
        <w:t>立交</w:t>
      </w:r>
      <w:r>
        <w:rPr>
          <w:rFonts w:hint="eastAsia" w:ascii="宋体" w:hAnsi="宋体" w:eastAsia="宋体" w:cs="宋体"/>
          <w:szCs w:val="21"/>
          <w:u w:val="single"/>
        </w:rPr>
        <w:t xml:space="preserve">    </w:t>
      </w:r>
      <w:r>
        <w:rPr>
          <w:rFonts w:hint="eastAsia" w:ascii="宋体" w:hAnsi="宋体" w:eastAsia="宋体" w:cs="宋体"/>
          <w:szCs w:val="21"/>
        </w:rPr>
        <w:t>处；特大桥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m；大中桥</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m；隧道</w:t>
      </w:r>
      <w:r>
        <w:rPr>
          <w:rFonts w:hint="eastAsia" w:ascii="宋体" w:hAnsi="宋体" w:eastAsia="宋体" w:cs="宋体"/>
          <w:szCs w:val="21"/>
          <w:u w:val="single"/>
        </w:rPr>
        <w:t xml:space="preserve">    </w:t>
      </w:r>
      <w:r>
        <w:rPr>
          <w:rFonts w:hint="eastAsia" w:ascii="宋体" w:hAnsi="宋体" w:eastAsia="宋体" w:cs="宋体"/>
          <w:szCs w:val="21"/>
        </w:rPr>
        <w:t>座，计长</w:t>
      </w:r>
      <w:r>
        <w:rPr>
          <w:rFonts w:hint="eastAsia" w:ascii="宋体" w:hAnsi="宋体" w:eastAsia="宋体" w:cs="宋体"/>
          <w:szCs w:val="21"/>
          <w:u w:val="single"/>
        </w:rPr>
        <w:t xml:space="preserve">    </w:t>
      </w:r>
      <w:r>
        <w:rPr>
          <w:rFonts w:hint="eastAsia" w:ascii="宋体" w:hAnsi="宋体" w:eastAsia="宋体" w:cs="宋体"/>
          <w:szCs w:val="21"/>
        </w:rPr>
        <w:t>m以及其他构造物工程等。</w:t>
      </w:r>
    </w:p>
    <w:p w14:paraId="1873A060">
      <w:pPr>
        <w:spacing w:line="440" w:lineRule="exact"/>
        <w:ind w:firstLine="420" w:firstLineChars="200"/>
        <w:rPr>
          <w:rFonts w:ascii="宋体" w:hAnsi="宋体" w:eastAsia="宋体" w:cs="宋体"/>
          <w:szCs w:val="21"/>
        </w:rPr>
      </w:pPr>
      <w:r>
        <w:rPr>
          <w:rFonts w:hint="eastAsia" w:ascii="宋体" w:hAnsi="宋体" w:eastAsia="宋体" w:cs="宋体"/>
          <w:szCs w:val="21"/>
        </w:rPr>
        <w:t>2. 下列文件应视为构成合同文件的组成部分：</w:t>
      </w:r>
    </w:p>
    <w:p w14:paraId="01885278">
      <w:pPr>
        <w:spacing w:line="440" w:lineRule="exact"/>
        <w:ind w:firstLine="420" w:firstLineChars="200"/>
        <w:rPr>
          <w:rFonts w:ascii="宋体" w:hAnsi="宋体" w:eastAsia="宋体" w:cs="宋体"/>
          <w:szCs w:val="21"/>
        </w:rPr>
      </w:pPr>
      <w:r>
        <w:rPr>
          <w:rFonts w:hint="eastAsia" w:ascii="宋体" w:hAnsi="宋体" w:eastAsia="宋体" w:cs="宋体"/>
          <w:szCs w:val="21"/>
        </w:rPr>
        <w:t>(1) 合同协议书及各种合同附件(含廉政合同、安全生产合同、工程质量责任合同、工程资金监管协议及评标期间和合同谈判过程中的澄清文件和补充资料) ；</w:t>
      </w:r>
    </w:p>
    <w:p w14:paraId="67CAB640">
      <w:pPr>
        <w:spacing w:line="440" w:lineRule="exact"/>
        <w:ind w:firstLine="420" w:firstLineChars="200"/>
        <w:rPr>
          <w:rFonts w:ascii="宋体" w:hAnsi="宋体" w:eastAsia="宋体" w:cs="宋体"/>
          <w:szCs w:val="21"/>
        </w:rPr>
      </w:pPr>
      <w:r>
        <w:rPr>
          <w:rFonts w:hint="eastAsia" w:ascii="宋体" w:hAnsi="宋体" w:eastAsia="宋体" w:cs="宋体"/>
          <w:szCs w:val="21"/>
        </w:rPr>
        <w:t>(2) 中标通知书；</w:t>
      </w:r>
    </w:p>
    <w:p w14:paraId="48A158FD">
      <w:pPr>
        <w:spacing w:line="440" w:lineRule="exact"/>
        <w:ind w:firstLine="420" w:firstLineChars="200"/>
        <w:rPr>
          <w:rFonts w:ascii="宋体" w:hAnsi="宋体" w:eastAsia="宋体" w:cs="宋体"/>
          <w:szCs w:val="21"/>
        </w:rPr>
      </w:pPr>
      <w:r>
        <w:rPr>
          <w:rFonts w:hint="eastAsia" w:ascii="宋体" w:hAnsi="宋体" w:eastAsia="宋体" w:cs="宋体"/>
          <w:szCs w:val="21"/>
        </w:rPr>
        <w:t>(3) 投标函及投标函附录；</w:t>
      </w:r>
    </w:p>
    <w:p w14:paraId="53A22A72">
      <w:pPr>
        <w:spacing w:line="440" w:lineRule="exact"/>
        <w:ind w:firstLine="420" w:firstLineChars="200"/>
        <w:rPr>
          <w:rFonts w:ascii="宋体" w:hAnsi="宋体" w:eastAsia="宋体" w:cs="宋体"/>
          <w:szCs w:val="21"/>
        </w:rPr>
      </w:pPr>
      <w:r>
        <w:rPr>
          <w:rFonts w:hint="eastAsia" w:ascii="宋体" w:hAnsi="宋体" w:eastAsia="宋体" w:cs="宋体"/>
          <w:szCs w:val="21"/>
        </w:rPr>
        <w:t>(4) 项目专用合同条款（含招标文件补遗书中与此有关的部分）；</w:t>
      </w:r>
    </w:p>
    <w:p w14:paraId="466C2508">
      <w:pPr>
        <w:spacing w:line="440" w:lineRule="exact"/>
        <w:ind w:firstLine="420" w:firstLineChars="200"/>
        <w:rPr>
          <w:rFonts w:ascii="宋体" w:hAnsi="宋体" w:eastAsia="宋体" w:cs="宋体"/>
          <w:szCs w:val="21"/>
        </w:rPr>
      </w:pPr>
      <w:r>
        <w:rPr>
          <w:rFonts w:hint="eastAsia" w:ascii="宋体" w:hAnsi="宋体" w:eastAsia="宋体" w:cs="宋体"/>
          <w:szCs w:val="21"/>
        </w:rPr>
        <w:t>(5) 公路工程专用合同条款；</w:t>
      </w:r>
    </w:p>
    <w:p w14:paraId="284067BB">
      <w:pPr>
        <w:spacing w:line="440" w:lineRule="exact"/>
        <w:ind w:firstLine="420" w:firstLineChars="200"/>
        <w:rPr>
          <w:rFonts w:ascii="宋体" w:hAnsi="宋体" w:eastAsia="宋体" w:cs="宋体"/>
          <w:szCs w:val="21"/>
        </w:rPr>
      </w:pPr>
      <w:r>
        <w:rPr>
          <w:rFonts w:hint="eastAsia" w:ascii="宋体" w:hAnsi="宋体" w:eastAsia="宋体" w:cs="宋体"/>
          <w:szCs w:val="21"/>
        </w:rPr>
        <w:t>(6) 通用合同条款；</w:t>
      </w:r>
    </w:p>
    <w:p w14:paraId="7CCE2A1C">
      <w:pPr>
        <w:spacing w:line="440" w:lineRule="exact"/>
        <w:ind w:firstLine="420" w:firstLineChars="200"/>
        <w:rPr>
          <w:rFonts w:ascii="宋体" w:hAnsi="宋体" w:eastAsia="宋体" w:cs="宋体"/>
          <w:szCs w:val="21"/>
        </w:rPr>
      </w:pPr>
      <w:r>
        <w:rPr>
          <w:rFonts w:hint="eastAsia" w:ascii="宋体" w:hAnsi="宋体" w:eastAsia="宋体" w:cs="宋体"/>
          <w:szCs w:val="21"/>
        </w:rPr>
        <w:t>(7) 项目专用技术规范（含招标文件补遗书中与此有关的部分）；</w:t>
      </w:r>
    </w:p>
    <w:p w14:paraId="5FB65A88">
      <w:pPr>
        <w:spacing w:line="440" w:lineRule="exact"/>
        <w:ind w:firstLine="420" w:firstLineChars="200"/>
        <w:rPr>
          <w:rFonts w:ascii="宋体" w:hAnsi="宋体" w:eastAsia="宋体" w:cs="宋体"/>
          <w:szCs w:val="21"/>
        </w:rPr>
      </w:pPr>
      <w:r>
        <w:rPr>
          <w:rFonts w:hint="eastAsia" w:ascii="宋体" w:hAnsi="宋体" w:eastAsia="宋体" w:cs="宋体"/>
          <w:szCs w:val="21"/>
        </w:rPr>
        <w:t>(8) 通用技术规范；</w:t>
      </w:r>
    </w:p>
    <w:p w14:paraId="59A31F6E">
      <w:pPr>
        <w:spacing w:line="440" w:lineRule="exact"/>
        <w:ind w:firstLine="420" w:firstLineChars="200"/>
        <w:rPr>
          <w:rFonts w:ascii="宋体" w:hAnsi="宋体" w:eastAsia="宋体" w:cs="宋体"/>
          <w:szCs w:val="21"/>
        </w:rPr>
      </w:pPr>
      <w:r>
        <w:rPr>
          <w:rFonts w:hint="eastAsia" w:ascii="宋体" w:hAnsi="宋体" w:eastAsia="宋体" w:cs="宋体"/>
          <w:szCs w:val="21"/>
        </w:rPr>
        <w:t>(9) 图纸（含招标文件补遗书中与此有关的部分）；</w:t>
      </w:r>
    </w:p>
    <w:p w14:paraId="6233E7CF">
      <w:pPr>
        <w:spacing w:line="440" w:lineRule="exact"/>
        <w:ind w:firstLine="420" w:firstLineChars="200"/>
        <w:rPr>
          <w:rFonts w:ascii="宋体" w:hAnsi="宋体" w:eastAsia="宋体" w:cs="宋体"/>
          <w:szCs w:val="21"/>
        </w:rPr>
      </w:pPr>
      <w:r>
        <w:rPr>
          <w:rFonts w:hint="eastAsia" w:ascii="宋体" w:hAnsi="宋体" w:eastAsia="宋体" w:cs="宋体"/>
          <w:szCs w:val="21"/>
        </w:rPr>
        <w:t>(10) 已标价工程量清单（预算审核书）；</w:t>
      </w:r>
    </w:p>
    <w:p w14:paraId="546B33F0">
      <w:pPr>
        <w:spacing w:line="440" w:lineRule="exact"/>
        <w:ind w:firstLine="420" w:firstLineChars="200"/>
        <w:rPr>
          <w:rFonts w:ascii="宋体" w:hAnsi="宋体" w:eastAsia="宋体" w:cs="宋体"/>
          <w:szCs w:val="21"/>
        </w:rPr>
      </w:pPr>
      <w:r>
        <w:rPr>
          <w:rFonts w:hint="eastAsia" w:ascii="宋体" w:hAnsi="宋体" w:eastAsia="宋体" w:cs="宋体"/>
          <w:szCs w:val="21"/>
        </w:rPr>
        <w:t>(11) 承包人有关人员、设备投入的承诺及投标文件中的施工组织设计；</w:t>
      </w:r>
    </w:p>
    <w:p w14:paraId="3F7C5417">
      <w:pPr>
        <w:spacing w:line="440" w:lineRule="exact"/>
        <w:ind w:firstLine="420" w:firstLineChars="200"/>
        <w:rPr>
          <w:rFonts w:ascii="宋体" w:hAnsi="宋体" w:eastAsia="宋体" w:cs="宋体"/>
          <w:szCs w:val="21"/>
        </w:rPr>
      </w:pPr>
      <w:r>
        <w:rPr>
          <w:rFonts w:hint="eastAsia" w:ascii="宋体" w:hAnsi="宋体" w:eastAsia="宋体" w:cs="宋体"/>
          <w:szCs w:val="21"/>
        </w:rPr>
        <w:t>(12) 其他合同文件。</w:t>
      </w:r>
    </w:p>
    <w:p w14:paraId="5691C148">
      <w:pPr>
        <w:spacing w:line="440" w:lineRule="exact"/>
        <w:ind w:firstLine="420" w:firstLineChars="200"/>
        <w:rPr>
          <w:rFonts w:ascii="宋体" w:hAnsi="宋体" w:eastAsia="宋体" w:cs="宋体"/>
          <w:szCs w:val="21"/>
        </w:rPr>
      </w:pPr>
      <w:r>
        <w:rPr>
          <w:rFonts w:hint="eastAsia" w:ascii="宋体" w:hAnsi="宋体" w:eastAsia="宋体" w:cs="宋体"/>
          <w:szCs w:val="21"/>
        </w:rPr>
        <w:t>3. 上述文件互相补充和解释，如有不明确或不一致之处，以合同约定次序在先者为准。</w:t>
      </w:r>
    </w:p>
    <w:p w14:paraId="49FBDF3F">
      <w:pPr>
        <w:spacing w:line="440" w:lineRule="exact"/>
        <w:ind w:firstLine="420" w:firstLineChars="200"/>
        <w:rPr>
          <w:rFonts w:ascii="宋体" w:hAnsi="宋体" w:eastAsia="宋体" w:cs="宋体"/>
          <w:szCs w:val="21"/>
        </w:rPr>
      </w:pPr>
      <w:r>
        <w:rPr>
          <w:rFonts w:hint="eastAsia" w:ascii="宋体" w:hAnsi="宋体" w:eastAsia="宋体" w:cs="宋体"/>
          <w:szCs w:val="21"/>
        </w:rPr>
        <w:t>4. 根据招标人提供预算审核书和招标文件规定计算规则计算的签约合同价：人民币（大写）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）。总价下浮数值为：</w:t>
      </w:r>
      <w:r>
        <w:rPr>
          <w:rFonts w:hint="eastAsia" w:ascii="宋体" w:hAnsi="宋体" w:eastAsia="宋体" w:cs="宋体"/>
          <w:szCs w:val="21"/>
          <w:u w:val="single"/>
        </w:rPr>
        <w:t xml:space="preserve">        </w:t>
      </w:r>
      <w:r>
        <w:rPr>
          <w:rFonts w:hint="eastAsia" w:ascii="宋体" w:hAnsi="宋体" w:eastAsia="宋体" w:cs="宋体"/>
          <w:szCs w:val="21"/>
        </w:rPr>
        <w:t>。（作为工程变更、结算下浮依据）</w:t>
      </w:r>
    </w:p>
    <w:p w14:paraId="310E0ADF">
      <w:pPr>
        <w:spacing w:line="440" w:lineRule="exact"/>
        <w:ind w:firstLine="420" w:firstLineChars="200"/>
        <w:rPr>
          <w:rFonts w:ascii="宋体" w:hAnsi="宋体" w:eastAsia="宋体" w:cs="宋体"/>
          <w:szCs w:val="21"/>
        </w:rPr>
      </w:pPr>
      <w:r>
        <w:rPr>
          <w:rFonts w:hint="eastAsia" w:ascii="宋体" w:hAnsi="宋体" w:eastAsia="宋体" w:cs="宋体"/>
          <w:szCs w:val="21"/>
        </w:rPr>
        <w:t>5. 承包人项目经理：</w:t>
      </w:r>
      <w:r>
        <w:rPr>
          <w:rFonts w:hint="eastAsia" w:ascii="宋体" w:hAnsi="宋体" w:eastAsia="宋体" w:cs="宋体"/>
          <w:szCs w:val="21"/>
          <w:u w:val="single"/>
        </w:rPr>
        <w:t xml:space="preserve">        </w:t>
      </w:r>
      <w:r>
        <w:rPr>
          <w:rFonts w:hint="eastAsia" w:ascii="宋体" w:hAnsi="宋体" w:eastAsia="宋体" w:cs="宋体"/>
          <w:szCs w:val="21"/>
        </w:rPr>
        <w:t>。承包人项目技术负责人：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color w:val="000000"/>
        </w:rPr>
        <w:t>安全负责人</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w:t>
      </w:r>
    </w:p>
    <w:p w14:paraId="15880C54">
      <w:pPr>
        <w:spacing w:line="440" w:lineRule="exact"/>
        <w:ind w:firstLine="420" w:firstLineChars="200"/>
        <w:rPr>
          <w:rFonts w:ascii="宋体" w:hAnsi="宋体" w:eastAsia="宋体" w:cs="宋体"/>
          <w:szCs w:val="21"/>
        </w:rPr>
      </w:pPr>
      <w:r>
        <w:rPr>
          <w:rFonts w:hint="eastAsia" w:ascii="宋体" w:hAnsi="宋体" w:eastAsia="宋体" w:cs="宋体"/>
          <w:szCs w:val="21"/>
        </w:rPr>
        <w:t>6. 工程质量符合</w:t>
      </w:r>
      <w:r>
        <w:rPr>
          <w:rFonts w:hint="eastAsia" w:ascii="宋体" w:hAnsi="宋体" w:eastAsia="宋体" w:cs="宋体"/>
          <w:szCs w:val="21"/>
          <w:u w:val="single"/>
        </w:rPr>
        <w:t xml:space="preserve">        </w:t>
      </w:r>
      <w:r>
        <w:rPr>
          <w:rFonts w:hint="eastAsia" w:ascii="宋体" w:hAnsi="宋体" w:eastAsia="宋体" w:cs="宋体"/>
          <w:szCs w:val="21"/>
        </w:rPr>
        <w:t>标准，工程安全目标</w:t>
      </w:r>
      <w:r>
        <w:rPr>
          <w:rFonts w:hint="eastAsia" w:ascii="宋体" w:hAnsi="宋体" w:eastAsia="宋体" w:cs="宋体"/>
          <w:szCs w:val="21"/>
          <w:u w:val="single"/>
        </w:rPr>
        <w:t xml:space="preserve">          </w:t>
      </w:r>
      <w:r>
        <w:rPr>
          <w:rFonts w:hint="eastAsia" w:ascii="宋体" w:hAnsi="宋体" w:eastAsia="宋体" w:cs="宋体"/>
          <w:szCs w:val="21"/>
        </w:rPr>
        <w:t>。</w:t>
      </w:r>
    </w:p>
    <w:p w14:paraId="39FED69C">
      <w:pPr>
        <w:spacing w:line="440" w:lineRule="exact"/>
        <w:ind w:firstLine="420" w:firstLineChars="200"/>
        <w:rPr>
          <w:rFonts w:ascii="宋体" w:hAnsi="宋体" w:eastAsia="宋体" w:cs="宋体"/>
          <w:szCs w:val="21"/>
        </w:rPr>
      </w:pPr>
      <w:r>
        <w:rPr>
          <w:rFonts w:hint="eastAsia" w:ascii="宋体" w:hAnsi="宋体" w:eastAsia="宋体" w:cs="宋体"/>
          <w:szCs w:val="21"/>
        </w:rPr>
        <w:t>7. 承包人承诺按合同约定承担工程的实施、完成及缺陷修复。</w:t>
      </w:r>
    </w:p>
    <w:p w14:paraId="6ABC06C7">
      <w:pPr>
        <w:spacing w:line="440" w:lineRule="exact"/>
        <w:ind w:firstLine="420" w:firstLineChars="200"/>
        <w:rPr>
          <w:rFonts w:ascii="宋体" w:hAnsi="宋体" w:eastAsia="宋体" w:cs="宋体"/>
          <w:szCs w:val="21"/>
        </w:rPr>
      </w:pPr>
      <w:r>
        <w:rPr>
          <w:rFonts w:hint="eastAsia" w:ascii="宋体" w:hAnsi="宋体" w:eastAsia="宋体" w:cs="宋体"/>
          <w:szCs w:val="21"/>
        </w:rPr>
        <w:t>8. 发包人承诺按合同约定的条件、时间和方式向承包人支付合同价款。</w:t>
      </w:r>
    </w:p>
    <w:p w14:paraId="0AA3B4E3">
      <w:pPr>
        <w:spacing w:line="440" w:lineRule="exact"/>
        <w:ind w:firstLine="420" w:firstLineChars="200"/>
        <w:rPr>
          <w:rFonts w:ascii="宋体" w:hAnsi="宋体" w:eastAsia="宋体" w:cs="宋体"/>
          <w:szCs w:val="21"/>
        </w:rPr>
      </w:pPr>
      <w:r>
        <w:rPr>
          <w:rFonts w:hint="eastAsia" w:ascii="宋体" w:hAnsi="宋体" w:eastAsia="宋体" w:cs="宋体"/>
          <w:szCs w:val="21"/>
        </w:rPr>
        <w:t>9. 承包人应按照监理人指示开工，工期为</w:t>
      </w:r>
      <w:r>
        <w:rPr>
          <w:rFonts w:hint="eastAsia" w:ascii="宋体" w:hAnsi="宋体" w:eastAsia="宋体" w:cs="宋体"/>
          <w:szCs w:val="21"/>
          <w:u w:val="single"/>
        </w:rPr>
        <w:t xml:space="preserve">      </w:t>
      </w:r>
      <w:r>
        <w:rPr>
          <w:rFonts w:hint="eastAsia" w:ascii="宋体" w:hAnsi="宋体" w:eastAsia="宋体" w:cs="宋体"/>
          <w:szCs w:val="21"/>
        </w:rPr>
        <w:t>日历天。</w:t>
      </w:r>
    </w:p>
    <w:p w14:paraId="7A07A2A5">
      <w:pPr>
        <w:spacing w:line="440" w:lineRule="exact"/>
        <w:ind w:firstLine="420" w:firstLineChars="200"/>
        <w:rPr>
          <w:rFonts w:ascii="宋体" w:hAnsi="宋体" w:eastAsia="宋体" w:cs="宋体"/>
          <w:szCs w:val="21"/>
        </w:rPr>
      </w:pPr>
      <w:r>
        <w:rPr>
          <w:rFonts w:hint="eastAsia" w:ascii="宋体" w:hAnsi="宋体" w:eastAsia="宋体" w:cs="宋体"/>
          <w:szCs w:val="21"/>
        </w:rPr>
        <w:t>10. 本协议书在承包人提供履约担保后，由双方法定代表人或其委托代理人签署并加盖单位章后生效。全部工程完工后经竣交工验收合格、缺陷责任期满签发缺陷责任终止证书后生效。</w:t>
      </w:r>
    </w:p>
    <w:p w14:paraId="509DF5E3">
      <w:pPr>
        <w:spacing w:line="440" w:lineRule="exact"/>
        <w:ind w:firstLine="420" w:firstLineChars="200"/>
        <w:rPr>
          <w:rFonts w:ascii="宋体" w:hAnsi="宋体" w:eastAsia="宋体" w:cs="宋体"/>
          <w:szCs w:val="21"/>
        </w:rPr>
      </w:pPr>
      <w:r>
        <w:rPr>
          <w:rFonts w:hint="eastAsia" w:ascii="宋体" w:hAnsi="宋体" w:eastAsia="宋体" w:cs="宋体"/>
          <w:szCs w:val="21"/>
        </w:rPr>
        <w:t>11．本协议书正本二份、副本</w:t>
      </w:r>
      <w:r>
        <w:rPr>
          <w:rFonts w:hint="eastAsia" w:ascii="宋体" w:hAnsi="宋体" w:eastAsia="宋体" w:cs="宋体"/>
          <w:szCs w:val="21"/>
          <w:u w:val="single"/>
        </w:rPr>
        <w:t xml:space="preserve">   </w:t>
      </w:r>
      <w:r>
        <w:rPr>
          <w:rFonts w:hint="eastAsia" w:ascii="宋体" w:hAnsi="宋体" w:eastAsia="宋体" w:cs="宋体"/>
          <w:szCs w:val="21"/>
        </w:rPr>
        <w:t>份，合同双方各执正本一份，副本</w:t>
      </w:r>
      <w:r>
        <w:rPr>
          <w:rFonts w:hint="eastAsia" w:ascii="宋体" w:hAnsi="宋体" w:eastAsia="宋体" w:cs="宋体"/>
          <w:szCs w:val="21"/>
          <w:u w:val="single"/>
        </w:rPr>
        <w:t xml:space="preserve">   </w:t>
      </w:r>
      <w:r>
        <w:rPr>
          <w:rFonts w:hint="eastAsia" w:ascii="宋体" w:hAnsi="宋体" w:eastAsia="宋体" w:cs="宋体"/>
          <w:szCs w:val="21"/>
        </w:rPr>
        <w:t>份，当正本与副本的内容不一致时，以正本为准。</w:t>
      </w:r>
    </w:p>
    <w:p w14:paraId="08FD8CA3">
      <w:pPr>
        <w:spacing w:line="440" w:lineRule="exact"/>
        <w:ind w:firstLine="420" w:firstLineChars="200"/>
        <w:rPr>
          <w:rFonts w:ascii="宋体" w:hAnsi="宋体" w:eastAsia="宋体" w:cs="宋体"/>
          <w:szCs w:val="21"/>
        </w:rPr>
      </w:pPr>
      <w:r>
        <w:rPr>
          <w:rFonts w:hint="eastAsia" w:ascii="宋体" w:hAnsi="宋体" w:eastAsia="宋体" w:cs="宋体"/>
          <w:szCs w:val="21"/>
        </w:rPr>
        <w:t>12.合同未尽事宜，双方另行签订补充协议。补充协议是合同的组成部分。</w:t>
      </w:r>
    </w:p>
    <w:p w14:paraId="5452F0B9">
      <w:pPr>
        <w:spacing w:line="400" w:lineRule="exact"/>
        <w:rPr>
          <w:rFonts w:ascii="宋体" w:hAnsi="宋体" w:eastAsia="宋体" w:cs="宋体"/>
          <w:szCs w:val="21"/>
        </w:rPr>
      </w:pPr>
    </w:p>
    <w:p w14:paraId="5AC2F0AD">
      <w:pPr>
        <w:spacing w:line="400" w:lineRule="exact"/>
        <w:rPr>
          <w:rFonts w:ascii="宋体" w:hAnsi="宋体" w:eastAsia="宋体" w:cs="宋体"/>
          <w:szCs w:val="21"/>
        </w:rPr>
      </w:pPr>
    </w:p>
    <w:p w14:paraId="44B2501C">
      <w:pPr>
        <w:spacing w:line="400" w:lineRule="exact"/>
        <w:rPr>
          <w:rFonts w:ascii="宋体" w:hAnsi="宋体" w:eastAsia="宋体" w:cs="宋体"/>
          <w:szCs w:val="21"/>
        </w:rPr>
      </w:pPr>
    </w:p>
    <w:p w14:paraId="1A299502">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14:paraId="0B1D7C52">
      <w:pPr>
        <w:spacing w:line="400" w:lineRule="exact"/>
        <w:rPr>
          <w:rFonts w:ascii="宋体" w:hAnsi="宋体" w:eastAsia="宋体" w:cs="宋体"/>
          <w:szCs w:val="21"/>
        </w:rPr>
      </w:pPr>
    </w:p>
    <w:p w14:paraId="783777C6">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4F58309F">
      <w:pPr>
        <w:spacing w:line="400" w:lineRule="exact"/>
        <w:ind w:firstLine="1470" w:firstLineChars="700"/>
        <w:rPr>
          <w:rFonts w:ascii="宋体" w:hAnsi="宋体" w:eastAsia="宋体" w:cs="宋体"/>
          <w:szCs w:val="21"/>
        </w:rPr>
      </w:pPr>
      <w:r>
        <w:rPr>
          <w:rFonts w:hint="eastAsia" w:ascii="宋体" w:hAnsi="宋体" w:eastAsia="宋体" w:cs="宋体"/>
          <w:szCs w:val="21"/>
        </w:rPr>
        <w:t xml:space="preserve"> </w:t>
      </w:r>
    </w:p>
    <w:p w14:paraId="2A167AC7">
      <w:pPr>
        <w:spacing w:line="400" w:lineRule="exact"/>
        <w:ind w:firstLine="1470" w:firstLineChars="70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C7F78D9">
      <w:pPr>
        <w:spacing w:line="400" w:lineRule="exact"/>
        <w:rPr>
          <w:rFonts w:ascii="宋体" w:hAnsi="宋体" w:eastAsia="宋体" w:cs="宋体"/>
          <w:szCs w:val="21"/>
        </w:rPr>
      </w:pPr>
    </w:p>
    <w:p w14:paraId="6A5FAFEC">
      <w:pPr>
        <w:spacing w:line="400" w:lineRule="exact"/>
        <w:rPr>
          <w:rFonts w:ascii="宋体" w:hAnsi="宋体" w:eastAsia="宋体" w:cs="宋体"/>
          <w:szCs w:val="21"/>
        </w:rPr>
      </w:pPr>
    </w:p>
    <w:p w14:paraId="0549F78C">
      <w:pPr>
        <w:spacing w:line="400" w:lineRule="exact"/>
        <w:rPr>
          <w:rFonts w:ascii="宋体" w:hAnsi="宋体" w:eastAsia="宋体" w:cs="宋体"/>
          <w:szCs w:val="21"/>
        </w:rPr>
      </w:pPr>
    </w:p>
    <w:p w14:paraId="179332CA">
      <w:pPr>
        <w:spacing w:line="400" w:lineRule="exact"/>
        <w:rPr>
          <w:rFonts w:ascii="宋体" w:hAnsi="宋体" w:eastAsia="宋体" w:cs="宋体"/>
          <w:szCs w:val="21"/>
        </w:rPr>
      </w:pPr>
    </w:p>
    <w:p w14:paraId="6B41D11F">
      <w:pPr>
        <w:spacing w:line="400" w:lineRule="exact"/>
        <w:rPr>
          <w:rFonts w:ascii="宋体" w:hAnsi="宋体" w:eastAsia="宋体" w:cs="宋体"/>
          <w:szCs w:val="21"/>
        </w:rPr>
      </w:pPr>
    </w:p>
    <w:p w14:paraId="48634C43">
      <w:pPr>
        <w:spacing w:line="400" w:lineRule="exact"/>
        <w:rPr>
          <w:rFonts w:ascii="宋体" w:hAnsi="宋体" w:eastAsia="宋体" w:cs="宋体"/>
          <w:szCs w:val="21"/>
        </w:rPr>
      </w:pPr>
    </w:p>
    <w:p w14:paraId="49639DAA">
      <w:pPr>
        <w:rPr>
          <w:rFonts w:ascii="宋体" w:hAnsi="宋体" w:eastAsia="宋体" w:cs="宋体"/>
          <w:sz w:val="24"/>
        </w:rPr>
      </w:pPr>
      <w:r>
        <w:rPr>
          <w:rFonts w:hint="eastAsia" w:ascii="宋体" w:hAnsi="宋体" w:eastAsia="宋体" w:cs="宋体"/>
          <w:sz w:val="24"/>
        </w:rPr>
        <w:br w:type="page"/>
      </w:r>
    </w:p>
    <w:p w14:paraId="654C34A1">
      <w:pPr>
        <w:rPr>
          <w:rFonts w:ascii="宋体" w:hAnsi="宋体" w:eastAsia="宋体" w:cs="宋体"/>
          <w:sz w:val="28"/>
          <w:szCs w:val="28"/>
        </w:rPr>
      </w:pPr>
      <w:r>
        <w:rPr>
          <w:rFonts w:hint="eastAsia" w:ascii="宋体" w:hAnsi="宋体" w:eastAsia="宋体" w:cs="宋体"/>
          <w:sz w:val="28"/>
          <w:szCs w:val="28"/>
        </w:rPr>
        <w:t>附件二   廉政合同</w:t>
      </w:r>
    </w:p>
    <w:p w14:paraId="42D8C105">
      <w:pPr>
        <w:spacing w:before="120" w:after="120"/>
        <w:jc w:val="center"/>
        <w:rPr>
          <w:rFonts w:ascii="宋体" w:hAnsi="宋体" w:eastAsia="宋体" w:cs="宋体"/>
          <w:sz w:val="28"/>
          <w:szCs w:val="28"/>
        </w:rPr>
      </w:pPr>
      <w:r>
        <w:rPr>
          <w:rFonts w:hint="eastAsia" w:ascii="宋体" w:hAnsi="宋体" w:eastAsia="宋体" w:cs="宋体"/>
          <w:sz w:val="28"/>
          <w:szCs w:val="28"/>
        </w:rPr>
        <w:t>廉政合同</w:t>
      </w:r>
    </w:p>
    <w:p w14:paraId="133D3F6C">
      <w:pPr>
        <w:spacing w:line="400" w:lineRule="exact"/>
        <w:ind w:firstLine="420" w:firstLineChars="200"/>
        <w:rPr>
          <w:rFonts w:ascii="宋体" w:hAnsi="宋体" w:eastAsia="宋体" w:cs="宋体"/>
          <w:szCs w:val="21"/>
        </w:rPr>
      </w:pPr>
      <w:r>
        <w:rPr>
          <w:rFonts w:hint="eastAsia" w:ascii="宋体" w:hAnsi="宋体" w:eastAsia="宋体" w:cs="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Cs w:val="21"/>
          <w:u w:val="single"/>
        </w:rPr>
        <w:t xml:space="preserve">     </w:t>
      </w:r>
      <w:r>
        <w:rPr>
          <w:rFonts w:hint="eastAsia" w:ascii="宋体" w:hAnsi="宋体" w:eastAsia="宋体" w:cs="宋体"/>
          <w:szCs w:val="21"/>
        </w:rPr>
        <w:t>（项目名称）项目法人</w:t>
      </w:r>
      <w:r>
        <w:rPr>
          <w:rFonts w:hint="eastAsia" w:ascii="宋体" w:hAnsi="宋体" w:eastAsia="宋体" w:cs="宋体"/>
          <w:szCs w:val="21"/>
          <w:u w:val="single"/>
        </w:rPr>
        <w:t xml:space="preserve">          </w:t>
      </w:r>
      <w:r>
        <w:rPr>
          <w:rFonts w:hint="eastAsia" w:ascii="宋体" w:hAnsi="宋体" w:eastAsia="宋体" w:cs="宋体"/>
          <w:szCs w:val="21"/>
        </w:rPr>
        <w:t xml:space="preserve"> （项目法人名称，以下简称“发包人”）与该项目</w:t>
      </w:r>
      <w:r>
        <w:rPr>
          <w:rFonts w:hint="eastAsia" w:ascii="宋体" w:hAnsi="宋体" w:eastAsia="宋体" w:cs="宋体"/>
          <w:szCs w:val="21"/>
          <w:u w:val="single"/>
        </w:rPr>
        <w:t xml:space="preserve">    </w:t>
      </w:r>
      <w:r>
        <w:rPr>
          <w:rFonts w:hint="eastAsia" w:ascii="宋体" w:hAnsi="宋体" w:eastAsia="宋体" w:cs="宋体"/>
          <w:szCs w:val="21"/>
        </w:rPr>
        <w:t>标段的施工单位</w:t>
      </w:r>
      <w:r>
        <w:rPr>
          <w:rFonts w:hint="eastAsia" w:ascii="宋体" w:hAnsi="宋体" w:eastAsia="宋体" w:cs="宋体"/>
          <w:szCs w:val="21"/>
          <w:u w:val="single"/>
        </w:rPr>
        <w:t xml:space="preserve">      </w:t>
      </w:r>
      <w:r>
        <w:rPr>
          <w:rFonts w:hint="eastAsia" w:ascii="宋体" w:hAnsi="宋体" w:eastAsia="宋体" w:cs="宋体"/>
          <w:szCs w:val="21"/>
        </w:rPr>
        <w:t>（施工单位名称，以下简称“承包人”），特订立如下合同。</w:t>
      </w:r>
    </w:p>
    <w:p w14:paraId="48CA5CAA">
      <w:pPr>
        <w:spacing w:line="400" w:lineRule="exact"/>
        <w:ind w:firstLine="420" w:firstLineChars="200"/>
        <w:rPr>
          <w:rFonts w:ascii="宋体" w:hAnsi="宋体" w:eastAsia="宋体" w:cs="宋体"/>
          <w:szCs w:val="21"/>
        </w:rPr>
      </w:pPr>
      <w:r>
        <w:rPr>
          <w:rFonts w:hint="eastAsia" w:ascii="宋体" w:hAnsi="宋体" w:eastAsia="宋体" w:cs="宋体"/>
          <w:szCs w:val="21"/>
        </w:rPr>
        <w:t>1．发包人和承包人双方的权利和义务</w:t>
      </w:r>
    </w:p>
    <w:p w14:paraId="05D15078">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（1）严格遵守党的政策规定和国家有关法律法规及交通运输部和浙江省交通运输厅的有关规定。</w:t>
      </w:r>
    </w:p>
    <w:p w14:paraId="3275E1A2">
      <w:pPr>
        <w:spacing w:line="400" w:lineRule="exact"/>
        <w:ind w:firstLine="420" w:firstLineChars="200"/>
        <w:rPr>
          <w:rFonts w:ascii="宋体" w:hAnsi="宋体" w:eastAsia="宋体" w:cs="宋体"/>
          <w:szCs w:val="21"/>
        </w:rPr>
      </w:pPr>
      <w:r>
        <w:rPr>
          <w:rFonts w:hint="eastAsia" w:ascii="宋体" w:hAnsi="宋体" w:eastAsia="宋体" w:cs="宋体"/>
          <w:szCs w:val="21"/>
        </w:rPr>
        <w:t>（2）严格执行</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标段施工合同文件，自觉按合同办事。</w:t>
      </w:r>
    </w:p>
    <w:p w14:paraId="12B95EFB">
      <w:pPr>
        <w:spacing w:line="400" w:lineRule="exact"/>
        <w:ind w:firstLine="420" w:firstLineChars="200"/>
        <w:rPr>
          <w:rFonts w:ascii="宋体" w:hAnsi="宋体" w:eastAsia="宋体" w:cs="宋体"/>
          <w:szCs w:val="21"/>
        </w:rPr>
      </w:pPr>
      <w:r>
        <w:rPr>
          <w:rFonts w:hint="eastAsia" w:ascii="宋体" w:hAnsi="宋体" w:eastAsia="宋体" w:cs="宋体"/>
          <w:szCs w:val="21"/>
        </w:rPr>
        <w:t>（3）双方的业务活动坚持公开、公正、诚信、透明的原则（法律认定的商业秘密和合同文件另有规定除外），不得损害国家和集体利益，不得违反工程建设管理规章制度。</w:t>
      </w:r>
    </w:p>
    <w:p w14:paraId="01A29E6A">
      <w:pPr>
        <w:spacing w:line="400" w:lineRule="exact"/>
        <w:ind w:firstLine="420" w:firstLineChars="200"/>
        <w:rPr>
          <w:rFonts w:ascii="宋体" w:hAnsi="宋体" w:eastAsia="宋体" w:cs="宋体"/>
          <w:szCs w:val="21"/>
        </w:rPr>
      </w:pPr>
      <w:r>
        <w:rPr>
          <w:rFonts w:hint="eastAsia" w:ascii="宋体" w:hAnsi="宋体" w:eastAsia="宋体" w:cs="宋体"/>
          <w:szCs w:val="21"/>
        </w:rPr>
        <w:t>（4）建立健全廉政制度，开展廉政教育，设立廉政告示牌，公布举报电话，监督并认真查处违法违纪行为。</w:t>
      </w:r>
    </w:p>
    <w:p w14:paraId="325EFADD">
      <w:pPr>
        <w:spacing w:line="400" w:lineRule="exact"/>
        <w:ind w:firstLine="420" w:firstLineChars="200"/>
        <w:rPr>
          <w:rFonts w:ascii="宋体" w:hAnsi="宋体" w:eastAsia="宋体" w:cs="宋体"/>
          <w:szCs w:val="21"/>
        </w:rPr>
      </w:pPr>
      <w:r>
        <w:rPr>
          <w:rFonts w:hint="eastAsia" w:ascii="宋体" w:hAnsi="宋体" w:eastAsia="宋体" w:cs="宋体"/>
          <w:szCs w:val="21"/>
        </w:rPr>
        <w:t>（5）发现对方在业务活动中有违反廉政规定的行为，有及时提醒对方纠正的权利和义务。</w:t>
      </w:r>
    </w:p>
    <w:p w14:paraId="273D89CA">
      <w:pPr>
        <w:spacing w:line="400" w:lineRule="exact"/>
        <w:ind w:firstLine="420" w:firstLineChars="200"/>
        <w:rPr>
          <w:rFonts w:ascii="宋体" w:hAnsi="宋体" w:eastAsia="宋体" w:cs="宋体"/>
          <w:szCs w:val="21"/>
        </w:rPr>
      </w:pPr>
      <w:r>
        <w:rPr>
          <w:rFonts w:hint="eastAsia" w:ascii="宋体" w:hAnsi="宋体" w:eastAsia="宋体" w:cs="宋体"/>
          <w:szCs w:val="21"/>
        </w:rPr>
        <w:t>（6）发现对方严重违反本合同义务条款的行为，有向其上级有关部门举报、建议给予处理并要求告知处理结果的权利。</w:t>
      </w:r>
    </w:p>
    <w:p w14:paraId="505A7C9A">
      <w:pPr>
        <w:spacing w:line="400" w:lineRule="exact"/>
        <w:ind w:firstLine="420" w:firstLineChars="200"/>
        <w:rPr>
          <w:rFonts w:ascii="宋体" w:hAnsi="宋体" w:eastAsia="宋体" w:cs="宋体"/>
          <w:szCs w:val="21"/>
        </w:rPr>
      </w:pPr>
      <w:r>
        <w:rPr>
          <w:rFonts w:hint="eastAsia" w:ascii="宋体" w:hAnsi="宋体" w:eastAsia="宋体" w:cs="宋体"/>
          <w:szCs w:val="21"/>
        </w:rPr>
        <w:t>2．发包人的义务</w:t>
      </w:r>
    </w:p>
    <w:p w14:paraId="5594D975">
      <w:pPr>
        <w:spacing w:line="400" w:lineRule="exact"/>
        <w:ind w:firstLine="420" w:firstLineChars="200"/>
        <w:rPr>
          <w:rFonts w:ascii="宋体" w:hAnsi="宋体" w:eastAsia="宋体" w:cs="宋体"/>
          <w:szCs w:val="21"/>
        </w:rPr>
      </w:pPr>
      <w:r>
        <w:rPr>
          <w:rFonts w:hint="eastAsia" w:ascii="宋体" w:hAnsi="宋体" w:eastAsia="宋体" w:cs="宋体"/>
          <w:szCs w:val="21"/>
        </w:rPr>
        <w:t>（1）发包人及其工作人员不得索要或接受承包人的礼金、有价证券和贵重物品，不得让承包人报销任何应由发包人或发包人工作人员个人支付的费用等。</w:t>
      </w:r>
    </w:p>
    <w:p w14:paraId="6FAB72A5">
      <w:pPr>
        <w:spacing w:line="400" w:lineRule="exact"/>
        <w:ind w:firstLine="420" w:firstLineChars="200"/>
        <w:rPr>
          <w:rFonts w:ascii="宋体" w:hAnsi="宋体" w:eastAsia="宋体" w:cs="宋体"/>
          <w:szCs w:val="21"/>
        </w:rPr>
      </w:pPr>
      <w:r>
        <w:rPr>
          <w:rFonts w:hint="eastAsia" w:ascii="宋体" w:hAnsi="宋体" w:eastAsia="宋体" w:cs="宋体"/>
          <w:szCs w:val="21"/>
        </w:rPr>
        <w:t>（2）发包人工作人员不得参加承包人安排的超标准宴请和娱乐活动；不得接受承包人提供的通讯工具、交通工具和高档办公用品等。</w:t>
      </w:r>
    </w:p>
    <w:p w14:paraId="08639E76">
      <w:pPr>
        <w:spacing w:line="400" w:lineRule="exact"/>
        <w:ind w:firstLine="420" w:firstLineChars="200"/>
        <w:rPr>
          <w:rFonts w:ascii="宋体" w:hAnsi="宋体" w:eastAsia="宋体" w:cs="宋体"/>
          <w:szCs w:val="21"/>
        </w:rPr>
      </w:pPr>
      <w:r>
        <w:rPr>
          <w:rFonts w:hint="eastAsia" w:ascii="宋体" w:hAnsi="宋体" w:eastAsia="宋体" w:cs="宋体"/>
          <w:szCs w:val="21"/>
        </w:rPr>
        <w:t>（3）发包人及其工作人员不利要求或者接受承包人为其住房装修、婚丧嫁娶活动、配偶子女的工作安排以及出国出境、旅游等提供方便等。</w:t>
      </w:r>
    </w:p>
    <w:p w14:paraId="2435432F">
      <w:pPr>
        <w:spacing w:line="400" w:lineRule="exact"/>
        <w:ind w:firstLine="420" w:firstLineChars="200"/>
        <w:rPr>
          <w:rFonts w:ascii="宋体" w:hAnsi="宋体" w:eastAsia="宋体" w:cs="宋体"/>
          <w:szCs w:val="21"/>
        </w:rPr>
      </w:pPr>
      <w:r>
        <w:rPr>
          <w:rFonts w:hint="eastAsia" w:ascii="宋体" w:hAnsi="宋体" w:eastAsia="宋体" w:cs="宋体"/>
          <w:szCs w:val="21"/>
        </w:rPr>
        <w:t>（4）发包人工作人员及其配偶、子女不得从事与发包人工作有关的材料设备供应、工程分包、劳务等经济活动等。</w:t>
      </w:r>
    </w:p>
    <w:p w14:paraId="6BD5E734">
      <w:pPr>
        <w:spacing w:line="400" w:lineRule="exact"/>
        <w:ind w:firstLine="420" w:firstLineChars="200"/>
        <w:rPr>
          <w:rFonts w:ascii="宋体" w:hAnsi="宋体" w:eastAsia="宋体" w:cs="宋体"/>
          <w:szCs w:val="21"/>
        </w:rPr>
      </w:pPr>
      <w:r>
        <w:rPr>
          <w:rFonts w:hint="eastAsia" w:ascii="宋体" w:hAnsi="宋体" w:eastAsia="宋体" w:cs="宋体"/>
          <w:szCs w:val="21"/>
        </w:rPr>
        <w:t>（5）发包人及期工作人员不得以任何理由向承包人推荐分包单位或推销材料，不得要求承包人购买合同规定外的材料和设备。</w:t>
      </w:r>
    </w:p>
    <w:p w14:paraId="7101BD1D">
      <w:pPr>
        <w:spacing w:line="400" w:lineRule="exact"/>
        <w:ind w:firstLine="420" w:firstLineChars="200"/>
        <w:rPr>
          <w:rFonts w:ascii="宋体" w:hAnsi="宋体" w:eastAsia="宋体" w:cs="宋体"/>
          <w:szCs w:val="21"/>
        </w:rPr>
      </w:pPr>
      <w:r>
        <w:rPr>
          <w:rFonts w:hint="eastAsia" w:ascii="宋体" w:hAnsi="宋体" w:eastAsia="宋体" w:cs="宋体"/>
          <w:szCs w:val="21"/>
        </w:rPr>
        <w:t>（6）发包人工作人员要秉公办事，不准营私舞弊，不准利用职权从事各种个人有偿中介活动和安排个人施工队伍。</w:t>
      </w:r>
    </w:p>
    <w:p w14:paraId="37268456">
      <w:pPr>
        <w:spacing w:line="400" w:lineRule="exact"/>
        <w:ind w:firstLine="420" w:firstLineChars="200"/>
        <w:rPr>
          <w:rFonts w:ascii="宋体" w:hAnsi="宋体" w:eastAsia="宋体" w:cs="宋体"/>
          <w:szCs w:val="21"/>
        </w:rPr>
      </w:pPr>
      <w:r>
        <w:rPr>
          <w:rFonts w:hint="eastAsia" w:ascii="宋体" w:hAnsi="宋体" w:eastAsia="宋体" w:cs="宋体"/>
          <w:szCs w:val="21"/>
        </w:rPr>
        <w:t>3．承包人的义务</w:t>
      </w:r>
    </w:p>
    <w:p w14:paraId="566E52C9">
      <w:pPr>
        <w:spacing w:line="400" w:lineRule="exact"/>
        <w:ind w:firstLine="420" w:firstLineChars="200"/>
        <w:rPr>
          <w:rFonts w:ascii="宋体" w:hAnsi="宋体" w:eastAsia="宋体" w:cs="宋体"/>
          <w:szCs w:val="21"/>
        </w:rPr>
      </w:pPr>
      <w:r>
        <w:rPr>
          <w:rFonts w:hint="eastAsia" w:ascii="宋体" w:hAnsi="宋体" w:eastAsia="宋体" w:cs="宋体"/>
          <w:szCs w:val="21"/>
        </w:rPr>
        <w:t>（1）承包人不得以任何理由向发包人及其工作人员行贿或馈赠礼金、有价证券、贵重礼品。</w:t>
      </w:r>
    </w:p>
    <w:p w14:paraId="3491F7C6">
      <w:pPr>
        <w:spacing w:line="400" w:lineRule="exact"/>
        <w:ind w:firstLine="420" w:firstLineChars="200"/>
        <w:rPr>
          <w:rFonts w:ascii="宋体" w:hAnsi="宋体" w:eastAsia="宋体" w:cs="宋体"/>
          <w:szCs w:val="21"/>
        </w:rPr>
      </w:pPr>
      <w:r>
        <w:rPr>
          <w:rFonts w:hint="eastAsia" w:ascii="宋体" w:hAnsi="宋体" w:eastAsia="宋体" w:cs="宋体"/>
          <w:szCs w:val="21"/>
        </w:rPr>
        <w:t>（2）承包人不得以任何名义为发包人及其工作人员报销应由发包人单位或个人支付的任何费用。</w:t>
      </w:r>
    </w:p>
    <w:p w14:paraId="4DA3FCD2">
      <w:pPr>
        <w:spacing w:line="400" w:lineRule="exact"/>
        <w:ind w:firstLine="420" w:firstLineChars="200"/>
        <w:rPr>
          <w:rFonts w:ascii="宋体" w:hAnsi="宋体" w:eastAsia="宋体" w:cs="宋体"/>
          <w:szCs w:val="21"/>
        </w:rPr>
      </w:pPr>
      <w:r>
        <w:rPr>
          <w:rFonts w:hint="eastAsia" w:ascii="宋体" w:hAnsi="宋体" w:eastAsia="宋体" w:cs="宋体"/>
          <w:szCs w:val="21"/>
        </w:rPr>
        <w:t>（3）承包人不得以任何理由安排发包人工作人员参加超标准宴请及娱乐活动。</w:t>
      </w:r>
    </w:p>
    <w:p w14:paraId="37928685">
      <w:pPr>
        <w:spacing w:line="400" w:lineRule="exact"/>
        <w:ind w:firstLine="420" w:firstLineChars="200"/>
        <w:rPr>
          <w:rFonts w:ascii="宋体" w:hAnsi="宋体" w:eastAsia="宋体" w:cs="宋体"/>
          <w:szCs w:val="21"/>
        </w:rPr>
      </w:pPr>
      <w:r>
        <w:rPr>
          <w:rFonts w:hint="eastAsia" w:ascii="宋体" w:hAnsi="宋体" w:eastAsia="宋体" w:cs="宋体"/>
          <w:szCs w:val="21"/>
        </w:rPr>
        <w:t>（4）承包人不得为发包人单位和个人购置或提供通讯工具、交通工具和高档办公用品等。</w:t>
      </w:r>
    </w:p>
    <w:p w14:paraId="4C5F3D12">
      <w:pPr>
        <w:spacing w:line="400" w:lineRule="exact"/>
        <w:ind w:firstLine="420" w:firstLineChars="200"/>
        <w:rPr>
          <w:rFonts w:ascii="宋体" w:hAnsi="宋体" w:eastAsia="宋体" w:cs="宋体"/>
          <w:szCs w:val="21"/>
        </w:rPr>
      </w:pPr>
      <w:r>
        <w:rPr>
          <w:rFonts w:hint="eastAsia" w:ascii="宋体" w:hAnsi="宋体" w:eastAsia="宋体" w:cs="宋体"/>
          <w:szCs w:val="21"/>
        </w:rPr>
        <w:t>4．违约责任</w:t>
      </w:r>
    </w:p>
    <w:p w14:paraId="475473D4">
      <w:pPr>
        <w:spacing w:line="400" w:lineRule="exact"/>
        <w:ind w:firstLine="420" w:firstLineChars="200"/>
        <w:rPr>
          <w:rFonts w:ascii="宋体" w:hAnsi="宋体" w:eastAsia="宋体" w:cs="宋体"/>
          <w:szCs w:val="21"/>
        </w:rPr>
      </w:pPr>
      <w:r>
        <w:rPr>
          <w:rFonts w:hint="eastAsia" w:ascii="宋体" w:hAnsi="宋体" w:eastAsia="宋体" w:cs="宋体"/>
          <w:szCs w:val="21"/>
        </w:rPr>
        <w:t>（1）发包人及其工作人员违反本合同第1、2条，按管理权限，依据有关规定给予党纪、政纪或组织处理；涉嫌犯罪的，移交司法机关追究刑事责任；给承包人单位造成经济损失的，应予以赔偿。</w:t>
      </w:r>
    </w:p>
    <w:p w14:paraId="3A8CC449">
      <w:pPr>
        <w:spacing w:line="400" w:lineRule="exact"/>
        <w:ind w:firstLine="420" w:firstLineChars="200"/>
        <w:rPr>
          <w:rFonts w:ascii="宋体" w:hAnsi="宋体" w:eastAsia="宋体" w:cs="宋体"/>
          <w:szCs w:val="21"/>
        </w:rPr>
      </w:pPr>
      <w:r>
        <w:rPr>
          <w:rFonts w:hint="eastAsia" w:ascii="宋体" w:hAnsi="宋体" w:eastAsia="宋体" w:cs="宋体"/>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30BB8566">
      <w:pPr>
        <w:spacing w:line="400" w:lineRule="exact"/>
        <w:ind w:firstLine="420" w:firstLineChars="200"/>
        <w:rPr>
          <w:rFonts w:ascii="宋体" w:hAnsi="宋体" w:eastAsia="宋体" w:cs="宋体"/>
          <w:szCs w:val="21"/>
        </w:rPr>
      </w:pPr>
      <w:r>
        <w:rPr>
          <w:rFonts w:hint="eastAsia" w:ascii="宋体" w:hAnsi="宋体" w:eastAsia="宋体" w:cs="宋体"/>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1BD9D81">
      <w:pPr>
        <w:spacing w:line="400" w:lineRule="exact"/>
        <w:ind w:firstLine="420" w:firstLineChars="200"/>
        <w:rPr>
          <w:rFonts w:ascii="宋体" w:hAnsi="宋体" w:eastAsia="宋体" w:cs="宋体"/>
          <w:szCs w:val="21"/>
        </w:rPr>
      </w:pPr>
      <w:r>
        <w:rPr>
          <w:rFonts w:hint="eastAsia" w:ascii="宋体" w:hAnsi="宋体" w:eastAsia="宋体" w:cs="宋体"/>
          <w:szCs w:val="21"/>
        </w:rPr>
        <w:t>6.本合同有效期为发包人和承包人签署之日起至该工程项目竣工验收后止。</w:t>
      </w:r>
    </w:p>
    <w:p w14:paraId="047389BD">
      <w:pPr>
        <w:spacing w:line="400" w:lineRule="exact"/>
        <w:ind w:firstLine="420" w:firstLineChars="200"/>
        <w:rPr>
          <w:rFonts w:ascii="宋体" w:hAnsi="宋体" w:eastAsia="宋体" w:cs="宋体"/>
          <w:szCs w:val="21"/>
        </w:rPr>
      </w:pPr>
      <w:r>
        <w:rPr>
          <w:rFonts w:hint="eastAsia" w:ascii="宋体" w:hAnsi="宋体" w:eastAsia="宋体" w:cs="宋体"/>
          <w:szCs w:val="21"/>
        </w:rPr>
        <w:t>7．本合同作为</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标段施工合同的附件，与工程施工合同具有同等的法律效力，经合同双方签署后立即生效。</w:t>
      </w:r>
    </w:p>
    <w:p w14:paraId="22E67A78">
      <w:pPr>
        <w:spacing w:line="400" w:lineRule="exact"/>
        <w:ind w:firstLine="420" w:firstLineChars="200"/>
        <w:rPr>
          <w:rFonts w:ascii="宋体" w:hAnsi="宋体" w:eastAsia="宋体" w:cs="宋体"/>
          <w:szCs w:val="21"/>
        </w:rPr>
      </w:pPr>
      <w:r>
        <w:rPr>
          <w:rFonts w:hint="eastAsia" w:ascii="宋体" w:hAnsi="宋体" w:eastAsia="宋体" w:cs="宋体"/>
          <w:szCs w:val="21"/>
        </w:rPr>
        <w:t>8．本合同一式四份，由发包人和承包人各执—份，送交发包人和承包人的监督单位各一份</w:t>
      </w:r>
    </w:p>
    <w:p w14:paraId="3DBA6589">
      <w:pPr>
        <w:spacing w:line="400" w:lineRule="exact"/>
        <w:rPr>
          <w:rFonts w:ascii="宋体" w:hAnsi="宋体" w:eastAsia="宋体" w:cs="宋体"/>
          <w:szCs w:val="21"/>
        </w:rPr>
      </w:pPr>
    </w:p>
    <w:p w14:paraId="413FF5CE">
      <w:pPr>
        <w:spacing w:line="400" w:lineRule="exact"/>
        <w:rPr>
          <w:rFonts w:ascii="宋体" w:hAnsi="宋体" w:eastAsia="宋体" w:cs="宋体"/>
          <w:szCs w:val="21"/>
        </w:rPr>
      </w:pPr>
    </w:p>
    <w:p w14:paraId="58DA7D6F">
      <w:pPr>
        <w:spacing w:line="400" w:lineRule="exact"/>
        <w:rPr>
          <w:rFonts w:ascii="宋体" w:hAnsi="宋体" w:eastAsia="宋体" w:cs="宋体"/>
          <w:szCs w:val="21"/>
        </w:rPr>
      </w:pPr>
    </w:p>
    <w:p w14:paraId="7CA7FA41">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14:paraId="3F66442C">
      <w:pPr>
        <w:spacing w:line="400" w:lineRule="exact"/>
        <w:rPr>
          <w:rFonts w:ascii="宋体" w:hAnsi="宋体" w:eastAsia="宋体" w:cs="宋体"/>
          <w:szCs w:val="21"/>
        </w:rPr>
      </w:pPr>
    </w:p>
    <w:p w14:paraId="22250241">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516D9EC1">
      <w:pPr>
        <w:spacing w:line="400" w:lineRule="exact"/>
        <w:ind w:firstLine="840"/>
        <w:rPr>
          <w:rFonts w:ascii="宋体" w:hAnsi="宋体" w:eastAsia="宋体" w:cs="宋体"/>
          <w:szCs w:val="21"/>
        </w:rPr>
      </w:pPr>
    </w:p>
    <w:p w14:paraId="4D805B22">
      <w:pPr>
        <w:spacing w:line="400" w:lineRule="exact"/>
        <w:ind w:firstLine="84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2C071C5">
      <w:pPr>
        <w:spacing w:line="400" w:lineRule="exact"/>
        <w:rPr>
          <w:rFonts w:ascii="宋体" w:hAnsi="宋体" w:eastAsia="宋体" w:cs="宋体"/>
          <w:szCs w:val="21"/>
        </w:rPr>
      </w:pPr>
    </w:p>
    <w:p w14:paraId="05466737">
      <w:pPr>
        <w:spacing w:line="400" w:lineRule="exact"/>
        <w:rPr>
          <w:rFonts w:ascii="宋体" w:hAnsi="宋体" w:eastAsia="宋体" w:cs="宋体"/>
          <w:szCs w:val="21"/>
        </w:rPr>
      </w:pPr>
      <w:r>
        <w:rPr>
          <w:rFonts w:hint="eastAsia" w:ascii="宋体" w:hAnsi="宋体" w:eastAsia="宋体" w:cs="宋体"/>
          <w:szCs w:val="21"/>
        </w:rPr>
        <w:t>发包人监督单位：</w:t>
      </w:r>
      <w:r>
        <w:rPr>
          <w:rFonts w:hint="eastAsia" w:ascii="宋体" w:hAnsi="宋体" w:eastAsia="宋体" w:cs="宋体"/>
          <w:szCs w:val="21"/>
          <w:u w:val="single"/>
        </w:rPr>
        <w:t>（全称） （盖单位章）</w:t>
      </w:r>
      <w:r>
        <w:rPr>
          <w:rFonts w:hint="eastAsia" w:ascii="宋体" w:hAnsi="宋体" w:eastAsia="宋体" w:cs="宋体"/>
          <w:szCs w:val="21"/>
        </w:rPr>
        <w:t xml:space="preserve">     承包人监督单位：</w:t>
      </w:r>
      <w:r>
        <w:rPr>
          <w:rFonts w:hint="eastAsia" w:ascii="宋体" w:hAnsi="宋体" w:eastAsia="宋体" w:cs="宋体"/>
          <w:szCs w:val="21"/>
          <w:u w:val="single"/>
        </w:rPr>
        <w:t>（全称） （盖单位章）</w:t>
      </w:r>
    </w:p>
    <w:p w14:paraId="64420B33">
      <w:pPr>
        <w:spacing w:line="400" w:lineRule="exact"/>
        <w:rPr>
          <w:rFonts w:ascii="宋体" w:hAnsi="宋体" w:eastAsia="宋体" w:cs="宋体"/>
          <w:szCs w:val="21"/>
        </w:rPr>
      </w:pPr>
    </w:p>
    <w:p w14:paraId="54E70989">
      <w:pPr>
        <w:spacing w:line="400" w:lineRule="exact"/>
        <w:rPr>
          <w:rFonts w:ascii="宋体" w:hAnsi="宋体" w:eastAsia="宋体" w:cs="宋体"/>
          <w:szCs w:val="21"/>
        </w:rPr>
      </w:pPr>
    </w:p>
    <w:p w14:paraId="4ABCA037">
      <w:pPr>
        <w:spacing w:line="400" w:lineRule="exact"/>
        <w:rPr>
          <w:rFonts w:ascii="宋体" w:hAnsi="宋体" w:eastAsia="宋体" w:cs="宋体"/>
          <w:szCs w:val="21"/>
        </w:rPr>
      </w:pPr>
    </w:p>
    <w:p w14:paraId="091E050D">
      <w:pPr>
        <w:spacing w:line="400" w:lineRule="exact"/>
        <w:rPr>
          <w:rFonts w:ascii="宋体" w:hAnsi="宋体" w:eastAsia="宋体" w:cs="宋体"/>
          <w:szCs w:val="21"/>
        </w:rPr>
      </w:pPr>
    </w:p>
    <w:p w14:paraId="1EF84E3F">
      <w:pPr>
        <w:spacing w:line="400" w:lineRule="exact"/>
        <w:rPr>
          <w:rFonts w:ascii="宋体" w:hAnsi="宋体" w:eastAsia="宋体" w:cs="宋体"/>
          <w:szCs w:val="21"/>
        </w:rPr>
      </w:pPr>
    </w:p>
    <w:p w14:paraId="6F5CC9C0">
      <w:pPr>
        <w:spacing w:line="400" w:lineRule="exact"/>
        <w:rPr>
          <w:rFonts w:ascii="宋体" w:hAnsi="宋体" w:eastAsia="宋体" w:cs="宋体"/>
          <w:szCs w:val="21"/>
        </w:rPr>
      </w:pPr>
    </w:p>
    <w:p w14:paraId="31088490">
      <w:pPr>
        <w:rPr>
          <w:rFonts w:ascii="宋体" w:hAnsi="宋体" w:eastAsia="宋体" w:cs="宋体"/>
          <w:sz w:val="24"/>
        </w:rPr>
      </w:pPr>
      <w:r>
        <w:rPr>
          <w:rFonts w:hint="eastAsia" w:ascii="宋体" w:hAnsi="宋体" w:eastAsia="宋体" w:cs="宋体"/>
          <w:sz w:val="24"/>
        </w:rPr>
        <w:br w:type="page"/>
      </w:r>
    </w:p>
    <w:p w14:paraId="08E2CFD3">
      <w:pPr>
        <w:rPr>
          <w:rFonts w:ascii="宋体" w:hAnsi="宋体" w:eastAsia="宋体" w:cs="宋体"/>
          <w:sz w:val="28"/>
          <w:szCs w:val="28"/>
        </w:rPr>
      </w:pPr>
      <w:r>
        <w:rPr>
          <w:rFonts w:hint="eastAsia" w:ascii="宋体" w:hAnsi="宋体" w:eastAsia="宋体" w:cs="宋体"/>
          <w:sz w:val="28"/>
          <w:szCs w:val="28"/>
        </w:rPr>
        <w:t>附件三   安全生产合同</w:t>
      </w:r>
    </w:p>
    <w:p w14:paraId="12CD7C7C">
      <w:pPr>
        <w:spacing w:before="120" w:after="120"/>
        <w:jc w:val="center"/>
        <w:rPr>
          <w:rFonts w:ascii="宋体" w:hAnsi="宋体" w:eastAsia="宋体" w:cs="宋体"/>
          <w:sz w:val="28"/>
          <w:szCs w:val="28"/>
        </w:rPr>
      </w:pPr>
      <w:r>
        <w:rPr>
          <w:rFonts w:hint="eastAsia" w:ascii="宋体" w:hAnsi="宋体" w:eastAsia="宋体" w:cs="宋体"/>
          <w:sz w:val="28"/>
          <w:szCs w:val="28"/>
        </w:rPr>
        <w:t>安全生产合同</w:t>
      </w:r>
    </w:p>
    <w:p w14:paraId="4E9ED183">
      <w:pPr>
        <w:spacing w:line="400" w:lineRule="exact"/>
        <w:ind w:firstLine="42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（标段）施工合同的实施过程中创造安全、高效的施工环境，切实搞好本项目的安全管理工作，本项目发包人</w:t>
      </w: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（发包人名称，以下简称“发包人”）与承包人</w:t>
      </w:r>
    </w:p>
    <w:p w14:paraId="097DA037">
      <w:pPr>
        <w:spacing w:line="40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（承包人名称，以下简称“承包人”）特此签订安全生产合同：</w:t>
      </w:r>
    </w:p>
    <w:p w14:paraId="02BC7D6E">
      <w:pPr>
        <w:spacing w:line="400" w:lineRule="exact"/>
        <w:ind w:firstLine="420" w:firstLineChars="200"/>
        <w:rPr>
          <w:rFonts w:ascii="宋体" w:hAnsi="宋体" w:eastAsia="宋体" w:cs="宋体"/>
          <w:szCs w:val="21"/>
        </w:rPr>
      </w:pPr>
      <w:r>
        <w:rPr>
          <w:rFonts w:hint="eastAsia" w:ascii="宋体" w:hAnsi="宋体" w:eastAsia="宋体" w:cs="宋体"/>
          <w:szCs w:val="21"/>
        </w:rPr>
        <w:t>1.发包人职责</w:t>
      </w:r>
    </w:p>
    <w:p w14:paraId="10FBA919">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（1）严格遵守国家有关安全生产的法律法规，认真执行工程承包合同中的有关安全要求。</w:t>
      </w:r>
    </w:p>
    <w:p w14:paraId="7C5EB11E">
      <w:pPr>
        <w:spacing w:line="400" w:lineRule="exact"/>
        <w:ind w:firstLine="420" w:firstLineChars="200"/>
        <w:rPr>
          <w:rFonts w:ascii="宋体" w:hAnsi="宋体" w:eastAsia="宋体" w:cs="宋体"/>
          <w:szCs w:val="21"/>
        </w:rPr>
      </w:pPr>
      <w:r>
        <w:rPr>
          <w:rFonts w:hint="eastAsia" w:ascii="宋体" w:hAnsi="宋体" w:eastAsia="宋体" w:cs="宋体"/>
          <w:szCs w:val="21"/>
        </w:rPr>
        <w:t>（2）按照“安全第一、预防为主、综合治理”和坚持“管生产必须管安全”的原则进行安全生 产管理，做到生产与安全工作同时计划、布置、检查、总结和评比。</w:t>
      </w:r>
    </w:p>
    <w:p w14:paraId="63FDDEDC">
      <w:pPr>
        <w:spacing w:line="400" w:lineRule="exact"/>
        <w:ind w:firstLine="420" w:firstLineChars="200"/>
        <w:rPr>
          <w:rFonts w:ascii="宋体" w:hAnsi="宋体" w:eastAsia="宋体" w:cs="宋体"/>
          <w:szCs w:val="21"/>
        </w:rPr>
      </w:pPr>
      <w:r>
        <w:rPr>
          <w:rFonts w:hint="eastAsia" w:ascii="宋体" w:hAnsi="宋体" w:eastAsia="宋体" w:cs="宋体"/>
          <w:szCs w:val="21"/>
        </w:rPr>
        <w:t>（3）重要的安全设施必须坚持与主体工程“三同时”的原则，即：同时设计、审批，同时施工，同时验收，投入使用。</w:t>
      </w:r>
    </w:p>
    <w:p w14:paraId="66EF47C7">
      <w:pPr>
        <w:spacing w:line="400" w:lineRule="exact"/>
        <w:ind w:firstLine="420" w:firstLineChars="200"/>
        <w:rPr>
          <w:rFonts w:ascii="宋体" w:hAnsi="宋体" w:eastAsia="宋体" w:cs="宋体"/>
          <w:szCs w:val="21"/>
        </w:rPr>
      </w:pPr>
      <w:r>
        <w:rPr>
          <w:rFonts w:hint="eastAsia" w:ascii="宋体" w:hAnsi="宋体" w:eastAsia="宋体" w:cs="宋体"/>
          <w:szCs w:val="21"/>
        </w:rPr>
        <w:t>（4）定期召开安全生产调度会，及时传达中央及地方有关安全生产的精神。</w:t>
      </w:r>
    </w:p>
    <w:p w14:paraId="695EA381">
      <w:pPr>
        <w:spacing w:line="400" w:lineRule="exact"/>
        <w:ind w:firstLine="420" w:firstLineChars="200"/>
        <w:rPr>
          <w:rFonts w:ascii="宋体" w:hAnsi="宋体" w:eastAsia="宋体" w:cs="宋体"/>
          <w:szCs w:val="21"/>
        </w:rPr>
      </w:pPr>
      <w:r>
        <w:rPr>
          <w:rFonts w:hint="eastAsia" w:ascii="宋体" w:hAnsi="宋体" w:eastAsia="宋体" w:cs="宋体"/>
          <w:szCs w:val="21"/>
        </w:rPr>
        <w:t>（5）组织对承包人施工现场安全生产检查，监督承包人及时处理发现的各种安全隐患。</w:t>
      </w:r>
    </w:p>
    <w:p w14:paraId="0A073063">
      <w:pPr>
        <w:spacing w:line="400" w:lineRule="exact"/>
        <w:ind w:firstLine="420" w:firstLineChars="200"/>
        <w:rPr>
          <w:rFonts w:ascii="宋体" w:hAnsi="宋体" w:eastAsia="宋体" w:cs="宋体"/>
          <w:szCs w:val="21"/>
        </w:rPr>
      </w:pPr>
      <w:r>
        <w:rPr>
          <w:rFonts w:hint="eastAsia" w:ascii="宋体" w:hAnsi="宋体" w:eastAsia="宋体" w:cs="宋体"/>
          <w:szCs w:val="21"/>
        </w:rPr>
        <w:t>2.承包人职责</w:t>
      </w:r>
    </w:p>
    <w:p w14:paraId="220F4C67">
      <w:pPr>
        <w:spacing w:line="400" w:lineRule="exact"/>
        <w:ind w:firstLine="420" w:firstLineChars="200"/>
        <w:rPr>
          <w:rFonts w:ascii="宋体" w:hAnsi="宋体" w:eastAsia="宋体" w:cs="宋体"/>
          <w:szCs w:val="21"/>
        </w:rPr>
      </w:pPr>
      <w:r>
        <w:rPr>
          <w:rFonts w:hint="eastAsia" w:ascii="宋体" w:hAnsi="宋体" w:eastAsia="宋体" w:cs="宋体"/>
          <w:szCs w:val="21"/>
        </w:rPr>
        <w:t>（1）严格遵守《中华人民共和国安全生产法》、《建设工程安全生产管理条例》等国家有关安全生产的法律法规、《公路水运工程安全生产监督管理办法》、《公路工程施工安全技术规程》、《公路筑养路机械操作规程》</w:t>
      </w:r>
      <w:r>
        <w:rPr>
          <w:color w:val="000000"/>
          <w:szCs w:val="21"/>
        </w:rPr>
        <w:t>和浙江省人民政府浙政令〔2012〕300号《浙江省交通建设工程质量和安全生产管理办法》</w:t>
      </w:r>
      <w:r>
        <w:rPr>
          <w:rFonts w:hint="eastAsia" w:ascii="宋体" w:hAnsi="宋体" w:eastAsia="宋体" w:cs="宋体"/>
          <w:szCs w:val="21"/>
        </w:rPr>
        <w:t>等有关安全生产的规定。认真执行工程承包合同中的有关安全要求。</w:t>
      </w:r>
    </w:p>
    <w:p w14:paraId="29A2E5EE">
      <w:pPr>
        <w:spacing w:line="400" w:lineRule="exact"/>
        <w:ind w:firstLine="420" w:firstLineChars="200"/>
        <w:rPr>
          <w:rFonts w:ascii="宋体" w:hAnsi="宋体" w:eastAsia="宋体" w:cs="宋体"/>
          <w:szCs w:val="21"/>
        </w:rPr>
      </w:pPr>
      <w:r>
        <w:rPr>
          <w:rFonts w:hint="eastAsia" w:ascii="宋体" w:hAnsi="宋体" w:eastAsia="宋体" w:cs="宋体"/>
          <w:szCs w:val="21"/>
        </w:rPr>
        <w:t>（2）坚持“安全第一、预防为主、综合治理”和“管生产必须管安全”的原则，加强安全生产 宣传教育，增强全员安全生产意识，建立健全各项安全生产的管理机构和安全生产管理制度，配备专 职及兼职安全检查人员，有组织有领导地开展安全生产活动。各级领导、工程技术人员、生产管理人 员和具体操作人员，必须熟悉和遵守本合同的各项规定，做到生产与安全工作同时计划、布置、检查、 总结和评比。</w:t>
      </w:r>
    </w:p>
    <w:p w14:paraId="5D85BFD5">
      <w:pPr>
        <w:spacing w:line="400" w:lineRule="exact"/>
        <w:ind w:firstLine="420" w:firstLineChars="200"/>
        <w:rPr>
          <w:rFonts w:ascii="宋体" w:hAnsi="宋体" w:eastAsia="宋体" w:cs="宋体"/>
          <w:szCs w:val="21"/>
        </w:rPr>
      </w:pPr>
      <w:r>
        <w:rPr>
          <w:rFonts w:hint="eastAsia" w:ascii="宋体" w:hAnsi="宋体" w:eastAsia="宋体" w:cs="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AF3A316">
      <w:pPr>
        <w:spacing w:line="400" w:lineRule="exact"/>
        <w:ind w:firstLine="420" w:firstLineChars="200"/>
        <w:rPr>
          <w:rFonts w:ascii="宋体" w:hAnsi="宋体" w:eastAsia="宋体" w:cs="宋体"/>
          <w:szCs w:val="21"/>
        </w:rPr>
      </w:pPr>
      <w:r>
        <w:rPr>
          <w:rFonts w:hint="eastAsia" w:ascii="宋体" w:hAnsi="宋体" w:eastAsia="宋体" w:cs="宋体"/>
          <w:szCs w:val="21"/>
        </w:rPr>
        <w:t>（4）承包人在任何时候都应采取各种合理的预防措施，防止其员工发生任何违法、违禁、暴力或妨碍治安的行为。</w:t>
      </w:r>
    </w:p>
    <w:p w14:paraId="7C66ADBB">
      <w:pPr>
        <w:spacing w:line="400" w:lineRule="exact"/>
        <w:ind w:firstLine="420" w:firstLineChars="200"/>
        <w:rPr>
          <w:rFonts w:ascii="宋体" w:hAnsi="宋体" w:eastAsia="宋体" w:cs="宋体"/>
          <w:szCs w:val="21"/>
        </w:rPr>
      </w:pPr>
      <w:r>
        <w:rPr>
          <w:rFonts w:hint="eastAsia" w:ascii="宋体" w:hAnsi="宋体" w:eastAsia="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B6F586B">
      <w:pPr>
        <w:spacing w:line="400" w:lineRule="exact"/>
        <w:ind w:firstLine="420" w:firstLineChars="200"/>
        <w:rPr>
          <w:rFonts w:ascii="宋体" w:hAnsi="宋体" w:eastAsia="宋体" w:cs="宋体"/>
          <w:szCs w:val="21"/>
        </w:rPr>
      </w:pPr>
      <w:r>
        <w:rPr>
          <w:rFonts w:hint="eastAsia" w:ascii="宋体" w:hAnsi="宋体" w:eastAsia="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28D3284">
      <w:pPr>
        <w:spacing w:line="400" w:lineRule="exact"/>
        <w:ind w:firstLine="420" w:firstLineChars="200"/>
        <w:rPr>
          <w:rFonts w:ascii="宋体" w:hAnsi="宋体" w:eastAsia="宋体" w:cs="宋体"/>
          <w:szCs w:val="21"/>
        </w:rPr>
      </w:pPr>
      <w:r>
        <w:rPr>
          <w:rFonts w:hint="eastAsia" w:ascii="宋体" w:hAnsi="宋体" w:eastAsia="宋体" w:cs="宋体"/>
          <w:szCs w:val="21"/>
        </w:rPr>
        <w:t>（7）操作人员上岗，必须按规定穿戴防护用品。施工负责人和安全检查员应随时检查劳动防护用品的穿戴情况，不按规定穿戴防护用品的人员不得上岗。</w:t>
      </w:r>
    </w:p>
    <w:p w14:paraId="7D187618">
      <w:pPr>
        <w:spacing w:line="400" w:lineRule="exact"/>
        <w:ind w:firstLine="420" w:firstLineChars="200"/>
        <w:rPr>
          <w:rFonts w:ascii="宋体" w:hAnsi="宋体" w:eastAsia="宋体" w:cs="宋体"/>
          <w:szCs w:val="21"/>
        </w:rPr>
      </w:pPr>
      <w:r>
        <w:rPr>
          <w:rFonts w:hint="eastAsia" w:ascii="宋体" w:hAnsi="宋体" w:eastAsia="宋体" w:cs="宋体"/>
          <w:szCs w:val="21"/>
        </w:rPr>
        <w:t>（8）所有施工机具设备和高空作业的设备均应定期检查，并有安全员的签字记录，保证其经常处于完好状态；不合格的机具、设备和劳动保护用品严禁使用：</w:t>
      </w:r>
    </w:p>
    <w:p w14:paraId="3F57520B">
      <w:pPr>
        <w:spacing w:line="400" w:lineRule="exact"/>
        <w:ind w:firstLine="420" w:firstLineChars="200"/>
        <w:rPr>
          <w:rFonts w:ascii="宋体" w:hAnsi="宋体" w:eastAsia="宋体" w:cs="宋体"/>
          <w:szCs w:val="21"/>
        </w:rPr>
      </w:pPr>
      <w:r>
        <w:rPr>
          <w:rFonts w:hint="eastAsia" w:ascii="宋体" w:hAnsi="宋体" w:eastAsia="宋体" w:cs="宋体"/>
          <w:szCs w:val="21"/>
        </w:rPr>
        <w:t>（9）施工中采用新技术、新工艺、新设备、新材料时，必须制定相应的安全技术措施，施工现场必须具有相关的安全标志牌。</w:t>
      </w:r>
    </w:p>
    <w:p w14:paraId="63FEB8A8">
      <w:pPr>
        <w:spacing w:line="400" w:lineRule="exact"/>
        <w:ind w:firstLine="420" w:firstLineChars="200"/>
        <w:rPr>
          <w:rFonts w:ascii="宋体" w:hAnsi="宋体" w:eastAsia="宋体" w:cs="宋体"/>
          <w:szCs w:val="21"/>
        </w:rPr>
      </w:pPr>
      <w:r>
        <w:rPr>
          <w:rFonts w:hint="eastAsia" w:ascii="宋体" w:hAnsi="宋体" w:eastAsia="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5273BB8">
      <w:pPr>
        <w:spacing w:line="400" w:lineRule="exact"/>
        <w:ind w:firstLine="420" w:firstLineChars="200"/>
        <w:rPr>
          <w:rFonts w:ascii="宋体" w:hAnsi="宋体" w:eastAsia="宋体" w:cs="宋体"/>
          <w:szCs w:val="21"/>
        </w:rPr>
      </w:pPr>
      <w:r>
        <w:rPr>
          <w:rFonts w:hint="eastAsia" w:ascii="宋体" w:hAnsi="宋体" w:eastAsia="宋体" w:cs="宋体"/>
          <w:szCs w:val="21"/>
        </w:rPr>
        <w:t>（11）安全生产费用按照浙交〔2009〕228号关于印发《浙江省公路水运建设工程安全生产费用管理暂行规定》、浙交监〔2013〕43号《关于进一步加强我省交通建设工程施工安全生产费用管理的通知》的相关要求以及相关最新规定使用和管理。</w:t>
      </w:r>
    </w:p>
    <w:p w14:paraId="7CE553D8">
      <w:pPr>
        <w:spacing w:line="400" w:lineRule="exact"/>
        <w:ind w:firstLine="420" w:firstLineChars="200"/>
        <w:rPr>
          <w:rFonts w:ascii="宋体" w:hAnsi="宋体" w:eastAsia="宋体" w:cs="宋体"/>
          <w:szCs w:val="21"/>
        </w:rPr>
      </w:pPr>
      <w:r>
        <w:rPr>
          <w:rFonts w:hint="eastAsia" w:ascii="宋体" w:hAnsi="宋体" w:eastAsia="宋体" w:cs="宋体"/>
          <w:szCs w:val="21"/>
        </w:rPr>
        <w:t>（12）承包人在施工期间应当服从发包人及交通等行业主管部门的监督、检查、指令，并积极做好相关配合工作。</w:t>
      </w:r>
    </w:p>
    <w:p w14:paraId="2BBDB035">
      <w:pPr>
        <w:spacing w:line="400" w:lineRule="exact"/>
        <w:ind w:firstLine="420" w:firstLineChars="200"/>
        <w:rPr>
          <w:rFonts w:ascii="宋体" w:hAnsi="宋体" w:eastAsia="宋体" w:cs="宋体"/>
          <w:szCs w:val="21"/>
        </w:rPr>
      </w:pPr>
      <w:r>
        <w:rPr>
          <w:rFonts w:hint="eastAsia" w:ascii="宋体" w:hAnsi="宋体" w:eastAsia="宋体" w:cs="宋体"/>
          <w:szCs w:val="21"/>
        </w:rPr>
        <w:t>3.违约责任</w:t>
      </w:r>
    </w:p>
    <w:p w14:paraId="35201EB6">
      <w:pPr>
        <w:spacing w:line="400" w:lineRule="exact"/>
        <w:ind w:firstLine="420" w:firstLineChars="200"/>
        <w:rPr>
          <w:rFonts w:ascii="宋体" w:hAnsi="宋体" w:eastAsia="宋体" w:cs="宋体"/>
          <w:szCs w:val="21"/>
        </w:rPr>
      </w:pPr>
      <w:r>
        <w:rPr>
          <w:rFonts w:hint="eastAsia" w:ascii="宋体" w:hAnsi="宋体" w:eastAsia="宋体" w:cs="宋体"/>
          <w:szCs w:val="21"/>
        </w:rPr>
        <w:t>如因发包人或承包人违约造成安全事故，将依法追究责任。</w:t>
      </w:r>
    </w:p>
    <w:p w14:paraId="40D1757C">
      <w:pPr>
        <w:spacing w:line="400" w:lineRule="exact"/>
        <w:ind w:firstLine="420" w:firstLineChars="200"/>
        <w:rPr>
          <w:rFonts w:ascii="宋体" w:hAnsi="宋体" w:eastAsia="宋体" w:cs="宋体"/>
          <w:szCs w:val="21"/>
        </w:rPr>
      </w:pPr>
      <w:r>
        <w:rPr>
          <w:rFonts w:hint="eastAsia" w:ascii="宋体" w:hAnsi="宋体" w:eastAsia="宋体" w:cs="宋体"/>
          <w:szCs w:val="21"/>
        </w:rPr>
        <w:t>4.本合同由双方法定代表人或其授权的代理人签署并加盖单位章后生效，全部工程竣工验收后失效。</w:t>
      </w:r>
    </w:p>
    <w:p w14:paraId="03D2F243">
      <w:pPr>
        <w:spacing w:line="400" w:lineRule="exact"/>
        <w:ind w:firstLine="420" w:firstLineChars="200"/>
        <w:rPr>
          <w:rFonts w:ascii="宋体" w:hAnsi="宋体" w:eastAsia="宋体" w:cs="宋体"/>
          <w:szCs w:val="21"/>
        </w:rPr>
      </w:pPr>
      <w:r>
        <w:rPr>
          <w:rFonts w:hint="eastAsia" w:ascii="宋体" w:hAnsi="宋体" w:eastAsia="宋体" w:cs="宋体"/>
          <w:szCs w:val="21"/>
        </w:rPr>
        <w:t>5.本合同正本—式二份，副本</w:t>
      </w:r>
      <w:r>
        <w:rPr>
          <w:rFonts w:hint="eastAsia" w:ascii="宋体" w:hAnsi="宋体" w:eastAsia="宋体" w:cs="宋体"/>
          <w:szCs w:val="21"/>
          <w:u w:val="single"/>
        </w:rPr>
        <w:t xml:space="preserve">  </w:t>
      </w:r>
      <w:r>
        <w:rPr>
          <w:rFonts w:hint="eastAsia" w:ascii="宋体" w:hAnsi="宋体" w:eastAsia="宋体" w:cs="宋体"/>
          <w:szCs w:val="21"/>
        </w:rPr>
        <w:t>份，合同双方各执正本—份，副本</w:t>
      </w:r>
      <w:r>
        <w:rPr>
          <w:rFonts w:hint="eastAsia" w:ascii="宋体" w:hAnsi="宋体" w:eastAsia="宋体" w:cs="宋体"/>
          <w:szCs w:val="21"/>
          <w:u w:val="single"/>
        </w:rPr>
        <w:t xml:space="preserve">  </w:t>
      </w:r>
      <w:r>
        <w:rPr>
          <w:rFonts w:hint="eastAsia" w:ascii="宋体" w:hAnsi="宋体" w:eastAsia="宋体" w:cs="宋体"/>
          <w:szCs w:val="21"/>
        </w:rPr>
        <w:t>份，当正本与副本的内容不一致时，以正本为准。</w:t>
      </w:r>
    </w:p>
    <w:p w14:paraId="0D1BB9EF">
      <w:pPr>
        <w:rPr>
          <w:rFonts w:ascii="宋体" w:hAnsi="宋体" w:eastAsia="宋体" w:cs="宋体"/>
          <w:szCs w:val="21"/>
        </w:rPr>
      </w:pPr>
    </w:p>
    <w:p w14:paraId="17385F30">
      <w:pPr>
        <w:rPr>
          <w:rFonts w:ascii="宋体" w:hAnsi="宋体" w:eastAsia="宋体" w:cs="宋体"/>
          <w:szCs w:val="21"/>
        </w:rPr>
      </w:pPr>
    </w:p>
    <w:p w14:paraId="172FC9B8">
      <w:pPr>
        <w:rPr>
          <w:rFonts w:ascii="宋体" w:hAnsi="宋体" w:eastAsia="宋体" w:cs="宋体"/>
          <w:szCs w:val="21"/>
        </w:rPr>
      </w:pPr>
    </w:p>
    <w:p w14:paraId="138AC1B5">
      <w:pPr>
        <w:rPr>
          <w:rFonts w:ascii="宋体" w:hAnsi="宋体" w:eastAsia="宋体" w:cs="宋体"/>
          <w:szCs w:val="21"/>
        </w:rPr>
      </w:pPr>
    </w:p>
    <w:p w14:paraId="1F9987C6">
      <w:pPr>
        <w:spacing w:line="400" w:lineRule="exact"/>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 xml:space="preserve">（盖单位章） </w:t>
      </w:r>
    </w:p>
    <w:p w14:paraId="3B9100F3">
      <w:pPr>
        <w:spacing w:line="400" w:lineRule="exact"/>
        <w:rPr>
          <w:rFonts w:ascii="宋体" w:hAnsi="宋体" w:eastAsia="宋体" w:cs="宋体"/>
          <w:szCs w:val="21"/>
        </w:rPr>
      </w:pPr>
    </w:p>
    <w:p w14:paraId="6171FED7">
      <w:pPr>
        <w:spacing w:line="400" w:lineRule="exac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0F91085">
      <w:pPr>
        <w:spacing w:line="400" w:lineRule="exact"/>
        <w:ind w:firstLine="840"/>
        <w:rPr>
          <w:rFonts w:ascii="宋体" w:hAnsi="宋体" w:eastAsia="宋体" w:cs="宋体"/>
          <w:szCs w:val="21"/>
        </w:rPr>
      </w:pPr>
      <w:r>
        <w:rPr>
          <w:rFonts w:hint="eastAsia" w:ascii="宋体" w:hAnsi="宋体" w:eastAsia="宋体" w:cs="宋体"/>
          <w:szCs w:val="21"/>
        </w:rPr>
        <w:t xml:space="preserve">  </w:t>
      </w:r>
    </w:p>
    <w:p w14:paraId="472EADF0">
      <w:pPr>
        <w:spacing w:line="400" w:lineRule="exact"/>
        <w:ind w:firstLine="84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4B14E19">
      <w:pPr>
        <w:spacing w:line="400" w:lineRule="exact"/>
        <w:ind w:firstLine="420" w:firstLineChars="200"/>
        <w:rPr>
          <w:rFonts w:ascii="宋体" w:hAnsi="宋体" w:eastAsia="宋体" w:cs="宋体"/>
          <w:szCs w:val="21"/>
        </w:rPr>
      </w:pPr>
    </w:p>
    <w:p w14:paraId="32D4EDFC">
      <w:pPr>
        <w:spacing w:line="400" w:lineRule="exact"/>
        <w:ind w:firstLine="420" w:firstLineChars="200"/>
        <w:rPr>
          <w:rFonts w:ascii="宋体" w:hAnsi="宋体" w:eastAsia="宋体" w:cs="宋体"/>
          <w:szCs w:val="21"/>
        </w:rPr>
      </w:pPr>
    </w:p>
    <w:p w14:paraId="509C585C">
      <w:pPr>
        <w:widowControl/>
        <w:jc w:val="left"/>
        <w:rPr>
          <w:rFonts w:ascii="宋体" w:hAnsi="宋体" w:eastAsia="宋体" w:cs="宋体"/>
          <w:szCs w:val="21"/>
        </w:rPr>
        <w:sectPr>
          <w:footerReference r:id="rId3" w:type="default"/>
          <w:footnotePr>
            <w:numFmt w:val="decimalEnclosedCircleChinese"/>
            <w:numRestart w:val="eachPage"/>
          </w:footnotePr>
          <w:pgSz w:w="11906" w:h="16838"/>
          <w:pgMar w:top="993" w:right="1134" w:bottom="1276" w:left="1361" w:header="851" w:footer="992" w:gutter="0"/>
          <w:cols w:space="720" w:num="1"/>
        </w:sectPr>
      </w:pPr>
    </w:p>
    <w:p w14:paraId="4669700F">
      <w:pPr>
        <w:spacing w:after="120" w:afterLines="50"/>
        <w:rPr>
          <w:rFonts w:ascii="宋体" w:hAnsi="宋体" w:eastAsia="宋体" w:cs="宋体"/>
          <w:sz w:val="28"/>
          <w:szCs w:val="28"/>
        </w:rPr>
      </w:pPr>
    </w:p>
    <w:p w14:paraId="2670DCE8">
      <w:pPr>
        <w:spacing w:after="120" w:afterLines="50"/>
        <w:rPr>
          <w:rFonts w:ascii="宋体" w:hAnsi="宋体" w:eastAsia="宋体" w:cs="宋体"/>
          <w:sz w:val="28"/>
          <w:szCs w:val="28"/>
        </w:rPr>
      </w:pPr>
      <w:r>
        <w:rPr>
          <w:rFonts w:hint="eastAsia" w:ascii="宋体" w:hAnsi="宋体" w:eastAsia="宋体" w:cs="宋体"/>
          <w:sz w:val="28"/>
          <w:szCs w:val="28"/>
        </w:rPr>
        <w:t>附件四   项目经理委托书</w:t>
      </w:r>
    </w:p>
    <w:p w14:paraId="121243DE">
      <w:pPr>
        <w:spacing w:line="400" w:lineRule="exact"/>
        <w:rPr>
          <w:rFonts w:ascii="宋体" w:hAnsi="宋体" w:eastAsia="宋体" w:cs="宋体"/>
          <w:sz w:val="24"/>
        </w:rPr>
      </w:pPr>
    </w:p>
    <w:p w14:paraId="6604F908">
      <w:pPr>
        <w:spacing w:line="400" w:lineRule="exact"/>
        <w:jc w:val="center"/>
        <w:rPr>
          <w:rFonts w:ascii="宋体" w:hAnsi="宋体" w:eastAsia="宋体" w:cs="宋体"/>
          <w:sz w:val="28"/>
          <w:szCs w:val="28"/>
          <w:u w:val="single"/>
        </w:rPr>
      </w:pPr>
      <w:r>
        <w:rPr>
          <w:rFonts w:hint="eastAsia" w:ascii="宋体" w:hAnsi="宋体" w:eastAsia="宋体" w:cs="宋体"/>
          <w:sz w:val="28"/>
          <w:szCs w:val="28"/>
          <w:u w:val="single"/>
        </w:rPr>
        <w:t>（承包人全称）</w:t>
      </w:r>
    </w:p>
    <w:p w14:paraId="27F7776A">
      <w:pPr>
        <w:spacing w:line="400" w:lineRule="exact"/>
        <w:jc w:val="center"/>
        <w:rPr>
          <w:rFonts w:ascii="宋体" w:hAnsi="宋体" w:eastAsia="宋体" w:cs="宋体"/>
          <w:sz w:val="28"/>
          <w:szCs w:val="28"/>
          <w:u w:val="single"/>
        </w:rPr>
      </w:pPr>
      <w:r>
        <w:rPr>
          <w:rFonts w:hint="eastAsia" w:ascii="宋体" w:hAnsi="宋体" w:eastAsia="宋体" w:cs="宋体"/>
          <w:sz w:val="28"/>
          <w:szCs w:val="28"/>
          <w:u w:val="single"/>
        </w:rPr>
        <w:t>（合同工程名称）项目经理委任书</w:t>
      </w:r>
    </w:p>
    <w:p w14:paraId="5DD70B75">
      <w:pPr>
        <w:spacing w:line="400" w:lineRule="exact"/>
        <w:rPr>
          <w:rFonts w:ascii="宋体" w:hAnsi="宋体" w:eastAsia="宋体" w:cs="宋体"/>
          <w:szCs w:val="21"/>
        </w:rPr>
      </w:pPr>
    </w:p>
    <w:p w14:paraId="2AC2D415">
      <w:pPr>
        <w:spacing w:line="56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（发包人全称</w:t>
      </w:r>
      <w:r>
        <w:rPr>
          <w:rFonts w:hint="eastAsia" w:ascii="宋体" w:hAnsi="宋体" w:eastAsia="宋体" w:cs="宋体"/>
          <w:szCs w:val="21"/>
        </w:rPr>
        <w:t>）</w:t>
      </w:r>
    </w:p>
    <w:p w14:paraId="5EEF9379">
      <w:pPr>
        <w:spacing w:line="560" w:lineRule="exact"/>
        <w:ind w:firstLine="420" w:firstLineChars="200"/>
        <w:rPr>
          <w:rFonts w:ascii="宋体" w:hAnsi="宋体" w:eastAsia="宋体" w:cs="宋体"/>
          <w:szCs w:val="21"/>
        </w:rPr>
      </w:pPr>
      <w:r>
        <w:rPr>
          <w:rFonts w:hint="eastAsia" w:ascii="宋体" w:hAnsi="宋体" w:eastAsia="宋体" w:cs="宋体"/>
          <w:szCs w:val="21"/>
          <w:u w:val="single"/>
        </w:rPr>
        <w:t>（承包人全称）</w:t>
      </w:r>
      <w:r>
        <w:rPr>
          <w:rFonts w:hint="eastAsia" w:ascii="宋体" w:hAnsi="宋体" w:eastAsia="宋体" w:cs="宋体"/>
          <w:szCs w:val="21"/>
        </w:rPr>
        <w:t xml:space="preserve"> 法定代表人</w:t>
      </w:r>
      <w:r>
        <w:rPr>
          <w:rFonts w:hint="eastAsia" w:ascii="宋体" w:hAnsi="宋体" w:eastAsia="宋体" w:cs="宋体"/>
          <w:szCs w:val="21"/>
          <w:u w:val="single"/>
        </w:rPr>
        <w:t xml:space="preserve"> （职务、姓名）</w:t>
      </w:r>
      <w:r>
        <w:rPr>
          <w:rFonts w:hint="eastAsia" w:ascii="宋体" w:hAnsi="宋体" w:eastAsia="宋体" w:cs="宋体"/>
          <w:szCs w:val="21"/>
        </w:rPr>
        <w:t xml:space="preserve"> 代表本单位委任 </w:t>
      </w:r>
      <w:r>
        <w:rPr>
          <w:rFonts w:hint="eastAsia" w:ascii="宋体" w:hAnsi="宋体" w:eastAsia="宋体" w:cs="宋体"/>
          <w:szCs w:val="21"/>
          <w:u w:val="single"/>
        </w:rPr>
        <w:t>（职务、姓名）</w:t>
      </w:r>
      <w:r>
        <w:rPr>
          <w:rFonts w:hint="eastAsia" w:ascii="宋体" w:hAnsi="宋体" w:eastAsia="宋体" w:cs="宋体"/>
          <w:szCs w:val="21"/>
        </w:rPr>
        <w:t xml:space="preserve"> 为</w:t>
      </w:r>
      <w:r>
        <w:rPr>
          <w:rFonts w:hint="eastAsia" w:ascii="宋体" w:hAnsi="宋体" w:eastAsia="宋体" w:cs="宋体"/>
          <w:szCs w:val="21"/>
          <w:u w:val="single"/>
        </w:rPr>
        <w:t>（合同工程名称）</w:t>
      </w:r>
      <w:r>
        <w:rPr>
          <w:rFonts w:hint="eastAsia" w:ascii="宋体" w:hAnsi="宋体" w:eastAsia="宋体" w:cs="宋体"/>
          <w:szCs w:val="21"/>
        </w:rPr>
        <w:t>的项目经理。凡本合同执行中的有关技术、工程进度、现场管理、质量检验、结算与支付等方面工作，由</w:t>
      </w:r>
      <w:r>
        <w:rPr>
          <w:rFonts w:hint="eastAsia" w:ascii="宋体" w:hAnsi="宋体" w:eastAsia="宋体" w:cs="宋体"/>
          <w:szCs w:val="21"/>
          <w:u w:val="single"/>
        </w:rPr>
        <w:t xml:space="preserve"> （姓名） </w:t>
      </w:r>
      <w:r>
        <w:rPr>
          <w:rFonts w:hint="eastAsia" w:ascii="宋体" w:hAnsi="宋体" w:eastAsia="宋体" w:cs="宋体"/>
          <w:szCs w:val="21"/>
        </w:rPr>
        <w:t>代表本单位全面负责。</w:t>
      </w:r>
    </w:p>
    <w:p w14:paraId="23498170">
      <w:pPr>
        <w:spacing w:line="400" w:lineRule="exact"/>
        <w:rPr>
          <w:rFonts w:ascii="宋体" w:hAnsi="宋体" w:eastAsia="宋体" w:cs="宋体"/>
          <w:szCs w:val="21"/>
        </w:rPr>
      </w:pPr>
    </w:p>
    <w:p w14:paraId="2D096A02">
      <w:pPr>
        <w:spacing w:line="400" w:lineRule="exact"/>
        <w:rPr>
          <w:rFonts w:ascii="宋体" w:hAnsi="宋体" w:eastAsia="宋体" w:cs="宋体"/>
          <w:szCs w:val="21"/>
        </w:rPr>
      </w:pPr>
    </w:p>
    <w:p w14:paraId="3D768866">
      <w:pPr>
        <w:spacing w:line="400" w:lineRule="exact"/>
        <w:rPr>
          <w:rFonts w:ascii="宋体" w:hAnsi="宋体" w:eastAsia="宋体" w:cs="宋体"/>
          <w:szCs w:val="21"/>
        </w:rPr>
      </w:pPr>
    </w:p>
    <w:p w14:paraId="63F14E4B">
      <w:pPr>
        <w:wordWrap w:val="0"/>
        <w:spacing w:line="400" w:lineRule="exact"/>
        <w:jc w:val="right"/>
        <w:rPr>
          <w:rFonts w:ascii="宋体" w:hAnsi="宋体" w:eastAsia="宋体" w:cs="宋体"/>
          <w:szCs w:val="21"/>
        </w:rPr>
      </w:pPr>
      <w:r>
        <w:rPr>
          <w:rFonts w:hint="eastAsia" w:ascii="宋体" w:hAnsi="宋体" w:eastAsia="宋体" w:cs="宋体"/>
          <w:szCs w:val="21"/>
        </w:rPr>
        <w:t>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6133BA7C">
      <w:pPr>
        <w:wordWrap w:val="0"/>
        <w:spacing w:line="400" w:lineRule="exact"/>
        <w:jc w:val="right"/>
        <w:rPr>
          <w:rFonts w:ascii="宋体" w:hAnsi="宋体" w:eastAsia="宋体" w:cs="宋体"/>
          <w:szCs w:val="21"/>
          <w:u w:val="single"/>
        </w:rPr>
      </w:pPr>
      <w:r>
        <w:rPr>
          <w:rFonts w:hint="eastAsia" w:ascii="宋体" w:hAnsi="宋体" w:eastAsia="宋体" w:cs="宋体"/>
          <w:szCs w:val="21"/>
        </w:rPr>
        <w:t>法定代表人：</w:t>
      </w:r>
      <w:r>
        <w:rPr>
          <w:rFonts w:hint="eastAsia" w:ascii="宋体" w:hAnsi="宋体" w:eastAsia="宋体" w:cs="宋体"/>
          <w:szCs w:val="21"/>
          <w:u w:val="single"/>
        </w:rPr>
        <w:t xml:space="preserve">  （职务） </w:t>
      </w:r>
    </w:p>
    <w:p w14:paraId="72ACB8D3">
      <w:pPr>
        <w:wordWrap w:val="0"/>
        <w:spacing w:line="400" w:lineRule="exact"/>
        <w:ind w:firstLine="1575" w:firstLineChars="750"/>
        <w:jc w:val="right"/>
        <w:rPr>
          <w:rFonts w:ascii="宋体" w:hAnsi="宋体" w:eastAsia="宋体" w:cs="宋体"/>
          <w:szCs w:val="21"/>
          <w:u w:val="single"/>
        </w:rPr>
      </w:pPr>
      <w:r>
        <w:rPr>
          <w:rFonts w:hint="eastAsia" w:ascii="宋体" w:hAnsi="宋体" w:eastAsia="宋体" w:cs="宋体"/>
          <w:szCs w:val="21"/>
          <w:u w:val="single"/>
        </w:rPr>
        <w:t xml:space="preserve">  （姓名） </w:t>
      </w:r>
    </w:p>
    <w:p w14:paraId="60CE61A2">
      <w:pPr>
        <w:wordWrap w:val="0"/>
        <w:spacing w:line="400" w:lineRule="exact"/>
        <w:ind w:firstLine="1575" w:firstLineChars="750"/>
        <w:jc w:val="right"/>
        <w:rPr>
          <w:rFonts w:ascii="宋体" w:hAnsi="宋体" w:eastAsia="宋体" w:cs="宋体"/>
          <w:szCs w:val="21"/>
          <w:u w:val="single"/>
        </w:rPr>
      </w:pPr>
      <w:r>
        <w:rPr>
          <w:rFonts w:hint="eastAsia" w:ascii="宋体" w:hAnsi="宋体" w:eastAsia="宋体" w:cs="宋体"/>
          <w:szCs w:val="21"/>
          <w:u w:val="single"/>
        </w:rPr>
        <w:t xml:space="preserve">  （签字） </w:t>
      </w:r>
    </w:p>
    <w:p w14:paraId="7F5B2AE1">
      <w:pPr>
        <w:spacing w:line="400" w:lineRule="exact"/>
        <w:rPr>
          <w:rFonts w:ascii="宋体" w:hAnsi="宋体" w:eastAsia="宋体" w:cs="宋体"/>
          <w:szCs w:val="21"/>
        </w:rPr>
      </w:pPr>
    </w:p>
    <w:p w14:paraId="6E0FCC67">
      <w:pPr>
        <w:wordWrap w:val="0"/>
        <w:spacing w:line="400" w:lineRule="exact"/>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3D78EB8A">
      <w:pPr>
        <w:spacing w:line="400" w:lineRule="exact"/>
        <w:rPr>
          <w:rFonts w:ascii="宋体" w:hAnsi="宋体" w:eastAsia="宋体" w:cs="宋体"/>
          <w:szCs w:val="21"/>
        </w:rPr>
      </w:pPr>
    </w:p>
    <w:p w14:paraId="3EF61124">
      <w:pPr>
        <w:spacing w:line="400" w:lineRule="exact"/>
        <w:rPr>
          <w:rFonts w:ascii="宋体" w:hAnsi="宋体" w:eastAsia="宋体" w:cs="宋体"/>
          <w:szCs w:val="21"/>
        </w:rPr>
      </w:pPr>
    </w:p>
    <w:p w14:paraId="0B0764A1">
      <w:pPr>
        <w:spacing w:line="400" w:lineRule="exact"/>
        <w:rPr>
          <w:rFonts w:ascii="宋体" w:hAnsi="宋体" w:eastAsia="宋体" w:cs="宋体"/>
          <w:szCs w:val="21"/>
        </w:rPr>
      </w:pPr>
      <w:r>
        <w:rPr>
          <w:rFonts w:hint="eastAsia" w:ascii="宋体" w:hAnsi="宋体" w:eastAsia="宋体" w:cs="宋体"/>
          <w:szCs w:val="21"/>
        </w:rPr>
        <w:t>抄送：</w:t>
      </w:r>
      <w:r>
        <w:rPr>
          <w:rFonts w:hint="eastAsia" w:ascii="宋体" w:hAnsi="宋体" w:eastAsia="宋体" w:cs="宋体"/>
          <w:szCs w:val="21"/>
          <w:u w:val="single"/>
        </w:rPr>
        <w:t xml:space="preserve">  （监理人）</w:t>
      </w:r>
    </w:p>
    <w:p w14:paraId="179EB4A0">
      <w:pPr>
        <w:spacing w:line="400" w:lineRule="exact"/>
        <w:rPr>
          <w:rFonts w:ascii="宋体" w:hAnsi="宋体" w:eastAsia="宋体" w:cs="宋体"/>
          <w:szCs w:val="21"/>
        </w:rPr>
      </w:pPr>
    </w:p>
    <w:p w14:paraId="097A0320">
      <w:pPr>
        <w:spacing w:line="400" w:lineRule="exact"/>
        <w:rPr>
          <w:rFonts w:ascii="宋体" w:hAnsi="宋体" w:eastAsia="宋体" w:cs="宋体"/>
          <w:szCs w:val="21"/>
        </w:rPr>
      </w:pPr>
    </w:p>
    <w:p w14:paraId="475E3415">
      <w:pPr>
        <w:spacing w:line="400" w:lineRule="exact"/>
        <w:rPr>
          <w:rFonts w:ascii="宋体" w:hAnsi="宋体" w:eastAsia="宋体" w:cs="宋体"/>
          <w:szCs w:val="21"/>
        </w:rPr>
      </w:pPr>
    </w:p>
    <w:p w14:paraId="54B8FD7F">
      <w:pPr>
        <w:spacing w:line="400" w:lineRule="exact"/>
        <w:rPr>
          <w:rFonts w:ascii="宋体" w:hAnsi="宋体" w:eastAsia="宋体" w:cs="宋体"/>
          <w:szCs w:val="21"/>
        </w:rPr>
      </w:pPr>
    </w:p>
    <w:p w14:paraId="748DB1F2">
      <w:pPr>
        <w:spacing w:line="400" w:lineRule="exact"/>
        <w:rPr>
          <w:rFonts w:ascii="宋体" w:hAnsi="宋体" w:eastAsia="宋体" w:cs="宋体"/>
          <w:szCs w:val="21"/>
        </w:rPr>
      </w:pPr>
    </w:p>
    <w:p w14:paraId="77870DF3">
      <w:pPr>
        <w:spacing w:after="120" w:afterLines="50"/>
        <w:rPr>
          <w:rFonts w:ascii="宋体" w:hAnsi="宋体" w:eastAsia="宋体" w:cs="宋体"/>
          <w:sz w:val="24"/>
        </w:rPr>
      </w:pPr>
      <w:r>
        <w:rPr>
          <w:rFonts w:hint="eastAsia" w:ascii="宋体" w:hAnsi="宋体" w:eastAsia="宋体" w:cs="宋体"/>
          <w:sz w:val="24"/>
        </w:rPr>
        <w:br w:type="page"/>
      </w:r>
    </w:p>
    <w:p w14:paraId="59E88E8A">
      <w:pPr>
        <w:spacing w:after="120" w:afterLines="50"/>
        <w:rPr>
          <w:rFonts w:ascii="宋体" w:hAnsi="宋体" w:eastAsia="宋体" w:cs="宋体"/>
          <w:sz w:val="28"/>
          <w:szCs w:val="28"/>
        </w:rPr>
      </w:pPr>
      <w:r>
        <w:rPr>
          <w:rFonts w:hint="eastAsia" w:ascii="宋体" w:hAnsi="宋体" w:eastAsia="宋体" w:cs="宋体"/>
          <w:sz w:val="28"/>
          <w:szCs w:val="28"/>
        </w:rPr>
        <w:t>附件五   履约担保格式</w:t>
      </w:r>
    </w:p>
    <w:p w14:paraId="1AA3EC63">
      <w:pPr>
        <w:jc w:val="center"/>
        <w:rPr>
          <w:rFonts w:ascii="宋体" w:hAnsi="宋体" w:eastAsia="宋体" w:cs="宋体"/>
          <w:b/>
          <w:sz w:val="28"/>
          <w:szCs w:val="28"/>
        </w:rPr>
      </w:pPr>
      <w:r>
        <w:rPr>
          <w:rFonts w:hint="eastAsia" w:ascii="宋体" w:hAnsi="宋体" w:eastAsia="宋体" w:cs="宋体"/>
          <w:b/>
          <w:sz w:val="28"/>
          <w:szCs w:val="28"/>
        </w:rPr>
        <w:t>履 约 担 保</w:t>
      </w:r>
    </w:p>
    <w:p w14:paraId="16229FFC">
      <w:pPr>
        <w:rPr>
          <w:rFonts w:ascii="宋体" w:hAnsi="宋体" w:eastAsia="宋体" w:cs="宋体"/>
          <w:szCs w:val="21"/>
        </w:rPr>
      </w:pPr>
    </w:p>
    <w:p w14:paraId="2B05292E">
      <w:pP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w:t>
      </w:r>
    </w:p>
    <w:p w14:paraId="0F44039A">
      <w:pPr>
        <w:rPr>
          <w:rFonts w:ascii="宋体" w:hAnsi="宋体" w:eastAsia="宋体" w:cs="宋体"/>
          <w:szCs w:val="21"/>
        </w:rPr>
      </w:pPr>
    </w:p>
    <w:p w14:paraId="2BC3901E">
      <w:pPr>
        <w:spacing w:line="400" w:lineRule="exact"/>
        <w:ind w:firstLine="420" w:firstLineChars="200"/>
        <w:rPr>
          <w:rFonts w:ascii="宋体" w:hAnsi="宋体" w:eastAsia="宋体" w:cs="宋体"/>
          <w:szCs w:val="21"/>
        </w:rPr>
      </w:pPr>
      <w:r>
        <w:rPr>
          <w:rFonts w:hint="eastAsia" w:ascii="宋体" w:hAnsi="宋体" w:eastAsia="宋体" w:cs="宋体"/>
          <w:szCs w:val="21"/>
        </w:rPr>
        <w:t>鉴于</w:t>
      </w: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（发包人名称，以下简称“发包人”）接受</w:t>
      </w:r>
      <w:r>
        <w:rPr>
          <w:rFonts w:hint="eastAsia" w:ascii="宋体" w:hAnsi="宋体" w:eastAsia="宋体" w:cs="宋体"/>
          <w:szCs w:val="21"/>
          <w:u w:val="single"/>
        </w:rPr>
        <w:t xml:space="preserve">        </w:t>
      </w:r>
      <w:r>
        <w:rPr>
          <w:rFonts w:hint="eastAsia" w:ascii="宋体" w:hAnsi="宋体" w:eastAsia="宋体" w:cs="宋体"/>
          <w:szCs w:val="21"/>
        </w:rPr>
        <w:t>（承包人名称）（以下称“承包人”）于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日参加</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标段施工的投标。我方愿意无条件地、不可撤销地就承包人履行与你方订立的合同，向你方提供担保。</w:t>
      </w:r>
    </w:p>
    <w:p w14:paraId="63BAC47F">
      <w:pPr>
        <w:spacing w:line="400" w:lineRule="exact"/>
        <w:ind w:firstLine="420" w:firstLineChars="200"/>
        <w:rPr>
          <w:rFonts w:ascii="宋体" w:hAnsi="宋体" w:eastAsia="宋体" w:cs="宋体"/>
          <w:szCs w:val="21"/>
        </w:rPr>
      </w:pPr>
      <w:r>
        <w:rPr>
          <w:rFonts w:hint="eastAsia" w:ascii="宋体" w:hAnsi="宋体" w:eastAsia="宋体" w:cs="宋体"/>
          <w:szCs w:val="21"/>
        </w:rPr>
        <w:t>1.担保金额人民币（大写）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14:paraId="26AEA435">
      <w:pPr>
        <w:spacing w:line="400" w:lineRule="exact"/>
        <w:ind w:firstLine="420" w:firstLineChars="200"/>
        <w:rPr>
          <w:rFonts w:ascii="宋体" w:hAnsi="宋体" w:eastAsia="宋体" w:cs="宋体"/>
          <w:szCs w:val="21"/>
        </w:rPr>
      </w:pPr>
      <w:r>
        <w:rPr>
          <w:rFonts w:hint="eastAsia" w:ascii="宋体" w:hAnsi="宋体" w:eastAsia="宋体" w:cs="宋体"/>
          <w:szCs w:val="21"/>
        </w:rPr>
        <w:t>2.担保有效期自发包人与承包人签订的合同生效之日起至发包人签发工程接收交工验收证书之日止。</w:t>
      </w:r>
    </w:p>
    <w:p w14:paraId="15609389">
      <w:pPr>
        <w:spacing w:line="400" w:lineRule="exact"/>
        <w:ind w:firstLine="420" w:firstLineChars="200"/>
        <w:rPr>
          <w:rFonts w:ascii="宋体" w:hAnsi="宋体" w:eastAsia="宋体" w:cs="宋体"/>
          <w:szCs w:val="21"/>
        </w:rPr>
      </w:pPr>
      <w:r>
        <w:rPr>
          <w:rFonts w:hint="eastAsia" w:ascii="宋体" w:hAnsi="宋体" w:eastAsia="宋体" w:cs="宋体"/>
          <w:szCs w:val="21"/>
        </w:rPr>
        <w:t>3.在本担保有效期内，因承包人违反合同约定的义务给你方造成经济损失时，我方在收到你方以书面形式提出的在担保金额内的赔偿要求后，在7天内无条件支付，无须你方出具证明或陈述理由。</w:t>
      </w:r>
    </w:p>
    <w:p w14:paraId="5DFC76F1">
      <w:pPr>
        <w:spacing w:line="400" w:lineRule="exact"/>
        <w:ind w:firstLine="420" w:firstLineChars="200"/>
        <w:rPr>
          <w:rFonts w:ascii="宋体" w:hAnsi="宋体" w:eastAsia="宋体" w:cs="宋体"/>
          <w:szCs w:val="21"/>
        </w:rPr>
      </w:pPr>
      <w:r>
        <w:rPr>
          <w:rFonts w:hint="eastAsia" w:ascii="宋体" w:hAnsi="宋体" w:eastAsia="宋体" w:cs="宋体"/>
          <w:szCs w:val="21"/>
        </w:rPr>
        <w:t>4.发包人和承包人按合同条款第15条变更合同时，我方承担本担保规定的义务不变。</w:t>
      </w:r>
    </w:p>
    <w:p w14:paraId="221D3385">
      <w:pPr>
        <w:rPr>
          <w:rFonts w:ascii="宋体" w:hAnsi="宋体" w:eastAsia="宋体" w:cs="宋体"/>
          <w:szCs w:val="21"/>
        </w:rPr>
      </w:pPr>
    </w:p>
    <w:p w14:paraId="2E99DBD8">
      <w:pPr>
        <w:rPr>
          <w:rFonts w:ascii="宋体" w:hAnsi="宋体" w:eastAsia="宋体" w:cs="宋体"/>
          <w:szCs w:val="21"/>
        </w:rPr>
      </w:pPr>
    </w:p>
    <w:p w14:paraId="2A7C1D29">
      <w:pPr>
        <w:rPr>
          <w:rFonts w:ascii="宋体" w:hAnsi="宋体" w:eastAsia="宋体" w:cs="宋体"/>
          <w:szCs w:val="21"/>
        </w:rPr>
      </w:pPr>
    </w:p>
    <w:p w14:paraId="26FE5C1B">
      <w:pPr>
        <w:rPr>
          <w:rFonts w:ascii="宋体" w:hAnsi="宋体" w:eastAsia="宋体" w:cs="宋体"/>
          <w:szCs w:val="21"/>
        </w:rPr>
      </w:pPr>
    </w:p>
    <w:p w14:paraId="25AE5FE3">
      <w:pPr>
        <w:spacing w:line="440" w:lineRule="exact"/>
        <w:rPr>
          <w:rFonts w:ascii="宋体" w:hAnsi="宋体" w:eastAsia="宋体" w:cs="宋体"/>
          <w:szCs w:val="21"/>
        </w:rPr>
      </w:pPr>
      <w:r>
        <w:rPr>
          <w:rFonts w:hint="eastAsia" w:ascii="宋体" w:hAnsi="宋体" w:eastAsia="宋体" w:cs="宋体"/>
          <w:szCs w:val="21"/>
        </w:rPr>
        <w:t xml:space="preserve">                                 担 保 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0A448C19">
      <w:pPr>
        <w:spacing w:line="440" w:lineRule="exact"/>
        <w:rPr>
          <w:rFonts w:ascii="宋体" w:hAnsi="宋体" w:eastAsia="宋体" w:cs="宋体"/>
          <w:szCs w:val="21"/>
        </w:rPr>
      </w:pPr>
      <w:r>
        <w:rPr>
          <w:rFonts w:hint="eastAsia" w:ascii="宋体" w:hAnsi="宋体" w:eastAsia="宋体" w:cs="宋体"/>
          <w:szCs w:val="21"/>
        </w:rPr>
        <w:t xml:space="preserve">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78B366FF">
      <w:pPr>
        <w:spacing w:line="440" w:lineRule="exact"/>
        <w:rPr>
          <w:rFonts w:ascii="宋体" w:hAnsi="宋体" w:eastAsia="宋体" w:cs="宋体"/>
          <w:szCs w:val="21"/>
        </w:rPr>
      </w:pPr>
      <w:r>
        <w:rPr>
          <w:rFonts w:hint="eastAsia" w:ascii="宋体" w:hAnsi="宋体" w:eastAsia="宋体" w:cs="宋体"/>
          <w:szCs w:val="21"/>
        </w:rPr>
        <w:t xml:space="preserve">                                 地    址：</w:t>
      </w:r>
      <w:r>
        <w:rPr>
          <w:rFonts w:hint="eastAsia" w:ascii="宋体" w:hAnsi="宋体" w:eastAsia="宋体" w:cs="宋体"/>
          <w:szCs w:val="21"/>
          <w:u w:val="single"/>
        </w:rPr>
        <w:t xml:space="preserve">                              </w:t>
      </w:r>
    </w:p>
    <w:p w14:paraId="4E9C2ECA">
      <w:pPr>
        <w:spacing w:line="440" w:lineRule="exact"/>
        <w:rPr>
          <w:rFonts w:ascii="宋体" w:hAnsi="宋体" w:eastAsia="宋体" w:cs="宋体"/>
          <w:szCs w:val="21"/>
        </w:rPr>
      </w:pP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32467EF">
      <w:pPr>
        <w:spacing w:line="440" w:lineRule="exact"/>
        <w:rPr>
          <w:rFonts w:ascii="宋体" w:hAnsi="宋体" w:eastAsia="宋体" w:cs="宋体"/>
          <w:szCs w:val="21"/>
        </w:rPr>
      </w:pPr>
      <w:r>
        <w:rPr>
          <w:rFonts w:hint="eastAsia" w:ascii="宋体" w:hAnsi="宋体" w:eastAsia="宋体" w:cs="宋体"/>
          <w:szCs w:val="21"/>
        </w:rPr>
        <w:t xml:space="preserve">                                 电    话：</w:t>
      </w:r>
      <w:r>
        <w:rPr>
          <w:rFonts w:hint="eastAsia" w:ascii="宋体" w:hAnsi="宋体" w:eastAsia="宋体" w:cs="宋体"/>
          <w:szCs w:val="21"/>
          <w:u w:val="single"/>
        </w:rPr>
        <w:t xml:space="preserve">                              </w:t>
      </w:r>
    </w:p>
    <w:p w14:paraId="6A47331C">
      <w:pPr>
        <w:spacing w:line="440" w:lineRule="exact"/>
        <w:rPr>
          <w:rFonts w:ascii="宋体" w:hAnsi="宋体" w:eastAsia="宋体" w:cs="宋体"/>
          <w:szCs w:val="21"/>
        </w:rPr>
      </w:pP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14:paraId="5F9CA522">
      <w:pPr>
        <w:rPr>
          <w:rFonts w:ascii="宋体" w:hAnsi="宋体" w:eastAsia="宋体" w:cs="宋体"/>
          <w:szCs w:val="21"/>
        </w:rPr>
      </w:pPr>
    </w:p>
    <w:p w14:paraId="06967B4D">
      <w:pPr>
        <w:rPr>
          <w:rFonts w:ascii="宋体" w:hAnsi="宋体" w:eastAsia="宋体" w:cs="宋体"/>
          <w:szCs w:val="21"/>
        </w:rPr>
      </w:pPr>
    </w:p>
    <w:p w14:paraId="6CDB0FEC">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07AEDF3">
      <w:pPr>
        <w:spacing w:line="400" w:lineRule="exact"/>
        <w:ind w:firstLine="420" w:firstLineChars="200"/>
        <w:rPr>
          <w:rFonts w:ascii="宋体" w:hAnsi="宋体" w:eastAsia="宋体" w:cs="宋体"/>
          <w:szCs w:val="21"/>
        </w:rPr>
      </w:pPr>
    </w:p>
    <w:p w14:paraId="48A3ABB0">
      <w:pPr>
        <w:spacing w:line="400" w:lineRule="exact"/>
        <w:ind w:firstLine="420" w:firstLineChars="200"/>
        <w:rPr>
          <w:rFonts w:ascii="宋体" w:hAnsi="宋体" w:eastAsia="宋体" w:cs="宋体"/>
          <w:szCs w:val="21"/>
        </w:rPr>
      </w:pPr>
    </w:p>
    <w:p w14:paraId="3B4573E9">
      <w:pPr>
        <w:spacing w:line="400" w:lineRule="exact"/>
        <w:ind w:firstLine="420" w:firstLineChars="200"/>
        <w:rPr>
          <w:rFonts w:ascii="宋体" w:hAnsi="宋体" w:eastAsia="宋体" w:cs="宋体"/>
          <w:szCs w:val="21"/>
        </w:rPr>
      </w:pPr>
    </w:p>
    <w:p w14:paraId="76F6BB74">
      <w:pPr>
        <w:spacing w:line="400" w:lineRule="exact"/>
        <w:ind w:firstLine="420" w:firstLineChars="200"/>
        <w:rPr>
          <w:rFonts w:ascii="宋体" w:hAnsi="宋体" w:eastAsia="宋体" w:cs="宋体"/>
          <w:szCs w:val="21"/>
        </w:rPr>
      </w:pPr>
    </w:p>
    <w:p w14:paraId="077D319F">
      <w:pPr>
        <w:spacing w:line="400" w:lineRule="exact"/>
        <w:ind w:firstLine="420" w:firstLineChars="200"/>
        <w:rPr>
          <w:rFonts w:ascii="宋体" w:hAnsi="宋体" w:eastAsia="宋体" w:cs="宋体"/>
          <w:szCs w:val="21"/>
        </w:rPr>
      </w:pPr>
    </w:p>
    <w:p w14:paraId="0DC36F18">
      <w:pPr>
        <w:spacing w:line="400" w:lineRule="exact"/>
        <w:ind w:firstLine="420" w:firstLineChars="200"/>
        <w:rPr>
          <w:rFonts w:ascii="宋体" w:hAnsi="宋体" w:eastAsia="宋体" w:cs="宋体"/>
          <w:szCs w:val="21"/>
        </w:rPr>
      </w:pPr>
    </w:p>
    <w:p w14:paraId="7275E325">
      <w:pPr>
        <w:spacing w:line="400" w:lineRule="exact"/>
        <w:ind w:firstLine="420" w:firstLineChars="200"/>
        <w:rPr>
          <w:rFonts w:ascii="宋体" w:hAnsi="宋体" w:eastAsia="宋体" w:cs="宋体"/>
          <w:szCs w:val="21"/>
        </w:rPr>
      </w:pPr>
    </w:p>
    <w:p w14:paraId="73D9154E">
      <w:pPr>
        <w:spacing w:after="120" w:afterLines="50"/>
        <w:rPr>
          <w:rFonts w:ascii="宋体" w:hAnsi="宋体" w:eastAsia="宋体" w:cs="宋体"/>
          <w:szCs w:val="21"/>
        </w:rPr>
      </w:pPr>
      <w:r>
        <w:rPr>
          <w:rFonts w:ascii="宋体" w:hAnsi="宋体" w:eastAsia="宋体" w:cs="宋体"/>
          <w:szCs w:val="21"/>
        </w:rPr>
        <w:t xml:space="preserve"> </w:t>
      </w:r>
    </w:p>
    <w:p w14:paraId="443894F6">
      <w:pPr>
        <w:pStyle w:val="48"/>
      </w:pPr>
      <w:r>
        <w:br w:type="page"/>
      </w:r>
    </w:p>
    <w:p w14:paraId="44C90C2F">
      <w:pPr>
        <w:spacing w:after="120" w:afterLines="50"/>
        <w:rPr>
          <w:rFonts w:ascii="宋体" w:hAnsi="宋体" w:eastAsia="宋体" w:cs="宋体"/>
          <w:szCs w:val="21"/>
        </w:rPr>
      </w:pPr>
    </w:p>
    <w:p w14:paraId="2D44099D">
      <w:pPr>
        <w:spacing w:after="120" w:afterLines="50"/>
        <w:rPr>
          <w:rFonts w:ascii="宋体" w:hAnsi="宋体" w:eastAsia="宋体" w:cs="宋体"/>
          <w:sz w:val="28"/>
          <w:szCs w:val="28"/>
        </w:rPr>
      </w:pPr>
      <w:bookmarkStart w:id="389" w:name="_Toc466207320"/>
      <w:bookmarkStart w:id="390" w:name="_Toc27909"/>
      <w:r>
        <w:rPr>
          <w:rFonts w:hint="eastAsia" w:ascii="宋体" w:hAnsi="宋体" w:eastAsia="宋体" w:cs="宋体"/>
          <w:sz w:val="28"/>
          <w:szCs w:val="28"/>
        </w:rPr>
        <w:t>附件六  工程质量责任合同格式</w:t>
      </w:r>
      <w:bookmarkEnd w:id="389"/>
      <w:bookmarkEnd w:id="390"/>
    </w:p>
    <w:p w14:paraId="683E2B9F">
      <w:pPr>
        <w:pStyle w:val="104"/>
        <w:keepNext w:val="0"/>
        <w:keepLines w:val="0"/>
        <w:spacing w:line="240" w:lineRule="auto"/>
        <w:outlineLvl w:val="9"/>
        <w:rPr>
          <w:rFonts w:ascii="宋体" w:hAnsi="宋体" w:eastAsia="宋体"/>
          <w:sz w:val="21"/>
          <w:szCs w:val="21"/>
        </w:rPr>
      </w:pPr>
    </w:p>
    <w:p w14:paraId="1C0D05EB">
      <w:pPr>
        <w:spacing w:line="500" w:lineRule="exact"/>
        <w:jc w:val="center"/>
        <w:rPr>
          <w:rFonts w:ascii="宋体" w:hAnsi="宋体" w:eastAsia="宋体" w:cs="宋体"/>
          <w:b/>
          <w:bCs/>
          <w:sz w:val="30"/>
          <w:szCs w:val="30"/>
        </w:rPr>
      </w:pPr>
      <w:r>
        <w:rPr>
          <w:rFonts w:hint="eastAsia" w:ascii="宋体" w:hAnsi="宋体" w:eastAsia="宋体" w:cs="宋体"/>
          <w:b/>
          <w:bCs/>
          <w:sz w:val="30"/>
          <w:szCs w:val="30"/>
        </w:rPr>
        <w:t>工程质量责任合同</w:t>
      </w:r>
    </w:p>
    <w:p w14:paraId="36C0F0AF">
      <w:pPr>
        <w:spacing w:line="500" w:lineRule="exact"/>
        <w:jc w:val="center"/>
        <w:rPr>
          <w:rFonts w:ascii="宋体" w:hAnsi="宋体" w:eastAsia="宋体" w:cs="宋体"/>
          <w:b/>
          <w:szCs w:val="21"/>
        </w:rPr>
      </w:pPr>
    </w:p>
    <w:p w14:paraId="0F70EAC1">
      <w:pPr>
        <w:spacing w:line="300" w:lineRule="auto"/>
        <w:rPr>
          <w:rFonts w:ascii="宋体" w:hAnsi="宋体" w:eastAsia="宋体" w:cs="宋体"/>
          <w:szCs w:val="21"/>
        </w:rPr>
      </w:pPr>
      <w:r>
        <w:rPr>
          <w:rFonts w:hint="eastAsia" w:ascii="宋体" w:hAnsi="宋体" w:eastAsia="宋体" w:cs="宋体"/>
          <w:szCs w:val="21"/>
        </w:rPr>
        <w:t xml:space="preserve">   根据国务院《建设工程质量管理条例》，为保证设计使用年限内建设工程质量，</w:t>
      </w:r>
      <w:r>
        <w:rPr>
          <w:rFonts w:hint="eastAsia" w:ascii="宋体" w:hAnsi="宋体" w:eastAsia="宋体" w:cs="宋体"/>
          <w:b/>
          <w:bCs/>
          <w:szCs w:val="21"/>
          <w:u w:val="single"/>
        </w:rPr>
        <w:t xml:space="preserve">   </w:t>
      </w:r>
      <w:r>
        <w:rPr>
          <w:rFonts w:hint="eastAsia" w:ascii="宋体" w:hAnsi="宋体" w:eastAsia="宋体" w:cs="宋体"/>
          <w:szCs w:val="21"/>
          <w:u w:val="single"/>
        </w:rPr>
        <w:t>（项目名称）</w:t>
      </w:r>
      <w:r>
        <w:rPr>
          <w:rFonts w:hint="eastAsia" w:ascii="宋体" w:hAnsi="宋体" w:eastAsia="宋体" w:cs="宋体"/>
          <w:szCs w:val="21"/>
        </w:rPr>
        <w:t>的发包人</w:t>
      </w:r>
      <w:r>
        <w:rPr>
          <w:rFonts w:hint="eastAsia" w:ascii="宋体" w:hAnsi="宋体" w:eastAsia="宋体" w:cs="宋体"/>
          <w:b/>
          <w:bCs/>
          <w:szCs w:val="21"/>
          <w:u w:val="single"/>
        </w:rPr>
        <w:t xml:space="preserve">      （以下称甲方）</w:t>
      </w:r>
      <w:r>
        <w:rPr>
          <w:rFonts w:hint="eastAsia" w:ascii="宋体" w:hAnsi="宋体" w:eastAsia="宋体" w:cs="宋体"/>
          <w:szCs w:val="21"/>
        </w:rPr>
        <w:t>与承包人</w:t>
      </w:r>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（以下称乙方），特订立如下质量责任合同。</w:t>
      </w:r>
    </w:p>
    <w:p w14:paraId="754F3753">
      <w:pPr>
        <w:spacing w:line="300" w:lineRule="auto"/>
        <w:rPr>
          <w:rFonts w:ascii="宋体" w:hAnsi="宋体" w:eastAsia="宋体" w:cs="宋体"/>
          <w:szCs w:val="21"/>
          <w:u w:val="single"/>
        </w:rPr>
      </w:pPr>
      <w:r>
        <w:rPr>
          <w:rFonts w:hint="eastAsia" w:ascii="宋体" w:hAnsi="宋体" w:eastAsia="宋体" w:cs="宋体"/>
          <w:szCs w:val="21"/>
        </w:rPr>
        <w:t xml:space="preserve">    第一条  本建设工程项目的质量目标为</w:t>
      </w:r>
      <w:r>
        <w:rPr>
          <w:rFonts w:hint="eastAsia" w:ascii="宋体" w:hAnsi="宋体" w:eastAsia="宋体" w:cs="宋体"/>
          <w:szCs w:val="21"/>
          <w:u w:val="single"/>
        </w:rPr>
        <w:t xml:space="preserve">     </w:t>
      </w:r>
      <w:r>
        <w:rPr>
          <w:rFonts w:hint="eastAsia" w:ascii="宋体" w:hAnsi="宋体" w:eastAsia="宋体" w:cs="宋体"/>
          <w:szCs w:val="21"/>
        </w:rPr>
        <w:t>，乙方对本建设工程的施工质量在设计使用年限内依法终身负责。施工质量责任人</w:t>
      </w:r>
      <w:r>
        <w:rPr>
          <w:rFonts w:hint="eastAsia" w:ascii="宋体" w:hAnsi="宋体" w:eastAsia="宋体" w:cs="宋体"/>
          <w:szCs w:val="21"/>
          <w:u w:val="single"/>
        </w:rPr>
        <w:t xml:space="preserve">             </w:t>
      </w:r>
      <w:r>
        <w:rPr>
          <w:rFonts w:hint="eastAsia" w:ascii="宋体" w:hAnsi="宋体" w:eastAsia="宋体" w:cs="宋体"/>
          <w:szCs w:val="21"/>
        </w:rPr>
        <w:t>。</w:t>
      </w:r>
    </w:p>
    <w:p w14:paraId="54641EF6">
      <w:pPr>
        <w:spacing w:line="300" w:lineRule="auto"/>
        <w:rPr>
          <w:rFonts w:ascii="宋体" w:hAnsi="宋体" w:eastAsia="宋体" w:cs="宋体"/>
          <w:szCs w:val="21"/>
        </w:rPr>
      </w:pPr>
      <w:r>
        <w:rPr>
          <w:rFonts w:hint="eastAsia" w:ascii="宋体" w:hAnsi="宋体" w:eastAsia="宋体" w:cs="宋体"/>
          <w:szCs w:val="21"/>
        </w:rPr>
        <w:t xml:space="preserve">    第二条  甲乙双方的权利与义务</w:t>
      </w:r>
    </w:p>
    <w:p w14:paraId="5332EC4A">
      <w:pPr>
        <w:spacing w:line="300" w:lineRule="auto"/>
        <w:rPr>
          <w:rFonts w:ascii="宋体" w:hAnsi="宋体" w:eastAsia="宋体" w:cs="宋体"/>
          <w:szCs w:val="21"/>
        </w:rPr>
      </w:pPr>
      <w:r>
        <w:rPr>
          <w:rFonts w:hint="eastAsia" w:ascii="宋体" w:hAnsi="宋体" w:eastAsia="宋体" w:cs="宋体"/>
          <w:szCs w:val="21"/>
        </w:rPr>
        <w:t xml:space="preserve">    （一）严格遵守国家有关法律法规及交通运输部和浙江省交通运输厅的有关规定。</w:t>
      </w:r>
    </w:p>
    <w:p w14:paraId="0CF5363E">
      <w:pPr>
        <w:spacing w:line="300" w:lineRule="auto"/>
        <w:rPr>
          <w:rFonts w:ascii="宋体" w:hAnsi="宋体" w:eastAsia="宋体" w:cs="宋体"/>
          <w:szCs w:val="21"/>
        </w:rPr>
      </w:pPr>
      <w:r>
        <w:rPr>
          <w:rFonts w:hint="eastAsia" w:ascii="宋体" w:hAnsi="宋体" w:eastAsia="宋体" w:cs="宋体"/>
          <w:szCs w:val="21"/>
        </w:rPr>
        <w:t xml:space="preserve">    （二）严格执行</w:t>
      </w:r>
      <w:r>
        <w:rPr>
          <w:rFonts w:hint="eastAsia" w:ascii="宋体" w:hAnsi="宋体" w:eastAsia="宋体" w:cs="宋体"/>
          <w:b/>
          <w:bCs/>
          <w:szCs w:val="21"/>
          <w:u w:val="single"/>
        </w:rPr>
        <w:t xml:space="preserve">    </w:t>
      </w:r>
      <w:r>
        <w:rPr>
          <w:rFonts w:hint="eastAsia" w:ascii="宋体" w:hAnsi="宋体" w:eastAsia="宋体" w:cs="宋体"/>
          <w:szCs w:val="21"/>
          <w:u w:val="single"/>
        </w:rPr>
        <w:t>（项目名称）</w:t>
      </w:r>
      <w:r>
        <w:rPr>
          <w:rFonts w:hint="eastAsia" w:ascii="宋体" w:hAnsi="宋体" w:eastAsia="宋体" w:cs="宋体"/>
          <w:szCs w:val="21"/>
        </w:rPr>
        <w:t>施工合同文件，自觉按合同办事。</w:t>
      </w:r>
    </w:p>
    <w:p w14:paraId="63E5B605">
      <w:pPr>
        <w:spacing w:line="300" w:lineRule="auto"/>
        <w:rPr>
          <w:rFonts w:ascii="宋体" w:hAnsi="宋体" w:eastAsia="宋体" w:cs="宋体"/>
          <w:szCs w:val="21"/>
        </w:rPr>
      </w:pPr>
      <w:r>
        <w:rPr>
          <w:rFonts w:hint="eastAsia" w:ascii="宋体" w:hAnsi="宋体" w:eastAsia="宋体" w:cs="宋体"/>
          <w:szCs w:val="21"/>
        </w:rPr>
        <w:t xml:space="preserve">    （三）双方的施工业务活动必须坚持科学、公正、诚信、平等的原则，不得损害国家、集体的利益，不得违反工程建设管理规章制度。</w:t>
      </w:r>
    </w:p>
    <w:p w14:paraId="6FCD6E66">
      <w:pPr>
        <w:spacing w:line="300" w:lineRule="auto"/>
        <w:ind w:firstLine="420"/>
        <w:rPr>
          <w:rFonts w:ascii="宋体" w:hAnsi="宋体" w:eastAsia="宋体" w:cs="宋体"/>
          <w:szCs w:val="21"/>
        </w:rPr>
      </w:pPr>
      <w:r>
        <w:rPr>
          <w:rFonts w:hint="eastAsia" w:ascii="宋体" w:hAnsi="宋体" w:eastAsia="宋体" w:cs="宋体"/>
          <w:szCs w:val="21"/>
        </w:rPr>
        <w:t>（四）发现对方在施工业务活动中，有违反有关规定的行为，有及时提醒对方纠正的权利和义务。</w:t>
      </w:r>
    </w:p>
    <w:p w14:paraId="20AC4EBA">
      <w:pPr>
        <w:spacing w:line="300" w:lineRule="auto"/>
        <w:ind w:firstLine="420"/>
        <w:rPr>
          <w:rFonts w:ascii="宋体" w:hAnsi="宋体" w:eastAsia="宋体" w:cs="宋体"/>
          <w:szCs w:val="21"/>
        </w:rPr>
      </w:pPr>
      <w:r>
        <w:rPr>
          <w:rFonts w:hint="eastAsia" w:ascii="宋体" w:hAnsi="宋体" w:eastAsia="宋体" w:cs="宋体"/>
          <w:szCs w:val="21"/>
        </w:rPr>
        <w:t>（五）发现对方严重违反施工合同文件的行为，有向其上级有关部门举报，建议给予处理并要求告知处理结果的权利。</w:t>
      </w:r>
    </w:p>
    <w:p w14:paraId="46A4BD12">
      <w:pPr>
        <w:spacing w:line="300" w:lineRule="auto"/>
        <w:ind w:firstLine="420"/>
        <w:rPr>
          <w:rFonts w:ascii="宋体" w:hAnsi="宋体" w:eastAsia="宋体" w:cs="宋体"/>
          <w:szCs w:val="21"/>
        </w:rPr>
      </w:pPr>
      <w:r>
        <w:rPr>
          <w:rFonts w:hint="eastAsia" w:ascii="宋体" w:hAnsi="宋体" w:eastAsia="宋体" w:cs="宋体"/>
          <w:szCs w:val="21"/>
        </w:rPr>
        <w:t>第三条  甲方的义务</w:t>
      </w:r>
    </w:p>
    <w:p w14:paraId="65C7AB48">
      <w:pPr>
        <w:spacing w:line="300" w:lineRule="auto"/>
        <w:ind w:firstLine="420"/>
        <w:rPr>
          <w:rFonts w:ascii="宋体" w:hAnsi="宋体" w:eastAsia="宋体" w:cs="宋体"/>
          <w:szCs w:val="21"/>
        </w:rPr>
      </w:pPr>
      <w:r>
        <w:rPr>
          <w:rFonts w:hint="eastAsia" w:ascii="宋体" w:hAnsi="宋体" w:eastAsia="宋体" w:cs="宋体"/>
          <w:szCs w:val="21"/>
        </w:rPr>
        <w:t>（一）甲方向乙方及时提供有关资料（包括技术规范、工程量清单、施工图等）。</w:t>
      </w:r>
    </w:p>
    <w:p w14:paraId="64FD5FDB">
      <w:pPr>
        <w:spacing w:line="300" w:lineRule="auto"/>
        <w:ind w:firstLine="420"/>
        <w:rPr>
          <w:rFonts w:ascii="宋体" w:hAnsi="宋体" w:eastAsia="宋体" w:cs="宋体"/>
          <w:szCs w:val="21"/>
        </w:rPr>
      </w:pPr>
      <w:r>
        <w:rPr>
          <w:rFonts w:hint="eastAsia" w:ascii="宋体" w:hAnsi="宋体" w:eastAsia="宋体" w:cs="宋体"/>
          <w:szCs w:val="21"/>
        </w:rPr>
        <w:t>（二）甲方向乙方及时提供建设用地，及时解决对工程占地范围以内尚未拆迁的建筑物及其他障碍物。</w:t>
      </w:r>
    </w:p>
    <w:p w14:paraId="6AD16078">
      <w:pPr>
        <w:spacing w:line="300" w:lineRule="auto"/>
        <w:ind w:firstLine="420"/>
        <w:rPr>
          <w:rFonts w:ascii="宋体" w:hAnsi="宋体" w:eastAsia="宋体" w:cs="宋体"/>
          <w:szCs w:val="21"/>
        </w:rPr>
      </w:pPr>
      <w:r>
        <w:rPr>
          <w:rFonts w:hint="eastAsia" w:ascii="宋体" w:hAnsi="宋体" w:eastAsia="宋体" w:cs="宋体"/>
          <w:szCs w:val="21"/>
        </w:rPr>
        <w:t>（三）甲方不得指使乙方不按法律、法规、工程建设强制性标准和施工规范进行工程的施工活动。</w:t>
      </w:r>
    </w:p>
    <w:p w14:paraId="0145085F">
      <w:pPr>
        <w:spacing w:line="300" w:lineRule="auto"/>
        <w:ind w:firstLine="420"/>
        <w:rPr>
          <w:rFonts w:ascii="宋体" w:hAnsi="宋体" w:eastAsia="宋体" w:cs="宋体"/>
          <w:szCs w:val="21"/>
        </w:rPr>
      </w:pPr>
      <w:r>
        <w:rPr>
          <w:rFonts w:hint="eastAsia" w:ascii="宋体" w:hAnsi="宋体" w:eastAsia="宋体" w:cs="宋体"/>
          <w:szCs w:val="21"/>
        </w:rPr>
        <w:t>（四）甲方须按施工合同的约定支付工程款，除施工合同的约定外，甲方不得以任何借口克扣工程款或拖延工程款的支付。</w:t>
      </w:r>
    </w:p>
    <w:p w14:paraId="52740398">
      <w:pPr>
        <w:spacing w:line="300" w:lineRule="auto"/>
        <w:ind w:firstLine="420"/>
        <w:rPr>
          <w:rFonts w:ascii="宋体" w:hAnsi="宋体" w:eastAsia="宋体" w:cs="宋体"/>
          <w:szCs w:val="21"/>
        </w:rPr>
      </w:pPr>
      <w:r>
        <w:rPr>
          <w:rFonts w:hint="eastAsia" w:ascii="宋体" w:hAnsi="宋体" w:eastAsia="宋体" w:cs="宋体"/>
          <w:szCs w:val="21"/>
        </w:rPr>
        <w:t>（五）甲方不得明示或暗示向乙方推荐单位或个人承包或分包本工程项目的施工任务。</w:t>
      </w:r>
    </w:p>
    <w:p w14:paraId="4BC253DE">
      <w:pPr>
        <w:spacing w:line="300" w:lineRule="auto"/>
        <w:ind w:firstLine="420"/>
        <w:rPr>
          <w:rFonts w:ascii="宋体" w:hAnsi="宋体" w:eastAsia="宋体" w:cs="宋体"/>
          <w:szCs w:val="21"/>
        </w:rPr>
      </w:pPr>
      <w:r>
        <w:rPr>
          <w:rFonts w:hint="eastAsia" w:ascii="宋体" w:hAnsi="宋体" w:eastAsia="宋体" w:cs="宋体"/>
          <w:szCs w:val="21"/>
        </w:rPr>
        <w:t>（六）甲方不得以任何理由索取回扣或其它好处。</w:t>
      </w:r>
    </w:p>
    <w:p w14:paraId="7198DC9C">
      <w:pPr>
        <w:spacing w:line="300" w:lineRule="auto"/>
        <w:ind w:firstLine="420"/>
        <w:rPr>
          <w:rFonts w:ascii="宋体" w:hAnsi="宋体" w:eastAsia="宋体" w:cs="宋体"/>
          <w:szCs w:val="21"/>
        </w:rPr>
      </w:pPr>
      <w:r>
        <w:rPr>
          <w:rFonts w:hint="eastAsia" w:ascii="宋体" w:hAnsi="宋体" w:eastAsia="宋体" w:cs="宋体"/>
          <w:szCs w:val="21"/>
        </w:rPr>
        <w:t>第四条  乙方的义务</w:t>
      </w:r>
    </w:p>
    <w:p w14:paraId="458F8024">
      <w:pPr>
        <w:spacing w:line="300" w:lineRule="auto"/>
        <w:ind w:firstLine="420"/>
        <w:rPr>
          <w:rFonts w:ascii="宋体" w:hAnsi="宋体" w:eastAsia="宋体" w:cs="宋体"/>
          <w:szCs w:val="21"/>
        </w:rPr>
      </w:pPr>
      <w:r>
        <w:rPr>
          <w:rFonts w:hint="eastAsia" w:ascii="宋体" w:hAnsi="宋体" w:eastAsia="宋体" w:cs="宋体"/>
          <w:szCs w:val="21"/>
        </w:rPr>
        <w:t>（一）乙方应具备与本工程项目相应等级的施工资质证书。</w:t>
      </w:r>
    </w:p>
    <w:p w14:paraId="4B5C0A94">
      <w:pPr>
        <w:spacing w:line="300" w:lineRule="auto"/>
        <w:ind w:firstLine="420"/>
        <w:rPr>
          <w:rFonts w:ascii="宋体" w:hAnsi="宋体" w:eastAsia="宋体" w:cs="宋体"/>
          <w:szCs w:val="21"/>
        </w:rPr>
      </w:pPr>
      <w:r>
        <w:rPr>
          <w:rFonts w:hint="eastAsia" w:ascii="宋体" w:hAnsi="宋体" w:eastAsia="宋体" w:cs="宋体"/>
          <w:szCs w:val="21"/>
        </w:rPr>
        <w:t>（二）乙方不得允许其它单位或个人以乙方的名义承揽本工程项目的施工任务，不得转包或违法分包所承揽的本工程的项目施工任务。</w:t>
      </w:r>
    </w:p>
    <w:p w14:paraId="241FF9D3">
      <w:pPr>
        <w:spacing w:line="300" w:lineRule="auto"/>
        <w:ind w:firstLine="420"/>
        <w:rPr>
          <w:rFonts w:ascii="宋体" w:hAnsi="宋体" w:eastAsia="宋体" w:cs="宋体"/>
          <w:szCs w:val="21"/>
        </w:rPr>
      </w:pPr>
      <w:r>
        <w:rPr>
          <w:rFonts w:hint="eastAsia" w:ascii="宋体" w:hAnsi="宋体" w:eastAsia="宋体" w:cs="宋体"/>
          <w:szCs w:val="21"/>
        </w:rPr>
        <w:t>（三）乙方必须严格履行施工合同，按投标承诺的施工技术人员及时到位。施工技术人员原则上不得擅自调换，如有特殊原因确需调换的，须经业主书面同意方能换人。</w:t>
      </w:r>
    </w:p>
    <w:p w14:paraId="241679EF">
      <w:pPr>
        <w:spacing w:line="300" w:lineRule="auto"/>
        <w:ind w:firstLine="420"/>
        <w:rPr>
          <w:rFonts w:ascii="宋体" w:hAnsi="宋体" w:eastAsia="宋体" w:cs="宋体"/>
          <w:szCs w:val="21"/>
        </w:rPr>
      </w:pPr>
      <w:r>
        <w:rPr>
          <w:rFonts w:hint="eastAsia" w:ascii="宋体" w:hAnsi="宋体" w:eastAsia="宋体" w:cs="宋体"/>
          <w:szCs w:val="21"/>
        </w:rPr>
        <w:t>（四）乙方必须建立工地临时试验室，按要求配合相应的试验检测人员和设备，并取得工地临时试验室资质证书。按有关规定做好各类试验，试验资料应真实、完整，统一归档。</w:t>
      </w:r>
    </w:p>
    <w:p w14:paraId="61214C76">
      <w:pPr>
        <w:spacing w:line="300" w:lineRule="auto"/>
        <w:ind w:firstLine="420"/>
        <w:rPr>
          <w:rFonts w:ascii="宋体" w:hAnsi="宋体" w:eastAsia="宋体" w:cs="宋体"/>
          <w:szCs w:val="21"/>
        </w:rPr>
      </w:pPr>
      <w:r>
        <w:rPr>
          <w:rFonts w:hint="eastAsia" w:ascii="宋体" w:hAnsi="宋体" w:eastAsia="宋体" w:cs="宋体"/>
          <w:szCs w:val="21"/>
        </w:rPr>
        <w:t>（五）乙方必须按照工程设计图纸和施工技术规范施工，不得擅自修改工程设计，不得偷工减料。</w:t>
      </w:r>
    </w:p>
    <w:p w14:paraId="5B3B0E43">
      <w:pPr>
        <w:spacing w:line="300" w:lineRule="auto"/>
        <w:ind w:firstLine="420"/>
        <w:rPr>
          <w:rFonts w:ascii="宋体" w:hAnsi="宋体" w:eastAsia="宋体" w:cs="宋体"/>
          <w:szCs w:val="21"/>
        </w:rPr>
      </w:pPr>
      <w:r>
        <w:rPr>
          <w:rFonts w:hint="eastAsia" w:ascii="宋体" w:hAnsi="宋体" w:eastAsia="宋体" w:cs="宋体"/>
          <w:szCs w:val="21"/>
        </w:rPr>
        <w:t>（六）乙方在施工过程中发现设计文件和图纸有差错的，应当及时提出意见和建议。</w:t>
      </w:r>
    </w:p>
    <w:p w14:paraId="60501E0A">
      <w:pPr>
        <w:spacing w:line="300" w:lineRule="auto"/>
        <w:ind w:firstLine="420"/>
        <w:rPr>
          <w:rFonts w:ascii="宋体" w:hAnsi="宋体" w:eastAsia="宋体" w:cs="宋体"/>
          <w:szCs w:val="21"/>
        </w:rPr>
      </w:pPr>
      <w:r>
        <w:rPr>
          <w:rFonts w:hint="eastAsia" w:ascii="宋体" w:hAnsi="宋体" w:eastAsia="宋体" w:cs="宋体"/>
          <w:szCs w:val="21"/>
        </w:rPr>
        <w:t>（七）乙方与甲方、乙方与指定分包人之间有关工程质量、进度和费用的一切往来函件、报表均应分类编号归档保存；施工技术资料应真实、完整。</w:t>
      </w:r>
    </w:p>
    <w:p w14:paraId="053ABC07">
      <w:pPr>
        <w:spacing w:line="300" w:lineRule="auto"/>
        <w:ind w:firstLine="420"/>
        <w:rPr>
          <w:rFonts w:ascii="宋体" w:hAnsi="宋体" w:eastAsia="宋体" w:cs="宋体"/>
          <w:szCs w:val="21"/>
        </w:rPr>
      </w:pPr>
      <w:r>
        <w:rPr>
          <w:rFonts w:hint="eastAsia" w:ascii="宋体" w:hAnsi="宋体" w:eastAsia="宋体" w:cs="宋体"/>
          <w:szCs w:val="21"/>
        </w:rPr>
        <w:t>（八）乙方应加强对甲方按合同规定采购的材料设备的检验，对检验不合格的产品，乙方应拒绝使用。</w:t>
      </w:r>
    </w:p>
    <w:p w14:paraId="3A5F445E">
      <w:pPr>
        <w:spacing w:line="300" w:lineRule="auto"/>
        <w:ind w:firstLine="420"/>
        <w:rPr>
          <w:rFonts w:ascii="宋体" w:hAnsi="宋体" w:eastAsia="宋体" w:cs="宋体"/>
          <w:szCs w:val="21"/>
        </w:rPr>
      </w:pPr>
      <w:r>
        <w:rPr>
          <w:rFonts w:hint="eastAsia" w:ascii="宋体" w:hAnsi="宋体" w:eastAsia="宋体" w:cs="宋体"/>
          <w:szCs w:val="21"/>
        </w:rPr>
        <w:t>（九）乙方不得暗示材料、设备供应单位提供使用不合格或质量低劣的材料、设备。</w:t>
      </w:r>
    </w:p>
    <w:p w14:paraId="77FE8004">
      <w:pPr>
        <w:spacing w:line="300" w:lineRule="auto"/>
        <w:ind w:firstLine="420"/>
        <w:rPr>
          <w:rFonts w:ascii="宋体" w:hAnsi="宋体" w:eastAsia="宋体" w:cs="宋体"/>
          <w:szCs w:val="21"/>
        </w:rPr>
      </w:pPr>
      <w:r>
        <w:rPr>
          <w:rFonts w:hint="eastAsia" w:ascii="宋体" w:hAnsi="宋体" w:eastAsia="宋体" w:cs="宋体"/>
          <w:szCs w:val="21"/>
        </w:rPr>
        <w:t>第五条  违约责任</w:t>
      </w:r>
    </w:p>
    <w:p w14:paraId="031C9AB9">
      <w:pPr>
        <w:spacing w:line="300" w:lineRule="auto"/>
        <w:ind w:left="420"/>
        <w:rPr>
          <w:rFonts w:ascii="宋体" w:hAnsi="宋体" w:eastAsia="宋体" w:cs="宋体"/>
          <w:szCs w:val="21"/>
        </w:rPr>
      </w:pPr>
      <w:r>
        <w:rPr>
          <w:rFonts w:hint="eastAsia" w:ascii="宋体" w:hAnsi="宋体" w:eastAsia="宋体" w:cs="宋体"/>
          <w:szCs w:val="21"/>
        </w:rPr>
        <w:t>（一）甲方及其工作人员违反本合同第二、三条，按管理权限，依据国务院《建设工程质量管</w:t>
      </w:r>
    </w:p>
    <w:p w14:paraId="6A793A4F">
      <w:pPr>
        <w:spacing w:line="300" w:lineRule="auto"/>
        <w:rPr>
          <w:rFonts w:ascii="宋体" w:hAnsi="宋体" w:eastAsia="宋体" w:cs="宋体"/>
          <w:szCs w:val="21"/>
        </w:rPr>
      </w:pPr>
      <w:r>
        <w:rPr>
          <w:rFonts w:hint="eastAsia" w:ascii="宋体" w:hAnsi="宋体" w:eastAsia="宋体" w:cs="宋体"/>
          <w:szCs w:val="21"/>
        </w:rPr>
        <w:t>理条例》有关规定给予相应的处罚；涉嫌犯罪的，依法追究刑事责任；给乙方单位造成经济损失的，应予以赔偿。</w:t>
      </w:r>
    </w:p>
    <w:p w14:paraId="40220489">
      <w:pPr>
        <w:spacing w:line="300" w:lineRule="auto"/>
        <w:ind w:left="420"/>
        <w:rPr>
          <w:rFonts w:ascii="宋体" w:hAnsi="宋体" w:eastAsia="宋体" w:cs="宋体"/>
          <w:szCs w:val="21"/>
        </w:rPr>
      </w:pPr>
      <w:r>
        <w:rPr>
          <w:rFonts w:hint="eastAsia" w:ascii="宋体" w:hAnsi="宋体" w:eastAsia="宋体" w:cs="宋体"/>
          <w:szCs w:val="21"/>
        </w:rPr>
        <w:t>（二）乙方及其工作人员违反本合同第二、四条，按管理权限，依据国务院《建设工程质量管</w:t>
      </w:r>
    </w:p>
    <w:p w14:paraId="6B835F25">
      <w:pPr>
        <w:spacing w:line="300" w:lineRule="auto"/>
        <w:rPr>
          <w:rFonts w:ascii="宋体" w:hAnsi="宋体" w:eastAsia="宋体" w:cs="宋体"/>
          <w:szCs w:val="21"/>
        </w:rPr>
      </w:pPr>
      <w:r>
        <w:rPr>
          <w:rFonts w:hint="eastAsia" w:ascii="宋体" w:hAnsi="宋体" w:eastAsia="宋体" w:cs="宋体"/>
          <w:szCs w:val="21"/>
        </w:rPr>
        <w:t>理条例》有关规定给予相应的处罚；涉嫌犯罪的，依法追究刑事责任；给甲方单位造成经济损失的，应予以赔偿。</w:t>
      </w:r>
    </w:p>
    <w:p w14:paraId="704D2138">
      <w:pPr>
        <w:spacing w:line="300" w:lineRule="auto"/>
        <w:ind w:firstLine="420"/>
        <w:rPr>
          <w:rFonts w:ascii="宋体" w:hAnsi="宋体" w:eastAsia="宋体" w:cs="宋体"/>
          <w:szCs w:val="21"/>
        </w:rPr>
      </w:pPr>
      <w:r>
        <w:rPr>
          <w:rFonts w:hint="eastAsia" w:ascii="宋体" w:hAnsi="宋体" w:eastAsia="宋体" w:cs="宋体"/>
          <w:szCs w:val="21"/>
        </w:rPr>
        <w:t>第六条  本合同有效期为甲乙双方自签署之日起至该工程项目设计使用年限之日止。</w:t>
      </w:r>
    </w:p>
    <w:p w14:paraId="4099F0E6">
      <w:pPr>
        <w:spacing w:line="300" w:lineRule="auto"/>
        <w:ind w:firstLine="420"/>
        <w:rPr>
          <w:rFonts w:ascii="宋体" w:hAnsi="宋体" w:eastAsia="宋体" w:cs="宋体"/>
          <w:szCs w:val="21"/>
        </w:rPr>
      </w:pPr>
      <w:r>
        <w:rPr>
          <w:rFonts w:hint="eastAsia" w:ascii="宋体" w:hAnsi="宋体" w:eastAsia="宋体" w:cs="宋体"/>
          <w:szCs w:val="21"/>
        </w:rPr>
        <w:t>第七条  本合同作为</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（项目名称） </w:t>
      </w:r>
      <w:r>
        <w:rPr>
          <w:rFonts w:hint="eastAsia" w:ascii="宋体" w:hAnsi="宋体" w:eastAsia="宋体" w:cs="宋体"/>
          <w:szCs w:val="21"/>
        </w:rPr>
        <w:t>施工合同附件，与工程施工合同具有同等的法律效力，经合同双方签署后立即生效。</w:t>
      </w:r>
    </w:p>
    <w:p w14:paraId="22479B67">
      <w:pPr>
        <w:spacing w:line="300" w:lineRule="auto"/>
        <w:ind w:firstLine="420"/>
        <w:rPr>
          <w:rFonts w:ascii="宋体" w:hAnsi="宋体" w:eastAsia="宋体" w:cs="宋体"/>
          <w:szCs w:val="21"/>
          <w:u w:val="single"/>
        </w:rPr>
      </w:pPr>
      <w:r>
        <w:rPr>
          <w:rFonts w:hint="eastAsia" w:ascii="宋体" w:hAnsi="宋体" w:eastAsia="宋体" w:cs="宋体"/>
          <w:szCs w:val="21"/>
        </w:rPr>
        <w:t>第八条  本合同正本二份、副本</w:t>
      </w:r>
      <w:r>
        <w:rPr>
          <w:rFonts w:hint="eastAsia" w:ascii="宋体" w:hAnsi="宋体" w:eastAsia="宋体" w:cs="宋体"/>
          <w:szCs w:val="21"/>
          <w:u w:val="single"/>
        </w:rPr>
        <w:t xml:space="preserve">   6  </w:t>
      </w:r>
      <w:r>
        <w:rPr>
          <w:rFonts w:hint="eastAsia" w:ascii="宋体" w:hAnsi="宋体" w:eastAsia="宋体" w:cs="宋体"/>
          <w:szCs w:val="21"/>
        </w:rPr>
        <w:t>份，合同双方各执正本一份，副本</w:t>
      </w:r>
      <w:r>
        <w:rPr>
          <w:rFonts w:hint="eastAsia" w:ascii="宋体" w:hAnsi="宋体" w:eastAsia="宋体" w:cs="宋体"/>
          <w:szCs w:val="21"/>
          <w:u w:val="single"/>
        </w:rPr>
        <w:t xml:space="preserve">   6  </w:t>
      </w:r>
      <w:r>
        <w:rPr>
          <w:rFonts w:hint="eastAsia" w:ascii="宋体" w:hAnsi="宋体" w:eastAsia="宋体" w:cs="宋体"/>
          <w:szCs w:val="21"/>
        </w:rPr>
        <w:t>份，当正本与副本的内容不一致时，以正本为准。</w:t>
      </w:r>
    </w:p>
    <w:p w14:paraId="562DE0BA">
      <w:pPr>
        <w:spacing w:line="300" w:lineRule="auto"/>
        <w:ind w:firstLine="420"/>
        <w:rPr>
          <w:rFonts w:ascii="宋体" w:hAnsi="宋体" w:eastAsia="宋体" w:cs="宋体"/>
          <w:szCs w:val="21"/>
        </w:rPr>
      </w:pPr>
    </w:p>
    <w:p w14:paraId="122ACF82">
      <w:pPr>
        <w:spacing w:line="300" w:lineRule="auto"/>
        <w:ind w:firstLine="420"/>
        <w:rPr>
          <w:rFonts w:ascii="宋体" w:hAnsi="宋体" w:eastAsia="宋体" w:cs="宋体"/>
          <w:szCs w:val="21"/>
        </w:rPr>
      </w:pPr>
    </w:p>
    <w:p w14:paraId="04554A81">
      <w:pPr>
        <w:spacing w:line="300" w:lineRule="auto"/>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1BB86853">
      <w:pPr>
        <w:spacing w:line="300" w:lineRule="auto"/>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7E49CAB5">
      <w:pPr>
        <w:spacing w:line="320" w:lineRule="exact"/>
        <w:rPr>
          <w:rFonts w:ascii="宋体" w:hAnsi="宋体" w:eastAsia="宋体" w:cs="宋体"/>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12657C7">
      <w:pPr>
        <w:spacing w:line="400" w:lineRule="exact"/>
        <w:ind w:firstLine="3686"/>
        <w:rPr>
          <w:rFonts w:ascii="宋体" w:hAnsi="宋体" w:eastAsia="宋体" w:cs="宋体"/>
          <w:szCs w:val="21"/>
        </w:rPr>
      </w:pPr>
    </w:p>
    <w:p w14:paraId="51A703F5">
      <w:pPr>
        <w:rPr>
          <w:rFonts w:ascii="宋体" w:hAnsi="宋体" w:eastAsia="宋体" w:cs="宋体"/>
          <w:sz w:val="24"/>
        </w:rPr>
      </w:pPr>
    </w:p>
    <w:p w14:paraId="3C4F4694">
      <w:pPr>
        <w:jc w:val="center"/>
        <w:rPr>
          <w:rFonts w:ascii="宋体" w:hAnsi="宋体" w:eastAsia="宋体" w:cs="宋体"/>
          <w:sz w:val="52"/>
          <w:szCs w:val="52"/>
        </w:rPr>
      </w:pPr>
      <w:r>
        <w:rPr>
          <w:rFonts w:hint="eastAsia" w:ascii="宋体" w:hAnsi="宋体" w:eastAsia="宋体" w:cs="宋体"/>
          <w:sz w:val="52"/>
          <w:szCs w:val="52"/>
        </w:rPr>
        <w:br w:type="page"/>
      </w:r>
    </w:p>
    <w:p w14:paraId="302BF76A">
      <w:pPr>
        <w:jc w:val="center"/>
        <w:rPr>
          <w:rFonts w:ascii="宋体" w:hAnsi="宋体" w:eastAsia="宋体" w:cs="宋体"/>
          <w:sz w:val="52"/>
          <w:szCs w:val="52"/>
        </w:rPr>
      </w:pPr>
    </w:p>
    <w:p w14:paraId="17743C5B">
      <w:pPr>
        <w:jc w:val="center"/>
        <w:rPr>
          <w:rFonts w:ascii="宋体" w:hAnsi="宋体" w:eastAsia="宋体" w:cs="宋体"/>
          <w:sz w:val="52"/>
          <w:szCs w:val="52"/>
        </w:rPr>
      </w:pPr>
    </w:p>
    <w:p w14:paraId="1868FE46">
      <w:pPr>
        <w:jc w:val="center"/>
        <w:rPr>
          <w:rFonts w:ascii="宋体" w:hAnsi="宋体" w:eastAsia="宋体" w:cs="宋体"/>
          <w:sz w:val="52"/>
          <w:szCs w:val="52"/>
        </w:rPr>
      </w:pPr>
    </w:p>
    <w:p w14:paraId="4A911CAB">
      <w:pPr>
        <w:jc w:val="center"/>
        <w:rPr>
          <w:rFonts w:ascii="宋体" w:hAnsi="宋体" w:eastAsia="宋体" w:cs="宋体"/>
          <w:sz w:val="52"/>
          <w:szCs w:val="52"/>
        </w:rPr>
      </w:pPr>
    </w:p>
    <w:p w14:paraId="5186164A">
      <w:pPr>
        <w:jc w:val="center"/>
        <w:rPr>
          <w:rFonts w:ascii="宋体" w:hAnsi="宋体" w:eastAsia="宋体" w:cs="宋体"/>
          <w:b/>
          <w:sz w:val="48"/>
          <w:szCs w:val="48"/>
        </w:rPr>
      </w:pPr>
      <w:r>
        <w:rPr>
          <w:rFonts w:hint="eastAsia" w:ascii="宋体" w:hAnsi="宋体" w:eastAsia="宋体" w:cs="宋体"/>
          <w:b/>
          <w:sz w:val="48"/>
          <w:szCs w:val="48"/>
        </w:rPr>
        <w:t>第五章  工程量清单</w:t>
      </w:r>
    </w:p>
    <w:p w14:paraId="2A490B5E">
      <w:pPr>
        <w:rPr>
          <w:rFonts w:ascii="宋体" w:hAnsi="宋体" w:eastAsia="宋体" w:cs="宋体"/>
          <w:sz w:val="24"/>
        </w:rPr>
      </w:pPr>
    </w:p>
    <w:p w14:paraId="4B852FA6">
      <w:pPr>
        <w:rPr>
          <w:rFonts w:ascii="宋体" w:hAnsi="宋体" w:eastAsia="宋体" w:cs="宋体"/>
          <w:sz w:val="24"/>
        </w:rPr>
      </w:pPr>
    </w:p>
    <w:p w14:paraId="69D4FDB9">
      <w:pPr>
        <w:rPr>
          <w:rFonts w:ascii="宋体" w:hAnsi="宋体" w:eastAsia="宋体" w:cs="宋体"/>
          <w:sz w:val="24"/>
        </w:rPr>
      </w:pPr>
    </w:p>
    <w:p w14:paraId="3D62EE70">
      <w:pPr>
        <w:rPr>
          <w:rFonts w:ascii="宋体" w:hAnsi="宋体" w:eastAsia="宋体" w:cs="宋体"/>
          <w:sz w:val="24"/>
        </w:rPr>
      </w:pPr>
    </w:p>
    <w:p w14:paraId="66FDFF86">
      <w:pPr>
        <w:rPr>
          <w:rFonts w:ascii="宋体" w:hAnsi="宋体" w:eastAsia="宋体" w:cs="宋体"/>
          <w:sz w:val="24"/>
        </w:rPr>
      </w:pPr>
    </w:p>
    <w:p w14:paraId="6FA5AFD1">
      <w:pPr>
        <w:pStyle w:val="2"/>
        <w:spacing w:line="240" w:lineRule="auto"/>
        <w:jc w:val="center"/>
        <w:rPr>
          <w:rFonts w:ascii="宋体" w:hAnsi="宋体"/>
          <w:sz w:val="30"/>
          <w:szCs w:val="30"/>
        </w:rPr>
      </w:pPr>
      <w:r>
        <w:rPr>
          <w:rFonts w:hint="eastAsia" w:ascii="宋体" w:hAnsi="宋体"/>
          <w:b w:val="0"/>
          <w:bCs w:val="0"/>
          <w:sz w:val="36"/>
          <w:szCs w:val="36"/>
        </w:rPr>
        <w:br w:type="page"/>
      </w:r>
    </w:p>
    <w:p w14:paraId="1C397933">
      <w:pPr>
        <w:spacing w:before="120" w:after="120"/>
        <w:ind w:left="-141" w:leftChars="-67" w:right="-27" w:rightChars="-13"/>
        <w:rPr>
          <w:rFonts w:eastAsia="黑体"/>
          <w:color w:val="000000"/>
          <w:sz w:val="24"/>
        </w:rPr>
      </w:pPr>
      <w:r>
        <w:rPr>
          <w:rFonts w:eastAsia="黑体"/>
          <w:color w:val="000000"/>
          <w:sz w:val="24"/>
        </w:rPr>
        <w:t>1.工程量清单说明</w:t>
      </w:r>
    </w:p>
    <w:p w14:paraId="68C805E3">
      <w:pPr>
        <w:spacing w:line="400" w:lineRule="exact"/>
        <w:ind w:left="-141" w:leftChars="-67" w:right="-27" w:rightChars="-13" w:firstLine="420" w:firstLineChars="200"/>
        <w:rPr>
          <w:color w:val="000000"/>
          <w:szCs w:val="21"/>
        </w:rPr>
      </w:pPr>
      <w:r>
        <w:rPr>
          <w:color w:val="000000"/>
          <w:szCs w:val="21"/>
        </w:rPr>
        <w:t>1.1本工程量清单是根据招标文件中包括的有合同约束力的</w:t>
      </w:r>
      <w:r>
        <w:rPr>
          <w:rFonts w:hint="eastAsia"/>
          <w:color w:val="000000"/>
          <w:szCs w:val="21"/>
        </w:rPr>
        <w:t>工程量清单计量规则、</w:t>
      </w:r>
      <w:r>
        <w:rPr>
          <w:color w:val="000000"/>
          <w:szCs w:val="21"/>
        </w:rPr>
        <w:t>图纸以及有关工程量清单的国家标准、行业标准、</w:t>
      </w:r>
      <w:r>
        <w:rPr>
          <w:rFonts w:hint="eastAsia"/>
          <w:color w:val="000000"/>
          <w:szCs w:val="21"/>
        </w:rPr>
        <w:t>地方标准、</w:t>
      </w:r>
      <w:r>
        <w:rPr>
          <w:color w:val="000000"/>
          <w:szCs w:val="21"/>
        </w:rPr>
        <w:t>合同条款中约定的</w:t>
      </w:r>
      <w:r>
        <w:rPr>
          <w:rFonts w:hint="eastAsia"/>
          <w:color w:val="000000"/>
          <w:szCs w:val="21"/>
        </w:rPr>
        <w:t>其他</w:t>
      </w:r>
      <w:r>
        <w:rPr>
          <w:color w:val="000000"/>
          <w:szCs w:val="21"/>
        </w:rPr>
        <w:t>规则编制。约定计量规则中没有的子目，其工程量按照有合同约束力的图纸所标示尺寸的理论净量计算。计量采用中华人民共和国法定计量单位。</w:t>
      </w:r>
    </w:p>
    <w:p w14:paraId="34BCC692">
      <w:pPr>
        <w:spacing w:line="400" w:lineRule="exact"/>
        <w:ind w:left="-141" w:leftChars="-67" w:right="-27" w:rightChars="-13" w:firstLine="420" w:firstLineChars="200"/>
        <w:rPr>
          <w:color w:val="000000"/>
          <w:szCs w:val="21"/>
        </w:rPr>
      </w:pPr>
      <w:r>
        <w:rPr>
          <w:color w:val="000000"/>
          <w:szCs w:val="21"/>
        </w:rPr>
        <w:t>1.2本工程量清单应与</w:t>
      </w:r>
      <w:r>
        <w:rPr>
          <w:color w:val="auto"/>
          <w:spacing w:val="-2"/>
          <w:sz w:val="21"/>
        </w:rPr>
        <w:t>依据浙江省《交通养护工程工程量清单计价规范》（DB33/T751-2009）第二部分“公路养护工程工程量清单计价规范”中的工程量清单计价要求</w:t>
      </w:r>
      <w:r>
        <w:rPr>
          <w:rFonts w:hint="eastAsia"/>
          <w:color w:val="000000"/>
          <w:szCs w:val="21"/>
        </w:rPr>
        <w:t>、</w:t>
      </w:r>
      <w:r>
        <w:rPr>
          <w:color w:val="000000"/>
          <w:szCs w:val="21"/>
        </w:rPr>
        <w:t>招标文件中的投标人须知、通用合同条款、专用合同条款、技术规范</w:t>
      </w:r>
      <w:r>
        <w:rPr>
          <w:rFonts w:hint="eastAsia"/>
          <w:color w:val="000000"/>
          <w:szCs w:val="21"/>
        </w:rPr>
        <w:t>、</w:t>
      </w:r>
      <w:r>
        <w:rPr>
          <w:color w:val="000000"/>
          <w:szCs w:val="21"/>
        </w:rPr>
        <w:t>图纸等一起阅读和理解。</w:t>
      </w:r>
    </w:p>
    <w:p w14:paraId="069D7AE7">
      <w:pPr>
        <w:spacing w:line="400" w:lineRule="exact"/>
        <w:ind w:left="-141" w:leftChars="-67" w:right="-27" w:rightChars="-13" w:firstLine="420" w:firstLineChars="200"/>
        <w:rPr>
          <w:color w:val="000000"/>
          <w:szCs w:val="21"/>
        </w:rPr>
      </w:pPr>
      <w:r>
        <w:rPr>
          <w:color w:val="000000"/>
          <w:szCs w:val="21"/>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 15.4 款的规定，由监理人确定的单价或总额价计算支付额。</w:t>
      </w:r>
    </w:p>
    <w:p w14:paraId="7BDD2FE7">
      <w:pPr>
        <w:spacing w:line="400" w:lineRule="exact"/>
        <w:ind w:left="-141" w:leftChars="-67" w:right="-27" w:rightChars="-13" w:firstLine="420" w:firstLineChars="200"/>
        <w:rPr>
          <w:color w:val="000000"/>
          <w:szCs w:val="21"/>
        </w:rPr>
      </w:pPr>
      <w:r>
        <w:rPr>
          <w:color w:val="000000"/>
          <w:szCs w:val="21"/>
        </w:rPr>
        <w:t>1.4工程量清单各章是按</w:t>
      </w:r>
      <w:r>
        <w:rPr>
          <w:rFonts w:hint="eastAsia"/>
          <w:color w:val="000000"/>
          <w:szCs w:val="21"/>
        </w:rPr>
        <w:t>《地方标准》</w:t>
      </w:r>
      <w:r>
        <w:rPr>
          <w:color w:val="000000"/>
          <w:szCs w:val="21"/>
        </w:rPr>
        <w:t>的相应章次编号的，因此，工程量清单中各章</w:t>
      </w:r>
      <w:r>
        <w:rPr>
          <w:rFonts w:hint="eastAsia"/>
          <w:color w:val="000000"/>
          <w:szCs w:val="21"/>
        </w:rPr>
        <w:t>子目</w:t>
      </w:r>
      <w:r>
        <w:rPr>
          <w:color w:val="000000"/>
          <w:szCs w:val="21"/>
        </w:rPr>
        <w:t>的工程</w:t>
      </w:r>
      <w:r>
        <w:rPr>
          <w:rFonts w:hint="eastAsia"/>
          <w:color w:val="000000"/>
          <w:szCs w:val="21"/>
        </w:rPr>
        <w:t>量</w:t>
      </w:r>
      <w:r>
        <w:rPr>
          <w:color w:val="000000"/>
          <w:szCs w:val="21"/>
        </w:rPr>
        <w:t>计量</w:t>
      </w:r>
      <w:r>
        <w:rPr>
          <w:rFonts w:hint="eastAsia"/>
          <w:color w:val="000000"/>
          <w:szCs w:val="21"/>
        </w:rPr>
        <w:t>、工程内容</w:t>
      </w:r>
      <w:r>
        <w:rPr>
          <w:color w:val="000000"/>
          <w:szCs w:val="21"/>
        </w:rPr>
        <w:t>等应与</w:t>
      </w:r>
      <w:r>
        <w:rPr>
          <w:rFonts w:hint="eastAsia"/>
          <w:color w:val="000000"/>
          <w:szCs w:val="21"/>
        </w:rPr>
        <w:t>《地方标准》</w:t>
      </w:r>
      <w:r>
        <w:rPr>
          <w:color w:val="000000"/>
          <w:szCs w:val="21"/>
        </w:rPr>
        <w:t>相应章节的工程</w:t>
      </w:r>
      <w:r>
        <w:rPr>
          <w:rFonts w:hint="eastAsia"/>
          <w:color w:val="000000"/>
          <w:szCs w:val="21"/>
        </w:rPr>
        <w:t>量</w:t>
      </w:r>
      <w:r>
        <w:rPr>
          <w:color w:val="000000"/>
          <w:szCs w:val="21"/>
        </w:rPr>
        <w:t>计量</w:t>
      </w:r>
      <w:r>
        <w:rPr>
          <w:rFonts w:hint="eastAsia"/>
          <w:color w:val="000000"/>
          <w:szCs w:val="21"/>
        </w:rPr>
        <w:t>、工程内容</w:t>
      </w:r>
      <w:r>
        <w:rPr>
          <w:color w:val="000000"/>
          <w:szCs w:val="21"/>
        </w:rPr>
        <w:t>结合起来理解或解释。</w:t>
      </w:r>
    </w:p>
    <w:p w14:paraId="3D7C5DAF">
      <w:pPr>
        <w:spacing w:line="400" w:lineRule="exact"/>
        <w:ind w:left="-141" w:leftChars="-67" w:right="-27" w:rightChars="-13" w:firstLine="420" w:firstLineChars="200"/>
        <w:rPr>
          <w:color w:val="000000"/>
          <w:szCs w:val="21"/>
        </w:rPr>
      </w:pPr>
      <w:r>
        <w:rPr>
          <w:color w:val="000000"/>
          <w:szCs w:val="21"/>
        </w:rPr>
        <w:t>1.5 对作业和材料的一般说明或规定，未重复写入工程量清单内，在给工程量清单各子目标价前，应参阅第七章“技术规范”的有关内容。</w:t>
      </w:r>
    </w:p>
    <w:p w14:paraId="3F1FF87B">
      <w:pPr>
        <w:spacing w:line="400" w:lineRule="exact"/>
        <w:ind w:left="-141" w:leftChars="-67" w:right="-27" w:rightChars="-13" w:firstLine="420" w:firstLineChars="200"/>
        <w:rPr>
          <w:color w:val="000000"/>
          <w:szCs w:val="21"/>
        </w:rPr>
      </w:pPr>
      <w:r>
        <w:rPr>
          <w:color w:val="000000"/>
          <w:szCs w:val="21"/>
        </w:rPr>
        <w:t>1.6 工程量清单中所列工程量的变动，丝毫不会降低或影响合同条款的效力，也不免除承包人按规定的标准进行施工和修复缺陷的责任。</w:t>
      </w:r>
    </w:p>
    <w:p w14:paraId="2F96FB6F">
      <w:pPr>
        <w:spacing w:line="400" w:lineRule="exact"/>
        <w:ind w:left="-141" w:leftChars="-67" w:right="-27" w:rightChars="-13" w:firstLine="420" w:firstLineChars="200"/>
        <w:rPr>
          <w:color w:val="000000"/>
          <w:szCs w:val="21"/>
        </w:rPr>
      </w:pPr>
      <w:r>
        <w:rPr>
          <w:color w:val="000000"/>
          <w:szCs w:val="21"/>
        </w:rPr>
        <w:t>1.7 图纸中所列的工程数量表及数量汇总表仅是提供资料，不是工程量清单的外延。当图纸与工程量清单所列数量不一致时，以工程量清单所列数量作为报价的依据。</w:t>
      </w:r>
    </w:p>
    <w:p w14:paraId="022BD8D7">
      <w:pPr>
        <w:spacing w:line="400" w:lineRule="exact"/>
        <w:ind w:left="-141" w:leftChars="-67" w:right="-27" w:rightChars="-13" w:firstLine="422" w:firstLineChars="200"/>
        <w:rPr>
          <w:b/>
          <w:color w:val="000000"/>
          <w:szCs w:val="21"/>
        </w:rPr>
      </w:pPr>
      <w:r>
        <w:rPr>
          <w:rFonts w:hint="eastAsia"/>
          <w:b/>
          <w:color w:val="000000"/>
          <w:szCs w:val="21"/>
        </w:rPr>
        <w:t>1.8工程量清单项目中所描述工作内容与施工图设计中工作内容不一致的，投标单位在报价时，应综合考虑，结算时不再另行单独计量，视为包含在清单项目计价中。</w:t>
      </w:r>
    </w:p>
    <w:p w14:paraId="553E3DBA">
      <w:pPr>
        <w:spacing w:before="120" w:after="120"/>
        <w:ind w:left="-141" w:leftChars="-67" w:right="-27" w:rightChars="-13"/>
        <w:rPr>
          <w:rFonts w:eastAsia="黑体"/>
          <w:color w:val="000000"/>
          <w:sz w:val="24"/>
        </w:rPr>
      </w:pPr>
      <w:r>
        <w:rPr>
          <w:rFonts w:eastAsia="黑体"/>
          <w:color w:val="000000"/>
          <w:sz w:val="24"/>
        </w:rPr>
        <w:t>2．投标报价说明</w:t>
      </w:r>
    </w:p>
    <w:p w14:paraId="021E5C82">
      <w:pPr>
        <w:spacing w:line="400" w:lineRule="exact"/>
        <w:ind w:left="-141" w:leftChars="-67" w:right="-27" w:rightChars="-13" w:firstLine="420" w:firstLineChars="200"/>
        <w:rPr>
          <w:color w:val="000000"/>
          <w:szCs w:val="21"/>
        </w:rPr>
      </w:pPr>
      <w:r>
        <w:rPr>
          <w:color w:val="000000"/>
          <w:szCs w:val="21"/>
        </w:rPr>
        <w:t>2.1除非合同另有规定，工程量清单中有标价的单价和总额价均已包括了为实施和完成合同工程所需的劳务、材料、机械、质检（自检）、安装、</w:t>
      </w:r>
      <w:r>
        <w:rPr>
          <w:rFonts w:hint="eastAsia"/>
          <w:color w:val="000000"/>
          <w:szCs w:val="21"/>
        </w:rPr>
        <w:t>调试、</w:t>
      </w:r>
      <w:r>
        <w:rPr>
          <w:color w:val="000000"/>
          <w:szCs w:val="21"/>
        </w:rPr>
        <w:t>缺陷修复、管理、保险</w:t>
      </w:r>
      <w:r>
        <w:rPr>
          <w:rFonts w:hint="eastAsia"/>
          <w:color w:val="000000"/>
          <w:szCs w:val="21"/>
        </w:rPr>
        <w:t>（工程一切险和第三方责任险除外）</w:t>
      </w:r>
      <w:r>
        <w:rPr>
          <w:color w:val="000000"/>
          <w:szCs w:val="21"/>
        </w:rPr>
        <w:t>、税费、利润等费用，以及合同明示或暗示的所有责任、义务和一般风险。</w:t>
      </w:r>
    </w:p>
    <w:p w14:paraId="0AD24C61">
      <w:pPr>
        <w:spacing w:line="400" w:lineRule="exact"/>
        <w:ind w:left="-141" w:leftChars="-67" w:right="-27" w:rightChars="-13" w:firstLine="420" w:firstLineChars="200"/>
        <w:rPr>
          <w:color w:val="000000"/>
          <w:szCs w:val="21"/>
        </w:rPr>
      </w:pPr>
      <w:r>
        <w:rPr>
          <w:color w:val="000000"/>
          <w:szCs w:val="21"/>
        </w:rPr>
        <w:t>2.2</w:t>
      </w:r>
      <w:r>
        <w:rPr>
          <w:rFonts w:hint="eastAsia"/>
          <w:color w:val="000000"/>
          <w:szCs w:val="21"/>
        </w:rPr>
        <w:t>除工程量清单漏项或设计变更引起新的工程量清单项（子）目外，符合合同条款、计价规范、技术规范规定的全部费用（包括暂估价等的管理费、税金）应认为已被计入有标价的工程量清单所列各项（子）目之中，未列项（子）目不予计量的工作，其费用应视为已分摊在本合同工程的有关项（子）目的单价或总额价之中。</w:t>
      </w:r>
    </w:p>
    <w:p w14:paraId="6F4547AE">
      <w:pPr>
        <w:spacing w:line="400" w:lineRule="exact"/>
        <w:ind w:left="-141" w:leftChars="-67" w:right="-27" w:rightChars="-13" w:firstLine="420" w:firstLineChars="200"/>
        <w:rPr>
          <w:color w:val="000000"/>
          <w:szCs w:val="21"/>
        </w:rPr>
      </w:pPr>
      <w:r>
        <w:rPr>
          <w:color w:val="000000"/>
          <w:szCs w:val="21"/>
        </w:rPr>
        <w:t xml:space="preserve">2.3 </w:t>
      </w:r>
      <w:r>
        <w:rPr>
          <w:rFonts w:hint="eastAsia"/>
          <w:color w:val="000000"/>
          <w:szCs w:val="21"/>
        </w:rPr>
        <w:t>对于符合要求的投标文件，在签订合同协议书前，如发现工程量清单中有计算方面的算术性差错，应按投标人须知规定予以处理。</w:t>
      </w:r>
    </w:p>
    <w:p w14:paraId="7FFCC9D3">
      <w:pPr>
        <w:spacing w:line="400" w:lineRule="exact"/>
        <w:ind w:left="-141" w:leftChars="-67" w:right="-27" w:rightChars="-13" w:firstLine="420" w:firstLineChars="200"/>
        <w:rPr>
          <w:color w:val="000000"/>
          <w:szCs w:val="21"/>
        </w:rPr>
      </w:pPr>
      <w:r>
        <w:rPr>
          <w:color w:val="000000"/>
          <w:szCs w:val="21"/>
        </w:rPr>
        <w:t>2.4</w:t>
      </w:r>
      <w:r>
        <w:rPr>
          <w:rFonts w:hint="eastAsia"/>
          <w:color w:val="000000"/>
          <w:szCs w:val="21"/>
        </w:rPr>
        <w:t>承包人用于本合同工程的各类装备的提供、运输、维护、拆卸、拼装等支付的费用，已包含在工程量清单的单价与总额价之中。</w:t>
      </w:r>
    </w:p>
    <w:p w14:paraId="1870DF85">
      <w:pPr>
        <w:spacing w:line="400" w:lineRule="exact"/>
        <w:ind w:left="-141" w:leftChars="-67" w:right="-27" w:rightChars="-13" w:firstLine="420" w:firstLineChars="200"/>
        <w:rPr>
          <w:color w:val="000000"/>
          <w:szCs w:val="21"/>
        </w:rPr>
      </w:pPr>
      <w:r>
        <w:rPr>
          <w:rFonts w:hint="eastAsia"/>
          <w:color w:val="000000"/>
          <w:szCs w:val="21"/>
        </w:rPr>
        <w:t>2.5 工程量清单中各项金额均以人民币（元）结算，有特殊规定的从其规定。</w:t>
      </w:r>
    </w:p>
    <w:p w14:paraId="03D0195D">
      <w:pPr>
        <w:spacing w:line="400" w:lineRule="exact"/>
        <w:ind w:left="-141" w:leftChars="-67" w:right="-27" w:rightChars="-13" w:firstLine="420" w:firstLineChars="200"/>
        <w:rPr>
          <w:color w:val="000000"/>
        </w:rPr>
      </w:pPr>
      <w:r>
        <w:rPr>
          <w:color w:val="000000"/>
          <w:szCs w:val="21"/>
        </w:rPr>
        <w:t>2.</w:t>
      </w:r>
      <w:r>
        <w:rPr>
          <w:rFonts w:hint="eastAsia"/>
          <w:color w:val="000000"/>
          <w:szCs w:val="21"/>
        </w:rPr>
        <w:t>6 在工程量清单中标明的暂列金额，除合同另有规定外，应由监理人按相应合同条款的规定，结合工程具体情况，报发包人批准后指令全部或部分地使用，或者根本不予动用</w:t>
      </w:r>
      <w:r>
        <w:rPr>
          <w:rFonts w:hint="eastAsia"/>
          <w:color w:val="000000"/>
        </w:rPr>
        <w:t>。</w:t>
      </w:r>
      <w:r>
        <w:rPr>
          <w:color w:val="000000"/>
        </w:rPr>
        <w:t>暂列金额</w:t>
      </w:r>
      <w:r>
        <w:rPr>
          <w:rFonts w:hint="eastAsia"/>
          <w:color w:val="000000"/>
        </w:rPr>
        <w:t>的</w:t>
      </w:r>
      <w:r>
        <w:rPr>
          <w:color w:val="000000"/>
        </w:rPr>
        <w:t>数量及拟用子目的说明：</w:t>
      </w:r>
      <w:r>
        <w:rPr>
          <w:rFonts w:hint="eastAsia"/>
          <w:color w:val="000000"/>
          <w:u w:val="single"/>
        </w:rPr>
        <w:t xml:space="preserve">    /    </w:t>
      </w:r>
      <w:r>
        <w:rPr>
          <w:rFonts w:hint="eastAsia"/>
          <w:color w:val="000000"/>
        </w:rPr>
        <w:t>。</w:t>
      </w:r>
    </w:p>
    <w:p w14:paraId="6A16BCA8">
      <w:pPr>
        <w:spacing w:before="120" w:after="120"/>
        <w:ind w:left="-141" w:leftChars="-67" w:right="-27" w:rightChars="-13"/>
        <w:rPr>
          <w:rFonts w:eastAsia="黑体"/>
          <w:color w:val="000000"/>
          <w:sz w:val="24"/>
        </w:rPr>
      </w:pPr>
      <w:bookmarkStart w:id="391" w:name="_Toc13197"/>
      <w:bookmarkStart w:id="392" w:name="_Toc30764"/>
      <w:bookmarkStart w:id="393" w:name="_Toc5500"/>
      <w:bookmarkStart w:id="394" w:name="_Toc25456"/>
      <w:bookmarkStart w:id="395" w:name="_Toc15724"/>
      <w:bookmarkStart w:id="396" w:name="_Toc12575"/>
      <w:bookmarkStart w:id="397" w:name="_Toc1769"/>
      <w:bookmarkStart w:id="398" w:name="_Toc17824"/>
      <w:r>
        <w:rPr>
          <w:rFonts w:hint="eastAsia" w:eastAsia="黑体"/>
          <w:color w:val="000000"/>
          <w:sz w:val="24"/>
        </w:rPr>
        <w:t>3.工程量计价规则（修改或增列）</w:t>
      </w:r>
      <w:bookmarkEnd w:id="391"/>
      <w:bookmarkEnd w:id="392"/>
      <w:bookmarkEnd w:id="393"/>
      <w:bookmarkEnd w:id="394"/>
      <w:bookmarkEnd w:id="395"/>
      <w:bookmarkEnd w:id="396"/>
      <w:bookmarkEnd w:id="397"/>
      <w:bookmarkEnd w:id="398"/>
      <w:r>
        <w:rPr>
          <w:rFonts w:hint="eastAsia" w:eastAsia="黑体"/>
          <w:color w:val="000000"/>
          <w:sz w:val="24"/>
        </w:rPr>
        <w:t xml:space="preserve"> </w:t>
      </w:r>
    </w:p>
    <w:p w14:paraId="53BCE385">
      <w:pPr>
        <w:autoSpaceDE w:val="0"/>
        <w:autoSpaceDN w:val="0"/>
        <w:adjustRightInd w:val="0"/>
        <w:spacing w:line="360" w:lineRule="auto"/>
        <w:ind w:firstLine="420" w:firstLineChars="200"/>
        <w:rPr>
          <w:color w:val="000000"/>
          <w:szCs w:val="21"/>
        </w:rPr>
      </w:pPr>
      <w:bookmarkStart w:id="399" w:name="_Toc15715"/>
      <w:bookmarkStart w:id="400" w:name="_Toc107779835"/>
      <w:bookmarkStart w:id="401" w:name="_Toc3670"/>
      <w:bookmarkStart w:id="402" w:name="_Toc1942"/>
      <w:bookmarkStart w:id="403" w:name="_Toc11146"/>
      <w:bookmarkStart w:id="404" w:name="_Toc3625"/>
      <w:bookmarkStart w:id="405" w:name="_Toc24565"/>
      <w:bookmarkStart w:id="406" w:name="_Toc12347"/>
      <w:bookmarkStart w:id="407" w:name="_Toc1908"/>
      <w:r>
        <w:rPr>
          <w:color w:val="000000"/>
          <w:szCs w:val="21"/>
        </w:rPr>
        <w:t>按照浙江省地方标准《交通建设工程工程量清单计价规范 第1 部分：公路工程》（DB 33/T628.1—2021）编制。</w:t>
      </w:r>
    </w:p>
    <w:p w14:paraId="6371635D">
      <w:pPr>
        <w:spacing w:before="120" w:after="120"/>
        <w:ind w:left="-141" w:leftChars="-67" w:right="-27" w:rightChars="-13"/>
        <w:rPr>
          <w:rFonts w:eastAsia="黑体"/>
          <w:color w:val="000000"/>
          <w:sz w:val="24"/>
        </w:rPr>
      </w:pPr>
      <w:r>
        <w:rPr>
          <w:rFonts w:hint="eastAsia" w:eastAsia="黑体"/>
          <w:color w:val="000000"/>
          <w:sz w:val="24"/>
        </w:rPr>
        <w:t>4.计日工说明</w:t>
      </w:r>
      <w:bookmarkEnd w:id="399"/>
      <w:bookmarkEnd w:id="400"/>
      <w:bookmarkEnd w:id="401"/>
      <w:bookmarkEnd w:id="402"/>
      <w:bookmarkEnd w:id="403"/>
      <w:bookmarkEnd w:id="404"/>
      <w:bookmarkEnd w:id="405"/>
      <w:bookmarkEnd w:id="406"/>
      <w:bookmarkEnd w:id="407"/>
    </w:p>
    <w:p w14:paraId="21EDD3B8">
      <w:pPr>
        <w:spacing w:line="380" w:lineRule="exact"/>
        <w:ind w:left="-141" w:leftChars="-67" w:right="-27" w:rightChars="-13" w:firstLine="420" w:firstLineChars="200"/>
        <w:rPr>
          <w:color w:val="000000"/>
          <w:szCs w:val="21"/>
        </w:rPr>
      </w:pPr>
      <w:r>
        <w:rPr>
          <w:rFonts w:ascii="宋体" w:hAnsi="宋体"/>
          <w:color w:val="000000"/>
          <w:szCs w:val="21"/>
        </w:rPr>
        <w:t>本项目不适用。</w:t>
      </w:r>
    </w:p>
    <w:p w14:paraId="7FC83D8A">
      <w:pPr>
        <w:spacing w:before="120" w:after="120"/>
        <w:ind w:left="-141" w:leftChars="-67" w:right="-27" w:rightChars="-13"/>
        <w:rPr>
          <w:rFonts w:eastAsia="黑体"/>
          <w:color w:val="000000"/>
          <w:sz w:val="24"/>
        </w:rPr>
      </w:pPr>
      <w:r>
        <w:rPr>
          <w:rFonts w:eastAsia="黑体"/>
          <w:color w:val="000000"/>
          <w:sz w:val="24"/>
        </w:rPr>
        <w:t>5．其他说明</w:t>
      </w:r>
    </w:p>
    <w:p w14:paraId="1F4EA258">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.1建筑</w:t>
      </w:r>
      <w:r>
        <w:rPr>
          <w:rFonts w:ascii="宋体" w:hAnsi="宋体"/>
          <w:color w:val="000000"/>
          <w:szCs w:val="21"/>
        </w:rPr>
        <w:t>工程一切险：</w:t>
      </w:r>
      <w:r>
        <w:rPr>
          <w:rFonts w:hint="eastAsia" w:ascii="宋体" w:hAnsi="宋体"/>
          <w:color w:val="000000"/>
          <w:szCs w:val="21"/>
        </w:rPr>
        <w:t>按规定100章</w:t>
      </w:r>
      <w:r>
        <w:rPr>
          <w:rFonts w:ascii="宋体" w:hAnsi="宋体"/>
          <w:color w:val="000000"/>
          <w:szCs w:val="21"/>
        </w:rPr>
        <w:t>至</w:t>
      </w:r>
      <w:r>
        <w:rPr>
          <w:rFonts w:hint="eastAsia" w:ascii="宋体" w:hAnsi="宋体"/>
          <w:color w:val="000000"/>
          <w:szCs w:val="21"/>
          <w:lang w:val="en-US" w:eastAsia="zh-CN"/>
        </w:rPr>
        <w:t>7</w:t>
      </w:r>
      <w:r>
        <w:rPr>
          <w:rFonts w:hint="eastAsia" w:ascii="宋体" w:hAnsi="宋体"/>
          <w:color w:val="000000"/>
          <w:szCs w:val="21"/>
        </w:rPr>
        <w:t>00章</w:t>
      </w:r>
      <w:r>
        <w:rPr>
          <w:rFonts w:ascii="宋体" w:hAnsi="宋体"/>
          <w:color w:val="000000"/>
          <w:szCs w:val="21"/>
        </w:rPr>
        <w:t>总额（</w:t>
      </w:r>
      <w:r>
        <w:rPr>
          <w:rFonts w:hint="eastAsia" w:ascii="宋体" w:hAnsi="宋体"/>
          <w:color w:val="000000"/>
          <w:szCs w:val="21"/>
        </w:rPr>
        <w:t>不</w:t>
      </w:r>
      <w:r>
        <w:rPr>
          <w:rFonts w:ascii="宋体" w:hAnsi="宋体"/>
          <w:color w:val="000000"/>
          <w:szCs w:val="21"/>
        </w:rPr>
        <w:t>包括</w:t>
      </w:r>
      <w:r>
        <w:rPr>
          <w:rFonts w:hint="eastAsia" w:ascii="宋体" w:hAnsi="宋体"/>
          <w:color w:val="000000"/>
          <w:szCs w:val="21"/>
        </w:rPr>
        <w:t>建筑</w:t>
      </w:r>
      <w:r>
        <w:rPr>
          <w:rFonts w:ascii="宋体" w:hAnsi="宋体"/>
          <w:color w:val="000000"/>
          <w:szCs w:val="21"/>
        </w:rPr>
        <w:t>工程一切险</w:t>
      </w:r>
      <w:r>
        <w:rPr>
          <w:rFonts w:hint="eastAsia" w:ascii="宋体" w:hAnsi="宋体"/>
          <w:color w:val="000000"/>
          <w:szCs w:val="21"/>
        </w:rPr>
        <w:t>、</w:t>
      </w:r>
      <w:r>
        <w:rPr>
          <w:rFonts w:ascii="宋体" w:hAnsi="宋体"/>
          <w:color w:val="000000"/>
          <w:szCs w:val="21"/>
        </w:rPr>
        <w:t>第三者责任险）的</w:t>
      </w:r>
      <w:r>
        <w:rPr>
          <w:rFonts w:hint="eastAsia" w:ascii="宋体" w:hAnsi="宋体"/>
          <w:color w:val="000000"/>
          <w:szCs w:val="21"/>
        </w:rPr>
        <w:t>0.3</w:t>
      </w:r>
      <w:r>
        <w:rPr>
          <w:rFonts w:ascii="宋体" w:hAnsi="宋体"/>
          <w:color w:val="000000"/>
          <w:szCs w:val="21"/>
        </w:rPr>
        <w:t>%计取</w:t>
      </w:r>
      <w:r>
        <w:rPr>
          <w:rFonts w:hint="eastAsia" w:ascii="宋体" w:hAnsi="宋体"/>
          <w:color w:val="000000"/>
          <w:szCs w:val="21"/>
        </w:rPr>
        <w:t>。</w:t>
      </w:r>
    </w:p>
    <w:p w14:paraId="2CBA67FE">
      <w:pPr>
        <w:spacing w:line="380" w:lineRule="exact"/>
        <w:ind w:left="-141" w:leftChars="-67" w:right="-27" w:rightChars="-13" w:firstLine="420" w:firstLineChars="200"/>
        <w:rPr>
          <w:rFonts w:hint="eastAsia" w:ascii="宋体" w:hAnsi="宋体" w:eastAsia="宋体" w:cs="宋体"/>
          <w:szCs w:val="21"/>
        </w:rPr>
      </w:pPr>
      <w:r>
        <w:rPr>
          <w:rFonts w:ascii="宋体" w:hAnsi="宋体"/>
          <w:color w:val="000000"/>
          <w:szCs w:val="21"/>
        </w:rPr>
        <w:t>5.2</w:t>
      </w:r>
      <w:r>
        <w:rPr>
          <w:rFonts w:hint="eastAsia" w:ascii="宋体" w:hAnsi="宋体" w:eastAsia="宋体" w:cs="宋体"/>
          <w:szCs w:val="21"/>
        </w:rPr>
        <w:t>第三者责任险的最低投保金额100万元，事故次数不限(不计免赔金额以内的损失，由承包人承担)</w:t>
      </w:r>
      <w:r>
        <w:rPr>
          <w:rFonts w:hint="eastAsia" w:ascii="宋体" w:hAnsi="宋体" w:eastAsia="宋体" w:cs="宋体"/>
          <w:szCs w:val="21"/>
          <w:lang w:eastAsia="zh-CN"/>
        </w:rPr>
        <w:t>，保险金额已包含在安全生产责任险里面</w:t>
      </w:r>
      <w:r>
        <w:rPr>
          <w:rFonts w:hint="eastAsia" w:ascii="宋体" w:hAnsi="宋体" w:eastAsia="宋体" w:cs="宋体"/>
          <w:szCs w:val="21"/>
        </w:rPr>
        <w:t>。</w:t>
      </w:r>
    </w:p>
    <w:p w14:paraId="158D74B8">
      <w:pPr>
        <w:spacing w:line="380" w:lineRule="exact"/>
        <w:ind w:left="-141" w:leftChars="-67" w:right="-27" w:rightChars="-13" w:firstLine="420" w:firstLineChars="200"/>
        <w:rPr>
          <w:rFonts w:hint="eastAsia" w:ascii="宋体" w:hAnsi="宋体" w:eastAsia="宋体" w:cs="宋体"/>
          <w:szCs w:val="21"/>
          <w:lang w:val="en-US" w:eastAsia="zh-CN"/>
        </w:rPr>
      </w:pPr>
      <w:r>
        <w:rPr>
          <w:rFonts w:hint="eastAsia" w:ascii="宋体" w:hAnsi="宋体" w:eastAsia="宋体" w:cs="宋体"/>
          <w:szCs w:val="21"/>
        </w:rPr>
        <w:t>5.3</w:t>
      </w:r>
      <w:r>
        <w:rPr>
          <w:rFonts w:hint="eastAsia" w:ascii="宋体" w:hAnsi="宋体" w:eastAsia="宋体" w:cs="宋体"/>
          <w:szCs w:val="21"/>
          <w:lang w:val="en-US" w:eastAsia="zh-CN"/>
        </w:rPr>
        <w:t>安全生产责任保险金额为工程量第100章（不含工程一切险、安全生产责任保险）至第700章的合计金额按0.2%计取；</w:t>
      </w:r>
    </w:p>
    <w:p w14:paraId="46C91DCA">
      <w:pPr>
        <w:spacing w:line="380" w:lineRule="exact"/>
        <w:ind w:left="-141" w:leftChars="-67" w:right="-27" w:rightChars="-13"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5.4安全生产费根据浙江省省交通运输厅关于印发《关于进一步加强全省交通建设工程安全生产管理工作的若干规定》的通知按建筑安装费（不含工程一切险、安全生产责任保险及安全生产费本身）的2%计算；</w:t>
      </w:r>
    </w:p>
    <w:p w14:paraId="46F4635A">
      <w:pPr>
        <w:spacing w:line="380" w:lineRule="exact"/>
        <w:ind w:left="-141" w:leftChars="-67" w:right="-27" w:rightChars="-13"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val="en-US" w:eastAsia="zh-CN"/>
        </w:rPr>
        <w:t>5</w:t>
      </w:r>
      <w:r>
        <w:rPr>
          <w:rFonts w:hint="eastAsia" w:ascii="宋体" w:hAnsi="宋体" w:eastAsia="宋体" w:cs="宋体"/>
          <w:szCs w:val="21"/>
        </w:rPr>
        <w:t>投标人须按照‘营改增’之后的相关规定进行报价。本项目的结算、审计等均按照‘营改增’的相关规定执行。工程量清单预算是按原相关规定进行编制，遂投标人应充分考虑‘营改增’之后的相关风险，并综合报价。中标后，在此方面不作调整。</w:t>
      </w:r>
    </w:p>
    <w:p w14:paraId="195066DA">
      <w:pPr>
        <w:spacing w:line="380" w:lineRule="exact"/>
        <w:ind w:left="-141" w:leftChars="-67" w:right="-27" w:rightChars="-13" w:firstLine="412" w:firstLineChars="200"/>
        <w:rPr>
          <w:rFonts w:hint="eastAsia" w:ascii="Arial" w:hAnsi="Arial" w:eastAsia="宋体" w:cs="Arial"/>
          <w:b/>
          <w:bCs/>
          <w:color w:val="auto"/>
          <w:szCs w:val="20"/>
          <w:lang w:val="en-US" w:eastAsia="zh-CN"/>
        </w:rPr>
      </w:pPr>
      <w:r>
        <w:rPr>
          <w:rFonts w:hint="eastAsia" w:ascii="宋体" w:hAnsi="宋体" w:eastAsia="宋体" w:cs="宋体"/>
          <w:color w:val="auto"/>
          <w:spacing w:val="-2"/>
          <w:sz w:val="21"/>
          <w:lang w:val="en-US" w:eastAsia="zh-CN"/>
        </w:rPr>
        <w:t>5.6</w:t>
      </w:r>
      <w:r>
        <w:rPr>
          <w:rFonts w:hint="eastAsia" w:ascii="Arial" w:hAnsi="Arial" w:eastAsia="宋体" w:cs="Arial"/>
          <w:b/>
          <w:bCs/>
          <w:color w:val="auto"/>
          <w:szCs w:val="20"/>
          <w:lang w:val="en-US" w:eastAsia="zh-CN"/>
        </w:rPr>
        <w:t>投标人应</w:t>
      </w:r>
      <w:r>
        <w:rPr>
          <w:rFonts w:hint="default" w:ascii="Arial" w:hAnsi="Arial" w:eastAsia="宋体" w:cs="Arial"/>
          <w:b/>
          <w:bCs/>
          <w:color w:val="auto"/>
          <w:szCs w:val="20"/>
          <w:lang w:val="en-US" w:eastAsia="zh-CN"/>
        </w:rPr>
        <w:t>提供</w:t>
      </w:r>
      <w:r>
        <w:rPr>
          <w:rFonts w:hint="eastAsia" w:ascii="Arial" w:hAnsi="Arial" w:eastAsia="宋体" w:cs="Arial"/>
          <w:b/>
          <w:bCs/>
          <w:color w:val="auto"/>
          <w:szCs w:val="20"/>
          <w:lang w:val="en-US" w:eastAsia="zh-CN"/>
        </w:rPr>
        <w:t>9%</w:t>
      </w:r>
      <w:r>
        <w:rPr>
          <w:rFonts w:hint="default" w:ascii="Arial" w:hAnsi="Arial" w:eastAsia="宋体" w:cs="Arial"/>
          <w:b/>
          <w:bCs/>
          <w:color w:val="auto"/>
          <w:szCs w:val="20"/>
          <w:lang w:val="en-US" w:eastAsia="zh-CN"/>
        </w:rPr>
        <w:t>增值税专用发票</w:t>
      </w:r>
      <w:r>
        <w:rPr>
          <w:rFonts w:hint="eastAsia" w:ascii="Arial" w:hAnsi="Arial" w:eastAsia="宋体" w:cs="Arial"/>
          <w:b/>
          <w:bCs/>
          <w:color w:val="auto"/>
          <w:szCs w:val="20"/>
          <w:lang w:val="en-US" w:eastAsia="zh-CN"/>
        </w:rPr>
        <w:t>，如果后期投标人提供发票税率小于该税率，不足部分将扣回。</w:t>
      </w:r>
    </w:p>
    <w:p w14:paraId="68982397">
      <w:pPr>
        <w:spacing w:line="380" w:lineRule="exact"/>
        <w:ind w:left="-141" w:leftChars="-67" w:right="-27" w:rightChars="-13"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lang w:val="en-US" w:eastAsia="zh-CN"/>
        </w:rPr>
        <w:t>7</w:t>
      </w:r>
      <w:r>
        <w:rPr>
          <w:rFonts w:ascii="宋体" w:hAnsi="宋体"/>
          <w:color w:val="000000"/>
          <w:szCs w:val="21"/>
        </w:rPr>
        <w:t>综合单价中的风险因素、风险范围（幅度）由投标方自行考虑，控制价中不考虑</w:t>
      </w:r>
      <w:r>
        <w:rPr>
          <w:rFonts w:hint="eastAsia" w:ascii="宋体" w:hAnsi="宋体"/>
          <w:color w:val="000000"/>
          <w:szCs w:val="21"/>
        </w:rPr>
        <w:t>。</w:t>
      </w:r>
    </w:p>
    <w:p w14:paraId="5A9F27BA">
      <w:pPr>
        <w:spacing w:line="380" w:lineRule="exact"/>
        <w:ind w:left="-141" w:leftChars="-67" w:right="-27" w:rightChars="-13" w:firstLine="422" w:firstLineChars="200"/>
        <w:rPr>
          <w:rFonts w:ascii="宋体" w:hAnsi="宋体"/>
          <w:b/>
          <w:color w:val="000000"/>
          <w:szCs w:val="21"/>
        </w:rPr>
      </w:pPr>
      <w:r>
        <w:rPr>
          <w:rFonts w:ascii="宋体" w:hAnsi="宋体"/>
          <w:b/>
          <w:color w:val="000000"/>
          <w:szCs w:val="21"/>
        </w:rPr>
        <w:t>5.</w:t>
      </w:r>
      <w:r>
        <w:rPr>
          <w:rFonts w:hint="eastAsia" w:ascii="宋体" w:hAnsi="宋体"/>
          <w:b/>
          <w:color w:val="000000"/>
          <w:szCs w:val="21"/>
          <w:lang w:val="en-US" w:eastAsia="zh-CN"/>
        </w:rPr>
        <w:t>8</w:t>
      </w:r>
      <w:r>
        <w:rPr>
          <w:rFonts w:hint="eastAsia" w:ascii="宋体" w:hAnsi="宋体"/>
          <w:b/>
          <w:color w:val="000000"/>
          <w:szCs w:val="21"/>
        </w:rPr>
        <w:t>投标人未按招标文件规定下浮区间内报价的，作无效标处理。</w:t>
      </w:r>
    </w:p>
    <w:p w14:paraId="2530A8FA">
      <w:pPr>
        <w:spacing w:line="380" w:lineRule="exact"/>
        <w:ind w:left="-141" w:leftChars="-67" w:right="-27" w:rightChars="-13" w:firstLine="422" w:firstLineChars="200"/>
        <w:rPr>
          <w:rFonts w:ascii="宋体" w:hAnsi="宋体"/>
          <w:b/>
          <w:color w:val="000000"/>
          <w:szCs w:val="21"/>
        </w:rPr>
      </w:pPr>
      <w:r>
        <w:rPr>
          <w:rFonts w:hint="eastAsia" w:ascii="宋体" w:hAnsi="宋体"/>
          <w:b/>
          <w:color w:val="000000"/>
          <w:szCs w:val="21"/>
        </w:rPr>
        <w:t>5.</w:t>
      </w:r>
      <w:r>
        <w:rPr>
          <w:rFonts w:hint="eastAsia" w:ascii="宋体" w:hAnsi="宋体"/>
          <w:b/>
          <w:color w:val="000000"/>
          <w:szCs w:val="21"/>
          <w:lang w:val="en-US" w:eastAsia="zh-CN"/>
        </w:rPr>
        <w:t>6</w:t>
      </w:r>
      <w:r>
        <w:rPr>
          <w:rFonts w:hint="eastAsia" w:ascii="宋体" w:hAnsi="宋体"/>
          <w:b/>
          <w:color w:val="000000"/>
          <w:szCs w:val="21"/>
        </w:rPr>
        <w:t>工程量清单审核书（详见</w:t>
      </w:r>
      <w:r>
        <w:rPr>
          <w:rFonts w:hint="eastAsia"/>
        </w:rPr>
        <w:t>公告发布网站</w:t>
      </w:r>
      <w:r>
        <w:rPr>
          <w:rFonts w:hint="eastAsia" w:ascii="宋体" w:hAnsi="宋体"/>
          <w:b/>
          <w:color w:val="000000"/>
          <w:szCs w:val="21"/>
        </w:rPr>
        <w:t>）</w:t>
      </w:r>
    </w:p>
    <w:p w14:paraId="0127CBD6">
      <w:pPr>
        <w:rPr>
          <w:rFonts w:ascii="宋体" w:hAnsi="宋体" w:eastAsia="宋体" w:cs="宋体"/>
          <w:sz w:val="24"/>
        </w:rPr>
      </w:pPr>
      <w:r>
        <w:rPr>
          <w:rFonts w:hint="eastAsia" w:ascii="宋体" w:hAnsi="宋体" w:eastAsia="宋体" w:cs="宋体"/>
          <w:sz w:val="24"/>
        </w:rPr>
        <w:br w:type="page"/>
      </w:r>
    </w:p>
    <w:p w14:paraId="73E847C5">
      <w:pPr>
        <w:pStyle w:val="2"/>
        <w:keepNext w:val="0"/>
        <w:keepLines w:val="0"/>
        <w:spacing w:before="0" w:after="0" w:line="240" w:lineRule="auto"/>
        <w:jc w:val="center"/>
        <w:rPr>
          <w:rFonts w:ascii="宋体" w:hAnsi="宋体"/>
          <w:sz w:val="72"/>
          <w:szCs w:val="72"/>
        </w:rPr>
      </w:pPr>
    </w:p>
    <w:p w14:paraId="6058FB8E">
      <w:pPr>
        <w:pStyle w:val="2"/>
        <w:keepNext w:val="0"/>
        <w:keepLines w:val="0"/>
        <w:spacing w:before="0" w:after="0" w:line="240" w:lineRule="auto"/>
        <w:jc w:val="center"/>
        <w:rPr>
          <w:rFonts w:ascii="宋体" w:hAnsi="宋体"/>
          <w:sz w:val="72"/>
          <w:szCs w:val="72"/>
        </w:rPr>
      </w:pPr>
      <w:bookmarkStart w:id="408" w:name="_Toc173244876"/>
      <w:bookmarkStart w:id="409" w:name="_Toc15585"/>
      <w:r>
        <w:rPr>
          <w:rFonts w:hint="eastAsia" w:ascii="宋体" w:hAnsi="宋体"/>
          <w:sz w:val="72"/>
          <w:szCs w:val="72"/>
        </w:rPr>
        <w:t>第  二  卷</w:t>
      </w:r>
      <w:bookmarkEnd w:id="408"/>
      <w:bookmarkEnd w:id="409"/>
    </w:p>
    <w:p w14:paraId="5C5543C0">
      <w:pPr>
        <w:rPr>
          <w:rFonts w:ascii="宋体" w:hAnsi="宋体" w:eastAsia="宋体" w:cs="宋体"/>
          <w:sz w:val="24"/>
        </w:rPr>
      </w:pPr>
    </w:p>
    <w:p w14:paraId="0AF669DD">
      <w:pPr>
        <w:rPr>
          <w:rFonts w:ascii="宋体" w:hAnsi="宋体" w:eastAsia="宋体" w:cs="宋体"/>
          <w:sz w:val="24"/>
        </w:rPr>
      </w:pPr>
    </w:p>
    <w:p w14:paraId="2A53F7B9">
      <w:pPr>
        <w:rPr>
          <w:rFonts w:ascii="宋体" w:hAnsi="宋体" w:eastAsia="宋体" w:cs="宋体"/>
          <w:sz w:val="24"/>
        </w:rPr>
      </w:pPr>
    </w:p>
    <w:p w14:paraId="3AE548E4">
      <w:pPr>
        <w:jc w:val="center"/>
        <w:rPr>
          <w:rFonts w:ascii="宋体" w:hAnsi="宋体" w:eastAsia="宋体" w:cs="宋体"/>
          <w:b/>
          <w:sz w:val="48"/>
          <w:szCs w:val="48"/>
        </w:rPr>
      </w:pPr>
    </w:p>
    <w:p w14:paraId="1A536DBA">
      <w:pPr>
        <w:jc w:val="center"/>
        <w:rPr>
          <w:rFonts w:ascii="宋体" w:hAnsi="宋体" w:eastAsia="宋体" w:cs="宋体"/>
          <w:b/>
          <w:sz w:val="48"/>
          <w:szCs w:val="48"/>
        </w:rPr>
      </w:pPr>
    </w:p>
    <w:p w14:paraId="0873DF0A">
      <w:pPr>
        <w:jc w:val="center"/>
        <w:rPr>
          <w:rFonts w:ascii="宋体" w:hAnsi="宋体" w:eastAsia="宋体" w:cs="宋体"/>
          <w:b/>
          <w:sz w:val="48"/>
          <w:szCs w:val="48"/>
        </w:rPr>
      </w:pPr>
    </w:p>
    <w:p w14:paraId="012927A4">
      <w:pPr>
        <w:jc w:val="center"/>
        <w:rPr>
          <w:rFonts w:ascii="宋体" w:hAnsi="宋体" w:eastAsia="宋体" w:cs="宋体"/>
          <w:b/>
          <w:sz w:val="48"/>
          <w:szCs w:val="48"/>
        </w:rPr>
      </w:pPr>
    </w:p>
    <w:p w14:paraId="6360DCD2">
      <w:pPr>
        <w:jc w:val="center"/>
        <w:rPr>
          <w:rFonts w:ascii="宋体" w:hAnsi="宋体" w:eastAsia="宋体" w:cs="宋体"/>
          <w:b/>
          <w:sz w:val="48"/>
          <w:szCs w:val="48"/>
        </w:rPr>
      </w:pPr>
    </w:p>
    <w:p w14:paraId="4C57C8D6">
      <w:pPr>
        <w:jc w:val="center"/>
        <w:rPr>
          <w:rFonts w:ascii="宋体" w:hAnsi="宋体" w:eastAsia="宋体" w:cs="宋体"/>
          <w:b/>
          <w:sz w:val="48"/>
          <w:szCs w:val="48"/>
        </w:rPr>
      </w:pPr>
    </w:p>
    <w:p w14:paraId="1FA93E26">
      <w:pPr>
        <w:jc w:val="center"/>
        <w:rPr>
          <w:rFonts w:ascii="宋体" w:hAnsi="宋体" w:eastAsia="宋体" w:cs="宋体"/>
          <w:b/>
          <w:sz w:val="48"/>
          <w:szCs w:val="48"/>
        </w:rPr>
      </w:pPr>
    </w:p>
    <w:p w14:paraId="7ED38CC0">
      <w:pPr>
        <w:jc w:val="center"/>
        <w:rPr>
          <w:rFonts w:ascii="宋体" w:hAnsi="宋体" w:eastAsia="宋体" w:cs="宋体"/>
          <w:b/>
          <w:sz w:val="48"/>
          <w:szCs w:val="48"/>
        </w:rPr>
      </w:pPr>
    </w:p>
    <w:p w14:paraId="124F61A9">
      <w:pPr>
        <w:jc w:val="center"/>
        <w:rPr>
          <w:rFonts w:ascii="宋体" w:hAnsi="宋体" w:eastAsia="宋体" w:cs="宋体"/>
          <w:b/>
          <w:sz w:val="48"/>
          <w:szCs w:val="48"/>
        </w:rPr>
      </w:pPr>
    </w:p>
    <w:p w14:paraId="445EE327">
      <w:pPr>
        <w:jc w:val="center"/>
        <w:rPr>
          <w:rFonts w:ascii="宋体" w:hAnsi="宋体" w:eastAsia="宋体" w:cs="宋体"/>
          <w:b/>
          <w:sz w:val="48"/>
          <w:szCs w:val="48"/>
        </w:rPr>
      </w:pPr>
    </w:p>
    <w:p w14:paraId="65928847">
      <w:pPr>
        <w:jc w:val="center"/>
        <w:rPr>
          <w:rFonts w:ascii="宋体" w:hAnsi="宋体" w:eastAsia="宋体" w:cs="宋体"/>
          <w:b/>
          <w:sz w:val="48"/>
          <w:szCs w:val="48"/>
        </w:rPr>
      </w:pPr>
    </w:p>
    <w:p w14:paraId="4BA70102">
      <w:pPr>
        <w:jc w:val="center"/>
        <w:rPr>
          <w:rFonts w:ascii="宋体" w:hAnsi="宋体" w:eastAsia="宋体" w:cs="宋体"/>
          <w:b/>
          <w:sz w:val="48"/>
          <w:szCs w:val="48"/>
        </w:rPr>
      </w:pPr>
    </w:p>
    <w:p w14:paraId="5680CE0B">
      <w:pPr>
        <w:jc w:val="center"/>
        <w:rPr>
          <w:rFonts w:ascii="宋体" w:hAnsi="宋体" w:eastAsia="宋体" w:cs="宋体"/>
          <w:b/>
          <w:sz w:val="48"/>
          <w:szCs w:val="48"/>
        </w:rPr>
      </w:pPr>
    </w:p>
    <w:p w14:paraId="7FB70BCF">
      <w:pPr>
        <w:jc w:val="center"/>
        <w:rPr>
          <w:rFonts w:ascii="宋体" w:hAnsi="宋体" w:eastAsia="宋体" w:cs="宋体"/>
          <w:b/>
          <w:sz w:val="48"/>
          <w:szCs w:val="48"/>
        </w:rPr>
      </w:pPr>
    </w:p>
    <w:p w14:paraId="7174F435">
      <w:pPr>
        <w:jc w:val="center"/>
        <w:rPr>
          <w:rFonts w:ascii="宋体" w:hAnsi="宋体" w:eastAsia="宋体" w:cs="宋体"/>
          <w:b/>
          <w:sz w:val="48"/>
          <w:szCs w:val="48"/>
        </w:rPr>
      </w:pPr>
    </w:p>
    <w:p w14:paraId="6B2DFF88">
      <w:pPr>
        <w:jc w:val="center"/>
        <w:rPr>
          <w:rFonts w:ascii="宋体" w:hAnsi="宋体" w:eastAsia="宋体" w:cs="宋体"/>
          <w:b/>
          <w:sz w:val="48"/>
          <w:szCs w:val="48"/>
        </w:rPr>
      </w:pPr>
    </w:p>
    <w:p w14:paraId="01D1A723">
      <w:pPr>
        <w:jc w:val="center"/>
        <w:rPr>
          <w:rFonts w:ascii="宋体" w:hAnsi="宋体" w:eastAsia="宋体" w:cs="宋体"/>
          <w:b/>
          <w:sz w:val="48"/>
          <w:szCs w:val="48"/>
        </w:rPr>
      </w:pPr>
    </w:p>
    <w:p w14:paraId="2A4E5043">
      <w:pPr>
        <w:jc w:val="center"/>
        <w:rPr>
          <w:rFonts w:ascii="宋体" w:hAnsi="宋体" w:eastAsia="宋体" w:cs="宋体"/>
          <w:b/>
          <w:sz w:val="48"/>
          <w:szCs w:val="48"/>
        </w:rPr>
      </w:pPr>
    </w:p>
    <w:p w14:paraId="029F9DD2">
      <w:pPr>
        <w:jc w:val="center"/>
        <w:rPr>
          <w:rFonts w:ascii="宋体" w:hAnsi="宋体" w:eastAsia="宋体" w:cs="宋体"/>
          <w:b/>
          <w:sz w:val="48"/>
          <w:szCs w:val="48"/>
        </w:rPr>
      </w:pPr>
    </w:p>
    <w:p w14:paraId="1756022F">
      <w:pPr>
        <w:jc w:val="center"/>
        <w:rPr>
          <w:rFonts w:ascii="宋体" w:hAnsi="宋体" w:eastAsia="宋体" w:cs="宋体"/>
          <w:b/>
          <w:sz w:val="48"/>
          <w:szCs w:val="48"/>
        </w:rPr>
      </w:pPr>
    </w:p>
    <w:p w14:paraId="17DC94DE">
      <w:pPr>
        <w:jc w:val="center"/>
        <w:rPr>
          <w:rFonts w:ascii="宋体" w:hAnsi="宋体" w:eastAsia="宋体" w:cs="宋体"/>
          <w:b/>
          <w:sz w:val="48"/>
          <w:szCs w:val="48"/>
        </w:rPr>
      </w:pPr>
    </w:p>
    <w:p w14:paraId="56A81225">
      <w:pPr>
        <w:jc w:val="center"/>
        <w:rPr>
          <w:rFonts w:ascii="宋体" w:hAnsi="宋体" w:eastAsia="宋体" w:cs="宋体"/>
          <w:b/>
          <w:sz w:val="48"/>
          <w:szCs w:val="48"/>
        </w:rPr>
      </w:pPr>
    </w:p>
    <w:p w14:paraId="3AEFD5BC">
      <w:pPr>
        <w:jc w:val="center"/>
        <w:rPr>
          <w:rFonts w:ascii="宋体" w:hAnsi="宋体" w:eastAsia="宋体" w:cs="宋体"/>
          <w:b/>
          <w:sz w:val="48"/>
          <w:szCs w:val="48"/>
        </w:rPr>
      </w:pPr>
    </w:p>
    <w:p w14:paraId="1F5F1743">
      <w:pPr>
        <w:jc w:val="center"/>
        <w:rPr>
          <w:rFonts w:ascii="宋体" w:hAnsi="宋体" w:eastAsia="宋体" w:cs="宋体"/>
          <w:b/>
          <w:sz w:val="48"/>
          <w:szCs w:val="48"/>
        </w:rPr>
      </w:pPr>
    </w:p>
    <w:p w14:paraId="718DF3A3">
      <w:pPr>
        <w:jc w:val="center"/>
        <w:rPr>
          <w:rFonts w:ascii="宋体" w:hAnsi="宋体" w:eastAsia="宋体" w:cs="宋体"/>
          <w:b/>
          <w:sz w:val="48"/>
          <w:szCs w:val="48"/>
        </w:rPr>
      </w:pPr>
      <w:r>
        <w:rPr>
          <w:rFonts w:hint="eastAsia" w:ascii="宋体" w:hAnsi="宋体" w:eastAsia="宋体" w:cs="宋体"/>
          <w:b/>
          <w:sz w:val="48"/>
          <w:szCs w:val="48"/>
        </w:rPr>
        <w:t>第六章</w:t>
      </w:r>
      <w:r>
        <w:rPr>
          <w:rFonts w:hint="eastAsia" w:ascii="宋体" w:hAnsi="宋体" w:eastAsia="宋体" w:cs="宋体"/>
          <w:b/>
          <w:sz w:val="48"/>
          <w:szCs w:val="48"/>
        </w:rPr>
        <w:tab/>
      </w:r>
      <w:r>
        <w:rPr>
          <w:rFonts w:hint="eastAsia" w:ascii="宋体" w:hAnsi="宋体" w:eastAsia="宋体" w:cs="宋体"/>
          <w:b/>
          <w:sz w:val="48"/>
          <w:szCs w:val="48"/>
        </w:rPr>
        <w:t>图</w:t>
      </w:r>
      <w:r>
        <w:rPr>
          <w:rFonts w:hint="eastAsia" w:ascii="宋体" w:hAnsi="宋体" w:eastAsia="宋体" w:cs="宋体"/>
          <w:b/>
          <w:sz w:val="48"/>
          <w:szCs w:val="48"/>
        </w:rPr>
        <w:tab/>
      </w:r>
      <w:r>
        <w:rPr>
          <w:rFonts w:hint="eastAsia" w:ascii="宋体" w:hAnsi="宋体" w:eastAsia="宋体" w:cs="宋体"/>
          <w:b/>
          <w:sz w:val="48"/>
          <w:szCs w:val="48"/>
        </w:rPr>
        <w:t>纸（另册）</w:t>
      </w:r>
    </w:p>
    <w:p w14:paraId="407179EF">
      <w:pPr>
        <w:rPr>
          <w:rFonts w:ascii="宋体" w:hAnsi="宋体" w:eastAsia="宋体" w:cs="宋体"/>
          <w:sz w:val="24"/>
        </w:rPr>
      </w:pPr>
    </w:p>
    <w:p w14:paraId="0D084E75">
      <w:pPr>
        <w:rPr>
          <w:rFonts w:ascii="宋体" w:hAnsi="宋体" w:eastAsia="宋体" w:cs="宋体"/>
          <w:sz w:val="24"/>
        </w:rPr>
      </w:pPr>
    </w:p>
    <w:p w14:paraId="4CC5D770">
      <w:pPr>
        <w:pStyle w:val="2"/>
        <w:keepNext w:val="0"/>
        <w:keepLines w:val="0"/>
        <w:spacing w:before="0" w:after="0" w:line="240" w:lineRule="auto"/>
        <w:jc w:val="center"/>
        <w:rPr>
          <w:rFonts w:ascii="宋体" w:hAnsi="宋体"/>
          <w:sz w:val="72"/>
          <w:szCs w:val="72"/>
        </w:rPr>
      </w:pPr>
    </w:p>
    <w:p w14:paraId="0A455AE5">
      <w:pPr>
        <w:pStyle w:val="2"/>
        <w:keepNext w:val="0"/>
        <w:keepLines w:val="0"/>
        <w:spacing w:before="0" w:after="0" w:line="240" w:lineRule="auto"/>
        <w:jc w:val="center"/>
        <w:rPr>
          <w:rFonts w:ascii="宋体" w:hAnsi="宋体"/>
          <w:sz w:val="72"/>
          <w:szCs w:val="72"/>
        </w:rPr>
      </w:pPr>
    </w:p>
    <w:p w14:paraId="25650A7E">
      <w:pPr>
        <w:pStyle w:val="2"/>
        <w:keepNext w:val="0"/>
        <w:keepLines w:val="0"/>
        <w:spacing w:before="0" w:after="0" w:line="240" w:lineRule="auto"/>
        <w:jc w:val="center"/>
        <w:rPr>
          <w:rFonts w:ascii="宋体" w:hAnsi="宋体"/>
          <w:sz w:val="72"/>
          <w:szCs w:val="72"/>
        </w:rPr>
      </w:pPr>
    </w:p>
    <w:p w14:paraId="651B0607">
      <w:pPr>
        <w:pStyle w:val="2"/>
        <w:keepNext w:val="0"/>
        <w:keepLines w:val="0"/>
        <w:spacing w:before="0" w:after="0" w:line="240" w:lineRule="auto"/>
        <w:jc w:val="center"/>
        <w:rPr>
          <w:rFonts w:ascii="宋体" w:hAnsi="宋体"/>
          <w:sz w:val="72"/>
          <w:szCs w:val="72"/>
        </w:rPr>
      </w:pPr>
    </w:p>
    <w:p w14:paraId="78EF46AC">
      <w:pPr>
        <w:pStyle w:val="2"/>
        <w:keepNext w:val="0"/>
        <w:keepLines w:val="0"/>
        <w:spacing w:before="0" w:after="0" w:line="240" w:lineRule="auto"/>
        <w:jc w:val="center"/>
        <w:rPr>
          <w:rFonts w:ascii="宋体" w:hAnsi="宋体"/>
          <w:sz w:val="72"/>
          <w:szCs w:val="72"/>
        </w:rPr>
      </w:pPr>
    </w:p>
    <w:p w14:paraId="7F983E9C">
      <w:pPr>
        <w:pStyle w:val="2"/>
        <w:keepNext w:val="0"/>
        <w:keepLines w:val="0"/>
        <w:spacing w:before="0" w:after="0" w:line="240" w:lineRule="auto"/>
        <w:jc w:val="center"/>
        <w:rPr>
          <w:rFonts w:ascii="宋体" w:hAnsi="宋体"/>
          <w:sz w:val="72"/>
          <w:szCs w:val="72"/>
        </w:rPr>
      </w:pPr>
    </w:p>
    <w:p w14:paraId="02585D79">
      <w:pPr>
        <w:pStyle w:val="2"/>
        <w:keepNext w:val="0"/>
        <w:keepLines w:val="0"/>
        <w:spacing w:before="0" w:after="0" w:line="240" w:lineRule="auto"/>
        <w:jc w:val="center"/>
        <w:rPr>
          <w:rFonts w:ascii="宋体" w:hAnsi="宋体"/>
          <w:sz w:val="72"/>
          <w:szCs w:val="72"/>
        </w:rPr>
      </w:pPr>
    </w:p>
    <w:p w14:paraId="523F5762">
      <w:pPr>
        <w:pStyle w:val="2"/>
        <w:keepNext w:val="0"/>
        <w:keepLines w:val="0"/>
        <w:spacing w:before="0" w:after="0" w:line="240" w:lineRule="auto"/>
        <w:jc w:val="center"/>
        <w:rPr>
          <w:rFonts w:ascii="宋体" w:hAnsi="宋体"/>
          <w:sz w:val="72"/>
          <w:szCs w:val="72"/>
        </w:rPr>
      </w:pPr>
    </w:p>
    <w:p w14:paraId="2F2DEF73">
      <w:pPr>
        <w:pStyle w:val="2"/>
        <w:keepNext w:val="0"/>
        <w:keepLines w:val="0"/>
        <w:spacing w:before="0" w:after="0" w:line="240" w:lineRule="auto"/>
        <w:jc w:val="center"/>
        <w:rPr>
          <w:rFonts w:ascii="宋体" w:hAnsi="宋体"/>
          <w:sz w:val="72"/>
          <w:szCs w:val="72"/>
        </w:rPr>
      </w:pPr>
    </w:p>
    <w:p w14:paraId="0ABFBB4C">
      <w:pPr>
        <w:pStyle w:val="2"/>
        <w:keepNext w:val="0"/>
        <w:keepLines w:val="0"/>
        <w:spacing w:before="0" w:after="0" w:line="240" w:lineRule="auto"/>
        <w:jc w:val="center"/>
        <w:rPr>
          <w:rFonts w:ascii="宋体" w:hAnsi="宋体"/>
          <w:sz w:val="72"/>
          <w:szCs w:val="72"/>
        </w:rPr>
      </w:pPr>
    </w:p>
    <w:p w14:paraId="6B1293C4">
      <w:pPr>
        <w:pStyle w:val="2"/>
        <w:keepNext w:val="0"/>
        <w:keepLines w:val="0"/>
        <w:spacing w:before="0" w:after="0" w:line="240" w:lineRule="auto"/>
        <w:jc w:val="center"/>
        <w:rPr>
          <w:rFonts w:ascii="宋体" w:hAnsi="宋体"/>
          <w:sz w:val="72"/>
          <w:szCs w:val="72"/>
        </w:rPr>
      </w:pPr>
    </w:p>
    <w:p w14:paraId="7030D7A9">
      <w:pPr>
        <w:pStyle w:val="2"/>
        <w:keepNext w:val="0"/>
        <w:keepLines w:val="0"/>
        <w:spacing w:before="0" w:after="0" w:line="240" w:lineRule="auto"/>
        <w:jc w:val="center"/>
        <w:rPr>
          <w:rFonts w:ascii="宋体" w:hAnsi="宋体"/>
          <w:sz w:val="72"/>
          <w:szCs w:val="72"/>
        </w:rPr>
      </w:pPr>
      <w:bookmarkStart w:id="410" w:name="_Toc173244877"/>
      <w:bookmarkStart w:id="411" w:name="_Toc2194"/>
      <w:r>
        <w:rPr>
          <w:rFonts w:hint="eastAsia" w:ascii="宋体" w:hAnsi="宋体"/>
          <w:sz w:val="72"/>
          <w:szCs w:val="72"/>
        </w:rPr>
        <w:t>第  三  卷</w:t>
      </w:r>
      <w:bookmarkEnd w:id="410"/>
      <w:bookmarkEnd w:id="411"/>
    </w:p>
    <w:p w14:paraId="26709472">
      <w:pPr>
        <w:rPr>
          <w:rFonts w:ascii="宋体" w:hAnsi="宋体" w:eastAsia="宋体" w:cs="宋体"/>
          <w:sz w:val="24"/>
        </w:rPr>
      </w:pPr>
    </w:p>
    <w:p w14:paraId="6B797537">
      <w:pPr>
        <w:jc w:val="center"/>
        <w:rPr>
          <w:rFonts w:ascii="宋体" w:hAnsi="宋体" w:eastAsia="宋体" w:cs="宋体"/>
          <w:b/>
          <w:sz w:val="48"/>
          <w:szCs w:val="48"/>
        </w:rPr>
      </w:pPr>
    </w:p>
    <w:p w14:paraId="32417340">
      <w:pPr>
        <w:jc w:val="center"/>
        <w:rPr>
          <w:rFonts w:ascii="宋体" w:hAnsi="宋体" w:eastAsia="宋体" w:cs="宋体"/>
          <w:b/>
          <w:sz w:val="48"/>
          <w:szCs w:val="48"/>
        </w:rPr>
      </w:pPr>
    </w:p>
    <w:p w14:paraId="351BAF85">
      <w:pPr>
        <w:jc w:val="center"/>
        <w:rPr>
          <w:rFonts w:ascii="宋体" w:hAnsi="宋体" w:eastAsia="宋体" w:cs="宋体"/>
          <w:b/>
          <w:sz w:val="48"/>
          <w:szCs w:val="48"/>
        </w:rPr>
      </w:pPr>
    </w:p>
    <w:p w14:paraId="2E2D29A8">
      <w:pPr>
        <w:jc w:val="center"/>
        <w:rPr>
          <w:rFonts w:ascii="宋体" w:hAnsi="宋体" w:eastAsia="宋体" w:cs="宋体"/>
          <w:b/>
          <w:sz w:val="48"/>
          <w:szCs w:val="48"/>
        </w:rPr>
      </w:pPr>
    </w:p>
    <w:p w14:paraId="3FE5DB16">
      <w:pPr>
        <w:jc w:val="center"/>
        <w:rPr>
          <w:rFonts w:ascii="宋体" w:hAnsi="宋体" w:eastAsia="宋体" w:cs="宋体"/>
          <w:b/>
          <w:sz w:val="48"/>
          <w:szCs w:val="48"/>
        </w:rPr>
      </w:pPr>
    </w:p>
    <w:p w14:paraId="45F310E6">
      <w:pPr>
        <w:jc w:val="center"/>
        <w:rPr>
          <w:rFonts w:ascii="宋体" w:hAnsi="宋体" w:eastAsia="宋体" w:cs="宋体"/>
          <w:b/>
          <w:sz w:val="48"/>
          <w:szCs w:val="48"/>
        </w:rPr>
      </w:pPr>
    </w:p>
    <w:p w14:paraId="0E75D9ED">
      <w:pPr>
        <w:jc w:val="center"/>
        <w:rPr>
          <w:rFonts w:ascii="宋体" w:hAnsi="宋体" w:eastAsia="宋体" w:cs="宋体"/>
          <w:b/>
          <w:sz w:val="48"/>
          <w:szCs w:val="48"/>
        </w:rPr>
      </w:pPr>
    </w:p>
    <w:p w14:paraId="260FFA7F">
      <w:pPr>
        <w:jc w:val="center"/>
        <w:rPr>
          <w:rFonts w:ascii="宋体" w:hAnsi="宋体" w:eastAsia="宋体" w:cs="宋体"/>
          <w:b/>
          <w:sz w:val="48"/>
          <w:szCs w:val="48"/>
        </w:rPr>
      </w:pPr>
    </w:p>
    <w:p w14:paraId="5032927E">
      <w:pPr>
        <w:jc w:val="center"/>
        <w:rPr>
          <w:rFonts w:ascii="宋体" w:hAnsi="宋体" w:eastAsia="宋体" w:cs="宋体"/>
          <w:b/>
          <w:sz w:val="48"/>
          <w:szCs w:val="48"/>
        </w:rPr>
      </w:pPr>
    </w:p>
    <w:p w14:paraId="7317D40C">
      <w:pPr>
        <w:jc w:val="center"/>
        <w:rPr>
          <w:rFonts w:ascii="宋体" w:hAnsi="宋体" w:eastAsia="宋体" w:cs="宋体"/>
          <w:b/>
          <w:sz w:val="48"/>
          <w:szCs w:val="48"/>
        </w:rPr>
      </w:pPr>
    </w:p>
    <w:p w14:paraId="5C88299F">
      <w:pPr>
        <w:jc w:val="center"/>
        <w:rPr>
          <w:rFonts w:ascii="宋体" w:hAnsi="宋体" w:eastAsia="宋体" w:cs="宋体"/>
          <w:b/>
          <w:sz w:val="48"/>
          <w:szCs w:val="48"/>
        </w:rPr>
      </w:pPr>
    </w:p>
    <w:p w14:paraId="4681161F">
      <w:pPr>
        <w:jc w:val="center"/>
        <w:rPr>
          <w:rFonts w:ascii="宋体" w:hAnsi="宋体" w:eastAsia="宋体" w:cs="宋体"/>
          <w:b/>
          <w:sz w:val="48"/>
          <w:szCs w:val="48"/>
        </w:rPr>
      </w:pPr>
    </w:p>
    <w:p w14:paraId="3F2C740F">
      <w:pPr>
        <w:jc w:val="center"/>
        <w:rPr>
          <w:rFonts w:ascii="宋体" w:hAnsi="宋体" w:eastAsia="宋体" w:cs="宋体"/>
          <w:b/>
          <w:sz w:val="48"/>
          <w:szCs w:val="48"/>
        </w:rPr>
      </w:pPr>
    </w:p>
    <w:p w14:paraId="0ADC08C8">
      <w:pPr>
        <w:jc w:val="center"/>
        <w:rPr>
          <w:rFonts w:ascii="宋体" w:hAnsi="宋体" w:eastAsia="宋体" w:cs="宋体"/>
          <w:b/>
          <w:sz w:val="48"/>
          <w:szCs w:val="48"/>
        </w:rPr>
      </w:pPr>
    </w:p>
    <w:p w14:paraId="0873EAF3">
      <w:pPr>
        <w:jc w:val="center"/>
        <w:rPr>
          <w:rFonts w:ascii="宋体" w:hAnsi="宋体" w:eastAsia="宋体" w:cs="宋体"/>
          <w:b/>
          <w:sz w:val="48"/>
          <w:szCs w:val="48"/>
        </w:rPr>
      </w:pPr>
    </w:p>
    <w:p w14:paraId="25221406">
      <w:pPr>
        <w:jc w:val="center"/>
        <w:rPr>
          <w:rFonts w:ascii="宋体" w:hAnsi="宋体" w:eastAsia="宋体" w:cs="宋体"/>
          <w:b/>
          <w:sz w:val="48"/>
          <w:szCs w:val="48"/>
        </w:rPr>
      </w:pPr>
    </w:p>
    <w:p w14:paraId="6F03384E">
      <w:pPr>
        <w:jc w:val="center"/>
        <w:rPr>
          <w:rFonts w:ascii="宋体" w:hAnsi="宋体" w:eastAsia="宋体" w:cs="宋体"/>
          <w:b/>
          <w:sz w:val="48"/>
          <w:szCs w:val="48"/>
        </w:rPr>
      </w:pPr>
    </w:p>
    <w:p w14:paraId="31F790AF">
      <w:pPr>
        <w:jc w:val="center"/>
        <w:rPr>
          <w:rFonts w:ascii="宋体" w:hAnsi="宋体" w:eastAsia="宋体" w:cs="宋体"/>
          <w:b/>
          <w:sz w:val="48"/>
          <w:szCs w:val="48"/>
        </w:rPr>
      </w:pPr>
    </w:p>
    <w:p w14:paraId="753A8BD7">
      <w:pPr>
        <w:jc w:val="center"/>
        <w:rPr>
          <w:rFonts w:ascii="宋体" w:hAnsi="宋体" w:eastAsia="宋体" w:cs="宋体"/>
          <w:b/>
          <w:sz w:val="48"/>
          <w:szCs w:val="48"/>
        </w:rPr>
      </w:pPr>
      <w:r>
        <w:rPr>
          <w:rFonts w:hint="eastAsia" w:ascii="宋体" w:hAnsi="宋体" w:eastAsia="宋体" w:cs="宋体"/>
          <w:b/>
          <w:sz w:val="48"/>
          <w:szCs w:val="48"/>
        </w:rPr>
        <w:t>第七章</w:t>
      </w:r>
      <w:r>
        <w:rPr>
          <w:rFonts w:hint="eastAsia" w:ascii="宋体" w:hAnsi="宋体" w:eastAsia="宋体" w:cs="宋体"/>
          <w:b/>
          <w:sz w:val="48"/>
          <w:szCs w:val="48"/>
        </w:rPr>
        <w:tab/>
      </w:r>
      <w:r>
        <w:rPr>
          <w:rFonts w:hint="eastAsia" w:ascii="宋体" w:hAnsi="宋体" w:eastAsia="宋体" w:cs="宋体"/>
          <w:b/>
          <w:sz w:val="48"/>
          <w:szCs w:val="48"/>
        </w:rPr>
        <w:t>技术规范</w:t>
      </w:r>
    </w:p>
    <w:p w14:paraId="34777CE8">
      <w:pPr>
        <w:rPr>
          <w:rFonts w:ascii="宋体" w:hAnsi="宋体" w:eastAsia="宋体" w:cs="宋体"/>
          <w:sz w:val="24"/>
        </w:rPr>
      </w:pPr>
    </w:p>
    <w:p w14:paraId="5684BE4F">
      <w:pPr>
        <w:rPr>
          <w:rFonts w:ascii="宋体" w:hAnsi="宋体" w:eastAsia="宋体" w:cs="宋体"/>
          <w:sz w:val="24"/>
        </w:rPr>
      </w:pPr>
    </w:p>
    <w:p w14:paraId="12CAB488">
      <w:pPr>
        <w:jc w:val="center"/>
        <w:rPr>
          <w:rFonts w:ascii="宋体" w:hAnsi="宋体" w:eastAsia="宋体" w:cs="宋体"/>
          <w:sz w:val="36"/>
          <w:szCs w:val="36"/>
        </w:rPr>
      </w:pPr>
    </w:p>
    <w:p w14:paraId="0D609A50">
      <w:pPr>
        <w:jc w:val="center"/>
        <w:rPr>
          <w:rFonts w:ascii="宋体" w:hAnsi="宋体" w:eastAsia="宋体" w:cs="宋体"/>
          <w:sz w:val="36"/>
          <w:szCs w:val="36"/>
        </w:rPr>
      </w:pPr>
    </w:p>
    <w:p w14:paraId="21E3AB18">
      <w:pPr>
        <w:jc w:val="center"/>
        <w:rPr>
          <w:rFonts w:ascii="宋体" w:hAnsi="宋体" w:eastAsia="宋体" w:cs="宋体"/>
          <w:sz w:val="36"/>
          <w:szCs w:val="36"/>
        </w:rPr>
      </w:pPr>
    </w:p>
    <w:p w14:paraId="70BC5504">
      <w:pPr>
        <w:jc w:val="center"/>
        <w:rPr>
          <w:rFonts w:ascii="宋体" w:hAnsi="宋体" w:eastAsia="宋体" w:cs="宋体"/>
          <w:sz w:val="36"/>
          <w:szCs w:val="36"/>
        </w:rPr>
      </w:pPr>
    </w:p>
    <w:p w14:paraId="4AEA845A">
      <w:pPr>
        <w:jc w:val="center"/>
        <w:rPr>
          <w:rFonts w:ascii="宋体" w:hAnsi="宋体" w:eastAsia="宋体" w:cs="宋体"/>
          <w:sz w:val="36"/>
          <w:szCs w:val="36"/>
        </w:rPr>
      </w:pPr>
    </w:p>
    <w:p w14:paraId="7240604E">
      <w:pPr>
        <w:jc w:val="center"/>
        <w:rPr>
          <w:rFonts w:ascii="宋体" w:hAnsi="宋体" w:eastAsia="宋体" w:cs="宋体"/>
          <w:sz w:val="36"/>
          <w:szCs w:val="36"/>
        </w:rPr>
      </w:pPr>
    </w:p>
    <w:p w14:paraId="4A73425A">
      <w:pPr>
        <w:jc w:val="center"/>
        <w:rPr>
          <w:rFonts w:ascii="宋体" w:hAnsi="宋体" w:eastAsia="宋体" w:cs="宋体"/>
          <w:sz w:val="36"/>
          <w:szCs w:val="36"/>
        </w:rPr>
      </w:pPr>
    </w:p>
    <w:p w14:paraId="0C37477F">
      <w:pPr>
        <w:jc w:val="center"/>
        <w:rPr>
          <w:rFonts w:ascii="宋体" w:hAnsi="宋体" w:eastAsia="宋体" w:cs="宋体"/>
          <w:sz w:val="36"/>
          <w:szCs w:val="36"/>
        </w:rPr>
      </w:pPr>
    </w:p>
    <w:p w14:paraId="16D56EFA">
      <w:pPr>
        <w:jc w:val="center"/>
        <w:rPr>
          <w:rFonts w:ascii="宋体" w:hAnsi="宋体" w:eastAsia="宋体" w:cs="宋体"/>
          <w:sz w:val="36"/>
          <w:szCs w:val="36"/>
        </w:rPr>
      </w:pPr>
    </w:p>
    <w:p w14:paraId="0085488F">
      <w:pPr>
        <w:jc w:val="center"/>
        <w:rPr>
          <w:rFonts w:ascii="宋体" w:hAnsi="宋体" w:eastAsia="宋体" w:cs="宋体"/>
          <w:sz w:val="36"/>
          <w:szCs w:val="36"/>
        </w:rPr>
      </w:pPr>
    </w:p>
    <w:p w14:paraId="15AF02E0">
      <w:pPr>
        <w:jc w:val="center"/>
        <w:rPr>
          <w:rFonts w:ascii="宋体" w:hAnsi="宋体" w:eastAsia="宋体" w:cs="宋体"/>
          <w:sz w:val="36"/>
          <w:szCs w:val="36"/>
        </w:rPr>
      </w:pPr>
    </w:p>
    <w:p w14:paraId="600D7BD3">
      <w:pPr>
        <w:jc w:val="center"/>
        <w:rPr>
          <w:rFonts w:ascii="宋体" w:hAnsi="宋体" w:eastAsia="宋体" w:cs="宋体"/>
          <w:sz w:val="36"/>
          <w:szCs w:val="36"/>
        </w:rPr>
      </w:pPr>
    </w:p>
    <w:p w14:paraId="00B061A1">
      <w:pPr>
        <w:jc w:val="center"/>
        <w:rPr>
          <w:rFonts w:ascii="宋体" w:hAnsi="宋体" w:eastAsia="宋体" w:cs="宋体"/>
          <w:sz w:val="36"/>
          <w:szCs w:val="36"/>
        </w:rPr>
      </w:pPr>
    </w:p>
    <w:p w14:paraId="3D802F32">
      <w:pPr>
        <w:jc w:val="center"/>
        <w:rPr>
          <w:rFonts w:ascii="宋体" w:hAnsi="宋体" w:eastAsia="宋体" w:cs="宋体"/>
          <w:sz w:val="36"/>
          <w:szCs w:val="36"/>
        </w:rPr>
      </w:pPr>
    </w:p>
    <w:p w14:paraId="6DACC108">
      <w:pPr>
        <w:jc w:val="center"/>
        <w:rPr>
          <w:rFonts w:ascii="宋体" w:hAnsi="宋体" w:eastAsia="宋体" w:cs="宋体"/>
          <w:sz w:val="36"/>
          <w:szCs w:val="36"/>
        </w:rPr>
      </w:pPr>
    </w:p>
    <w:p w14:paraId="4D2A4E0A">
      <w:pPr>
        <w:jc w:val="center"/>
        <w:rPr>
          <w:rFonts w:ascii="宋体" w:hAnsi="宋体" w:eastAsia="宋体" w:cs="宋体"/>
          <w:sz w:val="36"/>
          <w:szCs w:val="36"/>
        </w:rPr>
      </w:pPr>
    </w:p>
    <w:p w14:paraId="709BC432">
      <w:pPr>
        <w:jc w:val="center"/>
        <w:rPr>
          <w:rFonts w:ascii="宋体" w:hAnsi="宋体" w:eastAsia="宋体" w:cs="宋体"/>
          <w:sz w:val="36"/>
          <w:szCs w:val="36"/>
        </w:rPr>
      </w:pPr>
    </w:p>
    <w:p w14:paraId="5F04383C">
      <w:pPr>
        <w:jc w:val="center"/>
        <w:rPr>
          <w:rFonts w:ascii="宋体" w:hAnsi="宋体" w:eastAsia="宋体" w:cs="宋体"/>
          <w:sz w:val="36"/>
          <w:szCs w:val="36"/>
        </w:rPr>
      </w:pPr>
    </w:p>
    <w:p w14:paraId="0C95D550">
      <w:pPr>
        <w:jc w:val="center"/>
        <w:rPr>
          <w:rFonts w:ascii="宋体" w:hAnsi="宋体" w:eastAsia="宋体" w:cs="宋体"/>
          <w:sz w:val="36"/>
          <w:szCs w:val="36"/>
        </w:rPr>
      </w:pPr>
    </w:p>
    <w:p w14:paraId="4DA5BBFB">
      <w:pPr>
        <w:jc w:val="center"/>
        <w:rPr>
          <w:rFonts w:ascii="宋体" w:hAnsi="宋体" w:eastAsia="宋体" w:cs="宋体"/>
          <w:sz w:val="36"/>
          <w:szCs w:val="36"/>
        </w:rPr>
      </w:pPr>
    </w:p>
    <w:p w14:paraId="2193335E">
      <w:pPr>
        <w:jc w:val="center"/>
        <w:rPr>
          <w:rFonts w:ascii="宋体" w:hAnsi="宋体" w:eastAsia="宋体" w:cs="宋体"/>
          <w:sz w:val="36"/>
          <w:szCs w:val="36"/>
        </w:rPr>
      </w:pPr>
    </w:p>
    <w:p w14:paraId="7431247C">
      <w:pPr>
        <w:jc w:val="center"/>
        <w:rPr>
          <w:rFonts w:ascii="宋体" w:hAnsi="宋体" w:eastAsia="宋体" w:cs="宋体"/>
          <w:sz w:val="36"/>
          <w:szCs w:val="36"/>
        </w:rPr>
      </w:pPr>
    </w:p>
    <w:p w14:paraId="69D9D78A">
      <w:pPr>
        <w:jc w:val="center"/>
        <w:rPr>
          <w:rFonts w:ascii="宋体" w:hAnsi="宋体" w:eastAsia="宋体" w:cs="宋体"/>
          <w:sz w:val="36"/>
          <w:szCs w:val="36"/>
        </w:rPr>
      </w:pPr>
    </w:p>
    <w:p w14:paraId="337DD043">
      <w:pPr>
        <w:jc w:val="center"/>
        <w:rPr>
          <w:rFonts w:ascii="宋体" w:hAnsi="宋体" w:eastAsia="宋体" w:cs="宋体"/>
          <w:sz w:val="36"/>
          <w:szCs w:val="36"/>
        </w:rPr>
      </w:pPr>
    </w:p>
    <w:p w14:paraId="2EE1E3EA">
      <w:pPr>
        <w:jc w:val="center"/>
        <w:rPr>
          <w:rFonts w:ascii="宋体" w:hAnsi="宋体" w:eastAsia="宋体" w:cs="宋体"/>
          <w:sz w:val="36"/>
          <w:szCs w:val="36"/>
        </w:rPr>
      </w:pPr>
      <w:r>
        <w:rPr>
          <w:rFonts w:hint="eastAsia" w:ascii="宋体" w:hAnsi="宋体" w:eastAsia="宋体" w:cs="宋体"/>
          <w:sz w:val="36"/>
          <w:szCs w:val="36"/>
        </w:rPr>
        <w:t>第七章 技术规范</w:t>
      </w:r>
    </w:p>
    <w:p w14:paraId="75348660">
      <w:pPr>
        <w:jc w:val="center"/>
        <w:rPr>
          <w:rFonts w:ascii="宋体" w:hAnsi="宋体" w:eastAsia="宋体" w:cs="宋体"/>
          <w:sz w:val="30"/>
          <w:szCs w:val="30"/>
        </w:rPr>
      </w:pPr>
    </w:p>
    <w:p w14:paraId="0C7BC7C3">
      <w:pPr>
        <w:jc w:val="center"/>
        <w:rPr>
          <w:rFonts w:ascii="宋体" w:hAnsi="宋体" w:eastAsia="宋体" w:cs="宋体"/>
          <w:sz w:val="30"/>
          <w:szCs w:val="30"/>
        </w:rPr>
      </w:pPr>
    </w:p>
    <w:p w14:paraId="18905643">
      <w:pPr>
        <w:jc w:val="center"/>
        <w:rPr>
          <w:rFonts w:ascii="宋体" w:hAnsi="宋体" w:eastAsia="宋体" w:cs="宋体"/>
          <w:sz w:val="30"/>
          <w:szCs w:val="30"/>
        </w:rPr>
      </w:pPr>
      <w:r>
        <w:rPr>
          <w:rFonts w:hint="eastAsia" w:ascii="宋体" w:hAnsi="宋体" w:eastAsia="宋体" w:cs="宋体"/>
          <w:sz w:val="30"/>
          <w:szCs w:val="30"/>
        </w:rPr>
        <w:t>（一） 通用技术规范</w:t>
      </w:r>
    </w:p>
    <w:p w14:paraId="4D3C50A0">
      <w:pPr>
        <w:rPr>
          <w:rFonts w:ascii="宋体" w:hAnsi="宋体" w:eastAsia="宋体" w:cs="宋体"/>
          <w:szCs w:val="21"/>
        </w:rPr>
      </w:pPr>
    </w:p>
    <w:p w14:paraId="293D38F4">
      <w:pPr>
        <w:rPr>
          <w:rFonts w:ascii="宋体" w:hAnsi="宋体" w:eastAsia="宋体" w:cs="宋体"/>
          <w:szCs w:val="21"/>
        </w:rPr>
      </w:pPr>
    </w:p>
    <w:p w14:paraId="226DB71A">
      <w:pPr>
        <w:rPr>
          <w:rFonts w:ascii="宋体" w:hAnsi="宋体" w:eastAsia="宋体" w:cs="宋体"/>
          <w:szCs w:val="21"/>
        </w:rPr>
      </w:pPr>
      <w:r>
        <w:rPr>
          <w:rFonts w:hint="eastAsia"/>
          <w:color w:val="000000"/>
          <w:szCs w:val="21"/>
        </w:rPr>
        <w:t>“通用技术规范”采用</w:t>
      </w:r>
      <w:r>
        <w:rPr>
          <w:b/>
          <w:color w:val="auto"/>
          <w:spacing w:val="-14"/>
          <w:sz w:val="24"/>
        </w:rPr>
        <w:t>《浙江省公路养护工程施工招标文件范本》</w:t>
      </w:r>
      <w:r>
        <w:rPr>
          <w:b/>
          <w:color w:val="auto"/>
          <w:spacing w:val="-2"/>
          <w:sz w:val="24"/>
        </w:rPr>
        <w:t>（下册</w:t>
      </w:r>
      <w:r>
        <w:rPr>
          <w:b/>
          <w:color w:val="auto"/>
          <w:spacing w:val="-65"/>
          <w:sz w:val="24"/>
        </w:rPr>
        <w:t>）</w:t>
      </w:r>
      <w:r>
        <w:rPr>
          <w:b/>
          <w:color w:val="auto"/>
          <w:spacing w:val="-15"/>
          <w:sz w:val="24"/>
        </w:rPr>
        <w:t>中</w:t>
      </w:r>
      <w:r>
        <w:rPr>
          <w:rFonts w:hint="eastAsia"/>
          <w:color w:val="000000"/>
          <w:szCs w:val="21"/>
        </w:rPr>
        <w:t>《技术规范》</w:t>
      </w:r>
      <w:r>
        <w:rPr>
          <w:rFonts w:hint="eastAsia"/>
          <w:color w:val="000000"/>
          <w:szCs w:val="21"/>
          <w:lang w:eastAsia="zh-CN"/>
        </w:rPr>
        <w:t>和预算审核书中规定</w:t>
      </w:r>
      <w:r>
        <w:rPr>
          <w:rFonts w:hint="eastAsia"/>
          <w:color w:val="000000"/>
          <w:szCs w:val="21"/>
        </w:rPr>
        <w:t>。</w:t>
      </w:r>
    </w:p>
    <w:p w14:paraId="6AC881B2">
      <w:pPr>
        <w:rPr>
          <w:rFonts w:ascii="宋体" w:hAnsi="宋体" w:eastAsia="宋体" w:cs="宋体"/>
          <w:szCs w:val="21"/>
        </w:rPr>
      </w:pPr>
    </w:p>
    <w:p w14:paraId="5B64C04A">
      <w:pPr>
        <w:jc w:val="center"/>
        <w:rPr>
          <w:rFonts w:ascii="宋体" w:hAnsi="宋体" w:eastAsia="宋体" w:cs="宋体"/>
          <w:sz w:val="30"/>
          <w:szCs w:val="30"/>
        </w:rPr>
      </w:pPr>
    </w:p>
    <w:p w14:paraId="54722A5D">
      <w:pPr>
        <w:jc w:val="center"/>
        <w:rPr>
          <w:rFonts w:ascii="宋体" w:hAnsi="宋体" w:eastAsia="宋体" w:cs="宋体"/>
          <w:sz w:val="30"/>
          <w:szCs w:val="30"/>
        </w:rPr>
      </w:pPr>
    </w:p>
    <w:p w14:paraId="7AD4C672">
      <w:pPr>
        <w:jc w:val="center"/>
        <w:rPr>
          <w:rFonts w:ascii="宋体" w:hAnsi="宋体" w:eastAsia="宋体" w:cs="宋体"/>
          <w:sz w:val="30"/>
          <w:szCs w:val="30"/>
        </w:rPr>
      </w:pPr>
    </w:p>
    <w:p w14:paraId="61323274">
      <w:pPr>
        <w:jc w:val="center"/>
        <w:rPr>
          <w:rFonts w:ascii="宋体" w:hAnsi="宋体" w:eastAsia="宋体" w:cs="宋体"/>
          <w:sz w:val="30"/>
          <w:szCs w:val="30"/>
        </w:rPr>
      </w:pPr>
    </w:p>
    <w:p w14:paraId="6ED3DDAF">
      <w:pPr>
        <w:jc w:val="center"/>
        <w:rPr>
          <w:rFonts w:ascii="宋体" w:hAnsi="宋体" w:eastAsia="宋体" w:cs="宋体"/>
          <w:sz w:val="30"/>
          <w:szCs w:val="30"/>
        </w:rPr>
      </w:pPr>
    </w:p>
    <w:p w14:paraId="26B3C442">
      <w:pPr>
        <w:jc w:val="center"/>
        <w:rPr>
          <w:rFonts w:ascii="宋体" w:hAnsi="宋体" w:eastAsia="宋体" w:cs="宋体"/>
          <w:sz w:val="30"/>
          <w:szCs w:val="30"/>
        </w:rPr>
      </w:pPr>
    </w:p>
    <w:p w14:paraId="03F600AA">
      <w:pPr>
        <w:jc w:val="center"/>
        <w:rPr>
          <w:rFonts w:ascii="宋体" w:hAnsi="宋体" w:eastAsia="宋体" w:cs="宋体"/>
          <w:sz w:val="30"/>
          <w:szCs w:val="30"/>
        </w:rPr>
      </w:pPr>
    </w:p>
    <w:p w14:paraId="658C0679">
      <w:pPr>
        <w:jc w:val="center"/>
        <w:rPr>
          <w:rFonts w:ascii="宋体" w:hAnsi="宋体" w:eastAsia="宋体" w:cs="宋体"/>
          <w:sz w:val="30"/>
          <w:szCs w:val="30"/>
        </w:rPr>
      </w:pPr>
    </w:p>
    <w:p w14:paraId="54C65ABA">
      <w:pPr>
        <w:jc w:val="center"/>
        <w:rPr>
          <w:rFonts w:ascii="宋体" w:hAnsi="宋体" w:eastAsia="宋体" w:cs="宋体"/>
          <w:sz w:val="30"/>
          <w:szCs w:val="30"/>
        </w:rPr>
      </w:pPr>
    </w:p>
    <w:p w14:paraId="50C99A8F">
      <w:pPr>
        <w:jc w:val="center"/>
        <w:rPr>
          <w:rFonts w:ascii="宋体" w:hAnsi="宋体" w:eastAsia="宋体" w:cs="宋体"/>
          <w:sz w:val="30"/>
          <w:szCs w:val="30"/>
        </w:rPr>
      </w:pPr>
    </w:p>
    <w:p w14:paraId="69C630C2">
      <w:pPr>
        <w:jc w:val="center"/>
        <w:rPr>
          <w:rFonts w:ascii="宋体" w:hAnsi="宋体" w:eastAsia="宋体" w:cs="宋体"/>
          <w:sz w:val="30"/>
          <w:szCs w:val="30"/>
        </w:rPr>
      </w:pPr>
    </w:p>
    <w:p w14:paraId="33472956">
      <w:pPr>
        <w:jc w:val="center"/>
        <w:rPr>
          <w:rFonts w:ascii="宋体" w:hAnsi="宋体" w:eastAsia="宋体" w:cs="宋体"/>
          <w:sz w:val="30"/>
          <w:szCs w:val="30"/>
        </w:rPr>
      </w:pPr>
    </w:p>
    <w:p w14:paraId="6690BBEF">
      <w:pPr>
        <w:jc w:val="center"/>
        <w:rPr>
          <w:rFonts w:ascii="宋体" w:hAnsi="宋体" w:eastAsia="宋体" w:cs="宋体"/>
          <w:sz w:val="30"/>
          <w:szCs w:val="30"/>
        </w:rPr>
      </w:pPr>
    </w:p>
    <w:p w14:paraId="6C333B94">
      <w:pPr>
        <w:jc w:val="center"/>
        <w:rPr>
          <w:rFonts w:ascii="宋体" w:hAnsi="宋体" w:eastAsia="宋体" w:cs="宋体"/>
          <w:sz w:val="30"/>
          <w:szCs w:val="30"/>
        </w:rPr>
      </w:pPr>
    </w:p>
    <w:p w14:paraId="437A6EE6">
      <w:pPr>
        <w:jc w:val="center"/>
        <w:rPr>
          <w:rFonts w:ascii="宋体" w:hAnsi="宋体" w:eastAsia="宋体" w:cs="宋体"/>
          <w:sz w:val="30"/>
          <w:szCs w:val="30"/>
        </w:rPr>
      </w:pPr>
    </w:p>
    <w:p w14:paraId="19CB7766">
      <w:pPr>
        <w:jc w:val="center"/>
        <w:rPr>
          <w:rFonts w:ascii="宋体" w:hAnsi="宋体" w:eastAsia="宋体" w:cs="宋体"/>
          <w:sz w:val="30"/>
          <w:szCs w:val="30"/>
        </w:rPr>
      </w:pPr>
    </w:p>
    <w:p w14:paraId="54F65EA0">
      <w:pPr>
        <w:jc w:val="center"/>
        <w:rPr>
          <w:rFonts w:ascii="宋体" w:hAnsi="宋体" w:eastAsia="宋体" w:cs="宋体"/>
          <w:sz w:val="30"/>
          <w:szCs w:val="30"/>
        </w:rPr>
      </w:pPr>
    </w:p>
    <w:p w14:paraId="41047D18">
      <w:pPr>
        <w:jc w:val="center"/>
        <w:rPr>
          <w:rFonts w:ascii="宋体" w:hAnsi="宋体" w:eastAsia="宋体" w:cs="宋体"/>
          <w:sz w:val="30"/>
          <w:szCs w:val="30"/>
        </w:rPr>
      </w:pPr>
    </w:p>
    <w:p w14:paraId="05C529CF">
      <w:pPr>
        <w:jc w:val="center"/>
        <w:rPr>
          <w:rFonts w:ascii="宋体" w:hAnsi="宋体" w:eastAsia="宋体" w:cs="宋体"/>
          <w:sz w:val="30"/>
          <w:szCs w:val="30"/>
        </w:rPr>
      </w:pPr>
    </w:p>
    <w:p w14:paraId="5B069A40">
      <w:pPr>
        <w:jc w:val="center"/>
        <w:rPr>
          <w:rFonts w:ascii="宋体" w:hAnsi="宋体" w:eastAsia="宋体" w:cs="宋体"/>
          <w:sz w:val="30"/>
          <w:szCs w:val="30"/>
        </w:rPr>
      </w:pPr>
    </w:p>
    <w:p w14:paraId="23F75956">
      <w:pPr>
        <w:jc w:val="center"/>
        <w:rPr>
          <w:rFonts w:ascii="宋体" w:hAnsi="宋体" w:eastAsia="宋体" w:cs="宋体"/>
          <w:sz w:val="30"/>
          <w:szCs w:val="30"/>
        </w:rPr>
      </w:pPr>
    </w:p>
    <w:p w14:paraId="261358B2">
      <w:pPr>
        <w:jc w:val="center"/>
        <w:rPr>
          <w:rFonts w:ascii="宋体" w:hAnsi="宋体" w:eastAsia="宋体" w:cs="宋体"/>
          <w:sz w:val="30"/>
          <w:szCs w:val="30"/>
        </w:rPr>
      </w:pPr>
    </w:p>
    <w:p w14:paraId="30F54FD6">
      <w:pPr>
        <w:jc w:val="center"/>
        <w:rPr>
          <w:rFonts w:ascii="宋体" w:hAnsi="宋体" w:eastAsia="宋体" w:cs="宋体"/>
          <w:sz w:val="30"/>
          <w:szCs w:val="30"/>
        </w:rPr>
      </w:pPr>
    </w:p>
    <w:p w14:paraId="4A60BD84">
      <w:pPr>
        <w:jc w:val="center"/>
        <w:rPr>
          <w:rFonts w:ascii="宋体" w:hAnsi="宋体" w:eastAsia="宋体" w:cs="宋体"/>
          <w:sz w:val="30"/>
          <w:szCs w:val="30"/>
        </w:rPr>
      </w:pPr>
    </w:p>
    <w:p w14:paraId="2E2E93C6">
      <w:pPr>
        <w:jc w:val="center"/>
        <w:rPr>
          <w:rFonts w:ascii="宋体" w:hAnsi="宋体" w:eastAsia="宋体" w:cs="宋体"/>
          <w:sz w:val="30"/>
          <w:szCs w:val="30"/>
        </w:rPr>
      </w:pPr>
    </w:p>
    <w:p w14:paraId="4273194D">
      <w:pPr>
        <w:jc w:val="center"/>
        <w:rPr>
          <w:rFonts w:ascii="宋体" w:hAnsi="宋体" w:eastAsia="宋体" w:cs="宋体"/>
          <w:sz w:val="30"/>
          <w:szCs w:val="30"/>
        </w:rPr>
      </w:pPr>
    </w:p>
    <w:p w14:paraId="5976C0D8">
      <w:pPr>
        <w:jc w:val="center"/>
        <w:rPr>
          <w:rFonts w:ascii="宋体" w:hAnsi="宋体" w:eastAsia="宋体" w:cs="宋体"/>
          <w:sz w:val="30"/>
          <w:szCs w:val="30"/>
        </w:rPr>
      </w:pPr>
    </w:p>
    <w:p w14:paraId="081BB904">
      <w:pPr>
        <w:jc w:val="center"/>
        <w:rPr>
          <w:rFonts w:ascii="宋体" w:hAnsi="宋体" w:eastAsia="宋体" w:cs="宋体"/>
          <w:sz w:val="30"/>
          <w:szCs w:val="30"/>
        </w:rPr>
      </w:pPr>
    </w:p>
    <w:p w14:paraId="761C1FB6">
      <w:pPr>
        <w:pStyle w:val="2"/>
        <w:keepNext w:val="0"/>
        <w:keepLines w:val="0"/>
        <w:spacing w:before="0" w:after="0" w:line="240" w:lineRule="auto"/>
        <w:jc w:val="center"/>
        <w:rPr>
          <w:rFonts w:ascii="宋体" w:hAnsi="宋体"/>
          <w:sz w:val="72"/>
          <w:szCs w:val="72"/>
        </w:rPr>
      </w:pPr>
    </w:p>
    <w:p w14:paraId="6960E938">
      <w:pPr>
        <w:pStyle w:val="2"/>
        <w:keepNext w:val="0"/>
        <w:keepLines w:val="0"/>
        <w:spacing w:before="0" w:after="0" w:line="240" w:lineRule="auto"/>
        <w:jc w:val="center"/>
        <w:rPr>
          <w:rFonts w:ascii="宋体" w:hAnsi="宋体"/>
          <w:sz w:val="72"/>
          <w:szCs w:val="72"/>
        </w:rPr>
      </w:pPr>
      <w:bookmarkStart w:id="412" w:name="_Toc173244878"/>
      <w:bookmarkStart w:id="413" w:name="_Toc22692"/>
      <w:r>
        <w:rPr>
          <w:rFonts w:hint="eastAsia" w:ascii="宋体" w:hAnsi="宋体"/>
          <w:sz w:val="72"/>
          <w:szCs w:val="72"/>
        </w:rPr>
        <w:t>第  四  卷</w:t>
      </w:r>
      <w:bookmarkEnd w:id="412"/>
      <w:bookmarkEnd w:id="413"/>
    </w:p>
    <w:p w14:paraId="162CB770">
      <w:pPr>
        <w:rPr>
          <w:rFonts w:ascii="宋体" w:hAnsi="宋体" w:eastAsia="宋体" w:cs="宋体"/>
          <w:sz w:val="24"/>
        </w:rPr>
      </w:pPr>
    </w:p>
    <w:p w14:paraId="6E73FFD6">
      <w:pPr>
        <w:rPr>
          <w:rFonts w:ascii="宋体" w:hAnsi="宋体" w:eastAsia="宋体" w:cs="宋体"/>
          <w:sz w:val="24"/>
        </w:rPr>
      </w:pPr>
    </w:p>
    <w:p w14:paraId="5D1FAEF8">
      <w:pPr>
        <w:rPr>
          <w:rFonts w:ascii="宋体" w:hAnsi="宋体" w:eastAsia="宋体" w:cs="宋体"/>
          <w:sz w:val="24"/>
        </w:rPr>
      </w:pPr>
    </w:p>
    <w:p w14:paraId="12446718">
      <w:pPr>
        <w:jc w:val="center"/>
        <w:rPr>
          <w:rFonts w:ascii="宋体" w:hAnsi="宋体" w:eastAsia="宋体" w:cs="宋体"/>
          <w:sz w:val="52"/>
          <w:szCs w:val="52"/>
        </w:rPr>
      </w:pPr>
    </w:p>
    <w:p w14:paraId="693C0B9A">
      <w:pPr>
        <w:jc w:val="center"/>
        <w:rPr>
          <w:rFonts w:ascii="宋体" w:hAnsi="宋体" w:eastAsia="宋体" w:cs="宋体"/>
          <w:b/>
          <w:sz w:val="36"/>
          <w:szCs w:val="36"/>
        </w:rPr>
      </w:pPr>
    </w:p>
    <w:p w14:paraId="3482F117">
      <w:pPr>
        <w:jc w:val="center"/>
        <w:rPr>
          <w:rFonts w:ascii="宋体" w:hAnsi="宋体" w:eastAsia="宋体" w:cs="宋体"/>
          <w:b/>
          <w:sz w:val="36"/>
          <w:szCs w:val="36"/>
        </w:rPr>
      </w:pPr>
    </w:p>
    <w:p w14:paraId="723A6AB7">
      <w:pPr>
        <w:jc w:val="center"/>
        <w:rPr>
          <w:rFonts w:ascii="宋体" w:hAnsi="宋体" w:eastAsia="宋体" w:cs="宋体"/>
          <w:b/>
          <w:sz w:val="36"/>
          <w:szCs w:val="36"/>
        </w:rPr>
      </w:pPr>
    </w:p>
    <w:p w14:paraId="32B8AA39">
      <w:pPr>
        <w:jc w:val="center"/>
        <w:rPr>
          <w:rFonts w:ascii="宋体" w:hAnsi="宋体" w:eastAsia="宋体" w:cs="宋体"/>
          <w:b/>
          <w:sz w:val="36"/>
          <w:szCs w:val="36"/>
        </w:rPr>
      </w:pPr>
    </w:p>
    <w:p w14:paraId="01EF1351">
      <w:pPr>
        <w:jc w:val="center"/>
        <w:rPr>
          <w:rFonts w:ascii="宋体" w:hAnsi="宋体" w:eastAsia="宋体" w:cs="宋体"/>
          <w:b/>
          <w:sz w:val="36"/>
          <w:szCs w:val="36"/>
        </w:rPr>
      </w:pPr>
    </w:p>
    <w:p w14:paraId="62922844">
      <w:pPr>
        <w:jc w:val="center"/>
        <w:rPr>
          <w:rFonts w:ascii="宋体" w:hAnsi="宋体" w:eastAsia="宋体" w:cs="宋体"/>
          <w:b/>
          <w:sz w:val="36"/>
          <w:szCs w:val="36"/>
        </w:rPr>
      </w:pPr>
    </w:p>
    <w:p w14:paraId="15643F1F">
      <w:pPr>
        <w:jc w:val="center"/>
        <w:rPr>
          <w:rFonts w:ascii="宋体" w:hAnsi="宋体" w:eastAsia="宋体" w:cs="宋体"/>
          <w:b/>
          <w:sz w:val="36"/>
          <w:szCs w:val="36"/>
        </w:rPr>
      </w:pPr>
    </w:p>
    <w:p w14:paraId="76EEA143">
      <w:pPr>
        <w:jc w:val="center"/>
        <w:rPr>
          <w:rFonts w:ascii="宋体" w:hAnsi="宋体" w:eastAsia="宋体" w:cs="宋体"/>
          <w:b/>
          <w:sz w:val="36"/>
          <w:szCs w:val="36"/>
        </w:rPr>
      </w:pPr>
    </w:p>
    <w:p w14:paraId="6B407BCC">
      <w:pPr>
        <w:jc w:val="center"/>
        <w:rPr>
          <w:rFonts w:ascii="宋体" w:hAnsi="宋体" w:eastAsia="宋体" w:cs="宋体"/>
          <w:b/>
          <w:sz w:val="36"/>
          <w:szCs w:val="36"/>
        </w:rPr>
      </w:pPr>
    </w:p>
    <w:p w14:paraId="7ECB4A8F">
      <w:pPr>
        <w:jc w:val="center"/>
        <w:rPr>
          <w:rFonts w:ascii="宋体" w:hAnsi="宋体" w:eastAsia="宋体" w:cs="宋体"/>
          <w:b/>
          <w:sz w:val="36"/>
          <w:szCs w:val="36"/>
        </w:rPr>
      </w:pPr>
    </w:p>
    <w:p w14:paraId="384B6912">
      <w:pPr>
        <w:jc w:val="center"/>
        <w:rPr>
          <w:rFonts w:ascii="宋体" w:hAnsi="宋体" w:eastAsia="宋体" w:cs="宋体"/>
          <w:b/>
          <w:sz w:val="36"/>
          <w:szCs w:val="36"/>
        </w:rPr>
      </w:pPr>
    </w:p>
    <w:p w14:paraId="24CBA416">
      <w:pPr>
        <w:jc w:val="center"/>
        <w:rPr>
          <w:rFonts w:ascii="宋体" w:hAnsi="宋体" w:eastAsia="宋体" w:cs="宋体"/>
          <w:b/>
          <w:sz w:val="36"/>
          <w:szCs w:val="36"/>
        </w:rPr>
      </w:pPr>
    </w:p>
    <w:p w14:paraId="381B7F4E">
      <w:pPr>
        <w:jc w:val="center"/>
        <w:rPr>
          <w:rFonts w:ascii="宋体" w:hAnsi="宋体" w:eastAsia="宋体" w:cs="宋体"/>
          <w:b/>
          <w:sz w:val="36"/>
          <w:szCs w:val="36"/>
        </w:rPr>
      </w:pPr>
    </w:p>
    <w:p w14:paraId="4362CE44">
      <w:pPr>
        <w:jc w:val="center"/>
        <w:rPr>
          <w:rFonts w:ascii="宋体" w:hAnsi="宋体" w:eastAsia="宋体" w:cs="宋体"/>
          <w:b/>
          <w:sz w:val="36"/>
          <w:szCs w:val="36"/>
        </w:rPr>
      </w:pPr>
    </w:p>
    <w:p w14:paraId="2C070DD2">
      <w:pPr>
        <w:jc w:val="center"/>
        <w:rPr>
          <w:rFonts w:ascii="宋体" w:hAnsi="宋体" w:eastAsia="宋体" w:cs="宋体"/>
          <w:b/>
          <w:sz w:val="36"/>
          <w:szCs w:val="36"/>
        </w:rPr>
      </w:pPr>
    </w:p>
    <w:p w14:paraId="01660CCD">
      <w:pPr>
        <w:jc w:val="center"/>
        <w:rPr>
          <w:rFonts w:ascii="宋体" w:hAnsi="宋体" w:eastAsia="宋体" w:cs="宋体"/>
          <w:b/>
          <w:sz w:val="36"/>
          <w:szCs w:val="36"/>
        </w:rPr>
      </w:pPr>
    </w:p>
    <w:p w14:paraId="15C6A7A5">
      <w:pPr>
        <w:jc w:val="center"/>
        <w:rPr>
          <w:rFonts w:ascii="宋体" w:hAnsi="宋体" w:eastAsia="宋体" w:cs="宋体"/>
          <w:b/>
          <w:sz w:val="36"/>
          <w:szCs w:val="36"/>
        </w:rPr>
      </w:pPr>
    </w:p>
    <w:p w14:paraId="212903E7">
      <w:pPr>
        <w:jc w:val="center"/>
        <w:rPr>
          <w:rFonts w:ascii="宋体" w:hAnsi="宋体" w:eastAsia="宋体" w:cs="宋体"/>
          <w:b/>
          <w:sz w:val="36"/>
          <w:szCs w:val="36"/>
        </w:rPr>
      </w:pPr>
    </w:p>
    <w:p w14:paraId="4E207216">
      <w:pPr>
        <w:jc w:val="center"/>
        <w:rPr>
          <w:rFonts w:ascii="宋体" w:hAnsi="宋体" w:eastAsia="宋体" w:cs="宋体"/>
          <w:b/>
          <w:sz w:val="36"/>
          <w:szCs w:val="36"/>
        </w:rPr>
      </w:pPr>
    </w:p>
    <w:p w14:paraId="4C91A9D4">
      <w:pPr>
        <w:jc w:val="center"/>
        <w:rPr>
          <w:rFonts w:ascii="宋体" w:hAnsi="宋体" w:eastAsia="宋体" w:cs="宋体"/>
          <w:b/>
          <w:sz w:val="36"/>
          <w:szCs w:val="36"/>
        </w:rPr>
      </w:pPr>
    </w:p>
    <w:p w14:paraId="4BA26E08">
      <w:pPr>
        <w:jc w:val="center"/>
        <w:rPr>
          <w:rFonts w:ascii="宋体" w:hAnsi="宋体" w:eastAsia="宋体" w:cs="宋体"/>
          <w:b/>
          <w:sz w:val="36"/>
          <w:szCs w:val="36"/>
        </w:rPr>
      </w:pPr>
    </w:p>
    <w:p w14:paraId="2FE3A27A">
      <w:pPr>
        <w:jc w:val="center"/>
        <w:rPr>
          <w:rFonts w:ascii="宋体" w:hAnsi="宋体" w:eastAsia="宋体" w:cs="宋体"/>
          <w:b/>
          <w:sz w:val="36"/>
          <w:szCs w:val="36"/>
        </w:rPr>
      </w:pPr>
    </w:p>
    <w:p w14:paraId="6485C0C2">
      <w:pPr>
        <w:jc w:val="center"/>
        <w:rPr>
          <w:rFonts w:ascii="宋体" w:hAnsi="宋体" w:eastAsia="宋体" w:cs="宋体"/>
          <w:b/>
          <w:sz w:val="36"/>
          <w:szCs w:val="36"/>
        </w:rPr>
      </w:pPr>
      <w:r>
        <w:rPr>
          <w:rFonts w:hint="eastAsia" w:ascii="宋体" w:hAnsi="宋体" w:eastAsia="宋体" w:cs="宋体"/>
          <w:b/>
          <w:sz w:val="36"/>
          <w:szCs w:val="36"/>
        </w:rPr>
        <w:t>第八章   投标文件格式</w:t>
      </w:r>
    </w:p>
    <w:p w14:paraId="00971CA1">
      <w:pPr>
        <w:rPr>
          <w:rFonts w:ascii="宋体" w:hAnsi="宋体" w:eastAsia="宋体" w:cs="宋体"/>
          <w:sz w:val="24"/>
        </w:rPr>
      </w:pPr>
    </w:p>
    <w:p w14:paraId="369A7111">
      <w:pPr>
        <w:rPr>
          <w:rFonts w:ascii="宋体" w:hAnsi="宋体" w:eastAsia="宋体" w:cs="宋体"/>
          <w:sz w:val="24"/>
        </w:rPr>
      </w:pPr>
    </w:p>
    <w:p w14:paraId="5FB7DC2B">
      <w:pPr>
        <w:rPr>
          <w:rFonts w:ascii="宋体" w:hAnsi="宋体" w:eastAsia="宋体" w:cs="宋体"/>
          <w:sz w:val="24"/>
        </w:rPr>
      </w:pPr>
    </w:p>
    <w:p w14:paraId="57DCB561">
      <w:pPr>
        <w:rPr>
          <w:rFonts w:ascii="宋体" w:hAnsi="宋体" w:eastAsia="宋体" w:cs="宋体"/>
          <w:sz w:val="24"/>
        </w:rPr>
      </w:pPr>
    </w:p>
    <w:p w14:paraId="2A184966">
      <w:pPr>
        <w:rPr>
          <w:rFonts w:ascii="宋体" w:hAnsi="宋体" w:eastAsia="宋体" w:cs="宋体"/>
          <w:sz w:val="24"/>
        </w:rPr>
      </w:pPr>
    </w:p>
    <w:p w14:paraId="7EB867DF">
      <w:pPr>
        <w:rPr>
          <w:rFonts w:ascii="宋体" w:hAnsi="宋体" w:eastAsia="宋体" w:cs="宋体"/>
          <w:sz w:val="24"/>
        </w:rPr>
      </w:pPr>
    </w:p>
    <w:p w14:paraId="05DC1736">
      <w:pPr>
        <w:rPr>
          <w:rFonts w:ascii="宋体" w:hAnsi="宋体" w:eastAsia="宋体" w:cs="宋体"/>
          <w:sz w:val="24"/>
        </w:rPr>
      </w:pPr>
    </w:p>
    <w:p w14:paraId="057CBECE">
      <w:pPr>
        <w:rPr>
          <w:rFonts w:ascii="宋体" w:hAnsi="宋体" w:eastAsia="宋体" w:cs="宋体"/>
          <w:sz w:val="24"/>
        </w:rPr>
      </w:pPr>
    </w:p>
    <w:p w14:paraId="0813DB6A">
      <w:pPr>
        <w:rPr>
          <w:rFonts w:ascii="宋体" w:hAnsi="宋体" w:eastAsia="宋体" w:cs="宋体"/>
          <w:sz w:val="24"/>
        </w:rPr>
      </w:pPr>
    </w:p>
    <w:p w14:paraId="12E3D6DE">
      <w:pPr>
        <w:rPr>
          <w:rFonts w:ascii="宋体" w:hAnsi="宋体" w:eastAsia="宋体" w:cs="宋体"/>
          <w:sz w:val="24"/>
        </w:rPr>
      </w:pPr>
    </w:p>
    <w:p w14:paraId="72CC303E">
      <w:pPr>
        <w:rPr>
          <w:rFonts w:ascii="宋体" w:hAnsi="宋体" w:eastAsia="宋体" w:cs="宋体"/>
          <w:sz w:val="24"/>
        </w:rPr>
      </w:pPr>
    </w:p>
    <w:p w14:paraId="2248F6EC">
      <w:pPr>
        <w:rPr>
          <w:rFonts w:ascii="宋体" w:hAnsi="宋体" w:eastAsia="宋体" w:cs="宋体"/>
          <w:sz w:val="24"/>
        </w:rPr>
      </w:pPr>
      <w:r>
        <w:rPr>
          <w:rFonts w:hint="eastAsia" w:ascii="宋体" w:hAnsi="宋体" w:eastAsia="宋体" w:cs="宋体"/>
          <w:sz w:val="24"/>
        </w:rPr>
        <w:br w:type="page"/>
      </w:r>
    </w:p>
    <w:p w14:paraId="1A18B36A">
      <w:pPr>
        <w:spacing w:line="720" w:lineRule="auto"/>
        <w:jc w:val="center"/>
        <w:rPr>
          <w:rFonts w:ascii="宋体" w:hAnsi="宋体" w:eastAsia="宋体" w:cs="宋体"/>
          <w:sz w:val="36"/>
          <w:szCs w:val="36"/>
        </w:rPr>
      </w:pPr>
      <w:r>
        <w:rPr>
          <w:rFonts w:hint="eastAsia" w:ascii="宋体" w:hAnsi="宋体" w:eastAsia="宋体" w:cs="宋体"/>
          <w:sz w:val="36"/>
          <w:szCs w:val="36"/>
        </w:rPr>
        <w:t>浙江省</w:t>
      </w:r>
    </w:p>
    <w:p w14:paraId="695A36BA">
      <w:pPr>
        <w:spacing w:line="720" w:lineRule="auto"/>
        <w:jc w:val="center"/>
        <w:rPr>
          <w:rFonts w:ascii="宋体" w:hAnsi="宋体" w:eastAsia="宋体" w:cs="宋体"/>
          <w:sz w:val="36"/>
          <w:szCs w:val="36"/>
        </w:rPr>
      </w:pPr>
      <w:r>
        <w:rPr>
          <w:rFonts w:hint="eastAsia" w:ascii="宋体" w:hAnsi="宋体" w:eastAsia="宋体" w:cs="宋体"/>
          <w:sz w:val="36"/>
          <w:szCs w:val="36"/>
          <w:u w:val="single"/>
        </w:rPr>
        <w:t xml:space="preserve">       </w:t>
      </w:r>
      <w:r>
        <w:rPr>
          <w:rFonts w:hint="eastAsia" w:ascii="宋体" w:hAnsi="宋体" w:eastAsia="宋体" w:cs="宋体"/>
          <w:sz w:val="36"/>
          <w:szCs w:val="36"/>
        </w:rPr>
        <w:t>（项目名称）</w:t>
      </w:r>
      <w:r>
        <w:rPr>
          <w:rFonts w:hint="eastAsia" w:ascii="宋体" w:hAnsi="宋体" w:eastAsia="宋体" w:cs="宋体"/>
          <w:sz w:val="36"/>
          <w:szCs w:val="36"/>
          <w:u w:val="single"/>
        </w:rPr>
        <w:t xml:space="preserve">      </w:t>
      </w:r>
      <w:r>
        <w:rPr>
          <w:rFonts w:hint="eastAsia" w:ascii="宋体" w:hAnsi="宋体" w:eastAsia="宋体" w:cs="宋体"/>
          <w:sz w:val="36"/>
          <w:szCs w:val="36"/>
        </w:rPr>
        <w:t>标段施工招标</w:t>
      </w:r>
    </w:p>
    <w:p w14:paraId="34B35F70">
      <w:pPr>
        <w:spacing w:line="360" w:lineRule="auto"/>
        <w:ind w:firstLine="420" w:firstLineChars="200"/>
        <w:rPr>
          <w:rFonts w:ascii="宋体" w:hAnsi="宋体" w:eastAsia="宋体" w:cs="宋体"/>
          <w:szCs w:val="21"/>
        </w:rPr>
      </w:pPr>
    </w:p>
    <w:p w14:paraId="697FB981">
      <w:pPr>
        <w:spacing w:line="360" w:lineRule="auto"/>
        <w:ind w:firstLine="420" w:firstLineChars="200"/>
        <w:rPr>
          <w:rFonts w:ascii="宋体" w:hAnsi="宋体" w:eastAsia="宋体" w:cs="宋体"/>
          <w:szCs w:val="21"/>
        </w:rPr>
      </w:pPr>
    </w:p>
    <w:p w14:paraId="5BF93132">
      <w:pPr>
        <w:spacing w:line="360" w:lineRule="auto"/>
        <w:jc w:val="center"/>
        <w:rPr>
          <w:rFonts w:ascii="宋体" w:hAnsi="宋体" w:eastAsia="宋体" w:cs="宋体"/>
          <w:b/>
          <w:sz w:val="52"/>
          <w:szCs w:val="52"/>
        </w:rPr>
      </w:pPr>
    </w:p>
    <w:p w14:paraId="4B54D37E">
      <w:pPr>
        <w:spacing w:line="360" w:lineRule="auto"/>
        <w:jc w:val="center"/>
        <w:rPr>
          <w:rFonts w:ascii="宋体" w:hAnsi="宋体" w:eastAsia="宋体" w:cs="宋体"/>
          <w:b/>
          <w:sz w:val="52"/>
          <w:szCs w:val="52"/>
        </w:rPr>
      </w:pPr>
    </w:p>
    <w:p w14:paraId="0C8251D5">
      <w:pPr>
        <w:spacing w:line="360" w:lineRule="auto"/>
        <w:jc w:val="center"/>
        <w:rPr>
          <w:rFonts w:ascii="宋体" w:hAnsi="宋体" w:eastAsia="宋体" w:cs="宋体"/>
          <w:b/>
          <w:sz w:val="84"/>
          <w:szCs w:val="84"/>
        </w:rPr>
      </w:pPr>
      <w:r>
        <w:rPr>
          <w:rFonts w:hint="eastAsia" w:ascii="宋体" w:hAnsi="宋体" w:eastAsia="宋体" w:cs="宋体"/>
          <w:b/>
          <w:sz w:val="84"/>
          <w:szCs w:val="84"/>
        </w:rPr>
        <w:t>投 标 文 件</w:t>
      </w:r>
    </w:p>
    <w:p w14:paraId="61F537A0">
      <w:pPr>
        <w:spacing w:line="360" w:lineRule="auto"/>
        <w:rPr>
          <w:rFonts w:ascii="宋体" w:hAnsi="宋体" w:eastAsia="宋体" w:cs="宋体"/>
          <w:b/>
          <w:sz w:val="32"/>
          <w:szCs w:val="32"/>
        </w:rPr>
      </w:pPr>
    </w:p>
    <w:p w14:paraId="32CE5C4A">
      <w:pPr>
        <w:spacing w:line="360" w:lineRule="auto"/>
        <w:rPr>
          <w:rFonts w:ascii="宋体" w:hAnsi="宋体" w:eastAsia="宋体" w:cs="宋体"/>
          <w:b/>
          <w:sz w:val="32"/>
          <w:szCs w:val="32"/>
        </w:rPr>
      </w:pPr>
    </w:p>
    <w:p w14:paraId="4A2619B8">
      <w:pPr>
        <w:pStyle w:val="48"/>
      </w:pPr>
    </w:p>
    <w:p w14:paraId="51D5401E"/>
    <w:p w14:paraId="3A11691C">
      <w:pPr>
        <w:pStyle w:val="48"/>
      </w:pPr>
    </w:p>
    <w:p w14:paraId="2C08599C">
      <w:pPr>
        <w:spacing w:line="720" w:lineRule="auto"/>
        <w:ind w:firstLine="1960" w:firstLineChars="7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7CA64B12">
      <w:pPr>
        <w:spacing w:line="400" w:lineRule="exact"/>
        <w:ind w:firstLine="1260" w:firstLineChars="450"/>
        <w:rPr>
          <w:color w:val="000000"/>
          <w:sz w:val="28"/>
          <w:szCs w:val="28"/>
        </w:rPr>
      </w:pPr>
    </w:p>
    <w:p w14:paraId="5E8C4227">
      <w:pPr>
        <w:spacing w:line="400" w:lineRule="exact"/>
        <w:ind w:firstLine="1680" w:firstLineChars="600"/>
        <w:rPr>
          <w:color w:val="000000"/>
          <w:sz w:val="28"/>
          <w:szCs w:val="28"/>
        </w:rPr>
      </w:pPr>
      <w:r>
        <w:rPr>
          <w:color w:val="000000"/>
          <w:sz w:val="28"/>
          <w:szCs w:val="28"/>
        </w:rPr>
        <w:t>法定代表人：</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color w:val="000000"/>
          <w:sz w:val="28"/>
          <w:szCs w:val="28"/>
        </w:rPr>
        <w:t>（签字</w:t>
      </w:r>
      <w:r>
        <w:rPr>
          <w:rFonts w:hint="eastAsia"/>
          <w:sz w:val="28"/>
          <w:szCs w:val="28"/>
        </w:rPr>
        <w:t>或盖章</w:t>
      </w:r>
      <w:r>
        <w:rPr>
          <w:color w:val="000000"/>
          <w:sz w:val="28"/>
          <w:szCs w:val="28"/>
        </w:rPr>
        <w:t>）</w:t>
      </w:r>
    </w:p>
    <w:p w14:paraId="2994B8A0">
      <w:pPr>
        <w:pStyle w:val="48"/>
      </w:pPr>
    </w:p>
    <w:p w14:paraId="6DDC70C9"/>
    <w:p w14:paraId="5CD97119">
      <w:pPr>
        <w:spacing w:line="720" w:lineRule="auto"/>
        <w:ind w:firstLine="2940" w:firstLineChars="105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B6640C5">
      <w:pPr>
        <w:jc w:val="center"/>
        <w:rPr>
          <w:rFonts w:ascii="宋体" w:hAnsi="宋体" w:eastAsia="宋体" w:cs="宋体"/>
          <w:b/>
          <w:sz w:val="36"/>
          <w:szCs w:val="36"/>
        </w:rPr>
      </w:pPr>
      <w:r>
        <w:rPr>
          <w:rFonts w:hint="eastAsia" w:ascii="宋体" w:hAnsi="宋体" w:eastAsia="宋体" w:cs="宋体"/>
          <w:b/>
          <w:sz w:val="36"/>
          <w:szCs w:val="36"/>
        </w:rPr>
        <w:t>目</w:t>
      </w:r>
      <w:r>
        <w:rPr>
          <w:rFonts w:hint="eastAsia" w:ascii="宋体" w:hAnsi="宋体" w:eastAsia="宋体" w:cs="宋体"/>
          <w:b/>
          <w:sz w:val="36"/>
          <w:szCs w:val="36"/>
        </w:rPr>
        <w:tab/>
      </w:r>
      <w:r>
        <w:rPr>
          <w:rFonts w:hint="eastAsia" w:ascii="宋体" w:hAnsi="宋体" w:eastAsia="宋体" w:cs="宋体"/>
          <w:b/>
          <w:sz w:val="36"/>
          <w:szCs w:val="36"/>
        </w:rPr>
        <w:t>录</w:t>
      </w:r>
    </w:p>
    <w:p w14:paraId="715D2700">
      <w:pPr>
        <w:rPr>
          <w:rFonts w:ascii="宋体" w:hAnsi="宋体" w:eastAsia="宋体" w:cs="宋体"/>
          <w:szCs w:val="21"/>
        </w:rPr>
      </w:pPr>
    </w:p>
    <w:p w14:paraId="496AA4A0">
      <w:pPr>
        <w:numPr>
          <w:ilvl w:val="0"/>
          <w:numId w:val="93"/>
        </w:numPr>
        <w:spacing w:line="520" w:lineRule="exact"/>
        <w:rPr>
          <w:rFonts w:ascii="宋体" w:hAnsi="宋体" w:eastAsia="宋体" w:cs="宋体"/>
          <w:szCs w:val="21"/>
        </w:rPr>
      </w:pPr>
      <w:r>
        <w:rPr>
          <w:rFonts w:hint="eastAsia" w:ascii="宋体" w:hAnsi="宋体" w:eastAsia="宋体" w:cs="宋体"/>
          <w:szCs w:val="21"/>
        </w:rPr>
        <w:t>投标函</w:t>
      </w:r>
    </w:p>
    <w:p w14:paraId="02C6D8B9">
      <w:pPr>
        <w:numPr>
          <w:ilvl w:val="0"/>
          <w:numId w:val="93"/>
        </w:numPr>
        <w:spacing w:line="520" w:lineRule="exact"/>
        <w:rPr>
          <w:rFonts w:ascii="宋体" w:hAnsi="宋体" w:eastAsia="宋体" w:cs="宋体"/>
          <w:szCs w:val="21"/>
        </w:rPr>
      </w:pPr>
      <w:r>
        <w:rPr>
          <w:rFonts w:hint="eastAsia" w:ascii="宋体" w:hAnsi="宋体" w:eastAsia="宋体" w:cs="宋体"/>
          <w:szCs w:val="21"/>
        </w:rPr>
        <w:t>投标函附录</w:t>
      </w:r>
    </w:p>
    <w:p w14:paraId="26213048">
      <w:pPr>
        <w:spacing w:line="520" w:lineRule="exact"/>
        <w:rPr>
          <w:rFonts w:ascii="宋体" w:hAnsi="宋体" w:eastAsia="宋体" w:cs="宋体"/>
          <w:szCs w:val="21"/>
        </w:rPr>
      </w:pPr>
      <w:r>
        <w:rPr>
          <w:rFonts w:hint="eastAsia" w:ascii="宋体" w:hAnsi="宋体" w:eastAsia="宋体" w:cs="宋体"/>
          <w:szCs w:val="21"/>
        </w:rPr>
        <w:t>三、法定代表人身份证明及附有法定代表人身份证明的授权委托书</w:t>
      </w:r>
    </w:p>
    <w:p w14:paraId="5E1864E9">
      <w:pPr>
        <w:spacing w:line="520" w:lineRule="exact"/>
        <w:rPr>
          <w:rFonts w:ascii="宋体" w:hAnsi="宋体" w:eastAsia="宋体" w:cs="宋体"/>
          <w:szCs w:val="21"/>
        </w:rPr>
      </w:pPr>
      <w:r>
        <w:rPr>
          <w:rFonts w:hint="eastAsia" w:ascii="宋体" w:hAnsi="宋体" w:eastAsia="宋体" w:cs="宋体"/>
          <w:szCs w:val="21"/>
        </w:rPr>
        <w:t>四、项目管理机构</w:t>
      </w:r>
    </w:p>
    <w:p w14:paraId="293A6F39">
      <w:pPr>
        <w:spacing w:line="520" w:lineRule="exact"/>
        <w:rPr>
          <w:rFonts w:ascii="宋体" w:hAnsi="宋体" w:eastAsia="宋体" w:cs="宋体"/>
          <w:szCs w:val="21"/>
        </w:rPr>
      </w:pPr>
      <w:r>
        <w:rPr>
          <w:rFonts w:hint="eastAsia" w:ascii="宋体" w:hAnsi="宋体" w:eastAsia="宋体" w:cs="宋体"/>
          <w:szCs w:val="21"/>
        </w:rPr>
        <w:t>五、资格审查资料（适用于未进行资格预审的）</w:t>
      </w:r>
    </w:p>
    <w:p w14:paraId="3D744B15">
      <w:pPr>
        <w:spacing w:line="520" w:lineRule="exact"/>
        <w:rPr>
          <w:rFonts w:ascii="宋体" w:hAnsi="宋体" w:eastAsia="宋体" w:cs="宋体"/>
          <w:szCs w:val="21"/>
        </w:rPr>
      </w:pPr>
      <w:r>
        <w:rPr>
          <w:rFonts w:hint="eastAsia" w:ascii="宋体" w:hAnsi="宋体" w:eastAsia="宋体" w:cs="宋体"/>
          <w:szCs w:val="21"/>
        </w:rPr>
        <w:t>六、承诺函</w:t>
      </w:r>
    </w:p>
    <w:p w14:paraId="79001958">
      <w:pPr>
        <w:spacing w:line="520" w:lineRule="exact"/>
        <w:rPr>
          <w:rFonts w:ascii="宋体" w:hAnsi="宋体" w:eastAsia="宋体" w:cs="宋体"/>
          <w:szCs w:val="21"/>
        </w:rPr>
      </w:pPr>
      <w:r>
        <w:rPr>
          <w:rFonts w:hint="eastAsia" w:ascii="宋体" w:hAnsi="宋体" w:eastAsia="宋体" w:cs="宋体"/>
          <w:szCs w:val="21"/>
        </w:rPr>
        <w:t>七、投标人须知前附表规定的其他材料</w:t>
      </w:r>
    </w:p>
    <w:p w14:paraId="36707F95">
      <w:pPr>
        <w:spacing w:line="520" w:lineRule="exact"/>
        <w:rPr>
          <w:rFonts w:ascii="宋体" w:hAnsi="宋体" w:eastAsia="宋体" w:cs="宋体"/>
          <w:szCs w:val="21"/>
        </w:rPr>
      </w:pPr>
    </w:p>
    <w:p w14:paraId="263762D7">
      <w:pPr>
        <w:spacing w:line="520" w:lineRule="exact"/>
        <w:rPr>
          <w:rFonts w:ascii="宋体" w:hAnsi="宋体" w:eastAsia="宋体" w:cs="宋体"/>
          <w:szCs w:val="21"/>
        </w:rPr>
      </w:pPr>
    </w:p>
    <w:p w14:paraId="569FF6C8">
      <w:pPr>
        <w:spacing w:line="520" w:lineRule="exact"/>
        <w:rPr>
          <w:rFonts w:ascii="宋体" w:hAnsi="宋体" w:eastAsia="宋体" w:cs="宋体"/>
          <w:szCs w:val="21"/>
        </w:rPr>
      </w:pPr>
    </w:p>
    <w:p w14:paraId="665CF5D8">
      <w:pPr>
        <w:spacing w:line="520" w:lineRule="exact"/>
        <w:rPr>
          <w:rFonts w:ascii="宋体" w:hAnsi="宋体" w:eastAsia="宋体" w:cs="宋体"/>
          <w:szCs w:val="21"/>
        </w:rPr>
      </w:pPr>
    </w:p>
    <w:p w14:paraId="4F4F8DA8">
      <w:pPr>
        <w:widowControl/>
        <w:jc w:val="left"/>
        <w:rPr>
          <w:rFonts w:ascii="宋体" w:hAnsi="宋体" w:eastAsia="宋体" w:cs="宋体"/>
          <w:szCs w:val="21"/>
        </w:rPr>
        <w:sectPr>
          <w:footnotePr>
            <w:numFmt w:val="decimalEnclosedCircleChinese"/>
            <w:numRestart w:val="eachPage"/>
          </w:footnotePr>
          <w:pgSz w:w="11907" w:h="16840"/>
          <w:pgMar w:top="1440" w:right="1361" w:bottom="1440" w:left="1361" w:header="720" w:footer="907" w:gutter="0"/>
          <w:cols w:space="720" w:num="1"/>
        </w:sectPr>
      </w:pPr>
      <w:r>
        <w:rPr>
          <w:rFonts w:hint="eastAsia" w:ascii="宋体" w:hAnsi="宋体" w:eastAsia="宋体" w:cs="宋体"/>
          <w:szCs w:val="21"/>
        </w:rPr>
        <w:br w:type="page"/>
      </w:r>
    </w:p>
    <w:p w14:paraId="0E9FA17F">
      <w:pPr>
        <w:pStyle w:val="2"/>
        <w:numPr>
          <w:ilvl w:val="0"/>
          <w:numId w:val="94"/>
        </w:numPr>
        <w:spacing w:before="156" w:beforeLines="50" w:after="312" w:afterLines="100" w:line="360" w:lineRule="exact"/>
        <w:jc w:val="center"/>
        <w:rPr>
          <w:rFonts w:ascii="宋体" w:hAnsi="宋体"/>
          <w:b w:val="0"/>
          <w:sz w:val="30"/>
          <w:szCs w:val="30"/>
        </w:rPr>
      </w:pPr>
      <w:bookmarkStart w:id="414" w:name="_Toc173244879"/>
      <w:bookmarkStart w:id="415" w:name="_Toc13673"/>
      <w:r>
        <w:rPr>
          <w:rFonts w:hint="eastAsia" w:ascii="宋体" w:hAnsi="宋体"/>
          <w:b w:val="0"/>
          <w:sz w:val="30"/>
          <w:szCs w:val="30"/>
        </w:rPr>
        <w:t>投标函</w:t>
      </w:r>
      <w:bookmarkEnd w:id="414"/>
      <w:bookmarkEnd w:id="415"/>
    </w:p>
    <w:p w14:paraId="51D78657">
      <w:pPr>
        <w:jc w:val="center"/>
        <w:rPr>
          <w:b/>
          <w:sz w:val="30"/>
          <w:szCs w:val="30"/>
        </w:rPr>
      </w:pPr>
      <w:bookmarkStart w:id="416" w:name="_Toc106012815"/>
      <w:bookmarkStart w:id="417" w:name="_Toc155342576"/>
      <w:bookmarkStart w:id="418" w:name="_Toc169487826"/>
      <w:r>
        <w:rPr>
          <w:rFonts w:hint="eastAsia"/>
          <w:b/>
          <w:sz w:val="30"/>
          <w:szCs w:val="30"/>
        </w:rPr>
        <w:t xml:space="preserve">2025年三门县省道桥梁预防性养护工程   </w:t>
      </w:r>
    </w:p>
    <w:p w14:paraId="6021E948">
      <w:pPr>
        <w:pStyle w:val="41"/>
        <w:spacing w:line="560" w:lineRule="exact"/>
        <w:ind w:left="0" w:leftChars="0"/>
        <w:jc w:val="center"/>
        <w:rPr>
          <w:b/>
          <w:sz w:val="36"/>
          <w:szCs w:val="36"/>
        </w:rPr>
      </w:pPr>
      <w:r>
        <w:rPr>
          <w:rFonts w:hint="eastAsia"/>
          <w:b/>
          <w:sz w:val="36"/>
          <w:szCs w:val="36"/>
        </w:rPr>
        <w:t>投 标 函</w:t>
      </w:r>
    </w:p>
    <w:p w14:paraId="39DE2985">
      <w:pPr>
        <w:pStyle w:val="41"/>
        <w:spacing w:line="560" w:lineRule="exact"/>
        <w:ind w:left="0" w:leftChars="0"/>
        <w:rPr>
          <w:b/>
          <w:sz w:val="24"/>
        </w:rPr>
      </w:pPr>
      <w:r>
        <w:rPr>
          <w:rFonts w:hint="eastAsia"/>
          <w:sz w:val="24"/>
          <w:u w:val="single"/>
        </w:rPr>
        <w:t xml:space="preserve">                     </w:t>
      </w:r>
      <w:r>
        <w:rPr>
          <w:rFonts w:hint="eastAsia"/>
          <w:sz w:val="24"/>
        </w:rPr>
        <w:t>（招标人）：</w:t>
      </w:r>
    </w:p>
    <w:p w14:paraId="7E248DF0">
      <w:pPr>
        <w:spacing w:line="560" w:lineRule="exact"/>
        <w:rPr>
          <w:sz w:val="24"/>
          <w:u w:val="single"/>
        </w:rPr>
      </w:pPr>
      <w:r>
        <w:rPr>
          <w:rFonts w:hint="eastAsia"/>
          <w:sz w:val="24"/>
        </w:rPr>
        <w:t>一、根据你方的</w:t>
      </w:r>
      <w:r>
        <w:rPr>
          <w:rFonts w:hint="eastAsia"/>
          <w:sz w:val="24"/>
          <w:u w:val="single"/>
        </w:rPr>
        <w:t>2025年三门县省道桥梁预防性养护工程</w:t>
      </w:r>
      <w:r>
        <w:rPr>
          <w:rFonts w:hint="eastAsia"/>
          <w:sz w:val="24"/>
        </w:rPr>
        <w:t>招标文件，经考察现</w:t>
      </w:r>
      <w:r>
        <w:rPr>
          <w:rFonts w:hint="eastAsia"/>
          <w:w w:val="107"/>
          <w:sz w:val="24"/>
        </w:rPr>
        <w:t>场和研究上述招标文件后，</w:t>
      </w:r>
      <w:r>
        <w:rPr>
          <w:rFonts w:hint="eastAsia"/>
          <w:sz w:val="24"/>
        </w:rPr>
        <w:t>在全部同意招标文件内容前提下，我方保证：</w:t>
      </w:r>
    </w:p>
    <w:p w14:paraId="746ADE06">
      <w:pPr>
        <w:spacing w:line="560" w:lineRule="exact"/>
        <w:ind w:firstLine="360" w:firstLineChars="150"/>
        <w:rPr>
          <w:sz w:val="24"/>
        </w:rPr>
      </w:pPr>
      <w:r>
        <w:rPr>
          <w:rFonts w:hint="eastAsia"/>
          <w:sz w:val="24"/>
        </w:rPr>
        <w:t>1、</w:t>
      </w:r>
      <w:r>
        <w:rPr>
          <w:rFonts w:hint="eastAsia"/>
          <w:w w:val="107"/>
          <w:sz w:val="24"/>
        </w:rPr>
        <w:t>愿以</w:t>
      </w:r>
      <w:r>
        <w:rPr>
          <w:rFonts w:hint="eastAsia"/>
          <w:sz w:val="24"/>
        </w:rPr>
        <w:t>本工程预算审核价</w:t>
      </w:r>
      <w:r>
        <w:rPr>
          <w:rFonts w:hint="eastAsia"/>
          <w:sz w:val="24"/>
          <w:u w:val="single"/>
        </w:rPr>
        <w:t>539057</w:t>
      </w:r>
      <w:r>
        <w:rPr>
          <w:rFonts w:hint="eastAsia"/>
          <w:sz w:val="24"/>
        </w:rPr>
        <w:t>元，下浮</w:t>
      </w:r>
      <w:r>
        <w:rPr>
          <w:rFonts w:hint="eastAsia"/>
          <w:sz w:val="24"/>
          <w:u w:val="single"/>
        </w:rPr>
        <w:t xml:space="preserve">        </w:t>
      </w:r>
      <w:r>
        <w:rPr>
          <w:rFonts w:hint="eastAsia"/>
          <w:sz w:val="24"/>
        </w:rPr>
        <w:t>%（百分号前保留二位小数，第三位四舍五入），并同意以招标文件规定计算造价，承包上述工程的施工、竣工和保修。</w:t>
      </w:r>
    </w:p>
    <w:p w14:paraId="4DC24EC6">
      <w:pPr>
        <w:spacing w:line="560" w:lineRule="exact"/>
        <w:ind w:firstLine="360" w:firstLineChars="150"/>
        <w:rPr>
          <w:sz w:val="24"/>
        </w:rPr>
      </w:pPr>
      <w:r>
        <w:rPr>
          <w:rFonts w:hint="eastAsia"/>
          <w:sz w:val="24"/>
        </w:rPr>
        <w:t>2、工期：</w:t>
      </w:r>
      <w:r>
        <w:rPr>
          <w:rFonts w:hint="eastAsia"/>
          <w:sz w:val="24"/>
          <w:u w:val="single"/>
        </w:rPr>
        <w:t xml:space="preserve">  　 　</w:t>
      </w:r>
      <w:r>
        <w:rPr>
          <w:rFonts w:hint="eastAsia"/>
          <w:sz w:val="24"/>
        </w:rPr>
        <w:t>日历天；</w:t>
      </w:r>
    </w:p>
    <w:p w14:paraId="65C1BD42">
      <w:pPr>
        <w:spacing w:line="560" w:lineRule="exact"/>
        <w:ind w:firstLine="360" w:firstLineChars="150"/>
        <w:rPr>
          <w:sz w:val="24"/>
        </w:rPr>
      </w:pPr>
      <w:r>
        <w:rPr>
          <w:rFonts w:hint="eastAsia"/>
          <w:sz w:val="24"/>
        </w:rPr>
        <w:t>3、工程质量</w:t>
      </w:r>
      <w:r>
        <w:rPr>
          <w:rFonts w:hint="eastAsia"/>
          <w:sz w:val="24"/>
          <w:lang w:eastAsia="zh-CN"/>
        </w:rPr>
        <w:t>要求</w:t>
      </w:r>
      <w:r>
        <w:rPr>
          <w:rFonts w:hint="eastAsia"/>
          <w:sz w:val="24"/>
        </w:rPr>
        <w:t>：</w:t>
      </w:r>
      <w:r>
        <w:rPr>
          <w:rFonts w:hint="eastAsia"/>
          <w:sz w:val="24"/>
          <w:u w:val="single"/>
        </w:rPr>
        <w:t>合格</w:t>
      </w:r>
      <w:r>
        <w:rPr>
          <w:rFonts w:hint="eastAsia"/>
          <w:sz w:val="24"/>
        </w:rPr>
        <w:t>；</w:t>
      </w:r>
    </w:p>
    <w:p w14:paraId="053745A6">
      <w:pPr>
        <w:adjustRightInd w:val="0"/>
        <w:snapToGrid w:val="0"/>
        <w:spacing w:line="560" w:lineRule="exact"/>
        <w:ind w:firstLine="360" w:firstLineChars="150"/>
        <w:rPr>
          <w:sz w:val="24"/>
        </w:rPr>
      </w:pPr>
      <w:r>
        <w:rPr>
          <w:rFonts w:hint="eastAsia"/>
          <w:sz w:val="24"/>
        </w:rPr>
        <w:t>4、安全</w:t>
      </w:r>
      <w:r>
        <w:rPr>
          <w:rFonts w:hint="eastAsia"/>
          <w:sz w:val="24"/>
          <w:lang w:eastAsia="zh-CN"/>
        </w:rPr>
        <w:t>目标</w:t>
      </w:r>
      <w:r>
        <w:rPr>
          <w:rFonts w:hint="eastAsia"/>
          <w:sz w:val="24"/>
        </w:rPr>
        <w:t>：</w:t>
      </w:r>
      <w:r>
        <w:rPr>
          <w:rFonts w:hint="eastAsia" w:cs="Times New Roman"/>
          <w:sz w:val="24"/>
          <w:u w:val="single"/>
        </w:rPr>
        <w:t>不发生较大及以上生产安全责任事故，人员零死亡</w:t>
      </w:r>
      <w:r>
        <w:rPr>
          <w:rFonts w:hint="eastAsia"/>
          <w:sz w:val="24"/>
        </w:rPr>
        <w:t>；</w:t>
      </w:r>
    </w:p>
    <w:p w14:paraId="2BD03425">
      <w:pPr>
        <w:spacing w:line="560" w:lineRule="exact"/>
        <w:ind w:firstLine="360" w:firstLineChars="150"/>
        <w:rPr>
          <w:sz w:val="24"/>
        </w:rPr>
      </w:pPr>
      <w:r>
        <w:rPr>
          <w:rFonts w:hint="eastAsia"/>
          <w:sz w:val="24"/>
        </w:rPr>
        <w:t>5、项目负责人：</w:t>
      </w:r>
      <w:r>
        <w:rPr>
          <w:rFonts w:hint="eastAsia" w:asciiTheme="minorEastAsia" w:hAnsiTheme="minorEastAsia"/>
          <w:sz w:val="24"/>
          <w:u w:val="single"/>
        </w:rPr>
        <w:t xml:space="preserve">              </w:t>
      </w:r>
      <w:r>
        <w:rPr>
          <w:rFonts w:hint="eastAsia"/>
          <w:sz w:val="24"/>
        </w:rPr>
        <w:t>。</w:t>
      </w:r>
    </w:p>
    <w:p w14:paraId="54E777D7">
      <w:pPr>
        <w:spacing w:line="560" w:lineRule="exact"/>
        <w:ind w:firstLine="360" w:firstLineChars="150"/>
        <w:rPr>
          <w:sz w:val="24"/>
        </w:rPr>
      </w:pPr>
      <w:r>
        <w:rPr>
          <w:rFonts w:hint="eastAsia"/>
          <w:sz w:val="24"/>
        </w:rPr>
        <w:t>6、人员设备按本投标文件的部署及时到位。</w:t>
      </w:r>
    </w:p>
    <w:p w14:paraId="34AE4725">
      <w:pPr>
        <w:spacing w:line="560" w:lineRule="exact"/>
        <w:rPr>
          <w:sz w:val="24"/>
        </w:rPr>
      </w:pPr>
      <w:r>
        <w:rPr>
          <w:rFonts w:hint="eastAsia"/>
          <w:sz w:val="24"/>
        </w:rPr>
        <w:t>二、如果我方中标，我方将按照招标文件规定提交履约担保，共同地和分别地承担责任。</w:t>
      </w:r>
    </w:p>
    <w:p w14:paraId="214CD48A">
      <w:pPr>
        <w:spacing w:line="560" w:lineRule="exact"/>
        <w:rPr>
          <w:sz w:val="24"/>
        </w:rPr>
      </w:pPr>
      <w:r>
        <w:rPr>
          <w:rFonts w:hint="eastAsia"/>
          <w:sz w:val="24"/>
        </w:rPr>
        <w:t>三、除非另外达成协议并生效，你方的中标通知书和本投标文件将构成约束我们双方的合同。</w:t>
      </w:r>
    </w:p>
    <w:p w14:paraId="67549507">
      <w:pPr>
        <w:spacing w:line="560" w:lineRule="exact"/>
        <w:rPr>
          <w:sz w:val="24"/>
        </w:rPr>
      </w:pPr>
      <w:r>
        <w:rPr>
          <w:rFonts w:hint="eastAsia"/>
          <w:sz w:val="24"/>
        </w:rPr>
        <w:t>四、我方的投标担保已按招标文件的要求递交。</w:t>
      </w:r>
    </w:p>
    <w:p w14:paraId="0EB60B35">
      <w:pPr>
        <w:jc w:val="right"/>
        <w:rPr>
          <w:sz w:val="24"/>
        </w:rPr>
      </w:pPr>
      <w:r>
        <w:rPr>
          <w:rFonts w:hint="eastAsia"/>
          <w:sz w:val="24"/>
        </w:rPr>
        <w:t xml:space="preserve">                                               </w:t>
      </w:r>
    </w:p>
    <w:p w14:paraId="6B8B69C2">
      <w:pPr>
        <w:rPr>
          <w:sz w:val="24"/>
        </w:rPr>
      </w:pPr>
    </w:p>
    <w:p w14:paraId="5BDB4463">
      <w:pPr>
        <w:rPr>
          <w:sz w:val="24"/>
        </w:rPr>
      </w:pPr>
      <w:r>
        <w:rPr>
          <w:rFonts w:hint="eastAsia"/>
          <w:sz w:val="24"/>
        </w:rPr>
        <w:t xml:space="preserve"> 法定代表人（签字或盖章）：         </w:t>
      </w:r>
      <w:bookmarkStart w:id="419" w:name="_Hlt465761988"/>
      <w:bookmarkEnd w:id="419"/>
      <w:bookmarkStart w:id="420" w:name="_Hlk465759066"/>
      <w:r>
        <w:rPr>
          <w:rFonts w:hint="eastAsia"/>
          <w:sz w:val="24"/>
        </w:rPr>
        <w:t xml:space="preserve">          </w:t>
      </w:r>
      <w:bookmarkEnd w:id="420"/>
      <w:r>
        <w:rPr>
          <w:rFonts w:hint="eastAsia"/>
          <w:sz w:val="24"/>
        </w:rPr>
        <w:t>投标人（盖章）：</w:t>
      </w:r>
    </w:p>
    <w:p w14:paraId="41A0E448">
      <w:pPr>
        <w:jc w:val="right"/>
        <w:rPr>
          <w:sz w:val="24"/>
        </w:rPr>
      </w:pPr>
    </w:p>
    <w:p w14:paraId="5A8080E3">
      <w:pPr>
        <w:rPr>
          <w:sz w:val="24"/>
        </w:rPr>
      </w:pPr>
      <w:r>
        <w:rPr>
          <w:rFonts w:hint="eastAsia"/>
          <w:sz w:val="24"/>
        </w:rPr>
        <w:t xml:space="preserve">                                             日期：   年    月   日</w:t>
      </w:r>
    </w:p>
    <w:bookmarkEnd w:id="416"/>
    <w:bookmarkEnd w:id="417"/>
    <w:bookmarkEnd w:id="418"/>
    <w:p w14:paraId="0CB8B578">
      <w:pPr>
        <w:rPr>
          <w:rFonts w:ascii="宋体" w:hAnsi="宋体"/>
          <w:sz w:val="24"/>
        </w:rPr>
      </w:pPr>
    </w:p>
    <w:p w14:paraId="3C4F2FDF">
      <w:pPr>
        <w:pStyle w:val="48"/>
      </w:pPr>
      <w:r>
        <w:br w:type="page"/>
      </w:r>
    </w:p>
    <w:p w14:paraId="32E192F4">
      <w:pPr>
        <w:rPr>
          <w:rFonts w:ascii="宋体" w:hAnsi="宋体"/>
          <w:sz w:val="24"/>
        </w:rPr>
      </w:pPr>
    </w:p>
    <w:p w14:paraId="3E25207D">
      <w:pPr>
        <w:pStyle w:val="2"/>
        <w:snapToGrid w:val="0"/>
        <w:spacing w:before="60" w:after="60" w:line="360" w:lineRule="auto"/>
        <w:jc w:val="center"/>
        <w:rPr>
          <w:rFonts w:ascii="宋体" w:hAnsi="宋体"/>
          <w:b w:val="0"/>
          <w:sz w:val="30"/>
          <w:szCs w:val="30"/>
        </w:rPr>
      </w:pPr>
      <w:bookmarkStart w:id="421" w:name="_Toc173244880"/>
      <w:bookmarkStart w:id="422" w:name="_Toc17625"/>
      <w:bookmarkStart w:id="423" w:name="_Toc240217887"/>
      <w:bookmarkStart w:id="424" w:name="_Toc422814791"/>
      <w:bookmarkStart w:id="425" w:name="_Toc240330706"/>
      <w:bookmarkStart w:id="426" w:name="_Toc240381432"/>
      <w:r>
        <w:rPr>
          <w:rFonts w:hint="eastAsia" w:ascii="宋体" w:hAnsi="宋体"/>
          <w:b w:val="0"/>
          <w:bCs w:val="0"/>
          <w:sz w:val="24"/>
        </w:rPr>
        <w:t>二、</w:t>
      </w:r>
      <w:r>
        <w:rPr>
          <w:rFonts w:hint="eastAsia" w:ascii="宋体" w:hAnsi="宋体"/>
          <w:b w:val="0"/>
          <w:sz w:val="30"/>
          <w:szCs w:val="30"/>
        </w:rPr>
        <w:t>投标函附录</w:t>
      </w:r>
      <w:bookmarkEnd w:id="421"/>
      <w:bookmarkEnd w:id="422"/>
    </w:p>
    <w:bookmarkEnd w:id="423"/>
    <w:bookmarkEnd w:id="424"/>
    <w:bookmarkEnd w:id="425"/>
    <w:bookmarkEnd w:id="426"/>
    <w:p w14:paraId="2ABEB969">
      <w:pPr>
        <w:rPr>
          <w:rFonts w:ascii="宋体" w:hAnsi="宋体" w:eastAsia="宋体" w:cs="宋体"/>
        </w:rPr>
      </w:pPr>
    </w:p>
    <w:tbl>
      <w:tblPr>
        <w:tblStyle w:val="52"/>
        <w:tblW w:w="9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2721"/>
        <w:gridCol w:w="1432"/>
        <w:gridCol w:w="4112"/>
        <w:gridCol w:w="815"/>
      </w:tblGrid>
      <w:tr w14:paraId="2A8AA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59" w:type="dxa"/>
            <w:tcBorders>
              <w:top w:val="single" w:color="auto" w:sz="12" w:space="0"/>
              <w:left w:val="single" w:color="auto" w:sz="12" w:space="0"/>
              <w:bottom w:val="single" w:color="auto" w:sz="6" w:space="0"/>
              <w:right w:val="single" w:color="auto" w:sz="6" w:space="0"/>
            </w:tcBorders>
            <w:vAlign w:val="center"/>
          </w:tcPr>
          <w:p w14:paraId="13FA6318">
            <w:pPr>
              <w:jc w:val="center"/>
              <w:rPr>
                <w:rFonts w:ascii="宋体" w:hAnsi="宋体" w:eastAsia="宋体" w:cs="宋体"/>
                <w:szCs w:val="21"/>
              </w:rPr>
            </w:pPr>
            <w:r>
              <w:rPr>
                <w:rFonts w:hint="eastAsia" w:ascii="宋体" w:hAnsi="宋体" w:eastAsia="宋体" w:cs="宋体"/>
                <w:szCs w:val="21"/>
              </w:rPr>
              <w:t>序号</w:t>
            </w:r>
          </w:p>
        </w:tc>
        <w:tc>
          <w:tcPr>
            <w:tcW w:w="2721" w:type="dxa"/>
            <w:tcBorders>
              <w:top w:val="single" w:color="auto" w:sz="12" w:space="0"/>
              <w:left w:val="single" w:color="auto" w:sz="6" w:space="0"/>
              <w:bottom w:val="single" w:color="auto" w:sz="6" w:space="0"/>
              <w:right w:val="single" w:color="auto" w:sz="6" w:space="0"/>
            </w:tcBorders>
            <w:vAlign w:val="center"/>
          </w:tcPr>
          <w:p w14:paraId="5E8509A1">
            <w:pPr>
              <w:jc w:val="center"/>
              <w:rPr>
                <w:rFonts w:ascii="宋体" w:hAnsi="宋体" w:eastAsia="宋体" w:cs="宋体"/>
                <w:szCs w:val="21"/>
              </w:rPr>
            </w:pPr>
            <w:r>
              <w:rPr>
                <w:rFonts w:hint="eastAsia" w:ascii="宋体" w:hAnsi="宋体" w:eastAsia="宋体" w:cs="宋体"/>
                <w:szCs w:val="21"/>
              </w:rPr>
              <w:t>条款名称</w:t>
            </w:r>
          </w:p>
        </w:tc>
        <w:tc>
          <w:tcPr>
            <w:tcW w:w="1432" w:type="dxa"/>
            <w:tcBorders>
              <w:top w:val="single" w:color="auto" w:sz="12" w:space="0"/>
              <w:left w:val="single" w:color="auto" w:sz="6" w:space="0"/>
              <w:bottom w:val="single" w:color="auto" w:sz="6" w:space="0"/>
              <w:right w:val="single" w:color="auto" w:sz="6" w:space="0"/>
            </w:tcBorders>
            <w:vAlign w:val="center"/>
          </w:tcPr>
          <w:p w14:paraId="3221B530">
            <w:pPr>
              <w:jc w:val="center"/>
              <w:rPr>
                <w:rFonts w:ascii="宋体" w:hAnsi="宋体" w:eastAsia="宋体" w:cs="宋体"/>
                <w:szCs w:val="21"/>
              </w:rPr>
            </w:pPr>
            <w:r>
              <w:rPr>
                <w:rFonts w:hint="eastAsia" w:ascii="宋体" w:hAnsi="宋体" w:eastAsia="宋体" w:cs="宋体"/>
                <w:szCs w:val="21"/>
              </w:rPr>
              <w:t>合同条目号</w:t>
            </w:r>
          </w:p>
        </w:tc>
        <w:tc>
          <w:tcPr>
            <w:tcW w:w="4112" w:type="dxa"/>
            <w:tcBorders>
              <w:top w:val="single" w:color="auto" w:sz="12" w:space="0"/>
              <w:left w:val="single" w:color="auto" w:sz="6" w:space="0"/>
              <w:bottom w:val="single" w:color="auto" w:sz="6" w:space="0"/>
              <w:right w:val="single" w:color="auto" w:sz="6" w:space="0"/>
            </w:tcBorders>
            <w:vAlign w:val="center"/>
          </w:tcPr>
          <w:p w14:paraId="4DB8EA11">
            <w:pPr>
              <w:jc w:val="center"/>
              <w:rPr>
                <w:rFonts w:ascii="宋体" w:hAnsi="宋体" w:eastAsia="宋体" w:cs="宋体"/>
                <w:szCs w:val="21"/>
              </w:rPr>
            </w:pPr>
            <w:r>
              <w:rPr>
                <w:rFonts w:hint="eastAsia" w:ascii="宋体" w:hAnsi="宋体" w:eastAsia="宋体" w:cs="宋体"/>
                <w:szCs w:val="21"/>
              </w:rPr>
              <w:t>约定内容</w:t>
            </w:r>
          </w:p>
        </w:tc>
        <w:tc>
          <w:tcPr>
            <w:tcW w:w="815" w:type="dxa"/>
            <w:tcBorders>
              <w:top w:val="single" w:color="auto" w:sz="12" w:space="0"/>
              <w:left w:val="single" w:color="auto" w:sz="6" w:space="0"/>
              <w:bottom w:val="single" w:color="auto" w:sz="6" w:space="0"/>
              <w:right w:val="single" w:color="auto" w:sz="12" w:space="0"/>
            </w:tcBorders>
            <w:vAlign w:val="center"/>
          </w:tcPr>
          <w:p w14:paraId="2B6C317E">
            <w:pPr>
              <w:jc w:val="center"/>
              <w:rPr>
                <w:rFonts w:ascii="宋体" w:hAnsi="宋体" w:eastAsia="宋体" w:cs="宋体"/>
                <w:szCs w:val="21"/>
              </w:rPr>
            </w:pPr>
            <w:r>
              <w:rPr>
                <w:rFonts w:hint="eastAsia" w:ascii="宋体" w:hAnsi="宋体" w:eastAsia="宋体" w:cs="宋体"/>
                <w:szCs w:val="21"/>
              </w:rPr>
              <w:t>备注</w:t>
            </w:r>
          </w:p>
        </w:tc>
      </w:tr>
      <w:tr w14:paraId="796EF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099DC0B8">
            <w:pPr>
              <w:jc w:val="center"/>
              <w:rPr>
                <w:rFonts w:ascii="宋体" w:hAnsi="宋体" w:eastAsia="宋体" w:cs="宋体"/>
                <w:szCs w:val="21"/>
              </w:rPr>
            </w:pPr>
            <w:r>
              <w:rPr>
                <w:rFonts w:hint="eastAsia" w:ascii="宋体" w:hAnsi="宋体" w:eastAsia="宋体" w:cs="宋体"/>
                <w:szCs w:val="21"/>
              </w:rPr>
              <w:t>1</w:t>
            </w:r>
          </w:p>
        </w:tc>
        <w:tc>
          <w:tcPr>
            <w:tcW w:w="2721" w:type="dxa"/>
            <w:tcBorders>
              <w:top w:val="single" w:color="auto" w:sz="6" w:space="0"/>
              <w:left w:val="single" w:color="auto" w:sz="6" w:space="0"/>
              <w:bottom w:val="single" w:color="auto" w:sz="6" w:space="0"/>
              <w:right w:val="single" w:color="auto" w:sz="6" w:space="0"/>
            </w:tcBorders>
            <w:vAlign w:val="center"/>
          </w:tcPr>
          <w:p w14:paraId="3A359265">
            <w:pPr>
              <w:jc w:val="center"/>
              <w:rPr>
                <w:rFonts w:ascii="宋体" w:hAnsi="宋体" w:eastAsia="宋体" w:cs="宋体"/>
                <w:szCs w:val="21"/>
              </w:rPr>
            </w:pPr>
            <w:r>
              <w:rPr>
                <w:rFonts w:hint="eastAsia" w:ascii="宋体" w:hAnsi="宋体" w:eastAsia="宋体" w:cs="宋体"/>
                <w:szCs w:val="21"/>
              </w:rPr>
              <w:t>缺陷责任期</w:t>
            </w:r>
          </w:p>
        </w:tc>
        <w:tc>
          <w:tcPr>
            <w:tcW w:w="1432" w:type="dxa"/>
            <w:tcBorders>
              <w:top w:val="single" w:color="auto" w:sz="6" w:space="0"/>
              <w:left w:val="single" w:color="auto" w:sz="6" w:space="0"/>
              <w:bottom w:val="single" w:color="auto" w:sz="6" w:space="0"/>
              <w:right w:val="single" w:color="auto" w:sz="6" w:space="0"/>
            </w:tcBorders>
            <w:vAlign w:val="center"/>
          </w:tcPr>
          <w:p w14:paraId="413B5DAE">
            <w:pPr>
              <w:jc w:val="center"/>
              <w:rPr>
                <w:rFonts w:ascii="宋体" w:hAnsi="宋体" w:eastAsia="宋体" w:cs="宋体"/>
                <w:szCs w:val="21"/>
              </w:rPr>
            </w:pPr>
            <w:r>
              <w:rPr>
                <w:rFonts w:hint="eastAsia" w:ascii="宋体" w:hAnsi="宋体" w:eastAsia="宋体" w:cs="宋体"/>
                <w:szCs w:val="21"/>
              </w:rPr>
              <w:t>1.1.4.5</w:t>
            </w:r>
          </w:p>
        </w:tc>
        <w:tc>
          <w:tcPr>
            <w:tcW w:w="4112" w:type="dxa"/>
            <w:tcBorders>
              <w:top w:val="single" w:color="auto" w:sz="6" w:space="0"/>
              <w:left w:val="single" w:color="auto" w:sz="6" w:space="0"/>
              <w:bottom w:val="single" w:color="auto" w:sz="6" w:space="0"/>
              <w:right w:val="single" w:color="auto" w:sz="6" w:space="0"/>
            </w:tcBorders>
            <w:vAlign w:val="center"/>
          </w:tcPr>
          <w:p w14:paraId="4061FFD2">
            <w:pPr>
              <w:ind w:firstLine="210" w:firstLineChars="100"/>
              <w:rPr>
                <w:rFonts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1</w:t>
            </w:r>
            <w:r>
              <w:rPr>
                <w:rFonts w:hint="eastAsia" w:ascii="宋体" w:hAnsi="宋体" w:eastAsia="宋体" w:cs="宋体"/>
                <w:szCs w:val="21"/>
              </w:rPr>
              <w:t>年</w:t>
            </w:r>
          </w:p>
        </w:tc>
        <w:tc>
          <w:tcPr>
            <w:tcW w:w="815" w:type="dxa"/>
            <w:tcBorders>
              <w:top w:val="single" w:color="auto" w:sz="6" w:space="0"/>
              <w:left w:val="single" w:color="auto" w:sz="6" w:space="0"/>
              <w:bottom w:val="single" w:color="auto" w:sz="6" w:space="0"/>
              <w:right w:val="single" w:color="auto" w:sz="12" w:space="0"/>
            </w:tcBorders>
            <w:vAlign w:val="center"/>
          </w:tcPr>
          <w:p w14:paraId="0D6827A6">
            <w:pPr>
              <w:jc w:val="center"/>
              <w:rPr>
                <w:rFonts w:ascii="宋体" w:hAnsi="宋体" w:eastAsia="宋体" w:cs="宋体"/>
                <w:szCs w:val="21"/>
              </w:rPr>
            </w:pPr>
          </w:p>
        </w:tc>
      </w:tr>
      <w:tr w14:paraId="667E8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4E7A6F2B">
            <w:pPr>
              <w:jc w:val="center"/>
              <w:rPr>
                <w:rFonts w:ascii="宋体" w:hAnsi="宋体" w:eastAsia="宋体" w:cs="宋体"/>
                <w:szCs w:val="21"/>
              </w:rPr>
            </w:pPr>
            <w:r>
              <w:rPr>
                <w:rFonts w:hint="eastAsia" w:ascii="宋体" w:hAnsi="宋体" w:eastAsia="宋体" w:cs="宋体"/>
                <w:szCs w:val="21"/>
              </w:rPr>
              <w:t>2</w:t>
            </w:r>
          </w:p>
        </w:tc>
        <w:tc>
          <w:tcPr>
            <w:tcW w:w="2721" w:type="dxa"/>
            <w:tcBorders>
              <w:top w:val="single" w:color="auto" w:sz="6" w:space="0"/>
              <w:left w:val="single" w:color="auto" w:sz="6" w:space="0"/>
              <w:bottom w:val="single" w:color="auto" w:sz="6" w:space="0"/>
              <w:right w:val="single" w:color="auto" w:sz="6" w:space="0"/>
            </w:tcBorders>
            <w:vAlign w:val="center"/>
          </w:tcPr>
          <w:p w14:paraId="711536BC">
            <w:pPr>
              <w:jc w:val="center"/>
              <w:rPr>
                <w:rFonts w:ascii="宋体" w:hAnsi="宋体" w:eastAsia="宋体" w:cs="宋体"/>
                <w:szCs w:val="21"/>
              </w:rPr>
            </w:pPr>
            <w:r>
              <w:rPr>
                <w:rFonts w:hint="eastAsia" w:ascii="宋体" w:hAnsi="宋体" w:eastAsia="宋体" w:cs="宋体"/>
                <w:szCs w:val="21"/>
              </w:rPr>
              <w:t>逾期交工违约金</w:t>
            </w:r>
          </w:p>
        </w:tc>
        <w:tc>
          <w:tcPr>
            <w:tcW w:w="1432" w:type="dxa"/>
            <w:tcBorders>
              <w:top w:val="single" w:color="auto" w:sz="6" w:space="0"/>
              <w:left w:val="single" w:color="auto" w:sz="6" w:space="0"/>
              <w:bottom w:val="single" w:color="auto" w:sz="6" w:space="0"/>
              <w:right w:val="single" w:color="auto" w:sz="6" w:space="0"/>
            </w:tcBorders>
            <w:vAlign w:val="center"/>
          </w:tcPr>
          <w:p w14:paraId="53436680">
            <w:pPr>
              <w:jc w:val="center"/>
              <w:rPr>
                <w:rFonts w:ascii="宋体" w:hAnsi="宋体" w:eastAsia="宋体" w:cs="宋体"/>
                <w:szCs w:val="21"/>
              </w:rPr>
            </w:pPr>
            <w:r>
              <w:rPr>
                <w:rFonts w:hint="eastAsia" w:ascii="宋体" w:hAnsi="宋体" w:eastAsia="宋体" w:cs="宋体"/>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14:paraId="35BF6F43">
            <w:pPr>
              <w:ind w:firstLine="210" w:firstLineChars="100"/>
              <w:rPr>
                <w:rFonts w:ascii="宋体" w:hAnsi="宋体" w:eastAsia="宋体" w:cs="宋体"/>
                <w:szCs w:val="21"/>
              </w:rPr>
            </w:pPr>
            <w:r>
              <w:rPr>
                <w:rFonts w:hint="eastAsia" w:ascii="宋体" w:hAnsi="宋体" w:eastAsia="宋体" w:cs="宋体"/>
                <w:szCs w:val="21"/>
                <w:u w:val="single"/>
              </w:rPr>
              <w:t>1000</w:t>
            </w:r>
            <w:r>
              <w:rPr>
                <w:rFonts w:hint="eastAsia" w:ascii="宋体" w:hAnsi="宋体" w:eastAsia="宋体" w:cs="宋体"/>
                <w:szCs w:val="21"/>
              </w:rPr>
              <w:t>元/天</w:t>
            </w:r>
          </w:p>
        </w:tc>
        <w:tc>
          <w:tcPr>
            <w:tcW w:w="815" w:type="dxa"/>
            <w:tcBorders>
              <w:top w:val="single" w:color="auto" w:sz="6" w:space="0"/>
              <w:left w:val="single" w:color="auto" w:sz="6" w:space="0"/>
              <w:bottom w:val="single" w:color="auto" w:sz="6" w:space="0"/>
              <w:right w:val="single" w:color="auto" w:sz="12" w:space="0"/>
            </w:tcBorders>
            <w:vAlign w:val="center"/>
          </w:tcPr>
          <w:p w14:paraId="5153DD1D">
            <w:pPr>
              <w:jc w:val="center"/>
              <w:rPr>
                <w:rFonts w:ascii="宋体" w:hAnsi="宋体" w:eastAsia="宋体" w:cs="宋体"/>
                <w:szCs w:val="21"/>
              </w:rPr>
            </w:pPr>
          </w:p>
        </w:tc>
      </w:tr>
      <w:tr w14:paraId="40776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01D1AC8D">
            <w:pPr>
              <w:jc w:val="center"/>
              <w:rPr>
                <w:rFonts w:ascii="宋体" w:hAnsi="宋体" w:eastAsia="宋体" w:cs="宋体"/>
                <w:szCs w:val="21"/>
              </w:rPr>
            </w:pPr>
            <w:r>
              <w:rPr>
                <w:rFonts w:hint="eastAsia" w:ascii="宋体" w:hAnsi="宋体" w:eastAsia="宋体" w:cs="宋体"/>
                <w:szCs w:val="21"/>
              </w:rPr>
              <w:t>3</w:t>
            </w:r>
          </w:p>
        </w:tc>
        <w:tc>
          <w:tcPr>
            <w:tcW w:w="2721" w:type="dxa"/>
            <w:tcBorders>
              <w:top w:val="single" w:color="auto" w:sz="6" w:space="0"/>
              <w:left w:val="single" w:color="auto" w:sz="6" w:space="0"/>
              <w:bottom w:val="single" w:color="auto" w:sz="6" w:space="0"/>
              <w:right w:val="single" w:color="auto" w:sz="6" w:space="0"/>
            </w:tcBorders>
            <w:vAlign w:val="center"/>
          </w:tcPr>
          <w:p w14:paraId="6954CD78">
            <w:pPr>
              <w:jc w:val="center"/>
              <w:rPr>
                <w:rFonts w:ascii="宋体" w:hAnsi="宋体" w:eastAsia="宋体" w:cs="宋体"/>
                <w:szCs w:val="21"/>
              </w:rPr>
            </w:pPr>
            <w:r>
              <w:rPr>
                <w:rFonts w:hint="eastAsia" w:ascii="宋体" w:hAnsi="宋体" w:eastAsia="宋体" w:cs="宋体"/>
                <w:szCs w:val="21"/>
              </w:rPr>
              <w:t>逾期交工违约金限额</w:t>
            </w:r>
          </w:p>
        </w:tc>
        <w:tc>
          <w:tcPr>
            <w:tcW w:w="1432" w:type="dxa"/>
            <w:tcBorders>
              <w:top w:val="single" w:color="auto" w:sz="6" w:space="0"/>
              <w:left w:val="single" w:color="auto" w:sz="6" w:space="0"/>
              <w:bottom w:val="single" w:color="auto" w:sz="6" w:space="0"/>
              <w:right w:val="single" w:color="auto" w:sz="6" w:space="0"/>
            </w:tcBorders>
            <w:vAlign w:val="center"/>
          </w:tcPr>
          <w:p w14:paraId="16764138">
            <w:pPr>
              <w:jc w:val="center"/>
              <w:rPr>
                <w:rFonts w:ascii="宋体" w:hAnsi="宋体" w:eastAsia="宋体" w:cs="宋体"/>
                <w:szCs w:val="21"/>
              </w:rPr>
            </w:pPr>
            <w:r>
              <w:rPr>
                <w:rFonts w:hint="eastAsia" w:ascii="宋体" w:hAnsi="宋体" w:eastAsia="宋体" w:cs="宋体"/>
                <w:szCs w:val="21"/>
              </w:rPr>
              <w:t>11.5</w:t>
            </w:r>
          </w:p>
        </w:tc>
        <w:tc>
          <w:tcPr>
            <w:tcW w:w="4112" w:type="dxa"/>
            <w:tcBorders>
              <w:top w:val="single" w:color="auto" w:sz="6" w:space="0"/>
              <w:left w:val="single" w:color="auto" w:sz="6" w:space="0"/>
              <w:bottom w:val="single" w:color="auto" w:sz="6" w:space="0"/>
              <w:right w:val="single" w:color="auto" w:sz="6" w:space="0"/>
            </w:tcBorders>
            <w:vAlign w:val="center"/>
          </w:tcPr>
          <w:p w14:paraId="5420E660">
            <w:pPr>
              <w:ind w:firstLine="210" w:firstLineChars="100"/>
              <w:rPr>
                <w:rFonts w:ascii="宋体" w:hAnsi="宋体" w:eastAsia="宋体" w:cs="宋体"/>
                <w:szCs w:val="21"/>
              </w:rPr>
            </w:pPr>
            <w:r>
              <w:rPr>
                <w:rFonts w:hint="eastAsia" w:ascii="宋体" w:hAnsi="宋体" w:eastAsia="宋体" w:cs="宋体"/>
                <w:szCs w:val="21"/>
                <w:u w:val="single"/>
              </w:rPr>
              <w:t xml:space="preserve"> 10 </w:t>
            </w:r>
            <w:r>
              <w:rPr>
                <w:rFonts w:hint="eastAsia" w:ascii="宋体" w:hAnsi="宋体" w:eastAsia="宋体" w:cs="宋体"/>
                <w:szCs w:val="21"/>
              </w:rPr>
              <w:t>%签约合同价</w:t>
            </w:r>
          </w:p>
        </w:tc>
        <w:tc>
          <w:tcPr>
            <w:tcW w:w="815" w:type="dxa"/>
            <w:tcBorders>
              <w:top w:val="single" w:color="auto" w:sz="6" w:space="0"/>
              <w:left w:val="single" w:color="auto" w:sz="6" w:space="0"/>
              <w:bottom w:val="single" w:color="auto" w:sz="6" w:space="0"/>
              <w:right w:val="single" w:color="auto" w:sz="12" w:space="0"/>
            </w:tcBorders>
            <w:vAlign w:val="center"/>
          </w:tcPr>
          <w:p w14:paraId="1DA1DDE8">
            <w:pPr>
              <w:jc w:val="center"/>
              <w:rPr>
                <w:rFonts w:ascii="宋体" w:hAnsi="宋体" w:eastAsia="宋体" w:cs="宋体"/>
                <w:szCs w:val="21"/>
              </w:rPr>
            </w:pPr>
          </w:p>
        </w:tc>
      </w:tr>
      <w:tr w14:paraId="48717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14E1CEA4">
            <w:pPr>
              <w:jc w:val="center"/>
              <w:rPr>
                <w:rFonts w:ascii="宋体" w:hAnsi="宋体" w:eastAsia="宋体" w:cs="宋体"/>
                <w:szCs w:val="21"/>
              </w:rPr>
            </w:pPr>
            <w:r>
              <w:rPr>
                <w:rFonts w:hint="eastAsia" w:ascii="宋体" w:hAnsi="宋体" w:eastAsia="宋体" w:cs="宋体"/>
                <w:szCs w:val="21"/>
              </w:rPr>
              <w:t>4</w:t>
            </w:r>
          </w:p>
        </w:tc>
        <w:tc>
          <w:tcPr>
            <w:tcW w:w="2721" w:type="dxa"/>
            <w:tcBorders>
              <w:top w:val="single" w:color="auto" w:sz="6" w:space="0"/>
              <w:left w:val="single" w:color="auto" w:sz="6" w:space="0"/>
              <w:bottom w:val="single" w:color="auto" w:sz="6" w:space="0"/>
              <w:right w:val="single" w:color="auto" w:sz="6" w:space="0"/>
            </w:tcBorders>
            <w:vAlign w:val="center"/>
          </w:tcPr>
          <w:p w14:paraId="7C3E8006">
            <w:pPr>
              <w:jc w:val="center"/>
              <w:rPr>
                <w:rFonts w:ascii="宋体" w:hAnsi="宋体" w:eastAsia="宋体" w:cs="宋体"/>
                <w:szCs w:val="21"/>
              </w:rPr>
            </w:pPr>
            <w:r>
              <w:rPr>
                <w:rFonts w:hint="eastAsia" w:ascii="宋体" w:hAnsi="宋体" w:eastAsia="宋体" w:cs="宋体"/>
                <w:szCs w:val="21"/>
              </w:rPr>
              <w:t>提前交工的奖金</w:t>
            </w:r>
          </w:p>
        </w:tc>
        <w:tc>
          <w:tcPr>
            <w:tcW w:w="1432" w:type="dxa"/>
            <w:tcBorders>
              <w:top w:val="single" w:color="auto" w:sz="6" w:space="0"/>
              <w:left w:val="single" w:color="auto" w:sz="6" w:space="0"/>
              <w:bottom w:val="single" w:color="auto" w:sz="6" w:space="0"/>
              <w:right w:val="single" w:color="auto" w:sz="6" w:space="0"/>
            </w:tcBorders>
            <w:vAlign w:val="center"/>
          </w:tcPr>
          <w:p w14:paraId="634D14DC">
            <w:pPr>
              <w:jc w:val="center"/>
              <w:rPr>
                <w:rFonts w:ascii="宋体" w:hAnsi="宋体" w:eastAsia="宋体" w:cs="宋体"/>
                <w:szCs w:val="21"/>
              </w:rPr>
            </w:pPr>
            <w:r>
              <w:rPr>
                <w:rFonts w:hint="eastAsia" w:ascii="宋体" w:hAnsi="宋体" w:eastAsia="宋体" w:cs="宋体"/>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14:paraId="6A8E2B1E">
            <w:pPr>
              <w:ind w:firstLine="210" w:firstLineChars="100"/>
              <w:rPr>
                <w:rFonts w:ascii="宋体" w:hAnsi="宋体" w:eastAsia="宋体" w:cs="宋体"/>
                <w:szCs w:val="21"/>
              </w:rPr>
            </w:pPr>
            <w:r>
              <w:rPr>
                <w:rFonts w:hint="eastAsia" w:ascii="宋体" w:hAnsi="宋体" w:eastAsia="宋体" w:cs="宋体"/>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14:paraId="350E451E">
            <w:pPr>
              <w:jc w:val="center"/>
              <w:rPr>
                <w:rFonts w:ascii="宋体" w:hAnsi="宋体" w:eastAsia="宋体" w:cs="宋体"/>
                <w:szCs w:val="21"/>
              </w:rPr>
            </w:pPr>
          </w:p>
        </w:tc>
      </w:tr>
      <w:tr w14:paraId="5024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7651BC2B">
            <w:pPr>
              <w:jc w:val="center"/>
              <w:rPr>
                <w:rFonts w:ascii="宋体" w:hAnsi="宋体" w:eastAsia="宋体" w:cs="宋体"/>
                <w:szCs w:val="21"/>
              </w:rPr>
            </w:pPr>
            <w:r>
              <w:rPr>
                <w:rFonts w:hint="eastAsia" w:ascii="宋体" w:hAnsi="宋体" w:eastAsia="宋体" w:cs="宋体"/>
                <w:szCs w:val="21"/>
              </w:rPr>
              <w:t>5</w:t>
            </w:r>
          </w:p>
        </w:tc>
        <w:tc>
          <w:tcPr>
            <w:tcW w:w="2721" w:type="dxa"/>
            <w:tcBorders>
              <w:top w:val="single" w:color="auto" w:sz="6" w:space="0"/>
              <w:left w:val="single" w:color="auto" w:sz="6" w:space="0"/>
              <w:bottom w:val="single" w:color="auto" w:sz="6" w:space="0"/>
              <w:right w:val="single" w:color="auto" w:sz="6" w:space="0"/>
            </w:tcBorders>
            <w:vAlign w:val="center"/>
          </w:tcPr>
          <w:p w14:paraId="0146EF2C">
            <w:pPr>
              <w:jc w:val="center"/>
              <w:rPr>
                <w:rFonts w:ascii="宋体" w:hAnsi="宋体" w:eastAsia="宋体" w:cs="宋体"/>
                <w:szCs w:val="21"/>
              </w:rPr>
            </w:pPr>
            <w:r>
              <w:rPr>
                <w:rFonts w:hint="eastAsia" w:ascii="宋体" w:hAnsi="宋体" w:eastAsia="宋体" w:cs="宋体"/>
                <w:szCs w:val="21"/>
              </w:rPr>
              <w:t>提前交工的奖金限额</w:t>
            </w:r>
          </w:p>
        </w:tc>
        <w:tc>
          <w:tcPr>
            <w:tcW w:w="1432" w:type="dxa"/>
            <w:tcBorders>
              <w:top w:val="single" w:color="auto" w:sz="6" w:space="0"/>
              <w:left w:val="single" w:color="auto" w:sz="6" w:space="0"/>
              <w:bottom w:val="single" w:color="auto" w:sz="6" w:space="0"/>
              <w:right w:val="single" w:color="auto" w:sz="6" w:space="0"/>
            </w:tcBorders>
            <w:vAlign w:val="center"/>
          </w:tcPr>
          <w:p w14:paraId="03123DA5">
            <w:pPr>
              <w:jc w:val="center"/>
              <w:rPr>
                <w:rFonts w:ascii="宋体" w:hAnsi="宋体" w:eastAsia="宋体" w:cs="宋体"/>
                <w:szCs w:val="21"/>
              </w:rPr>
            </w:pPr>
            <w:r>
              <w:rPr>
                <w:rFonts w:hint="eastAsia" w:ascii="宋体" w:hAnsi="宋体" w:eastAsia="宋体" w:cs="宋体"/>
                <w:szCs w:val="21"/>
              </w:rPr>
              <w:t>11.6</w:t>
            </w:r>
          </w:p>
        </w:tc>
        <w:tc>
          <w:tcPr>
            <w:tcW w:w="4112" w:type="dxa"/>
            <w:tcBorders>
              <w:top w:val="single" w:color="auto" w:sz="6" w:space="0"/>
              <w:left w:val="single" w:color="auto" w:sz="6" w:space="0"/>
              <w:bottom w:val="single" w:color="auto" w:sz="6" w:space="0"/>
              <w:right w:val="single" w:color="auto" w:sz="6" w:space="0"/>
            </w:tcBorders>
            <w:vAlign w:val="center"/>
          </w:tcPr>
          <w:p w14:paraId="04A6027E">
            <w:pPr>
              <w:ind w:firstLine="210" w:firstLineChars="100"/>
              <w:rPr>
                <w:rFonts w:ascii="宋体" w:hAnsi="宋体" w:eastAsia="宋体" w:cs="宋体"/>
                <w:szCs w:val="21"/>
              </w:rPr>
            </w:pPr>
            <w:r>
              <w:rPr>
                <w:rFonts w:hint="eastAsia" w:ascii="宋体" w:hAnsi="宋体" w:eastAsia="宋体" w:cs="宋体"/>
                <w:szCs w:val="21"/>
              </w:rPr>
              <w:t>无</w:t>
            </w:r>
          </w:p>
        </w:tc>
        <w:tc>
          <w:tcPr>
            <w:tcW w:w="815" w:type="dxa"/>
            <w:tcBorders>
              <w:top w:val="single" w:color="auto" w:sz="6" w:space="0"/>
              <w:left w:val="single" w:color="auto" w:sz="6" w:space="0"/>
              <w:bottom w:val="single" w:color="auto" w:sz="6" w:space="0"/>
              <w:right w:val="single" w:color="auto" w:sz="12" w:space="0"/>
            </w:tcBorders>
            <w:vAlign w:val="center"/>
          </w:tcPr>
          <w:p w14:paraId="7BBE1C34">
            <w:pPr>
              <w:jc w:val="center"/>
              <w:rPr>
                <w:rFonts w:ascii="宋体" w:hAnsi="宋体" w:eastAsia="宋体" w:cs="宋体"/>
                <w:szCs w:val="21"/>
              </w:rPr>
            </w:pPr>
          </w:p>
        </w:tc>
      </w:tr>
      <w:tr w14:paraId="098AF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0211F4C7">
            <w:pPr>
              <w:jc w:val="center"/>
              <w:rPr>
                <w:rFonts w:ascii="宋体" w:hAnsi="宋体" w:eastAsia="宋体" w:cs="宋体"/>
                <w:szCs w:val="21"/>
              </w:rPr>
            </w:pPr>
            <w:r>
              <w:rPr>
                <w:rFonts w:hint="eastAsia" w:ascii="宋体" w:hAnsi="宋体" w:eastAsia="宋体" w:cs="宋体"/>
                <w:szCs w:val="21"/>
              </w:rPr>
              <w:t>6</w:t>
            </w:r>
          </w:p>
        </w:tc>
        <w:tc>
          <w:tcPr>
            <w:tcW w:w="2721" w:type="dxa"/>
            <w:tcBorders>
              <w:top w:val="single" w:color="auto" w:sz="6" w:space="0"/>
              <w:left w:val="single" w:color="auto" w:sz="6" w:space="0"/>
              <w:bottom w:val="single" w:color="auto" w:sz="6" w:space="0"/>
              <w:right w:val="single" w:color="auto" w:sz="6" w:space="0"/>
            </w:tcBorders>
            <w:vAlign w:val="center"/>
          </w:tcPr>
          <w:p w14:paraId="01CF8FC6">
            <w:pPr>
              <w:pStyle w:val="104"/>
              <w:spacing w:before="240" w:line="360" w:lineRule="exact"/>
              <w:rPr>
                <w:rFonts w:ascii="宋体" w:hAnsi="宋体" w:eastAsia="宋体"/>
                <w:sz w:val="21"/>
                <w:szCs w:val="21"/>
              </w:rPr>
            </w:pPr>
            <w:bookmarkStart w:id="427" w:name="_Toc422814792"/>
            <w:r>
              <w:rPr>
                <w:rFonts w:hint="eastAsia" w:ascii="宋体" w:hAnsi="宋体" w:eastAsia="宋体"/>
                <w:sz w:val="21"/>
                <w:szCs w:val="21"/>
              </w:rPr>
              <w:t>物价波动引起的价格调整</w:t>
            </w:r>
            <w:bookmarkEnd w:id="427"/>
          </w:p>
          <w:p w14:paraId="530D12BF">
            <w:pPr>
              <w:jc w:val="center"/>
              <w:rPr>
                <w:rFonts w:ascii="宋体" w:hAnsi="宋体" w:eastAsia="宋体" w:cs="宋体"/>
                <w:szCs w:val="21"/>
              </w:rPr>
            </w:pPr>
          </w:p>
        </w:tc>
        <w:tc>
          <w:tcPr>
            <w:tcW w:w="1432" w:type="dxa"/>
            <w:tcBorders>
              <w:top w:val="single" w:color="auto" w:sz="6" w:space="0"/>
              <w:left w:val="single" w:color="auto" w:sz="6" w:space="0"/>
              <w:bottom w:val="single" w:color="auto" w:sz="6" w:space="0"/>
              <w:right w:val="single" w:color="auto" w:sz="6" w:space="0"/>
            </w:tcBorders>
            <w:vAlign w:val="center"/>
          </w:tcPr>
          <w:p w14:paraId="2990C1C3">
            <w:pPr>
              <w:jc w:val="center"/>
              <w:rPr>
                <w:rFonts w:ascii="宋体" w:hAnsi="宋体" w:eastAsia="宋体" w:cs="宋体"/>
                <w:szCs w:val="21"/>
              </w:rPr>
            </w:pPr>
            <w:r>
              <w:rPr>
                <w:rFonts w:hint="eastAsia" w:ascii="宋体" w:hAnsi="宋体" w:eastAsia="宋体" w:cs="宋体"/>
                <w:szCs w:val="21"/>
              </w:rPr>
              <w:t>16.1</w:t>
            </w:r>
          </w:p>
        </w:tc>
        <w:tc>
          <w:tcPr>
            <w:tcW w:w="4112" w:type="dxa"/>
            <w:tcBorders>
              <w:top w:val="single" w:color="auto" w:sz="6" w:space="0"/>
              <w:left w:val="single" w:color="auto" w:sz="6" w:space="0"/>
              <w:bottom w:val="single" w:color="auto" w:sz="6" w:space="0"/>
              <w:right w:val="single" w:color="auto" w:sz="6" w:space="0"/>
            </w:tcBorders>
            <w:vAlign w:val="center"/>
          </w:tcPr>
          <w:p w14:paraId="483AB83B">
            <w:pPr>
              <w:rPr>
                <w:rFonts w:ascii="宋体" w:hAnsi="宋体" w:eastAsia="宋体" w:cs="宋体"/>
                <w:szCs w:val="21"/>
                <w:u w:val="single"/>
              </w:rPr>
            </w:pPr>
            <w:r>
              <w:rPr>
                <w:rFonts w:hint="eastAsia" w:ascii="宋体" w:hAnsi="宋体" w:eastAsia="宋体" w:cs="宋体"/>
                <w:szCs w:val="21"/>
              </w:rPr>
              <w:t>因物价波动引起的价格不调整</w:t>
            </w:r>
          </w:p>
        </w:tc>
        <w:tc>
          <w:tcPr>
            <w:tcW w:w="815" w:type="dxa"/>
            <w:tcBorders>
              <w:top w:val="single" w:color="auto" w:sz="6" w:space="0"/>
              <w:left w:val="single" w:color="auto" w:sz="6" w:space="0"/>
              <w:bottom w:val="single" w:color="auto" w:sz="6" w:space="0"/>
              <w:right w:val="single" w:color="auto" w:sz="12" w:space="0"/>
            </w:tcBorders>
            <w:vAlign w:val="center"/>
          </w:tcPr>
          <w:p w14:paraId="46D84A99">
            <w:pPr>
              <w:jc w:val="center"/>
              <w:rPr>
                <w:rFonts w:ascii="宋体" w:hAnsi="宋体" w:eastAsia="宋体" w:cs="宋体"/>
                <w:szCs w:val="21"/>
              </w:rPr>
            </w:pPr>
          </w:p>
        </w:tc>
      </w:tr>
      <w:tr w14:paraId="53DD6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18878AB9">
            <w:pPr>
              <w:jc w:val="center"/>
              <w:rPr>
                <w:rFonts w:ascii="宋体" w:hAnsi="宋体" w:eastAsia="宋体" w:cs="宋体"/>
                <w:szCs w:val="21"/>
              </w:rPr>
            </w:pPr>
            <w:r>
              <w:rPr>
                <w:rFonts w:hint="eastAsia" w:ascii="宋体" w:hAnsi="宋体" w:eastAsia="宋体" w:cs="宋体"/>
                <w:szCs w:val="21"/>
              </w:rPr>
              <w:t>7</w:t>
            </w:r>
          </w:p>
        </w:tc>
        <w:tc>
          <w:tcPr>
            <w:tcW w:w="2721" w:type="dxa"/>
            <w:tcBorders>
              <w:top w:val="single" w:color="auto" w:sz="6" w:space="0"/>
              <w:left w:val="single" w:color="auto" w:sz="6" w:space="0"/>
              <w:bottom w:val="single" w:color="auto" w:sz="6" w:space="0"/>
              <w:right w:val="single" w:color="auto" w:sz="6" w:space="0"/>
            </w:tcBorders>
            <w:vAlign w:val="center"/>
          </w:tcPr>
          <w:p w14:paraId="50691E79">
            <w:pPr>
              <w:jc w:val="center"/>
              <w:rPr>
                <w:rFonts w:ascii="宋体" w:hAnsi="宋体" w:eastAsia="宋体" w:cs="宋体"/>
                <w:szCs w:val="21"/>
              </w:rPr>
            </w:pPr>
            <w:r>
              <w:rPr>
                <w:rFonts w:hint="eastAsia" w:ascii="宋体" w:hAnsi="宋体" w:eastAsia="宋体" w:cs="宋体"/>
                <w:szCs w:val="21"/>
              </w:rPr>
              <w:t>开工预付款金额</w:t>
            </w:r>
          </w:p>
        </w:tc>
        <w:tc>
          <w:tcPr>
            <w:tcW w:w="1432" w:type="dxa"/>
            <w:tcBorders>
              <w:top w:val="single" w:color="auto" w:sz="6" w:space="0"/>
              <w:left w:val="single" w:color="auto" w:sz="6" w:space="0"/>
              <w:bottom w:val="single" w:color="auto" w:sz="6" w:space="0"/>
              <w:right w:val="single" w:color="auto" w:sz="6" w:space="0"/>
            </w:tcBorders>
            <w:vAlign w:val="center"/>
          </w:tcPr>
          <w:p w14:paraId="198E1CB4">
            <w:pPr>
              <w:jc w:val="center"/>
              <w:rPr>
                <w:rFonts w:ascii="宋体" w:hAnsi="宋体" w:eastAsia="宋体" w:cs="宋体"/>
                <w:szCs w:val="21"/>
              </w:rPr>
            </w:pPr>
            <w:r>
              <w:rPr>
                <w:rFonts w:hint="eastAsia" w:ascii="宋体" w:hAnsi="宋体" w:eastAsia="宋体" w:cs="宋体"/>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14:paraId="18B2F348">
            <w:pPr>
              <w:ind w:firstLine="210" w:firstLineChars="100"/>
              <w:rPr>
                <w:rFonts w:ascii="宋体" w:hAnsi="宋体" w:eastAsia="宋体" w:cs="宋体"/>
                <w:szCs w:val="21"/>
              </w:rPr>
            </w:pPr>
            <w:r>
              <w:rPr>
                <w:rFonts w:hint="eastAsia" w:hAnsi="宋体"/>
                <w:color w:val="000000"/>
                <w:szCs w:val="21"/>
                <w:u w:val="single"/>
              </w:rPr>
              <w:t>10</w:t>
            </w:r>
            <w:r>
              <w:rPr>
                <w:rFonts w:hint="eastAsia" w:hAnsi="宋体"/>
                <w:color w:val="000000"/>
                <w:szCs w:val="21"/>
              </w:rPr>
              <w:t>%签约合同价。</w:t>
            </w:r>
          </w:p>
        </w:tc>
        <w:tc>
          <w:tcPr>
            <w:tcW w:w="815" w:type="dxa"/>
            <w:tcBorders>
              <w:top w:val="single" w:color="auto" w:sz="6" w:space="0"/>
              <w:left w:val="single" w:color="auto" w:sz="6" w:space="0"/>
              <w:bottom w:val="single" w:color="auto" w:sz="6" w:space="0"/>
              <w:right w:val="single" w:color="auto" w:sz="12" w:space="0"/>
            </w:tcBorders>
            <w:vAlign w:val="center"/>
          </w:tcPr>
          <w:p w14:paraId="4787F0FD">
            <w:pPr>
              <w:jc w:val="center"/>
              <w:rPr>
                <w:rFonts w:ascii="宋体" w:hAnsi="宋体" w:eastAsia="宋体" w:cs="宋体"/>
                <w:szCs w:val="21"/>
              </w:rPr>
            </w:pPr>
          </w:p>
        </w:tc>
      </w:tr>
      <w:tr w14:paraId="41D6B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78FEFC39">
            <w:pPr>
              <w:jc w:val="center"/>
              <w:rPr>
                <w:rFonts w:ascii="宋体" w:hAnsi="宋体" w:eastAsia="宋体" w:cs="宋体"/>
                <w:szCs w:val="21"/>
              </w:rPr>
            </w:pPr>
            <w:r>
              <w:rPr>
                <w:rFonts w:hint="eastAsia" w:ascii="宋体" w:hAnsi="宋体" w:eastAsia="宋体" w:cs="宋体"/>
                <w:szCs w:val="21"/>
              </w:rPr>
              <w:t>8</w:t>
            </w:r>
          </w:p>
        </w:tc>
        <w:tc>
          <w:tcPr>
            <w:tcW w:w="2721" w:type="dxa"/>
            <w:tcBorders>
              <w:top w:val="single" w:color="auto" w:sz="6" w:space="0"/>
              <w:left w:val="single" w:color="auto" w:sz="6" w:space="0"/>
              <w:bottom w:val="single" w:color="auto" w:sz="6" w:space="0"/>
              <w:right w:val="single" w:color="auto" w:sz="6" w:space="0"/>
            </w:tcBorders>
            <w:vAlign w:val="center"/>
          </w:tcPr>
          <w:p w14:paraId="49E24E8F">
            <w:pPr>
              <w:jc w:val="center"/>
              <w:rPr>
                <w:rFonts w:ascii="宋体" w:hAnsi="宋体" w:eastAsia="宋体" w:cs="宋体"/>
                <w:szCs w:val="21"/>
              </w:rPr>
            </w:pPr>
            <w:r>
              <w:rPr>
                <w:rFonts w:hint="eastAsia" w:ascii="宋体" w:hAnsi="宋体" w:eastAsia="宋体" w:cs="宋体"/>
                <w:szCs w:val="21"/>
              </w:rPr>
              <w:t>材料、设备预付款</w:t>
            </w:r>
          </w:p>
        </w:tc>
        <w:tc>
          <w:tcPr>
            <w:tcW w:w="1432" w:type="dxa"/>
            <w:tcBorders>
              <w:top w:val="single" w:color="auto" w:sz="6" w:space="0"/>
              <w:left w:val="single" w:color="auto" w:sz="6" w:space="0"/>
              <w:bottom w:val="single" w:color="auto" w:sz="6" w:space="0"/>
              <w:right w:val="single" w:color="auto" w:sz="6" w:space="0"/>
            </w:tcBorders>
            <w:vAlign w:val="center"/>
          </w:tcPr>
          <w:p w14:paraId="04EB562C">
            <w:pPr>
              <w:jc w:val="center"/>
              <w:rPr>
                <w:rFonts w:ascii="宋体" w:hAnsi="宋体" w:eastAsia="宋体" w:cs="宋体"/>
                <w:szCs w:val="21"/>
              </w:rPr>
            </w:pPr>
            <w:r>
              <w:rPr>
                <w:rFonts w:hint="eastAsia" w:ascii="宋体" w:hAnsi="宋体" w:eastAsia="宋体" w:cs="宋体"/>
                <w:szCs w:val="21"/>
              </w:rPr>
              <w:t>17.2.1</w:t>
            </w:r>
          </w:p>
        </w:tc>
        <w:tc>
          <w:tcPr>
            <w:tcW w:w="4112" w:type="dxa"/>
            <w:tcBorders>
              <w:top w:val="single" w:color="auto" w:sz="6" w:space="0"/>
              <w:left w:val="single" w:color="auto" w:sz="6" w:space="0"/>
              <w:bottom w:val="single" w:color="auto" w:sz="6" w:space="0"/>
              <w:right w:val="single" w:color="auto" w:sz="6" w:space="0"/>
            </w:tcBorders>
            <w:vAlign w:val="center"/>
          </w:tcPr>
          <w:p w14:paraId="3BE808C0">
            <w:pPr>
              <w:ind w:firstLine="211" w:firstLineChars="100"/>
              <w:rPr>
                <w:rFonts w:ascii="宋体" w:hAnsi="宋体" w:eastAsia="宋体" w:cs="宋体"/>
                <w:szCs w:val="21"/>
              </w:rPr>
            </w:pPr>
            <w:r>
              <w:rPr>
                <w:rFonts w:hint="eastAsia"/>
                <w:b/>
                <w:i/>
                <w:color w:val="000000"/>
                <w:szCs w:val="21"/>
                <w:u w:val="single"/>
              </w:rPr>
              <w:t>/</w:t>
            </w:r>
            <w:r>
              <w:rPr>
                <w:b/>
                <w:i/>
                <w:color w:val="000000"/>
                <w:szCs w:val="21"/>
                <w:u w:val="single"/>
              </w:rPr>
              <w:t xml:space="preserve"> </w:t>
            </w:r>
            <w:r>
              <w:rPr>
                <w:color w:val="000000"/>
                <w:szCs w:val="21"/>
              </w:rPr>
              <w:t>等主要材料、设备单据所列费用的</w:t>
            </w:r>
            <w:r>
              <w:rPr>
                <w:b/>
                <w:i/>
                <w:color w:val="000000"/>
                <w:szCs w:val="21"/>
                <w:u w:val="single"/>
              </w:rPr>
              <w:t xml:space="preserve"> </w:t>
            </w:r>
            <w:r>
              <w:rPr>
                <w:rFonts w:hint="eastAsia"/>
                <w:b/>
                <w:i/>
                <w:color w:val="000000"/>
                <w:szCs w:val="21"/>
                <w:u w:val="single"/>
              </w:rPr>
              <w:t xml:space="preserve">/ </w:t>
            </w:r>
            <w:r>
              <w:rPr>
                <w:color w:val="000000"/>
                <w:szCs w:val="21"/>
              </w:rPr>
              <w:t>%</w:t>
            </w:r>
          </w:p>
        </w:tc>
        <w:tc>
          <w:tcPr>
            <w:tcW w:w="815" w:type="dxa"/>
            <w:tcBorders>
              <w:top w:val="single" w:color="auto" w:sz="6" w:space="0"/>
              <w:left w:val="single" w:color="auto" w:sz="6" w:space="0"/>
              <w:bottom w:val="single" w:color="auto" w:sz="6" w:space="0"/>
              <w:right w:val="single" w:color="auto" w:sz="12" w:space="0"/>
            </w:tcBorders>
            <w:vAlign w:val="center"/>
          </w:tcPr>
          <w:p w14:paraId="06CDF7E5">
            <w:pPr>
              <w:jc w:val="center"/>
              <w:rPr>
                <w:rFonts w:ascii="宋体" w:hAnsi="宋体" w:eastAsia="宋体" w:cs="宋体"/>
                <w:szCs w:val="21"/>
              </w:rPr>
            </w:pPr>
          </w:p>
        </w:tc>
      </w:tr>
      <w:tr w14:paraId="58DDE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7F51CC28">
            <w:pPr>
              <w:jc w:val="center"/>
              <w:rPr>
                <w:rFonts w:ascii="宋体" w:hAnsi="宋体" w:eastAsia="宋体" w:cs="宋体"/>
                <w:szCs w:val="21"/>
              </w:rPr>
            </w:pPr>
            <w:r>
              <w:rPr>
                <w:rFonts w:hint="eastAsia" w:ascii="宋体" w:hAnsi="宋体" w:eastAsia="宋体" w:cs="宋体"/>
                <w:szCs w:val="21"/>
              </w:rPr>
              <w:t>9</w:t>
            </w:r>
          </w:p>
        </w:tc>
        <w:tc>
          <w:tcPr>
            <w:tcW w:w="2721" w:type="dxa"/>
            <w:tcBorders>
              <w:top w:val="single" w:color="auto" w:sz="6" w:space="0"/>
              <w:left w:val="single" w:color="auto" w:sz="6" w:space="0"/>
              <w:bottom w:val="single" w:color="auto" w:sz="6" w:space="0"/>
              <w:right w:val="single" w:color="auto" w:sz="6" w:space="0"/>
            </w:tcBorders>
            <w:vAlign w:val="center"/>
          </w:tcPr>
          <w:p w14:paraId="1ABF2C37">
            <w:pPr>
              <w:jc w:val="center"/>
              <w:rPr>
                <w:rFonts w:ascii="宋体" w:hAnsi="宋体" w:eastAsia="宋体" w:cs="宋体"/>
                <w:szCs w:val="21"/>
              </w:rPr>
            </w:pPr>
            <w:r>
              <w:rPr>
                <w:rFonts w:hint="eastAsia" w:ascii="宋体" w:hAnsi="宋体" w:eastAsia="宋体" w:cs="宋体"/>
                <w:szCs w:val="21"/>
              </w:rPr>
              <w:t>进度付款证书最低限额</w:t>
            </w:r>
          </w:p>
        </w:tc>
        <w:tc>
          <w:tcPr>
            <w:tcW w:w="1432" w:type="dxa"/>
            <w:tcBorders>
              <w:top w:val="single" w:color="auto" w:sz="6" w:space="0"/>
              <w:left w:val="single" w:color="auto" w:sz="6" w:space="0"/>
              <w:bottom w:val="single" w:color="auto" w:sz="6" w:space="0"/>
              <w:right w:val="single" w:color="auto" w:sz="6" w:space="0"/>
            </w:tcBorders>
            <w:vAlign w:val="center"/>
          </w:tcPr>
          <w:p w14:paraId="60849813">
            <w:pPr>
              <w:jc w:val="center"/>
              <w:rPr>
                <w:rFonts w:ascii="宋体" w:hAnsi="宋体" w:eastAsia="宋体" w:cs="宋体"/>
                <w:szCs w:val="21"/>
              </w:rPr>
            </w:pPr>
            <w:r>
              <w:rPr>
                <w:rFonts w:hint="eastAsia" w:ascii="宋体" w:hAnsi="宋体" w:eastAsia="宋体" w:cs="宋体"/>
                <w:szCs w:val="21"/>
              </w:rPr>
              <w:t>17.3.3(1)</w:t>
            </w:r>
          </w:p>
        </w:tc>
        <w:tc>
          <w:tcPr>
            <w:tcW w:w="4112" w:type="dxa"/>
            <w:tcBorders>
              <w:top w:val="single" w:color="auto" w:sz="6" w:space="0"/>
              <w:left w:val="single" w:color="auto" w:sz="6" w:space="0"/>
              <w:bottom w:val="single" w:color="auto" w:sz="6" w:space="0"/>
              <w:right w:val="single" w:color="auto" w:sz="6" w:space="0"/>
            </w:tcBorders>
            <w:vAlign w:val="center"/>
          </w:tcPr>
          <w:p w14:paraId="54E25A95">
            <w:pPr>
              <w:ind w:firstLine="210" w:firstLineChars="100"/>
              <w:rPr>
                <w:rFonts w:ascii="宋体" w:hAnsi="宋体" w:eastAsia="宋体" w:cs="宋体"/>
                <w:szCs w:val="21"/>
              </w:rPr>
            </w:pPr>
            <w:r>
              <w:rPr>
                <w:rFonts w:ascii="宋体" w:hAnsi="宋体"/>
                <w:szCs w:val="21"/>
                <w:u w:val="single"/>
              </w:rPr>
              <w:t>/</w:t>
            </w:r>
            <w:r>
              <w:rPr>
                <w:rFonts w:hint="eastAsia" w:ascii="宋体" w:hAnsi="宋体"/>
                <w:szCs w:val="21"/>
                <w:u w:val="single"/>
              </w:rPr>
              <w:t>万元</w:t>
            </w:r>
          </w:p>
        </w:tc>
        <w:tc>
          <w:tcPr>
            <w:tcW w:w="815" w:type="dxa"/>
            <w:tcBorders>
              <w:top w:val="single" w:color="auto" w:sz="6" w:space="0"/>
              <w:left w:val="single" w:color="auto" w:sz="6" w:space="0"/>
              <w:bottom w:val="single" w:color="auto" w:sz="6" w:space="0"/>
              <w:right w:val="single" w:color="auto" w:sz="12" w:space="0"/>
            </w:tcBorders>
            <w:vAlign w:val="center"/>
          </w:tcPr>
          <w:p w14:paraId="6771ADF2">
            <w:pPr>
              <w:jc w:val="center"/>
              <w:rPr>
                <w:rFonts w:ascii="宋体" w:hAnsi="宋体" w:eastAsia="宋体" w:cs="宋体"/>
                <w:szCs w:val="21"/>
              </w:rPr>
            </w:pPr>
          </w:p>
        </w:tc>
      </w:tr>
      <w:tr w14:paraId="020CB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307429D5">
            <w:pPr>
              <w:jc w:val="center"/>
              <w:rPr>
                <w:rFonts w:ascii="宋体" w:hAnsi="宋体" w:eastAsia="宋体" w:cs="宋体"/>
                <w:szCs w:val="21"/>
              </w:rPr>
            </w:pPr>
            <w:r>
              <w:rPr>
                <w:rFonts w:hint="eastAsia" w:ascii="宋体" w:hAnsi="宋体" w:eastAsia="宋体" w:cs="宋体"/>
                <w:szCs w:val="21"/>
              </w:rPr>
              <w:t>10</w:t>
            </w:r>
          </w:p>
        </w:tc>
        <w:tc>
          <w:tcPr>
            <w:tcW w:w="2721" w:type="dxa"/>
            <w:tcBorders>
              <w:top w:val="single" w:color="auto" w:sz="6" w:space="0"/>
              <w:left w:val="single" w:color="auto" w:sz="6" w:space="0"/>
              <w:bottom w:val="single" w:color="auto" w:sz="6" w:space="0"/>
              <w:right w:val="single" w:color="auto" w:sz="6" w:space="0"/>
            </w:tcBorders>
            <w:vAlign w:val="center"/>
          </w:tcPr>
          <w:p w14:paraId="36677D5F">
            <w:pPr>
              <w:jc w:val="center"/>
              <w:rPr>
                <w:rFonts w:ascii="宋体" w:hAnsi="宋体" w:eastAsia="宋体" w:cs="宋体"/>
                <w:szCs w:val="21"/>
              </w:rPr>
            </w:pPr>
            <w:r>
              <w:rPr>
                <w:rFonts w:hint="eastAsia" w:ascii="宋体" w:hAnsi="宋体" w:eastAsia="宋体" w:cs="宋体"/>
                <w:szCs w:val="21"/>
              </w:rPr>
              <w:t>逾期付款违约金的利率</w:t>
            </w:r>
          </w:p>
        </w:tc>
        <w:tc>
          <w:tcPr>
            <w:tcW w:w="1432" w:type="dxa"/>
            <w:tcBorders>
              <w:top w:val="single" w:color="auto" w:sz="6" w:space="0"/>
              <w:left w:val="single" w:color="auto" w:sz="6" w:space="0"/>
              <w:bottom w:val="single" w:color="auto" w:sz="6" w:space="0"/>
              <w:right w:val="single" w:color="auto" w:sz="6" w:space="0"/>
            </w:tcBorders>
            <w:vAlign w:val="center"/>
          </w:tcPr>
          <w:p w14:paraId="3BB0031B">
            <w:pPr>
              <w:jc w:val="center"/>
              <w:rPr>
                <w:rFonts w:ascii="宋体" w:hAnsi="宋体" w:eastAsia="宋体" w:cs="宋体"/>
                <w:szCs w:val="21"/>
              </w:rPr>
            </w:pPr>
            <w:r>
              <w:rPr>
                <w:rFonts w:hint="eastAsia" w:ascii="宋体" w:hAnsi="宋体" w:eastAsia="宋体" w:cs="宋体"/>
                <w:szCs w:val="21"/>
              </w:rPr>
              <w:t>17.3.3(2)</w:t>
            </w:r>
          </w:p>
        </w:tc>
        <w:tc>
          <w:tcPr>
            <w:tcW w:w="4112" w:type="dxa"/>
            <w:tcBorders>
              <w:top w:val="single" w:color="auto" w:sz="6" w:space="0"/>
              <w:left w:val="single" w:color="auto" w:sz="6" w:space="0"/>
              <w:bottom w:val="single" w:color="auto" w:sz="6" w:space="0"/>
              <w:right w:val="single" w:color="auto" w:sz="6" w:space="0"/>
            </w:tcBorders>
            <w:vAlign w:val="center"/>
          </w:tcPr>
          <w:p w14:paraId="4D46F713">
            <w:pPr>
              <w:ind w:firstLine="210" w:firstLineChars="100"/>
              <w:rPr>
                <w:rFonts w:ascii="宋体" w:hAnsi="宋体" w:eastAsia="宋体" w:cs="宋体"/>
                <w:szCs w:val="21"/>
              </w:rPr>
            </w:pPr>
            <w:r>
              <w:rPr>
                <w:rFonts w:hint="eastAsia" w:ascii="宋体" w:hAnsi="宋体" w:eastAsia="宋体" w:cs="宋体"/>
                <w:szCs w:val="21"/>
              </w:rPr>
              <w:t>中国人民银行发布的同期六个月以内（含六个月）短期贷款基准利率（不计复利），另加手续费。</w:t>
            </w:r>
          </w:p>
        </w:tc>
        <w:tc>
          <w:tcPr>
            <w:tcW w:w="815" w:type="dxa"/>
            <w:tcBorders>
              <w:top w:val="single" w:color="auto" w:sz="6" w:space="0"/>
              <w:left w:val="single" w:color="auto" w:sz="6" w:space="0"/>
              <w:bottom w:val="single" w:color="auto" w:sz="6" w:space="0"/>
              <w:right w:val="single" w:color="auto" w:sz="12" w:space="0"/>
            </w:tcBorders>
            <w:vAlign w:val="center"/>
          </w:tcPr>
          <w:p w14:paraId="61C2DA53">
            <w:pPr>
              <w:jc w:val="center"/>
              <w:rPr>
                <w:rFonts w:ascii="宋体" w:hAnsi="宋体" w:eastAsia="宋体" w:cs="宋体"/>
                <w:szCs w:val="21"/>
              </w:rPr>
            </w:pPr>
          </w:p>
        </w:tc>
      </w:tr>
      <w:tr w14:paraId="03D68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659" w:type="dxa"/>
            <w:tcBorders>
              <w:top w:val="single" w:color="auto" w:sz="6" w:space="0"/>
              <w:left w:val="single" w:color="auto" w:sz="12" w:space="0"/>
              <w:bottom w:val="single" w:color="auto" w:sz="6" w:space="0"/>
              <w:right w:val="single" w:color="auto" w:sz="6" w:space="0"/>
            </w:tcBorders>
            <w:vAlign w:val="center"/>
          </w:tcPr>
          <w:p w14:paraId="44B15A13">
            <w:pPr>
              <w:jc w:val="center"/>
              <w:rPr>
                <w:rFonts w:ascii="宋体" w:hAnsi="宋体" w:eastAsia="宋体" w:cs="宋体"/>
                <w:szCs w:val="21"/>
              </w:rPr>
            </w:pPr>
            <w:r>
              <w:rPr>
                <w:rFonts w:ascii="宋体" w:hAnsi="宋体" w:eastAsia="宋体" w:cs="宋体"/>
                <w:szCs w:val="21"/>
              </w:rPr>
              <w:t>11</w:t>
            </w:r>
          </w:p>
        </w:tc>
        <w:tc>
          <w:tcPr>
            <w:tcW w:w="2721" w:type="dxa"/>
            <w:tcBorders>
              <w:top w:val="single" w:color="auto" w:sz="6" w:space="0"/>
              <w:left w:val="single" w:color="auto" w:sz="6" w:space="0"/>
              <w:bottom w:val="single" w:color="auto" w:sz="6" w:space="0"/>
              <w:right w:val="single" w:color="auto" w:sz="6" w:space="0"/>
            </w:tcBorders>
            <w:vAlign w:val="center"/>
          </w:tcPr>
          <w:p w14:paraId="0508C4CE">
            <w:pPr>
              <w:jc w:val="center"/>
              <w:rPr>
                <w:rFonts w:ascii="宋体" w:hAnsi="宋体" w:eastAsia="宋体" w:cs="宋体"/>
                <w:szCs w:val="21"/>
              </w:rPr>
            </w:pPr>
            <w:r>
              <w:rPr>
                <w:rFonts w:hint="eastAsia" w:ascii="宋体" w:hAnsi="宋体" w:eastAsia="宋体" w:cs="宋体"/>
                <w:szCs w:val="21"/>
              </w:rPr>
              <w:t>质量保证金限额</w:t>
            </w:r>
          </w:p>
        </w:tc>
        <w:tc>
          <w:tcPr>
            <w:tcW w:w="1432" w:type="dxa"/>
            <w:tcBorders>
              <w:top w:val="single" w:color="auto" w:sz="6" w:space="0"/>
              <w:left w:val="single" w:color="auto" w:sz="6" w:space="0"/>
              <w:bottom w:val="single" w:color="auto" w:sz="6" w:space="0"/>
              <w:right w:val="single" w:color="auto" w:sz="6" w:space="0"/>
            </w:tcBorders>
            <w:vAlign w:val="center"/>
          </w:tcPr>
          <w:p w14:paraId="32A8AD87">
            <w:pPr>
              <w:jc w:val="center"/>
              <w:rPr>
                <w:rFonts w:ascii="宋体" w:hAnsi="宋体" w:eastAsia="宋体" w:cs="宋体"/>
                <w:szCs w:val="21"/>
              </w:rPr>
            </w:pPr>
            <w:r>
              <w:rPr>
                <w:rFonts w:hint="eastAsia" w:ascii="宋体" w:hAnsi="宋体" w:eastAsia="宋体" w:cs="宋体"/>
                <w:szCs w:val="21"/>
              </w:rPr>
              <w:t>17.4.1</w:t>
            </w:r>
          </w:p>
        </w:tc>
        <w:tc>
          <w:tcPr>
            <w:tcW w:w="4112" w:type="dxa"/>
            <w:tcBorders>
              <w:top w:val="single" w:color="auto" w:sz="6" w:space="0"/>
              <w:left w:val="single" w:color="auto" w:sz="6" w:space="0"/>
              <w:bottom w:val="single" w:color="auto" w:sz="6" w:space="0"/>
              <w:right w:val="single" w:color="auto" w:sz="6" w:space="0"/>
            </w:tcBorders>
            <w:vAlign w:val="center"/>
          </w:tcPr>
          <w:p w14:paraId="37A70CCB">
            <w:pPr>
              <w:ind w:firstLine="210" w:firstLineChars="100"/>
              <w:rPr>
                <w:rFonts w:ascii="宋体" w:hAnsi="宋体" w:eastAsia="宋体" w:cs="宋体"/>
                <w:szCs w:val="21"/>
              </w:rPr>
            </w:pPr>
            <w:r>
              <w:rPr>
                <w:rFonts w:hint="eastAsia" w:ascii="宋体" w:hAnsi="宋体" w:eastAsia="宋体" w:cs="宋体"/>
                <w:szCs w:val="21"/>
              </w:rPr>
              <w:t>1.5%的结算价</w:t>
            </w:r>
          </w:p>
        </w:tc>
        <w:tc>
          <w:tcPr>
            <w:tcW w:w="815" w:type="dxa"/>
            <w:tcBorders>
              <w:top w:val="single" w:color="auto" w:sz="6" w:space="0"/>
              <w:left w:val="single" w:color="auto" w:sz="6" w:space="0"/>
              <w:bottom w:val="single" w:color="auto" w:sz="6" w:space="0"/>
              <w:right w:val="single" w:color="auto" w:sz="12" w:space="0"/>
            </w:tcBorders>
            <w:vAlign w:val="center"/>
          </w:tcPr>
          <w:p w14:paraId="4961443F">
            <w:pPr>
              <w:jc w:val="center"/>
              <w:rPr>
                <w:rFonts w:ascii="宋体" w:hAnsi="宋体" w:eastAsia="宋体" w:cs="宋体"/>
                <w:szCs w:val="21"/>
              </w:rPr>
            </w:pPr>
          </w:p>
        </w:tc>
      </w:tr>
      <w:tr w14:paraId="1347D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9" w:type="dxa"/>
            <w:tcBorders>
              <w:top w:val="single" w:color="auto" w:sz="6" w:space="0"/>
              <w:left w:val="single" w:color="auto" w:sz="12" w:space="0"/>
              <w:bottom w:val="single" w:color="auto" w:sz="12" w:space="0"/>
              <w:right w:val="single" w:color="auto" w:sz="6" w:space="0"/>
            </w:tcBorders>
            <w:vAlign w:val="center"/>
          </w:tcPr>
          <w:p w14:paraId="2976EA6C">
            <w:pPr>
              <w:jc w:val="center"/>
              <w:rPr>
                <w:rFonts w:ascii="宋体" w:hAnsi="宋体" w:eastAsia="宋体" w:cs="宋体"/>
                <w:szCs w:val="21"/>
              </w:rPr>
            </w:pPr>
            <w:r>
              <w:rPr>
                <w:rFonts w:ascii="宋体" w:hAnsi="宋体" w:eastAsia="宋体" w:cs="宋体"/>
                <w:szCs w:val="21"/>
              </w:rPr>
              <w:t>12</w:t>
            </w:r>
          </w:p>
        </w:tc>
        <w:tc>
          <w:tcPr>
            <w:tcW w:w="2721" w:type="dxa"/>
            <w:tcBorders>
              <w:top w:val="single" w:color="auto" w:sz="6" w:space="0"/>
              <w:left w:val="single" w:color="auto" w:sz="6" w:space="0"/>
              <w:bottom w:val="single" w:color="auto" w:sz="12" w:space="0"/>
              <w:right w:val="single" w:color="auto" w:sz="6" w:space="0"/>
            </w:tcBorders>
            <w:vAlign w:val="center"/>
          </w:tcPr>
          <w:p w14:paraId="0B57A286">
            <w:pPr>
              <w:jc w:val="center"/>
              <w:rPr>
                <w:rFonts w:ascii="宋体" w:hAnsi="宋体" w:eastAsia="宋体" w:cs="宋体"/>
                <w:szCs w:val="21"/>
              </w:rPr>
            </w:pPr>
            <w:r>
              <w:rPr>
                <w:rFonts w:hint="eastAsia" w:ascii="宋体" w:hAnsi="宋体" w:eastAsia="宋体" w:cs="宋体"/>
                <w:szCs w:val="21"/>
              </w:rPr>
              <w:t>保修期</w:t>
            </w:r>
          </w:p>
        </w:tc>
        <w:tc>
          <w:tcPr>
            <w:tcW w:w="1432" w:type="dxa"/>
            <w:tcBorders>
              <w:top w:val="single" w:color="auto" w:sz="6" w:space="0"/>
              <w:left w:val="single" w:color="auto" w:sz="6" w:space="0"/>
              <w:bottom w:val="single" w:color="auto" w:sz="12" w:space="0"/>
              <w:right w:val="single" w:color="auto" w:sz="6" w:space="0"/>
            </w:tcBorders>
            <w:vAlign w:val="center"/>
          </w:tcPr>
          <w:p w14:paraId="3AE99E40">
            <w:pPr>
              <w:jc w:val="center"/>
              <w:rPr>
                <w:rFonts w:ascii="宋体" w:hAnsi="宋体" w:eastAsia="宋体" w:cs="宋体"/>
                <w:szCs w:val="21"/>
              </w:rPr>
            </w:pPr>
            <w:r>
              <w:rPr>
                <w:rFonts w:hint="eastAsia" w:ascii="宋体" w:hAnsi="宋体" w:eastAsia="宋体" w:cs="宋体"/>
                <w:szCs w:val="21"/>
              </w:rPr>
              <w:t>19.7</w:t>
            </w:r>
          </w:p>
        </w:tc>
        <w:tc>
          <w:tcPr>
            <w:tcW w:w="4112" w:type="dxa"/>
            <w:tcBorders>
              <w:top w:val="single" w:color="auto" w:sz="6" w:space="0"/>
              <w:left w:val="single" w:color="auto" w:sz="6" w:space="0"/>
              <w:bottom w:val="single" w:color="auto" w:sz="12" w:space="0"/>
              <w:right w:val="single" w:color="auto" w:sz="6" w:space="0"/>
            </w:tcBorders>
            <w:vAlign w:val="center"/>
          </w:tcPr>
          <w:p w14:paraId="44E3F5C4">
            <w:pPr>
              <w:ind w:firstLine="210" w:firstLineChars="100"/>
              <w:rPr>
                <w:rFonts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b/>
                <w:szCs w:val="21"/>
                <w:u w:val="single"/>
              </w:rPr>
              <w:t>1</w:t>
            </w:r>
            <w:r>
              <w:rPr>
                <w:rFonts w:hint="eastAsia" w:ascii="宋体" w:hAnsi="宋体" w:eastAsia="宋体" w:cs="宋体"/>
                <w:szCs w:val="21"/>
              </w:rPr>
              <w:t>年</w:t>
            </w:r>
          </w:p>
        </w:tc>
        <w:tc>
          <w:tcPr>
            <w:tcW w:w="815" w:type="dxa"/>
            <w:tcBorders>
              <w:top w:val="single" w:color="auto" w:sz="6" w:space="0"/>
              <w:left w:val="single" w:color="auto" w:sz="6" w:space="0"/>
              <w:bottom w:val="single" w:color="auto" w:sz="12" w:space="0"/>
              <w:right w:val="single" w:color="auto" w:sz="12" w:space="0"/>
            </w:tcBorders>
            <w:vAlign w:val="center"/>
          </w:tcPr>
          <w:p w14:paraId="67C0EA0F">
            <w:pPr>
              <w:jc w:val="center"/>
              <w:rPr>
                <w:rFonts w:ascii="宋体" w:hAnsi="宋体" w:eastAsia="宋体" w:cs="宋体"/>
                <w:szCs w:val="21"/>
              </w:rPr>
            </w:pPr>
          </w:p>
        </w:tc>
      </w:tr>
    </w:tbl>
    <w:p w14:paraId="130D5BD1">
      <w:pPr>
        <w:spacing w:before="312" w:beforeLines="100" w:line="500" w:lineRule="exact"/>
        <w:rPr>
          <w:rFonts w:ascii="宋体" w:hAnsi="宋体" w:eastAsia="宋体" w:cs="宋体"/>
          <w:sz w:val="24"/>
        </w:rPr>
      </w:pPr>
      <w:r>
        <w:rPr>
          <w:rFonts w:hint="eastAsia" w:ascii="宋体" w:hAnsi="宋体" w:eastAsia="宋体" w:cs="宋体"/>
          <w:sz w:val="24"/>
        </w:rPr>
        <w:t xml:space="preserve"> </w:t>
      </w:r>
    </w:p>
    <w:p w14:paraId="67588CCF">
      <w:pPr>
        <w:spacing w:before="312" w:beforeLines="100" w:line="500" w:lineRule="exact"/>
        <w:rPr>
          <w:rFonts w:ascii="宋体" w:hAnsi="宋体" w:eastAsia="宋体" w:cs="宋体"/>
          <w:sz w:val="24"/>
        </w:rPr>
      </w:pPr>
      <w:r>
        <w:rPr>
          <w:rFonts w:hint="eastAsia" w:ascii="宋体" w:hAnsi="宋体" w:eastAsia="宋体" w:cs="宋体"/>
          <w:sz w:val="24"/>
        </w:rPr>
        <w:t xml:space="preserve">法定代表人（签字或盖章）：             </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投标人（盖章）：</w:t>
      </w:r>
    </w:p>
    <w:p w14:paraId="2022F831">
      <w:pPr>
        <w:spacing w:before="312" w:beforeLines="100" w:line="500" w:lineRule="exact"/>
        <w:rPr>
          <w:rFonts w:ascii="Arial" w:hAnsi="Arial"/>
          <w:b/>
          <w:kern w:val="0"/>
          <w:sz w:val="32"/>
          <w:szCs w:val="20"/>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日期：   年    月   日</w:t>
      </w:r>
      <w:r>
        <w:br w:type="page"/>
      </w:r>
    </w:p>
    <w:p w14:paraId="1D4CB0FC">
      <w:pPr>
        <w:pStyle w:val="48"/>
      </w:pPr>
    </w:p>
    <w:p w14:paraId="4E5CFC64">
      <w:pPr>
        <w:pStyle w:val="2"/>
        <w:snapToGrid w:val="0"/>
        <w:spacing w:before="60" w:after="60" w:line="360" w:lineRule="auto"/>
        <w:jc w:val="center"/>
        <w:rPr>
          <w:rFonts w:ascii="宋体" w:hAnsi="宋体"/>
          <w:b w:val="0"/>
          <w:bCs w:val="0"/>
          <w:sz w:val="24"/>
        </w:rPr>
      </w:pPr>
      <w:bookmarkStart w:id="428" w:name="_Toc173244881"/>
      <w:bookmarkStart w:id="429" w:name="_Toc16191"/>
      <w:r>
        <w:rPr>
          <w:rFonts w:hint="eastAsia" w:ascii="宋体" w:hAnsi="宋体"/>
          <w:b w:val="0"/>
          <w:bCs w:val="0"/>
          <w:sz w:val="24"/>
        </w:rPr>
        <w:t>三、法定代表人身份证明及附有法定代表人身份证明的授权委托书</w:t>
      </w:r>
      <w:bookmarkEnd w:id="428"/>
      <w:bookmarkEnd w:id="429"/>
    </w:p>
    <w:p w14:paraId="2486AB30">
      <w:pPr>
        <w:jc w:val="center"/>
        <w:rPr>
          <w:rFonts w:ascii="宋体" w:hAnsi="宋体" w:eastAsia="宋体" w:cs="宋体"/>
          <w:bCs/>
          <w:kern w:val="44"/>
          <w:sz w:val="30"/>
          <w:szCs w:val="30"/>
        </w:rPr>
      </w:pPr>
      <w:r>
        <w:rPr>
          <w:rFonts w:hint="eastAsia" w:ascii="宋体" w:hAnsi="宋体" w:eastAsia="宋体" w:cs="宋体"/>
          <w:bCs/>
          <w:kern w:val="44"/>
          <w:sz w:val="30"/>
          <w:szCs w:val="30"/>
        </w:rPr>
        <w:t>（一）法定代表人身份证明</w:t>
      </w:r>
    </w:p>
    <w:p w14:paraId="46B6517A">
      <w:pPr>
        <w:rPr>
          <w:rFonts w:ascii="宋体" w:hAnsi="宋体" w:eastAsia="宋体" w:cs="宋体"/>
          <w:sz w:val="24"/>
        </w:rPr>
      </w:pPr>
    </w:p>
    <w:p w14:paraId="4DE92380">
      <w:pPr>
        <w:rPr>
          <w:rFonts w:ascii="宋体" w:hAnsi="宋体" w:eastAsia="宋体" w:cs="宋体"/>
          <w:sz w:val="24"/>
        </w:rPr>
      </w:pPr>
    </w:p>
    <w:p w14:paraId="5107F23F">
      <w:pPr>
        <w:spacing w:line="500" w:lineRule="exact"/>
        <w:rPr>
          <w:rFonts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szCs w:val="21"/>
          <w:u w:val="single"/>
        </w:rPr>
        <w:t xml:space="preserve">                         </w:t>
      </w:r>
    </w:p>
    <w:p w14:paraId="0C0D30E3">
      <w:pPr>
        <w:spacing w:line="500" w:lineRule="exact"/>
        <w:rPr>
          <w:rFonts w:ascii="宋体" w:hAnsi="宋体" w:eastAsia="宋体" w:cs="宋体"/>
          <w:szCs w:val="21"/>
          <w:u w:val="single"/>
        </w:rPr>
      </w:pPr>
      <w:r>
        <w:rPr>
          <w:rFonts w:hint="eastAsia" w:ascii="宋体" w:hAnsi="宋体" w:eastAsia="宋体" w:cs="宋体"/>
          <w:spacing w:val="60"/>
          <w:kern w:val="0"/>
          <w:szCs w:val="21"/>
        </w:rPr>
        <w:t>单位性</w:t>
      </w:r>
      <w:r>
        <w:rPr>
          <w:rFonts w:hint="eastAsia" w:ascii="宋体" w:hAnsi="宋体" w:eastAsia="宋体" w:cs="宋体"/>
          <w:kern w:val="0"/>
          <w:szCs w:val="21"/>
        </w:rPr>
        <w:t>质</w:t>
      </w:r>
      <w:r>
        <w:rPr>
          <w:rFonts w:hint="eastAsia" w:ascii="宋体" w:hAnsi="宋体" w:eastAsia="宋体" w:cs="宋体"/>
          <w:szCs w:val="21"/>
        </w:rPr>
        <w:t>：</w:t>
      </w:r>
      <w:r>
        <w:rPr>
          <w:rFonts w:hint="eastAsia" w:ascii="宋体" w:hAnsi="宋体" w:eastAsia="宋体" w:cs="宋体"/>
          <w:szCs w:val="21"/>
          <w:u w:val="single"/>
        </w:rPr>
        <w:t xml:space="preserve">                        </w:t>
      </w:r>
    </w:p>
    <w:p w14:paraId="0DB4B4DB">
      <w:pPr>
        <w:spacing w:line="500" w:lineRule="exact"/>
        <w:rPr>
          <w:rFonts w:ascii="宋体" w:hAnsi="宋体" w:eastAsia="宋体" w:cs="宋体"/>
          <w:szCs w:val="21"/>
        </w:rPr>
      </w:pPr>
      <w:r>
        <w:rPr>
          <w:rFonts w:hint="eastAsia" w:ascii="宋体" w:hAnsi="宋体" w:eastAsia="宋体" w:cs="宋体"/>
          <w:spacing w:val="390"/>
          <w:kern w:val="0"/>
          <w:szCs w:val="21"/>
        </w:rPr>
        <w:t>地</w:t>
      </w:r>
      <w:r>
        <w:rPr>
          <w:rFonts w:hint="eastAsia" w:ascii="宋体" w:hAnsi="宋体" w:eastAsia="宋体" w:cs="宋体"/>
          <w:kern w:val="0"/>
          <w:szCs w:val="21"/>
        </w:rPr>
        <w:t>址</w:t>
      </w:r>
      <w:r>
        <w:rPr>
          <w:rFonts w:hint="eastAsia" w:ascii="宋体" w:hAnsi="宋体" w:eastAsia="宋体" w:cs="宋体"/>
          <w:szCs w:val="21"/>
        </w:rPr>
        <w:t>：</w:t>
      </w:r>
      <w:r>
        <w:rPr>
          <w:rFonts w:hint="eastAsia" w:ascii="宋体" w:hAnsi="宋体" w:eastAsia="宋体" w:cs="宋体"/>
          <w:szCs w:val="21"/>
          <w:u w:val="single"/>
        </w:rPr>
        <w:t xml:space="preserve">                        </w:t>
      </w:r>
    </w:p>
    <w:p w14:paraId="047DAFE9">
      <w:pPr>
        <w:spacing w:line="50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146CB56">
      <w:pPr>
        <w:spacing w:line="50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14:paraId="658A0AED">
      <w:pPr>
        <w:spacing w:line="500" w:lineRule="exact"/>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系</w:t>
      </w:r>
      <w:r>
        <w:rPr>
          <w:rFonts w:hint="eastAsia" w:ascii="宋体" w:hAnsi="宋体" w:eastAsia="宋体" w:cs="宋体"/>
          <w:szCs w:val="21"/>
          <w:u w:val="single"/>
        </w:rPr>
        <w:t xml:space="preserve">  （投标人名称）</w:t>
      </w:r>
      <w:r>
        <w:rPr>
          <w:rFonts w:hint="eastAsia" w:ascii="宋体" w:hAnsi="宋体" w:eastAsia="宋体" w:cs="宋体"/>
          <w:szCs w:val="21"/>
        </w:rPr>
        <w:t>的法定代表人。</w:t>
      </w:r>
    </w:p>
    <w:p w14:paraId="5E0E8C34">
      <w:pPr>
        <w:spacing w:line="500" w:lineRule="exact"/>
        <w:ind w:firstLine="420" w:firstLineChars="200"/>
        <w:rPr>
          <w:rFonts w:ascii="宋体" w:hAnsi="宋体" w:eastAsia="宋体" w:cs="宋体"/>
          <w:szCs w:val="21"/>
        </w:rPr>
      </w:pPr>
      <w:r>
        <w:rPr>
          <w:rFonts w:hint="eastAsia" w:ascii="宋体" w:hAnsi="宋体" w:eastAsia="宋体" w:cs="宋体"/>
          <w:szCs w:val="21"/>
        </w:rPr>
        <w:t>特此证明。</w:t>
      </w:r>
    </w:p>
    <w:p w14:paraId="062A63F9">
      <w:pPr>
        <w:spacing w:line="500" w:lineRule="exact"/>
        <w:rPr>
          <w:rFonts w:ascii="宋体" w:hAnsi="宋体" w:eastAsia="宋体" w:cs="宋体"/>
          <w:szCs w:val="21"/>
        </w:rPr>
      </w:pPr>
    </w:p>
    <w:p w14:paraId="2545DF96">
      <w:pPr>
        <w:spacing w:line="500" w:lineRule="exact"/>
        <w:rPr>
          <w:rFonts w:ascii="宋体" w:hAnsi="宋体" w:eastAsia="宋体" w:cs="宋体"/>
          <w:szCs w:val="21"/>
        </w:rPr>
      </w:pPr>
    </w:p>
    <w:p w14:paraId="57DC8FFE">
      <w:pPr>
        <w:spacing w:line="50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投标人（盖章）：</w:t>
      </w:r>
    </w:p>
    <w:p w14:paraId="7279D908">
      <w:pPr>
        <w:spacing w:line="500" w:lineRule="exact"/>
        <w:rPr>
          <w:rFonts w:ascii="宋体" w:hAnsi="宋体" w:eastAsia="宋体" w:cs="宋体"/>
          <w:szCs w:val="21"/>
        </w:rPr>
      </w:pPr>
    </w:p>
    <w:p w14:paraId="7BF8D740">
      <w:pPr>
        <w:spacing w:line="40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w:t>
      </w:r>
      <w:r>
        <w:rPr>
          <w:rFonts w:hint="eastAsia" w:ascii="宋体" w:hAnsi="宋体" w:eastAsia="宋体" w:cs="宋体"/>
          <w:sz w:val="24"/>
        </w:rPr>
        <w:t>日期：   年    月   日</w:t>
      </w:r>
    </w:p>
    <w:p w14:paraId="2FF4CCDB">
      <w:pPr>
        <w:spacing w:line="400" w:lineRule="exact"/>
        <w:rPr>
          <w:rFonts w:ascii="宋体" w:hAnsi="宋体" w:eastAsia="宋体" w:cs="宋体"/>
          <w:szCs w:val="21"/>
        </w:rPr>
      </w:pPr>
    </w:p>
    <w:p w14:paraId="0A533D1F">
      <w:pPr>
        <w:rPr>
          <w:rFonts w:ascii="宋体" w:hAnsi="宋体" w:eastAsia="宋体" w:cs="宋体"/>
          <w:szCs w:val="21"/>
        </w:rPr>
      </w:pPr>
    </w:p>
    <w:p w14:paraId="0166110D">
      <w:pPr>
        <w:rPr>
          <w:rFonts w:ascii="宋体" w:hAnsi="宋体" w:eastAsia="宋体" w:cs="宋体"/>
          <w:szCs w:val="21"/>
        </w:rPr>
      </w:pPr>
    </w:p>
    <w:p w14:paraId="5151B0A2">
      <w:pPr>
        <w:rPr>
          <w:rFonts w:ascii="宋体" w:hAnsi="宋体" w:eastAsia="宋体" w:cs="宋体"/>
          <w:szCs w:val="21"/>
        </w:rPr>
      </w:pPr>
    </w:p>
    <w:p w14:paraId="32431B30">
      <w:pPr>
        <w:rPr>
          <w:rFonts w:ascii="宋体" w:hAnsi="宋体" w:eastAsia="宋体" w:cs="宋体"/>
          <w:sz w:val="24"/>
        </w:rPr>
      </w:pPr>
    </w:p>
    <w:p w14:paraId="1F8412EB">
      <w:pPr>
        <w:jc w:val="center"/>
        <w:rPr>
          <w:rFonts w:ascii="宋体" w:hAnsi="宋体" w:eastAsia="宋体" w:cs="宋体"/>
          <w:sz w:val="30"/>
          <w:szCs w:val="30"/>
        </w:rPr>
      </w:pPr>
      <w:r>
        <w:rPr>
          <w:rFonts w:hint="eastAsia" w:ascii="宋体" w:hAnsi="宋体" w:eastAsia="宋体" w:cs="宋体"/>
          <w:sz w:val="24"/>
        </w:rPr>
        <w:br w:type="page"/>
      </w:r>
      <w:r>
        <w:rPr>
          <w:rFonts w:hint="eastAsia" w:ascii="宋体" w:hAnsi="宋体" w:eastAsia="宋体" w:cs="宋体"/>
          <w:bCs/>
          <w:kern w:val="44"/>
          <w:sz w:val="30"/>
          <w:szCs w:val="30"/>
        </w:rPr>
        <w:t>（二）授权委托书</w:t>
      </w:r>
    </w:p>
    <w:p w14:paraId="157C080D">
      <w:pPr>
        <w:spacing w:line="500" w:lineRule="exact"/>
        <w:rPr>
          <w:rFonts w:ascii="宋体" w:hAnsi="宋体" w:eastAsia="宋体" w:cs="宋体"/>
          <w:sz w:val="24"/>
        </w:rPr>
      </w:pPr>
    </w:p>
    <w:p w14:paraId="73831B2F">
      <w:pPr>
        <w:spacing w:line="50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标段施工投标文件、签订合同和处理有关事宜，其法律后果由我方承担。</w:t>
      </w:r>
    </w:p>
    <w:p w14:paraId="6BD01789">
      <w:pPr>
        <w:spacing w:line="500" w:lineRule="exact"/>
        <w:ind w:firstLine="420" w:firstLineChars="200"/>
        <w:rPr>
          <w:rFonts w:ascii="宋体" w:hAnsi="宋体" w:eastAsia="宋体" w:cs="宋体"/>
          <w:szCs w:val="21"/>
        </w:rPr>
      </w:pPr>
      <w:r>
        <w:rPr>
          <w:rFonts w:hint="eastAsia" w:ascii="宋体" w:hAnsi="宋体" w:eastAsia="宋体" w:cs="宋体"/>
          <w:szCs w:val="21"/>
        </w:rPr>
        <w:t>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59DFC78B">
      <w:pPr>
        <w:spacing w:line="500" w:lineRule="exact"/>
        <w:ind w:firstLine="420" w:firstLineChars="200"/>
        <w:rPr>
          <w:rFonts w:ascii="宋体" w:hAnsi="宋体" w:eastAsia="宋体" w:cs="宋体"/>
          <w:szCs w:val="21"/>
        </w:rPr>
      </w:pPr>
      <w:r>
        <w:rPr>
          <w:rFonts w:hint="eastAsia" w:ascii="宋体" w:hAnsi="宋体" w:eastAsia="宋体" w:cs="宋体"/>
          <w:szCs w:val="21"/>
        </w:rPr>
        <w:t xml:space="preserve">代理人无转委托权。 </w:t>
      </w:r>
    </w:p>
    <w:p w14:paraId="36937CD4">
      <w:pPr>
        <w:spacing w:line="500" w:lineRule="exact"/>
        <w:ind w:firstLine="420" w:firstLineChars="200"/>
        <w:rPr>
          <w:rFonts w:ascii="宋体" w:hAnsi="宋体" w:eastAsia="宋体" w:cs="宋体"/>
          <w:szCs w:val="21"/>
        </w:rPr>
      </w:pPr>
      <w:r>
        <w:rPr>
          <w:rFonts w:hint="eastAsia" w:ascii="宋体" w:hAnsi="宋体" w:eastAsia="宋体" w:cs="宋体"/>
          <w:szCs w:val="21"/>
        </w:rPr>
        <w:t>附：法定代表人身份证明</w:t>
      </w:r>
    </w:p>
    <w:p w14:paraId="3554C737">
      <w:pPr>
        <w:spacing w:line="500" w:lineRule="exact"/>
        <w:rPr>
          <w:rFonts w:ascii="宋体" w:hAnsi="宋体" w:eastAsia="宋体" w:cs="宋体"/>
          <w:szCs w:val="21"/>
        </w:rPr>
      </w:pPr>
    </w:p>
    <w:p w14:paraId="27267E5F">
      <w:pPr>
        <w:spacing w:line="500" w:lineRule="exact"/>
        <w:rPr>
          <w:rFonts w:ascii="宋体" w:hAnsi="宋体" w:eastAsia="宋体" w:cs="宋体"/>
          <w:szCs w:val="21"/>
        </w:rPr>
      </w:pPr>
    </w:p>
    <w:p w14:paraId="555175EE">
      <w:pPr>
        <w:spacing w:line="500" w:lineRule="exac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t>投标人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（盖章）</w:t>
      </w:r>
    </w:p>
    <w:p w14:paraId="1A346857">
      <w:pPr>
        <w:spacing w:line="500" w:lineRule="exact"/>
        <w:rPr>
          <w:rFonts w:ascii="宋体" w:hAnsi="宋体" w:eastAsia="宋体" w:cs="宋体"/>
          <w:szCs w:val="21"/>
        </w:rPr>
      </w:pPr>
      <w:r>
        <w:rPr>
          <w:rFonts w:hint="eastAsia" w:ascii="宋体" w:hAnsi="宋体" w:eastAsia="宋体" w:cs="宋体"/>
          <w:szCs w:val="21"/>
        </w:rPr>
        <w:t xml:space="preserve">                            法定代表人：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szCs w:val="21"/>
        </w:rPr>
        <w:t>签字或盖章</w:t>
      </w:r>
      <w:r>
        <w:rPr>
          <w:rFonts w:hint="eastAsia" w:ascii="宋体" w:hAnsi="宋体" w:eastAsia="宋体" w:cs="宋体"/>
          <w:szCs w:val="21"/>
        </w:rPr>
        <w:t>）</w:t>
      </w:r>
    </w:p>
    <w:p w14:paraId="005ED6E2">
      <w:pPr>
        <w:spacing w:line="500" w:lineRule="exact"/>
        <w:rPr>
          <w:rFonts w:ascii="宋体" w:hAnsi="宋体" w:eastAsia="宋体" w:cs="宋体"/>
          <w:szCs w:val="21"/>
        </w:rPr>
      </w:pPr>
      <w:r>
        <w:rPr>
          <w:rFonts w:hint="eastAsia" w:ascii="宋体" w:hAnsi="宋体" w:eastAsia="宋体" w:cs="宋体"/>
          <w:szCs w:val="21"/>
        </w:rPr>
        <w:t xml:space="preserve">                            身份证号码：</w:t>
      </w:r>
      <w:r>
        <w:rPr>
          <w:rFonts w:hint="eastAsia" w:ascii="宋体" w:hAnsi="宋体" w:eastAsia="宋体" w:cs="宋体"/>
          <w:szCs w:val="21"/>
          <w:u w:val="single"/>
        </w:rPr>
        <w:t xml:space="preserve">                           </w:t>
      </w:r>
    </w:p>
    <w:p w14:paraId="07F907A4">
      <w:pPr>
        <w:spacing w:line="500" w:lineRule="exact"/>
        <w:rPr>
          <w:rFonts w:ascii="宋体" w:hAnsi="宋体" w:eastAsia="宋体" w:cs="宋体"/>
          <w:szCs w:val="21"/>
        </w:rPr>
      </w:pPr>
      <w:r>
        <w:rPr>
          <w:rFonts w:hint="eastAsia" w:ascii="宋体" w:hAnsi="宋体" w:eastAsia="宋体" w:cs="宋体"/>
          <w:szCs w:val="21"/>
        </w:rPr>
        <w:t xml:space="preserve">                            委托代理人：</w:t>
      </w:r>
      <w:r>
        <w:rPr>
          <w:rFonts w:hint="eastAsia" w:ascii="宋体" w:hAnsi="宋体" w:eastAsia="宋体" w:cs="宋体"/>
          <w:szCs w:val="21"/>
          <w:u w:val="single"/>
        </w:rPr>
        <w:t xml:space="preserve">                    </w:t>
      </w:r>
    </w:p>
    <w:p w14:paraId="50A72475">
      <w:pPr>
        <w:spacing w:line="500" w:lineRule="exact"/>
        <w:rPr>
          <w:rFonts w:ascii="宋体" w:hAnsi="宋体" w:eastAsia="宋体" w:cs="宋体"/>
          <w:szCs w:val="21"/>
        </w:rPr>
      </w:pPr>
      <w:r>
        <w:rPr>
          <w:rFonts w:hint="eastAsia" w:ascii="宋体" w:hAnsi="宋体" w:eastAsia="宋体" w:cs="宋体"/>
          <w:szCs w:val="21"/>
        </w:rPr>
        <w:t xml:space="preserve">                            身份证号码：</w:t>
      </w:r>
      <w:r>
        <w:rPr>
          <w:rFonts w:hint="eastAsia" w:ascii="宋体" w:hAnsi="宋体" w:eastAsia="宋体" w:cs="宋体"/>
          <w:szCs w:val="21"/>
          <w:u w:val="single"/>
        </w:rPr>
        <w:t xml:space="preserve">                           </w:t>
      </w:r>
    </w:p>
    <w:p w14:paraId="6F0F20E3">
      <w:pPr>
        <w:spacing w:line="500" w:lineRule="exact"/>
        <w:rPr>
          <w:rFonts w:ascii="宋体" w:hAnsi="宋体" w:eastAsia="宋体" w:cs="宋体"/>
          <w:szCs w:val="21"/>
        </w:rPr>
      </w:pPr>
      <w:r>
        <w:rPr>
          <w:rFonts w:hint="eastAsia" w:ascii="宋体" w:hAnsi="宋体" w:eastAsia="宋体" w:cs="宋体"/>
          <w:szCs w:val="21"/>
        </w:rPr>
        <w:t xml:space="preserve">                                                </w:t>
      </w:r>
    </w:p>
    <w:p w14:paraId="6E771876">
      <w:pPr>
        <w:spacing w:line="500" w:lineRule="exact"/>
        <w:ind w:firstLine="5145" w:firstLineChars="2450"/>
        <w:rPr>
          <w:rFonts w:ascii="宋体" w:hAnsi="宋体" w:eastAsia="宋体" w:cs="宋体"/>
          <w:szCs w:val="21"/>
        </w:rPr>
      </w:pPr>
      <w:r>
        <w:rPr>
          <w:rFonts w:hint="eastAsia" w:ascii="宋体" w:hAnsi="宋体" w:eastAsia="宋体" w:cs="宋体"/>
          <w:szCs w:val="21"/>
        </w:rPr>
        <w:t xml:space="preserve">   日期：   年    月   日</w:t>
      </w:r>
    </w:p>
    <w:p w14:paraId="4543AEE4">
      <w:pPr>
        <w:rPr>
          <w:rFonts w:ascii="宋体" w:hAnsi="宋体" w:eastAsia="宋体" w:cs="宋体"/>
          <w:szCs w:val="21"/>
        </w:rPr>
      </w:pPr>
    </w:p>
    <w:p w14:paraId="1A9A045A">
      <w:pPr>
        <w:rPr>
          <w:rFonts w:ascii="宋体" w:hAnsi="宋体" w:eastAsia="宋体" w:cs="宋体"/>
          <w:szCs w:val="21"/>
        </w:rPr>
      </w:pPr>
    </w:p>
    <w:p w14:paraId="28F65D08">
      <w:pPr>
        <w:spacing w:line="400" w:lineRule="exact"/>
        <w:ind w:firstLine="420" w:firstLineChars="200"/>
        <w:rPr>
          <w:rFonts w:ascii="宋体" w:hAnsi="宋体" w:eastAsia="宋体" w:cs="宋体"/>
          <w:szCs w:val="21"/>
        </w:rPr>
      </w:pPr>
      <w:r>
        <w:rPr>
          <w:rFonts w:hint="eastAsia" w:ascii="宋体" w:hAnsi="宋体" w:eastAsia="宋体" w:cs="宋体"/>
          <w:szCs w:val="21"/>
        </w:rPr>
        <w:t>注：</w:t>
      </w:r>
    </w:p>
    <w:p w14:paraId="6C5ECA5C">
      <w:pPr>
        <w:spacing w:line="400" w:lineRule="exact"/>
        <w:ind w:firstLine="420" w:firstLineChars="200"/>
        <w:rPr>
          <w:rFonts w:ascii="宋体" w:hAnsi="宋体" w:eastAsia="宋体" w:cs="宋体"/>
          <w:sz w:val="28"/>
          <w:szCs w:val="28"/>
        </w:rPr>
      </w:pPr>
      <w:r>
        <w:rPr>
          <w:rFonts w:hint="eastAsia" w:ascii="宋体" w:hAnsi="宋体" w:eastAsia="宋体" w:cs="宋体"/>
          <w:szCs w:val="21"/>
        </w:rPr>
        <w:t>1.委托期限在满足开标评标所需合理时间前提下由投标人自行确定，建议不少于投标有效期。</w:t>
      </w:r>
      <w:bookmarkStart w:id="430" w:name="_Toc193904174"/>
      <w:bookmarkStart w:id="431" w:name="_Toc234242178"/>
      <w:r>
        <w:rPr>
          <w:rFonts w:hint="eastAsia" w:ascii="宋体" w:hAnsi="宋体" w:eastAsia="宋体" w:cs="宋体"/>
          <w:b/>
          <w:sz w:val="36"/>
          <w:szCs w:val="36"/>
        </w:rPr>
        <w:br w:type="page"/>
      </w:r>
      <w:bookmarkEnd w:id="430"/>
      <w:bookmarkEnd w:id="431"/>
    </w:p>
    <w:p w14:paraId="267C9848">
      <w:pPr>
        <w:pStyle w:val="2"/>
        <w:snapToGrid w:val="0"/>
        <w:spacing w:before="60" w:after="60" w:line="360" w:lineRule="auto"/>
        <w:jc w:val="center"/>
        <w:rPr>
          <w:rFonts w:ascii="宋体" w:hAnsi="宋体"/>
          <w:b w:val="0"/>
          <w:bCs w:val="0"/>
          <w:sz w:val="24"/>
        </w:rPr>
      </w:pPr>
      <w:bookmarkStart w:id="432" w:name="_Toc18457"/>
      <w:bookmarkStart w:id="433" w:name="_Toc173244882"/>
      <w:r>
        <w:rPr>
          <w:rFonts w:hint="eastAsia" w:ascii="宋体" w:hAnsi="宋体"/>
          <w:b w:val="0"/>
          <w:bCs w:val="0"/>
          <w:sz w:val="24"/>
        </w:rPr>
        <w:t>四、项目管理机构</w:t>
      </w:r>
      <w:bookmarkEnd w:id="432"/>
      <w:bookmarkEnd w:id="433"/>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15B75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Borders>
              <w:top w:val="single" w:color="auto" w:sz="12" w:space="0"/>
              <w:left w:val="single" w:color="auto" w:sz="12" w:space="0"/>
              <w:bottom w:val="single" w:color="auto" w:sz="6" w:space="0"/>
              <w:right w:val="single" w:color="auto" w:sz="12" w:space="0"/>
            </w:tcBorders>
          </w:tcPr>
          <w:p w14:paraId="2A10A4E9">
            <w:pPr>
              <w:rPr>
                <w:rFonts w:ascii="宋体" w:hAnsi="宋体" w:eastAsia="宋体" w:cs="宋体"/>
                <w:szCs w:val="21"/>
              </w:rPr>
            </w:pPr>
          </w:p>
          <w:p w14:paraId="2345EA14">
            <w:pPr>
              <w:rPr>
                <w:rFonts w:ascii="宋体" w:hAnsi="宋体" w:eastAsia="宋体" w:cs="宋体"/>
                <w:szCs w:val="21"/>
              </w:rPr>
            </w:pPr>
            <w:r>
              <w:rPr>
                <w:rFonts w:hint="eastAsia" w:ascii="宋体" w:hAnsi="宋体" w:eastAsia="宋体" w:cs="宋体"/>
                <w:szCs w:val="21"/>
              </w:rPr>
              <w:t>拟为承包本标段工程设立的组织机构以框图方式表示</w:t>
            </w:r>
          </w:p>
        </w:tc>
      </w:tr>
      <w:tr w14:paraId="5F5B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top w:val="single" w:color="auto" w:sz="6" w:space="0"/>
              <w:left w:val="single" w:color="auto" w:sz="12" w:space="0"/>
              <w:bottom w:val="single" w:color="auto" w:sz="12" w:space="0"/>
              <w:right w:val="single" w:color="auto" w:sz="12" w:space="0"/>
            </w:tcBorders>
          </w:tcPr>
          <w:p w14:paraId="721D6C01">
            <w:pPr>
              <w:rPr>
                <w:rFonts w:ascii="宋体" w:hAnsi="宋体" w:eastAsia="宋体" w:cs="宋体"/>
                <w:szCs w:val="21"/>
              </w:rPr>
            </w:pPr>
          </w:p>
          <w:p w14:paraId="1E3B2153">
            <w:pPr>
              <w:rPr>
                <w:rFonts w:ascii="宋体" w:hAnsi="宋体" w:eastAsia="宋体" w:cs="宋体"/>
                <w:szCs w:val="21"/>
              </w:rPr>
            </w:pPr>
            <w:r>
              <w:rPr>
                <w:rFonts w:hint="eastAsia" w:ascii="宋体" w:hAnsi="宋体" w:eastAsia="宋体" w:cs="宋体"/>
                <w:szCs w:val="21"/>
              </w:rPr>
              <w:t>说明</w:t>
            </w:r>
          </w:p>
        </w:tc>
      </w:tr>
    </w:tbl>
    <w:p w14:paraId="05C0F42F">
      <w:pPr>
        <w:rPr>
          <w:rFonts w:ascii="宋体" w:hAnsi="宋体" w:eastAsia="宋体" w:cs="宋体"/>
          <w:sz w:val="24"/>
        </w:rPr>
      </w:pPr>
    </w:p>
    <w:p w14:paraId="7900C228">
      <w:pPr>
        <w:rPr>
          <w:rFonts w:ascii="宋体" w:hAnsi="宋体" w:eastAsia="宋体" w:cs="宋体"/>
        </w:rPr>
      </w:pPr>
    </w:p>
    <w:p w14:paraId="124EAF4B">
      <w:pPr>
        <w:rPr>
          <w:rFonts w:ascii="宋体" w:hAnsi="宋体" w:eastAsia="宋体" w:cs="宋体"/>
        </w:rPr>
      </w:pPr>
    </w:p>
    <w:p w14:paraId="1B3DA6A8">
      <w:pPr>
        <w:pStyle w:val="2"/>
        <w:snapToGrid w:val="0"/>
        <w:spacing w:before="60" w:after="60" w:line="360" w:lineRule="auto"/>
        <w:jc w:val="center"/>
        <w:rPr>
          <w:rFonts w:ascii="宋体" w:hAnsi="宋体"/>
          <w:b w:val="0"/>
          <w:bCs w:val="0"/>
          <w:sz w:val="24"/>
        </w:rPr>
      </w:pPr>
      <w:bookmarkStart w:id="434" w:name="_Toc173244883"/>
      <w:bookmarkStart w:id="435" w:name="_Toc11993"/>
      <w:r>
        <w:rPr>
          <w:rFonts w:hint="eastAsia" w:ascii="宋体" w:hAnsi="宋体"/>
          <w:b w:val="0"/>
          <w:bCs w:val="0"/>
          <w:sz w:val="24"/>
        </w:rPr>
        <w:t>五、资格审查资料</w:t>
      </w:r>
      <w:bookmarkEnd w:id="434"/>
      <w:bookmarkEnd w:id="435"/>
    </w:p>
    <w:p w14:paraId="43AC02BD">
      <w:pPr>
        <w:pStyle w:val="2"/>
        <w:keepNext w:val="0"/>
        <w:keepLines w:val="0"/>
        <w:spacing w:before="312" w:beforeLines="100" w:after="468" w:afterLines="150" w:line="360" w:lineRule="exact"/>
        <w:jc w:val="center"/>
        <w:rPr>
          <w:rFonts w:ascii="宋体" w:hAnsi="宋体"/>
          <w:b w:val="0"/>
          <w:sz w:val="30"/>
          <w:szCs w:val="30"/>
        </w:rPr>
      </w:pPr>
      <w:bookmarkStart w:id="436" w:name="_Toc31329"/>
      <w:bookmarkStart w:id="437" w:name="_Toc173244884"/>
      <w:r>
        <w:rPr>
          <w:rFonts w:hint="eastAsia" w:ascii="宋体" w:hAnsi="宋体"/>
          <w:b w:val="0"/>
          <w:sz w:val="30"/>
          <w:szCs w:val="30"/>
        </w:rPr>
        <w:t>（一）投标人基本情况表</w:t>
      </w:r>
      <w:bookmarkEnd w:id="436"/>
      <w:bookmarkEnd w:id="437"/>
    </w:p>
    <w:tbl>
      <w:tblPr>
        <w:tblStyle w:val="52"/>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14:paraId="401449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left w:val="single" w:color="000000" w:sz="12" w:space="0"/>
              <w:bottom w:val="single" w:color="000000" w:sz="6" w:space="0"/>
              <w:right w:val="single" w:color="000000" w:sz="6" w:space="0"/>
            </w:tcBorders>
            <w:vAlign w:val="center"/>
          </w:tcPr>
          <w:p w14:paraId="3DCF20EC">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投标人名称</w:t>
            </w:r>
          </w:p>
        </w:tc>
        <w:tc>
          <w:tcPr>
            <w:tcW w:w="7697" w:type="dxa"/>
            <w:gridSpan w:val="8"/>
            <w:tcBorders>
              <w:top w:val="single" w:color="000000" w:sz="12" w:space="0"/>
              <w:left w:val="single" w:color="000000" w:sz="6" w:space="0"/>
              <w:bottom w:val="single" w:color="000000" w:sz="6" w:space="0"/>
              <w:right w:val="single" w:color="000000" w:sz="12" w:space="0"/>
            </w:tcBorders>
            <w:vAlign w:val="center"/>
          </w:tcPr>
          <w:p w14:paraId="70016A05">
            <w:pPr>
              <w:autoSpaceDE w:val="0"/>
              <w:autoSpaceDN w:val="0"/>
              <w:adjustRightInd w:val="0"/>
              <w:jc w:val="center"/>
              <w:rPr>
                <w:rFonts w:ascii="宋体" w:hAnsi="宋体" w:eastAsia="宋体" w:cs="宋体"/>
                <w:kern w:val="0"/>
                <w:szCs w:val="21"/>
              </w:rPr>
            </w:pPr>
          </w:p>
        </w:tc>
      </w:tr>
      <w:tr w14:paraId="1738B5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4B392FE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注册地址</w:t>
            </w:r>
          </w:p>
        </w:tc>
        <w:tc>
          <w:tcPr>
            <w:tcW w:w="3846" w:type="dxa"/>
            <w:gridSpan w:val="4"/>
            <w:tcBorders>
              <w:top w:val="single" w:color="000000" w:sz="6" w:space="0"/>
              <w:left w:val="single" w:color="000000" w:sz="6" w:space="0"/>
              <w:bottom w:val="single" w:color="000000" w:sz="6" w:space="0"/>
              <w:right w:val="single" w:color="000000" w:sz="6" w:space="0"/>
            </w:tcBorders>
            <w:vAlign w:val="center"/>
          </w:tcPr>
          <w:p w14:paraId="5C5269C6">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14:paraId="738A2F27">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邮政编码</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14:paraId="09AAAFD6">
            <w:pPr>
              <w:autoSpaceDE w:val="0"/>
              <w:autoSpaceDN w:val="0"/>
              <w:adjustRightInd w:val="0"/>
              <w:jc w:val="center"/>
              <w:rPr>
                <w:rFonts w:ascii="宋体" w:hAnsi="宋体" w:eastAsia="宋体" w:cs="宋体"/>
                <w:kern w:val="0"/>
                <w:szCs w:val="21"/>
              </w:rPr>
            </w:pPr>
          </w:p>
        </w:tc>
      </w:tr>
      <w:tr w14:paraId="532A88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tcBorders>
              <w:top w:val="single" w:color="000000" w:sz="6" w:space="0"/>
              <w:left w:val="single" w:color="000000" w:sz="12" w:space="0"/>
              <w:bottom w:val="single" w:color="000000" w:sz="6" w:space="0"/>
              <w:right w:val="single" w:color="000000" w:sz="6" w:space="0"/>
            </w:tcBorders>
            <w:vAlign w:val="center"/>
          </w:tcPr>
          <w:p w14:paraId="4805938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联系方式</w:t>
            </w:r>
          </w:p>
        </w:tc>
        <w:tc>
          <w:tcPr>
            <w:tcW w:w="1010" w:type="dxa"/>
            <w:tcBorders>
              <w:top w:val="single" w:color="000000" w:sz="6" w:space="0"/>
              <w:left w:val="single" w:color="000000" w:sz="6" w:space="0"/>
              <w:bottom w:val="single" w:color="000000" w:sz="6" w:space="0"/>
              <w:right w:val="single" w:color="000000" w:sz="6" w:space="0"/>
            </w:tcBorders>
            <w:vAlign w:val="center"/>
          </w:tcPr>
          <w:p w14:paraId="2EB1601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联系人</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14:paraId="11CEE475">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14:paraId="5326670F">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 话</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14:paraId="46A82963">
            <w:pPr>
              <w:autoSpaceDE w:val="0"/>
              <w:autoSpaceDN w:val="0"/>
              <w:adjustRightInd w:val="0"/>
              <w:jc w:val="center"/>
              <w:rPr>
                <w:rFonts w:ascii="宋体" w:hAnsi="宋体" w:eastAsia="宋体" w:cs="宋体"/>
                <w:kern w:val="0"/>
                <w:szCs w:val="21"/>
              </w:rPr>
            </w:pPr>
          </w:p>
        </w:tc>
      </w:tr>
      <w:tr w14:paraId="263AAD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tcBorders>
              <w:top w:val="single" w:color="000000" w:sz="6" w:space="0"/>
              <w:left w:val="single" w:color="000000" w:sz="12" w:space="0"/>
              <w:bottom w:val="single" w:color="000000" w:sz="6" w:space="0"/>
              <w:right w:val="single" w:color="000000" w:sz="6" w:space="0"/>
            </w:tcBorders>
            <w:vAlign w:val="center"/>
          </w:tcPr>
          <w:p w14:paraId="2E5D61B9">
            <w:pPr>
              <w:widowControl/>
              <w:jc w:val="left"/>
              <w:rPr>
                <w:rFonts w:ascii="宋体" w:hAnsi="宋体" w:eastAsia="宋体" w:cs="宋体"/>
                <w:kern w:val="0"/>
                <w:szCs w:val="21"/>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669C0D0C">
            <w:pPr>
              <w:tabs>
                <w:tab w:val="left" w:pos="540"/>
              </w:tabs>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传 真</w:t>
            </w:r>
          </w:p>
        </w:tc>
        <w:tc>
          <w:tcPr>
            <w:tcW w:w="2836" w:type="dxa"/>
            <w:gridSpan w:val="3"/>
            <w:tcBorders>
              <w:top w:val="single" w:color="000000" w:sz="6" w:space="0"/>
              <w:left w:val="single" w:color="000000" w:sz="6" w:space="0"/>
              <w:bottom w:val="single" w:color="000000" w:sz="6" w:space="0"/>
              <w:right w:val="single" w:color="000000" w:sz="6" w:space="0"/>
            </w:tcBorders>
            <w:vAlign w:val="center"/>
          </w:tcPr>
          <w:p w14:paraId="5A8AFAC4">
            <w:pPr>
              <w:autoSpaceDE w:val="0"/>
              <w:autoSpaceDN w:val="0"/>
              <w:adjustRightInd w:val="0"/>
              <w:jc w:val="center"/>
              <w:rPr>
                <w:rFonts w:ascii="宋体" w:hAnsi="宋体" w:eastAsia="宋体" w:cs="宋体"/>
                <w:kern w:val="0"/>
                <w:szCs w:val="21"/>
              </w:rPr>
            </w:pPr>
          </w:p>
        </w:tc>
        <w:tc>
          <w:tcPr>
            <w:tcW w:w="1212" w:type="dxa"/>
            <w:tcBorders>
              <w:top w:val="single" w:color="000000" w:sz="6" w:space="0"/>
              <w:left w:val="single" w:color="000000" w:sz="6" w:space="0"/>
              <w:bottom w:val="single" w:color="000000" w:sz="6" w:space="0"/>
              <w:right w:val="single" w:color="000000" w:sz="6" w:space="0"/>
            </w:tcBorders>
            <w:vAlign w:val="center"/>
          </w:tcPr>
          <w:p w14:paraId="36C92FC1">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电子邮件</w:t>
            </w:r>
          </w:p>
        </w:tc>
        <w:tc>
          <w:tcPr>
            <w:tcW w:w="2639" w:type="dxa"/>
            <w:gridSpan w:val="3"/>
            <w:tcBorders>
              <w:top w:val="single" w:color="000000" w:sz="6" w:space="0"/>
              <w:left w:val="single" w:color="000000" w:sz="6" w:space="0"/>
              <w:bottom w:val="single" w:color="000000" w:sz="6" w:space="0"/>
              <w:right w:val="single" w:color="000000" w:sz="12" w:space="0"/>
            </w:tcBorders>
            <w:vAlign w:val="center"/>
          </w:tcPr>
          <w:p w14:paraId="7243BE12">
            <w:pPr>
              <w:autoSpaceDE w:val="0"/>
              <w:autoSpaceDN w:val="0"/>
              <w:adjustRightInd w:val="0"/>
              <w:jc w:val="center"/>
              <w:rPr>
                <w:rFonts w:ascii="宋体" w:hAnsi="宋体" w:eastAsia="宋体" w:cs="宋体"/>
                <w:kern w:val="0"/>
                <w:szCs w:val="21"/>
              </w:rPr>
            </w:pPr>
          </w:p>
        </w:tc>
      </w:tr>
      <w:tr w14:paraId="251114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3690596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法定代表人</w:t>
            </w:r>
          </w:p>
        </w:tc>
        <w:tc>
          <w:tcPr>
            <w:tcW w:w="1010" w:type="dxa"/>
            <w:tcBorders>
              <w:top w:val="single" w:color="000000" w:sz="6" w:space="0"/>
              <w:left w:val="single" w:color="000000" w:sz="6" w:space="0"/>
              <w:bottom w:val="single" w:color="000000" w:sz="6" w:space="0"/>
              <w:right w:val="single" w:color="000000" w:sz="6" w:space="0"/>
            </w:tcBorders>
            <w:vAlign w:val="center"/>
          </w:tcPr>
          <w:p w14:paraId="3FD1FA58">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14:paraId="40F12F93">
            <w:pPr>
              <w:autoSpaceDE w:val="0"/>
              <w:autoSpaceDN w:val="0"/>
              <w:adjustRightInd w:val="0"/>
              <w:jc w:val="center"/>
              <w:rPr>
                <w:rFonts w:ascii="宋体" w:hAnsi="宋体" w:eastAsia="宋体" w:cs="宋体"/>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14:paraId="3DA6AD7C">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0DCBE274">
            <w:pPr>
              <w:autoSpaceDE w:val="0"/>
              <w:autoSpaceDN w:val="0"/>
              <w:adjustRightInd w:val="0"/>
              <w:jc w:val="center"/>
              <w:rPr>
                <w:rFonts w:ascii="宋体" w:hAnsi="宋体" w:eastAsia="宋体" w:cs="宋体"/>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14:paraId="447BF518">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14:paraId="25A0569F">
            <w:pPr>
              <w:autoSpaceDE w:val="0"/>
              <w:autoSpaceDN w:val="0"/>
              <w:adjustRightInd w:val="0"/>
              <w:jc w:val="center"/>
              <w:rPr>
                <w:rFonts w:ascii="宋体" w:hAnsi="宋体" w:eastAsia="宋体" w:cs="宋体"/>
                <w:kern w:val="0"/>
                <w:szCs w:val="21"/>
              </w:rPr>
            </w:pPr>
          </w:p>
        </w:tc>
      </w:tr>
      <w:tr w14:paraId="61AFD2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388D91E6">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技术负责人</w:t>
            </w:r>
          </w:p>
        </w:tc>
        <w:tc>
          <w:tcPr>
            <w:tcW w:w="1010" w:type="dxa"/>
            <w:tcBorders>
              <w:top w:val="single" w:color="000000" w:sz="6" w:space="0"/>
              <w:left w:val="single" w:color="000000" w:sz="6" w:space="0"/>
              <w:bottom w:val="single" w:color="000000" w:sz="6" w:space="0"/>
              <w:right w:val="single" w:color="000000" w:sz="6" w:space="0"/>
            </w:tcBorders>
            <w:vAlign w:val="center"/>
          </w:tcPr>
          <w:p w14:paraId="0B159A59">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姓名</w:t>
            </w:r>
          </w:p>
        </w:tc>
        <w:tc>
          <w:tcPr>
            <w:tcW w:w="1070" w:type="dxa"/>
            <w:tcBorders>
              <w:top w:val="single" w:color="000000" w:sz="6" w:space="0"/>
              <w:left w:val="single" w:color="000000" w:sz="6" w:space="0"/>
              <w:bottom w:val="single" w:color="000000" w:sz="6" w:space="0"/>
              <w:right w:val="single" w:color="000000" w:sz="6" w:space="0"/>
            </w:tcBorders>
            <w:vAlign w:val="center"/>
          </w:tcPr>
          <w:p w14:paraId="0EA5CCB1">
            <w:pPr>
              <w:autoSpaceDE w:val="0"/>
              <w:autoSpaceDN w:val="0"/>
              <w:adjustRightInd w:val="0"/>
              <w:jc w:val="center"/>
              <w:rPr>
                <w:rFonts w:ascii="宋体" w:hAnsi="宋体" w:eastAsia="宋体" w:cs="宋体"/>
                <w:kern w:val="0"/>
                <w:szCs w:val="21"/>
              </w:rPr>
            </w:pPr>
          </w:p>
        </w:tc>
        <w:tc>
          <w:tcPr>
            <w:tcW w:w="1416" w:type="dxa"/>
            <w:tcBorders>
              <w:top w:val="single" w:color="000000" w:sz="6" w:space="0"/>
              <w:left w:val="single" w:color="000000" w:sz="6" w:space="0"/>
              <w:bottom w:val="single" w:color="000000" w:sz="6" w:space="0"/>
              <w:right w:val="single" w:color="000000" w:sz="6" w:space="0"/>
            </w:tcBorders>
            <w:vAlign w:val="center"/>
          </w:tcPr>
          <w:p w14:paraId="2775711D">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技术职称</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0DDC77DB">
            <w:pPr>
              <w:autoSpaceDE w:val="0"/>
              <w:autoSpaceDN w:val="0"/>
              <w:adjustRightInd w:val="0"/>
              <w:jc w:val="center"/>
              <w:rPr>
                <w:rFonts w:ascii="宋体" w:hAnsi="宋体" w:eastAsia="宋体" w:cs="宋体"/>
                <w:kern w:val="0"/>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14:paraId="544EABA0">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电话</w:t>
            </w:r>
          </w:p>
        </w:tc>
        <w:tc>
          <w:tcPr>
            <w:tcW w:w="1116" w:type="dxa"/>
            <w:tcBorders>
              <w:top w:val="single" w:color="000000" w:sz="6" w:space="0"/>
              <w:left w:val="single" w:color="000000" w:sz="6" w:space="0"/>
              <w:bottom w:val="single" w:color="000000" w:sz="6" w:space="0"/>
              <w:right w:val="single" w:color="000000" w:sz="12" w:space="0"/>
            </w:tcBorders>
            <w:vAlign w:val="center"/>
          </w:tcPr>
          <w:p w14:paraId="50E59550">
            <w:pPr>
              <w:autoSpaceDE w:val="0"/>
              <w:autoSpaceDN w:val="0"/>
              <w:adjustRightInd w:val="0"/>
              <w:jc w:val="center"/>
              <w:rPr>
                <w:rFonts w:ascii="宋体" w:hAnsi="宋体" w:eastAsia="宋体" w:cs="宋体"/>
                <w:kern w:val="0"/>
                <w:szCs w:val="21"/>
              </w:rPr>
            </w:pPr>
          </w:p>
        </w:tc>
      </w:tr>
      <w:tr w14:paraId="1C90B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65EC0E68">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成立时间</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38A07518">
            <w:pPr>
              <w:autoSpaceDE w:val="0"/>
              <w:autoSpaceDN w:val="0"/>
              <w:adjustRightInd w:val="0"/>
              <w:jc w:val="center"/>
              <w:rPr>
                <w:rFonts w:ascii="宋体" w:hAnsi="宋体" w:eastAsia="宋体" w:cs="宋体"/>
                <w:kern w:val="0"/>
                <w:szCs w:val="21"/>
              </w:rPr>
            </w:pPr>
          </w:p>
        </w:tc>
        <w:tc>
          <w:tcPr>
            <w:tcW w:w="5617" w:type="dxa"/>
            <w:gridSpan w:val="6"/>
            <w:tcBorders>
              <w:top w:val="single" w:color="000000" w:sz="6" w:space="0"/>
              <w:left w:val="single" w:color="000000" w:sz="6" w:space="0"/>
              <w:bottom w:val="single" w:color="000000" w:sz="6" w:space="0"/>
              <w:right w:val="single" w:color="000000" w:sz="12" w:space="0"/>
            </w:tcBorders>
            <w:vAlign w:val="center"/>
          </w:tcPr>
          <w:p w14:paraId="5192B830">
            <w:pPr>
              <w:autoSpaceDE w:val="0"/>
              <w:autoSpaceDN w:val="0"/>
              <w:adjustRightInd w:val="0"/>
              <w:ind w:left="105" w:leftChars="50"/>
              <w:jc w:val="center"/>
              <w:rPr>
                <w:rFonts w:ascii="宋体" w:hAnsi="宋体" w:eastAsia="宋体" w:cs="宋体"/>
                <w:kern w:val="0"/>
                <w:szCs w:val="21"/>
                <w:u w:val="single"/>
              </w:rPr>
            </w:pPr>
            <w:r>
              <w:rPr>
                <w:rFonts w:hint="eastAsia" w:ascii="宋体" w:hAnsi="宋体" w:eastAsia="宋体" w:cs="宋体"/>
                <w:kern w:val="0"/>
                <w:szCs w:val="21"/>
              </w:rPr>
              <w:t>员工总人数：</w:t>
            </w:r>
          </w:p>
        </w:tc>
      </w:tr>
      <w:tr w14:paraId="0F7FF9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53921817">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企业资质等级</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2063823D">
            <w:pPr>
              <w:autoSpaceDE w:val="0"/>
              <w:autoSpaceDN w:val="0"/>
              <w:adjustRightInd w:val="0"/>
              <w:jc w:val="center"/>
              <w:rPr>
                <w:rFonts w:ascii="宋体" w:hAnsi="宋体" w:eastAsia="宋体" w:cs="宋体"/>
                <w:kern w:val="0"/>
                <w:szCs w:val="21"/>
              </w:rPr>
            </w:pPr>
          </w:p>
        </w:tc>
        <w:tc>
          <w:tcPr>
            <w:tcW w:w="1416" w:type="dxa"/>
            <w:vMerge w:val="restart"/>
            <w:tcBorders>
              <w:top w:val="single" w:color="000000" w:sz="6" w:space="0"/>
              <w:left w:val="single" w:color="000000" w:sz="6" w:space="0"/>
              <w:bottom w:val="single" w:color="000000" w:sz="6" w:space="0"/>
              <w:right w:val="single" w:color="000000" w:sz="6" w:space="0"/>
            </w:tcBorders>
            <w:vAlign w:val="center"/>
          </w:tcPr>
          <w:p w14:paraId="513E773B">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其中</w:t>
            </w: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26F4D1BA">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项目经理</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14:paraId="29E2229E">
            <w:pPr>
              <w:autoSpaceDE w:val="0"/>
              <w:autoSpaceDN w:val="0"/>
              <w:adjustRightInd w:val="0"/>
              <w:jc w:val="center"/>
              <w:rPr>
                <w:rFonts w:ascii="宋体" w:hAnsi="宋体" w:eastAsia="宋体" w:cs="宋体"/>
                <w:kern w:val="0"/>
                <w:szCs w:val="21"/>
              </w:rPr>
            </w:pPr>
          </w:p>
        </w:tc>
      </w:tr>
      <w:tr w14:paraId="2FBB2A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63EC5DB9">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营业执照号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4E913F36">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14:paraId="1C71EEF1">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39B8941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高级职称人员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14:paraId="3B682357">
            <w:pPr>
              <w:autoSpaceDE w:val="0"/>
              <w:autoSpaceDN w:val="0"/>
              <w:adjustRightInd w:val="0"/>
              <w:jc w:val="center"/>
              <w:rPr>
                <w:rFonts w:ascii="宋体" w:hAnsi="宋体" w:eastAsia="宋体" w:cs="宋体"/>
                <w:kern w:val="0"/>
                <w:szCs w:val="21"/>
              </w:rPr>
            </w:pPr>
          </w:p>
        </w:tc>
      </w:tr>
      <w:tr w14:paraId="756EBD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61E3373B">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注册资金</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6ADB622C">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14:paraId="0ABD480C">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3B1DA20E">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中级职称人员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14:paraId="450AFED2">
            <w:pPr>
              <w:autoSpaceDE w:val="0"/>
              <w:autoSpaceDN w:val="0"/>
              <w:adjustRightInd w:val="0"/>
              <w:jc w:val="center"/>
              <w:rPr>
                <w:rFonts w:ascii="宋体" w:hAnsi="宋体" w:eastAsia="宋体" w:cs="宋体"/>
                <w:kern w:val="0"/>
                <w:szCs w:val="21"/>
              </w:rPr>
            </w:pPr>
          </w:p>
        </w:tc>
      </w:tr>
      <w:tr w14:paraId="5A1C70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465C79C9">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基本账户开户银行</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6021FC29">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14:paraId="2D0C31A5">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57E04286">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初级职称人员</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14:paraId="39A4DCC8">
            <w:pPr>
              <w:autoSpaceDE w:val="0"/>
              <w:autoSpaceDN w:val="0"/>
              <w:adjustRightInd w:val="0"/>
              <w:jc w:val="center"/>
              <w:rPr>
                <w:rFonts w:ascii="宋体" w:hAnsi="宋体" w:eastAsia="宋体" w:cs="宋体"/>
                <w:kern w:val="0"/>
                <w:szCs w:val="21"/>
              </w:rPr>
            </w:pPr>
          </w:p>
        </w:tc>
      </w:tr>
      <w:tr w14:paraId="6AB2EA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7B970E94">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基本账户账号</w:t>
            </w:r>
          </w:p>
        </w:tc>
        <w:tc>
          <w:tcPr>
            <w:tcW w:w="2080" w:type="dxa"/>
            <w:gridSpan w:val="2"/>
            <w:tcBorders>
              <w:top w:val="single" w:color="000000" w:sz="6" w:space="0"/>
              <w:left w:val="single" w:color="000000" w:sz="6" w:space="0"/>
              <w:bottom w:val="single" w:color="000000" w:sz="6" w:space="0"/>
              <w:right w:val="single" w:color="000000" w:sz="6" w:space="0"/>
            </w:tcBorders>
            <w:vAlign w:val="center"/>
          </w:tcPr>
          <w:p w14:paraId="3F41F7FF">
            <w:pPr>
              <w:autoSpaceDE w:val="0"/>
              <w:autoSpaceDN w:val="0"/>
              <w:adjustRightInd w:val="0"/>
              <w:jc w:val="center"/>
              <w:rPr>
                <w:rFonts w:ascii="宋体" w:hAnsi="宋体" w:eastAsia="宋体" w:cs="宋体"/>
                <w:kern w:val="0"/>
                <w:szCs w:val="21"/>
              </w:rPr>
            </w:pPr>
          </w:p>
        </w:tc>
        <w:tc>
          <w:tcPr>
            <w:tcW w:w="1416" w:type="dxa"/>
            <w:vMerge w:val="continue"/>
            <w:tcBorders>
              <w:top w:val="single" w:color="000000" w:sz="6" w:space="0"/>
              <w:left w:val="single" w:color="000000" w:sz="6" w:space="0"/>
              <w:bottom w:val="single" w:color="000000" w:sz="6" w:space="0"/>
              <w:right w:val="single" w:color="000000" w:sz="6" w:space="0"/>
            </w:tcBorders>
            <w:vAlign w:val="center"/>
          </w:tcPr>
          <w:p w14:paraId="52C9917A">
            <w:pPr>
              <w:widowControl/>
              <w:jc w:val="left"/>
              <w:rPr>
                <w:rFonts w:ascii="宋体" w:hAnsi="宋体" w:eastAsia="宋体" w:cs="宋体"/>
                <w:kern w:val="0"/>
                <w:szCs w:val="21"/>
              </w:rPr>
            </w:pPr>
          </w:p>
        </w:tc>
        <w:tc>
          <w:tcPr>
            <w:tcW w:w="2119" w:type="dxa"/>
            <w:gridSpan w:val="3"/>
            <w:tcBorders>
              <w:top w:val="single" w:color="000000" w:sz="6" w:space="0"/>
              <w:left w:val="single" w:color="000000" w:sz="6" w:space="0"/>
              <w:bottom w:val="single" w:color="000000" w:sz="6" w:space="0"/>
              <w:right w:val="single" w:color="000000" w:sz="6" w:space="0"/>
            </w:tcBorders>
            <w:vAlign w:val="center"/>
          </w:tcPr>
          <w:p w14:paraId="555394FF">
            <w:pPr>
              <w:tabs>
                <w:tab w:val="left" w:pos="1240"/>
              </w:tabs>
              <w:autoSpaceDE w:val="0"/>
              <w:autoSpaceDN w:val="0"/>
              <w:adjustRightInd w:val="0"/>
              <w:spacing w:before="98"/>
              <w:jc w:val="center"/>
              <w:rPr>
                <w:rFonts w:ascii="宋体" w:hAnsi="宋体" w:eastAsia="宋体" w:cs="宋体"/>
                <w:kern w:val="0"/>
                <w:szCs w:val="21"/>
              </w:rPr>
            </w:pPr>
            <w:r>
              <w:rPr>
                <w:rFonts w:hint="eastAsia" w:ascii="宋体" w:hAnsi="宋体" w:eastAsia="宋体" w:cs="宋体"/>
                <w:kern w:val="0"/>
                <w:szCs w:val="21"/>
              </w:rPr>
              <w:t>技工</w:t>
            </w:r>
          </w:p>
        </w:tc>
        <w:tc>
          <w:tcPr>
            <w:tcW w:w="2082" w:type="dxa"/>
            <w:gridSpan w:val="2"/>
            <w:tcBorders>
              <w:top w:val="single" w:color="000000" w:sz="6" w:space="0"/>
              <w:left w:val="single" w:color="000000" w:sz="6" w:space="0"/>
              <w:bottom w:val="single" w:color="000000" w:sz="6" w:space="0"/>
              <w:right w:val="single" w:color="000000" w:sz="12" w:space="0"/>
            </w:tcBorders>
            <w:vAlign w:val="center"/>
          </w:tcPr>
          <w:p w14:paraId="2C863E58">
            <w:pPr>
              <w:autoSpaceDE w:val="0"/>
              <w:autoSpaceDN w:val="0"/>
              <w:adjustRightInd w:val="0"/>
              <w:jc w:val="center"/>
              <w:rPr>
                <w:rFonts w:ascii="宋体" w:hAnsi="宋体" w:eastAsia="宋体" w:cs="宋体"/>
                <w:kern w:val="0"/>
                <w:szCs w:val="21"/>
              </w:rPr>
            </w:pPr>
          </w:p>
        </w:tc>
      </w:tr>
      <w:tr w14:paraId="0578F6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5A31AED6">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经营范围</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14:paraId="5BEC3D20">
            <w:pPr>
              <w:autoSpaceDE w:val="0"/>
              <w:autoSpaceDN w:val="0"/>
              <w:adjustRightInd w:val="0"/>
              <w:jc w:val="center"/>
              <w:rPr>
                <w:rFonts w:ascii="宋体" w:hAnsi="宋体" w:eastAsia="宋体" w:cs="宋体"/>
                <w:kern w:val="0"/>
                <w:szCs w:val="21"/>
              </w:rPr>
            </w:pPr>
          </w:p>
        </w:tc>
      </w:tr>
      <w:tr w14:paraId="122002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tcBorders>
              <w:top w:val="single" w:color="000000" w:sz="6" w:space="0"/>
              <w:left w:val="single" w:color="000000" w:sz="12" w:space="0"/>
              <w:bottom w:val="single" w:color="000000" w:sz="6" w:space="0"/>
              <w:right w:val="single" w:color="000000" w:sz="6" w:space="0"/>
            </w:tcBorders>
            <w:vAlign w:val="center"/>
          </w:tcPr>
          <w:p w14:paraId="0321DC27">
            <w:pPr>
              <w:autoSpaceDE w:val="0"/>
              <w:autoSpaceDN w:val="0"/>
              <w:adjustRightInd w:val="0"/>
              <w:snapToGrid w:val="0"/>
              <w:jc w:val="center"/>
              <w:rPr>
                <w:rFonts w:ascii="宋体" w:hAnsi="宋体" w:eastAsia="宋体" w:cs="宋体"/>
                <w:kern w:val="0"/>
                <w:szCs w:val="21"/>
              </w:rPr>
            </w:pPr>
            <w:r>
              <w:rPr>
                <w:color w:val="000000"/>
              </w:rPr>
              <w:t>投标人关联企业情况</w:t>
            </w:r>
          </w:p>
        </w:tc>
        <w:tc>
          <w:tcPr>
            <w:tcW w:w="7697" w:type="dxa"/>
            <w:gridSpan w:val="8"/>
            <w:tcBorders>
              <w:top w:val="single" w:color="000000" w:sz="6" w:space="0"/>
              <w:left w:val="single" w:color="000000" w:sz="6" w:space="0"/>
              <w:bottom w:val="single" w:color="000000" w:sz="6" w:space="0"/>
              <w:right w:val="single" w:color="000000" w:sz="12" w:space="0"/>
            </w:tcBorders>
            <w:vAlign w:val="center"/>
          </w:tcPr>
          <w:p w14:paraId="13BBD9FB">
            <w:pPr>
              <w:pStyle w:val="227"/>
              <w:snapToGrid w:val="0"/>
              <w:rPr>
                <w:color w:val="000000"/>
                <w:szCs w:val="24"/>
              </w:rPr>
            </w:pPr>
            <w:r>
              <w:rPr>
                <w:color w:val="000000"/>
                <w:szCs w:val="24"/>
              </w:rPr>
              <w:t>投标人应提供关联企业情况，包括：</w:t>
            </w:r>
          </w:p>
          <w:p w14:paraId="38A45537">
            <w:pPr>
              <w:pStyle w:val="227"/>
              <w:snapToGrid w:val="0"/>
              <w:rPr>
                <w:color w:val="000000"/>
                <w:szCs w:val="24"/>
              </w:rPr>
            </w:pPr>
            <w:r>
              <w:rPr>
                <w:color w:val="000000"/>
                <w:szCs w:val="24"/>
              </w:rPr>
              <w:t>（1）投标人的所有股东名称及相应股权（出资额）比例；如投标人为上市公司，投标人应提供股权占公司股份总数10 %以上的所有股东名称及相应股权比例；</w:t>
            </w:r>
          </w:p>
          <w:p w14:paraId="2224F1FA">
            <w:pPr>
              <w:pStyle w:val="227"/>
              <w:snapToGrid w:val="0"/>
              <w:rPr>
                <w:color w:val="000000"/>
                <w:szCs w:val="24"/>
              </w:rPr>
            </w:pPr>
            <w:r>
              <w:rPr>
                <w:color w:val="000000"/>
                <w:szCs w:val="24"/>
              </w:rPr>
              <w:t>（2）投标人投资（控股）或管理的下属企业名称、持有股权（出资额）比例；</w:t>
            </w:r>
          </w:p>
          <w:p w14:paraId="62E0D561">
            <w:pPr>
              <w:autoSpaceDE w:val="0"/>
              <w:autoSpaceDN w:val="0"/>
              <w:adjustRightInd w:val="0"/>
              <w:snapToGrid w:val="0"/>
              <w:rPr>
                <w:rFonts w:ascii="宋体" w:hAnsi="宋体" w:eastAsia="宋体" w:cs="宋体"/>
                <w:kern w:val="0"/>
                <w:szCs w:val="21"/>
              </w:rPr>
            </w:pPr>
            <w:r>
              <w:rPr>
                <w:color w:val="000000"/>
              </w:rPr>
              <w:t>（3）与投标人单位负责人（即法定代表人）为同一人的其他单位名称。</w:t>
            </w:r>
          </w:p>
        </w:tc>
      </w:tr>
      <w:tr w14:paraId="255259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6" w:space="0"/>
              <w:left w:val="single" w:color="000000" w:sz="12" w:space="0"/>
              <w:bottom w:val="single" w:color="000000" w:sz="12" w:space="0"/>
              <w:right w:val="single" w:color="000000" w:sz="6" w:space="0"/>
            </w:tcBorders>
            <w:vAlign w:val="center"/>
          </w:tcPr>
          <w:p w14:paraId="62AB3FF9">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备    注</w:t>
            </w:r>
          </w:p>
        </w:tc>
        <w:tc>
          <w:tcPr>
            <w:tcW w:w="7697" w:type="dxa"/>
            <w:gridSpan w:val="8"/>
            <w:tcBorders>
              <w:top w:val="single" w:color="000000" w:sz="6" w:space="0"/>
              <w:left w:val="single" w:color="000000" w:sz="6" w:space="0"/>
              <w:bottom w:val="single" w:color="000000" w:sz="12" w:space="0"/>
              <w:right w:val="single" w:color="000000" w:sz="12" w:space="0"/>
            </w:tcBorders>
            <w:vAlign w:val="center"/>
          </w:tcPr>
          <w:p w14:paraId="077C4AB0">
            <w:pPr>
              <w:autoSpaceDE w:val="0"/>
              <w:autoSpaceDN w:val="0"/>
              <w:adjustRightInd w:val="0"/>
              <w:jc w:val="center"/>
              <w:rPr>
                <w:rFonts w:ascii="宋体" w:hAnsi="宋体" w:eastAsia="宋体" w:cs="宋体"/>
                <w:kern w:val="0"/>
                <w:szCs w:val="21"/>
              </w:rPr>
            </w:pPr>
          </w:p>
        </w:tc>
      </w:tr>
    </w:tbl>
    <w:p w14:paraId="7766849B">
      <w:pPr>
        <w:spacing w:line="360" w:lineRule="exact"/>
        <w:rPr>
          <w:color w:val="000000"/>
        </w:rPr>
      </w:pPr>
      <w:r>
        <w:rPr>
          <w:color w:val="000000"/>
        </w:rPr>
        <w:t>注：</w:t>
      </w:r>
      <w:r>
        <w:rPr>
          <w:rFonts w:hint="eastAsia"/>
          <w:color w:val="000000"/>
        </w:rPr>
        <w:t>投标人应根据招标文件第二章“投标人须知”第3.5.1项的要求在本表后附相关证明材料。</w:t>
      </w:r>
    </w:p>
    <w:p w14:paraId="30FE3A71">
      <w:pPr>
        <w:pStyle w:val="48"/>
      </w:pPr>
      <w:r>
        <w:br w:type="page"/>
      </w:r>
    </w:p>
    <w:p w14:paraId="2D8DD5B6">
      <w:pPr>
        <w:spacing w:line="360" w:lineRule="exact"/>
        <w:rPr>
          <w:color w:val="000000"/>
        </w:rPr>
      </w:pPr>
    </w:p>
    <w:p w14:paraId="578EAB1B">
      <w:pPr>
        <w:pStyle w:val="2"/>
        <w:spacing w:before="312" w:beforeLines="100" w:after="312" w:afterLines="100" w:line="360" w:lineRule="exact"/>
        <w:jc w:val="center"/>
        <w:rPr>
          <w:rFonts w:eastAsia="黑体"/>
          <w:b w:val="0"/>
          <w:sz w:val="30"/>
          <w:szCs w:val="30"/>
        </w:rPr>
      </w:pPr>
      <w:bookmarkStart w:id="438" w:name="_Toc19807"/>
      <w:bookmarkStart w:id="439" w:name="_Toc173244885"/>
      <w:bookmarkStart w:id="440" w:name="_Toc98785431"/>
      <w:r>
        <w:rPr>
          <w:rFonts w:hint="eastAsia" w:eastAsia="黑体"/>
          <w:b w:val="0"/>
          <w:sz w:val="30"/>
          <w:szCs w:val="30"/>
        </w:rPr>
        <w:t>（二）投标人的信誉情况</w:t>
      </w:r>
      <w:bookmarkEnd w:id="438"/>
      <w:bookmarkEnd w:id="439"/>
      <w:bookmarkEnd w:id="440"/>
    </w:p>
    <w:tbl>
      <w:tblPr>
        <w:tblStyle w:val="5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44"/>
      </w:tblGrid>
      <w:tr w14:paraId="0DEC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top w:val="single" w:color="auto" w:sz="12" w:space="0"/>
              <w:left w:val="single" w:color="auto" w:sz="12" w:space="0"/>
            </w:tcBorders>
            <w:vAlign w:val="center"/>
          </w:tcPr>
          <w:p w14:paraId="285AAD38">
            <w:pPr>
              <w:pStyle w:val="226"/>
              <w:spacing w:line="360" w:lineRule="auto"/>
              <w:jc w:val="center"/>
              <w:rPr>
                <w:szCs w:val="24"/>
              </w:rPr>
            </w:pPr>
            <w:r>
              <w:rPr>
                <w:szCs w:val="24"/>
              </w:rPr>
              <w:t>项目</w:t>
            </w:r>
          </w:p>
        </w:tc>
        <w:tc>
          <w:tcPr>
            <w:tcW w:w="4644" w:type="dxa"/>
            <w:tcBorders>
              <w:top w:val="single" w:color="auto" w:sz="12" w:space="0"/>
              <w:right w:val="single" w:color="auto" w:sz="12" w:space="0"/>
            </w:tcBorders>
            <w:vAlign w:val="center"/>
          </w:tcPr>
          <w:p w14:paraId="60103EFA">
            <w:pPr>
              <w:pStyle w:val="226"/>
              <w:spacing w:line="360" w:lineRule="auto"/>
              <w:jc w:val="center"/>
              <w:rPr>
                <w:szCs w:val="24"/>
              </w:rPr>
            </w:pPr>
            <w:r>
              <w:rPr>
                <w:szCs w:val="24"/>
              </w:rPr>
              <w:t>投标人情况说明</w:t>
            </w:r>
          </w:p>
        </w:tc>
      </w:tr>
      <w:tr w14:paraId="2CFE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4D44D5E4">
            <w:pPr>
              <w:pStyle w:val="226"/>
              <w:spacing w:line="360" w:lineRule="auto"/>
              <w:jc w:val="center"/>
              <w:rPr>
                <w:szCs w:val="24"/>
              </w:rPr>
            </w:pPr>
          </w:p>
        </w:tc>
        <w:tc>
          <w:tcPr>
            <w:tcW w:w="4644" w:type="dxa"/>
            <w:tcBorders>
              <w:right w:val="single" w:color="auto" w:sz="12" w:space="0"/>
            </w:tcBorders>
            <w:vAlign w:val="center"/>
          </w:tcPr>
          <w:p w14:paraId="636C9EE9">
            <w:pPr>
              <w:pStyle w:val="226"/>
              <w:spacing w:line="360" w:lineRule="auto"/>
              <w:jc w:val="center"/>
              <w:rPr>
                <w:szCs w:val="24"/>
              </w:rPr>
            </w:pPr>
          </w:p>
        </w:tc>
      </w:tr>
      <w:tr w14:paraId="472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6DBB3C3D">
            <w:pPr>
              <w:pStyle w:val="226"/>
              <w:spacing w:line="360" w:lineRule="auto"/>
              <w:jc w:val="center"/>
              <w:rPr>
                <w:szCs w:val="24"/>
              </w:rPr>
            </w:pPr>
          </w:p>
        </w:tc>
        <w:tc>
          <w:tcPr>
            <w:tcW w:w="4644" w:type="dxa"/>
            <w:tcBorders>
              <w:right w:val="single" w:color="auto" w:sz="12" w:space="0"/>
            </w:tcBorders>
            <w:vAlign w:val="center"/>
          </w:tcPr>
          <w:p w14:paraId="3AE8336C">
            <w:pPr>
              <w:pStyle w:val="226"/>
              <w:spacing w:line="360" w:lineRule="auto"/>
              <w:jc w:val="center"/>
              <w:rPr>
                <w:szCs w:val="24"/>
              </w:rPr>
            </w:pPr>
          </w:p>
        </w:tc>
      </w:tr>
      <w:tr w14:paraId="6C46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04EB98A5">
            <w:pPr>
              <w:pStyle w:val="226"/>
              <w:spacing w:line="360" w:lineRule="auto"/>
              <w:jc w:val="center"/>
              <w:rPr>
                <w:szCs w:val="24"/>
              </w:rPr>
            </w:pPr>
          </w:p>
        </w:tc>
        <w:tc>
          <w:tcPr>
            <w:tcW w:w="4644" w:type="dxa"/>
            <w:tcBorders>
              <w:right w:val="single" w:color="auto" w:sz="12" w:space="0"/>
            </w:tcBorders>
            <w:vAlign w:val="center"/>
          </w:tcPr>
          <w:p w14:paraId="7920CE22">
            <w:pPr>
              <w:pStyle w:val="226"/>
              <w:spacing w:line="360" w:lineRule="auto"/>
              <w:jc w:val="center"/>
              <w:rPr>
                <w:szCs w:val="24"/>
              </w:rPr>
            </w:pPr>
          </w:p>
        </w:tc>
      </w:tr>
      <w:tr w14:paraId="497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77574DF0">
            <w:pPr>
              <w:pStyle w:val="226"/>
              <w:spacing w:line="360" w:lineRule="auto"/>
              <w:jc w:val="center"/>
              <w:rPr>
                <w:szCs w:val="24"/>
              </w:rPr>
            </w:pPr>
          </w:p>
        </w:tc>
        <w:tc>
          <w:tcPr>
            <w:tcW w:w="4644" w:type="dxa"/>
            <w:tcBorders>
              <w:right w:val="single" w:color="auto" w:sz="12" w:space="0"/>
            </w:tcBorders>
            <w:vAlign w:val="center"/>
          </w:tcPr>
          <w:p w14:paraId="0281672C">
            <w:pPr>
              <w:pStyle w:val="226"/>
              <w:spacing w:line="360" w:lineRule="auto"/>
              <w:jc w:val="center"/>
              <w:rPr>
                <w:szCs w:val="24"/>
              </w:rPr>
            </w:pPr>
          </w:p>
        </w:tc>
      </w:tr>
      <w:tr w14:paraId="73F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2AC4798C">
            <w:pPr>
              <w:pStyle w:val="226"/>
              <w:spacing w:line="360" w:lineRule="auto"/>
              <w:jc w:val="center"/>
              <w:rPr>
                <w:szCs w:val="24"/>
              </w:rPr>
            </w:pPr>
          </w:p>
        </w:tc>
        <w:tc>
          <w:tcPr>
            <w:tcW w:w="4644" w:type="dxa"/>
            <w:tcBorders>
              <w:right w:val="single" w:color="auto" w:sz="12" w:space="0"/>
            </w:tcBorders>
            <w:vAlign w:val="center"/>
          </w:tcPr>
          <w:p w14:paraId="49D5E18E">
            <w:pPr>
              <w:pStyle w:val="226"/>
              <w:spacing w:line="360" w:lineRule="auto"/>
              <w:jc w:val="center"/>
              <w:rPr>
                <w:szCs w:val="24"/>
              </w:rPr>
            </w:pPr>
          </w:p>
        </w:tc>
      </w:tr>
      <w:tr w14:paraId="5B8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1CB4BD11">
            <w:pPr>
              <w:pStyle w:val="226"/>
              <w:spacing w:line="360" w:lineRule="auto"/>
              <w:jc w:val="center"/>
              <w:rPr>
                <w:szCs w:val="24"/>
              </w:rPr>
            </w:pPr>
          </w:p>
        </w:tc>
        <w:tc>
          <w:tcPr>
            <w:tcW w:w="4644" w:type="dxa"/>
            <w:tcBorders>
              <w:right w:val="single" w:color="auto" w:sz="12" w:space="0"/>
            </w:tcBorders>
            <w:vAlign w:val="center"/>
          </w:tcPr>
          <w:p w14:paraId="5391969E">
            <w:pPr>
              <w:pStyle w:val="226"/>
              <w:spacing w:line="360" w:lineRule="auto"/>
              <w:jc w:val="center"/>
              <w:rPr>
                <w:szCs w:val="24"/>
              </w:rPr>
            </w:pPr>
          </w:p>
        </w:tc>
      </w:tr>
      <w:tr w14:paraId="5AF9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1E84E2B7">
            <w:pPr>
              <w:pStyle w:val="226"/>
              <w:spacing w:line="360" w:lineRule="auto"/>
              <w:jc w:val="center"/>
              <w:rPr>
                <w:szCs w:val="24"/>
              </w:rPr>
            </w:pPr>
          </w:p>
        </w:tc>
        <w:tc>
          <w:tcPr>
            <w:tcW w:w="4644" w:type="dxa"/>
            <w:tcBorders>
              <w:right w:val="single" w:color="auto" w:sz="12" w:space="0"/>
            </w:tcBorders>
            <w:vAlign w:val="center"/>
          </w:tcPr>
          <w:p w14:paraId="36390956">
            <w:pPr>
              <w:pStyle w:val="226"/>
              <w:spacing w:line="360" w:lineRule="auto"/>
              <w:jc w:val="center"/>
              <w:rPr>
                <w:szCs w:val="24"/>
              </w:rPr>
            </w:pPr>
          </w:p>
        </w:tc>
      </w:tr>
      <w:tr w14:paraId="6C26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561A28D1">
            <w:pPr>
              <w:pStyle w:val="226"/>
              <w:spacing w:line="360" w:lineRule="auto"/>
              <w:jc w:val="center"/>
              <w:rPr>
                <w:szCs w:val="24"/>
              </w:rPr>
            </w:pPr>
          </w:p>
        </w:tc>
        <w:tc>
          <w:tcPr>
            <w:tcW w:w="4644" w:type="dxa"/>
            <w:tcBorders>
              <w:right w:val="single" w:color="auto" w:sz="12" w:space="0"/>
            </w:tcBorders>
            <w:vAlign w:val="center"/>
          </w:tcPr>
          <w:p w14:paraId="6984BDC4">
            <w:pPr>
              <w:pStyle w:val="226"/>
              <w:spacing w:line="360" w:lineRule="auto"/>
              <w:jc w:val="center"/>
              <w:rPr>
                <w:szCs w:val="24"/>
              </w:rPr>
            </w:pPr>
          </w:p>
        </w:tc>
      </w:tr>
      <w:tr w14:paraId="575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5842D91C">
            <w:pPr>
              <w:pStyle w:val="226"/>
              <w:spacing w:line="360" w:lineRule="auto"/>
              <w:jc w:val="center"/>
              <w:rPr>
                <w:szCs w:val="24"/>
              </w:rPr>
            </w:pPr>
          </w:p>
        </w:tc>
        <w:tc>
          <w:tcPr>
            <w:tcW w:w="4644" w:type="dxa"/>
            <w:tcBorders>
              <w:right w:val="single" w:color="auto" w:sz="12" w:space="0"/>
            </w:tcBorders>
            <w:vAlign w:val="center"/>
          </w:tcPr>
          <w:p w14:paraId="24CD24AB">
            <w:pPr>
              <w:pStyle w:val="226"/>
              <w:spacing w:line="360" w:lineRule="auto"/>
              <w:jc w:val="center"/>
              <w:rPr>
                <w:szCs w:val="24"/>
              </w:rPr>
            </w:pPr>
          </w:p>
        </w:tc>
      </w:tr>
      <w:tr w14:paraId="2375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4248F223">
            <w:pPr>
              <w:pStyle w:val="226"/>
              <w:spacing w:line="360" w:lineRule="auto"/>
              <w:jc w:val="center"/>
              <w:rPr>
                <w:szCs w:val="24"/>
              </w:rPr>
            </w:pPr>
          </w:p>
        </w:tc>
        <w:tc>
          <w:tcPr>
            <w:tcW w:w="4644" w:type="dxa"/>
            <w:tcBorders>
              <w:right w:val="single" w:color="auto" w:sz="12" w:space="0"/>
            </w:tcBorders>
            <w:vAlign w:val="center"/>
          </w:tcPr>
          <w:p w14:paraId="4106877C">
            <w:pPr>
              <w:pStyle w:val="226"/>
              <w:spacing w:line="360" w:lineRule="auto"/>
              <w:jc w:val="center"/>
              <w:rPr>
                <w:szCs w:val="24"/>
              </w:rPr>
            </w:pPr>
          </w:p>
        </w:tc>
      </w:tr>
      <w:tr w14:paraId="0934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6F4363EE">
            <w:pPr>
              <w:pStyle w:val="226"/>
              <w:spacing w:line="360" w:lineRule="auto"/>
              <w:jc w:val="center"/>
              <w:rPr>
                <w:szCs w:val="24"/>
              </w:rPr>
            </w:pPr>
          </w:p>
        </w:tc>
        <w:tc>
          <w:tcPr>
            <w:tcW w:w="4644" w:type="dxa"/>
            <w:tcBorders>
              <w:right w:val="single" w:color="auto" w:sz="12" w:space="0"/>
            </w:tcBorders>
            <w:vAlign w:val="center"/>
          </w:tcPr>
          <w:p w14:paraId="72E54F91">
            <w:pPr>
              <w:pStyle w:val="226"/>
              <w:spacing w:line="360" w:lineRule="auto"/>
              <w:jc w:val="center"/>
              <w:rPr>
                <w:szCs w:val="24"/>
              </w:rPr>
            </w:pPr>
          </w:p>
        </w:tc>
      </w:tr>
      <w:tr w14:paraId="576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0370B8E6">
            <w:pPr>
              <w:pStyle w:val="226"/>
              <w:spacing w:line="360" w:lineRule="auto"/>
              <w:jc w:val="center"/>
              <w:rPr>
                <w:szCs w:val="24"/>
              </w:rPr>
            </w:pPr>
          </w:p>
        </w:tc>
        <w:tc>
          <w:tcPr>
            <w:tcW w:w="4644" w:type="dxa"/>
            <w:tcBorders>
              <w:right w:val="single" w:color="auto" w:sz="12" w:space="0"/>
            </w:tcBorders>
            <w:vAlign w:val="center"/>
          </w:tcPr>
          <w:p w14:paraId="25186F6D">
            <w:pPr>
              <w:pStyle w:val="226"/>
              <w:spacing w:line="360" w:lineRule="auto"/>
              <w:jc w:val="center"/>
              <w:rPr>
                <w:szCs w:val="24"/>
              </w:rPr>
            </w:pPr>
          </w:p>
        </w:tc>
      </w:tr>
      <w:tr w14:paraId="6212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584CDAD2">
            <w:pPr>
              <w:pStyle w:val="226"/>
              <w:spacing w:line="360" w:lineRule="auto"/>
              <w:jc w:val="center"/>
              <w:rPr>
                <w:szCs w:val="24"/>
              </w:rPr>
            </w:pPr>
          </w:p>
        </w:tc>
        <w:tc>
          <w:tcPr>
            <w:tcW w:w="4644" w:type="dxa"/>
            <w:tcBorders>
              <w:right w:val="single" w:color="auto" w:sz="12" w:space="0"/>
            </w:tcBorders>
            <w:vAlign w:val="center"/>
          </w:tcPr>
          <w:p w14:paraId="4FB4F2BB">
            <w:pPr>
              <w:pStyle w:val="226"/>
              <w:spacing w:line="360" w:lineRule="auto"/>
              <w:jc w:val="center"/>
              <w:rPr>
                <w:szCs w:val="24"/>
              </w:rPr>
            </w:pPr>
          </w:p>
        </w:tc>
      </w:tr>
      <w:tr w14:paraId="4CBC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0CDAA203">
            <w:pPr>
              <w:pStyle w:val="226"/>
              <w:spacing w:line="360" w:lineRule="auto"/>
              <w:jc w:val="center"/>
              <w:rPr>
                <w:szCs w:val="24"/>
              </w:rPr>
            </w:pPr>
          </w:p>
        </w:tc>
        <w:tc>
          <w:tcPr>
            <w:tcW w:w="4644" w:type="dxa"/>
            <w:tcBorders>
              <w:right w:val="single" w:color="auto" w:sz="12" w:space="0"/>
            </w:tcBorders>
            <w:vAlign w:val="center"/>
          </w:tcPr>
          <w:p w14:paraId="3705DB52">
            <w:pPr>
              <w:pStyle w:val="226"/>
              <w:spacing w:line="360" w:lineRule="auto"/>
              <w:jc w:val="center"/>
              <w:rPr>
                <w:szCs w:val="24"/>
              </w:rPr>
            </w:pPr>
          </w:p>
        </w:tc>
      </w:tr>
      <w:tr w14:paraId="49F8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tcBorders>
            <w:vAlign w:val="center"/>
          </w:tcPr>
          <w:p w14:paraId="2374A886">
            <w:pPr>
              <w:pStyle w:val="226"/>
              <w:spacing w:line="360" w:lineRule="auto"/>
              <w:jc w:val="center"/>
              <w:rPr>
                <w:szCs w:val="24"/>
              </w:rPr>
            </w:pPr>
          </w:p>
        </w:tc>
        <w:tc>
          <w:tcPr>
            <w:tcW w:w="4644" w:type="dxa"/>
            <w:tcBorders>
              <w:right w:val="single" w:color="auto" w:sz="12" w:space="0"/>
            </w:tcBorders>
            <w:vAlign w:val="center"/>
          </w:tcPr>
          <w:p w14:paraId="1FE3D020">
            <w:pPr>
              <w:pStyle w:val="226"/>
              <w:spacing w:line="360" w:lineRule="auto"/>
              <w:jc w:val="center"/>
              <w:rPr>
                <w:szCs w:val="24"/>
              </w:rPr>
            </w:pPr>
          </w:p>
        </w:tc>
      </w:tr>
      <w:tr w14:paraId="34F8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6" w:type="dxa"/>
            <w:tcBorders>
              <w:left w:val="single" w:color="auto" w:sz="12" w:space="0"/>
              <w:bottom w:val="single" w:color="auto" w:sz="12" w:space="0"/>
            </w:tcBorders>
            <w:vAlign w:val="center"/>
          </w:tcPr>
          <w:p w14:paraId="51247595">
            <w:pPr>
              <w:pStyle w:val="226"/>
              <w:spacing w:line="360" w:lineRule="auto"/>
              <w:jc w:val="center"/>
              <w:rPr>
                <w:szCs w:val="24"/>
              </w:rPr>
            </w:pPr>
          </w:p>
        </w:tc>
        <w:tc>
          <w:tcPr>
            <w:tcW w:w="4644" w:type="dxa"/>
            <w:tcBorders>
              <w:bottom w:val="single" w:color="auto" w:sz="12" w:space="0"/>
              <w:right w:val="single" w:color="auto" w:sz="12" w:space="0"/>
            </w:tcBorders>
            <w:vAlign w:val="center"/>
          </w:tcPr>
          <w:p w14:paraId="6287D6C3">
            <w:pPr>
              <w:pStyle w:val="226"/>
              <w:spacing w:line="360" w:lineRule="auto"/>
              <w:jc w:val="center"/>
              <w:rPr>
                <w:szCs w:val="24"/>
              </w:rPr>
            </w:pPr>
          </w:p>
        </w:tc>
      </w:tr>
    </w:tbl>
    <w:p w14:paraId="12F7B98C">
      <w:pPr>
        <w:pStyle w:val="226"/>
        <w:spacing w:line="360" w:lineRule="auto"/>
        <w:ind w:left="1352" w:leftChars="200" w:hanging="932" w:hangingChars="444"/>
        <w:rPr>
          <w:szCs w:val="24"/>
        </w:rPr>
      </w:pPr>
    </w:p>
    <w:p w14:paraId="678D6D2E">
      <w:pPr>
        <w:pStyle w:val="226"/>
        <w:spacing w:line="360" w:lineRule="auto"/>
        <w:ind w:left="405" w:hanging="420"/>
        <w:rPr>
          <w:szCs w:val="24"/>
        </w:rPr>
      </w:pPr>
      <w:r>
        <w:rPr>
          <w:szCs w:val="24"/>
        </w:rPr>
        <w:t xml:space="preserve">注：1.投标人应按照招标文件第二章“投标人须知”前附表附录4和“投标人须知”正文第1.4.4项规定，逐条说明其信誉情况。 </w:t>
      </w:r>
    </w:p>
    <w:p w14:paraId="2A921631">
      <w:pPr>
        <w:pStyle w:val="226"/>
        <w:spacing w:line="360" w:lineRule="auto"/>
        <w:ind w:left="105" w:leftChars="50" w:firstLine="315" w:firstLineChars="150"/>
        <w:rPr>
          <w:szCs w:val="24"/>
        </w:rPr>
      </w:pPr>
      <w:r>
        <w:rPr>
          <w:szCs w:val="24"/>
        </w:rPr>
        <w:t>2.投标人应根据招标文件第二章“投标人须知”第3.5.4项的要求在本表后附相关证明材料。</w:t>
      </w:r>
    </w:p>
    <w:p w14:paraId="241679FD">
      <w:pPr>
        <w:pStyle w:val="2"/>
        <w:spacing w:before="312" w:beforeLines="100" w:after="468" w:afterLines="150" w:line="360" w:lineRule="exact"/>
        <w:jc w:val="center"/>
        <w:rPr>
          <w:rFonts w:ascii="宋体" w:hAnsi="宋体"/>
          <w:b w:val="0"/>
          <w:sz w:val="30"/>
          <w:szCs w:val="30"/>
        </w:rPr>
      </w:pPr>
      <w:bookmarkStart w:id="441" w:name="_Toc173244886"/>
      <w:bookmarkStart w:id="442" w:name="_Toc21716"/>
      <w:r>
        <w:rPr>
          <w:rFonts w:hint="eastAsia" w:ascii="宋体" w:hAnsi="宋体"/>
          <w:b w:val="0"/>
          <w:sz w:val="30"/>
          <w:szCs w:val="30"/>
        </w:rPr>
        <w:t>（三）拟委任的项目经理、项目技术负责人和安全负责人资历表</w:t>
      </w:r>
      <w:bookmarkEnd w:id="441"/>
      <w:bookmarkEnd w:id="442"/>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14:paraId="42F3B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12" w:space="0"/>
              <w:left w:val="single" w:color="auto" w:sz="12" w:space="0"/>
              <w:bottom w:val="single" w:color="auto" w:sz="6" w:space="0"/>
              <w:right w:val="single" w:color="auto" w:sz="6" w:space="0"/>
            </w:tcBorders>
            <w:vAlign w:val="center"/>
          </w:tcPr>
          <w:p w14:paraId="5096029F">
            <w:pPr>
              <w:tabs>
                <w:tab w:val="left" w:pos="680"/>
              </w:tabs>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姓</w:t>
            </w:r>
            <w:r>
              <w:rPr>
                <w:rFonts w:hint="eastAsia" w:ascii="宋体" w:hAnsi="宋体" w:eastAsia="宋体" w:cs="宋体"/>
                <w:kern w:val="0"/>
                <w:szCs w:val="21"/>
              </w:rPr>
              <w:tab/>
            </w:r>
            <w:r>
              <w:rPr>
                <w:rFonts w:hint="eastAsia" w:ascii="宋体" w:hAnsi="宋体" w:eastAsia="宋体" w:cs="宋体"/>
                <w:kern w:val="0"/>
                <w:szCs w:val="21"/>
              </w:rPr>
              <w:t>名</w:t>
            </w:r>
          </w:p>
        </w:tc>
        <w:tc>
          <w:tcPr>
            <w:tcW w:w="1645" w:type="dxa"/>
            <w:tcBorders>
              <w:top w:val="single" w:color="auto" w:sz="12" w:space="0"/>
              <w:left w:val="single" w:color="auto" w:sz="6" w:space="0"/>
              <w:bottom w:val="single" w:color="auto" w:sz="6" w:space="0"/>
              <w:right w:val="single" w:color="auto" w:sz="6" w:space="0"/>
            </w:tcBorders>
            <w:vAlign w:val="center"/>
          </w:tcPr>
          <w:p w14:paraId="29737BBB">
            <w:pPr>
              <w:autoSpaceDE w:val="0"/>
              <w:autoSpaceDN w:val="0"/>
              <w:adjustRightInd w:val="0"/>
              <w:jc w:val="center"/>
              <w:rPr>
                <w:rFonts w:ascii="宋体" w:hAnsi="宋体" w:eastAsia="宋体" w:cs="宋体"/>
                <w:kern w:val="0"/>
                <w:szCs w:val="21"/>
              </w:rPr>
            </w:pPr>
          </w:p>
        </w:tc>
        <w:tc>
          <w:tcPr>
            <w:tcW w:w="1516" w:type="dxa"/>
            <w:tcBorders>
              <w:top w:val="single" w:color="auto" w:sz="12" w:space="0"/>
              <w:left w:val="single" w:color="auto" w:sz="6" w:space="0"/>
              <w:bottom w:val="single" w:color="auto" w:sz="6" w:space="0"/>
              <w:right w:val="single" w:color="auto" w:sz="6" w:space="0"/>
            </w:tcBorders>
            <w:vAlign w:val="center"/>
          </w:tcPr>
          <w:p w14:paraId="6EB6AC74">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年  龄</w:t>
            </w:r>
          </w:p>
        </w:tc>
        <w:tc>
          <w:tcPr>
            <w:tcW w:w="1478" w:type="dxa"/>
            <w:gridSpan w:val="2"/>
            <w:tcBorders>
              <w:top w:val="single" w:color="auto" w:sz="12" w:space="0"/>
              <w:left w:val="single" w:color="auto" w:sz="6" w:space="0"/>
              <w:bottom w:val="single" w:color="auto" w:sz="6" w:space="0"/>
              <w:right w:val="single" w:color="auto" w:sz="6" w:space="0"/>
            </w:tcBorders>
            <w:vAlign w:val="center"/>
          </w:tcPr>
          <w:p w14:paraId="5E043096">
            <w:pPr>
              <w:autoSpaceDE w:val="0"/>
              <w:autoSpaceDN w:val="0"/>
              <w:adjustRightInd w:val="0"/>
              <w:jc w:val="center"/>
              <w:rPr>
                <w:rFonts w:ascii="宋体" w:hAnsi="宋体" w:eastAsia="宋体" w:cs="宋体"/>
                <w:kern w:val="0"/>
                <w:szCs w:val="21"/>
              </w:rPr>
            </w:pPr>
          </w:p>
        </w:tc>
        <w:tc>
          <w:tcPr>
            <w:tcW w:w="2169" w:type="dxa"/>
            <w:gridSpan w:val="2"/>
            <w:tcBorders>
              <w:top w:val="single" w:color="auto" w:sz="12" w:space="0"/>
              <w:left w:val="single" w:color="auto" w:sz="6" w:space="0"/>
              <w:bottom w:val="single" w:color="auto" w:sz="6" w:space="0"/>
              <w:right w:val="single" w:color="auto" w:sz="6" w:space="0"/>
            </w:tcBorders>
            <w:vAlign w:val="center"/>
          </w:tcPr>
          <w:p w14:paraId="48612ACE">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专  业</w:t>
            </w:r>
          </w:p>
        </w:tc>
        <w:tc>
          <w:tcPr>
            <w:tcW w:w="1477" w:type="dxa"/>
            <w:tcBorders>
              <w:top w:val="single" w:color="auto" w:sz="12" w:space="0"/>
              <w:left w:val="single" w:color="auto" w:sz="6" w:space="0"/>
              <w:bottom w:val="single" w:color="auto" w:sz="6" w:space="0"/>
              <w:right w:val="single" w:color="auto" w:sz="12" w:space="0"/>
            </w:tcBorders>
            <w:vAlign w:val="center"/>
          </w:tcPr>
          <w:p w14:paraId="01156AD8">
            <w:pPr>
              <w:jc w:val="center"/>
              <w:rPr>
                <w:rFonts w:ascii="宋体" w:hAnsi="宋体" w:eastAsia="宋体" w:cs="宋体"/>
                <w:szCs w:val="21"/>
              </w:rPr>
            </w:pPr>
          </w:p>
        </w:tc>
      </w:tr>
      <w:tr w14:paraId="3B60A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0889D447">
            <w:pPr>
              <w:tabs>
                <w:tab w:val="left" w:pos="680"/>
              </w:tabs>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职</w:t>
            </w:r>
            <w:r>
              <w:rPr>
                <w:rFonts w:hint="eastAsia" w:ascii="宋体" w:hAnsi="宋体" w:eastAsia="宋体" w:cs="宋体"/>
                <w:kern w:val="0"/>
                <w:szCs w:val="21"/>
              </w:rPr>
              <w:tab/>
            </w:r>
            <w:r>
              <w:rPr>
                <w:rFonts w:hint="eastAsia" w:ascii="宋体" w:hAnsi="宋体" w:eastAsia="宋体" w:cs="宋体"/>
                <w:kern w:val="0"/>
                <w:szCs w:val="21"/>
              </w:rPr>
              <w:t>称</w:t>
            </w:r>
          </w:p>
        </w:tc>
        <w:tc>
          <w:tcPr>
            <w:tcW w:w="1645" w:type="dxa"/>
            <w:tcBorders>
              <w:top w:val="single" w:color="auto" w:sz="6" w:space="0"/>
              <w:left w:val="single" w:color="auto" w:sz="6" w:space="0"/>
              <w:bottom w:val="single" w:color="auto" w:sz="6" w:space="0"/>
              <w:right w:val="single" w:color="auto" w:sz="6" w:space="0"/>
            </w:tcBorders>
            <w:vAlign w:val="center"/>
          </w:tcPr>
          <w:p w14:paraId="5D312DD9">
            <w:pPr>
              <w:autoSpaceDE w:val="0"/>
              <w:autoSpaceDN w:val="0"/>
              <w:adjustRightInd w:val="0"/>
              <w:jc w:val="center"/>
              <w:rPr>
                <w:rFonts w:ascii="宋体" w:hAnsi="宋体" w:eastAsia="宋体" w:cs="宋体"/>
                <w:kern w:val="0"/>
                <w:szCs w:val="21"/>
              </w:rPr>
            </w:pPr>
          </w:p>
        </w:tc>
        <w:tc>
          <w:tcPr>
            <w:tcW w:w="1516" w:type="dxa"/>
            <w:tcBorders>
              <w:top w:val="single" w:color="auto" w:sz="6" w:space="0"/>
              <w:left w:val="single" w:color="auto" w:sz="6" w:space="0"/>
              <w:bottom w:val="single" w:color="auto" w:sz="6" w:space="0"/>
              <w:right w:val="single" w:color="auto" w:sz="6" w:space="0"/>
            </w:tcBorders>
            <w:vAlign w:val="center"/>
          </w:tcPr>
          <w:p w14:paraId="6509D36A">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公司单位</w:t>
            </w:r>
          </w:p>
          <w:p w14:paraId="2D33C822">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职    务</w:t>
            </w:r>
          </w:p>
        </w:tc>
        <w:tc>
          <w:tcPr>
            <w:tcW w:w="1478" w:type="dxa"/>
            <w:gridSpan w:val="2"/>
            <w:tcBorders>
              <w:top w:val="single" w:color="auto" w:sz="6" w:space="0"/>
              <w:left w:val="single" w:color="auto" w:sz="6" w:space="0"/>
              <w:bottom w:val="single" w:color="auto" w:sz="6" w:space="0"/>
              <w:right w:val="single" w:color="auto" w:sz="6" w:space="0"/>
            </w:tcBorders>
            <w:vAlign w:val="center"/>
          </w:tcPr>
          <w:p w14:paraId="0FBE8CD9">
            <w:pPr>
              <w:autoSpaceDE w:val="0"/>
              <w:autoSpaceDN w:val="0"/>
              <w:adjustRightInd w:val="0"/>
              <w:jc w:val="center"/>
              <w:rPr>
                <w:rFonts w:ascii="宋体" w:hAnsi="宋体" w:eastAsia="宋体" w:cs="宋体"/>
                <w:kern w:val="0"/>
                <w:szCs w:val="21"/>
              </w:rPr>
            </w:pPr>
          </w:p>
        </w:tc>
        <w:tc>
          <w:tcPr>
            <w:tcW w:w="2169" w:type="dxa"/>
            <w:gridSpan w:val="2"/>
            <w:tcBorders>
              <w:top w:val="single" w:color="auto" w:sz="6" w:space="0"/>
              <w:left w:val="single" w:color="auto" w:sz="6" w:space="0"/>
              <w:bottom w:val="single" w:color="auto" w:sz="6" w:space="0"/>
              <w:right w:val="single" w:color="auto" w:sz="6" w:space="0"/>
            </w:tcBorders>
            <w:vAlign w:val="center"/>
          </w:tcPr>
          <w:p w14:paraId="1DD798CC">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拟在本标段</w:t>
            </w:r>
          </w:p>
          <w:p w14:paraId="2881FD5D">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工程担任职务</w:t>
            </w:r>
          </w:p>
        </w:tc>
        <w:tc>
          <w:tcPr>
            <w:tcW w:w="1477" w:type="dxa"/>
            <w:tcBorders>
              <w:top w:val="single" w:color="auto" w:sz="6" w:space="0"/>
              <w:left w:val="single" w:color="auto" w:sz="6" w:space="0"/>
              <w:bottom w:val="single" w:color="auto" w:sz="6" w:space="0"/>
              <w:right w:val="single" w:color="auto" w:sz="12" w:space="0"/>
            </w:tcBorders>
            <w:vAlign w:val="center"/>
          </w:tcPr>
          <w:p w14:paraId="4E42D573">
            <w:pPr>
              <w:jc w:val="center"/>
              <w:rPr>
                <w:rFonts w:ascii="宋体" w:hAnsi="宋体" w:eastAsia="宋体" w:cs="宋体"/>
                <w:szCs w:val="21"/>
              </w:rPr>
            </w:pPr>
          </w:p>
        </w:tc>
      </w:tr>
      <w:tr w14:paraId="08B57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675732DA">
            <w:pPr>
              <w:autoSpaceDE w:val="0"/>
              <w:autoSpaceDN w:val="0"/>
              <w:adjustRightInd w:val="0"/>
              <w:spacing w:before="73"/>
              <w:jc w:val="center"/>
              <w:rPr>
                <w:rFonts w:ascii="宋体" w:hAnsi="宋体" w:eastAsia="宋体" w:cs="宋体"/>
                <w:kern w:val="0"/>
                <w:szCs w:val="21"/>
              </w:rPr>
            </w:pPr>
            <w:r>
              <w:rPr>
                <w:rFonts w:hint="eastAsia" w:ascii="宋体" w:hAnsi="宋体" w:eastAsia="宋体" w:cs="宋体"/>
                <w:kern w:val="0"/>
                <w:szCs w:val="21"/>
              </w:rPr>
              <w:t>毕业学校</w:t>
            </w:r>
          </w:p>
        </w:tc>
        <w:tc>
          <w:tcPr>
            <w:tcW w:w="8285" w:type="dxa"/>
            <w:gridSpan w:val="7"/>
            <w:tcBorders>
              <w:top w:val="single" w:color="auto" w:sz="6" w:space="0"/>
              <w:left w:val="single" w:color="auto" w:sz="6" w:space="0"/>
              <w:bottom w:val="single" w:color="auto" w:sz="6" w:space="0"/>
              <w:right w:val="single" w:color="auto" w:sz="12" w:space="0"/>
            </w:tcBorders>
            <w:vAlign w:val="center"/>
          </w:tcPr>
          <w:p w14:paraId="7CED895A">
            <w:pPr>
              <w:tabs>
                <w:tab w:val="left" w:pos="2820"/>
                <w:tab w:val="left" w:pos="4080"/>
              </w:tabs>
              <w:autoSpaceDE w:val="0"/>
              <w:autoSpaceDN w:val="0"/>
              <w:adjustRightInd w:val="0"/>
              <w:spacing w:before="73"/>
              <w:ind w:left="-1291" w:leftChars="-615" w:firstLine="1260" w:firstLineChars="600"/>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月毕业于</w:t>
            </w:r>
            <w:r>
              <w:rPr>
                <w:rFonts w:hint="eastAsia" w:ascii="宋体" w:hAnsi="宋体" w:eastAsia="宋体" w:cs="宋体"/>
                <w:kern w:val="0"/>
                <w:szCs w:val="21"/>
                <w:u w:val="single"/>
              </w:rPr>
              <w:t xml:space="preserve">                 </w:t>
            </w:r>
            <w:r>
              <w:rPr>
                <w:rFonts w:hint="eastAsia" w:ascii="宋体" w:hAnsi="宋体" w:eastAsia="宋体" w:cs="宋体"/>
                <w:kern w:val="0"/>
                <w:szCs w:val="21"/>
              </w:rPr>
              <w:t>学校</w:t>
            </w:r>
            <w:r>
              <w:rPr>
                <w:rFonts w:hint="eastAsia" w:ascii="宋体" w:hAnsi="宋体" w:eastAsia="宋体" w:cs="宋体"/>
                <w:kern w:val="0"/>
                <w:szCs w:val="21"/>
                <w:u w:val="single"/>
              </w:rPr>
              <w:t xml:space="preserve">       </w:t>
            </w:r>
            <w:r>
              <w:rPr>
                <w:rFonts w:hint="eastAsia" w:ascii="宋体" w:hAnsi="宋体" w:eastAsia="宋体" w:cs="宋体"/>
                <w:kern w:val="0"/>
                <w:szCs w:val="21"/>
              </w:rPr>
              <w:t>专业，学制</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p>
        </w:tc>
      </w:tr>
      <w:tr w14:paraId="6307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tcBorders>
              <w:top w:val="single" w:color="auto" w:sz="6" w:space="0"/>
              <w:left w:val="single" w:color="auto" w:sz="12" w:space="0"/>
              <w:bottom w:val="single" w:color="auto" w:sz="6" w:space="0"/>
              <w:right w:val="single" w:color="auto" w:sz="12" w:space="0"/>
            </w:tcBorders>
            <w:vAlign w:val="center"/>
          </w:tcPr>
          <w:p w14:paraId="4C166F53">
            <w:pPr>
              <w:jc w:val="center"/>
              <w:rPr>
                <w:rFonts w:ascii="宋体" w:hAnsi="宋体" w:eastAsia="宋体" w:cs="宋体"/>
                <w:szCs w:val="21"/>
              </w:rPr>
            </w:pPr>
            <w:r>
              <w:rPr>
                <w:rFonts w:hint="eastAsia" w:ascii="宋体" w:hAnsi="宋体" w:eastAsia="宋体" w:cs="宋体"/>
                <w:kern w:val="0"/>
                <w:szCs w:val="21"/>
              </w:rPr>
              <w:t>经     历</w:t>
            </w:r>
          </w:p>
        </w:tc>
      </w:tr>
      <w:tr w14:paraId="40AF9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554F81A0">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p w14:paraId="698FB7D2">
            <w:pPr>
              <w:jc w:val="cente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5D968A1A">
            <w:pPr>
              <w:jc w:val="center"/>
              <w:rPr>
                <w:rFonts w:ascii="宋体" w:hAnsi="宋体" w:eastAsia="宋体" w:cs="宋体"/>
                <w:szCs w:val="21"/>
              </w:rPr>
            </w:pPr>
            <w:r>
              <w:rPr>
                <w:rFonts w:hint="eastAsia" w:ascii="宋体" w:hAnsi="宋体" w:eastAsia="宋体" w:cs="宋体"/>
                <w:kern w:val="0"/>
                <w:szCs w:val="21"/>
              </w:rPr>
              <w:t>参加过的工程项目名称</w:t>
            </w: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53B4E2AD">
            <w:pPr>
              <w:jc w:val="center"/>
              <w:rPr>
                <w:rFonts w:ascii="宋体" w:hAnsi="宋体" w:eastAsia="宋体" w:cs="宋体"/>
                <w:szCs w:val="21"/>
              </w:rPr>
            </w:pPr>
            <w:r>
              <w:rPr>
                <w:rFonts w:hint="eastAsia" w:ascii="宋体" w:hAnsi="宋体" w:eastAsia="宋体" w:cs="宋体"/>
                <w:kern w:val="0"/>
                <w:szCs w:val="21"/>
              </w:rPr>
              <w:t>担任何职</w:t>
            </w: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1CEADDE0">
            <w:pPr>
              <w:jc w:val="center"/>
              <w:rPr>
                <w:rFonts w:ascii="宋体" w:hAnsi="宋体" w:eastAsia="宋体" w:cs="宋体"/>
                <w:kern w:val="0"/>
                <w:szCs w:val="21"/>
              </w:rPr>
            </w:pPr>
            <w:r>
              <w:rPr>
                <w:rFonts w:hint="eastAsia" w:ascii="宋体" w:hAnsi="宋体" w:eastAsia="宋体" w:cs="宋体"/>
                <w:kern w:val="0"/>
                <w:szCs w:val="21"/>
              </w:rPr>
              <w:t>发包人及</w:t>
            </w:r>
          </w:p>
          <w:p w14:paraId="53FE7524">
            <w:pPr>
              <w:jc w:val="center"/>
              <w:rPr>
                <w:rFonts w:ascii="宋体" w:hAnsi="宋体" w:eastAsia="宋体" w:cs="宋体"/>
                <w:szCs w:val="21"/>
              </w:rPr>
            </w:pPr>
            <w:r>
              <w:rPr>
                <w:rFonts w:hint="eastAsia" w:ascii="宋体" w:hAnsi="宋体" w:eastAsia="宋体" w:cs="宋体"/>
                <w:kern w:val="0"/>
                <w:szCs w:val="21"/>
              </w:rPr>
              <w:t>联系电话</w:t>
            </w:r>
          </w:p>
        </w:tc>
      </w:tr>
      <w:tr w14:paraId="6629D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352C1030">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0AEB713C">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0551477C">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2C82D2EB">
            <w:pPr>
              <w:jc w:val="center"/>
              <w:rPr>
                <w:rFonts w:ascii="宋体" w:hAnsi="宋体" w:eastAsia="宋体" w:cs="宋体"/>
                <w:szCs w:val="21"/>
              </w:rPr>
            </w:pPr>
          </w:p>
        </w:tc>
      </w:tr>
      <w:tr w14:paraId="0A16E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53C4CA9D">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153FA2C9">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435D0117">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05A10989">
            <w:pPr>
              <w:jc w:val="center"/>
              <w:rPr>
                <w:rFonts w:ascii="宋体" w:hAnsi="宋体" w:eastAsia="宋体" w:cs="宋体"/>
                <w:szCs w:val="21"/>
              </w:rPr>
            </w:pPr>
          </w:p>
        </w:tc>
      </w:tr>
      <w:tr w14:paraId="3207F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29D4E22F">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6C3287CD">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75E1E537">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099FF0EF">
            <w:pPr>
              <w:jc w:val="center"/>
              <w:rPr>
                <w:rFonts w:ascii="宋体" w:hAnsi="宋体" w:eastAsia="宋体" w:cs="宋体"/>
                <w:szCs w:val="21"/>
              </w:rPr>
            </w:pPr>
          </w:p>
        </w:tc>
      </w:tr>
      <w:tr w14:paraId="392CD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263226E7">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0E08EDCF">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05941D05">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2F644235">
            <w:pPr>
              <w:jc w:val="center"/>
              <w:rPr>
                <w:rFonts w:ascii="宋体" w:hAnsi="宋体" w:eastAsia="宋体" w:cs="宋体"/>
                <w:szCs w:val="21"/>
              </w:rPr>
            </w:pPr>
          </w:p>
        </w:tc>
      </w:tr>
      <w:tr w14:paraId="1286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68624778">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425C5DB1">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1055AB80">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351FB8FC">
            <w:pPr>
              <w:jc w:val="center"/>
              <w:rPr>
                <w:rFonts w:ascii="宋体" w:hAnsi="宋体" w:eastAsia="宋体" w:cs="宋体"/>
                <w:szCs w:val="21"/>
              </w:rPr>
            </w:pPr>
          </w:p>
        </w:tc>
      </w:tr>
      <w:tr w14:paraId="17EC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0D31A16F">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40EEE2FB">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1D4AD2A7">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64667734">
            <w:pPr>
              <w:jc w:val="center"/>
              <w:rPr>
                <w:rFonts w:ascii="宋体" w:hAnsi="宋体" w:eastAsia="宋体" w:cs="宋体"/>
                <w:szCs w:val="21"/>
              </w:rPr>
            </w:pPr>
          </w:p>
        </w:tc>
      </w:tr>
      <w:tr w14:paraId="2637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tcBorders>
              <w:top w:val="single" w:color="auto" w:sz="6" w:space="0"/>
              <w:left w:val="single" w:color="auto" w:sz="12" w:space="0"/>
              <w:bottom w:val="single" w:color="auto" w:sz="6" w:space="0"/>
              <w:right w:val="single" w:color="auto" w:sz="6" w:space="0"/>
            </w:tcBorders>
            <w:vAlign w:val="center"/>
          </w:tcPr>
          <w:p w14:paraId="7C1D69D0">
            <w:pPr>
              <w:jc w:val="center"/>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309ABD29">
            <w:pPr>
              <w:jc w:val="center"/>
              <w:rPr>
                <w:rFonts w:ascii="宋体" w:hAnsi="宋体" w:eastAsia="宋体" w:cs="宋体"/>
                <w:szCs w:val="21"/>
              </w:rPr>
            </w:pP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201383C1">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029C7EC3">
            <w:pPr>
              <w:jc w:val="center"/>
              <w:rPr>
                <w:rFonts w:ascii="宋体" w:hAnsi="宋体" w:eastAsia="宋体" w:cs="宋体"/>
                <w:szCs w:val="21"/>
              </w:rPr>
            </w:pPr>
          </w:p>
        </w:tc>
      </w:tr>
      <w:tr w14:paraId="4E33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tcBorders>
              <w:top w:val="single" w:color="auto" w:sz="6" w:space="0"/>
              <w:left w:val="single" w:color="auto" w:sz="12" w:space="0"/>
              <w:bottom w:val="single" w:color="auto" w:sz="6" w:space="0"/>
              <w:right w:val="single" w:color="auto" w:sz="6" w:space="0"/>
            </w:tcBorders>
            <w:vAlign w:val="center"/>
          </w:tcPr>
          <w:p w14:paraId="46B5B4A6">
            <w:pPr>
              <w:jc w:val="center"/>
              <w:rPr>
                <w:rFonts w:ascii="宋体" w:hAnsi="宋体" w:eastAsia="宋体" w:cs="宋体"/>
                <w:szCs w:val="21"/>
              </w:rPr>
            </w:pPr>
            <w:r>
              <w:rPr>
                <w:rFonts w:hint="eastAsia" w:ascii="宋体" w:hAnsi="宋体" w:eastAsia="宋体" w:cs="宋体"/>
                <w:szCs w:val="21"/>
              </w:rPr>
              <w:t>获奖情况</w:t>
            </w:r>
          </w:p>
        </w:tc>
        <w:tc>
          <w:tcPr>
            <w:tcW w:w="1392" w:type="dxa"/>
            <w:gridSpan w:val="2"/>
            <w:tcBorders>
              <w:top w:val="single" w:color="auto" w:sz="6" w:space="0"/>
              <w:left w:val="single" w:color="auto" w:sz="6" w:space="0"/>
              <w:bottom w:val="single" w:color="auto" w:sz="6" w:space="0"/>
              <w:right w:val="single" w:color="auto" w:sz="6" w:space="0"/>
            </w:tcBorders>
            <w:vAlign w:val="center"/>
          </w:tcPr>
          <w:p w14:paraId="1358AD7C">
            <w:pPr>
              <w:jc w:val="center"/>
              <w:rPr>
                <w:rFonts w:ascii="宋体" w:hAnsi="宋体" w:eastAsia="宋体" w:cs="宋体"/>
                <w:szCs w:val="21"/>
              </w:rPr>
            </w:pPr>
          </w:p>
        </w:tc>
        <w:tc>
          <w:tcPr>
            <w:tcW w:w="2870" w:type="dxa"/>
            <w:gridSpan w:val="2"/>
            <w:tcBorders>
              <w:top w:val="single" w:color="auto" w:sz="6" w:space="0"/>
              <w:left w:val="single" w:color="auto" w:sz="6" w:space="0"/>
              <w:bottom w:val="single" w:color="auto" w:sz="6" w:space="0"/>
              <w:right w:val="single" w:color="auto" w:sz="12" w:space="0"/>
            </w:tcBorders>
            <w:vAlign w:val="center"/>
          </w:tcPr>
          <w:p w14:paraId="3AF5D4D1">
            <w:pPr>
              <w:jc w:val="center"/>
              <w:rPr>
                <w:rFonts w:ascii="宋体" w:hAnsi="宋体" w:eastAsia="宋体" w:cs="宋体"/>
                <w:szCs w:val="21"/>
              </w:rPr>
            </w:pPr>
          </w:p>
        </w:tc>
      </w:tr>
      <w:tr w14:paraId="7868C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tcBorders>
              <w:top w:val="single" w:color="auto" w:sz="6" w:space="0"/>
              <w:left w:val="single" w:color="auto" w:sz="12" w:space="0"/>
              <w:bottom w:val="single" w:color="auto" w:sz="6" w:space="0"/>
              <w:right w:val="single" w:color="auto" w:sz="6" w:space="0"/>
            </w:tcBorders>
            <w:vAlign w:val="center"/>
          </w:tcPr>
          <w:p w14:paraId="593C9405">
            <w:pPr>
              <w:jc w:val="center"/>
              <w:rPr>
                <w:rFonts w:ascii="宋体" w:hAnsi="宋体" w:eastAsia="宋体" w:cs="宋体"/>
                <w:szCs w:val="21"/>
              </w:rPr>
            </w:pPr>
            <w:r>
              <w:rPr>
                <w:rFonts w:hint="eastAsia" w:ascii="宋体" w:hAnsi="宋体" w:eastAsia="宋体" w:cs="宋体"/>
                <w:szCs w:val="21"/>
              </w:rPr>
              <w:t>目前任职</w:t>
            </w:r>
          </w:p>
          <w:p w14:paraId="5E47823A">
            <w:pPr>
              <w:jc w:val="center"/>
              <w:rPr>
                <w:rFonts w:ascii="宋体" w:hAnsi="宋体" w:eastAsia="宋体" w:cs="宋体"/>
                <w:szCs w:val="21"/>
              </w:rPr>
            </w:pPr>
            <w:r>
              <w:rPr>
                <w:rFonts w:hint="eastAsia" w:ascii="宋体" w:hAnsi="宋体" w:eastAsia="宋体" w:cs="宋体"/>
                <w:szCs w:val="21"/>
              </w:rPr>
              <w:t>项目状况</w:t>
            </w: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1DA6F6A5">
            <w:pPr>
              <w:jc w:val="center"/>
              <w:rPr>
                <w:rFonts w:ascii="宋体" w:hAnsi="宋体" w:eastAsia="宋体" w:cs="宋体"/>
                <w:szCs w:val="21"/>
              </w:rPr>
            </w:pPr>
            <w:r>
              <w:rPr>
                <w:rFonts w:hint="eastAsia" w:ascii="宋体" w:hAnsi="宋体" w:eastAsia="宋体" w:cs="宋体"/>
                <w:szCs w:val="21"/>
              </w:rPr>
              <w:t>项目名称</w:t>
            </w:r>
          </w:p>
        </w:tc>
        <w:tc>
          <w:tcPr>
            <w:tcW w:w="4262" w:type="dxa"/>
            <w:gridSpan w:val="4"/>
            <w:tcBorders>
              <w:top w:val="single" w:color="auto" w:sz="6" w:space="0"/>
              <w:left w:val="single" w:color="auto" w:sz="6" w:space="0"/>
              <w:bottom w:val="single" w:color="auto" w:sz="6" w:space="0"/>
              <w:right w:val="single" w:color="auto" w:sz="12" w:space="0"/>
            </w:tcBorders>
            <w:vAlign w:val="center"/>
          </w:tcPr>
          <w:p w14:paraId="7AE14A05">
            <w:pPr>
              <w:jc w:val="center"/>
              <w:rPr>
                <w:rFonts w:ascii="宋体" w:hAnsi="宋体" w:eastAsia="宋体" w:cs="宋体"/>
                <w:szCs w:val="21"/>
              </w:rPr>
            </w:pPr>
          </w:p>
        </w:tc>
      </w:tr>
      <w:tr w14:paraId="4B09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14:paraId="48A47443">
            <w:pPr>
              <w:widowControl/>
              <w:jc w:val="left"/>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70D8F0E0">
            <w:pPr>
              <w:jc w:val="center"/>
              <w:rPr>
                <w:rFonts w:ascii="宋体" w:hAnsi="宋体" w:eastAsia="宋体" w:cs="宋体"/>
                <w:szCs w:val="21"/>
              </w:rPr>
            </w:pPr>
            <w:r>
              <w:rPr>
                <w:rFonts w:hint="eastAsia" w:ascii="宋体" w:hAnsi="宋体" w:eastAsia="宋体" w:cs="宋体"/>
                <w:szCs w:val="21"/>
              </w:rPr>
              <w:t>担任职位</w:t>
            </w:r>
          </w:p>
        </w:tc>
        <w:tc>
          <w:tcPr>
            <w:tcW w:w="4262" w:type="dxa"/>
            <w:gridSpan w:val="4"/>
            <w:tcBorders>
              <w:top w:val="single" w:color="auto" w:sz="6" w:space="0"/>
              <w:left w:val="single" w:color="auto" w:sz="6" w:space="0"/>
              <w:bottom w:val="single" w:color="auto" w:sz="6" w:space="0"/>
              <w:right w:val="single" w:color="auto" w:sz="12" w:space="0"/>
            </w:tcBorders>
            <w:vAlign w:val="center"/>
          </w:tcPr>
          <w:p w14:paraId="12A5DDD4">
            <w:pPr>
              <w:jc w:val="center"/>
              <w:rPr>
                <w:rFonts w:ascii="宋体" w:hAnsi="宋体" w:eastAsia="宋体" w:cs="宋体"/>
                <w:szCs w:val="21"/>
              </w:rPr>
            </w:pPr>
          </w:p>
        </w:tc>
      </w:tr>
      <w:tr w14:paraId="4EF98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0" w:type="dxa"/>
            <w:vMerge w:val="continue"/>
            <w:tcBorders>
              <w:top w:val="single" w:color="auto" w:sz="6" w:space="0"/>
              <w:left w:val="single" w:color="auto" w:sz="12" w:space="0"/>
              <w:bottom w:val="single" w:color="auto" w:sz="6" w:space="0"/>
              <w:right w:val="single" w:color="auto" w:sz="6" w:space="0"/>
            </w:tcBorders>
            <w:vAlign w:val="center"/>
          </w:tcPr>
          <w:p w14:paraId="011D86B8">
            <w:pPr>
              <w:widowControl/>
              <w:jc w:val="left"/>
              <w:rPr>
                <w:rFonts w:ascii="宋体" w:hAnsi="宋体" w:eastAsia="宋体" w:cs="宋体"/>
                <w:szCs w:val="21"/>
              </w:rPr>
            </w:pPr>
          </w:p>
        </w:tc>
        <w:tc>
          <w:tcPr>
            <w:tcW w:w="4023" w:type="dxa"/>
            <w:gridSpan w:val="3"/>
            <w:tcBorders>
              <w:top w:val="single" w:color="auto" w:sz="6" w:space="0"/>
              <w:left w:val="single" w:color="auto" w:sz="6" w:space="0"/>
              <w:bottom w:val="single" w:color="auto" w:sz="6" w:space="0"/>
              <w:right w:val="single" w:color="auto" w:sz="6" w:space="0"/>
            </w:tcBorders>
            <w:vAlign w:val="center"/>
          </w:tcPr>
          <w:p w14:paraId="12FA73AC">
            <w:pPr>
              <w:jc w:val="center"/>
              <w:rPr>
                <w:rFonts w:ascii="宋体" w:hAnsi="宋体" w:eastAsia="宋体" w:cs="宋体"/>
                <w:szCs w:val="21"/>
              </w:rPr>
            </w:pPr>
            <w:r>
              <w:rPr>
                <w:rFonts w:hint="eastAsia" w:ascii="宋体" w:hAnsi="宋体" w:eastAsia="宋体" w:cs="宋体"/>
                <w:szCs w:val="21"/>
              </w:rPr>
              <w:t>可以调离日期</w:t>
            </w:r>
          </w:p>
        </w:tc>
        <w:tc>
          <w:tcPr>
            <w:tcW w:w="4262" w:type="dxa"/>
            <w:gridSpan w:val="4"/>
            <w:tcBorders>
              <w:top w:val="single" w:color="auto" w:sz="6" w:space="0"/>
              <w:left w:val="single" w:color="auto" w:sz="6" w:space="0"/>
              <w:bottom w:val="single" w:color="auto" w:sz="6" w:space="0"/>
              <w:right w:val="single" w:color="auto" w:sz="12" w:space="0"/>
            </w:tcBorders>
            <w:vAlign w:val="center"/>
          </w:tcPr>
          <w:p w14:paraId="312A501D">
            <w:pPr>
              <w:jc w:val="center"/>
              <w:rPr>
                <w:rFonts w:ascii="宋体" w:hAnsi="宋体" w:eastAsia="宋体" w:cs="宋体"/>
                <w:szCs w:val="21"/>
              </w:rPr>
            </w:pPr>
          </w:p>
        </w:tc>
      </w:tr>
      <w:tr w14:paraId="5137F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354" w:type="dxa"/>
            <w:tcBorders>
              <w:top w:val="single" w:color="auto" w:sz="6" w:space="0"/>
              <w:left w:val="single" w:color="auto" w:sz="12" w:space="0"/>
              <w:bottom w:val="single" w:color="auto" w:sz="12" w:space="0"/>
              <w:right w:val="single" w:color="auto" w:sz="6" w:space="0"/>
            </w:tcBorders>
            <w:vAlign w:val="center"/>
          </w:tcPr>
          <w:p w14:paraId="4EF40B4B">
            <w:pPr>
              <w:jc w:val="center"/>
              <w:rPr>
                <w:rFonts w:ascii="宋体" w:hAnsi="宋体" w:eastAsia="宋体" w:cs="宋体"/>
                <w:szCs w:val="21"/>
              </w:rPr>
            </w:pPr>
            <w:r>
              <w:rPr>
                <w:rFonts w:hint="eastAsia" w:ascii="宋体" w:hAnsi="宋体" w:eastAsia="宋体" w:cs="宋体"/>
                <w:szCs w:val="21"/>
              </w:rPr>
              <w:t>备注</w:t>
            </w:r>
          </w:p>
        </w:tc>
        <w:tc>
          <w:tcPr>
            <w:tcW w:w="8285" w:type="dxa"/>
            <w:gridSpan w:val="7"/>
            <w:tcBorders>
              <w:top w:val="single" w:color="auto" w:sz="6" w:space="0"/>
              <w:left w:val="single" w:color="auto" w:sz="6" w:space="0"/>
              <w:bottom w:val="single" w:color="auto" w:sz="12" w:space="0"/>
              <w:right w:val="single" w:color="auto" w:sz="12" w:space="0"/>
            </w:tcBorders>
            <w:vAlign w:val="center"/>
          </w:tcPr>
          <w:p w14:paraId="5C3C792B">
            <w:pPr>
              <w:jc w:val="center"/>
              <w:rPr>
                <w:rFonts w:ascii="宋体" w:hAnsi="宋体" w:eastAsia="宋体" w:cs="宋体"/>
                <w:szCs w:val="21"/>
              </w:rPr>
            </w:pPr>
          </w:p>
        </w:tc>
      </w:tr>
    </w:tbl>
    <w:p w14:paraId="2D72C544">
      <w:pPr>
        <w:pStyle w:val="226"/>
        <w:spacing w:line="360" w:lineRule="auto"/>
        <w:ind w:left="405" w:hanging="420"/>
        <w:rPr>
          <w:szCs w:val="24"/>
        </w:rPr>
      </w:pPr>
      <w:r>
        <w:rPr>
          <w:rFonts w:hint="eastAsia" w:ascii="宋体" w:hAnsi="宋体" w:cs="宋体"/>
          <w:szCs w:val="21"/>
        </w:rPr>
        <w:t>注：</w:t>
      </w:r>
      <w:r>
        <w:rPr>
          <w:szCs w:val="24"/>
        </w:rPr>
        <w:t xml:space="preserve">1.本表应填写项目经理、项目技术负责人和安全负责人相关情况。 </w:t>
      </w:r>
    </w:p>
    <w:p w14:paraId="2E48B858">
      <w:pPr>
        <w:pStyle w:val="226"/>
        <w:spacing w:line="360" w:lineRule="auto"/>
        <w:ind w:left="105" w:leftChars="50" w:firstLine="315" w:firstLineChars="150"/>
        <w:rPr>
          <w:szCs w:val="24"/>
        </w:rPr>
      </w:pPr>
      <w:r>
        <w:rPr>
          <w:szCs w:val="24"/>
        </w:rPr>
        <w:t>2.投标人应根据招标文件第二章“投标人须知”第 3.5</w:t>
      </w:r>
      <w:r>
        <w:rPr>
          <w:rFonts w:hint="eastAsia"/>
          <w:szCs w:val="24"/>
        </w:rPr>
        <w:t>.5</w:t>
      </w:r>
      <w:r>
        <w:rPr>
          <w:szCs w:val="24"/>
        </w:rPr>
        <w:t xml:space="preserve"> 项的要求在本表后附相关证明材料。</w:t>
      </w:r>
    </w:p>
    <w:p w14:paraId="694D5773">
      <w:pPr>
        <w:pStyle w:val="226"/>
        <w:spacing w:line="360" w:lineRule="auto"/>
        <w:ind w:left="-15" w:firstLine="420" w:firstLineChars="200"/>
        <w:rPr>
          <w:szCs w:val="24"/>
        </w:rPr>
      </w:pPr>
      <w:r>
        <w:rPr>
          <w:szCs w:val="24"/>
        </w:rPr>
        <w:t>3.项目经理若曾在其他在建合同工程中担任项目经理</w:t>
      </w:r>
      <w:r>
        <w:rPr>
          <w:rFonts w:hint="eastAsia"/>
          <w:szCs w:val="24"/>
        </w:rPr>
        <w:t>（包括设计施工总承包项目中的施工负责人）</w:t>
      </w:r>
      <w:r>
        <w:rPr>
          <w:szCs w:val="24"/>
        </w:rPr>
        <w:t>但已进行更换的，应附项目发包人的同意更换证明材料，否则更换前后的项目经理均视为有“在建合同工程”。</w:t>
      </w:r>
    </w:p>
    <w:p w14:paraId="2C955D6D">
      <w:pPr>
        <w:widowControl/>
        <w:jc w:val="left"/>
        <w:rPr>
          <w:rFonts w:ascii="宋体" w:hAnsi="宋体" w:eastAsia="宋体" w:cs="宋体"/>
          <w:szCs w:val="21"/>
        </w:rPr>
      </w:pPr>
      <w:r>
        <w:rPr>
          <w:rFonts w:ascii="宋体" w:hAnsi="宋体" w:eastAsia="宋体" w:cs="宋体"/>
          <w:szCs w:val="21"/>
        </w:rPr>
        <w:br w:type="page"/>
      </w:r>
    </w:p>
    <w:p w14:paraId="35D4C7FB">
      <w:pPr>
        <w:spacing w:line="320" w:lineRule="exact"/>
        <w:ind w:left="108"/>
        <w:rPr>
          <w:rFonts w:ascii="宋体" w:hAnsi="宋体" w:eastAsia="宋体" w:cs="宋体"/>
          <w:szCs w:val="21"/>
        </w:rPr>
      </w:pPr>
    </w:p>
    <w:p w14:paraId="7766E3EE">
      <w:pPr>
        <w:pStyle w:val="2"/>
        <w:spacing w:before="312" w:beforeLines="100" w:after="312" w:afterLines="100" w:line="360" w:lineRule="exact"/>
        <w:jc w:val="center"/>
        <w:rPr>
          <w:rFonts w:ascii="宋体" w:hAnsi="宋体"/>
          <w:b w:val="0"/>
          <w:sz w:val="30"/>
          <w:szCs w:val="30"/>
        </w:rPr>
      </w:pPr>
      <w:bookmarkStart w:id="443" w:name="_Toc193904176"/>
      <w:bookmarkStart w:id="444" w:name="_Toc234242180"/>
      <w:bookmarkStart w:id="445" w:name="_Toc173244887"/>
      <w:bookmarkStart w:id="446" w:name="_Toc6559"/>
      <w:r>
        <w:rPr>
          <w:rFonts w:hint="eastAsia" w:ascii="宋体" w:hAnsi="宋体"/>
          <w:b w:val="0"/>
          <w:sz w:val="30"/>
          <w:szCs w:val="30"/>
        </w:rPr>
        <w:t>（四）财务</w:t>
      </w:r>
      <w:bookmarkEnd w:id="443"/>
      <w:bookmarkEnd w:id="444"/>
      <w:r>
        <w:rPr>
          <w:rFonts w:hint="eastAsia" w:ascii="宋体" w:hAnsi="宋体"/>
          <w:b w:val="0"/>
          <w:sz w:val="30"/>
          <w:szCs w:val="30"/>
        </w:rPr>
        <w:t>要求</w:t>
      </w:r>
      <w:bookmarkEnd w:id="445"/>
      <w:bookmarkEnd w:id="446"/>
    </w:p>
    <w:p w14:paraId="7052DA05">
      <w:pPr>
        <w:jc w:val="center"/>
        <w:rPr>
          <w:rFonts w:ascii="宋体" w:hAnsi="宋体" w:eastAsia="宋体" w:cs="宋体"/>
          <w:b/>
          <w:sz w:val="30"/>
          <w:szCs w:val="30"/>
        </w:rPr>
      </w:pPr>
      <w:r>
        <w:rPr>
          <w:rFonts w:hint="eastAsia" w:ascii="宋体" w:hAnsi="宋体" w:eastAsia="宋体" w:cs="宋体"/>
          <w:b/>
          <w:sz w:val="30"/>
          <w:szCs w:val="30"/>
        </w:rPr>
        <w:t>银行信贷证明</w:t>
      </w:r>
    </w:p>
    <w:p w14:paraId="5CE9DBFF">
      <w:pPr>
        <w:spacing w:line="500" w:lineRule="exact"/>
        <w:jc w:val="center"/>
        <w:rPr>
          <w:rFonts w:ascii="宋体" w:hAnsi="宋体" w:eastAsia="宋体" w:cs="宋体"/>
          <w:sz w:val="24"/>
        </w:rPr>
      </w:pPr>
    </w:p>
    <w:p w14:paraId="0375A9D2">
      <w:pPr>
        <w:spacing w:line="500" w:lineRule="exact"/>
        <w:jc w:val="left"/>
        <w:rPr>
          <w:rFonts w:ascii="宋体" w:hAnsi="宋体" w:eastAsia="宋体" w:cs="宋体"/>
          <w:szCs w:val="21"/>
          <w:u w:val="single"/>
        </w:rPr>
      </w:pPr>
      <w:r>
        <w:rPr>
          <w:rFonts w:hint="eastAsia" w:ascii="宋体" w:hAnsi="宋体" w:eastAsia="宋体" w:cs="宋体"/>
          <w:szCs w:val="21"/>
        </w:rPr>
        <w:t>银行名称：</w:t>
      </w:r>
      <w:r>
        <w:rPr>
          <w:rFonts w:hint="eastAsia" w:ascii="宋体" w:hAnsi="宋体" w:eastAsia="宋体" w:cs="宋体"/>
          <w:szCs w:val="21"/>
          <w:u w:val="single"/>
        </w:rPr>
        <w:t xml:space="preserve">                     </w:t>
      </w:r>
    </w:p>
    <w:p w14:paraId="107B971F">
      <w:pPr>
        <w:spacing w:line="500" w:lineRule="exac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6E5CDAF">
      <w:pPr>
        <w:spacing w:line="500" w:lineRule="exact"/>
        <w:ind w:firstLine="6240"/>
        <w:rPr>
          <w:rFonts w:ascii="宋体" w:hAnsi="宋体" w:eastAsia="宋体" w:cs="宋体"/>
          <w:szCs w:val="21"/>
          <w:u w:val="single"/>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p>
    <w:p w14:paraId="0E0C413C">
      <w:pPr>
        <w:spacing w:line="500" w:lineRule="exact"/>
        <w:rPr>
          <w:rFonts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 xml:space="preserve">  （发包人全称）  </w:t>
      </w:r>
    </w:p>
    <w:p w14:paraId="3DDCEB13">
      <w:pPr>
        <w:spacing w:line="500" w:lineRule="exact"/>
        <w:ind w:firstLine="420" w:firstLineChars="200"/>
        <w:rPr>
          <w:rFonts w:ascii="宋体" w:hAnsi="宋体" w:eastAsia="宋体" w:cs="宋体"/>
          <w:szCs w:val="21"/>
        </w:rPr>
      </w:pPr>
      <w:r>
        <w:rPr>
          <w:rFonts w:hint="eastAsia" w:ascii="宋体" w:hAnsi="宋体" w:eastAsia="宋体" w:cs="宋体"/>
          <w:szCs w:val="21"/>
        </w:rPr>
        <w:t>兹开具最高限额为人民币</w:t>
      </w:r>
      <w:r>
        <w:rPr>
          <w:rFonts w:hint="eastAsia" w:ascii="宋体" w:hAnsi="宋体" w:eastAsia="宋体" w:cs="宋体"/>
          <w:szCs w:val="21"/>
          <w:u w:val="single"/>
        </w:rPr>
        <w:t xml:space="preserve">   </w:t>
      </w:r>
      <w:r>
        <w:rPr>
          <w:rFonts w:hint="eastAsia" w:ascii="宋体" w:hAnsi="宋体" w:eastAsia="宋体" w:cs="宋体"/>
          <w:szCs w:val="21"/>
        </w:rPr>
        <w:t xml:space="preserve">万元的银行信贷，供 </w:t>
      </w:r>
      <w:r>
        <w:rPr>
          <w:rFonts w:hint="eastAsia" w:ascii="宋体" w:hAnsi="宋体" w:eastAsia="宋体" w:cs="宋体"/>
          <w:szCs w:val="21"/>
          <w:u w:val="single"/>
        </w:rPr>
        <w:t xml:space="preserve">           </w:t>
      </w:r>
      <w:r>
        <w:rPr>
          <w:rFonts w:hint="eastAsia" w:ascii="宋体" w:hAnsi="宋体" w:eastAsia="宋体" w:cs="宋体"/>
          <w:szCs w:val="21"/>
        </w:rPr>
        <w:t>（投标人注册地点）</w:t>
      </w:r>
      <w:r>
        <w:rPr>
          <w:rFonts w:hint="eastAsia" w:ascii="宋体" w:hAnsi="宋体" w:eastAsia="宋体" w:cs="宋体"/>
          <w:szCs w:val="21"/>
          <w:u w:val="single"/>
        </w:rPr>
        <w:t xml:space="preserve">           </w:t>
      </w:r>
      <w:r>
        <w:rPr>
          <w:rFonts w:hint="eastAsia" w:ascii="宋体" w:hAnsi="宋体" w:eastAsia="宋体" w:cs="宋体"/>
          <w:szCs w:val="21"/>
        </w:rPr>
        <w:t>（投标人名称）于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日之前，在</w:t>
      </w:r>
      <w:r>
        <w:rPr>
          <w:rFonts w:hint="eastAsia" w:ascii="宋体" w:hAnsi="宋体" w:eastAsia="宋体" w:cs="宋体"/>
          <w:szCs w:val="21"/>
          <w:u w:val="single"/>
        </w:rPr>
        <w:t xml:space="preserve">    </w:t>
      </w:r>
      <w:r>
        <w:rPr>
          <w:rFonts w:hint="eastAsia" w:ascii="宋体" w:hAnsi="宋体" w:eastAsia="宋体" w:cs="宋体"/>
          <w:szCs w:val="21"/>
        </w:rPr>
        <w:t>（项目名称）需要时使用。我行保证由</w:t>
      </w:r>
      <w:r>
        <w:rPr>
          <w:rFonts w:hint="eastAsia" w:ascii="宋体" w:hAnsi="宋体" w:eastAsia="宋体" w:cs="宋体"/>
          <w:szCs w:val="21"/>
          <w:u w:val="single"/>
        </w:rPr>
        <w:t xml:space="preserve">             </w:t>
      </w:r>
      <w:r>
        <w:rPr>
          <w:rFonts w:hint="eastAsia" w:ascii="宋体" w:hAnsi="宋体" w:eastAsia="宋体" w:cs="宋体"/>
          <w:szCs w:val="21"/>
        </w:rPr>
        <w:t>（投标人名称）提供的财务报表中所开列的作为流动资产的各项中无一项包含在上述提到的银行信贷中。</w:t>
      </w:r>
    </w:p>
    <w:p w14:paraId="243EFE50">
      <w:pPr>
        <w:spacing w:line="500" w:lineRule="exact"/>
        <w:ind w:firstLine="420" w:firstLineChars="200"/>
        <w:rPr>
          <w:rFonts w:ascii="宋体" w:hAnsi="宋体" w:eastAsia="宋体" w:cs="宋体"/>
          <w:szCs w:val="21"/>
        </w:rPr>
      </w:pPr>
      <w:r>
        <w:rPr>
          <w:rFonts w:hint="eastAsia" w:ascii="宋体" w:hAnsi="宋体" w:eastAsia="宋体" w:cs="宋体"/>
          <w:szCs w:val="21"/>
        </w:rPr>
        <w:t>此项目若未中标，该信贷证明自动失效，无需退回我行。</w:t>
      </w:r>
    </w:p>
    <w:p w14:paraId="2B8ABE62">
      <w:pPr>
        <w:spacing w:line="500" w:lineRule="exact"/>
        <w:rPr>
          <w:rFonts w:ascii="宋体" w:hAnsi="宋体" w:eastAsia="宋体" w:cs="宋体"/>
          <w:szCs w:val="21"/>
        </w:rPr>
      </w:pPr>
    </w:p>
    <w:p w14:paraId="52F055C2">
      <w:pPr>
        <w:spacing w:line="500" w:lineRule="exact"/>
        <w:rPr>
          <w:rFonts w:ascii="宋体" w:hAnsi="宋体" w:eastAsia="宋体" w:cs="宋体"/>
          <w:szCs w:val="21"/>
        </w:rPr>
      </w:pPr>
    </w:p>
    <w:p w14:paraId="457EC4C2">
      <w:pPr>
        <w:spacing w:line="500" w:lineRule="exact"/>
        <w:rPr>
          <w:rFonts w:ascii="宋体" w:hAnsi="宋体" w:eastAsia="宋体" w:cs="宋体"/>
          <w:szCs w:val="21"/>
        </w:rPr>
      </w:pPr>
    </w:p>
    <w:p w14:paraId="3BE8E23F">
      <w:pPr>
        <w:spacing w:line="500" w:lineRule="exact"/>
        <w:ind w:firstLine="3480"/>
        <w:rPr>
          <w:rFonts w:ascii="宋体" w:hAnsi="宋体" w:eastAsia="宋体" w:cs="宋体"/>
          <w:szCs w:val="21"/>
          <w:u w:val="single"/>
        </w:rPr>
      </w:pPr>
      <w:r>
        <w:rPr>
          <w:rFonts w:hint="eastAsia" w:ascii="宋体" w:hAnsi="宋体" w:eastAsia="宋体" w:cs="宋体"/>
          <w:spacing w:val="186"/>
          <w:kern w:val="0"/>
          <w:szCs w:val="21"/>
        </w:rPr>
        <w:t>银行（盖章</w:t>
      </w:r>
      <w:r>
        <w:rPr>
          <w:rFonts w:hint="eastAsia" w:ascii="宋体" w:hAnsi="宋体" w:eastAsia="宋体" w:cs="宋体"/>
          <w:kern w:val="0"/>
          <w:szCs w:val="21"/>
        </w:rPr>
        <w:t>）</w:t>
      </w:r>
      <w:r>
        <w:rPr>
          <w:rFonts w:hint="eastAsia" w:ascii="宋体" w:hAnsi="宋体" w:eastAsia="宋体" w:cs="宋体"/>
          <w:szCs w:val="21"/>
        </w:rPr>
        <w:t>：</w:t>
      </w:r>
      <w:r>
        <w:rPr>
          <w:rFonts w:hint="eastAsia" w:ascii="宋体" w:hAnsi="宋体" w:eastAsia="宋体" w:cs="宋体"/>
          <w:szCs w:val="21"/>
          <w:u w:val="single"/>
        </w:rPr>
        <w:t xml:space="preserve">                  </w:t>
      </w:r>
    </w:p>
    <w:p w14:paraId="74D4F6B6">
      <w:pPr>
        <w:spacing w:line="500" w:lineRule="exact"/>
        <w:ind w:firstLine="3480"/>
        <w:rPr>
          <w:rFonts w:ascii="宋体" w:hAnsi="宋体" w:eastAsia="宋体" w:cs="宋体"/>
          <w:szCs w:val="21"/>
          <w:u w:val="single"/>
        </w:rPr>
      </w:pPr>
      <w:r>
        <w:rPr>
          <w:rFonts w:hint="eastAsia" w:ascii="宋体" w:hAnsi="宋体" w:eastAsia="宋体" w:cs="宋体"/>
          <w:spacing w:val="40"/>
          <w:kern w:val="0"/>
          <w:szCs w:val="21"/>
        </w:rPr>
        <w:t>银行主要负责人（盖章</w:t>
      </w:r>
      <w:r>
        <w:rPr>
          <w:rFonts w:hint="eastAsia" w:ascii="宋体" w:hAnsi="宋体" w:eastAsia="宋体" w:cs="宋体"/>
          <w:spacing w:val="4"/>
          <w:kern w:val="0"/>
          <w:szCs w:val="21"/>
        </w:rPr>
        <w:t>）</w:t>
      </w:r>
      <w:r>
        <w:rPr>
          <w:rFonts w:hint="eastAsia" w:ascii="宋体" w:hAnsi="宋体" w:eastAsia="宋体" w:cs="宋体"/>
          <w:szCs w:val="21"/>
        </w:rPr>
        <w:t>：</w:t>
      </w:r>
      <w:r>
        <w:rPr>
          <w:rFonts w:hint="eastAsia" w:ascii="宋体" w:hAnsi="宋体" w:eastAsia="宋体" w:cs="宋体"/>
          <w:szCs w:val="21"/>
          <w:u w:val="single"/>
        </w:rPr>
        <w:t xml:space="preserve">                  </w:t>
      </w:r>
    </w:p>
    <w:p w14:paraId="23A26E41">
      <w:pPr>
        <w:spacing w:line="500" w:lineRule="exact"/>
        <w:ind w:firstLine="3480"/>
        <w:rPr>
          <w:rFonts w:ascii="宋体" w:hAnsi="宋体" w:eastAsia="宋体" w:cs="宋体"/>
          <w:szCs w:val="21"/>
          <w:u w:val="single"/>
        </w:rPr>
      </w:pPr>
      <w:r>
        <w:rPr>
          <w:rFonts w:hint="eastAsia" w:ascii="宋体" w:hAnsi="宋体" w:eastAsia="宋体" w:cs="宋体"/>
          <w:szCs w:val="21"/>
        </w:rPr>
        <w:t>银行主要负责人的姓名、职务：</w:t>
      </w:r>
      <w:r>
        <w:rPr>
          <w:rFonts w:hint="eastAsia" w:ascii="宋体" w:hAnsi="宋体" w:eastAsia="宋体" w:cs="宋体"/>
          <w:szCs w:val="21"/>
          <w:u w:val="single"/>
        </w:rPr>
        <w:t xml:space="preserve">                </w:t>
      </w:r>
    </w:p>
    <w:p w14:paraId="6518103B">
      <w:pPr>
        <w:spacing w:line="500" w:lineRule="exact"/>
        <w:ind w:firstLine="3480"/>
        <w:rPr>
          <w:rFonts w:ascii="宋体" w:hAnsi="宋体" w:eastAsia="宋体" w:cs="宋体"/>
          <w:szCs w:val="21"/>
          <w:u w:val="single"/>
        </w:rPr>
      </w:pPr>
      <w:r>
        <w:rPr>
          <w:rFonts w:hint="eastAsia" w:ascii="宋体" w:hAnsi="宋体" w:eastAsia="宋体" w:cs="宋体"/>
          <w:spacing w:val="380"/>
          <w:kern w:val="0"/>
          <w:szCs w:val="21"/>
        </w:rPr>
        <w:t>银行电</w:t>
      </w:r>
      <w:r>
        <w:rPr>
          <w:rFonts w:hint="eastAsia" w:ascii="宋体" w:hAnsi="宋体" w:eastAsia="宋体" w:cs="宋体"/>
          <w:kern w:val="0"/>
          <w:szCs w:val="21"/>
        </w:rPr>
        <w:t>话</w:t>
      </w:r>
      <w:r>
        <w:rPr>
          <w:rFonts w:hint="eastAsia" w:ascii="宋体" w:hAnsi="宋体" w:eastAsia="宋体" w:cs="宋体"/>
          <w:szCs w:val="21"/>
        </w:rPr>
        <w:t>：</w:t>
      </w:r>
      <w:r>
        <w:rPr>
          <w:rFonts w:hint="eastAsia" w:ascii="宋体" w:hAnsi="宋体" w:eastAsia="宋体" w:cs="宋体"/>
          <w:szCs w:val="21"/>
          <w:u w:val="single"/>
        </w:rPr>
        <w:t xml:space="preserve">                  </w:t>
      </w:r>
    </w:p>
    <w:p w14:paraId="2DA5404B">
      <w:pPr>
        <w:spacing w:line="500" w:lineRule="exact"/>
        <w:ind w:firstLine="3480"/>
        <w:rPr>
          <w:rFonts w:ascii="宋体" w:hAnsi="宋体" w:eastAsia="宋体" w:cs="宋体"/>
          <w:szCs w:val="21"/>
          <w:u w:val="single"/>
        </w:rPr>
      </w:pPr>
      <w:r>
        <w:rPr>
          <w:rFonts w:hint="eastAsia" w:ascii="宋体" w:hAnsi="宋体" w:eastAsia="宋体" w:cs="宋体"/>
          <w:spacing w:val="380"/>
          <w:kern w:val="0"/>
          <w:szCs w:val="21"/>
        </w:rPr>
        <w:t>银行传</w:t>
      </w:r>
      <w:r>
        <w:rPr>
          <w:rFonts w:hint="eastAsia" w:ascii="宋体" w:hAnsi="宋体" w:eastAsia="宋体" w:cs="宋体"/>
          <w:kern w:val="0"/>
          <w:szCs w:val="21"/>
        </w:rPr>
        <w:t>真</w:t>
      </w:r>
      <w:r>
        <w:rPr>
          <w:rFonts w:hint="eastAsia" w:ascii="宋体" w:hAnsi="宋体" w:eastAsia="宋体" w:cs="宋体"/>
          <w:szCs w:val="21"/>
        </w:rPr>
        <w:t>：</w:t>
      </w:r>
      <w:r>
        <w:rPr>
          <w:rFonts w:hint="eastAsia" w:ascii="宋体" w:hAnsi="宋体" w:eastAsia="宋体" w:cs="宋体"/>
          <w:szCs w:val="21"/>
          <w:u w:val="single"/>
        </w:rPr>
        <w:t xml:space="preserve">                  </w:t>
      </w:r>
    </w:p>
    <w:p w14:paraId="203E26B6">
      <w:pPr>
        <w:spacing w:line="500" w:lineRule="exact"/>
        <w:rPr>
          <w:rFonts w:ascii="宋体" w:hAnsi="宋体" w:eastAsia="宋体" w:cs="宋体"/>
          <w:szCs w:val="21"/>
        </w:rPr>
      </w:pPr>
    </w:p>
    <w:p w14:paraId="4963ED00">
      <w:pPr>
        <w:spacing w:line="360" w:lineRule="exact"/>
        <w:rPr>
          <w:rFonts w:ascii="宋体" w:hAnsi="宋体" w:eastAsia="宋体" w:cs="宋体"/>
          <w:szCs w:val="21"/>
        </w:rPr>
      </w:pPr>
      <w:r>
        <w:rPr>
          <w:rFonts w:hint="eastAsia" w:ascii="宋体" w:hAnsi="宋体" w:eastAsia="宋体" w:cs="宋体"/>
          <w:szCs w:val="21"/>
        </w:rPr>
        <w:t>注：</w:t>
      </w:r>
    </w:p>
    <w:p w14:paraId="39A5F3B3">
      <w:pPr>
        <w:spacing w:line="360" w:lineRule="exact"/>
        <w:ind w:firstLine="420"/>
        <w:rPr>
          <w:rFonts w:ascii="宋体" w:hAnsi="宋体" w:eastAsia="宋体" w:cs="宋体"/>
          <w:szCs w:val="21"/>
        </w:rPr>
      </w:pPr>
      <w:r>
        <w:rPr>
          <w:rFonts w:hint="eastAsia" w:ascii="宋体" w:hAnsi="宋体" w:eastAsia="宋体" w:cs="宋体"/>
          <w:szCs w:val="21"/>
        </w:rPr>
        <w:t>1.允许投标人实际开具的银行信贷证明的格式与本表格式有所不同，但不得更改本信贷证明格式中的实质性内容。</w:t>
      </w:r>
    </w:p>
    <w:p w14:paraId="206F4C77">
      <w:pPr>
        <w:spacing w:line="360" w:lineRule="exact"/>
        <w:ind w:firstLine="420"/>
        <w:rPr>
          <w:rFonts w:ascii="宋体" w:hAnsi="宋体" w:eastAsia="宋体" w:cs="宋体"/>
          <w:szCs w:val="21"/>
        </w:rPr>
      </w:pPr>
      <w:r>
        <w:rPr>
          <w:rFonts w:hint="eastAsia" w:ascii="宋体" w:hAnsi="宋体" w:eastAsia="宋体" w:cs="宋体"/>
          <w:szCs w:val="21"/>
        </w:rPr>
        <w:t>2.银行主要负责人应亲笔签名，不得使用印章、签名章或其他电子制版签名，否则，视为无效。</w:t>
      </w:r>
    </w:p>
    <w:p w14:paraId="4DB27DB5">
      <w:pPr>
        <w:jc w:val="center"/>
        <w:rPr>
          <w:rFonts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财务能力承诺书</w:t>
      </w:r>
    </w:p>
    <w:p w14:paraId="062F6D74">
      <w:pPr>
        <w:spacing w:line="480" w:lineRule="exact"/>
        <w:ind w:right="480"/>
        <w:rPr>
          <w:rFonts w:ascii="宋体" w:hAnsi="宋体" w:eastAsia="宋体" w:cs="宋体"/>
          <w:szCs w:val="21"/>
        </w:rPr>
      </w:pPr>
    </w:p>
    <w:p w14:paraId="6BD49CAC">
      <w:pPr>
        <w:spacing w:line="480" w:lineRule="exact"/>
        <w:ind w:right="48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（发包人全称）     </w:t>
      </w:r>
    </w:p>
    <w:p w14:paraId="77299D9C">
      <w:pPr>
        <w:spacing w:line="480" w:lineRule="exact"/>
        <w:ind w:right="482" w:firstLine="420" w:firstLineChars="200"/>
        <w:rPr>
          <w:rFonts w:ascii="宋体" w:hAnsi="宋体" w:eastAsia="宋体" w:cs="宋体"/>
          <w:szCs w:val="21"/>
        </w:rPr>
      </w:pPr>
      <w:r>
        <w:rPr>
          <w:rFonts w:hint="eastAsia" w:ascii="宋体" w:hAnsi="宋体" w:eastAsia="宋体" w:cs="宋体"/>
          <w:szCs w:val="21"/>
        </w:rPr>
        <w:t>我谨代表</w:t>
      </w:r>
      <w:r>
        <w:rPr>
          <w:rFonts w:hint="eastAsia" w:ascii="宋体" w:hAnsi="宋体" w:eastAsia="宋体" w:cs="宋体"/>
          <w:szCs w:val="21"/>
          <w:u w:val="single"/>
        </w:rPr>
        <w:t xml:space="preserve"> （投标人全称）  </w:t>
      </w:r>
      <w:r>
        <w:rPr>
          <w:rFonts w:hint="eastAsia" w:ascii="宋体" w:hAnsi="宋体" w:eastAsia="宋体" w:cs="宋体"/>
          <w:szCs w:val="21"/>
        </w:rPr>
        <w:t>郑重承诺：若我单位有幸在</w:t>
      </w:r>
      <w:r>
        <w:rPr>
          <w:rFonts w:hint="eastAsia" w:ascii="宋体" w:hAnsi="宋体" w:eastAsia="宋体" w:cs="宋体"/>
          <w:szCs w:val="21"/>
          <w:u w:val="single"/>
        </w:rPr>
        <w:t xml:space="preserve"> （项目名称）  </w:t>
      </w:r>
      <w:r>
        <w:rPr>
          <w:rFonts w:hint="eastAsia" w:ascii="宋体" w:hAnsi="宋体" w:eastAsia="宋体" w:cs="宋体"/>
          <w:szCs w:val="21"/>
        </w:rPr>
        <w:t>工程投标活动中中标，将提供人民币（大写） ______________元（￥________）的流动资金，供本工程在施工需要时使用。</w:t>
      </w:r>
    </w:p>
    <w:p w14:paraId="32F62110">
      <w:pPr>
        <w:spacing w:line="480" w:lineRule="exact"/>
        <w:ind w:right="482" w:firstLine="420" w:firstLineChars="200"/>
        <w:rPr>
          <w:rFonts w:ascii="宋体" w:hAnsi="宋体" w:eastAsia="宋体" w:cs="宋体"/>
          <w:szCs w:val="21"/>
        </w:rPr>
      </w:pPr>
      <w:r>
        <w:rPr>
          <w:rFonts w:hint="eastAsia" w:ascii="宋体" w:hAnsi="宋体" w:eastAsia="宋体" w:cs="宋体"/>
          <w:szCs w:val="21"/>
        </w:rPr>
        <w:t>特此承诺。</w:t>
      </w:r>
    </w:p>
    <w:p w14:paraId="14D9CCAC">
      <w:pPr>
        <w:spacing w:line="480" w:lineRule="exact"/>
        <w:ind w:right="480"/>
        <w:rPr>
          <w:rFonts w:ascii="宋体" w:hAnsi="宋体" w:eastAsia="宋体" w:cs="宋体"/>
          <w:szCs w:val="21"/>
        </w:rPr>
      </w:pPr>
    </w:p>
    <w:p w14:paraId="0E066751">
      <w:pPr>
        <w:wordWrap w:val="0"/>
        <w:spacing w:line="480" w:lineRule="exact"/>
        <w:ind w:right="60"/>
        <w:jc w:val="right"/>
        <w:rPr>
          <w:szCs w:val="21"/>
        </w:rPr>
      </w:pPr>
      <w:r>
        <w:rPr>
          <w:rFonts w:hint="eastAsia"/>
          <w:szCs w:val="21"/>
        </w:rPr>
        <w:t xml:space="preserve">  </w:t>
      </w:r>
      <w:r>
        <w:rPr>
          <w:szCs w:val="21"/>
        </w:rPr>
        <w:t xml:space="preserve">  投标人：</w:t>
      </w:r>
      <w:r>
        <w:rPr>
          <w:szCs w:val="21"/>
          <w:u w:val="single"/>
        </w:rPr>
        <w:t xml:space="preserve">                              </w:t>
      </w:r>
      <w:r>
        <w:rPr>
          <w:szCs w:val="21"/>
        </w:rPr>
        <w:t>（盖章）</w:t>
      </w:r>
    </w:p>
    <w:p w14:paraId="1F5A8337">
      <w:pPr>
        <w:spacing w:line="480" w:lineRule="exact"/>
        <w:ind w:right="60"/>
        <w:jc w:val="right"/>
        <w:rPr>
          <w:szCs w:val="21"/>
        </w:rPr>
      </w:pPr>
      <w:r>
        <w:rPr>
          <w:szCs w:val="21"/>
        </w:rPr>
        <w:t xml:space="preserve"> 法定代表人：</w:t>
      </w:r>
      <w:r>
        <w:rPr>
          <w:szCs w:val="21"/>
          <w:u w:val="single"/>
        </w:rPr>
        <w:t xml:space="preserve">        </w:t>
      </w:r>
      <w:r>
        <w:rPr>
          <w:rFonts w:hint="eastAsia"/>
          <w:szCs w:val="21"/>
          <w:u w:val="single"/>
        </w:rPr>
        <w:t xml:space="preserve">          </w:t>
      </w:r>
      <w:r>
        <w:rPr>
          <w:szCs w:val="21"/>
          <w:u w:val="single"/>
        </w:rPr>
        <w:t xml:space="preserve">    </w:t>
      </w:r>
      <w:r>
        <w:rPr>
          <w:szCs w:val="21"/>
        </w:rPr>
        <w:t>（</w:t>
      </w:r>
      <w:r>
        <w:rPr>
          <w:rFonts w:hint="eastAsia"/>
          <w:szCs w:val="21"/>
        </w:rPr>
        <w:t>签字或</w:t>
      </w:r>
      <w:r>
        <w:rPr>
          <w:szCs w:val="21"/>
        </w:rPr>
        <w:t>盖章）</w:t>
      </w:r>
    </w:p>
    <w:p w14:paraId="2664F025">
      <w:pPr>
        <w:spacing w:line="400" w:lineRule="exact"/>
        <w:ind w:right="480"/>
        <w:jc w:val="right"/>
        <w:rPr>
          <w:rFonts w:ascii="宋体" w:hAnsi="宋体" w:eastAsia="宋体" w:cs="宋体"/>
          <w:szCs w:val="21"/>
        </w:rPr>
      </w:pPr>
      <w:r>
        <w:rPr>
          <w:rFonts w:hint="eastAsia" w:ascii="宋体" w:hAnsi="宋体" w:eastAsia="宋体" w:cs="宋体"/>
          <w:szCs w:val="21"/>
        </w:rPr>
        <w:t>日  期：     年     月    日</w:t>
      </w:r>
    </w:p>
    <w:p w14:paraId="6F06EBE8">
      <w:pPr>
        <w:spacing w:line="400" w:lineRule="exact"/>
        <w:ind w:right="480"/>
        <w:rPr>
          <w:rFonts w:ascii="宋体" w:hAnsi="宋体" w:eastAsia="宋体" w:cs="宋体"/>
          <w:szCs w:val="21"/>
        </w:rPr>
      </w:pPr>
    </w:p>
    <w:p w14:paraId="6619F9F1">
      <w:pPr>
        <w:spacing w:line="400" w:lineRule="exact"/>
        <w:ind w:right="480"/>
        <w:rPr>
          <w:rFonts w:ascii="宋体" w:hAnsi="宋体" w:eastAsia="宋体" w:cs="宋体"/>
          <w:szCs w:val="21"/>
        </w:rPr>
      </w:pPr>
    </w:p>
    <w:p w14:paraId="7C0D17B6">
      <w:pPr>
        <w:spacing w:line="400" w:lineRule="exact"/>
        <w:ind w:right="480"/>
        <w:rPr>
          <w:rFonts w:ascii="宋体" w:hAnsi="宋体" w:eastAsia="宋体" w:cs="宋体"/>
          <w:szCs w:val="21"/>
        </w:rPr>
      </w:pPr>
    </w:p>
    <w:p w14:paraId="6F2FFC7E">
      <w:pPr>
        <w:widowControl/>
        <w:jc w:val="left"/>
        <w:rPr>
          <w:rFonts w:ascii="宋体" w:hAnsi="宋体" w:eastAsia="宋体" w:cs="宋体"/>
          <w:spacing w:val="-6"/>
          <w:szCs w:val="21"/>
        </w:rPr>
      </w:pPr>
      <w:r>
        <w:rPr>
          <w:rFonts w:ascii="宋体" w:hAnsi="宋体" w:eastAsia="宋体" w:cs="宋体"/>
          <w:spacing w:val="-6"/>
          <w:szCs w:val="21"/>
        </w:rPr>
        <w:br w:type="page"/>
      </w:r>
    </w:p>
    <w:p w14:paraId="4143ADED">
      <w:pPr>
        <w:spacing w:line="360" w:lineRule="auto"/>
        <w:jc w:val="left"/>
        <w:rPr>
          <w:rFonts w:ascii="宋体" w:hAnsi="宋体" w:eastAsia="宋体" w:cs="宋体"/>
          <w:spacing w:val="-6"/>
          <w:szCs w:val="21"/>
        </w:rPr>
      </w:pPr>
    </w:p>
    <w:p w14:paraId="7B10E9E0">
      <w:pPr>
        <w:pStyle w:val="2"/>
        <w:spacing w:before="312" w:beforeLines="100" w:after="312" w:afterLines="100" w:line="360" w:lineRule="exact"/>
        <w:jc w:val="center"/>
        <w:rPr>
          <w:rFonts w:ascii="宋体" w:hAnsi="宋体"/>
          <w:b w:val="0"/>
          <w:sz w:val="30"/>
          <w:szCs w:val="30"/>
        </w:rPr>
      </w:pPr>
      <w:bookmarkStart w:id="447" w:name="_Toc173244888"/>
      <w:bookmarkStart w:id="448" w:name="_Toc25707"/>
      <w:r>
        <w:rPr>
          <w:rFonts w:hint="eastAsia" w:ascii="宋体" w:hAnsi="宋体"/>
          <w:b w:val="0"/>
          <w:sz w:val="30"/>
          <w:szCs w:val="30"/>
        </w:rPr>
        <w:t>（五）履约行为表</w:t>
      </w:r>
      <w:bookmarkEnd w:id="447"/>
      <w:bookmarkEnd w:id="448"/>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14:paraId="6ECCF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639" w:type="dxa"/>
            <w:gridSpan w:val="2"/>
            <w:tcBorders>
              <w:top w:val="single" w:color="auto" w:sz="12" w:space="0"/>
              <w:left w:val="single" w:color="auto" w:sz="12" w:space="0"/>
              <w:bottom w:val="single" w:color="auto" w:sz="6" w:space="0"/>
              <w:right w:val="single" w:color="auto" w:sz="12" w:space="0"/>
            </w:tcBorders>
            <w:vAlign w:val="center"/>
          </w:tcPr>
          <w:p w14:paraId="3F71A78A">
            <w:pPr>
              <w:jc w:val="center"/>
              <w:rPr>
                <w:rFonts w:ascii="宋体" w:hAnsi="宋体" w:eastAsia="宋体" w:cs="宋体"/>
                <w:szCs w:val="21"/>
              </w:rPr>
            </w:pPr>
            <w:r>
              <w:rPr>
                <w:rFonts w:hint="eastAsia" w:ascii="宋体" w:hAnsi="宋体" w:eastAsia="宋体" w:cs="宋体"/>
                <w:szCs w:val="21"/>
              </w:rPr>
              <w:t>投 标 人 应 如 实 填 写 下 列 内 容</w:t>
            </w:r>
          </w:p>
        </w:tc>
      </w:tr>
      <w:tr w14:paraId="7BCA3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5" w:hRule="atLeast"/>
          <w:jc w:val="center"/>
        </w:trPr>
        <w:tc>
          <w:tcPr>
            <w:tcW w:w="4819" w:type="dxa"/>
            <w:tcBorders>
              <w:top w:val="single" w:color="auto" w:sz="6" w:space="0"/>
              <w:left w:val="single" w:color="auto" w:sz="12" w:space="0"/>
              <w:bottom w:val="single" w:color="auto" w:sz="12" w:space="0"/>
              <w:right w:val="single" w:color="auto" w:sz="6" w:space="0"/>
            </w:tcBorders>
          </w:tcPr>
          <w:p w14:paraId="6555C821">
            <w:pPr>
              <w:spacing w:line="440" w:lineRule="exact"/>
              <w:ind w:firstLine="420" w:firstLineChars="200"/>
              <w:rPr>
                <w:color w:val="000000"/>
                <w:szCs w:val="21"/>
              </w:rPr>
            </w:pPr>
            <w:r>
              <w:rPr>
                <w:color w:val="000000"/>
                <w:szCs w:val="21"/>
              </w:rPr>
              <w:t>投标人应如实填写下列内容：</w:t>
            </w:r>
          </w:p>
          <w:p w14:paraId="638DDC4A">
            <w:pPr>
              <w:spacing w:line="440" w:lineRule="exact"/>
              <w:ind w:firstLine="420" w:firstLineChars="200"/>
              <w:rPr>
                <w:color w:val="000000"/>
                <w:szCs w:val="21"/>
              </w:rPr>
            </w:pPr>
            <w:r>
              <w:rPr>
                <w:rFonts w:hint="eastAsia"/>
                <w:color w:val="000000"/>
                <w:szCs w:val="21"/>
              </w:rPr>
              <w:t>1、</w:t>
            </w:r>
            <w:r>
              <w:rPr>
                <w:color w:val="000000"/>
                <w:szCs w:val="21"/>
              </w:rPr>
              <w:t>近一年（_</w:t>
            </w:r>
            <w:r>
              <w:rPr>
                <w:rFonts w:hint="eastAsia"/>
                <w:color w:val="000000"/>
                <w:szCs w:val="21"/>
                <w:u w:val="single"/>
              </w:rPr>
              <w:t>20</w:t>
            </w:r>
            <w:r>
              <w:rPr>
                <w:color w:val="000000"/>
                <w:szCs w:val="21"/>
                <w:u w:val="single"/>
              </w:rPr>
              <w:t>2</w:t>
            </w:r>
            <w:r>
              <w:rPr>
                <w:rFonts w:hint="eastAsia"/>
                <w:color w:val="000000"/>
                <w:szCs w:val="21"/>
                <w:u w:val="single"/>
                <w:lang w:val="en-US" w:eastAsia="zh-CN"/>
              </w:rPr>
              <w:t>4</w:t>
            </w:r>
            <w:r>
              <w:rPr>
                <w:color w:val="000000"/>
                <w:szCs w:val="21"/>
              </w:rPr>
              <w:t>_年</w:t>
            </w:r>
            <w:r>
              <w:rPr>
                <w:color w:val="000000"/>
                <w:szCs w:val="21"/>
                <w:u w:val="single"/>
              </w:rPr>
              <w:t>_</w:t>
            </w:r>
            <w:r>
              <w:rPr>
                <w:rFonts w:hint="eastAsia"/>
                <w:color w:val="000000"/>
                <w:szCs w:val="21"/>
                <w:u w:val="single"/>
              </w:rPr>
              <w:t>7</w:t>
            </w:r>
            <w:r>
              <w:rPr>
                <w:color w:val="000000"/>
                <w:szCs w:val="21"/>
                <w:u w:val="single"/>
              </w:rPr>
              <w:t>_</w:t>
            </w:r>
            <w:r>
              <w:rPr>
                <w:color w:val="000000"/>
                <w:szCs w:val="21"/>
              </w:rPr>
              <w:t xml:space="preserve">月 </w:t>
            </w:r>
            <w:r>
              <w:rPr>
                <w:color w:val="000000"/>
                <w:szCs w:val="21"/>
                <w:u w:val="single"/>
              </w:rPr>
              <w:t>_</w:t>
            </w:r>
            <w:r>
              <w:rPr>
                <w:rFonts w:hint="eastAsia"/>
                <w:color w:val="000000"/>
                <w:szCs w:val="21"/>
                <w:u w:val="single"/>
              </w:rPr>
              <w:t>1</w:t>
            </w:r>
            <w:r>
              <w:rPr>
                <w:color w:val="000000"/>
                <w:szCs w:val="21"/>
                <w:u w:val="single"/>
              </w:rPr>
              <w:t>_</w:t>
            </w:r>
            <w:r>
              <w:rPr>
                <w:color w:val="000000"/>
                <w:szCs w:val="21"/>
              </w:rPr>
              <w:t>日以来），</w:t>
            </w:r>
            <w:r>
              <w:rPr>
                <w:rFonts w:hint="eastAsia"/>
                <w:color w:val="000000"/>
                <w:szCs w:val="21"/>
              </w:rPr>
              <w:t>有无被交通运输部、浙江省交通运输厅、浙江省发展和改革委员会三部门以外的省级及以上单位（部门）书面通报，被限制投标，并在处罚期内的。</w:t>
            </w:r>
          </w:p>
          <w:p w14:paraId="1248DAF2">
            <w:pPr>
              <w:spacing w:line="440" w:lineRule="exact"/>
              <w:ind w:firstLine="420" w:firstLineChars="200"/>
              <w:rPr>
                <w:szCs w:val="21"/>
              </w:rPr>
            </w:pPr>
            <w:r>
              <w:rPr>
                <w:rFonts w:hint="eastAsia"/>
                <w:color w:val="000000"/>
                <w:szCs w:val="21"/>
              </w:rPr>
              <w:t>2、</w:t>
            </w:r>
            <w:r>
              <w:rPr>
                <w:rFonts w:hint="eastAsia"/>
                <w:szCs w:val="21"/>
              </w:rPr>
              <w:t>近三年（2022年7月1日以来），投标人或其法定代表人、拟委任的项目经理在工程建设领域中，有无行贿行为构成或未构成犯罪的（以中国裁判文书网（</w:t>
            </w:r>
            <w:r>
              <w:rPr>
                <w:szCs w:val="21"/>
              </w:rPr>
              <w:t>http://wenshu.court.gov.cn/</w:t>
            </w:r>
            <w:r>
              <w:rPr>
                <w:rFonts w:hint="eastAsia"/>
                <w:szCs w:val="21"/>
              </w:rPr>
              <w:t>）网站页面显示内容为准，时间以法院判决书判决时间为准）。</w:t>
            </w:r>
          </w:p>
          <w:p w14:paraId="2D66FB04">
            <w:pPr>
              <w:spacing w:line="440" w:lineRule="exact"/>
              <w:ind w:firstLine="420" w:firstLineChars="200"/>
              <w:rPr>
                <w:szCs w:val="21"/>
              </w:rPr>
            </w:pPr>
            <w:r>
              <w:rPr>
                <w:rFonts w:hint="eastAsia"/>
                <w:szCs w:val="21"/>
              </w:rPr>
              <w:t>3、</w:t>
            </w:r>
            <w:r>
              <w:rPr>
                <w:rFonts w:hint="eastAsia"/>
              </w:rPr>
              <w:t>近三年</w:t>
            </w:r>
            <w:r>
              <w:rPr>
                <w:rFonts w:hint="eastAsia"/>
                <w:szCs w:val="21"/>
              </w:rPr>
              <w:t>（2022年7月1日以来）</w:t>
            </w:r>
            <w:r>
              <w:rPr>
                <w:rFonts w:hint="eastAsia"/>
              </w:rPr>
              <w:t>，投标人有无因公路工程（含附属设施）质量、安全问题等原因被交通运输部、省交通运输厅挂牌督办的。</w:t>
            </w:r>
          </w:p>
          <w:p w14:paraId="3D7494E0">
            <w:pPr>
              <w:spacing w:line="440" w:lineRule="exact"/>
              <w:ind w:firstLine="420" w:firstLineChars="200"/>
              <w:rPr>
                <w:rFonts w:ascii="宋体" w:hAnsi="宋体" w:eastAsia="宋体" w:cs="宋体"/>
                <w:szCs w:val="21"/>
              </w:rPr>
            </w:pPr>
            <w:r>
              <w:rPr>
                <w:szCs w:val="21"/>
              </w:rPr>
              <w:t>4</w:t>
            </w:r>
            <w:r>
              <w:rPr>
                <w:rFonts w:hint="eastAsia"/>
                <w:szCs w:val="21"/>
              </w:rPr>
              <w:t>、</w:t>
            </w:r>
            <w:r>
              <w:rPr>
                <w:rFonts w:hint="eastAsia"/>
                <w:color w:val="000000"/>
              </w:rPr>
              <w:t>有无存在投标人须知第1.4.3、1.4.4情形</w:t>
            </w:r>
            <w:r>
              <w:rPr>
                <w:color w:val="000000"/>
              </w:rPr>
              <w:t>。</w:t>
            </w:r>
          </w:p>
        </w:tc>
        <w:tc>
          <w:tcPr>
            <w:tcW w:w="4820" w:type="dxa"/>
            <w:tcBorders>
              <w:top w:val="single" w:color="auto" w:sz="6" w:space="0"/>
              <w:left w:val="single" w:color="auto" w:sz="6" w:space="0"/>
              <w:bottom w:val="single" w:color="auto" w:sz="12" w:space="0"/>
              <w:right w:val="single" w:color="auto" w:sz="12" w:space="0"/>
            </w:tcBorders>
          </w:tcPr>
          <w:p w14:paraId="686F74ED">
            <w:pPr>
              <w:spacing w:line="440" w:lineRule="exact"/>
              <w:ind w:firstLine="420" w:firstLineChars="200"/>
              <w:jc w:val="center"/>
              <w:rPr>
                <w:rFonts w:ascii="宋体" w:hAnsi="宋体" w:eastAsia="宋体" w:cs="宋体"/>
                <w:szCs w:val="21"/>
              </w:rPr>
            </w:pPr>
          </w:p>
        </w:tc>
      </w:tr>
    </w:tbl>
    <w:p w14:paraId="4A82873C">
      <w:pPr>
        <w:rPr>
          <w:rFonts w:ascii="宋体" w:hAnsi="宋体" w:eastAsia="宋体" w:cs="宋体"/>
        </w:rPr>
      </w:pPr>
    </w:p>
    <w:p w14:paraId="6EBBBF67">
      <w:pPr>
        <w:rPr>
          <w:rFonts w:ascii="宋体" w:hAnsi="宋体" w:eastAsia="宋体" w:cs="宋体"/>
        </w:rPr>
      </w:pPr>
      <w:r>
        <w:rPr>
          <w:rFonts w:hint="eastAsia" w:ascii="宋体" w:hAnsi="宋体" w:eastAsia="宋体" w:cs="宋体"/>
        </w:rPr>
        <w:br w:type="page"/>
      </w:r>
    </w:p>
    <w:p w14:paraId="1D1E777D">
      <w:pPr>
        <w:pStyle w:val="2"/>
        <w:spacing w:before="312" w:beforeLines="100" w:after="468" w:afterLines="150" w:line="360" w:lineRule="exact"/>
        <w:jc w:val="center"/>
        <w:rPr>
          <w:rFonts w:ascii="宋体" w:hAnsi="宋体"/>
          <w:b w:val="0"/>
          <w:sz w:val="30"/>
          <w:szCs w:val="30"/>
        </w:rPr>
      </w:pPr>
      <w:bookmarkStart w:id="449" w:name="_Toc173244889"/>
      <w:bookmarkStart w:id="450" w:name="_Toc30825"/>
      <w:r>
        <w:rPr>
          <w:rFonts w:hint="eastAsia" w:ascii="宋体" w:hAnsi="宋体"/>
          <w:b w:val="0"/>
          <w:sz w:val="30"/>
          <w:szCs w:val="30"/>
        </w:rPr>
        <w:t>六、承  诺  函</w:t>
      </w:r>
      <w:bookmarkEnd w:id="449"/>
      <w:bookmarkEnd w:id="450"/>
    </w:p>
    <w:p w14:paraId="61E0AB2D">
      <w:pPr>
        <w:spacing w:before="240" w:after="240" w:line="500" w:lineRule="exact"/>
        <w:rPr>
          <w:color w:val="000000"/>
          <w:szCs w:val="21"/>
        </w:rPr>
      </w:pPr>
      <w:r>
        <w:rPr>
          <w:color w:val="000000"/>
          <w:szCs w:val="21"/>
          <w:u w:val="single"/>
        </w:rPr>
        <w:t xml:space="preserve">             </w:t>
      </w:r>
      <w:r>
        <w:rPr>
          <w:color w:val="000000"/>
          <w:szCs w:val="21"/>
        </w:rPr>
        <w:t>（招标人名称）：</w:t>
      </w:r>
    </w:p>
    <w:p w14:paraId="2264B0DA">
      <w:pPr>
        <w:spacing w:line="500" w:lineRule="exact"/>
        <w:ind w:firstLine="420" w:firstLineChars="200"/>
        <w:rPr>
          <w:color w:val="000000"/>
          <w:szCs w:val="21"/>
        </w:rPr>
      </w:pPr>
      <w:r>
        <w:rPr>
          <w:color w:val="000000"/>
          <w:szCs w:val="21"/>
        </w:rPr>
        <w:t>我方参加了</w:t>
      </w:r>
      <w:r>
        <w:rPr>
          <w:color w:val="000000"/>
          <w:szCs w:val="21"/>
          <w:u w:val="single"/>
        </w:rPr>
        <w:t xml:space="preserve">         </w:t>
      </w:r>
      <w:r>
        <w:rPr>
          <w:color w:val="000000"/>
          <w:szCs w:val="21"/>
        </w:rPr>
        <w:t>（项目名称）施工投标，若我方中标，我方在此承诺：</w:t>
      </w:r>
    </w:p>
    <w:p w14:paraId="42E95F88">
      <w:pPr>
        <w:spacing w:line="500" w:lineRule="exact"/>
        <w:ind w:firstLine="420" w:firstLineChars="200"/>
        <w:rPr>
          <w:color w:val="000000"/>
          <w:szCs w:val="21"/>
        </w:rPr>
      </w:pPr>
      <w:r>
        <w:rPr>
          <w:color w:val="000000"/>
          <w:szCs w:val="21"/>
        </w:rPr>
        <w:t>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w:t>
      </w:r>
      <w:r>
        <w:rPr>
          <w:rFonts w:hint="eastAsia"/>
          <w:color w:val="000000"/>
          <w:szCs w:val="21"/>
        </w:rPr>
        <w:t>（并按要求提供社保证明）</w:t>
      </w:r>
      <w:r>
        <w:rPr>
          <w:color w:val="000000"/>
          <w:szCs w:val="21"/>
        </w:rPr>
        <w:t>及主要机械设备和试验检测设备，在经招标人审批后作为派驻本标段的项目管理机构主要人员和主要设备且不进行更换。</w:t>
      </w:r>
    </w:p>
    <w:p w14:paraId="1632FB5A">
      <w:pPr>
        <w:spacing w:line="500" w:lineRule="exact"/>
        <w:ind w:firstLine="420" w:firstLineChars="200"/>
        <w:rPr>
          <w:color w:val="000000"/>
          <w:szCs w:val="21"/>
        </w:rPr>
      </w:pPr>
      <w:r>
        <w:rPr>
          <w:color w:val="000000"/>
          <w:szCs w:val="21"/>
        </w:rPr>
        <w:t>我方承诺：在招标人发出中标通知书前接受明显不平衡报价的修正。</w:t>
      </w:r>
    </w:p>
    <w:p w14:paraId="4CFBB1CC">
      <w:pPr>
        <w:spacing w:line="500" w:lineRule="exact"/>
        <w:ind w:firstLine="420" w:firstLineChars="200"/>
        <w:rPr>
          <w:color w:val="000000"/>
          <w:szCs w:val="21"/>
        </w:rPr>
      </w:pPr>
      <w:r>
        <w:rPr>
          <w:color w:val="000000"/>
          <w:szCs w:val="21"/>
        </w:rPr>
        <w:t>如我方违背了上述承诺，本项目招标人有权取消我方的中标资格，并由招标人将我方的违约行为上报省级交通运输主管部门，作为不良记录纳入浙江省交通运输信用综合管理服务系统。</w:t>
      </w:r>
    </w:p>
    <w:p w14:paraId="693D3172">
      <w:pPr>
        <w:spacing w:line="500" w:lineRule="exact"/>
        <w:ind w:firstLine="420" w:firstLineChars="200"/>
        <w:rPr>
          <w:color w:val="000000"/>
          <w:szCs w:val="21"/>
        </w:rPr>
      </w:pPr>
      <w:r>
        <w:rPr>
          <w:color w:val="000000"/>
          <w:szCs w:val="21"/>
        </w:rPr>
        <w:t>我方同时承诺，不通过互联网与任何单位和个人进行与本项目有关图纸资料交换传递，不通过任何途径向本项目无关方泄露和传播本项目有关图纸资料。</w:t>
      </w:r>
    </w:p>
    <w:p w14:paraId="7BBA2C13">
      <w:pPr>
        <w:spacing w:line="500" w:lineRule="exact"/>
        <w:ind w:firstLine="420" w:firstLineChars="200"/>
        <w:rPr>
          <w:color w:val="000000"/>
          <w:szCs w:val="21"/>
        </w:rPr>
      </w:pPr>
      <w:r>
        <w:rPr>
          <w:rFonts w:hint="eastAsia"/>
        </w:rPr>
        <w:t>我方承诺本项目拟任项目经理在投标截止时间无在其他任何在建合同工程上担任项目经理（包括设计施工总承包项目中的施工负责人）的情形。在建合同工程的开始时间为合同工程中标通知书发出日期（不通过招标方式的，开始时间为合同签订日期），结束时间为该合同通过合同验收或合同解除日期。</w:t>
      </w:r>
    </w:p>
    <w:p w14:paraId="3F7A6C1A">
      <w:pPr>
        <w:spacing w:line="500" w:lineRule="exact"/>
        <w:ind w:firstLine="420" w:firstLineChars="200"/>
        <w:rPr>
          <w:color w:val="000000"/>
          <w:szCs w:val="21"/>
        </w:rPr>
      </w:pPr>
      <w:r>
        <w:rPr>
          <w:color w:val="000000"/>
          <w:szCs w:val="21"/>
        </w:rPr>
        <w:t>以上承诺如有虚假，愿意接受投标保证金不予退还的</w:t>
      </w:r>
      <w:r>
        <w:rPr>
          <w:rFonts w:hint="eastAsia"/>
          <w:color w:val="000000"/>
          <w:szCs w:val="21"/>
        </w:rPr>
        <w:t>处理</w:t>
      </w:r>
      <w:r>
        <w:rPr>
          <w:color w:val="000000"/>
          <w:szCs w:val="21"/>
        </w:rPr>
        <w:t>。给招标人造成损失的，愿意依法承担赔偿责任。如已中标，同意招标人取消我方中标资格的处理。</w:t>
      </w:r>
    </w:p>
    <w:p w14:paraId="6E1D551D">
      <w:pPr>
        <w:spacing w:line="500" w:lineRule="exact"/>
        <w:rPr>
          <w:color w:val="000000"/>
          <w:szCs w:val="21"/>
        </w:rPr>
      </w:pPr>
    </w:p>
    <w:p w14:paraId="31B375CD">
      <w:pPr>
        <w:spacing w:line="500" w:lineRule="exact"/>
        <w:rPr>
          <w:color w:val="000000"/>
          <w:szCs w:val="21"/>
        </w:rPr>
      </w:pPr>
      <w:r>
        <w:rPr>
          <w:color w:val="000000"/>
          <w:szCs w:val="21"/>
        </w:rPr>
        <w:t xml:space="preserve">                           </w:t>
      </w:r>
      <w:r>
        <w:rPr>
          <w:color w:val="000000"/>
          <w:kern w:val="0"/>
          <w:szCs w:val="21"/>
        </w:rPr>
        <w:t>投  标  人：</w:t>
      </w:r>
      <w:r>
        <w:rPr>
          <w:color w:val="000000"/>
          <w:szCs w:val="21"/>
          <w:u w:val="single"/>
        </w:rPr>
        <w:t xml:space="preserve">                     </w:t>
      </w:r>
      <w:r>
        <w:rPr>
          <w:color w:val="000000"/>
          <w:szCs w:val="21"/>
        </w:rPr>
        <w:t>（盖章）</w:t>
      </w:r>
    </w:p>
    <w:p w14:paraId="6F6EC3CA">
      <w:pPr>
        <w:spacing w:line="500" w:lineRule="exact"/>
        <w:rPr>
          <w:color w:val="000000"/>
          <w:szCs w:val="21"/>
        </w:rPr>
      </w:pPr>
      <w:r>
        <w:rPr>
          <w:color w:val="000000"/>
          <w:szCs w:val="21"/>
        </w:rPr>
        <w:t xml:space="preserve">                           法定代表人：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r>
        <w:rPr>
          <w:rFonts w:hint="eastAsia"/>
          <w:color w:val="000000"/>
          <w:szCs w:val="21"/>
        </w:rPr>
        <w:t>签字或</w:t>
      </w:r>
      <w:r>
        <w:rPr>
          <w:color w:val="000000"/>
          <w:szCs w:val="21"/>
        </w:rPr>
        <w:t>盖章）</w:t>
      </w:r>
    </w:p>
    <w:p w14:paraId="1373378F">
      <w:pPr>
        <w:spacing w:line="500" w:lineRule="exact"/>
        <w:rPr>
          <w:color w:val="000000"/>
          <w:szCs w:val="21"/>
        </w:rPr>
      </w:pPr>
      <w:r>
        <w:rPr>
          <w:color w:val="000000"/>
          <w:szCs w:val="21"/>
        </w:rPr>
        <w:t xml:space="preserve">                                          </w:t>
      </w:r>
      <w:r>
        <w:rPr>
          <w:rFonts w:hint="eastAsia"/>
          <w:color w:val="000000"/>
          <w:szCs w:val="21"/>
        </w:rPr>
        <w:t>日期</w:t>
      </w:r>
      <w:r>
        <w:rPr>
          <w:color w:val="000000"/>
          <w:szCs w:val="21"/>
        </w:rPr>
        <w:t>：    年    月    日</w:t>
      </w:r>
    </w:p>
    <w:p w14:paraId="144D1247">
      <w:pPr>
        <w:spacing w:line="500" w:lineRule="exact"/>
        <w:jc w:val="center"/>
        <w:rPr>
          <w:rFonts w:eastAsia="黑体"/>
          <w:color w:val="000000"/>
          <w:sz w:val="28"/>
          <w:szCs w:val="28"/>
        </w:rPr>
      </w:pPr>
    </w:p>
    <w:p w14:paraId="3B9A9915">
      <w:pPr>
        <w:spacing w:line="360" w:lineRule="auto"/>
        <w:jc w:val="center"/>
        <w:rPr>
          <w:rFonts w:eastAsia="黑体"/>
          <w:color w:val="000000"/>
          <w:sz w:val="28"/>
          <w:szCs w:val="28"/>
        </w:rPr>
      </w:pPr>
    </w:p>
    <w:p w14:paraId="2BAD2943">
      <w:pPr>
        <w:pStyle w:val="48"/>
      </w:pPr>
    </w:p>
    <w:p w14:paraId="73EF1FB5">
      <w:pPr>
        <w:pStyle w:val="2"/>
        <w:spacing w:before="312" w:beforeLines="100" w:after="468" w:afterLines="150" w:line="360" w:lineRule="exact"/>
        <w:jc w:val="center"/>
        <w:rPr>
          <w:rFonts w:ascii="宋体" w:hAnsi="宋体"/>
          <w:b w:val="0"/>
          <w:sz w:val="30"/>
          <w:szCs w:val="30"/>
        </w:rPr>
      </w:pPr>
      <w:bookmarkStart w:id="451" w:name="_Toc173244890"/>
      <w:bookmarkStart w:id="452" w:name="_Toc24441"/>
      <w:r>
        <w:rPr>
          <w:rFonts w:hint="eastAsia" w:ascii="宋体" w:hAnsi="宋体"/>
          <w:b w:val="0"/>
          <w:sz w:val="30"/>
          <w:szCs w:val="30"/>
        </w:rPr>
        <w:t>七、其 他 材 料</w:t>
      </w:r>
      <w:bookmarkEnd w:id="451"/>
      <w:bookmarkEnd w:id="452"/>
    </w:p>
    <w:p w14:paraId="2DA5BDB1">
      <w:pPr>
        <w:rPr>
          <w:rFonts w:ascii="宋体" w:hAnsi="宋体" w:eastAsia="宋体" w:cs="宋体"/>
        </w:rPr>
      </w:pPr>
      <w:r>
        <w:rPr>
          <w:rFonts w:ascii="宋体" w:hAnsi="宋体" w:eastAsia="宋体" w:cs="宋体"/>
        </w:rPr>
        <w:t>1</w:t>
      </w:r>
      <w:r>
        <w:rPr>
          <w:rFonts w:hint="eastAsia" w:ascii="宋体" w:hAnsi="宋体" w:eastAsia="宋体" w:cs="宋体"/>
        </w:rPr>
        <w:t>、投标人认为有必要提供的其他材料。</w:t>
      </w:r>
    </w:p>
    <w:p w14:paraId="26639ACD">
      <w:pPr>
        <w:rPr>
          <w:rFonts w:ascii="宋体" w:hAnsi="宋体" w:eastAsia="宋体" w:cs="宋体"/>
        </w:rPr>
      </w:pPr>
    </w:p>
    <w:p w14:paraId="3F45029B">
      <w:pPr>
        <w:rPr>
          <w:rFonts w:ascii="宋体" w:hAnsi="宋体" w:eastAsia="宋体" w:cs="宋体"/>
        </w:rPr>
      </w:pPr>
    </w:p>
    <w:p w14:paraId="7B38BC28">
      <w:pPr>
        <w:rPr>
          <w:rFonts w:ascii="宋体" w:hAnsi="宋体" w:eastAsia="宋体" w:cs="宋体"/>
        </w:rPr>
      </w:pPr>
    </w:p>
    <w:sectPr>
      <w:footerReference r:id="rId4"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990192"/>
    </w:sdtPr>
    <w:sdtContent>
      <w:p w14:paraId="619A3DED">
        <w:pPr>
          <w:pStyle w:val="34"/>
          <w:jc w:val="center"/>
        </w:pPr>
        <w:r>
          <w:fldChar w:fldCharType="begin"/>
        </w:r>
        <w:r>
          <w:instrText xml:space="preserve">PAGE   \* MERGEFORMAT</w:instrText>
        </w:r>
        <w:r>
          <w:fldChar w:fldCharType="separate"/>
        </w:r>
        <w:r>
          <w:rPr>
            <w:lang w:val="zh-CN"/>
          </w:rPr>
          <w:t>124</w:t>
        </w:r>
        <w:r>
          <w:fldChar w:fldCharType="end"/>
        </w:r>
      </w:p>
    </w:sdtContent>
  </w:sdt>
  <w:p w14:paraId="1B7E14D4">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243633"/>
    </w:sdtPr>
    <w:sdtContent>
      <w:p w14:paraId="5E96837D">
        <w:pPr>
          <w:pStyle w:val="34"/>
          <w:jc w:val="center"/>
        </w:pPr>
        <w:r>
          <w:fldChar w:fldCharType="begin"/>
        </w:r>
        <w:r>
          <w:instrText xml:space="preserve">PAGE   \* MERGEFORMAT</w:instrText>
        </w:r>
        <w:r>
          <w:fldChar w:fldCharType="separate"/>
        </w:r>
        <w:r>
          <w:rPr>
            <w:lang w:val="zh-CN"/>
          </w:rPr>
          <w:t>138</w:t>
        </w:r>
        <w:r>
          <w:fldChar w:fldCharType="end"/>
        </w:r>
      </w:p>
    </w:sdtContent>
  </w:sdt>
  <w:p w14:paraId="02FA3ADA">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C86F3"/>
    <w:multiLevelType w:val="multilevel"/>
    <w:tmpl w:val="84AC86F3"/>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1">
    <w:nsid w:val="852A9555"/>
    <w:multiLevelType w:val="multilevel"/>
    <w:tmpl w:val="852A9555"/>
    <w:lvl w:ilvl="0" w:tentative="0">
      <w:start w:val="18"/>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righ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728" w:hanging="840"/>
      </w:pPr>
      <w:rPr>
        <w:rFonts w:hint="default"/>
        <w:lang w:val="en-US" w:eastAsia="zh-CN" w:bidi="ar-SA"/>
      </w:rPr>
    </w:lvl>
    <w:lvl w:ilvl="4" w:tentative="0">
      <w:start w:val="0"/>
      <w:numFmt w:val="bullet"/>
      <w:lvlText w:val="•"/>
      <w:lvlJc w:val="left"/>
      <w:pPr>
        <w:ind w:left="3776" w:hanging="840"/>
      </w:pPr>
      <w:rPr>
        <w:rFonts w:hint="default"/>
        <w:lang w:val="en-US" w:eastAsia="zh-CN" w:bidi="ar-SA"/>
      </w:rPr>
    </w:lvl>
    <w:lvl w:ilvl="5" w:tentative="0">
      <w:start w:val="0"/>
      <w:numFmt w:val="bullet"/>
      <w:lvlText w:val="•"/>
      <w:lvlJc w:val="left"/>
      <w:pPr>
        <w:ind w:left="4824" w:hanging="840"/>
      </w:pPr>
      <w:rPr>
        <w:rFonts w:hint="default"/>
        <w:lang w:val="en-US" w:eastAsia="zh-CN" w:bidi="ar-SA"/>
      </w:rPr>
    </w:lvl>
    <w:lvl w:ilvl="6" w:tentative="0">
      <w:start w:val="0"/>
      <w:numFmt w:val="bullet"/>
      <w:lvlText w:val="•"/>
      <w:lvlJc w:val="left"/>
      <w:pPr>
        <w:ind w:left="5872" w:hanging="840"/>
      </w:pPr>
      <w:rPr>
        <w:rFonts w:hint="default"/>
        <w:lang w:val="en-US" w:eastAsia="zh-CN" w:bidi="ar-SA"/>
      </w:rPr>
    </w:lvl>
    <w:lvl w:ilvl="7" w:tentative="0">
      <w:start w:val="0"/>
      <w:numFmt w:val="bullet"/>
      <w:lvlText w:val="•"/>
      <w:lvlJc w:val="left"/>
      <w:pPr>
        <w:ind w:left="6920" w:hanging="840"/>
      </w:pPr>
      <w:rPr>
        <w:rFonts w:hint="default"/>
        <w:lang w:val="en-US" w:eastAsia="zh-CN" w:bidi="ar-SA"/>
      </w:rPr>
    </w:lvl>
    <w:lvl w:ilvl="8" w:tentative="0">
      <w:start w:val="0"/>
      <w:numFmt w:val="bullet"/>
      <w:lvlText w:val="•"/>
      <w:lvlJc w:val="left"/>
      <w:pPr>
        <w:ind w:left="7968" w:hanging="840"/>
      </w:pPr>
      <w:rPr>
        <w:rFonts w:hint="default"/>
        <w:lang w:val="en-US" w:eastAsia="zh-CN" w:bidi="ar-SA"/>
      </w:rPr>
    </w:lvl>
  </w:abstractNum>
  <w:abstractNum w:abstractNumId="2">
    <w:nsid w:val="8770FBB0"/>
    <w:multiLevelType w:val="multilevel"/>
    <w:tmpl w:val="8770FBB0"/>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3">
    <w:nsid w:val="8A6F6A98"/>
    <w:multiLevelType w:val="multilevel"/>
    <w:tmpl w:val="8A6F6A98"/>
    <w:lvl w:ilvl="0" w:tentative="0">
      <w:start w:val="1"/>
      <w:numFmt w:val="decimal"/>
      <w:lvlText w:val="(%1)"/>
      <w:lvlJc w:val="left"/>
      <w:pPr>
        <w:ind w:left="426" w:hanging="312"/>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lowerLetter"/>
      <w:lvlText w:val="%2."/>
      <w:lvlJc w:val="left"/>
      <w:pPr>
        <w:ind w:left="1045" w:hanging="209"/>
        <w:jc w:val="left"/>
      </w:pPr>
      <w:rPr>
        <w:rFonts w:hint="default" w:ascii="宋体" w:hAnsi="宋体" w:eastAsia="宋体" w:cs="宋体"/>
        <w:b w:val="0"/>
        <w:bCs w:val="0"/>
        <w:i w:val="0"/>
        <w:iCs w:val="0"/>
        <w:spacing w:val="-2"/>
        <w:w w:val="98"/>
        <w:sz w:val="19"/>
        <w:szCs w:val="19"/>
        <w:lang w:val="en-US" w:eastAsia="zh-CN" w:bidi="ar-SA"/>
      </w:rPr>
    </w:lvl>
    <w:lvl w:ilvl="2" w:tentative="0">
      <w:start w:val="0"/>
      <w:numFmt w:val="bullet"/>
      <w:lvlText w:val="•"/>
      <w:lvlJc w:val="left"/>
      <w:pPr>
        <w:ind w:left="2042" w:hanging="209"/>
      </w:pPr>
      <w:rPr>
        <w:rFonts w:hint="default"/>
        <w:lang w:val="en-US" w:eastAsia="zh-CN" w:bidi="ar-SA"/>
      </w:rPr>
    </w:lvl>
    <w:lvl w:ilvl="3" w:tentative="0">
      <w:start w:val="0"/>
      <w:numFmt w:val="bullet"/>
      <w:lvlText w:val="•"/>
      <w:lvlJc w:val="left"/>
      <w:pPr>
        <w:ind w:left="3045" w:hanging="209"/>
      </w:pPr>
      <w:rPr>
        <w:rFonts w:hint="default"/>
        <w:lang w:val="en-US" w:eastAsia="zh-CN" w:bidi="ar-SA"/>
      </w:rPr>
    </w:lvl>
    <w:lvl w:ilvl="4" w:tentative="0">
      <w:start w:val="0"/>
      <w:numFmt w:val="bullet"/>
      <w:lvlText w:val="•"/>
      <w:lvlJc w:val="left"/>
      <w:pPr>
        <w:ind w:left="4048" w:hanging="209"/>
      </w:pPr>
      <w:rPr>
        <w:rFonts w:hint="default"/>
        <w:lang w:val="en-US" w:eastAsia="zh-CN" w:bidi="ar-SA"/>
      </w:rPr>
    </w:lvl>
    <w:lvl w:ilvl="5" w:tentative="0">
      <w:start w:val="0"/>
      <w:numFmt w:val="bullet"/>
      <w:lvlText w:val="•"/>
      <w:lvlJc w:val="left"/>
      <w:pPr>
        <w:ind w:left="5051" w:hanging="209"/>
      </w:pPr>
      <w:rPr>
        <w:rFonts w:hint="default"/>
        <w:lang w:val="en-US" w:eastAsia="zh-CN" w:bidi="ar-SA"/>
      </w:rPr>
    </w:lvl>
    <w:lvl w:ilvl="6" w:tentative="0">
      <w:start w:val="0"/>
      <w:numFmt w:val="bullet"/>
      <w:lvlText w:val="•"/>
      <w:lvlJc w:val="left"/>
      <w:pPr>
        <w:ind w:left="6053" w:hanging="209"/>
      </w:pPr>
      <w:rPr>
        <w:rFonts w:hint="default"/>
        <w:lang w:val="en-US" w:eastAsia="zh-CN" w:bidi="ar-SA"/>
      </w:rPr>
    </w:lvl>
    <w:lvl w:ilvl="7" w:tentative="0">
      <w:start w:val="0"/>
      <w:numFmt w:val="bullet"/>
      <w:lvlText w:val="•"/>
      <w:lvlJc w:val="left"/>
      <w:pPr>
        <w:ind w:left="7056" w:hanging="209"/>
      </w:pPr>
      <w:rPr>
        <w:rFonts w:hint="default"/>
        <w:lang w:val="en-US" w:eastAsia="zh-CN" w:bidi="ar-SA"/>
      </w:rPr>
    </w:lvl>
    <w:lvl w:ilvl="8" w:tentative="0">
      <w:start w:val="0"/>
      <w:numFmt w:val="bullet"/>
      <w:lvlText w:val="•"/>
      <w:lvlJc w:val="left"/>
      <w:pPr>
        <w:ind w:left="8059" w:hanging="209"/>
      </w:pPr>
      <w:rPr>
        <w:rFonts w:hint="default"/>
        <w:lang w:val="en-US" w:eastAsia="zh-CN" w:bidi="ar-SA"/>
      </w:rPr>
    </w:lvl>
  </w:abstractNum>
  <w:abstractNum w:abstractNumId="4">
    <w:nsid w:val="941EE6AB"/>
    <w:multiLevelType w:val="multilevel"/>
    <w:tmpl w:val="941EE6AB"/>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5">
    <w:nsid w:val="9729A306"/>
    <w:multiLevelType w:val="multilevel"/>
    <w:tmpl w:val="9729A306"/>
    <w:lvl w:ilvl="0" w:tentative="0">
      <w:start w:val="18"/>
      <w:numFmt w:val="decimal"/>
      <w:lvlText w:val="%1"/>
      <w:lvlJc w:val="left"/>
      <w:pPr>
        <w:ind w:left="426" w:hanging="891"/>
        <w:jc w:val="left"/>
      </w:pPr>
      <w:rPr>
        <w:rFonts w:hint="default"/>
        <w:lang w:val="en-US" w:eastAsia="zh-CN" w:bidi="ar-SA"/>
      </w:rPr>
    </w:lvl>
    <w:lvl w:ilvl="1" w:tentative="0">
      <w:start w:val="1"/>
      <w:numFmt w:val="decimal"/>
      <w:lvlText w:val="%1.%2"/>
      <w:lvlJc w:val="left"/>
      <w:pPr>
        <w:ind w:left="426" w:hanging="891"/>
        <w:jc w:val="left"/>
      </w:pPr>
      <w:rPr>
        <w:rFonts w:hint="default"/>
        <w:lang w:val="en-US" w:eastAsia="zh-CN" w:bidi="ar-SA"/>
      </w:rPr>
    </w:lvl>
    <w:lvl w:ilvl="2" w:tentative="0">
      <w:start w:val="4"/>
      <w:numFmt w:val="decimal"/>
      <w:lvlText w:val="%1.%2.%3"/>
      <w:lvlJc w:val="left"/>
      <w:pPr>
        <w:ind w:left="426" w:hanging="891"/>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313" w:hanging="891"/>
      </w:pPr>
      <w:rPr>
        <w:rFonts w:hint="default"/>
        <w:lang w:val="en-US" w:eastAsia="zh-CN" w:bidi="ar-SA"/>
      </w:rPr>
    </w:lvl>
    <w:lvl w:ilvl="4" w:tentative="0">
      <w:start w:val="0"/>
      <w:numFmt w:val="bullet"/>
      <w:lvlText w:val="•"/>
      <w:lvlJc w:val="left"/>
      <w:pPr>
        <w:ind w:left="4278" w:hanging="891"/>
      </w:pPr>
      <w:rPr>
        <w:rFonts w:hint="default"/>
        <w:lang w:val="en-US" w:eastAsia="zh-CN" w:bidi="ar-SA"/>
      </w:rPr>
    </w:lvl>
    <w:lvl w:ilvl="5" w:tentative="0">
      <w:start w:val="0"/>
      <w:numFmt w:val="bullet"/>
      <w:lvlText w:val="•"/>
      <w:lvlJc w:val="left"/>
      <w:pPr>
        <w:ind w:left="5242" w:hanging="891"/>
      </w:pPr>
      <w:rPr>
        <w:rFonts w:hint="default"/>
        <w:lang w:val="en-US" w:eastAsia="zh-CN" w:bidi="ar-SA"/>
      </w:rPr>
    </w:lvl>
    <w:lvl w:ilvl="6" w:tentative="0">
      <w:start w:val="0"/>
      <w:numFmt w:val="bullet"/>
      <w:lvlText w:val="•"/>
      <w:lvlJc w:val="left"/>
      <w:pPr>
        <w:ind w:left="6207" w:hanging="891"/>
      </w:pPr>
      <w:rPr>
        <w:rFonts w:hint="default"/>
        <w:lang w:val="en-US" w:eastAsia="zh-CN" w:bidi="ar-SA"/>
      </w:rPr>
    </w:lvl>
    <w:lvl w:ilvl="7" w:tentative="0">
      <w:start w:val="0"/>
      <w:numFmt w:val="bullet"/>
      <w:lvlText w:val="•"/>
      <w:lvlJc w:val="left"/>
      <w:pPr>
        <w:ind w:left="7171" w:hanging="891"/>
      </w:pPr>
      <w:rPr>
        <w:rFonts w:hint="default"/>
        <w:lang w:val="en-US" w:eastAsia="zh-CN" w:bidi="ar-SA"/>
      </w:rPr>
    </w:lvl>
    <w:lvl w:ilvl="8" w:tentative="0">
      <w:start w:val="0"/>
      <w:numFmt w:val="bullet"/>
      <w:lvlText w:val="•"/>
      <w:lvlJc w:val="left"/>
      <w:pPr>
        <w:ind w:left="8136" w:hanging="891"/>
      </w:pPr>
      <w:rPr>
        <w:rFonts w:hint="default"/>
        <w:lang w:val="en-US" w:eastAsia="zh-CN" w:bidi="ar-SA"/>
      </w:rPr>
    </w:lvl>
  </w:abstractNum>
  <w:abstractNum w:abstractNumId="6">
    <w:nsid w:val="99AA0F08"/>
    <w:multiLevelType w:val="multilevel"/>
    <w:tmpl w:val="99AA0F08"/>
    <w:lvl w:ilvl="0" w:tentative="0">
      <w:start w:val="20"/>
      <w:numFmt w:val="decimal"/>
      <w:lvlText w:val="%1"/>
      <w:lvlJc w:val="left"/>
      <w:pPr>
        <w:ind w:left="1096" w:hanging="670"/>
        <w:jc w:val="left"/>
      </w:pPr>
      <w:rPr>
        <w:rFonts w:hint="default"/>
        <w:lang w:val="en-US" w:eastAsia="zh-CN" w:bidi="ar-SA"/>
      </w:rPr>
    </w:lvl>
    <w:lvl w:ilvl="1" w:tentative="0">
      <w:start w:val="4"/>
      <w:numFmt w:val="decimal"/>
      <w:lvlText w:val="%1.%2"/>
      <w:lvlJc w:val="left"/>
      <w:pPr>
        <w:ind w:left="1096" w:hanging="670"/>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865" w:hanging="891"/>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092" w:hanging="891"/>
      </w:pPr>
      <w:rPr>
        <w:rFonts w:hint="default"/>
        <w:lang w:val="en-US" w:eastAsia="zh-CN" w:bidi="ar-SA"/>
      </w:rPr>
    </w:lvl>
    <w:lvl w:ilvl="4" w:tentative="0">
      <w:start w:val="0"/>
      <w:numFmt w:val="bullet"/>
      <w:lvlText w:val="•"/>
      <w:lvlJc w:val="left"/>
      <w:pPr>
        <w:ind w:left="4088" w:hanging="891"/>
      </w:pPr>
      <w:rPr>
        <w:rFonts w:hint="default"/>
        <w:lang w:val="en-US" w:eastAsia="zh-CN" w:bidi="ar-SA"/>
      </w:rPr>
    </w:lvl>
    <w:lvl w:ilvl="5" w:tentative="0">
      <w:start w:val="0"/>
      <w:numFmt w:val="bullet"/>
      <w:lvlText w:val="•"/>
      <w:lvlJc w:val="left"/>
      <w:pPr>
        <w:ind w:left="5084" w:hanging="891"/>
      </w:pPr>
      <w:rPr>
        <w:rFonts w:hint="default"/>
        <w:lang w:val="en-US" w:eastAsia="zh-CN" w:bidi="ar-SA"/>
      </w:rPr>
    </w:lvl>
    <w:lvl w:ilvl="6" w:tentative="0">
      <w:start w:val="0"/>
      <w:numFmt w:val="bullet"/>
      <w:lvlText w:val="•"/>
      <w:lvlJc w:val="left"/>
      <w:pPr>
        <w:ind w:left="6080" w:hanging="891"/>
      </w:pPr>
      <w:rPr>
        <w:rFonts w:hint="default"/>
        <w:lang w:val="en-US" w:eastAsia="zh-CN" w:bidi="ar-SA"/>
      </w:rPr>
    </w:lvl>
    <w:lvl w:ilvl="7" w:tentative="0">
      <w:start w:val="0"/>
      <w:numFmt w:val="bullet"/>
      <w:lvlText w:val="•"/>
      <w:lvlJc w:val="left"/>
      <w:pPr>
        <w:ind w:left="7076" w:hanging="891"/>
      </w:pPr>
      <w:rPr>
        <w:rFonts w:hint="default"/>
        <w:lang w:val="en-US" w:eastAsia="zh-CN" w:bidi="ar-SA"/>
      </w:rPr>
    </w:lvl>
    <w:lvl w:ilvl="8" w:tentative="0">
      <w:start w:val="0"/>
      <w:numFmt w:val="bullet"/>
      <w:lvlText w:val="•"/>
      <w:lvlJc w:val="left"/>
      <w:pPr>
        <w:ind w:left="8072" w:hanging="891"/>
      </w:pPr>
      <w:rPr>
        <w:rFonts w:hint="default"/>
        <w:lang w:val="en-US" w:eastAsia="zh-CN" w:bidi="ar-SA"/>
      </w:rPr>
    </w:lvl>
  </w:abstractNum>
  <w:abstractNum w:abstractNumId="7">
    <w:nsid w:val="99DE5280"/>
    <w:multiLevelType w:val="multilevel"/>
    <w:tmpl w:val="99DE5280"/>
    <w:lvl w:ilvl="0" w:tentative="0">
      <w:start w:val="4"/>
      <w:numFmt w:val="decimal"/>
      <w:lvlText w:val="%1."/>
      <w:lvlJc w:val="left"/>
      <w:pPr>
        <w:ind w:left="742" w:hanging="316"/>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decimal"/>
      <w:lvlText w:val="%1.%2"/>
      <w:lvlJc w:val="left"/>
      <w:pPr>
        <w:ind w:left="952" w:hanging="526"/>
        <w:jc w:val="righ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580" w:hanging="735"/>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1040" w:hanging="735"/>
      </w:pPr>
      <w:rPr>
        <w:rFonts w:hint="default"/>
        <w:lang w:val="en-US" w:eastAsia="zh-CN" w:bidi="ar-SA"/>
      </w:rPr>
    </w:lvl>
    <w:lvl w:ilvl="4" w:tentative="0">
      <w:start w:val="0"/>
      <w:numFmt w:val="bullet"/>
      <w:lvlText w:val="•"/>
      <w:lvlJc w:val="left"/>
      <w:pPr>
        <w:ind w:left="1580" w:hanging="735"/>
      </w:pPr>
      <w:rPr>
        <w:rFonts w:hint="default"/>
        <w:lang w:val="en-US" w:eastAsia="zh-CN" w:bidi="ar-SA"/>
      </w:rPr>
    </w:lvl>
    <w:lvl w:ilvl="5" w:tentative="0">
      <w:start w:val="0"/>
      <w:numFmt w:val="bullet"/>
      <w:lvlText w:val="•"/>
      <w:lvlJc w:val="left"/>
      <w:pPr>
        <w:ind w:left="2994" w:hanging="735"/>
      </w:pPr>
      <w:rPr>
        <w:rFonts w:hint="default"/>
        <w:lang w:val="en-US" w:eastAsia="zh-CN" w:bidi="ar-SA"/>
      </w:rPr>
    </w:lvl>
    <w:lvl w:ilvl="6" w:tentative="0">
      <w:start w:val="0"/>
      <w:numFmt w:val="bullet"/>
      <w:lvlText w:val="•"/>
      <w:lvlJc w:val="left"/>
      <w:pPr>
        <w:ind w:left="4408" w:hanging="735"/>
      </w:pPr>
      <w:rPr>
        <w:rFonts w:hint="default"/>
        <w:lang w:val="en-US" w:eastAsia="zh-CN" w:bidi="ar-SA"/>
      </w:rPr>
    </w:lvl>
    <w:lvl w:ilvl="7" w:tentative="0">
      <w:start w:val="0"/>
      <w:numFmt w:val="bullet"/>
      <w:lvlText w:val="•"/>
      <w:lvlJc w:val="left"/>
      <w:pPr>
        <w:ind w:left="5822" w:hanging="735"/>
      </w:pPr>
      <w:rPr>
        <w:rFonts w:hint="default"/>
        <w:lang w:val="en-US" w:eastAsia="zh-CN" w:bidi="ar-SA"/>
      </w:rPr>
    </w:lvl>
    <w:lvl w:ilvl="8" w:tentative="0">
      <w:start w:val="0"/>
      <w:numFmt w:val="bullet"/>
      <w:lvlText w:val="•"/>
      <w:lvlJc w:val="left"/>
      <w:pPr>
        <w:ind w:left="7236" w:hanging="735"/>
      </w:pPr>
      <w:rPr>
        <w:rFonts w:hint="default"/>
        <w:lang w:val="en-US" w:eastAsia="zh-CN" w:bidi="ar-SA"/>
      </w:rPr>
    </w:lvl>
  </w:abstractNum>
  <w:abstractNum w:abstractNumId="8">
    <w:nsid w:val="9CD28B53"/>
    <w:multiLevelType w:val="multilevel"/>
    <w:tmpl w:val="9CD28B53"/>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9">
    <w:nsid w:val="A3B2F6E7"/>
    <w:multiLevelType w:val="multilevel"/>
    <w:tmpl w:val="A3B2F6E7"/>
    <w:lvl w:ilvl="0" w:tentative="0">
      <w:start w:val="14"/>
      <w:numFmt w:val="decimal"/>
      <w:lvlText w:val="（%1）"/>
      <w:lvlJc w:val="left"/>
      <w:pPr>
        <w:ind w:left="1417" w:hanging="663"/>
        <w:jc w:val="left"/>
      </w:pPr>
      <w:rPr>
        <w:rFonts w:hint="default" w:ascii="宋体" w:hAnsi="宋体" w:eastAsia="宋体" w:cs="宋体"/>
        <w:b w:val="0"/>
        <w:bCs w:val="0"/>
        <w:i w:val="0"/>
        <w:iCs w:val="0"/>
        <w:spacing w:val="5"/>
        <w:w w:val="99"/>
        <w:sz w:val="19"/>
        <w:szCs w:val="19"/>
        <w:lang w:val="en-US" w:eastAsia="zh-CN" w:bidi="ar-SA"/>
      </w:rPr>
    </w:lvl>
    <w:lvl w:ilvl="1" w:tentative="0">
      <w:start w:val="0"/>
      <w:numFmt w:val="bullet"/>
      <w:lvlText w:val="•"/>
      <w:lvlJc w:val="left"/>
      <w:pPr>
        <w:ind w:left="2284" w:hanging="663"/>
      </w:pPr>
      <w:rPr>
        <w:rFonts w:hint="default"/>
        <w:lang w:val="en-US" w:eastAsia="zh-CN" w:bidi="ar-SA"/>
      </w:rPr>
    </w:lvl>
    <w:lvl w:ilvl="2" w:tentative="0">
      <w:start w:val="0"/>
      <w:numFmt w:val="bullet"/>
      <w:lvlText w:val="•"/>
      <w:lvlJc w:val="left"/>
      <w:pPr>
        <w:ind w:left="3149" w:hanging="663"/>
      </w:pPr>
      <w:rPr>
        <w:rFonts w:hint="default"/>
        <w:lang w:val="en-US" w:eastAsia="zh-CN" w:bidi="ar-SA"/>
      </w:rPr>
    </w:lvl>
    <w:lvl w:ilvl="3" w:tentative="0">
      <w:start w:val="0"/>
      <w:numFmt w:val="bullet"/>
      <w:lvlText w:val="•"/>
      <w:lvlJc w:val="left"/>
      <w:pPr>
        <w:ind w:left="4013" w:hanging="663"/>
      </w:pPr>
      <w:rPr>
        <w:rFonts w:hint="default"/>
        <w:lang w:val="en-US" w:eastAsia="zh-CN" w:bidi="ar-SA"/>
      </w:rPr>
    </w:lvl>
    <w:lvl w:ilvl="4" w:tentative="0">
      <w:start w:val="0"/>
      <w:numFmt w:val="bullet"/>
      <w:lvlText w:val="•"/>
      <w:lvlJc w:val="left"/>
      <w:pPr>
        <w:ind w:left="4878" w:hanging="663"/>
      </w:pPr>
      <w:rPr>
        <w:rFonts w:hint="default"/>
        <w:lang w:val="en-US" w:eastAsia="zh-CN" w:bidi="ar-SA"/>
      </w:rPr>
    </w:lvl>
    <w:lvl w:ilvl="5" w:tentative="0">
      <w:start w:val="0"/>
      <w:numFmt w:val="bullet"/>
      <w:lvlText w:val="•"/>
      <w:lvlJc w:val="left"/>
      <w:pPr>
        <w:ind w:left="5742" w:hanging="663"/>
      </w:pPr>
      <w:rPr>
        <w:rFonts w:hint="default"/>
        <w:lang w:val="en-US" w:eastAsia="zh-CN" w:bidi="ar-SA"/>
      </w:rPr>
    </w:lvl>
    <w:lvl w:ilvl="6" w:tentative="0">
      <w:start w:val="0"/>
      <w:numFmt w:val="bullet"/>
      <w:lvlText w:val="•"/>
      <w:lvlJc w:val="left"/>
      <w:pPr>
        <w:ind w:left="6607" w:hanging="663"/>
      </w:pPr>
      <w:rPr>
        <w:rFonts w:hint="default"/>
        <w:lang w:val="en-US" w:eastAsia="zh-CN" w:bidi="ar-SA"/>
      </w:rPr>
    </w:lvl>
    <w:lvl w:ilvl="7" w:tentative="0">
      <w:start w:val="0"/>
      <w:numFmt w:val="bullet"/>
      <w:lvlText w:val="•"/>
      <w:lvlJc w:val="left"/>
      <w:pPr>
        <w:ind w:left="7471" w:hanging="663"/>
      </w:pPr>
      <w:rPr>
        <w:rFonts w:hint="default"/>
        <w:lang w:val="en-US" w:eastAsia="zh-CN" w:bidi="ar-SA"/>
      </w:rPr>
    </w:lvl>
    <w:lvl w:ilvl="8" w:tentative="0">
      <w:start w:val="0"/>
      <w:numFmt w:val="bullet"/>
      <w:lvlText w:val="•"/>
      <w:lvlJc w:val="left"/>
      <w:pPr>
        <w:ind w:left="8336" w:hanging="663"/>
      </w:pPr>
      <w:rPr>
        <w:rFonts w:hint="default"/>
        <w:lang w:val="en-US" w:eastAsia="zh-CN" w:bidi="ar-SA"/>
      </w:rPr>
    </w:lvl>
  </w:abstractNum>
  <w:abstractNum w:abstractNumId="10">
    <w:nsid w:val="A951F556"/>
    <w:multiLevelType w:val="multilevel"/>
    <w:tmpl w:val="A951F556"/>
    <w:lvl w:ilvl="0" w:tentative="0">
      <w:start w:val="13"/>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843"/>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728" w:hanging="843"/>
      </w:pPr>
      <w:rPr>
        <w:rFonts w:hint="default"/>
        <w:lang w:val="en-US" w:eastAsia="zh-CN" w:bidi="ar-SA"/>
      </w:rPr>
    </w:lvl>
    <w:lvl w:ilvl="4" w:tentative="0">
      <w:start w:val="0"/>
      <w:numFmt w:val="bullet"/>
      <w:lvlText w:val="•"/>
      <w:lvlJc w:val="left"/>
      <w:pPr>
        <w:ind w:left="3776" w:hanging="843"/>
      </w:pPr>
      <w:rPr>
        <w:rFonts w:hint="default"/>
        <w:lang w:val="en-US" w:eastAsia="zh-CN" w:bidi="ar-SA"/>
      </w:rPr>
    </w:lvl>
    <w:lvl w:ilvl="5" w:tentative="0">
      <w:start w:val="0"/>
      <w:numFmt w:val="bullet"/>
      <w:lvlText w:val="•"/>
      <w:lvlJc w:val="left"/>
      <w:pPr>
        <w:ind w:left="4824" w:hanging="843"/>
      </w:pPr>
      <w:rPr>
        <w:rFonts w:hint="default"/>
        <w:lang w:val="en-US" w:eastAsia="zh-CN" w:bidi="ar-SA"/>
      </w:rPr>
    </w:lvl>
    <w:lvl w:ilvl="6" w:tentative="0">
      <w:start w:val="0"/>
      <w:numFmt w:val="bullet"/>
      <w:lvlText w:val="•"/>
      <w:lvlJc w:val="left"/>
      <w:pPr>
        <w:ind w:left="5872" w:hanging="843"/>
      </w:pPr>
      <w:rPr>
        <w:rFonts w:hint="default"/>
        <w:lang w:val="en-US" w:eastAsia="zh-CN" w:bidi="ar-SA"/>
      </w:rPr>
    </w:lvl>
    <w:lvl w:ilvl="7" w:tentative="0">
      <w:start w:val="0"/>
      <w:numFmt w:val="bullet"/>
      <w:lvlText w:val="•"/>
      <w:lvlJc w:val="left"/>
      <w:pPr>
        <w:ind w:left="6920" w:hanging="843"/>
      </w:pPr>
      <w:rPr>
        <w:rFonts w:hint="default"/>
        <w:lang w:val="en-US" w:eastAsia="zh-CN" w:bidi="ar-SA"/>
      </w:rPr>
    </w:lvl>
    <w:lvl w:ilvl="8" w:tentative="0">
      <w:start w:val="0"/>
      <w:numFmt w:val="bullet"/>
      <w:lvlText w:val="•"/>
      <w:lvlJc w:val="left"/>
      <w:pPr>
        <w:ind w:left="7968" w:hanging="843"/>
      </w:pPr>
      <w:rPr>
        <w:rFonts w:hint="default"/>
        <w:lang w:val="en-US" w:eastAsia="zh-CN" w:bidi="ar-SA"/>
      </w:rPr>
    </w:lvl>
  </w:abstractNum>
  <w:abstractNum w:abstractNumId="11">
    <w:nsid w:val="AA0EC30A"/>
    <w:multiLevelType w:val="multilevel"/>
    <w:tmpl w:val="AA0EC30A"/>
    <w:lvl w:ilvl="0" w:tentative="0">
      <w:start w:val="1"/>
      <w:numFmt w:val="decimal"/>
      <w:lvlText w:val="（%1）"/>
      <w:lvlJc w:val="left"/>
      <w:pPr>
        <w:ind w:left="426" w:hanging="525"/>
        <w:jc w:val="left"/>
      </w:pPr>
      <w:rPr>
        <w:rFonts w:hint="default" w:ascii="宋体" w:hAnsi="宋体" w:eastAsia="宋体" w:cs="宋体"/>
        <w:b w:val="0"/>
        <w:bCs w:val="0"/>
        <w:i w:val="0"/>
        <w:iCs w:val="0"/>
        <w:spacing w:val="-15"/>
        <w:w w:val="99"/>
        <w:sz w:val="19"/>
        <w:szCs w:val="19"/>
        <w:lang w:val="en-US" w:eastAsia="zh-CN" w:bidi="ar-SA"/>
      </w:rPr>
    </w:lvl>
    <w:lvl w:ilvl="1" w:tentative="0">
      <w:start w:val="0"/>
      <w:numFmt w:val="bullet"/>
      <w:lvlText w:val="•"/>
      <w:lvlJc w:val="left"/>
      <w:pPr>
        <w:ind w:left="1384" w:hanging="525"/>
      </w:pPr>
      <w:rPr>
        <w:rFonts w:hint="default"/>
        <w:lang w:val="en-US" w:eastAsia="zh-CN" w:bidi="ar-SA"/>
      </w:rPr>
    </w:lvl>
    <w:lvl w:ilvl="2" w:tentative="0">
      <w:start w:val="0"/>
      <w:numFmt w:val="bullet"/>
      <w:lvlText w:val="•"/>
      <w:lvlJc w:val="left"/>
      <w:pPr>
        <w:ind w:left="2349" w:hanging="525"/>
      </w:pPr>
      <w:rPr>
        <w:rFonts w:hint="default"/>
        <w:lang w:val="en-US" w:eastAsia="zh-CN" w:bidi="ar-SA"/>
      </w:rPr>
    </w:lvl>
    <w:lvl w:ilvl="3" w:tentative="0">
      <w:start w:val="0"/>
      <w:numFmt w:val="bullet"/>
      <w:lvlText w:val="•"/>
      <w:lvlJc w:val="left"/>
      <w:pPr>
        <w:ind w:left="3313" w:hanging="525"/>
      </w:pPr>
      <w:rPr>
        <w:rFonts w:hint="default"/>
        <w:lang w:val="en-US" w:eastAsia="zh-CN" w:bidi="ar-SA"/>
      </w:rPr>
    </w:lvl>
    <w:lvl w:ilvl="4" w:tentative="0">
      <w:start w:val="0"/>
      <w:numFmt w:val="bullet"/>
      <w:lvlText w:val="•"/>
      <w:lvlJc w:val="left"/>
      <w:pPr>
        <w:ind w:left="4278" w:hanging="525"/>
      </w:pPr>
      <w:rPr>
        <w:rFonts w:hint="default"/>
        <w:lang w:val="en-US" w:eastAsia="zh-CN" w:bidi="ar-SA"/>
      </w:rPr>
    </w:lvl>
    <w:lvl w:ilvl="5" w:tentative="0">
      <w:start w:val="0"/>
      <w:numFmt w:val="bullet"/>
      <w:lvlText w:val="•"/>
      <w:lvlJc w:val="left"/>
      <w:pPr>
        <w:ind w:left="5242" w:hanging="525"/>
      </w:pPr>
      <w:rPr>
        <w:rFonts w:hint="default"/>
        <w:lang w:val="en-US" w:eastAsia="zh-CN" w:bidi="ar-SA"/>
      </w:rPr>
    </w:lvl>
    <w:lvl w:ilvl="6" w:tentative="0">
      <w:start w:val="0"/>
      <w:numFmt w:val="bullet"/>
      <w:lvlText w:val="•"/>
      <w:lvlJc w:val="left"/>
      <w:pPr>
        <w:ind w:left="6207" w:hanging="525"/>
      </w:pPr>
      <w:rPr>
        <w:rFonts w:hint="default"/>
        <w:lang w:val="en-US" w:eastAsia="zh-CN" w:bidi="ar-SA"/>
      </w:rPr>
    </w:lvl>
    <w:lvl w:ilvl="7" w:tentative="0">
      <w:start w:val="0"/>
      <w:numFmt w:val="bullet"/>
      <w:lvlText w:val="•"/>
      <w:lvlJc w:val="left"/>
      <w:pPr>
        <w:ind w:left="7171" w:hanging="525"/>
      </w:pPr>
      <w:rPr>
        <w:rFonts w:hint="default"/>
        <w:lang w:val="en-US" w:eastAsia="zh-CN" w:bidi="ar-SA"/>
      </w:rPr>
    </w:lvl>
    <w:lvl w:ilvl="8" w:tentative="0">
      <w:start w:val="0"/>
      <w:numFmt w:val="bullet"/>
      <w:lvlText w:val="•"/>
      <w:lvlJc w:val="left"/>
      <w:pPr>
        <w:ind w:left="8136" w:hanging="525"/>
      </w:pPr>
      <w:rPr>
        <w:rFonts w:hint="default"/>
        <w:lang w:val="en-US" w:eastAsia="zh-CN" w:bidi="ar-SA"/>
      </w:rPr>
    </w:lvl>
  </w:abstractNum>
  <w:abstractNum w:abstractNumId="12">
    <w:nsid w:val="AADD88A6"/>
    <w:multiLevelType w:val="multilevel"/>
    <w:tmpl w:val="AADD88A6"/>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13">
    <w:nsid w:val="ACEA0F72"/>
    <w:multiLevelType w:val="multilevel"/>
    <w:tmpl w:val="ACEA0F72"/>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lowerLetter"/>
      <w:lvlText w:val="%2."/>
      <w:lvlJc w:val="left"/>
      <w:pPr>
        <w:ind w:left="1162" w:hanging="316"/>
        <w:jc w:val="left"/>
      </w:pPr>
      <w:rPr>
        <w:rFonts w:hint="default" w:ascii="宋体" w:hAnsi="宋体" w:eastAsia="宋体" w:cs="宋体"/>
        <w:b w:val="0"/>
        <w:bCs w:val="0"/>
        <w:i w:val="0"/>
        <w:iCs w:val="0"/>
        <w:spacing w:val="-1"/>
        <w:w w:val="97"/>
        <w:sz w:val="19"/>
        <w:szCs w:val="19"/>
        <w:lang w:val="en-US" w:eastAsia="zh-CN" w:bidi="ar-SA"/>
      </w:rPr>
    </w:lvl>
    <w:lvl w:ilvl="2" w:tentative="0">
      <w:start w:val="0"/>
      <w:numFmt w:val="bullet"/>
      <w:lvlText w:val="•"/>
      <w:lvlJc w:val="left"/>
      <w:pPr>
        <w:ind w:left="2149" w:hanging="316"/>
      </w:pPr>
      <w:rPr>
        <w:rFonts w:hint="default"/>
        <w:lang w:val="en-US" w:eastAsia="zh-CN" w:bidi="ar-SA"/>
      </w:rPr>
    </w:lvl>
    <w:lvl w:ilvl="3" w:tentative="0">
      <w:start w:val="0"/>
      <w:numFmt w:val="bullet"/>
      <w:lvlText w:val="•"/>
      <w:lvlJc w:val="left"/>
      <w:pPr>
        <w:ind w:left="3138" w:hanging="316"/>
      </w:pPr>
      <w:rPr>
        <w:rFonts w:hint="default"/>
        <w:lang w:val="en-US" w:eastAsia="zh-CN" w:bidi="ar-SA"/>
      </w:rPr>
    </w:lvl>
    <w:lvl w:ilvl="4" w:tentative="0">
      <w:start w:val="0"/>
      <w:numFmt w:val="bullet"/>
      <w:lvlText w:val="•"/>
      <w:lvlJc w:val="left"/>
      <w:pPr>
        <w:ind w:left="4128" w:hanging="316"/>
      </w:pPr>
      <w:rPr>
        <w:rFonts w:hint="default"/>
        <w:lang w:val="en-US" w:eastAsia="zh-CN" w:bidi="ar-SA"/>
      </w:rPr>
    </w:lvl>
    <w:lvl w:ilvl="5" w:tentative="0">
      <w:start w:val="0"/>
      <w:numFmt w:val="bullet"/>
      <w:lvlText w:val="•"/>
      <w:lvlJc w:val="left"/>
      <w:pPr>
        <w:ind w:left="5117" w:hanging="316"/>
      </w:pPr>
      <w:rPr>
        <w:rFonts w:hint="default"/>
        <w:lang w:val="en-US" w:eastAsia="zh-CN" w:bidi="ar-SA"/>
      </w:rPr>
    </w:lvl>
    <w:lvl w:ilvl="6" w:tentative="0">
      <w:start w:val="0"/>
      <w:numFmt w:val="bullet"/>
      <w:lvlText w:val="•"/>
      <w:lvlJc w:val="left"/>
      <w:pPr>
        <w:ind w:left="6107" w:hanging="316"/>
      </w:pPr>
      <w:rPr>
        <w:rFonts w:hint="default"/>
        <w:lang w:val="en-US" w:eastAsia="zh-CN" w:bidi="ar-SA"/>
      </w:rPr>
    </w:lvl>
    <w:lvl w:ilvl="7" w:tentative="0">
      <w:start w:val="0"/>
      <w:numFmt w:val="bullet"/>
      <w:lvlText w:val="•"/>
      <w:lvlJc w:val="left"/>
      <w:pPr>
        <w:ind w:left="7096" w:hanging="316"/>
      </w:pPr>
      <w:rPr>
        <w:rFonts w:hint="default"/>
        <w:lang w:val="en-US" w:eastAsia="zh-CN" w:bidi="ar-SA"/>
      </w:rPr>
    </w:lvl>
    <w:lvl w:ilvl="8" w:tentative="0">
      <w:start w:val="0"/>
      <w:numFmt w:val="bullet"/>
      <w:lvlText w:val="•"/>
      <w:lvlJc w:val="left"/>
      <w:pPr>
        <w:ind w:left="8086" w:hanging="316"/>
      </w:pPr>
      <w:rPr>
        <w:rFonts w:hint="default"/>
        <w:lang w:val="en-US" w:eastAsia="zh-CN" w:bidi="ar-SA"/>
      </w:rPr>
    </w:lvl>
  </w:abstractNum>
  <w:abstractNum w:abstractNumId="14">
    <w:nsid w:val="B19193BC"/>
    <w:multiLevelType w:val="multilevel"/>
    <w:tmpl w:val="B19193BC"/>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15">
    <w:nsid w:val="B4080B08"/>
    <w:multiLevelType w:val="multilevel"/>
    <w:tmpl w:val="B4080B08"/>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16">
    <w:nsid w:val="B483EBBC"/>
    <w:multiLevelType w:val="multilevel"/>
    <w:tmpl w:val="B483EBBC"/>
    <w:lvl w:ilvl="0" w:tentative="0">
      <w:start w:val="17"/>
      <w:numFmt w:val="decimal"/>
      <w:lvlText w:val="%1"/>
      <w:lvlJc w:val="left"/>
      <w:pPr>
        <w:ind w:left="1686" w:hanging="840"/>
        <w:jc w:val="left"/>
      </w:pPr>
      <w:rPr>
        <w:rFonts w:hint="default"/>
        <w:lang w:val="en-US" w:eastAsia="zh-CN" w:bidi="ar-SA"/>
      </w:rPr>
    </w:lvl>
    <w:lvl w:ilvl="1" w:tentative="0">
      <w:start w:val="1"/>
      <w:numFmt w:val="decimal"/>
      <w:lvlText w:val="%1.%2"/>
      <w:lvlJc w:val="left"/>
      <w:pPr>
        <w:ind w:left="1686" w:hanging="840"/>
        <w:jc w:val="left"/>
      </w:pPr>
      <w:rPr>
        <w:rFonts w:hint="default"/>
        <w:lang w:val="en-US" w:eastAsia="zh-CN" w:bidi="ar-SA"/>
      </w:rPr>
    </w:lvl>
    <w:lvl w:ilvl="2" w:tentative="0">
      <w:start w:val="2"/>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4195" w:hanging="840"/>
      </w:pPr>
      <w:rPr>
        <w:rFonts w:hint="default"/>
        <w:lang w:val="en-US" w:eastAsia="zh-CN" w:bidi="ar-SA"/>
      </w:rPr>
    </w:lvl>
    <w:lvl w:ilvl="4" w:tentative="0">
      <w:start w:val="0"/>
      <w:numFmt w:val="bullet"/>
      <w:lvlText w:val="•"/>
      <w:lvlJc w:val="left"/>
      <w:pPr>
        <w:ind w:left="5034" w:hanging="840"/>
      </w:pPr>
      <w:rPr>
        <w:rFonts w:hint="default"/>
        <w:lang w:val="en-US" w:eastAsia="zh-CN" w:bidi="ar-SA"/>
      </w:rPr>
    </w:lvl>
    <w:lvl w:ilvl="5" w:tentative="0">
      <w:start w:val="0"/>
      <w:numFmt w:val="bullet"/>
      <w:lvlText w:val="•"/>
      <w:lvlJc w:val="left"/>
      <w:pPr>
        <w:ind w:left="5872" w:hanging="840"/>
      </w:pPr>
      <w:rPr>
        <w:rFonts w:hint="default"/>
        <w:lang w:val="en-US" w:eastAsia="zh-CN" w:bidi="ar-SA"/>
      </w:rPr>
    </w:lvl>
    <w:lvl w:ilvl="6" w:tentative="0">
      <w:start w:val="0"/>
      <w:numFmt w:val="bullet"/>
      <w:lvlText w:val="•"/>
      <w:lvlJc w:val="left"/>
      <w:pPr>
        <w:ind w:left="6711" w:hanging="840"/>
      </w:pPr>
      <w:rPr>
        <w:rFonts w:hint="default"/>
        <w:lang w:val="en-US" w:eastAsia="zh-CN" w:bidi="ar-SA"/>
      </w:rPr>
    </w:lvl>
    <w:lvl w:ilvl="7" w:tentative="0">
      <w:start w:val="0"/>
      <w:numFmt w:val="bullet"/>
      <w:lvlText w:val="•"/>
      <w:lvlJc w:val="left"/>
      <w:pPr>
        <w:ind w:left="7549" w:hanging="840"/>
      </w:pPr>
      <w:rPr>
        <w:rFonts w:hint="default"/>
        <w:lang w:val="en-US" w:eastAsia="zh-CN" w:bidi="ar-SA"/>
      </w:rPr>
    </w:lvl>
    <w:lvl w:ilvl="8" w:tentative="0">
      <w:start w:val="0"/>
      <w:numFmt w:val="bullet"/>
      <w:lvlText w:val="•"/>
      <w:lvlJc w:val="left"/>
      <w:pPr>
        <w:ind w:left="8388" w:hanging="840"/>
      </w:pPr>
      <w:rPr>
        <w:rFonts w:hint="default"/>
        <w:lang w:val="en-US" w:eastAsia="zh-CN" w:bidi="ar-SA"/>
      </w:rPr>
    </w:lvl>
  </w:abstractNum>
  <w:abstractNum w:abstractNumId="17">
    <w:nsid w:val="BAA681B5"/>
    <w:multiLevelType w:val="multilevel"/>
    <w:tmpl w:val="BAA681B5"/>
    <w:lvl w:ilvl="0" w:tentative="0">
      <w:start w:val="17"/>
      <w:numFmt w:val="decimal"/>
      <w:lvlText w:val="%1"/>
      <w:lvlJc w:val="left"/>
      <w:pPr>
        <w:ind w:left="1686" w:hanging="840"/>
        <w:jc w:val="left"/>
      </w:pPr>
      <w:rPr>
        <w:rFonts w:hint="default"/>
        <w:lang w:val="en-US" w:eastAsia="zh-CN" w:bidi="ar-SA"/>
      </w:rPr>
    </w:lvl>
    <w:lvl w:ilvl="1" w:tentative="0">
      <w:start w:val="5"/>
      <w:numFmt w:val="decimal"/>
      <w:lvlText w:val="%1.%2"/>
      <w:lvlJc w:val="left"/>
      <w:pPr>
        <w:ind w:left="1686" w:hanging="840"/>
        <w:jc w:val="left"/>
      </w:pPr>
      <w:rPr>
        <w:rFonts w:hint="default"/>
        <w:lang w:val="en-US" w:eastAsia="zh-CN" w:bidi="ar-SA"/>
      </w:rPr>
    </w:lvl>
    <w:lvl w:ilvl="2" w:tentative="0">
      <w:start w:val="1"/>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4195" w:hanging="840"/>
      </w:pPr>
      <w:rPr>
        <w:rFonts w:hint="default"/>
        <w:lang w:val="en-US" w:eastAsia="zh-CN" w:bidi="ar-SA"/>
      </w:rPr>
    </w:lvl>
    <w:lvl w:ilvl="4" w:tentative="0">
      <w:start w:val="0"/>
      <w:numFmt w:val="bullet"/>
      <w:lvlText w:val="•"/>
      <w:lvlJc w:val="left"/>
      <w:pPr>
        <w:ind w:left="5034" w:hanging="840"/>
      </w:pPr>
      <w:rPr>
        <w:rFonts w:hint="default"/>
        <w:lang w:val="en-US" w:eastAsia="zh-CN" w:bidi="ar-SA"/>
      </w:rPr>
    </w:lvl>
    <w:lvl w:ilvl="5" w:tentative="0">
      <w:start w:val="0"/>
      <w:numFmt w:val="bullet"/>
      <w:lvlText w:val="•"/>
      <w:lvlJc w:val="left"/>
      <w:pPr>
        <w:ind w:left="5872" w:hanging="840"/>
      </w:pPr>
      <w:rPr>
        <w:rFonts w:hint="default"/>
        <w:lang w:val="en-US" w:eastAsia="zh-CN" w:bidi="ar-SA"/>
      </w:rPr>
    </w:lvl>
    <w:lvl w:ilvl="6" w:tentative="0">
      <w:start w:val="0"/>
      <w:numFmt w:val="bullet"/>
      <w:lvlText w:val="•"/>
      <w:lvlJc w:val="left"/>
      <w:pPr>
        <w:ind w:left="6711" w:hanging="840"/>
      </w:pPr>
      <w:rPr>
        <w:rFonts w:hint="default"/>
        <w:lang w:val="en-US" w:eastAsia="zh-CN" w:bidi="ar-SA"/>
      </w:rPr>
    </w:lvl>
    <w:lvl w:ilvl="7" w:tentative="0">
      <w:start w:val="0"/>
      <w:numFmt w:val="bullet"/>
      <w:lvlText w:val="•"/>
      <w:lvlJc w:val="left"/>
      <w:pPr>
        <w:ind w:left="7549" w:hanging="840"/>
      </w:pPr>
      <w:rPr>
        <w:rFonts w:hint="default"/>
        <w:lang w:val="en-US" w:eastAsia="zh-CN" w:bidi="ar-SA"/>
      </w:rPr>
    </w:lvl>
    <w:lvl w:ilvl="8" w:tentative="0">
      <w:start w:val="0"/>
      <w:numFmt w:val="bullet"/>
      <w:lvlText w:val="•"/>
      <w:lvlJc w:val="left"/>
      <w:pPr>
        <w:ind w:left="8388" w:hanging="840"/>
      </w:pPr>
      <w:rPr>
        <w:rFonts w:hint="default"/>
        <w:lang w:val="en-US" w:eastAsia="zh-CN" w:bidi="ar-SA"/>
      </w:rPr>
    </w:lvl>
  </w:abstractNum>
  <w:abstractNum w:abstractNumId="18">
    <w:nsid w:val="BC7565FA"/>
    <w:multiLevelType w:val="multilevel"/>
    <w:tmpl w:val="BC7565FA"/>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lowerLetter"/>
      <w:lvlText w:val="%2."/>
      <w:lvlJc w:val="left"/>
      <w:pPr>
        <w:ind w:left="1162" w:hanging="316"/>
        <w:jc w:val="left"/>
      </w:pPr>
      <w:rPr>
        <w:rFonts w:hint="default" w:ascii="宋体" w:hAnsi="宋体" w:eastAsia="宋体" w:cs="宋体"/>
        <w:b w:val="0"/>
        <w:bCs w:val="0"/>
        <w:i w:val="0"/>
        <w:iCs w:val="0"/>
        <w:spacing w:val="-1"/>
        <w:w w:val="99"/>
        <w:sz w:val="19"/>
        <w:szCs w:val="19"/>
        <w:lang w:val="en-US" w:eastAsia="zh-CN" w:bidi="ar-SA"/>
      </w:rPr>
    </w:lvl>
    <w:lvl w:ilvl="2" w:tentative="0">
      <w:start w:val="0"/>
      <w:numFmt w:val="bullet"/>
      <w:lvlText w:val="•"/>
      <w:lvlJc w:val="left"/>
      <w:pPr>
        <w:ind w:left="2149" w:hanging="316"/>
      </w:pPr>
      <w:rPr>
        <w:rFonts w:hint="default"/>
        <w:lang w:val="en-US" w:eastAsia="zh-CN" w:bidi="ar-SA"/>
      </w:rPr>
    </w:lvl>
    <w:lvl w:ilvl="3" w:tentative="0">
      <w:start w:val="0"/>
      <w:numFmt w:val="bullet"/>
      <w:lvlText w:val="•"/>
      <w:lvlJc w:val="left"/>
      <w:pPr>
        <w:ind w:left="3138" w:hanging="316"/>
      </w:pPr>
      <w:rPr>
        <w:rFonts w:hint="default"/>
        <w:lang w:val="en-US" w:eastAsia="zh-CN" w:bidi="ar-SA"/>
      </w:rPr>
    </w:lvl>
    <w:lvl w:ilvl="4" w:tentative="0">
      <w:start w:val="0"/>
      <w:numFmt w:val="bullet"/>
      <w:lvlText w:val="•"/>
      <w:lvlJc w:val="left"/>
      <w:pPr>
        <w:ind w:left="4128" w:hanging="316"/>
      </w:pPr>
      <w:rPr>
        <w:rFonts w:hint="default"/>
        <w:lang w:val="en-US" w:eastAsia="zh-CN" w:bidi="ar-SA"/>
      </w:rPr>
    </w:lvl>
    <w:lvl w:ilvl="5" w:tentative="0">
      <w:start w:val="0"/>
      <w:numFmt w:val="bullet"/>
      <w:lvlText w:val="•"/>
      <w:lvlJc w:val="left"/>
      <w:pPr>
        <w:ind w:left="5117" w:hanging="316"/>
      </w:pPr>
      <w:rPr>
        <w:rFonts w:hint="default"/>
        <w:lang w:val="en-US" w:eastAsia="zh-CN" w:bidi="ar-SA"/>
      </w:rPr>
    </w:lvl>
    <w:lvl w:ilvl="6" w:tentative="0">
      <w:start w:val="0"/>
      <w:numFmt w:val="bullet"/>
      <w:lvlText w:val="•"/>
      <w:lvlJc w:val="left"/>
      <w:pPr>
        <w:ind w:left="6107" w:hanging="316"/>
      </w:pPr>
      <w:rPr>
        <w:rFonts w:hint="default"/>
        <w:lang w:val="en-US" w:eastAsia="zh-CN" w:bidi="ar-SA"/>
      </w:rPr>
    </w:lvl>
    <w:lvl w:ilvl="7" w:tentative="0">
      <w:start w:val="0"/>
      <w:numFmt w:val="bullet"/>
      <w:lvlText w:val="•"/>
      <w:lvlJc w:val="left"/>
      <w:pPr>
        <w:ind w:left="7096" w:hanging="316"/>
      </w:pPr>
      <w:rPr>
        <w:rFonts w:hint="default"/>
        <w:lang w:val="en-US" w:eastAsia="zh-CN" w:bidi="ar-SA"/>
      </w:rPr>
    </w:lvl>
    <w:lvl w:ilvl="8" w:tentative="0">
      <w:start w:val="0"/>
      <w:numFmt w:val="bullet"/>
      <w:lvlText w:val="•"/>
      <w:lvlJc w:val="left"/>
      <w:pPr>
        <w:ind w:left="8086" w:hanging="316"/>
      </w:pPr>
      <w:rPr>
        <w:rFonts w:hint="default"/>
        <w:lang w:val="en-US" w:eastAsia="zh-CN" w:bidi="ar-SA"/>
      </w:rPr>
    </w:lvl>
  </w:abstractNum>
  <w:abstractNum w:abstractNumId="19">
    <w:nsid w:val="C6267215"/>
    <w:multiLevelType w:val="multilevel"/>
    <w:tmpl w:val="C6267215"/>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20">
    <w:nsid w:val="C698EA2C"/>
    <w:multiLevelType w:val="multilevel"/>
    <w:tmpl w:val="C698EA2C"/>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2."/>
      <w:lvlJc w:val="left"/>
      <w:pPr>
        <w:ind w:left="426" w:hanging="316"/>
        <w:jc w:val="left"/>
      </w:pPr>
      <w:rPr>
        <w:rFonts w:hint="default" w:ascii="宋体" w:hAnsi="宋体" w:eastAsia="宋体" w:cs="宋体"/>
        <w:b w:val="0"/>
        <w:bCs w:val="0"/>
        <w:i w:val="0"/>
        <w:iCs w:val="0"/>
        <w:spacing w:val="-10"/>
        <w:w w:val="99"/>
        <w:sz w:val="19"/>
        <w:szCs w:val="19"/>
        <w:lang w:val="en-US" w:eastAsia="zh-CN" w:bidi="ar-SA"/>
      </w:rPr>
    </w:lvl>
    <w:lvl w:ilvl="2" w:tentative="0">
      <w:start w:val="0"/>
      <w:numFmt w:val="bullet"/>
      <w:lvlText w:val="•"/>
      <w:lvlJc w:val="left"/>
      <w:pPr>
        <w:ind w:left="2238" w:hanging="316"/>
      </w:pPr>
      <w:rPr>
        <w:rFonts w:hint="default"/>
        <w:lang w:val="en-US" w:eastAsia="zh-CN" w:bidi="ar-SA"/>
      </w:rPr>
    </w:lvl>
    <w:lvl w:ilvl="3" w:tentative="0">
      <w:start w:val="0"/>
      <w:numFmt w:val="bullet"/>
      <w:lvlText w:val="•"/>
      <w:lvlJc w:val="left"/>
      <w:pPr>
        <w:ind w:left="3216" w:hanging="316"/>
      </w:pPr>
      <w:rPr>
        <w:rFonts w:hint="default"/>
        <w:lang w:val="en-US" w:eastAsia="zh-CN" w:bidi="ar-SA"/>
      </w:rPr>
    </w:lvl>
    <w:lvl w:ilvl="4" w:tentative="0">
      <w:start w:val="0"/>
      <w:numFmt w:val="bullet"/>
      <w:lvlText w:val="•"/>
      <w:lvlJc w:val="left"/>
      <w:pPr>
        <w:ind w:left="4195" w:hanging="316"/>
      </w:pPr>
      <w:rPr>
        <w:rFonts w:hint="default"/>
        <w:lang w:val="en-US" w:eastAsia="zh-CN" w:bidi="ar-SA"/>
      </w:rPr>
    </w:lvl>
    <w:lvl w:ilvl="5" w:tentative="0">
      <w:start w:val="0"/>
      <w:numFmt w:val="bullet"/>
      <w:lvlText w:val="•"/>
      <w:lvlJc w:val="left"/>
      <w:pPr>
        <w:ind w:left="5173" w:hanging="316"/>
      </w:pPr>
      <w:rPr>
        <w:rFonts w:hint="default"/>
        <w:lang w:val="en-US" w:eastAsia="zh-CN" w:bidi="ar-SA"/>
      </w:rPr>
    </w:lvl>
    <w:lvl w:ilvl="6" w:tentative="0">
      <w:start w:val="0"/>
      <w:numFmt w:val="bullet"/>
      <w:lvlText w:val="•"/>
      <w:lvlJc w:val="left"/>
      <w:pPr>
        <w:ind w:left="6151" w:hanging="316"/>
      </w:pPr>
      <w:rPr>
        <w:rFonts w:hint="default"/>
        <w:lang w:val="en-US" w:eastAsia="zh-CN" w:bidi="ar-SA"/>
      </w:rPr>
    </w:lvl>
    <w:lvl w:ilvl="7" w:tentative="0">
      <w:start w:val="0"/>
      <w:numFmt w:val="bullet"/>
      <w:lvlText w:val="•"/>
      <w:lvlJc w:val="left"/>
      <w:pPr>
        <w:ind w:left="7130" w:hanging="316"/>
      </w:pPr>
      <w:rPr>
        <w:rFonts w:hint="default"/>
        <w:lang w:val="en-US" w:eastAsia="zh-CN" w:bidi="ar-SA"/>
      </w:rPr>
    </w:lvl>
    <w:lvl w:ilvl="8" w:tentative="0">
      <w:start w:val="0"/>
      <w:numFmt w:val="bullet"/>
      <w:lvlText w:val="•"/>
      <w:lvlJc w:val="left"/>
      <w:pPr>
        <w:ind w:left="8108" w:hanging="316"/>
      </w:pPr>
      <w:rPr>
        <w:rFonts w:hint="default"/>
        <w:lang w:val="en-US" w:eastAsia="zh-CN" w:bidi="ar-SA"/>
      </w:rPr>
    </w:lvl>
  </w:abstractNum>
  <w:abstractNum w:abstractNumId="21">
    <w:nsid w:val="C8890D7B"/>
    <w:multiLevelType w:val="multilevel"/>
    <w:tmpl w:val="C8890D7B"/>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22">
    <w:nsid w:val="C8E8008E"/>
    <w:multiLevelType w:val="multilevel"/>
    <w:tmpl w:val="C8E8008E"/>
    <w:lvl w:ilvl="0" w:tentative="0">
      <w:start w:val="1"/>
      <w:numFmt w:val="decimal"/>
      <w:lvlText w:val="（%1）"/>
      <w:lvlJc w:val="left"/>
      <w:pPr>
        <w:ind w:left="1253" w:hanging="518"/>
        <w:jc w:val="left"/>
      </w:pPr>
      <w:rPr>
        <w:rFonts w:hint="default" w:ascii="宋体" w:hAnsi="宋体" w:eastAsia="宋体" w:cs="宋体"/>
        <w:b w:val="0"/>
        <w:bCs w:val="0"/>
        <w:i w:val="0"/>
        <w:iCs w:val="0"/>
        <w:spacing w:val="-5"/>
        <w:w w:val="99"/>
        <w:sz w:val="19"/>
        <w:szCs w:val="19"/>
        <w:lang w:val="en-US" w:eastAsia="zh-CN" w:bidi="ar-SA"/>
      </w:rPr>
    </w:lvl>
    <w:lvl w:ilvl="1" w:tentative="0">
      <w:start w:val="0"/>
      <w:numFmt w:val="bullet"/>
      <w:lvlText w:val="•"/>
      <w:lvlJc w:val="left"/>
      <w:pPr>
        <w:ind w:left="2140" w:hanging="518"/>
      </w:pPr>
      <w:rPr>
        <w:rFonts w:hint="default"/>
        <w:lang w:val="en-US" w:eastAsia="zh-CN" w:bidi="ar-SA"/>
      </w:rPr>
    </w:lvl>
    <w:lvl w:ilvl="2" w:tentative="0">
      <w:start w:val="0"/>
      <w:numFmt w:val="bullet"/>
      <w:lvlText w:val="•"/>
      <w:lvlJc w:val="left"/>
      <w:pPr>
        <w:ind w:left="3021" w:hanging="518"/>
      </w:pPr>
      <w:rPr>
        <w:rFonts w:hint="default"/>
        <w:lang w:val="en-US" w:eastAsia="zh-CN" w:bidi="ar-SA"/>
      </w:rPr>
    </w:lvl>
    <w:lvl w:ilvl="3" w:tentative="0">
      <w:start w:val="0"/>
      <w:numFmt w:val="bullet"/>
      <w:lvlText w:val="•"/>
      <w:lvlJc w:val="left"/>
      <w:pPr>
        <w:ind w:left="3901" w:hanging="518"/>
      </w:pPr>
      <w:rPr>
        <w:rFonts w:hint="default"/>
        <w:lang w:val="en-US" w:eastAsia="zh-CN" w:bidi="ar-SA"/>
      </w:rPr>
    </w:lvl>
    <w:lvl w:ilvl="4" w:tentative="0">
      <w:start w:val="0"/>
      <w:numFmt w:val="bullet"/>
      <w:lvlText w:val="•"/>
      <w:lvlJc w:val="left"/>
      <w:pPr>
        <w:ind w:left="4782" w:hanging="518"/>
      </w:pPr>
      <w:rPr>
        <w:rFonts w:hint="default"/>
        <w:lang w:val="en-US" w:eastAsia="zh-CN" w:bidi="ar-SA"/>
      </w:rPr>
    </w:lvl>
    <w:lvl w:ilvl="5" w:tentative="0">
      <w:start w:val="0"/>
      <w:numFmt w:val="bullet"/>
      <w:lvlText w:val="•"/>
      <w:lvlJc w:val="left"/>
      <w:pPr>
        <w:ind w:left="5662" w:hanging="518"/>
      </w:pPr>
      <w:rPr>
        <w:rFonts w:hint="default"/>
        <w:lang w:val="en-US" w:eastAsia="zh-CN" w:bidi="ar-SA"/>
      </w:rPr>
    </w:lvl>
    <w:lvl w:ilvl="6" w:tentative="0">
      <w:start w:val="0"/>
      <w:numFmt w:val="bullet"/>
      <w:lvlText w:val="•"/>
      <w:lvlJc w:val="left"/>
      <w:pPr>
        <w:ind w:left="6543" w:hanging="518"/>
      </w:pPr>
      <w:rPr>
        <w:rFonts w:hint="default"/>
        <w:lang w:val="en-US" w:eastAsia="zh-CN" w:bidi="ar-SA"/>
      </w:rPr>
    </w:lvl>
    <w:lvl w:ilvl="7" w:tentative="0">
      <w:start w:val="0"/>
      <w:numFmt w:val="bullet"/>
      <w:lvlText w:val="•"/>
      <w:lvlJc w:val="left"/>
      <w:pPr>
        <w:ind w:left="7423" w:hanging="518"/>
      </w:pPr>
      <w:rPr>
        <w:rFonts w:hint="default"/>
        <w:lang w:val="en-US" w:eastAsia="zh-CN" w:bidi="ar-SA"/>
      </w:rPr>
    </w:lvl>
    <w:lvl w:ilvl="8" w:tentative="0">
      <w:start w:val="0"/>
      <w:numFmt w:val="bullet"/>
      <w:lvlText w:val="•"/>
      <w:lvlJc w:val="left"/>
      <w:pPr>
        <w:ind w:left="8304" w:hanging="518"/>
      </w:pPr>
      <w:rPr>
        <w:rFonts w:hint="default"/>
        <w:lang w:val="en-US" w:eastAsia="zh-CN" w:bidi="ar-SA"/>
      </w:rPr>
    </w:lvl>
  </w:abstractNum>
  <w:abstractNum w:abstractNumId="23">
    <w:nsid w:val="CE0971A8"/>
    <w:multiLevelType w:val="multilevel"/>
    <w:tmpl w:val="CE0971A8"/>
    <w:lvl w:ilvl="0" w:tentative="0">
      <w:start w:val="1"/>
      <w:numFmt w:val="decimal"/>
      <w:lvlText w:val="（%1）"/>
      <w:lvlJc w:val="left"/>
      <w:pPr>
        <w:ind w:left="426" w:hanging="528"/>
        <w:jc w:val="left"/>
      </w:pPr>
      <w:rPr>
        <w:rFonts w:hint="default" w:ascii="宋体" w:hAnsi="宋体" w:eastAsia="宋体" w:cs="宋体"/>
        <w:b w:val="0"/>
        <w:bCs w:val="0"/>
        <w:i w:val="0"/>
        <w:iCs w:val="0"/>
        <w:spacing w:val="1"/>
        <w:w w:val="92"/>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24">
    <w:nsid w:val="CE4246BB"/>
    <w:multiLevelType w:val="multilevel"/>
    <w:tmpl w:val="CE4246BB"/>
    <w:lvl w:ilvl="0" w:tentative="0">
      <w:start w:val="11"/>
      <w:numFmt w:val="decimal"/>
      <w:lvlText w:val="%1."/>
      <w:lvlJc w:val="left"/>
      <w:pPr>
        <w:ind w:left="743" w:hanging="317"/>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185" w:hanging="840"/>
      </w:pPr>
      <w:rPr>
        <w:rFonts w:hint="default"/>
        <w:lang w:val="en-US" w:eastAsia="zh-CN" w:bidi="ar-SA"/>
      </w:rPr>
    </w:lvl>
    <w:lvl w:ilvl="4" w:tentative="0">
      <w:start w:val="0"/>
      <w:numFmt w:val="bullet"/>
      <w:lvlText w:val="•"/>
      <w:lvlJc w:val="left"/>
      <w:pPr>
        <w:ind w:left="3311" w:hanging="840"/>
      </w:pPr>
      <w:rPr>
        <w:rFonts w:hint="default"/>
        <w:lang w:val="en-US" w:eastAsia="zh-CN" w:bidi="ar-SA"/>
      </w:rPr>
    </w:lvl>
    <w:lvl w:ilvl="5" w:tentative="0">
      <w:start w:val="0"/>
      <w:numFmt w:val="bullet"/>
      <w:lvlText w:val="•"/>
      <w:lvlJc w:val="left"/>
      <w:pPr>
        <w:ind w:left="4436" w:hanging="840"/>
      </w:pPr>
      <w:rPr>
        <w:rFonts w:hint="default"/>
        <w:lang w:val="en-US" w:eastAsia="zh-CN" w:bidi="ar-SA"/>
      </w:rPr>
    </w:lvl>
    <w:lvl w:ilvl="6" w:tentative="0">
      <w:start w:val="0"/>
      <w:numFmt w:val="bullet"/>
      <w:lvlText w:val="•"/>
      <w:lvlJc w:val="left"/>
      <w:pPr>
        <w:ind w:left="5562" w:hanging="840"/>
      </w:pPr>
      <w:rPr>
        <w:rFonts w:hint="default"/>
        <w:lang w:val="en-US" w:eastAsia="zh-CN" w:bidi="ar-SA"/>
      </w:rPr>
    </w:lvl>
    <w:lvl w:ilvl="7" w:tentative="0">
      <w:start w:val="0"/>
      <w:numFmt w:val="bullet"/>
      <w:lvlText w:val="•"/>
      <w:lvlJc w:val="left"/>
      <w:pPr>
        <w:ind w:left="6688" w:hanging="840"/>
      </w:pPr>
      <w:rPr>
        <w:rFonts w:hint="default"/>
        <w:lang w:val="en-US" w:eastAsia="zh-CN" w:bidi="ar-SA"/>
      </w:rPr>
    </w:lvl>
    <w:lvl w:ilvl="8" w:tentative="0">
      <w:start w:val="0"/>
      <w:numFmt w:val="bullet"/>
      <w:lvlText w:val="•"/>
      <w:lvlJc w:val="left"/>
      <w:pPr>
        <w:ind w:left="7813" w:hanging="840"/>
      </w:pPr>
      <w:rPr>
        <w:rFonts w:hint="default"/>
        <w:lang w:val="en-US" w:eastAsia="zh-CN" w:bidi="ar-SA"/>
      </w:rPr>
    </w:lvl>
  </w:abstractNum>
  <w:abstractNum w:abstractNumId="25">
    <w:nsid w:val="CE67FF21"/>
    <w:multiLevelType w:val="multilevel"/>
    <w:tmpl w:val="CE67FF21"/>
    <w:lvl w:ilvl="0" w:tentative="0">
      <w:start w:val="1"/>
      <w:numFmt w:val="decimal"/>
      <w:lvlText w:val="（%1）"/>
      <w:lvlJc w:val="left"/>
      <w:pPr>
        <w:ind w:left="1372" w:hanging="632"/>
        <w:jc w:val="left"/>
      </w:pPr>
      <w:rPr>
        <w:rFonts w:hint="default" w:ascii="宋体" w:hAnsi="宋体" w:eastAsia="宋体" w:cs="宋体"/>
        <w:b w:val="0"/>
        <w:bCs w:val="0"/>
        <w:i w:val="0"/>
        <w:iCs w:val="0"/>
        <w:spacing w:val="-2"/>
        <w:w w:val="99"/>
        <w:sz w:val="21"/>
        <w:szCs w:val="21"/>
        <w:lang w:val="en-US" w:eastAsia="zh-CN" w:bidi="ar-SA"/>
      </w:rPr>
    </w:lvl>
    <w:lvl w:ilvl="1" w:tentative="0">
      <w:start w:val="0"/>
      <w:numFmt w:val="bullet"/>
      <w:lvlText w:val="•"/>
      <w:lvlJc w:val="left"/>
      <w:pPr>
        <w:ind w:left="2248" w:hanging="632"/>
      </w:pPr>
      <w:rPr>
        <w:rFonts w:hint="default"/>
        <w:lang w:val="en-US" w:eastAsia="zh-CN" w:bidi="ar-SA"/>
      </w:rPr>
    </w:lvl>
    <w:lvl w:ilvl="2" w:tentative="0">
      <w:start w:val="0"/>
      <w:numFmt w:val="bullet"/>
      <w:lvlText w:val="•"/>
      <w:lvlJc w:val="left"/>
      <w:pPr>
        <w:ind w:left="3117" w:hanging="632"/>
      </w:pPr>
      <w:rPr>
        <w:rFonts w:hint="default"/>
        <w:lang w:val="en-US" w:eastAsia="zh-CN" w:bidi="ar-SA"/>
      </w:rPr>
    </w:lvl>
    <w:lvl w:ilvl="3" w:tentative="0">
      <w:start w:val="0"/>
      <w:numFmt w:val="bullet"/>
      <w:lvlText w:val="•"/>
      <w:lvlJc w:val="left"/>
      <w:pPr>
        <w:ind w:left="3985" w:hanging="632"/>
      </w:pPr>
      <w:rPr>
        <w:rFonts w:hint="default"/>
        <w:lang w:val="en-US" w:eastAsia="zh-CN" w:bidi="ar-SA"/>
      </w:rPr>
    </w:lvl>
    <w:lvl w:ilvl="4" w:tentative="0">
      <w:start w:val="0"/>
      <w:numFmt w:val="bullet"/>
      <w:lvlText w:val="•"/>
      <w:lvlJc w:val="left"/>
      <w:pPr>
        <w:ind w:left="4854" w:hanging="632"/>
      </w:pPr>
      <w:rPr>
        <w:rFonts w:hint="default"/>
        <w:lang w:val="en-US" w:eastAsia="zh-CN" w:bidi="ar-SA"/>
      </w:rPr>
    </w:lvl>
    <w:lvl w:ilvl="5" w:tentative="0">
      <w:start w:val="0"/>
      <w:numFmt w:val="bullet"/>
      <w:lvlText w:val="•"/>
      <w:lvlJc w:val="left"/>
      <w:pPr>
        <w:ind w:left="5722" w:hanging="632"/>
      </w:pPr>
      <w:rPr>
        <w:rFonts w:hint="default"/>
        <w:lang w:val="en-US" w:eastAsia="zh-CN" w:bidi="ar-SA"/>
      </w:rPr>
    </w:lvl>
    <w:lvl w:ilvl="6" w:tentative="0">
      <w:start w:val="0"/>
      <w:numFmt w:val="bullet"/>
      <w:lvlText w:val="•"/>
      <w:lvlJc w:val="left"/>
      <w:pPr>
        <w:ind w:left="6591" w:hanging="632"/>
      </w:pPr>
      <w:rPr>
        <w:rFonts w:hint="default"/>
        <w:lang w:val="en-US" w:eastAsia="zh-CN" w:bidi="ar-SA"/>
      </w:rPr>
    </w:lvl>
    <w:lvl w:ilvl="7" w:tentative="0">
      <w:start w:val="0"/>
      <w:numFmt w:val="bullet"/>
      <w:lvlText w:val="•"/>
      <w:lvlJc w:val="left"/>
      <w:pPr>
        <w:ind w:left="7459" w:hanging="632"/>
      </w:pPr>
      <w:rPr>
        <w:rFonts w:hint="default"/>
        <w:lang w:val="en-US" w:eastAsia="zh-CN" w:bidi="ar-SA"/>
      </w:rPr>
    </w:lvl>
    <w:lvl w:ilvl="8" w:tentative="0">
      <w:start w:val="0"/>
      <w:numFmt w:val="bullet"/>
      <w:lvlText w:val="•"/>
      <w:lvlJc w:val="left"/>
      <w:pPr>
        <w:ind w:left="8328" w:hanging="632"/>
      </w:pPr>
      <w:rPr>
        <w:rFonts w:hint="default"/>
        <w:lang w:val="en-US" w:eastAsia="zh-CN" w:bidi="ar-SA"/>
      </w:rPr>
    </w:lvl>
  </w:abstractNum>
  <w:abstractNum w:abstractNumId="26">
    <w:nsid w:val="D46A5833"/>
    <w:multiLevelType w:val="multilevel"/>
    <w:tmpl w:val="D46A5833"/>
    <w:lvl w:ilvl="0" w:tentative="0">
      <w:start w:val="1"/>
      <w:numFmt w:val="decimal"/>
      <w:lvlText w:val="（%1）"/>
      <w:lvlJc w:val="left"/>
      <w:pPr>
        <w:ind w:left="1268"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40" w:hanging="528"/>
      </w:pPr>
      <w:rPr>
        <w:rFonts w:hint="default"/>
        <w:lang w:val="en-US" w:eastAsia="zh-CN" w:bidi="ar-SA"/>
      </w:rPr>
    </w:lvl>
    <w:lvl w:ilvl="2" w:tentative="0">
      <w:start w:val="0"/>
      <w:numFmt w:val="bullet"/>
      <w:lvlText w:val="•"/>
      <w:lvlJc w:val="left"/>
      <w:pPr>
        <w:ind w:left="3021" w:hanging="528"/>
      </w:pPr>
      <w:rPr>
        <w:rFonts w:hint="default"/>
        <w:lang w:val="en-US" w:eastAsia="zh-CN" w:bidi="ar-SA"/>
      </w:rPr>
    </w:lvl>
    <w:lvl w:ilvl="3" w:tentative="0">
      <w:start w:val="0"/>
      <w:numFmt w:val="bullet"/>
      <w:lvlText w:val="•"/>
      <w:lvlJc w:val="left"/>
      <w:pPr>
        <w:ind w:left="3901" w:hanging="528"/>
      </w:pPr>
      <w:rPr>
        <w:rFonts w:hint="default"/>
        <w:lang w:val="en-US" w:eastAsia="zh-CN" w:bidi="ar-SA"/>
      </w:rPr>
    </w:lvl>
    <w:lvl w:ilvl="4" w:tentative="0">
      <w:start w:val="0"/>
      <w:numFmt w:val="bullet"/>
      <w:lvlText w:val="•"/>
      <w:lvlJc w:val="left"/>
      <w:pPr>
        <w:ind w:left="4782" w:hanging="528"/>
      </w:pPr>
      <w:rPr>
        <w:rFonts w:hint="default"/>
        <w:lang w:val="en-US" w:eastAsia="zh-CN" w:bidi="ar-SA"/>
      </w:rPr>
    </w:lvl>
    <w:lvl w:ilvl="5" w:tentative="0">
      <w:start w:val="0"/>
      <w:numFmt w:val="bullet"/>
      <w:lvlText w:val="•"/>
      <w:lvlJc w:val="left"/>
      <w:pPr>
        <w:ind w:left="5662" w:hanging="528"/>
      </w:pPr>
      <w:rPr>
        <w:rFonts w:hint="default"/>
        <w:lang w:val="en-US" w:eastAsia="zh-CN" w:bidi="ar-SA"/>
      </w:rPr>
    </w:lvl>
    <w:lvl w:ilvl="6" w:tentative="0">
      <w:start w:val="0"/>
      <w:numFmt w:val="bullet"/>
      <w:lvlText w:val="•"/>
      <w:lvlJc w:val="left"/>
      <w:pPr>
        <w:ind w:left="6543" w:hanging="528"/>
      </w:pPr>
      <w:rPr>
        <w:rFonts w:hint="default"/>
        <w:lang w:val="en-US" w:eastAsia="zh-CN" w:bidi="ar-SA"/>
      </w:rPr>
    </w:lvl>
    <w:lvl w:ilvl="7" w:tentative="0">
      <w:start w:val="0"/>
      <w:numFmt w:val="bullet"/>
      <w:lvlText w:val="•"/>
      <w:lvlJc w:val="left"/>
      <w:pPr>
        <w:ind w:left="7423" w:hanging="528"/>
      </w:pPr>
      <w:rPr>
        <w:rFonts w:hint="default"/>
        <w:lang w:val="en-US" w:eastAsia="zh-CN" w:bidi="ar-SA"/>
      </w:rPr>
    </w:lvl>
    <w:lvl w:ilvl="8" w:tentative="0">
      <w:start w:val="0"/>
      <w:numFmt w:val="bullet"/>
      <w:lvlText w:val="•"/>
      <w:lvlJc w:val="left"/>
      <w:pPr>
        <w:ind w:left="8304" w:hanging="528"/>
      </w:pPr>
      <w:rPr>
        <w:rFonts w:hint="default"/>
        <w:lang w:val="en-US" w:eastAsia="zh-CN" w:bidi="ar-SA"/>
      </w:rPr>
    </w:lvl>
  </w:abstractNum>
  <w:abstractNum w:abstractNumId="27">
    <w:nsid w:val="D5549333"/>
    <w:multiLevelType w:val="multilevel"/>
    <w:tmpl w:val="D5549333"/>
    <w:lvl w:ilvl="0" w:tentative="0">
      <w:start w:val="1"/>
      <w:numFmt w:val="decimal"/>
      <w:lvlText w:val="（%1）"/>
      <w:lvlJc w:val="left"/>
      <w:pPr>
        <w:ind w:left="426" w:hanging="528"/>
        <w:jc w:val="left"/>
      </w:pPr>
      <w:rPr>
        <w:rFonts w:hint="default" w:ascii="宋体" w:hAnsi="宋体" w:eastAsia="宋体" w:cs="宋体"/>
        <w:b w:val="0"/>
        <w:bCs w:val="0"/>
        <w:i w:val="0"/>
        <w:iCs w:val="0"/>
        <w:spacing w:val="1"/>
        <w:w w:val="95"/>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28">
    <w:nsid w:val="D7CC6ECF"/>
    <w:multiLevelType w:val="multilevel"/>
    <w:tmpl w:val="D7CC6ECF"/>
    <w:lvl w:ilvl="0" w:tentative="0">
      <w:start w:val="2"/>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29">
    <w:nsid w:val="DD11FB75"/>
    <w:multiLevelType w:val="multilevel"/>
    <w:tmpl w:val="DD11FB75"/>
    <w:lvl w:ilvl="0" w:tentative="0">
      <w:start w:val="1"/>
      <w:numFmt w:val="decimal"/>
      <w:lvlText w:val="%1."/>
      <w:lvlJc w:val="left"/>
      <w:pPr>
        <w:ind w:left="742" w:hanging="316"/>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decimal"/>
      <w:lvlText w:val="%1.%2"/>
      <w:lvlJc w:val="left"/>
      <w:pPr>
        <w:ind w:left="952"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580" w:hanging="735"/>
        <w:jc w:val="left"/>
      </w:pPr>
      <w:rPr>
        <w:rFonts w:hint="default" w:ascii="宋体" w:hAnsi="宋体" w:eastAsia="宋体" w:cs="宋体"/>
        <w:b w:val="0"/>
        <w:bCs w:val="0"/>
        <w:i w:val="0"/>
        <w:iCs w:val="0"/>
        <w:spacing w:val="-2"/>
        <w:w w:val="99"/>
        <w:sz w:val="21"/>
        <w:szCs w:val="21"/>
        <w:lang w:val="en-US" w:eastAsia="zh-CN" w:bidi="ar-SA"/>
      </w:rPr>
    </w:lvl>
    <w:lvl w:ilvl="3" w:tentative="0">
      <w:start w:val="1"/>
      <w:numFmt w:val="decimal"/>
      <w:lvlText w:val="%1.%2.%3.%4"/>
      <w:lvlJc w:val="left"/>
      <w:pPr>
        <w:ind w:left="426" w:hanging="946"/>
        <w:jc w:val="left"/>
      </w:pPr>
      <w:rPr>
        <w:rFonts w:hint="default" w:ascii="宋体" w:hAnsi="宋体" w:eastAsia="宋体" w:cs="宋体"/>
        <w:b w:val="0"/>
        <w:bCs w:val="0"/>
        <w:i w:val="0"/>
        <w:iCs w:val="0"/>
        <w:spacing w:val="-2"/>
        <w:w w:val="99"/>
        <w:sz w:val="21"/>
        <w:szCs w:val="21"/>
        <w:lang w:val="en-US" w:eastAsia="zh-CN" w:bidi="ar-SA"/>
      </w:rPr>
    </w:lvl>
    <w:lvl w:ilvl="4" w:tentative="0">
      <w:start w:val="0"/>
      <w:numFmt w:val="bullet"/>
      <w:lvlText w:val="•"/>
      <w:lvlJc w:val="left"/>
      <w:pPr>
        <w:ind w:left="1800" w:hanging="946"/>
      </w:pPr>
      <w:rPr>
        <w:rFonts w:hint="default"/>
        <w:lang w:val="en-US" w:eastAsia="zh-CN" w:bidi="ar-SA"/>
      </w:rPr>
    </w:lvl>
    <w:lvl w:ilvl="5" w:tentative="0">
      <w:start w:val="0"/>
      <w:numFmt w:val="bullet"/>
      <w:lvlText w:val="•"/>
      <w:lvlJc w:val="left"/>
      <w:pPr>
        <w:ind w:left="3177" w:hanging="946"/>
      </w:pPr>
      <w:rPr>
        <w:rFonts w:hint="default"/>
        <w:lang w:val="en-US" w:eastAsia="zh-CN" w:bidi="ar-SA"/>
      </w:rPr>
    </w:lvl>
    <w:lvl w:ilvl="6" w:tentative="0">
      <w:start w:val="0"/>
      <w:numFmt w:val="bullet"/>
      <w:lvlText w:val="•"/>
      <w:lvlJc w:val="left"/>
      <w:pPr>
        <w:ind w:left="4555" w:hanging="946"/>
      </w:pPr>
      <w:rPr>
        <w:rFonts w:hint="default"/>
        <w:lang w:val="en-US" w:eastAsia="zh-CN" w:bidi="ar-SA"/>
      </w:rPr>
    </w:lvl>
    <w:lvl w:ilvl="7" w:tentative="0">
      <w:start w:val="0"/>
      <w:numFmt w:val="bullet"/>
      <w:lvlText w:val="•"/>
      <w:lvlJc w:val="left"/>
      <w:pPr>
        <w:ind w:left="5932" w:hanging="946"/>
      </w:pPr>
      <w:rPr>
        <w:rFonts w:hint="default"/>
        <w:lang w:val="en-US" w:eastAsia="zh-CN" w:bidi="ar-SA"/>
      </w:rPr>
    </w:lvl>
    <w:lvl w:ilvl="8" w:tentative="0">
      <w:start w:val="0"/>
      <w:numFmt w:val="bullet"/>
      <w:lvlText w:val="•"/>
      <w:lvlJc w:val="left"/>
      <w:pPr>
        <w:ind w:left="7310" w:hanging="946"/>
      </w:pPr>
      <w:rPr>
        <w:rFonts w:hint="default"/>
        <w:lang w:val="en-US" w:eastAsia="zh-CN" w:bidi="ar-SA"/>
      </w:rPr>
    </w:lvl>
  </w:abstractNum>
  <w:abstractNum w:abstractNumId="30">
    <w:nsid w:val="DDDA987A"/>
    <w:multiLevelType w:val="singleLevel"/>
    <w:tmpl w:val="DDDA987A"/>
    <w:lvl w:ilvl="0" w:tentative="0">
      <w:start w:val="1"/>
      <w:numFmt w:val="chineseCounting"/>
      <w:suff w:val="nothing"/>
      <w:lvlText w:val="%1、"/>
      <w:lvlJc w:val="left"/>
      <w:rPr>
        <w:rFonts w:hint="eastAsia"/>
      </w:rPr>
    </w:lvl>
  </w:abstractNum>
  <w:abstractNum w:abstractNumId="31">
    <w:nsid w:val="DF8237B1"/>
    <w:multiLevelType w:val="multilevel"/>
    <w:tmpl w:val="DF8237B1"/>
    <w:lvl w:ilvl="0" w:tentative="0">
      <w:start w:val="13"/>
      <w:numFmt w:val="decimal"/>
      <w:lvlText w:val="%1"/>
      <w:lvlJc w:val="left"/>
      <w:pPr>
        <w:ind w:left="1686" w:hanging="840"/>
        <w:jc w:val="left"/>
      </w:pPr>
      <w:rPr>
        <w:rFonts w:hint="default"/>
        <w:lang w:val="en-US" w:eastAsia="zh-CN" w:bidi="ar-SA"/>
      </w:rPr>
    </w:lvl>
    <w:lvl w:ilvl="1" w:tentative="0">
      <w:start w:val="5"/>
      <w:numFmt w:val="decimal"/>
      <w:lvlText w:val="%1.%2"/>
      <w:lvlJc w:val="left"/>
      <w:pPr>
        <w:ind w:left="1686" w:hanging="840"/>
        <w:jc w:val="left"/>
      </w:pPr>
      <w:rPr>
        <w:rFonts w:hint="default"/>
        <w:lang w:val="en-US" w:eastAsia="zh-CN" w:bidi="ar-SA"/>
      </w:rPr>
    </w:lvl>
    <w:lvl w:ilvl="2" w:tentative="0">
      <w:start w:val="3"/>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4195" w:hanging="840"/>
      </w:pPr>
      <w:rPr>
        <w:rFonts w:hint="default"/>
        <w:lang w:val="en-US" w:eastAsia="zh-CN" w:bidi="ar-SA"/>
      </w:rPr>
    </w:lvl>
    <w:lvl w:ilvl="4" w:tentative="0">
      <w:start w:val="0"/>
      <w:numFmt w:val="bullet"/>
      <w:lvlText w:val="•"/>
      <w:lvlJc w:val="left"/>
      <w:pPr>
        <w:ind w:left="5034" w:hanging="840"/>
      </w:pPr>
      <w:rPr>
        <w:rFonts w:hint="default"/>
        <w:lang w:val="en-US" w:eastAsia="zh-CN" w:bidi="ar-SA"/>
      </w:rPr>
    </w:lvl>
    <w:lvl w:ilvl="5" w:tentative="0">
      <w:start w:val="0"/>
      <w:numFmt w:val="bullet"/>
      <w:lvlText w:val="•"/>
      <w:lvlJc w:val="left"/>
      <w:pPr>
        <w:ind w:left="5872" w:hanging="840"/>
      </w:pPr>
      <w:rPr>
        <w:rFonts w:hint="default"/>
        <w:lang w:val="en-US" w:eastAsia="zh-CN" w:bidi="ar-SA"/>
      </w:rPr>
    </w:lvl>
    <w:lvl w:ilvl="6" w:tentative="0">
      <w:start w:val="0"/>
      <w:numFmt w:val="bullet"/>
      <w:lvlText w:val="•"/>
      <w:lvlJc w:val="left"/>
      <w:pPr>
        <w:ind w:left="6711" w:hanging="840"/>
      </w:pPr>
      <w:rPr>
        <w:rFonts w:hint="default"/>
        <w:lang w:val="en-US" w:eastAsia="zh-CN" w:bidi="ar-SA"/>
      </w:rPr>
    </w:lvl>
    <w:lvl w:ilvl="7" w:tentative="0">
      <w:start w:val="0"/>
      <w:numFmt w:val="bullet"/>
      <w:lvlText w:val="•"/>
      <w:lvlJc w:val="left"/>
      <w:pPr>
        <w:ind w:left="7549" w:hanging="840"/>
      </w:pPr>
      <w:rPr>
        <w:rFonts w:hint="default"/>
        <w:lang w:val="en-US" w:eastAsia="zh-CN" w:bidi="ar-SA"/>
      </w:rPr>
    </w:lvl>
    <w:lvl w:ilvl="8" w:tentative="0">
      <w:start w:val="0"/>
      <w:numFmt w:val="bullet"/>
      <w:lvlText w:val="•"/>
      <w:lvlJc w:val="left"/>
      <w:pPr>
        <w:ind w:left="8388" w:hanging="840"/>
      </w:pPr>
      <w:rPr>
        <w:rFonts w:hint="default"/>
        <w:lang w:val="en-US" w:eastAsia="zh-CN" w:bidi="ar-SA"/>
      </w:rPr>
    </w:lvl>
  </w:abstractNum>
  <w:abstractNum w:abstractNumId="32">
    <w:nsid w:val="E1897B64"/>
    <w:multiLevelType w:val="multilevel"/>
    <w:tmpl w:val="E1897B64"/>
    <w:lvl w:ilvl="0" w:tentative="0">
      <w:start w:val="1"/>
      <w:numFmt w:val="decimal"/>
      <w:lvlText w:val="（%1）"/>
      <w:lvlJc w:val="left"/>
      <w:pPr>
        <w:ind w:left="426" w:hanging="525"/>
        <w:jc w:val="left"/>
      </w:pPr>
      <w:rPr>
        <w:rFonts w:hint="default" w:ascii="宋体" w:hAnsi="宋体" w:eastAsia="宋体" w:cs="宋体"/>
        <w:b w:val="0"/>
        <w:bCs w:val="0"/>
        <w:i w:val="0"/>
        <w:iCs w:val="0"/>
        <w:spacing w:val="-63"/>
        <w:w w:val="99"/>
        <w:sz w:val="19"/>
        <w:szCs w:val="19"/>
        <w:lang w:val="en-US" w:eastAsia="zh-CN" w:bidi="ar-SA"/>
      </w:rPr>
    </w:lvl>
    <w:lvl w:ilvl="1" w:tentative="0">
      <w:start w:val="1"/>
      <w:numFmt w:val="lowerLetter"/>
      <w:lvlText w:val="%2."/>
      <w:lvlJc w:val="left"/>
      <w:pPr>
        <w:ind w:left="426" w:hanging="336"/>
        <w:jc w:val="left"/>
      </w:pPr>
      <w:rPr>
        <w:rFonts w:hint="default" w:ascii="宋体" w:hAnsi="宋体" w:eastAsia="宋体" w:cs="宋体"/>
        <w:b w:val="0"/>
        <w:bCs w:val="0"/>
        <w:i w:val="0"/>
        <w:iCs w:val="0"/>
        <w:spacing w:val="10"/>
        <w:w w:val="83"/>
        <w:sz w:val="19"/>
        <w:szCs w:val="19"/>
        <w:lang w:val="en-US" w:eastAsia="zh-CN" w:bidi="ar-SA"/>
      </w:rPr>
    </w:lvl>
    <w:lvl w:ilvl="2" w:tentative="0">
      <w:start w:val="0"/>
      <w:numFmt w:val="bullet"/>
      <w:lvlText w:val="•"/>
      <w:lvlJc w:val="left"/>
      <w:pPr>
        <w:ind w:left="2349" w:hanging="336"/>
      </w:pPr>
      <w:rPr>
        <w:rFonts w:hint="default"/>
        <w:lang w:val="en-US" w:eastAsia="zh-CN" w:bidi="ar-SA"/>
      </w:rPr>
    </w:lvl>
    <w:lvl w:ilvl="3" w:tentative="0">
      <w:start w:val="0"/>
      <w:numFmt w:val="bullet"/>
      <w:lvlText w:val="•"/>
      <w:lvlJc w:val="left"/>
      <w:pPr>
        <w:ind w:left="3313" w:hanging="336"/>
      </w:pPr>
      <w:rPr>
        <w:rFonts w:hint="default"/>
        <w:lang w:val="en-US" w:eastAsia="zh-CN" w:bidi="ar-SA"/>
      </w:rPr>
    </w:lvl>
    <w:lvl w:ilvl="4" w:tentative="0">
      <w:start w:val="0"/>
      <w:numFmt w:val="bullet"/>
      <w:lvlText w:val="•"/>
      <w:lvlJc w:val="left"/>
      <w:pPr>
        <w:ind w:left="4278" w:hanging="336"/>
      </w:pPr>
      <w:rPr>
        <w:rFonts w:hint="default"/>
        <w:lang w:val="en-US" w:eastAsia="zh-CN" w:bidi="ar-SA"/>
      </w:rPr>
    </w:lvl>
    <w:lvl w:ilvl="5" w:tentative="0">
      <w:start w:val="0"/>
      <w:numFmt w:val="bullet"/>
      <w:lvlText w:val="•"/>
      <w:lvlJc w:val="left"/>
      <w:pPr>
        <w:ind w:left="5242" w:hanging="336"/>
      </w:pPr>
      <w:rPr>
        <w:rFonts w:hint="default"/>
        <w:lang w:val="en-US" w:eastAsia="zh-CN" w:bidi="ar-SA"/>
      </w:rPr>
    </w:lvl>
    <w:lvl w:ilvl="6" w:tentative="0">
      <w:start w:val="0"/>
      <w:numFmt w:val="bullet"/>
      <w:lvlText w:val="•"/>
      <w:lvlJc w:val="left"/>
      <w:pPr>
        <w:ind w:left="6207" w:hanging="336"/>
      </w:pPr>
      <w:rPr>
        <w:rFonts w:hint="default"/>
        <w:lang w:val="en-US" w:eastAsia="zh-CN" w:bidi="ar-SA"/>
      </w:rPr>
    </w:lvl>
    <w:lvl w:ilvl="7" w:tentative="0">
      <w:start w:val="0"/>
      <w:numFmt w:val="bullet"/>
      <w:lvlText w:val="•"/>
      <w:lvlJc w:val="left"/>
      <w:pPr>
        <w:ind w:left="7171" w:hanging="336"/>
      </w:pPr>
      <w:rPr>
        <w:rFonts w:hint="default"/>
        <w:lang w:val="en-US" w:eastAsia="zh-CN" w:bidi="ar-SA"/>
      </w:rPr>
    </w:lvl>
    <w:lvl w:ilvl="8" w:tentative="0">
      <w:start w:val="0"/>
      <w:numFmt w:val="bullet"/>
      <w:lvlText w:val="•"/>
      <w:lvlJc w:val="left"/>
      <w:pPr>
        <w:ind w:left="8136" w:hanging="336"/>
      </w:pPr>
      <w:rPr>
        <w:rFonts w:hint="default"/>
        <w:lang w:val="en-US" w:eastAsia="zh-CN" w:bidi="ar-SA"/>
      </w:rPr>
    </w:lvl>
  </w:abstractNum>
  <w:abstractNum w:abstractNumId="33">
    <w:nsid w:val="E1B604EB"/>
    <w:multiLevelType w:val="multilevel"/>
    <w:tmpl w:val="E1B604EB"/>
    <w:lvl w:ilvl="0" w:tentative="0">
      <w:start w:val="9"/>
      <w:numFmt w:val="decimal"/>
      <w:lvlText w:val="%1"/>
      <w:lvlJc w:val="left"/>
      <w:pPr>
        <w:ind w:left="952" w:hanging="526"/>
        <w:jc w:val="left"/>
      </w:pPr>
      <w:rPr>
        <w:rFonts w:hint="default"/>
        <w:lang w:val="en-US" w:eastAsia="zh-CN" w:bidi="ar-SA"/>
      </w:rPr>
    </w:lvl>
    <w:lvl w:ilvl="1" w:tentative="0">
      <w:start w:val="1"/>
      <w:numFmt w:val="decimal"/>
      <w:lvlText w:val="%1.%2"/>
      <w:lvlJc w:val="left"/>
      <w:pPr>
        <w:ind w:left="952"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735"/>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983" w:hanging="735"/>
      </w:pPr>
      <w:rPr>
        <w:rFonts w:hint="default"/>
        <w:lang w:val="en-US" w:eastAsia="zh-CN" w:bidi="ar-SA"/>
      </w:rPr>
    </w:lvl>
    <w:lvl w:ilvl="4" w:tentative="0">
      <w:start w:val="0"/>
      <w:numFmt w:val="bullet"/>
      <w:lvlText w:val="•"/>
      <w:lvlJc w:val="left"/>
      <w:pPr>
        <w:ind w:left="3995" w:hanging="735"/>
      </w:pPr>
      <w:rPr>
        <w:rFonts w:hint="default"/>
        <w:lang w:val="en-US" w:eastAsia="zh-CN" w:bidi="ar-SA"/>
      </w:rPr>
    </w:lvl>
    <w:lvl w:ilvl="5" w:tentative="0">
      <w:start w:val="0"/>
      <w:numFmt w:val="bullet"/>
      <w:lvlText w:val="•"/>
      <w:lvlJc w:val="left"/>
      <w:pPr>
        <w:ind w:left="5006" w:hanging="735"/>
      </w:pPr>
      <w:rPr>
        <w:rFonts w:hint="default"/>
        <w:lang w:val="en-US" w:eastAsia="zh-CN" w:bidi="ar-SA"/>
      </w:rPr>
    </w:lvl>
    <w:lvl w:ilvl="6" w:tentative="0">
      <w:start w:val="0"/>
      <w:numFmt w:val="bullet"/>
      <w:lvlText w:val="•"/>
      <w:lvlJc w:val="left"/>
      <w:pPr>
        <w:ind w:left="6018" w:hanging="735"/>
      </w:pPr>
      <w:rPr>
        <w:rFonts w:hint="default"/>
        <w:lang w:val="en-US" w:eastAsia="zh-CN" w:bidi="ar-SA"/>
      </w:rPr>
    </w:lvl>
    <w:lvl w:ilvl="7" w:tentative="0">
      <w:start w:val="0"/>
      <w:numFmt w:val="bullet"/>
      <w:lvlText w:val="•"/>
      <w:lvlJc w:val="left"/>
      <w:pPr>
        <w:ind w:left="7030" w:hanging="735"/>
      </w:pPr>
      <w:rPr>
        <w:rFonts w:hint="default"/>
        <w:lang w:val="en-US" w:eastAsia="zh-CN" w:bidi="ar-SA"/>
      </w:rPr>
    </w:lvl>
    <w:lvl w:ilvl="8" w:tentative="0">
      <w:start w:val="0"/>
      <w:numFmt w:val="bullet"/>
      <w:lvlText w:val="•"/>
      <w:lvlJc w:val="left"/>
      <w:pPr>
        <w:ind w:left="8041" w:hanging="735"/>
      </w:pPr>
      <w:rPr>
        <w:rFonts w:hint="default"/>
        <w:lang w:val="en-US" w:eastAsia="zh-CN" w:bidi="ar-SA"/>
      </w:rPr>
    </w:lvl>
  </w:abstractNum>
  <w:abstractNum w:abstractNumId="34">
    <w:nsid w:val="E5DF7149"/>
    <w:multiLevelType w:val="multilevel"/>
    <w:tmpl w:val="E5DF7149"/>
    <w:lvl w:ilvl="0" w:tentative="0">
      <w:start w:val="22"/>
      <w:numFmt w:val="decimal"/>
      <w:lvlText w:val="%1"/>
      <w:lvlJc w:val="left"/>
      <w:pPr>
        <w:ind w:left="1096" w:hanging="670"/>
        <w:jc w:val="left"/>
      </w:pPr>
      <w:rPr>
        <w:rFonts w:hint="default"/>
        <w:lang w:val="en-US" w:eastAsia="zh-CN" w:bidi="ar-SA"/>
      </w:rPr>
    </w:lvl>
    <w:lvl w:ilvl="1" w:tentative="0">
      <w:start w:val="1"/>
      <w:numFmt w:val="decimal"/>
      <w:lvlText w:val="%1.%2"/>
      <w:lvlJc w:val="left"/>
      <w:pPr>
        <w:ind w:left="1096" w:hanging="670"/>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756" w:hanging="891"/>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605" w:hanging="891"/>
      </w:pPr>
      <w:rPr>
        <w:rFonts w:hint="default"/>
        <w:lang w:val="en-US" w:eastAsia="zh-CN" w:bidi="ar-SA"/>
      </w:rPr>
    </w:lvl>
    <w:lvl w:ilvl="4" w:tentative="0">
      <w:start w:val="0"/>
      <w:numFmt w:val="bullet"/>
      <w:lvlText w:val="•"/>
      <w:lvlJc w:val="left"/>
      <w:pPr>
        <w:ind w:left="4528" w:hanging="891"/>
      </w:pPr>
      <w:rPr>
        <w:rFonts w:hint="default"/>
        <w:lang w:val="en-US" w:eastAsia="zh-CN" w:bidi="ar-SA"/>
      </w:rPr>
    </w:lvl>
    <w:lvl w:ilvl="5" w:tentative="0">
      <w:start w:val="0"/>
      <w:numFmt w:val="bullet"/>
      <w:lvlText w:val="•"/>
      <w:lvlJc w:val="left"/>
      <w:pPr>
        <w:ind w:left="5451" w:hanging="891"/>
      </w:pPr>
      <w:rPr>
        <w:rFonts w:hint="default"/>
        <w:lang w:val="en-US" w:eastAsia="zh-CN" w:bidi="ar-SA"/>
      </w:rPr>
    </w:lvl>
    <w:lvl w:ilvl="6" w:tentative="0">
      <w:start w:val="0"/>
      <w:numFmt w:val="bullet"/>
      <w:lvlText w:val="•"/>
      <w:lvlJc w:val="left"/>
      <w:pPr>
        <w:ind w:left="6373" w:hanging="891"/>
      </w:pPr>
      <w:rPr>
        <w:rFonts w:hint="default"/>
        <w:lang w:val="en-US" w:eastAsia="zh-CN" w:bidi="ar-SA"/>
      </w:rPr>
    </w:lvl>
    <w:lvl w:ilvl="7" w:tentative="0">
      <w:start w:val="0"/>
      <w:numFmt w:val="bullet"/>
      <w:lvlText w:val="•"/>
      <w:lvlJc w:val="left"/>
      <w:pPr>
        <w:ind w:left="7296" w:hanging="891"/>
      </w:pPr>
      <w:rPr>
        <w:rFonts w:hint="default"/>
        <w:lang w:val="en-US" w:eastAsia="zh-CN" w:bidi="ar-SA"/>
      </w:rPr>
    </w:lvl>
    <w:lvl w:ilvl="8" w:tentative="0">
      <w:start w:val="0"/>
      <w:numFmt w:val="bullet"/>
      <w:lvlText w:val="•"/>
      <w:lvlJc w:val="left"/>
      <w:pPr>
        <w:ind w:left="8219" w:hanging="891"/>
      </w:pPr>
      <w:rPr>
        <w:rFonts w:hint="default"/>
        <w:lang w:val="en-US" w:eastAsia="zh-CN" w:bidi="ar-SA"/>
      </w:rPr>
    </w:lvl>
  </w:abstractNum>
  <w:abstractNum w:abstractNumId="35">
    <w:nsid w:val="E6F2DC24"/>
    <w:multiLevelType w:val="multilevel"/>
    <w:tmpl w:val="E6F2DC24"/>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36">
    <w:nsid w:val="E791404B"/>
    <w:multiLevelType w:val="multilevel"/>
    <w:tmpl w:val="E791404B"/>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37">
    <w:nsid w:val="EB5CE68D"/>
    <w:multiLevelType w:val="singleLevel"/>
    <w:tmpl w:val="EB5CE68D"/>
    <w:lvl w:ilvl="0" w:tentative="0">
      <w:start w:val="1"/>
      <w:numFmt w:val="decimal"/>
      <w:suff w:val="nothing"/>
      <w:lvlText w:val="（%1）"/>
      <w:lvlJc w:val="left"/>
    </w:lvl>
  </w:abstractNum>
  <w:abstractNum w:abstractNumId="38">
    <w:nsid w:val="EE45B484"/>
    <w:multiLevelType w:val="multilevel"/>
    <w:tmpl w:val="EE45B484"/>
    <w:lvl w:ilvl="0" w:tentative="0">
      <w:start w:val="1"/>
      <w:numFmt w:val="decimal"/>
      <w:lvlText w:val="（%1）"/>
      <w:lvlJc w:val="left"/>
      <w:pPr>
        <w:ind w:left="426" w:hanging="525"/>
        <w:jc w:val="left"/>
      </w:pPr>
      <w:rPr>
        <w:rFonts w:hint="default" w:ascii="宋体" w:hAnsi="宋体" w:eastAsia="宋体" w:cs="宋体"/>
        <w:b w:val="0"/>
        <w:bCs w:val="0"/>
        <w:i w:val="0"/>
        <w:iCs w:val="0"/>
        <w:spacing w:val="-20"/>
        <w:w w:val="99"/>
        <w:sz w:val="19"/>
        <w:szCs w:val="19"/>
        <w:lang w:val="en-US" w:eastAsia="zh-CN" w:bidi="ar-SA"/>
      </w:rPr>
    </w:lvl>
    <w:lvl w:ilvl="1" w:tentative="0">
      <w:start w:val="0"/>
      <w:numFmt w:val="bullet"/>
      <w:lvlText w:val="•"/>
      <w:lvlJc w:val="left"/>
      <w:pPr>
        <w:ind w:left="1384" w:hanging="525"/>
      </w:pPr>
      <w:rPr>
        <w:rFonts w:hint="default"/>
        <w:lang w:val="en-US" w:eastAsia="zh-CN" w:bidi="ar-SA"/>
      </w:rPr>
    </w:lvl>
    <w:lvl w:ilvl="2" w:tentative="0">
      <w:start w:val="0"/>
      <w:numFmt w:val="bullet"/>
      <w:lvlText w:val="•"/>
      <w:lvlJc w:val="left"/>
      <w:pPr>
        <w:ind w:left="2349" w:hanging="525"/>
      </w:pPr>
      <w:rPr>
        <w:rFonts w:hint="default"/>
        <w:lang w:val="en-US" w:eastAsia="zh-CN" w:bidi="ar-SA"/>
      </w:rPr>
    </w:lvl>
    <w:lvl w:ilvl="3" w:tentative="0">
      <w:start w:val="0"/>
      <w:numFmt w:val="bullet"/>
      <w:lvlText w:val="•"/>
      <w:lvlJc w:val="left"/>
      <w:pPr>
        <w:ind w:left="3313" w:hanging="525"/>
      </w:pPr>
      <w:rPr>
        <w:rFonts w:hint="default"/>
        <w:lang w:val="en-US" w:eastAsia="zh-CN" w:bidi="ar-SA"/>
      </w:rPr>
    </w:lvl>
    <w:lvl w:ilvl="4" w:tentative="0">
      <w:start w:val="0"/>
      <w:numFmt w:val="bullet"/>
      <w:lvlText w:val="•"/>
      <w:lvlJc w:val="left"/>
      <w:pPr>
        <w:ind w:left="4278" w:hanging="525"/>
      </w:pPr>
      <w:rPr>
        <w:rFonts w:hint="default"/>
        <w:lang w:val="en-US" w:eastAsia="zh-CN" w:bidi="ar-SA"/>
      </w:rPr>
    </w:lvl>
    <w:lvl w:ilvl="5" w:tentative="0">
      <w:start w:val="0"/>
      <w:numFmt w:val="bullet"/>
      <w:lvlText w:val="•"/>
      <w:lvlJc w:val="left"/>
      <w:pPr>
        <w:ind w:left="5242" w:hanging="525"/>
      </w:pPr>
      <w:rPr>
        <w:rFonts w:hint="default"/>
        <w:lang w:val="en-US" w:eastAsia="zh-CN" w:bidi="ar-SA"/>
      </w:rPr>
    </w:lvl>
    <w:lvl w:ilvl="6" w:tentative="0">
      <w:start w:val="0"/>
      <w:numFmt w:val="bullet"/>
      <w:lvlText w:val="•"/>
      <w:lvlJc w:val="left"/>
      <w:pPr>
        <w:ind w:left="6207" w:hanging="525"/>
      </w:pPr>
      <w:rPr>
        <w:rFonts w:hint="default"/>
        <w:lang w:val="en-US" w:eastAsia="zh-CN" w:bidi="ar-SA"/>
      </w:rPr>
    </w:lvl>
    <w:lvl w:ilvl="7" w:tentative="0">
      <w:start w:val="0"/>
      <w:numFmt w:val="bullet"/>
      <w:lvlText w:val="•"/>
      <w:lvlJc w:val="left"/>
      <w:pPr>
        <w:ind w:left="7171" w:hanging="525"/>
      </w:pPr>
      <w:rPr>
        <w:rFonts w:hint="default"/>
        <w:lang w:val="en-US" w:eastAsia="zh-CN" w:bidi="ar-SA"/>
      </w:rPr>
    </w:lvl>
    <w:lvl w:ilvl="8" w:tentative="0">
      <w:start w:val="0"/>
      <w:numFmt w:val="bullet"/>
      <w:lvlText w:val="•"/>
      <w:lvlJc w:val="left"/>
      <w:pPr>
        <w:ind w:left="8136" w:hanging="525"/>
      </w:pPr>
      <w:rPr>
        <w:rFonts w:hint="default"/>
        <w:lang w:val="en-US" w:eastAsia="zh-CN" w:bidi="ar-SA"/>
      </w:rPr>
    </w:lvl>
  </w:abstractNum>
  <w:abstractNum w:abstractNumId="39">
    <w:nsid w:val="FBA37B22"/>
    <w:multiLevelType w:val="multilevel"/>
    <w:tmpl w:val="FBA37B22"/>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40">
    <w:nsid w:val="FFFFFF80"/>
    <w:multiLevelType w:val="singleLevel"/>
    <w:tmpl w:val="FFFFFF80"/>
    <w:lvl w:ilvl="0" w:tentative="0">
      <w:start w:val="1"/>
      <w:numFmt w:val="bullet"/>
      <w:pStyle w:val="28"/>
      <w:lvlText w:val=""/>
      <w:lvlJc w:val="left"/>
      <w:pPr>
        <w:tabs>
          <w:tab w:val="left" w:pos="2040"/>
        </w:tabs>
        <w:ind w:left="2040" w:hanging="360"/>
      </w:pPr>
      <w:rPr>
        <w:rFonts w:hint="default" w:ascii="Wingdings" w:hAnsi="Wingdings"/>
      </w:rPr>
    </w:lvl>
  </w:abstractNum>
  <w:abstractNum w:abstractNumId="4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42">
    <w:nsid w:val="FFFFFF82"/>
    <w:multiLevelType w:val="singleLevel"/>
    <w:tmpl w:val="FFFFFF82"/>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43">
    <w:nsid w:val="FFFFFF83"/>
    <w:multiLevelType w:val="singleLevel"/>
    <w:tmpl w:val="FFFFFF83"/>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44">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45">
    <w:nsid w:val="00000026"/>
    <w:multiLevelType w:val="multilevel"/>
    <w:tmpl w:val="00000026"/>
    <w:lvl w:ilvl="0" w:tentative="0">
      <w:start w:val="1"/>
      <w:numFmt w:val="none"/>
      <w:pStyle w:val="160"/>
      <w:lvlText w:val="%1"/>
      <w:lvlJc w:val="left"/>
      <w:pPr>
        <w:tabs>
          <w:tab w:val="left" w:pos="360"/>
        </w:tabs>
        <w:ind w:left="0" w:firstLine="0"/>
      </w:pPr>
    </w:lvl>
    <w:lvl w:ilvl="1" w:tentative="0">
      <w:start w:val="1"/>
      <w:numFmt w:val="none"/>
      <w:lvlRestart w:val="0"/>
      <w:lvlText w:val="%1"/>
      <w:lvlJc w:val="left"/>
      <w:pPr>
        <w:tabs>
          <w:tab w:val="left" w:pos="360"/>
        </w:tabs>
        <w:ind w:left="0" w:firstLine="0"/>
      </w:pPr>
    </w:lvl>
    <w:lvl w:ilvl="2" w:tentative="0">
      <w:start w:val="1"/>
      <w:numFmt w:val="none"/>
      <w:lvlRestart w:val="0"/>
      <w:lvlText w:val="%1"/>
      <w:lvlJc w:val="left"/>
      <w:pPr>
        <w:tabs>
          <w:tab w:val="left" w:pos="360"/>
        </w:tabs>
        <w:ind w:left="0" w:firstLine="0"/>
      </w:pPr>
    </w:lvl>
    <w:lvl w:ilvl="3" w:tentative="0">
      <w:start w:val="1"/>
      <w:numFmt w:val="none"/>
      <w:lvlRestart w:val="0"/>
      <w:lvlText w:val="%1"/>
      <w:lvlJc w:val="left"/>
      <w:pPr>
        <w:tabs>
          <w:tab w:val="left" w:pos="360"/>
        </w:tabs>
        <w:ind w:left="0" w:firstLine="0"/>
      </w:pPr>
    </w:lvl>
    <w:lvl w:ilvl="4" w:tentative="0">
      <w:start w:val="1"/>
      <w:numFmt w:val="none"/>
      <w:lvlRestart w:val="0"/>
      <w:lvlText w:val="%1"/>
      <w:lvlJc w:val="left"/>
      <w:pPr>
        <w:tabs>
          <w:tab w:val="left" w:pos="360"/>
        </w:tabs>
        <w:ind w:left="0" w:firstLine="0"/>
      </w:pPr>
    </w:lvl>
    <w:lvl w:ilvl="5" w:tentative="0">
      <w:start w:val="1"/>
      <w:numFmt w:val="none"/>
      <w:lvlRestart w:val="0"/>
      <w:lvlText w:val="%1"/>
      <w:lvlJc w:val="left"/>
      <w:pPr>
        <w:tabs>
          <w:tab w:val="left" w:pos="360"/>
        </w:tabs>
        <w:ind w:left="0" w:firstLine="0"/>
      </w:pPr>
    </w:lvl>
    <w:lvl w:ilvl="6" w:tentative="0">
      <w:start w:val="1"/>
      <w:numFmt w:val="none"/>
      <w:lvlRestart w:val="0"/>
      <w:lvlText w:val="%1"/>
      <w:lvlJc w:val="left"/>
      <w:pPr>
        <w:tabs>
          <w:tab w:val="left" w:pos="360"/>
        </w:tabs>
        <w:ind w:left="0" w:firstLine="0"/>
      </w:pPr>
    </w:lvl>
    <w:lvl w:ilvl="7" w:tentative="0">
      <w:start w:val="1"/>
      <w:numFmt w:val="none"/>
      <w:lvlRestart w:val="0"/>
      <w:lvlText w:val="%1"/>
      <w:lvlJc w:val="left"/>
      <w:pPr>
        <w:tabs>
          <w:tab w:val="left" w:pos="360"/>
        </w:tabs>
        <w:ind w:left="0" w:firstLine="0"/>
      </w:pPr>
    </w:lvl>
    <w:lvl w:ilvl="8" w:tentative="0">
      <w:start w:val="1"/>
      <w:numFmt w:val="none"/>
      <w:lvlRestart w:val="0"/>
      <w:lvlText w:val="%1"/>
      <w:lvlJc w:val="left"/>
      <w:pPr>
        <w:tabs>
          <w:tab w:val="left" w:pos="360"/>
        </w:tabs>
        <w:ind w:left="0" w:firstLine="0"/>
      </w:pPr>
    </w:lvl>
  </w:abstractNum>
  <w:abstractNum w:abstractNumId="46">
    <w:nsid w:val="0217FDBC"/>
    <w:multiLevelType w:val="multilevel"/>
    <w:tmpl w:val="0217FDBC"/>
    <w:lvl w:ilvl="0" w:tentative="0">
      <w:start w:val="12"/>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843"/>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728" w:hanging="843"/>
      </w:pPr>
      <w:rPr>
        <w:rFonts w:hint="default"/>
        <w:lang w:val="en-US" w:eastAsia="zh-CN" w:bidi="ar-SA"/>
      </w:rPr>
    </w:lvl>
    <w:lvl w:ilvl="4" w:tentative="0">
      <w:start w:val="0"/>
      <w:numFmt w:val="bullet"/>
      <w:lvlText w:val="•"/>
      <w:lvlJc w:val="left"/>
      <w:pPr>
        <w:ind w:left="3776" w:hanging="843"/>
      </w:pPr>
      <w:rPr>
        <w:rFonts w:hint="default"/>
        <w:lang w:val="en-US" w:eastAsia="zh-CN" w:bidi="ar-SA"/>
      </w:rPr>
    </w:lvl>
    <w:lvl w:ilvl="5" w:tentative="0">
      <w:start w:val="0"/>
      <w:numFmt w:val="bullet"/>
      <w:lvlText w:val="•"/>
      <w:lvlJc w:val="left"/>
      <w:pPr>
        <w:ind w:left="4824" w:hanging="843"/>
      </w:pPr>
      <w:rPr>
        <w:rFonts w:hint="default"/>
        <w:lang w:val="en-US" w:eastAsia="zh-CN" w:bidi="ar-SA"/>
      </w:rPr>
    </w:lvl>
    <w:lvl w:ilvl="6" w:tentative="0">
      <w:start w:val="0"/>
      <w:numFmt w:val="bullet"/>
      <w:lvlText w:val="•"/>
      <w:lvlJc w:val="left"/>
      <w:pPr>
        <w:ind w:left="5872" w:hanging="843"/>
      </w:pPr>
      <w:rPr>
        <w:rFonts w:hint="default"/>
        <w:lang w:val="en-US" w:eastAsia="zh-CN" w:bidi="ar-SA"/>
      </w:rPr>
    </w:lvl>
    <w:lvl w:ilvl="7" w:tentative="0">
      <w:start w:val="0"/>
      <w:numFmt w:val="bullet"/>
      <w:lvlText w:val="•"/>
      <w:lvlJc w:val="left"/>
      <w:pPr>
        <w:ind w:left="6920" w:hanging="843"/>
      </w:pPr>
      <w:rPr>
        <w:rFonts w:hint="default"/>
        <w:lang w:val="en-US" w:eastAsia="zh-CN" w:bidi="ar-SA"/>
      </w:rPr>
    </w:lvl>
    <w:lvl w:ilvl="8" w:tentative="0">
      <w:start w:val="0"/>
      <w:numFmt w:val="bullet"/>
      <w:lvlText w:val="•"/>
      <w:lvlJc w:val="left"/>
      <w:pPr>
        <w:ind w:left="7968" w:hanging="843"/>
      </w:pPr>
      <w:rPr>
        <w:rFonts w:hint="default"/>
        <w:lang w:val="en-US" w:eastAsia="zh-CN" w:bidi="ar-SA"/>
      </w:rPr>
    </w:lvl>
  </w:abstractNum>
  <w:abstractNum w:abstractNumId="47">
    <w:nsid w:val="02F112FE"/>
    <w:multiLevelType w:val="multilevel"/>
    <w:tmpl w:val="02F112FE"/>
    <w:lvl w:ilvl="0" w:tentative="0">
      <w:start w:val="1"/>
      <w:numFmt w:val="decimal"/>
      <w:lvlText w:val="（%1）"/>
      <w:lvlJc w:val="left"/>
      <w:pPr>
        <w:tabs>
          <w:tab w:val="left" w:pos="1575"/>
        </w:tabs>
        <w:ind w:left="1575" w:hanging="720"/>
      </w:pPr>
    </w:lvl>
    <w:lvl w:ilvl="1" w:tentative="0">
      <w:start w:val="1"/>
      <w:numFmt w:val="lowerLetter"/>
      <w:pStyle w:val="111"/>
      <w:lvlText w:val="%2)"/>
      <w:lvlJc w:val="left"/>
      <w:pPr>
        <w:tabs>
          <w:tab w:val="left" w:pos="1695"/>
        </w:tabs>
        <w:ind w:left="1695" w:hanging="420"/>
      </w:pPr>
    </w:lvl>
    <w:lvl w:ilvl="2" w:tentative="0">
      <w:start w:val="1"/>
      <w:numFmt w:val="lowerRoman"/>
      <w:pStyle w:val="122"/>
      <w:lvlText w:val="%3."/>
      <w:lvlJc w:val="right"/>
      <w:pPr>
        <w:tabs>
          <w:tab w:val="left" w:pos="2115"/>
        </w:tabs>
        <w:ind w:left="2115" w:hanging="420"/>
      </w:pPr>
    </w:lvl>
    <w:lvl w:ilvl="3" w:tentative="0">
      <w:start w:val="1"/>
      <w:numFmt w:val="decimal"/>
      <w:pStyle w:val="131"/>
      <w:lvlText w:val="%4."/>
      <w:lvlJc w:val="left"/>
      <w:pPr>
        <w:tabs>
          <w:tab w:val="left" w:pos="2535"/>
        </w:tabs>
        <w:ind w:left="2535" w:hanging="420"/>
      </w:pPr>
    </w:lvl>
    <w:lvl w:ilvl="4" w:tentative="0">
      <w:start w:val="1"/>
      <w:numFmt w:val="lowerLetter"/>
      <w:pStyle w:val="225"/>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48">
    <w:nsid w:val="063B2C10"/>
    <w:multiLevelType w:val="multilevel"/>
    <w:tmpl w:val="063B2C10"/>
    <w:lvl w:ilvl="0" w:tentative="0">
      <w:start w:val="1"/>
      <w:numFmt w:val="decimal"/>
      <w:pStyle w:val="144"/>
      <w:lvlText w:val="（%1）"/>
      <w:lvlJc w:val="left"/>
      <w:pPr>
        <w:tabs>
          <w:tab w:val="left" w:pos="720"/>
        </w:tabs>
        <w:ind w:left="720" w:hanging="720"/>
      </w:pPr>
    </w:lvl>
    <w:lvl w:ilvl="1" w:tentative="0">
      <w:start w:val="1"/>
      <w:numFmt w:val="upperLetter"/>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6AFD877"/>
    <w:multiLevelType w:val="multilevel"/>
    <w:tmpl w:val="06AFD877"/>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50">
    <w:nsid w:val="06BF3632"/>
    <w:multiLevelType w:val="multilevel"/>
    <w:tmpl w:val="06BF3632"/>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51">
    <w:nsid w:val="07F527ED"/>
    <w:multiLevelType w:val="multilevel"/>
    <w:tmpl w:val="07F527ED"/>
    <w:lvl w:ilvl="0" w:tentative="0">
      <w:start w:val="22"/>
      <w:numFmt w:val="decimal"/>
      <w:lvlText w:val="%1."/>
      <w:lvlJc w:val="left"/>
      <w:pPr>
        <w:ind w:left="845" w:hanging="419"/>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1.%2"/>
      <w:lvlJc w:val="left"/>
      <w:pPr>
        <w:ind w:left="1055" w:hanging="629"/>
        <w:jc w:val="righ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1680" w:hanging="840"/>
      </w:pPr>
      <w:rPr>
        <w:rFonts w:hint="default"/>
        <w:lang w:val="en-US" w:eastAsia="zh-CN" w:bidi="ar-SA"/>
      </w:rPr>
    </w:lvl>
    <w:lvl w:ilvl="4" w:tentative="0">
      <w:start w:val="0"/>
      <w:numFmt w:val="bullet"/>
      <w:lvlText w:val="•"/>
      <w:lvlJc w:val="left"/>
      <w:pPr>
        <w:ind w:left="2877" w:hanging="840"/>
      </w:pPr>
      <w:rPr>
        <w:rFonts w:hint="default"/>
        <w:lang w:val="en-US" w:eastAsia="zh-CN" w:bidi="ar-SA"/>
      </w:rPr>
    </w:lvl>
    <w:lvl w:ilvl="5" w:tentative="0">
      <w:start w:val="0"/>
      <w:numFmt w:val="bullet"/>
      <w:lvlText w:val="•"/>
      <w:lvlJc w:val="left"/>
      <w:pPr>
        <w:ind w:left="4075" w:hanging="840"/>
      </w:pPr>
      <w:rPr>
        <w:rFonts w:hint="default"/>
        <w:lang w:val="en-US" w:eastAsia="zh-CN" w:bidi="ar-SA"/>
      </w:rPr>
    </w:lvl>
    <w:lvl w:ilvl="6" w:tentative="0">
      <w:start w:val="0"/>
      <w:numFmt w:val="bullet"/>
      <w:lvlText w:val="•"/>
      <w:lvlJc w:val="left"/>
      <w:pPr>
        <w:ind w:left="5273" w:hanging="840"/>
      </w:pPr>
      <w:rPr>
        <w:rFonts w:hint="default"/>
        <w:lang w:val="en-US" w:eastAsia="zh-CN" w:bidi="ar-SA"/>
      </w:rPr>
    </w:lvl>
    <w:lvl w:ilvl="7" w:tentative="0">
      <w:start w:val="0"/>
      <w:numFmt w:val="bullet"/>
      <w:lvlText w:val="•"/>
      <w:lvlJc w:val="left"/>
      <w:pPr>
        <w:ind w:left="6471" w:hanging="840"/>
      </w:pPr>
      <w:rPr>
        <w:rFonts w:hint="default"/>
        <w:lang w:val="en-US" w:eastAsia="zh-CN" w:bidi="ar-SA"/>
      </w:rPr>
    </w:lvl>
    <w:lvl w:ilvl="8" w:tentative="0">
      <w:start w:val="0"/>
      <w:numFmt w:val="bullet"/>
      <w:lvlText w:val="•"/>
      <w:lvlJc w:val="left"/>
      <w:pPr>
        <w:ind w:left="7669" w:hanging="840"/>
      </w:pPr>
      <w:rPr>
        <w:rFonts w:hint="default"/>
        <w:lang w:val="en-US" w:eastAsia="zh-CN" w:bidi="ar-SA"/>
      </w:rPr>
    </w:lvl>
  </w:abstractNum>
  <w:abstractNum w:abstractNumId="52">
    <w:nsid w:val="0B11D5E5"/>
    <w:multiLevelType w:val="singleLevel"/>
    <w:tmpl w:val="0B11D5E5"/>
    <w:lvl w:ilvl="0" w:tentative="0">
      <w:start w:val="1"/>
      <w:numFmt w:val="decimal"/>
      <w:suff w:val="nothing"/>
      <w:lvlText w:val="（%1）"/>
      <w:lvlJc w:val="left"/>
    </w:lvl>
  </w:abstractNum>
  <w:abstractNum w:abstractNumId="53">
    <w:nsid w:val="0DF5E9C8"/>
    <w:multiLevelType w:val="multilevel"/>
    <w:tmpl w:val="0DF5E9C8"/>
    <w:lvl w:ilvl="0" w:tentative="0">
      <w:start w:val="10"/>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861" w:hanging="629"/>
      </w:pPr>
      <w:rPr>
        <w:rFonts w:hint="default"/>
        <w:lang w:val="en-US" w:eastAsia="zh-CN" w:bidi="ar-SA"/>
      </w:rPr>
    </w:lvl>
    <w:lvl w:ilvl="3" w:tentative="0">
      <w:start w:val="0"/>
      <w:numFmt w:val="bullet"/>
      <w:lvlText w:val="•"/>
      <w:lvlJc w:val="left"/>
      <w:pPr>
        <w:ind w:left="3761" w:hanging="629"/>
      </w:pPr>
      <w:rPr>
        <w:rFonts w:hint="default"/>
        <w:lang w:val="en-US" w:eastAsia="zh-CN" w:bidi="ar-SA"/>
      </w:rPr>
    </w:lvl>
    <w:lvl w:ilvl="4" w:tentative="0">
      <w:start w:val="0"/>
      <w:numFmt w:val="bullet"/>
      <w:lvlText w:val="•"/>
      <w:lvlJc w:val="left"/>
      <w:pPr>
        <w:ind w:left="4662" w:hanging="629"/>
      </w:pPr>
      <w:rPr>
        <w:rFonts w:hint="default"/>
        <w:lang w:val="en-US" w:eastAsia="zh-CN" w:bidi="ar-SA"/>
      </w:rPr>
    </w:lvl>
    <w:lvl w:ilvl="5" w:tentative="0">
      <w:start w:val="0"/>
      <w:numFmt w:val="bullet"/>
      <w:lvlText w:val="•"/>
      <w:lvlJc w:val="left"/>
      <w:pPr>
        <w:ind w:left="5562" w:hanging="629"/>
      </w:pPr>
      <w:rPr>
        <w:rFonts w:hint="default"/>
        <w:lang w:val="en-US" w:eastAsia="zh-CN" w:bidi="ar-SA"/>
      </w:rPr>
    </w:lvl>
    <w:lvl w:ilvl="6" w:tentative="0">
      <w:start w:val="0"/>
      <w:numFmt w:val="bullet"/>
      <w:lvlText w:val="•"/>
      <w:lvlJc w:val="left"/>
      <w:pPr>
        <w:ind w:left="6463" w:hanging="629"/>
      </w:pPr>
      <w:rPr>
        <w:rFonts w:hint="default"/>
        <w:lang w:val="en-US" w:eastAsia="zh-CN" w:bidi="ar-SA"/>
      </w:rPr>
    </w:lvl>
    <w:lvl w:ilvl="7" w:tentative="0">
      <w:start w:val="0"/>
      <w:numFmt w:val="bullet"/>
      <w:lvlText w:val="•"/>
      <w:lvlJc w:val="left"/>
      <w:pPr>
        <w:ind w:left="7363" w:hanging="629"/>
      </w:pPr>
      <w:rPr>
        <w:rFonts w:hint="default"/>
        <w:lang w:val="en-US" w:eastAsia="zh-CN" w:bidi="ar-SA"/>
      </w:rPr>
    </w:lvl>
    <w:lvl w:ilvl="8" w:tentative="0">
      <w:start w:val="0"/>
      <w:numFmt w:val="bullet"/>
      <w:lvlText w:val="•"/>
      <w:lvlJc w:val="left"/>
      <w:pPr>
        <w:ind w:left="8264" w:hanging="629"/>
      </w:pPr>
      <w:rPr>
        <w:rFonts w:hint="default"/>
        <w:lang w:val="en-US" w:eastAsia="zh-CN" w:bidi="ar-SA"/>
      </w:rPr>
    </w:lvl>
  </w:abstractNum>
  <w:abstractNum w:abstractNumId="54">
    <w:nsid w:val="104FE10D"/>
    <w:multiLevelType w:val="singleLevel"/>
    <w:tmpl w:val="104FE10D"/>
    <w:lvl w:ilvl="0" w:tentative="0">
      <w:start w:val="1"/>
      <w:numFmt w:val="chineseCounting"/>
      <w:suff w:val="nothing"/>
      <w:lvlText w:val="%1、"/>
      <w:lvlJc w:val="left"/>
      <w:rPr>
        <w:rFonts w:hint="eastAsia"/>
        <w:lang w:val="en-US"/>
      </w:rPr>
    </w:lvl>
  </w:abstractNum>
  <w:abstractNum w:abstractNumId="55">
    <w:nsid w:val="109818BB"/>
    <w:multiLevelType w:val="multilevel"/>
    <w:tmpl w:val="109818BB"/>
    <w:lvl w:ilvl="0" w:tentative="0">
      <w:start w:val="1"/>
      <w:numFmt w:val="decimal"/>
      <w:lvlText w:val="（%1）"/>
      <w:lvlJc w:val="left"/>
      <w:pPr>
        <w:ind w:left="320" w:hanging="525"/>
        <w:jc w:val="left"/>
      </w:pPr>
      <w:rPr>
        <w:rFonts w:hint="default" w:ascii="宋体" w:hAnsi="宋体" w:eastAsia="宋体" w:cs="宋体"/>
        <w:b w:val="0"/>
        <w:bCs w:val="0"/>
        <w:i w:val="0"/>
        <w:iCs w:val="0"/>
        <w:spacing w:val="-41"/>
        <w:w w:val="99"/>
        <w:sz w:val="19"/>
        <w:szCs w:val="19"/>
        <w:lang w:val="en-US" w:eastAsia="zh-CN" w:bidi="ar-SA"/>
      </w:rPr>
    </w:lvl>
    <w:lvl w:ilvl="1" w:tentative="0">
      <w:start w:val="0"/>
      <w:numFmt w:val="bullet"/>
      <w:lvlText w:val="•"/>
      <w:lvlJc w:val="left"/>
      <w:pPr>
        <w:ind w:left="1294" w:hanging="525"/>
      </w:pPr>
      <w:rPr>
        <w:rFonts w:hint="default"/>
        <w:lang w:val="en-US" w:eastAsia="zh-CN" w:bidi="ar-SA"/>
      </w:rPr>
    </w:lvl>
    <w:lvl w:ilvl="2" w:tentative="0">
      <w:start w:val="0"/>
      <w:numFmt w:val="bullet"/>
      <w:lvlText w:val="•"/>
      <w:lvlJc w:val="left"/>
      <w:pPr>
        <w:ind w:left="2269" w:hanging="525"/>
      </w:pPr>
      <w:rPr>
        <w:rFonts w:hint="default"/>
        <w:lang w:val="en-US" w:eastAsia="zh-CN" w:bidi="ar-SA"/>
      </w:rPr>
    </w:lvl>
    <w:lvl w:ilvl="3" w:tentative="0">
      <w:start w:val="0"/>
      <w:numFmt w:val="bullet"/>
      <w:lvlText w:val="•"/>
      <w:lvlJc w:val="left"/>
      <w:pPr>
        <w:ind w:left="3243" w:hanging="525"/>
      </w:pPr>
      <w:rPr>
        <w:rFonts w:hint="default"/>
        <w:lang w:val="en-US" w:eastAsia="zh-CN" w:bidi="ar-SA"/>
      </w:rPr>
    </w:lvl>
    <w:lvl w:ilvl="4" w:tentative="0">
      <w:start w:val="0"/>
      <w:numFmt w:val="bullet"/>
      <w:lvlText w:val="•"/>
      <w:lvlJc w:val="left"/>
      <w:pPr>
        <w:ind w:left="4218" w:hanging="525"/>
      </w:pPr>
      <w:rPr>
        <w:rFonts w:hint="default"/>
        <w:lang w:val="en-US" w:eastAsia="zh-CN" w:bidi="ar-SA"/>
      </w:rPr>
    </w:lvl>
    <w:lvl w:ilvl="5" w:tentative="0">
      <w:start w:val="0"/>
      <w:numFmt w:val="bullet"/>
      <w:lvlText w:val="•"/>
      <w:lvlJc w:val="left"/>
      <w:pPr>
        <w:ind w:left="5192" w:hanging="525"/>
      </w:pPr>
      <w:rPr>
        <w:rFonts w:hint="default"/>
        <w:lang w:val="en-US" w:eastAsia="zh-CN" w:bidi="ar-SA"/>
      </w:rPr>
    </w:lvl>
    <w:lvl w:ilvl="6" w:tentative="0">
      <w:start w:val="0"/>
      <w:numFmt w:val="bullet"/>
      <w:lvlText w:val="•"/>
      <w:lvlJc w:val="left"/>
      <w:pPr>
        <w:ind w:left="6167" w:hanging="525"/>
      </w:pPr>
      <w:rPr>
        <w:rFonts w:hint="default"/>
        <w:lang w:val="en-US" w:eastAsia="zh-CN" w:bidi="ar-SA"/>
      </w:rPr>
    </w:lvl>
    <w:lvl w:ilvl="7" w:tentative="0">
      <w:start w:val="0"/>
      <w:numFmt w:val="bullet"/>
      <w:lvlText w:val="•"/>
      <w:lvlJc w:val="left"/>
      <w:pPr>
        <w:ind w:left="7141" w:hanging="525"/>
      </w:pPr>
      <w:rPr>
        <w:rFonts w:hint="default"/>
        <w:lang w:val="en-US" w:eastAsia="zh-CN" w:bidi="ar-SA"/>
      </w:rPr>
    </w:lvl>
    <w:lvl w:ilvl="8" w:tentative="0">
      <w:start w:val="0"/>
      <w:numFmt w:val="bullet"/>
      <w:lvlText w:val="•"/>
      <w:lvlJc w:val="left"/>
      <w:pPr>
        <w:ind w:left="8116" w:hanging="525"/>
      </w:pPr>
      <w:rPr>
        <w:rFonts w:hint="default"/>
        <w:lang w:val="en-US" w:eastAsia="zh-CN" w:bidi="ar-SA"/>
      </w:rPr>
    </w:lvl>
  </w:abstractNum>
  <w:abstractNum w:abstractNumId="56">
    <w:nsid w:val="1345BD29"/>
    <w:multiLevelType w:val="multilevel"/>
    <w:tmpl w:val="1345BD29"/>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57">
    <w:nsid w:val="149A8D6E"/>
    <w:multiLevelType w:val="multilevel"/>
    <w:tmpl w:val="149A8D6E"/>
    <w:lvl w:ilvl="0" w:tentative="0">
      <w:start w:val="4"/>
      <w:numFmt w:val="decimal"/>
      <w:lvlText w:val="%1."/>
      <w:lvlJc w:val="left"/>
      <w:pPr>
        <w:ind w:left="737" w:hanging="311"/>
        <w:jc w:val="left"/>
      </w:pPr>
      <w:rPr>
        <w:rFonts w:hint="default" w:ascii="宋体" w:hAnsi="宋体" w:eastAsia="宋体" w:cs="宋体"/>
        <w:b w:val="0"/>
        <w:bCs w:val="0"/>
        <w:i w:val="0"/>
        <w:iCs w:val="0"/>
        <w:spacing w:val="-8"/>
        <w:w w:val="99"/>
        <w:sz w:val="19"/>
        <w:szCs w:val="19"/>
        <w:lang w:val="en-US" w:eastAsia="zh-CN" w:bidi="ar-SA"/>
      </w:rPr>
    </w:lvl>
    <w:lvl w:ilvl="1" w:tentative="0">
      <w:start w:val="1"/>
      <w:numFmt w:val="decimal"/>
      <w:lvlText w:val="%1.%2"/>
      <w:lvlJc w:val="left"/>
      <w:pPr>
        <w:ind w:left="923" w:hanging="497"/>
        <w:jc w:val="left"/>
      </w:pPr>
      <w:rPr>
        <w:rFonts w:hint="default" w:ascii="宋体" w:hAnsi="宋体" w:eastAsia="宋体" w:cs="宋体"/>
        <w:b w:val="0"/>
        <w:bCs w:val="0"/>
        <w:i w:val="0"/>
        <w:iCs w:val="0"/>
        <w:spacing w:val="-4"/>
        <w:w w:val="99"/>
        <w:sz w:val="21"/>
        <w:szCs w:val="21"/>
        <w:lang w:val="en-US" w:eastAsia="zh-CN" w:bidi="ar-SA"/>
      </w:rPr>
    </w:lvl>
    <w:lvl w:ilvl="2" w:tentative="0">
      <w:start w:val="0"/>
      <w:numFmt w:val="bullet"/>
      <w:lvlText w:val="•"/>
      <w:lvlJc w:val="left"/>
      <w:pPr>
        <w:ind w:left="1936" w:hanging="497"/>
      </w:pPr>
      <w:rPr>
        <w:rFonts w:hint="default"/>
        <w:lang w:val="en-US" w:eastAsia="zh-CN" w:bidi="ar-SA"/>
      </w:rPr>
    </w:lvl>
    <w:lvl w:ilvl="3" w:tentative="0">
      <w:start w:val="0"/>
      <w:numFmt w:val="bullet"/>
      <w:lvlText w:val="•"/>
      <w:lvlJc w:val="left"/>
      <w:pPr>
        <w:ind w:left="2952" w:hanging="497"/>
      </w:pPr>
      <w:rPr>
        <w:rFonts w:hint="default"/>
        <w:lang w:val="en-US" w:eastAsia="zh-CN" w:bidi="ar-SA"/>
      </w:rPr>
    </w:lvl>
    <w:lvl w:ilvl="4" w:tentative="0">
      <w:start w:val="0"/>
      <w:numFmt w:val="bullet"/>
      <w:lvlText w:val="•"/>
      <w:lvlJc w:val="left"/>
      <w:pPr>
        <w:ind w:left="3968" w:hanging="497"/>
      </w:pPr>
      <w:rPr>
        <w:rFonts w:hint="default"/>
        <w:lang w:val="en-US" w:eastAsia="zh-CN" w:bidi="ar-SA"/>
      </w:rPr>
    </w:lvl>
    <w:lvl w:ilvl="5" w:tentative="0">
      <w:start w:val="0"/>
      <w:numFmt w:val="bullet"/>
      <w:lvlText w:val="•"/>
      <w:lvlJc w:val="left"/>
      <w:pPr>
        <w:ind w:left="4984" w:hanging="497"/>
      </w:pPr>
      <w:rPr>
        <w:rFonts w:hint="default"/>
        <w:lang w:val="en-US" w:eastAsia="zh-CN" w:bidi="ar-SA"/>
      </w:rPr>
    </w:lvl>
    <w:lvl w:ilvl="6" w:tentative="0">
      <w:start w:val="0"/>
      <w:numFmt w:val="bullet"/>
      <w:lvlText w:val="•"/>
      <w:lvlJc w:val="left"/>
      <w:pPr>
        <w:ind w:left="6000" w:hanging="497"/>
      </w:pPr>
      <w:rPr>
        <w:rFonts w:hint="default"/>
        <w:lang w:val="en-US" w:eastAsia="zh-CN" w:bidi="ar-SA"/>
      </w:rPr>
    </w:lvl>
    <w:lvl w:ilvl="7" w:tentative="0">
      <w:start w:val="0"/>
      <w:numFmt w:val="bullet"/>
      <w:lvlText w:val="•"/>
      <w:lvlJc w:val="left"/>
      <w:pPr>
        <w:ind w:left="7016" w:hanging="497"/>
      </w:pPr>
      <w:rPr>
        <w:rFonts w:hint="default"/>
        <w:lang w:val="en-US" w:eastAsia="zh-CN" w:bidi="ar-SA"/>
      </w:rPr>
    </w:lvl>
    <w:lvl w:ilvl="8" w:tentative="0">
      <w:start w:val="0"/>
      <w:numFmt w:val="bullet"/>
      <w:lvlText w:val="•"/>
      <w:lvlJc w:val="left"/>
      <w:pPr>
        <w:ind w:left="8032" w:hanging="497"/>
      </w:pPr>
      <w:rPr>
        <w:rFonts w:hint="default"/>
        <w:lang w:val="en-US" w:eastAsia="zh-CN" w:bidi="ar-SA"/>
      </w:rPr>
    </w:lvl>
  </w:abstractNum>
  <w:abstractNum w:abstractNumId="58">
    <w:nsid w:val="18FD1FB6"/>
    <w:multiLevelType w:val="multilevel"/>
    <w:tmpl w:val="18FD1FB6"/>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59">
    <w:nsid w:val="1B9C359A"/>
    <w:multiLevelType w:val="multilevel"/>
    <w:tmpl w:val="1B9C359A"/>
    <w:lvl w:ilvl="0" w:tentative="0">
      <w:start w:val="19"/>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3543" w:hanging="840"/>
      </w:pPr>
      <w:rPr>
        <w:rFonts w:hint="default"/>
        <w:lang w:val="en-US" w:eastAsia="zh-CN" w:bidi="ar-SA"/>
      </w:rPr>
    </w:lvl>
    <w:lvl w:ilvl="4" w:tentative="0">
      <w:start w:val="0"/>
      <w:numFmt w:val="bullet"/>
      <w:lvlText w:val="•"/>
      <w:lvlJc w:val="left"/>
      <w:pPr>
        <w:ind w:left="4475" w:hanging="840"/>
      </w:pPr>
      <w:rPr>
        <w:rFonts w:hint="default"/>
        <w:lang w:val="en-US" w:eastAsia="zh-CN" w:bidi="ar-SA"/>
      </w:rPr>
    </w:lvl>
    <w:lvl w:ilvl="5" w:tentative="0">
      <w:start w:val="0"/>
      <w:numFmt w:val="bullet"/>
      <w:lvlText w:val="•"/>
      <w:lvlJc w:val="left"/>
      <w:pPr>
        <w:ind w:left="5406" w:hanging="840"/>
      </w:pPr>
      <w:rPr>
        <w:rFonts w:hint="default"/>
        <w:lang w:val="en-US" w:eastAsia="zh-CN" w:bidi="ar-SA"/>
      </w:rPr>
    </w:lvl>
    <w:lvl w:ilvl="6" w:tentative="0">
      <w:start w:val="0"/>
      <w:numFmt w:val="bullet"/>
      <w:lvlText w:val="•"/>
      <w:lvlJc w:val="left"/>
      <w:pPr>
        <w:ind w:left="6338" w:hanging="840"/>
      </w:pPr>
      <w:rPr>
        <w:rFonts w:hint="default"/>
        <w:lang w:val="en-US" w:eastAsia="zh-CN" w:bidi="ar-SA"/>
      </w:rPr>
    </w:lvl>
    <w:lvl w:ilvl="7" w:tentative="0">
      <w:start w:val="0"/>
      <w:numFmt w:val="bullet"/>
      <w:lvlText w:val="•"/>
      <w:lvlJc w:val="left"/>
      <w:pPr>
        <w:ind w:left="7270" w:hanging="840"/>
      </w:pPr>
      <w:rPr>
        <w:rFonts w:hint="default"/>
        <w:lang w:val="en-US" w:eastAsia="zh-CN" w:bidi="ar-SA"/>
      </w:rPr>
    </w:lvl>
    <w:lvl w:ilvl="8" w:tentative="0">
      <w:start w:val="0"/>
      <w:numFmt w:val="bullet"/>
      <w:lvlText w:val="•"/>
      <w:lvlJc w:val="left"/>
      <w:pPr>
        <w:ind w:left="8201" w:hanging="840"/>
      </w:pPr>
      <w:rPr>
        <w:rFonts w:hint="default"/>
        <w:lang w:val="en-US" w:eastAsia="zh-CN" w:bidi="ar-SA"/>
      </w:rPr>
    </w:lvl>
  </w:abstractNum>
  <w:abstractNum w:abstractNumId="60">
    <w:nsid w:val="20DB72EB"/>
    <w:multiLevelType w:val="multilevel"/>
    <w:tmpl w:val="20DB72EB"/>
    <w:lvl w:ilvl="0" w:tentative="0">
      <w:start w:val="14"/>
      <w:numFmt w:val="decimal"/>
      <w:lvlText w:val="%1."/>
      <w:lvlJc w:val="left"/>
      <w:pPr>
        <w:ind w:left="845" w:hanging="419"/>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843"/>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1100" w:hanging="843"/>
      </w:pPr>
      <w:rPr>
        <w:rFonts w:hint="default"/>
        <w:lang w:val="en-US" w:eastAsia="zh-CN" w:bidi="ar-SA"/>
      </w:rPr>
    </w:lvl>
    <w:lvl w:ilvl="4" w:tentative="0">
      <w:start w:val="0"/>
      <w:numFmt w:val="bullet"/>
      <w:lvlText w:val="•"/>
      <w:lvlJc w:val="left"/>
      <w:pPr>
        <w:ind w:left="1680" w:hanging="843"/>
      </w:pPr>
      <w:rPr>
        <w:rFonts w:hint="default"/>
        <w:lang w:val="en-US" w:eastAsia="zh-CN" w:bidi="ar-SA"/>
      </w:rPr>
    </w:lvl>
    <w:lvl w:ilvl="5" w:tentative="0">
      <w:start w:val="0"/>
      <w:numFmt w:val="bullet"/>
      <w:lvlText w:val="•"/>
      <w:lvlJc w:val="left"/>
      <w:pPr>
        <w:ind w:left="3077" w:hanging="843"/>
      </w:pPr>
      <w:rPr>
        <w:rFonts w:hint="default"/>
        <w:lang w:val="en-US" w:eastAsia="zh-CN" w:bidi="ar-SA"/>
      </w:rPr>
    </w:lvl>
    <w:lvl w:ilvl="6" w:tentative="0">
      <w:start w:val="0"/>
      <w:numFmt w:val="bullet"/>
      <w:lvlText w:val="•"/>
      <w:lvlJc w:val="left"/>
      <w:pPr>
        <w:ind w:left="4475" w:hanging="843"/>
      </w:pPr>
      <w:rPr>
        <w:rFonts w:hint="default"/>
        <w:lang w:val="en-US" w:eastAsia="zh-CN" w:bidi="ar-SA"/>
      </w:rPr>
    </w:lvl>
    <w:lvl w:ilvl="7" w:tentative="0">
      <w:start w:val="0"/>
      <w:numFmt w:val="bullet"/>
      <w:lvlText w:val="•"/>
      <w:lvlJc w:val="left"/>
      <w:pPr>
        <w:ind w:left="5872" w:hanging="843"/>
      </w:pPr>
      <w:rPr>
        <w:rFonts w:hint="default"/>
        <w:lang w:val="en-US" w:eastAsia="zh-CN" w:bidi="ar-SA"/>
      </w:rPr>
    </w:lvl>
    <w:lvl w:ilvl="8" w:tentative="0">
      <w:start w:val="0"/>
      <w:numFmt w:val="bullet"/>
      <w:lvlText w:val="•"/>
      <w:lvlJc w:val="left"/>
      <w:pPr>
        <w:ind w:left="7270" w:hanging="843"/>
      </w:pPr>
      <w:rPr>
        <w:rFonts w:hint="default"/>
        <w:lang w:val="en-US" w:eastAsia="zh-CN" w:bidi="ar-SA"/>
      </w:rPr>
    </w:lvl>
  </w:abstractNum>
  <w:abstractNum w:abstractNumId="61">
    <w:nsid w:val="21245634"/>
    <w:multiLevelType w:val="multilevel"/>
    <w:tmpl w:val="21245634"/>
    <w:lvl w:ilvl="0" w:tentative="0">
      <w:start w:val="12"/>
      <w:numFmt w:val="decimal"/>
      <w:lvlText w:val="%1."/>
      <w:lvlJc w:val="left"/>
      <w:pPr>
        <w:ind w:left="842" w:hanging="417"/>
        <w:jc w:val="left"/>
      </w:pPr>
      <w:rPr>
        <w:rFonts w:hint="default" w:ascii="宋体" w:hAnsi="宋体" w:eastAsia="宋体" w:cs="宋体"/>
        <w:b w:val="0"/>
        <w:bCs w:val="0"/>
        <w:i w:val="0"/>
        <w:iCs w:val="0"/>
        <w:spacing w:val="-3"/>
        <w:w w:val="99"/>
        <w:sz w:val="19"/>
        <w:szCs w:val="19"/>
        <w:lang w:val="en-US" w:eastAsia="zh-CN" w:bidi="ar-SA"/>
      </w:rPr>
    </w:lvl>
    <w:lvl w:ilvl="1" w:tentative="0">
      <w:start w:val="1"/>
      <w:numFmt w:val="decimal"/>
      <w:lvlText w:val="%1.%2"/>
      <w:lvlJc w:val="left"/>
      <w:pPr>
        <w:ind w:left="1040" w:hanging="615"/>
        <w:jc w:val="left"/>
      </w:pPr>
      <w:rPr>
        <w:rFonts w:hint="default" w:ascii="宋体" w:hAnsi="宋体" w:eastAsia="宋体" w:cs="宋体"/>
        <w:b w:val="0"/>
        <w:bCs w:val="0"/>
        <w:i w:val="0"/>
        <w:iCs w:val="0"/>
        <w:spacing w:val="-2"/>
        <w:w w:val="99"/>
        <w:sz w:val="21"/>
        <w:szCs w:val="21"/>
        <w:lang w:val="en-US" w:eastAsia="zh-CN" w:bidi="ar-SA"/>
      </w:rPr>
    </w:lvl>
    <w:lvl w:ilvl="2" w:tentative="0">
      <w:start w:val="0"/>
      <w:numFmt w:val="bullet"/>
      <w:lvlText w:val="•"/>
      <w:lvlJc w:val="left"/>
      <w:pPr>
        <w:ind w:left="2042" w:hanging="615"/>
      </w:pPr>
      <w:rPr>
        <w:rFonts w:hint="default"/>
        <w:lang w:val="en-US" w:eastAsia="zh-CN" w:bidi="ar-SA"/>
      </w:rPr>
    </w:lvl>
    <w:lvl w:ilvl="3" w:tentative="0">
      <w:start w:val="0"/>
      <w:numFmt w:val="bullet"/>
      <w:lvlText w:val="•"/>
      <w:lvlJc w:val="left"/>
      <w:pPr>
        <w:ind w:left="3045" w:hanging="615"/>
      </w:pPr>
      <w:rPr>
        <w:rFonts w:hint="default"/>
        <w:lang w:val="en-US" w:eastAsia="zh-CN" w:bidi="ar-SA"/>
      </w:rPr>
    </w:lvl>
    <w:lvl w:ilvl="4" w:tentative="0">
      <w:start w:val="0"/>
      <w:numFmt w:val="bullet"/>
      <w:lvlText w:val="•"/>
      <w:lvlJc w:val="left"/>
      <w:pPr>
        <w:ind w:left="4048" w:hanging="615"/>
      </w:pPr>
      <w:rPr>
        <w:rFonts w:hint="default"/>
        <w:lang w:val="en-US" w:eastAsia="zh-CN" w:bidi="ar-SA"/>
      </w:rPr>
    </w:lvl>
    <w:lvl w:ilvl="5" w:tentative="0">
      <w:start w:val="0"/>
      <w:numFmt w:val="bullet"/>
      <w:lvlText w:val="•"/>
      <w:lvlJc w:val="left"/>
      <w:pPr>
        <w:ind w:left="5051" w:hanging="615"/>
      </w:pPr>
      <w:rPr>
        <w:rFonts w:hint="default"/>
        <w:lang w:val="en-US" w:eastAsia="zh-CN" w:bidi="ar-SA"/>
      </w:rPr>
    </w:lvl>
    <w:lvl w:ilvl="6" w:tentative="0">
      <w:start w:val="0"/>
      <w:numFmt w:val="bullet"/>
      <w:lvlText w:val="•"/>
      <w:lvlJc w:val="left"/>
      <w:pPr>
        <w:ind w:left="6053" w:hanging="615"/>
      </w:pPr>
      <w:rPr>
        <w:rFonts w:hint="default"/>
        <w:lang w:val="en-US" w:eastAsia="zh-CN" w:bidi="ar-SA"/>
      </w:rPr>
    </w:lvl>
    <w:lvl w:ilvl="7" w:tentative="0">
      <w:start w:val="0"/>
      <w:numFmt w:val="bullet"/>
      <w:lvlText w:val="•"/>
      <w:lvlJc w:val="left"/>
      <w:pPr>
        <w:ind w:left="7056" w:hanging="615"/>
      </w:pPr>
      <w:rPr>
        <w:rFonts w:hint="default"/>
        <w:lang w:val="en-US" w:eastAsia="zh-CN" w:bidi="ar-SA"/>
      </w:rPr>
    </w:lvl>
    <w:lvl w:ilvl="8" w:tentative="0">
      <w:start w:val="0"/>
      <w:numFmt w:val="bullet"/>
      <w:lvlText w:val="•"/>
      <w:lvlJc w:val="left"/>
      <w:pPr>
        <w:ind w:left="8059" w:hanging="615"/>
      </w:pPr>
      <w:rPr>
        <w:rFonts w:hint="default"/>
        <w:lang w:val="en-US" w:eastAsia="zh-CN" w:bidi="ar-SA"/>
      </w:rPr>
    </w:lvl>
  </w:abstractNum>
  <w:abstractNum w:abstractNumId="62">
    <w:nsid w:val="21BA42ED"/>
    <w:multiLevelType w:val="multilevel"/>
    <w:tmpl w:val="21BA42ED"/>
    <w:lvl w:ilvl="0" w:tentative="0">
      <w:start w:val="20"/>
      <w:numFmt w:val="decimal"/>
      <w:lvlText w:val="%1"/>
      <w:lvlJc w:val="left"/>
      <w:pPr>
        <w:ind w:left="1096" w:hanging="670"/>
        <w:jc w:val="left"/>
      </w:pPr>
      <w:rPr>
        <w:rFonts w:hint="default"/>
        <w:lang w:val="en-US" w:eastAsia="zh-CN" w:bidi="ar-SA"/>
      </w:rPr>
    </w:lvl>
    <w:lvl w:ilvl="1" w:tentative="0">
      <w:start w:val="2"/>
      <w:numFmt w:val="decimal"/>
      <w:lvlText w:val="%1.%2"/>
      <w:lvlJc w:val="left"/>
      <w:pPr>
        <w:ind w:left="1096" w:hanging="670"/>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865" w:hanging="891"/>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092" w:hanging="891"/>
      </w:pPr>
      <w:rPr>
        <w:rFonts w:hint="default"/>
        <w:lang w:val="en-US" w:eastAsia="zh-CN" w:bidi="ar-SA"/>
      </w:rPr>
    </w:lvl>
    <w:lvl w:ilvl="4" w:tentative="0">
      <w:start w:val="0"/>
      <w:numFmt w:val="bullet"/>
      <w:lvlText w:val="•"/>
      <w:lvlJc w:val="left"/>
      <w:pPr>
        <w:ind w:left="4088" w:hanging="891"/>
      </w:pPr>
      <w:rPr>
        <w:rFonts w:hint="default"/>
        <w:lang w:val="en-US" w:eastAsia="zh-CN" w:bidi="ar-SA"/>
      </w:rPr>
    </w:lvl>
    <w:lvl w:ilvl="5" w:tentative="0">
      <w:start w:val="0"/>
      <w:numFmt w:val="bullet"/>
      <w:lvlText w:val="•"/>
      <w:lvlJc w:val="left"/>
      <w:pPr>
        <w:ind w:left="5084" w:hanging="891"/>
      </w:pPr>
      <w:rPr>
        <w:rFonts w:hint="default"/>
        <w:lang w:val="en-US" w:eastAsia="zh-CN" w:bidi="ar-SA"/>
      </w:rPr>
    </w:lvl>
    <w:lvl w:ilvl="6" w:tentative="0">
      <w:start w:val="0"/>
      <w:numFmt w:val="bullet"/>
      <w:lvlText w:val="•"/>
      <w:lvlJc w:val="left"/>
      <w:pPr>
        <w:ind w:left="6080" w:hanging="891"/>
      </w:pPr>
      <w:rPr>
        <w:rFonts w:hint="default"/>
        <w:lang w:val="en-US" w:eastAsia="zh-CN" w:bidi="ar-SA"/>
      </w:rPr>
    </w:lvl>
    <w:lvl w:ilvl="7" w:tentative="0">
      <w:start w:val="0"/>
      <w:numFmt w:val="bullet"/>
      <w:lvlText w:val="•"/>
      <w:lvlJc w:val="left"/>
      <w:pPr>
        <w:ind w:left="7076" w:hanging="891"/>
      </w:pPr>
      <w:rPr>
        <w:rFonts w:hint="default"/>
        <w:lang w:val="en-US" w:eastAsia="zh-CN" w:bidi="ar-SA"/>
      </w:rPr>
    </w:lvl>
    <w:lvl w:ilvl="8" w:tentative="0">
      <w:start w:val="0"/>
      <w:numFmt w:val="bullet"/>
      <w:lvlText w:val="•"/>
      <w:lvlJc w:val="left"/>
      <w:pPr>
        <w:ind w:left="8072" w:hanging="891"/>
      </w:pPr>
      <w:rPr>
        <w:rFonts w:hint="default"/>
        <w:lang w:val="en-US" w:eastAsia="zh-CN" w:bidi="ar-SA"/>
      </w:rPr>
    </w:lvl>
  </w:abstractNum>
  <w:abstractNum w:abstractNumId="63">
    <w:nsid w:val="28820374"/>
    <w:multiLevelType w:val="multilevel"/>
    <w:tmpl w:val="28820374"/>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64">
    <w:nsid w:val="2C605959"/>
    <w:multiLevelType w:val="multilevel"/>
    <w:tmpl w:val="2C605959"/>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65">
    <w:nsid w:val="2FE4CFA0"/>
    <w:multiLevelType w:val="multilevel"/>
    <w:tmpl w:val="2FE4CFA0"/>
    <w:lvl w:ilvl="0" w:tentative="0">
      <w:start w:val="1"/>
      <w:numFmt w:val="decimal"/>
      <w:lvlText w:val="（%1）"/>
      <w:lvlJc w:val="left"/>
      <w:pPr>
        <w:ind w:left="1253" w:hanging="518"/>
        <w:jc w:val="left"/>
      </w:pPr>
      <w:rPr>
        <w:rFonts w:hint="default" w:ascii="宋体" w:hAnsi="宋体" w:eastAsia="宋体" w:cs="宋体"/>
        <w:b w:val="0"/>
        <w:bCs w:val="0"/>
        <w:i w:val="0"/>
        <w:iCs w:val="0"/>
        <w:spacing w:val="-5"/>
        <w:w w:val="99"/>
        <w:sz w:val="19"/>
        <w:szCs w:val="19"/>
        <w:lang w:val="en-US" w:eastAsia="zh-CN" w:bidi="ar-SA"/>
      </w:rPr>
    </w:lvl>
    <w:lvl w:ilvl="1" w:tentative="0">
      <w:start w:val="0"/>
      <w:numFmt w:val="bullet"/>
      <w:lvlText w:val="•"/>
      <w:lvlJc w:val="left"/>
      <w:pPr>
        <w:ind w:left="2140" w:hanging="518"/>
      </w:pPr>
      <w:rPr>
        <w:rFonts w:hint="default"/>
        <w:lang w:val="en-US" w:eastAsia="zh-CN" w:bidi="ar-SA"/>
      </w:rPr>
    </w:lvl>
    <w:lvl w:ilvl="2" w:tentative="0">
      <w:start w:val="0"/>
      <w:numFmt w:val="bullet"/>
      <w:lvlText w:val="•"/>
      <w:lvlJc w:val="left"/>
      <w:pPr>
        <w:ind w:left="3021" w:hanging="518"/>
      </w:pPr>
      <w:rPr>
        <w:rFonts w:hint="default"/>
        <w:lang w:val="en-US" w:eastAsia="zh-CN" w:bidi="ar-SA"/>
      </w:rPr>
    </w:lvl>
    <w:lvl w:ilvl="3" w:tentative="0">
      <w:start w:val="0"/>
      <w:numFmt w:val="bullet"/>
      <w:lvlText w:val="•"/>
      <w:lvlJc w:val="left"/>
      <w:pPr>
        <w:ind w:left="3901" w:hanging="518"/>
      </w:pPr>
      <w:rPr>
        <w:rFonts w:hint="default"/>
        <w:lang w:val="en-US" w:eastAsia="zh-CN" w:bidi="ar-SA"/>
      </w:rPr>
    </w:lvl>
    <w:lvl w:ilvl="4" w:tentative="0">
      <w:start w:val="0"/>
      <w:numFmt w:val="bullet"/>
      <w:lvlText w:val="•"/>
      <w:lvlJc w:val="left"/>
      <w:pPr>
        <w:ind w:left="4782" w:hanging="518"/>
      </w:pPr>
      <w:rPr>
        <w:rFonts w:hint="default"/>
        <w:lang w:val="en-US" w:eastAsia="zh-CN" w:bidi="ar-SA"/>
      </w:rPr>
    </w:lvl>
    <w:lvl w:ilvl="5" w:tentative="0">
      <w:start w:val="0"/>
      <w:numFmt w:val="bullet"/>
      <w:lvlText w:val="•"/>
      <w:lvlJc w:val="left"/>
      <w:pPr>
        <w:ind w:left="5662" w:hanging="518"/>
      </w:pPr>
      <w:rPr>
        <w:rFonts w:hint="default"/>
        <w:lang w:val="en-US" w:eastAsia="zh-CN" w:bidi="ar-SA"/>
      </w:rPr>
    </w:lvl>
    <w:lvl w:ilvl="6" w:tentative="0">
      <w:start w:val="0"/>
      <w:numFmt w:val="bullet"/>
      <w:lvlText w:val="•"/>
      <w:lvlJc w:val="left"/>
      <w:pPr>
        <w:ind w:left="6543" w:hanging="518"/>
      </w:pPr>
      <w:rPr>
        <w:rFonts w:hint="default"/>
        <w:lang w:val="en-US" w:eastAsia="zh-CN" w:bidi="ar-SA"/>
      </w:rPr>
    </w:lvl>
    <w:lvl w:ilvl="7" w:tentative="0">
      <w:start w:val="0"/>
      <w:numFmt w:val="bullet"/>
      <w:lvlText w:val="•"/>
      <w:lvlJc w:val="left"/>
      <w:pPr>
        <w:ind w:left="7423" w:hanging="518"/>
      </w:pPr>
      <w:rPr>
        <w:rFonts w:hint="default"/>
        <w:lang w:val="en-US" w:eastAsia="zh-CN" w:bidi="ar-SA"/>
      </w:rPr>
    </w:lvl>
    <w:lvl w:ilvl="8" w:tentative="0">
      <w:start w:val="0"/>
      <w:numFmt w:val="bullet"/>
      <w:lvlText w:val="•"/>
      <w:lvlJc w:val="left"/>
      <w:pPr>
        <w:ind w:left="8304" w:hanging="518"/>
      </w:pPr>
      <w:rPr>
        <w:rFonts w:hint="default"/>
        <w:lang w:val="en-US" w:eastAsia="zh-CN" w:bidi="ar-SA"/>
      </w:rPr>
    </w:lvl>
  </w:abstractNum>
  <w:abstractNum w:abstractNumId="66">
    <w:nsid w:val="3268ED68"/>
    <w:multiLevelType w:val="multilevel"/>
    <w:tmpl w:val="3268ED68"/>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67">
    <w:nsid w:val="3A4505E0"/>
    <w:multiLevelType w:val="multilevel"/>
    <w:tmpl w:val="3A4505E0"/>
    <w:lvl w:ilvl="0" w:tentative="0">
      <w:start w:val="1"/>
      <w:numFmt w:val="decimal"/>
      <w:lvlText w:val="（%1）"/>
      <w:lvlJc w:val="left"/>
      <w:pPr>
        <w:ind w:left="426" w:hanging="528"/>
        <w:jc w:val="left"/>
      </w:pPr>
      <w:rPr>
        <w:rFonts w:hint="default" w:ascii="宋体" w:hAnsi="宋体" w:eastAsia="宋体" w:cs="宋体"/>
        <w:b w:val="0"/>
        <w:bCs w:val="0"/>
        <w:i w:val="0"/>
        <w:iCs w:val="0"/>
        <w:spacing w:val="1"/>
        <w:w w:val="97"/>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68">
    <w:nsid w:val="3E9CBC24"/>
    <w:multiLevelType w:val="multilevel"/>
    <w:tmpl w:val="3E9CBC24"/>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69">
    <w:nsid w:val="427FE584"/>
    <w:multiLevelType w:val="multilevel"/>
    <w:tmpl w:val="427FE584"/>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70">
    <w:nsid w:val="430DD135"/>
    <w:multiLevelType w:val="multilevel"/>
    <w:tmpl w:val="430DD135"/>
    <w:lvl w:ilvl="0" w:tentative="0">
      <w:start w:val="15"/>
      <w:numFmt w:val="decimal"/>
      <w:lvlText w:val="%1."/>
      <w:lvlJc w:val="left"/>
      <w:pPr>
        <w:ind w:left="865" w:hanging="440"/>
        <w:jc w:val="left"/>
      </w:pPr>
      <w:rPr>
        <w:rFonts w:hint="default" w:ascii="宋体" w:hAnsi="宋体" w:eastAsia="宋体" w:cs="宋体"/>
        <w:b w:val="0"/>
        <w:bCs w:val="0"/>
        <w:i w:val="0"/>
        <w:iCs w:val="0"/>
        <w:spacing w:val="3"/>
        <w:w w:val="99"/>
        <w:sz w:val="19"/>
        <w:szCs w:val="19"/>
        <w:lang w:val="en-US" w:eastAsia="zh-CN" w:bidi="ar-SA"/>
      </w:rPr>
    </w:lvl>
    <w:lvl w:ilvl="1" w:tentative="0">
      <w:start w:val="1"/>
      <w:numFmt w:val="decimal"/>
      <w:lvlText w:val="%1.%2"/>
      <w:lvlJc w:val="left"/>
      <w:pPr>
        <w:ind w:left="1096" w:hanging="670"/>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096" w:hanging="670"/>
      </w:pPr>
      <w:rPr>
        <w:rFonts w:hint="default"/>
        <w:lang w:val="en-US" w:eastAsia="zh-CN" w:bidi="ar-SA"/>
      </w:rPr>
    </w:lvl>
    <w:lvl w:ilvl="3" w:tentative="0">
      <w:start w:val="0"/>
      <w:numFmt w:val="bullet"/>
      <w:lvlText w:val="•"/>
      <w:lvlJc w:val="left"/>
      <w:pPr>
        <w:ind w:left="3092" w:hanging="670"/>
      </w:pPr>
      <w:rPr>
        <w:rFonts w:hint="default"/>
        <w:lang w:val="en-US" w:eastAsia="zh-CN" w:bidi="ar-SA"/>
      </w:rPr>
    </w:lvl>
    <w:lvl w:ilvl="4" w:tentative="0">
      <w:start w:val="0"/>
      <w:numFmt w:val="bullet"/>
      <w:lvlText w:val="•"/>
      <w:lvlJc w:val="left"/>
      <w:pPr>
        <w:ind w:left="4088" w:hanging="670"/>
      </w:pPr>
      <w:rPr>
        <w:rFonts w:hint="default"/>
        <w:lang w:val="en-US" w:eastAsia="zh-CN" w:bidi="ar-SA"/>
      </w:rPr>
    </w:lvl>
    <w:lvl w:ilvl="5" w:tentative="0">
      <w:start w:val="0"/>
      <w:numFmt w:val="bullet"/>
      <w:lvlText w:val="•"/>
      <w:lvlJc w:val="left"/>
      <w:pPr>
        <w:ind w:left="5084" w:hanging="670"/>
      </w:pPr>
      <w:rPr>
        <w:rFonts w:hint="default"/>
        <w:lang w:val="en-US" w:eastAsia="zh-CN" w:bidi="ar-SA"/>
      </w:rPr>
    </w:lvl>
    <w:lvl w:ilvl="6" w:tentative="0">
      <w:start w:val="0"/>
      <w:numFmt w:val="bullet"/>
      <w:lvlText w:val="•"/>
      <w:lvlJc w:val="left"/>
      <w:pPr>
        <w:ind w:left="6080" w:hanging="670"/>
      </w:pPr>
      <w:rPr>
        <w:rFonts w:hint="default"/>
        <w:lang w:val="en-US" w:eastAsia="zh-CN" w:bidi="ar-SA"/>
      </w:rPr>
    </w:lvl>
    <w:lvl w:ilvl="7" w:tentative="0">
      <w:start w:val="0"/>
      <w:numFmt w:val="bullet"/>
      <w:lvlText w:val="•"/>
      <w:lvlJc w:val="left"/>
      <w:pPr>
        <w:ind w:left="7076" w:hanging="670"/>
      </w:pPr>
      <w:rPr>
        <w:rFonts w:hint="default"/>
        <w:lang w:val="en-US" w:eastAsia="zh-CN" w:bidi="ar-SA"/>
      </w:rPr>
    </w:lvl>
    <w:lvl w:ilvl="8" w:tentative="0">
      <w:start w:val="0"/>
      <w:numFmt w:val="bullet"/>
      <w:lvlText w:val="•"/>
      <w:lvlJc w:val="left"/>
      <w:pPr>
        <w:ind w:left="8072" w:hanging="670"/>
      </w:pPr>
      <w:rPr>
        <w:rFonts w:hint="default"/>
        <w:lang w:val="en-US" w:eastAsia="zh-CN" w:bidi="ar-SA"/>
      </w:rPr>
    </w:lvl>
  </w:abstractNum>
  <w:abstractNum w:abstractNumId="71">
    <w:nsid w:val="470F39CA"/>
    <w:multiLevelType w:val="multilevel"/>
    <w:tmpl w:val="470F39CA"/>
    <w:lvl w:ilvl="0" w:tentative="0">
      <w:start w:val="3"/>
      <w:numFmt w:val="decimal"/>
      <w:lvlText w:val="%1"/>
      <w:lvlJc w:val="left"/>
      <w:pPr>
        <w:ind w:left="952" w:hanging="526"/>
        <w:jc w:val="left"/>
      </w:pPr>
      <w:rPr>
        <w:rFonts w:hint="default"/>
        <w:lang w:val="en-US" w:eastAsia="zh-CN" w:bidi="ar-SA"/>
      </w:rPr>
    </w:lvl>
    <w:lvl w:ilvl="1" w:tentative="0">
      <w:start w:val="1"/>
      <w:numFmt w:val="decimal"/>
      <w:lvlText w:val="%1.%2"/>
      <w:lvlJc w:val="left"/>
      <w:pPr>
        <w:ind w:left="952"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735"/>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640" w:hanging="735"/>
      </w:pPr>
      <w:rPr>
        <w:rFonts w:hint="default"/>
        <w:lang w:val="en-US" w:eastAsia="zh-CN" w:bidi="ar-SA"/>
      </w:rPr>
    </w:lvl>
    <w:lvl w:ilvl="4" w:tentative="0">
      <w:start w:val="0"/>
      <w:numFmt w:val="bullet"/>
      <w:lvlText w:val="•"/>
      <w:lvlJc w:val="left"/>
      <w:pPr>
        <w:ind w:left="3701" w:hanging="735"/>
      </w:pPr>
      <w:rPr>
        <w:rFonts w:hint="default"/>
        <w:lang w:val="en-US" w:eastAsia="zh-CN" w:bidi="ar-SA"/>
      </w:rPr>
    </w:lvl>
    <w:lvl w:ilvl="5" w:tentative="0">
      <w:start w:val="0"/>
      <w:numFmt w:val="bullet"/>
      <w:lvlText w:val="•"/>
      <w:lvlJc w:val="left"/>
      <w:pPr>
        <w:ind w:left="4761" w:hanging="735"/>
      </w:pPr>
      <w:rPr>
        <w:rFonts w:hint="default"/>
        <w:lang w:val="en-US" w:eastAsia="zh-CN" w:bidi="ar-SA"/>
      </w:rPr>
    </w:lvl>
    <w:lvl w:ilvl="6" w:tentative="0">
      <w:start w:val="0"/>
      <w:numFmt w:val="bullet"/>
      <w:lvlText w:val="•"/>
      <w:lvlJc w:val="left"/>
      <w:pPr>
        <w:ind w:left="5822" w:hanging="735"/>
      </w:pPr>
      <w:rPr>
        <w:rFonts w:hint="default"/>
        <w:lang w:val="en-US" w:eastAsia="zh-CN" w:bidi="ar-SA"/>
      </w:rPr>
    </w:lvl>
    <w:lvl w:ilvl="7" w:tentative="0">
      <w:start w:val="0"/>
      <w:numFmt w:val="bullet"/>
      <w:lvlText w:val="•"/>
      <w:lvlJc w:val="left"/>
      <w:pPr>
        <w:ind w:left="6883" w:hanging="735"/>
      </w:pPr>
      <w:rPr>
        <w:rFonts w:hint="default"/>
        <w:lang w:val="en-US" w:eastAsia="zh-CN" w:bidi="ar-SA"/>
      </w:rPr>
    </w:lvl>
    <w:lvl w:ilvl="8" w:tentative="0">
      <w:start w:val="0"/>
      <w:numFmt w:val="bullet"/>
      <w:lvlText w:val="•"/>
      <w:lvlJc w:val="left"/>
      <w:pPr>
        <w:ind w:left="7943" w:hanging="735"/>
      </w:pPr>
      <w:rPr>
        <w:rFonts w:hint="default"/>
        <w:lang w:val="en-US" w:eastAsia="zh-CN" w:bidi="ar-SA"/>
      </w:rPr>
    </w:lvl>
  </w:abstractNum>
  <w:abstractNum w:abstractNumId="72">
    <w:nsid w:val="4B5D4CB5"/>
    <w:multiLevelType w:val="multilevel"/>
    <w:tmpl w:val="4B5D4CB5"/>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73">
    <w:nsid w:val="4B680982"/>
    <w:multiLevelType w:val="multilevel"/>
    <w:tmpl w:val="4B680982"/>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74">
    <w:nsid w:val="521596B1"/>
    <w:multiLevelType w:val="multilevel"/>
    <w:tmpl w:val="521596B1"/>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75">
    <w:nsid w:val="52791D33"/>
    <w:multiLevelType w:val="multilevel"/>
    <w:tmpl w:val="52791D33"/>
    <w:lvl w:ilvl="0" w:tentative="0">
      <w:start w:val="3"/>
      <w:numFmt w:val="lowerLetter"/>
      <w:lvlText w:val="%1."/>
      <w:lvlJc w:val="left"/>
      <w:pPr>
        <w:ind w:left="426"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384" w:hanging="212"/>
      </w:pPr>
      <w:rPr>
        <w:rFonts w:hint="default"/>
        <w:lang w:val="en-US" w:eastAsia="zh-CN" w:bidi="ar-SA"/>
      </w:rPr>
    </w:lvl>
    <w:lvl w:ilvl="2" w:tentative="0">
      <w:start w:val="0"/>
      <w:numFmt w:val="bullet"/>
      <w:lvlText w:val="•"/>
      <w:lvlJc w:val="left"/>
      <w:pPr>
        <w:ind w:left="2349" w:hanging="212"/>
      </w:pPr>
      <w:rPr>
        <w:rFonts w:hint="default"/>
        <w:lang w:val="en-US" w:eastAsia="zh-CN" w:bidi="ar-SA"/>
      </w:rPr>
    </w:lvl>
    <w:lvl w:ilvl="3" w:tentative="0">
      <w:start w:val="0"/>
      <w:numFmt w:val="bullet"/>
      <w:lvlText w:val="•"/>
      <w:lvlJc w:val="left"/>
      <w:pPr>
        <w:ind w:left="3313" w:hanging="212"/>
      </w:pPr>
      <w:rPr>
        <w:rFonts w:hint="default"/>
        <w:lang w:val="en-US" w:eastAsia="zh-CN" w:bidi="ar-SA"/>
      </w:rPr>
    </w:lvl>
    <w:lvl w:ilvl="4" w:tentative="0">
      <w:start w:val="0"/>
      <w:numFmt w:val="bullet"/>
      <w:lvlText w:val="•"/>
      <w:lvlJc w:val="left"/>
      <w:pPr>
        <w:ind w:left="4278" w:hanging="212"/>
      </w:pPr>
      <w:rPr>
        <w:rFonts w:hint="default"/>
        <w:lang w:val="en-US" w:eastAsia="zh-CN" w:bidi="ar-SA"/>
      </w:rPr>
    </w:lvl>
    <w:lvl w:ilvl="5" w:tentative="0">
      <w:start w:val="0"/>
      <w:numFmt w:val="bullet"/>
      <w:lvlText w:val="•"/>
      <w:lvlJc w:val="left"/>
      <w:pPr>
        <w:ind w:left="5242" w:hanging="212"/>
      </w:pPr>
      <w:rPr>
        <w:rFonts w:hint="default"/>
        <w:lang w:val="en-US" w:eastAsia="zh-CN" w:bidi="ar-SA"/>
      </w:rPr>
    </w:lvl>
    <w:lvl w:ilvl="6" w:tentative="0">
      <w:start w:val="0"/>
      <w:numFmt w:val="bullet"/>
      <w:lvlText w:val="•"/>
      <w:lvlJc w:val="left"/>
      <w:pPr>
        <w:ind w:left="6207" w:hanging="212"/>
      </w:pPr>
      <w:rPr>
        <w:rFonts w:hint="default"/>
        <w:lang w:val="en-US" w:eastAsia="zh-CN" w:bidi="ar-SA"/>
      </w:rPr>
    </w:lvl>
    <w:lvl w:ilvl="7" w:tentative="0">
      <w:start w:val="0"/>
      <w:numFmt w:val="bullet"/>
      <w:lvlText w:val="•"/>
      <w:lvlJc w:val="left"/>
      <w:pPr>
        <w:ind w:left="7171" w:hanging="212"/>
      </w:pPr>
      <w:rPr>
        <w:rFonts w:hint="default"/>
        <w:lang w:val="en-US" w:eastAsia="zh-CN" w:bidi="ar-SA"/>
      </w:rPr>
    </w:lvl>
    <w:lvl w:ilvl="8" w:tentative="0">
      <w:start w:val="0"/>
      <w:numFmt w:val="bullet"/>
      <w:lvlText w:val="•"/>
      <w:lvlJc w:val="left"/>
      <w:pPr>
        <w:ind w:left="8136" w:hanging="212"/>
      </w:pPr>
      <w:rPr>
        <w:rFonts w:hint="default"/>
        <w:lang w:val="en-US" w:eastAsia="zh-CN" w:bidi="ar-SA"/>
      </w:rPr>
    </w:lvl>
  </w:abstractNum>
  <w:abstractNum w:abstractNumId="76">
    <w:nsid w:val="54603C36"/>
    <w:multiLevelType w:val="multilevel"/>
    <w:tmpl w:val="54603C36"/>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77">
    <w:nsid w:val="54A745CD"/>
    <w:multiLevelType w:val="multilevel"/>
    <w:tmpl w:val="54A745CD"/>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78">
    <w:nsid w:val="56436E06"/>
    <w:multiLevelType w:val="multilevel"/>
    <w:tmpl w:val="56436E06"/>
    <w:lvl w:ilvl="0" w:tentative="0">
      <w:start w:val="1"/>
      <w:numFmt w:val="decimal"/>
      <w:lvlText w:val="（%1）"/>
      <w:lvlJc w:val="left"/>
      <w:pPr>
        <w:ind w:left="1307" w:hanging="553"/>
        <w:jc w:val="right"/>
      </w:pPr>
      <w:rPr>
        <w:rFonts w:hint="default" w:ascii="宋体" w:hAnsi="宋体" w:eastAsia="宋体" w:cs="宋体"/>
        <w:b w:val="0"/>
        <w:bCs w:val="0"/>
        <w:i w:val="0"/>
        <w:iCs w:val="0"/>
        <w:spacing w:val="5"/>
        <w:w w:val="99"/>
        <w:sz w:val="19"/>
        <w:szCs w:val="19"/>
        <w:lang w:val="en-US" w:eastAsia="zh-CN" w:bidi="ar-SA"/>
      </w:rPr>
    </w:lvl>
    <w:lvl w:ilvl="1" w:tentative="0">
      <w:start w:val="0"/>
      <w:numFmt w:val="bullet"/>
      <w:lvlText w:val="•"/>
      <w:lvlJc w:val="left"/>
      <w:pPr>
        <w:ind w:left="2176" w:hanging="553"/>
      </w:pPr>
      <w:rPr>
        <w:rFonts w:hint="default"/>
        <w:lang w:val="en-US" w:eastAsia="zh-CN" w:bidi="ar-SA"/>
      </w:rPr>
    </w:lvl>
    <w:lvl w:ilvl="2" w:tentative="0">
      <w:start w:val="0"/>
      <w:numFmt w:val="bullet"/>
      <w:lvlText w:val="•"/>
      <w:lvlJc w:val="left"/>
      <w:pPr>
        <w:ind w:left="3053" w:hanging="553"/>
      </w:pPr>
      <w:rPr>
        <w:rFonts w:hint="default"/>
        <w:lang w:val="en-US" w:eastAsia="zh-CN" w:bidi="ar-SA"/>
      </w:rPr>
    </w:lvl>
    <w:lvl w:ilvl="3" w:tentative="0">
      <w:start w:val="0"/>
      <w:numFmt w:val="bullet"/>
      <w:lvlText w:val="•"/>
      <w:lvlJc w:val="left"/>
      <w:pPr>
        <w:ind w:left="3929" w:hanging="553"/>
      </w:pPr>
      <w:rPr>
        <w:rFonts w:hint="default"/>
        <w:lang w:val="en-US" w:eastAsia="zh-CN" w:bidi="ar-SA"/>
      </w:rPr>
    </w:lvl>
    <w:lvl w:ilvl="4" w:tentative="0">
      <w:start w:val="0"/>
      <w:numFmt w:val="bullet"/>
      <w:lvlText w:val="•"/>
      <w:lvlJc w:val="left"/>
      <w:pPr>
        <w:ind w:left="4806" w:hanging="553"/>
      </w:pPr>
      <w:rPr>
        <w:rFonts w:hint="default"/>
        <w:lang w:val="en-US" w:eastAsia="zh-CN" w:bidi="ar-SA"/>
      </w:rPr>
    </w:lvl>
    <w:lvl w:ilvl="5" w:tentative="0">
      <w:start w:val="0"/>
      <w:numFmt w:val="bullet"/>
      <w:lvlText w:val="•"/>
      <w:lvlJc w:val="left"/>
      <w:pPr>
        <w:ind w:left="5682" w:hanging="553"/>
      </w:pPr>
      <w:rPr>
        <w:rFonts w:hint="default"/>
        <w:lang w:val="en-US" w:eastAsia="zh-CN" w:bidi="ar-SA"/>
      </w:rPr>
    </w:lvl>
    <w:lvl w:ilvl="6" w:tentative="0">
      <w:start w:val="0"/>
      <w:numFmt w:val="bullet"/>
      <w:lvlText w:val="•"/>
      <w:lvlJc w:val="left"/>
      <w:pPr>
        <w:ind w:left="6559" w:hanging="553"/>
      </w:pPr>
      <w:rPr>
        <w:rFonts w:hint="default"/>
        <w:lang w:val="en-US" w:eastAsia="zh-CN" w:bidi="ar-SA"/>
      </w:rPr>
    </w:lvl>
    <w:lvl w:ilvl="7" w:tentative="0">
      <w:start w:val="0"/>
      <w:numFmt w:val="bullet"/>
      <w:lvlText w:val="•"/>
      <w:lvlJc w:val="left"/>
      <w:pPr>
        <w:ind w:left="7435" w:hanging="553"/>
      </w:pPr>
      <w:rPr>
        <w:rFonts w:hint="default"/>
        <w:lang w:val="en-US" w:eastAsia="zh-CN" w:bidi="ar-SA"/>
      </w:rPr>
    </w:lvl>
    <w:lvl w:ilvl="8" w:tentative="0">
      <w:start w:val="0"/>
      <w:numFmt w:val="bullet"/>
      <w:lvlText w:val="•"/>
      <w:lvlJc w:val="left"/>
      <w:pPr>
        <w:ind w:left="8312" w:hanging="553"/>
      </w:pPr>
      <w:rPr>
        <w:rFonts w:hint="default"/>
        <w:lang w:val="en-US" w:eastAsia="zh-CN" w:bidi="ar-SA"/>
      </w:rPr>
    </w:lvl>
  </w:abstractNum>
  <w:abstractNum w:abstractNumId="79">
    <w:nsid w:val="56511D79"/>
    <w:multiLevelType w:val="multilevel"/>
    <w:tmpl w:val="56511D79"/>
    <w:lvl w:ilvl="0" w:tentative="0">
      <w:start w:val="10"/>
      <w:numFmt w:val="decimal"/>
      <w:lvlText w:val="(%1)"/>
      <w:lvlJc w:val="left"/>
      <w:pPr>
        <w:ind w:left="1304" w:hanging="440"/>
        <w:jc w:val="left"/>
      </w:pPr>
      <w:rPr>
        <w:rFonts w:hint="default" w:ascii="宋体" w:hAnsi="宋体" w:eastAsia="宋体" w:cs="宋体"/>
        <w:b w:val="0"/>
        <w:bCs w:val="0"/>
        <w:i w:val="0"/>
        <w:iCs w:val="0"/>
        <w:spacing w:val="3"/>
        <w:w w:val="99"/>
        <w:sz w:val="19"/>
        <w:szCs w:val="19"/>
        <w:lang w:val="en-US" w:eastAsia="zh-CN" w:bidi="ar-SA"/>
      </w:rPr>
    </w:lvl>
    <w:lvl w:ilvl="1" w:tentative="0">
      <w:start w:val="0"/>
      <w:numFmt w:val="bullet"/>
      <w:lvlText w:val="•"/>
      <w:lvlJc w:val="left"/>
      <w:pPr>
        <w:ind w:left="2176" w:hanging="440"/>
      </w:pPr>
      <w:rPr>
        <w:rFonts w:hint="default"/>
        <w:lang w:val="en-US" w:eastAsia="zh-CN" w:bidi="ar-SA"/>
      </w:rPr>
    </w:lvl>
    <w:lvl w:ilvl="2" w:tentative="0">
      <w:start w:val="0"/>
      <w:numFmt w:val="bullet"/>
      <w:lvlText w:val="•"/>
      <w:lvlJc w:val="left"/>
      <w:pPr>
        <w:ind w:left="3053" w:hanging="440"/>
      </w:pPr>
      <w:rPr>
        <w:rFonts w:hint="default"/>
        <w:lang w:val="en-US" w:eastAsia="zh-CN" w:bidi="ar-SA"/>
      </w:rPr>
    </w:lvl>
    <w:lvl w:ilvl="3" w:tentative="0">
      <w:start w:val="0"/>
      <w:numFmt w:val="bullet"/>
      <w:lvlText w:val="•"/>
      <w:lvlJc w:val="left"/>
      <w:pPr>
        <w:ind w:left="3929" w:hanging="440"/>
      </w:pPr>
      <w:rPr>
        <w:rFonts w:hint="default"/>
        <w:lang w:val="en-US" w:eastAsia="zh-CN" w:bidi="ar-SA"/>
      </w:rPr>
    </w:lvl>
    <w:lvl w:ilvl="4" w:tentative="0">
      <w:start w:val="0"/>
      <w:numFmt w:val="bullet"/>
      <w:lvlText w:val="•"/>
      <w:lvlJc w:val="left"/>
      <w:pPr>
        <w:ind w:left="4806" w:hanging="440"/>
      </w:pPr>
      <w:rPr>
        <w:rFonts w:hint="default"/>
        <w:lang w:val="en-US" w:eastAsia="zh-CN" w:bidi="ar-SA"/>
      </w:rPr>
    </w:lvl>
    <w:lvl w:ilvl="5" w:tentative="0">
      <w:start w:val="0"/>
      <w:numFmt w:val="bullet"/>
      <w:lvlText w:val="•"/>
      <w:lvlJc w:val="left"/>
      <w:pPr>
        <w:ind w:left="5682" w:hanging="440"/>
      </w:pPr>
      <w:rPr>
        <w:rFonts w:hint="default"/>
        <w:lang w:val="en-US" w:eastAsia="zh-CN" w:bidi="ar-SA"/>
      </w:rPr>
    </w:lvl>
    <w:lvl w:ilvl="6" w:tentative="0">
      <w:start w:val="0"/>
      <w:numFmt w:val="bullet"/>
      <w:lvlText w:val="•"/>
      <w:lvlJc w:val="left"/>
      <w:pPr>
        <w:ind w:left="6559" w:hanging="440"/>
      </w:pPr>
      <w:rPr>
        <w:rFonts w:hint="default"/>
        <w:lang w:val="en-US" w:eastAsia="zh-CN" w:bidi="ar-SA"/>
      </w:rPr>
    </w:lvl>
    <w:lvl w:ilvl="7" w:tentative="0">
      <w:start w:val="0"/>
      <w:numFmt w:val="bullet"/>
      <w:lvlText w:val="•"/>
      <w:lvlJc w:val="left"/>
      <w:pPr>
        <w:ind w:left="7435" w:hanging="440"/>
      </w:pPr>
      <w:rPr>
        <w:rFonts w:hint="default"/>
        <w:lang w:val="en-US" w:eastAsia="zh-CN" w:bidi="ar-SA"/>
      </w:rPr>
    </w:lvl>
    <w:lvl w:ilvl="8" w:tentative="0">
      <w:start w:val="0"/>
      <w:numFmt w:val="bullet"/>
      <w:lvlText w:val="•"/>
      <w:lvlJc w:val="left"/>
      <w:pPr>
        <w:ind w:left="8312" w:hanging="440"/>
      </w:pPr>
      <w:rPr>
        <w:rFonts w:hint="default"/>
        <w:lang w:val="en-US" w:eastAsia="zh-CN" w:bidi="ar-SA"/>
      </w:rPr>
    </w:lvl>
  </w:abstractNum>
  <w:abstractNum w:abstractNumId="80">
    <w:nsid w:val="587476FB"/>
    <w:multiLevelType w:val="multilevel"/>
    <w:tmpl w:val="587476FB"/>
    <w:lvl w:ilvl="0" w:tentative="0">
      <w:start w:val="1"/>
      <w:numFmt w:val="decimal"/>
      <w:lvlText w:val="（%1）"/>
      <w:lvlJc w:val="left"/>
      <w:pPr>
        <w:ind w:left="426" w:hanging="525"/>
        <w:jc w:val="left"/>
      </w:pPr>
      <w:rPr>
        <w:rFonts w:hint="default" w:ascii="宋体" w:hAnsi="宋体" w:eastAsia="宋体" w:cs="宋体"/>
        <w:b w:val="0"/>
        <w:bCs w:val="0"/>
        <w:i w:val="0"/>
        <w:iCs w:val="0"/>
        <w:spacing w:val="-13"/>
        <w:w w:val="99"/>
        <w:sz w:val="19"/>
        <w:szCs w:val="19"/>
        <w:lang w:val="en-US" w:eastAsia="zh-CN" w:bidi="ar-SA"/>
      </w:rPr>
    </w:lvl>
    <w:lvl w:ilvl="1" w:tentative="0">
      <w:start w:val="0"/>
      <w:numFmt w:val="bullet"/>
      <w:lvlText w:val="•"/>
      <w:lvlJc w:val="left"/>
      <w:pPr>
        <w:ind w:left="1384" w:hanging="525"/>
      </w:pPr>
      <w:rPr>
        <w:rFonts w:hint="default"/>
        <w:lang w:val="en-US" w:eastAsia="zh-CN" w:bidi="ar-SA"/>
      </w:rPr>
    </w:lvl>
    <w:lvl w:ilvl="2" w:tentative="0">
      <w:start w:val="0"/>
      <w:numFmt w:val="bullet"/>
      <w:lvlText w:val="•"/>
      <w:lvlJc w:val="left"/>
      <w:pPr>
        <w:ind w:left="2349" w:hanging="525"/>
      </w:pPr>
      <w:rPr>
        <w:rFonts w:hint="default"/>
        <w:lang w:val="en-US" w:eastAsia="zh-CN" w:bidi="ar-SA"/>
      </w:rPr>
    </w:lvl>
    <w:lvl w:ilvl="3" w:tentative="0">
      <w:start w:val="0"/>
      <w:numFmt w:val="bullet"/>
      <w:lvlText w:val="•"/>
      <w:lvlJc w:val="left"/>
      <w:pPr>
        <w:ind w:left="3313" w:hanging="525"/>
      </w:pPr>
      <w:rPr>
        <w:rFonts w:hint="default"/>
        <w:lang w:val="en-US" w:eastAsia="zh-CN" w:bidi="ar-SA"/>
      </w:rPr>
    </w:lvl>
    <w:lvl w:ilvl="4" w:tentative="0">
      <w:start w:val="0"/>
      <w:numFmt w:val="bullet"/>
      <w:lvlText w:val="•"/>
      <w:lvlJc w:val="left"/>
      <w:pPr>
        <w:ind w:left="4278" w:hanging="525"/>
      </w:pPr>
      <w:rPr>
        <w:rFonts w:hint="default"/>
        <w:lang w:val="en-US" w:eastAsia="zh-CN" w:bidi="ar-SA"/>
      </w:rPr>
    </w:lvl>
    <w:lvl w:ilvl="5" w:tentative="0">
      <w:start w:val="0"/>
      <w:numFmt w:val="bullet"/>
      <w:lvlText w:val="•"/>
      <w:lvlJc w:val="left"/>
      <w:pPr>
        <w:ind w:left="5242" w:hanging="525"/>
      </w:pPr>
      <w:rPr>
        <w:rFonts w:hint="default"/>
        <w:lang w:val="en-US" w:eastAsia="zh-CN" w:bidi="ar-SA"/>
      </w:rPr>
    </w:lvl>
    <w:lvl w:ilvl="6" w:tentative="0">
      <w:start w:val="0"/>
      <w:numFmt w:val="bullet"/>
      <w:lvlText w:val="•"/>
      <w:lvlJc w:val="left"/>
      <w:pPr>
        <w:ind w:left="6207" w:hanging="525"/>
      </w:pPr>
      <w:rPr>
        <w:rFonts w:hint="default"/>
        <w:lang w:val="en-US" w:eastAsia="zh-CN" w:bidi="ar-SA"/>
      </w:rPr>
    </w:lvl>
    <w:lvl w:ilvl="7" w:tentative="0">
      <w:start w:val="0"/>
      <w:numFmt w:val="bullet"/>
      <w:lvlText w:val="•"/>
      <w:lvlJc w:val="left"/>
      <w:pPr>
        <w:ind w:left="7171" w:hanging="525"/>
      </w:pPr>
      <w:rPr>
        <w:rFonts w:hint="default"/>
        <w:lang w:val="en-US" w:eastAsia="zh-CN" w:bidi="ar-SA"/>
      </w:rPr>
    </w:lvl>
    <w:lvl w:ilvl="8" w:tentative="0">
      <w:start w:val="0"/>
      <w:numFmt w:val="bullet"/>
      <w:lvlText w:val="•"/>
      <w:lvlJc w:val="left"/>
      <w:pPr>
        <w:ind w:left="8136" w:hanging="525"/>
      </w:pPr>
      <w:rPr>
        <w:rFonts w:hint="default"/>
        <w:lang w:val="en-US" w:eastAsia="zh-CN" w:bidi="ar-SA"/>
      </w:rPr>
    </w:lvl>
  </w:abstractNum>
  <w:abstractNum w:abstractNumId="81">
    <w:nsid w:val="58DA5A1D"/>
    <w:multiLevelType w:val="multilevel"/>
    <w:tmpl w:val="58DA5A1D"/>
    <w:lvl w:ilvl="0" w:tentative="0">
      <w:start w:val="1"/>
      <w:numFmt w:val="decimal"/>
      <w:pStyle w:val="107"/>
      <w:lvlText w:val="（%1）"/>
      <w:lvlJc w:val="left"/>
      <w:pPr>
        <w:tabs>
          <w:tab w:val="left" w:pos="1575"/>
        </w:tabs>
        <w:ind w:left="1575" w:hanging="720"/>
      </w:p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82">
    <w:nsid w:val="58F668B8"/>
    <w:multiLevelType w:val="multilevel"/>
    <w:tmpl w:val="58F668B8"/>
    <w:lvl w:ilvl="0" w:tentative="0">
      <w:start w:val="20"/>
      <w:numFmt w:val="decimal"/>
      <w:lvlText w:val="%1."/>
      <w:lvlJc w:val="left"/>
      <w:pPr>
        <w:ind w:left="845" w:hanging="419"/>
        <w:jc w:val="left"/>
      </w:pPr>
      <w:rPr>
        <w:rFonts w:hint="default" w:ascii="宋体" w:hAnsi="宋体" w:eastAsia="宋体" w:cs="宋体"/>
        <w:b w:val="0"/>
        <w:bCs w:val="0"/>
        <w:i w:val="0"/>
        <w:iCs w:val="0"/>
        <w:spacing w:val="-2"/>
        <w:w w:val="99"/>
        <w:sz w:val="19"/>
        <w:szCs w:val="19"/>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686" w:hanging="840"/>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1680" w:hanging="840"/>
      </w:pPr>
      <w:rPr>
        <w:rFonts w:hint="default"/>
        <w:lang w:val="en-US" w:eastAsia="zh-CN" w:bidi="ar-SA"/>
      </w:rPr>
    </w:lvl>
    <w:lvl w:ilvl="4" w:tentative="0">
      <w:start w:val="0"/>
      <w:numFmt w:val="bullet"/>
      <w:lvlText w:val="•"/>
      <w:lvlJc w:val="left"/>
      <w:pPr>
        <w:ind w:left="2877" w:hanging="840"/>
      </w:pPr>
      <w:rPr>
        <w:rFonts w:hint="default"/>
        <w:lang w:val="en-US" w:eastAsia="zh-CN" w:bidi="ar-SA"/>
      </w:rPr>
    </w:lvl>
    <w:lvl w:ilvl="5" w:tentative="0">
      <w:start w:val="0"/>
      <w:numFmt w:val="bullet"/>
      <w:lvlText w:val="•"/>
      <w:lvlJc w:val="left"/>
      <w:pPr>
        <w:ind w:left="4075" w:hanging="840"/>
      </w:pPr>
      <w:rPr>
        <w:rFonts w:hint="default"/>
        <w:lang w:val="en-US" w:eastAsia="zh-CN" w:bidi="ar-SA"/>
      </w:rPr>
    </w:lvl>
    <w:lvl w:ilvl="6" w:tentative="0">
      <w:start w:val="0"/>
      <w:numFmt w:val="bullet"/>
      <w:lvlText w:val="•"/>
      <w:lvlJc w:val="left"/>
      <w:pPr>
        <w:ind w:left="5273" w:hanging="840"/>
      </w:pPr>
      <w:rPr>
        <w:rFonts w:hint="default"/>
        <w:lang w:val="en-US" w:eastAsia="zh-CN" w:bidi="ar-SA"/>
      </w:rPr>
    </w:lvl>
    <w:lvl w:ilvl="7" w:tentative="0">
      <w:start w:val="0"/>
      <w:numFmt w:val="bullet"/>
      <w:lvlText w:val="•"/>
      <w:lvlJc w:val="left"/>
      <w:pPr>
        <w:ind w:left="6471" w:hanging="840"/>
      </w:pPr>
      <w:rPr>
        <w:rFonts w:hint="default"/>
        <w:lang w:val="en-US" w:eastAsia="zh-CN" w:bidi="ar-SA"/>
      </w:rPr>
    </w:lvl>
    <w:lvl w:ilvl="8" w:tentative="0">
      <w:start w:val="0"/>
      <w:numFmt w:val="bullet"/>
      <w:lvlText w:val="•"/>
      <w:lvlJc w:val="left"/>
      <w:pPr>
        <w:ind w:left="7669" w:hanging="840"/>
      </w:pPr>
      <w:rPr>
        <w:rFonts w:hint="default"/>
        <w:lang w:val="en-US" w:eastAsia="zh-CN" w:bidi="ar-SA"/>
      </w:rPr>
    </w:lvl>
  </w:abstractNum>
  <w:abstractNum w:abstractNumId="83">
    <w:nsid w:val="59107AFC"/>
    <w:multiLevelType w:val="multilevel"/>
    <w:tmpl w:val="59107AFC"/>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lowerLetter"/>
      <w:lvlText w:val="%2."/>
      <w:lvlJc w:val="left"/>
      <w:pPr>
        <w:ind w:left="426" w:hanging="317"/>
        <w:jc w:val="left"/>
      </w:pPr>
      <w:rPr>
        <w:rFonts w:hint="default" w:ascii="宋体" w:hAnsi="宋体" w:eastAsia="宋体" w:cs="宋体"/>
        <w:b w:val="0"/>
        <w:bCs w:val="0"/>
        <w:i w:val="0"/>
        <w:iCs w:val="0"/>
        <w:spacing w:val="1"/>
        <w:w w:val="94"/>
        <w:sz w:val="19"/>
        <w:szCs w:val="19"/>
        <w:lang w:val="en-US" w:eastAsia="zh-CN" w:bidi="ar-SA"/>
      </w:rPr>
    </w:lvl>
    <w:lvl w:ilvl="2" w:tentative="0">
      <w:start w:val="0"/>
      <w:numFmt w:val="bullet"/>
      <w:lvlText w:val="•"/>
      <w:lvlJc w:val="left"/>
      <w:pPr>
        <w:ind w:left="2349" w:hanging="317"/>
      </w:pPr>
      <w:rPr>
        <w:rFonts w:hint="default"/>
        <w:lang w:val="en-US" w:eastAsia="zh-CN" w:bidi="ar-SA"/>
      </w:rPr>
    </w:lvl>
    <w:lvl w:ilvl="3" w:tentative="0">
      <w:start w:val="0"/>
      <w:numFmt w:val="bullet"/>
      <w:lvlText w:val="•"/>
      <w:lvlJc w:val="left"/>
      <w:pPr>
        <w:ind w:left="3313" w:hanging="317"/>
      </w:pPr>
      <w:rPr>
        <w:rFonts w:hint="default"/>
        <w:lang w:val="en-US" w:eastAsia="zh-CN" w:bidi="ar-SA"/>
      </w:rPr>
    </w:lvl>
    <w:lvl w:ilvl="4" w:tentative="0">
      <w:start w:val="0"/>
      <w:numFmt w:val="bullet"/>
      <w:lvlText w:val="•"/>
      <w:lvlJc w:val="left"/>
      <w:pPr>
        <w:ind w:left="4278" w:hanging="317"/>
      </w:pPr>
      <w:rPr>
        <w:rFonts w:hint="default"/>
        <w:lang w:val="en-US" w:eastAsia="zh-CN" w:bidi="ar-SA"/>
      </w:rPr>
    </w:lvl>
    <w:lvl w:ilvl="5" w:tentative="0">
      <w:start w:val="0"/>
      <w:numFmt w:val="bullet"/>
      <w:lvlText w:val="•"/>
      <w:lvlJc w:val="left"/>
      <w:pPr>
        <w:ind w:left="5242" w:hanging="317"/>
      </w:pPr>
      <w:rPr>
        <w:rFonts w:hint="default"/>
        <w:lang w:val="en-US" w:eastAsia="zh-CN" w:bidi="ar-SA"/>
      </w:rPr>
    </w:lvl>
    <w:lvl w:ilvl="6" w:tentative="0">
      <w:start w:val="0"/>
      <w:numFmt w:val="bullet"/>
      <w:lvlText w:val="•"/>
      <w:lvlJc w:val="left"/>
      <w:pPr>
        <w:ind w:left="6207" w:hanging="317"/>
      </w:pPr>
      <w:rPr>
        <w:rFonts w:hint="default"/>
        <w:lang w:val="en-US" w:eastAsia="zh-CN" w:bidi="ar-SA"/>
      </w:rPr>
    </w:lvl>
    <w:lvl w:ilvl="7" w:tentative="0">
      <w:start w:val="0"/>
      <w:numFmt w:val="bullet"/>
      <w:lvlText w:val="•"/>
      <w:lvlJc w:val="left"/>
      <w:pPr>
        <w:ind w:left="7171" w:hanging="317"/>
      </w:pPr>
      <w:rPr>
        <w:rFonts w:hint="default"/>
        <w:lang w:val="en-US" w:eastAsia="zh-CN" w:bidi="ar-SA"/>
      </w:rPr>
    </w:lvl>
    <w:lvl w:ilvl="8" w:tentative="0">
      <w:start w:val="0"/>
      <w:numFmt w:val="bullet"/>
      <w:lvlText w:val="•"/>
      <w:lvlJc w:val="left"/>
      <w:pPr>
        <w:ind w:left="8136" w:hanging="317"/>
      </w:pPr>
      <w:rPr>
        <w:rFonts w:hint="default"/>
        <w:lang w:val="en-US" w:eastAsia="zh-CN" w:bidi="ar-SA"/>
      </w:rPr>
    </w:lvl>
  </w:abstractNum>
  <w:abstractNum w:abstractNumId="84">
    <w:nsid w:val="5C065BE3"/>
    <w:multiLevelType w:val="multilevel"/>
    <w:tmpl w:val="5C065BE3"/>
    <w:lvl w:ilvl="0" w:tentative="0">
      <w:start w:val="4"/>
      <w:numFmt w:val="decimal"/>
      <w:lvlText w:val="%1"/>
      <w:lvlJc w:val="left"/>
      <w:pPr>
        <w:ind w:left="1040" w:hanging="615"/>
        <w:jc w:val="left"/>
      </w:pPr>
      <w:rPr>
        <w:rFonts w:hint="default"/>
        <w:lang w:val="en-US" w:eastAsia="zh-CN" w:bidi="ar-SA"/>
      </w:rPr>
    </w:lvl>
    <w:lvl w:ilvl="1" w:tentative="0">
      <w:start w:val="11"/>
      <w:numFmt w:val="decimal"/>
      <w:lvlText w:val="%1.%2"/>
      <w:lvlJc w:val="left"/>
      <w:pPr>
        <w:ind w:left="1040" w:hanging="615"/>
        <w:jc w:val="left"/>
      </w:pPr>
      <w:rPr>
        <w:rFonts w:hint="default" w:ascii="宋体" w:hAnsi="宋体" w:eastAsia="宋体" w:cs="宋体"/>
        <w:b w:val="0"/>
        <w:bCs w:val="0"/>
        <w:i w:val="0"/>
        <w:iCs w:val="0"/>
        <w:spacing w:val="-2"/>
        <w:w w:val="99"/>
        <w:sz w:val="21"/>
        <w:szCs w:val="21"/>
        <w:lang w:val="en-US" w:eastAsia="zh-CN" w:bidi="ar-SA"/>
      </w:rPr>
    </w:lvl>
    <w:lvl w:ilvl="2" w:tentative="0">
      <w:start w:val="1"/>
      <w:numFmt w:val="decimal"/>
      <w:lvlText w:val="%1.%2.%3"/>
      <w:lvlJc w:val="left"/>
      <w:pPr>
        <w:ind w:left="1657" w:hanging="821"/>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3527" w:hanging="821"/>
      </w:pPr>
      <w:rPr>
        <w:rFonts w:hint="default"/>
        <w:lang w:val="en-US" w:eastAsia="zh-CN" w:bidi="ar-SA"/>
      </w:rPr>
    </w:lvl>
    <w:lvl w:ilvl="4" w:tentative="0">
      <w:start w:val="0"/>
      <w:numFmt w:val="bullet"/>
      <w:lvlText w:val="•"/>
      <w:lvlJc w:val="left"/>
      <w:pPr>
        <w:ind w:left="4461" w:hanging="821"/>
      </w:pPr>
      <w:rPr>
        <w:rFonts w:hint="default"/>
        <w:lang w:val="en-US" w:eastAsia="zh-CN" w:bidi="ar-SA"/>
      </w:rPr>
    </w:lvl>
    <w:lvl w:ilvl="5" w:tentative="0">
      <w:start w:val="0"/>
      <w:numFmt w:val="bullet"/>
      <w:lvlText w:val="•"/>
      <w:lvlJc w:val="left"/>
      <w:pPr>
        <w:ind w:left="5395" w:hanging="821"/>
      </w:pPr>
      <w:rPr>
        <w:rFonts w:hint="default"/>
        <w:lang w:val="en-US" w:eastAsia="zh-CN" w:bidi="ar-SA"/>
      </w:rPr>
    </w:lvl>
    <w:lvl w:ilvl="6" w:tentative="0">
      <w:start w:val="0"/>
      <w:numFmt w:val="bullet"/>
      <w:lvlText w:val="•"/>
      <w:lvlJc w:val="left"/>
      <w:pPr>
        <w:ind w:left="6329" w:hanging="821"/>
      </w:pPr>
      <w:rPr>
        <w:rFonts w:hint="default"/>
        <w:lang w:val="en-US" w:eastAsia="zh-CN" w:bidi="ar-SA"/>
      </w:rPr>
    </w:lvl>
    <w:lvl w:ilvl="7" w:tentative="0">
      <w:start w:val="0"/>
      <w:numFmt w:val="bullet"/>
      <w:lvlText w:val="•"/>
      <w:lvlJc w:val="left"/>
      <w:pPr>
        <w:ind w:left="7263" w:hanging="821"/>
      </w:pPr>
      <w:rPr>
        <w:rFonts w:hint="default"/>
        <w:lang w:val="en-US" w:eastAsia="zh-CN" w:bidi="ar-SA"/>
      </w:rPr>
    </w:lvl>
    <w:lvl w:ilvl="8" w:tentative="0">
      <w:start w:val="0"/>
      <w:numFmt w:val="bullet"/>
      <w:lvlText w:val="•"/>
      <w:lvlJc w:val="left"/>
      <w:pPr>
        <w:ind w:left="8197" w:hanging="821"/>
      </w:pPr>
      <w:rPr>
        <w:rFonts w:hint="default"/>
        <w:lang w:val="en-US" w:eastAsia="zh-CN" w:bidi="ar-SA"/>
      </w:rPr>
    </w:lvl>
  </w:abstractNum>
  <w:abstractNum w:abstractNumId="85">
    <w:nsid w:val="60DDB09A"/>
    <w:multiLevelType w:val="multilevel"/>
    <w:tmpl w:val="60DDB09A"/>
    <w:lvl w:ilvl="0" w:tentative="0">
      <w:start w:val="1"/>
      <w:numFmt w:val="decimal"/>
      <w:lvlText w:val="（%1）"/>
      <w:lvlJc w:val="left"/>
      <w:pPr>
        <w:ind w:left="1370"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1"/>
      <w:numFmt w:val="upperLetter"/>
      <w:lvlText w:val="%2."/>
      <w:lvlJc w:val="left"/>
      <w:pPr>
        <w:ind w:left="3702" w:hanging="281"/>
        <w:jc w:val="right"/>
      </w:pPr>
      <w:rPr>
        <w:rFonts w:hint="default"/>
        <w:spacing w:val="-2"/>
        <w:w w:val="92"/>
        <w:lang w:val="en-US" w:eastAsia="zh-CN" w:bidi="ar-SA"/>
      </w:rPr>
    </w:lvl>
    <w:lvl w:ilvl="2" w:tentative="0">
      <w:start w:val="0"/>
      <w:numFmt w:val="bullet"/>
      <w:lvlText w:val="•"/>
      <w:lvlJc w:val="left"/>
      <w:pPr>
        <w:ind w:left="4407" w:hanging="281"/>
      </w:pPr>
      <w:rPr>
        <w:rFonts w:hint="default"/>
        <w:lang w:val="en-US" w:eastAsia="zh-CN" w:bidi="ar-SA"/>
      </w:rPr>
    </w:lvl>
    <w:lvl w:ilvl="3" w:tentative="0">
      <w:start w:val="0"/>
      <w:numFmt w:val="bullet"/>
      <w:lvlText w:val="•"/>
      <w:lvlJc w:val="left"/>
      <w:pPr>
        <w:ind w:left="5114" w:hanging="281"/>
      </w:pPr>
      <w:rPr>
        <w:rFonts w:hint="default"/>
        <w:lang w:val="en-US" w:eastAsia="zh-CN" w:bidi="ar-SA"/>
      </w:rPr>
    </w:lvl>
    <w:lvl w:ilvl="4" w:tentative="0">
      <w:start w:val="0"/>
      <w:numFmt w:val="bullet"/>
      <w:lvlText w:val="•"/>
      <w:lvlJc w:val="left"/>
      <w:pPr>
        <w:ind w:left="5821" w:hanging="281"/>
      </w:pPr>
      <w:rPr>
        <w:rFonts w:hint="default"/>
        <w:lang w:val="en-US" w:eastAsia="zh-CN" w:bidi="ar-SA"/>
      </w:rPr>
    </w:lvl>
    <w:lvl w:ilvl="5" w:tentative="0">
      <w:start w:val="0"/>
      <w:numFmt w:val="bullet"/>
      <w:lvlText w:val="•"/>
      <w:lvlJc w:val="left"/>
      <w:pPr>
        <w:ind w:left="6528" w:hanging="281"/>
      </w:pPr>
      <w:rPr>
        <w:rFonts w:hint="default"/>
        <w:lang w:val="en-US" w:eastAsia="zh-CN" w:bidi="ar-SA"/>
      </w:rPr>
    </w:lvl>
    <w:lvl w:ilvl="6" w:tentative="0">
      <w:start w:val="0"/>
      <w:numFmt w:val="bullet"/>
      <w:lvlText w:val="•"/>
      <w:lvlJc w:val="left"/>
      <w:pPr>
        <w:ind w:left="7236" w:hanging="281"/>
      </w:pPr>
      <w:rPr>
        <w:rFonts w:hint="default"/>
        <w:lang w:val="en-US" w:eastAsia="zh-CN" w:bidi="ar-SA"/>
      </w:rPr>
    </w:lvl>
    <w:lvl w:ilvl="7" w:tentative="0">
      <w:start w:val="0"/>
      <w:numFmt w:val="bullet"/>
      <w:lvlText w:val="•"/>
      <w:lvlJc w:val="left"/>
      <w:pPr>
        <w:ind w:left="7943" w:hanging="281"/>
      </w:pPr>
      <w:rPr>
        <w:rFonts w:hint="default"/>
        <w:lang w:val="en-US" w:eastAsia="zh-CN" w:bidi="ar-SA"/>
      </w:rPr>
    </w:lvl>
    <w:lvl w:ilvl="8" w:tentative="0">
      <w:start w:val="0"/>
      <w:numFmt w:val="bullet"/>
      <w:lvlText w:val="•"/>
      <w:lvlJc w:val="left"/>
      <w:pPr>
        <w:ind w:left="8650" w:hanging="281"/>
      </w:pPr>
      <w:rPr>
        <w:rFonts w:hint="default"/>
        <w:lang w:val="en-US" w:eastAsia="zh-CN" w:bidi="ar-SA"/>
      </w:rPr>
    </w:lvl>
  </w:abstractNum>
  <w:abstractNum w:abstractNumId="86">
    <w:nsid w:val="61876E01"/>
    <w:multiLevelType w:val="multilevel"/>
    <w:tmpl w:val="61876E01"/>
    <w:lvl w:ilvl="0" w:tentative="0">
      <w:start w:val="17"/>
      <w:numFmt w:val="decimal"/>
      <w:lvlText w:val="%1"/>
      <w:lvlJc w:val="left"/>
      <w:pPr>
        <w:ind w:left="1420" w:hanging="555"/>
        <w:jc w:val="left"/>
      </w:pPr>
      <w:rPr>
        <w:rFonts w:hint="default"/>
        <w:lang w:val="en-US" w:eastAsia="zh-CN" w:bidi="ar-SA"/>
      </w:rPr>
    </w:lvl>
    <w:lvl w:ilvl="1" w:tentative="0">
      <w:start w:val="4"/>
      <w:numFmt w:val="decimal"/>
      <w:lvlText w:val="%1.%2"/>
      <w:lvlJc w:val="left"/>
      <w:pPr>
        <w:ind w:left="1420" w:hanging="555"/>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776"/>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341" w:hanging="776"/>
      </w:pPr>
      <w:rPr>
        <w:rFonts w:hint="default"/>
        <w:lang w:val="en-US" w:eastAsia="zh-CN" w:bidi="ar-SA"/>
      </w:rPr>
    </w:lvl>
    <w:lvl w:ilvl="4" w:tentative="0">
      <w:start w:val="0"/>
      <w:numFmt w:val="bullet"/>
      <w:lvlText w:val="•"/>
      <w:lvlJc w:val="left"/>
      <w:pPr>
        <w:ind w:left="4301" w:hanging="776"/>
      </w:pPr>
      <w:rPr>
        <w:rFonts w:hint="default"/>
        <w:lang w:val="en-US" w:eastAsia="zh-CN" w:bidi="ar-SA"/>
      </w:rPr>
    </w:lvl>
    <w:lvl w:ilvl="5" w:tentative="0">
      <w:start w:val="0"/>
      <w:numFmt w:val="bullet"/>
      <w:lvlText w:val="•"/>
      <w:lvlJc w:val="left"/>
      <w:pPr>
        <w:ind w:left="5262" w:hanging="776"/>
      </w:pPr>
      <w:rPr>
        <w:rFonts w:hint="default"/>
        <w:lang w:val="en-US" w:eastAsia="zh-CN" w:bidi="ar-SA"/>
      </w:rPr>
    </w:lvl>
    <w:lvl w:ilvl="6" w:tentative="0">
      <w:start w:val="0"/>
      <w:numFmt w:val="bullet"/>
      <w:lvlText w:val="•"/>
      <w:lvlJc w:val="left"/>
      <w:pPr>
        <w:ind w:left="6222" w:hanging="776"/>
      </w:pPr>
      <w:rPr>
        <w:rFonts w:hint="default"/>
        <w:lang w:val="en-US" w:eastAsia="zh-CN" w:bidi="ar-SA"/>
      </w:rPr>
    </w:lvl>
    <w:lvl w:ilvl="7" w:tentative="0">
      <w:start w:val="0"/>
      <w:numFmt w:val="bullet"/>
      <w:lvlText w:val="•"/>
      <w:lvlJc w:val="left"/>
      <w:pPr>
        <w:ind w:left="7183" w:hanging="776"/>
      </w:pPr>
      <w:rPr>
        <w:rFonts w:hint="default"/>
        <w:lang w:val="en-US" w:eastAsia="zh-CN" w:bidi="ar-SA"/>
      </w:rPr>
    </w:lvl>
    <w:lvl w:ilvl="8" w:tentative="0">
      <w:start w:val="0"/>
      <w:numFmt w:val="bullet"/>
      <w:lvlText w:val="•"/>
      <w:lvlJc w:val="left"/>
      <w:pPr>
        <w:ind w:left="8143" w:hanging="776"/>
      </w:pPr>
      <w:rPr>
        <w:rFonts w:hint="default"/>
        <w:lang w:val="en-US" w:eastAsia="zh-CN" w:bidi="ar-SA"/>
      </w:rPr>
    </w:lvl>
  </w:abstractNum>
  <w:abstractNum w:abstractNumId="87">
    <w:nsid w:val="634D203C"/>
    <w:multiLevelType w:val="multilevel"/>
    <w:tmpl w:val="634D203C"/>
    <w:lvl w:ilvl="0" w:tentative="0">
      <w:start w:val="21"/>
      <w:numFmt w:val="decimal"/>
      <w:lvlText w:val="%1"/>
      <w:lvlJc w:val="left"/>
      <w:pPr>
        <w:ind w:left="1055" w:hanging="629"/>
        <w:jc w:val="left"/>
      </w:pPr>
      <w:rPr>
        <w:rFonts w:hint="default"/>
        <w:lang w:val="en-US" w:eastAsia="zh-CN" w:bidi="ar-SA"/>
      </w:rPr>
    </w:lvl>
    <w:lvl w:ilvl="1" w:tentative="0">
      <w:start w:val="1"/>
      <w:numFmt w:val="decimal"/>
      <w:lvlText w:val="%1.%2"/>
      <w:lvlJc w:val="left"/>
      <w:pPr>
        <w:ind w:left="1055" w:hanging="629"/>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426" w:hanging="843"/>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2728" w:hanging="843"/>
      </w:pPr>
      <w:rPr>
        <w:rFonts w:hint="default"/>
        <w:lang w:val="en-US" w:eastAsia="zh-CN" w:bidi="ar-SA"/>
      </w:rPr>
    </w:lvl>
    <w:lvl w:ilvl="4" w:tentative="0">
      <w:start w:val="0"/>
      <w:numFmt w:val="bullet"/>
      <w:lvlText w:val="•"/>
      <w:lvlJc w:val="left"/>
      <w:pPr>
        <w:ind w:left="3776" w:hanging="843"/>
      </w:pPr>
      <w:rPr>
        <w:rFonts w:hint="default"/>
        <w:lang w:val="en-US" w:eastAsia="zh-CN" w:bidi="ar-SA"/>
      </w:rPr>
    </w:lvl>
    <w:lvl w:ilvl="5" w:tentative="0">
      <w:start w:val="0"/>
      <w:numFmt w:val="bullet"/>
      <w:lvlText w:val="•"/>
      <w:lvlJc w:val="left"/>
      <w:pPr>
        <w:ind w:left="4824" w:hanging="843"/>
      </w:pPr>
      <w:rPr>
        <w:rFonts w:hint="default"/>
        <w:lang w:val="en-US" w:eastAsia="zh-CN" w:bidi="ar-SA"/>
      </w:rPr>
    </w:lvl>
    <w:lvl w:ilvl="6" w:tentative="0">
      <w:start w:val="0"/>
      <w:numFmt w:val="bullet"/>
      <w:lvlText w:val="•"/>
      <w:lvlJc w:val="left"/>
      <w:pPr>
        <w:ind w:left="5872" w:hanging="843"/>
      </w:pPr>
      <w:rPr>
        <w:rFonts w:hint="default"/>
        <w:lang w:val="en-US" w:eastAsia="zh-CN" w:bidi="ar-SA"/>
      </w:rPr>
    </w:lvl>
    <w:lvl w:ilvl="7" w:tentative="0">
      <w:start w:val="0"/>
      <w:numFmt w:val="bullet"/>
      <w:lvlText w:val="•"/>
      <w:lvlJc w:val="left"/>
      <w:pPr>
        <w:ind w:left="6920" w:hanging="843"/>
      </w:pPr>
      <w:rPr>
        <w:rFonts w:hint="default"/>
        <w:lang w:val="en-US" w:eastAsia="zh-CN" w:bidi="ar-SA"/>
      </w:rPr>
    </w:lvl>
    <w:lvl w:ilvl="8" w:tentative="0">
      <w:start w:val="0"/>
      <w:numFmt w:val="bullet"/>
      <w:lvlText w:val="•"/>
      <w:lvlJc w:val="left"/>
      <w:pPr>
        <w:ind w:left="7968" w:hanging="843"/>
      </w:pPr>
      <w:rPr>
        <w:rFonts w:hint="default"/>
        <w:lang w:val="en-US" w:eastAsia="zh-CN" w:bidi="ar-SA"/>
      </w:rPr>
    </w:lvl>
  </w:abstractNum>
  <w:abstractNum w:abstractNumId="88">
    <w:nsid w:val="68EE697E"/>
    <w:multiLevelType w:val="multilevel"/>
    <w:tmpl w:val="68EE697E"/>
    <w:lvl w:ilvl="0" w:tentative="0">
      <w:start w:val="1"/>
      <w:numFmt w:val="decimal"/>
      <w:lvlText w:val="（%1）"/>
      <w:lvlJc w:val="left"/>
      <w:pPr>
        <w:ind w:left="1268"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40" w:hanging="528"/>
      </w:pPr>
      <w:rPr>
        <w:rFonts w:hint="default"/>
        <w:lang w:val="en-US" w:eastAsia="zh-CN" w:bidi="ar-SA"/>
      </w:rPr>
    </w:lvl>
    <w:lvl w:ilvl="2" w:tentative="0">
      <w:start w:val="0"/>
      <w:numFmt w:val="bullet"/>
      <w:lvlText w:val="•"/>
      <w:lvlJc w:val="left"/>
      <w:pPr>
        <w:ind w:left="3021" w:hanging="528"/>
      </w:pPr>
      <w:rPr>
        <w:rFonts w:hint="default"/>
        <w:lang w:val="en-US" w:eastAsia="zh-CN" w:bidi="ar-SA"/>
      </w:rPr>
    </w:lvl>
    <w:lvl w:ilvl="3" w:tentative="0">
      <w:start w:val="0"/>
      <w:numFmt w:val="bullet"/>
      <w:lvlText w:val="•"/>
      <w:lvlJc w:val="left"/>
      <w:pPr>
        <w:ind w:left="3901" w:hanging="528"/>
      </w:pPr>
      <w:rPr>
        <w:rFonts w:hint="default"/>
        <w:lang w:val="en-US" w:eastAsia="zh-CN" w:bidi="ar-SA"/>
      </w:rPr>
    </w:lvl>
    <w:lvl w:ilvl="4" w:tentative="0">
      <w:start w:val="0"/>
      <w:numFmt w:val="bullet"/>
      <w:lvlText w:val="•"/>
      <w:lvlJc w:val="left"/>
      <w:pPr>
        <w:ind w:left="4782" w:hanging="528"/>
      </w:pPr>
      <w:rPr>
        <w:rFonts w:hint="default"/>
        <w:lang w:val="en-US" w:eastAsia="zh-CN" w:bidi="ar-SA"/>
      </w:rPr>
    </w:lvl>
    <w:lvl w:ilvl="5" w:tentative="0">
      <w:start w:val="0"/>
      <w:numFmt w:val="bullet"/>
      <w:lvlText w:val="•"/>
      <w:lvlJc w:val="left"/>
      <w:pPr>
        <w:ind w:left="5662" w:hanging="528"/>
      </w:pPr>
      <w:rPr>
        <w:rFonts w:hint="default"/>
        <w:lang w:val="en-US" w:eastAsia="zh-CN" w:bidi="ar-SA"/>
      </w:rPr>
    </w:lvl>
    <w:lvl w:ilvl="6" w:tentative="0">
      <w:start w:val="0"/>
      <w:numFmt w:val="bullet"/>
      <w:lvlText w:val="•"/>
      <w:lvlJc w:val="left"/>
      <w:pPr>
        <w:ind w:left="6543" w:hanging="528"/>
      </w:pPr>
      <w:rPr>
        <w:rFonts w:hint="default"/>
        <w:lang w:val="en-US" w:eastAsia="zh-CN" w:bidi="ar-SA"/>
      </w:rPr>
    </w:lvl>
    <w:lvl w:ilvl="7" w:tentative="0">
      <w:start w:val="0"/>
      <w:numFmt w:val="bullet"/>
      <w:lvlText w:val="•"/>
      <w:lvlJc w:val="left"/>
      <w:pPr>
        <w:ind w:left="7423" w:hanging="528"/>
      </w:pPr>
      <w:rPr>
        <w:rFonts w:hint="default"/>
        <w:lang w:val="en-US" w:eastAsia="zh-CN" w:bidi="ar-SA"/>
      </w:rPr>
    </w:lvl>
    <w:lvl w:ilvl="8" w:tentative="0">
      <w:start w:val="0"/>
      <w:numFmt w:val="bullet"/>
      <w:lvlText w:val="•"/>
      <w:lvlJc w:val="left"/>
      <w:pPr>
        <w:ind w:left="8304" w:hanging="528"/>
      </w:pPr>
      <w:rPr>
        <w:rFonts w:hint="default"/>
        <w:lang w:val="en-US" w:eastAsia="zh-CN" w:bidi="ar-SA"/>
      </w:rPr>
    </w:lvl>
  </w:abstractNum>
  <w:abstractNum w:abstractNumId="89">
    <w:nsid w:val="6E9B8C09"/>
    <w:multiLevelType w:val="multilevel"/>
    <w:tmpl w:val="6E9B8C09"/>
    <w:lvl w:ilvl="0" w:tentative="0">
      <w:start w:val="1"/>
      <w:numFmt w:val="decimal"/>
      <w:lvlText w:val="（%1）"/>
      <w:lvlJc w:val="left"/>
      <w:pPr>
        <w:ind w:left="1265" w:hanging="525"/>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40" w:hanging="525"/>
      </w:pPr>
      <w:rPr>
        <w:rFonts w:hint="default"/>
        <w:lang w:val="en-US" w:eastAsia="zh-CN" w:bidi="ar-SA"/>
      </w:rPr>
    </w:lvl>
    <w:lvl w:ilvl="2" w:tentative="0">
      <w:start w:val="0"/>
      <w:numFmt w:val="bullet"/>
      <w:lvlText w:val="•"/>
      <w:lvlJc w:val="left"/>
      <w:pPr>
        <w:ind w:left="3021" w:hanging="525"/>
      </w:pPr>
      <w:rPr>
        <w:rFonts w:hint="default"/>
        <w:lang w:val="en-US" w:eastAsia="zh-CN" w:bidi="ar-SA"/>
      </w:rPr>
    </w:lvl>
    <w:lvl w:ilvl="3" w:tentative="0">
      <w:start w:val="0"/>
      <w:numFmt w:val="bullet"/>
      <w:lvlText w:val="•"/>
      <w:lvlJc w:val="left"/>
      <w:pPr>
        <w:ind w:left="3901" w:hanging="525"/>
      </w:pPr>
      <w:rPr>
        <w:rFonts w:hint="default"/>
        <w:lang w:val="en-US" w:eastAsia="zh-CN" w:bidi="ar-SA"/>
      </w:rPr>
    </w:lvl>
    <w:lvl w:ilvl="4" w:tentative="0">
      <w:start w:val="0"/>
      <w:numFmt w:val="bullet"/>
      <w:lvlText w:val="•"/>
      <w:lvlJc w:val="left"/>
      <w:pPr>
        <w:ind w:left="4782" w:hanging="525"/>
      </w:pPr>
      <w:rPr>
        <w:rFonts w:hint="default"/>
        <w:lang w:val="en-US" w:eastAsia="zh-CN" w:bidi="ar-SA"/>
      </w:rPr>
    </w:lvl>
    <w:lvl w:ilvl="5" w:tentative="0">
      <w:start w:val="0"/>
      <w:numFmt w:val="bullet"/>
      <w:lvlText w:val="•"/>
      <w:lvlJc w:val="left"/>
      <w:pPr>
        <w:ind w:left="5662" w:hanging="525"/>
      </w:pPr>
      <w:rPr>
        <w:rFonts w:hint="default"/>
        <w:lang w:val="en-US" w:eastAsia="zh-CN" w:bidi="ar-SA"/>
      </w:rPr>
    </w:lvl>
    <w:lvl w:ilvl="6" w:tentative="0">
      <w:start w:val="0"/>
      <w:numFmt w:val="bullet"/>
      <w:lvlText w:val="•"/>
      <w:lvlJc w:val="left"/>
      <w:pPr>
        <w:ind w:left="6543" w:hanging="525"/>
      </w:pPr>
      <w:rPr>
        <w:rFonts w:hint="default"/>
        <w:lang w:val="en-US" w:eastAsia="zh-CN" w:bidi="ar-SA"/>
      </w:rPr>
    </w:lvl>
    <w:lvl w:ilvl="7" w:tentative="0">
      <w:start w:val="0"/>
      <w:numFmt w:val="bullet"/>
      <w:lvlText w:val="•"/>
      <w:lvlJc w:val="left"/>
      <w:pPr>
        <w:ind w:left="7423" w:hanging="525"/>
      </w:pPr>
      <w:rPr>
        <w:rFonts w:hint="default"/>
        <w:lang w:val="en-US" w:eastAsia="zh-CN" w:bidi="ar-SA"/>
      </w:rPr>
    </w:lvl>
    <w:lvl w:ilvl="8" w:tentative="0">
      <w:start w:val="0"/>
      <w:numFmt w:val="bullet"/>
      <w:lvlText w:val="•"/>
      <w:lvlJc w:val="left"/>
      <w:pPr>
        <w:ind w:left="8304" w:hanging="525"/>
      </w:pPr>
      <w:rPr>
        <w:rFonts w:hint="default"/>
        <w:lang w:val="en-US" w:eastAsia="zh-CN" w:bidi="ar-SA"/>
      </w:rPr>
    </w:lvl>
  </w:abstractNum>
  <w:abstractNum w:abstractNumId="90">
    <w:nsid w:val="7223C2B9"/>
    <w:multiLevelType w:val="multilevel"/>
    <w:tmpl w:val="7223C2B9"/>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abstractNum w:abstractNumId="91">
    <w:nsid w:val="7668985C"/>
    <w:multiLevelType w:val="multilevel"/>
    <w:tmpl w:val="7668985C"/>
    <w:lvl w:ilvl="0" w:tentative="0">
      <w:start w:val="17"/>
      <w:numFmt w:val="decimal"/>
      <w:lvlText w:val="%1"/>
      <w:lvlJc w:val="left"/>
      <w:pPr>
        <w:ind w:left="1096" w:hanging="670"/>
        <w:jc w:val="left"/>
      </w:pPr>
      <w:rPr>
        <w:rFonts w:hint="default"/>
        <w:lang w:val="en-US" w:eastAsia="zh-CN" w:bidi="ar-SA"/>
      </w:rPr>
    </w:lvl>
    <w:lvl w:ilvl="1" w:tentative="0">
      <w:start w:val="2"/>
      <w:numFmt w:val="decimal"/>
      <w:lvlText w:val="%1.%2"/>
      <w:lvlJc w:val="left"/>
      <w:pPr>
        <w:ind w:left="1096" w:hanging="670"/>
        <w:jc w:val="left"/>
      </w:pPr>
      <w:rPr>
        <w:rFonts w:hint="default" w:ascii="宋体" w:hAnsi="宋体" w:eastAsia="宋体" w:cs="宋体"/>
        <w:b w:val="0"/>
        <w:bCs w:val="0"/>
        <w:i w:val="0"/>
        <w:iCs w:val="0"/>
        <w:spacing w:val="0"/>
        <w:w w:val="99"/>
        <w:sz w:val="21"/>
        <w:szCs w:val="21"/>
        <w:lang w:val="en-US" w:eastAsia="zh-CN" w:bidi="ar-SA"/>
      </w:rPr>
    </w:lvl>
    <w:lvl w:ilvl="2" w:tentative="0">
      <w:start w:val="1"/>
      <w:numFmt w:val="decimal"/>
      <w:lvlText w:val="%1.%2.%3"/>
      <w:lvlJc w:val="left"/>
      <w:pPr>
        <w:ind w:left="1756" w:hanging="891"/>
        <w:jc w:val="left"/>
      </w:pPr>
      <w:rPr>
        <w:rFonts w:hint="default" w:ascii="宋体" w:hAnsi="宋体" w:eastAsia="宋体" w:cs="宋体"/>
        <w:b w:val="0"/>
        <w:bCs w:val="0"/>
        <w:i w:val="0"/>
        <w:iCs w:val="0"/>
        <w:spacing w:val="0"/>
        <w:w w:val="99"/>
        <w:sz w:val="21"/>
        <w:szCs w:val="21"/>
        <w:lang w:val="en-US" w:eastAsia="zh-CN" w:bidi="ar-SA"/>
      </w:rPr>
    </w:lvl>
    <w:lvl w:ilvl="3" w:tentative="0">
      <w:start w:val="0"/>
      <w:numFmt w:val="bullet"/>
      <w:lvlText w:val="•"/>
      <w:lvlJc w:val="left"/>
      <w:pPr>
        <w:ind w:left="3605" w:hanging="891"/>
      </w:pPr>
      <w:rPr>
        <w:rFonts w:hint="default"/>
        <w:lang w:val="en-US" w:eastAsia="zh-CN" w:bidi="ar-SA"/>
      </w:rPr>
    </w:lvl>
    <w:lvl w:ilvl="4" w:tentative="0">
      <w:start w:val="0"/>
      <w:numFmt w:val="bullet"/>
      <w:lvlText w:val="•"/>
      <w:lvlJc w:val="left"/>
      <w:pPr>
        <w:ind w:left="4528" w:hanging="891"/>
      </w:pPr>
      <w:rPr>
        <w:rFonts w:hint="default"/>
        <w:lang w:val="en-US" w:eastAsia="zh-CN" w:bidi="ar-SA"/>
      </w:rPr>
    </w:lvl>
    <w:lvl w:ilvl="5" w:tentative="0">
      <w:start w:val="0"/>
      <w:numFmt w:val="bullet"/>
      <w:lvlText w:val="•"/>
      <w:lvlJc w:val="left"/>
      <w:pPr>
        <w:ind w:left="5451" w:hanging="891"/>
      </w:pPr>
      <w:rPr>
        <w:rFonts w:hint="default"/>
        <w:lang w:val="en-US" w:eastAsia="zh-CN" w:bidi="ar-SA"/>
      </w:rPr>
    </w:lvl>
    <w:lvl w:ilvl="6" w:tentative="0">
      <w:start w:val="0"/>
      <w:numFmt w:val="bullet"/>
      <w:lvlText w:val="•"/>
      <w:lvlJc w:val="left"/>
      <w:pPr>
        <w:ind w:left="6373" w:hanging="891"/>
      </w:pPr>
      <w:rPr>
        <w:rFonts w:hint="default"/>
        <w:lang w:val="en-US" w:eastAsia="zh-CN" w:bidi="ar-SA"/>
      </w:rPr>
    </w:lvl>
    <w:lvl w:ilvl="7" w:tentative="0">
      <w:start w:val="0"/>
      <w:numFmt w:val="bullet"/>
      <w:lvlText w:val="•"/>
      <w:lvlJc w:val="left"/>
      <w:pPr>
        <w:ind w:left="7296" w:hanging="891"/>
      </w:pPr>
      <w:rPr>
        <w:rFonts w:hint="default"/>
        <w:lang w:val="en-US" w:eastAsia="zh-CN" w:bidi="ar-SA"/>
      </w:rPr>
    </w:lvl>
    <w:lvl w:ilvl="8" w:tentative="0">
      <w:start w:val="0"/>
      <w:numFmt w:val="bullet"/>
      <w:lvlText w:val="•"/>
      <w:lvlJc w:val="left"/>
      <w:pPr>
        <w:ind w:left="8219" w:hanging="891"/>
      </w:pPr>
      <w:rPr>
        <w:rFonts w:hint="default"/>
        <w:lang w:val="en-US" w:eastAsia="zh-CN" w:bidi="ar-SA"/>
      </w:rPr>
    </w:lvl>
  </w:abstractNum>
  <w:abstractNum w:abstractNumId="92">
    <w:nsid w:val="7A8C717F"/>
    <w:multiLevelType w:val="multilevel"/>
    <w:tmpl w:val="7A8C717F"/>
    <w:lvl w:ilvl="0" w:tentative="0">
      <w:start w:val="20"/>
      <w:numFmt w:val="decimal"/>
      <w:lvlText w:val="%1"/>
      <w:lvlJc w:val="left"/>
      <w:pPr>
        <w:ind w:left="1160" w:hanging="735"/>
        <w:jc w:val="left"/>
      </w:pPr>
      <w:rPr>
        <w:rFonts w:hint="default"/>
        <w:lang w:val="en-US" w:eastAsia="zh-CN" w:bidi="ar-SA"/>
      </w:rPr>
    </w:lvl>
    <w:lvl w:ilvl="1" w:tentative="0">
      <w:start w:val="4"/>
      <w:numFmt w:val="decimal"/>
      <w:lvlText w:val="%1.%2"/>
      <w:lvlJc w:val="left"/>
      <w:pPr>
        <w:ind w:left="1160" w:hanging="735"/>
        <w:jc w:val="left"/>
      </w:pPr>
      <w:rPr>
        <w:rFonts w:hint="default"/>
        <w:lang w:val="en-US" w:eastAsia="zh-CN" w:bidi="ar-SA"/>
      </w:rPr>
    </w:lvl>
    <w:lvl w:ilvl="2" w:tentative="0">
      <w:start w:val="1"/>
      <w:numFmt w:val="decimal"/>
      <w:lvlText w:val="%1.%2.%3"/>
      <w:lvlJc w:val="left"/>
      <w:pPr>
        <w:ind w:left="1160" w:hanging="735"/>
        <w:jc w:val="righ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3831" w:hanging="735"/>
      </w:pPr>
      <w:rPr>
        <w:rFonts w:hint="default"/>
        <w:lang w:val="en-US" w:eastAsia="zh-CN" w:bidi="ar-SA"/>
      </w:rPr>
    </w:lvl>
    <w:lvl w:ilvl="4" w:tentative="0">
      <w:start w:val="0"/>
      <w:numFmt w:val="bullet"/>
      <w:lvlText w:val="•"/>
      <w:lvlJc w:val="left"/>
      <w:pPr>
        <w:ind w:left="4722" w:hanging="735"/>
      </w:pPr>
      <w:rPr>
        <w:rFonts w:hint="default"/>
        <w:lang w:val="en-US" w:eastAsia="zh-CN" w:bidi="ar-SA"/>
      </w:rPr>
    </w:lvl>
    <w:lvl w:ilvl="5" w:tentative="0">
      <w:start w:val="0"/>
      <w:numFmt w:val="bullet"/>
      <w:lvlText w:val="•"/>
      <w:lvlJc w:val="left"/>
      <w:pPr>
        <w:ind w:left="5612" w:hanging="735"/>
      </w:pPr>
      <w:rPr>
        <w:rFonts w:hint="default"/>
        <w:lang w:val="en-US" w:eastAsia="zh-CN" w:bidi="ar-SA"/>
      </w:rPr>
    </w:lvl>
    <w:lvl w:ilvl="6" w:tentative="0">
      <w:start w:val="0"/>
      <w:numFmt w:val="bullet"/>
      <w:lvlText w:val="•"/>
      <w:lvlJc w:val="left"/>
      <w:pPr>
        <w:ind w:left="6503" w:hanging="735"/>
      </w:pPr>
      <w:rPr>
        <w:rFonts w:hint="default"/>
        <w:lang w:val="en-US" w:eastAsia="zh-CN" w:bidi="ar-SA"/>
      </w:rPr>
    </w:lvl>
    <w:lvl w:ilvl="7" w:tentative="0">
      <w:start w:val="0"/>
      <w:numFmt w:val="bullet"/>
      <w:lvlText w:val="•"/>
      <w:lvlJc w:val="left"/>
      <w:pPr>
        <w:ind w:left="7393" w:hanging="735"/>
      </w:pPr>
      <w:rPr>
        <w:rFonts w:hint="default"/>
        <w:lang w:val="en-US" w:eastAsia="zh-CN" w:bidi="ar-SA"/>
      </w:rPr>
    </w:lvl>
    <w:lvl w:ilvl="8" w:tentative="0">
      <w:start w:val="0"/>
      <w:numFmt w:val="bullet"/>
      <w:lvlText w:val="•"/>
      <w:lvlJc w:val="left"/>
      <w:pPr>
        <w:ind w:left="8284" w:hanging="735"/>
      </w:pPr>
      <w:rPr>
        <w:rFonts w:hint="default"/>
        <w:lang w:val="en-US" w:eastAsia="zh-CN" w:bidi="ar-SA"/>
      </w:rPr>
    </w:lvl>
  </w:abstractNum>
  <w:abstractNum w:abstractNumId="93">
    <w:nsid w:val="7BDB73D7"/>
    <w:multiLevelType w:val="multilevel"/>
    <w:tmpl w:val="7BDB73D7"/>
    <w:lvl w:ilvl="0" w:tentative="0">
      <w:start w:val="1"/>
      <w:numFmt w:val="decimal"/>
      <w:lvlText w:val="（%1）"/>
      <w:lvlJc w:val="left"/>
      <w:pPr>
        <w:ind w:left="426" w:hanging="528"/>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384" w:hanging="528"/>
      </w:pPr>
      <w:rPr>
        <w:rFonts w:hint="default"/>
        <w:lang w:val="en-US" w:eastAsia="zh-CN" w:bidi="ar-SA"/>
      </w:rPr>
    </w:lvl>
    <w:lvl w:ilvl="2" w:tentative="0">
      <w:start w:val="0"/>
      <w:numFmt w:val="bullet"/>
      <w:lvlText w:val="•"/>
      <w:lvlJc w:val="left"/>
      <w:pPr>
        <w:ind w:left="2349" w:hanging="528"/>
      </w:pPr>
      <w:rPr>
        <w:rFonts w:hint="default"/>
        <w:lang w:val="en-US" w:eastAsia="zh-CN" w:bidi="ar-SA"/>
      </w:rPr>
    </w:lvl>
    <w:lvl w:ilvl="3" w:tentative="0">
      <w:start w:val="0"/>
      <w:numFmt w:val="bullet"/>
      <w:lvlText w:val="•"/>
      <w:lvlJc w:val="left"/>
      <w:pPr>
        <w:ind w:left="3313" w:hanging="528"/>
      </w:pPr>
      <w:rPr>
        <w:rFonts w:hint="default"/>
        <w:lang w:val="en-US" w:eastAsia="zh-CN" w:bidi="ar-SA"/>
      </w:rPr>
    </w:lvl>
    <w:lvl w:ilvl="4" w:tentative="0">
      <w:start w:val="0"/>
      <w:numFmt w:val="bullet"/>
      <w:lvlText w:val="•"/>
      <w:lvlJc w:val="left"/>
      <w:pPr>
        <w:ind w:left="4278" w:hanging="528"/>
      </w:pPr>
      <w:rPr>
        <w:rFonts w:hint="default"/>
        <w:lang w:val="en-US" w:eastAsia="zh-CN" w:bidi="ar-SA"/>
      </w:rPr>
    </w:lvl>
    <w:lvl w:ilvl="5" w:tentative="0">
      <w:start w:val="0"/>
      <w:numFmt w:val="bullet"/>
      <w:lvlText w:val="•"/>
      <w:lvlJc w:val="left"/>
      <w:pPr>
        <w:ind w:left="5242" w:hanging="528"/>
      </w:pPr>
      <w:rPr>
        <w:rFonts w:hint="default"/>
        <w:lang w:val="en-US" w:eastAsia="zh-CN" w:bidi="ar-SA"/>
      </w:rPr>
    </w:lvl>
    <w:lvl w:ilvl="6" w:tentative="0">
      <w:start w:val="0"/>
      <w:numFmt w:val="bullet"/>
      <w:lvlText w:val="•"/>
      <w:lvlJc w:val="left"/>
      <w:pPr>
        <w:ind w:left="6207" w:hanging="528"/>
      </w:pPr>
      <w:rPr>
        <w:rFonts w:hint="default"/>
        <w:lang w:val="en-US" w:eastAsia="zh-CN" w:bidi="ar-SA"/>
      </w:rPr>
    </w:lvl>
    <w:lvl w:ilvl="7" w:tentative="0">
      <w:start w:val="0"/>
      <w:numFmt w:val="bullet"/>
      <w:lvlText w:val="•"/>
      <w:lvlJc w:val="left"/>
      <w:pPr>
        <w:ind w:left="7171" w:hanging="528"/>
      </w:pPr>
      <w:rPr>
        <w:rFonts w:hint="default"/>
        <w:lang w:val="en-US" w:eastAsia="zh-CN" w:bidi="ar-SA"/>
      </w:rPr>
    </w:lvl>
    <w:lvl w:ilvl="8" w:tentative="0">
      <w:start w:val="0"/>
      <w:numFmt w:val="bullet"/>
      <w:lvlText w:val="•"/>
      <w:lvlJc w:val="left"/>
      <w:pPr>
        <w:ind w:left="8136" w:hanging="528"/>
      </w:pPr>
      <w:rPr>
        <w:rFonts w:hint="default"/>
        <w:lang w:val="en-US" w:eastAsia="zh-CN" w:bidi="ar-SA"/>
      </w:rPr>
    </w:lvl>
  </w:abstractNum>
  <w:num w:numId="1">
    <w:abstractNumId w:val="41"/>
  </w:num>
  <w:num w:numId="2">
    <w:abstractNumId w:val="44"/>
  </w:num>
  <w:num w:numId="3">
    <w:abstractNumId w:val="42"/>
  </w:num>
  <w:num w:numId="4">
    <w:abstractNumId w:val="43"/>
  </w:num>
  <w:num w:numId="5">
    <w:abstractNumId w:val="40"/>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85"/>
  </w:num>
  <w:num w:numId="12">
    <w:abstractNumId w:val="29"/>
  </w:num>
  <w:num w:numId="13">
    <w:abstractNumId w:val="11"/>
  </w:num>
  <w:num w:numId="14">
    <w:abstractNumId w:val="71"/>
  </w:num>
  <w:num w:numId="15">
    <w:abstractNumId w:val="37"/>
  </w:num>
  <w:num w:numId="16">
    <w:abstractNumId w:val="7"/>
  </w:num>
  <w:num w:numId="17">
    <w:abstractNumId w:val="27"/>
  </w:num>
  <w:num w:numId="18">
    <w:abstractNumId w:val="4"/>
  </w:num>
  <w:num w:numId="19">
    <w:abstractNumId w:val="76"/>
  </w:num>
  <w:num w:numId="20">
    <w:abstractNumId w:val="8"/>
  </w:num>
  <w:num w:numId="21">
    <w:abstractNumId w:val="64"/>
  </w:num>
  <w:num w:numId="22">
    <w:abstractNumId w:val="89"/>
  </w:num>
  <w:num w:numId="23">
    <w:abstractNumId w:val="2"/>
  </w:num>
  <w:num w:numId="24">
    <w:abstractNumId w:val="33"/>
  </w:num>
  <w:num w:numId="25">
    <w:abstractNumId w:val="25"/>
  </w:num>
  <w:num w:numId="26">
    <w:abstractNumId w:val="18"/>
  </w:num>
  <w:num w:numId="27">
    <w:abstractNumId w:val="53"/>
  </w:num>
  <w:num w:numId="28">
    <w:abstractNumId w:val="24"/>
  </w:num>
  <w:num w:numId="29">
    <w:abstractNumId w:val="77"/>
  </w:num>
  <w:num w:numId="30">
    <w:abstractNumId w:val="46"/>
  </w:num>
  <w:num w:numId="31">
    <w:abstractNumId w:val="56"/>
  </w:num>
  <w:num w:numId="32">
    <w:abstractNumId w:val="10"/>
  </w:num>
  <w:num w:numId="33">
    <w:abstractNumId w:val="31"/>
  </w:num>
  <w:num w:numId="34">
    <w:abstractNumId w:val="60"/>
  </w:num>
  <w:num w:numId="35">
    <w:abstractNumId w:val="72"/>
  </w:num>
  <w:num w:numId="36">
    <w:abstractNumId w:val="68"/>
  </w:num>
  <w:num w:numId="37">
    <w:abstractNumId w:val="90"/>
  </w:num>
  <w:num w:numId="38">
    <w:abstractNumId w:val="23"/>
  </w:num>
  <w:num w:numId="39">
    <w:abstractNumId w:val="49"/>
  </w:num>
  <w:num w:numId="40">
    <w:abstractNumId w:val="35"/>
  </w:num>
  <w:num w:numId="41">
    <w:abstractNumId w:val="16"/>
  </w:num>
  <w:num w:numId="42">
    <w:abstractNumId w:val="67"/>
  </w:num>
  <w:num w:numId="43">
    <w:abstractNumId w:val="63"/>
  </w:num>
  <w:num w:numId="44">
    <w:abstractNumId w:val="13"/>
  </w:num>
  <w:num w:numId="45">
    <w:abstractNumId w:val="15"/>
  </w:num>
  <w:num w:numId="46">
    <w:abstractNumId w:val="32"/>
  </w:num>
  <w:num w:numId="47">
    <w:abstractNumId w:val="28"/>
  </w:num>
  <w:num w:numId="48">
    <w:abstractNumId w:val="19"/>
  </w:num>
  <w:num w:numId="49">
    <w:abstractNumId w:val="17"/>
  </w:num>
  <w:num w:numId="50">
    <w:abstractNumId w:val="39"/>
  </w:num>
  <w:num w:numId="51">
    <w:abstractNumId w:val="69"/>
  </w:num>
  <w:num w:numId="52">
    <w:abstractNumId w:val="58"/>
  </w:num>
  <w:num w:numId="53">
    <w:abstractNumId w:val="26"/>
  </w:num>
  <w:num w:numId="54">
    <w:abstractNumId w:val="1"/>
  </w:num>
  <w:num w:numId="55">
    <w:abstractNumId w:val="73"/>
  </w:num>
  <w:num w:numId="56">
    <w:abstractNumId w:val="50"/>
  </w:num>
  <w:num w:numId="57">
    <w:abstractNumId w:val="59"/>
  </w:num>
  <w:num w:numId="58">
    <w:abstractNumId w:val="82"/>
  </w:num>
  <w:num w:numId="59">
    <w:abstractNumId w:val="92"/>
  </w:num>
  <w:num w:numId="60">
    <w:abstractNumId w:val="66"/>
  </w:num>
  <w:num w:numId="61">
    <w:abstractNumId w:val="87"/>
  </w:num>
  <w:num w:numId="62">
    <w:abstractNumId w:val="74"/>
  </w:num>
  <w:num w:numId="63">
    <w:abstractNumId w:val="51"/>
  </w:num>
  <w:num w:numId="64">
    <w:abstractNumId w:val="93"/>
  </w:num>
  <w:num w:numId="65">
    <w:abstractNumId w:val="80"/>
  </w:num>
  <w:num w:numId="66">
    <w:abstractNumId w:val="38"/>
  </w:num>
  <w:num w:numId="67">
    <w:abstractNumId w:val="83"/>
  </w:num>
  <w:num w:numId="68">
    <w:abstractNumId w:val="36"/>
  </w:num>
  <w:num w:numId="69">
    <w:abstractNumId w:val="14"/>
  </w:num>
  <w:num w:numId="70">
    <w:abstractNumId w:val="88"/>
  </w:num>
  <w:num w:numId="71">
    <w:abstractNumId w:val="21"/>
  </w:num>
  <w:num w:numId="72">
    <w:abstractNumId w:val="12"/>
  </w:num>
  <w:num w:numId="73">
    <w:abstractNumId w:val="0"/>
  </w:num>
  <w:num w:numId="74">
    <w:abstractNumId w:val="20"/>
  </w:num>
  <w:num w:numId="75">
    <w:abstractNumId w:val="55"/>
  </w:num>
  <w:num w:numId="76">
    <w:abstractNumId w:val="57"/>
  </w:num>
  <w:num w:numId="77">
    <w:abstractNumId w:val="84"/>
  </w:num>
  <w:num w:numId="78">
    <w:abstractNumId w:val="22"/>
  </w:num>
  <w:num w:numId="79">
    <w:abstractNumId w:val="65"/>
  </w:num>
  <w:num w:numId="80">
    <w:abstractNumId w:val="3"/>
  </w:num>
  <w:num w:numId="81">
    <w:abstractNumId w:val="61"/>
  </w:num>
  <w:num w:numId="82">
    <w:abstractNumId w:val="70"/>
  </w:num>
  <w:num w:numId="83">
    <w:abstractNumId w:val="75"/>
  </w:num>
  <w:num w:numId="84">
    <w:abstractNumId w:val="91"/>
  </w:num>
  <w:num w:numId="85">
    <w:abstractNumId w:val="86"/>
  </w:num>
  <w:num w:numId="86">
    <w:abstractNumId w:val="5"/>
  </w:num>
  <w:num w:numId="87">
    <w:abstractNumId w:val="62"/>
  </w:num>
  <w:num w:numId="88">
    <w:abstractNumId w:val="6"/>
  </w:num>
  <w:num w:numId="89">
    <w:abstractNumId w:val="34"/>
  </w:num>
  <w:num w:numId="90">
    <w:abstractNumId w:val="79"/>
  </w:num>
  <w:num w:numId="91">
    <w:abstractNumId w:val="9"/>
  </w:num>
  <w:num w:numId="92">
    <w:abstractNumId w:val="78"/>
  </w:num>
  <w:num w:numId="93">
    <w:abstractNumId w:val="30"/>
  </w:num>
  <w:num w:numId="9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CB"/>
    <w:rsid w:val="0000509E"/>
    <w:rsid w:val="00025361"/>
    <w:rsid w:val="000418E0"/>
    <w:rsid w:val="00051458"/>
    <w:rsid w:val="0008565B"/>
    <w:rsid w:val="000909FE"/>
    <w:rsid w:val="00094732"/>
    <w:rsid w:val="000C3FDA"/>
    <w:rsid w:val="000C5AD5"/>
    <w:rsid w:val="000D36F3"/>
    <w:rsid w:val="000E2DED"/>
    <w:rsid w:val="00107E75"/>
    <w:rsid w:val="00125E7C"/>
    <w:rsid w:val="001404EC"/>
    <w:rsid w:val="001517B5"/>
    <w:rsid w:val="00154F60"/>
    <w:rsid w:val="001C2E69"/>
    <w:rsid w:val="001D4CEA"/>
    <w:rsid w:val="00204EDF"/>
    <w:rsid w:val="002133AA"/>
    <w:rsid w:val="0022379D"/>
    <w:rsid w:val="00226E41"/>
    <w:rsid w:val="00237A63"/>
    <w:rsid w:val="00241D7B"/>
    <w:rsid w:val="0024555D"/>
    <w:rsid w:val="002460E2"/>
    <w:rsid w:val="0024619F"/>
    <w:rsid w:val="00265573"/>
    <w:rsid w:val="00265CEC"/>
    <w:rsid w:val="00270236"/>
    <w:rsid w:val="002751C4"/>
    <w:rsid w:val="002A06CB"/>
    <w:rsid w:val="002A2BAF"/>
    <w:rsid w:val="002B73B5"/>
    <w:rsid w:val="002F1716"/>
    <w:rsid w:val="00305C8D"/>
    <w:rsid w:val="00313FAC"/>
    <w:rsid w:val="00345E6F"/>
    <w:rsid w:val="0038044A"/>
    <w:rsid w:val="0039763C"/>
    <w:rsid w:val="003D1C06"/>
    <w:rsid w:val="003D7469"/>
    <w:rsid w:val="003F5B0B"/>
    <w:rsid w:val="003F6C27"/>
    <w:rsid w:val="00402370"/>
    <w:rsid w:val="00415CD7"/>
    <w:rsid w:val="00427568"/>
    <w:rsid w:val="00427F57"/>
    <w:rsid w:val="0043594A"/>
    <w:rsid w:val="00465467"/>
    <w:rsid w:val="004753BC"/>
    <w:rsid w:val="004801A9"/>
    <w:rsid w:val="00494755"/>
    <w:rsid w:val="00497E21"/>
    <w:rsid w:val="004F790E"/>
    <w:rsid w:val="00513774"/>
    <w:rsid w:val="005235FA"/>
    <w:rsid w:val="00524433"/>
    <w:rsid w:val="00572216"/>
    <w:rsid w:val="005A0756"/>
    <w:rsid w:val="005B3D3C"/>
    <w:rsid w:val="005B5609"/>
    <w:rsid w:val="005D24C1"/>
    <w:rsid w:val="005D38D8"/>
    <w:rsid w:val="005E3E7A"/>
    <w:rsid w:val="005E4012"/>
    <w:rsid w:val="005E701D"/>
    <w:rsid w:val="005F48E1"/>
    <w:rsid w:val="00607712"/>
    <w:rsid w:val="006167B0"/>
    <w:rsid w:val="006738F0"/>
    <w:rsid w:val="00680F30"/>
    <w:rsid w:val="00690B94"/>
    <w:rsid w:val="006C18BE"/>
    <w:rsid w:val="006C7AB9"/>
    <w:rsid w:val="006F51CA"/>
    <w:rsid w:val="00701200"/>
    <w:rsid w:val="00705B16"/>
    <w:rsid w:val="00707493"/>
    <w:rsid w:val="00730087"/>
    <w:rsid w:val="00742EC8"/>
    <w:rsid w:val="00753B94"/>
    <w:rsid w:val="00780D67"/>
    <w:rsid w:val="007933B7"/>
    <w:rsid w:val="00793C9C"/>
    <w:rsid w:val="007A1A06"/>
    <w:rsid w:val="007B347A"/>
    <w:rsid w:val="007D6981"/>
    <w:rsid w:val="007D7CB3"/>
    <w:rsid w:val="007E6ADE"/>
    <w:rsid w:val="007E746A"/>
    <w:rsid w:val="007F635D"/>
    <w:rsid w:val="007F7B6E"/>
    <w:rsid w:val="00805144"/>
    <w:rsid w:val="0084547C"/>
    <w:rsid w:val="0086363F"/>
    <w:rsid w:val="00871BD2"/>
    <w:rsid w:val="00874CFE"/>
    <w:rsid w:val="008B0BE3"/>
    <w:rsid w:val="008B4B9D"/>
    <w:rsid w:val="008C2765"/>
    <w:rsid w:val="008C46E7"/>
    <w:rsid w:val="008F7163"/>
    <w:rsid w:val="00905615"/>
    <w:rsid w:val="00931442"/>
    <w:rsid w:val="00940611"/>
    <w:rsid w:val="00945021"/>
    <w:rsid w:val="00950793"/>
    <w:rsid w:val="00967C26"/>
    <w:rsid w:val="00985FB7"/>
    <w:rsid w:val="00986614"/>
    <w:rsid w:val="009B539B"/>
    <w:rsid w:val="009B6D12"/>
    <w:rsid w:val="009D3282"/>
    <w:rsid w:val="009D3301"/>
    <w:rsid w:val="009E3702"/>
    <w:rsid w:val="009F0B4D"/>
    <w:rsid w:val="009F20B7"/>
    <w:rsid w:val="00A2781C"/>
    <w:rsid w:val="00A67D6C"/>
    <w:rsid w:val="00A7276D"/>
    <w:rsid w:val="00A86068"/>
    <w:rsid w:val="00A86D63"/>
    <w:rsid w:val="00A96A25"/>
    <w:rsid w:val="00AD3BED"/>
    <w:rsid w:val="00AD5DE9"/>
    <w:rsid w:val="00B015B8"/>
    <w:rsid w:val="00B60EE5"/>
    <w:rsid w:val="00B8275D"/>
    <w:rsid w:val="00B8392F"/>
    <w:rsid w:val="00B920DB"/>
    <w:rsid w:val="00B931E6"/>
    <w:rsid w:val="00BF139A"/>
    <w:rsid w:val="00C13B95"/>
    <w:rsid w:val="00C17B4C"/>
    <w:rsid w:val="00C65A31"/>
    <w:rsid w:val="00C82F99"/>
    <w:rsid w:val="00C85D51"/>
    <w:rsid w:val="00C91E36"/>
    <w:rsid w:val="00CC4CD5"/>
    <w:rsid w:val="00CD3D2A"/>
    <w:rsid w:val="00CD7AAE"/>
    <w:rsid w:val="00CE66D0"/>
    <w:rsid w:val="00CF377C"/>
    <w:rsid w:val="00D123AC"/>
    <w:rsid w:val="00D15F37"/>
    <w:rsid w:val="00D17C16"/>
    <w:rsid w:val="00D2141E"/>
    <w:rsid w:val="00D3665F"/>
    <w:rsid w:val="00D54E70"/>
    <w:rsid w:val="00D5631E"/>
    <w:rsid w:val="00D57FDF"/>
    <w:rsid w:val="00D62936"/>
    <w:rsid w:val="00D72F72"/>
    <w:rsid w:val="00DA2BDC"/>
    <w:rsid w:val="00DD2458"/>
    <w:rsid w:val="00DE6562"/>
    <w:rsid w:val="00E15873"/>
    <w:rsid w:val="00E24ECB"/>
    <w:rsid w:val="00E4027E"/>
    <w:rsid w:val="00E8468D"/>
    <w:rsid w:val="00EA3AA1"/>
    <w:rsid w:val="00EB3EB3"/>
    <w:rsid w:val="00EB4D00"/>
    <w:rsid w:val="00EC5DE3"/>
    <w:rsid w:val="00EE49DE"/>
    <w:rsid w:val="00EE7601"/>
    <w:rsid w:val="00F01BC6"/>
    <w:rsid w:val="00F064DD"/>
    <w:rsid w:val="00F118F6"/>
    <w:rsid w:val="00F474E3"/>
    <w:rsid w:val="00F74F2F"/>
    <w:rsid w:val="00FA05C1"/>
    <w:rsid w:val="00FC436A"/>
    <w:rsid w:val="00FE1C9F"/>
    <w:rsid w:val="02841E49"/>
    <w:rsid w:val="04092D23"/>
    <w:rsid w:val="042F258A"/>
    <w:rsid w:val="04EE160D"/>
    <w:rsid w:val="062C0CE5"/>
    <w:rsid w:val="073B269D"/>
    <w:rsid w:val="08DD2B3F"/>
    <w:rsid w:val="0AC15997"/>
    <w:rsid w:val="0B505CBD"/>
    <w:rsid w:val="0B506A66"/>
    <w:rsid w:val="0C866D6C"/>
    <w:rsid w:val="0CE04F1E"/>
    <w:rsid w:val="0D2B718A"/>
    <w:rsid w:val="0EDF507E"/>
    <w:rsid w:val="10920294"/>
    <w:rsid w:val="109A00C2"/>
    <w:rsid w:val="111827CC"/>
    <w:rsid w:val="114B2E7E"/>
    <w:rsid w:val="117F13DB"/>
    <w:rsid w:val="11AA3761"/>
    <w:rsid w:val="11B5138A"/>
    <w:rsid w:val="1328040A"/>
    <w:rsid w:val="132E69D5"/>
    <w:rsid w:val="16703B2C"/>
    <w:rsid w:val="169F0BEC"/>
    <w:rsid w:val="16AF2796"/>
    <w:rsid w:val="16EF2081"/>
    <w:rsid w:val="170362B8"/>
    <w:rsid w:val="19383080"/>
    <w:rsid w:val="19E12E65"/>
    <w:rsid w:val="1A087CD7"/>
    <w:rsid w:val="1B971B09"/>
    <w:rsid w:val="1BA5238A"/>
    <w:rsid w:val="1BB63D37"/>
    <w:rsid w:val="1DED1EA1"/>
    <w:rsid w:val="1E41538A"/>
    <w:rsid w:val="20467C8F"/>
    <w:rsid w:val="221E66B5"/>
    <w:rsid w:val="22B261D6"/>
    <w:rsid w:val="233537B7"/>
    <w:rsid w:val="236F6F26"/>
    <w:rsid w:val="23B81869"/>
    <w:rsid w:val="23F16DBA"/>
    <w:rsid w:val="24D21499"/>
    <w:rsid w:val="2502045A"/>
    <w:rsid w:val="25A52A52"/>
    <w:rsid w:val="26E901A0"/>
    <w:rsid w:val="29791640"/>
    <w:rsid w:val="2E7C511F"/>
    <w:rsid w:val="2F5E475B"/>
    <w:rsid w:val="2F623F76"/>
    <w:rsid w:val="30277894"/>
    <w:rsid w:val="305B1D54"/>
    <w:rsid w:val="312F66E2"/>
    <w:rsid w:val="317E04A8"/>
    <w:rsid w:val="31E67EB2"/>
    <w:rsid w:val="32892BA9"/>
    <w:rsid w:val="35D62F0D"/>
    <w:rsid w:val="361D2143"/>
    <w:rsid w:val="36892E54"/>
    <w:rsid w:val="37282991"/>
    <w:rsid w:val="373D7603"/>
    <w:rsid w:val="381C7965"/>
    <w:rsid w:val="38490C94"/>
    <w:rsid w:val="386B7266"/>
    <w:rsid w:val="3AB42B18"/>
    <w:rsid w:val="3BE82818"/>
    <w:rsid w:val="3CAC35C8"/>
    <w:rsid w:val="40414974"/>
    <w:rsid w:val="40771DB5"/>
    <w:rsid w:val="4312583A"/>
    <w:rsid w:val="45CA090D"/>
    <w:rsid w:val="46040F36"/>
    <w:rsid w:val="473544C1"/>
    <w:rsid w:val="47783A4F"/>
    <w:rsid w:val="47A279EA"/>
    <w:rsid w:val="482A5B4D"/>
    <w:rsid w:val="486A551D"/>
    <w:rsid w:val="4910111C"/>
    <w:rsid w:val="49860435"/>
    <w:rsid w:val="49F17FF2"/>
    <w:rsid w:val="4A9918F4"/>
    <w:rsid w:val="4ADF7CBF"/>
    <w:rsid w:val="4B0C4E7C"/>
    <w:rsid w:val="4B8126F0"/>
    <w:rsid w:val="4DA726B5"/>
    <w:rsid w:val="4E006BB3"/>
    <w:rsid w:val="4F7500FF"/>
    <w:rsid w:val="50030044"/>
    <w:rsid w:val="50650E08"/>
    <w:rsid w:val="507F41B7"/>
    <w:rsid w:val="52115F72"/>
    <w:rsid w:val="539B4F50"/>
    <w:rsid w:val="544D6C96"/>
    <w:rsid w:val="54D71A67"/>
    <w:rsid w:val="55F03676"/>
    <w:rsid w:val="57A775FB"/>
    <w:rsid w:val="588458CC"/>
    <w:rsid w:val="59BD0F46"/>
    <w:rsid w:val="5ADA2C2E"/>
    <w:rsid w:val="5C14054B"/>
    <w:rsid w:val="5C2C16BD"/>
    <w:rsid w:val="5EBA66ED"/>
    <w:rsid w:val="5F7F4353"/>
    <w:rsid w:val="602572EF"/>
    <w:rsid w:val="623C15F1"/>
    <w:rsid w:val="646E13F3"/>
    <w:rsid w:val="64BA11AA"/>
    <w:rsid w:val="6576626E"/>
    <w:rsid w:val="682C4D82"/>
    <w:rsid w:val="687C7085"/>
    <w:rsid w:val="68A20164"/>
    <w:rsid w:val="68BB3BAB"/>
    <w:rsid w:val="69142619"/>
    <w:rsid w:val="697A6C0A"/>
    <w:rsid w:val="6A625232"/>
    <w:rsid w:val="6B1856DA"/>
    <w:rsid w:val="6B216B2F"/>
    <w:rsid w:val="6B830F30"/>
    <w:rsid w:val="6CF05404"/>
    <w:rsid w:val="6CFD0E3A"/>
    <w:rsid w:val="6DB32543"/>
    <w:rsid w:val="6E9633A5"/>
    <w:rsid w:val="6F504D5D"/>
    <w:rsid w:val="6FBD558F"/>
    <w:rsid w:val="71BF7024"/>
    <w:rsid w:val="722978DD"/>
    <w:rsid w:val="74263DFA"/>
    <w:rsid w:val="74F24C32"/>
    <w:rsid w:val="751C2D78"/>
    <w:rsid w:val="768E78F0"/>
    <w:rsid w:val="76D32796"/>
    <w:rsid w:val="780F1EC7"/>
    <w:rsid w:val="78BF2E87"/>
    <w:rsid w:val="79D034E2"/>
    <w:rsid w:val="7AC04061"/>
    <w:rsid w:val="7C67124A"/>
    <w:rsid w:val="7CB06819"/>
    <w:rsid w:val="7D2B1120"/>
    <w:rsid w:val="7EDC6DAB"/>
    <w:rsid w:val="7FB6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qFormat="1" w:uiPriority="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qFormat="1" w:uiPriority="0" w:name="List Bullet 2"/>
    <w:lsdException w:qFormat="1" w:uiPriority="0" w:name="List Bullet 3"/>
    <w:lsdException w:qFormat="1" w:uiPriority="0" w:name="List Bullet 4"/>
    <w:lsdException w:qFormat="1"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paragraph" w:styleId="2">
    <w:name w:val="heading 1"/>
    <w:basedOn w:val="1"/>
    <w:next w:val="1"/>
    <w:link w:val="66"/>
    <w:qFormat/>
    <w:uiPriority w:val="0"/>
    <w:pPr>
      <w:keepNext/>
      <w:keepLines/>
      <w:spacing w:before="340" w:after="330" w:line="576" w:lineRule="auto"/>
      <w:outlineLvl w:val="0"/>
    </w:pPr>
    <w:rPr>
      <w:rFonts w:eastAsia="宋体" w:cs="宋体"/>
      <w:b/>
      <w:bCs/>
      <w:kern w:val="44"/>
      <w:sz w:val="44"/>
      <w:szCs w:val="44"/>
    </w:rPr>
  </w:style>
  <w:style w:type="paragraph" w:styleId="3">
    <w:name w:val="heading 2"/>
    <w:basedOn w:val="1"/>
    <w:next w:val="1"/>
    <w:link w:val="67"/>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68"/>
    <w:unhideWhenUsed/>
    <w:qFormat/>
    <w:uiPriority w:val="0"/>
    <w:pPr>
      <w:keepNext/>
      <w:keepLines/>
      <w:spacing w:before="260" w:after="260" w:line="415" w:lineRule="auto"/>
      <w:outlineLvl w:val="2"/>
    </w:pPr>
    <w:rPr>
      <w:rFonts w:eastAsia="宋体" w:cs="宋体"/>
      <w:b/>
      <w:bCs/>
      <w:sz w:val="32"/>
      <w:szCs w:val="32"/>
    </w:rPr>
  </w:style>
  <w:style w:type="paragraph" w:styleId="6">
    <w:name w:val="heading 4"/>
    <w:basedOn w:val="1"/>
    <w:next w:val="1"/>
    <w:link w:val="69"/>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0"/>
    <w:semiHidden/>
    <w:unhideWhenUsed/>
    <w:qFormat/>
    <w:uiPriority w:val="0"/>
    <w:pPr>
      <w:keepNext/>
      <w:keepLines/>
      <w:spacing w:before="280" w:after="290" w:line="374" w:lineRule="auto"/>
      <w:outlineLvl w:val="4"/>
    </w:pPr>
    <w:rPr>
      <w:rFonts w:eastAsia="宋体" w:cs="宋体"/>
      <w:bCs/>
      <w:color w:val="000000"/>
      <w:sz w:val="32"/>
      <w:szCs w:val="28"/>
    </w:rPr>
  </w:style>
  <w:style w:type="paragraph" w:styleId="8">
    <w:name w:val="heading 6"/>
    <w:basedOn w:val="1"/>
    <w:next w:val="1"/>
    <w:link w:val="71"/>
    <w:semiHidden/>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2"/>
    <w:semiHidden/>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3"/>
    <w:semiHidden/>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4"/>
    <w:semiHidden/>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6"/>
    <w:unhideWhenUsed/>
    <w:qFormat/>
    <w:uiPriority w:val="0"/>
    <w:pPr>
      <w:ind w:firstLine="420" w:firstLineChars="200"/>
    </w:pPr>
    <w:rPr>
      <w:rFonts w:asciiTheme="minorHAnsi" w:hAnsiTheme="minorHAnsi" w:cstheme="minorBidi"/>
    </w:rPr>
  </w:style>
  <w:style w:type="paragraph" w:styleId="12">
    <w:name w:val="toc 7"/>
    <w:basedOn w:val="1"/>
    <w:next w:val="1"/>
    <w:unhideWhenUsed/>
    <w:qFormat/>
    <w:uiPriority w:val="39"/>
    <w:pPr>
      <w:ind w:left="1260"/>
      <w:jc w:val="left"/>
    </w:pPr>
    <w:rPr>
      <w:szCs w:val="21"/>
    </w:rPr>
  </w:style>
  <w:style w:type="paragraph" w:styleId="13">
    <w:name w:val="List Bullet 4"/>
    <w:basedOn w:val="1"/>
    <w:semiHidden/>
    <w:unhideWhenUsed/>
    <w:qFormat/>
    <w:uiPriority w:val="0"/>
    <w:pPr>
      <w:numPr>
        <w:ilvl w:val="0"/>
        <w:numId w:val="1"/>
      </w:numPr>
    </w:pPr>
  </w:style>
  <w:style w:type="paragraph" w:styleId="14">
    <w:name w:val="caption"/>
    <w:basedOn w:val="1"/>
    <w:next w:val="1"/>
    <w:semiHidden/>
    <w:unhideWhenUsed/>
    <w:qFormat/>
    <w:uiPriority w:val="0"/>
    <w:rPr>
      <w:rFonts w:ascii="Arial" w:hAnsi="Arial" w:eastAsia="黑体" w:cs="Arial"/>
      <w:sz w:val="20"/>
      <w:szCs w:val="20"/>
    </w:rPr>
  </w:style>
  <w:style w:type="paragraph" w:styleId="15">
    <w:name w:val="List Bullet"/>
    <w:basedOn w:val="1"/>
    <w:semiHidden/>
    <w:unhideWhenUsed/>
    <w:qFormat/>
    <w:uiPriority w:val="0"/>
    <w:pPr>
      <w:numPr>
        <w:ilvl w:val="0"/>
        <w:numId w:val="2"/>
      </w:numPr>
    </w:pPr>
  </w:style>
  <w:style w:type="paragraph" w:styleId="16">
    <w:name w:val="Document Map"/>
    <w:basedOn w:val="1"/>
    <w:link w:val="91"/>
    <w:semiHidden/>
    <w:unhideWhenUsed/>
    <w:qFormat/>
    <w:uiPriority w:val="0"/>
    <w:pPr>
      <w:shd w:val="clear" w:color="auto" w:fill="000080"/>
    </w:pPr>
  </w:style>
  <w:style w:type="paragraph" w:styleId="17">
    <w:name w:val="annotation text"/>
    <w:basedOn w:val="1"/>
    <w:link w:val="78"/>
    <w:semiHidden/>
    <w:unhideWhenUsed/>
    <w:qFormat/>
    <w:uiPriority w:val="0"/>
    <w:pPr>
      <w:jc w:val="left"/>
    </w:pPr>
  </w:style>
  <w:style w:type="paragraph" w:styleId="18">
    <w:name w:val="Salutation"/>
    <w:basedOn w:val="1"/>
    <w:next w:val="1"/>
    <w:link w:val="83"/>
    <w:semiHidden/>
    <w:unhideWhenUsed/>
    <w:qFormat/>
    <w:uiPriority w:val="0"/>
    <w:rPr>
      <w:rFonts w:ascii="宋体"/>
      <w:sz w:val="24"/>
      <w:szCs w:val="20"/>
    </w:rPr>
  </w:style>
  <w:style w:type="paragraph" w:styleId="19">
    <w:name w:val="Body Text 3"/>
    <w:basedOn w:val="1"/>
    <w:link w:val="88"/>
    <w:semiHidden/>
    <w:unhideWhenUsed/>
    <w:qFormat/>
    <w:uiPriority w:val="0"/>
    <w:rPr>
      <w:rFonts w:ascii="宋体"/>
      <w:sz w:val="24"/>
      <w:szCs w:val="20"/>
    </w:rPr>
  </w:style>
  <w:style w:type="paragraph" w:styleId="20">
    <w:name w:val="List Bullet 3"/>
    <w:basedOn w:val="1"/>
    <w:semiHidden/>
    <w:unhideWhenUsed/>
    <w:qFormat/>
    <w:uiPriority w:val="0"/>
    <w:pPr>
      <w:numPr>
        <w:ilvl w:val="0"/>
        <w:numId w:val="3"/>
      </w:numPr>
    </w:pPr>
  </w:style>
  <w:style w:type="paragraph" w:styleId="21">
    <w:name w:val="Body Text"/>
    <w:basedOn w:val="1"/>
    <w:link w:val="215"/>
    <w:unhideWhenUsed/>
    <w:qFormat/>
    <w:uiPriority w:val="0"/>
    <w:pPr>
      <w:spacing w:after="120"/>
    </w:pPr>
  </w:style>
  <w:style w:type="paragraph" w:styleId="22">
    <w:name w:val="Body Text Indent"/>
    <w:basedOn w:val="1"/>
    <w:link w:val="82"/>
    <w:semiHidden/>
    <w:unhideWhenUsed/>
    <w:qFormat/>
    <w:uiPriority w:val="0"/>
    <w:pPr>
      <w:spacing w:after="120"/>
      <w:ind w:left="420" w:leftChars="200"/>
    </w:pPr>
  </w:style>
  <w:style w:type="paragraph" w:styleId="23">
    <w:name w:val="Block Text"/>
    <w:basedOn w:val="1"/>
    <w:semiHidden/>
    <w:unhideWhenUsed/>
    <w:qFormat/>
    <w:uiPriority w:val="0"/>
    <w:pPr>
      <w:spacing w:line="240" w:lineRule="exact"/>
      <w:ind w:left="240" w:leftChars="240" w:right="292" w:rightChars="292" w:firstLine="473"/>
    </w:pPr>
    <w:rPr>
      <w:rFonts w:ascii="宋体"/>
      <w:szCs w:val="20"/>
    </w:rPr>
  </w:style>
  <w:style w:type="paragraph" w:styleId="24">
    <w:name w:val="List Bullet 2"/>
    <w:basedOn w:val="1"/>
    <w:semiHidden/>
    <w:unhideWhenUsed/>
    <w:qFormat/>
    <w:uiPriority w:val="0"/>
    <w:pPr>
      <w:numPr>
        <w:ilvl w:val="0"/>
        <w:numId w:val="4"/>
      </w:numPr>
    </w:pPr>
  </w:style>
  <w:style w:type="paragraph" w:styleId="25">
    <w:name w:val="toc 5"/>
    <w:basedOn w:val="1"/>
    <w:next w:val="1"/>
    <w:unhideWhenUsed/>
    <w:qFormat/>
    <w:uiPriority w:val="39"/>
    <w:pPr>
      <w:ind w:left="840"/>
      <w:jc w:val="left"/>
    </w:pPr>
    <w:rPr>
      <w:szCs w:val="21"/>
    </w:rPr>
  </w:style>
  <w:style w:type="paragraph" w:styleId="26">
    <w:name w:val="toc 3"/>
    <w:basedOn w:val="1"/>
    <w:next w:val="1"/>
    <w:unhideWhenUsed/>
    <w:qFormat/>
    <w:uiPriority w:val="39"/>
    <w:pPr>
      <w:ind w:left="840" w:leftChars="400"/>
    </w:pPr>
  </w:style>
  <w:style w:type="paragraph" w:styleId="27">
    <w:name w:val="Plain Text"/>
    <w:basedOn w:val="1"/>
    <w:link w:val="92"/>
    <w:semiHidden/>
    <w:unhideWhenUsed/>
    <w:qFormat/>
    <w:uiPriority w:val="0"/>
    <w:rPr>
      <w:rFonts w:ascii="宋体" w:hAnsi="Courier New"/>
      <w:color w:val="000000"/>
      <w:szCs w:val="20"/>
    </w:rPr>
  </w:style>
  <w:style w:type="paragraph" w:styleId="28">
    <w:name w:val="List Bullet 5"/>
    <w:basedOn w:val="1"/>
    <w:semiHidden/>
    <w:unhideWhenUsed/>
    <w:qFormat/>
    <w:uiPriority w:val="0"/>
    <w:pPr>
      <w:numPr>
        <w:ilvl w:val="0"/>
        <w:numId w:val="5"/>
      </w:numPr>
    </w:pPr>
  </w:style>
  <w:style w:type="paragraph" w:styleId="29">
    <w:name w:val="toc 8"/>
    <w:basedOn w:val="1"/>
    <w:next w:val="1"/>
    <w:unhideWhenUsed/>
    <w:qFormat/>
    <w:uiPriority w:val="39"/>
    <w:pPr>
      <w:ind w:left="1470"/>
      <w:jc w:val="left"/>
    </w:pPr>
    <w:rPr>
      <w:szCs w:val="21"/>
    </w:rPr>
  </w:style>
  <w:style w:type="paragraph" w:styleId="30">
    <w:name w:val="Date"/>
    <w:basedOn w:val="1"/>
    <w:next w:val="1"/>
    <w:link w:val="84"/>
    <w:semiHidden/>
    <w:unhideWhenUsed/>
    <w:qFormat/>
    <w:uiPriority w:val="0"/>
    <w:pPr>
      <w:ind w:left="100" w:leftChars="2500"/>
    </w:pPr>
  </w:style>
  <w:style w:type="paragraph" w:styleId="31">
    <w:name w:val="Body Text Indent 2"/>
    <w:basedOn w:val="1"/>
    <w:link w:val="89"/>
    <w:semiHidden/>
    <w:unhideWhenUsed/>
    <w:qFormat/>
    <w:uiPriority w:val="0"/>
    <w:pPr>
      <w:ind w:firstLine="624"/>
    </w:pPr>
    <w:rPr>
      <w:rFonts w:ascii="仿宋_GB2312" w:eastAsia="仿宋_GB2312"/>
      <w:sz w:val="28"/>
    </w:rPr>
  </w:style>
  <w:style w:type="paragraph" w:styleId="32">
    <w:name w:val="endnote text"/>
    <w:basedOn w:val="1"/>
    <w:link w:val="79"/>
    <w:semiHidden/>
    <w:unhideWhenUsed/>
    <w:qFormat/>
    <w:uiPriority w:val="0"/>
    <w:pPr>
      <w:snapToGrid w:val="0"/>
      <w:jc w:val="left"/>
    </w:pPr>
  </w:style>
  <w:style w:type="paragraph" w:styleId="33">
    <w:name w:val="Balloon Text"/>
    <w:basedOn w:val="1"/>
    <w:link w:val="94"/>
    <w:semiHidden/>
    <w:unhideWhenUsed/>
    <w:qFormat/>
    <w:uiPriority w:val="0"/>
    <w:rPr>
      <w:sz w:val="18"/>
      <w:szCs w:val="18"/>
    </w:rPr>
  </w:style>
  <w:style w:type="paragraph" w:styleId="34">
    <w:name w:val="footer"/>
    <w:basedOn w:val="1"/>
    <w:link w:val="65"/>
    <w:unhideWhenUsed/>
    <w:qFormat/>
    <w:uiPriority w:val="99"/>
    <w:pPr>
      <w:tabs>
        <w:tab w:val="center" w:pos="4513"/>
        <w:tab w:val="right" w:pos="9026"/>
      </w:tabs>
      <w:snapToGrid w:val="0"/>
      <w:jc w:val="left"/>
    </w:pPr>
    <w:rPr>
      <w:sz w:val="18"/>
      <w:szCs w:val="18"/>
    </w:rPr>
  </w:style>
  <w:style w:type="paragraph" w:styleId="35">
    <w:name w:val="header"/>
    <w:basedOn w:val="1"/>
    <w:link w:val="64"/>
    <w:unhideWhenUsed/>
    <w:qFormat/>
    <w:uiPriority w:val="0"/>
    <w:pPr>
      <w:pBdr>
        <w:bottom w:val="single" w:color="auto" w:sz="6" w:space="1"/>
      </w:pBdr>
      <w:tabs>
        <w:tab w:val="center" w:pos="4513"/>
        <w:tab w:val="right" w:pos="9026"/>
      </w:tabs>
      <w:snapToGrid w:val="0"/>
      <w:jc w:val="center"/>
    </w:pPr>
    <w:rPr>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39"/>
    <w:pPr>
      <w:ind w:left="630"/>
      <w:jc w:val="left"/>
    </w:pPr>
    <w:rPr>
      <w:szCs w:val="21"/>
    </w:rPr>
  </w:style>
  <w:style w:type="paragraph" w:styleId="38">
    <w:name w:val="List"/>
    <w:basedOn w:val="1"/>
    <w:semiHidden/>
    <w:unhideWhenUsed/>
    <w:qFormat/>
    <w:uiPriority w:val="0"/>
    <w:pPr>
      <w:spacing w:line="360" w:lineRule="auto"/>
      <w:ind w:left="-271" w:right="-108" w:firstLine="163"/>
      <w:jc w:val="center"/>
    </w:pPr>
    <w:rPr>
      <w:rFonts w:ascii="宋体"/>
      <w:kern w:val="28"/>
      <w:sz w:val="24"/>
      <w:szCs w:val="20"/>
    </w:rPr>
  </w:style>
  <w:style w:type="paragraph" w:styleId="39">
    <w:name w:val="footnote text"/>
    <w:basedOn w:val="1"/>
    <w:link w:val="77"/>
    <w:semiHidden/>
    <w:unhideWhenUsed/>
    <w:qFormat/>
    <w:uiPriority w:val="0"/>
    <w:pPr>
      <w:snapToGrid w:val="0"/>
      <w:jc w:val="left"/>
    </w:pPr>
    <w:rPr>
      <w:sz w:val="18"/>
      <w:szCs w:val="18"/>
    </w:rPr>
  </w:style>
  <w:style w:type="paragraph" w:styleId="40">
    <w:name w:val="toc 6"/>
    <w:basedOn w:val="1"/>
    <w:next w:val="1"/>
    <w:unhideWhenUsed/>
    <w:qFormat/>
    <w:uiPriority w:val="39"/>
    <w:pPr>
      <w:ind w:left="1050"/>
      <w:jc w:val="left"/>
    </w:pPr>
    <w:rPr>
      <w:szCs w:val="21"/>
    </w:rPr>
  </w:style>
  <w:style w:type="paragraph" w:styleId="41">
    <w:name w:val="Body Text Indent 3"/>
    <w:basedOn w:val="1"/>
    <w:link w:val="90"/>
    <w:semiHidden/>
    <w:unhideWhenUsed/>
    <w:qFormat/>
    <w:uiPriority w:val="0"/>
    <w:pPr>
      <w:spacing w:after="120"/>
      <w:ind w:left="420" w:leftChars="200"/>
    </w:pPr>
    <w:rPr>
      <w:sz w:val="16"/>
      <w:szCs w:val="16"/>
    </w:rPr>
  </w:style>
  <w:style w:type="paragraph" w:styleId="42">
    <w:name w:val="toc 2"/>
    <w:basedOn w:val="1"/>
    <w:next w:val="1"/>
    <w:unhideWhenUsed/>
    <w:qFormat/>
    <w:uiPriority w:val="39"/>
    <w:pPr>
      <w:ind w:left="420" w:leftChars="200"/>
    </w:pPr>
  </w:style>
  <w:style w:type="paragraph" w:styleId="43">
    <w:name w:val="toc 9"/>
    <w:basedOn w:val="1"/>
    <w:next w:val="1"/>
    <w:unhideWhenUsed/>
    <w:qFormat/>
    <w:uiPriority w:val="39"/>
    <w:pPr>
      <w:ind w:left="1680"/>
      <w:jc w:val="left"/>
    </w:pPr>
    <w:rPr>
      <w:szCs w:val="21"/>
    </w:rPr>
  </w:style>
  <w:style w:type="paragraph" w:styleId="44">
    <w:name w:val="Body Text 2"/>
    <w:basedOn w:val="1"/>
    <w:link w:val="87"/>
    <w:semiHidden/>
    <w:unhideWhenUsed/>
    <w:qFormat/>
    <w:uiPriority w:val="0"/>
    <w:rPr>
      <w:rFonts w:ascii="宋体" w:hAnsi="宋体"/>
      <w:sz w:val="28"/>
    </w:rPr>
  </w:style>
  <w:style w:type="paragraph" w:styleId="45">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46">
    <w:name w:val="Normal (Web)"/>
    <w:basedOn w:val="1"/>
    <w:semiHidden/>
    <w:unhideWhenUsed/>
    <w:qFormat/>
    <w:uiPriority w:val="0"/>
    <w:pPr>
      <w:widowControl/>
      <w:spacing w:before="100" w:beforeAutospacing="1" w:after="100" w:afterAutospacing="1"/>
      <w:jc w:val="left"/>
    </w:pPr>
    <w:rPr>
      <w:rFonts w:ascii="ˎ̥" w:hAnsi="ˎ̥"/>
      <w:color w:val="000000"/>
      <w:kern w:val="0"/>
      <w:sz w:val="18"/>
      <w:szCs w:val="20"/>
    </w:rPr>
  </w:style>
  <w:style w:type="paragraph" w:styleId="47">
    <w:name w:val="index 1"/>
    <w:basedOn w:val="1"/>
    <w:next w:val="1"/>
    <w:semiHidden/>
    <w:unhideWhenUsed/>
    <w:qFormat/>
    <w:uiPriority w:val="0"/>
    <w:pPr>
      <w:spacing w:line="220" w:lineRule="exact"/>
      <w:jc w:val="center"/>
    </w:pPr>
    <w:rPr>
      <w:rFonts w:ascii="仿宋_GB2312" w:eastAsia="仿宋_GB2312"/>
      <w:szCs w:val="21"/>
    </w:rPr>
  </w:style>
  <w:style w:type="paragraph" w:styleId="48">
    <w:name w:val="Title"/>
    <w:basedOn w:val="1"/>
    <w:next w:val="1"/>
    <w:link w:val="80"/>
    <w:qFormat/>
    <w:uiPriority w:val="0"/>
    <w:pPr>
      <w:adjustRightInd w:val="0"/>
      <w:spacing w:before="240" w:after="60" w:line="420" w:lineRule="atLeast"/>
      <w:jc w:val="center"/>
      <w:outlineLvl w:val="0"/>
    </w:pPr>
    <w:rPr>
      <w:rFonts w:ascii="Arial" w:hAnsi="Arial"/>
      <w:b/>
      <w:kern w:val="0"/>
      <w:sz w:val="32"/>
      <w:szCs w:val="20"/>
    </w:rPr>
  </w:style>
  <w:style w:type="paragraph" w:styleId="49">
    <w:name w:val="annotation subject"/>
    <w:basedOn w:val="17"/>
    <w:next w:val="17"/>
    <w:link w:val="93"/>
    <w:semiHidden/>
    <w:unhideWhenUsed/>
    <w:qFormat/>
    <w:uiPriority w:val="0"/>
    <w:rPr>
      <w:b/>
    </w:rPr>
  </w:style>
  <w:style w:type="paragraph" w:styleId="50">
    <w:name w:val="Body Text First Indent"/>
    <w:basedOn w:val="21"/>
    <w:link w:val="85"/>
    <w:semiHidden/>
    <w:unhideWhenUsed/>
    <w:qFormat/>
    <w:uiPriority w:val="0"/>
    <w:pPr>
      <w:snapToGrid w:val="0"/>
      <w:ind w:firstLine="100" w:firstLineChars="100"/>
    </w:pPr>
    <w:rPr>
      <w:rFonts w:ascii="宋体"/>
      <w:spacing w:val="-6"/>
    </w:rPr>
  </w:style>
  <w:style w:type="paragraph" w:styleId="51">
    <w:name w:val="Body Text First Indent 2"/>
    <w:basedOn w:val="22"/>
    <w:link w:val="86"/>
    <w:semiHidden/>
    <w:unhideWhenUsed/>
    <w:qFormat/>
    <w:uiPriority w:val="0"/>
    <w:pPr>
      <w:ind w:firstLine="420" w:firstLineChars="200"/>
    </w:pPr>
  </w:style>
  <w:style w:type="table" w:styleId="53">
    <w:name w:val="Table Grid"/>
    <w:basedOn w:val="5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rPr>
  </w:style>
  <w:style w:type="character" w:styleId="56">
    <w:name w:val="endnote reference"/>
    <w:semiHidden/>
    <w:unhideWhenUsed/>
    <w:qFormat/>
    <w:uiPriority w:val="0"/>
    <w:rPr>
      <w:vertAlign w:val="superscript"/>
    </w:rPr>
  </w:style>
  <w:style w:type="character" w:styleId="57">
    <w:name w:val="FollowedHyperlink"/>
    <w:semiHidden/>
    <w:unhideWhenUsed/>
    <w:qFormat/>
    <w:uiPriority w:val="0"/>
    <w:rPr>
      <w:color w:val="800080"/>
      <w:u w:val="single"/>
    </w:rPr>
  </w:style>
  <w:style w:type="character" w:styleId="58">
    <w:name w:val="Emphasis"/>
    <w:qFormat/>
    <w:uiPriority w:val="0"/>
    <w:rPr>
      <w:color w:val="CC0033"/>
    </w:rPr>
  </w:style>
  <w:style w:type="character" w:styleId="59">
    <w:name w:val="Hyperlink"/>
    <w:basedOn w:val="54"/>
    <w:unhideWhenUsed/>
    <w:qFormat/>
    <w:uiPriority w:val="99"/>
    <w:rPr>
      <w:color w:val="0000FF"/>
      <w:u w:val="single"/>
    </w:rPr>
  </w:style>
  <w:style w:type="character" w:styleId="60">
    <w:name w:val="annotation reference"/>
    <w:semiHidden/>
    <w:unhideWhenUsed/>
    <w:qFormat/>
    <w:uiPriority w:val="0"/>
    <w:rPr>
      <w:sz w:val="21"/>
      <w:szCs w:val="21"/>
    </w:rPr>
  </w:style>
  <w:style w:type="character" w:styleId="61">
    <w:name w:val="footnote reference"/>
    <w:semiHidden/>
    <w:unhideWhenUsed/>
    <w:qFormat/>
    <w:uiPriority w:val="0"/>
    <w:rPr>
      <w:vertAlign w:val="superscript"/>
    </w:rPr>
  </w:style>
  <w:style w:type="paragraph" w:customStyle="1" w:styleId="62">
    <w:name w:val="p0"/>
    <w:basedOn w:val="1"/>
    <w:qFormat/>
    <w:uiPriority w:val="0"/>
    <w:pPr>
      <w:widowControl/>
    </w:pPr>
    <w:rPr>
      <w:kern w:val="0"/>
      <w:szCs w:val="21"/>
    </w:rPr>
  </w:style>
  <w:style w:type="paragraph" w:customStyle="1" w:styleId="63">
    <w:name w:val="[Normal]"/>
    <w:unhideWhenUsed/>
    <w:qFormat/>
    <w:uiPriority w:val="0"/>
    <w:rPr>
      <w:rFonts w:hint="eastAsia" w:ascii="宋体" w:hAnsi="宋体" w:eastAsia="宋体" w:cs="Times New Roman"/>
      <w:sz w:val="24"/>
      <w:lang w:val="zh-CN" w:eastAsia="zh-CN" w:bidi="ar-SA"/>
    </w:rPr>
  </w:style>
  <w:style w:type="character" w:customStyle="1" w:styleId="64">
    <w:name w:val="页眉 Char"/>
    <w:basedOn w:val="54"/>
    <w:link w:val="35"/>
    <w:qFormat/>
    <w:uiPriority w:val="0"/>
    <w:rPr>
      <w:sz w:val="18"/>
      <w:szCs w:val="18"/>
    </w:rPr>
  </w:style>
  <w:style w:type="character" w:customStyle="1" w:styleId="65">
    <w:name w:val="页脚 Char"/>
    <w:basedOn w:val="54"/>
    <w:link w:val="34"/>
    <w:qFormat/>
    <w:uiPriority w:val="99"/>
    <w:rPr>
      <w:sz w:val="18"/>
      <w:szCs w:val="18"/>
    </w:rPr>
  </w:style>
  <w:style w:type="character" w:customStyle="1" w:styleId="66">
    <w:name w:val="标题 1 Char"/>
    <w:basedOn w:val="54"/>
    <w:link w:val="2"/>
    <w:qFormat/>
    <w:uiPriority w:val="0"/>
    <w:rPr>
      <w:rFonts w:ascii="Calibri" w:hAnsi="Calibri" w:eastAsia="宋体" w:cs="宋体"/>
      <w:b/>
      <w:bCs/>
      <w:kern w:val="44"/>
      <w:sz w:val="44"/>
      <w:szCs w:val="44"/>
    </w:rPr>
  </w:style>
  <w:style w:type="character" w:customStyle="1" w:styleId="67">
    <w:name w:val="标题 2 Char"/>
    <w:basedOn w:val="54"/>
    <w:link w:val="3"/>
    <w:semiHidden/>
    <w:qFormat/>
    <w:uiPriority w:val="0"/>
    <w:rPr>
      <w:rFonts w:ascii="Arial" w:hAnsi="Arial" w:eastAsia="黑体" w:cs="Times New Roman"/>
      <w:b/>
      <w:bCs/>
      <w:sz w:val="32"/>
      <w:szCs w:val="32"/>
    </w:rPr>
  </w:style>
  <w:style w:type="character" w:customStyle="1" w:styleId="68">
    <w:name w:val="标题 3 Char"/>
    <w:basedOn w:val="54"/>
    <w:link w:val="4"/>
    <w:qFormat/>
    <w:uiPriority w:val="0"/>
    <w:rPr>
      <w:rFonts w:ascii="Calibri" w:hAnsi="Calibri" w:eastAsia="宋体" w:cs="宋体"/>
      <w:b/>
      <w:bCs/>
      <w:sz w:val="32"/>
      <w:szCs w:val="32"/>
    </w:rPr>
  </w:style>
  <w:style w:type="character" w:customStyle="1" w:styleId="69">
    <w:name w:val="标题 4 Char"/>
    <w:basedOn w:val="54"/>
    <w:link w:val="6"/>
    <w:semiHidden/>
    <w:qFormat/>
    <w:uiPriority w:val="0"/>
    <w:rPr>
      <w:rFonts w:ascii="Arial" w:hAnsi="Arial" w:eastAsia="黑体" w:cs="Times New Roman"/>
      <w:b/>
      <w:bCs/>
      <w:sz w:val="28"/>
      <w:szCs w:val="28"/>
    </w:rPr>
  </w:style>
  <w:style w:type="character" w:customStyle="1" w:styleId="70">
    <w:name w:val="标题 5 Char"/>
    <w:basedOn w:val="54"/>
    <w:link w:val="7"/>
    <w:semiHidden/>
    <w:qFormat/>
    <w:uiPriority w:val="0"/>
    <w:rPr>
      <w:rFonts w:ascii="Calibri" w:hAnsi="Calibri" w:eastAsia="宋体" w:cs="宋体"/>
      <w:bCs/>
      <w:color w:val="000000"/>
      <w:sz w:val="32"/>
      <w:szCs w:val="28"/>
    </w:rPr>
  </w:style>
  <w:style w:type="character" w:customStyle="1" w:styleId="71">
    <w:name w:val="标题 6 Char"/>
    <w:basedOn w:val="54"/>
    <w:link w:val="8"/>
    <w:semiHidden/>
    <w:qFormat/>
    <w:uiPriority w:val="0"/>
    <w:rPr>
      <w:rFonts w:ascii="Arial" w:hAnsi="Arial" w:eastAsia="黑体" w:cs="Times New Roman"/>
      <w:b/>
      <w:bCs/>
      <w:kern w:val="0"/>
      <w:sz w:val="24"/>
      <w:szCs w:val="24"/>
    </w:rPr>
  </w:style>
  <w:style w:type="character" w:customStyle="1" w:styleId="72">
    <w:name w:val="标题 7 Char"/>
    <w:basedOn w:val="54"/>
    <w:link w:val="9"/>
    <w:semiHidden/>
    <w:qFormat/>
    <w:uiPriority w:val="0"/>
    <w:rPr>
      <w:rFonts w:ascii="Calibri" w:hAnsi="Calibri" w:cs="Times New Roman"/>
      <w:b/>
      <w:bCs/>
      <w:kern w:val="0"/>
      <w:sz w:val="24"/>
      <w:szCs w:val="24"/>
    </w:rPr>
  </w:style>
  <w:style w:type="character" w:customStyle="1" w:styleId="73">
    <w:name w:val="标题 8 Char"/>
    <w:basedOn w:val="54"/>
    <w:link w:val="10"/>
    <w:semiHidden/>
    <w:qFormat/>
    <w:uiPriority w:val="0"/>
    <w:rPr>
      <w:rFonts w:ascii="Arial" w:hAnsi="Arial" w:eastAsia="黑体" w:cs="Times New Roman"/>
      <w:kern w:val="0"/>
      <w:sz w:val="24"/>
      <w:szCs w:val="24"/>
    </w:rPr>
  </w:style>
  <w:style w:type="character" w:customStyle="1" w:styleId="74">
    <w:name w:val="标题 9 Char"/>
    <w:basedOn w:val="54"/>
    <w:link w:val="11"/>
    <w:semiHidden/>
    <w:qFormat/>
    <w:uiPriority w:val="0"/>
    <w:rPr>
      <w:rFonts w:ascii="Arial" w:hAnsi="Arial" w:eastAsia="黑体" w:cs="Times New Roman"/>
      <w:kern w:val="0"/>
      <w:szCs w:val="21"/>
    </w:rPr>
  </w:style>
  <w:style w:type="character" w:customStyle="1" w:styleId="75">
    <w:name w:val="HTML 预设格式 Char"/>
    <w:basedOn w:val="54"/>
    <w:link w:val="45"/>
    <w:semiHidden/>
    <w:qFormat/>
    <w:uiPriority w:val="0"/>
    <w:rPr>
      <w:rFonts w:ascii="Courier New" w:hAnsi="Courier New" w:cs="Courier New"/>
      <w:sz w:val="20"/>
      <w:szCs w:val="20"/>
    </w:rPr>
  </w:style>
  <w:style w:type="character" w:customStyle="1" w:styleId="76">
    <w:name w:val="正文缩进 Char"/>
    <w:link w:val="5"/>
    <w:qFormat/>
    <w:locked/>
    <w:uiPriority w:val="0"/>
    <w:rPr>
      <w:szCs w:val="24"/>
    </w:rPr>
  </w:style>
  <w:style w:type="character" w:customStyle="1" w:styleId="77">
    <w:name w:val="脚注文本 Char"/>
    <w:basedOn w:val="54"/>
    <w:link w:val="39"/>
    <w:semiHidden/>
    <w:qFormat/>
    <w:uiPriority w:val="0"/>
    <w:rPr>
      <w:rFonts w:ascii="Calibri" w:hAnsi="Calibri" w:cs="Times New Roman"/>
      <w:sz w:val="18"/>
      <w:szCs w:val="18"/>
    </w:rPr>
  </w:style>
  <w:style w:type="character" w:customStyle="1" w:styleId="78">
    <w:name w:val="批注文字 Char"/>
    <w:basedOn w:val="54"/>
    <w:link w:val="17"/>
    <w:semiHidden/>
    <w:qFormat/>
    <w:uiPriority w:val="0"/>
    <w:rPr>
      <w:rFonts w:ascii="Calibri" w:hAnsi="Calibri" w:cs="Times New Roman"/>
      <w:szCs w:val="24"/>
    </w:rPr>
  </w:style>
  <w:style w:type="character" w:customStyle="1" w:styleId="79">
    <w:name w:val="尾注文本 Char"/>
    <w:basedOn w:val="54"/>
    <w:link w:val="32"/>
    <w:semiHidden/>
    <w:qFormat/>
    <w:uiPriority w:val="0"/>
    <w:rPr>
      <w:rFonts w:ascii="Calibri" w:hAnsi="Calibri" w:cs="Times New Roman"/>
      <w:szCs w:val="24"/>
    </w:rPr>
  </w:style>
  <w:style w:type="character" w:customStyle="1" w:styleId="80">
    <w:name w:val="标题 Char"/>
    <w:basedOn w:val="54"/>
    <w:link w:val="48"/>
    <w:qFormat/>
    <w:uiPriority w:val="0"/>
    <w:rPr>
      <w:rFonts w:ascii="Arial" w:hAnsi="Arial" w:cs="Times New Roman"/>
      <w:b/>
      <w:kern w:val="0"/>
      <w:sz w:val="32"/>
      <w:szCs w:val="20"/>
    </w:rPr>
  </w:style>
  <w:style w:type="character" w:customStyle="1" w:styleId="81">
    <w:name w:val="正文文本 Char"/>
    <w:basedOn w:val="54"/>
    <w:semiHidden/>
    <w:qFormat/>
    <w:uiPriority w:val="0"/>
    <w:rPr>
      <w:rFonts w:ascii="Calibri" w:hAnsi="Calibri" w:cs="Times New Roman"/>
      <w:szCs w:val="24"/>
    </w:rPr>
  </w:style>
  <w:style w:type="character" w:customStyle="1" w:styleId="82">
    <w:name w:val="正文文本缩进 Char"/>
    <w:basedOn w:val="54"/>
    <w:link w:val="22"/>
    <w:semiHidden/>
    <w:qFormat/>
    <w:uiPriority w:val="0"/>
    <w:rPr>
      <w:rFonts w:ascii="Calibri" w:hAnsi="Calibri" w:cs="Times New Roman"/>
      <w:szCs w:val="24"/>
    </w:rPr>
  </w:style>
  <w:style w:type="character" w:customStyle="1" w:styleId="83">
    <w:name w:val="称呼 Char"/>
    <w:basedOn w:val="54"/>
    <w:link w:val="18"/>
    <w:semiHidden/>
    <w:qFormat/>
    <w:uiPriority w:val="0"/>
    <w:rPr>
      <w:rFonts w:ascii="宋体" w:hAnsi="Calibri" w:cs="Times New Roman"/>
      <w:sz w:val="24"/>
      <w:szCs w:val="20"/>
    </w:rPr>
  </w:style>
  <w:style w:type="character" w:customStyle="1" w:styleId="84">
    <w:name w:val="日期 Char"/>
    <w:basedOn w:val="54"/>
    <w:link w:val="30"/>
    <w:semiHidden/>
    <w:qFormat/>
    <w:uiPriority w:val="0"/>
    <w:rPr>
      <w:rFonts w:ascii="Calibri" w:hAnsi="Calibri" w:cs="Times New Roman"/>
      <w:szCs w:val="24"/>
    </w:rPr>
  </w:style>
  <w:style w:type="character" w:customStyle="1" w:styleId="85">
    <w:name w:val="正文首行缩进 Char"/>
    <w:basedOn w:val="81"/>
    <w:link w:val="50"/>
    <w:semiHidden/>
    <w:qFormat/>
    <w:uiPriority w:val="0"/>
    <w:rPr>
      <w:rFonts w:ascii="宋体" w:hAnsi="Calibri" w:cs="Times New Roman"/>
      <w:spacing w:val="-6"/>
      <w:szCs w:val="24"/>
    </w:rPr>
  </w:style>
  <w:style w:type="character" w:customStyle="1" w:styleId="86">
    <w:name w:val="正文首行缩进 2 Char"/>
    <w:basedOn w:val="82"/>
    <w:link w:val="51"/>
    <w:semiHidden/>
    <w:qFormat/>
    <w:uiPriority w:val="0"/>
    <w:rPr>
      <w:rFonts w:ascii="Calibri" w:hAnsi="Calibri" w:cs="Times New Roman"/>
      <w:szCs w:val="24"/>
    </w:rPr>
  </w:style>
  <w:style w:type="character" w:customStyle="1" w:styleId="87">
    <w:name w:val="正文文本 2 Char"/>
    <w:basedOn w:val="54"/>
    <w:link w:val="44"/>
    <w:semiHidden/>
    <w:qFormat/>
    <w:uiPriority w:val="0"/>
    <w:rPr>
      <w:rFonts w:ascii="宋体" w:hAnsi="宋体" w:cs="Times New Roman"/>
      <w:sz w:val="28"/>
      <w:szCs w:val="24"/>
    </w:rPr>
  </w:style>
  <w:style w:type="character" w:customStyle="1" w:styleId="88">
    <w:name w:val="正文文本 3 Char"/>
    <w:basedOn w:val="54"/>
    <w:link w:val="19"/>
    <w:semiHidden/>
    <w:qFormat/>
    <w:uiPriority w:val="0"/>
    <w:rPr>
      <w:rFonts w:ascii="宋体" w:hAnsi="Calibri" w:cs="Times New Roman"/>
      <w:sz w:val="24"/>
      <w:szCs w:val="20"/>
    </w:rPr>
  </w:style>
  <w:style w:type="character" w:customStyle="1" w:styleId="89">
    <w:name w:val="正文文本缩进 2 Char"/>
    <w:basedOn w:val="54"/>
    <w:link w:val="31"/>
    <w:semiHidden/>
    <w:qFormat/>
    <w:uiPriority w:val="0"/>
    <w:rPr>
      <w:rFonts w:ascii="仿宋_GB2312" w:hAnsi="Calibri" w:eastAsia="仿宋_GB2312" w:cs="Times New Roman"/>
      <w:sz w:val="28"/>
      <w:szCs w:val="24"/>
    </w:rPr>
  </w:style>
  <w:style w:type="character" w:customStyle="1" w:styleId="90">
    <w:name w:val="正文文本缩进 3 Char"/>
    <w:basedOn w:val="54"/>
    <w:link w:val="41"/>
    <w:semiHidden/>
    <w:qFormat/>
    <w:uiPriority w:val="0"/>
    <w:rPr>
      <w:rFonts w:ascii="Calibri" w:hAnsi="Calibri" w:cs="Times New Roman"/>
      <w:sz w:val="16"/>
      <w:szCs w:val="16"/>
    </w:rPr>
  </w:style>
  <w:style w:type="character" w:customStyle="1" w:styleId="91">
    <w:name w:val="文档结构图 Char"/>
    <w:basedOn w:val="54"/>
    <w:link w:val="16"/>
    <w:semiHidden/>
    <w:qFormat/>
    <w:uiPriority w:val="0"/>
    <w:rPr>
      <w:rFonts w:ascii="Calibri" w:hAnsi="Calibri" w:cs="Times New Roman"/>
      <w:szCs w:val="24"/>
      <w:shd w:val="clear" w:color="auto" w:fill="000080"/>
    </w:rPr>
  </w:style>
  <w:style w:type="character" w:customStyle="1" w:styleId="92">
    <w:name w:val="纯文本 Char"/>
    <w:basedOn w:val="54"/>
    <w:link w:val="27"/>
    <w:semiHidden/>
    <w:qFormat/>
    <w:uiPriority w:val="0"/>
    <w:rPr>
      <w:rFonts w:ascii="宋体" w:hAnsi="Courier New" w:cs="Times New Roman"/>
      <w:color w:val="000000"/>
      <w:szCs w:val="20"/>
    </w:rPr>
  </w:style>
  <w:style w:type="character" w:customStyle="1" w:styleId="93">
    <w:name w:val="批注主题 Char"/>
    <w:basedOn w:val="78"/>
    <w:link w:val="49"/>
    <w:semiHidden/>
    <w:qFormat/>
    <w:uiPriority w:val="0"/>
    <w:rPr>
      <w:rFonts w:ascii="Calibri" w:hAnsi="Calibri" w:cs="Times New Roman"/>
      <w:b/>
      <w:szCs w:val="24"/>
    </w:rPr>
  </w:style>
  <w:style w:type="character" w:customStyle="1" w:styleId="94">
    <w:name w:val="批注框文本 Char"/>
    <w:basedOn w:val="54"/>
    <w:link w:val="33"/>
    <w:semiHidden/>
    <w:qFormat/>
    <w:uiPriority w:val="0"/>
    <w:rPr>
      <w:rFonts w:ascii="Calibri" w:hAnsi="Calibri" w:cs="Times New Roman"/>
      <w:sz w:val="18"/>
      <w:szCs w:val="18"/>
    </w:rPr>
  </w:style>
  <w:style w:type="character" w:customStyle="1" w:styleId="95">
    <w:name w:val="无间隔 Char"/>
    <w:link w:val="96"/>
    <w:qFormat/>
    <w:locked/>
    <w:uiPriority w:val="1"/>
    <w:rPr>
      <w:sz w:val="22"/>
    </w:rPr>
  </w:style>
  <w:style w:type="paragraph" w:styleId="96">
    <w:name w:val="No Spacing"/>
    <w:link w:val="95"/>
    <w:qFormat/>
    <w:uiPriority w:val="1"/>
    <w:rPr>
      <w:rFonts w:asciiTheme="minorHAnsi" w:hAnsiTheme="minorHAnsi" w:eastAsiaTheme="minorEastAsia" w:cstheme="minorBidi"/>
      <w:kern w:val="2"/>
      <w:sz w:val="22"/>
      <w:szCs w:val="22"/>
      <w:lang w:val="en-US" w:eastAsia="zh-CN" w:bidi="ar-SA"/>
    </w:rPr>
  </w:style>
  <w:style w:type="paragraph" w:styleId="97">
    <w:name w:val="List Paragraph"/>
    <w:basedOn w:val="1"/>
    <w:qFormat/>
    <w:uiPriority w:val="0"/>
    <w:pPr>
      <w:ind w:firstLine="200" w:firstLineChars="200"/>
    </w:pPr>
    <w:rPr>
      <w:szCs w:val="22"/>
    </w:rPr>
  </w:style>
  <w:style w:type="paragraph" w:customStyle="1" w:styleId="98">
    <w:name w:val="TOC 标题1"/>
    <w:basedOn w:val="2"/>
    <w:next w:val="1"/>
    <w:semiHidden/>
    <w:unhideWhenUsed/>
    <w:qFormat/>
    <w:uiPriority w:val="0"/>
    <w:pPr>
      <w:widowControl/>
      <w:spacing w:before="480" w:after="0" w:line="276" w:lineRule="auto"/>
      <w:jc w:val="left"/>
      <w:outlineLvl w:val="9"/>
    </w:pPr>
    <w:rPr>
      <w:rFonts w:ascii="Cambria" w:hAnsi="Cambria" w:cs="Times New Roman"/>
      <w:color w:val="365F91"/>
      <w:kern w:val="0"/>
      <w:sz w:val="28"/>
      <w:szCs w:val="28"/>
    </w:rPr>
  </w:style>
  <w:style w:type="paragraph" w:customStyle="1" w:styleId="99">
    <w:name w:val="目次、索引正文"/>
    <w:qFormat/>
    <w:uiPriority w:val="0"/>
    <w:pPr>
      <w:spacing w:line="320" w:lineRule="exact"/>
      <w:jc w:val="both"/>
    </w:pPr>
    <w:rPr>
      <w:rFonts w:ascii="宋体" w:hAnsi="Calibri" w:cs="Times New Roman" w:eastAsiaTheme="minorEastAsia"/>
      <w:sz w:val="21"/>
      <w:lang w:val="en-US" w:eastAsia="zh-CN" w:bidi="ar-SA"/>
    </w:rPr>
  </w:style>
  <w:style w:type="paragraph" w:customStyle="1" w:styleId="100">
    <w:name w:val="正文A"/>
    <w:qFormat/>
    <w:uiPriority w:val="0"/>
    <w:pPr>
      <w:tabs>
        <w:tab w:val="left" w:pos="0"/>
      </w:tabs>
      <w:adjustRightInd w:val="0"/>
      <w:snapToGrid w:val="0"/>
      <w:spacing w:line="360" w:lineRule="auto"/>
      <w:ind w:firstLine="200" w:firstLineChars="200"/>
      <w:jc w:val="both"/>
    </w:pPr>
    <w:rPr>
      <w:rFonts w:ascii="Calibri" w:hAnsi="Calibri" w:cs="Times New Roman" w:eastAsiaTheme="minorEastAsia"/>
      <w:sz w:val="24"/>
      <w:lang w:val="en-US" w:eastAsia="zh-CN" w:bidi="ar-SA"/>
    </w:rPr>
  </w:style>
  <w:style w:type="paragraph" w:customStyle="1" w:styleId="101">
    <w:name w:val="style1"/>
    <w:basedOn w:val="1"/>
    <w:qFormat/>
    <w:uiPriority w:val="0"/>
    <w:pPr>
      <w:widowControl/>
      <w:spacing w:before="100" w:beforeAutospacing="1" w:after="100" w:afterAutospacing="1" w:line="432" w:lineRule="auto"/>
      <w:jc w:val="left"/>
    </w:pPr>
    <w:rPr>
      <w:rFonts w:ascii="宋体" w:cs="宋体"/>
      <w:kern w:val="0"/>
      <w:sz w:val="27"/>
      <w:szCs w:val="27"/>
    </w:rPr>
  </w:style>
  <w:style w:type="paragraph" w:customStyle="1" w:styleId="10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3">
    <w:name w:val="Char1 Char Char Char Char Char Char Char Char Char Char Char"/>
    <w:basedOn w:val="1"/>
    <w:qFormat/>
    <w:uiPriority w:val="0"/>
    <w:pPr>
      <w:pageBreakBefore/>
      <w:tabs>
        <w:tab w:val="left" w:pos="432"/>
      </w:tabs>
      <w:ind w:left="432" w:hanging="432"/>
    </w:pPr>
  </w:style>
  <w:style w:type="paragraph" w:customStyle="1" w:styleId="104">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0"/>
    </w:rPr>
  </w:style>
  <w:style w:type="paragraph" w:customStyle="1" w:styleId="105">
    <w:name w:val="表格"/>
    <w:basedOn w:val="1"/>
    <w:qFormat/>
    <w:uiPriority w:val="0"/>
    <w:pPr>
      <w:jc w:val="center"/>
    </w:pPr>
    <w:rPr>
      <w:rFonts w:ascii="华文细黑" w:hAnsi="华文细黑"/>
      <w:kern w:val="0"/>
      <w:szCs w:val="20"/>
    </w:rPr>
  </w:style>
  <w:style w:type="paragraph" w:customStyle="1" w:styleId="106">
    <w:name w:val="段"/>
    <w:qFormat/>
    <w:uiPriority w:val="0"/>
    <w:pPr>
      <w:autoSpaceDE w:val="0"/>
      <w:autoSpaceDN w:val="0"/>
      <w:ind w:firstLine="200" w:firstLineChars="200"/>
      <w:jc w:val="both"/>
    </w:pPr>
    <w:rPr>
      <w:rFonts w:ascii="宋体" w:hAnsi="Calibri" w:cs="Times New Roman" w:eastAsiaTheme="minorEastAsia"/>
      <w:sz w:val="21"/>
      <w:lang w:val="en-US" w:eastAsia="zh-CN" w:bidi="ar-SA"/>
    </w:rPr>
  </w:style>
  <w:style w:type="paragraph" w:customStyle="1" w:styleId="107">
    <w:name w:val="附录图标题"/>
    <w:next w:val="106"/>
    <w:qFormat/>
    <w:uiPriority w:val="0"/>
    <w:pPr>
      <w:numPr>
        <w:ilvl w:val="0"/>
        <w:numId w:val="6"/>
      </w:numPr>
      <w:tabs>
        <w:tab w:val="left" w:pos="360"/>
      </w:tabs>
      <w:jc w:val="center"/>
    </w:pPr>
    <w:rPr>
      <w:rFonts w:ascii="黑体" w:hAnsi="Calibri" w:eastAsia="黑体" w:cs="Times New Roman"/>
      <w:sz w:val="21"/>
      <w:lang w:val="en-US" w:eastAsia="zh-CN" w:bidi="ar-SA"/>
    </w:rPr>
  </w:style>
  <w:style w:type="paragraph" w:customStyle="1" w:styleId="108">
    <w:name w:val="纯文本1"/>
    <w:basedOn w:val="1"/>
    <w:qFormat/>
    <w:uiPriority w:val="0"/>
    <w:pPr>
      <w:adjustRightInd w:val="0"/>
    </w:pPr>
    <w:rPr>
      <w:rFonts w:ascii="宋体"/>
      <w:szCs w:val="20"/>
    </w:rPr>
  </w:style>
  <w:style w:type="paragraph" w:customStyle="1" w:styleId="109">
    <w:name w:val="一级条标题"/>
    <w:next w:val="1"/>
    <w:qFormat/>
    <w:uiPriority w:val="0"/>
    <w:pPr>
      <w:tabs>
        <w:tab w:val="left" w:pos="0"/>
      </w:tabs>
      <w:ind w:left="420"/>
      <w:outlineLvl w:val="2"/>
    </w:pPr>
    <w:rPr>
      <w:rFonts w:ascii="Calibri" w:hAnsi="Calibri" w:eastAsia="黑体" w:cs="Times New Roman"/>
      <w:sz w:val="21"/>
      <w:lang w:val="en-US" w:eastAsia="zh-CN" w:bidi="ar-SA"/>
    </w:rPr>
  </w:style>
  <w:style w:type="paragraph" w:customStyle="1" w:styleId="110">
    <w:name w:val="样式 标题 2H2Title22级 + 居中"/>
    <w:basedOn w:val="3"/>
    <w:qFormat/>
    <w:uiPriority w:val="0"/>
    <w:pPr>
      <w:spacing w:line="412" w:lineRule="auto"/>
      <w:jc w:val="center"/>
    </w:pPr>
    <w:rPr>
      <w:rFonts w:cs="宋体"/>
      <w:sz w:val="36"/>
      <w:szCs w:val="20"/>
    </w:rPr>
  </w:style>
  <w:style w:type="paragraph" w:customStyle="1" w:styleId="111">
    <w:name w:val="附录一级条标题"/>
    <w:basedOn w:val="1"/>
    <w:next w:val="106"/>
    <w:qFormat/>
    <w:uiPriority w:val="0"/>
    <w:pPr>
      <w:widowControl/>
      <w:numPr>
        <w:ilvl w:val="1"/>
        <w:numId w:val="7"/>
      </w:numPr>
      <w:wordWrap w:val="0"/>
      <w:overflowPunct w:val="0"/>
      <w:autoSpaceDE w:val="0"/>
      <w:autoSpaceDN w:val="0"/>
      <w:outlineLvl w:val="2"/>
    </w:pPr>
    <w:rPr>
      <w:rFonts w:ascii="黑体" w:eastAsia="黑体"/>
      <w:kern w:val="21"/>
      <w:szCs w:val="20"/>
    </w:rPr>
  </w:style>
  <w:style w:type="paragraph" w:customStyle="1" w:styleId="11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13">
    <w:name w:val="Char Char Char Char Char Char3 Char Char Char Char Char Char Char"/>
    <w:basedOn w:val="1"/>
    <w:next w:val="1"/>
    <w:qFormat/>
    <w:uiPriority w:val="0"/>
    <w:rPr>
      <w:rFonts w:eastAsia="黑体"/>
      <w:sz w:val="28"/>
    </w:rPr>
  </w:style>
  <w:style w:type="paragraph" w:customStyle="1" w:styleId="114">
    <w:name w:val="Char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eastAsia="en-GB"/>
    </w:rPr>
  </w:style>
  <w:style w:type="paragraph" w:customStyle="1" w:styleId="115">
    <w:name w:val="样式2"/>
    <w:basedOn w:val="1"/>
    <w:qFormat/>
    <w:uiPriority w:val="0"/>
    <w:pPr>
      <w:spacing w:line="360" w:lineRule="auto"/>
      <w:jc w:val="center"/>
    </w:pPr>
    <w:rPr>
      <w:rFonts w:ascii="黑体" w:eastAsia="黑体"/>
      <w:emboss/>
      <w:color w:val="FFFFFF"/>
      <w:sz w:val="44"/>
      <w:szCs w:val="20"/>
    </w:rPr>
  </w:style>
  <w:style w:type="paragraph" w:customStyle="1" w:styleId="116">
    <w:name w:val="Char"/>
    <w:basedOn w:val="16"/>
    <w:qFormat/>
    <w:uiPriority w:val="0"/>
    <w:rPr>
      <w:rFonts w:ascii="Tahoma" w:hAnsi="Tahoma"/>
      <w:sz w:val="24"/>
    </w:rPr>
  </w:style>
  <w:style w:type="paragraph" w:customStyle="1" w:styleId="117">
    <w:name w:val="图表脚注"/>
    <w:next w:val="1"/>
    <w:qFormat/>
    <w:uiPriority w:val="0"/>
    <w:pPr>
      <w:ind w:left="300" w:leftChars="200" w:hanging="100" w:hangingChars="100"/>
      <w:jc w:val="both"/>
    </w:pPr>
    <w:rPr>
      <w:rFonts w:ascii="宋体" w:hAnsi="Calibri" w:cs="Times New Roman" w:eastAsiaTheme="minorEastAsia"/>
      <w:sz w:val="18"/>
      <w:lang w:val="en-US" w:eastAsia="zh-CN" w:bidi="ar-SA"/>
    </w:rPr>
  </w:style>
  <w:style w:type="paragraph" w:customStyle="1" w:styleId="118">
    <w:name w:val="标准书眉_偶数页"/>
    <w:basedOn w:val="1"/>
    <w:next w:val="1"/>
    <w:qFormat/>
    <w:uiPriority w:val="0"/>
    <w:pPr>
      <w:widowControl/>
      <w:tabs>
        <w:tab w:val="left" w:pos="0"/>
        <w:tab w:val="center" w:pos="4154"/>
        <w:tab w:val="right" w:pos="8306"/>
      </w:tabs>
      <w:spacing w:after="120"/>
      <w:jc w:val="left"/>
    </w:pPr>
    <w:rPr>
      <w:kern w:val="0"/>
      <w:szCs w:val="20"/>
    </w:rPr>
  </w:style>
  <w:style w:type="paragraph" w:customStyle="1" w:styleId="11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0">
    <w:name w:val="前言、引言标题"/>
    <w:next w:val="1"/>
    <w:qFormat/>
    <w:uiPriority w:val="0"/>
    <w:pPr>
      <w:shd w:val="clear" w:color="auto" w:fill="FFFFFF"/>
      <w:tabs>
        <w:tab w:val="left" w:pos="0"/>
      </w:tabs>
      <w:spacing w:before="640" w:after="560"/>
      <w:jc w:val="center"/>
      <w:outlineLvl w:val="0"/>
    </w:pPr>
    <w:rPr>
      <w:rFonts w:ascii="黑体" w:hAnsi="Calibri" w:eastAsia="黑体" w:cs="Times New Roman"/>
      <w:sz w:val="32"/>
      <w:lang w:val="en-US" w:eastAsia="zh-CN" w:bidi="ar-SA"/>
    </w:rPr>
  </w:style>
  <w:style w:type="paragraph" w:customStyle="1" w:styleId="121">
    <w:name w:val="封面标准文稿编辑信息"/>
    <w:qFormat/>
    <w:uiPriority w:val="0"/>
    <w:pPr>
      <w:spacing w:before="180" w:line="180" w:lineRule="exact"/>
      <w:jc w:val="center"/>
    </w:pPr>
    <w:rPr>
      <w:rFonts w:ascii="宋体" w:hAnsi="Calibri" w:cs="Times New Roman" w:eastAsiaTheme="minorEastAsia"/>
      <w:sz w:val="21"/>
      <w:lang w:val="en-US" w:eastAsia="zh-CN" w:bidi="ar-SA"/>
    </w:rPr>
  </w:style>
  <w:style w:type="paragraph" w:customStyle="1" w:styleId="122">
    <w:name w:val="附录二级条标题"/>
    <w:basedOn w:val="111"/>
    <w:next w:val="106"/>
    <w:qFormat/>
    <w:uiPriority w:val="0"/>
    <w:pPr>
      <w:numPr>
        <w:ilvl w:val="2"/>
      </w:numPr>
      <w:outlineLvl w:val="3"/>
    </w:pPr>
  </w:style>
  <w:style w:type="paragraph" w:customStyle="1" w:styleId="123">
    <w:name w:val="样式3"/>
    <w:basedOn w:val="36"/>
    <w:qFormat/>
    <w:uiPriority w:val="0"/>
    <w:pPr>
      <w:tabs>
        <w:tab w:val="left" w:pos="480"/>
        <w:tab w:val="right" w:leader="dot" w:pos="9028"/>
      </w:tabs>
      <w:spacing w:before="120"/>
      <w:jc w:val="left"/>
    </w:pPr>
    <w:rPr>
      <w:rFonts w:ascii="宋体"/>
      <w:color w:val="FF0000"/>
      <w:spacing w:val="12"/>
      <w:sz w:val="32"/>
      <w:szCs w:val="20"/>
    </w:rPr>
  </w:style>
  <w:style w:type="paragraph" w:customStyle="1" w:styleId="12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b w:val="0"/>
      <w:bCs w:val="0"/>
      <w:sz w:val="32"/>
      <w:szCs w:val="20"/>
    </w:rPr>
  </w:style>
  <w:style w:type="paragraph" w:customStyle="1" w:styleId="125">
    <w:name w:val="zbggmain"/>
    <w:basedOn w:val="1"/>
    <w:qFormat/>
    <w:uiPriority w:val="0"/>
    <w:pPr>
      <w:widowControl/>
      <w:spacing w:before="100" w:beforeAutospacing="1" w:after="100" w:afterAutospacing="1" w:line="360" w:lineRule="auto"/>
      <w:jc w:val="left"/>
    </w:pPr>
    <w:rPr>
      <w:rFonts w:ascii="ˎ̥" w:hAnsi="ˎ̥"/>
      <w:color w:val="000000"/>
      <w:kern w:val="0"/>
      <w:sz w:val="24"/>
      <w:szCs w:val="20"/>
    </w:rPr>
  </w:style>
  <w:style w:type="paragraph" w:customStyle="1" w:styleId="126">
    <w:name w:val="字元 字元 Char Char"/>
    <w:basedOn w:val="16"/>
    <w:qFormat/>
    <w:uiPriority w:val="0"/>
    <w:pPr>
      <w:adjustRightInd w:val="0"/>
      <w:spacing w:line="436" w:lineRule="exact"/>
      <w:ind w:left="357"/>
      <w:jc w:val="left"/>
      <w:outlineLvl w:val="3"/>
    </w:pPr>
    <w:rPr>
      <w:rFonts w:ascii="Tahoma" w:hAnsi="Tahoma"/>
      <w:b/>
      <w:sz w:val="24"/>
    </w:rPr>
  </w:style>
  <w:style w:type="paragraph" w:customStyle="1" w:styleId="127">
    <w:name w:val="xl45"/>
    <w:basedOn w:val="1"/>
    <w:qFormat/>
    <w:uiPriority w:val="0"/>
    <w:pPr>
      <w:widowControl/>
      <w:spacing w:before="100" w:beforeAutospacing="1" w:after="100" w:afterAutospacing="1"/>
      <w:jc w:val="center"/>
    </w:pPr>
    <w:rPr>
      <w:rFonts w:ascii="宋体"/>
      <w:kern w:val="0"/>
      <w:sz w:val="20"/>
      <w:szCs w:val="20"/>
    </w:rPr>
  </w:style>
  <w:style w:type="paragraph" w:customStyle="1" w:styleId="128">
    <w:name w:val="样式 四号 居中"/>
    <w:basedOn w:val="1"/>
    <w:qFormat/>
    <w:uiPriority w:val="0"/>
    <w:rPr>
      <w:rFonts w:cs="宋体"/>
      <w:sz w:val="24"/>
    </w:rPr>
  </w:style>
  <w:style w:type="paragraph" w:customStyle="1" w:styleId="129">
    <w:name w:val="样式 (西文) 华文细黑 小四 左侧:  0.92 厘米 行距: 多倍行距 1.3 字行"/>
    <w:basedOn w:val="1"/>
    <w:qFormat/>
    <w:uiPriority w:val="0"/>
    <w:pPr>
      <w:spacing w:line="312" w:lineRule="auto"/>
      <w:ind w:firstLine="200" w:firstLineChars="200"/>
    </w:pPr>
    <w:rPr>
      <w:rFonts w:ascii="华文细黑" w:hAnsi="华文细黑"/>
      <w:sz w:val="24"/>
      <w:szCs w:val="20"/>
    </w:rPr>
  </w:style>
  <w:style w:type="paragraph" w:customStyle="1" w:styleId="130">
    <w:name w:val="标准书眉_奇数页"/>
    <w:next w:val="1"/>
    <w:qFormat/>
    <w:uiPriority w:val="0"/>
    <w:pPr>
      <w:tabs>
        <w:tab w:val="center" w:pos="4154"/>
        <w:tab w:val="right" w:pos="8306"/>
      </w:tabs>
      <w:spacing w:after="120"/>
      <w:jc w:val="right"/>
    </w:pPr>
    <w:rPr>
      <w:rFonts w:ascii="Calibri" w:hAnsi="Calibri" w:cs="Times New Roman" w:eastAsiaTheme="minorEastAsia"/>
      <w:sz w:val="21"/>
      <w:lang w:val="en-US" w:eastAsia="zh-CN" w:bidi="ar-SA"/>
    </w:rPr>
  </w:style>
  <w:style w:type="paragraph" w:customStyle="1" w:styleId="131">
    <w:name w:val="附录三级条标题"/>
    <w:basedOn w:val="122"/>
    <w:next w:val="106"/>
    <w:qFormat/>
    <w:uiPriority w:val="0"/>
    <w:pPr>
      <w:numPr>
        <w:ilvl w:val="3"/>
      </w:numPr>
      <w:outlineLvl w:val="4"/>
    </w:pPr>
  </w:style>
  <w:style w:type="paragraph" w:customStyle="1" w:styleId="132">
    <w:name w:val="封面标准名称"/>
    <w:qFormat/>
    <w:uiPriority w:val="0"/>
    <w:pPr>
      <w:framePr w:w="9638" w:h="6917" w:wrap="around" w:vAnchor="margin" w:hAnchor="margin" w:xAlign="center" w:y="5955" w:anchorLock="1"/>
      <w:widowControl w:val="0"/>
      <w:spacing w:line="680" w:lineRule="exact"/>
      <w:jc w:val="center"/>
    </w:pPr>
    <w:rPr>
      <w:rFonts w:ascii="黑体" w:hAnsi="Calibri" w:eastAsia="黑体" w:cs="Times New Roman"/>
      <w:sz w:val="52"/>
      <w:lang w:val="en-US" w:eastAsia="zh-CN" w:bidi="ar-SA"/>
    </w:rPr>
  </w:style>
  <w:style w:type="paragraph" w:customStyle="1" w:styleId="133">
    <w:name w:val="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paragraph" w:customStyle="1" w:styleId="134">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35">
    <w:name w:val="Char Char"/>
    <w:basedOn w:val="1"/>
    <w:qFormat/>
    <w:uiPriority w:val="0"/>
    <w:rPr>
      <w:rFonts w:ascii="Tahoma" w:hAnsi="Tahoma"/>
      <w:sz w:val="24"/>
      <w:szCs w:val="20"/>
    </w:rPr>
  </w:style>
  <w:style w:type="paragraph" w:customStyle="1" w:styleId="136">
    <w:name w:val="1.3"/>
    <w:basedOn w:val="1"/>
    <w:qFormat/>
    <w:uiPriority w:val="0"/>
    <w:pPr>
      <w:spacing w:line="560" w:lineRule="exact"/>
      <w:ind w:firstLine="573"/>
    </w:pPr>
    <w:rPr>
      <w:rFonts w:ascii="仿宋_GB2312" w:eastAsia="仿宋_GB2312"/>
      <w:sz w:val="24"/>
      <w:szCs w:val="20"/>
    </w:rPr>
  </w:style>
  <w:style w:type="paragraph" w:customStyle="1" w:styleId="137">
    <w:name w:val="表文C"/>
    <w:basedOn w:val="1"/>
    <w:qFormat/>
    <w:uiPriority w:val="0"/>
    <w:pPr>
      <w:widowControl/>
      <w:tabs>
        <w:tab w:val="left" w:pos="0"/>
      </w:tabs>
      <w:adjustRightInd w:val="0"/>
      <w:snapToGrid w:val="0"/>
      <w:jc w:val="center"/>
    </w:pPr>
    <w:rPr>
      <w:kern w:val="0"/>
      <w:szCs w:val="20"/>
    </w:rPr>
  </w:style>
  <w:style w:type="paragraph" w:customStyle="1" w:styleId="138">
    <w:name w:val="pa-1"/>
    <w:basedOn w:val="1"/>
    <w:qFormat/>
    <w:uiPriority w:val="0"/>
    <w:pPr>
      <w:widowControl/>
      <w:spacing w:line="360" w:lineRule="atLeast"/>
      <w:ind w:firstLine="420"/>
    </w:pPr>
    <w:rPr>
      <w:rFonts w:ascii="宋体" w:cs="宋体"/>
      <w:kern w:val="0"/>
      <w:sz w:val="24"/>
    </w:rPr>
  </w:style>
  <w:style w:type="paragraph" w:customStyle="1" w:styleId="1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1">
    <w:name w:val="正文文本 21"/>
    <w:basedOn w:val="1"/>
    <w:qFormat/>
    <w:uiPriority w:val="0"/>
    <w:pPr>
      <w:autoSpaceDE w:val="0"/>
      <w:autoSpaceDN w:val="0"/>
      <w:adjustRightInd w:val="0"/>
      <w:spacing w:line="380" w:lineRule="atLeast"/>
    </w:pPr>
    <w:rPr>
      <w:spacing w:val="10"/>
      <w:kern w:val="0"/>
      <w:sz w:val="24"/>
      <w:szCs w:val="20"/>
    </w:rPr>
  </w:style>
  <w:style w:type="paragraph" w:customStyle="1" w:styleId="142">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43">
    <w:name w:val="Table Paragraph"/>
    <w:basedOn w:val="1"/>
    <w:qFormat/>
    <w:uiPriority w:val="1"/>
    <w:pPr>
      <w:autoSpaceDE w:val="0"/>
      <w:autoSpaceDN w:val="0"/>
      <w:adjustRightInd w:val="0"/>
      <w:jc w:val="left"/>
    </w:pPr>
    <w:rPr>
      <w:kern w:val="0"/>
      <w:sz w:val="24"/>
    </w:rPr>
  </w:style>
  <w:style w:type="paragraph" w:customStyle="1" w:styleId="144">
    <w:name w:val="附录表标题"/>
    <w:next w:val="106"/>
    <w:qFormat/>
    <w:uiPriority w:val="0"/>
    <w:pPr>
      <w:numPr>
        <w:ilvl w:val="0"/>
        <w:numId w:val="8"/>
      </w:numPr>
      <w:tabs>
        <w:tab w:val="left" w:pos="360"/>
      </w:tabs>
      <w:jc w:val="center"/>
    </w:pPr>
    <w:rPr>
      <w:rFonts w:ascii="黑体" w:hAnsi="Calibri" w:eastAsia="黑体" w:cs="Times New Roman"/>
      <w:kern w:val="21"/>
      <w:sz w:val="21"/>
      <w:lang w:val="en-US" w:eastAsia="zh-CN" w:bidi="ar-SA"/>
    </w:rPr>
  </w:style>
  <w:style w:type="paragraph" w:customStyle="1" w:styleId="145">
    <w:name w:val="默认段落字体 Para Char Char Char Char"/>
    <w:basedOn w:val="1"/>
    <w:qFormat/>
    <w:uiPriority w:val="0"/>
  </w:style>
  <w:style w:type="paragraph" w:customStyle="1" w:styleId="146">
    <w:name w:val="正文表标题"/>
    <w:next w:val="106"/>
    <w:qFormat/>
    <w:uiPriority w:val="0"/>
    <w:pPr>
      <w:tabs>
        <w:tab w:val="left" w:pos="1575"/>
      </w:tabs>
      <w:ind w:left="1575" w:hanging="720"/>
      <w:jc w:val="center"/>
    </w:pPr>
    <w:rPr>
      <w:rFonts w:ascii="黑体" w:hAnsi="Calibri" w:eastAsia="黑体" w:cs="Times New Roman"/>
      <w:sz w:val="21"/>
      <w:lang w:val="en-US" w:eastAsia="zh-CN" w:bidi="ar-SA"/>
    </w:rPr>
  </w:style>
  <w:style w:type="paragraph" w:customStyle="1" w:styleId="147">
    <w:name w:val="样式1"/>
    <w:basedOn w:val="1"/>
    <w:qFormat/>
    <w:uiPriority w:val="0"/>
    <w:pPr>
      <w:spacing w:line="600" w:lineRule="exact"/>
      <w:jc w:val="center"/>
    </w:pPr>
    <w:rPr>
      <w:rFonts w:eastAsia="黑体"/>
      <w:w w:val="150"/>
      <w:sz w:val="52"/>
    </w:rPr>
  </w:style>
  <w:style w:type="paragraph" w:customStyle="1" w:styleId="148">
    <w:name w:val="1"/>
    <w:basedOn w:val="1"/>
    <w:next w:val="1"/>
    <w:qFormat/>
    <w:uiPriority w:val="0"/>
  </w:style>
  <w:style w:type="paragraph" w:customStyle="1" w:styleId="149">
    <w:name w:val="封面一致性程度标识"/>
    <w:qFormat/>
    <w:uiPriority w:val="0"/>
    <w:pPr>
      <w:spacing w:before="440" w:line="400" w:lineRule="exact"/>
      <w:jc w:val="center"/>
    </w:pPr>
    <w:rPr>
      <w:rFonts w:ascii="宋体" w:hAnsi="Calibri" w:cs="Times New Roman" w:eastAsiaTheme="minorEastAsia"/>
      <w:sz w:val="28"/>
      <w:lang w:val="en-US" w:eastAsia="zh-CN" w:bidi="ar-SA"/>
    </w:rPr>
  </w:style>
  <w:style w:type="paragraph" w:customStyle="1" w:styleId="150">
    <w:name w:val="图表样式"/>
    <w:basedOn w:val="1"/>
    <w:qFormat/>
    <w:uiPriority w:val="0"/>
    <w:pPr>
      <w:adjustRightInd w:val="0"/>
      <w:jc w:val="center"/>
    </w:pPr>
    <w:rPr>
      <w:kern w:val="0"/>
      <w:sz w:val="24"/>
      <w:szCs w:val="20"/>
    </w:rPr>
  </w:style>
  <w:style w:type="paragraph" w:customStyle="1" w:styleId="151">
    <w:name w:val="表标题1 Char Char"/>
    <w:basedOn w:val="1"/>
    <w:qFormat/>
    <w:uiPriority w:val="0"/>
    <w:pPr>
      <w:adjustRightInd w:val="0"/>
      <w:snapToGrid w:val="0"/>
      <w:spacing w:line="240" w:lineRule="atLeast"/>
      <w:ind w:firstLine="942" w:firstLineChars="942"/>
    </w:pPr>
    <w:rPr>
      <w:rFonts w:ascii="宋体"/>
      <w:b/>
      <w:kern w:val="0"/>
      <w:sz w:val="28"/>
      <w:szCs w:val="20"/>
    </w:rPr>
  </w:style>
  <w:style w:type="paragraph" w:customStyle="1" w:styleId="152">
    <w:name w:val="封面标准英文名称"/>
    <w:qFormat/>
    <w:uiPriority w:val="0"/>
    <w:pPr>
      <w:widowControl w:val="0"/>
      <w:spacing w:before="370" w:line="400" w:lineRule="exact"/>
      <w:jc w:val="center"/>
    </w:pPr>
    <w:rPr>
      <w:rFonts w:ascii="Calibri" w:hAnsi="Calibri" w:cs="Times New Roman" w:eastAsiaTheme="minorEastAsia"/>
      <w:sz w:val="28"/>
      <w:lang w:val="en-US" w:eastAsia="zh-CN" w:bidi="ar-SA"/>
    </w:rPr>
  </w:style>
  <w:style w:type="paragraph" w:customStyle="1" w:styleId="153">
    <w:name w:val="表名A"/>
    <w:basedOn w:val="1"/>
    <w:qFormat/>
    <w:uiPriority w:val="0"/>
    <w:pPr>
      <w:widowControl/>
      <w:tabs>
        <w:tab w:val="left" w:pos="0"/>
      </w:tabs>
      <w:adjustRightInd w:val="0"/>
      <w:snapToGrid w:val="0"/>
      <w:spacing w:beforeLines="80"/>
      <w:jc w:val="center"/>
    </w:pPr>
    <w:rPr>
      <w:b/>
      <w:kern w:val="0"/>
      <w:szCs w:val="20"/>
    </w:rPr>
  </w:style>
  <w:style w:type="paragraph" w:customStyle="1" w:styleId="154">
    <w:name w:val="实施日期"/>
    <w:basedOn w:val="1"/>
    <w:qFormat/>
    <w:uiPriority w:val="0"/>
    <w:pPr>
      <w:framePr w:w="4000" w:h="473" w:vSpace="180" w:wrap="around" w:vAnchor="margin" w:hAnchor="margin" w:xAlign="right" w:y="13511" w:anchorLock="1"/>
      <w:widowControl/>
      <w:jc w:val="right"/>
    </w:pPr>
    <w:rPr>
      <w:rFonts w:eastAsia="黑体"/>
      <w:kern w:val="0"/>
      <w:sz w:val="28"/>
      <w:szCs w:val="20"/>
    </w:rPr>
  </w:style>
  <w:style w:type="paragraph" w:customStyle="1" w:styleId="155">
    <w:name w:val="章标题"/>
    <w:next w:val="1"/>
    <w:qFormat/>
    <w:uiPriority w:val="0"/>
    <w:pPr>
      <w:tabs>
        <w:tab w:val="left" w:pos="0"/>
      </w:tabs>
      <w:spacing w:beforeLines="50"/>
      <w:jc w:val="both"/>
      <w:outlineLvl w:val="1"/>
    </w:pPr>
    <w:rPr>
      <w:rFonts w:ascii="黑体" w:hAnsi="Calibri" w:eastAsia="黑体" w:cs="Times New Roman"/>
      <w:sz w:val="21"/>
      <w:lang w:val="en-US" w:eastAsia="zh-CN" w:bidi="ar-SA"/>
    </w:rPr>
  </w:style>
  <w:style w:type="paragraph" w:customStyle="1" w:styleId="156">
    <w:name w:val="表格文字"/>
    <w:basedOn w:val="1"/>
    <w:qFormat/>
    <w:uiPriority w:val="0"/>
    <w:pPr>
      <w:adjustRightInd w:val="0"/>
      <w:spacing w:line="420" w:lineRule="atLeast"/>
      <w:jc w:val="left"/>
    </w:pPr>
    <w:rPr>
      <w:kern w:val="0"/>
      <w:szCs w:val="20"/>
    </w:rPr>
  </w:style>
  <w:style w:type="paragraph" w:customStyle="1" w:styleId="157">
    <w:name w:val="Char Char Char Char Char Char Char"/>
    <w:basedOn w:val="1"/>
    <w:qFormat/>
    <w:uiPriority w:val="0"/>
    <w:rPr>
      <w:szCs w:val="20"/>
    </w:rPr>
  </w:style>
  <w:style w:type="paragraph" w:customStyle="1" w:styleId="158">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59">
    <w:name w:val="样式 标题 4 + 段前: 6 磅 段后: 0 磅 行距: 单倍行距"/>
    <w:basedOn w:val="6"/>
    <w:qFormat/>
    <w:uiPriority w:val="0"/>
    <w:pPr>
      <w:spacing w:before="0" w:after="0" w:line="240" w:lineRule="auto"/>
    </w:pPr>
    <w:rPr>
      <w:rFonts w:ascii="宋体" w:hAnsi="宋体" w:cs="宋体"/>
      <w:sz w:val="21"/>
      <w:szCs w:val="21"/>
    </w:rPr>
  </w:style>
  <w:style w:type="paragraph" w:customStyle="1" w:styleId="160">
    <w:name w:val="目次、标准名称标题"/>
    <w:basedOn w:val="120"/>
    <w:next w:val="106"/>
    <w:qFormat/>
    <w:uiPriority w:val="0"/>
    <w:pPr>
      <w:numPr>
        <w:ilvl w:val="0"/>
        <w:numId w:val="9"/>
      </w:numPr>
      <w:spacing w:line="460" w:lineRule="exact"/>
    </w:pPr>
  </w:style>
  <w:style w:type="paragraph" w:customStyle="1" w:styleId="161">
    <w:name w:val="正文1"/>
    <w:basedOn w:val="1"/>
    <w:qFormat/>
    <w:uiPriority w:val="0"/>
    <w:pPr>
      <w:snapToGrid w:val="0"/>
      <w:spacing w:line="500" w:lineRule="atLeast"/>
      <w:ind w:firstLine="539"/>
    </w:pPr>
    <w:rPr>
      <w:rFonts w:ascii="宋体"/>
      <w:spacing w:val="14"/>
      <w:sz w:val="24"/>
      <w:szCs w:val="20"/>
    </w:rPr>
  </w:style>
  <w:style w:type="character" w:customStyle="1" w:styleId="162">
    <w:name w:val="Char Char22"/>
    <w:qFormat/>
    <w:uiPriority w:val="0"/>
    <w:rPr>
      <w:rFonts w:hint="default" w:ascii="Arial" w:hAnsi="Arial" w:eastAsia="黑体" w:cs="Arial"/>
      <w:b/>
      <w:kern w:val="2"/>
      <w:sz w:val="24"/>
    </w:rPr>
  </w:style>
  <w:style w:type="character" w:customStyle="1" w:styleId="163">
    <w:name w:val="at_1"/>
    <w:basedOn w:val="54"/>
    <w:qFormat/>
    <w:uiPriority w:val="0"/>
  </w:style>
  <w:style w:type="character" w:customStyle="1" w:styleId="164">
    <w:name w:val="脚注文本 Char1"/>
    <w:qFormat/>
    <w:uiPriority w:val="0"/>
    <w:rPr>
      <w:kern w:val="2"/>
      <w:sz w:val="18"/>
      <w:szCs w:val="18"/>
    </w:rPr>
  </w:style>
  <w:style w:type="character" w:customStyle="1" w:styleId="165">
    <w:name w:val="u21"/>
    <w:qFormat/>
    <w:uiPriority w:val="0"/>
    <w:rPr>
      <w:rFonts w:hint="default" w:ascii="ˎ̥" w:hAnsi="ˎ̥"/>
      <w:sz w:val="18"/>
      <w:szCs w:val="18"/>
    </w:rPr>
  </w:style>
  <w:style w:type="character" w:customStyle="1" w:styleId="166">
    <w:name w:val="正文缩进 字符"/>
    <w:qFormat/>
    <w:uiPriority w:val="0"/>
    <w:rPr>
      <w:kern w:val="2"/>
      <w:sz w:val="21"/>
      <w:szCs w:val="24"/>
    </w:rPr>
  </w:style>
  <w:style w:type="character" w:customStyle="1" w:styleId="167">
    <w:name w:val="large1"/>
    <w:qFormat/>
    <w:uiPriority w:val="0"/>
    <w:rPr>
      <w:rFonts w:hint="eastAsia" w:ascii="宋体" w:hAnsi="宋体" w:eastAsia="宋体"/>
      <w:sz w:val="21"/>
    </w:rPr>
  </w:style>
  <w:style w:type="character" w:customStyle="1" w:styleId="168">
    <w:name w:val="样式 (中文) 仿宋_GB2312 四号 下划线"/>
    <w:qFormat/>
    <w:uiPriority w:val="0"/>
    <w:rPr>
      <w:rFonts w:hint="eastAsia" w:ascii="仿宋_GB2312" w:eastAsia="仿宋_GB2312"/>
      <w:sz w:val="28"/>
      <w:u w:val="single"/>
    </w:rPr>
  </w:style>
  <w:style w:type="character" w:customStyle="1" w:styleId="169">
    <w:name w:val="(C+F1) Char Char"/>
    <w:qFormat/>
    <w:uiPriority w:val="0"/>
    <w:rPr>
      <w:b/>
      <w:kern w:val="44"/>
      <w:sz w:val="44"/>
    </w:rPr>
  </w:style>
  <w:style w:type="character" w:customStyle="1" w:styleId="170">
    <w:name w:val="t"/>
    <w:basedOn w:val="54"/>
    <w:qFormat/>
    <w:uiPriority w:val="0"/>
  </w:style>
  <w:style w:type="character" w:customStyle="1" w:styleId="171">
    <w:name w:val="Char Char18"/>
    <w:qFormat/>
    <w:uiPriority w:val="0"/>
    <w:rPr>
      <w:rFonts w:hint="default" w:ascii="Arial" w:hAnsi="Arial" w:eastAsia="黑体" w:cs="Arial"/>
      <w:b/>
      <w:bCs/>
      <w:kern w:val="2"/>
      <w:sz w:val="28"/>
      <w:szCs w:val="28"/>
      <w:lang w:val="en-US" w:eastAsia="zh-CN" w:bidi="ar-SA"/>
    </w:rPr>
  </w:style>
  <w:style w:type="character" w:customStyle="1" w:styleId="172">
    <w:name w:val="lawer1"/>
    <w:qFormat/>
    <w:uiPriority w:val="0"/>
    <w:rPr>
      <w:rFonts w:hint="default" w:ascii="Verdana" w:hAnsi="Verdana"/>
      <w:color w:val="666666"/>
      <w:sz w:val="18"/>
      <w:szCs w:val="18"/>
      <w:u w:val="none"/>
    </w:rPr>
  </w:style>
  <w:style w:type="character" w:customStyle="1" w:styleId="173">
    <w:name w:val="ca-01"/>
    <w:qFormat/>
    <w:uiPriority w:val="0"/>
    <w:rPr>
      <w:rFonts w:hint="eastAsia" w:ascii="楷体_GB2312" w:eastAsia="楷体_GB2312"/>
      <w:color w:val="000000"/>
      <w:sz w:val="21"/>
      <w:szCs w:val="21"/>
    </w:rPr>
  </w:style>
  <w:style w:type="character" w:customStyle="1" w:styleId="174">
    <w:name w:val="apple-converted-space"/>
    <w:basedOn w:val="54"/>
    <w:qFormat/>
    <w:uiPriority w:val="0"/>
  </w:style>
  <w:style w:type="character" w:customStyle="1" w:styleId="175">
    <w:name w:val="123"/>
    <w:basedOn w:val="54"/>
    <w:qFormat/>
    <w:uiPriority w:val="0"/>
  </w:style>
  <w:style w:type="character" w:customStyle="1" w:styleId="176">
    <w:name w:val="Char Char19"/>
    <w:qFormat/>
    <w:uiPriority w:val="0"/>
    <w:rPr>
      <w:rFonts w:hint="eastAsia" w:ascii="宋体" w:hAnsi="宋体" w:eastAsia="宋体"/>
      <w:b/>
      <w:bCs/>
      <w:kern w:val="2"/>
      <w:sz w:val="32"/>
      <w:szCs w:val="32"/>
      <w:lang w:val="en-US" w:eastAsia="zh-CN" w:bidi="ar-SA"/>
    </w:rPr>
  </w:style>
  <w:style w:type="character" w:customStyle="1" w:styleId="177">
    <w:name w:val="EmailStyle67"/>
    <w:qFormat/>
    <w:uiPriority w:val="0"/>
    <w:rPr>
      <w:rFonts w:hint="default" w:ascii="Arial" w:hAnsi="Arial" w:eastAsia="宋体" w:cs="Arial"/>
      <w:color w:val="auto"/>
      <w:sz w:val="20"/>
      <w:lang w:bidi="ar-SA"/>
    </w:rPr>
  </w:style>
  <w:style w:type="character" w:customStyle="1" w:styleId="178">
    <w:name w:val="Char Char20"/>
    <w:qFormat/>
    <w:uiPriority w:val="0"/>
    <w:rPr>
      <w:rFonts w:hint="default" w:ascii="Arial" w:hAnsi="Arial" w:eastAsia="黑体" w:cs="Arial"/>
      <w:b/>
      <w:bCs/>
      <w:kern w:val="2"/>
      <w:sz w:val="32"/>
      <w:szCs w:val="32"/>
      <w:lang w:val="en-US" w:eastAsia="zh-CN" w:bidi="ar-SA"/>
    </w:rPr>
  </w:style>
  <w:style w:type="character" w:customStyle="1" w:styleId="179">
    <w:name w:val="标题 2 Char1"/>
    <w:qFormat/>
    <w:uiPriority w:val="0"/>
    <w:rPr>
      <w:rFonts w:hint="default" w:ascii="Arial" w:hAnsi="Arial" w:eastAsia="黑体" w:cs="Times New Roman"/>
      <w:b/>
      <w:bCs/>
      <w:sz w:val="32"/>
      <w:szCs w:val="32"/>
    </w:rPr>
  </w:style>
  <w:style w:type="character" w:customStyle="1" w:styleId="180">
    <w:name w:val="table-xiayou"/>
    <w:basedOn w:val="54"/>
    <w:qFormat/>
    <w:uiPriority w:val="0"/>
  </w:style>
  <w:style w:type="character" w:customStyle="1" w:styleId="181">
    <w:name w:val="px14"/>
    <w:basedOn w:val="54"/>
    <w:qFormat/>
    <w:uiPriority w:val="0"/>
  </w:style>
  <w:style w:type="character" w:customStyle="1" w:styleId="182">
    <w:name w:val="个人答复风格"/>
    <w:qFormat/>
    <w:uiPriority w:val="0"/>
    <w:rPr>
      <w:rFonts w:hint="default" w:ascii="Arial" w:hAnsi="Arial" w:eastAsia="宋体" w:cs="Arial"/>
      <w:color w:val="auto"/>
      <w:sz w:val="20"/>
    </w:rPr>
  </w:style>
  <w:style w:type="character" w:customStyle="1" w:styleId="183">
    <w:name w:val="at_0"/>
    <w:basedOn w:val="54"/>
    <w:qFormat/>
    <w:uiPriority w:val="0"/>
  </w:style>
  <w:style w:type="character" w:customStyle="1" w:styleId="184">
    <w:name w:val="标题 Char1"/>
    <w:qFormat/>
    <w:uiPriority w:val="0"/>
    <w:rPr>
      <w:rFonts w:hint="default" w:ascii="Cambria" w:hAnsi="Cambria" w:eastAsia="宋体" w:cs="Times New Roman"/>
      <w:b/>
      <w:bCs/>
      <w:sz w:val="32"/>
      <w:szCs w:val="32"/>
      <w:lang w:bidi="ar-SA"/>
    </w:rPr>
  </w:style>
  <w:style w:type="character" w:customStyle="1" w:styleId="185">
    <w:name w:val="样式 四号"/>
    <w:qFormat/>
    <w:uiPriority w:val="0"/>
    <w:rPr>
      <w:sz w:val="24"/>
      <w:szCs w:val="24"/>
    </w:rPr>
  </w:style>
  <w:style w:type="character" w:customStyle="1" w:styleId="186">
    <w:name w:val="普通文字 Char1"/>
    <w:qFormat/>
    <w:uiPriority w:val="0"/>
    <w:rPr>
      <w:rFonts w:hint="eastAsia" w:ascii="宋体" w:hAnsi="宋体" w:eastAsia="宋体"/>
      <w:kern w:val="2"/>
      <w:sz w:val="21"/>
    </w:rPr>
  </w:style>
  <w:style w:type="character" w:customStyle="1" w:styleId="187">
    <w:name w:val="style11"/>
    <w:qFormat/>
    <w:uiPriority w:val="0"/>
    <w:rPr>
      <w:color w:val="003399"/>
      <w:sz w:val="20"/>
      <w:szCs w:val="20"/>
    </w:rPr>
  </w:style>
  <w:style w:type="character" w:customStyle="1" w:styleId="188">
    <w:name w:val="正文缩进 Char1"/>
    <w:qFormat/>
    <w:uiPriority w:val="0"/>
    <w:rPr>
      <w:rFonts w:hint="eastAsia" w:ascii="宋体" w:hAnsi="宋体" w:eastAsia="宋体"/>
      <w:kern w:val="2"/>
      <w:sz w:val="21"/>
      <w:szCs w:val="24"/>
      <w:lang w:val="en-US" w:eastAsia="zh-CN" w:bidi="ar-SA"/>
    </w:rPr>
  </w:style>
  <w:style w:type="character" w:customStyle="1" w:styleId="189">
    <w:name w:val="Char Char24"/>
    <w:qFormat/>
    <w:uiPriority w:val="0"/>
    <w:rPr>
      <w:rFonts w:hint="default" w:ascii="Arial" w:hAnsi="Arial" w:eastAsia="黑体" w:cs="Arial"/>
      <w:b/>
      <w:kern w:val="2"/>
      <w:sz w:val="28"/>
    </w:rPr>
  </w:style>
  <w:style w:type="character" w:customStyle="1" w:styleId="190">
    <w:name w:val="页眉 Char1"/>
    <w:qFormat/>
    <w:uiPriority w:val="0"/>
    <w:rPr>
      <w:rFonts w:hint="default" w:ascii="Times New Roman" w:hAnsi="Times New Roman" w:eastAsia="宋体" w:cs="Times New Roman"/>
      <w:sz w:val="18"/>
      <w:szCs w:val="18"/>
    </w:rPr>
  </w:style>
  <w:style w:type="character" w:customStyle="1" w:styleId="191">
    <w:name w:val="个人撰写风格"/>
    <w:qFormat/>
    <w:uiPriority w:val="0"/>
    <w:rPr>
      <w:rFonts w:hint="default" w:ascii="Arial" w:hAnsi="Arial" w:eastAsia="宋体" w:cs="Arial"/>
      <w:color w:val="auto"/>
      <w:sz w:val="20"/>
    </w:rPr>
  </w:style>
  <w:style w:type="character" w:customStyle="1" w:styleId="192">
    <w:name w:val="apple-style-span"/>
    <w:qFormat/>
    <w:uiPriority w:val="0"/>
  </w:style>
  <w:style w:type="character" w:customStyle="1" w:styleId="193">
    <w:name w:val="font161"/>
    <w:qFormat/>
    <w:uiPriority w:val="0"/>
    <w:rPr>
      <w:b/>
      <w:bCs/>
      <w:sz w:val="32"/>
      <w:szCs w:val="32"/>
    </w:rPr>
  </w:style>
  <w:style w:type="character" w:customStyle="1" w:styleId="194">
    <w:name w:val="zbggmain style9"/>
    <w:basedOn w:val="54"/>
    <w:qFormat/>
    <w:uiPriority w:val="0"/>
  </w:style>
  <w:style w:type="character" w:customStyle="1" w:styleId="195">
    <w:name w:val="Plain Text Char"/>
    <w:qFormat/>
    <w:uiPriority w:val="0"/>
    <w:rPr>
      <w:rFonts w:hint="eastAsia" w:ascii="宋体" w:hAnsi="宋体" w:eastAsia="宋体" w:cs="Times New Roman"/>
      <w:kern w:val="2"/>
      <w:sz w:val="21"/>
      <w:lang w:bidi="ar-SA"/>
    </w:rPr>
  </w:style>
  <w:style w:type="character" w:customStyle="1" w:styleId="196">
    <w:name w:val="intext1"/>
    <w:qFormat/>
    <w:uiPriority w:val="0"/>
    <w:rPr>
      <w:rFonts w:hint="default" w:ascii="Verdana" w:hAnsi="Verdana"/>
      <w:color w:val="000000"/>
      <w:sz w:val="18"/>
      <w:szCs w:val="18"/>
    </w:rPr>
  </w:style>
  <w:style w:type="character" w:customStyle="1" w:styleId="197">
    <w:name w:val="c lh15"/>
    <w:basedOn w:val="54"/>
    <w:qFormat/>
    <w:uiPriority w:val="0"/>
  </w:style>
  <w:style w:type="character" w:customStyle="1" w:styleId="198">
    <w:name w:val="EmailStyle65"/>
    <w:qFormat/>
    <w:uiPriority w:val="0"/>
    <w:rPr>
      <w:rFonts w:hint="default" w:ascii="Arial" w:hAnsi="Arial" w:eastAsia="宋体" w:cs="Arial"/>
      <w:color w:val="auto"/>
      <w:sz w:val="20"/>
      <w:lang w:bidi="ar-SA"/>
    </w:rPr>
  </w:style>
  <w:style w:type="character" w:customStyle="1" w:styleId="199">
    <w:name w:val="(C+F3) Char"/>
    <w:qFormat/>
    <w:uiPriority w:val="0"/>
    <w:rPr>
      <w:rFonts w:hint="eastAsia" w:ascii="黑体" w:hAnsi="黑体" w:eastAsia="黑体"/>
      <w:spacing w:val="8"/>
      <w:sz w:val="24"/>
    </w:rPr>
  </w:style>
  <w:style w:type="character" w:customStyle="1" w:styleId="200">
    <w:name w:val="content"/>
    <w:basedOn w:val="54"/>
    <w:qFormat/>
    <w:uiPriority w:val="0"/>
  </w:style>
  <w:style w:type="character" w:customStyle="1" w:styleId="201">
    <w:name w:val="正文文本缩进 3 Char1"/>
    <w:basedOn w:val="54"/>
    <w:semiHidden/>
    <w:qFormat/>
    <w:uiPriority w:val="0"/>
    <w:rPr>
      <w:kern w:val="2"/>
      <w:sz w:val="16"/>
      <w:szCs w:val="16"/>
    </w:rPr>
  </w:style>
  <w:style w:type="character" w:customStyle="1" w:styleId="202">
    <w:name w:val="页眉 Char2"/>
    <w:basedOn w:val="54"/>
    <w:semiHidden/>
    <w:qFormat/>
    <w:uiPriority w:val="0"/>
    <w:rPr>
      <w:kern w:val="2"/>
      <w:sz w:val="18"/>
      <w:szCs w:val="18"/>
    </w:rPr>
  </w:style>
  <w:style w:type="character" w:customStyle="1" w:styleId="203">
    <w:name w:val="批注文字 Char1"/>
    <w:basedOn w:val="54"/>
    <w:semiHidden/>
    <w:qFormat/>
    <w:uiPriority w:val="0"/>
    <w:rPr>
      <w:kern w:val="2"/>
      <w:sz w:val="21"/>
      <w:szCs w:val="24"/>
    </w:rPr>
  </w:style>
  <w:style w:type="character" w:customStyle="1" w:styleId="204">
    <w:name w:val="脚注文本 Char2"/>
    <w:basedOn w:val="54"/>
    <w:semiHidden/>
    <w:qFormat/>
    <w:uiPriority w:val="0"/>
    <w:rPr>
      <w:kern w:val="2"/>
      <w:sz w:val="18"/>
      <w:szCs w:val="18"/>
    </w:rPr>
  </w:style>
  <w:style w:type="character" w:customStyle="1" w:styleId="205">
    <w:name w:val="日期 Char1"/>
    <w:basedOn w:val="54"/>
    <w:semiHidden/>
    <w:qFormat/>
    <w:uiPriority w:val="0"/>
    <w:rPr>
      <w:kern w:val="2"/>
      <w:sz w:val="21"/>
      <w:szCs w:val="24"/>
    </w:rPr>
  </w:style>
  <w:style w:type="character" w:customStyle="1" w:styleId="206">
    <w:name w:val="正文文本 2 Char1"/>
    <w:basedOn w:val="54"/>
    <w:semiHidden/>
    <w:qFormat/>
    <w:uiPriority w:val="0"/>
    <w:rPr>
      <w:kern w:val="2"/>
      <w:sz w:val="21"/>
      <w:szCs w:val="24"/>
    </w:rPr>
  </w:style>
  <w:style w:type="character" w:customStyle="1" w:styleId="207">
    <w:name w:val="尾注文本 Char1"/>
    <w:basedOn w:val="54"/>
    <w:semiHidden/>
    <w:qFormat/>
    <w:uiPriority w:val="0"/>
    <w:rPr>
      <w:kern w:val="2"/>
      <w:sz w:val="21"/>
      <w:szCs w:val="24"/>
    </w:rPr>
  </w:style>
  <w:style w:type="character" w:customStyle="1" w:styleId="208">
    <w:name w:val="正文文本缩进 Char1"/>
    <w:basedOn w:val="54"/>
    <w:semiHidden/>
    <w:qFormat/>
    <w:uiPriority w:val="0"/>
    <w:rPr>
      <w:kern w:val="2"/>
      <w:sz w:val="21"/>
      <w:szCs w:val="24"/>
    </w:rPr>
  </w:style>
  <w:style w:type="character" w:customStyle="1" w:styleId="209">
    <w:name w:val="正文文本 3 Char1"/>
    <w:basedOn w:val="54"/>
    <w:semiHidden/>
    <w:qFormat/>
    <w:uiPriority w:val="0"/>
    <w:rPr>
      <w:kern w:val="2"/>
      <w:sz w:val="16"/>
      <w:szCs w:val="16"/>
    </w:rPr>
  </w:style>
  <w:style w:type="character" w:customStyle="1" w:styleId="210">
    <w:name w:val="批注主题 Char1"/>
    <w:basedOn w:val="203"/>
    <w:semiHidden/>
    <w:qFormat/>
    <w:uiPriority w:val="0"/>
    <w:rPr>
      <w:b/>
      <w:bCs/>
      <w:kern w:val="2"/>
      <w:sz w:val="21"/>
      <w:szCs w:val="24"/>
    </w:rPr>
  </w:style>
  <w:style w:type="character" w:customStyle="1" w:styleId="211">
    <w:name w:val="正文文本缩进 2 Char1"/>
    <w:basedOn w:val="54"/>
    <w:semiHidden/>
    <w:qFormat/>
    <w:uiPriority w:val="0"/>
    <w:rPr>
      <w:kern w:val="2"/>
      <w:sz w:val="21"/>
      <w:szCs w:val="24"/>
    </w:rPr>
  </w:style>
  <w:style w:type="character" w:customStyle="1" w:styleId="212">
    <w:name w:val="纯文本 Char1"/>
    <w:basedOn w:val="54"/>
    <w:semiHidden/>
    <w:qFormat/>
    <w:uiPriority w:val="0"/>
    <w:rPr>
      <w:rFonts w:hint="eastAsia" w:ascii="宋体" w:hAnsi="Courier New" w:eastAsia="宋体" w:cs="Courier New"/>
      <w:kern w:val="2"/>
      <w:sz w:val="21"/>
      <w:szCs w:val="21"/>
    </w:rPr>
  </w:style>
  <w:style w:type="character" w:customStyle="1" w:styleId="213">
    <w:name w:val="文档结构图 Char1"/>
    <w:basedOn w:val="54"/>
    <w:semiHidden/>
    <w:qFormat/>
    <w:uiPriority w:val="0"/>
    <w:rPr>
      <w:rFonts w:hint="eastAsia" w:ascii="宋体" w:hAnsi="宋体" w:eastAsia="宋体"/>
      <w:kern w:val="2"/>
      <w:sz w:val="18"/>
      <w:szCs w:val="18"/>
    </w:rPr>
  </w:style>
  <w:style w:type="character" w:customStyle="1" w:styleId="214">
    <w:name w:val="称呼 Char1"/>
    <w:basedOn w:val="54"/>
    <w:semiHidden/>
    <w:qFormat/>
    <w:uiPriority w:val="0"/>
    <w:rPr>
      <w:kern w:val="2"/>
      <w:sz w:val="21"/>
      <w:szCs w:val="24"/>
    </w:rPr>
  </w:style>
  <w:style w:type="character" w:customStyle="1" w:styleId="215">
    <w:name w:val="正文文本 Char1"/>
    <w:basedOn w:val="54"/>
    <w:link w:val="21"/>
    <w:qFormat/>
    <w:locked/>
    <w:uiPriority w:val="0"/>
    <w:rPr>
      <w:rFonts w:ascii="Calibri" w:hAnsi="Calibri" w:cs="Times New Roman"/>
      <w:szCs w:val="24"/>
    </w:rPr>
  </w:style>
  <w:style w:type="character" w:customStyle="1" w:styleId="216">
    <w:name w:val="正文首行缩进 Char1"/>
    <w:basedOn w:val="215"/>
    <w:semiHidden/>
    <w:qFormat/>
    <w:uiPriority w:val="0"/>
    <w:rPr>
      <w:rFonts w:ascii="Calibri" w:hAnsi="Calibri" w:cs="Times New Roman"/>
      <w:szCs w:val="24"/>
    </w:rPr>
  </w:style>
  <w:style w:type="character" w:customStyle="1" w:styleId="217">
    <w:name w:val="页脚 Char1"/>
    <w:basedOn w:val="54"/>
    <w:semiHidden/>
    <w:qFormat/>
    <w:uiPriority w:val="0"/>
    <w:rPr>
      <w:kern w:val="2"/>
      <w:sz w:val="18"/>
      <w:szCs w:val="18"/>
    </w:rPr>
  </w:style>
  <w:style w:type="character" w:customStyle="1" w:styleId="218">
    <w:name w:val="批注框文本 Char1"/>
    <w:basedOn w:val="54"/>
    <w:semiHidden/>
    <w:qFormat/>
    <w:uiPriority w:val="0"/>
    <w:rPr>
      <w:kern w:val="2"/>
      <w:sz w:val="18"/>
      <w:szCs w:val="18"/>
    </w:rPr>
  </w:style>
  <w:style w:type="character" w:customStyle="1" w:styleId="219">
    <w:name w:val="HTML 预设格式 Char1"/>
    <w:basedOn w:val="54"/>
    <w:semiHidden/>
    <w:qFormat/>
    <w:uiPriority w:val="0"/>
    <w:rPr>
      <w:rFonts w:hint="default" w:ascii="Courier New" w:hAnsi="Courier New" w:cs="Courier New"/>
      <w:kern w:val="2"/>
    </w:rPr>
  </w:style>
  <w:style w:type="character" w:customStyle="1" w:styleId="220">
    <w:name w:val="标题 Char2"/>
    <w:basedOn w:val="54"/>
    <w:qFormat/>
    <w:uiPriority w:val="0"/>
    <w:rPr>
      <w:rFonts w:hint="default" w:eastAsia="宋体" w:asciiTheme="majorHAnsi" w:hAnsiTheme="majorHAnsi" w:cstheme="majorBidi"/>
      <w:b/>
      <w:bCs/>
      <w:kern w:val="2"/>
      <w:sz w:val="32"/>
      <w:szCs w:val="32"/>
    </w:rPr>
  </w:style>
  <w:style w:type="paragraph" w:customStyle="1" w:styleId="221">
    <w:name w:val="二级条标题"/>
    <w:basedOn w:val="109"/>
    <w:next w:val="1"/>
    <w:qFormat/>
    <w:uiPriority w:val="0"/>
    <w:pPr>
      <w:outlineLvl w:val="3"/>
    </w:pPr>
  </w:style>
  <w:style w:type="paragraph" w:customStyle="1" w:styleId="222">
    <w:name w:val="三级条标题"/>
    <w:basedOn w:val="221"/>
    <w:next w:val="1"/>
    <w:qFormat/>
    <w:uiPriority w:val="0"/>
    <w:pPr>
      <w:outlineLvl w:val="4"/>
    </w:pPr>
  </w:style>
  <w:style w:type="paragraph" w:customStyle="1" w:styleId="223">
    <w:name w:val="四级条标题"/>
    <w:basedOn w:val="222"/>
    <w:next w:val="1"/>
    <w:qFormat/>
    <w:uiPriority w:val="0"/>
    <w:pPr>
      <w:outlineLvl w:val="5"/>
    </w:pPr>
  </w:style>
  <w:style w:type="paragraph" w:customStyle="1" w:styleId="224">
    <w:name w:val="五级条标题"/>
    <w:basedOn w:val="223"/>
    <w:next w:val="1"/>
    <w:qFormat/>
    <w:uiPriority w:val="0"/>
    <w:pPr>
      <w:ind w:left="0"/>
      <w:outlineLvl w:val="6"/>
    </w:pPr>
  </w:style>
  <w:style w:type="paragraph" w:customStyle="1" w:styleId="225">
    <w:name w:val="附录四级条标题"/>
    <w:basedOn w:val="131"/>
    <w:next w:val="106"/>
    <w:qFormat/>
    <w:uiPriority w:val="0"/>
    <w:pPr>
      <w:numPr>
        <w:ilvl w:val="4"/>
      </w:numPr>
      <w:ind w:left="374"/>
      <w:outlineLvl w:val="5"/>
    </w:pPr>
  </w:style>
  <w:style w:type="paragraph" w:customStyle="1" w:styleId="22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9DE08-BEDE-4578-91DB-3636AAECD5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131</Pages>
  <Words>8885</Words>
  <Characters>9780</Characters>
  <Lines>756</Lines>
  <Paragraphs>213</Paragraphs>
  <TotalTime>34</TotalTime>
  <ScaleCrop>false</ScaleCrop>
  <LinksUpToDate>false</LinksUpToDate>
  <CharactersWithSpaces>10310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2024-07-30T08:19:00Z</dcterms:created>
  <dc:creator>Administrator</dc:creator>
  <cp:lastModifiedBy>陈燕</cp:lastModifiedBy>
  <cp:lastPrinted>2025-09-03T08:51:00Z</cp:lastPrinted>
  <dcterms:modified xsi:type="dcterms:W3CDTF">2025-09-10T04:43:50Z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5B2DE643D3CB4047A21AC15328054EC5_13</vt:lpwstr>
  </property>
  <property fmtid="{D5CDD505-2E9C-101B-9397-08002B2CF9AE}" pid="4" name="KSOTemplateDocerSaveRecord">
    <vt:lpwstr>eyJoZGlkIjoiNjMyZDc5OGRhNmY2NDIyYjI4ZGNjNTRiZDA4YmE4N2MiLCJ1c2VySWQiOiIxNzA1Mjg3ODQ1In0=</vt:lpwstr>
  </property>
</Properties>
</file>