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96BCDD4">
      <w:pPr>
        <w:spacing w:line="560" w:lineRule="exact"/>
        <w:jc w:val="center"/>
        <w:rPr>
          <w:rFonts w:ascii="宋体" w:hAnsi="宋体"/>
          <w:sz w:val="44"/>
          <w:szCs w:val="44"/>
        </w:rPr>
      </w:pPr>
    </w:p>
    <w:p w14:paraId="155218FD">
      <w:pPr>
        <w:spacing w:line="560" w:lineRule="exact"/>
        <w:jc w:val="center"/>
        <w:rPr>
          <w:rFonts w:ascii="宋体" w:hAnsi="宋体"/>
          <w:b/>
          <w:bCs/>
          <w:sz w:val="28"/>
          <w:szCs w:val="28"/>
        </w:rPr>
      </w:pPr>
      <w:r>
        <w:rPr>
          <w:rFonts w:hint="eastAsia" w:ascii="宋体" w:hAnsi="宋体"/>
          <w:sz w:val="48"/>
          <w:szCs w:val="48"/>
        </w:rPr>
        <w:t>三门县企业经济融资担保有限责任公司资金竞争性存放项目</w:t>
      </w:r>
      <w:r>
        <w:rPr>
          <w:rFonts w:hint="eastAsia" w:ascii="宋体" w:hAnsi="宋体"/>
          <w:b/>
          <w:bCs/>
          <w:sz w:val="28"/>
          <w:szCs w:val="28"/>
        </w:rPr>
        <w:t xml:space="preserve"> </w:t>
      </w:r>
    </w:p>
    <w:p w14:paraId="7FA0C0E3">
      <w:pPr>
        <w:spacing w:line="1000" w:lineRule="exact"/>
        <w:jc w:val="center"/>
        <w:rPr>
          <w:rFonts w:ascii="宋体" w:hAnsi="宋体"/>
          <w:sz w:val="74"/>
          <w:szCs w:val="74"/>
        </w:rPr>
      </w:pPr>
    </w:p>
    <w:p w14:paraId="41444646">
      <w:pPr>
        <w:pStyle w:val="2"/>
      </w:pPr>
    </w:p>
    <w:p w14:paraId="54132E5E">
      <w:pPr>
        <w:autoSpaceDE w:val="0"/>
        <w:autoSpaceDN w:val="0"/>
        <w:adjustRightInd w:val="0"/>
        <w:jc w:val="center"/>
        <w:rPr>
          <w:rFonts w:ascii="黑体" w:eastAsia="黑体"/>
          <w:b/>
          <w:bCs/>
          <w:sz w:val="48"/>
          <w:szCs w:val="48"/>
          <w:lang w:val="zh-CN"/>
        </w:rPr>
      </w:pPr>
      <w:r>
        <w:rPr>
          <w:rFonts w:hint="eastAsia" w:ascii="黑体" w:eastAsia="黑体"/>
          <w:b/>
          <w:bCs/>
          <w:sz w:val="72"/>
          <w:szCs w:val="72"/>
          <w:lang w:val="zh-CN"/>
        </w:rPr>
        <w:t>公开招标采购文件</w:t>
      </w:r>
    </w:p>
    <w:p w14:paraId="7F35B82C">
      <w:pPr>
        <w:tabs>
          <w:tab w:val="left" w:pos="1440"/>
        </w:tabs>
        <w:spacing w:line="216" w:lineRule="auto"/>
        <w:rPr>
          <w:rFonts w:ascii="宋体" w:hAnsi="宋体"/>
          <w:b/>
        </w:rPr>
      </w:pPr>
    </w:p>
    <w:p w14:paraId="2C946FA9">
      <w:pPr>
        <w:tabs>
          <w:tab w:val="left" w:pos="1440"/>
        </w:tabs>
        <w:spacing w:line="216" w:lineRule="auto"/>
        <w:rPr>
          <w:rFonts w:ascii="宋体" w:hAnsi="宋体"/>
          <w:b/>
        </w:rPr>
      </w:pPr>
    </w:p>
    <w:p w14:paraId="04873F6D">
      <w:pPr>
        <w:tabs>
          <w:tab w:val="left" w:pos="1440"/>
        </w:tabs>
        <w:spacing w:line="216" w:lineRule="auto"/>
        <w:jc w:val="center"/>
        <w:rPr>
          <w:rFonts w:ascii="宋体" w:hAnsi="宋体"/>
          <w:b/>
          <w:bCs/>
          <w:sz w:val="30"/>
        </w:rPr>
      </w:pPr>
      <w:r>
        <w:rPr>
          <w:rFonts w:hint="eastAsia" w:ascii="宋体" w:hAnsi="宋体"/>
          <w:b/>
          <w:bCs/>
          <w:sz w:val="30"/>
        </w:rPr>
        <w:t>备案登记号：监理招备【2025】01</w:t>
      </w:r>
      <w:r>
        <w:rPr>
          <w:rFonts w:hint="eastAsia" w:ascii="宋体" w:hAnsi="宋体"/>
          <w:b/>
          <w:bCs/>
          <w:sz w:val="30"/>
          <w:lang w:val="en-US" w:eastAsia="zh-CN"/>
        </w:rPr>
        <w:t>9</w:t>
      </w:r>
      <w:r>
        <w:rPr>
          <w:rFonts w:hint="eastAsia" w:ascii="宋体" w:hAnsi="宋体"/>
          <w:b/>
          <w:bCs/>
          <w:sz w:val="30"/>
        </w:rPr>
        <w:t>号</w:t>
      </w:r>
    </w:p>
    <w:p w14:paraId="383743C4">
      <w:pPr>
        <w:tabs>
          <w:tab w:val="left" w:pos="1440"/>
        </w:tabs>
        <w:spacing w:line="216" w:lineRule="auto"/>
        <w:ind w:firstLine="1343" w:firstLineChars="446"/>
        <w:rPr>
          <w:rFonts w:ascii="宋体" w:hAnsi="宋体"/>
          <w:b/>
          <w:bCs/>
          <w:sz w:val="30"/>
        </w:rPr>
      </w:pPr>
      <w:r>
        <w:rPr>
          <w:rFonts w:hint="eastAsia" w:ascii="宋体" w:hAnsi="宋体"/>
          <w:b/>
          <w:bCs/>
          <w:sz w:val="30"/>
        </w:rPr>
        <w:t xml:space="preserve">  </w:t>
      </w:r>
    </w:p>
    <w:p w14:paraId="571CEAD1">
      <w:pPr>
        <w:tabs>
          <w:tab w:val="left" w:pos="1440"/>
        </w:tabs>
        <w:spacing w:line="216" w:lineRule="auto"/>
        <w:rPr>
          <w:rFonts w:ascii="宋体" w:hAnsi="宋体"/>
          <w:b/>
          <w:bCs/>
          <w:sz w:val="30"/>
        </w:rPr>
      </w:pPr>
      <w:r>
        <w:rPr>
          <w:rFonts w:hint="eastAsia" w:ascii="宋体" w:hAnsi="宋体"/>
          <w:b/>
          <w:bCs/>
          <w:sz w:val="30"/>
        </w:rPr>
        <w:t xml:space="preserve">    </w:t>
      </w:r>
    </w:p>
    <w:p w14:paraId="52B337E2">
      <w:pPr>
        <w:spacing w:line="640" w:lineRule="exact"/>
        <w:ind w:firstLine="1280" w:firstLineChars="400"/>
        <w:jc w:val="left"/>
        <w:rPr>
          <w:rFonts w:ascii="宋体" w:hAnsi="宋体"/>
          <w:sz w:val="32"/>
          <w:szCs w:val="20"/>
        </w:rPr>
      </w:pPr>
    </w:p>
    <w:p w14:paraId="54FCD058">
      <w:pPr>
        <w:spacing w:line="640" w:lineRule="exact"/>
        <w:ind w:firstLine="1280" w:firstLineChars="400"/>
        <w:jc w:val="left"/>
        <w:rPr>
          <w:rFonts w:ascii="宋体" w:hAnsi="宋体"/>
          <w:sz w:val="32"/>
          <w:szCs w:val="20"/>
        </w:rPr>
      </w:pPr>
    </w:p>
    <w:p w14:paraId="71E21B1B">
      <w:pPr>
        <w:spacing w:line="640" w:lineRule="exact"/>
        <w:ind w:firstLine="1280" w:firstLineChars="400"/>
        <w:jc w:val="left"/>
        <w:rPr>
          <w:rFonts w:ascii="宋体" w:hAnsi="宋体"/>
          <w:sz w:val="32"/>
          <w:szCs w:val="20"/>
        </w:rPr>
      </w:pPr>
    </w:p>
    <w:p w14:paraId="16045BFA">
      <w:pPr>
        <w:spacing w:line="640" w:lineRule="exact"/>
        <w:ind w:firstLine="1280" w:firstLineChars="400"/>
        <w:jc w:val="left"/>
        <w:rPr>
          <w:rFonts w:ascii="宋体" w:hAnsi="宋体"/>
          <w:sz w:val="32"/>
          <w:szCs w:val="20"/>
        </w:rPr>
      </w:pPr>
    </w:p>
    <w:p w14:paraId="74D2730F">
      <w:pPr>
        <w:spacing w:line="640" w:lineRule="exact"/>
        <w:jc w:val="left"/>
        <w:rPr>
          <w:rFonts w:ascii="宋体" w:hAnsi="宋体"/>
          <w:sz w:val="32"/>
          <w:szCs w:val="20"/>
        </w:rPr>
      </w:pPr>
    </w:p>
    <w:p w14:paraId="341909CB">
      <w:pPr>
        <w:pStyle w:val="2"/>
      </w:pPr>
    </w:p>
    <w:p w14:paraId="04811D7F">
      <w:pPr>
        <w:spacing w:line="640" w:lineRule="exact"/>
        <w:ind w:firstLine="960" w:firstLineChars="300"/>
        <w:jc w:val="left"/>
        <w:rPr>
          <w:rFonts w:ascii="宋体" w:hAnsi="宋体"/>
          <w:sz w:val="32"/>
          <w:szCs w:val="20"/>
        </w:rPr>
      </w:pPr>
      <w:r>
        <w:rPr>
          <w:rFonts w:hint="eastAsia" w:ascii="宋体" w:hAnsi="宋体"/>
          <w:sz w:val="32"/>
          <w:szCs w:val="20"/>
        </w:rPr>
        <w:t>采  购  人：</w:t>
      </w:r>
      <w:r>
        <w:rPr>
          <w:rFonts w:hint="eastAsia" w:ascii="宋体" w:hAnsi="宋体"/>
          <w:sz w:val="32"/>
          <w:szCs w:val="32"/>
        </w:rPr>
        <w:t>三门县企业经济融资担保有限责任公司</w:t>
      </w:r>
    </w:p>
    <w:p w14:paraId="08E22023">
      <w:pPr>
        <w:spacing w:line="640" w:lineRule="exact"/>
        <w:ind w:firstLine="320" w:firstLineChars="100"/>
        <w:jc w:val="left"/>
        <w:rPr>
          <w:rFonts w:ascii="宋体" w:hAnsi="宋体"/>
          <w:sz w:val="32"/>
          <w:szCs w:val="20"/>
        </w:rPr>
      </w:pPr>
    </w:p>
    <w:p w14:paraId="490470B8">
      <w:pPr>
        <w:spacing w:line="640" w:lineRule="exact"/>
        <w:ind w:firstLine="960" w:firstLineChars="300"/>
        <w:jc w:val="left"/>
        <w:rPr>
          <w:rFonts w:ascii="宋体" w:hAnsi="宋体"/>
          <w:sz w:val="32"/>
          <w:szCs w:val="32"/>
        </w:rPr>
      </w:pPr>
      <w:r>
        <w:rPr>
          <w:rFonts w:hint="eastAsia" w:ascii="宋体" w:hAnsi="宋体"/>
          <w:sz w:val="32"/>
          <w:szCs w:val="20"/>
        </w:rPr>
        <w:t>招标代理人：</w:t>
      </w:r>
      <w:r>
        <w:rPr>
          <w:rFonts w:hint="eastAsia" w:ascii="宋体" w:hAnsi="宋体"/>
          <w:sz w:val="32"/>
          <w:szCs w:val="32"/>
        </w:rPr>
        <w:t>浙江省三门县工程建设监理有限公司</w:t>
      </w:r>
    </w:p>
    <w:p w14:paraId="17376A62">
      <w:pPr>
        <w:spacing w:line="560" w:lineRule="exact"/>
        <w:rPr>
          <w:rFonts w:ascii="宋体" w:hAnsi="宋体"/>
          <w:sz w:val="32"/>
          <w:szCs w:val="32"/>
        </w:rPr>
      </w:pPr>
      <w:r>
        <w:rPr>
          <w:rFonts w:hint="eastAsia" w:ascii="宋体" w:hAnsi="宋体"/>
          <w:sz w:val="32"/>
          <w:szCs w:val="32"/>
        </w:rPr>
        <w:t xml:space="preserve">                  </w:t>
      </w:r>
    </w:p>
    <w:p w14:paraId="295CD51E">
      <w:pPr>
        <w:spacing w:line="560" w:lineRule="exact"/>
        <w:jc w:val="center"/>
        <w:rPr>
          <w:rFonts w:ascii="宋体" w:hAnsi="宋体"/>
          <w:sz w:val="48"/>
          <w:szCs w:val="48"/>
        </w:rPr>
      </w:pPr>
      <w:r>
        <w:rPr>
          <w:rFonts w:hint="eastAsia" w:ascii="宋体" w:hAnsi="宋体"/>
          <w:sz w:val="32"/>
          <w:szCs w:val="32"/>
        </w:rPr>
        <w:t>2025年7月</w:t>
      </w:r>
    </w:p>
    <w:p w14:paraId="62EBA929">
      <w:pPr>
        <w:spacing w:line="560" w:lineRule="exact"/>
        <w:rPr>
          <w:rFonts w:ascii="宋体" w:hAnsi="宋体"/>
          <w:sz w:val="48"/>
          <w:szCs w:val="48"/>
        </w:rPr>
      </w:pPr>
    </w:p>
    <w:p w14:paraId="21770B98">
      <w:pPr>
        <w:spacing w:line="560" w:lineRule="exact"/>
        <w:jc w:val="center"/>
        <w:rPr>
          <w:rFonts w:ascii="宋体" w:hAnsi="宋体"/>
          <w:sz w:val="48"/>
          <w:szCs w:val="48"/>
        </w:rPr>
      </w:pPr>
    </w:p>
    <w:p w14:paraId="458BE904">
      <w:pPr>
        <w:pStyle w:val="2"/>
        <w:rPr>
          <w:rFonts w:ascii="宋体" w:hAnsi="宋体"/>
          <w:sz w:val="48"/>
          <w:szCs w:val="48"/>
        </w:rPr>
      </w:pPr>
    </w:p>
    <w:p w14:paraId="2B2A2020">
      <w:pPr>
        <w:spacing w:line="560" w:lineRule="exact"/>
        <w:jc w:val="center"/>
        <w:rPr>
          <w:rFonts w:ascii="宋体" w:hAnsi="宋体"/>
          <w:sz w:val="48"/>
          <w:szCs w:val="48"/>
        </w:rPr>
      </w:pPr>
      <w:r>
        <w:rPr>
          <w:rFonts w:hint="eastAsia" w:ascii="宋体" w:hAnsi="宋体"/>
          <w:sz w:val="48"/>
          <w:szCs w:val="48"/>
        </w:rPr>
        <w:t>目  录</w:t>
      </w:r>
    </w:p>
    <w:p w14:paraId="01C2DBC2">
      <w:pPr>
        <w:spacing w:line="560" w:lineRule="exact"/>
        <w:jc w:val="center"/>
        <w:rPr>
          <w:rFonts w:ascii="宋体" w:hAnsi="宋体"/>
          <w:b/>
          <w:bCs/>
          <w:sz w:val="28"/>
          <w:szCs w:val="28"/>
        </w:rPr>
      </w:pPr>
      <w:r>
        <w:rPr>
          <w:rFonts w:hint="eastAsia" w:ascii="宋体" w:hAnsi="宋体"/>
          <w:b/>
          <w:bCs/>
          <w:sz w:val="28"/>
          <w:szCs w:val="28"/>
        </w:rPr>
        <w:t xml:space="preserve"> </w:t>
      </w:r>
    </w:p>
    <w:p w14:paraId="779C4B65">
      <w:pPr>
        <w:spacing w:line="560" w:lineRule="exact"/>
        <w:jc w:val="center"/>
        <w:rPr>
          <w:rFonts w:ascii="宋体" w:hAnsi="宋体"/>
          <w:b/>
          <w:bCs/>
          <w:sz w:val="28"/>
          <w:szCs w:val="28"/>
        </w:rPr>
      </w:pPr>
      <w:r>
        <w:rPr>
          <w:rFonts w:hint="eastAsia" w:ascii="宋体" w:hAnsi="宋体"/>
          <w:b/>
          <w:bCs/>
          <w:sz w:val="28"/>
          <w:szCs w:val="28"/>
        </w:rPr>
        <w:t xml:space="preserve"> </w:t>
      </w:r>
    </w:p>
    <w:p w14:paraId="263C1042">
      <w:pPr>
        <w:spacing w:line="700" w:lineRule="exact"/>
        <w:rPr>
          <w:rFonts w:ascii="宋体" w:hAnsi="宋体"/>
          <w:sz w:val="32"/>
          <w:szCs w:val="32"/>
        </w:rPr>
      </w:pPr>
      <w:r>
        <w:rPr>
          <w:rFonts w:hint="eastAsia" w:ascii="宋体" w:hAnsi="宋体"/>
          <w:sz w:val="32"/>
          <w:szCs w:val="32"/>
        </w:rPr>
        <w:t>一、招标公告…………………………………………… 3</w:t>
      </w:r>
    </w:p>
    <w:p w14:paraId="5457A794">
      <w:pPr>
        <w:spacing w:line="700" w:lineRule="exact"/>
        <w:rPr>
          <w:rFonts w:ascii="宋体" w:hAnsi="宋体"/>
          <w:sz w:val="32"/>
          <w:szCs w:val="32"/>
        </w:rPr>
      </w:pPr>
      <w:r>
        <w:rPr>
          <w:rFonts w:hint="eastAsia" w:ascii="宋体" w:hAnsi="宋体"/>
          <w:sz w:val="32"/>
          <w:szCs w:val="32"/>
        </w:rPr>
        <w:t>二、投标人须知………………………………………… 6</w:t>
      </w:r>
    </w:p>
    <w:p w14:paraId="62F292D6">
      <w:pPr>
        <w:spacing w:line="700" w:lineRule="exact"/>
        <w:rPr>
          <w:rFonts w:ascii="宋体" w:hAnsi="宋体"/>
          <w:sz w:val="32"/>
          <w:szCs w:val="32"/>
        </w:rPr>
      </w:pPr>
      <w:r>
        <w:rPr>
          <w:rFonts w:hint="eastAsia" w:ascii="宋体" w:hAnsi="宋体"/>
          <w:sz w:val="32"/>
          <w:szCs w:val="32"/>
        </w:rPr>
        <w:t>三、评标方法、评标标准……………………………… 13</w:t>
      </w:r>
    </w:p>
    <w:p w14:paraId="64AFF4AC">
      <w:pPr>
        <w:spacing w:line="700" w:lineRule="exact"/>
        <w:rPr>
          <w:rFonts w:ascii="宋体" w:hAnsi="宋体"/>
          <w:sz w:val="32"/>
          <w:szCs w:val="32"/>
        </w:rPr>
      </w:pPr>
      <w:r>
        <w:rPr>
          <w:rFonts w:hint="eastAsia" w:ascii="宋体" w:hAnsi="宋体"/>
          <w:sz w:val="32"/>
          <w:szCs w:val="32"/>
        </w:rPr>
        <w:t>四、三门县财政资金竞争性存放标书………………… 18</w:t>
      </w:r>
    </w:p>
    <w:p w14:paraId="15E5ED36">
      <w:pPr>
        <w:spacing w:line="700" w:lineRule="exact"/>
        <w:rPr>
          <w:rFonts w:ascii="宋体" w:hAnsi="宋体"/>
          <w:spacing w:val="-20"/>
          <w:sz w:val="32"/>
          <w:szCs w:val="32"/>
        </w:rPr>
      </w:pPr>
      <w:r>
        <w:rPr>
          <w:rFonts w:hint="eastAsia" w:ascii="宋体" w:hAnsi="宋体"/>
          <w:sz w:val="32"/>
          <w:szCs w:val="32"/>
        </w:rPr>
        <w:t>五、法人授权委托书…………………………………… 19</w:t>
      </w:r>
    </w:p>
    <w:p w14:paraId="3799380E">
      <w:pPr>
        <w:spacing w:line="700" w:lineRule="exact"/>
        <w:rPr>
          <w:rFonts w:ascii="宋体" w:hAnsi="宋体"/>
          <w:sz w:val="32"/>
          <w:szCs w:val="32"/>
        </w:rPr>
      </w:pPr>
      <w:r>
        <w:rPr>
          <w:rFonts w:hint="eastAsia" w:ascii="宋体" w:hAnsi="宋体"/>
          <w:sz w:val="32"/>
          <w:szCs w:val="32"/>
        </w:rPr>
        <w:t>六、财政资金存款担保函……………………………… 20</w:t>
      </w:r>
    </w:p>
    <w:p w14:paraId="0FDF4C76">
      <w:pPr>
        <w:spacing w:line="700" w:lineRule="exact"/>
        <w:rPr>
          <w:rFonts w:ascii="宋体" w:hAnsi="宋体"/>
          <w:sz w:val="32"/>
          <w:szCs w:val="32"/>
        </w:rPr>
      </w:pPr>
      <w:r>
        <w:rPr>
          <w:rFonts w:hint="eastAsia" w:ascii="宋体" w:hAnsi="宋体"/>
          <w:sz w:val="32"/>
          <w:szCs w:val="32"/>
        </w:rPr>
        <w:t>七、投标文件封面格式   ……………………………… 21</w:t>
      </w:r>
    </w:p>
    <w:p w14:paraId="430EE783">
      <w:pPr>
        <w:spacing w:line="700" w:lineRule="exact"/>
        <w:ind w:left="480" w:hanging="480" w:hangingChars="150"/>
        <w:rPr>
          <w:rFonts w:ascii="宋体" w:hAnsi="宋体"/>
          <w:sz w:val="32"/>
          <w:szCs w:val="32"/>
        </w:rPr>
      </w:pPr>
      <w:r>
        <w:rPr>
          <w:rFonts w:hint="eastAsia" w:ascii="宋体" w:hAnsi="宋体"/>
          <w:sz w:val="32"/>
          <w:szCs w:val="32"/>
        </w:rPr>
        <w:t>八、竞争性存放商业银行定期存款协议书 …………… 22</w:t>
      </w:r>
    </w:p>
    <w:p w14:paraId="4D352B10">
      <w:pPr>
        <w:spacing w:line="700" w:lineRule="exact"/>
        <w:rPr>
          <w:rFonts w:ascii="宋体" w:hAnsi="宋体"/>
          <w:sz w:val="32"/>
          <w:szCs w:val="32"/>
        </w:rPr>
      </w:pPr>
      <w:r>
        <w:rPr>
          <w:rFonts w:hint="eastAsia" w:ascii="宋体" w:hAnsi="宋体"/>
          <w:sz w:val="32"/>
          <w:szCs w:val="32"/>
        </w:rPr>
        <w:t>九、</w:t>
      </w:r>
      <w:r>
        <w:rPr>
          <w:rFonts w:hint="eastAsia"/>
          <w:sz w:val="32"/>
          <w:szCs w:val="48"/>
        </w:rPr>
        <w:t>廉政承诺书</w:t>
      </w:r>
      <w:r>
        <w:rPr>
          <w:rFonts w:hint="eastAsia" w:ascii="宋体" w:hAnsi="宋体"/>
          <w:sz w:val="32"/>
          <w:szCs w:val="32"/>
        </w:rPr>
        <w:t>…………………………………………  25</w:t>
      </w:r>
    </w:p>
    <w:p w14:paraId="7E5F3B42">
      <w:pPr>
        <w:rPr>
          <w:sz w:val="32"/>
          <w:szCs w:val="48"/>
        </w:rPr>
      </w:pPr>
    </w:p>
    <w:p w14:paraId="41E407CD">
      <w:pPr>
        <w:spacing w:line="700" w:lineRule="exact"/>
        <w:ind w:left="480" w:hanging="480" w:hangingChars="150"/>
        <w:rPr>
          <w:rFonts w:ascii="宋体" w:hAnsi="宋体"/>
          <w:sz w:val="32"/>
          <w:szCs w:val="32"/>
        </w:rPr>
      </w:pPr>
    </w:p>
    <w:p w14:paraId="3441F320">
      <w:pPr>
        <w:spacing w:line="700" w:lineRule="exact"/>
        <w:ind w:left="479" w:leftChars="228" w:firstLine="160" w:firstLineChars="50"/>
        <w:rPr>
          <w:rFonts w:ascii="宋体" w:hAnsi="宋体"/>
          <w:sz w:val="32"/>
          <w:szCs w:val="32"/>
        </w:rPr>
      </w:pPr>
      <w:r>
        <w:rPr>
          <w:rFonts w:hint="eastAsia" w:ascii="宋体" w:hAnsi="宋体"/>
          <w:sz w:val="32"/>
          <w:szCs w:val="32"/>
        </w:rPr>
        <w:t xml:space="preserve"> </w:t>
      </w:r>
    </w:p>
    <w:p w14:paraId="74C80F65">
      <w:pPr>
        <w:spacing w:line="700" w:lineRule="exact"/>
        <w:ind w:left="479" w:leftChars="228" w:firstLine="160" w:firstLineChars="50"/>
        <w:rPr>
          <w:rFonts w:ascii="宋体" w:hAnsi="宋体"/>
          <w:sz w:val="32"/>
          <w:szCs w:val="32"/>
        </w:rPr>
      </w:pPr>
      <w:r>
        <w:rPr>
          <w:rFonts w:hint="eastAsia" w:ascii="宋体" w:hAnsi="宋体"/>
          <w:sz w:val="32"/>
          <w:szCs w:val="32"/>
        </w:rPr>
        <w:t xml:space="preserve"> </w:t>
      </w:r>
    </w:p>
    <w:p w14:paraId="39B3982B">
      <w:pPr>
        <w:spacing w:line="700" w:lineRule="exact"/>
        <w:ind w:left="479" w:leftChars="228" w:firstLine="160" w:firstLineChars="50"/>
        <w:rPr>
          <w:rFonts w:ascii="宋体" w:hAnsi="宋体"/>
          <w:sz w:val="32"/>
          <w:szCs w:val="32"/>
        </w:rPr>
      </w:pPr>
      <w:r>
        <w:rPr>
          <w:rFonts w:hint="eastAsia" w:ascii="宋体" w:hAnsi="宋体"/>
          <w:sz w:val="32"/>
          <w:szCs w:val="32"/>
        </w:rPr>
        <w:t xml:space="preserve"> </w:t>
      </w:r>
    </w:p>
    <w:p w14:paraId="6B8A6EE2">
      <w:pPr>
        <w:spacing w:line="700" w:lineRule="exact"/>
        <w:ind w:left="479" w:leftChars="228" w:firstLine="160" w:firstLineChars="50"/>
        <w:rPr>
          <w:rFonts w:ascii="宋体" w:hAnsi="宋体"/>
          <w:sz w:val="32"/>
          <w:szCs w:val="32"/>
        </w:rPr>
      </w:pPr>
      <w:r>
        <w:rPr>
          <w:rFonts w:hint="eastAsia" w:ascii="宋体" w:hAnsi="宋体"/>
          <w:sz w:val="32"/>
          <w:szCs w:val="32"/>
        </w:rPr>
        <w:t xml:space="preserve"> </w:t>
      </w:r>
    </w:p>
    <w:p w14:paraId="1146D4AE">
      <w:pPr>
        <w:spacing w:line="700" w:lineRule="exact"/>
        <w:ind w:left="479" w:leftChars="228" w:firstLine="160" w:firstLineChars="50"/>
        <w:rPr>
          <w:rFonts w:ascii="宋体" w:hAnsi="宋体"/>
          <w:sz w:val="32"/>
          <w:szCs w:val="32"/>
        </w:rPr>
      </w:pPr>
      <w:r>
        <w:rPr>
          <w:rFonts w:hint="eastAsia" w:ascii="宋体" w:hAnsi="宋体"/>
          <w:sz w:val="32"/>
          <w:szCs w:val="32"/>
        </w:rPr>
        <w:t xml:space="preserve"> </w:t>
      </w:r>
    </w:p>
    <w:p w14:paraId="23B1635F">
      <w:pPr>
        <w:spacing w:line="700" w:lineRule="exact"/>
        <w:ind w:left="479" w:leftChars="228" w:firstLine="160" w:firstLineChars="50"/>
        <w:rPr>
          <w:rFonts w:ascii="宋体" w:hAnsi="宋体"/>
          <w:b/>
          <w:bCs/>
          <w:kern w:val="0"/>
          <w:sz w:val="36"/>
          <w:szCs w:val="36"/>
          <w:shd w:val="clear" w:color="auto" w:fill="FFFFFF"/>
        </w:rPr>
      </w:pPr>
      <w:r>
        <w:rPr>
          <w:rFonts w:hint="eastAsia" w:ascii="宋体" w:hAnsi="宋体"/>
          <w:sz w:val="32"/>
          <w:szCs w:val="32"/>
        </w:rPr>
        <w:t xml:space="preserve"> </w:t>
      </w:r>
    </w:p>
    <w:p w14:paraId="5DCA2AB3">
      <w:pPr>
        <w:widowControl/>
        <w:shd w:val="clear" w:color="auto" w:fill="FFFFFF"/>
        <w:spacing w:line="705" w:lineRule="atLeast"/>
        <w:jc w:val="center"/>
        <w:rPr>
          <w:rFonts w:ascii="宋体" w:hAnsi="宋体"/>
          <w:b/>
          <w:bCs/>
          <w:kern w:val="0"/>
          <w:sz w:val="32"/>
          <w:szCs w:val="32"/>
        </w:rPr>
      </w:pPr>
      <w:r>
        <w:rPr>
          <w:rFonts w:hint="eastAsia" w:ascii="宋体" w:hAnsi="宋体"/>
          <w:b/>
          <w:bCs/>
          <w:kern w:val="0"/>
          <w:sz w:val="32"/>
          <w:szCs w:val="32"/>
        </w:rPr>
        <w:t>三门县企业经济融资担保有限责任公司资金竞争性存放项目</w:t>
      </w:r>
    </w:p>
    <w:p w14:paraId="74A4652C">
      <w:pPr>
        <w:widowControl/>
        <w:shd w:val="clear" w:color="auto" w:fill="FFFFFF"/>
        <w:spacing w:line="705" w:lineRule="atLeast"/>
        <w:jc w:val="center"/>
        <w:rPr>
          <w:rFonts w:ascii="宋体" w:hAnsi="宋体"/>
          <w:b/>
          <w:bCs/>
          <w:kern w:val="0"/>
          <w:sz w:val="36"/>
          <w:szCs w:val="36"/>
        </w:rPr>
      </w:pPr>
      <w:r>
        <w:rPr>
          <w:rFonts w:hint="eastAsia" w:ascii="宋体" w:hAnsi="宋体"/>
          <w:b/>
          <w:bCs/>
          <w:kern w:val="0"/>
          <w:sz w:val="36"/>
          <w:szCs w:val="36"/>
        </w:rPr>
        <w:t>招标公告</w:t>
      </w:r>
    </w:p>
    <w:p w14:paraId="6C307331">
      <w:pPr>
        <w:widowControl/>
        <w:shd w:val="clear" w:color="auto" w:fill="FFFFFF"/>
        <w:spacing w:line="600" w:lineRule="exact"/>
        <w:ind w:firstLine="458" w:firstLineChars="191"/>
        <w:jc w:val="left"/>
        <w:rPr>
          <w:rFonts w:ascii="宋体" w:hAnsi="宋体"/>
          <w:kern w:val="0"/>
          <w:sz w:val="24"/>
        </w:rPr>
      </w:pPr>
      <w:r>
        <w:rPr>
          <w:rFonts w:hint="eastAsia" w:ascii="宋体" w:hAnsi="宋体"/>
          <w:kern w:val="0"/>
          <w:sz w:val="24"/>
        </w:rPr>
        <w:t>为充分发挥国有企业存款资金的效益，提高资金增值空间，按照《三门县国有企业资金竞争性存放管理暂行办法》等文件有关规定，对三门县企业经济融资担保有限责任公司资金实行竞争性存放。特邀请相关经营资质的银行参加竞标。</w:t>
      </w:r>
    </w:p>
    <w:p w14:paraId="0191AFE5">
      <w:pPr>
        <w:widowControl/>
        <w:shd w:val="clear" w:color="auto" w:fill="FFFFFF"/>
        <w:spacing w:line="600" w:lineRule="atLeast"/>
        <w:ind w:firstLine="510"/>
        <w:jc w:val="left"/>
        <w:rPr>
          <w:rFonts w:ascii="宋体" w:hAnsi="宋体"/>
          <w:b/>
          <w:kern w:val="0"/>
          <w:sz w:val="28"/>
          <w:szCs w:val="28"/>
        </w:rPr>
      </w:pPr>
      <w:r>
        <w:rPr>
          <w:rFonts w:hint="eastAsia" w:ascii="宋体" w:hAnsi="宋体"/>
          <w:kern w:val="0"/>
          <w:sz w:val="28"/>
          <w:szCs w:val="28"/>
        </w:rPr>
        <w:t>一、</w:t>
      </w:r>
      <w:r>
        <w:rPr>
          <w:rFonts w:hint="eastAsia" w:ascii="宋体" w:hAnsi="宋体"/>
          <w:b/>
          <w:kern w:val="0"/>
          <w:sz w:val="28"/>
          <w:szCs w:val="28"/>
        </w:rPr>
        <w:t>招标项目</w:t>
      </w:r>
    </w:p>
    <w:tbl>
      <w:tblPr>
        <w:tblStyle w:val="12"/>
        <w:tblW w:w="9714"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930"/>
        <w:gridCol w:w="1639"/>
        <w:gridCol w:w="1465"/>
        <w:gridCol w:w="1558"/>
        <w:gridCol w:w="1927"/>
        <w:gridCol w:w="1206"/>
        <w:gridCol w:w="989"/>
      </w:tblGrid>
      <w:tr w14:paraId="296B1FF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825" w:hRule="atLeast"/>
          <w:jc w:val="center"/>
        </w:trPr>
        <w:tc>
          <w:tcPr>
            <w:tcW w:w="930" w:type="dxa"/>
            <w:tcBorders>
              <w:bottom w:val="single" w:color="auto" w:sz="4" w:space="0"/>
              <w:right w:val="single" w:color="auto" w:sz="6" w:space="0"/>
            </w:tcBorders>
            <w:tcMar>
              <w:top w:w="0" w:type="dxa"/>
              <w:left w:w="105" w:type="dxa"/>
              <w:bottom w:w="0" w:type="dxa"/>
              <w:right w:w="105" w:type="dxa"/>
            </w:tcMar>
            <w:vAlign w:val="center"/>
          </w:tcPr>
          <w:p w14:paraId="5FE74540">
            <w:pPr>
              <w:widowControl/>
              <w:spacing w:line="480" w:lineRule="atLeast"/>
              <w:jc w:val="center"/>
              <w:rPr>
                <w:rFonts w:ascii="宋体" w:hAnsi="宋体" w:cs="宋体"/>
                <w:kern w:val="0"/>
                <w:shd w:val="clear" w:color="auto" w:fill="FFFFFF"/>
              </w:rPr>
            </w:pPr>
            <w:r>
              <w:rPr>
                <w:rFonts w:hint="eastAsia" w:ascii="宋体" w:hAnsi="宋体" w:cs="宋体"/>
                <w:kern w:val="0"/>
                <w:shd w:val="clear" w:color="auto" w:fill="FFFFFF"/>
              </w:rPr>
              <w:t>序号</w:t>
            </w:r>
          </w:p>
        </w:tc>
        <w:tc>
          <w:tcPr>
            <w:tcW w:w="1639" w:type="dxa"/>
            <w:tcBorders>
              <w:left w:val="nil"/>
              <w:bottom w:val="single" w:color="auto" w:sz="4" w:space="0"/>
              <w:right w:val="single" w:color="auto" w:sz="6" w:space="0"/>
            </w:tcBorders>
            <w:tcMar>
              <w:top w:w="0" w:type="dxa"/>
              <w:left w:w="105" w:type="dxa"/>
              <w:bottom w:w="0" w:type="dxa"/>
              <w:right w:w="105" w:type="dxa"/>
            </w:tcMar>
            <w:vAlign w:val="center"/>
          </w:tcPr>
          <w:p w14:paraId="7D6B5BA5">
            <w:pPr>
              <w:widowControl/>
              <w:spacing w:line="480" w:lineRule="atLeast"/>
              <w:jc w:val="center"/>
              <w:rPr>
                <w:rFonts w:ascii="宋体" w:hAnsi="宋体" w:cs="宋体"/>
                <w:kern w:val="0"/>
                <w:shd w:val="clear" w:color="auto" w:fill="FFFFFF"/>
              </w:rPr>
            </w:pPr>
            <w:r>
              <w:rPr>
                <w:rFonts w:hint="eastAsia" w:ascii="宋体" w:hAnsi="宋体"/>
                <w:b/>
                <w:bCs/>
                <w:kern w:val="0"/>
                <w:shd w:val="clear" w:color="auto" w:fill="FFFFFF"/>
              </w:rPr>
              <w:t>资金性质</w:t>
            </w:r>
          </w:p>
        </w:tc>
        <w:tc>
          <w:tcPr>
            <w:tcW w:w="1465" w:type="dxa"/>
            <w:tcBorders>
              <w:left w:val="nil"/>
              <w:bottom w:val="single" w:color="auto" w:sz="4" w:space="0"/>
              <w:right w:val="single" w:color="auto" w:sz="6" w:space="0"/>
            </w:tcBorders>
            <w:tcMar>
              <w:top w:w="0" w:type="dxa"/>
              <w:left w:w="105" w:type="dxa"/>
              <w:bottom w:w="0" w:type="dxa"/>
              <w:right w:w="105" w:type="dxa"/>
            </w:tcMar>
            <w:vAlign w:val="center"/>
          </w:tcPr>
          <w:p w14:paraId="5ACE1421">
            <w:pPr>
              <w:widowControl/>
              <w:spacing w:line="480" w:lineRule="atLeast"/>
              <w:jc w:val="center"/>
              <w:rPr>
                <w:rFonts w:ascii="宋体" w:hAnsi="宋体" w:cs="宋体"/>
                <w:kern w:val="0"/>
                <w:shd w:val="clear" w:color="auto" w:fill="FFFFFF"/>
              </w:rPr>
            </w:pPr>
            <w:r>
              <w:rPr>
                <w:rFonts w:hint="eastAsia" w:ascii="宋体" w:hAnsi="宋体"/>
                <w:b/>
                <w:bCs/>
                <w:kern w:val="0"/>
                <w:shd w:val="clear" w:color="auto" w:fill="FFFFFF"/>
              </w:rPr>
              <w:t>存放规模</w:t>
            </w:r>
          </w:p>
        </w:tc>
        <w:tc>
          <w:tcPr>
            <w:tcW w:w="1558" w:type="dxa"/>
            <w:tcBorders>
              <w:left w:val="nil"/>
              <w:bottom w:val="single" w:color="auto" w:sz="4" w:space="0"/>
              <w:right w:val="single" w:color="auto" w:sz="6" w:space="0"/>
            </w:tcBorders>
            <w:tcMar>
              <w:top w:w="0" w:type="dxa"/>
              <w:left w:w="105" w:type="dxa"/>
              <w:bottom w:w="0" w:type="dxa"/>
              <w:right w:w="105" w:type="dxa"/>
            </w:tcMar>
            <w:vAlign w:val="center"/>
          </w:tcPr>
          <w:p w14:paraId="4ACC266B">
            <w:pPr>
              <w:widowControl/>
              <w:spacing w:line="480" w:lineRule="atLeast"/>
              <w:jc w:val="center"/>
              <w:rPr>
                <w:rFonts w:ascii="宋体" w:hAnsi="宋体" w:cs="宋体"/>
                <w:kern w:val="0"/>
                <w:shd w:val="clear" w:color="auto" w:fill="FFFFFF"/>
              </w:rPr>
            </w:pPr>
            <w:r>
              <w:rPr>
                <w:rFonts w:hint="eastAsia" w:ascii="宋体" w:hAnsi="宋体"/>
                <w:b/>
                <w:bCs/>
                <w:kern w:val="0"/>
                <w:shd w:val="clear" w:color="auto" w:fill="FFFFFF"/>
              </w:rPr>
              <w:t>存放期限</w:t>
            </w:r>
          </w:p>
        </w:tc>
        <w:tc>
          <w:tcPr>
            <w:tcW w:w="1927" w:type="dxa"/>
            <w:tcBorders>
              <w:left w:val="nil"/>
              <w:bottom w:val="single" w:color="auto" w:sz="4" w:space="0"/>
              <w:right w:val="single" w:color="auto" w:sz="6" w:space="0"/>
            </w:tcBorders>
            <w:tcMar>
              <w:top w:w="0" w:type="dxa"/>
              <w:left w:w="105" w:type="dxa"/>
              <w:bottom w:w="0" w:type="dxa"/>
              <w:right w:w="105" w:type="dxa"/>
            </w:tcMar>
            <w:vAlign w:val="center"/>
          </w:tcPr>
          <w:p w14:paraId="3A04D2DC">
            <w:pPr>
              <w:widowControl/>
              <w:spacing w:line="480" w:lineRule="atLeast"/>
              <w:jc w:val="center"/>
              <w:rPr>
                <w:rFonts w:ascii="宋体" w:hAnsi="宋体" w:cs="宋体"/>
                <w:kern w:val="0"/>
                <w:shd w:val="clear" w:color="auto" w:fill="FFFFFF"/>
              </w:rPr>
            </w:pPr>
            <w:r>
              <w:rPr>
                <w:rFonts w:hint="eastAsia" w:ascii="宋体" w:hAnsi="宋体"/>
                <w:b/>
                <w:bCs/>
                <w:kern w:val="0"/>
                <w:shd w:val="clear" w:color="auto" w:fill="FFFFFF"/>
              </w:rPr>
              <w:t>收益率</w:t>
            </w:r>
          </w:p>
        </w:tc>
        <w:tc>
          <w:tcPr>
            <w:tcW w:w="1206" w:type="dxa"/>
            <w:tcBorders>
              <w:left w:val="nil"/>
              <w:bottom w:val="single" w:color="auto" w:sz="4" w:space="0"/>
              <w:right w:val="single" w:color="auto" w:sz="6" w:space="0"/>
            </w:tcBorders>
            <w:tcMar>
              <w:top w:w="0" w:type="dxa"/>
              <w:left w:w="105" w:type="dxa"/>
              <w:bottom w:w="0" w:type="dxa"/>
              <w:right w:w="105" w:type="dxa"/>
            </w:tcMar>
            <w:vAlign w:val="center"/>
          </w:tcPr>
          <w:p w14:paraId="4E9D2A87">
            <w:pPr>
              <w:widowControl/>
              <w:spacing w:line="480" w:lineRule="atLeast"/>
              <w:jc w:val="center"/>
              <w:rPr>
                <w:rFonts w:ascii="宋体" w:hAnsi="宋体" w:cs="宋体"/>
                <w:kern w:val="0"/>
                <w:shd w:val="clear" w:color="auto" w:fill="FFFFFF"/>
              </w:rPr>
            </w:pPr>
            <w:r>
              <w:rPr>
                <w:rFonts w:hint="eastAsia" w:ascii="宋体" w:hAnsi="宋体"/>
                <w:b/>
                <w:bCs/>
                <w:kern w:val="0"/>
                <w:shd w:val="clear" w:color="auto" w:fill="FFFFFF"/>
              </w:rPr>
              <w:t>保底价</w:t>
            </w:r>
          </w:p>
        </w:tc>
        <w:tc>
          <w:tcPr>
            <w:tcW w:w="989" w:type="dxa"/>
            <w:tcBorders>
              <w:left w:val="nil"/>
              <w:bottom w:val="single" w:color="auto" w:sz="4" w:space="0"/>
            </w:tcBorders>
            <w:tcMar>
              <w:top w:w="0" w:type="dxa"/>
              <w:left w:w="105" w:type="dxa"/>
              <w:bottom w:w="0" w:type="dxa"/>
              <w:right w:w="105" w:type="dxa"/>
            </w:tcMar>
            <w:vAlign w:val="center"/>
          </w:tcPr>
          <w:p w14:paraId="0EA35032">
            <w:pPr>
              <w:widowControl/>
              <w:spacing w:line="480" w:lineRule="atLeast"/>
              <w:jc w:val="center"/>
              <w:rPr>
                <w:rFonts w:ascii="宋体" w:hAnsi="宋体"/>
                <w:b/>
                <w:bCs/>
                <w:kern w:val="0"/>
                <w:shd w:val="clear" w:color="auto" w:fill="FFFFFF"/>
              </w:rPr>
            </w:pPr>
            <w:r>
              <w:rPr>
                <w:rFonts w:hint="eastAsia" w:ascii="宋体" w:hAnsi="宋体"/>
                <w:b/>
                <w:bCs/>
                <w:kern w:val="0"/>
                <w:shd w:val="clear" w:color="auto" w:fill="FFFFFF"/>
              </w:rPr>
              <w:t>备注</w:t>
            </w:r>
          </w:p>
        </w:tc>
      </w:tr>
      <w:tr w14:paraId="0B6D473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90" w:hRule="atLeast"/>
          <w:jc w:val="center"/>
        </w:trPr>
        <w:tc>
          <w:tcPr>
            <w:tcW w:w="930" w:type="dxa"/>
            <w:tcBorders>
              <w:top w:val="single" w:color="auto" w:sz="4" w:space="0"/>
              <w:bottom w:val="single" w:color="auto" w:sz="4" w:space="0"/>
              <w:right w:val="single" w:color="auto" w:sz="4" w:space="0"/>
            </w:tcBorders>
            <w:tcMar>
              <w:top w:w="0" w:type="dxa"/>
              <w:left w:w="105" w:type="dxa"/>
              <w:bottom w:w="0" w:type="dxa"/>
              <w:right w:w="105" w:type="dxa"/>
            </w:tcMar>
            <w:vAlign w:val="center"/>
          </w:tcPr>
          <w:p w14:paraId="78F28092">
            <w:pPr>
              <w:widowControl/>
              <w:jc w:val="center"/>
              <w:rPr>
                <w:rFonts w:ascii="宋体" w:hAnsi="宋体"/>
                <w:kern w:val="0"/>
                <w:sz w:val="20"/>
                <w:szCs w:val="20"/>
                <w:shd w:val="clear" w:color="auto" w:fill="FFFFFF"/>
              </w:rPr>
            </w:pPr>
            <w:r>
              <w:rPr>
                <w:rFonts w:hint="eastAsia" w:ascii="宋体" w:hAnsi="宋体"/>
                <w:kern w:val="0"/>
                <w:sz w:val="20"/>
                <w:szCs w:val="20"/>
                <w:shd w:val="clear" w:color="auto" w:fill="FFFFFF"/>
              </w:rPr>
              <w:t>第一笔</w:t>
            </w:r>
          </w:p>
        </w:tc>
        <w:tc>
          <w:tcPr>
            <w:tcW w:w="16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A930675">
            <w:pPr>
              <w:widowControl/>
              <w:jc w:val="center"/>
              <w:rPr>
                <w:rFonts w:ascii="宋体" w:hAnsi="宋体"/>
                <w:kern w:val="0"/>
                <w:sz w:val="20"/>
                <w:szCs w:val="20"/>
                <w:shd w:val="clear" w:color="auto" w:fill="FFFFFF"/>
              </w:rPr>
            </w:pPr>
            <w:r>
              <w:rPr>
                <w:rFonts w:ascii="宋体" w:hAnsi="宋体"/>
                <w:kern w:val="0"/>
                <w:sz w:val="20"/>
                <w:szCs w:val="20"/>
                <w:shd w:val="clear" w:color="auto" w:fill="FFFFFF"/>
              </w:rPr>
              <w:t>国有企业资金</w:t>
            </w:r>
          </w:p>
        </w:tc>
        <w:tc>
          <w:tcPr>
            <w:tcW w:w="14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1752E54">
            <w:pPr>
              <w:jc w:val="center"/>
              <w:rPr>
                <w:rFonts w:ascii="宋体" w:hAnsi="宋体"/>
                <w:color w:val="000000"/>
                <w:sz w:val="20"/>
                <w:szCs w:val="20"/>
              </w:rPr>
            </w:pPr>
            <w:r>
              <w:rPr>
                <w:rFonts w:hint="eastAsia" w:ascii="宋体" w:hAnsi="宋体"/>
                <w:color w:val="000000"/>
                <w:sz w:val="20"/>
                <w:szCs w:val="20"/>
              </w:rPr>
              <w:t>2500万元</w:t>
            </w:r>
          </w:p>
        </w:tc>
        <w:tc>
          <w:tcPr>
            <w:tcW w:w="15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24FA285">
            <w:pPr>
              <w:widowControl/>
              <w:jc w:val="center"/>
              <w:rPr>
                <w:rFonts w:hint="eastAsia" w:ascii="宋体" w:hAnsi="宋体" w:eastAsia="宋体" w:cs="宋体"/>
                <w:kern w:val="0"/>
                <w:sz w:val="20"/>
                <w:szCs w:val="20"/>
                <w:shd w:val="clear" w:color="auto" w:fill="FFFFFF"/>
                <w:lang w:eastAsia="zh-CN"/>
              </w:rPr>
            </w:pPr>
            <w:r>
              <w:rPr>
                <w:rFonts w:hint="eastAsia" w:ascii="宋体" w:hAnsi="宋体" w:cs="宋体"/>
                <w:kern w:val="0"/>
                <w:sz w:val="20"/>
                <w:szCs w:val="20"/>
                <w:shd w:val="clear" w:color="auto" w:fill="FFFFFF"/>
                <w:lang w:eastAsia="zh-CN"/>
              </w:rPr>
              <w:t>存期6个月</w:t>
            </w:r>
          </w:p>
        </w:tc>
        <w:tc>
          <w:tcPr>
            <w:tcW w:w="19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0B40B076">
            <w:pPr>
              <w:widowControl/>
              <w:rPr>
                <w:rFonts w:ascii="宋体" w:hAnsi="宋体" w:cs="宋体"/>
                <w:kern w:val="0"/>
                <w:sz w:val="20"/>
                <w:szCs w:val="20"/>
                <w:shd w:val="clear" w:color="auto" w:fill="FFFFFF"/>
              </w:rPr>
            </w:pPr>
            <w:r>
              <w:rPr>
                <w:rFonts w:hint="eastAsia" w:ascii="宋体" w:hAnsi="宋体"/>
                <w:kern w:val="0"/>
                <w:sz w:val="20"/>
                <w:szCs w:val="20"/>
                <w:shd w:val="clear" w:color="auto" w:fill="FFFFFF"/>
              </w:rPr>
              <w:t>年资金收益率（小数点后四位）</w:t>
            </w:r>
          </w:p>
        </w:tc>
        <w:tc>
          <w:tcPr>
            <w:tcW w:w="120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E0BC456">
            <w:pPr>
              <w:widowControl/>
              <w:jc w:val="center"/>
              <w:rPr>
                <w:rFonts w:hint="eastAsia" w:ascii="宋体" w:hAnsi="宋体" w:eastAsia="宋体"/>
                <w:color w:val="000000" w:themeColor="text1"/>
                <w:kern w:val="0"/>
                <w:sz w:val="20"/>
                <w:szCs w:val="20"/>
                <w:shd w:val="clear" w:color="auto" w:fill="FFFFFF"/>
                <w:lang w:eastAsia="zh-CN"/>
                <w14:textFill>
                  <w14:solidFill>
                    <w14:schemeClr w14:val="tx1"/>
                  </w14:solidFill>
                </w14:textFill>
              </w:rPr>
            </w:pPr>
            <w:r>
              <w:rPr>
                <w:rFonts w:hint="eastAsia" w:ascii="宋体" w:hAnsi="宋体"/>
                <w:color w:val="000000" w:themeColor="text1"/>
                <w:kern w:val="0"/>
                <w:sz w:val="20"/>
                <w:szCs w:val="20"/>
                <w:shd w:val="clear" w:color="auto" w:fill="FFFFFF"/>
                <w:lang w:eastAsia="zh-CN"/>
                <w14:textFill>
                  <w14:solidFill>
                    <w14:schemeClr w14:val="tx1"/>
                  </w14:solidFill>
                </w14:textFill>
              </w:rPr>
              <w:t>1.0000%</w:t>
            </w:r>
          </w:p>
        </w:tc>
        <w:tc>
          <w:tcPr>
            <w:tcW w:w="989" w:type="dxa"/>
            <w:tcBorders>
              <w:top w:val="single" w:color="auto" w:sz="4" w:space="0"/>
              <w:left w:val="single" w:color="auto" w:sz="4" w:space="0"/>
              <w:bottom w:val="single" w:color="auto" w:sz="4" w:space="0"/>
            </w:tcBorders>
            <w:tcMar>
              <w:top w:w="0" w:type="dxa"/>
              <w:left w:w="105" w:type="dxa"/>
              <w:bottom w:w="0" w:type="dxa"/>
              <w:right w:w="105" w:type="dxa"/>
            </w:tcMar>
            <w:vAlign w:val="center"/>
          </w:tcPr>
          <w:p w14:paraId="02B20574">
            <w:pPr>
              <w:widowControl/>
              <w:jc w:val="center"/>
              <w:rPr>
                <w:rFonts w:ascii="宋体" w:hAnsi="宋体"/>
                <w:kern w:val="0"/>
                <w:sz w:val="20"/>
                <w:szCs w:val="20"/>
                <w:shd w:val="clear" w:color="auto" w:fill="FFFFFF"/>
              </w:rPr>
            </w:pPr>
          </w:p>
        </w:tc>
      </w:tr>
      <w:tr w14:paraId="4746EC1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90" w:hRule="atLeast"/>
          <w:jc w:val="center"/>
        </w:trPr>
        <w:tc>
          <w:tcPr>
            <w:tcW w:w="930" w:type="dxa"/>
            <w:tcBorders>
              <w:top w:val="single" w:color="auto" w:sz="4" w:space="0"/>
              <w:bottom w:val="single" w:color="auto" w:sz="4" w:space="0"/>
              <w:right w:val="single" w:color="auto" w:sz="4" w:space="0"/>
            </w:tcBorders>
            <w:tcMar>
              <w:top w:w="0" w:type="dxa"/>
              <w:left w:w="105" w:type="dxa"/>
              <w:bottom w:w="0" w:type="dxa"/>
              <w:right w:w="105" w:type="dxa"/>
            </w:tcMar>
            <w:vAlign w:val="center"/>
          </w:tcPr>
          <w:p w14:paraId="57BE9B9F">
            <w:pPr>
              <w:widowControl/>
              <w:jc w:val="center"/>
              <w:rPr>
                <w:rFonts w:ascii="宋体" w:hAnsi="宋体"/>
                <w:kern w:val="0"/>
                <w:sz w:val="20"/>
                <w:szCs w:val="20"/>
                <w:shd w:val="clear" w:color="auto" w:fill="FFFFFF"/>
              </w:rPr>
            </w:pPr>
            <w:r>
              <w:rPr>
                <w:rFonts w:hint="eastAsia" w:ascii="宋体" w:hAnsi="宋体"/>
                <w:kern w:val="0"/>
                <w:sz w:val="20"/>
                <w:szCs w:val="20"/>
                <w:shd w:val="clear" w:color="auto" w:fill="FFFFFF"/>
              </w:rPr>
              <w:t>第二笔</w:t>
            </w:r>
          </w:p>
        </w:tc>
        <w:tc>
          <w:tcPr>
            <w:tcW w:w="16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B3024AC">
            <w:pPr>
              <w:widowControl/>
              <w:jc w:val="center"/>
              <w:rPr>
                <w:rFonts w:ascii="宋体" w:hAnsi="宋体"/>
                <w:kern w:val="0"/>
                <w:sz w:val="20"/>
                <w:szCs w:val="20"/>
                <w:shd w:val="clear" w:color="auto" w:fill="FFFFFF"/>
              </w:rPr>
            </w:pPr>
            <w:r>
              <w:rPr>
                <w:rFonts w:ascii="宋体" w:hAnsi="宋体"/>
                <w:kern w:val="0"/>
                <w:sz w:val="20"/>
                <w:szCs w:val="20"/>
                <w:shd w:val="clear" w:color="auto" w:fill="FFFFFF"/>
              </w:rPr>
              <w:t>国有企业资金</w:t>
            </w:r>
          </w:p>
        </w:tc>
        <w:tc>
          <w:tcPr>
            <w:tcW w:w="14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21B8588">
            <w:pPr>
              <w:jc w:val="center"/>
              <w:rPr>
                <w:rFonts w:ascii="宋体" w:hAnsi="宋体"/>
                <w:color w:val="000000"/>
                <w:sz w:val="20"/>
                <w:szCs w:val="20"/>
              </w:rPr>
            </w:pPr>
            <w:r>
              <w:rPr>
                <w:rFonts w:hint="eastAsia" w:ascii="宋体" w:hAnsi="宋体"/>
                <w:color w:val="000000"/>
                <w:sz w:val="20"/>
                <w:szCs w:val="20"/>
              </w:rPr>
              <w:t>2000万元</w:t>
            </w:r>
          </w:p>
        </w:tc>
        <w:tc>
          <w:tcPr>
            <w:tcW w:w="15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0575039">
            <w:pPr>
              <w:widowControl/>
              <w:jc w:val="center"/>
              <w:rPr>
                <w:rFonts w:hint="eastAsia" w:ascii="宋体" w:hAnsi="宋体" w:eastAsia="宋体" w:cs="宋体"/>
                <w:kern w:val="0"/>
                <w:sz w:val="20"/>
                <w:szCs w:val="20"/>
                <w:shd w:val="clear" w:color="auto" w:fill="FFFFFF"/>
                <w:lang w:eastAsia="zh-CN"/>
              </w:rPr>
            </w:pPr>
            <w:r>
              <w:rPr>
                <w:rFonts w:hint="eastAsia" w:ascii="宋体" w:hAnsi="宋体" w:cs="宋体"/>
                <w:kern w:val="0"/>
                <w:sz w:val="20"/>
                <w:szCs w:val="20"/>
                <w:shd w:val="clear" w:color="auto" w:fill="FFFFFF"/>
                <w:lang w:eastAsia="zh-CN"/>
              </w:rPr>
              <w:t>存期6个月</w:t>
            </w:r>
          </w:p>
        </w:tc>
        <w:tc>
          <w:tcPr>
            <w:tcW w:w="19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1F3C81AB">
            <w:pPr>
              <w:widowControl/>
              <w:rPr>
                <w:rFonts w:ascii="宋体" w:hAnsi="宋体"/>
                <w:kern w:val="0"/>
                <w:sz w:val="20"/>
                <w:szCs w:val="20"/>
                <w:shd w:val="clear" w:color="auto" w:fill="FFFFFF"/>
              </w:rPr>
            </w:pPr>
            <w:r>
              <w:rPr>
                <w:rFonts w:hint="eastAsia" w:ascii="宋体" w:hAnsi="宋体"/>
                <w:kern w:val="0"/>
                <w:sz w:val="20"/>
                <w:szCs w:val="20"/>
                <w:shd w:val="clear" w:color="auto" w:fill="FFFFFF"/>
              </w:rPr>
              <w:t>年资金收益率（小数点后四位）</w:t>
            </w:r>
          </w:p>
        </w:tc>
        <w:tc>
          <w:tcPr>
            <w:tcW w:w="120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2A8FFEC">
            <w:pPr>
              <w:widowControl/>
              <w:jc w:val="center"/>
              <w:rPr>
                <w:rFonts w:hint="eastAsia" w:ascii="宋体" w:hAnsi="宋体" w:eastAsia="宋体"/>
                <w:color w:val="000000" w:themeColor="text1"/>
                <w:kern w:val="0"/>
                <w:sz w:val="20"/>
                <w:szCs w:val="20"/>
                <w:shd w:val="clear" w:color="auto" w:fill="FFFFFF"/>
                <w:lang w:eastAsia="zh-CN"/>
                <w14:textFill>
                  <w14:solidFill>
                    <w14:schemeClr w14:val="tx1"/>
                  </w14:solidFill>
                </w14:textFill>
              </w:rPr>
            </w:pPr>
            <w:r>
              <w:rPr>
                <w:rFonts w:hint="eastAsia" w:ascii="宋体" w:hAnsi="宋体"/>
                <w:color w:val="000000" w:themeColor="text1"/>
                <w:kern w:val="0"/>
                <w:sz w:val="20"/>
                <w:szCs w:val="20"/>
                <w:shd w:val="clear" w:color="auto" w:fill="FFFFFF"/>
                <w:lang w:eastAsia="zh-CN"/>
                <w14:textFill>
                  <w14:solidFill>
                    <w14:schemeClr w14:val="tx1"/>
                  </w14:solidFill>
                </w14:textFill>
              </w:rPr>
              <w:t>1.0000%</w:t>
            </w:r>
          </w:p>
        </w:tc>
        <w:tc>
          <w:tcPr>
            <w:tcW w:w="989" w:type="dxa"/>
            <w:tcBorders>
              <w:top w:val="single" w:color="auto" w:sz="4" w:space="0"/>
              <w:left w:val="single" w:color="auto" w:sz="4" w:space="0"/>
              <w:bottom w:val="single" w:color="auto" w:sz="4" w:space="0"/>
            </w:tcBorders>
            <w:tcMar>
              <w:top w:w="0" w:type="dxa"/>
              <w:left w:w="105" w:type="dxa"/>
              <w:bottom w:w="0" w:type="dxa"/>
              <w:right w:w="105" w:type="dxa"/>
            </w:tcMar>
            <w:vAlign w:val="center"/>
          </w:tcPr>
          <w:p w14:paraId="2FF753DC">
            <w:pPr>
              <w:widowControl/>
              <w:jc w:val="center"/>
              <w:rPr>
                <w:rFonts w:ascii="宋体" w:hAnsi="宋体"/>
                <w:kern w:val="0"/>
                <w:sz w:val="20"/>
                <w:szCs w:val="20"/>
                <w:shd w:val="clear" w:color="auto" w:fill="FFFFFF"/>
              </w:rPr>
            </w:pPr>
          </w:p>
        </w:tc>
      </w:tr>
      <w:tr w14:paraId="55854CF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90" w:hRule="atLeast"/>
          <w:jc w:val="center"/>
        </w:trPr>
        <w:tc>
          <w:tcPr>
            <w:tcW w:w="930" w:type="dxa"/>
            <w:tcBorders>
              <w:top w:val="single" w:color="auto" w:sz="4" w:space="0"/>
              <w:bottom w:val="single" w:color="auto" w:sz="4" w:space="0"/>
              <w:right w:val="single" w:color="auto" w:sz="4" w:space="0"/>
            </w:tcBorders>
            <w:tcMar>
              <w:top w:w="0" w:type="dxa"/>
              <w:left w:w="105" w:type="dxa"/>
              <w:bottom w:w="0" w:type="dxa"/>
              <w:right w:w="105" w:type="dxa"/>
            </w:tcMar>
            <w:vAlign w:val="center"/>
          </w:tcPr>
          <w:p w14:paraId="34AF02ED">
            <w:pPr>
              <w:widowControl/>
              <w:jc w:val="center"/>
              <w:rPr>
                <w:rFonts w:ascii="宋体" w:hAnsi="宋体"/>
                <w:kern w:val="0"/>
                <w:sz w:val="20"/>
                <w:szCs w:val="20"/>
                <w:shd w:val="clear" w:color="auto" w:fill="FFFFFF"/>
              </w:rPr>
            </w:pPr>
            <w:r>
              <w:rPr>
                <w:rFonts w:hint="eastAsia" w:ascii="宋体" w:hAnsi="宋体"/>
                <w:kern w:val="0"/>
                <w:sz w:val="20"/>
                <w:szCs w:val="20"/>
                <w:shd w:val="clear" w:color="auto" w:fill="FFFFFF"/>
              </w:rPr>
              <w:t>第三笔</w:t>
            </w:r>
          </w:p>
        </w:tc>
        <w:tc>
          <w:tcPr>
            <w:tcW w:w="16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C7DD40D">
            <w:pPr>
              <w:widowControl/>
              <w:jc w:val="center"/>
              <w:rPr>
                <w:rFonts w:ascii="宋体" w:hAnsi="宋体"/>
                <w:kern w:val="0"/>
                <w:sz w:val="20"/>
                <w:szCs w:val="20"/>
                <w:shd w:val="clear" w:color="auto" w:fill="FFFFFF"/>
              </w:rPr>
            </w:pPr>
            <w:r>
              <w:rPr>
                <w:rFonts w:ascii="宋体" w:hAnsi="宋体"/>
                <w:kern w:val="0"/>
                <w:sz w:val="20"/>
                <w:szCs w:val="20"/>
                <w:shd w:val="clear" w:color="auto" w:fill="FFFFFF"/>
              </w:rPr>
              <w:t>国有企业资金</w:t>
            </w:r>
          </w:p>
        </w:tc>
        <w:tc>
          <w:tcPr>
            <w:tcW w:w="14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5264B9B">
            <w:pPr>
              <w:jc w:val="center"/>
              <w:rPr>
                <w:rFonts w:ascii="宋体" w:hAnsi="宋体"/>
                <w:color w:val="000000"/>
                <w:sz w:val="20"/>
                <w:szCs w:val="20"/>
              </w:rPr>
            </w:pPr>
            <w:r>
              <w:rPr>
                <w:rFonts w:hint="eastAsia" w:ascii="宋体" w:hAnsi="宋体"/>
                <w:color w:val="000000"/>
                <w:sz w:val="20"/>
                <w:szCs w:val="20"/>
              </w:rPr>
              <w:t>1500万元</w:t>
            </w:r>
          </w:p>
        </w:tc>
        <w:tc>
          <w:tcPr>
            <w:tcW w:w="155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8DB2319">
            <w:pPr>
              <w:widowControl/>
              <w:jc w:val="center"/>
              <w:rPr>
                <w:rFonts w:hint="eastAsia" w:ascii="宋体" w:hAnsi="宋体" w:eastAsia="宋体" w:cs="宋体"/>
                <w:kern w:val="0"/>
                <w:sz w:val="20"/>
                <w:szCs w:val="20"/>
                <w:shd w:val="clear" w:color="auto" w:fill="FFFFFF"/>
                <w:lang w:eastAsia="zh-CN"/>
              </w:rPr>
            </w:pPr>
            <w:r>
              <w:rPr>
                <w:rFonts w:hint="eastAsia" w:ascii="宋体" w:hAnsi="宋体" w:cs="宋体"/>
                <w:kern w:val="0"/>
                <w:sz w:val="20"/>
                <w:szCs w:val="20"/>
                <w:shd w:val="clear" w:color="auto" w:fill="FFFFFF"/>
                <w:lang w:eastAsia="zh-CN"/>
              </w:rPr>
              <w:t>存期6个月</w:t>
            </w:r>
          </w:p>
        </w:tc>
        <w:tc>
          <w:tcPr>
            <w:tcW w:w="19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14:paraId="1BC9E9EB">
            <w:pPr>
              <w:widowControl/>
              <w:rPr>
                <w:rFonts w:ascii="宋体" w:hAnsi="宋体"/>
                <w:kern w:val="0"/>
                <w:sz w:val="20"/>
                <w:szCs w:val="20"/>
                <w:shd w:val="clear" w:color="auto" w:fill="FFFFFF"/>
              </w:rPr>
            </w:pPr>
            <w:r>
              <w:rPr>
                <w:rFonts w:hint="eastAsia" w:ascii="宋体" w:hAnsi="宋体"/>
                <w:kern w:val="0"/>
                <w:sz w:val="20"/>
                <w:szCs w:val="20"/>
                <w:shd w:val="clear" w:color="auto" w:fill="FFFFFF"/>
              </w:rPr>
              <w:t>年资金收益率（小数点后四位）</w:t>
            </w:r>
          </w:p>
        </w:tc>
        <w:tc>
          <w:tcPr>
            <w:tcW w:w="120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77A70B4">
            <w:pPr>
              <w:widowControl/>
              <w:jc w:val="center"/>
              <w:rPr>
                <w:rFonts w:hint="eastAsia" w:ascii="宋体" w:hAnsi="宋体" w:eastAsia="宋体"/>
                <w:color w:val="000000" w:themeColor="text1"/>
                <w:kern w:val="0"/>
                <w:sz w:val="20"/>
                <w:szCs w:val="20"/>
                <w:shd w:val="clear" w:color="auto" w:fill="FFFFFF"/>
                <w:lang w:eastAsia="zh-CN"/>
                <w14:textFill>
                  <w14:solidFill>
                    <w14:schemeClr w14:val="tx1"/>
                  </w14:solidFill>
                </w14:textFill>
              </w:rPr>
            </w:pPr>
            <w:r>
              <w:rPr>
                <w:rFonts w:hint="eastAsia" w:ascii="宋体" w:hAnsi="宋体"/>
                <w:color w:val="000000" w:themeColor="text1"/>
                <w:kern w:val="0"/>
                <w:sz w:val="20"/>
                <w:szCs w:val="20"/>
                <w:shd w:val="clear" w:color="auto" w:fill="FFFFFF"/>
                <w:lang w:eastAsia="zh-CN"/>
                <w14:textFill>
                  <w14:solidFill>
                    <w14:schemeClr w14:val="tx1"/>
                  </w14:solidFill>
                </w14:textFill>
              </w:rPr>
              <w:t>1.0000%</w:t>
            </w:r>
          </w:p>
        </w:tc>
        <w:tc>
          <w:tcPr>
            <w:tcW w:w="989" w:type="dxa"/>
            <w:tcBorders>
              <w:top w:val="single" w:color="auto" w:sz="4" w:space="0"/>
              <w:left w:val="single" w:color="auto" w:sz="4" w:space="0"/>
              <w:bottom w:val="single" w:color="auto" w:sz="4" w:space="0"/>
            </w:tcBorders>
            <w:tcMar>
              <w:top w:w="0" w:type="dxa"/>
              <w:left w:w="105" w:type="dxa"/>
              <w:bottom w:w="0" w:type="dxa"/>
              <w:right w:w="105" w:type="dxa"/>
            </w:tcMar>
            <w:vAlign w:val="center"/>
          </w:tcPr>
          <w:p w14:paraId="21040F1D">
            <w:pPr>
              <w:pStyle w:val="17"/>
              <w:rPr>
                <w:sz w:val="24"/>
                <w:szCs w:val="24"/>
              </w:rPr>
            </w:pPr>
          </w:p>
        </w:tc>
      </w:tr>
    </w:tbl>
    <w:p w14:paraId="0B8B88A8">
      <w:pPr>
        <w:widowControl/>
        <w:shd w:val="clear" w:color="auto" w:fill="FFFFFF"/>
        <w:spacing w:line="600" w:lineRule="exact"/>
        <w:ind w:firstLine="218" w:firstLineChars="91"/>
        <w:jc w:val="left"/>
        <w:rPr>
          <w:rFonts w:ascii="宋体" w:hAnsi="宋体"/>
          <w:kern w:val="0"/>
          <w:sz w:val="24"/>
        </w:rPr>
      </w:pPr>
      <w:r>
        <w:rPr>
          <w:rFonts w:hint="eastAsia" w:ascii="宋体" w:hAnsi="宋体"/>
          <w:kern w:val="0"/>
          <w:sz w:val="24"/>
        </w:rPr>
        <w:t>评标委员会根据综合评分指标体系对有效投标银行进行打分，按照参加竞标银行综合得分由高到低排名，综合得分第一名的为第一笔资金的中标单位，综合得分第二名的为第二笔资金的中标单位，综合得分第三名的为第三笔资金的中标单位。</w:t>
      </w:r>
    </w:p>
    <w:p w14:paraId="071A5F27">
      <w:pPr>
        <w:widowControl/>
        <w:shd w:val="clear" w:color="auto" w:fill="FFFFFF"/>
        <w:spacing w:line="360" w:lineRule="auto"/>
        <w:ind w:firstLine="510"/>
        <w:jc w:val="left"/>
        <w:rPr>
          <w:rFonts w:ascii="宋体" w:hAnsi="宋体"/>
          <w:b/>
          <w:kern w:val="0"/>
          <w:sz w:val="24"/>
          <w:szCs w:val="24"/>
        </w:rPr>
      </w:pPr>
      <w:r>
        <w:rPr>
          <w:rFonts w:hint="eastAsia" w:ascii="宋体" w:hAnsi="宋体"/>
          <w:b/>
          <w:kern w:val="0"/>
          <w:sz w:val="24"/>
          <w:szCs w:val="24"/>
        </w:rPr>
        <w:t>二、参与竞标银行要求</w:t>
      </w:r>
    </w:p>
    <w:p w14:paraId="1B269E31">
      <w:pPr>
        <w:tabs>
          <w:tab w:val="left" w:pos="180"/>
          <w:tab w:val="left" w:pos="360"/>
          <w:tab w:val="left" w:pos="540"/>
          <w:tab w:val="left" w:pos="8280"/>
          <w:tab w:val="left" w:pos="9450"/>
        </w:tabs>
        <w:autoSpaceDE w:val="0"/>
        <w:autoSpaceDN w:val="0"/>
        <w:adjustRightInd w:val="0"/>
        <w:spacing w:before="100" w:line="500" w:lineRule="exact"/>
        <w:ind w:right="-61" w:rightChars="-29" w:firstLine="480" w:firstLineChars="200"/>
        <w:jc w:val="left"/>
        <w:rPr>
          <w:rFonts w:ascii="宋体" w:hAnsi="宋体"/>
          <w:kern w:val="0"/>
          <w:sz w:val="24"/>
          <w:szCs w:val="24"/>
        </w:rPr>
      </w:pPr>
      <w:r>
        <w:rPr>
          <w:rFonts w:hint="eastAsia" w:ascii="宋体" w:hAnsi="宋体"/>
          <w:kern w:val="0"/>
          <w:sz w:val="24"/>
          <w:szCs w:val="24"/>
        </w:rPr>
        <w:t>可参与本次竞争性存放项目的银行是指在中华人民共和国境内依法设立的国有商业银行、股份制商业银行、邮政储蓄银行、城市商业银行、农村信用合作联社、农村商业银行、农村合作银行、村镇银行及政策性银行。</w:t>
      </w:r>
    </w:p>
    <w:p w14:paraId="23D14F18">
      <w:pPr>
        <w:tabs>
          <w:tab w:val="left" w:pos="180"/>
          <w:tab w:val="left" w:pos="360"/>
          <w:tab w:val="left" w:pos="540"/>
          <w:tab w:val="left" w:pos="8280"/>
          <w:tab w:val="left" w:pos="9450"/>
        </w:tabs>
        <w:autoSpaceDE w:val="0"/>
        <w:autoSpaceDN w:val="0"/>
        <w:adjustRightInd w:val="0"/>
        <w:spacing w:before="100" w:line="500" w:lineRule="exact"/>
        <w:ind w:right="-61" w:rightChars="-29" w:firstLine="480" w:firstLineChars="200"/>
        <w:jc w:val="left"/>
        <w:rPr>
          <w:rFonts w:ascii="宋体" w:hAnsi="宋体"/>
          <w:kern w:val="0"/>
          <w:sz w:val="24"/>
          <w:szCs w:val="24"/>
        </w:rPr>
      </w:pPr>
      <w:r>
        <w:rPr>
          <w:rFonts w:hint="eastAsia" w:ascii="宋体" w:hAnsi="宋体"/>
          <w:kern w:val="0"/>
          <w:sz w:val="24"/>
          <w:szCs w:val="24"/>
        </w:rPr>
        <w:t>参与本次竞争性存放项目的银行应符合以下条件：</w:t>
      </w:r>
    </w:p>
    <w:p w14:paraId="42325B67">
      <w:pPr>
        <w:tabs>
          <w:tab w:val="left" w:pos="180"/>
          <w:tab w:val="left" w:pos="360"/>
          <w:tab w:val="left" w:pos="540"/>
          <w:tab w:val="left" w:pos="8280"/>
          <w:tab w:val="left" w:pos="9450"/>
        </w:tabs>
        <w:autoSpaceDE w:val="0"/>
        <w:autoSpaceDN w:val="0"/>
        <w:adjustRightInd w:val="0"/>
        <w:spacing w:before="100" w:line="500" w:lineRule="exact"/>
        <w:ind w:right="-61" w:rightChars="-29" w:firstLine="480" w:firstLineChars="200"/>
        <w:jc w:val="left"/>
        <w:rPr>
          <w:rFonts w:ascii="宋体" w:hAnsi="宋体"/>
          <w:kern w:val="0"/>
          <w:sz w:val="24"/>
          <w:szCs w:val="24"/>
        </w:rPr>
      </w:pPr>
      <w:r>
        <w:rPr>
          <w:rFonts w:hint="eastAsia" w:ascii="宋体" w:hAnsi="宋体"/>
          <w:kern w:val="0"/>
          <w:sz w:val="24"/>
          <w:szCs w:val="24"/>
        </w:rPr>
        <w:t>（一）在三门县设有分支机构；</w:t>
      </w:r>
    </w:p>
    <w:p w14:paraId="2D7F1155">
      <w:pPr>
        <w:tabs>
          <w:tab w:val="left" w:pos="180"/>
          <w:tab w:val="left" w:pos="360"/>
          <w:tab w:val="left" w:pos="540"/>
          <w:tab w:val="left" w:pos="8280"/>
          <w:tab w:val="left" w:pos="9450"/>
        </w:tabs>
        <w:autoSpaceDE w:val="0"/>
        <w:autoSpaceDN w:val="0"/>
        <w:adjustRightInd w:val="0"/>
        <w:spacing w:before="100" w:line="500" w:lineRule="exact"/>
        <w:ind w:right="-61" w:rightChars="-29" w:firstLine="480" w:firstLineChars="200"/>
        <w:jc w:val="left"/>
        <w:rPr>
          <w:rFonts w:ascii="宋体" w:hAnsi="宋体"/>
          <w:kern w:val="0"/>
          <w:sz w:val="24"/>
          <w:szCs w:val="24"/>
        </w:rPr>
      </w:pPr>
      <w:r>
        <w:rPr>
          <w:rFonts w:hint="eastAsia" w:ascii="宋体" w:hAnsi="宋体"/>
          <w:kern w:val="0"/>
          <w:sz w:val="24"/>
          <w:szCs w:val="24"/>
        </w:rPr>
        <w:t>（二）依法开展经营活动，内部管理机制健全，具有较强的风险控制能力，近3年内在经营活动中无重大违法违规记录、未发生金融风险及重大违约事件。</w:t>
      </w:r>
    </w:p>
    <w:p w14:paraId="7B5D06DD">
      <w:pPr>
        <w:widowControl/>
        <w:shd w:val="clear" w:color="auto" w:fill="FFFFFF"/>
        <w:spacing w:line="600" w:lineRule="exact"/>
        <w:ind w:firstLine="482" w:firstLineChars="200"/>
        <w:jc w:val="left"/>
        <w:rPr>
          <w:rFonts w:ascii="宋体" w:hAnsi="宋体"/>
          <w:b/>
          <w:bCs/>
          <w:kern w:val="0"/>
          <w:sz w:val="24"/>
          <w:szCs w:val="24"/>
        </w:rPr>
      </w:pPr>
      <w:r>
        <w:rPr>
          <w:rFonts w:hint="eastAsia" w:ascii="宋体" w:hAnsi="宋体"/>
          <w:b/>
          <w:bCs/>
          <w:kern w:val="0"/>
          <w:sz w:val="24"/>
          <w:szCs w:val="24"/>
        </w:rPr>
        <w:t>三、招标文件获取方式</w:t>
      </w:r>
    </w:p>
    <w:p w14:paraId="45FDE6B4">
      <w:pPr>
        <w:wordWrap w:val="0"/>
        <w:snapToGrid w:val="0"/>
        <w:spacing w:line="480" w:lineRule="exact"/>
        <w:ind w:firstLine="480" w:firstLineChars="200"/>
        <w:rPr>
          <w:rFonts w:ascii="宋体" w:hAnsi="宋体"/>
          <w:kern w:val="0"/>
          <w:sz w:val="24"/>
        </w:rPr>
      </w:pPr>
      <w:r>
        <w:rPr>
          <w:rFonts w:hint="eastAsia" w:ascii="宋体" w:hAnsi="宋体"/>
          <w:kern w:val="0"/>
          <w:sz w:val="24"/>
        </w:rPr>
        <w:t>可通过三门县公共资源交易中心网站（http://www.sanmen.gov.cn/col/col1229610743/index.html）上发布的本项目招标公告，自行获取招标文件。</w:t>
      </w:r>
    </w:p>
    <w:p w14:paraId="2FC863B9">
      <w:pPr>
        <w:widowControl/>
        <w:shd w:val="clear" w:color="auto" w:fill="FFFFFF"/>
        <w:spacing w:line="600" w:lineRule="exact"/>
        <w:ind w:firstLine="482" w:firstLineChars="200"/>
        <w:jc w:val="left"/>
        <w:rPr>
          <w:rFonts w:ascii="宋体" w:hAnsi="宋体"/>
          <w:kern w:val="0"/>
          <w:sz w:val="24"/>
          <w:szCs w:val="24"/>
        </w:rPr>
      </w:pPr>
      <w:r>
        <w:rPr>
          <w:rFonts w:hint="eastAsia" w:ascii="宋体" w:hAnsi="宋体"/>
          <w:b/>
          <w:bCs/>
          <w:kern w:val="0"/>
          <w:sz w:val="24"/>
          <w:szCs w:val="24"/>
        </w:rPr>
        <w:t>四、开标时间及地点。</w:t>
      </w:r>
    </w:p>
    <w:p w14:paraId="4F899666">
      <w:pPr>
        <w:widowControl/>
        <w:shd w:val="clear" w:color="auto" w:fill="FFFFFF"/>
        <w:spacing w:line="480" w:lineRule="exact"/>
        <w:ind w:firstLine="480" w:firstLineChars="200"/>
        <w:jc w:val="left"/>
        <w:rPr>
          <w:rFonts w:ascii="宋体" w:hAnsi="宋体"/>
          <w:kern w:val="0"/>
          <w:sz w:val="24"/>
          <w:szCs w:val="24"/>
        </w:rPr>
      </w:pPr>
      <w:r>
        <w:rPr>
          <w:rFonts w:hint="eastAsia" w:ascii="宋体" w:hAnsi="宋体"/>
          <w:kern w:val="0"/>
          <w:sz w:val="24"/>
          <w:szCs w:val="24"/>
        </w:rPr>
        <w:t>本次招标将于：</w:t>
      </w:r>
      <w:r>
        <w:rPr>
          <w:rFonts w:hint="eastAsia" w:ascii="宋体" w:hAnsi="宋体" w:cs="Arial"/>
          <w:b/>
          <w:bCs/>
          <w:sz w:val="24"/>
          <w:szCs w:val="24"/>
          <w:u w:val="single"/>
        </w:rPr>
        <w:t>2025年7月</w:t>
      </w:r>
      <w:r>
        <w:rPr>
          <w:rFonts w:hint="eastAsia" w:ascii="宋体" w:hAnsi="宋体" w:cs="Arial"/>
          <w:b/>
          <w:bCs/>
          <w:sz w:val="24"/>
          <w:szCs w:val="24"/>
          <w:u w:val="single"/>
          <w:lang w:val="en-US" w:eastAsia="zh-CN"/>
        </w:rPr>
        <w:t>17</w:t>
      </w:r>
      <w:bookmarkStart w:id="0" w:name="_GoBack"/>
      <w:bookmarkEnd w:id="0"/>
      <w:r>
        <w:rPr>
          <w:rFonts w:hint="eastAsia" w:ascii="宋体" w:hAnsi="宋体" w:cs="Arial"/>
          <w:b/>
          <w:bCs/>
          <w:sz w:val="24"/>
          <w:szCs w:val="24"/>
          <w:u w:val="single"/>
        </w:rPr>
        <w:t>日</w:t>
      </w:r>
      <w:r>
        <w:rPr>
          <w:rFonts w:hint="eastAsia" w:ascii="宋体" w:hAnsi="宋体" w:cs="Arial"/>
          <w:b/>
          <w:bCs/>
          <w:sz w:val="24"/>
          <w:szCs w:val="24"/>
          <w:u w:val="single"/>
          <w:lang w:val="en-US" w:eastAsia="zh-CN"/>
        </w:rPr>
        <w:t>下</w:t>
      </w:r>
      <w:r>
        <w:rPr>
          <w:rFonts w:hint="eastAsia" w:ascii="宋体" w:hAnsi="宋体" w:cs="Arial"/>
          <w:b/>
          <w:bCs/>
          <w:sz w:val="24"/>
          <w:szCs w:val="24"/>
          <w:u w:val="single"/>
        </w:rPr>
        <w:t>午</w:t>
      </w:r>
      <w:r>
        <w:rPr>
          <w:rFonts w:hint="eastAsia" w:ascii="宋体" w:hAnsi="宋体" w:cs="Arial"/>
          <w:b/>
          <w:bCs/>
          <w:sz w:val="24"/>
          <w:szCs w:val="24"/>
          <w:u w:val="single"/>
          <w:lang w:val="en-US" w:eastAsia="zh-CN"/>
        </w:rPr>
        <w:t>15</w:t>
      </w:r>
      <w:r>
        <w:rPr>
          <w:rFonts w:hint="eastAsia" w:ascii="宋体" w:hAnsi="宋体" w:cs="Arial"/>
          <w:b/>
          <w:bCs/>
          <w:sz w:val="24"/>
          <w:szCs w:val="24"/>
          <w:u w:val="single"/>
        </w:rPr>
        <w:t>：</w:t>
      </w:r>
      <w:r>
        <w:rPr>
          <w:rFonts w:hint="eastAsia" w:ascii="宋体" w:hAnsi="宋体" w:cs="Arial"/>
          <w:b/>
          <w:bCs/>
          <w:sz w:val="24"/>
          <w:szCs w:val="24"/>
          <w:u w:val="single"/>
          <w:lang w:val="en-US" w:eastAsia="zh-CN"/>
        </w:rPr>
        <w:t>0</w:t>
      </w:r>
      <w:r>
        <w:rPr>
          <w:rFonts w:hint="eastAsia" w:ascii="宋体" w:hAnsi="宋体" w:cs="Arial"/>
          <w:b/>
          <w:bCs/>
          <w:sz w:val="24"/>
          <w:szCs w:val="24"/>
          <w:u w:val="single"/>
        </w:rPr>
        <w:t xml:space="preserve">0时 </w:t>
      </w:r>
      <w:r>
        <w:rPr>
          <w:rFonts w:hint="eastAsia" w:ascii="宋体" w:hAnsi="宋体"/>
          <w:kern w:val="0"/>
          <w:sz w:val="24"/>
          <w:szCs w:val="24"/>
        </w:rPr>
        <w:t>整在三门县广场路22号交通大楼四楼开标室开标，请在此时间前将投标文件送达开标地点，逾期或不符合规定的投标文件恕不接受。</w:t>
      </w:r>
    </w:p>
    <w:p w14:paraId="048186EC">
      <w:pPr>
        <w:widowControl/>
        <w:shd w:val="clear" w:color="auto" w:fill="FFFFFF"/>
        <w:spacing w:line="600" w:lineRule="exact"/>
        <w:ind w:firstLine="482" w:firstLineChars="200"/>
        <w:jc w:val="left"/>
        <w:rPr>
          <w:rFonts w:ascii="宋体" w:hAnsi="宋体"/>
          <w:b/>
          <w:bCs/>
          <w:kern w:val="0"/>
          <w:sz w:val="24"/>
          <w:szCs w:val="24"/>
        </w:rPr>
      </w:pPr>
      <w:r>
        <w:rPr>
          <w:rFonts w:hint="eastAsia" w:ascii="宋体" w:hAnsi="宋体"/>
          <w:b/>
          <w:bCs/>
          <w:kern w:val="0"/>
          <w:sz w:val="24"/>
          <w:szCs w:val="24"/>
        </w:rPr>
        <w:t>五、其他说明</w:t>
      </w:r>
    </w:p>
    <w:p w14:paraId="49227838">
      <w:pPr>
        <w:widowControl/>
        <w:shd w:val="clear" w:color="auto" w:fill="FFFFFF"/>
        <w:spacing w:line="360" w:lineRule="auto"/>
        <w:ind w:firstLine="480" w:firstLineChars="200"/>
        <w:jc w:val="left"/>
        <w:rPr>
          <w:rFonts w:ascii="宋体" w:hAnsi="宋体"/>
          <w:kern w:val="0"/>
          <w:sz w:val="24"/>
          <w:szCs w:val="24"/>
        </w:rPr>
      </w:pPr>
      <w:r>
        <w:rPr>
          <w:rFonts w:hint="eastAsia" w:ascii="宋体" w:hAnsi="宋体"/>
          <w:kern w:val="0"/>
          <w:sz w:val="24"/>
          <w:szCs w:val="24"/>
        </w:rPr>
        <w:t>1、竞标银行中标后，若放弃中标资格或者不履行合同要求的，则取消该家银行在三门县企业经济融资担保有限责任公司资金竞争性存放项目2年竞标性竞标投标资格。若银行出票利率和协议利率不一致，以协议利率为准，但必须提供上级行的审批资料。投标日与实际资金实际到账日期间遇同期限存款基准利率调整，中标年资金收益率分别按比例调整，调整后的年资金收益率（小数点后按四舍五入保留4位）＝调整后同期基准利率÷调整前同期基准利率×原中标年资金收益率。</w:t>
      </w:r>
    </w:p>
    <w:p w14:paraId="5E0B067C">
      <w:pPr>
        <w:widowControl/>
        <w:shd w:val="clear" w:color="auto" w:fill="FFFFFF"/>
        <w:spacing w:line="600" w:lineRule="exact"/>
        <w:ind w:firstLine="482" w:firstLineChars="200"/>
        <w:jc w:val="left"/>
        <w:rPr>
          <w:rFonts w:ascii="宋体" w:hAnsi="宋体"/>
          <w:b/>
          <w:bCs/>
          <w:kern w:val="0"/>
          <w:sz w:val="24"/>
          <w:szCs w:val="24"/>
        </w:rPr>
      </w:pPr>
      <w:r>
        <w:rPr>
          <w:rFonts w:hint="eastAsia" w:ascii="宋体" w:hAnsi="宋体"/>
          <w:b/>
          <w:bCs/>
          <w:kern w:val="0"/>
          <w:sz w:val="24"/>
          <w:szCs w:val="24"/>
        </w:rPr>
        <w:t>六、联系方式</w:t>
      </w:r>
    </w:p>
    <w:p w14:paraId="64AFAF8E">
      <w:pPr>
        <w:widowControl/>
        <w:shd w:val="clear" w:color="auto" w:fill="FFFFFF"/>
        <w:spacing w:line="480" w:lineRule="exact"/>
        <w:ind w:firstLine="480" w:firstLineChars="200"/>
        <w:jc w:val="left"/>
        <w:rPr>
          <w:rFonts w:ascii="宋体" w:hAnsi="宋体" w:cs="Tahoma"/>
          <w:kern w:val="0"/>
          <w:sz w:val="24"/>
          <w:shd w:val="clear" w:color="auto" w:fill="FFFFFF"/>
          <w:lang w:val="zh-CN"/>
        </w:rPr>
      </w:pPr>
      <w:r>
        <w:rPr>
          <w:rFonts w:hint="eastAsia" w:ascii="宋体" w:hAnsi="宋体"/>
          <w:kern w:val="0"/>
          <w:sz w:val="24"/>
          <w:szCs w:val="24"/>
        </w:rPr>
        <w:t>采购人：</w:t>
      </w:r>
      <w:r>
        <w:rPr>
          <w:rFonts w:hint="eastAsia" w:ascii="宋体" w:hAnsi="宋体" w:cs="Tahoma"/>
          <w:kern w:val="0"/>
          <w:sz w:val="24"/>
          <w:shd w:val="clear" w:color="auto" w:fill="FFFFFF"/>
          <w:lang w:val="zh-CN"/>
        </w:rPr>
        <w:t>三门县企业经济融资担保有限责任公司</w:t>
      </w:r>
    </w:p>
    <w:p w14:paraId="44F1209D">
      <w:pPr>
        <w:widowControl/>
        <w:shd w:val="clear" w:color="auto" w:fill="FFFFFF"/>
        <w:spacing w:line="480" w:lineRule="exact"/>
        <w:ind w:firstLine="480" w:firstLineChars="200"/>
        <w:jc w:val="left"/>
        <w:rPr>
          <w:rFonts w:ascii="宋体" w:hAnsi="宋体"/>
          <w:kern w:val="0"/>
          <w:sz w:val="24"/>
          <w:szCs w:val="24"/>
        </w:rPr>
      </w:pPr>
      <w:r>
        <w:rPr>
          <w:rFonts w:hint="eastAsia" w:ascii="宋体" w:hAnsi="宋体"/>
          <w:kern w:val="0"/>
          <w:sz w:val="24"/>
          <w:szCs w:val="24"/>
        </w:rPr>
        <w:t>联系人：杨磊           电话：13968529826</w:t>
      </w:r>
    </w:p>
    <w:p w14:paraId="262C0E99">
      <w:pPr>
        <w:widowControl/>
        <w:shd w:val="clear" w:color="auto" w:fill="FFFFFF"/>
        <w:spacing w:line="480" w:lineRule="exact"/>
        <w:ind w:firstLine="480" w:firstLineChars="200"/>
        <w:jc w:val="left"/>
        <w:rPr>
          <w:rFonts w:ascii="宋体" w:hAnsi="宋体"/>
          <w:kern w:val="0"/>
          <w:sz w:val="24"/>
          <w:szCs w:val="24"/>
        </w:rPr>
      </w:pPr>
    </w:p>
    <w:p w14:paraId="7B08E8DB">
      <w:pPr>
        <w:widowControl/>
        <w:shd w:val="clear" w:color="auto" w:fill="FFFFFF"/>
        <w:spacing w:line="480" w:lineRule="exact"/>
        <w:ind w:firstLine="480" w:firstLineChars="200"/>
        <w:jc w:val="left"/>
        <w:rPr>
          <w:rFonts w:ascii="宋体" w:hAnsi="宋体"/>
          <w:kern w:val="0"/>
          <w:sz w:val="24"/>
          <w:szCs w:val="24"/>
        </w:rPr>
      </w:pPr>
      <w:r>
        <w:rPr>
          <w:rFonts w:hint="eastAsia" w:ascii="宋体" w:hAnsi="宋体"/>
          <w:kern w:val="0"/>
          <w:sz w:val="24"/>
          <w:szCs w:val="24"/>
        </w:rPr>
        <w:t>代理机构：浙江省三门县工程建设监理有限公司</w:t>
      </w:r>
    </w:p>
    <w:p w14:paraId="437D08BF">
      <w:pPr>
        <w:widowControl/>
        <w:shd w:val="clear" w:color="auto" w:fill="FFFFFF"/>
        <w:spacing w:line="480" w:lineRule="exact"/>
        <w:ind w:firstLine="480" w:firstLineChars="200"/>
        <w:jc w:val="left"/>
        <w:rPr>
          <w:rFonts w:ascii="宋体" w:hAnsi="宋体"/>
          <w:kern w:val="0"/>
          <w:sz w:val="24"/>
          <w:szCs w:val="24"/>
        </w:rPr>
      </w:pPr>
      <w:r>
        <w:rPr>
          <w:rFonts w:hint="eastAsia" w:ascii="宋体" w:hAnsi="宋体"/>
          <w:kern w:val="0"/>
          <w:sz w:val="24"/>
          <w:szCs w:val="24"/>
        </w:rPr>
        <w:t>联系人：张星星              电话：13656766067</w:t>
      </w:r>
    </w:p>
    <w:p w14:paraId="3061B437">
      <w:pPr>
        <w:pStyle w:val="5"/>
      </w:pPr>
    </w:p>
    <w:p w14:paraId="13E0284B">
      <w:pPr>
        <w:widowControl/>
        <w:spacing w:line="500" w:lineRule="exact"/>
        <w:ind w:firstLine="3360" w:firstLineChars="1400"/>
        <w:jc w:val="right"/>
        <w:rPr>
          <w:rFonts w:ascii="宋体" w:hAnsi="宋体" w:cs="Tahoma"/>
          <w:kern w:val="0"/>
          <w:sz w:val="24"/>
          <w:shd w:val="clear" w:color="auto" w:fill="FFFFFF"/>
          <w:lang w:val="zh-CN"/>
        </w:rPr>
      </w:pPr>
    </w:p>
    <w:p w14:paraId="624C1034">
      <w:pPr>
        <w:pStyle w:val="2"/>
        <w:rPr>
          <w:lang w:val="zh-CN"/>
        </w:rPr>
      </w:pPr>
    </w:p>
    <w:p w14:paraId="591E5E5D">
      <w:pPr>
        <w:pStyle w:val="2"/>
        <w:rPr>
          <w:lang w:val="zh-CN"/>
        </w:rPr>
      </w:pPr>
    </w:p>
    <w:p w14:paraId="11A6B2F5">
      <w:pPr>
        <w:widowControl/>
        <w:spacing w:line="500" w:lineRule="exact"/>
        <w:ind w:firstLine="3360" w:firstLineChars="1400"/>
        <w:jc w:val="right"/>
        <w:rPr>
          <w:rFonts w:ascii="宋体" w:hAnsi="宋体" w:cs="Tahoma"/>
          <w:kern w:val="0"/>
          <w:sz w:val="24"/>
          <w:shd w:val="clear" w:color="auto" w:fill="FFFFFF"/>
        </w:rPr>
      </w:pPr>
      <w:r>
        <w:rPr>
          <w:rFonts w:hint="eastAsia" w:ascii="宋体" w:hAnsi="宋体" w:cs="Tahoma"/>
          <w:kern w:val="0"/>
          <w:sz w:val="24"/>
          <w:shd w:val="clear" w:color="auto" w:fill="FFFFFF"/>
          <w:lang w:val="zh-CN"/>
        </w:rPr>
        <w:t xml:space="preserve"> 三门县企业经济融资担保有限责任公司</w:t>
      </w:r>
    </w:p>
    <w:p w14:paraId="1320CC31">
      <w:pPr>
        <w:widowControl/>
        <w:spacing w:line="500" w:lineRule="exact"/>
        <w:jc w:val="right"/>
        <w:rPr>
          <w:rFonts w:ascii="宋体" w:hAnsi="宋体" w:cs="Tahoma"/>
          <w:kern w:val="0"/>
          <w:sz w:val="24"/>
          <w:shd w:val="clear" w:color="auto" w:fill="FFFFFF"/>
        </w:rPr>
      </w:pPr>
      <w:r>
        <w:rPr>
          <w:rFonts w:hint="eastAsia" w:ascii="宋体" w:hAnsi="宋体" w:cs="Tahoma"/>
          <w:kern w:val="0"/>
          <w:sz w:val="24"/>
          <w:shd w:val="clear" w:color="auto" w:fill="FFFFFF"/>
        </w:rPr>
        <w:t>浙江省三门县工程建设监理有限公司</w:t>
      </w:r>
    </w:p>
    <w:p w14:paraId="11229B48">
      <w:pPr>
        <w:widowControl/>
        <w:spacing w:line="500" w:lineRule="exact"/>
        <w:jc w:val="right"/>
        <w:rPr>
          <w:rFonts w:ascii="宋体" w:hAnsi="宋体" w:cs="Tahoma"/>
          <w:kern w:val="0"/>
          <w:sz w:val="24"/>
          <w:shd w:val="clear" w:color="auto" w:fill="FFFFFF"/>
        </w:rPr>
      </w:pPr>
      <w:r>
        <w:rPr>
          <w:rFonts w:hint="eastAsia" w:ascii="宋体" w:hAnsi="宋体" w:cs="Tahoma"/>
          <w:kern w:val="0"/>
          <w:sz w:val="24"/>
          <w:shd w:val="clear" w:color="auto" w:fill="FFFFFF"/>
        </w:rPr>
        <w:t>2025年7月</w:t>
      </w:r>
      <w:r>
        <w:rPr>
          <w:rFonts w:hint="eastAsia" w:ascii="宋体" w:hAnsi="宋体" w:cs="Tahoma"/>
          <w:kern w:val="0"/>
          <w:sz w:val="24"/>
          <w:shd w:val="clear" w:color="auto" w:fill="FFFFFF"/>
          <w:lang w:val="en-US" w:eastAsia="zh-CN"/>
        </w:rPr>
        <w:t>9</w:t>
      </w:r>
      <w:r>
        <w:rPr>
          <w:rFonts w:hint="eastAsia" w:ascii="宋体" w:hAnsi="宋体" w:cs="Tahoma"/>
          <w:kern w:val="0"/>
          <w:sz w:val="24"/>
          <w:shd w:val="clear" w:color="auto" w:fill="FFFFFF"/>
        </w:rPr>
        <w:t>日</w:t>
      </w:r>
    </w:p>
    <w:p w14:paraId="6ABCD9DF">
      <w:pPr>
        <w:pStyle w:val="2"/>
        <w:ind w:left="0" w:leftChars="0" w:firstLine="0"/>
        <w:rPr>
          <w:rFonts w:ascii="宋体" w:hAnsi="宋体"/>
          <w:b/>
          <w:bCs/>
          <w:kern w:val="0"/>
          <w:sz w:val="36"/>
          <w:szCs w:val="36"/>
          <w:shd w:val="clear" w:color="auto" w:fill="FFFFFF"/>
        </w:rPr>
      </w:pPr>
    </w:p>
    <w:p w14:paraId="61DA5B74">
      <w:pPr>
        <w:pStyle w:val="2"/>
        <w:ind w:left="0" w:leftChars="0" w:firstLine="0"/>
        <w:rPr>
          <w:rFonts w:ascii="宋体" w:hAnsi="宋体"/>
          <w:b/>
          <w:bCs/>
          <w:kern w:val="0"/>
          <w:sz w:val="36"/>
          <w:szCs w:val="36"/>
          <w:shd w:val="clear" w:color="auto" w:fill="FFFFFF"/>
        </w:rPr>
      </w:pPr>
    </w:p>
    <w:p w14:paraId="36D8F1F1">
      <w:pPr>
        <w:pStyle w:val="2"/>
        <w:ind w:left="0" w:leftChars="0" w:firstLine="0"/>
        <w:rPr>
          <w:rFonts w:ascii="宋体" w:hAnsi="宋体"/>
          <w:b/>
          <w:bCs/>
          <w:kern w:val="0"/>
          <w:sz w:val="36"/>
          <w:szCs w:val="36"/>
          <w:shd w:val="clear" w:color="auto" w:fill="FFFFFF"/>
        </w:rPr>
      </w:pPr>
    </w:p>
    <w:p w14:paraId="256DE6CB">
      <w:pPr>
        <w:shd w:val="clear" w:color="auto" w:fill="FFFFFF"/>
        <w:autoSpaceDE w:val="0"/>
        <w:autoSpaceDN w:val="0"/>
        <w:adjustRightInd w:val="0"/>
        <w:spacing w:line="440" w:lineRule="exact"/>
        <w:ind w:right="-61" w:rightChars="-29"/>
        <w:jc w:val="center"/>
        <w:rPr>
          <w:rFonts w:ascii="宋体" w:hAnsi="宋体"/>
          <w:b/>
          <w:bCs/>
          <w:kern w:val="0"/>
          <w:sz w:val="36"/>
          <w:szCs w:val="36"/>
          <w:shd w:val="clear" w:color="auto" w:fill="FFFFFF"/>
        </w:rPr>
      </w:pPr>
    </w:p>
    <w:p w14:paraId="435F3C83">
      <w:pPr>
        <w:shd w:val="clear" w:color="auto" w:fill="FFFFFF"/>
        <w:autoSpaceDE w:val="0"/>
        <w:autoSpaceDN w:val="0"/>
        <w:adjustRightInd w:val="0"/>
        <w:spacing w:line="440" w:lineRule="exact"/>
        <w:ind w:right="-61" w:rightChars="-29"/>
        <w:jc w:val="center"/>
        <w:rPr>
          <w:rFonts w:ascii="宋体"/>
          <w:b/>
          <w:bCs/>
          <w:kern w:val="0"/>
          <w:sz w:val="36"/>
          <w:szCs w:val="36"/>
          <w:shd w:val="clear" w:color="auto" w:fill="FFFFFF"/>
        </w:rPr>
      </w:pPr>
      <w:r>
        <w:rPr>
          <w:rFonts w:hint="eastAsia" w:ascii="宋体" w:hAnsi="宋体"/>
          <w:b/>
          <w:bCs/>
          <w:kern w:val="0"/>
          <w:sz w:val="36"/>
          <w:szCs w:val="36"/>
          <w:shd w:val="clear" w:color="auto" w:fill="FFFFFF"/>
        </w:rPr>
        <w:t>投</w:t>
      </w:r>
      <w:r>
        <w:rPr>
          <w:rFonts w:hint="eastAsia" w:ascii="宋体"/>
          <w:b/>
          <w:bCs/>
          <w:kern w:val="0"/>
          <w:sz w:val="36"/>
          <w:szCs w:val="36"/>
          <w:shd w:val="clear" w:color="auto" w:fill="FFFFFF"/>
        </w:rPr>
        <w:t xml:space="preserve"> </w:t>
      </w:r>
      <w:r>
        <w:rPr>
          <w:rFonts w:hint="eastAsia" w:ascii="宋体" w:hAnsi="宋体"/>
          <w:b/>
          <w:bCs/>
          <w:kern w:val="0"/>
          <w:sz w:val="36"/>
          <w:szCs w:val="36"/>
          <w:shd w:val="clear" w:color="auto" w:fill="FFFFFF"/>
        </w:rPr>
        <w:t>标</w:t>
      </w:r>
      <w:r>
        <w:rPr>
          <w:rFonts w:hint="eastAsia" w:ascii="宋体"/>
          <w:b/>
          <w:bCs/>
          <w:kern w:val="0"/>
          <w:sz w:val="36"/>
          <w:szCs w:val="36"/>
          <w:shd w:val="clear" w:color="auto" w:fill="FFFFFF"/>
        </w:rPr>
        <w:t xml:space="preserve"> </w:t>
      </w:r>
      <w:r>
        <w:rPr>
          <w:rFonts w:hint="eastAsia" w:ascii="宋体" w:hAnsi="宋体"/>
          <w:b/>
          <w:bCs/>
          <w:kern w:val="0"/>
          <w:sz w:val="36"/>
          <w:szCs w:val="36"/>
          <w:shd w:val="clear" w:color="auto" w:fill="FFFFFF"/>
        </w:rPr>
        <w:t>人</w:t>
      </w:r>
      <w:r>
        <w:rPr>
          <w:rFonts w:hint="eastAsia" w:ascii="宋体"/>
          <w:b/>
          <w:bCs/>
          <w:kern w:val="0"/>
          <w:sz w:val="36"/>
          <w:szCs w:val="36"/>
          <w:shd w:val="clear" w:color="auto" w:fill="FFFFFF"/>
        </w:rPr>
        <w:t xml:space="preserve"> </w:t>
      </w:r>
      <w:r>
        <w:rPr>
          <w:rFonts w:hint="eastAsia" w:ascii="宋体" w:hAnsi="宋体"/>
          <w:b/>
          <w:bCs/>
          <w:kern w:val="0"/>
          <w:sz w:val="36"/>
          <w:szCs w:val="36"/>
          <w:shd w:val="clear" w:color="auto" w:fill="FFFFFF"/>
        </w:rPr>
        <w:t>须</w:t>
      </w:r>
      <w:r>
        <w:rPr>
          <w:rFonts w:hint="eastAsia" w:ascii="宋体"/>
          <w:b/>
          <w:bCs/>
          <w:kern w:val="0"/>
          <w:sz w:val="36"/>
          <w:szCs w:val="36"/>
          <w:shd w:val="clear" w:color="auto" w:fill="FFFFFF"/>
        </w:rPr>
        <w:t xml:space="preserve"> </w:t>
      </w:r>
      <w:r>
        <w:rPr>
          <w:rFonts w:hint="eastAsia" w:ascii="宋体" w:hAnsi="宋体"/>
          <w:b/>
          <w:bCs/>
          <w:kern w:val="0"/>
          <w:sz w:val="36"/>
          <w:szCs w:val="36"/>
          <w:shd w:val="clear" w:color="auto" w:fill="FFFFFF"/>
        </w:rPr>
        <w:t>知</w:t>
      </w:r>
    </w:p>
    <w:p w14:paraId="55A924E0">
      <w:pPr>
        <w:shd w:val="clear" w:color="auto" w:fill="FFFFFF"/>
        <w:autoSpaceDE w:val="0"/>
        <w:autoSpaceDN w:val="0"/>
        <w:adjustRightInd w:val="0"/>
        <w:spacing w:line="440" w:lineRule="exact"/>
        <w:ind w:right="-61" w:rightChars="-29"/>
        <w:jc w:val="center"/>
        <w:rPr>
          <w:rFonts w:ascii="宋体"/>
          <w:b/>
          <w:bCs/>
          <w:kern w:val="0"/>
          <w:sz w:val="28"/>
          <w:szCs w:val="28"/>
          <w:shd w:val="clear" w:color="auto" w:fill="FFFFFF"/>
        </w:rPr>
      </w:pPr>
      <w:r>
        <w:rPr>
          <w:rFonts w:hint="eastAsia" w:ascii="宋体"/>
          <w:b/>
          <w:bCs/>
          <w:kern w:val="0"/>
          <w:sz w:val="28"/>
          <w:szCs w:val="28"/>
          <w:shd w:val="clear" w:color="auto" w:fill="FFFFFF"/>
        </w:rPr>
        <w:t xml:space="preserve"> </w:t>
      </w:r>
    </w:p>
    <w:p w14:paraId="5D4C4E08">
      <w:pPr>
        <w:shd w:val="clear" w:color="auto" w:fill="FFFFFF"/>
        <w:autoSpaceDE w:val="0"/>
        <w:autoSpaceDN w:val="0"/>
        <w:adjustRightInd w:val="0"/>
        <w:spacing w:line="500" w:lineRule="exact"/>
        <w:ind w:right="-61" w:rightChars="-29" w:firstLine="562" w:firstLineChars="200"/>
        <w:jc w:val="left"/>
        <w:outlineLvl w:val="0"/>
        <w:rPr>
          <w:rFonts w:ascii="宋体" w:hAnsi="宋体"/>
          <w:b/>
          <w:bCs/>
          <w:kern w:val="0"/>
          <w:sz w:val="28"/>
          <w:szCs w:val="28"/>
          <w:shd w:val="clear" w:color="auto" w:fill="FFFFFF"/>
        </w:rPr>
      </w:pPr>
      <w:r>
        <w:rPr>
          <w:rFonts w:hint="eastAsia" w:ascii="宋体" w:hAnsi="宋体"/>
          <w:b/>
          <w:bCs/>
          <w:kern w:val="0"/>
          <w:sz w:val="28"/>
          <w:szCs w:val="28"/>
          <w:shd w:val="clear" w:color="auto" w:fill="FFFFFF"/>
        </w:rPr>
        <w:t>一、说明</w:t>
      </w:r>
    </w:p>
    <w:p w14:paraId="67B4851F">
      <w:pPr>
        <w:pStyle w:val="11"/>
        <w:shd w:val="clear" w:color="auto" w:fill="FFFFFF"/>
        <w:spacing w:before="0" w:beforeAutospacing="0" w:after="0" w:afterAutospacing="0" w:line="600" w:lineRule="exact"/>
      </w:pPr>
      <w:r>
        <w:rPr>
          <w:rFonts w:hint="eastAsia"/>
          <w:shd w:val="clear" w:color="auto" w:fill="FFFFFF"/>
        </w:rPr>
        <w:t>（</w:t>
      </w:r>
      <w:r>
        <w:rPr>
          <w:rFonts w:hint="eastAsia"/>
        </w:rPr>
        <w:t>一）本次竞争性存放招投标是按照《三门县国有企业资金竞争性存放管理暂行办法》组织和实施。</w:t>
      </w:r>
    </w:p>
    <w:p w14:paraId="646A4A9E">
      <w:pPr>
        <w:widowControl/>
        <w:shd w:val="clear" w:color="auto" w:fill="FFFFFF"/>
        <w:spacing w:line="500" w:lineRule="exact"/>
        <w:ind w:firstLine="480" w:firstLineChars="200"/>
        <w:jc w:val="left"/>
        <w:rPr>
          <w:rFonts w:ascii="宋体" w:hAnsi="宋体"/>
          <w:kern w:val="0"/>
          <w:sz w:val="24"/>
          <w:szCs w:val="24"/>
        </w:rPr>
      </w:pPr>
      <w:r>
        <w:rPr>
          <w:rFonts w:hint="eastAsia" w:ascii="宋体" w:hAnsi="宋体"/>
          <w:kern w:val="0"/>
          <w:sz w:val="24"/>
          <w:szCs w:val="24"/>
        </w:rPr>
        <w:t>（二）合格投标方</w:t>
      </w:r>
    </w:p>
    <w:p w14:paraId="78F600E5">
      <w:pPr>
        <w:widowControl/>
        <w:shd w:val="clear" w:color="auto" w:fill="FFFFFF"/>
        <w:spacing w:line="500" w:lineRule="exact"/>
        <w:ind w:firstLine="480" w:firstLineChars="200"/>
        <w:jc w:val="left"/>
        <w:rPr>
          <w:rFonts w:ascii="宋体" w:hAnsi="宋体"/>
          <w:kern w:val="0"/>
          <w:sz w:val="24"/>
          <w:szCs w:val="24"/>
        </w:rPr>
      </w:pPr>
      <w:r>
        <w:rPr>
          <w:rFonts w:hint="eastAsia" w:ascii="宋体" w:hAnsi="宋体"/>
          <w:kern w:val="0"/>
          <w:sz w:val="24"/>
          <w:szCs w:val="24"/>
        </w:rPr>
        <w:t>详见招标公告。</w:t>
      </w:r>
    </w:p>
    <w:p w14:paraId="0B0EBFCF">
      <w:pPr>
        <w:widowControl/>
        <w:shd w:val="clear" w:color="auto" w:fill="FFFFFF"/>
        <w:spacing w:line="500" w:lineRule="exact"/>
        <w:ind w:firstLine="480" w:firstLineChars="200"/>
        <w:jc w:val="left"/>
        <w:rPr>
          <w:rFonts w:ascii="宋体" w:hAnsi="宋体"/>
          <w:kern w:val="0"/>
          <w:sz w:val="24"/>
          <w:szCs w:val="24"/>
        </w:rPr>
      </w:pPr>
      <w:r>
        <w:rPr>
          <w:rFonts w:hint="eastAsia" w:ascii="宋体" w:hAnsi="宋体"/>
          <w:kern w:val="0"/>
          <w:sz w:val="24"/>
          <w:szCs w:val="24"/>
        </w:rPr>
        <w:t>凡符合上述条件的银行均可前来参加投标。</w:t>
      </w:r>
    </w:p>
    <w:p w14:paraId="25D97DFF">
      <w:pPr>
        <w:widowControl/>
        <w:shd w:val="clear" w:color="auto" w:fill="FFFFFF"/>
        <w:spacing w:line="500" w:lineRule="exact"/>
        <w:ind w:firstLine="480" w:firstLineChars="200"/>
        <w:jc w:val="left"/>
        <w:rPr>
          <w:rFonts w:ascii="宋体" w:hAnsi="宋体"/>
          <w:kern w:val="0"/>
          <w:sz w:val="24"/>
          <w:szCs w:val="24"/>
        </w:rPr>
      </w:pPr>
      <w:r>
        <w:rPr>
          <w:rFonts w:hint="eastAsia" w:ascii="宋体" w:hAnsi="宋体"/>
          <w:kern w:val="0"/>
          <w:sz w:val="24"/>
          <w:szCs w:val="24"/>
        </w:rPr>
        <w:t>无论投标过程中的做法和结果如何，投标人自行承担所有与参加投标活动有关的所发生的全部费用。</w:t>
      </w:r>
    </w:p>
    <w:p w14:paraId="18194BDE">
      <w:pPr>
        <w:shd w:val="clear" w:color="auto" w:fill="FFFFFF"/>
        <w:autoSpaceDE w:val="0"/>
        <w:autoSpaceDN w:val="0"/>
        <w:adjustRightInd w:val="0"/>
        <w:spacing w:line="500" w:lineRule="exact"/>
        <w:ind w:right="-61" w:rightChars="-29" w:firstLine="551" w:firstLineChars="196"/>
        <w:jc w:val="left"/>
        <w:outlineLvl w:val="0"/>
        <w:rPr>
          <w:rFonts w:ascii="宋体" w:hAnsi="宋体"/>
          <w:b/>
          <w:bCs/>
          <w:kern w:val="0"/>
          <w:sz w:val="28"/>
          <w:szCs w:val="28"/>
          <w:shd w:val="clear" w:color="auto" w:fill="FFFFFF"/>
        </w:rPr>
      </w:pPr>
      <w:r>
        <w:rPr>
          <w:rFonts w:hint="eastAsia" w:ascii="宋体" w:hAnsi="宋体"/>
          <w:b/>
          <w:bCs/>
          <w:kern w:val="0"/>
          <w:sz w:val="28"/>
          <w:szCs w:val="28"/>
          <w:shd w:val="clear" w:color="auto" w:fill="FFFFFF"/>
        </w:rPr>
        <w:t>二、招标文件</w:t>
      </w:r>
    </w:p>
    <w:p w14:paraId="028A9CC6">
      <w:pPr>
        <w:widowControl/>
        <w:shd w:val="clear" w:color="auto" w:fill="FFFFFF"/>
        <w:spacing w:line="500" w:lineRule="exact"/>
        <w:ind w:firstLine="420" w:firstLineChars="200"/>
        <w:jc w:val="left"/>
        <w:rPr>
          <w:rFonts w:ascii="宋体" w:hAnsi="宋体"/>
          <w:kern w:val="0"/>
          <w:sz w:val="24"/>
          <w:szCs w:val="24"/>
        </w:rPr>
      </w:pPr>
      <w:r>
        <w:rPr>
          <w:rFonts w:hint="eastAsia" w:ascii="宋体" w:hAnsi="宋体"/>
          <w:kern w:val="0"/>
          <w:shd w:val="clear" w:color="auto" w:fill="FFFFFF"/>
        </w:rPr>
        <w:t>（</w:t>
      </w:r>
      <w:r>
        <w:rPr>
          <w:rFonts w:hint="eastAsia" w:ascii="宋体" w:hAnsi="宋体"/>
          <w:kern w:val="0"/>
          <w:sz w:val="24"/>
          <w:szCs w:val="24"/>
        </w:rPr>
        <w:t>一）招标文件：</w:t>
      </w:r>
    </w:p>
    <w:p w14:paraId="589313D5">
      <w:pPr>
        <w:widowControl/>
        <w:shd w:val="clear" w:color="auto" w:fill="FFFFFF"/>
        <w:spacing w:line="500" w:lineRule="exact"/>
        <w:ind w:firstLine="480" w:firstLineChars="200"/>
        <w:jc w:val="left"/>
        <w:rPr>
          <w:rFonts w:ascii="宋体" w:hAnsi="宋体"/>
          <w:kern w:val="0"/>
          <w:sz w:val="24"/>
          <w:szCs w:val="24"/>
        </w:rPr>
      </w:pPr>
      <w:r>
        <w:rPr>
          <w:rFonts w:hint="eastAsia" w:ascii="宋体" w:hAnsi="宋体"/>
          <w:kern w:val="0"/>
          <w:sz w:val="24"/>
          <w:szCs w:val="24"/>
        </w:rPr>
        <w:t>1、招标文件由招标文件总目录所列内容以及补充通知组成。</w:t>
      </w:r>
    </w:p>
    <w:p w14:paraId="23610ECB">
      <w:pPr>
        <w:widowControl/>
        <w:shd w:val="clear" w:color="auto" w:fill="FFFFFF"/>
        <w:spacing w:line="500" w:lineRule="exact"/>
        <w:ind w:firstLine="480" w:firstLineChars="200"/>
        <w:jc w:val="left"/>
        <w:rPr>
          <w:rFonts w:ascii="宋体" w:hAnsi="宋体"/>
          <w:kern w:val="0"/>
          <w:sz w:val="24"/>
          <w:szCs w:val="24"/>
        </w:rPr>
      </w:pPr>
      <w:r>
        <w:rPr>
          <w:rFonts w:hint="eastAsia" w:ascii="宋体" w:hAnsi="宋体"/>
          <w:kern w:val="0"/>
          <w:sz w:val="24"/>
          <w:szCs w:val="24"/>
        </w:rPr>
        <w:t>（二）招标文件的澄清</w:t>
      </w:r>
    </w:p>
    <w:p w14:paraId="7B8969C5">
      <w:pPr>
        <w:widowControl/>
        <w:shd w:val="clear" w:color="auto" w:fill="FFFFFF"/>
        <w:wordWrap w:val="0"/>
        <w:spacing w:line="500" w:lineRule="exact"/>
        <w:ind w:firstLine="480" w:firstLineChars="200"/>
        <w:jc w:val="left"/>
        <w:rPr>
          <w:rFonts w:ascii="宋体" w:hAnsi="宋体"/>
          <w:kern w:val="0"/>
          <w:sz w:val="24"/>
          <w:szCs w:val="24"/>
        </w:rPr>
      </w:pPr>
      <w:r>
        <w:rPr>
          <w:rFonts w:hint="eastAsia" w:ascii="宋体" w:hAnsi="宋体"/>
          <w:kern w:val="0"/>
          <w:sz w:val="24"/>
          <w:szCs w:val="24"/>
        </w:rPr>
        <w:t xml:space="preserve">   投标人获取招标文件后，若有问题需要澄清，应自招标文件发布在三门县公共资源交易中心网站上（http://www.sanmen.gov.cn/col/col1229610743/index.html）3日内，以无记名书面形式向招标人提出，招标人的答复将发布在三门县公共资源交易中心网站上（http://www.sanmen.gov.cn/col/col1229610743/index.html）。招标人及招标代理机构的任何工作人员对投标人所作的任何口头解释、介绍、答复，只能供投标人参考，对招标人无任何约束力。</w:t>
      </w:r>
    </w:p>
    <w:p w14:paraId="55751ED2">
      <w:pPr>
        <w:widowControl/>
        <w:shd w:val="clear" w:color="auto" w:fill="FFFFFF"/>
        <w:spacing w:line="500" w:lineRule="exact"/>
        <w:ind w:firstLine="480" w:firstLineChars="200"/>
        <w:jc w:val="left"/>
        <w:rPr>
          <w:rFonts w:ascii="宋体" w:hAnsi="宋体"/>
          <w:kern w:val="0"/>
          <w:sz w:val="24"/>
          <w:szCs w:val="24"/>
        </w:rPr>
      </w:pPr>
      <w:r>
        <w:rPr>
          <w:rFonts w:hint="eastAsia" w:ascii="宋体" w:hAnsi="宋体"/>
          <w:kern w:val="0"/>
          <w:sz w:val="24"/>
          <w:szCs w:val="24"/>
        </w:rPr>
        <w:t>（三）招标文件的修改</w:t>
      </w:r>
    </w:p>
    <w:p w14:paraId="2DC04D20">
      <w:pPr>
        <w:widowControl/>
        <w:shd w:val="clear" w:color="auto" w:fill="FFFFFF"/>
        <w:spacing w:line="500" w:lineRule="exact"/>
        <w:ind w:firstLine="480" w:firstLineChars="200"/>
        <w:jc w:val="left"/>
        <w:rPr>
          <w:rFonts w:ascii="宋体" w:hAnsi="宋体"/>
          <w:kern w:val="0"/>
          <w:sz w:val="24"/>
          <w:szCs w:val="24"/>
        </w:rPr>
      </w:pPr>
      <w:r>
        <w:rPr>
          <w:rFonts w:hint="eastAsia" w:ascii="宋体" w:hAnsi="宋体"/>
          <w:kern w:val="0"/>
          <w:sz w:val="24"/>
          <w:szCs w:val="24"/>
        </w:rPr>
        <w:t>1、招标文件的澄清、修改、补充等内容均以发布在三门县公共资源交易中心网站上（http://www.sanmen.gov.cn/col/col1229610743/index.html）的内容为准。当招标文件、招标文件的澄清、修改、补充等在同一内容的表述上不一致时，以最后发出的文件为准。</w:t>
      </w:r>
    </w:p>
    <w:p w14:paraId="1D7E683A">
      <w:pPr>
        <w:widowControl/>
        <w:shd w:val="clear" w:color="auto" w:fill="FFFFFF"/>
        <w:spacing w:line="500" w:lineRule="exact"/>
        <w:ind w:firstLine="480" w:firstLineChars="200"/>
        <w:jc w:val="left"/>
        <w:rPr>
          <w:rFonts w:ascii="宋体" w:hAnsi="宋体"/>
          <w:kern w:val="0"/>
          <w:sz w:val="24"/>
          <w:szCs w:val="24"/>
        </w:rPr>
      </w:pPr>
      <w:r>
        <w:rPr>
          <w:rFonts w:hint="eastAsia" w:ascii="宋体" w:hAnsi="宋体"/>
          <w:kern w:val="0"/>
          <w:sz w:val="24"/>
          <w:szCs w:val="24"/>
        </w:rPr>
        <w:t>2、在提交投标文件截止时间三日前，招标方可视采购具体情况对已发出的招标文件进行必要的澄清或修改，招标人可能以补充通知的方式修改招标文件。招标文件的修改书将构成招标文件的一部分，对投标方有约束力。</w:t>
      </w:r>
    </w:p>
    <w:p w14:paraId="5D1B009F">
      <w:pPr>
        <w:widowControl/>
        <w:shd w:val="clear" w:color="auto" w:fill="FFFFFF"/>
        <w:spacing w:line="500" w:lineRule="exact"/>
        <w:ind w:firstLine="480" w:firstLineChars="200"/>
        <w:jc w:val="left"/>
        <w:rPr>
          <w:rFonts w:ascii="宋体" w:hAnsi="宋体"/>
          <w:kern w:val="0"/>
          <w:sz w:val="24"/>
          <w:szCs w:val="24"/>
        </w:rPr>
      </w:pPr>
      <w:r>
        <w:rPr>
          <w:rFonts w:hint="eastAsia" w:ascii="宋体" w:hAnsi="宋体"/>
          <w:kern w:val="0"/>
          <w:sz w:val="24"/>
          <w:szCs w:val="24"/>
        </w:rPr>
        <w:t>3、招标文件的澄清、修改、补充等内容将发布在三门县公共资源交易中心网站上（http://www.sanmen.gov.cn/col/col1229610743/index.html），这些内容作为招标文件的组成部分，对投标人起约束作用。投标人开标前应随时关注网站上的最新答疑信息。</w:t>
      </w:r>
    </w:p>
    <w:p w14:paraId="5167140A">
      <w:pPr>
        <w:autoSpaceDE w:val="0"/>
        <w:autoSpaceDN w:val="0"/>
        <w:adjustRightInd w:val="0"/>
        <w:spacing w:line="600" w:lineRule="exact"/>
        <w:ind w:right="-61" w:rightChars="-29" w:firstLine="551" w:firstLineChars="196"/>
        <w:rPr>
          <w:rFonts w:ascii="宋体" w:hAnsi="宋体"/>
          <w:b/>
          <w:bCs/>
          <w:kern w:val="0"/>
          <w:sz w:val="28"/>
          <w:szCs w:val="28"/>
          <w:shd w:val="clear" w:color="auto" w:fill="FFFFFF"/>
        </w:rPr>
      </w:pPr>
      <w:r>
        <w:rPr>
          <w:rFonts w:hint="eastAsia" w:ascii="宋体" w:hAnsi="宋体"/>
          <w:b/>
          <w:bCs/>
          <w:kern w:val="0"/>
          <w:sz w:val="28"/>
          <w:szCs w:val="28"/>
          <w:shd w:val="clear" w:color="auto" w:fill="FFFFFF"/>
        </w:rPr>
        <w:t>三、投标文件</w:t>
      </w:r>
    </w:p>
    <w:p w14:paraId="485C22CC">
      <w:pPr>
        <w:widowControl/>
        <w:shd w:val="clear" w:color="auto" w:fill="FFFFFF"/>
        <w:spacing w:line="600" w:lineRule="exact"/>
        <w:ind w:firstLine="480" w:firstLineChars="200"/>
        <w:jc w:val="left"/>
        <w:rPr>
          <w:rFonts w:ascii="宋体" w:hAnsi="宋体"/>
          <w:kern w:val="0"/>
          <w:sz w:val="24"/>
          <w:szCs w:val="24"/>
        </w:rPr>
      </w:pPr>
      <w:r>
        <w:rPr>
          <w:rFonts w:hint="eastAsia" w:ascii="宋体" w:hAnsi="宋体"/>
          <w:kern w:val="0"/>
          <w:sz w:val="24"/>
          <w:szCs w:val="24"/>
        </w:rPr>
        <w:t>（一）投标文件的要求</w:t>
      </w:r>
    </w:p>
    <w:p w14:paraId="5A8B204A">
      <w:pPr>
        <w:widowControl/>
        <w:shd w:val="clear" w:color="auto" w:fill="FFFFFF"/>
        <w:spacing w:line="600" w:lineRule="exact"/>
        <w:ind w:firstLine="480" w:firstLineChars="200"/>
        <w:jc w:val="left"/>
        <w:rPr>
          <w:rFonts w:ascii="宋体" w:hAnsi="宋体"/>
          <w:kern w:val="0"/>
          <w:sz w:val="24"/>
          <w:szCs w:val="24"/>
        </w:rPr>
      </w:pPr>
      <w:r>
        <w:rPr>
          <w:rFonts w:hint="eastAsia" w:ascii="宋体" w:hAnsi="宋体"/>
          <w:kern w:val="0"/>
          <w:sz w:val="24"/>
          <w:szCs w:val="24"/>
        </w:rPr>
        <w:t>1、投标方应仔细阅读招标文件的所有内容，按招标文件的要求详细编制投标文件，并保证投标文件的正确性和真实性。</w:t>
      </w:r>
    </w:p>
    <w:p w14:paraId="4CDE1E21">
      <w:pPr>
        <w:widowControl/>
        <w:shd w:val="clear" w:color="auto" w:fill="FFFFFF"/>
        <w:spacing w:line="600" w:lineRule="exact"/>
        <w:ind w:firstLine="480" w:firstLineChars="200"/>
        <w:jc w:val="left"/>
        <w:rPr>
          <w:rFonts w:ascii="宋体" w:hAnsi="宋体"/>
          <w:kern w:val="0"/>
          <w:sz w:val="24"/>
          <w:szCs w:val="24"/>
        </w:rPr>
      </w:pPr>
      <w:r>
        <w:rPr>
          <w:rFonts w:hint="eastAsia" w:ascii="宋体" w:hAnsi="宋体"/>
          <w:kern w:val="0"/>
          <w:sz w:val="24"/>
          <w:szCs w:val="24"/>
        </w:rPr>
        <w:t>2、不按招标文件的要求提供的投标文件将被拒绝。</w:t>
      </w:r>
    </w:p>
    <w:p w14:paraId="2543E46E">
      <w:pPr>
        <w:widowControl/>
        <w:shd w:val="clear" w:color="auto" w:fill="FFFFFF"/>
        <w:spacing w:line="600" w:lineRule="exact"/>
        <w:ind w:firstLine="480" w:firstLineChars="200"/>
        <w:jc w:val="left"/>
        <w:rPr>
          <w:rFonts w:ascii="宋体" w:hAnsi="宋体"/>
          <w:kern w:val="0"/>
          <w:sz w:val="24"/>
          <w:szCs w:val="24"/>
        </w:rPr>
      </w:pPr>
      <w:r>
        <w:rPr>
          <w:rFonts w:hint="eastAsia" w:ascii="宋体" w:hAnsi="宋体"/>
          <w:kern w:val="0"/>
          <w:sz w:val="24"/>
          <w:szCs w:val="24"/>
        </w:rPr>
        <w:t>（二）投标文件的组成</w:t>
      </w:r>
    </w:p>
    <w:p w14:paraId="6A4548D8">
      <w:pPr>
        <w:widowControl/>
        <w:shd w:val="clear" w:color="auto" w:fill="FFFFFF"/>
        <w:spacing w:line="600" w:lineRule="exact"/>
        <w:ind w:firstLine="480" w:firstLineChars="200"/>
        <w:jc w:val="left"/>
        <w:rPr>
          <w:rFonts w:ascii="宋体" w:hAnsi="宋体"/>
          <w:kern w:val="0"/>
          <w:sz w:val="24"/>
          <w:szCs w:val="24"/>
        </w:rPr>
      </w:pPr>
      <w:r>
        <w:rPr>
          <w:rFonts w:hint="eastAsia" w:ascii="宋体" w:hAnsi="宋体"/>
          <w:kern w:val="0"/>
          <w:sz w:val="24"/>
          <w:szCs w:val="24"/>
        </w:rPr>
        <w:t xml:space="preserve">投标人接到招标文件后，按照招标方的要求提供： </w:t>
      </w:r>
    </w:p>
    <w:p w14:paraId="43ED5983">
      <w:pPr>
        <w:widowControl/>
        <w:shd w:val="clear" w:color="auto" w:fill="FFFFFF"/>
        <w:spacing w:line="600" w:lineRule="exact"/>
        <w:ind w:firstLine="480" w:firstLineChars="200"/>
        <w:jc w:val="left"/>
        <w:rPr>
          <w:rFonts w:ascii="宋体" w:hAnsi="宋体"/>
          <w:kern w:val="0"/>
          <w:sz w:val="24"/>
          <w:szCs w:val="24"/>
        </w:rPr>
      </w:pPr>
      <w:r>
        <w:rPr>
          <w:rFonts w:hint="eastAsia" w:ascii="宋体" w:hAnsi="宋体"/>
          <w:kern w:val="0"/>
          <w:sz w:val="24"/>
          <w:szCs w:val="24"/>
        </w:rPr>
        <w:t>1、三门县企业经济融资担保有限责任公司资金竞争性存放竞标标书（附件1）；</w:t>
      </w:r>
    </w:p>
    <w:p w14:paraId="45FB8135">
      <w:pPr>
        <w:widowControl/>
        <w:shd w:val="clear" w:color="auto" w:fill="FFFFFF"/>
        <w:spacing w:line="600" w:lineRule="exact"/>
        <w:ind w:firstLine="480" w:firstLineChars="200"/>
        <w:jc w:val="left"/>
        <w:rPr>
          <w:rFonts w:ascii="宋体" w:hAnsi="宋体"/>
          <w:kern w:val="0"/>
          <w:sz w:val="24"/>
          <w:szCs w:val="24"/>
        </w:rPr>
      </w:pPr>
      <w:r>
        <w:rPr>
          <w:rFonts w:hint="eastAsia" w:ascii="宋体" w:hAnsi="宋体"/>
          <w:kern w:val="0"/>
          <w:sz w:val="24"/>
          <w:szCs w:val="24"/>
        </w:rPr>
        <w:t>2、授权委托书（附件2）；</w:t>
      </w:r>
    </w:p>
    <w:p w14:paraId="32FB13DF">
      <w:pPr>
        <w:widowControl/>
        <w:shd w:val="clear" w:color="auto" w:fill="FFFFFF"/>
        <w:spacing w:line="600" w:lineRule="exact"/>
        <w:ind w:firstLine="480" w:firstLineChars="200"/>
        <w:jc w:val="left"/>
        <w:rPr>
          <w:rFonts w:ascii="宋体" w:hAnsi="宋体"/>
          <w:kern w:val="0"/>
          <w:sz w:val="24"/>
          <w:szCs w:val="24"/>
        </w:rPr>
      </w:pPr>
      <w:r>
        <w:rPr>
          <w:rFonts w:hint="eastAsia" w:ascii="宋体" w:hAnsi="宋体"/>
          <w:kern w:val="0"/>
          <w:sz w:val="24"/>
          <w:szCs w:val="24"/>
        </w:rPr>
        <w:t>3、证书材料（</w:t>
      </w:r>
      <w:r>
        <w:rPr>
          <w:rFonts w:hint="eastAsia" w:ascii="黑体" w:hAnsi="黑体" w:eastAsia="黑体"/>
          <w:b/>
          <w:kern w:val="0"/>
          <w:sz w:val="24"/>
          <w:szCs w:val="24"/>
        </w:rPr>
        <w:t>证书要求提供与原件一致的复印件，复印件要求加盖单位公章。提供原件备查，原件无需密封</w:t>
      </w:r>
      <w:r>
        <w:rPr>
          <w:rFonts w:hint="eastAsia" w:ascii="宋体" w:hAnsi="宋体"/>
          <w:kern w:val="0"/>
          <w:sz w:val="24"/>
          <w:szCs w:val="24"/>
        </w:rPr>
        <w:t>）；</w:t>
      </w:r>
    </w:p>
    <w:p w14:paraId="3FA87C62">
      <w:pPr>
        <w:widowControl/>
        <w:shd w:val="clear" w:color="auto" w:fill="FFFFFF"/>
        <w:spacing w:line="500" w:lineRule="exact"/>
        <w:ind w:firstLine="480" w:firstLineChars="200"/>
        <w:jc w:val="left"/>
        <w:rPr>
          <w:rFonts w:ascii="宋体" w:hAnsi="宋体"/>
          <w:kern w:val="0"/>
          <w:sz w:val="24"/>
          <w:szCs w:val="24"/>
        </w:rPr>
      </w:pPr>
      <w:r>
        <w:rPr>
          <w:rFonts w:hint="eastAsia" w:ascii="宋体" w:hAnsi="宋体"/>
          <w:kern w:val="0"/>
          <w:sz w:val="24"/>
          <w:szCs w:val="24"/>
        </w:rPr>
        <w:t>（1）企业营业执照副本、金融许可证；</w:t>
      </w:r>
    </w:p>
    <w:p w14:paraId="38D55112">
      <w:pPr>
        <w:widowControl/>
        <w:shd w:val="clear" w:color="auto" w:fill="FFFFFF"/>
        <w:spacing w:line="500" w:lineRule="exact"/>
        <w:ind w:firstLine="480" w:firstLineChars="200"/>
        <w:jc w:val="left"/>
        <w:rPr>
          <w:rFonts w:ascii="宋体" w:hAnsi="宋体"/>
          <w:kern w:val="0"/>
          <w:sz w:val="24"/>
          <w:szCs w:val="24"/>
        </w:rPr>
      </w:pPr>
      <w:r>
        <w:rPr>
          <w:rFonts w:hint="eastAsia" w:ascii="宋体" w:hAnsi="宋体"/>
          <w:kern w:val="0"/>
          <w:sz w:val="24"/>
          <w:szCs w:val="24"/>
        </w:rPr>
        <w:t>（2）人民银行年度综合评价B级及以上(可提供人民银行证明文件)；</w:t>
      </w:r>
    </w:p>
    <w:p w14:paraId="40338C3E">
      <w:pPr>
        <w:widowControl/>
        <w:shd w:val="clear" w:color="auto" w:fill="FFFFFF"/>
        <w:spacing w:line="500" w:lineRule="exact"/>
        <w:ind w:firstLine="482" w:firstLineChars="200"/>
        <w:jc w:val="left"/>
        <w:rPr>
          <w:rFonts w:ascii="宋体"/>
          <w:b/>
          <w:bCs/>
          <w:kern w:val="0"/>
          <w:sz w:val="24"/>
          <w:szCs w:val="24"/>
        </w:rPr>
      </w:pPr>
      <w:r>
        <w:rPr>
          <w:rFonts w:hint="eastAsia" w:ascii="宋体" w:hAnsi="宋体"/>
          <w:b/>
          <w:bCs/>
          <w:kern w:val="0"/>
          <w:sz w:val="24"/>
          <w:szCs w:val="24"/>
        </w:rPr>
        <w:t>（3）</w:t>
      </w:r>
      <w:r>
        <w:rPr>
          <w:rFonts w:hint="eastAsia" w:ascii="宋体"/>
          <w:b/>
          <w:bCs/>
          <w:kern w:val="0"/>
          <w:sz w:val="24"/>
          <w:szCs w:val="24"/>
        </w:rPr>
        <w:t>上年度在我县纳税总额（按税务部门提供的上年度在我县纳税总额为准）；</w:t>
      </w:r>
    </w:p>
    <w:p w14:paraId="07D865C6">
      <w:pPr>
        <w:widowControl/>
        <w:shd w:val="clear" w:color="auto" w:fill="FFFFFF"/>
        <w:spacing w:line="600" w:lineRule="atLeast"/>
        <w:ind w:firstLine="480" w:firstLineChars="200"/>
        <w:jc w:val="left"/>
      </w:pPr>
      <w:r>
        <w:rPr>
          <w:rFonts w:hint="eastAsia" w:ascii="宋体" w:hAnsi="宋体"/>
          <w:color w:val="000000"/>
          <w:kern w:val="0"/>
          <w:sz w:val="24"/>
          <w:szCs w:val="24"/>
        </w:rPr>
        <w:t>（4）</w:t>
      </w:r>
      <w:r>
        <w:rPr>
          <w:rFonts w:hint="eastAsia" w:ascii="宋体" w:hAnsi="宋体"/>
          <w:kern w:val="0"/>
          <w:sz w:val="24"/>
          <w:szCs w:val="24"/>
        </w:rPr>
        <w:t>银监部门年度监管评级2级以上（可提供省、市级以上证明文件）；</w:t>
      </w:r>
    </w:p>
    <w:p w14:paraId="49B403E7">
      <w:pPr>
        <w:widowControl/>
        <w:shd w:val="clear" w:color="auto" w:fill="FFFFFF"/>
        <w:spacing w:line="500" w:lineRule="exact"/>
        <w:ind w:firstLine="480" w:firstLineChars="200"/>
        <w:jc w:val="left"/>
        <w:rPr>
          <w:rFonts w:ascii="宋体" w:hAnsi="宋体"/>
          <w:kern w:val="0"/>
          <w:sz w:val="24"/>
          <w:szCs w:val="24"/>
        </w:rPr>
      </w:pPr>
      <w:r>
        <w:rPr>
          <w:rFonts w:hint="eastAsia" w:ascii="宋体" w:hAnsi="宋体"/>
          <w:kern w:val="0"/>
          <w:sz w:val="24"/>
          <w:szCs w:val="24"/>
        </w:rPr>
        <w:t>（5）根据评分表提供相应的文件和资料。</w:t>
      </w:r>
    </w:p>
    <w:p w14:paraId="238873F6">
      <w:pPr>
        <w:widowControl/>
        <w:shd w:val="clear" w:color="auto" w:fill="FFFFFF"/>
        <w:spacing w:line="500" w:lineRule="exact"/>
        <w:ind w:firstLine="480" w:firstLineChars="200"/>
        <w:jc w:val="left"/>
        <w:rPr>
          <w:rFonts w:ascii="宋体" w:hAnsi="宋体"/>
          <w:kern w:val="0"/>
          <w:sz w:val="24"/>
          <w:szCs w:val="24"/>
        </w:rPr>
      </w:pPr>
      <w:r>
        <w:rPr>
          <w:rFonts w:hint="eastAsia" w:ascii="宋体" w:hAnsi="宋体"/>
          <w:kern w:val="0"/>
          <w:sz w:val="24"/>
          <w:szCs w:val="24"/>
        </w:rPr>
        <w:t>4、投标方对日常服务的承诺。</w:t>
      </w:r>
    </w:p>
    <w:p w14:paraId="3758784E">
      <w:pPr>
        <w:widowControl/>
        <w:shd w:val="clear" w:color="auto" w:fill="FFFFFF"/>
        <w:spacing w:line="500" w:lineRule="exact"/>
        <w:ind w:firstLine="480" w:firstLineChars="200"/>
        <w:jc w:val="left"/>
        <w:rPr>
          <w:rFonts w:ascii="宋体" w:hAnsi="宋体"/>
          <w:kern w:val="0"/>
          <w:sz w:val="24"/>
          <w:szCs w:val="24"/>
        </w:rPr>
      </w:pPr>
      <w:r>
        <w:rPr>
          <w:rFonts w:hint="eastAsia" w:ascii="宋体" w:hAnsi="宋体"/>
          <w:kern w:val="0"/>
          <w:sz w:val="24"/>
          <w:szCs w:val="24"/>
        </w:rPr>
        <w:t>5、廉政承诺书；</w:t>
      </w:r>
    </w:p>
    <w:p w14:paraId="4F0E2E42">
      <w:pPr>
        <w:widowControl/>
        <w:shd w:val="clear" w:color="auto" w:fill="FFFFFF"/>
        <w:spacing w:line="600" w:lineRule="exact"/>
        <w:ind w:firstLine="480" w:firstLineChars="200"/>
        <w:jc w:val="left"/>
        <w:rPr>
          <w:rFonts w:ascii="宋体" w:hAnsi="宋体"/>
          <w:kern w:val="0"/>
          <w:sz w:val="24"/>
          <w:szCs w:val="24"/>
        </w:rPr>
      </w:pPr>
      <w:r>
        <w:rPr>
          <w:rFonts w:hint="eastAsia" w:ascii="宋体" w:hAnsi="宋体"/>
          <w:kern w:val="0"/>
          <w:sz w:val="24"/>
          <w:szCs w:val="24"/>
        </w:rPr>
        <w:t>6、其他（投标单位针对本次项目需阐述说明的事项）。</w:t>
      </w:r>
    </w:p>
    <w:p w14:paraId="632D6637">
      <w:pPr>
        <w:widowControl/>
        <w:shd w:val="clear" w:color="auto" w:fill="FFFFFF"/>
        <w:spacing w:line="600" w:lineRule="exact"/>
        <w:ind w:firstLine="480" w:firstLineChars="200"/>
        <w:jc w:val="left"/>
        <w:rPr>
          <w:rFonts w:ascii="宋体" w:hAnsi="宋体"/>
          <w:kern w:val="0"/>
          <w:sz w:val="24"/>
          <w:szCs w:val="24"/>
        </w:rPr>
      </w:pPr>
      <w:r>
        <w:rPr>
          <w:rFonts w:hint="eastAsia" w:ascii="宋体" w:hAnsi="宋体"/>
          <w:kern w:val="0"/>
          <w:sz w:val="24"/>
          <w:szCs w:val="24"/>
        </w:rPr>
        <w:t>（三）投标文件的有效期</w:t>
      </w:r>
    </w:p>
    <w:p w14:paraId="36795E55">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1、自开标日起 90天内，投标书应保持有效。有效期短于这个规定期限的投标将被拒绝。</w:t>
      </w:r>
    </w:p>
    <w:p w14:paraId="4362EADA">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2、在特殊情况下，招标方可与投标方协商延长投标书的有效期，这种要求和答复均应书面形式进行。</w:t>
      </w:r>
    </w:p>
    <w:p w14:paraId="16231021">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3、投标方可拒绝接受延期要求。同意延长有效期的投标方不能修改投标文件。</w:t>
      </w:r>
    </w:p>
    <w:p w14:paraId="0B4E1163">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（四）投标文件的签署</w:t>
      </w:r>
    </w:p>
    <w:p w14:paraId="4361FD28">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1、本次的相关投标文件需打印或用不退色的墨水填写。</w:t>
      </w:r>
    </w:p>
    <w:p w14:paraId="20AB0678">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2、投标文件不得涂改和增删，如有错漏必须修改，修改处须由同一签署人签字或盖章。由于字迹模糊或表达不清引起的后果由投标方负责。</w:t>
      </w:r>
    </w:p>
    <w:p w14:paraId="3E7428B5">
      <w:pPr>
        <w:widowControl/>
        <w:shd w:val="clear" w:color="auto" w:fill="FFFFFF"/>
        <w:spacing w:line="520" w:lineRule="exact"/>
        <w:ind w:firstLine="551" w:firstLineChars="196"/>
        <w:jc w:val="left"/>
        <w:rPr>
          <w:rFonts w:ascii="宋体" w:hAnsi="宋体"/>
          <w:b/>
          <w:bCs/>
          <w:kern w:val="0"/>
          <w:sz w:val="28"/>
          <w:szCs w:val="28"/>
        </w:rPr>
      </w:pPr>
      <w:r>
        <w:rPr>
          <w:rFonts w:hint="eastAsia" w:ascii="宋体" w:hAnsi="宋体"/>
          <w:b/>
          <w:bCs/>
          <w:kern w:val="0"/>
          <w:sz w:val="28"/>
          <w:szCs w:val="28"/>
        </w:rPr>
        <w:t>四、投标文件的递交</w:t>
      </w:r>
    </w:p>
    <w:p w14:paraId="27E85E70">
      <w:pPr>
        <w:widowControl/>
        <w:shd w:val="clear" w:color="auto" w:fill="FFFFFF"/>
        <w:spacing w:line="520" w:lineRule="exact"/>
        <w:jc w:val="left"/>
        <w:rPr>
          <w:rFonts w:ascii="宋体" w:hAnsi="宋体"/>
          <w:kern w:val="0"/>
          <w:sz w:val="24"/>
          <w:szCs w:val="24"/>
        </w:rPr>
      </w:pPr>
      <w:r>
        <w:rPr>
          <w:rFonts w:hint="eastAsia" w:ascii="宋体" w:hAnsi="宋体"/>
          <w:b/>
          <w:bCs/>
          <w:kern w:val="0"/>
          <w:sz w:val="24"/>
          <w:szCs w:val="24"/>
          <w:shd w:val="clear" w:color="auto" w:fill="FFFFFF"/>
        </w:rPr>
        <w:t xml:space="preserve">  </w:t>
      </w:r>
      <w:r>
        <w:rPr>
          <w:rFonts w:hint="eastAsia" w:ascii="宋体" w:hAnsi="宋体"/>
          <w:kern w:val="0"/>
          <w:sz w:val="24"/>
          <w:szCs w:val="24"/>
          <w:shd w:val="clear" w:color="auto" w:fill="FFFFFF"/>
        </w:rPr>
        <w:t xml:space="preserve"> （</w:t>
      </w:r>
      <w:r>
        <w:rPr>
          <w:rFonts w:hint="eastAsia" w:ascii="宋体" w:hAnsi="宋体"/>
          <w:kern w:val="0"/>
          <w:sz w:val="24"/>
          <w:szCs w:val="24"/>
        </w:rPr>
        <w:t>一）投标文件装订要求</w:t>
      </w:r>
    </w:p>
    <w:p w14:paraId="6EB1CE6B">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1、所有投标资料按投标文件的组成所列内容及顺序装订成册，且含有目录及页码。投标文件正本一份副本四份，请在投标文件封面上加盖“正本”或“副本”字样。</w:t>
      </w:r>
    </w:p>
    <w:p w14:paraId="7F76676B">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2、投标文件封面和密封封皮上均写明招标编号、招标项目名称、投标方名称， “开标时启封”字样。密封皮封口处上必须盖有投标单位公章或投标全权代表签字。</w:t>
      </w:r>
    </w:p>
    <w:p w14:paraId="2D2C3DE3">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 xml:space="preserve"> 3、如果投标方未按上述要求密封及加写标记，招标方对投标文件的误投和提前启封不负责任。</w:t>
      </w:r>
    </w:p>
    <w:p w14:paraId="3BB7D0E3">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（二）投标截止时间</w:t>
      </w:r>
    </w:p>
    <w:p w14:paraId="1A819384">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1、投标文件必须在规定的投标截止时间前派人送达指定的投标地点。</w:t>
      </w:r>
    </w:p>
    <w:p w14:paraId="2F4C0D10">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2、如有特殊情况，招标方延长截止时间和开标时间，招标方和投标方的权利和义务将受到新的截止时间和开标时间的约束。</w:t>
      </w:r>
    </w:p>
    <w:p w14:paraId="09A0B551">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（三）投标文件的补充、修改和撤回。</w:t>
      </w:r>
    </w:p>
    <w:p w14:paraId="76B4DC9C">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投标方如需对上交的投标文件进行补充、修改或撤回的，必须在投标截止时间以前书面通知招标方（邮寄或送达）。</w:t>
      </w:r>
    </w:p>
    <w:p w14:paraId="6EB0598F">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投标修改文件必须密封，在密封袋上写明招标编号、招标项目名称、投标方名称、并注明“修改文件”、“开标时启封”字样，其作为投标文件的组成部份。</w:t>
      </w:r>
    </w:p>
    <w:p w14:paraId="6A9F6814">
      <w:pPr>
        <w:autoSpaceDE w:val="0"/>
        <w:autoSpaceDN w:val="0"/>
        <w:adjustRightInd w:val="0"/>
        <w:spacing w:line="520" w:lineRule="exact"/>
        <w:ind w:right="-61" w:rightChars="-29" w:firstLine="694" w:firstLineChars="247"/>
        <w:jc w:val="left"/>
        <w:outlineLvl w:val="0"/>
        <w:rPr>
          <w:rFonts w:ascii="宋体" w:hAnsi="宋体"/>
          <w:b/>
          <w:bCs/>
          <w:kern w:val="0"/>
          <w:sz w:val="28"/>
          <w:szCs w:val="28"/>
          <w:shd w:val="clear" w:color="auto" w:fill="FFFFFF"/>
        </w:rPr>
      </w:pPr>
      <w:r>
        <w:rPr>
          <w:rFonts w:hint="eastAsia" w:ascii="宋体" w:hAnsi="宋体"/>
          <w:b/>
          <w:bCs/>
          <w:kern w:val="0"/>
          <w:sz w:val="28"/>
          <w:szCs w:val="28"/>
          <w:shd w:val="clear" w:color="auto" w:fill="FFFFFF"/>
        </w:rPr>
        <w:t>五、开标和评标</w:t>
      </w:r>
    </w:p>
    <w:p w14:paraId="7D46F695">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（一）开标</w:t>
      </w:r>
    </w:p>
    <w:p w14:paraId="263F0E88">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1、招标方在“招标公告”规定的时间和地点公开开标。</w:t>
      </w:r>
    </w:p>
    <w:p w14:paraId="0C99D70B">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2、开标时，招标方将检查投标文件的密封情况在确认无误后拆封唱标，并做唱标记录。</w:t>
      </w:r>
    </w:p>
    <w:p w14:paraId="74A45BE2">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（二）评标委员会</w:t>
      </w:r>
    </w:p>
    <w:p w14:paraId="1BFD85C5">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 xml:space="preserve"> 1、招标方将根据本次招标的特点按照有关规定组建评标委员会，评标委员会对投标文件进行审查、质疑、评估和比较。</w:t>
      </w:r>
    </w:p>
    <w:p w14:paraId="6933314A">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 xml:space="preserve"> 2、招标期间，投标方应由法定代表人或其授权人参加询标。  </w:t>
      </w:r>
    </w:p>
    <w:p w14:paraId="60732892">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（三）对“投标文件”的资格性检查、符合性检查和响应性的确定</w:t>
      </w:r>
    </w:p>
    <w:p w14:paraId="1FB2A546">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1、资格性检查。评标委员会对投标文件中的资格证明等进行审查，以确定投标人是否具备投标资格。</w:t>
      </w:r>
    </w:p>
    <w:p w14:paraId="62EDCF7E">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2、符合性检查。评标委员会从投标文件的有效性、完整性和对招标文件的响应程度进行审查，以确定是否对招标文件的实质性要求作出响应。</w:t>
      </w:r>
    </w:p>
    <w:p w14:paraId="0E81B373">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 xml:space="preserve"> 3、实质性响应的投标是指符合“招标文件”的所有条款、条件和规定，且没有重大偏离或保留。重大偏离或保留系指影响到“招标文件”规定的范围、质量和性能，或限制了投标方的义务的规定。而纠正这些偏离将影响到其它提交实质性响应投标的投标方的公平竞争地位。</w:t>
      </w:r>
    </w:p>
    <w:p w14:paraId="2803AD74">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4、评标委员会判断“投标文件”的响应性，仅基于“投标文件”本身而不靠外部证据。</w:t>
      </w:r>
    </w:p>
    <w:p w14:paraId="2DDAC685">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5、招标方将拒绝被评标委员会确定为非实质性响应的投标方。投标方不能通过修正或撤销不符之处，而使其投标成为实质性响应的投标。</w:t>
      </w:r>
    </w:p>
    <w:p w14:paraId="60630BEC">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6、发生下列情况之一的投标文件被视为无效标处理：</w:t>
      </w:r>
    </w:p>
    <w:p w14:paraId="72918D52">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（1）不具备招标文件中规定资格要求的；</w:t>
      </w:r>
    </w:p>
    <w:p w14:paraId="5D3A32C0">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（2）未按照招标文件规定要求密封、签署、盖章的；</w:t>
      </w:r>
    </w:p>
    <w:p w14:paraId="2B183D89">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（3）投标人的报价均低于保底价的；</w:t>
      </w:r>
    </w:p>
    <w:p w14:paraId="378EDCA2">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 xml:space="preserve"> (4)不符合法律、法规和招标文件中规定的其他实质性要求的。</w:t>
      </w:r>
    </w:p>
    <w:p w14:paraId="78563A97">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7、有下列情况之一的，本次招标作为废标处理：</w:t>
      </w:r>
    </w:p>
    <w:p w14:paraId="68869977">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（1）出现影响采购公正的违法、违规行为的；</w:t>
      </w:r>
    </w:p>
    <w:p w14:paraId="670EE820">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（2）投标人的报价均低于保底价的；</w:t>
      </w:r>
    </w:p>
    <w:p w14:paraId="708668DB">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（3）因重大变故，采购任务取消的。</w:t>
      </w:r>
    </w:p>
    <w:p w14:paraId="17FC35C5">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（四）询标及投标文件的澄清</w:t>
      </w:r>
    </w:p>
    <w:p w14:paraId="3FF5E9FF">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1、询标是评标中的重要环节，投标人代表必须接受评标委员会的询标。</w:t>
      </w:r>
    </w:p>
    <w:p w14:paraId="5DE43A08">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2、对投标文件中含义不明确、同类问题表述不一致或者有明显文字和计算错误的内容，评标委员会以书面形式要求投标人作出必要的澄清、说明或者纠正，投标人以书面回复，由其授权的代表签字，并不得超出投标文件的范围或者改变投标文件的实质性内容。</w:t>
      </w:r>
    </w:p>
    <w:p w14:paraId="1A2965BE">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（五）评标原则和方法`</w:t>
      </w:r>
    </w:p>
    <w:p w14:paraId="662A3C8C">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1、评标委员会对所有投标方的投标评估，都采用相同的程序和标准。</w:t>
      </w:r>
    </w:p>
    <w:p w14:paraId="5176766E">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2、评标严格按照招标文件的要求和条件进行。</w:t>
      </w:r>
    </w:p>
    <w:p w14:paraId="61B79456">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3、评标委员会就所有投标文件是否对招标文件的实质性要求作出完全响应进行审查，确定合格投标人。</w:t>
      </w:r>
    </w:p>
    <w:p w14:paraId="3D2D7047">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4、评标委员会将综合分析合格投标方的各项指标，而不是以单项指标的优劣评选出中标单位。</w:t>
      </w:r>
    </w:p>
    <w:p w14:paraId="2D462838">
      <w:pPr>
        <w:autoSpaceDE w:val="0"/>
        <w:autoSpaceDN w:val="0"/>
        <w:adjustRightInd w:val="0"/>
        <w:spacing w:line="520" w:lineRule="exact"/>
        <w:ind w:right="-61" w:rightChars="-29" w:firstLine="562" w:firstLineChars="200"/>
        <w:jc w:val="left"/>
        <w:outlineLvl w:val="0"/>
        <w:rPr>
          <w:rFonts w:ascii="宋体" w:hAnsi="宋体"/>
          <w:b/>
          <w:bCs/>
          <w:kern w:val="0"/>
          <w:sz w:val="28"/>
          <w:szCs w:val="28"/>
          <w:shd w:val="clear" w:color="auto" w:fill="FFFFFF"/>
        </w:rPr>
      </w:pPr>
      <w:r>
        <w:rPr>
          <w:rFonts w:hint="eastAsia" w:ascii="宋体" w:hAnsi="宋体"/>
          <w:b/>
          <w:bCs/>
          <w:kern w:val="0"/>
          <w:sz w:val="28"/>
          <w:szCs w:val="28"/>
          <w:shd w:val="clear" w:color="auto" w:fill="FFFFFF"/>
        </w:rPr>
        <w:t>六、授予合同</w:t>
      </w:r>
    </w:p>
    <w:p w14:paraId="0508406E">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shd w:val="clear" w:color="auto" w:fill="FFFFFF"/>
        </w:rPr>
        <w:t>（</w:t>
      </w:r>
      <w:r>
        <w:rPr>
          <w:rFonts w:hint="eastAsia" w:ascii="宋体" w:hAnsi="宋体"/>
          <w:kern w:val="0"/>
          <w:sz w:val="24"/>
          <w:szCs w:val="24"/>
        </w:rPr>
        <w:t>一）中标条件</w:t>
      </w:r>
    </w:p>
    <w:p w14:paraId="32D1ECD9">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（1）投标文件基本符合招标文件要求；</w:t>
      </w:r>
    </w:p>
    <w:p w14:paraId="4760384B">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（2）投标方有很好的执行合同的能力；</w:t>
      </w:r>
    </w:p>
    <w:p w14:paraId="79D278BB">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（3）合同条款便于招标方操作。</w:t>
      </w:r>
    </w:p>
    <w:p w14:paraId="4D149E96">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 xml:space="preserve"> 招标方将把中标通知书授予最佳投标者。</w:t>
      </w:r>
    </w:p>
    <w:p w14:paraId="67AC17F2">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（二）中标通知</w:t>
      </w:r>
    </w:p>
    <w:p w14:paraId="3E90D1C4">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 xml:space="preserve">  1、在投标有效期内，招标方将以书面形式通知中标方。</w:t>
      </w:r>
    </w:p>
    <w:p w14:paraId="659B0D5C">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（三）在投标有效期内，招标方将通知其他投标单位招标结果。招标方对未中标的投标方不作落标原因解释。</w:t>
      </w:r>
    </w:p>
    <w:p w14:paraId="571AA73B">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（四）签定合同</w:t>
      </w:r>
    </w:p>
    <w:p w14:paraId="7088F0DF">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 xml:space="preserve"> 1、中标方应按规定签订合同。</w:t>
      </w:r>
    </w:p>
    <w:p w14:paraId="1F5EEFD8">
      <w:pPr>
        <w:widowControl/>
        <w:shd w:val="clear" w:color="auto" w:fill="FFFFFF"/>
        <w:spacing w:line="520" w:lineRule="exact"/>
        <w:ind w:firstLine="600" w:firstLineChars="250"/>
        <w:jc w:val="left"/>
        <w:rPr>
          <w:rFonts w:ascii="宋体" w:hAnsi="宋体"/>
          <w:kern w:val="0"/>
          <w:sz w:val="24"/>
          <w:szCs w:val="24"/>
        </w:rPr>
      </w:pPr>
      <w:r>
        <w:rPr>
          <w:rFonts w:hint="eastAsia" w:ascii="宋体" w:hAnsi="宋体"/>
          <w:kern w:val="0"/>
          <w:sz w:val="24"/>
          <w:szCs w:val="24"/>
        </w:rPr>
        <w:t xml:space="preserve">2、招标文件、中标方的投标文件及投标修改文件、评标过程中有关澄清文件及经双方签字的询标纪要和中标通知书均作为合同签订相关依据。  </w:t>
      </w:r>
    </w:p>
    <w:p w14:paraId="2236EDC9">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3、拒签合同的责任</w:t>
      </w:r>
    </w:p>
    <w:p w14:paraId="0DDC3B6E">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中标方拒收中标通知书或接到中标通知书后，在规定时间内借故否认已经承诺的条件而拒签合同，以投标违约处理，并赔偿由此造成的经济损失。</w:t>
      </w:r>
    </w:p>
    <w:p w14:paraId="21054373">
      <w:pPr>
        <w:widowControl/>
        <w:shd w:val="clear" w:color="auto" w:fill="FFFFFF"/>
        <w:spacing w:line="520" w:lineRule="exact"/>
        <w:ind w:firstLine="562" w:firstLineChars="200"/>
        <w:jc w:val="left"/>
        <w:rPr>
          <w:rFonts w:ascii="宋体" w:hAnsi="宋体"/>
          <w:b/>
          <w:kern w:val="0"/>
          <w:sz w:val="28"/>
          <w:szCs w:val="28"/>
        </w:rPr>
      </w:pPr>
      <w:r>
        <w:rPr>
          <w:rFonts w:hint="eastAsia" w:ascii="宋体" w:hAnsi="宋体"/>
          <w:b/>
          <w:kern w:val="0"/>
          <w:sz w:val="28"/>
          <w:szCs w:val="28"/>
        </w:rPr>
        <w:t>七、招标方式与程序</w:t>
      </w:r>
    </w:p>
    <w:p w14:paraId="58827B23">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 xml:space="preserve">（一）招标方式：本次招标采取公开招标方式。      </w:t>
      </w:r>
    </w:p>
    <w:p w14:paraId="53BFAC19">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（二）招标程序：</w:t>
      </w:r>
    </w:p>
    <w:p w14:paraId="480F4474">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1、发出公告；</w:t>
      </w:r>
    </w:p>
    <w:p w14:paraId="6EBF791B">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2、投标单位领取标书；</w:t>
      </w:r>
    </w:p>
    <w:p w14:paraId="5D2091FC">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 xml:space="preserve">3、投标； </w:t>
      </w:r>
    </w:p>
    <w:p w14:paraId="5ACC827E">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4、开标；</w:t>
      </w:r>
    </w:p>
    <w:p w14:paraId="7BB19B11">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 xml:space="preserve">5、询标，按序号分别进行； </w:t>
      </w:r>
    </w:p>
    <w:p w14:paraId="5B2412B4">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6、评标，评标小组成员进行评审；</w:t>
      </w:r>
    </w:p>
    <w:p w14:paraId="57A1274E">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 xml:space="preserve">7、定标； </w:t>
      </w:r>
    </w:p>
    <w:p w14:paraId="1C29FC84">
      <w:pPr>
        <w:widowControl/>
        <w:shd w:val="clear" w:color="auto" w:fill="FFFFFF"/>
        <w:spacing w:line="520" w:lineRule="exact"/>
        <w:ind w:firstLine="480" w:firstLineChars="200"/>
        <w:jc w:val="left"/>
        <w:rPr>
          <w:rFonts w:ascii="宋体" w:hAnsi="宋体"/>
          <w:kern w:val="0"/>
          <w:sz w:val="24"/>
          <w:szCs w:val="24"/>
        </w:rPr>
      </w:pPr>
      <w:r>
        <w:rPr>
          <w:rFonts w:hint="eastAsia" w:ascii="宋体" w:hAnsi="宋体"/>
          <w:kern w:val="0"/>
          <w:sz w:val="24"/>
          <w:szCs w:val="24"/>
        </w:rPr>
        <w:t>8、发中标通知书。</w:t>
      </w:r>
    </w:p>
    <w:p w14:paraId="1D9791DD">
      <w:pPr>
        <w:widowControl/>
        <w:shd w:val="clear" w:color="auto" w:fill="FFFFFF"/>
        <w:spacing w:line="520" w:lineRule="exact"/>
        <w:ind w:firstLine="562" w:firstLineChars="200"/>
        <w:jc w:val="left"/>
        <w:rPr>
          <w:rFonts w:ascii="宋体" w:hAnsi="宋体"/>
          <w:b/>
          <w:kern w:val="0"/>
          <w:sz w:val="28"/>
          <w:szCs w:val="28"/>
        </w:rPr>
      </w:pPr>
      <w:r>
        <w:rPr>
          <w:rFonts w:hint="eastAsia" w:ascii="宋体" w:hAnsi="宋体"/>
          <w:b/>
          <w:kern w:val="0"/>
          <w:sz w:val="28"/>
          <w:szCs w:val="28"/>
        </w:rPr>
        <w:t>八、招标代理服务费</w:t>
      </w:r>
    </w:p>
    <w:p w14:paraId="40BA0D53">
      <w:pPr>
        <w:widowControl/>
        <w:shd w:val="clear" w:color="auto" w:fill="FFFFFF"/>
        <w:spacing w:line="500" w:lineRule="exact"/>
        <w:ind w:firstLine="480" w:firstLineChars="200"/>
        <w:jc w:val="left"/>
        <w:rPr>
          <w:rFonts w:ascii="宋体" w:hAnsi="宋体"/>
          <w:kern w:val="0"/>
          <w:sz w:val="24"/>
          <w:szCs w:val="24"/>
        </w:rPr>
      </w:pPr>
      <w:r>
        <w:rPr>
          <w:rFonts w:hint="eastAsia" w:ascii="宋体" w:hAnsi="宋体"/>
          <w:kern w:val="0"/>
          <w:sz w:val="24"/>
          <w:szCs w:val="24"/>
        </w:rPr>
        <w:t>1、无论投标过程和结果如何，投标方自行承担与投标有关的全部费用。</w:t>
      </w:r>
    </w:p>
    <w:p w14:paraId="40CE4844">
      <w:pPr>
        <w:widowControl/>
        <w:shd w:val="clear" w:color="auto" w:fill="FFFFFF"/>
        <w:spacing w:line="500" w:lineRule="exact"/>
        <w:ind w:firstLine="480" w:firstLineChars="200"/>
        <w:jc w:val="left"/>
        <w:rPr>
          <w:rFonts w:ascii="宋体" w:hAnsi="宋体"/>
          <w:kern w:val="0"/>
          <w:sz w:val="24"/>
          <w:szCs w:val="24"/>
        </w:rPr>
      </w:pPr>
      <w:r>
        <w:rPr>
          <w:rFonts w:hint="eastAsia" w:ascii="宋体" w:hAnsi="宋体"/>
          <w:kern w:val="0"/>
          <w:sz w:val="24"/>
          <w:szCs w:val="24"/>
        </w:rPr>
        <w:t>2、本次招标代理服务费共8</w:t>
      </w:r>
      <w:r>
        <w:rPr>
          <w:rFonts w:hint="eastAsia" w:ascii="宋体" w:hAnsi="宋体"/>
          <w:kern w:val="0"/>
          <w:sz w:val="24"/>
          <w:szCs w:val="24"/>
          <w:lang w:val="en-US" w:eastAsia="zh-CN"/>
        </w:rPr>
        <w:t>5</w:t>
      </w:r>
      <w:r>
        <w:rPr>
          <w:rFonts w:hint="eastAsia" w:ascii="宋体" w:hAnsi="宋体"/>
          <w:kern w:val="0"/>
          <w:sz w:val="24"/>
          <w:szCs w:val="24"/>
        </w:rPr>
        <w:t>00元（由第一笔资金中标银行支付</w:t>
      </w:r>
      <w:r>
        <w:rPr>
          <w:rFonts w:hint="eastAsia" w:ascii="宋体" w:hAnsi="宋体"/>
          <w:kern w:val="0"/>
          <w:sz w:val="24"/>
          <w:szCs w:val="24"/>
          <w:lang w:val="en-US" w:eastAsia="zh-CN"/>
        </w:rPr>
        <w:t>4</w:t>
      </w:r>
      <w:r>
        <w:rPr>
          <w:rFonts w:hint="eastAsia" w:ascii="宋体" w:hAnsi="宋体"/>
          <w:kern w:val="0"/>
          <w:sz w:val="24"/>
          <w:szCs w:val="24"/>
        </w:rPr>
        <w:t>000元，第二笔资金中标银行支付2</w:t>
      </w:r>
      <w:r>
        <w:rPr>
          <w:rFonts w:hint="eastAsia" w:ascii="宋体" w:hAnsi="宋体"/>
          <w:kern w:val="0"/>
          <w:sz w:val="24"/>
          <w:szCs w:val="24"/>
          <w:lang w:val="en-US" w:eastAsia="zh-CN"/>
        </w:rPr>
        <w:t>50</w:t>
      </w:r>
      <w:r>
        <w:rPr>
          <w:rFonts w:hint="eastAsia" w:ascii="宋体" w:hAnsi="宋体"/>
          <w:kern w:val="0"/>
          <w:sz w:val="24"/>
          <w:szCs w:val="24"/>
        </w:rPr>
        <w:t>0元，第三笔资金中标银行支付</w:t>
      </w:r>
      <w:r>
        <w:rPr>
          <w:rFonts w:hint="eastAsia" w:ascii="宋体" w:hAnsi="宋体"/>
          <w:kern w:val="0"/>
          <w:sz w:val="24"/>
          <w:szCs w:val="24"/>
          <w:lang w:val="en-US" w:eastAsia="zh-CN"/>
        </w:rPr>
        <w:t>20</w:t>
      </w:r>
      <w:r>
        <w:rPr>
          <w:rFonts w:hint="eastAsia" w:ascii="宋体" w:hAnsi="宋体"/>
          <w:kern w:val="0"/>
          <w:sz w:val="24"/>
          <w:szCs w:val="24"/>
        </w:rPr>
        <w:t>00元，在领取中标通知书时支付）。</w:t>
      </w:r>
    </w:p>
    <w:p w14:paraId="70476156">
      <w:pPr>
        <w:pStyle w:val="2"/>
      </w:pPr>
    </w:p>
    <w:p w14:paraId="42269774">
      <w:pPr>
        <w:autoSpaceDE w:val="0"/>
        <w:autoSpaceDN w:val="0"/>
        <w:adjustRightInd w:val="0"/>
        <w:spacing w:line="600" w:lineRule="exact"/>
        <w:ind w:right="-61" w:rightChars="-29"/>
        <w:jc w:val="center"/>
        <w:outlineLvl w:val="0"/>
        <w:rPr>
          <w:rFonts w:ascii="宋体" w:hAnsi="宋体"/>
          <w:b/>
          <w:bCs/>
          <w:sz w:val="24"/>
          <w:szCs w:val="24"/>
        </w:rPr>
      </w:pPr>
    </w:p>
    <w:p w14:paraId="25FFEE06">
      <w:pPr>
        <w:autoSpaceDE w:val="0"/>
        <w:autoSpaceDN w:val="0"/>
        <w:adjustRightInd w:val="0"/>
        <w:spacing w:line="600" w:lineRule="exact"/>
        <w:ind w:right="-61" w:rightChars="-29"/>
        <w:jc w:val="center"/>
        <w:outlineLvl w:val="0"/>
        <w:rPr>
          <w:rFonts w:ascii="宋体" w:hAnsi="宋体"/>
          <w:b/>
          <w:bCs/>
          <w:sz w:val="24"/>
          <w:szCs w:val="24"/>
        </w:rPr>
      </w:pPr>
    </w:p>
    <w:p w14:paraId="2707999C">
      <w:pPr>
        <w:autoSpaceDE w:val="0"/>
        <w:autoSpaceDN w:val="0"/>
        <w:adjustRightInd w:val="0"/>
        <w:spacing w:line="600" w:lineRule="exact"/>
        <w:ind w:right="-61" w:rightChars="-29"/>
        <w:outlineLvl w:val="0"/>
        <w:rPr>
          <w:rFonts w:ascii="宋体" w:hAnsi="宋体"/>
          <w:b/>
          <w:bCs/>
          <w:sz w:val="24"/>
          <w:szCs w:val="24"/>
        </w:rPr>
      </w:pPr>
    </w:p>
    <w:p w14:paraId="1B5B6739">
      <w:pPr>
        <w:pStyle w:val="2"/>
        <w:rPr>
          <w:rFonts w:ascii="宋体" w:hAnsi="宋体"/>
          <w:b/>
          <w:bCs/>
          <w:sz w:val="24"/>
          <w:szCs w:val="24"/>
        </w:rPr>
      </w:pPr>
    </w:p>
    <w:p w14:paraId="649D67A3">
      <w:pPr>
        <w:pStyle w:val="2"/>
        <w:rPr>
          <w:rFonts w:ascii="宋体" w:hAnsi="宋体"/>
          <w:b/>
          <w:bCs/>
          <w:sz w:val="24"/>
          <w:szCs w:val="24"/>
        </w:rPr>
      </w:pPr>
    </w:p>
    <w:p w14:paraId="39CE1847">
      <w:pPr>
        <w:pStyle w:val="2"/>
        <w:rPr>
          <w:rFonts w:ascii="宋体" w:hAnsi="宋体"/>
          <w:b/>
          <w:bCs/>
          <w:sz w:val="24"/>
          <w:szCs w:val="24"/>
        </w:rPr>
      </w:pPr>
    </w:p>
    <w:p w14:paraId="1B993362">
      <w:pPr>
        <w:pStyle w:val="2"/>
        <w:rPr>
          <w:rFonts w:ascii="宋体" w:hAnsi="宋体"/>
          <w:b/>
          <w:bCs/>
          <w:sz w:val="24"/>
          <w:szCs w:val="24"/>
        </w:rPr>
      </w:pPr>
    </w:p>
    <w:p w14:paraId="4C611C66">
      <w:pPr>
        <w:pStyle w:val="2"/>
        <w:rPr>
          <w:rFonts w:ascii="宋体" w:hAnsi="宋体"/>
          <w:b/>
          <w:bCs/>
          <w:sz w:val="24"/>
          <w:szCs w:val="24"/>
        </w:rPr>
      </w:pPr>
    </w:p>
    <w:p w14:paraId="231A2E1A">
      <w:pPr>
        <w:autoSpaceDE w:val="0"/>
        <w:autoSpaceDN w:val="0"/>
        <w:adjustRightInd w:val="0"/>
        <w:spacing w:line="600" w:lineRule="exact"/>
        <w:ind w:right="-61" w:rightChars="-29"/>
        <w:outlineLvl w:val="0"/>
        <w:rPr>
          <w:rFonts w:ascii="宋体" w:hAnsi="宋体"/>
          <w:b/>
          <w:bCs/>
          <w:sz w:val="36"/>
          <w:szCs w:val="36"/>
        </w:rPr>
      </w:pPr>
    </w:p>
    <w:p w14:paraId="0D92D0CE">
      <w:pPr>
        <w:pStyle w:val="2"/>
      </w:pPr>
    </w:p>
    <w:p w14:paraId="5E0BABA3">
      <w:pPr>
        <w:pStyle w:val="2"/>
      </w:pPr>
    </w:p>
    <w:p w14:paraId="779EA124">
      <w:pPr>
        <w:pStyle w:val="2"/>
      </w:pPr>
    </w:p>
    <w:p w14:paraId="3394F6C4">
      <w:pPr>
        <w:autoSpaceDE w:val="0"/>
        <w:autoSpaceDN w:val="0"/>
        <w:adjustRightInd w:val="0"/>
        <w:spacing w:line="600" w:lineRule="exact"/>
        <w:ind w:right="-61" w:rightChars="-29"/>
        <w:jc w:val="center"/>
        <w:outlineLvl w:val="0"/>
        <w:rPr>
          <w:rFonts w:ascii="宋体" w:hAnsi="宋体"/>
          <w:b/>
          <w:bCs/>
          <w:sz w:val="36"/>
          <w:szCs w:val="36"/>
        </w:rPr>
      </w:pPr>
      <w:r>
        <w:rPr>
          <w:rFonts w:hint="eastAsia" w:ascii="宋体" w:hAnsi="宋体"/>
          <w:b/>
          <w:bCs/>
          <w:sz w:val="36"/>
          <w:szCs w:val="36"/>
        </w:rPr>
        <w:t>评标方法、评标标准</w:t>
      </w:r>
    </w:p>
    <w:p w14:paraId="6E2DE212">
      <w:pPr>
        <w:snapToGrid w:val="0"/>
        <w:spacing w:line="600" w:lineRule="exact"/>
        <w:ind w:firstLine="720" w:firstLineChars="300"/>
        <w:rPr>
          <w:rFonts w:ascii="宋体" w:hAnsi="宋体"/>
          <w:color w:val="000000"/>
          <w:sz w:val="24"/>
          <w:szCs w:val="24"/>
        </w:rPr>
      </w:pPr>
      <w:r>
        <w:rPr>
          <w:rFonts w:hint="eastAsia" w:ascii="宋体" w:hAnsi="宋体"/>
          <w:color w:val="000000"/>
          <w:sz w:val="24"/>
          <w:szCs w:val="24"/>
        </w:rPr>
        <w:t>一、评标方法：</w:t>
      </w:r>
      <w:r>
        <w:rPr>
          <w:rFonts w:hint="eastAsia" w:ascii="宋体" w:hAnsi="宋体"/>
          <w:sz w:val="24"/>
          <w:szCs w:val="24"/>
        </w:rPr>
        <w:t>采用综合评分法分标段进行评分。评分指标包括综合评价（20分）、定期存款年利率（40分）、服务水平（5分）</w:t>
      </w:r>
      <w:r>
        <w:rPr>
          <w:rFonts w:hint="eastAsia" w:ascii="宋体" w:hAnsi="宋体"/>
          <w:sz w:val="24"/>
          <w:szCs w:val="24"/>
          <w:lang w:eastAsia="zh-CN"/>
        </w:rPr>
        <w:t>、</w:t>
      </w:r>
      <w:r>
        <w:rPr>
          <w:rFonts w:hint="eastAsia" w:ascii="宋体" w:hAnsi="宋体"/>
          <w:sz w:val="24"/>
          <w:szCs w:val="24"/>
        </w:rPr>
        <w:t>合作情况（35分）等指标。各指</w:t>
      </w:r>
      <w:r>
        <w:rPr>
          <w:rFonts w:hint="eastAsia" w:ascii="宋体" w:hAnsi="宋体"/>
          <w:kern w:val="0"/>
          <w:sz w:val="24"/>
          <w:szCs w:val="24"/>
        </w:rPr>
        <w:t>标具体标准详见综合评分评价指标。</w:t>
      </w:r>
      <w:r>
        <w:rPr>
          <w:rFonts w:hint="eastAsia" w:ascii="宋体" w:hAnsi="宋体"/>
          <w:color w:val="000000"/>
          <w:sz w:val="24"/>
          <w:szCs w:val="24"/>
        </w:rPr>
        <w:t>竞标银行的综合得分</w:t>
      </w:r>
      <w:r>
        <w:rPr>
          <w:rFonts w:ascii="宋体" w:hAnsi="宋体"/>
          <w:color w:val="000000"/>
          <w:sz w:val="24"/>
          <w:szCs w:val="24"/>
        </w:rPr>
        <w:t>=</w:t>
      </w:r>
      <w:r>
        <w:rPr>
          <w:rFonts w:hint="eastAsia" w:ascii="宋体" w:hAnsi="宋体"/>
          <w:sz w:val="24"/>
          <w:szCs w:val="24"/>
        </w:rPr>
        <w:t>综合评价</w:t>
      </w:r>
      <w:r>
        <w:rPr>
          <w:rFonts w:hint="eastAsia" w:ascii="宋体" w:hAnsi="宋体"/>
          <w:color w:val="000000"/>
          <w:sz w:val="24"/>
          <w:szCs w:val="24"/>
        </w:rPr>
        <w:t>得分+</w:t>
      </w:r>
      <w:r>
        <w:rPr>
          <w:rFonts w:hint="eastAsia" w:ascii="宋体" w:hAnsi="宋体"/>
          <w:color w:val="000000"/>
          <w:sz w:val="24"/>
          <w:szCs w:val="24"/>
          <w:lang w:val="en-US" w:eastAsia="zh-CN"/>
        </w:rPr>
        <w:t>定期</w:t>
      </w:r>
      <w:r>
        <w:rPr>
          <w:rFonts w:hint="eastAsia" w:ascii="宋体" w:hAnsi="宋体"/>
          <w:color w:val="000000"/>
          <w:sz w:val="24"/>
          <w:szCs w:val="24"/>
        </w:rPr>
        <w:t>存款</w:t>
      </w:r>
      <w:r>
        <w:rPr>
          <w:rFonts w:hint="eastAsia" w:ascii="宋体" w:hAnsi="宋体"/>
          <w:color w:val="000000"/>
          <w:sz w:val="24"/>
          <w:szCs w:val="24"/>
          <w:lang w:val="en-US" w:eastAsia="zh-CN"/>
        </w:rPr>
        <w:t>年</w:t>
      </w:r>
      <w:r>
        <w:rPr>
          <w:rFonts w:hint="eastAsia" w:ascii="宋体" w:hAnsi="宋体"/>
          <w:color w:val="000000"/>
          <w:sz w:val="24"/>
          <w:szCs w:val="24"/>
        </w:rPr>
        <w:t>利率</w:t>
      </w:r>
      <w:r>
        <w:rPr>
          <w:rFonts w:hint="eastAsia" w:ascii="宋体" w:hAnsi="宋体"/>
          <w:sz w:val="24"/>
          <w:szCs w:val="24"/>
        </w:rPr>
        <w:t>水平</w:t>
      </w:r>
      <w:r>
        <w:rPr>
          <w:rFonts w:hint="eastAsia" w:ascii="宋体" w:hAnsi="宋体"/>
          <w:color w:val="000000"/>
          <w:sz w:val="24"/>
          <w:szCs w:val="24"/>
        </w:rPr>
        <w:t>得分</w:t>
      </w:r>
      <w:r>
        <w:rPr>
          <w:rFonts w:ascii="宋体" w:hAnsi="宋体"/>
          <w:color w:val="000000"/>
          <w:sz w:val="24"/>
          <w:szCs w:val="24"/>
        </w:rPr>
        <w:t>+</w:t>
      </w:r>
      <w:r>
        <w:rPr>
          <w:rFonts w:hint="eastAsia" w:ascii="宋体" w:hAnsi="宋体"/>
          <w:sz w:val="24"/>
          <w:szCs w:val="24"/>
        </w:rPr>
        <w:t>服务水平得分+合作情况</w:t>
      </w:r>
      <w:r>
        <w:rPr>
          <w:rFonts w:ascii="宋体" w:hAnsi="宋体"/>
          <w:color w:val="000000"/>
          <w:sz w:val="24"/>
          <w:szCs w:val="24"/>
        </w:rPr>
        <w:t>得分</w:t>
      </w:r>
      <w:r>
        <w:rPr>
          <w:rFonts w:hint="eastAsia" w:ascii="宋体" w:hAnsi="宋体"/>
          <w:color w:val="000000"/>
          <w:sz w:val="24"/>
          <w:szCs w:val="24"/>
        </w:rPr>
        <w:t>。根据各项评分指标的得分计算并确定综合得分（综合得分保留小数点后二位），按照得分高低排序。</w:t>
      </w:r>
    </w:p>
    <w:p w14:paraId="3B2E36D8">
      <w:pPr>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二、竞标规则：</w:t>
      </w:r>
    </w:p>
    <w:p w14:paraId="1C6F8A4E">
      <w:pPr>
        <w:snapToGrid w:val="0"/>
        <w:spacing w:line="600" w:lineRule="exact"/>
        <w:ind w:firstLine="480" w:firstLineChars="200"/>
        <w:rPr>
          <w:rFonts w:ascii="宋体" w:hAnsi="宋体"/>
          <w:color w:val="000000"/>
          <w:sz w:val="24"/>
          <w:szCs w:val="24"/>
        </w:rPr>
      </w:pPr>
      <w:r>
        <w:rPr>
          <w:rFonts w:hint="eastAsia" w:ascii="宋体" w:hAnsi="宋体"/>
          <w:color w:val="000000"/>
          <w:sz w:val="24"/>
          <w:szCs w:val="24"/>
        </w:rPr>
        <w:t>1、竞标银行少于三家的，取消本次竞标工作，择期重新组织招投标。</w:t>
      </w:r>
    </w:p>
    <w:p w14:paraId="6B8B9160">
      <w:pPr>
        <w:snapToGrid w:val="0"/>
        <w:spacing w:line="600" w:lineRule="exact"/>
        <w:ind w:firstLine="480" w:firstLineChars="200"/>
        <w:rPr>
          <w:rFonts w:ascii="宋体" w:hAnsi="宋体"/>
          <w:sz w:val="24"/>
          <w:szCs w:val="24"/>
        </w:rPr>
      </w:pPr>
      <w:r>
        <w:rPr>
          <w:rFonts w:hint="eastAsia" w:ascii="宋体" w:hAnsi="宋体"/>
          <w:color w:val="000000"/>
          <w:sz w:val="24"/>
          <w:szCs w:val="24"/>
        </w:rPr>
        <w:t>2、若某标段竞标银行所投资金年收益率均低于竞标底价，则该标段作废标处</w:t>
      </w:r>
      <w:r>
        <w:rPr>
          <w:rFonts w:hint="eastAsia" w:ascii="宋体" w:hAnsi="宋体"/>
          <w:sz w:val="24"/>
          <w:szCs w:val="24"/>
        </w:rPr>
        <w:t>理，择期重新组织竞标。</w:t>
      </w:r>
    </w:p>
    <w:p w14:paraId="351A9708">
      <w:pPr>
        <w:widowControl/>
        <w:shd w:val="clear" w:color="auto" w:fill="FFFFFF"/>
        <w:spacing w:line="520" w:lineRule="exact"/>
        <w:ind w:firstLine="480" w:firstLineChars="200"/>
        <w:jc w:val="left"/>
        <w:rPr>
          <w:rFonts w:ascii="宋体" w:hAnsi="宋体" w:cs="宋体"/>
          <w:kern w:val="0"/>
          <w:sz w:val="24"/>
          <w:szCs w:val="24"/>
        </w:rPr>
      </w:pPr>
      <w:r>
        <w:rPr>
          <w:rFonts w:hint="eastAsia" w:ascii="宋体" w:hAnsi="宋体"/>
          <w:sz w:val="24"/>
          <w:szCs w:val="24"/>
        </w:rPr>
        <w:t>3、</w:t>
      </w:r>
      <w:r>
        <w:rPr>
          <w:rFonts w:hint="eastAsia" w:ascii="宋体" w:hAnsi="宋体" w:cs="宋体"/>
          <w:kern w:val="0"/>
          <w:sz w:val="24"/>
          <w:szCs w:val="24"/>
        </w:rPr>
        <w:t>评标委员会根据综合评分指标体系对有效投标银行进行打分，按照参加竞标银行综合得分由高到低排名，综合得分第一名的为中标单位，综合得分第二名的为第二笔资金的中标单位，综合得分第三名的为第三笔资金的中标单位。出现两份或两份以上投标文件的综合得分相同时，以定期存款年利率高着排名在前，如定期存款年利率相同，则抽签确定。</w:t>
      </w:r>
    </w:p>
    <w:p w14:paraId="4DE3C1D1">
      <w:pPr>
        <w:widowControl/>
        <w:shd w:val="clear" w:color="auto" w:fill="FFFFFF"/>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4、各投标银行当期资金定期存款的额度不超过该银行在标书上注明的投标量。</w:t>
      </w:r>
    </w:p>
    <w:p w14:paraId="0FA87A76">
      <w:pPr>
        <w:snapToGrid w:val="0"/>
        <w:spacing w:line="600" w:lineRule="exact"/>
        <w:ind w:firstLine="480" w:firstLineChars="200"/>
        <w:rPr>
          <w:rFonts w:ascii="宋体" w:hAnsi="宋体"/>
          <w:color w:val="000000"/>
          <w:sz w:val="24"/>
          <w:szCs w:val="24"/>
        </w:rPr>
        <w:sectPr>
          <w:footerReference r:id="rId3" w:type="default"/>
          <w:pgSz w:w="11906" w:h="16838"/>
          <w:pgMar w:top="1134" w:right="1489" w:bottom="1134" w:left="1197" w:header="720" w:footer="720" w:gutter="0"/>
          <w:cols w:space="720" w:num="1"/>
          <w:docGrid w:type="lines" w:linePitch="312" w:charSpace="0"/>
        </w:sectPr>
      </w:pPr>
    </w:p>
    <w:tbl>
      <w:tblPr>
        <w:tblStyle w:val="12"/>
        <w:tblW w:w="14120" w:type="dxa"/>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2121"/>
        <w:gridCol w:w="2150"/>
        <w:gridCol w:w="6380"/>
        <w:gridCol w:w="2040"/>
      </w:tblGrid>
      <w:tr w14:paraId="0C93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120" w:type="dxa"/>
            <w:gridSpan w:val="5"/>
            <w:vAlign w:val="center"/>
          </w:tcPr>
          <w:p w14:paraId="0C8BD39D">
            <w:pPr>
              <w:widowControl/>
              <w:jc w:val="center"/>
              <w:rPr>
                <w:rFonts w:ascii="黑体" w:hAnsi="黑体" w:eastAsia="黑体" w:cs="宋体"/>
                <w:kern w:val="0"/>
                <w:sz w:val="36"/>
                <w:szCs w:val="36"/>
              </w:rPr>
            </w:pPr>
            <w:r>
              <w:rPr>
                <w:rFonts w:hint="eastAsia" w:ascii="黑体" w:hAnsi="黑体" w:eastAsia="黑体" w:cs="宋体"/>
                <w:kern w:val="0"/>
                <w:sz w:val="36"/>
                <w:szCs w:val="36"/>
              </w:rPr>
              <w:t>综合评分法评分标准</w:t>
            </w:r>
          </w:p>
        </w:tc>
      </w:tr>
      <w:tr w14:paraId="3AA4D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29" w:type="dxa"/>
            <w:vAlign w:val="center"/>
          </w:tcPr>
          <w:p w14:paraId="152D54A8">
            <w:pPr>
              <w:widowControl/>
              <w:jc w:val="center"/>
              <w:rPr>
                <w:rFonts w:ascii="宋体" w:hAnsi="宋体" w:cs="宋体"/>
                <w:kern w:val="0"/>
              </w:rPr>
            </w:pPr>
            <w:r>
              <w:rPr>
                <w:rFonts w:hint="eastAsia" w:ascii="宋体" w:hAnsi="宋体" w:cs="宋体"/>
                <w:kern w:val="0"/>
              </w:rPr>
              <w:t>指标</w:t>
            </w:r>
          </w:p>
        </w:tc>
        <w:tc>
          <w:tcPr>
            <w:tcW w:w="2121" w:type="dxa"/>
            <w:vAlign w:val="center"/>
          </w:tcPr>
          <w:p w14:paraId="7751B3D7">
            <w:pPr>
              <w:widowControl/>
              <w:jc w:val="center"/>
              <w:rPr>
                <w:rFonts w:ascii="宋体" w:hAnsi="宋体" w:cs="宋体"/>
                <w:kern w:val="0"/>
              </w:rPr>
            </w:pPr>
          </w:p>
        </w:tc>
        <w:tc>
          <w:tcPr>
            <w:tcW w:w="2150" w:type="dxa"/>
            <w:vAlign w:val="center"/>
          </w:tcPr>
          <w:p w14:paraId="112C07B1">
            <w:pPr>
              <w:widowControl/>
              <w:jc w:val="center"/>
              <w:rPr>
                <w:rFonts w:ascii="宋体" w:hAnsi="宋体" w:cs="宋体"/>
                <w:kern w:val="0"/>
              </w:rPr>
            </w:pPr>
            <w:r>
              <w:rPr>
                <w:rFonts w:hint="eastAsia" w:ascii="宋体" w:hAnsi="宋体" w:cs="宋体"/>
                <w:kern w:val="0"/>
              </w:rPr>
              <w:t>分值</w:t>
            </w:r>
          </w:p>
        </w:tc>
        <w:tc>
          <w:tcPr>
            <w:tcW w:w="6380" w:type="dxa"/>
            <w:vAlign w:val="center"/>
          </w:tcPr>
          <w:p w14:paraId="6C251960">
            <w:pPr>
              <w:widowControl/>
              <w:jc w:val="center"/>
              <w:rPr>
                <w:rFonts w:ascii="宋体" w:hAnsi="宋体" w:cs="宋体"/>
                <w:kern w:val="0"/>
              </w:rPr>
            </w:pPr>
            <w:r>
              <w:rPr>
                <w:rFonts w:hint="eastAsia" w:ascii="宋体" w:hAnsi="宋体" w:cs="宋体"/>
                <w:kern w:val="0"/>
              </w:rPr>
              <w:t>评分标准</w:t>
            </w:r>
          </w:p>
        </w:tc>
        <w:tc>
          <w:tcPr>
            <w:tcW w:w="2040" w:type="dxa"/>
            <w:vAlign w:val="center"/>
          </w:tcPr>
          <w:p w14:paraId="22AFD0AF">
            <w:pPr>
              <w:widowControl/>
              <w:jc w:val="center"/>
              <w:rPr>
                <w:rFonts w:ascii="宋体" w:hAnsi="宋体" w:cs="宋体"/>
                <w:b/>
                <w:bCs/>
                <w:kern w:val="0"/>
                <w:sz w:val="24"/>
                <w:szCs w:val="24"/>
                <w:lang w:bidi="ar"/>
              </w:rPr>
            </w:pPr>
            <w:r>
              <w:rPr>
                <w:rFonts w:hint="eastAsia" w:ascii="宋体" w:hAnsi="宋体" w:cs="宋体"/>
                <w:b/>
                <w:bCs/>
                <w:kern w:val="0"/>
                <w:sz w:val="24"/>
                <w:szCs w:val="24"/>
                <w:lang w:bidi="ar"/>
              </w:rPr>
              <w:t>评分依据</w:t>
            </w:r>
          </w:p>
        </w:tc>
      </w:tr>
      <w:tr w14:paraId="57146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429" w:type="dxa"/>
            <w:vMerge w:val="restart"/>
            <w:vAlign w:val="center"/>
          </w:tcPr>
          <w:p w14:paraId="70076F44">
            <w:pPr>
              <w:widowControl/>
              <w:jc w:val="left"/>
              <w:rPr>
                <w:rFonts w:ascii="宋体" w:hAnsi="宋体" w:cs="宋体"/>
                <w:kern w:val="0"/>
              </w:rPr>
            </w:pPr>
            <w:r>
              <w:rPr>
                <w:rFonts w:hint="eastAsia" w:ascii="宋体" w:hAnsi="宋体" w:cs="宋体"/>
                <w:kern w:val="0"/>
              </w:rPr>
              <w:t>一、综合评价</w:t>
            </w:r>
          </w:p>
        </w:tc>
        <w:tc>
          <w:tcPr>
            <w:tcW w:w="2121" w:type="dxa"/>
            <w:vAlign w:val="center"/>
          </w:tcPr>
          <w:p w14:paraId="18B8BF47">
            <w:pPr>
              <w:widowControl/>
              <w:jc w:val="center"/>
              <w:rPr>
                <w:rFonts w:ascii="宋体" w:hAnsi="宋体" w:cs="宋体"/>
                <w:color w:val="FF0000"/>
                <w:kern w:val="0"/>
              </w:rPr>
            </w:pPr>
            <w:r>
              <w:rPr>
                <w:rFonts w:hint="eastAsia" w:ascii="宋体" w:hAnsi="宋体" w:cs="宋体"/>
                <w:color w:val="000000"/>
                <w:kern w:val="0"/>
                <w:sz w:val="20"/>
                <w:szCs w:val="20"/>
              </w:rPr>
              <w:t>金融机构支持地方经济发展考核</w:t>
            </w:r>
          </w:p>
        </w:tc>
        <w:tc>
          <w:tcPr>
            <w:tcW w:w="2150" w:type="dxa"/>
            <w:vAlign w:val="center"/>
          </w:tcPr>
          <w:p w14:paraId="12C3D34E">
            <w:pPr>
              <w:widowControl/>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10分</w:t>
            </w:r>
          </w:p>
        </w:tc>
        <w:tc>
          <w:tcPr>
            <w:tcW w:w="6380" w:type="dxa"/>
            <w:vAlign w:val="center"/>
          </w:tcPr>
          <w:p w14:paraId="7472624B">
            <w:pPr>
              <w:widowControl/>
              <w:jc w:val="left"/>
              <w:rPr>
                <w:rFonts w:ascii="宋体" w:hAnsi="宋体" w:cs="宋体"/>
                <w:color w:val="FF0000"/>
                <w:kern w:val="0"/>
              </w:rPr>
            </w:pPr>
            <w:r>
              <w:rPr>
                <w:rFonts w:hint="eastAsia" w:ascii="宋体" w:hAnsi="宋体" w:cs="宋体"/>
                <w:color w:val="000000"/>
                <w:kern w:val="0"/>
                <w:sz w:val="20"/>
                <w:szCs w:val="20"/>
              </w:rPr>
              <w:t>支持地方经济发展考核，按照各竞标银行上一年度支持地方经济发展考核结果为依据计算得分，优秀得满分，良好得7分，其它得4分。</w:t>
            </w:r>
          </w:p>
        </w:tc>
        <w:tc>
          <w:tcPr>
            <w:tcW w:w="2040" w:type="dxa"/>
            <w:vAlign w:val="center"/>
          </w:tcPr>
          <w:p w14:paraId="00DE15BA">
            <w:pPr>
              <w:widowControl/>
              <w:rPr>
                <w:rFonts w:ascii="宋体" w:hAnsi="宋体" w:cs="宋体"/>
                <w:color w:val="FF0000"/>
                <w:kern w:val="0"/>
              </w:rPr>
            </w:pPr>
            <w:r>
              <w:rPr>
                <w:rFonts w:hint="eastAsia" w:ascii="宋体" w:hAnsi="宋体" w:cs="宋体"/>
                <w:color w:val="000000"/>
                <w:kern w:val="0"/>
                <w:sz w:val="20"/>
                <w:szCs w:val="20"/>
              </w:rPr>
              <w:t>此项数据由县金融中心负责提供。</w:t>
            </w:r>
          </w:p>
        </w:tc>
      </w:tr>
      <w:tr w14:paraId="0848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429" w:type="dxa"/>
            <w:vMerge w:val="continue"/>
            <w:vAlign w:val="center"/>
          </w:tcPr>
          <w:p w14:paraId="55F5A32E">
            <w:pPr>
              <w:widowControl/>
              <w:jc w:val="left"/>
              <w:rPr>
                <w:rFonts w:ascii="宋体" w:hAnsi="宋体" w:cs="宋体"/>
                <w:b/>
                <w:bCs/>
                <w:kern w:val="0"/>
              </w:rPr>
            </w:pPr>
          </w:p>
        </w:tc>
        <w:tc>
          <w:tcPr>
            <w:tcW w:w="2121" w:type="dxa"/>
            <w:vAlign w:val="center"/>
          </w:tcPr>
          <w:p w14:paraId="4E6C5076">
            <w:pPr>
              <w:widowControl/>
              <w:jc w:val="center"/>
              <w:rPr>
                <w:rFonts w:ascii="宋体" w:hAnsi="宋体" w:cs="宋体"/>
                <w:b/>
                <w:bCs/>
                <w:kern w:val="0"/>
              </w:rPr>
            </w:pPr>
            <w:r>
              <w:rPr>
                <w:rFonts w:hint="eastAsia" w:ascii="宋体" w:hAnsi="宋体" w:cs="宋体"/>
                <w:kern w:val="0"/>
              </w:rPr>
              <w:t>不良贷款率</w:t>
            </w:r>
          </w:p>
        </w:tc>
        <w:tc>
          <w:tcPr>
            <w:tcW w:w="2150" w:type="dxa"/>
            <w:vAlign w:val="center"/>
          </w:tcPr>
          <w:p w14:paraId="45D46A0C">
            <w:pPr>
              <w:widowControl/>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10分</w:t>
            </w:r>
          </w:p>
        </w:tc>
        <w:tc>
          <w:tcPr>
            <w:tcW w:w="6380" w:type="dxa"/>
            <w:vAlign w:val="center"/>
          </w:tcPr>
          <w:p w14:paraId="2B3AD475">
            <w:pPr>
              <w:widowControl/>
              <w:jc w:val="left"/>
              <w:rPr>
                <w:rFonts w:ascii="宋体" w:hAnsi="宋体" w:cs="宋体"/>
                <w:kern w:val="0"/>
              </w:rPr>
            </w:pPr>
            <w:r>
              <w:rPr>
                <w:rFonts w:hint="eastAsia" w:ascii="宋体" w:hAnsi="宋体" w:cs="宋体"/>
                <w:kern w:val="0"/>
              </w:rPr>
              <w:t>不良贷款率0-1%(含）得10分，1-2%（含）得7分，2-4%（含）得4分，4%以上得1分。</w:t>
            </w:r>
          </w:p>
        </w:tc>
        <w:tc>
          <w:tcPr>
            <w:tcW w:w="2040" w:type="dxa"/>
            <w:vAlign w:val="center"/>
          </w:tcPr>
          <w:p w14:paraId="1795C38F">
            <w:pPr>
              <w:widowControl/>
              <w:jc w:val="left"/>
              <w:rPr>
                <w:rFonts w:ascii="宋体" w:hAnsi="宋体" w:cs="宋体"/>
                <w:kern w:val="0"/>
              </w:rPr>
            </w:pPr>
            <w:r>
              <w:rPr>
                <w:rFonts w:hint="eastAsia" w:ascii="宋体" w:hAnsi="宋体" w:cs="宋体"/>
                <w:kern w:val="0"/>
              </w:rPr>
              <w:t>此项数据由三门金融监管支局负责提供。</w:t>
            </w:r>
          </w:p>
        </w:tc>
      </w:tr>
      <w:tr w14:paraId="5B5F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29" w:type="dxa"/>
            <w:vAlign w:val="center"/>
          </w:tcPr>
          <w:p w14:paraId="18DFFD67">
            <w:pPr>
              <w:widowControl/>
              <w:jc w:val="left"/>
              <w:rPr>
                <w:rFonts w:ascii="宋体" w:hAnsi="宋体" w:cs="宋体"/>
                <w:kern w:val="0"/>
              </w:rPr>
            </w:pPr>
            <w:r>
              <w:rPr>
                <w:rFonts w:hint="eastAsia" w:ascii="宋体" w:hAnsi="宋体" w:cs="宋体"/>
                <w:kern w:val="0"/>
              </w:rPr>
              <w:t>二、利率水平</w:t>
            </w:r>
          </w:p>
        </w:tc>
        <w:tc>
          <w:tcPr>
            <w:tcW w:w="2121" w:type="dxa"/>
            <w:vAlign w:val="center"/>
          </w:tcPr>
          <w:p w14:paraId="60AB7C3C">
            <w:pPr>
              <w:widowControl/>
              <w:jc w:val="center"/>
              <w:rPr>
                <w:rFonts w:ascii="宋体" w:hAnsi="宋体" w:cs="宋体"/>
                <w:color w:val="FF0000"/>
                <w:kern w:val="0"/>
              </w:rPr>
            </w:pPr>
            <w:r>
              <w:rPr>
                <w:rFonts w:hint="eastAsia" w:ascii="宋体" w:hAnsi="宋体" w:cs="宋体"/>
                <w:kern w:val="0"/>
                <w:sz w:val="20"/>
                <w:szCs w:val="20"/>
              </w:rPr>
              <w:t>定期存款年利率</w:t>
            </w:r>
          </w:p>
        </w:tc>
        <w:tc>
          <w:tcPr>
            <w:tcW w:w="2150" w:type="dxa"/>
            <w:vAlign w:val="center"/>
          </w:tcPr>
          <w:p w14:paraId="1EB4D189">
            <w:pPr>
              <w:widowControl/>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40分</w:t>
            </w:r>
          </w:p>
        </w:tc>
        <w:tc>
          <w:tcPr>
            <w:tcW w:w="6380" w:type="dxa"/>
            <w:vAlign w:val="center"/>
          </w:tcPr>
          <w:p w14:paraId="047F4A7B">
            <w:pPr>
              <w:widowControl/>
              <w:jc w:val="left"/>
              <w:rPr>
                <w:rFonts w:ascii="宋体" w:hAnsi="宋体" w:cs="宋体"/>
                <w:color w:val="FF0000"/>
                <w:kern w:val="0"/>
              </w:rPr>
            </w:pPr>
            <w:r>
              <w:rPr>
                <w:rFonts w:hint="eastAsia" w:ascii="宋体" w:hAnsi="宋体" w:cs="宋体"/>
                <w:kern w:val="0"/>
                <w:sz w:val="20"/>
                <w:szCs w:val="20"/>
              </w:rPr>
              <w:t>按各竞标银行所投的定期存款年利率为依据，最高的得满分，其他竞标银行按与第1名的占比计分。计分方法：得分＝40</w:t>
            </w:r>
            <w:r>
              <w:rPr>
                <w:rFonts w:hint="eastAsia" w:ascii="宋体" w:hAnsi="宋体" w:cs="宋体"/>
                <w:kern w:val="0"/>
              </w:rPr>
              <w:t>*</w:t>
            </w:r>
            <w:r>
              <w:rPr>
                <w:rFonts w:hint="eastAsia" w:ascii="宋体" w:hAnsi="宋体" w:cs="宋体"/>
                <w:kern w:val="0"/>
                <w:sz w:val="20"/>
                <w:szCs w:val="20"/>
              </w:rPr>
              <w:t>（竞标银行定期存款利率水平/Max参与竞标银行定期存款利率水平）。</w:t>
            </w:r>
          </w:p>
        </w:tc>
        <w:tc>
          <w:tcPr>
            <w:tcW w:w="2040" w:type="dxa"/>
            <w:vAlign w:val="center"/>
          </w:tcPr>
          <w:p w14:paraId="3BD2764D">
            <w:pPr>
              <w:widowControl/>
              <w:ind w:firstLine="210" w:firstLineChars="100"/>
              <w:jc w:val="left"/>
              <w:rPr>
                <w:rFonts w:ascii="宋体" w:hAnsi="宋体" w:cs="宋体"/>
                <w:kern w:val="0"/>
              </w:rPr>
            </w:pPr>
            <w:r>
              <w:rPr>
                <w:rFonts w:hint="eastAsia" w:ascii="宋体" w:hAnsi="宋体" w:cs="宋体"/>
                <w:kern w:val="0"/>
              </w:rPr>
              <w:t>现场投标数据</w:t>
            </w:r>
          </w:p>
        </w:tc>
      </w:tr>
      <w:tr w14:paraId="369F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429" w:type="dxa"/>
            <w:vAlign w:val="center"/>
          </w:tcPr>
          <w:p w14:paraId="37E3E04D">
            <w:pPr>
              <w:widowControl/>
              <w:jc w:val="left"/>
              <w:rPr>
                <w:rFonts w:ascii="宋体" w:hAnsi="宋体" w:cs="宋体"/>
                <w:kern w:val="0"/>
              </w:rPr>
            </w:pPr>
            <w:r>
              <w:rPr>
                <w:rFonts w:hint="eastAsia" w:ascii="宋体" w:hAnsi="宋体" w:cs="宋体"/>
                <w:kern w:val="0"/>
              </w:rPr>
              <w:t>三、服务水平</w:t>
            </w:r>
          </w:p>
        </w:tc>
        <w:tc>
          <w:tcPr>
            <w:tcW w:w="2121" w:type="dxa"/>
            <w:vAlign w:val="center"/>
          </w:tcPr>
          <w:p w14:paraId="2E5165E4">
            <w:pPr>
              <w:widowControl/>
              <w:jc w:val="center"/>
              <w:rPr>
                <w:rFonts w:ascii="宋体" w:hAnsi="宋体" w:cs="宋体"/>
                <w:kern w:val="0"/>
              </w:rPr>
            </w:pPr>
            <w:r>
              <w:rPr>
                <w:rFonts w:hint="eastAsia" w:ascii="宋体" w:hAnsi="宋体" w:cs="宋体"/>
                <w:kern w:val="0"/>
              </w:rPr>
              <w:t>服务费减免情况</w:t>
            </w:r>
          </w:p>
        </w:tc>
        <w:tc>
          <w:tcPr>
            <w:tcW w:w="2150" w:type="dxa"/>
            <w:vAlign w:val="center"/>
          </w:tcPr>
          <w:p w14:paraId="7CF393F2">
            <w:pPr>
              <w:widowControl/>
              <w:jc w:val="center"/>
              <w:rPr>
                <w:rFonts w:ascii="宋体" w:hAnsi="宋体" w:cs="宋体"/>
                <w:kern w:val="0"/>
              </w:rPr>
            </w:pPr>
            <w:r>
              <w:rPr>
                <w:rFonts w:hint="eastAsia" w:ascii="宋体" w:hAnsi="宋体" w:cs="宋体"/>
                <w:kern w:val="0"/>
              </w:rPr>
              <w:t>5分</w:t>
            </w:r>
          </w:p>
        </w:tc>
        <w:tc>
          <w:tcPr>
            <w:tcW w:w="6380" w:type="dxa"/>
            <w:vAlign w:val="center"/>
          </w:tcPr>
          <w:p w14:paraId="7B8482E7">
            <w:pPr>
              <w:widowControl/>
              <w:jc w:val="left"/>
              <w:rPr>
                <w:rFonts w:ascii="宋体" w:hAnsi="宋体" w:cs="宋体"/>
                <w:kern w:val="0"/>
              </w:rPr>
            </w:pPr>
            <w:r>
              <w:rPr>
                <w:rFonts w:hint="eastAsia" w:ascii="宋体" w:hAnsi="宋体" w:cs="宋体"/>
                <w:kern w:val="0"/>
              </w:rPr>
              <w:t>各项服务减免包括但不限于询证费(含回函快递费)、交易手续费、网银Ukey 工本费、网银证书更新费用、票据工本费、回单卡年费、账户管理年费、密码器工本费等。不能减免的项目，每项扣1分，扣完为止。(提供承诺书加盖报价银行公章)</w:t>
            </w:r>
          </w:p>
        </w:tc>
        <w:tc>
          <w:tcPr>
            <w:tcW w:w="2040" w:type="dxa"/>
            <w:vAlign w:val="center"/>
          </w:tcPr>
          <w:p w14:paraId="4B294270">
            <w:pPr>
              <w:widowControl/>
              <w:ind w:firstLine="210" w:firstLineChars="100"/>
              <w:jc w:val="left"/>
              <w:rPr>
                <w:rFonts w:ascii="宋体" w:hAnsi="宋体" w:cs="宋体"/>
                <w:kern w:val="0"/>
              </w:rPr>
            </w:pPr>
            <w:r>
              <w:rPr>
                <w:rFonts w:hint="eastAsia" w:ascii="宋体" w:hAnsi="宋体" w:cs="宋体"/>
                <w:kern w:val="0"/>
              </w:rPr>
              <w:t>现场投标数据</w:t>
            </w:r>
          </w:p>
        </w:tc>
      </w:tr>
      <w:tr w14:paraId="1CCF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429" w:type="dxa"/>
            <w:vMerge w:val="restart"/>
            <w:vAlign w:val="center"/>
          </w:tcPr>
          <w:p w14:paraId="5EAE7EDB">
            <w:pPr>
              <w:widowControl/>
              <w:jc w:val="left"/>
              <w:rPr>
                <w:rFonts w:ascii="宋体" w:hAnsi="宋体" w:cs="宋体"/>
                <w:kern w:val="0"/>
              </w:rPr>
            </w:pPr>
            <w:r>
              <w:rPr>
                <w:rFonts w:hint="eastAsia" w:ascii="宋体" w:hAnsi="宋体" w:cs="宋体"/>
                <w:kern w:val="0"/>
              </w:rPr>
              <w:t>四、合作情况</w:t>
            </w:r>
          </w:p>
        </w:tc>
        <w:tc>
          <w:tcPr>
            <w:tcW w:w="2121" w:type="dxa"/>
            <w:vAlign w:val="center"/>
          </w:tcPr>
          <w:p w14:paraId="06F4179E">
            <w:pPr>
              <w:widowControl/>
              <w:jc w:val="center"/>
              <w:rPr>
                <w:rFonts w:ascii="宋体" w:hAnsi="宋体" w:cs="宋体"/>
                <w:kern w:val="0"/>
              </w:rPr>
            </w:pPr>
            <w:r>
              <w:rPr>
                <w:rFonts w:hint="eastAsia" w:ascii="宋体" w:hAnsi="宋体" w:cs="宋体"/>
                <w:kern w:val="0"/>
              </w:rPr>
              <w:t>合作协议情况</w:t>
            </w:r>
          </w:p>
        </w:tc>
        <w:tc>
          <w:tcPr>
            <w:tcW w:w="2150" w:type="dxa"/>
            <w:vAlign w:val="center"/>
          </w:tcPr>
          <w:p w14:paraId="447B5B25">
            <w:pPr>
              <w:widowControl/>
              <w:jc w:val="center"/>
              <w:rPr>
                <w:rFonts w:ascii="宋体" w:hAnsi="宋体" w:cs="宋体"/>
                <w:kern w:val="0"/>
              </w:rPr>
            </w:pPr>
            <w:r>
              <w:rPr>
                <w:rFonts w:hint="eastAsia" w:ascii="宋体" w:hAnsi="宋体" w:cs="宋体"/>
                <w:kern w:val="0"/>
              </w:rPr>
              <w:t>15分</w:t>
            </w:r>
          </w:p>
        </w:tc>
        <w:tc>
          <w:tcPr>
            <w:tcW w:w="6380" w:type="dxa"/>
            <w:vAlign w:val="center"/>
          </w:tcPr>
          <w:p w14:paraId="2890E371">
            <w:pPr>
              <w:widowControl/>
              <w:jc w:val="left"/>
              <w:rPr>
                <w:rFonts w:ascii="宋体" w:hAnsi="宋体" w:cs="宋体"/>
                <w:kern w:val="0"/>
              </w:rPr>
            </w:pPr>
            <w:r>
              <w:rPr>
                <w:rFonts w:hint="eastAsia" w:ascii="宋体" w:hAnsi="宋体" w:cs="宋体"/>
                <w:kern w:val="0"/>
              </w:rPr>
              <w:t>截止到开标当天，与</w:t>
            </w:r>
            <w:r>
              <w:rPr>
                <w:rFonts w:hint="eastAsia" w:ascii="宋体" w:hAnsi="宋体" w:cs="Tahoma"/>
                <w:kern w:val="0"/>
                <w:shd w:val="clear" w:color="auto" w:fill="FFFFFF"/>
              </w:rPr>
              <w:t>三门县企业经济融资担保有限责任公司</w:t>
            </w:r>
            <w:r>
              <w:rPr>
                <w:rFonts w:hint="eastAsia" w:ascii="宋体" w:hAnsi="宋体" w:cs="宋体"/>
                <w:kern w:val="0"/>
              </w:rPr>
              <w:t>签订合作协议的得15分，没有的不得分，需提供相关证明材料。</w:t>
            </w:r>
          </w:p>
        </w:tc>
        <w:tc>
          <w:tcPr>
            <w:tcW w:w="2040" w:type="dxa"/>
            <w:vAlign w:val="center"/>
          </w:tcPr>
          <w:p w14:paraId="6F1F4819">
            <w:pPr>
              <w:widowControl/>
              <w:ind w:firstLine="420" w:firstLineChars="200"/>
              <w:jc w:val="left"/>
              <w:rPr>
                <w:rFonts w:ascii="宋体" w:hAnsi="宋体" w:cs="宋体"/>
                <w:kern w:val="0"/>
              </w:rPr>
            </w:pPr>
            <w:r>
              <w:rPr>
                <w:rFonts w:hint="eastAsia" w:ascii="宋体" w:hAnsi="宋体" w:cs="宋体"/>
                <w:kern w:val="0"/>
              </w:rPr>
              <w:t>业主提供</w:t>
            </w:r>
          </w:p>
        </w:tc>
      </w:tr>
      <w:tr w14:paraId="6BCB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429" w:type="dxa"/>
            <w:vMerge w:val="continue"/>
            <w:vAlign w:val="center"/>
          </w:tcPr>
          <w:p w14:paraId="5C17C086">
            <w:pPr>
              <w:widowControl/>
              <w:jc w:val="left"/>
              <w:rPr>
                <w:rFonts w:ascii="宋体" w:hAnsi="宋体" w:cs="宋体"/>
                <w:kern w:val="0"/>
              </w:rPr>
            </w:pPr>
          </w:p>
        </w:tc>
        <w:tc>
          <w:tcPr>
            <w:tcW w:w="2121" w:type="dxa"/>
            <w:vAlign w:val="center"/>
          </w:tcPr>
          <w:p w14:paraId="6E076156">
            <w:pPr>
              <w:widowControl/>
              <w:jc w:val="center"/>
              <w:rPr>
                <w:rFonts w:ascii="宋体" w:hAnsi="宋体" w:cs="宋体"/>
                <w:kern w:val="0"/>
              </w:rPr>
            </w:pPr>
            <w:r>
              <w:rPr>
                <w:rFonts w:hint="eastAsia" w:ascii="宋体" w:hAnsi="宋体" w:cs="宋体"/>
                <w:kern w:val="0"/>
              </w:rPr>
              <w:t>银行在保余额</w:t>
            </w:r>
          </w:p>
        </w:tc>
        <w:tc>
          <w:tcPr>
            <w:tcW w:w="2150" w:type="dxa"/>
            <w:vAlign w:val="center"/>
          </w:tcPr>
          <w:p w14:paraId="48724B61">
            <w:pPr>
              <w:widowControl/>
              <w:jc w:val="center"/>
              <w:rPr>
                <w:rFonts w:ascii="宋体" w:hAnsi="宋体" w:cs="宋体"/>
                <w:kern w:val="0"/>
              </w:rPr>
            </w:pPr>
            <w:r>
              <w:rPr>
                <w:rFonts w:hint="eastAsia" w:ascii="宋体" w:hAnsi="宋体" w:cs="宋体"/>
                <w:kern w:val="0"/>
              </w:rPr>
              <w:t>20分</w:t>
            </w:r>
          </w:p>
        </w:tc>
        <w:tc>
          <w:tcPr>
            <w:tcW w:w="6380" w:type="dxa"/>
            <w:vAlign w:val="center"/>
          </w:tcPr>
          <w:p w14:paraId="4214C13A">
            <w:pPr>
              <w:widowControl/>
              <w:jc w:val="left"/>
              <w:rPr>
                <w:rFonts w:ascii="宋体" w:hAnsi="宋体" w:cs="宋体"/>
                <w:kern w:val="0"/>
              </w:rPr>
            </w:pPr>
            <w:r>
              <w:rPr>
                <w:rFonts w:hint="eastAsia" w:ascii="宋体" w:hAnsi="宋体" w:cs="宋体"/>
                <w:kern w:val="0"/>
              </w:rPr>
              <w:t>以竞标银行投标截止日上月末与</w:t>
            </w:r>
            <w:r>
              <w:rPr>
                <w:rFonts w:hint="eastAsia" w:ascii="宋体" w:hAnsi="宋体" w:cs="Tahoma"/>
                <w:kern w:val="0"/>
                <w:shd w:val="clear" w:color="auto" w:fill="FFFFFF"/>
              </w:rPr>
              <w:t>三门县企业经济融资担保有限责任公司</w:t>
            </w:r>
            <w:r>
              <w:rPr>
                <w:rFonts w:hint="eastAsia" w:ascii="宋体" w:hAnsi="宋体" w:cs="宋体"/>
                <w:kern w:val="0"/>
              </w:rPr>
              <w:t>合作的在保余额依据得分。计分办法：按合作的在保余额高低排序，第1名得20分，其它竞标银行按与第1名得占比得分。得分=20*（竞标银行在保余额/Max参与竞标银行在保余额）</w:t>
            </w:r>
          </w:p>
        </w:tc>
        <w:tc>
          <w:tcPr>
            <w:tcW w:w="2040" w:type="dxa"/>
            <w:vAlign w:val="center"/>
          </w:tcPr>
          <w:p w14:paraId="096CE6F0">
            <w:pPr>
              <w:widowControl/>
              <w:ind w:firstLine="420" w:firstLineChars="200"/>
              <w:jc w:val="left"/>
              <w:rPr>
                <w:rFonts w:ascii="宋体" w:hAnsi="宋体" w:cs="宋体"/>
                <w:kern w:val="0"/>
              </w:rPr>
            </w:pPr>
            <w:r>
              <w:rPr>
                <w:rFonts w:hint="eastAsia" w:ascii="宋体" w:hAnsi="宋体" w:cs="宋体"/>
                <w:kern w:val="0"/>
              </w:rPr>
              <w:t>业主提供</w:t>
            </w:r>
          </w:p>
        </w:tc>
      </w:tr>
    </w:tbl>
    <w:p w14:paraId="6AD7B5A0">
      <w:pPr>
        <w:widowControl/>
        <w:jc w:val="left"/>
        <w:rPr>
          <w:rFonts w:ascii="仿宋_GB2312" w:hAnsi="仿宋_GB2312" w:eastAsia="仿宋_GB2312" w:cs="仿宋_GB2312"/>
          <w:sz w:val="24"/>
          <w:szCs w:val="24"/>
        </w:rPr>
      </w:pPr>
    </w:p>
    <w:p w14:paraId="19118B18">
      <w:pPr>
        <w:widowControl/>
        <w:spacing w:line="360" w:lineRule="auto"/>
        <w:ind w:firstLine="440" w:firstLineChars="2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1、评标指标采用年度、季度或月度滚动指标，原则上采用竞标投标截止日上月末、上季末或上年度数据，如有关数据尚未公布的，则采用上上月份、上上季度或上上年度的数据。</w:t>
      </w:r>
    </w:p>
    <w:p w14:paraId="61005018">
      <w:pPr>
        <w:widowControl/>
        <w:spacing w:line="360" w:lineRule="auto"/>
        <w:ind w:firstLine="440" w:firstLineChars="200"/>
        <w:jc w:val="left"/>
        <w:rPr>
          <w:rFonts w:asciiTheme="minorEastAsia" w:hAnsiTheme="minorEastAsia" w:eastAsiaTheme="minorEastAsia" w:cstheme="minorEastAsia"/>
          <w:sz w:val="22"/>
          <w:szCs w:val="22"/>
        </w:rPr>
        <w:sectPr>
          <w:pgSz w:w="16838" w:h="11906" w:orient="landscape"/>
          <w:pgMar w:top="1797" w:right="1134" w:bottom="1797" w:left="1134" w:header="720" w:footer="720" w:gutter="0"/>
          <w:cols w:space="720" w:num="1"/>
          <w:docGrid w:type="lines" w:linePitch="312" w:charSpace="0"/>
        </w:sectPr>
      </w:pPr>
      <w:r>
        <w:rPr>
          <w:rFonts w:hint="eastAsia" w:asciiTheme="minorEastAsia" w:hAnsiTheme="minorEastAsia" w:eastAsiaTheme="minorEastAsia" w:cstheme="minorEastAsia"/>
          <w:sz w:val="22"/>
          <w:szCs w:val="22"/>
        </w:rPr>
        <w:t>2、如竞标银行某项指标无数据的，则该项指标不得分。</w:t>
      </w:r>
    </w:p>
    <w:p w14:paraId="17CEDF34">
      <w:pPr>
        <w:widowControl/>
        <w:spacing w:line="600" w:lineRule="exact"/>
        <w:rPr>
          <w:rFonts w:ascii="宋体" w:hAnsi="宋体"/>
          <w:b/>
        </w:rPr>
      </w:pPr>
      <w:r>
        <w:rPr>
          <w:rFonts w:hint="eastAsia" w:ascii="宋体" w:hAnsi="宋体"/>
          <w:b/>
        </w:rPr>
        <w:t>附件1：</w:t>
      </w:r>
    </w:p>
    <w:p w14:paraId="4E8A10D9">
      <w:pPr>
        <w:widowControl/>
        <w:spacing w:line="600" w:lineRule="exact"/>
        <w:ind w:firstLine="723" w:firstLineChars="200"/>
        <w:jc w:val="center"/>
        <w:rPr>
          <w:rFonts w:ascii="宋体" w:hAnsi="宋体"/>
          <w:b/>
          <w:sz w:val="36"/>
          <w:szCs w:val="36"/>
        </w:rPr>
      </w:pPr>
      <w:r>
        <w:rPr>
          <w:rFonts w:hint="eastAsia" w:ascii="宋体" w:hAnsi="宋体"/>
          <w:b/>
          <w:sz w:val="36"/>
          <w:szCs w:val="36"/>
        </w:rPr>
        <w:t>三门县企业经济融资担保有限责任公司资金竞争性存放竞标标书</w:t>
      </w:r>
    </w:p>
    <w:p w14:paraId="12D585BC">
      <w:pPr>
        <w:rPr>
          <w:rFonts w:ascii="宋体" w:hAnsi="宋体"/>
        </w:rPr>
      </w:pPr>
      <w:r>
        <w:rPr>
          <w:rFonts w:hint="eastAsia" w:ascii="宋体" w:hAnsi="宋体"/>
        </w:rPr>
        <w:t xml:space="preserve"> </w:t>
      </w:r>
    </w:p>
    <w:p w14:paraId="49E20CED">
      <w:pPr>
        <w:snapToGrid w:val="0"/>
        <w:spacing w:line="600" w:lineRule="exact"/>
        <w:rPr>
          <w:rFonts w:ascii="宋体" w:hAnsi="宋体" w:cs="Tahoma"/>
          <w:kern w:val="0"/>
          <w:shd w:val="clear" w:color="auto" w:fill="FFFFFF"/>
        </w:rPr>
      </w:pPr>
      <w:r>
        <w:rPr>
          <w:rFonts w:hint="eastAsia" w:ascii="宋体" w:hAnsi="宋体" w:cs="Tahoma"/>
          <w:kern w:val="0"/>
          <w:shd w:val="clear" w:color="auto" w:fill="FFFFFF"/>
        </w:rPr>
        <w:t>三门县企业经济融资担保有限责任公司：</w:t>
      </w:r>
    </w:p>
    <w:p w14:paraId="17C6CD8D">
      <w:pPr>
        <w:snapToGrid w:val="0"/>
        <w:spacing w:line="600" w:lineRule="exact"/>
        <w:ind w:firstLine="420" w:firstLineChars="200"/>
        <w:rPr>
          <w:rFonts w:ascii="宋体" w:hAnsi="宋体" w:cs="Tahoma"/>
          <w:kern w:val="0"/>
          <w:shd w:val="clear" w:color="auto" w:fill="FFFFFF"/>
        </w:rPr>
      </w:pPr>
      <w:r>
        <w:rPr>
          <w:rFonts w:hint="eastAsia" w:ascii="宋体" w:hAnsi="宋体" w:cs="Tahoma"/>
          <w:kern w:val="0"/>
          <w:shd w:val="clear" w:color="auto" w:fill="FFFFFF"/>
        </w:rPr>
        <w:t>我单位承诺：本投标书由我单位授权经办人填写，内容真实、准确、完整。</w:t>
      </w:r>
    </w:p>
    <w:p w14:paraId="47134EEB">
      <w:pPr>
        <w:snapToGrid w:val="0"/>
        <w:spacing w:line="600" w:lineRule="exact"/>
        <w:rPr>
          <w:rFonts w:ascii="宋体" w:hAnsi="宋体" w:cs="Tahoma"/>
          <w:kern w:val="0"/>
          <w:shd w:val="clear" w:color="auto" w:fill="FFFFFF"/>
        </w:rPr>
      </w:pPr>
      <w:r>
        <w:rPr>
          <w:rFonts w:hint="eastAsia" w:ascii="宋体" w:hAnsi="宋体" w:cs="Tahoma"/>
          <w:kern w:val="0"/>
          <w:shd w:val="clear" w:color="auto" w:fill="FFFFFF"/>
        </w:rPr>
        <w:t>投标方名称：_____________________________________</w:t>
      </w:r>
    </w:p>
    <w:p w14:paraId="15E57E07">
      <w:pPr>
        <w:snapToGrid w:val="0"/>
        <w:spacing w:line="600" w:lineRule="exact"/>
        <w:rPr>
          <w:rFonts w:ascii="宋体" w:hAnsi="宋体" w:cs="Tahoma"/>
          <w:kern w:val="0"/>
          <w:shd w:val="clear" w:color="auto" w:fill="FFFFFF"/>
        </w:rPr>
      </w:pPr>
      <w:r>
        <w:rPr>
          <w:rFonts w:hint="eastAsia" w:ascii="宋体" w:hAnsi="宋体" w:cs="Tahoma"/>
          <w:kern w:val="0"/>
          <w:shd w:val="clear" w:color="auto" w:fill="FFFFFF"/>
        </w:rPr>
        <w:t>联系地址：________________________ 邮编：_____________</w:t>
      </w:r>
    </w:p>
    <w:p w14:paraId="777D2C53">
      <w:pPr>
        <w:snapToGrid w:val="0"/>
        <w:spacing w:line="600" w:lineRule="exact"/>
        <w:rPr>
          <w:rFonts w:ascii="宋体" w:hAnsi="宋体" w:cs="Tahoma"/>
          <w:kern w:val="0"/>
          <w:shd w:val="clear" w:color="auto" w:fill="FFFFFF"/>
        </w:rPr>
      </w:pPr>
      <w:r>
        <w:rPr>
          <w:rFonts w:hint="eastAsia" w:ascii="宋体" w:hAnsi="宋体" w:cs="Tahoma"/>
          <w:kern w:val="0"/>
          <w:shd w:val="clear" w:color="auto" w:fill="FFFFFF"/>
        </w:rPr>
        <w:t>联系人：__________________联系电话：________________</w:t>
      </w:r>
    </w:p>
    <w:tbl>
      <w:tblPr>
        <w:tblStyle w:val="12"/>
        <w:tblW w:w="0" w:type="auto"/>
        <w:jc w:val="center"/>
        <w:tblLayout w:type="fixed"/>
        <w:tblCellMar>
          <w:top w:w="0" w:type="dxa"/>
          <w:left w:w="108" w:type="dxa"/>
          <w:bottom w:w="0" w:type="dxa"/>
          <w:right w:w="108" w:type="dxa"/>
        </w:tblCellMar>
      </w:tblPr>
      <w:tblGrid>
        <w:gridCol w:w="1493"/>
        <w:gridCol w:w="2755"/>
        <w:gridCol w:w="2245"/>
        <w:gridCol w:w="2182"/>
      </w:tblGrid>
      <w:tr w14:paraId="3601D12D">
        <w:tblPrEx>
          <w:tblCellMar>
            <w:top w:w="0" w:type="dxa"/>
            <w:left w:w="108" w:type="dxa"/>
            <w:bottom w:w="0" w:type="dxa"/>
            <w:right w:w="108" w:type="dxa"/>
          </w:tblCellMar>
        </w:tblPrEx>
        <w:trPr>
          <w:cantSplit/>
          <w:trHeight w:val="312" w:hRule="atLeast"/>
          <w:jc w:val="center"/>
        </w:trPr>
        <w:tc>
          <w:tcPr>
            <w:tcW w:w="1493" w:type="dxa"/>
            <w:vMerge w:val="restart"/>
            <w:tcBorders>
              <w:top w:val="single" w:color="000000" w:sz="4" w:space="0"/>
              <w:left w:val="single" w:color="000000" w:sz="4" w:space="0"/>
              <w:bottom w:val="single" w:color="000000" w:sz="4" w:space="0"/>
              <w:right w:val="single" w:color="auto" w:sz="4" w:space="0"/>
            </w:tcBorders>
            <w:vAlign w:val="center"/>
          </w:tcPr>
          <w:p w14:paraId="6E004738">
            <w:pPr>
              <w:spacing w:line="300" w:lineRule="exact"/>
              <w:jc w:val="center"/>
              <w:rPr>
                <w:rFonts w:ascii="宋体" w:hAnsi="宋体" w:cs="Tahoma"/>
                <w:kern w:val="0"/>
                <w:shd w:val="clear" w:color="auto" w:fill="FFFFFF"/>
              </w:rPr>
            </w:pPr>
            <w:r>
              <w:rPr>
                <w:rFonts w:hint="eastAsia" w:ascii="宋体" w:hAnsi="宋体" w:cs="Tahoma"/>
                <w:kern w:val="0"/>
                <w:shd w:val="clear" w:color="auto" w:fill="FFFFFF"/>
              </w:rPr>
              <w:t>序号</w:t>
            </w:r>
          </w:p>
        </w:tc>
        <w:tc>
          <w:tcPr>
            <w:tcW w:w="2755" w:type="dxa"/>
            <w:vMerge w:val="restart"/>
            <w:tcBorders>
              <w:top w:val="single" w:color="auto" w:sz="4" w:space="0"/>
              <w:left w:val="nil"/>
              <w:bottom w:val="nil"/>
              <w:right w:val="single" w:color="auto" w:sz="4" w:space="0"/>
            </w:tcBorders>
            <w:vAlign w:val="center"/>
          </w:tcPr>
          <w:p w14:paraId="1B822545">
            <w:pPr>
              <w:spacing w:line="300" w:lineRule="exact"/>
              <w:jc w:val="center"/>
              <w:rPr>
                <w:rFonts w:ascii="宋体" w:hAnsi="宋体" w:cs="Tahoma"/>
                <w:kern w:val="0"/>
                <w:shd w:val="clear" w:color="auto" w:fill="FFFFFF"/>
              </w:rPr>
            </w:pPr>
            <w:r>
              <w:rPr>
                <w:rFonts w:hint="eastAsia" w:ascii="宋体" w:hAnsi="宋体" w:cs="Tahoma"/>
                <w:kern w:val="0"/>
                <w:shd w:val="clear" w:color="auto" w:fill="FFFFFF"/>
              </w:rPr>
              <w:t>资金性质</w:t>
            </w:r>
          </w:p>
        </w:tc>
        <w:tc>
          <w:tcPr>
            <w:tcW w:w="2245" w:type="dxa"/>
            <w:vMerge w:val="restart"/>
            <w:tcBorders>
              <w:top w:val="single" w:color="auto" w:sz="4" w:space="0"/>
              <w:left w:val="nil"/>
              <w:bottom w:val="nil"/>
              <w:right w:val="single" w:color="auto" w:sz="4" w:space="0"/>
            </w:tcBorders>
            <w:vAlign w:val="center"/>
          </w:tcPr>
          <w:p w14:paraId="5BF72EFB">
            <w:pPr>
              <w:spacing w:line="300" w:lineRule="exact"/>
              <w:jc w:val="center"/>
              <w:rPr>
                <w:rFonts w:ascii="宋体" w:hAnsi="宋体" w:cs="Tahoma"/>
                <w:kern w:val="0"/>
                <w:shd w:val="clear" w:color="auto" w:fill="FFFFFF"/>
              </w:rPr>
            </w:pPr>
            <w:r>
              <w:rPr>
                <w:rFonts w:hint="eastAsia" w:ascii="宋体" w:hAnsi="宋体" w:cs="Tahoma"/>
                <w:kern w:val="0"/>
                <w:shd w:val="clear" w:color="auto" w:fill="FFFFFF"/>
              </w:rPr>
              <w:t>投标金额</w:t>
            </w:r>
          </w:p>
          <w:p w14:paraId="6C2D09DD">
            <w:pPr>
              <w:spacing w:line="300" w:lineRule="exact"/>
              <w:jc w:val="center"/>
              <w:rPr>
                <w:rFonts w:ascii="宋体" w:hAnsi="宋体" w:cs="Tahoma"/>
                <w:kern w:val="0"/>
                <w:shd w:val="clear" w:color="auto" w:fill="FFFFFF"/>
              </w:rPr>
            </w:pPr>
            <w:r>
              <w:rPr>
                <w:rFonts w:hint="eastAsia" w:ascii="宋体" w:hAnsi="宋体" w:cs="Tahoma"/>
                <w:kern w:val="0"/>
                <w:shd w:val="clear" w:color="auto" w:fill="FFFFFF"/>
              </w:rPr>
              <w:t>（万元）</w:t>
            </w:r>
          </w:p>
        </w:tc>
        <w:tc>
          <w:tcPr>
            <w:tcW w:w="2182" w:type="dxa"/>
            <w:vMerge w:val="restart"/>
            <w:tcBorders>
              <w:top w:val="single" w:color="000000" w:sz="4" w:space="0"/>
              <w:left w:val="nil"/>
              <w:bottom w:val="single" w:color="000000" w:sz="4" w:space="0"/>
              <w:right w:val="single" w:color="000000" w:sz="4" w:space="0"/>
            </w:tcBorders>
            <w:vAlign w:val="center"/>
          </w:tcPr>
          <w:p w14:paraId="24F28535">
            <w:pPr>
              <w:spacing w:line="300" w:lineRule="exact"/>
              <w:jc w:val="center"/>
              <w:rPr>
                <w:rFonts w:ascii="宋体" w:hAnsi="宋体" w:cs="Tahoma"/>
                <w:kern w:val="0"/>
                <w:shd w:val="clear" w:color="auto" w:fill="FFFFFF"/>
              </w:rPr>
            </w:pPr>
            <w:r>
              <w:rPr>
                <w:rFonts w:hint="eastAsia" w:ascii="宋体" w:hAnsi="宋体" w:cs="Tahoma"/>
                <w:kern w:val="0"/>
                <w:shd w:val="clear" w:color="auto" w:fill="FFFFFF"/>
              </w:rPr>
              <w:t>定期存款年利率</w:t>
            </w:r>
          </w:p>
        </w:tc>
      </w:tr>
      <w:tr w14:paraId="6BA4D92D">
        <w:tblPrEx>
          <w:tblCellMar>
            <w:top w:w="0" w:type="dxa"/>
            <w:left w:w="108" w:type="dxa"/>
            <w:bottom w:w="0" w:type="dxa"/>
            <w:right w:w="108" w:type="dxa"/>
          </w:tblCellMar>
        </w:tblPrEx>
        <w:trPr>
          <w:cantSplit/>
          <w:trHeight w:val="312" w:hRule="atLeast"/>
          <w:jc w:val="center"/>
        </w:trPr>
        <w:tc>
          <w:tcPr>
            <w:tcW w:w="1493" w:type="dxa"/>
            <w:vMerge w:val="continue"/>
            <w:tcBorders>
              <w:top w:val="single" w:color="000000" w:sz="4" w:space="0"/>
              <w:left w:val="single" w:color="000000" w:sz="4" w:space="0"/>
              <w:bottom w:val="single" w:color="000000" w:sz="4" w:space="0"/>
              <w:right w:val="single" w:color="auto" w:sz="4" w:space="0"/>
            </w:tcBorders>
            <w:vAlign w:val="center"/>
          </w:tcPr>
          <w:p w14:paraId="46AC23E0">
            <w:pPr>
              <w:widowControl/>
              <w:jc w:val="left"/>
              <w:rPr>
                <w:rFonts w:ascii="宋体" w:hAnsi="宋体" w:cs="Tahoma"/>
                <w:kern w:val="0"/>
                <w:shd w:val="clear" w:color="auto" w:fill="FFFFFF"/>
              </w:rPr>
            </w:pPr>
          </w:p>
        </w:tc>
        <w:tc>
          <w:tcPr>
            <w:tcW w:w="2755" w:type="dxa"/>
            <w:vMerge w:val="continue"/>
            <w:tcBorders>
              <w:top w:val="single" w:color="auto" w:sz="4" w:space="0"/>
              <w:left w:val="nil"/>
              <w:bottom w:val="nil"/>
              <w:right w:val="single" w:color="auto" w:sz="4" w:space="0"/>
            </w:tcBorders>
            <w:vAlign w:val="center"/>
          </w:tcPr>
          <w:p w14:paraId="5ACD062F">
            <w:pPr>
              <w:widowControl/>
              <w:jc w:val="left"/>
              <w:rPr>
                <w:rFonts w:ascii="宋体" w:hAnsi="宋体" w:cs="Tahoma"/>
                <w:kern w:val="0"/>
                <w:shd w:val="clear" w:color="auto" w:fill="FFFFFF"/>
              </w:rPr>
            </w:pPr>
          </w:p>
        </w:tc>
        <w:tc>
          <w:tcPr>
            <w:tcW w:w="2245" w:type="dxa"/>
            <w:vMerge w:val="continue"/>
            <w:tcBorders>
              <w:top w:val="single" w:color="auto" w:sz="4" w:space="0"/>
              <w:left w:val="nil"/>
              <w:bottom w:val="nil"/>
              <w:right w:val="single" w:color="auto" w:sz="4" w:space="0"/>
            </w:tcBorders>
            <w:vAlign w:val="center"/>
          </w:tcPr>
          <w:p w14:paraId="2EA53343">
            <w:pPr>
              <w:widowControl/>
              <w:jc w:val="left"/>
              <w:rPr>
                <w:rFonts w:ascii="宋体" w:hAnsi="宋体" w:cs="Tahoma"/>
                <w:kern w:val="0"/>
                <w:shd w:val="clear" w:color="auto" w:fill="FFFFFF"/>
              </w:rPr>
            </w:pPr>
          </w:p>
        </w:tc>
        <w:tc>
          <w:tcPr>
            <w:tcW w:w="2182" w:type="dxa"/>
            <w:vMerge w:val="continue"/>
            <w:tcBorders>
              <w:top w:val="single" w:color="000000" w:sz="4" w:space="0"/>
              <w:left w:val="nil"/>
              <w:bottom w:val="single" w:color="000000" w:sz="4" w:space="0"/>
              <w:right w:val="single" w:color="000000" w:sz="4" w:space="0"/>
            </w:tcBorders>
            <w:vAlign w:val="center"/>
          </w:tcPr>
          <w:p w14:paraId="0959458E">
            <w:pPr>
              <w:widowControl/>
              <w:jc w:val="left"/>
              <w:rPr>
                <w:rFonts w:ascii="宋体" w:hAnsi="宋体" w:cs="Tahoma"/>
                <w:kern w:val="0"/>
                <w:shd w:val="clear" w:color="auto" w:fill="FFFFFF"/>
              </w:rPr>
            </w:pPr>
          </w:p>
        </w:tc>
      </w:tr>
      <w:tr w14:paraId="313AADA9">
        <w:tblPrEx>
          <w:tblCellMar>
            <w:top w:w="0" w:type="dxa"/>
            <w:left w:w="108" w:type="dxa"/>
            <w:bottom w:w="0" w:type="dxa"/>
            <w:right w:w="108" w:type="dxa"/>
          </w:tblCellMar>
        </w:tblPrEx>
        <w:trPr>
          <w:trHeight w:val="488" w:hRule="atLeast"/>
          <w:jc w:val="center"/>
        </w:trPr>
        <w:tc>
          <w:tcPr>
            <w:tcW w:w="1493" w:type="dxa"/>
            <w:tcBorders>
              <w:top w:val="single" w:color="000000" w:sz="4" w:space="0"/>
              <w:left w:val="single" w:color="000000" w:sz="4" w:space="0"/>
              <w:bottom w:val="single" w:color="000000" w:sz="4" w:space="0"/>
              <w:right w:val="single" w:color="auto" w:sz="4" w:space="0"/>
            </w:tcBorders>
          </w:tcPr>
          <w:p w14:paraId="4F0C6DF4">
            <w:pPr>
              <w:spacing w:line="300" w:lineRule="exact"/>
              <w:rPr>
                <w:rFonts w:ascii="宋体" w:hAnsi="宋体" w:cs="Tahoma"/>
                <w:kern w:val="0"/>
                <w:shd w:val="clear" w:color="auto" w:fill="FFFFFF"/>
              </w:rPr>
            </w:pPr>
          </w:p>
        </w:tc>
        <w:tc>
          <w:tcPr>
            <w:tcW w:w="2755" w:type="dxa"/>
            <w:tcBorders>
              <w:top w:val="single" w:color="000000" w:sz="4" w:space="0"/>
              <w:left w:val="nil"/>
              <w:bottom w:val="single" w:color="000000" w:sz="4" w:space="0"/>
              <w:right w:val="single" w:color="auto" w:sz="4" w:space="0"/>
            </w:tcBorders>
          </w:tcPr>
          <w:p w14:paraId="36D6FF70">
            <w:pPr>
              <w:spacing w:line="300" w:lineRule="exact"/>
              <w:rPr>
                <w:rFonts w:ascii="宋体" w:hAnsi="宋体" w:cs="Tahoma"/>
                <w:kern w:val="0"/>
                <w:shd w:val="clear" w:color="auto" w:fill="FFFFFF"/>
              </w:rPr>
            </w:pPr>
          </w:p>
        </w:tc>
        <w:tc>
          <w:tcPr>
            <w:tcW w:w="2245" w:type="dxa"/>
            <w:tcBorders>
              <w:top w:val="single" w:color="000000" w:sz="4" w:space="0"/>
              <w:left w:val="nil"/>
              <w:bottom w:val="single" w:color="000000" w:sz="4" w:space="0"/>
              <w:right w:val="single" w:color="auto" w:sz="4" w:space="0"/>
            </w:tcBorders>
          </w:tcPr>
          <w:p w14:paraId="7E4D02B7">
            <w:pPr>
              <w:spacing w:line="300" w:lineRule="exact"/>
              <w:rPr>
                <w:rFonts w:ascii="宋体" w:hAnsi="宋体" w:cs="Tahoma"/>
                <w:kern w:val="0"/>
                <w:shd w:val="clear" w:color="auto" w:fill="FFFFFF"/>
              </w:rPr>
            </w:pPr>
          </w:p>
        </w:tc>
        <w:tc>
          <w:tcPr>
            <w:tcW w:w="2182" w:type="dxa"/>
            <w:tcBorders>
              <w:top w:val="single" w:color="000000" w:sz="4" w:space="0"/>
              <w:left w:val="nil"/>
              <w:bottom w:val="single" w:color="000000" w:sz="4" w:space="0"/>
              <w:right w:val="single" w:color="000000" w:sz="4" w:space="0"/>
            </w:tcBorders>
          </w:tcPr>
          <w:p w14:paraId="692A0143">
            <w:pPr>
              <w:spacing w:line="300" w:lineRule="exact"/>
              <w:ind w:firstLine="1260" w:firstLineChars="600"/>
              <w:rPr>
                <w:rFonts w:ascii="宋体" w:hAnsi="宋体" w:cs="Tahoma"/>
                <w:kern w:val="0"/>
                <w:shd w:val="clear" w:color="auto" w:fill="FFFFFF"/>
              </w:rPr>
            </w:pPr>
            <w:r>
              <w:rPr>
                <w:rFonts w:hint="eastAsia" w:ascii="宋体" w:hAnsi="宋体" w:cs="Tahoma"/>
                <w:kern w:val="0"/>
                <w:shd w:val="clear" w:color="auto" w:fill="FFFFFF"/>
              </w:rPr>
              <w:t>%</w:t>
            </w:r>
          </w:p>
        </w:tc>
      </w:tr>
      <w:tr w14:paraId="659CF5DB">
        <w:tblPrEx>
          <w:tblCellMar>
            <w:top w:w="0" w:type="dxa"/>
            <w:left w:w="108" w:type="dxa"/>
            <w:bottom w:w="0" w:type="dxa"/>
            <w:right w:w="108" w:type="dxa"/>
          </w:tblCellMar>
        </w:tblPrEx>
        <w:trPr>
          <w:trHeight w:val="451" w:hRule="atLeast"/>
          <w:jc w:val="center"/>
        </w:trPr>
        <w:tc>
          <w:tcPr>
            <w:tcW w:w="1493" w:type="dxa"/>
            <w:tcBorders>
              <w:top w:val="single" w:color="000000" w:sz="4" w:space="0"/>
              <w:left w:val="single" w:color="000000" w:sz="4" w:space="0"/>
              <w:bottom w:val="single" w:color="000000" w:sz="4" w:space="0"/>
              <w:right w:val="single" w:color="auto" w:sz="4" w:space="0"/>
            </w:tcBorders>
          </w:tcPr>
          <w:p w14:paraId="31E5C883">
            <w:pPr>
              <w:spacing w:line="300" w:lineRule="exact"/>
              <w:rPr>
                <w:rFonts w:ascii="宋体" w:hAnsi="宋体" w:cs="Tahoma"/>
                <w:kern w:val="0"/>
                <w:shd w:val="clear" w:color="auto" w:fill="FFFFFF"/>
              </w:rPr>
            </w:pPr>
          </w:p>
        </w:tc>
        <w:tc>
          <w:tcPr>
            <w:tcW w:w="2755" w:type="dxa"/>
            <w:tcBorders>
              <w:top w:val="single" w:color="000000" w:sz="4" w:space="0"/>
              <w:left w:val="nil"/>
              <w:bottom w:val="single" w:color="000000" w:sz="4" w:space="0"/>
              <w:right w:val="single" w:color="auto" w:sz="4" w:space="0"/>
            </w:tcBorders>
          </w:tcPr>
          <w:p w14:paraId="72614944">
            <w:pPr>
              <w:spacing w:line="300" w:lineRule="exact"/>
              <w:rPr>
                <w:rFonts w:ascii="宋体" w:hAnsi="宋体" w:cs="Tahoma"/>
                <w:kern w:val="0"/>
                <w:shd w:val="clear" w:color="auto" w:fill="FFFFFF"/>
              </w:rPr>
            </w:pPr>
          </w:p>
        </w:tc>
        <w:tc>
          <w:tcPr>
            <w:tcW w:w="2245" w:type="dxa"/>
            <w:tcBorders>
              <w:top w:val="single" w:color="000000" w:sz="4" w:space="0"/>
              <w:left w:val="nil"/>
              <w:bottom w:val="single" w:color="000000" w:sz="4" w:space="0"/>
              <w:right w:val="single" w:color="auto" w:sz="4" w:space="0"/>
            </w:tcBorders>
          </w:tcPr>
          <w:p w14:paraId="4D937309">
            <w:pPr>
              <w:spacing w:line="300" w:lineRule="exact"/>
              <w:rPr>
                <w:rFonts w:ascii="宋体" w:hAnsi="宋体" w:cs="Tahoma"/>
                <w:kern w:val="0"/>
                <w:shd w:val="clear" w:color="auto" w:fill="FFFFFF"/>
              </w:rPr>
            </w:pPr>
          </w:p>
        </w:tc>
        <w:tc>
          <w:tcPr>
            <w:tcW w:w="2182" w:type="dxa"/>
            <w:tcBorders>
              <w:top w:val="single" w:color="000000" w:sz="4" w:space="0"/>
              <w:left w:val="nil"/>
              <w:bottom w:val="single" w:color="000000" w:sz="4" w:space="0"/>
              <w:right w:val="single" w:color="000000" w:sz="4" w:space="0"/>
            </w:tcBorders>
          </w:tcPr>
          <w:p w14:paraId="1E376B2C">
            <w:pPr>
              <w:spacing w:line="300" w:lineRule="exact"/>
              <w:ind w:firstLine="1260" w:firstLineChars="600"/>
              <w:rPr>
                <w:rFonts w:ascii="宋体" w:hAnsi="宋体" w:cs="Tahoma"/>
                <w:kern w:val="0"/>
                <w:shd w:val="clear" w:color="auto" w:fill="FFFFFF"/>
              </w:rPr>
            </w:pPr>
            <w:r>
              <w:rPr>
                <w:rFonts w:hint="eastAsia" w:ascii="宋体" w:hAnsi="宋体" w:cs="Tahoma"/>
                <w:kern w:val="0"/>
                <w:shd w:val="clear" w:color="auto" w:fill="FFFFFF"/>
              </w:rPr>
              <w:t>%</w:t>
            </w:r>
          </w:p>
        </w:tc>
      </w:tr>
      <w:tr w14:paraId="214010B0">
        <w:tblPrEx>
          <w:tblCellMar>
            <w:top w:w="0" w:type="dxa"/>
            <w:left w:w="108" w:type="dxa"/>
            <w:bottom w:w="0" w:type="dxa"/>
            <w:right w:w="108" w:type="dxa"/>
          </w:tblCellMar>
        </w:tblPrEx>
        <w:trPr>
          <w:trHeight w:val="457" w:hRule="atLeast"/>
          <w:jc w:val="center"/>
        </w:trPr>
        <w:tc>
          <w:tcPr>
            <w:tcW w:w="1493" w:type="dxa"/>
            <w:tcBorders>
              <w:top w:val="single" w:color="000000" w:sz="4" w:space="0"/>
              <w:left w:val="single" w:color="000000" w:sz="4" w:space="0"/>
              <w:bottom w:val="single" w:color="000000" w:sz="4" w:space="0"/>
              <w:right w:val="single" w:color="auto" w:sz="4" w:space="0"/>
            </w:tcBorders>
          </w:tcPr>
          <w:p w14:paraId="02323155">
            <w:pPr>
              <w:spacing w:line="300" w:lineRule="exact"/>
              <w:rPr>
                <w:rFonts w:ascii="宋体" w:hAnsi="宋体" w:cs="Tahoma"/>
                <w:kern w:val="0"/>
                <w:shd w:val="clear" w:color="auto" w:fill="FFFFFF"/>
              </w:rPr>
            </w:pPr>
          </w:p>
        </w:tc>
        <w:tc>
          <w:tcPr>
            <w:tcW w:w="2755" w:type="dxa"/>
            <w:tcBorders>
              <w:top w:val="single" w:color="000000" w:sz="4" w:space="0"/>
              <w:left w:val="nil"/>
              <w:bottom w:val="single" w:color="000000" w:sz="4" w:space="0"/>
              <w:right w:val="single" w:color="auto" w:sz="4" w:space="0"/>
            </w:tcBorders>
          </w:tcPr>
          <w:p w14:paraId="2F4DFD8C">
            <w:pPr>
              <w:spacing w:line="300" w:lineRule="exact"/>
              <w:rPr>
                <w:rFonts w:ascii="宋体" w:hAnsi="宋体" w:cs="Tahoma"/>
                <w:kern w:val="0"/>
                <w:shd w:val="clear" w:color="auto" w:fill="FFFFFF"/>
              </w:rPr>
            </w:pPr>
          </w:p>
        </w:tc>
        <w:tc>
          <w:tcPr>
            <w:tcW w:w="2245" w:type="dxa"/>
            <w:tcBorders>
              <w:top w:val="single" w:color="000000" w:sz="4" w:space="0"/>
              <w:left w:val="nil"/>
              <w:bottom w:val="single" w:color="000000" w:sz="4" w:space="0"/>
              <w:right w:val="single" w:color="auto" w:sz="4" w:space="0"/>
            </w:tcBorders>
          </w:tcPr>
          <w:p w14:paraId="3E9D5A51">
            <w:pPr>
              <w:spacing w:line="300" w:lineRule="exact"/>
              <w:rPr>
                <w:rFonts w:ascii="宋体" w:hAnsi="宋体" w:cs="Tahoma"/>
                <w:kern w:val="0"/>
                <w:shd w:val="clear" w:color="auto" w:fill="FFFFFF"/>
              </w:rPr>
            </w:pPr>
          </w:p>
        </w:tc>
        <w:tc>
          <w:tcPr>
            <w:tcW w:w="2182" w:type="dxa"/>
            <w:tcBorders>
              <w:top w:val="single" w:color="000000" w:sz="4" w:space="0"/>
              <w:left w:val="nil"/>
              <w:bottom w:val="single" w:color="000000" w:sz="4" w:space="0"/>
              <w:right w:val="single" w:color="000000" w:sz="4" w:space="0"/>
            </w:tcBorders>
          </w:tcPr>
          <w:p w14:paraId="7A8D2748">
            <w:pPr>
              <w:spacing w:line="300" w:lineRule="exact"/>
              <w:ind w:firstLine="1260" w:firstLineChars="600"/>
              <w:rPr>
                <w:rFonts w:ascii="宋体" w:hAnsi="宋体" w:cs="Tahoma"/>
                <w:kern w:val="0"/>
                <w:shd w:val="clear" w:color="auto" w:fill="FFFFFF"/>
              </w:rPr>
            </w:pPr>
            <w:r>
              <w:rPr>
                <w:rFonts w:hint="eastAsia" w:ascii="宋体" w:hAnsi="宋体" w:cs="Tahoma"/>
                <w:kern w:val="0"/>
                <w:shd w:val="clear" w:color="auto" w:fill="FFFFFF"/>
              </w:rPr>
              <w:t>%</w:t>
            </w:r>
          </w:p>
        </w:tc>
      </w:tr>
      <w:tr w14:paraId="03D9D1CB">
        <w:tblPrEx>
          <w:tblCellMar>
            <w:top w:w="0" w:type="dxa"/>
            <w:left w:w="108" w:type="dxa"/>
            <w:bottom w:w="0" w:type="dxa"/>
            <w:right w:w="108" w:type="dxa"/>
          </w:tblCellMar>
        </w:tblPrEx>
        <w:trPr>
          <w:trHeight w:val="463" w:hRule="atLeast"/>
          <w:jc w:val="center"/>
        </w:trPr>
        <w:tc>
          <w:tcPr>
            <w:tcW w:w="1493" w:type="dxa"/>
            <w:tcBorders>
              <w:top w:val="single" w:color="000000" w:sz="4" w:space="0"/>
              <w:left w:val="single" w:color="000000" w:sz="4" w:space="0"/>
              <w:bottom w:val="single" w:color="000000" w:sz="4" w:space="0"/>
              <w:right w:val="single" w:color="auto" w:sz="4" w:space="0"/>
            </w:tcBorders>
          </w:tcPr>
          <w:p w14:paraId="6314F87E">
            <w:pPr>
              <w:spacing w:line="300" w:lineRule="exact"/>
              <w:rPr>
                <w:rFonts w:ascii="宋体" w:hAnsi="宋体" w:cs="Tahoma"/>
                <w:kern w:val="0"/>
                <w:shd w:val="clear" w:color="auto" w:fill="FFFFFF"/>
              </w:rPr>
            </w:pPr>
          </w:p>
        </w:tc>
        <w:tc>
          <w:tcPr>
            <w:tcW w:w="2755" w:type="dxa"/>
            <w:tcBorders>
              <w:top w:val="single" w:color="000000" w:sz="4" w:space="0"/>
              <w:left w:val="nil"/>
              <w:bottom w:val="single" w:color="000000" w:sz="4" w:space="0"/>
              <w:right w:val="single" w:color="auto" w:sz="4" w:space="0"/>
            </w:tcBorders>
          </w:tcPr>
          <w:p w14:paraId="6F8AE92C">
            <w:pPr>
              <w:spacing w:line="300" w:lineRule="exact"/>
              <w:rPr>
                <w:rFonts w:ascii="宋体" w:hAnsi="宋体" w:cs="Tahoma"/>
                <w:kern w:val="0"/>
                <w:shd w:val="clear" w:color="auto" w:fill="FFFFFF"/>
              </w:rPr>
            </w:pPr>
          </w:p>
        </w:tc>
        <w:tc>
          <w:tcPr>
            <w:tcW w:w="2245" w:type="dxa"/>
            <w:tcBorders>
              <w:top w:val="single" w:color="000000" w:sz="4" w:space="0"/>
              <w:left w:val="nil"/>
              <w:bottom w:val="single" w:color="000000" w:sz="4" w:space="0"/>
              <w:right w:val="single" w:color="auto" w:sz="4" w:space="0"/>
            </w:tcBorders>
          </w:tcPr>
          <w:p w14:paraId="7E231087">
            <w:pPr>
              <w:spacing w:line="300" w:lineRule="exact"/>
              <w:rPr>
                <w:rFonts w:ascii="宋体" w:hAnsi="宋体" w:cs="Tahoma"/>
                <w:kern w:val="0"/>
                <w:shd w:val="clear" w:color="auto" w:fill="FFFFFF"/>
              </w:rPr>
            </w:pPr>
          </w:p>
        </w:tc>
        <w:tc>
          <w:tcPr>
            <w:tcW w:w="2182" w:type="dxa"/>
            <w:tcBorders>
              <w:top w:val="single" w:color="000000" w:sz="4" w:space="0"/>
              <w:left w:val="nil"/>
              <w:bottom w:val="single" w:color="000000" w:sz="4" w:space="0"/>
              <w:right w:val="single" w:color="000000" w:sz="4" w:space="0"/>
            </w:tcBorders>
          </w:tcPr>
          <w:p w14:paraId="68E916CD">
            <w:pPr>
              <w:spacing w:line="300" w:lineRule="exact"/>
              <w:ind w:firstLine="1260" w:firstLineChars="600"/>
              <w:rPr>
                <w:rFonts w:ascii="宋体" w:hAnsi="宋体" w:cs="Tahoma"/>
                <w:kern w:val="0"/>
                <w:shd w:val="clear" w:color="auto" w:fill="FFFFFF"/>
              </w:rPr>
            </w:pPr>
            <w:r>
              <w:rPr>
                <w:rFonts w:hint="eastAsia" w:ascii="宋体" w:hAnsi="宋体" w:cs="Tahoma"/>
                <w:kern w:val="0"/>
                <w:shd w:val="clear" w:color="auto" w:fill="FFFFFF"/>
              </w:rPr>
              <w:t>%</w:t>
            </w:r>
          </w:p>
        </w:tc>
      </w:tr>
      <w:tr w14:paraId="3A4DDD66">
        <w:tblPrEx>
          <w:tblCellMar>
            <w:top w:w="0" w:type="dxa"/>
            <w:left w:w="108" w:type="dxa"/>
            <w:bottom w:w="0" w:type="dxa"/>
            <w:right w:w="108" w:type="dxa"/>
          </w:tblCellMar>
        </w:tblPrEx>
        <w:trPr>
          <w:trHeight w:val="455" w:hRule="atLeast"/>
          <w:jc w:val="center"/>
        </w:trPr>
        <w:tc>
          <w:tcPr>
            <w:tcW w:w="1493" w:type="dxa"/>
            <w:tcBorders>
              <w:top w:val="single" w:color="000000" w:sz="4" w:space="0"/>
              <w:left w:val="single" w:color="000000" w:sz="4" w:space="0"/>
              <w:bottom w:val="single" w:color="000000" w:sz="4" w:space="0"/>
              <w:right w:val="single" w:color="auto" w:sz="4" w:space="0"/>
            </w:tcBorders>
          </w:tcPr>
          <w:p w14:paraId="0019AC85">
            <w:pPr>
              <w:spacing w:line="300" w:lineRule="exact"/>
              <w:rPr>
                <w:rFonts w:ascii="宋体" w:hAnsi="宋体" w:cs="Tahoma"/>
                <w:kern w:val="0"/>
                <w:shd w:val="clear" w:color="auto" w:fill="FFFFFF"/>
              </w:rPr>
            </w:pPr>
          </w:p>
        </w:tc>
        <w:tc>
          <w:tcPr>
            <w:tcW w:w="2755" w:type="dxa"/>
            <w:tcBorders>
              <w:top w:val="single" w:color="000000" w:sz="4" w:space="0"/>
              <w:left w:val="nil"/>
              <w:bottom w:val="single" w:color="000000" w:sz="4" w:space="0"/>
              <w:right w:val="single" w:color="auto" w:sz="4" w:space="0"/>
            </w:tcBorders>
          </w:tcPr>
          <w:p w14:paraId="0395BEBB">
            <w:pPr>
              <w:spacing w:line="300" w:lineRule="exact"/>
              <w:rPr>
                <w:rFonts w:ascii="宋体" w:hAnsi="宋体" w:cs="Tahoma"/>
                <w:kern w:val="0"/>
                <w:shd w:val="clear" w:color="auto" w:fill="FFFFFF"/>
              </w:rPr>
            </w:pPr>
          </w:p>
        </w:tc>
        <w:tc>
          <w:tcPr>
            <w:tcW w:w="2245" w:type="dxa"/>
            <w:tcBorders>
              <w:top w:val="single" w:color="000000" w:sz="4" w:space="0"/>
              <w:left w:val="nil"/>
              <w:bottom w:val="single" w:color="000000" w:sz="4" w:space="0"/>
              <w:right w:val="single" w:color="auto" w:sz="4" w:space="0"/>
            </w:tcBorders>
          </w:tcPr>
          <w:p w14:paraId="791D0856">
            <w:pPr>
              <w:spacing w:line="300" w:lineRule="exact"/>
              <w:rPr>
                <w:rFonts w:ascii="宋体" w:hAnsi="宋体" w:cs="Tahoma"/>
                <w:kern w:val="0"/>
                <w:shd w:val="clear" w:color="auto" w:fill="FFFFFF"/>
              </w:rPr>
            </w:pPr>
          </w:p>
        </w:tc>
        <w:tc>
          <w:tcPr>
            <w:tcW w:w="2182" w:type="dxa"/>
            <w:tcBorders>
              <w:top w:val="single" w:color="000000" w:sz="4" w:space="0"/>
              <w:left w:val="nil"/>
              <w:bottom w:val="single" w:color="000000" w:sz="4" w:space="0"/>
              <w:right w:val="single" w:color="000000" w:sz="4" w:space="0"/>
            </w:tcBorders>
          </w:tcPr>
          <w:p w14:paraId="04A8AE78">
            <w:pPr>
              <w:spacing w:line="300" w:lineRule="exact"/>
              <w:ind w:firstLine="1260" w:firstLineChars="600"/>
              <w:rPr>
                <w:rFonts w:ascii="宋体" w:hAnsi="宋体" w:cs="Tahoma"/>
                <w:kern w:val="0"/>
                <w:shd w:val="clear" w:color="auto" w:fill="FFFFFF"/>
              </w:rPr>
            </w:pPr>
            <w:r>
              <w:rPr>
                <w:rFonts w:hint="eastAsia" w:ascii="宋体" w:hAnsi="宋体" w:cs="Tahoma"/>
                <w:kern w:val="0"/>
                <w:shd w:val="clear" w:color="auto" w:fill="FFFFFF"/>
              </w:rPr>
              <w:t>%</w:t>
            </w:r>
          </w:p>
        </w:tc>
      </w:tr>
      <w:tr w14:paraId="41DA7F9F">
        <w:tblPrEx>
          <w:tblCellMar>
            <w:top w:w="0" w:type="dxa"/>
            <w:left w:w="108" w:type="dxa"/>
            <w:bottom w:w="0" w:type="dxa"/>
            <w:right w:w="108" w:type="dxa"/>
          </w:tblCellMar>
        </w:tblPrEx>
        <w:trPr>
          <w:trHeight w:val="461" w:hRule="atLeast"/>
          <w:jc w:val="center"/>
        </w:trPr>
        <w:tc>
          <w:tcPr>
            <w:tcW w:w="1493" w:type="dxa"/>
            <w:tcBorders>
              <w:top w:val="single" w:color="000000" w:sz="4" w:space="0"/>
              <w:left w:val="single" w:color="000000" w:sz="4" w:space="0"/>
              <w:bottom w:val="single" w:color="000000" w:sz="4" w:space="0"/>
              <w:right w:val="single" w:color="auto" w:sz="4" w:space="0"/>
            </w:tcBorders>
          </w:tcPr>
          <w:p w14:paraId="34DC3708">
            <w:pPr>
              <w:spacing w:line="300" w:lineRule="exact"/>
              <w:rPr>
                <w:rFonts w:ascii="宋体" w:hAnsi="宋体" w:cs="Tahoma"/>
                <w:kern w:val="0"/>
                <w:shd w:val="clear" w:color="auto" w:fill="FFFFFF"/>
              </w:rPr>
            </w:pPr>
          </w:p>
        </w:tc>
        <w:tc>
          <w:tcPr>
            <w:tcW w:w="2755" w:type="dxa"/>
            <w:tcBorders>
              <w:top w:val="single" w:color="000000" w:sz="4" w:space="0"/>
              <w:left w:val="nil"/>
              <w:bottom w:val="single" w:color="000000" w:sz="4" w:space="0"/>
              <w:right w:val="single" w:color="auto" w:sz="4" w:space="0"/>
            </w:tcBorders>
          </w:tcPr>
          <w:p w14:paraId="14C6A0D0">
            <w:pPr>
              <w:spacing w:line="300" w:lineRule="exact"/>
              <w:rPr>
                <w:rFonts w:ascii="宋体" w:hAnsi="宋体" w:cs="Tahoma"/>
                <w:kern w:val="0"/>
                <w:shd w:val="clear" w:color="auto" w:fill="FFFFFF"/>
              </w:rPr>
            </w:pPr>
          </w:p>
        </w:tc>
        <w:tc>
          <w:tcPr>
            <w:tcW w:w="2245" w:type="dxa"/>
            <w:tcBorders>
              <w:top w:val="single" w:color="000000" w:sz="4" w:space="0"/>
              <w:left w:val="nil"/>
              <w:bottom w:val="single" w:color="000000" w:sz="4" w:space="0"/>
              <w:right w:val="single" w:color="auto" w:sz="4" w:space="0"/>
            </w:tcBorders>
          </w:tcPr>
          <w:p w14:paraId="78BB5034">
            <w:pPr>
              <w:spacing w:line="300" w:lineRule="exact"/>
              <w:rPr>
                <w:rFonts w:ascii="宋体" w:hAnsi="宋体" w:cs="Tahoma"/>
                <w:kern w:val="0"/>
                <w:shd w:val="clear" w:color="auto" w:fill="FFFFFF"/>
              </w:rPr>
            </w:pPr>
          </w:p>
        </w:tc>
        <w:tc>
          <w:tcPr>
            <w:tcW w:w="2182" w:type="dxa"/>
            <w:tcBorders>
              <w:top w:val="single" w:color="000000" w:sz="4" w:space="0"/>
              <w:left w:val="nil"/>
              <w:bottom w:val="single" w:color="000000" w:sz="4" w:space="0"/>
              <w:right w:val="single" w:color="000000" w:sz="4" w:space="0"/>
            </w:tcBorders>
          </w:tcPr>
          <w:p w14:paraId="1A58939D">
            <w:pPr>
              <w:spacing w:line="300" w:lineRule="exact"/>
              <w:ind w:firstLine="1260" w:firstLineChars="600"/>
              <w:rPr>
                <w:rFonts w:ascii="宋体" w:hAnsi="宋体" w:cs="Tahoma"/>
                <w:kern w:val="0"/>
                <w:shd w:val="clear" w:color="auto" w:fill="FFFFFF"/>
              </w:rPr>
            </w:pPr>
            <w:r>
              <w:rPr>
                <w:rFonts w:hint="eastAsia" w:ascii="宋体" w:hAnsi="宋体" w:cs="Tahoma"/>
                <w:kern w:val="0"/>
                <w:shd w:val="clear" w:color="auto" w:fill="FFFFFF"/>
              </w:rPr>
              <w:t>%</w:t>
            </w:r>
          </w:p>
        </w:tc>
      </w:tr>
      <w:tr w14:paraId="2ACFD49B">
        <w:tblPrEx>
          <w:tblCellMar>
            <w:top w:w="0" w:type="dxa"/>
            <w:left w:w="108" w:type="dxa"/>
            <w:bottom w:w="0" w:type="dxa"/>
            <w:right w:w="108" w:type="dxa"/>
          </w:tblCellMar>
        </w:tblPrEx>
        <w:trPr>
          <w:trHeight w:val="454" w:hRule="atLeast"/>
          <w:jc w:val="center"/>
        </w:trPr>
        <w:tc>
          <w:tcPr>
            <w:tcW w:w="1493" w:type="dxa"/>
            <w:tcBorders>
              <w:top w:val="single" w:color="000000" w:sz="4" w:space="0"/>
              <w:left w:val="single" w:color="000000" w:sz="4" w:space="0"/>
              <w:bottom w:val="single" w:color="000000" w:sz="4" w:space="0"/>
              <w:right w:val="single" w:color="auto" w:sz="4" w:space="0"/>
            </w:tcBorders>
          </w:tcPr>
          <w:p w14:paraId="4C7A426B">
            <w:pPr>
              <w:spacing w:line="300" w:lineRule="exact"/>
              <w:rPr>
                <w:rFonts w:ascii="宋体" w:hAnsi="宋体" w:cs="Tahoma"/>
                <w:kern w:val="0"/>
                <w:shd w:val="clear" w:color="auto" w:fill="FFFFFF"/>
              </w:rPr>
            </w:pPr>
          </w:p>
        </w:tc>
        <w:tc>
          <w:tcPr>
            <w:tcW w:w="2755" w:type="dxa"/>
            <w:tcBorders>
              <w:top w:val="single" w:color="000000" w:sz="4" w:space="0"/>
              <w:left w:val="nil"/>
              <w:bottom w:val="single" w:color="auto" w:sz="4" w:space="0"/>
              <w:right w:val="single" w:color="auto" w:sz="4" w:space="0"/>
            </w:tcBorders>
          </w:tcPr>
          <w:p w14:paraId="4B54711C">
            <w:pPr>
              <w:spacing w:line="300" w:lineRule="exact"/>
              <w:rPr>
                <w:rFonts w:ascii="宋体" w:hAnsi="宋体" w:cs="Tahoma"/>
                <w:kern w:val="0"/>
                <w:shd w:val="clear" w:color="auto" w:fill="FFFFFF"/>
              </w:rPr>
            </w:pPr>
          </w:p>
        </w:tc>
        <w:tc>
          <w:tcPr>
            <w:tcW w:w="2245" w:type="dxa"/>
            <w:tcBorders>
              <w:top w:val="single" w:color="000000" w:sz="4" w:space="0"/>
              <w:left w:val="nil"/>
              <w:bottom w:val="single" w:color="auto" w:sz="4" w:space="0"/>
              <w:right w:val="single" w:color="auto" w:sz="4" w:space="0"/>
            </w:tcBorders>
          </w:tcPr>
          <w:p w14:paraId="76BBC1F9">
            <w:pPr>
              <w:spacing w:line="300" w:lineRule="exact"/>
              <w:rPr>
                <w:rFonts w:ascii="宋体" w:hAnsi="宋体" w:cs="Tahoma"/>
                <w:kern w:val="0"/>
                <w:shd w:val="clear" w:color="auto" w:fill="FFFFFF"/>
              </w:rPr>
            </w:pPr>
          </w:p>
        </w:tc>
        <w:tc>
          <w:tcPr>
            <w:tcW w:w="2182" w:type="dxa"/>
            <w:tcBorders>
              <w:top w:val="single" w:color="000000" w:sz="4" w:space="0"/>
              <w:left w:val="nil"/>
              <w:bottom w:val="single" w:color="000000" w:sz="4" w:space="0"/>
              <w:right w:val="single" w:color="000000" w:sz="4" w:space="0"/>
            </w:tcBorders>
          </w:tcPr>
          <w:p w14:paraId="5F116002">
            <w:pPr>
              <w:spacing w:line="300" w:lineRule="exact"/>
              <w:ind w:firstLine="1260" w:firstLineChars="600"/>
              <w:rPr>
                <w:rFonts w:ascii="宋体" w:hAnsi="宋体" w:cs="Tahoma"/>
                <w:kern w:val="0"/>
                <w:shd w:val="clear" w:color="auto" w:fill="FFFFFF"/>
              </w:rPr>
            </w:pPr>
            <w:r>
              <w:rPr>
                <w:rFonts w:hint="eastAsia" w:ascii="宋体" w:hAnsi="宋体" w:cs="Tahoma"/>
                <w:kern w:val="0"/>
                <w:shd w:val="clear" w:color="auto" w:fill="FFFFFF"/>
              </w:rPr>
              <w:t>%</w:t>
            </w:r>
          </w:p>
        </w:tc>
      </w:tr>
    </w:tbl>
    <w:p w14:paraId="368754A2">
      <w:pPr>
        <w:snapToGrid w:val="0"/>
        <w:spacing w:line="600" w:lineRule="exact"/>
        <w:ind w:left="840" w:hanging="840" w:hangingChars="400"/>
        <w:rPr>
          <w:rFonts w:ascii="宋体" w:hAnsi="宋体" w:cs="Tahoma"/>
          <w:kern w:val="0"/>
          <w:shd w:val="clear" w:color="auto" w:fill="FFFFFF"/>
        </w:rPr>
      </w:pPr>
      <w:r>
        <w:rPr>
          <w:rFonts w:hint="eastAsia" w:ascii="宋体" w:hAnsi="宋体" w:cs="Tahoma"/>
          <w:kern w:val="0"/>
          <w:shd w:val="clear" w:color="auto" w:fill="FFFFFF"/>
        </w:rPr>
        <w:t>备注：1. 定期存款年利率不得违反国家利率政策，否则视为无效投标；</w:t>
      </w:r>
    </w:p>
    <w:p w14:paraId="564CE439">
      <w:pPr>
        <w:snapToGrid w:val="0"/>
        <w:spacing w:line="600" w:lineRule="exact"/>
        <w:ind w:firstLine="630" w:firstLineChars="300"/>
        <w:rPr>
          <w:rFonts w:ascii="宋体" w:hAnsi="宋体" w:cs="Tahoma"/>
          <w:kern w:val="0"/>
          <w:shd w:val="clear" w:color="auto" w:fill="FFFFFF"/>
        </w:rPr>
      </w:pPr>
      <w:r>
        <w:rPr>
          <w:rFonts w:hint="eastAsia" w:ascii="宋体" w:hAnsi="宋体" w:cs="Tahoma"/>
          <w:kern w:val="0"/>
          <w:shd w:val="clear" w:color="auto" w:fill="FFFFFF"/>
        </w:rPr>
        <w:t>2.定期存款年利率按四舍五入保留小数点后4位数；</w:t>
      </w:r>
    </w:p>
    <w:p w14:paraId="2C9C17E3">
      <w:pPr>
        <w:snapToGrid w:val="0"/>
        <w:spacing w:line="600" w:lineRule="exact"/>
        <w:ind w:firstLine="630" w:firstLineChars="300"/>
        <w:rPr>
          <w:rFonts w:ascii="宋体" w:hAnsi="宋体" w:cs="Tahoma"/>
          <w:kern w:val="0"/>
          <w:shd w:val="clear" w:color="auto" w:fill="FFFFFF"/>
        </w:rPr>
      </w:pPr>
      <w:r>
        <w:rPr>
          <w:rFonts w:hint="eastAsia" w:ascii="宋体" w:hAnsi="宋体" w:cs="Tahoma"/>
          <w:kern w:val="0"/>
          <w:shd w:val="clear" w:color="auto" w:fill="FFFFFF"/>
        </w:rPr>
        <w:t>3.本投标书填写须清晰、不得涂改。</w:t>
      </w:r>
    </w:p>
    <w:p w14:paraId="0A2B788F">
      <w:pPr>
        <w:spacing w:line="600" w:lineRule="exact"/>
        <w:rPr>
          <w:rFonts w:ascii="宋体" w:hAnsi="宋体" w:cs="Tahoma"/>
          <w:kern w:val="0"/>
          <w:shd w:val="clear" w:color="auto" w:fill="FFFFFF"/>
        </w:rPr>
      </w:pPr>
      <w:r>
        <w:rPr>
          <w:rFonts w:hint="eastAsia" w:ascii="宋体" w:hAnsi="宋体" w:cs="Tahoma"/>
          <w:kern w:val="0"/>
          <w:shd w:val="clear" w:color="auto" w:fill="FFFFFF"/>
        </w:rPr>
        <w:t xml:space="preserve">                                           （单位公章）</w:t>
      </w:r>
    </w:p>
    <w:p w14:paraId="3ACE2DC0">
      <w:pPr>
        <w:spacing w:line="600" w:lineRule="exact"/>
        <w:ind w:firstLine="4468" w:firstLineChars="2128"/>
        <w:rPr>
          <w:rFonts w:ascii="宋体" w:hAnsi="宋体" w:cs="Tahoma"/>
          <w:kern w:val="0"/>
          <w:shd w:val="clear" w:color="auto" w:fill="FFFFFF"/>
        </w:rPr>
      </w:pPr>
      <w:r>
        <w:rPr>
          <w:rFonts w:hint="eastAsia" w:ascii="宋体" w:hAnsi="宋体" w:cs="Tahoma"/>
          <w:kern w:val="0"/>
          <w:shd w:val="clear" w:color="auto" w:fill="FFFFFF"/>
        </w:rPr>
        <w:t xml:space="preserve">投标方代表（签字）：                  </w:t>
      </w:r>
    </w:p>
    <w:p w14:paraId="5E78AF5F">
      <w:pPr>
        <w:widowControl/>
        <w:adjustRightInd w:val="0"/>
        <w:snapToGrid w:val="0"/>
        <w:spacing w:line="600" w:lineRule="exact"/>
        <w:jc w:val="center"/>
        <w:rPr>
          <w:rFonts w:ascii="宋体" w:hAnsi="宋体" w:cs="Tahoma"/>
          <w:kern w:val="0"/>
          <w:shd w:val="clear" w:color="auto" w:fill="FFFFFF"/>
        </w:rPr>
      </w:pPr>
      <w:r>
        <w:rPr>
          <w:rFonts w:hint="eastAsia" w:ascii="宋体" w:hAnsi="宋体" w:cs="Tahoma"/>
          <w:kern w:val="0"/>
          <w:shd w:val="clear" w:color="auto" w:fill="FFFFFF"/>
        </w:rPr>
        <w:t xml:space="preserve">                           投标日期：      年     月     日</w:t>
      </w:r>
    </w:p>
    <w:p w14:paraId="3BFBD4A1">
      <w:pPr>
        <w:spacing w:line="600" w:lineRule="exact"/>
        <w:rPr>
          <w:rFonts w:ascii="宋体" w:hAnsi="宋体" w:cs="Tahoma"/>
          <w:kern w:val="0"/>
          <w:shd w:val="clear" w:color="auto" w:fill="FFFFFF"/>
        </w:rPr>
      </w:pPr>
      <w:r>
        <w:rPr>
          <w:rFonts w:hint="eastAsia" w:ascii="宋体" w:hAnsi="宋体" w:cs="Tahoma"/>
          <w:kern w:val="0"/>
          <w:shd w:val="clear" w:color="auto" w:fill="FFFFFF"/>
        </w:rPr>
        <w:t xml:space="preserve"> </w:t>
      </w:r>
    </w:p>
    <w:p w14:paraId="127B89F0">
      <w:pPr>
        <w:spacing w:line="600" w:lineRule="exact"/>
        <w:rPr>
          <w:rFonts w:ascii="宋体" w:hAnsi="宋体" w:cs="Tahoma"/>
          <w:kern w:val="0"/>
          <w:shd w:val="clear" w:color="auto" w:fill="FFFFFF"/>
        </w:rPr>
      </w:pPr>
      <w:r>
        <w:rPr>
          <w:rFonts w:hint="eastAsia" w:ascii="宋体" w:hAnsi="宋体" w:cs="Tahoma"/>
          <w:kern w:val="0"/>
          <w:shd w:val="clear" w:color="auto" w:fill="FFFFFF"/>
        </w:rPr>
        <w:t xml:space="preserve"> </w:t>
      </w:r>
    </w:p>
    <w:p w14:paraId="5B74C352">
      <w:pPr>
        <w:spacing w:line="360" w:lineRule="auto"/>
        <w:ind w:right="426" w:rightChars="203"/>
        <w:jc w:val="left"/>
        <w:rPr>
          <w:rFonts w:ascii="宋体" w:hAnsi="宋体"/>
          <w:b/>
          <w:bCs/>
        </w:rPr>
      </w:pPr>
    </w:p>
    <w:p w14:paraId="332ADF3D">
      <w:pPr>
        <w:spacing w:line="360" w:lineRule="auto"/>
        <w:ind w:right="426" w:rightChars="203"/>
        <w:jc w:val="left"/>
        <w:rPr>
          <w:rFonts w:ascii="宋体" w:hAnsi="宋体"/>
          <w:b/>
          <w:bCs/>
        </w:rPr>
      </w:pPr>
      <w:r>
        <w:rPr>
          <w:rFonts w:hint="eastAsia" w:ascii="宋体" w:hAnsi="宋体"/>
          <w:b/>
          <w:bCs/>
        </w:rPr>
        <w:t>附件2：</w:t>
      </w:r>
    </w:p>
    <w:p w14:paraId="79F3D433">
      <w:pPr>
        <w:spacing w:line="360" w:lineRule="auto"/>
        <w:ind w:left="525" w:leftChars="250" w:right="426" w:rightChars="203"/>
        <w:jc w:val="center"/>
        <w:rPr>
          <w:rFonts w:ascii="宋体"/>
          <w:b/>
          <w:bCs/>
          <w:sz w:val="36"/>
          <w:szCs w:val="36"/>
        </w:rPr>
      </w:pPr>
      <w:r>
        <w:rPr>
          <w:rFonts w:hint="eastAsia" w:ascii="宋体" w:hAnsi="宋体"/>
          <w:b/>
          <w:bCs/>
          <w:sz w:val="36"/>
          <w:szCs w:val="36"/>
        </w:rPr>
        <w:t>法定代表人授权书</w:t>
      </w:r>
    </w:p>
    <w:p w14:paraId="69C87C7B">
      <w:pPr>
        <w:spacing w:line="560" w:lineRule="exact"/>
        <w:jc w:val="center"/>
        <w:rPr>
          <w:rFonts w:ascii="宋体" w:hAnsi="宋体" w:cs="Tahoma"/>
          <w:kern w:val="0"/>
          <w:sz w:val="30"/>
          <w:szCs w:val="30"/>
          <w:shd w:val="clear" w:color="auto" w:fill="FFFFFF"/>
        </w:rPr>
      </w:pPr>
      <w:r>
        <w:rPr>
          <w:rFonts w:hint="eastAsia" w:ascii="宋体" w:hAnsi="宋体"/>
          <w:sz w:val="30"/>
          <w:szCs w:val="30"/>
        </w:rPr>
        <w:t>法</w:t>
      </w:r>
      <w:r>
        <w:rPr>
          <w:rFonts w:hint="eastAsia" w:ascii="宋体" w:hAnsi="宋体" w:cs="Tahoma"/>
          <w:kern w:val="0"/>
          <w:sz w:val="30"/>
          <w:szCs w:val="30"/>
          <w:shd w:val="clear" w:color="auto" w:fill="FFFFFF"/>
        </w:rPr>
        <w:t>定代表人（负责人）授权书（样本）</w:t>
      </w:r>
    </w:p>
    <w:p w14:paraId="224475C6">
      <w:pPr>
        <w:spacing w:line="560" w:lineRule="exact"/>
        <w:ind w:firstLine="420" w:firstLineChars="200"/>
        <w:rPr>
          <w:rFonts w:ascii="宋体" w:hAnsi="宋体" w:cs="Tahoma"/>
          <w:kern w:val="0"/>
          <w:shd w:val="clear" w:color="auto" w:fill="FFFFFF"/>
        </w:rPr>
      </w:pPr>
      <w:r>
        <w:rPr>
          <w:rFonts w:hint="eastAsia" w:ascii="宋体" w:hAnsi="宋体" w:cs="Tahoma"/>
          <w:kern w:val="0"/>
          <w:shd w:val="clear" w:color="auto" w:fill="FFFFFF"/>
        </w:rPr>
        <w:t>本授权书声明：</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银行的</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（法定代表人或负责人姓名、职务）代表本银行授权</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（被授权人的姓名、职务），身份证号码</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为本银行的合法代理人，就参与三门县企业经济融资担保有限责任公司资金竞争性存放投标、签订合同以及合同的执行、完成和纠纷处理，以本银行名义处理一切与之有关的事务。</w:t>
      </w:r>
    </w:p>
    <w:p w14:paraId="33C496F8">
      <w:pPr>
        <w:spacing w:line="560" w:lineRule="exact"/>
        <w:rPr>
          <w:rFonts w:ascii="宋体" w:hAnsi="宋体" w:cs="Tahoma"/>
          <w:kern w:val="0"/>
          <w:shd w:val="clear" w:color="auto" w:fill="FFFFFF"/>
        </w:rPr>
      </w:pPr>
      <w:r>
        <w:rPr>
          <w:rFonts w:hint="eastAsia" w:ascii="宋体" w:hAnsi="宋体" w:cs="Tahoma"/>
          <w:kern w:val="0"/>
          <w:shd w:val="clear" w:color="auto" w:fill="FFFFFF"/>
        </w:rPr>
        <w:t xml:space="preserve">     本授权书于</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年</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月</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日生效，特此声明。</w:t>
      </w:r>
    </w:p>
    <w:p w14:paraId="1F2F0C32">
      <w:pPr>
        <w:spacing w:line="560" w:lineRule="exact"/>
        <w:rPr>
          <w:rFonts w:ascii="宋体" w:hAnsi="宋体" w:cs="Tahoma"/>
          <w:kern w:val="0"/>
          <w:shd w:val="clear" w:color="auto" w:fill="FFFFFF"/>
        </w:rPr>
      </w:pPr>
      <w:r>
        <w:rPr>
          <w:rFonts w:hint="eastAsia" w:ascii="宋体" w:hAnsi="宋体" w:cs="Tahoma"/>
          <w:kern w:val="0"/>
          <w:shd w:val="clear" w:color="auto" w:fill="FFFFFF"/>
        </w:rPr>
        <w:t xml:space="preserve"> </w:t>
      </w:r>
    </w:p>
    <w:p w14:paraId="401E2EAA">
      <w:pPr>
        <w:spacing w:line="560" w:lineRule="exact"/>
        <w:rPr>
          <w:rFonts w:ascii="宋体" w:hAnsi="宋体" w:cs="Tahoma"/>
          <w:kern w:val="0"/>
          <w:shd w:val="clear" w:color="auto" w:fill="FFFFFF"/>
        </w:rPr>
      </w:pPr>
      <w:r>
        <w:rPr>
          <w:rFonts w:hint="eastAsia" w:ascii="宋体" w:hAnsi="宋体" w:cs="Tahoma"/>
          <w:kern w:val="0"/>
          <w:shd w:val="clear" w:color="auto" w:fill="FFFFFF"/>
        </w:rPr>
        <w:t xml:space="preserve">法定代表人（负责人）签字（或盖章）： </w:t>
      </w:r>
    </w:p>
    <w:p w14:paraId="24DB7C31">
      <w:pPr>
        <w:spacing w:line="560" w:lineRule="exact"/>
        <w:rPr>
          <w:rFonts w:ascii="宋体" w:hAnsi="宋体" w:cs="Tahoma"/>
          <w:kern w:val="0"/>
          <w:shd w:val="clear" w:color="auto" w:fill="FFFFFF"/>
        </w:rPr>
      </w:pPr>
      <w:r>
        <w:rPr>
          <w:rFonts w:hint="eastAsia" w:ascii="宋体" w:hAnsi="宋体" w:cs="Tahoma"/>
          <w:kern w:val="0"/>
          <w:shd w:val="clear" w:color="auto" w:fill="FFFFFF"/>
        </w:rPr>
        <w:t>职    务：</w:t>
      </w:r>
    </w:p>
    <w:p w14:paraId="0DD131E4">
      <w:pPr>
        <w:spacing w:line="560" w:lineRule="exact"/>
        <w:rPr>
          <w:rFonts w:ascii="宋体" w:hAnsi="宋体" w:cs="Tahoma"/>
          <w:kern w:val="0"/>
          <w:shd w:val="clear" w:color="auto" w:fill="FFFFFF"/>
        </w:rPr>
      </w:pPr>
      <w:r>
        <w:rPr>
          <w:rFonts w:hint="eastAsia" w:ascii="宋体" w:hAnsi="宋体" w:cs="Tahoma"/>
          <w:kern w:val="0"/>
          <w:shd w:val="clear" w:color="auto" w:fill="FFFFFF"/>
        </w:rPr>
        <w:t xml:space="preserve"> </w:t>
      </w:r>
    </w:p>
    <w:p w14:paraId="610B48B4">
      <w:pPr>
        <w:spacing w:line="560" w:lineRule="exact"/>
        <w:rPr>
          <w:rFonts w:ascii="宋体" w:hAnsi="宋体" w:cs="Tahoma"/>
          <w:kern w:val="0"/>
          <w:shd w:val="clear" w:color="auto" w:fill="FFFFFF"/>
        </w:rPr>
      </w:pPr>
      <w:r>
        <w:rPr>
          <w:rFonts w:hint="eastAsia" w:ascii="宋体" w:hAnsi="宋体" w:cs="Tahoma"/>
          <w:kern w:val="0"/>
          <w:shd w:val="clear" w:color="auto" w:fill="FFFFFF"/>
        </w:rPr>
        <w:t xml:space="preserve">代理人（被授权人）签字：                </w:t>
      </w:r>
    </w:p>
    <w:p w14:paraId="1079D880">
      <w:pPr>
        <w:spacing w:line="560" w:lineRule="exact"/>
        <w:jc w:val="left"/>
        <w:rPr>
          <w:rFonts w:ascii="宋体" w:hAnsi="宋体" w:cs="Tahoma"/>
          <w:kern w:val="0"/>
          <w:shd w:val="clear" w:color="auto" w:fill="FFFFFF"/>
        </w:rPr>
      </w:pPr>
      <w:r>
        <w:rPr>
          <w:rFonts w:hint="eastAsia" w:ascii="宋体" w:hAnsi="宋体" w:cs="Tahoma"/>
          <w:kern w:val="0"/>
          <w:shd w:val="clear" w:color="auto" w:fill="FFFFFF"/>
        </w:rPr>
        <w:t xml:space="preserve">职    务：    </w:t>
      </w:r>
    </w:p>
    <w:p w14:paraId="2B812E8A">
      <w:pPr>
        <w:spacing w:line="560" w:lineRule="exact"/>
        <w:rPr>
          <w:rFonts w:ascii="宋体" w:hAnsi="宋体" w:cs="Tahoma"/>
          <w:kern w:val="0"/>
          <w:shd w:val="clear" w:color="auto" w:fill="FFFFFF"/>
        </w:rPr>
      </w:pPr>
      <w:r>
        <w:rPr>
          <w:rFonts w:hint="eastAsia" w:ascii="宋体" w:hAnsi="宋体" w:cs="Tahoma"/>
          <w:kern w:val="0"/>
          <w:shd w:val="clear" w:color="auto" w:fill="FFFFFF"/>
        </w:rPr>
        <w:t xml:space="preserve"> </w:t>
      </w:r>
    </w:p>
    <w:p w14:paraId="774602E5">
      <w:pPr>
        <w:spacing w:line="560" w:lineRule="exact"/>
        <w:rPr>
          <w:rFonts w:ascii="宋体" w:hAnsi="宋体" w:cs="Tahoma"/>
          <w:kern w:val="0"/>
          <w:shd w:val="clear" w:color="auto" w:fill="FFFFFF"/>
        </w:rPr>
      </w:pPr>
      <w:r>
        <w:rPr>
          <w:rFonts w:hint="eastAsia" w:ascii="宋体" w:hAnsi="宋体" w:cs="Tahoma"/>
          <w:kern w:val="0"/>
          <w:shd w:val="clear" w:color="auto" w:fill="FFFFFF"/>
        </w:rPr>
        <w:t xml:space="preserve">银行名称（公章）：               </w:t>
      </w:r>
    </w:p>
    <w:p w14:paraId="732A2E2D">
      <w:pPr>
        <w:spacing w:line="560" w:lineRule="exact"/>
        <w:rPr>
          <w:rFonts w:ascii="宋体" w:hAnsi="宋体" w:cs="Tahoma"/>
          <w:kern w:val="0"/>
          <w:shd w:val="clear" w:color="auto" w:fill="FFFFFF"/>
        </w:rPr>
      </w:pPr>
      <w:r>
        <w:rPr>
          <w:rFonts w:hint="eastAsia" w:ascii="宋体" w:hAnsi="宋体" w:cs="Tahoma"/>
          <w:kern w:val="0"/>
          <w:shd w:val="clear" w:color="auto" w:fill="FFFFFF"/>
        </w:rPr>
        <w:t xml:space="preserve"> 日期：              电话：    </w:t>
      </w:r>
    </w:p>
    <w:p w14:paraId="6A528CC4">
      <w:pPr>
        <w:spacing w:line="360" w:lineRule="auto"/>
        <w:ind w:left="315" w:leftChars="150" w:right="-57"/>
        <w:rPr>
          <w:rFonts w:ascii="宋体" w:hAnsi="宋体" w:cs="Tahoma"/>
          <w:kern w:val="0"/>
          <w:shd w:val="clear" w:color="auto" w:fill="FFFFFF"/>
        </w:rPr>
      </w:pPr>
      <w:r>
        <w:rPr>
          <w:rFonts w:hint="eastAsia" w:ascii="宋体" w:hAnsi="宋体" w:cs="Tahoma"/>
          <w:kern w:val="0"/>
          <w:shd w:val="clear" w:color="auto" w:fill="FFFFFF"/>
        </w:rPr>
        <w:t xml:space="preserve"> </w:t>
      </w:r>
    </w:p>
    <w:p w14:paraId="703BB899">
      <w:pPr>
        <w:spacing w:line="600" w:lineRule="exact"/>
        <w:rPr>
          <w:rFonts w:ascii="宋体" w:hAnsi="宋体" w:cs="Tahoma"/>
          <w:kern w:val="0"/>
          <w:shd w:val="clear" w:color="auto" w:fill="FFFFFF"/>
        </w:rPr>
      </w:pPr>
      <w:r>
        <w:rPr>
          <w:rFonts w:hint="eastAsia" w:ascii="宋体" w:hAnsi="宋体" w:cs="Tahoma"/>
          <w:kern w:val="0"/>
          <w:shd w:val="clear" w:color="auto" w:fill="FFFFFF"/>
        </w:rPr>
        <w:t xml:space="preserve"> </w:t>
      </w:r>
    </w:p>
    <w:p w14:paraId="52CA9F39">
      <w:pPr>
        <w:spacing w:line="600" w:lineRule="exact"/>
        <w:rPr>
          <w:rFonts w:ascii="宋体" w:hAnsi="宋体" w:cs="Tahoma"/>
          <w:kern w:val="0"/>
          <w:shd w:val="clear" w:color="auto" w:fill="FFFFFF"/>
        </w:rPr>
      </w:pPr>
      <w:r>
        <w:rPr>
          <w:rFonts w:hint="eastAsia" w:ascii="宋体" w:hAnsi="宋体" w:cs="Tahoma"/>
          <w:kern w:val="0"/>
          <w:shd w:val="clear" w:color="auto" w:fill="FFFFFF"/>
        </w:rPr>
        <w:t xml:space="preserve"> </w:t>
      </w:r>
    </w:p>
    <w:p w14:paraId="7FD58342">
      <w:pPr>
        <w:spacing w:line="600" w:lineRule="exact"/>
        <w:rPr>
          <w:rFonts w:ascii="宋体" w:hAnsi="宋体" w:cs="Tahoma"/>
          <w:kern w:val="0"/>
          <w:shd w:val="clear" w:color="auto" w:fill="FFFFFF"/>
        </w:rPr>
      </w:pPr>
      <w:r>
        <w:rPr>
          <w:rFonts w:hint="eastAsia" w:ascii="宋体" w:hAnsi="宋体" w:cs="Tahoma"/>
          <w:kern w:val="0"/>
          <w:shd w:val="clear" w:color="auto" w:fill="FFFFFF"/>
        </w:rPr>
        <w:t xml:space="preserve"> </w:t>
      </w:r>
    </w:p>
    <w:p w14:paraId="486FAFFE">
      <w:pPr>
        <w:spacing w:line="600" w:lineRule="exact"/>
        <w:rPr>
          <w:rFonts w:ascii="宋体" w:hAnsi="宋体" w:cs="Tahoma"/>
          <w:kern w:val="0"/>
          <w:shd w:val="clear" w:color="auto" w:fill="FFFFFF"/>
        </w:rPr>
      </w:pPr>
      <w:r>
        <w:rPr>
          <w:rFonts w:hint="eastAsia" w:ascii="宋体" w:hAnsi="宋体" w:cs="Tahoma"/>
          <w:kern w:val="0"/>
          <w:shd w:val="clear" w:color="auto" w:fill="FFFFFF"/>
        </w:rPr>
        <w:t xml:space="preserve"> </w:t>
      </w:r>
    </w:p>
    <w:p w14:paraId="665D9592">
      <w:pPr>
        <w:ind w:firstLine="422" w:firstLineChars="200"/>
        <w:rPr>
          <w:rFonts w:ascii="宋体" w:hAnsi="宋体" w:cs="Tahoma"/>
          <w:b/>
          <w:bCs/>
          <w:kern w:val="0"/>
          <w:shd w:val="clear" w:color="auto" w:fill="FFFFFF"/>
        </w:rPr>
      </w:pPr>
      <w:r>
        <w:rPr>
          <w:rFonts w:hint="eastAsia" w:ascii="宋体" w:hAnsi="宋体" w:cs="Tahoma"/>
          <w:b/>
          <w:bCs/>
          <w:kern w:val="0"/>
          <w:shd w:val="clear" w:color="auto" w:fill="FFFFFF"/>
        </w:rPr>
        <w:t xml:space="preserve"> </w:t>
      </w:r>
    </w:p>
    <w:p w14:paraId="7FF07D24">
      <w:pPr>
        <w:spacing w:line="480" w:lineRule="exact"/>
        <w:rPr>
          <w:rFonts w:ascii="宋体" w:hAnsi="宋体"/>
          <w:b/>
          <w:bCs/>
        </w:rPr>
      </w:pPr>
    </w:p>
    <w:p w14:paraId="65B8A7C0">
      <w:pPr>
        <w:spacing w:line="480" w:lineRule="exact"/>
        <w:rPr>
          <w:rFonts w:ascii="宋体" w:hAnsi="宋体" w:cs="Tahoma"/>
          <w:b/>
          <w:bCs/>
          <w:kern w:val="0"/>
          <w:shd w:val="clear" w:color="auto" w:fill="FFFFFF"/>
        </w:rPr>
      </w:pPr>
      <w:r>
        <w:rPr>
          <w:rFonts w:hint="eastAsia" w:ascii="宋体" w:hAnsi="宋体"/>
          <w:b/>
          <w:bCs/>
        </w:rPr>
        <w:t>附件3：</w:t>
      </w:r>
    </w:p>
    <w:p w14:paraId="0050CB19">
      <w:pPr>
        <w:snapToGrid w:val="0"/>
        <w:spacing w:line="360" w:lineRule="auto"/>
        <w:ind w:left="945" w:leftChars="450" w:right="529" w:rightChars="252"/>
        <w:jc w:val="center"/>
        <w:outlineLvl w:val="1"/>
        <w:rPr>
          <w:rFonts w:ascii="宋体"/>
          <w:b/>
          <w:bCs/>
          <w:sz w:val="36"/>
          <w:szCs w:val="36"/>
        </w:rPr>
      </w:pPr>
      <w:r>
        <w:rPr>
          <w:rFonts w:hint="eastAsia" w:ascii="宋体" w:hAnsi="宋体"/>
          <w:b/>
          <w:bCs/>
          <w:sz w:val="36"/>
          <w:szCs w:val="36"/>
        </w:rPr>
        <w:t>投标文件格式</w:t>
      </w:r>
    </w:p>
    <w:p w14:paraId="2027F0CA">
      <w:pPr>
        <w:snapToGrid w:val="0"/>
        <w:spacing w:line="360" w:lineRule="auto"/>
        <w:ind w:right="529" w:rightChars="252"/>
        <w:rPr>
          <w:rFonts w:ascii="宋体"/>
          <w:sz w:val="24"/>
          <w:szCs w:val="24"/>
        </w:rPr>
      </w:pPr>
      <w:r>
        <w:rPr>
          <w:rFonts w:hint="eastAsia" w:ascii="宋体" w:hAnsi="宋体"/>
          <w:sz w:val="24"/>
          <w:szCs w:val="24"/>
        </w:rPr>
        <w:t>1、投标文件的外包装封面格式（不可缺）：</w:t>
      </w:r>
    </w:p>
    <w:p w14:paraId="16DFD483">
      <w:pPr>
        <w:snapToGrid w:val="0"/>
        <w:spacing w:line="360" w:lineRule="auto"/>
        <w:ind w:left="945" w:leftChars="450" w:right="529" w:rightChars="252"/>
        <w:rPr>
          <w:rFonts w:ascii="宋体"/>
          <w:sz w:val="24"/>
          <w:szCs w:val="24"/>
        </w:rPr>
      </w:pPr>
      <w:r>
        <w:rPr>
          <w:rFonts w:hint="eastAsia" w:ascii="宋体"/>
          <w:sz w:val="24"/>
          <w:szCs w:val="24"/>
        </w:rPr>
        <w:t xml:space="preserve"> </w:t>
      </w:r>
    </w:p>
    <w:p w14:paraId="03032D87">
      <w:pPr>
        <w:snapToGrid w:val="0"/>
        <w:spacing w:line="360" w:lineRule="auto"/>
        <w:ind w:left="945" w:leftChars="450" w:right="529" w:rightChars="252"/>
        <w:jc w:val="center"/>
        <w:rPr>
          <w:rFonts w:ascii="宋体"/>
          <w:sz w:val="36"/>
          <w:szCs w:val="36"/>
        </w:rPr>
      </w:pPr>
      <w:r>
        <w:rPr>
          <w:rFonts w:hint="eastAsia" w:ascii="宋体" w:hAnsi="宋体"/>
          <w:sz w:val="36"/>
          <w:szCs w:val="36"/>
        </w:rPr>
        <w:t>投标文件</w:t>
      </w:r>
    </w:p>
    <w:p w14:paraId="4F216303">
      <w:pPr>
        <w:snapToGrid w:val="0"/>
        <w:spacing w:line="360" w:lineRule="auto"/>
        <w:ind w:left="945" w:leftChars="450" w:right="529" w:rightChars="252"/>
        <w:rPr>
          <w:rFonts w:ascii="宋体"/>
          <w:sz w:val="24"/>
          <w:szCs w:val="24"/>
        </w:rPr>
      </w:pPr>
      <w:r>
        <w:rPr>
          <w:rFonts w:hint="eastAsia" w:ascii="宋体" w:hAnsi="宋体"/>
          <w:sz w:val="24"/>
          <w:szCs w:val="24"/>
        </w:rPr>
        <w:t>项目名称：*****单位*****项目</w:t>
      </w:r>
    </w:p>
    <w:p w14:paraId="551E7AF8">
      <w:pPr>
        <w:pStyle w:val="4"/>
        <w:snapToGrid w:val="0"/>
        <w:spacing w:line="360" w:lineRule="auto"/>
        <w:ind w:left="945" w:leftChars="450" w:right="529" w:rightChars="252" w:firstLine="0"/>
        <w:rPr>
          <w:rFonts w:ascii="宋体"/>
        </w:rPr>
      </w:pPr>
      <w:r>
        <w:rPr>
          <w:rFonts w:hint="eastAsia" w:ascii="宋体" w:hAnsi="宋体"/>
        </w:rPr>
        <w:t>投标人名称：</w:t>
      </w:r>
    </w:p>
    <w:p w14:paraId="3CA955BC">
      <w:pPr>
        <w:pStyle w:val="4"/>
        <w:snapToGrid w:val="0"/>
        <w:spacing w:line="360" w:lineRule="auto"/>
        <w:ind w:left="945" w:leftChars="450" w:right="529" w:rightChars="252" w:firstLine="0"/>
        <w:rPr>
          <w:rFonts w:ascii="宋体"/>
        </w:rPr>
      </w:pPr>
      <w:r>
        <w:rPr>
          <w:rFonts w:hint="eastAsia" w:ascii="宋体" w:hAnsi="宋体"/>
        </w:rPr>
        <w:t>投标人地址：</w:t>
      </w:r>
    </w:p>
    <w:p w14:paraId="0D2FA141">
      <w:pPr>
        <w:pStyle w:val="4"/>
        <w:snapToGrid w:val="0"/>
        <w:spacing w:line="360" w:lineRule="auto"/>
        <w:ind w:left="945" w:leftChars="450" w:right="529" w:rightChars="252" w:firstLine="0"/>
        <w:rPr>
          <w:rFonts w:ascii="宋体"/>
        </w:rPr>
      </w:pPr>
      <w:r>
        <w:rPr>
          <w:rFonts w:hint="eastAsia" w:ascii="宋体" w:hAnsi="宋体"/>
        </w:rPr>
        <w:t>在</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rPr>
        <w:t xml:space="preserve">    </w:t>
      </w:r>
      <w:r>
        <w:rPr>
          <w:rFonts w:hint="eastAsia" w:ascii="宋体" w:hAnsi="宋体"/>
        </w:rPr>
        <w:t>时</w:t>
      </w:r>
      <w:r>
        <w:rPr>
          <w:rFonts w:hint="eastAsia" w:ascii="宋体" w:hAnsi="宋体"/>
          <w:u w:val="single"/>
        </w:rPr>
        <w:t xml:space="preserve">    </w:t>
      </w:r>
      <w:r>
        <w:rPr>
          <w:rFonts w:hint="eastAsia" w:ascii="宋体" w:hAnsi="宋体"/>
        </w:rPr>
        <w:t>分之前不得启封</w:t>
      </w:r>
    </w:p>
    <w:p w14:paraId="54F63C02">
      <w:pPr>
        <w:snapToGrid w:val="0"/>
        <w:spacing w:line="360" w:lineRule="auto"/>
        <w:ind w:left="945" w:leftChars="450" w:right="529" w:rightChars="252"/>
        <w:rPr>
          <w:rFonts w:ascii="宋体"/>
          <w:sz w:val="24"/>
          <w:szCs w:val="24"/>
        </w:rPr>
      </w:pPr>
      <w:r>
        <w:rPr>
          <w:rFonts w:hint="eastAsia" w:ascii="宋体" w:hAnsi="宋体"/>
          <w:b/>
          <w:bCs/>
          <w:kern w:val="0"/>
          <w:sz w:val="24"/>
          <w:szCs w:val="24"/>
        </w:rPr>
        <w:t>（注：密封皮封口处上必须盖有投标单位公章或投标全权代表签字）</w:t>
      </w:r>
    </w:p>
    <w:p w14:paraId="021EBBE6">
      <w:pPr>
        <w:snapToGrid w:val="0"/>
        <w:spacing w:line="360" w:lineRule="auto"/>
        <w:ind w:left="945" w:leftChars="450" w:right="529" w:rightChars="252"/>
        <w:rPr>
          <w:rFonts w:ascii="宋体"/>
          <w:sz w:val="24"/>
          <w:szCs w:val="24"/>
        </w:rPr>
      </w:pPr>
      <w:r>
        <w:rPr>
          <w:rFonts w:hint="eastAsia" w:ascii="宋体"/>
          <w:sz w:val="24"/>
          <w:szCs w:val="24"/>
        </w:rPr>
        <w:t xml:space="preserve"> </w:t>
      </w:r>
    </w:p>
    <w:p w14:paraId="67920E77">
      <w:pPr>
        <w:snapToGrid w:val="0"/>
        <w:spacing w:line="360" w:lineRule="auto"/>
        <w:ind w:left="945" w:leftChars="450" w:right="529" w:rightChars="252"/>
        <w:jc w:val="center"/>
        <w:rPr>
          <w:rFonts w:ascii="宋体"/>
          <w:sz w:val="24"/>
          <w:szCs w:val="24"/>
        </w:rPr>
      </w:pPr>
      <w:r>
        <w:rPr>
          <w:rFonts w:hint="eastAsia" w:ascii="宋体" w:hAnsi="宋体"/>
          <w:sz w:val="24"/>
          <w:szCs w:val="24"/>
        </w:rPr>
        <w:t xml:space="preserve">     年    月    日</w:t>
      </w:r>
    </w:p>
    <w:p w14:paraId="201A8192">
      <w:pPr>
        <w:snapToGrid w:val="0"/>
        <w:spacing w:line="360" w:lineRule="auto"/>
        <w:ind w:left="945" w:leftChars="450" w:right="529" w:rightChars="252"/>
        <w:rPr>
          <w:rFonts w:ascii="宋体"/>
          <w:sz w:val="24"/>
          <w:szCs w:val="24"/>
        </w:rPr>
      </w:pPr>
      <w:r>
        <w:rPr>
          <w:rFonts w:hint="eastAsia" w:ascii="宋体"/>
          <w:sz w:val="24"/>
          <w:szCs w:val="24"/>
        </w:rPr>
        <w:t xml:space="preserve"> </w:t>
      </w:r>
    </w:p>
    <w:p w14:paraId="7712CB9C">
      <w:pPr>
        <w:snapToGrid w:val="0"/>
        <w:spacing w:line="360" w:lineRule="auto"/>
        <w:ind w:left="945" w:leftChars="450" w:right="529" w:rightChars="252"/>
        <w:rPr>
          <w:rFonts w:ascii="宋体"/>
          <w:sz w:val="24"/>
          <w:szCs w:val="24"/>
        </w:rPr>
      </w:pPr>
      <w:r>
        <w:rPr>
          <w:rFonts w:hint="eastAsia" w:ascii="宋体"/>
          <w:sz w:val="24"/>
          <w:szCs w:val="24"/>
        </w:rPr>
        <w:t xml:space="preserve"> </w:t>
      </w:r>
    </w:p>
    <w:p w14:paraId="7D8116E5">
      <w:pPr>
        <w:snapToGrid w:val="0"/>
        <w:spacing w:line="360" w:lineRule="auto"/>
        <w:ind w:right="529" w:rightChars="252"/>
        <w:rPr>
          <w:rFonts w:ascii="宋体"/>
          <w:sz w:val="24"/>
          <w:szCs w:val="24"/>
        </w:rPr>
      </w:pPr>
      <w:r>
        <w:rPr>
          <w:rFonts w:hint="eastAsia" w:ascii="宋体" w:hAnsi="宋体"/>
          <w:sz w:val="24"/>
          <w:szCs w:val="24"/>
        </w:rPr>
        <w:t>2.投标文件封面格式（不可缺）：</w:t>
      </w:r>
    </w:p>
    <w:p w14:paraId="708E3D49">
      <w:pPr>
        <w:snapToGrid w:val="0"/>
        <w:spacing w:line="360" w:lineRule="auto"/>
        <w:ind w:left="945" w:leftChars="450" w:right="529" w:rightChars="252"/>
        <w:rPr>
          <w:rFonts w:ascii="宋体"/>
          <w:b/>
          <w:bCs/>
          <w:sz w:val="32"/>
          <w:szCs w:val="32"/>
        </w:rPr>
      </w:pPr>
      <w:r>
        <w:rPr>
          <w:rFonts w:hint="eastAsia" w:ascii="宋体"/>
          <w:b/>
          <w:bCs/>
          <w:sz w:val="32"/>
          <w:szCs w:val="32"/>
        </w:rPr>
        <w:t xml:space="preserve"> </w:t>
      </w:r>
    </w:p>
    <w:p w14:paraId="1B22A536">
      <w:pPr>
        <w:snapToGrid w:val="0"/>
        <w:spacing w:line="360" w:lineRule="auto"/>
        <w:ind w:left="945" w:leftChars="450" w:right="529" w:rightChars="252"/>
        <w:jc w:val="center"/>
        <w:rPr>
          <w:rFonts w:ascii="宋体"/>
          <w:sz w:val="28"/>
          <w:szCs w:val="28"/>
        </w:rPr>
      </w:pPr>
      <w:r>
        <w:rPr>
          <w:rFonts w:hint="eastAsia" w:ascii="宋体" w:hAnsi="宋体"/>
          <w:sz w:val="32"/>
          <w:szCs w:val="32"/>
        </w:rPr>
        <w:t xml:space="preserve">               </w:t>
      </w:r>
      <w:r>
        <w:rPr>
          <w:rFonts w:hint="eastAsia" w:ascii="宋体" w:hAnsi="宋体"/>
          <w:sz w:val="36"/>
          <w:szCs w:val="36"/>
        </w:rPr>
        <w:t>投标文件</w:t>
      </w:r>
      <w:r>
        <w:rPr>
          <w:rFonts w:hint="eastAsia" w:ascii="宋体" w:hAnsi="宋体"/>
          <w:sz w:val="32"/>
          <w:szCs w:val="32"/>
        </w:rPr>
        <w:t xml:space="preserve">       </w:t>
      </w:r>
      <w:r>
        <w:rPr>
          <w:rFonts w:hint="eastAsia" w:ascii="宋体" w:hAnsi="宋体"/>
          <w:b/>
          <w:bCs/>
          <w:sz w:val="32"/>
          <w:szCs w:val="32"/>
        </w:rPr>
        <w:t>正本/或副本</w:t>
      </w:r>
    </w:p>
    <w:p w14:paraId="4F0224F5">
      <w:pPr>
        <w:snapToGrid w:val="0"/>
        <w:spacing w:line="360" w:lineRule="auto"/>
        <w:ind w:left="945" w:leftChars="450" w:right="529" w:rightChars="252"/>
        <w:rPr>
          <w:rFonts w:ascii="宋体"/>
          <w:sz w:val="24"/>
          <w:szCs w:val="24"/>
        </w:rPr>
      </w:pPr>
      <w:r>
        <w:rPr>
          <w:rFonts w:hint="eastAsia" w:ascii="宋体"/>
          <w:sz w:val="24"/>
          <w:szCs w:val="24"/>
        </w:rPr>
        <w:t xml:space="preserve"> </w:t>
      </w:r>
    </w:p>
    <w:p w14:paraId="7210CD7C">
      <w:pPr>
        <w:snapToGrid w:val="0"/>
        <w:spacing w:line="360" w:lineRule="auto"/>
        <w:ind w:left="945" w:leftChars="450" w:right="529" w:rightChars="252"/>
        <w:rPr>
          <w:rFonts w:ascii="宋体"/>
          <w:sz w:val="24"/>
          <w:szCs w:val="24"/>
        </w:rPr>
      </w:pPr>
      <w:r>
        <w:rPr>
          <w:rFonts w:hint="eastAsia" w:ascii="宋体" w:hAnsi="宋体"/>
          <w:sz w:val="24"/>
          <w:szCs w:val="24"/>
        </w:rPr>
        <w:t>项目名称：*****单位*****项目</w:t>
      </w:r>
    </w:p>
    <w:p w14:paraId="51D20A35">
      <w:pPr>
        <w:pStyle w:val="4"/>
        <w:snapToGrid w:val="0"/>
        <w:spacing w:line="360" w:lineRule="auto"/>
        <w:ind w:left="945" w:leftChars="450" w:right="529" w:rightChars="252" w:firstLine="0"/>
        <w:rPr>
          <w:rFonts w:ascii="宋体"/>
        </w:rPr>
      </w:pPr>
      <w:r>
        <w:rPr>
          <w:rFonts w:hint="eastAsia" w:ascii="宋体" w:hAnsi="宋体"/>
        </w:rPr>
        <w:t>投标人名称：（加盖公章）</w:t>
      </w:r>
    </w:p>
    <w:p w14:paraId="594D51D4">
      <w:pPr>
        <w:pStyle w:val="4"/>
        <w:snapToGrid w:val="0"/>
        <w:spacing w:line="360" w:lineRule="auto"/>
        <w:ind w:left="945" w:leftChars="450" w:right="529" w:rightChars="252" w:firstLine="0"/>
        <w:rPr>
          <w:rFonts w:ascii="宋体"/>
        </w:rPr>
      </w:pPr>
      <w:r>
        <w:rPr>
          <w:rFonts w:hint="eastAsia"/>
        </w:rPr>
        <w:t>投标人地址：</w:t>
      </w:r>
    </w:p>
    <w:p w14:paraId="3E93F142">
      <w:pPr>
        <w:snapToGrid w:val="0"/>
        <w:spacing w:line="360" w:lineRule="auto"/>
        <w:ind w:left="945" w:leftChars="450" w:right="529" w:rightChars="252"/>
        <w:jc w:val="center"/>
        <w:rPr>
          <w:rFonts w:ascii="宋体"/>
          <w:sz w:val="30"/>
          <w:szCs w:val="30"/>
        </w:rPr>
      </w:pPr>
      <w:r>
        <w:rPr>
          <w:rFonts w:hint="eastAsia" w:ascii="宋体" w:hAnsi="宋体"/>
          <w:sz w:val="24"/>
          <w:szCs w:val="24"/>
        </w:rPr>
        <w:t xml:space="preserve">     年    月    日</w:t>
      </w:r>
    </w:p>
    <w:p w14:paraId="6F7DED6E">
      <w:pPr>
        <w:spacing w:line="480" w:lineRule="exact"/>
        <w:ind w:firstLine="422" w:firstLineChars="200"/>
        <w:rPr>
          <w:rFonts w:ascii="宋体" w:hAnsi="宋体" w:cs="Tahoma"/>
          <w:b/>
          <w:bCs/>
          <w:kern w:val="0"/>
          <w:shd w:val="clear" w:color="auto" w:fill="FFFFFF"/>
        </w:rPr>
      </w:pPr>
    </w:p>
    <w:p w14:paraId="60BBA011">
      <w:pPr>
        <w:spacing w:line="480" w:lineRule="exact"/>
        <w:ind w:firstLine="422" w:firstLineChars="200"/>
        <w:rPr>
          <w:rFonts w:ascii="宋体" w:hAnsi="宋体" w:cs="Tahoma"/>
          <w:b/>
          <w:bCs/>
          <w:kern w:val="0"/>
          <w:shd w:val="clear" w:color="auto" w:fill="FFFFFF"/>
        </w:rPr>
      </w:pPr>
    </w:p>
    <w:p w14:paraId="0D964328">
      <w:pPr>
        <w:pStyle w:val="2"/>
      </w:pPr>
    </w:p>
    <w:p w14:paraId="528CA9CE">
      <w:pPr>
        <w:spacing w:line="480" w:lineRule="exact"/>
        <w:rPr>
          <w:rFonts w:ascii="宋体" w:hAnsi="宋体" w:cs="Tahoma"/>
          <w:b/>
          <w:bCs/>
          <w:kern w:val="0"/>
          <w:shd w:val="clear" w:color="auto" w:fill="FFFFFF"/>
        </w:rPr>
      </w:pPr>
    </w:p>
    <w:p w14:paraId="6492BC4D">
      <w:pPr>
        <w:spacing w:line="480" w:lineRule="exact"/>
        <w:rPr>
          <w:rFonts w:ascii="宋体" w:hAnsi="宋体" w:cs="Tahoma"/>
          <w:b/>
          <w:bCs/>
          <w:kern w:val="0"/>
          <w:sz w:val="32"/>
          <w:szCs w:val="32"/>
          <w:shd w:val="clear" w:color="auto" w:fill="FFFFFF"/>
        </w:rPr>
      </w:pPr>
      <w:r>
        <w:rPr>
          <w:rFonts w:hint="eastAsia" w:ascii="宋体" w:hAnsi="宋体" w:cs="Tahoma"/>
          <w:b/>
          <w:bCs/>
          <w:kern w:val="0"/>
          <w:shd w:val="clear" w:color="auto" w:fill="FFFFFF"/>
        </w:rPr>
        <w:t>附件4：</w:t>
      </w:r>
    </w:p>
    <w:p w14:paraId="1850CF69">
      <w:pPr>
        <w:spacing w:line="480" w:lineRule="exact"/>
        <w:ind w:firstLine="643" w:firstLineChars="200"/>
        <w:jc w:val="center"/>
        <w:rPr>
          <w:rFonts w:ascii="宋体" w:hAnsi="宋体" w:cs="Tahoma"/>
          <w:b/>
          <w:bCs/>
          <w:kern w:val="0"/>
          <w:sz w:val="32"/>
          <w:szCs w:val="32"/>
          <w:shd w:val="clear" w:color="auto" w:fill="FFFFFF"/>
        </w:rPr>
      </w:pPr>
      <w:r>
        <w:rPr>
          <w:rFonts w:hint="eastAsia" w:ascii="宋体" w:hAnsi="宋体" w:cs="Tahoma"/>
          <w:b/>
          <w:bCs/>
          <w:kern w:val="0"/>
          <w:sz w:val="32"/>
          <w:szCs w:val="32"/>
          <w:shd w:val="clear" w:color="auto" w:fill="FFFFFF"/>
        </w:rPr>
        <w:t>三门县企业经济融资担保有限责任公司资金竞争性存放项目定期存款协议书</w:t>
      </w:r>
    </w:p>
    <w:p w14:paraId="73C38AAC">
      <w:pPr>
        <w:spacing w:line="600" w:lineRule="exact"/>
        <w:ind w:firstLine="6370"/>
        <w:rPr>
          <w:rFonts w:ascii="宋体" w:hAnsi="宋体" w:cs="Tahoma"/>
          <w:kern w:val="0"/>
          <w:shd w:val="clear" w:color="auto" w:fill="FFFFFF"/>
        </w:rPr>
      </w:pPr>
      <w:r>
        <w:rPr>
          <w:rFonts w:hint="eastAsia" w:ascii="宋体" w:hAnsi="宋体" w:cs="Tahoma"/>
          <w:kern w:val="0"/>
          <w:shd w:val="clear" w:color="auto" w:fill="FFFFFF"/>
        </w:rPr>
        <w:t xml:space="preserve">编号：           </w:t>
      </w:r>
    </w:p>
    <w:p w14:paraId="4982AF55">
      <w:pPr>
        <w:snapToGrid w:val="0"/>
        <w:spacing w:line="600" w:lineRule="exact"/>
        <w:ind w:firstLine="420" w:firstLineChars="200"/>
        <w:rPr>
          <w:rFonts w:ascii="宋体" w:hAnsi="宋体" w:cs="Tahoma"/>
          <w:kern w:val="0"/>
          <w:shd w:val="clear" w:color="auto" w:fill="FFFFFF"/>
        </w:rPr>
      </w:pPr>
      <w:r>
        <w:rPr>
          <w:rFonts w:hint="eastAsia" w:ascii="宋体" w:hAnsi="宋体" w:cs="Tahoma"/>
          <w:kern w:val="0"/>
          <w:shd w:val="clear" w:color="auto" w:fill="FFFFFF"/>
        </w:rPr>
        <w:t xml:space="preserve">甲方：三门县企业经济融资担保有限责任公司  </w:t>
      </w:r>
    </w:p>
    <w:p w14:paraId="3C3D319E">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 xml:space="preserve">乙方：                          </w:t>
      </w:r>
    </w:p>
    <w:p w14:paraId="30CDB3C9">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为明确双方在三门县企业经济融资担保有限责任公司资金竞争性存放项目业务活动中的权利与义务，甲、乙双方达成本协议。</w:t>
      </w:r>
    </w:p>
    <w:p w14:paraId="1137D1F9">
      <w:pPr>
        <w:snapToGrid w:val="0"/>
        <w:spacing w:line="480" w:lineRule="auto"/>
        <w:ind w:firstLine="422" w:firstLineChars="200"/>
        <w:jc w:val="left"/>
        <w:rPr>
          <w:rFonts w:ascii="宋体" w:hAnsi="宋体" w:cs="Tahoma"/>
          <w:b/>
          <w:kern w:val="0"/>
          <w:shd w:val="clear" w:color="auto" w:fill="FFFFFF"/>
        </w:rPr>
      </w:pPr>
      <w:r>
        <w:rPr>
          <w:rFonts w:hint="eastAsia" w:ascii="宋体" w:hAnsi="宋体" w:cs="Tahoma"/>
          <w:b/>
          <w:kern w:val="0"/>
          <w:shd w:val="clear" w:color="auto" w:fill="FFFFFF"/>
        </w:rPr>
        <w:t>一、总则</w:t>
      </w:r>
    </w:p>
    <w:p w14:paraId="30B04586">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第一条  根据《中华人民共和国民法典》、《三门县县级财政资金竞争性存放管理办法》、</w:t>
      </w:r>
      <w:r>
        <w:rPr>
          <w:rFonts w:hint="eastAsia" w:ascii="宋体" w:hAnsi="宋体" w:cs="Tahoma"/>
          <w:kern w:val="0"/>
          <w:sz w:val="22"/>
          <w:szCs w:val="22"/>
          <w:shd w:val="clear" w:color="auto" w:fill="FFFFFF"/>
        </w:rPr>
        <w:t>《三门县国有企业资金竞争性存放管理暂行办法》、</w:t>
      </w:r>
      <w:r>
        <w:rPr>
          <w:rFonts w:hint="eastAsia" w:ascii="宋体" w:hAnsi="宋体" w:cs="Tahoma"/>
          <w:kern w:val="0"/>
          <w:shd w:val="clear" w:color="auto" w:fill="FFFFFF"/>
        </w:rPr>
        <w:t>《三门县财政资金竞争性存放商业银行定期存款业务操作规程》等相关规定，经甲、乙双方平等协商，签订本协议。</w:t>
      </w:r>
    </w:p>
    <w:p w14:paraId="5B506B60">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第二条  甲方通过招投标方式择优确定三门县企业经济融资担保有限责任公司资金竞争性存放的定期存款银行，其定期存款有关的资金管理、本息收回、经济社会发展责任贡献履行等活动适用本协议。</w:t>
      </w:r>
    </w:p>
    <w:p w14:paraId="55583B03">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第三条  经招投标确定，甲方在乙方开立定期存款账户，存入</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年</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期定期存款      万元，存款期限</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月，定期存款年利率</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w:t>
      </w:r>
    </w:p>
    <w:p w14:paraId="2E086A2E">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第四条  本协议存款到期结清本息，乙方经办行将到期本息划入甲方指定存款资金账户（开户行：</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，账户名称：</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，账号：</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w:t>
      </w:r>
    </w:p>
    <w:p w14:paraId="35266567">
      <w:pPr>
        <w:snapToGrid w:val="0"/>
        <w:spacing w:line="480" w:lineRule="auto"/>
        <w:ind w:firstLine="422" w:firstLineChars="200"/>
        <w:rPr>
          <w:rFonts w:ascii="宋体" w:hAnsi="宋体" w:cs="Tahoma"/>
          <w:b/>
          <w:kern w:val="0"/>
          <w:shd w:val="clear" w:color="auto" w:fill="FFFFFF"/>
        </w:rPr>
      </w:pPr>
      <w:r>
        <w:rPr>
          <w:rFonts w:hint="eastAsia" w:ascii="宋体" w:hAnsi="宋体" w:cs="Tahoma"/>
          <w:b/>
          <w:kern w:val="0"/>
          <w:shd w:val="clear" w:color="auto" w:fill="FFFFFF"/>
        </w:rPr>
        <w:t>二、甲方权利与义务</w:t>
      </w:r>
    </w:p>
    <w:p w14:paraId="470D0880">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（一）监督乙方履行本协议；</w:t>
      </w:r>
    </w:p>
    <w:p w14:paraId="0EBF4DD4">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（二）要求乙方提供存款证明；</w:t>
      </w:r>
    </w:p>
    <w:p w14:paraId="40242CC8">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（三）对乙方资金定期存款业务实施监督管理；</w:t>
      </w:r>
    </w:p>
    <w:p w14:paraId="6EE57767">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（四）按规定在乙方办理定期存款存放；</w:t>
      </w:r>
    </w:p>
    <w:p w14:paraId="5E928960">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（五）及时与乙方核对账务。</w:t>
      </w:r>
    </w:p>
    <w:p w14:paraId="5267492E">
      <w:pPr>
        <w:snapToGrid w:val="0"/>
        <w:spacing w:line="480" w:lineRule="auto"/>
        <w:ind w:firstLine="422" w:firstLineChars="200"/>
        <w:rPr>
          <w:rFonts w:ascii="宋体" w:hAnsi="宋体" w:cs="Tahoma"/>
          <w:b/>
          <w:kern w:val="0"/>
          <w:shd w:val="clear" w:color="auto" w:fill="FFFFFF"/>
        </w:rPr>
      </w:pPr>
      <w:r>
        <w:rPr>
          <w:rFonts w:hint="eastAsia" w:ascii="宋体" w:hAnsi="宋体" w:cs="Tahoma"/>
          <w:b/>
          <w:kern w:val="0"/>
          <w:shd w:val="clear" w:color="auto" w:fill="FFFFFF"/>
        </w:rPr>
        <w:t>三、乙方权利与义务</w:t>
      </w:r>
    </w:p>
    <w:p w14:paraId="4830CC43">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（一）按中标金额取得甲方资金定期存款；</w:t>
      </w:r>
    </w:p>
    <w:p w14:paraId="46700CDF">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（二）及时办理定期存款并向甲方提供存款证明；</w:t>
      </w:r>
    </w:p>
    <w:p w14:paraId="26FDA6AE">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（三）存款到期及时足额缴清甲方存款本息；</w:t>
      </w:r>
    </w:p>
    <w:p w14:paraId="60FE6293">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（四）确保甲方资金定期存款在乙方存续期间的资金安全；</w:t>
      </w:r>
    </w:p>
    <w:p w14:paraId="408CF353">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（五）接受甲方对资金定期存款业务的监督管理；</w:t>
      </w:r>
    </w:p>
    <w:p w14:paraId="5AD693FC">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（六）在每月终了后3个工作日内向甲方提供存放资金对账单；</w:t>
      </w:r>
    </w:p>
    <w:p w14:paraId="71C3DA88">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（七）若乙方提供的存款证明票面利率与本协议利率不一致的，以协议利率为准，乙方必须提供上级行的审批资料。</w:t>
      </w:r>
    </w:p>
    <w:p w14:paraId="5D021E43">
      <w:pPr>
        <w:snapToGrid w:val="0"/>
        <w:spacing w:line="480" w:lineRule="auto"/>
        <w:ind w:firstLine="422" w:firstLineChars="200"/>
        <w:rPr>
          <w:rFonts w:ascii="宋体" w:hAnsi="宋体" w:cs="Tahoma"/>
          <w:b/>
          <w:kern w:val="0"/>
          <w:shd w:val="clear" w:color="auto" w:fill="FFFFFF"/>
        </w:rPr>
      </w:pPr>
      <w:r>
        <w:rPr>
          <w:rFonts w:hint="eastAsia" w:ascii="宋体" w:hAnsi="宋体" w:cs="Tahoma"/>
          <w:b/>
          <w:kern w:val="0"/>
          <w:shd w:val="clear" w:color="auto" w:fill="FFFFFF"/>
        </w:rPr>
        <w:t>四、违约责任</w:t>
      </w:r>
      <w:r>
        <w:rPr>
          <w:rFonts w:hint="eastAsia" w:ascii="宋体" w:hAnsi="宋体" w:cs="Tahoma"/>
          <w:b/>
          <w:kern w:val="0"/>
          <w:shd w:val="clear" w:color="auto" w:fill="FFFFFF"/>
        </w:rPr>
        <w:tab/>
      </w:r>
    </w:p>
    <w:p w14:paraId="7B528C5C">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除发生不可抗力外，违约责任按以下条款执行：</w:t>
      </w:r>
    </w:p>
    <w:p w14:paraId="5C38C87E">
      <w:pPr>
        <w:widowControl/>
        <w:overflowPunct w:val="0"/>
        <w:autoSpaceDE w:val="0"/>
        <w:autoSpaceDN w:val="0"/>
        <w:adjustRightInd w:val="0"/>
        <w:snapToGrid w:val="0"/>
        <w:spacing w:line="480" w:lineRule="auto"/>
        <w:ind w:firstLine="420" w:firstLineChars="200"/>
        <w:textAlignment w:val="baseline"/>
        <w:rPr>
          <w:rFonts w:ascii="宋体" w:hAnsi="宋体" w:cs="Tahoma"/>
          <w:kern w:val="0"/>
          <w:shd w:val="clear" w:color="auto" w:fill="FFFFFF"/>
        </w:rPr>
      </w:pPr>
      <w:r>
        <w:rPr>
          <w:rFonts w:hint="eastAsia" w:ascii="宋体" w:hAnsi="宋体" w:cs="Tahoma"/>
          <w:kern w:val="0"/>
          <w:shd w:val="clear" w:color="auto" w:fill="FFFFFF"/>
        </w:rPr>
        <w:t>（一）甲方未及时办理资金存放，应按未划拨资金额，以当期存款协议中定期存款利率的2倍折成日利率，按日向乙方支付违约金；</w:t>
      </w:r>
    </w:p>
    <w:p w14:paraId="02EF1DC4">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二）竞标银行对通过招投标取得的定期存款在存续期间不得提前终止。若提前终止，存期利息按其中标的定期存款利率按日折算，并处以已计利息的1倍罚息，同时取消该银行之后5年内的资金竞争性存放竞标资格。</w:t>
      </w:r>
    </w:p>
    <w:p w14:paraId="2829EF5E">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 xml:space="preserve">（三）乙方未及时向甲方缴清到期存款本息的，应以当期资金定期存款利率的2倍折成日利率，按日向甲方支付违约金； </w:t>
      </w:r>
    </w:p>
    <w:p w14:paraId="4DE486AD">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（四）乙方有下列情形之一的，甲方有权视情节轻重，书面通知该银行划回存放资金，并决定暂停以至取消其参与本级专户资金竞争性存放：</w:t>
      </w:r>
    </w:p>
    <w:p w14:paraId="1BCDF025">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（1）一年内未按规定及时汇划到期本息违约两次及以上或涉及金额较大的；</w:t>
      </w:r>
    </w:p>
    <w:p w14:paraId="367CBAE8">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（2） 出现资金安全事故、重大违法违规，导致财务恶化或引起信用危机的；</w:t>
      </w:r>
    </w:p>
    <w:p w14:paraId="02DC7C31">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（3）监管评级降低，监管部门认为存在较大运营风险的；</w:t>
      </w:r>
    </w:p>
    <w:p w14:paraId="4FA01C78">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（4）未遵守廉政承诺或者在资金存放中存在其他利益输送行为的；</w:t>
      </w:r>
    </w:p>
    <w:p w14:paraId="5998894A">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（5）未按照定期存款协议或银行账户管理协议履行相应的责任和义务的；</w:t>
      </w:r>
    </w:p>
    <w:p w14:paraId="2397119E">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（6）存在弄虚作假等严重不正当竞争行为的；</w:t>
      </w:r>
    </w:p>
    <w:p w14:paraId="4811F053">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（7）可能危及资金安全的其他情况。</w:t>
      </w:r>
    </w:p>
    <w:p w14:paraId="57648686">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（五）竞标银行通过竞标取得中标资格后，不履行相关中标事项，严重扰乱招投标秩序的，5年内不得参加资金竞争性存放投标。</w:t>
      </w:r>
    </w:p>
    <w:p w14:paraId="3510F4A6">
      <w:pPr>
        <w:snapToGrid w:val="0"/>
        <w:spacing w:line="480" w:lineRule="auto"/>
        <w:ind w:firstLine="422" w:firstLineChars="200"/>
        <w:rPr>
          <w:rFonts w:ascii="宋体" w:hAnsi="宋体" w:cs="Tahoma"/>
          <w:b/>
          <w:kern w:val="0"/>
          <w:shd w:val="clear" w:color="auto" w:fill="FFFFFF"/>
        </w:rPr>
      </w:pPr>
      <w:r>
        <w:rPr>
          <w:rFonts w:hint="eastAsia" w:ascii="宋体" w:hAnsi="宋体" w:cs="Tahoma"/>
          <w:b/>
          <w:kern w:val="0"/>
          <w:shd w:val="clear" w:color="auto" w:fill="FFFFFF"/>
        </w:rPr>
        <w:t>五、提前支取</w:t>
      </w:r>
    </w:p>
    <w:p w14:paraId="69A59AD9">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甲方有权在到期日前提前支取资金定期存款，甲方至少应在5个工作日前通知乙方，提前支取金额按支取时国家有关利率政策计付利息，存续金额仍按原起息日、期限及存款利率计付利息。</w:t>
      </w:r>
    </w:p>
    <w:p w14:paraId="44844A5E">
      <w:pPr>
        <w:snapToGrid w:val="0"/>
        <w:spacing w:line="480" w:lineRule="auto"/>
        <w:ind w:firstLine="422" w:firstLineChars="200"/>
        <w:rPr>
          <w:rFonts w:ascii="宋体" w:hAnsi="宋体" w:cs="Tahoma"/>
          <w:b/>
          <w:kern w:val="0"/>
          <w:shd w:val="clear" w:color="auto" w:fill="FFFFFF"/>
        </w:rPr>
      </w:pPr>
      <w:r>
        <w:rPr>
          <w:rFonts w:hint="eastAsia" w:ascii="宋体" w:hAnsi="宋体" w:cs="Tahoma"/>
          <w:b/>
          <w:kern w:val="0"/>
          <w:shd w:val="clear" w:color="auto" w:fill="FFFFFF"/>
        </w:rPr>
        <w:t>六、协议期限</w:t>
      </w:r>
    </w:p>
    <w:p w14:paraId="61245679">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本协议期限自</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年</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月</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日起至</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年</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月</w:t>
      </w:r>
      <w:r>
        <w:rPr>
          <w:rFonts w:hint="eastAsia" w:ascii="宋体" w:hAnsi="宋体" w:cs="Tahoma"/>
          <w:kern w:val="0"/>
          <w:u w:val="single"/>
          <w:shd w:val="clear" w:color="auto" w:fill="FFFFFF"/>
        </w:rPr>
        <w:t xml:space="preserve">    </w:t>
      </w:r>
      <w:r>
        <w:rPr>
          <w:rFonts w:hint="eastAsia" w:ascii="宋体" w:hAnsi="宋体" w:cs="Tahoma"/>
          <w:kern w:val="0"/>
          <w:shd w:val="clear" w:color="auto" w:fill="FFFFFF"/>
        </w:rPr>
        <w:t>日止。</w:t>
      </w:r>
    </w:p>
    <w:p w14:paraId="48661D87">
      <w:pPr>
        <w:snapToGrid w:val="0"/>
        <w:spacing w:line="480" w:lineRule="auto"/>
        <w:ind w:firstLine="422" w:firstLineChars="200"/>
        <w:rPr>
          <w:rFonts w:ascii="宋体" w:hAnsi="宋体" w:cs="Tahoma"/>
          <w:b/>
          <w:kern w:val="0"/>
          <w:shd w:val="clear" w:color="auto" w:fill="FFFFFF"/>
        </w:rPr>
      </w:pPr>
      <w:r>
        <w:rPr>
          <w:rFonts w:hint="eastAsia" w:ascii="宋体" w:hAnsi="宋体" w:cs="Tahoma"/>
          <w:b/>
          <w:kern w:val="0"/>
          <w:shd w:val="clear" w:color="auto" w:fill="FFFFFF"/>
        </w:rPr>
        <w:t>七、本协议自甲、乙双方签字盖章之日起生效。</w:t>
      </w:r>
    </w:p>
    <w:p w14:paraId="227CAF9D">
      <w:pPr>
        <w:snapToGrid w:val="0"/>
        <w:spacing w:line="480" w:lineRule="auto"/>
        <w:ind w:firstLine="422" w:firstLineChars="200"/>
        <w:rPr>
          <w:rFonts w:ascii="宋体" w:hAnsi="宋体" w:cs="Tahoma"/>
          <w:b/>
          <w:kern w:val="0"/>
          <w:shd w:val="clear" w:color="auto" w:fill="FFFFFF"/>
        </w:rPr>
      </w:pPr>
      <w:r>
        <w:rPr>
          <w:rFonts w:hint="eastAsia" w:ascii="宋体" w:hAnsi="宋体" w:cs="Tahoma"/>
          <w:b/>
          <w:kern w:val="0"/>
          <w:shd w:val="clear" w:color="auto" w:fill="FFFFFF"/>
        </w:rPr>
        <w:t>八、本协议一式2份，甲乙双方各执1份，具有同等法律效力。执行中如对本协议产生争议，通过协商解决。</w:t>
      </w:r>
    </w:p>
    <w:p w14:paraId="68958CA6">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 xml:space="preserve"> </w:t>
      </w:r>
    </w:p>
    <w:p w14:paraId="14BD0D8E">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 xml:space="preserve"> </w:t>
      </w:r>
    </w:p>
    <w:p w14:paraId="6639C44B">
      <w:pPr>
        <w:snapToGrid w:val="0"/>
        <w:spacing w:line="480" w:lineRule="auto"/>
        <w:rPr>
          <w:rFonts w:ascii="宋体" w:hAnsi="宋体" w:cs="Tahoma"/>
          <w:kern w:val="0"/>
          <w:shd w:val="clear" w:color="auto" w:fill="FFFFFF"/>
        </w:rPr>
      </w:pPr>
      <w:r>
        <w:rPr>
          <w:rFonts w:hint="eastAsia" w:ascii="宋体" w:hAnsi="宋体" w:cs="Tahoma"/>
          <w:kern w:val="0"/>
          <w:shd w:val="clear" w:color="auto" w:fill="FFFFFF"/>
        </w:rPr>
        <w:t xml:space="preserve"> </w:t>
      </w:r>
    </w:p>
    <w:p w14:paraId="37A1A2EC">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甲方（盖章）                                 乙方（盖章）</w:t>
      </w:r>
    </w:p>
    <w:p w14:paraId="1D6CFACB">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 xml:space="preserve"> </w:t>
      </w:r>
    </w:p>
    <w:p w14:paraId="57139B5F">
      <w:pPr>
        <w:snapToGrid w:val="0"/>
        <w:spacing w:line="480" w:lineRule="auto"/>
        <w:ind w:firstLine="420" w:firstLineChars="200"/>
        <w:rPr>
          <w:rFonts w:ascii="宋体" w:hAnsi="宋体" w:cs="Tahoma"/>
          <w:kern w:val="0"/>
          <w:shd w:val="clear" w:color="auto" w:fill="FFFFFF"/>
        </w:rPr>
      </w:pPr>
      <w:r>
        <w:rPr>
          <w:rFonts w:hint="eastAsia" w:ascii="宋体" w:hAnsi="宋体" w:cs="Tahoma"/>
          <w:kern w:val="0"/>
          <w:shd w:val="clear" w:color="auto" w:fill="FFFFFF"/>
        </w:rPr>
        <w:t xml:space="preserve">甲方代表（签字）：                           乙方代表（签字）：   </w:t>
      </w:r>
    </w:p>
    <w:p w14:paraId="36CE8730">
      <w:pPr>
        <w:widowControl/>
        <w:adjustRightInd w:val="0"/>
        <w:snapToGrid w:val="0"/>
        <w:spacing w:line="480" w:lineRule="auto"/>
        <w:jc w:val="center"/>
        <w:rPr>
          <w:rFonts w:ascii="宋体" w:hAnsi="宋体" w:cs="Tahoma"/>
          <w:kern w:val="0"/>
          <w:shd w:val="clear" w:color="auto" w:fill="FFFFFF"/>
        </w:rPr>
      </w:pPr>
      <w:r>
        <w:rPr>
          <w:rFonts w:hint="eastAsia" w:ascii="宋体" w:hAnsi="宋体" w:cs="Tahoma"/>
          <w:kern w:val="0"/>
          <w:shd w:val="clear" w:color="auto" w:fill="FFFFFF"/>
        </w:rPr>
        <w:t xml:space="preserve">  </w:t>
      </w:r>
    </w:p>
    <w:p w14:paraId="01C04DDC">
      <w:pPr>
        <w:widowControl/>
        <w:adjustRightInd w:val="0"/>
        <w:snapToGrid w:val="0"/>
        <w:spacing w:line="480" w:lineRule="auto"/>
        <w:jc w:val="center"/>
      </w:pPr>
      <w:r>
        <w:rPr>
          <w:rFonts w:hint="eastAsia" w:ascii="宋体" w:hAnsi="宋体" w:cs="Tahoma"/>
          <w:kern w:val="0"/>
          <w:shd w:val="clear" w:color="auto" w:fill="FFFFFF"/>
        </w:rPr>
        <w:t xml:space="preserve">            年   月   日                                           年   月   日</w:t>
      </w:r>
    </w:p>
    <w:p w14:paraId="0C7E9DEF"/>
    <w:p w14:paraId="1A4C138B"/>
    <w:p w14:paraId="17B4C267"/>
    <w:p w14:paraId="193C0759"/>
    <w:p w14:paraId="02EFBFC8"/>
    <w:p w14:paraId="176399B8"/>
    <w:p w14:paraId="41E9B19D"/>
    <w:p w14:paraId="435B4D4A">
      <w:pPr>
        <w:pStyle w:val="2"/>
      </w:pPr>
    </w:p>
    <w:p w14:paraId="6AE95B51">
      <w:pPr>
        <w:pStyle w:val="2"/>
      </w:pPr>
    </w:p>
    <w:p w14:paraId="0B11F2C6">
      <w:pPr>
        <w:spacing w:line="480" w:lineRule="exact"/>
        <w:rPr>
          <w:rFonts w:ascii="宋体" w:hAnsi="宋体" w:cs="Tahoma"/>
          <w:b/>
          <w:bCs/>
          <w:kern w:val="0"/>
          <w:shd w:val="clear" w:color="auto" w:fill="FFFFFF"/>
        </w:rPr>
      </w:pPr>
    </w:p>
    <w:p w14:paraId="7FC116DC">
      <w:pPr>
        <w:spacing w:line="480" w:lineRule="exact"/>
        <w:rPr>
          <w:rFonts w:ascii="宋体" w:hAnsi="宋体" w:cs="Tahoma"/>
          <w:b/>
          <w:bCs/>
          <w:kern w:val="0"/>
          <w:shd w:val="clear" w:color="auto" w:fill="FFFFFF"/>
        </w:rPr>
      </w:pPr>
      <w:r>
        <w:rPr>
          <w:rFonts w:hint="eastAsia" w:ascii="宋体" w:hAnsi="宋体" w:cs="Tahoma"/>
          <w:b/>
          <w:bCs/>
          <w:kern w:val="0"/>
          <w:shd w:val="clear" w:color="auto" w:fill="FFFFFF"/>
        </w:rPr>
        <w:t>附件5：</w:t>
      </w:r>
    </w:p>
    <w:p w14:paraId="16B650B2">
      <w:pPr>
        <w:jc w:val="center"/>
        <w:rPr>
          <w:b/>
          <w:sz w:val="36"/>
          <w:szCs w:val="36"/>
        </w:rPr>
      </w:pPr>
      <w:r>
        <w:rPr>
          <w:rFonts w:hint="eastAsia"/>
          <w:b/>
          <w:sz w:val="36"/>
          <w:szCs w:val="36"/>
        </w:rPr>
        <w:t>廉政承诺书</w:t>
      </w:r>
    </w:p>
    <w:p w14:paraId="6FBE7D5E">
      <w:pPr>
        <w:rPr>
          <w:szCs w:val="28"/>
        </w:rPr>
      </w:pPr>
    </w:p>
    <w:p w14:paraId="50DE4024">
      <w:pPr>
        <w:rPr>
          <w:szCs w:val="28"/>
        </w:rPr>
      </w:pPr>
    </w:p>
    <w:p w14:paraId="09ED09AE">
      <w:pPr>
        <w:spacing w:line="480" w:lineRule="auto"/>
        <w:rPr>
          <w:sz w:val="22"/>
          <w:szCs w:val="32"/>
          <w:u w:val="single"/>
        </w:rPr>
      </w:pPr>
      <w:r>
        <w:rPr>
          <w:rFonts w:hint="eastAsia" w:hAnsi="宋体"/>
          <w:sz w:val="22"/>
          <w:szCs w:val="20"/>
          <w:u w:val="single"/>
          <w:lang w:val="zh-CN"/>
        </w:rPr>
        <w:t xml:space="preserve"> 三门县企业经济融资担保有限责任公司</w:t>
      </w:r>
      <w:r>
        <w:rPr>
          <w:rFonts w:hint="eastAsia"/>
          <w:sz w:val="22"/>
          <w:szCs w:val="32"/>
          <w:u w:val="single"/>
        </w:rPr>
        <w:t>：</w:t>
      </w:r>
    </w:p>
    <w:p w14:paraId="13676629">
      <w:pPr>
        <w:spacing w:line="480" w:lineRule="auto"/>
        <w:ind w:firstLine="420"/>
        <w:rPr>
          <w:sz w:val="22"/>
          <w:szCs w:val="32"/>
        </w:rPr>
      </w:pPr>
      <w:r>
        <w:rPr>
          <w:rFonts w:hint="eastAsia"/>
          <w:sz w:val="22"/>
          <w:szCs w:val="32"/>
        </w:rPr>
        <w:t>根据《财政部关于进一步加强财政部门和预算单位资金存放管理的指导意见》（财库[2017]76号）、《浙江省财政专户资金存放管理实施办法》、</w:t>
      </w:r>
      <w:r>
        <w:rPr>
          <w:rFonts w:cs="宋体"/>
          <w:sz w:val="22"/>
          <w:szCs w:val="22"/>
        </w:rPr>
        <w:t>《</w:t>
      </w:r>
      <w:r>
        <w:rPr>
          <w:rFonts w:hint="eastAsia" w:cs="宋体"/>
          <w:sz w:val="22"/>
          <w:szCs w:val="22"/>
        </w:rPr>
        <w:t>三门县国有企业资金竞争性存放管理暂行办法</w:t>
      </w:r>
      <w:r>
        <w:rPr>
          <w:rFonts w:cs="宋体"/>
          <w:sz w:val="22"/>
          <w:szCs w:val="22"/>
        </w:rPr>
        <w:t>》</w:t>
      </w:r>
      <w:r>
        <w:rPr>
          <w:rFonts w:hint="eastAsia"/>
          <w:sz w:val="22"/>
          <w:szCs w:val="32"/>
        </w:rPr>
        <w:t>相关规定，现就本行参加贵单位</w:t>
      </w:r>
      <w:r>
        <w:rPr>
          <w:rFonts w:hint="eastAsia" w:hAnsi="宋体"/>
          <w:sz w:val="22"/>
          <w:szCs w:val="20"/>
          <w:lang w:val="zh-CN"/>
        </w:rPr>
        <w:t>三门县企业经济融资担保有限责任公司资金</w:t>
      </w:r>
      <w:r>
        <w:rPr>
          <w:rFonts w:hint="eastAsia"/>
          <w:sz w:val="22"/>
          <w:szCs w:val="32"/>
        </w:rPr>
        <w:t>竞争性存放作出如下承诺：</w:t>
      </w:r>
    </w:p>
    <w:p w14:paraId="0907EEF4">
      <w:pPr>
        <w:numPr>
          <w:ilvl w:val="0"/>
          <w:numId w:val="1"/>
        </w:numPr>
        <w:spacing w:line="480" w:lineRule="auto"/>
        <w:ind w:firstLine="420"/>
        <w:rPr>
          <w:sz w:val="22"/>
          <w:szCs w:val="32"/>
        </w:rPr>
      </w:pPr>
      <w:r>
        <w:rPr>
          <w:rFonts w:hint="eastAsia"/>
          <w:sz w:val="22"/>
          <w:szCs w:val="32"/>
        </w:rPr>
        <w:t>不向贵单位负责专户资金存放管理的领导及相关人员进行利益输送；</w:t>
      </w:r>
    </w:p>
    <w:p w14:paraId="39103423">
      <w:pPr>
        <w:numPr>
          <w:ilvl w:val="0"/>
          <w:numId w:val="1"/>
        </w:numPr>
        <w:spacing w:line="480" w:lineRule="auto"/>
        <w:ind w:firstLine="420"/>
        <w:rPr>
          <w:sz w:val="22"/>
          <w:szCs w:val="32"/>
        </w:rPr>
      </w:pPr>
      <w:r>
        <w:rPr>
          <w:rFonts w:hint="eastAsia"/>
          <w:sz w:val="22"/>
          <w:szCs w:val="32"/>
        </w:rPr>
        <w:t>不将专户资金存放与贵单位负责专户资金存放管理的领导及相关人员在本行的配偶、子女及其配偶和其他直接利益相关人员的业绩、收入、晋升挂钩；</w:t>
      </w:r>
    </w:p>
    <w:p w14:paraId="3A7811EB">
      <w:pPr>
        <w:numPr>
          <w:ilvl w:val="0"/>
          <w:numId w:val="1"/>
        </w:numPr>
        <w:spacing w:line="480" w:lineRule="auto"/>
        <w:ind w:firstLine="420"/>
        <w:rPr>
          <w:sz w:val="22"/>
          <w:szCs w:val="32"/>
        </w:rPr>
      </w:pPr>
      <w:r>
        <w:rPr>
          <w:rFonts w:hint="eastAsia"/>
          <w:sz w:val="22"/>
          <w:szCs w:val="32"/>
        </w:rPr>
        <w:t>严格执行利益回避制度，贵单位负责专户资金竞争性存放相关人员的配偶、子女及其配偶和其他直接利益相关人员为本行工作人员的，不参与专户资金竞争性存放工作；</w:t>
      </w:r>
    </w:p>
    <w:p w14:paraId="6501E0C0">
      <w:pPr>
        <w:numPr>
          <w:ilvl w:val="0"/>
          <w:numId w:val="1"/>
        </w:numPr>
        <w:spacing w:line="480" w:lineRule="auto"/>
        <w:ind w:firstLine="420"/>
        <w:rPr>
          <w:sz w:val="22"/>
          <w:szCs w:val="32"/>
        </w:rPr>
      </w:pPr>
      <w:r>
        <w:rPr>
          <w:rFonts w:hint="eastAsia"/>
          <w:sz w:val="22"/>
          <w:szCs w:val="32"/>
        </w:rPr>
        <w:t>不发生除上述行为之外的其他任何利益输送行为。</w:t>
      </w:r>
    </w:p>
    <w:p w14:paraId="1C2AE71C">
      <w:pPr>
        <w:spacing w:line="480" w:lineRule="auto"/>
        <w:ind w:firstLine="420"/>
        <w:rPr>
          <w:sz w:val="22"/>
          <w:szCs w:val="32"/>
        </w:rPr>
      </w:pPr>
      <w:r>
        <w:rPr>
          <w:rFonts w:hint="eastAsia"/>
          <w:sz w:val="22"/>
          <w:szCs w:val="32"/>
        </w:rPr>
        <w:t>未遵守以上承诺的，本行自愿接受财政部门通报和处理，承担相应的一切后果。</w:t>
      </w:r>
    </w:p>
    <w:p w14:paraId="582698AF">
      <w:pPr>
        <w:spacing w:line="360" w:lineRule="auto"/>
        <w:ind w:firstLine="420"/>
        <w:rPr>
          <w:rFonts w:ascii="宋体" w:hAnsi="宋体"/>
        </w:rPr>
      </w:pPr>
    </w:p>
    <w:p w14:paraId="7F8CA0B3">
      <w:pPr>
        <w:spacing w:line="360" w:lineRule="auto"/>
        <w:rPr>
          <w:rFonts w:ascii="宋体" w:hAnsi="宋体"/>
        </w:rPr>
      </w:pPr>
    </w:p>
    <w:p w14:paraId="51CD072D">
      <w:pPr>
        <w:spacing w:line="360" w:lineRule="auto"/>
        <w:ind w:firstLine="420"/>
        <w:rPr>
          <w:rFonts w:ascii="宋体" w:hAnsi="宋体"/>
        </w:rPr>
      </w:pPr>
      <w:r>
        <w:rPr>
          <w:rFonts w:hint="eastAsia" w:ascii="宋体" w:hAnsi="宋体"/>
        </w:rPr>
        <w:t xml:space="preserve">                                            ＿＿＿＿银行（公章）</w:t>
      </w:r>
    </w:p>
    <w:p w14:paraId="7A4C5416">
      <w:pPr>
        <w:spacing w:line="360" w:lineRule="auto"/>
        <w:ind w:firstLine="420"/>
        <w:rPr>
          <w:rFonts w:ascii="宋体" w:hAnsi="宋体"/>
        </w:rPr>
      </w:pPr>
    </w:p>
    <w:p w14:paraId="2C55ED53">
      <w:pPr>
        <w:spacing w:line="360" w:lineRule="auto"/>
        <w:ind w:firstLine="420"/>
        <w:rPr>
          <w:rFonts w:ascii="宋体" w:hAnsi="宋体"/>
        </w:rPr>
      </w:pPr>
      <w:r>
        <w:rPr>
          <w:rFonts w:hint="eastAsia" w:ascii="宋体" w:hAnsi="宋体"/>
        </w:rPr>
        <w:t xml:space="preserve">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1E24C79-FBCF-4E53-A505-EBCDB653CBFF}"/>
  </w:font>
  <w:font w:name="黑体">
    <w:panose1 w:val="02010609060101010101"/>
    <w:charset w:val="86"/>
    <w:family w:val="auto"/>
    <w:pitch w:val="default"/>
    <w:sig w:usb0="800002BF" w:usb1="38CF7CFA" w:usb2="00000016" w:usb3="00000000" w:csb0="00040001" w:csb1="00000000"/>
    <w:embedRegular r:id="rId2" w:fontKey="{DF2C30D0-3058-4C3C-95A0-984D664FFF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6FA442A0-FE2C-4F02-B4CA-164A4AE0A9D7}"/>
  </w:font>
  <w:font w:name="Tahoma">
    <w:panose1 w:val="020B0604030504040204"/>
    <w:charset w:val="00"/>
    <w:family w:val="swiss"/>
    <w:pitch w:val="default"/>
    <w:sig w:usb0="E1002EFF" w:usb1="C000605B" w:usb2="00000029" w:usb3="00000000" w:csb0="200101FF" w:csb1="20280000"/>
    <w:embedRegular r:id="rId4" w:fontKey="{CD7EAEAA-236E-487B-91E8-4DEAFF6D2EFB}"/>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5" w:fontKey="{0E801D69-1551-43E6-B183-0585327F48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34E24">
    <w:pPr>
      <w:pStyle w:val="9"/>
      <w:framePr w:wrap="around" w:vAnchor="text" w:hAnchor="margin" w:xAlign="right" w:y="1"/>
      <w:rPr>
        <w:rStyle w:val="14"/>
      </w:rPr>
    </w:pPr>
    <w:r>
      <w:fldChar w:fldCharType="begin"/>
    </w:r>
    <w:r>
      <w:rPr>
        <w:rStyle w:val="14"/>
      </w:rPr>
      <w:instrText xml:space="preserve">PAGE  </w:instrText>
    </w:r>
    <w:r>
      <w:fldChar w:fldCharType="separate"/>
    </w:r>
    <w:r>
      <w:rPr>
        <w:rStyle w:val="14"/>
      </w:rPr>
      <w:t>12</w:t>
    </w:r>
    <w:r>
      <w:fldChar w:fldCharType="end"/>
    </w:r>
  </w:p>
  <w:p w14:paraId="6D3170E7">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48E7D"/>
    <w:multiLevelType w:val="singleLevel"/>
    <w:tmpl w:val="87348E7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M2U4NGI1N2ZlMGYyN2E4NmVkMDI1NzFhMTQ3ZGYifQ=="/>
  </w:docVars>
  <w:rsids>
    <w:rsidRoot w:val="000F60E0"/>
    <w:rsid w:val="00001143"/>
    <w:rsid w:val="00002694"/>
    <w:rsid w:val="00013F20"/>
    <w:rsid w:val="0002607F"/>
    <w:rsid w:val="0003619E"/>
    <w:rsid w:val="00036E59"/>
    <w:rsid w:val="00044D4B"/>
    <w:rsid w:val="00063C8D"/>
    <w:rsid w:val="00072064"/>
    <w:rsid w:val="0007558E"/>
    <w:rsid w:val="0008112D"/>
    <w:rsid w:val="00082AD6"/>
    <w:rsid w:val="00084D1D"/>
    <w:rsid w:val="00093C64"/>
    <w:rsid w:val="000B7BBC"/>
    <w:rsid w:val="000F60E0"/>
    <w:rsid w:val="00110305"/>
    <w:rsid w:val="00110E9D"/>
    <w:rsid w:val="001159E5"/>
    <w:rsid w:val="0012165A"/>
    <w:rsid w:val="00136E8B"/>
    <w:rsid w:val="00155F15"/>
    <w:rsid w:val="001A3A32"/>
    <w:rsid w:val="001B7D63"/>
    <w:rsid w:val="001C0F4C"/>
    <w:rsid w:val="001E1787"/>
    <w:rsid w:val="001E2FC9"/>
    <w:rsid w:val="001E6464"/>
    <w:rsid w:val="001F1AE2"/>
    <w:rsid w:val="002349FA"/>
    <w:rsid w:val="002351FB"/>
    <w:rsid w:val="00235702"/>
    <w:rsid w:val="00243CD2"/>
    <w:rsid w:val="00257031"/>
    <w:rsid w:val="00265669"/>
    <w:rsid w:val="0029220B"/>
    <w:rsid w:val="002960BE"/>
    <w:rsid w:val="002A161F"/>
    <w:rsid w:val="002A3F26"/>
    <w:rsid w:val="002C6956"/>
    <w:rsid w:val="002E26E3"/>
    <w:rsid w:val="002F5570"/>
    <w:rsid w:val="003052F4"/>
    <w:rsid w:val="00307258"/>
    <w:rsid w:val="00313947"/>
    <w:rsid w:val="00322E79"/>
    <w:rsid w:val="003232F0"/>
    <w:rsid w:val="003503FD"/>
    <w:rsid w:val="00354B4A"/>
    <w:rsid w:val="00362A2A"/>
    <w:rsid w:val="00374A2E"/>
    <w:rsid w:val="003758CB"/>
    <w:rsid w:val="00376F40"/>
    <w:rsid w:val="0038471D"/>
    <w:rsid w:val="00384899"/>
    <w:rsid w:val="0039422C"/>
    <w:rsid w:val="003C04A5"/>
    <w:rsid w:val="003E6E26"/>
    <w:rsid w:val="00400BBF"/>
    <w:rsid w:val="0041303D"/>
    <w:rsid w:val="00424250"/>
    <w:rsid w:val="00426D77"/>
    <w:rsid w:val="00431CAE"/>
    <w:rsid w:val="00461F0C"/>
    <w:rsid w:val="004623BF"/>
    <w:rsid w:val="0047290C"/>
    <w:rsid w:val="00477BB6"/>
    <w:rsid w:val="00485649"/>
    <w:rsid w:val="00491347"/>
    <w:rsid w:val="00493DE9"/>
    <w:rsid w:val="004A2DBE"/>
    <w:rsid w:val="004D4440"/>
    <w:rsid w:val="004D5DBE"/>
    <w:rsid w:val="004E6A5F"/>
    <w:rsid w:val="004F4B7B"/>
    <w:rsid w:val="00504637"/>
    <w:rsid w:val="00511B16"/>
    <w:rsid w:val="005302AD"/>
    <w:rsid w:val="005458F6"/>
    <w:rsid w:val="005555DD"/>
    <w:rsid w:val="00555BF3"/>
    <w:rsid w:val="00583489"/>
    <w:rsid w:val="0058664D"/>
    <w:rsid w:val="005A1912"/>
    <w:rsid w:val="005B2A44"/>
    <w:rsid w:val="005D0260"/>
    <w:rsid w:val="005E20B1"/>
    <w:rsid w:val="0060687D"/>
    <w:rsid w:val="00623BCC"/>
    <w:rsid w:val="006244AD"/>
    <w:rsid w:val="0062676D"/>
    <w:rsid w:val="00675D07"/>
    <w:rsid w:val="00692228"/>
    <w:rsid w:val="006A54BE"/>
    <w:rsid w:val="006D5794"/>
    <w:rsid w:val="006E138B"/>
    <w:rsid w:val="006E1DAA"/>
    <w:rsid w:val="00713B7F"/>
    <w:rsid w:val="007141F2"/>
    <w:rsid w:val="0072706F"/>
    <w:rsid w:val="00743DB4"/>
    <w:rsid w:val="00767977"/>
    <w:rsid w:val="00795C09"/>
    <w:rsid w:val="007B12C1"/>
    <w:rsid w:val="007F4428"/>
    <w:rsid w:val="0081546C"/>
    <w:rsid w:val="00836079"/>
    <w:rsid w:val="00852431"/>
    <w:rsid w:val="00864000"/>
    <w:rsid w:val="00876692"/>
    <w:rsid w:val="00894419"/>
    <w:rsid w:val="008A1BBC"/>
    <w:rsid w:val="008A3829"/>
    <w:rsid w:val="008A5F32"/>
    <w:rsid w:val="008C1D7F"/>
    <w:rsid w:val="008D6C9E"/>
    <w:rsid w:val="008F180E"/>
    <w:rsid w:val="00913179"/>
    <w:rsid w:val="00922887"/>
    <w:rsid w:val="00935A83"/>
    <w:rsid w:val="00936967"/>
    <w:rsid w:val="00940DD0"/>
    <w:rsid w:val="00941826"/>
    <w:rsid w:val="00942053"/>
    <w:rsid w:val="0095127B"/>
    <w:rsid w:val="00963257"/>
    <w:rsid w:val="00974224"/>
    <w:rsid w:val="009B7B2A"/>
    <w:rsid w:val="009E56E6"/>
    <w:rsid w:val="00A20B63"/>
    <w:rsid w:val="00A367BA"/>
    <w:rsid w:val="00A54D95"/>
    <w:rsid w:val="00A67D98"/>
    <w:rsid w:val="00A7121B"/>
    <w:rsid w:val="00A77F94"/>
    <w:rsid w:val="00A8079E"/>
    <w:rsid w:val="00A862C6"/>
    <w:rsid w:val="00A90B69"/>
    <w:rsid w:val="00AB0040"/>
    <w:rsid w:val="00AC5907"/>
    <w:rsid w:val="00AD1C7D"/>
    <w:rsid w:val="00AD7D37"/>
    <w:rsid w:val="00AE6C45"/>
    <w:rsid w:val="00AF5E80"/>
    <w:rsid w:val="00B11E6C"/>
    <w:rsid w:val="00B20859"/>
    <w:rsid w:val="00B33B93"/>
    <w:rsid w:val="00B357FC"/>
    <w:rsid w:val="00B65E4E"/>
    <w:rsid w:val="00B701B7"/>
    <w:rsid w:val="00B7236E"/>
    <w:rsid w:val="00B72EE0"/>
    <w:rsid w:val="00B86CF4"/>
    <w:rsid w:val="00B86E7C"/>
    <w:rsid w:val="00BA2AC7"/>
    <w:rsid w:val="00BD44B5"/>
    <w:rsid w:val="00BE2A90"/>
    <w:rsid w:val="00BE2B49"/>
    <w:rsid w:val="00C01446"/>
    <w:rsid w:val="00C61FE3"/>
    <w:rsid w:val="00C714ED"/>
    <w:rsid w:val="00C978E7"/>
    <w:rsid w:val="00CC0C29"/>
    <w:rsid w:val="00CC3196"/>
    <w:rsid w:val="00CC3350"/>
    <w:rsid w:val="00CC7D7F"/>
    <w:rsid w:val="00CD52AB"/>
    <w:rsid w:val="00CD6652"/>
    <w:rsid w:val="00CE3D29"/>
    <w:rsid w:val="00CE510D"/>
    <w:rsid w:val="00CF007B"/>
    <w:rsid w:val="00D04D12"/>
    <w:rsid w:val="00D25463"/>
    <w:rsid w:val="00D642BF"/>
    <w:rsid w:val="00D7217A"/>
    <w:rsid w:val="00D820F8"/>
    <w:rsid w:val="00D8793A"/>
    <w:rsid w:val="00D92B0D"/>
    <w:rsid w:val="00DA4923"/>
    <w:rsid w:val="00DA4B97"/>
    <w:rsid w:val="00DA4E7D"/>
    <w:rsid w:val="00DA69E3"/>
    <w:rsid w:val="00DB16FD"/>
    <w:rsid w:val="00DC1F30"/>
    <w:rsid w:val="00DC241A"/>
    <w:rsid w:val="00DD0F6C"/>
    <w:rsid w:val="00DD5115"/>
    <w:rsid w:val="00DD685E"/>
    <w:rsid w:val="00DE0C72"/>
    <w:rsid w:val="00DE385F"/>
    <w:rsid w:val="00DE7259"/>
    <w:rsid w:val="00DF7841"/>
    <w:rsid w:val="00E10622"/>
    <w:rsid w:val="00E10B58"/>
    <w:rsid w:val="00E20E7D"/>
    <w:rsid w:val="00E40060"/>
    <w:rsid w:val="00E46CA2"/>
    <w:rsid w:val="00E83C1B"/>
    <w:rsid w:val="00ED341C"/>
    <w:rsid w:val="00EE42C4"/>
    <w:rsid w:val="00EE5145"/>
    <w:rsid w:val="00F10B7C"/>
    <w:rsid w:val="00F1642E"/>
    <w:rsid w:val="00F20CB6"/>
    <w:rsid w:val="00F4501F"/>
    <w:rsid w:val="00F4777A"/>
    <w:rsid w:val="00F51AA0"/>
    <w:rsid w:val="00F629A0"/>
    <w:rsid w:val="00F824F0"/>
    <w:rsid w:val="00F86271"/>
    <w:rsid w:val="00F92D5E"/>
    <w:rsid w:val="00FA0D11"/>
    <w:rsid w:val="00FF325D"/>
    <w:rsid w:val="017716F4"/>
    <w:rsid w:val="017D5380"/>
    <w:rsid w:val="01D86637"/>
    <w:rsid w:val="025C1016"/>
    <w:rsid w:val="02AC4631"/>
    <w:rsid w:val="02F00930"/>
    <w:rsid w:val="03205500"/>
    <w:rsid w:val="03E7444B"/>
    <w:rsid w:val="0444271A"/>
    <w:rsid w:val="044611D6"/>
    <w:rsid w:val="04D251F0"/>
    <w:rsid w:val="04FF7EFB"/>
    <w:rsid w:val="05616943"/>
    <w:rsid w:val="05A84572"/>
    <w:rsid w:val="060D2627"/>
    <w:rsid w:val="068648B3"/>
    <w:rsid w:val="06C3163B"/>
    <w:rsid w:val="06E84AE2"/>
    <w:rsid w:val="07245E7A"/>
    <w:rsid w:val="074541BB"/>
    <w:rsid w:val="07517C8C"/>
    <w:rsid w:val="076170CE"/>
    <w:rsid w:val="07EC0192"/>
    <w:rsid w:val="082051AE"/>
    <w:rsid w:val="0A1C2659"/>
    <w:rsid w:val="0A3D797F"/>
    <w:rsid w:val="0AAE6112"/>
    <w:rsid w:val="0B054B0D"/>
    <w:rsid w:val="0B896BF3"/>
    <w:rsid w:val="0C656D19"/>
    <w:rsid w:val="0C6D2071"/>
    <w:rsid w:val="0CF911A5"/>
    <w:rsid w:val="0D814026"/>
    <w:rsid w:val="0E2624D8"/>
    <w:rsid w:val="0E6B0D83"/>
    <w:rsid w:val="0F032819"/>
    <w:rsid w:val="0F2E47F1"/>
    <w:rsid w:val="103A7183"/>
    <w:rsid w:val="1086726A"/>
    <w:rsid w:val="11427629"/>
    <w:rsid w:val="1146147C"/>
    <w:rsid w:val="118440E5"/>
    <w:rsid w:val="11851C0B"/>
    <w:rsid w:val="11936410"/>
    <w:rsid w:val="11D230A2"/>
    <w:rsid w:val="130213CE"/>
    <w:rsid w:val="14527C53"/>
    <w:rsid w:val="14C173FE"/>
    <w:rsid w:val="154A73F4"/>
    <w:rsid w:val="15712BD2"/>
    <w:rsid w:val="15C02DDF"/>
    <w:rsid w:val="1604435F"/>
    <w:rsid w:val="16353AA6"/>
    <w:rsid w:val="16B8213B"/>
    <w:rsid w:val="174A7237"/>
    <w:rsid w:val="17832749"/>
    <w:rsid w:val="17BE7C25"/>
    <w:rsid w:val="17C214C3"/>
    <w:rsid w:val="17DD00AB"/>
    <w:rsid w:val="184B11A5"/>
    <w:rsid w:val="184B4C79"/>
    <w:rsid w:val="18624DC4"/>
    <w:rsid w:val="192E442B"/>
    <w:rsid w:val="19647E76"/>
    <w:rsid w:val="198804EA"/>
    <w:rsid w:val="1A751621"/>
    <w:rsid w:val="1B062E19"/>
    <w:rsid w:val="1B171B26"/>
    <w:rsid w:val="1BBE2C0E"/>
    <w:rsid w:val="1BF73705"/>
    <w:rsid w:val="1BFF20F5"/>
    <w:rsid w:val="1C3B1632"/>
    <w:rsid w:val="1C760ACE"/>
    <w:rsid w:val="1D5256E5"/>
    <w:rsid w:val="1D540A4C"/>
    <w:rsid w:val="1E1467F1"/>
    <w:rsid w:val="1E6257AE"/>
    <w:rsid w:val="1EF62B57"/>
    <w:rsid w:val="1F8A25D5"/>
    <w:rsid w:val="1F8F5E89"/>
    <w:rsid w:val="1FE664AE"/>
    <w:rsid w:val="20484530"/>
    <w:rsid w:val="20757F3E"/>
    <w:rsid w:val="20C51C87"/>
    <w:rsid w:val="20EC75B1"/>
    <w:rsid w:val="21A47E8B"/>
    <w:rsid w:val="21DC6A03"/>
    <w:rsid w:val="22350104"/>
    <w:rsid w:val="22646256"/>
    <w:rsid w:val="229B3350"/>
    <w:rsid w:val="22BE4F7D"/>
    <w:rsid w:val="233275EF"/>
    <w:rsid w:val="236478D2"/>
    <w:rsid w:val="23EE5339"/>
    <w:rsid w:val="243075DF"/>
    <w:rsid w:val="24B34A45"/>
    <w:rsid w:val="24C615DC"/>
    <w:rsid w:val="25184E18"/>
    <w:rsid w:val="252A0B44"/>
    <w:rsid w:val="254B6F9C"/>
    <w:rsid w:val="259D0E7A"/>
    <w:rsid w:val="25E22D30"/>
    <w:rsid w:val="25F35A9B"/>
    <w:rsid w:val="268B2A3A"/>
    <w:rsid w:val="26E8081A"/>
    <w:rsid w:val="27E15995"/>
    <w:rsid w:val="28416434"/>
    <w:rsid w:val="28C11323"/>
    <w:rsid w:val="28FE4325"/>
    <w:rsid w:val="29534671"/>
    <w:rsid w:val="295F4C9C"/>
    <w:rsid w:val="29896555"/>
    <w:rsid w:val="2A3002EB"/>
    <w:rsid w:val="2A331DAD"/>
    <w:rsid w:val="2AAD6003"/>
    <w:rsid w:val="2AD43590"/>
    <w:rsid w:val="2B4F7151"/>
    <w:rsid w:val="2BFF63EA"/>
    <w:rsid w:val="2C9E3E55"/>
    <w:rsid w:val="2D840CE0"/>
    <w:rsid w:val="2D93624A"/>
    <w:rsid w:val="2E2A0A7B"/>
    <w:rsid w:val="2EE31FF3"/>
    <w:rsid w:val="2EE6563F"/>
    <w:rsid w:val="2F126439"/>
    <w:rsid w:val="2F49328A"/>
    <w:rsid w:val="2FCA415D"/>
    <w:rsid w:val="2FCA6D0F"/>
    <w:rsid w:val="2FD44032"/>
    <w:rsid w:val="2FEF2C1A"/>
    <w:rsid w:val="30153CEA"/>
    <w:rsid w:val="304D1876"/>
    <w:rsid w:val="30751371"/>
    <w:rsid w:val="30765E56"/>
    <w:rsid w:val="309D4424"/>
    <w:rsid w:val="312F16C5"/>
    <w:rsid w:val="313E79B5"/>
    <w:rsid w:val="3150593A"/>
    <w:rsid w:val="31687BB6"/>
    <w:rsid w:val="32454D73"/>
    <w:rsid w:val="325D030E"/>
    <w:rsid w:val="3319549C"/>
    <w:rsid w:val="333C6176"/>
    <w:rsid w:val="33C341A1"/>
    <w:rsid w:val="343E4038"/>
    <w:rsid w:val="34F23F85"/>
    <w:rsid w:val="355D66C9"/>
    <w:rsid w:val="35BE7316"/>
    <w:rsid w:val="35E07A85"/>
    <w:rsid w:val="36603F29"/>
    <w:rsid w:val="36883BF8"/>
    <w:rsid w:val="368E62C3"/>
    <w:rsid w:val="36D668E1"/>
    <w:rsid w:val="36EC7EB3"/>
    <w:rsid w:val="37193A46"/>
    <w:rsid w:val="3750256A"/>
    <w:rsid w:val="37A442EA"/>
    <w:rsid w:val="37FE39FA"/>
    <w:rsid w:val="389C7EEF"/>
    <w:rsid w:val="38A10829"/>
    <w:rsid w:val="38A66C4B"/>
    <w:rsid w:val="395A1104"/>
    <w:rsid w:val="396A6894"/>
    <w:rsid w:val="39851D9E"/>
    <w:rsid w:val="399E3CA7"/>
    <w:rsid w:val="39E430C3"/>
    <w:rsid w:val="3A206327"/>
    <w:rsid w:val="3A4B4EF0"/>
    <w:rsid w:val="3A695377"/>
    <w:rsid w:val="3AB807D8"/>
    <w:rsid w:val="3B007A89"/>
    <w:rsid w:val="3B24052E"/>
    <w:rsid w:val="3B7D7ADE"/>
    <w:rsid w:val="3B8E768A"/>
    <w:rsid w:val="3BAC1BBC"/>
    <w:rsid w:val="3D1E4B3E"/>
    <w:rsid w:val="3D5F66E9"/>
    <w:rsid w:val="3D7743EB"/>
    <w:rsid w:val="3E012496"/>
    <w:rsid w:val="3E726EF0"/>
    <w:rsid w:val="3E8F6178"/>
    <w:rsid w:val="3EE14075"/>
    <w:rsid w:val="3F485EA2"/>
    <w:rsid w:val="3F4C14EF"/>
    <w:rsid w:val="3F6F51DD"/>
    <w:rsid w:val="3F8F10F5"/>
    <w:rsid w:val="3F917849"/>
    <w:rsid w:val="409420DA"/>
    <w:rsid w:val="40CB28E7"/>
    <w:rsid w:val="40DE148E"/>
    <w:rsid w:val="411A73CB"/>
    <w:rsid w:val="41CC2DBB"/>
    <w:rsid w:val="424E1A22"/>
    <w:rsid w:val="429460D1"/>
    <w:rsid w:val="43394480"/>
    <w:rsid w:val="4368266F"/>
    <w:rsid w:val="43CC2BFE"/>
    <w:rsid w:val="441674C1"/>
    <w:rsid w:val="44780FD8"/>
    <w:rsid w:val="45451652"/>
    <w:rsid w:val="45525385"/>
    <w:rsid w:val="45AF197D"/>
    <w:rsid w:val="45E10ECF"/>
    <w:rsid w:val="461E76C2"/>
    <w:rsid w:val="463E363B"/>
    <w:rsid w:val="478A6C89"/>
    <w:rsid w:val="47D26C51"/>
    <w:rsid w:val="4811150C"/>
    <w:rsid w:val="48480CC1"/>
    <w:rsid w:val="484A477C"/>
    <w:rsid w:val="4990782C"/>
    <w:rsid w:val="4A407FE7"/>
    <w:rsid w:val="4A4211EC"/>
    <w:rsid w:val="4AFB3EEC"/>
    <w:rsid w:val="4B2477C4"/>
    <w:rsid w:val="4B345581"/>
    <w:rsid w:val="4BEA27BB"/>
    <w:rsid w:val="4C0F3FD0"/>
    <w:rsid w:val="4C2B6DEB"/>
    <w:rsid w:val="4E0B6A19"/>
    <w:rsid w:val="4E296E9F"/>
    <w:rsid w:val="4E6F6FA8"/>
    <w:rsid w:val="4ECC264C"/>
    <w:rsid w:val="4F4641AC"/>
    <w:rsid w:val="4F4E3061"/>
    <w:rsid w:val="4FA97833"/>
    <w:rsid w:val="5045517F"/>
    <w:rsid w:val="507110F9"/>
    <w:rsid w:val="50982119"/>
    <w:rsid w:val="50FC6300"/>
    <w:rsid w:val="51275C48"/>
    <w:rsid w:val="512E2834"/>
    <w:rsid w:val="51666C0B"/>
    <w:rsid w:val="51A46F68"/>
    <w:rsid w:val="51D910B1"/>
    <w:rsid w:val="52140A2F"/>
    <w:rsid w:val="52374280"/>
    <w:rsid w:val="52D4387D"/>
    <w:rsid w:val="52D95337"/>
    <w:rsid w:val="52EC506B"/>
    <w:rsid w:val="530A3743"/>
    <w:rsid w:val="530D4FE1"/>
    <w:rsid w:val="533671FD"/>
    <w:rsid w:val="549C661D"/>
    <w:rsid w:val="54C3004D"/>
    <w:rsid w:val="5511700B"/>
    <w:rsid w:val="552D0114"/>
    <w:rsid w:val="56004989"/>
    <w:rsid w:val="560E7AEF"/>
    <w:rsid w:val="562E599A"/>
    <w:rsid w:val="56327239"/>
    <w:rsid w:val="56662852"/>
    <w:rsid w:val="56F42740"/>
    <w:rsid w:val="57746F62"/>
    <w:rsid w:val="58B55EFF"/>
    <w:rsid w:val="58DD4ABF"/>
    <w:rsid w:val="59ED3476"/>
    <w:rsid w:val="5A535E10"/>
    <w:rsid w:val="5A5D26C3"/>
    <w:rsid w:val="5A6C083F"/>
    <w:rsid w:val="5A6E0A5B"/>
    <w:rsid w:val="5ABC17C7"/>
    <w:rsid w:val="5B445446"/>
    <w:rsid w:val="5B7C71A8"/>
    <w:rsid w:val="5BF87193"/>
    <w:rsid w:val="5C191AE4"/>
    <w:rsid w:val="5C2E04A2"/>
    <w:rsid w:val="5C313F92"/>
    <w:rsid w:val="5C793488"/>
    <w:rsid w:val="5CC21B4D"/>
    <w:rsid w:val="5CF07506"/>
    <w:rsid w:val="5D423AD9"/>
    <w:rsid w:val="5D92680F"/>
    <w:rsid w:val="5DC26D18"/>
    <w:rsid w:val="5DD92690"/>
    <w:rsid w:val="5E0771FD"/>
    <w:rsid w:val="5E602469"/>
    <w:rsid w:val="5F4B5235"/>
    <w:rsid w:val="5FEB2206"/>
    <w:rsid w:val="60F90953"/>
    <w:rsid w:val="610F75D9"/>
    <w:rsid w:val="61161505"/>
    <w:rsid w:val="61C40F61"/>
    <w:rsid w:val="61E84F66"/>
    <w:rsid w:val="61F41846"/>
    <w:rsid w:val="62214605"/>
    <w:rsid w:val="624E25AF"/>
    <w:rsid w:val="62B45479"/>
    <w:rsid w:val="636E50B0"/>
    <w:rsid w:val="63B55C2D"/>
    <w:rsid w:val="63C82F8A"/>
    <w:rsid w:val="64426809"/>
    <w:rsid w:val="64923598"/>
    <w:rsid w:val="65A72A40"/>
    <w:rsid w:val="65BA20D4"/>
    <w:rsid w:val="65F0554E"/>
    <w:rsid w:val="66992B72"/>
    <w:rsid w:val="66A31A8D"/>
    <w:rsid w:val="66F61BBC"/>
    <w:rsid w:val="67515045"/>
    <w:rsid w:val="677B2AD6"/>
    <w:rsid w:val="68112D9E"/>
    <w:rsid w:val="68182006"/>
    <w:rsid w:val="68703BF0"/>
    <w:rsid w:val="68A96554"/>
    <w:rsid w:val="68A96925"/>
    <w:rsid w:val="68B91551"/>
    <w:rsid w:val="696C260A"/>
    <w:rsid w:val="6AD2649C"/>
    <w:rsid w:val="6ADE12E5"/>
    <w:rsid w:val="6AF26E82"/>
    <w:rsid w:val="6B0D3978"/>
    <w:rsid w:val="6B451364"/>
    <w:rsid w:val="6C117498"/>
    <w:rsid w:val="6C4A7F31"/>
    <w:rsid w:val="6C507FC1"/>
    <w:rsid w:val="6C524706"/>
    <w:rsid w:val="6C8B5BDE"/>
    <w:rsid w:val="6DBF4241"/>
    <w:rsid w:val="6DC41461"/>
    <w:rsid w:val="6E1A1DBB"/>
    <w:rsid w:val="6E4F0607"/>
    <w:rsid w:val="6E851A78"/>
    <w:rsid w:val="6F10341B"/>
    <w:rsid w:val="6F40431D"/>
    <w:rsid w:val="6FBB39A3"/>
    <w:rsid w:val="6FE16B76"/>
    <w:rsid w:val="6FF60E7F"/>
    <w:rsid w:val="70860455"/>
    <w:rsid w:val="708B7819"/>
    <w:rsid w:val="709E580C"/>
    <w:rsid w:val="70E101D8"/>
    <w:rsid w:val="715C6BA3"/>
    <w:rsid w:val="7166447C"/>
    <w:rsid w:val="725E2D0C"/>
    <w:rsid w:val="7346211D"/>
    <w:rsid w:val="73784B15"/>
    <w:rsid w:val="74434555"/>
    <w:rsid w:val="75876B22"/>
    <w:rsid w:val="75BA6229"/>
    <w:rsid w:val="75EA4FE2"/>
    <w:rsid w:val="75F75EF4"/>
    <w:rsid w:val="765468FF"/>
    <w:rsid w:val="76DB492B"/>
    <w:rsid w:val="77843214"/>
    <w:rsid w:val="77974740"/>
    <w:rsid w:val="78A239BF"/>
    <w:rsid w:val="78A70AED"/>
    <w:rsid w:val="78B35B5F"/>
    <w:rsid w:val="78DE6954"/>
    <w:rsid w:val="79313756"/>
    <w:rsid w:val="7A007157"/>
    <w:rsid w:val="7A1052F4"/>
    <w:rsid w:val="7A2E1215"/>
    <w:rsid w:val="7A635363"/>
    <w:rsid w:val="7A6D6C76"/>
    <w:rsid w:val="7AAC4F5C"/>
    <w:rsid w:val="7BB73BB8"/>
    <w:rsid w:val="7BD5403F"/>
    <w:rsid w:val="7BFF10BB"/>
    <w:rsid w:val="7D367D18"/>
    <w:rsid w:val="7D8E6B9B"/>
    <w:rsid w:val="7DAD6864"/>
    <w:rsid w:val="7DE71E07"/>
    <w:rsid w:val="7DEB7B49"/>
    <w:rsid w:val="7E203D81"/>
    <w:rsid w:val="7E221091"/>
    <w:rsid w:val="7E745D91"/>
    <w:rsid w:val="7F4339B5"/>
    <w:rsid w:val="7F4F0B9D"/>
    <w:rsid w:val="7FAC42FA"/>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1"/>
    <w:qFormat/>
    <w:uiPriority w:val="0"/>
    <w:pPr>
      <w:spacing w:after="120"/>
      <w:ind w:left="420" w:leftChars="200"/>
    </w:pPr>
  </w:style>
  <w:style w:type="paragraph" w:styleId="4">
    <w:name w:val="Normal Indent"/>
    <w:basedOn w:val="1"/>
    <w:qFormat/>
    <w:uiPriority w:val="0"/>
    <w:pPr>
      <w:ind w:firstLine="420"/>
    </w:pPr>
    <w:rPr>
      <w:rFonts w:cs="宋体"/>
      <w:kern w:val="0"/>
      <w:sz w:val="24"/>
      <w:szCs w:val="24"/>
    </w:rPr>
  </w:style>
  <w:style w:type="paragraph" w:styleId="5">
    <w:name w:val="Body Text"/>
    <w:basedOn w:val="1"/>
    <w:next w:val="6"/>
    <w:qFormat/>
    <w:uiPriority w:val="1"/>
  </w:style>
  <w:style w:type="paragraph" w:styleId="6">
    <w:name w:val="Body Text First Indent"/>
    <w:basedOn w:val="5"/>
    <w:next w:val="1"/>
    <w:unhideWhenUsed/>
    <w:qFormat/>
    <w:uiPriority w:val="0"/>
    <w:pPr>
      <w:spacing w:after="120"/>
      <w:ind w:firstLine="420" w:firstLineChars="100"/>
    </w:pPr>
  </w:style>
  <w:style w:type="paragraph" w:styleId="7">
    <w:name w:val="Plain Text"/>
    <w:basedOn w:val="1"/>
    <w:qFormat/>
    <w:uiPriority w:val="0"/>
    <w:rPr>
      <w:rFonts w:ascii="宋体" w:hAnsi="Courier New"/>
    </w:rPr>
  </w:style>
  <w:style w:type="paragraph" w:styleId="8">
    <w:name w:val="Balloon Text"/>
    <w:basedOn w:val="1"/>
    <w:link w:val="15"/>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4">
    <w:name w:val="page number"/>
    <w:qFormat/>
    <w:uiPriority w:val="0"/>
  </w:style>
  <w:style w:type="character" w:customStyle="1" w:styleId="15">
    <w:name w:val="批注框文本 Char"/>
    <w:link w:val="8"/>
    <w:qFormat/>
    <w:uiPriority w:val="0"/>
    <w:rPr>
      <w:kern w:val="2"/>
      <w:sz w:val="18"/>
      <w:szCs w:val="18"/>
    </w:rPr>
  </w:style>
  <w:style w:type="character" w:customStyle="1" w:styleId="16">
    <w:name w:val="16"/>
    <w:qFormat/>
    <w:uiPriority w:val="0"/>
    <w:rPr>
      <w:rFonts w:hint="default" w:ascii="Calibri" w:hAnsi="Calibri"/>
    </w:rPr>
  </w:style>
  <w:style w:type="paragraph" w:customStyle="1" w:styleId="17">
    <w:name w:val="无间隔1"/>
    <w:qFormat/>
    <w:uiPriority w:val="0"/>
    <w:pPr>
      <w:adjustRightInd w:val="0"/>
      <w:snapToGrid w:val="0"/>
    </w:pPr>
    <w:rPr>
      <w:rFonts w:ascii="Tahoma" w:hAnsi="Tahoma" w:eastAsia="微软雅黑" w:cs="黑体"/>
      <w:sz w:val="22"/>
      <w:szCs w:val="22"/>
      <w:lang w:val="en-US" w:eastAsia="zh-CN" w:bidi="ar-SA"/>
    </w:rPr>
  </w:style>
  <w:style w:type="character" w:customStyle="1" w:styleId="18">
    <w:name w:val="font51"/>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落雪梨花</Company>
  <Pages>20</Pages>
  <Words>1502</Words>
  <Characters>8566</Characters>
  <Lines>71</Lines>
  <Paragraphs>20</Paragraphs>
  <TotalTime>1</TotalTime>
  <ScaleCrop>false</ScaleCrop>
  <LinksUpToDate>false</LinksUpToDate>
  <CharactersWithSpaces>10048</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2021-12-06T01:58:00Z</dcterms:created>
  <dc:creator>PC</dc:creator>
  <cp:lastModifiedBy>WPS</cp:lastModifiedBy>
  <cp:lastPrinted>2023-06-29T08:15:00Z</cp:lastPrinted>
  <dcterms:modified xsi:type="dcterms:W3CDTF">2025-07-09T01:10:32Z</dcterms:modified>
  <dc:title>三门县财政资金竞争性存放招投标</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53A1032A6AF4467AAD93742DFB6FFDA7_13</vt:lpwstr>
  </property>
</Properties>
</file>