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3AA1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color w:val="auto"/>
          <w:kern w:val="0"/>
          <w:sz w:val="44"/>
          <w:szCs w:val="44"/>
          <w:highlight w:val="none"/>
          <w:lang w:eastAsia="zh-CN"/>
        </w:rPr>
      </w:pPr>
    </w:p>
    <w:p w14:paraId="171A7FF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color w:val="auto"/>
          <w:kern w:val="0"/>
          <w:sz w:val="44"/>
          <w:szCs w:val="44"/>
          <w:highlight w:val="none"/>
          <w:lang w:eastAsia="zh-CN"/>
        </w:rPr>
      </w:pPr>
      <w:r>
        <w:rPr>
          <w:rFonts w:hint="eastAsia" w:ascii="宋体"/>
          <w:color w:val="auto"/>
          <w:kern w:val="0"/>
          <w:sz w:val="44"/>
          <w:szCs w:val="44"/>
          <w:highlight w:val="none"/>
          <w:lang w:eastAsia="zh-CN"/>
        </w:rPr>
        <w:t>2025年三门县“护渔”船舶租赁项目</w:t>
      </w:r>
    </w:p>
    <w:p w14:paraId="1DA0C3E1">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14:paraId="120D164A">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14:paraId="3379F0EB">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14:paraId="01E403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14:paraId="2D9B69B2">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竞争性谈判文件</w:t>
      </w:r>
    </w:p>
    <w:p w14:paraId="71E59812">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50"/>
          <w:szCs w:val="50"/>
          <w:highlight w:val="none"/>
        </w:rPr>
      </w:pPr>
    </w:p>
    <w:p w14:paraId="6FFD3871">
      <w:pPr>
        <w:tabs>
          <w:tab w:val="left" w:pos="6480"/>
        </w:tabs>
        <w:autoSpaceDE w:val="0"/>
        <w:autoSpaceDN w:val="0"/>
        <w:adjustRightInd w:val="0"/>
        <w:spacing w:line="240" w:lineRule="atLeast"/>
        <w:ind w:right="1800"/>
        <w:rPr>
          <w:rFonts w:ascii="宋体"/>
          <w:color w:val="auto"/>
          <w:kern w:val="0"/>
          <w:sz w:val="50"/>
          <w:szCs w:val="50"/>
          <w:highlight w:val="none"/>
        </w:rPr>
      </w:pPr>
      <w:r>
        <w:rPr>
          <w:rFonts w:ascii="宋体"/>
          <w:color w:val="auto"/>
          <w:kern w:val="0"/>
          <w:sz w:val="50"/>
          <w:szCs w:val="50"/>
          <w:highlight w:val="none"/>
        </w:rPr>
        <w:tab/>
      </w:r>
    </w:p>
    <w:p w14:paraId="275588C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14:paraId="1A57CC1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14:paraId="07E27B31">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3"/>
          <w:szCs w:val="23"/>
          <w:highlight w:val="none"/>
        </w:rPr>
      </w:pPr>
    </w:p>
    <w:p w14:paraId="1D1E451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color w:val="auto"/>
          <w:kern w:val="0"/>
          <w:sz w:val="31"/>
          <w:szCs w:val="31"/>
          <w:highlight w:val="none"/>
        </w:rPr>
      </w:pPr>
      <w:r>
        <w:rPr>
          <w:rFonts w:hint="eastAsia" w:ascii="宋体" w:hAnsi="宋体"/>
          <w:color w:val="auto"/>
          <w:sz w:val="32"/>
          <w:szCs w:val="32"/>
          <w:highlight w:val="none"/>
        </w:rPr>
        <w:t>项目编号：浙欧招备[202</w:t>
      </w:r>
      <w:r>
        <w:rPr>
          <w:rFonts w:hint="eastAsia" w:ascii="宋体" w:hAnsi="宋体"/>
          <w:color w:val="auto"/>
          <w:sz w:val="32"/>
          <w:szCs w:val="32"/>
          <w:highlight w:val="none"/>
          <w:lang w:val="en-US" w:eastAsia="zh-CN"/>
        </w:rPr>
        <w:t>5</w:t>
      </w:r>
      <w:r>
        <w:rPr>
          <w:rFonts w:hint="eastAsia" w:ascii="宋体" w:hAnsi="宋体"/>
          <w:color w:val="auto"/>
          <w:sz w:val="32"/>
          <w:szCs w:val="32"/>
          <w:highlight w:val="none"/>
        </w:rPr>
        <w:t>]01</w:t>
      </w:r>
      <w:r>
        <w:rPr>
          <w:rFonts w:hint="eastAsia" w:ascii="宋体" w:hAnsi="宋体"/>
          <w:color w:val="auto"/>
          <w:sz w:val="32"/>
          <w:szCs w:val="32"/>
          <w:highlight w:val="none"/>
          <w:lang w:val="en-US" w:eastAsia="zh-CN"/>
        </w:rPr>
        <w:t>5</w:t>
      </w:r>
      <w:r>
        <w:rPr>
          <w:rFonts w:hint="eastAsia" w:ascii="宋体" w:hAnsi="宋体"/>
          <w:color w:val="auto"/>
          <w:sz w:val="32"/>
          <w:szCs w:val="32"/>
          <w:highlight w:val="none"/>
        </w:rPr>
        <w:t xml:space="preserve">号 </w:t>
      </w:r>
    </w:p>
    <w:p w14:paraId="770FD811">
      <w:pPr>
        <w:spacing w:line="360" w:lineRule="auto"/>
        <w:jc w:val="center"/>
        <w:rPr>
          <w:rFonts w:ascii="宋体" w:hAnsi="宋体"/>
          <w:b/>
          <w:color w:val="auto"/>
          <w:w w:val="90"/>
          <w:sz w:val="32"/>
          <w:szCs w:val="32"/>
          <w:highlight w:val="none"/>
        </w:rPr>
      </w:pPr>
    </w:p>
    <w:p w14:paraId="1C0B612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14:paraId="21794D6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14:paraId="593E5EE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14:paraId="2F16B5A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14:paraId="2E25F7D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31"/>
          <w:szCs w:val="31"/>
          <w:highlight w:val="none"/>
        </w:rPr>
      </w:pPr>
    </w:p>
    <w:p w14:paraId="65793C9E">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31"/>
          <w:szCs w:val="31"/>
          <w:highlight w:val="none"/>
        </w:rPr>
      </w:pPr>
    </w:p>
    <w:p w14:paraId="4B1F42F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color w:val="auto"/>
          <w:kern w:val="0"/>
          <w:sz w:val="29"/>
          <w:szCs w:val="29"/>
          <w:highlight w:val="none"/>
        </w:rPr>
      </w:pPr>
      <w:r>
        <w:rPr>
          <w:rFonts w:hint="eastAsia" w:ascii="宋体"/>
          <w:color w:val="auto"/>
          <w:kern w:val="0"/>
          <w:sz w:val="27"/>
          <w:szCs w:val="27"/>
          <w:highlight w:val="none"/>
        </w:rPr>
        <w:t xml:space="preserve">         </w:t>
      </w:r>
      <w:r>
        <w:rPr>
          <w:rFonts w:hint="eastAsia" w:ascii="宋体"/>
          <w:color w:val="auto"/>
          <w:kern w:val="0"/>
          <w:sz w:val="27"/>
          <w:szCs w:val="27"/>
          <w:highlight w:val="none"/>
          <w:lang w:val="en-US" w:eastAsia="zh-CN"/>
        </w:rPr>
        <w:t xml:space="preserve">           </w:t>
      </w:r>
      <w:r>
        <w:rPr>
          <w:rFonts w:hint="eastAsia" w:ascii="宋体"/>
          <w:color w:val="auto"/>
          <w:kern w:val="0"/>
          <w:sz w:val="29"/>
          <w:szCs w:val="29"/>
          <w:highlight w:val="none"/>
        </w:rPr>
        <w:t>采购单位：三门县农业农村局</w:t>
      </w:r>
    </w:p>
    <w:p w14:paraId="22CFF52D">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color w:val="auto"/>
          <w:kern w:val="0"/>
          <w:sz w:val="29"/>
          <w:szCs w:val="29"/>
          <w:highlight w:val="none"/>
        </w:rPr>
      </w:pPr>
      <w:r>
        <w:rPr>
          <w:rFonts w:hint="eastAsia"/>
          <w:color w:val="auto"/>
          <w:sz w:val="29"/>
          <w:szCs w:val="29"/>
          <w:highlight w:val="none"/>
        </w:rPr>
        <w:t xml:space="preserve">       </w:t>
      </w:r>
      <w:r>
        <w:rPr>
          <w:rFonts w:hint="eastAsia"/>
          <w:color w:val="auto"/>
          <w:sz w:val="29"/>
          <w:szCs w:val="29"/>
          <w:highlight w:val="none"/>
          <w:lang w:val="en-US" w:eastAsia="zh-CN"/>
        </w:rPr>
        <w:t xml:space="preserve">     </w:t>
      </w:r>
      <w:r>
        <w:rPr>
          <w:rFonts w:hint="eastAsia"/>
          <w:color w:val="auto"/>
          <w:sz w:val="29"/>
          <w:szCs w:val="29"/>
          <w:highlight w:val="none"/>
        </w:rPr>
        <w:t xml:space="preserve"> </w:t>
      </w:r>
      <w:r>
        <w:rPr>
          <w:rFonts w:hint="eastAsia" w:ascii="宋体"/>
          <w:color w:val="auto"/>
          <w:kern w:val="0"/>
          <w:sz w:val="29"/>
          <w:szCs w:val="29"/>
          <w:highlight w:val="none"/>
        </w:rPr>
        <w:t>采购代理机构：欧邦工程管理集团有限公司</w:t>
      </w:r>
    </w:p>
    <w:p w14:paraId="701332DD">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9"/>
          <w:szCs w:val="29"/>
          <w:highlight w:val="none"/>
        </w:rPr>
      </w:pPr>
      <w:r>
        <w:rPr>
          <w:rFonts w:hint="eastAsia" w:ascii="宋体"/>
          <w:color w:val="auto"/>
          <w:kern w:val="0"/>
          <w:sz w:val="29"/>
          <w:szCs w:val="29"/>
          <w:highlight w:val="none"/>
        </w:rPr>
        <w:t>202</w:t>
      </w:r>
      <w:r>
        <w:rPr>
          <w:rFonts w:hint="eastAsia" w:ascii="宋体"/>
          <w:color w:val="auto"/>
          <w:kern w:val="0"/>
          <w:sz w:val="29"/>
          <w:szCs w:val="29"/>
          <w:highlight w:val="none"/>
          <w:lang w:val="en-US" w:eastAsia="zh-CN"/>
        </w:rPr>
        <w:t>5</w:t>
      </w:r>
      <w:r>
        <w:rPr>
          <w:rFonts w:hint="eastAsia" w:ascii="宋体"/>
          <w:color w:val="auto"/>
          <w:kern w:val="0"/>
          <w:sz w:val="29"/>
          <w:szCs w:val="29"/>
          <w:highlight w:val="none"/>
        </w:rPr>
        <w:t>年04月</w:t>
      </w:r>
    </w:p>
    <w:p w14:paraId="49A9A9C6">
      <w:pPr>
        <w:widowControl/>
        <w:jc w:val="left"/>
        <w:rPr>
          <w:color w:val="auto"/>
          <w:highlight w:val="none"/>
        </w:rPr>
      </w:pPr>
      <w:r>
        <w:rPr>
          <w:color w:val="auto"/>
          <w:highlight w:val="none"/>
        </w:rPr>
        <w:br w:type="page"/>
      </w:r>
    </w:p>
    <w:p w14:paraId="5E6446E5">
      <w:pPr>
        <w:jc w:val="center"/>
        <w:rPr>
          <w:color w:val="auto"/>
          <w:sz w:val="48"/>
          <w:szCs w:val="48"/>
          <w:highlight w:val="none"/>
        </w:rPr>
      </w:pPr>
      <w:r>
        <w:rPr>
          <w:rFonts w:hint="eastAsia"/>
          <w:color w:val="auto"/>
          <w:sz w:val="48"/>
          <w:szCs w:val="48"/>
          <w:highlight w:val="none"/>
        </w:rPr>
        <w:t>目 录</w:t>
      </w:r>
    </w:p>
    <w:p w14:paraId="794ABDB2">
      <w:pPr>
        <w:pStyle w:val="15"/>
        <w:tabs>
          <w:tab w:val="right" w:leader="dot" w:pos="9402"/>
        </w:tabs>
        <w:rPr>
          <w:rFonts w:cs="黑体"/>
          <w:color w:val="auto"/>
          <w:szCs w:val="22"/>
          <w:highlight w:val="none"/>
        </w:rPr>
      </w:pPr>
      <w:r>
        <w:rPr>
          <w:color w:val="auto"/>
          <w:sz w:val="48"/>
          <w:szCs w:val="48"/>
          <w:highlight w:val="none"/>
        </w:rPr>
        <w:fldChar w:fldCharType="begin"/>
      </w:r>
      <w:r>
        <w:rPr>
          <w:color w:val="auto"/>
          <w:sz w:val="48"/>
          <w:szCs w:val="48"/>
          <w:highlight w:val="none"/>
        </w:rPr>
        <w:instrText xml:space="preserve"> </w:instrText>
      </w:r>
      <w:r>
        <w:rPr>
          <w:rFonts w:hint="eastAsia"/>
          <w:color w:val="auto"/>
          <w:sz w:val="48"/>
          <w:szCs w:val="48"/>
          <w:highlight w:val="none"/>
        </w:rPr>
        <w:instrText xml:space="preserve">TOC \o "1-2" \h \z \u</w:instrText>
      </w:r>
      <w:r>
        <w:rPr>
          <w:color w:val="auto"/>
          <w:sz w:val="48"/>
          <w:szCs w:val="48"/>
          <w:highlight w:val="none"/>
        </w:rPr>
        <w:instrText xml:space="preserve"> </w:instrText>
      </w:r>
      <w:r>
        <w:rPr>
          <w:color w:val="auto"/>
          <w:sz w:val="48"/>
          <w:szCs w:val="48"/>
          <w:highlight w:val="none"/>
        </w:rPr>
        <w:fldChar w:fldCharType="separate"/>
      </w:r>
      <w:r>
        <w:rPr>
          <w:color w:val="auto"/>
          <w:highlight w:val="none"/>
        </w:rPr>
        <w:fldChar w:fldCharType="begin"/>
      </w:r>
      <w:r>
        <w:rPr>
          <w:color w:val="auto"/>
          <w:highlight w:val="none"/>
        </w:rPr>
        <w:instrText xml:space="preserve"> HYPERLINK \l "_Toc40859284" </w:instrText>
      </w:r>
      <w:r>
        <w:rPr>
          <w:color w:val="auto"/>
          <w:highlight w:val="none"/>
        </w:rPr>
        <w:fldChar w:fldCharType="separate"/>
      </w:r>
      <w:r>
        <w:rPr>
          <w:rStyle w:val="20"/>
          <w:rFonts w:hint="eastAsia" w:ascii="宋体" w:hAnsi="宋体"/>
          <w:color w:val="auto"/>
          <w:highlight w:val="none"/>
        </w:rPr>
        <w:t>第一章</w:t>
      </w:r>
      <w:r>
        <w:rPr>
          <w:rStyle w:val="20"/>
          <w:rFonts w:hint="eastAsia" w:ascii="宋体" w:hAnsi="宋体"/>
          <w:color w:val="auto"/>
          <w:highlight w:val="none"/>
          <w:lang w:eastAsia="zh-CN"/>
        </w:rPr>
        <w:t>2025年三门县“护渔”船舶租赁项目</w:t>
      </w:r>
      <w:r>
        <w:rPr>
          <w:rStyle w:val="20"/>
          <w:rFonts w:hint="eastAsia" w:ascii="宋体" w:hAnsi="宋体"/>
          <w:color w:val="auto"/>
          <w:highlight w:val="none"/>
        </w:rPr>
        <w:t>竞争性谈判公告</w:t>
      </w:r>
      <w:r>
        <w:rPr>
          <w:color w:val="auto"/>
          <w:highlight w:val="none"/>
        </w:rPr>
        <w:tab/>
      </w:r>
      <w:r>
        <w:rPr>
          <w:color w:val="auto"/>
          <w:highlight w:val="none"/>
        </w:rPr>
        <w:fldChar w:fldCharType="begin"/>
      </w:r>
      <w:r>
        <w:rPr>
          <w:color w:val="auto"/>
          <w:highlight w:val="none"/>
        </w:rPr>
        <w:instrText xml:space="preserve"> PAGEREF _Toc40859284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591E9E3A">
      <w:pPr>
        <w:pStyle w:val="15"/>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"_Toc40859285" </w:instrText>
      </w:r>
      <w:r>
        <w:rPr>
          <w:color w:val="auto"/>
          <w:highlight w:val="none"/>
        </w:rPr>
        <w:fldChar w:fldCharType="separate"/>
      </w:r>
      <w:r>
        <w:rPr>
          <w:rStyle w:val="20"/>
          <w:rFonts w:hint="eastAsia" w:ascii="宋体" w:hAnsi="宋体"/>
          <w:color w:val="auto"/>
          <w:highlight w:val="none"/>
        </w:rPr>
        <w:t>第二章谈判内容</w:t>
      </w:r>
      <w:r>
        <w:rPr>
          <w:color w:val="auto"/>
          <w:highlight w:val="none"/>
        </w:rPr>
        <w:tab/>
      </w:r>
      <w:r>
        <w:rPr>
          <w:color w:val="auto"/>
          <w:highlight w:val="none"/>
        </w:rPr>
        <w:fldChar w:fldCharType="begin"/>
      </w:r>
      <w:r>
        <w:rPr>
          <w:color w:val="auto"/>
          <w:highlight w:val="none"/>
        </w:rPr>
        <w:instrText xml:space="preserve"> PAGEREF _Toc40859285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1999D13E">
      <w:pPr>
        <w:pStyle w:val="15"/>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"_Toc40859286" </w:instrText>
      </w:r>
      <w:r>
        <w:rPr>
          <w:color w:val="auto"/>
          <w:highlight w:val="none"/>
        </w:rPr>
        <w:fldChar w:fldCharType="separate"/>
      </w:r>
      <w:r>
        <w:rPr>
          <w:rStyle w:val="20"/>
          <w:rFonts w:hint="eastAsia" w:ascii="宋体" w:hAnsi="宋体"/>
          <w:color w:val="auto"/>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_Toc40859286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7A29504">
      <w:pPr>
        <w:pStyle w:val="16"/>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"_Toc40859287" </w:instrText>
      </w:r>
      <w:r>
        <w:rPr>
          <w:color w:val="auto"/>
          <w:highlight w:val="none"/>
        </w:rPr>
        <w:fldChar w:fldCharType="separate"/>
      </w:r>
      <w:r>
        <w:rPr>
          <w:rStyle w:val="20"/>
          <w:rFonts w:hint="eastAsia"/>
          <w:color w:val="auto"/>
          <w:highlight w:val="none"/>
        </w:rPr>
        <w:t>一</w:t>
      </w:r>
      <w:r>
        <w:rPr>
          <w:rStyle w:val="20"/>
          <w:color w:val="auto"/>
          <w:highlight w:val="none"/>
        </w:rPr>
        <w:t xml:space="preserve"> </w:t>
      </w:r>
      <w:r>
        <w:rPr>
          <w:rStyle w:val="20"/>
          <w:rFonts w:hint="eastAsia"/>
          <w:color w:val="auto"/>
          <w:highlight w:val="none"/>
        </w:rPr>
        <w:t>、总</w:t>
      </w:r>
      <w:r>
        <w:rPr>
          <w:rStyle w:val="20"/>
          <w:color w:val="auto"/>
          <w:highlight w:val="none"/>
        </w:rPr>
        <w:t xml:space="preserve">  </w:t>
      </w:r>
      <w:r>
        <w:rPr>
          <w:rStyle w:val="20"/>
          <w:rFonts w:hint="eastAsia"/>
          <w:color w:val="auto"/>
          <w:highlight w:val="none"/>
        </w:rPr>
        <w:t>则</w:t>
      </w:r>
      <w:r>
        <w:rPr>
          <w:color w:val="auto"/>
          <w:highlight w:val="none"/>
        </w:rPr>
        <w:tab/>
      </w:r>
      <w:r>
        <w:rPr>
          <w:color w:val="auto"/>
          <w:highlight w:val="none"/>
        </w:rPr>
        <w:fldChar w:fldCharType="begin"/>
      </w:r>
      <w:r>
        <w:rPr>
          <w:color w:val="auto"/>
          <w:highlight w:val="none"/>
        </w:rPr>
        <w:instrText xml:space="preserve"> PAGEREF _Toc40859287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79331779">
      <w:pPr>
        <w:pStyle w:val="16"/>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"_Toc40859288" </w:instrText>
      </w:r>
      <w:r>
        <w:rPr>
          <w:color w:val="auto"/>
          <w:highlight w:val="none"/>
        </w:rPr>
        <w:fldChar w:fldCharType="separate"/>
      </w:r>
      <w:r>
        <w:rPr>
          <w:rStyle w:val="20"/>
          <w:rFonts w:hint="eastAsia"/>
          <w:color w:val="auto"/>
          <w:highlight w:val="none"/>
        </w:rPr>
        <w:t>二、谈判响应文件</w:t>
      </w:r>
      <w:r>
        <w:rPr>
          <w:color w:val="auto"/>
          <w:highlight w:val="none"/>
        </w:rPr>
        <w:tab/>
      </w:r>
      <w:r>
        <w:rPr>
          <w:color w:val="auto"/>
          <w:highlight w:val="none"/>
        </w:rPr>
        <w:fldChar w:fldCharType="begin"/>
      </w:r>
      <w:r>
        <w:rPr>
          <w:color w:val="auto"/>
          <w:highlight w:val="none"/>
        </w:rPr>
        <w:instrText xml:space="preserve"> PAGEREF _Toc40859288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7C171397">
      <w:pPr>
        <w:pStyle w:val="16"/>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"_Toc40859289" </w:instrText>
      </w:r>
      <w:r>
        <w:rPr>
          <w:color w:val="auto"/>
          <w:highlight w:val="none"/>
        </w:rPr>
        <w:fldChar w:fldCharType="separate"/>
      </w:r>
      <w:r>
        <w:rPr>
          <w:rStyle w:val="20"/>
          <w:rFonts w:hint="eastAsia"/>
          <w:color w:val="auto"/>
          <w:highlight w:val="none"/>
        </w:rPr>
        <w:t>三、谈判</w:t>
      </w:r>
      <w:r>
        <w:rPr>
          <w:color w:val="auto"/>
          <w:highlight w:val="none"/>
        </w:rPr>
        <w:tab/>
      </w:r>
      <w:r>
        <w:rPr>
          <w:color w:val="auto"/>
          <w:highlight w:val="none"/>
        </w:rPr>
        <w:fldChar w:fldCharType="begin"/>
      </w:r>
      <w:r>
        <w:rPr>
          <w:color w:val="auto"/>
          <w:highlight w:val="none"/>
        </w:rPr>
        <w:instrText xml:space="preserve"> PAGEREF _Toc40859289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4AEB1134">
      <w:pPr>
        <w:pStyle w:val="16"/>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"_Toc40859290" </w:instrText>
      </w:r>
      <w:r>
        <w:rPr>
          <w:color w:val="auto"/>
          <w:highlight w:val="none"/>
        </w:rPr>
        <w:fldChar w:fldCharType="separate"/>
      </w:r>
      <w:r>
        <w:rPr>
          <w:rStyle w:val="20"/>
          <w:rFonts w:hint="eastAsia"/>
          <w:color w:val="auto"/>
          <w:highlight w:val="none"/>
        </w:rPr>
        <w:t>四、谈判结果确定</w:t>
      </w:r>
      <w:r>
        <w:rPr>
          <w:color w:val="auto"/>
          <w:highlight w:val="none"/>
        </w:rPr>
        <w:tab/>
      </w:r>
      <w:r>
        <w:rPr>
          <w:color w:val="auto"/>
          <w:highlight w:val="none"/>
        </w:rPr>
        <w:fldChar w:fldCharType="begin"/>
      </w:r>
      <w:r>
        <w:rPr>
          <w:color w:val="auto"/>
          <w:highlight w:val="none"/>
        </w:rPr>
        <w:instrText xml:space="preserve"> PAGEREF _Toc40859290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0D74F76E">
      <w:pPr>
        <w:pStyle w:val="16"/>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"_Toc40859291" </w:instrText>
      </w:r>
      <w:r>
        <w:rPr>
          <w:color w:val="auto"/>
          <w:highlight w:val="none"/>
        </w:rPr>
        <w:fldChar w:fldCharType="separate"/>
      </w:r>
      <w:r>
        <w:rPr>
          <w:rStyle w:val="20"/>
          <w:rFonts w:hint="eastAsia"/>
          <w:color w:val="auto"/>
          <w:highlight w:val="none"/>
        </w:rPr>
        <w:t>五、合同签订及公告</w:t>
      </w:r>
      <w:r>
        <w:rPr>
          <w:color w:val="auto"/>
          <w:highlight w:val="none"/>
        </w:rPr>
        <w:tab/>
      </w:r>
      <w:r>
        <w:rPr>
          <w:color w:val="auto"/>
          <w:highlight w:val="none"/>
        </w:rPr>
        <w:fldChar w:fldCharType="begin"/>
      </w:r>
      <w:r>
        <w:rPr>
          <w:color w:val="auto"/>
          <w:highlight w:val="none"/>
        </w:rPr>
        <w:instrText xml:space="preserve"> PAGEREF _Toc40859291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6F5ABB4">
      <w:pPr>
        <w:pStyle w:val="15"/>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"_Toc40859292" </w:instrText>
      </w:r>
      <w:r>
        <w:rPr>
          <w:color w:val="auto"/>
          <w:highlight w:val="none"/>
        </w:rPr>
        <w:fldChar w:fldCharType="separate"/>
      </w:r>
      <w:r>
        <w:rPr>
          <w:rStyle w:val="20"/>
          <w:rFonts w:hint="eastAsia" w:ascii="宋体" w:hAnsi="宋体"/>
          <w:color w:val="auto"/>
          <w:highlight w:val="none"/>
        </w:rPr>
        <w:t>第四章</w:t>
      </w:r>
      <w:r>
        <w:rPr>
          <w:rStyle w:val="20"/>
          <w:rFonts w:ascii="宋体" w:hAnsi="宋体"/>
          <w:color w:val="auto"/>
          <w:highlight w:val="none"/>
        </w:rPr>
        <w:t xml:space="preserve">  </w:t>
      </w:r>
      <w:r>
        <w:rPr>
          <w:rStyle w:val="20"/>
          <w:rFonts w:hint="eastAsia" w:ascii="宋体" w:hAnsi="宋体"/>
          <w:color w:val="auto"/>
          <w:highlight w:val="none"/>
        </w:rPr>
        <w:t>政府采购合同主要条款指引</w:t>
      </w:r>
      <w:r>
        <w:rPr>
          <w:color w:val="auto"/>
          <w:highlight w:val="none"/>
        </w:rPr>
        <w:tab/>
      </w:r>
      <w:r>
        <w:rPr>
          <w:color w:val="auto"/>
          <w:highlight w:val="none"/>
        </w:rPr>
        <w:fldChar w:fldCharType="begin"/>
      </w:r>
      <w:r>
        <w:rPr>
          <w:color w:val="auto"/>
          <w:highlight w:val="none"/>
        </w:rPr>
        <w:instrText xml:space="preserve"> PAGEREF _Toc40859292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AAEE614">
      <w:pPr>
        <w:pStyle w:val="15"/>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"_Toc40859293" </w:instrText>
      </w:r>
      <w:r>
        <w:rPr>
          <w:color w:val="auto"/>
          <w:highlight w:val="none"/>
        </w:rPr>
        <w:fldChar w:fldCharType="separate"/>
      </w:r>
      <w:r>
        <w:rPr>
          <w:rStyle w:val="20"/>
          <w:rFonts w:hint="eastAsia" w:ascii="宋体" w:hAnsi="宋体"/>
          <w:color w:val="auto"/>
          <w:highlight w:val="none"/>
        </w:rPr>
        <w:t>第五章谈判响应文件格式附件</w:t>
      </w:r>
      <w:r>
        <w:rPr>
          <w:color w:val="auto"/>
          <w:highlight w:val="none"/>
        </w:rPr>
        <w:tab/>
      </w:r>
      <w:r>
        <w:rPr>
          <w:color w:val="auto"/>
          <w:highlight w:val="none"/>
        </w:rPr>
        <w:fldChar w:fldCharType="begin"/>
      </w:r>
      <w:r>
        <w:rPr>
          <w:color w:val="auto"/>
          <w:highlight w:val="none"/>
        </w:rPr>
        <w:instrText xml:space="preserve"> PAGEREF _Toc40859293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329C596D">
      <w:pPr>
        <w:pStyle w:val="16"/>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"_Toc40859294" </w:instrText>
      </w:r>
      <w:r>
        <w:rPr>
          <w:color w:val="auto"/>
          <w:highlight w:val="none"/>
        </w:rPr>
        <w:fldChar w:fldCharType="separate"/>
      </w:r>
      <w:r>
        <w:rPr>
          <w:rStyle w:val="20"/>
          <w:rFonts w:hint="eastAsia"/>
          <w:color w:val="auto"/>
          <w:highlight w:val="none"/>
        </w:rPr>
        <w:t>附件一</w:t>
      </w:r>
      <w:r>
        <w:rPr>
          <w:color w:val="auto"/>
          <w:highlight w:val="none"/>
        </w:rPr>
        <w:tab/>
      </w:r>
      <w:r>
        <w:rPr>
          <w:color w:val="auto"/>
          <w:highlight w:val="none"/>
        </w:rPr>
        <w:fldChar w:fldCharType="begin"/>
      </w:r>
      <w:r>
        <w:rPr>
          <w:color w:val="auto"/>
          <w:highlight w:val="none"/>
        </w:rPr>
        <w:instrText xml:space="preserve"> PAGEREF _Toc40859294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70112E4">
      <w:pPr>
        <w:pStyle w:val="16"/>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"_Toc40859295" </w:instrText>
      </w:r>
      <w:r>
        <w:rPr>
          <w:color w:val="auto"/>
          <w:highlight w:val="none"/>
        </w:rPr>
        <w:fldChar w:fldCharType="separate"/>
      </w:r>
      <w:r>
        <w:rPr>
          <w:rStyle w:val="20"/>
          <w:rFonts w:hint="eastAsia"/>
          <w:color w:val="auto"/>
          <w:highlight w:val="none"/>
        </w:rPr>
        <w:t>附件二</w:t>
      </w:r>
      <w:r>
        <w:rPr>
          <w:color w:val="auto"/>
          <w:highlight w:val="none"/>
        </w:rPr>
        <w:tab/>
      </w:r>
      <w:r>
        <w:rPr>
          <w:color w:val="auto"/>
          <w:highlight w:val="none"/>
        </w:rPr>
        <w:fldChar w:fldCharType="begin"/>
      </w:r>
      <w:r>
        <w:rPr>
          <w:color w:val="auto"/>
          <w:highlight w:val="none"/>
        </w:rPr>
        <w:instrText xml:space="preserve"> PAGEREF _Toc40859295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1F254D65">
      <w:pPr>
        <w:pStyle w:val="16"/>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"_Toc40859296" </w:instrText>
      </w:r>
      <w:r>
        <w:rPr>
          <w:color w:val="auto"/>
          <w:highlight w:val="none"/>
        </w:rPr>
        <w:fldChar w:fldCharType="separate"/>
      </w:r>
      <w:r>
        <w:rPr>
          <w:rStyle w:val="20"/>
          <w:rFonts w:hint="eastAsia"/>
          <w:color w:val="auto"/>
          <w:highlight w:val="none"/>
        </w:rPr>
        <w:t>附件三</w:t>
      </w:r>
      <w:r>
        <w:rPr>
          <w:color w:val="auto"/>
          <w:highlight w:val="none"/>
        </w:rPr>
        <w:tab/>
      </w:r>
      <w:r>
        <w:rPr>
          <w:color w:val="auto"/>
          <w:highlight w:val="none"/>
        </w:rPr>
        <w:fldChar w:fldCharType="begin"/>
      </w:r>
      <w:r>
        <w:rPr>
          <w:color w:val="auto"/>
          <w:highlight w:val="none"/>
        </w:rPr>
        <w:instrText xml:space="preserve"> PAGEREF _Toc40859296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7C0F18B7">
      <w:pPr>
        <w:pStyle w:val="16"/>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"_Toc40859297" </w:instrText>
      </w:r>
      <w:r>
        <w:rPr>
          <w:color w:val="auto"/>
          <w:highlight w:val="none"/>
        </w:rPr>
        <w:fldChar w:fldCharType="separate"/>
      </w:r>
      <w:r>
        <w:rPr>
          <w:rStyle w:val="20"/>
          <w:rFonts w:hint="eastAsia"/>
          <w:color w:val="auto"/>
          <w:highlight w:val="none"/>
        </w:rPr>
        <w:t>附件四</w:t>
      </w:r>
      <w:r>
        <w:rPr>
          <w:color w:val="auto"/>
          <w:highlight w:val="none"/>
        </w:rPr>
        <w:tab/>
      </w:r>
      <w:r>
        <w:rPr>
          <w:color w:val="auto"/>
          <w:highlight w:val="none"/>
        </w:rPr>
        <w:fldChar w:fldCharType="begin"/>
      </w:r>
      <w:r>
        <w:rPr>
          <w:color w:val="auto"/>
          <w:highlight w:val="none"/>
        </w:rPr>
        <w:instrText xml:space="preserve"> PAGEREF _Toc40859297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4937586">
      <w:pPr>
        <w:pStyle w:val="16"/>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"_Toc40859298" </w:instrText>
      </w:r>
      <w:r>
        <w:rPr>
          <w:color w:val="auto"/>
          <w:highlight w:val="none"/>
        </w:rPr>
        <w:fldChar w:fldCharType="separate"/>
      </w:r>
      <w:r>
        <w:rPr>
          <w:rStyle w:val="20"/>
          <w:rFonts w:hint="eastAsia"/>
          <w:color w:val="auto"/>
          <w:highlight w:val="none"/>
        </w:rPr>
        <w:t>附件五</w:t>
      </w:r>
      <w:r>
        <w:rPr>
          <w:color w:val="auto"/>
          <w:highlight w:val="none"/>
        </w:rPr>
        <w:tab/>
      </w:r>
      <w:r>
        <w:rPr>
          <w:color w:val="auto"/>
          <w:highlight w:val="none"/>
        </w:rPr>
        <w:fldChar w:fldCharType="begin"/>
      </w:r>
      <w:r>
        <w:rPr>
          <w:color w:val="auto"/>
          <w:highlight w:val="none"/>
        </w:rPr>
        <w:instrText xml:space="preserve"> PAGEREF _Toc40859298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62724D62">
      <w:pPr>
        <w:jc w:val="left"/>
        <w:rPr>
          <w:color w:val="auto"/>
          <w:sz w:val="48"/>
          <w:szCs w:val="48"/>
          <w:highlight w:val="none"/>
        </w:rPr>
      </w:pPr>
      <w:r>
        <w:rPr>
          <w:color w:val="auto"/>
          <w:sz w:val="48"/>
          <w:szCs w:val="48"/>
          <w:highlight w:val="none"/>
        </w:rPr>
        <w:fldChar w:fldCharType="end"/>
      </w:r>
    </w:p>
    <w:p w14:paraId="0EAE344A">
      <w:pPr>
        <w:widowControl/>
        <w:jc w:val="left"/>
        <w:rPr>
          <w:color w:val="auto"/>
          <w:sz w:val="48"/>
          <w:szCs w:val="48"/>
          <w:highlight w:val="none"/>
        </w:rPr>
      </w:pPr>
      <w:r>
        <w:rPr>
          <w:color w:val="auto"/>
          <w:sz w:val="48"/>
          <w:szCs w:val="48"/>
          <w:highlight w:val="none"/>
        </w:rPr>
        <w:br w:type="page"/>
      </w:r>
    </w:p>
    <w:p w14:paraId="32441390">
      <w:pPr>
        <w:pStyle w:val="3"/>
        <w:spacing w:before="0" w:after="0" w:line="360" w:lineRule="auto"/>
        <w:jc w:val="center"/>
        <w:rPr>
          <w:rFonts w:ascii="宋体" w:hAnsi="宋体"/>
          <w:color w:val="auto"/>
          <w:sz w:val="36"/>
          <w:szCs w:val="36"/>
          <w:highlight w:val="none"/>
        </w:rPr>
      </w:pPr>
      <w:bookmarkStart w:id="0" w:name="_Toc40859284"/>
      <w:r>
        <w:rPr>
          <w:rFonts w:hint="eastAsia" w:ascii="宋体" w:hAnsi="宋体"/>
          <w:color w:val="auto"/>
          <w:sz w:val="36"/>
          <w:szCs w:val="36"/>
          <w:highlight w:val="none"/>
        </w:rPr>
        <w:t>第一章竞争性谈判公告</w:t>
      </w:r>
      <w:bookmarkEnd w:id="0"/>
    </w:p>
    <w:p w14:paraId="52114B6B">
      <w:pPr>
        <w:widowControl/>
        <w:spacing w:line="360" w:lineRule="auto"/>
        <w:ind w:firstLine="540"/>
        <w:jc w:val="left"/>
        <w:rPr>
          <w:rFonts w:ascii="宋体"/>
          <w:color w:val="auto"/>
          <w:sz w:val="22"/>
          <w:highlight w:val="none"/>
        </w:rPr>
      </w:pPr>
      <w:r>
        <w:rPr>
          <w:rFonts w:hint="eastAsia" w:ascii="宋体"/>
          <w:color w:val="auto"/>
          <w:sz w:val="22"/>
          <w:highlight w:val="none"/>
        </w:rPr>
        <w:t>根据《政府采购非招标采购方式管理办法》等有关规定，欧邦工程管理集团有限公司受三门县农业农村局的委托，就</w:t>
      </w:r>
      <w:r>
        <w:rPr>
          <w:rFonts w:hint="eastAsia" w:ascii="宋体"/>
          <w:color w:val="auto"/>
          <w:sz w:val="22"/>
          <w:highlight w:val="none"/>
          <w:lang w:eastAsia="zh-CN"/>
        </w:rPr>
        <w:t>2025年三门县“护渔”船舶租赁项目</w:t>
      </w:r>
      <w:r>
        <w:rPr>
          <w:rFonts w:hint="eastAsia" w:ascii="宋体"/>
          <w:color w:val="auto"/>
          <w:sz w:val="22"/>
          <w:highlight w:val="none"/>
        </w:rPr>
        <w:t>进行竞争性谈判，欢迎国内合格的供应商前来参加谈判。</w:t>
      </w:r>
    </w:p>
    <w:p w14:paraId="66A76F3C">
      <w:pPr>
        <w:snapToGrid w:val="0"/>
        <w:spacing w:line="440" w:lineRule="atLeast"/>
        <w:rPr>
          <w:rFonts w:ascii="宋体"/>
          <w:color w:val="auto"/>
          <w:sz w:val="22"/>
          <w:highlight w:val="none"/>
        </w:rPr>
      </w:pPr>
      <w:r>
        <w:rPr>
          <w:rFonts w:hint="eastAsia" w:ascii="宋体" w:hAnsi="宋体"/>
          <w:b/>
          <w:color w:val="auto"/>
          <w:szCs w:val="21"/>
          <w:highlight w:val="none"/>
        </w:rPr>
        <w:t>一、谈判项目编号:</w:t>
      </w:r>
      <w:r>
        <w:rPr>
          <w:rFonts w:hint="eastAsia" w:ascii="宋体"/>
          <w:color w:val="auto"/>
          <w:sz w:val="22"/>
          <w:highlight w:val="none"/>
        </w:rPr>
        <w:t xml:space="preserve">  浙欧招备[202</w:t>
      </w:r>
      <w:r>
        <w:rPr>
          <w:rFonts w:hint="eastAsia" w:ascii="宋体"/>
          <w:color w:val="auto"/>
          <w:sz w:val="22"/>
          <w:highlight w:val="none"/>
          <w:lang w:val="en-US" w:eastAsia="zh-CN"/>
        </w:rPr>
        <w:t>5</w:t>
      </w:r>
      <w:r>
        <w:rPr>
          <w:rFonts w:hint="eastAsia" w:ascii="宋体"/>
          <w:color w:val="auto"/>
          <w:sz w:val="22"/>
          <w:highlight w:val="none"/>
        </w:rPr>
        <w:t>]01</w:t>
      </w:r>
      <w:r>
        <w:rPr>
          <w:rFonts w:hint="eastAsia" w:ascii="宋体"/>
          <w:color w:val="auto"/>
          <w:sz w:val="22"/>
          <w:highlight w:val="none"/>
          <w:lang w:val="en-US" w:eastAsia="zh-CN"/>
        </w:rPr>
        <w:t>5</w:t>
      </w:r>
      <w:r>
        <w:rPr>
          <w:rFonts w:hint="eastAsia" w:ascii="宋体"/>
          <w:color w:val="auto"/>
          <w:sz w:val="22"/>
          <w:highlight w:val="none"/>
        </w:rPr>
        <w:t>号</w:t>
      </w:r>
    </w:p>
    <w:p w14:paraId="29C9DC57">
      <w:pPr>
        <w:snapToGrid w:val="0"/>
        <w:spacing w:line="440" w:lineRule="atLeast"/>
        <w:ind w:firstLine="440" w:firstLineChars="200"/>
        <w:rPr>
          <w:rFonts w:ascii="宋体"/>
          <w:color w:val="auto"/>
          <w:sz w:val="22"/>
          <w:highlight w:val="none"/>
        </w:rPr>
      </w:pPr>
      <w:r>
        <w:rPr>
          <w:rFonts w:hint="eastAsia" w:ascii="宋体"/>
          <w:color w:val="auto"/>
          <w:sz w:val="22"/>
          <w:highlight w:val="none"/>
        </w:rPr>
        <w:t>采购组织</w:t>
      </w:r>
      <w:bookmarkStart w:id="1" w:name="OLE_LINK1"/>
      <w:r>
        <w:rPr>
          <w:rFonts w:hint="eastAsia" w:ascii="宋体"/>
          <w:color w:val="auto"/>
          <w:sz w:val="22"/>
          <w:highlight w:val="none"/>
        </w:rPr>
        <w:t>类型：</w:t>
      </w:r>
      <w:bookmarkEnd w:id="1"/>
      <w:r>
        <w:rPr>
          <w:rFonts w:hint="eastAsia" w:ascii="宋体"/>
          <w:color w:val="auto"/>
          <w:sz w:val="22"/>
          <w:highlight w:val="none"/>
        </w:rPr>
        <w:t>分散委托采购</w:t>
      </w:r>
    </w:p>
    <w:p w14:paraId="71C4FD3B">
      <w:pPr>
        <w:snapToGrid w:val="0"/>
        <w:spacing w:line="440" w:lineRule="atLeast"/>
        <w:rPr>
          <w:rFonts w:ascii="宋体"/>
          <w:color w:val="auto"/>
          <w:sz w:val="22"/>
          <w:highlight w:val="none"/>
        </w:rPr>
      </w:pPr>
      <w:r>
        <w:rPr>
          <w:rFonts w:hint="eastAsia" w:ascii="宋体" w:hAnsi="宋体"/>
          <w:b/>
          <w:color w:val="auto"/>
          <w:szCs w:val="21"/>
          <w:highlight w:val="none"/>
        </w:rPr>
        <w:t>二、招标项目概况</w:t>
      </w:r>
      <w:r>
        <w:rPr>
          <w:rFonts w:hint="eastAsia" w:ascii="宋体"/>
          <w:color w:val="auto"/>
          <w:sz w:val="22"/>
          <w:highlight w:val="none"/>
        </w:rPr>
        <w:t>（具体以招标文件为准）:</w:t>
      </w:r>
      <w:bookmarkStart w:id="2" w:name="B10_招标内容"/>
      <w:bookmarkEnd w:id="2"/>
    </w:p>
    <w:p w14:paraId="0ECD319E">
      <w:pPr>
        <w:snapToGrid w:val="0"/>
        <w:spacing w:line="440" w:lineRule="atLeast"/>
        <w:ind w:firstLine="480"/>
        <w:rPr>
          <w:rFonts w:ascii="宋体"/>
          <w:color w:val="auto"/>
          <w:sz w:val="22"/>
          <w:highlight w:val="none"/>
        </w:rPr>
      </w:pPr>
      <w:r>
        <w:rPr>
          <w:rFonts w:hint="eastAsia" w:ascii="宋体"/>
          <w:color w:val="auto"/>
          <w:sz w:val="22"/>
          <w:highlight w:val="none"/>
          <w:lang w:eastAsia="zh-CN"/>
        </w:rPr>
        <w:t>2025年三门县“护渔”船舶租赁项目</w:t>
      </w:r>
      <w:r>
        <w:rPr>
          <w:rFonts w:hint="eastAsia" w:ascii="宋体"/>
          <w:color w:val="auto"/>
          <w:sz w:val="22"/>
          <w:highlight w:val="none"/>
        </w:rPr>
        <w:t>；本项目需租用渔业船舶1艘（每艘船需按照规定配齐相应的职务船员及普通船员（共5名），职务船员及普通船员须持有效职务船员证书及专业训练合格证，且职务船员与进出港报告情况相一致。</w:t>
      </w:r>
      <w:r>
        <w:rPr>
          <w:rFonts w:hint="eastAsia" w:ascii="宋体"/>
          <w:b/>
          <w:bCs/>
          <w:color w:val="auto"/>
          <w:sz w:val="22"/>
          <w:highlight w:val="none"/>
        </w:rPr>
        <w:t>伏季休渔期间月均出海不少于9日</w:t>
      </w:r>
      <w:r>
        <w:rPr>
          <w:rFonts w:hint="eastAsia" w:ascii="宋体"/>
          <w:color w:val="auto"/>
          <w:sz w:val="22"/>
          <w:highlight w:val="none"/>
        </w:rPr>
        <w:t>。</w:t>
      </w:r>
    </w:p>
    <w:p w14:paraId="693152EA">
      <w:pPr>
        <w:snapToGrid w:val="0"/>
        <w:spacing w:line="440" w:lineRule="atLeast"/>
        <w:ind w:firstLine="480"/>
        <w:rPr>
          <w:rFonts w:ascii="宋体"/>
          <w:color w:val="auto"/>
          <w:sz w:val="22"/>
          <w:highlight w:val="none"/>
        </w:rPr>
      </w:pPr>
      <w:r>
        <w:rPr>
          <w:rFonts w:hint="eastAsia" w:ascii="宋体"/>
          <w:color w:val="auto"/>
          <w:sz w:val="22"/>
          <w:highlight w:val="none"/>
        </w:rPr>
        <w:t>护渔船规格要求：船长12米以上，型宽3米以上，船体材质：钢制，具备一定稳定性。</w:t>
      </w:r>
    </w:p>
    <w:p w14:paraId="7DBB9A77">
      <w:pPr>
        <w:snapToGrid w:val="0"/>
        <w:spacing w:line="440" w:lineRule="atLeast"/>
        <w:ind w:firstLine="480"/>
        <w:rPr>
          <w:rFonts w:ascii="宋体"/>
          <w:color w:val="auto"/>
          <w:sz w:val="22"/>
          <w:highlight w:val="none"/>
        </w:rPr>
      </w:pPr>
      <w:r>
        <w:rPr>
          <w:rFonts w:hint="eastAsia" w:ascii="宋体"/>
          <w:color w:val="auto"/>
          <w:sz w:val="22"/>
          <w:highlight w:val="none"/>
        </w:rPr>
        <w:t>租赁价格上限价：3700元/天</w:t>
      </w:r>
    </w:p>
    <w:p w14:paraId="56EA1410">
      <w:pPr>
        <w:snapToGrid w:val="0"/>
        <w:spacing w:line="440" w:lineRule="atLeast"/>
        <w:rPr>
          <w:rFonts w:ascii="宋体" w:hAnsi="宋体"/>
          <w:b/>
          <w:color w:val="auto"/>
          <w:szCs w:val="21"/>
          <w:highlight w:val="none"/>
        </w:rPr>
      </w:pPr>
      <w:r>
        <w:rPr>
          <w:rFonts w:hint="eastAsia" w:ascii="宋体" w:hAnsi="宋体"/>
          <w:b/>
          <w:color w:val="auto"/>
          <w:szCs w:val="21"/>
          <w:highlight w:val="none"/>
        </w:rPr>
        <w:t>三、</w:t>
      </w:r>
      <w:bookmarkStart w:id="3" w:name="B18_投标供应商的资格要求"/>
      <w:bookmarkEnd w:id="3"/>
      <w:r>
        <w:rPr>
          <w:rFonts w:hint="eastAsia" w:ascii="宋体" w:hAnsi="宋体"/>
          <w:b/>
          <w:color w:val="auto"/>
          <w:szCs w:val="21"/>
          <w:highlight w:val="none"/>
        </w:rPr>
        <w:t>合格谈判供应商的资格要求:</w:t>
      </w:r>
    </w:p>
    <w:p w14:paraId="6FE98A5E">
      <w:pPr>
        <w:spacing w:line="440" w:lineRule="atLeast"/>
        <w:ind w:firstLine="480"/>
        <w:rPr>
          <w:rFonts w:ascii="宋体"/>
          <w:color w:val="auto"/>
          <w:sz w:val="22"/>
          <w:highlight w:val="none"/>
        </w:rPr>
      </w:pPr>
      <w:r>
        <w:rPr>
          <w:rFonts w:ascii="宋体"/>
          <w:color w:val="auto"/>
          <w:sz w:val="22"/>
          <w:highlight w:val="none"/>
        </w:rPr>
        <w:t>1</w:t>
      </w:r>
      <w:r>
        <w:rPr>
          <w:rFonts w:hint="eastAsia" w:ascii="宋体"/>
          <w:color w:val="auto"/>
          <w:sz w:val="22"/>
          <w:highlight w:val="none"/>
        </w:rPr>
        <w:t>、供应商须具有《船舶国籍登记证书》、《渔业捕捞许可证或辅助船许可证》、《渔业船舶所有权登记证书》（</w:t>
      </w:r>
      <w:r>
        <w:rPr>
          <w:rFonts w:hint="eastAsia" w:ascii="宋体"/>
          <w:b/>
          <w:bCs/>
          <w:color w:val="auto"/>
          <w:sz w:val="22"/>
          <w:highlight w:val="none"/>
        </w:rPr>
        <w:t>经营人或所有权人与投标人一致</w:t>
      </w:r>
      <w:r>
        <w:rPr>
          <w:rFonts w:hint="eastAsia" w:ascii="宋体"/>
          <w:color w:val="auto"/>
          <w:sz w:val="22"/>
          <w:highlight w:val="none"/>
        </w:rPr>
        <w:t>）和《渔业船舶检验证书》（检验在有效期内）；</w:t>
      </w:r>
    </w:p>
    <w:p w14:paraId="461ACE5F">
      <w:pPr>
        <w:tabs>
          <w:tab w:val="left" w:pos="180"/>
          <w:tab w:val="left" w:pos="360"/>
          <w:tab w:val="left" w:pos="540"/>
          <w:tab w:val="left" w:pos="8280"/>
        </w:tabs>
        <w:autoSpaceDE w:val="0"/>
        <w:autoSpaceDN w:val="0"/>
        <w:adjustRightInd w:val="0"/>
        <w:spacing w:line="312" w:lineRule="auto"/>
        <w:ind w:firstLine="440" w:firstLineChars="200"/>
        <w:jc w:val="left"/>
        <w:rPr>
          <w:rFonts w:ascii="宋体"/>
          <w:color w:val="auto"/>
          <w:sz w:val="22"/>
          <w:highlight w:val="none"/>
        </w:rPr>
      </w:pPr>
      <w:r>
        <w:rPr>
          <w:rFonts w:ascii="宋体"/>
          <w:color w:val="auto"/>
          <w:sz w:val="22"/>
          <w:highlight w:val="none"/>
        </w:rPr>
        <w:t>2</w:t>
      </w:r>
      <w:r>
        <w:rPr>
          <w:rFonts w:hint="eastAsia" w:ascii="宋体"/>
          <w:color w:val="auto"/>
          <w:sz w:val="22"/>
          <w:highlight w:val="none"/>
        </w:rPr>
        <w:t>、本项目不接受联合体投标。</w:t>
      </w:r>
    </w:p>
    <w:p w14:paraId="2D6720C0">
      <w:pPr>
        <w:snapToGrid w:val="0"/>
        <w:spacing w:line="440" w:lineRule="atLeast"/>
        <w:rPr>
          <w:rFonts w:ascii="宋体" w:hAnsi="宋体"/>
          <w:b/>
          <w:color w:val="auto"/>
          <w:szCs w:val="21"/>
          <w:highlight w:val="none"/>
        </w:rPr>
      </w:pPr>
      <w:r>
        <w:rPr>
          <w:rFonts w:hint="eastAsia" w:ascii="宋体" w:hAnsi="宋体"/>
          <w:b/>
          <w:color w:val="auto"/>
          <w:szCs w:val="21"/>
          <w:highlight w:val="none"/>
        </w:rPr>
        <w:t>四、招标文件获取的方式：</w:t>
      </w:r>
    </w:p>
    <w:p w14:paraId="1B12BC1D">
      <w:pPr>
        <w:snapToGrid w:val="0"/>
        <w:spacing w:line="440" w:lineRule="atLeast"/>
        <w:ind w:firstLine="550" w:firstLineChars="250"/>
        <w:rPr>
          <w:rFonts w:ascii="宋体"/>
          <w:color w:val="auto"/>
          <w:sz w:val="22"/>
          <w:highlight w:val="none"/>
          <w:lang w:val="zh-CN"/>
        </w:rPr>
      </w:pPr>
      <w:r>
        <w:rPr>
          <w:rFonts w:hint="eastAsia" w:ascii="宋体"/>
          <w:color w:val="auto"/>
          <w:sz w:val="22"/>
          <w:highlight w:val="none"/>
        </w:rPr>
        <w:t>1、</w:t>
      </w:r>
      <w:r>
        <w:rPr>
          <w:rFonts w:hint="eastAsia" w:ascii="宋体"/>
          <w:color w:val="auto"/>
          <w:sz w:val="22"/>
          <w:highlight w:val="none"/>
          <w:lang w:val="zh-CN"/>
        </w:rPr>
        <w:t>本项目实行资格后审，凡有意参加投标者，招标文件将于公告之日起在三门县公共资源交易中心网 “网址：</w:t>
      </w:r>
      <w:r>
        <w:rPr>
          <w:color w:val="auto"/>
          <w:highlight w:val="none"/>
        </w:rPr>
        <w:fldChar w:fldCharType="begin"/>
      </w:r>
      <w:r>
        <w:rPr>
          <w:color w:val="auto"/>
          <w:highlight w:val="none"/>
        </w:rPr>
        <w:instrText xml:space="preserve"> HYPERLINK "http://jyzx.sanmen.gov.cn" </w:instrText>
      </w:r>
      <w:r>
        <w:rPr>
          <w:color w:val="auto"/>
          <w:highlight w:val="none"/>
        </w:rPr>
        <w:fldChar w:fldCharType="separate"/>
      </w:r>
      <w:r>
        <w:rPr>
          <w:rFonts w:hint="eastAsia" w:ascii="宋体"/>
          <w:color w:val="auto"/>
          <w:sz w:val="22"/>
          <w:highlight w:val="none"/>
          <w:lang w:val="zh-CN"/>
        </w:rPr>
        <w:t>http://jyzx.sanmen.gov.cn”上发布并供下载，</w:t>
      </w:r>
      <w:r>
        <w:rPr>
          <w:rFonts w:hint="eastAsia" w:ascii="宋体"/>
          <w:color w:val="auto"/>
          <w:sz w:val="22"/>
          <w:highlight w:val="none"/>
          <w:lang w:val="zh-CN"/>
        </w:rPr>
        <w:fldChar w:fldCharType="end"/>
      </w:r>
      <w:r>
        <w:rPr>
          <w:rFonts w:hint="eastAsia" w:ascii="宋体"/>
          <w:color w:val="auto"/>
          <w:sz w:val="22"/>
          <w:highlight w:val="none"/>
          <w:lang w:val="zh-CN"/>
        </w:rPr>
        <w:t>招标文件以书面为主。</w:t>
      </w:r>
    </w:p>
    <w:p w14:paraId="602F6AD3">
      <w:pPr>
        <w:snapToGrid w:val="0"/>
        <w:spacing w:line="440" w:lineRule="atLeast"/>
        <w:ind w:firstLine="550" w:firstLineChars="250"/>
        <w:rPr>
          <w:rFonts w:ascii="宋体"/>
          <w:color w:val="auto"/>
          <w:sz w:val="22"/>
          <w:highlight w:val="none"/>
          <w:lang w:val="zh-CN"/>
        </w:rPr>
      </w:pPr>
      <w:r>
        <w:rPr>
          <w:rFonts w:hint="eastAsia" w:ascii="宋体"/>
          <w:color w:val="auto"/>
          <w:sz w:val="22"/>
          <w:highlight w:val="none"/>
          <w:lang w:val="zh-CN"/>
        </w:rPr>
        <w:t>2、投标人网上免费下载招标文件，不收取任何工本费。</w:t>
      </w:r>
    </w:p>
    <w:p w14:paraId="10F50E2B">
      <w:pPr>
        <w:tabs>
          <w:tab w:val="left" w:pos="7562"/>
        </w:tabs>
        <w:snapToGrid w:val="0"/>
        <w:spacing w:line="440" w:lineRule="atLeast"/>
        <w:rPr>
          <w:rFonts w:ascii="宋体"/>
          <w:color w:val="auto"/>
          <w:sz w:val="22"/>
          <w:highlight w:val="none"/>
        </w:rPr>
      </w:pPr>
      <w:r>
        <w:rPr>
          <w:rFonts w:hint="eastAsia" w:ascii="宋体" w:hAnsi="宋体"/>
          <w:b/>
          <w:color w:val="auto"/>
          <w:szCs w:val="21"/>
          <w:highlight w:val="none"/>
        </w:rPr>
        <w:t>五、投标截止时间：</w:t>
      </w:r>
      <w:bookmarkStart w:id="4" w:name="B26_投标截止时间"/>
      <w:bookmarkStart w:id="21" w:name="_GoBack"/>
      <w:r>
        <w:rPr>
          <w:rFonts w:hint="eastAsia" w:ascii="宋体"/>
          <w:color w:val="auto"/>
          <w:sz w:val="22"/>
          <w:highlight w:val="none"/>
          <w:lang w:eastAsia="zh-CN"/>
        </w:rPr>
        <w:t>2025年04月</w:t>
      </w:r>
      <w:r>
        <w:rPr>
          <w:rFonts w:hint="eastAsia" w:ascii="宋体"/>
          <w:color w:val="auto"/>
          <w:sz w:val="22"/>
          <w:highlight w:val="none"/>
          <w:lang w:val="en-US" w:eastAsia="zh-CN"/>
        </w:rPr>
        <w:t>25</w:t>
      </w:r>
      <w:r>
        <w:rPr>
          <w:rFonts w:hint="eastAsia" w:ascii="宋体"/>
          <w:color w:val="auto"/>
          <w:sz w:val="22"/>
          <w:highlight w:val="none"/>
          <w:lang w:eastAsia="zh-CN"/>
        </w:rPr>
        <w:t>日</w:t>
      </w:r>
      <w:r>
        <w:rPr>
          <w:rFonts w:hint="eastAsia" w:ascii="宋体"/>
          <w:color w:val="auto"/>
          <w:sz w:val="22"/>
          <w:highlight w:val="none"/>
          <w:lang w:val="en-US" w:eastAsia="zh-CN"/>
        </w:rPr>
        <w:t>09</w:t>
      </w:r>
      <w:r>
        <w:rPr>
          <w:rFonts w:hint="eastAsia" w:ascii="宋体"/>
          <w:color w:val="auto"/>
          <w:sz w:val="22"/>
          <w:highlight w:val="none"/>
        </w:rPr>
        <w:t>:</w:t>
      </w:r>
      <w:r>
        <w:rPr>
          <w:rFonts w:hint="eastAsia" w:ascii="宋体"/>
          <w:color w:val="auto"/>
          <w:sz w:val="22"/>
          <w:highlight w:val="none"/>
          <w:lang w:val="en-US" w:eastAsia="zh-CN"/>
        </w:rPr>
        <w:t>0</w:t>
      </w:r>
      <w:r>
        <w:rPr>
          <w:rFonts w:hint="eastAsia" w:ascii="宋体"/>
          <w:color w:val="auto"/>
          <w:sz w:val="22"/>
          <w:highlight w:val="none"/>
        </w:rPr>
        <w:t xml:space="preserve">0时 </w:t>
      </w:r>
      <w:bookmarkEnd w:id="4"/>
      <w:bookmarkEnd w:id="21"/>
      <w:r>
        <w:rPr>
          <w:rFonts w:hint="eastAsia" w:ascii="宋体"/>
          <w:color w:val="auto"/>
          <w:sz w:val="22"/>
          <w:highlight w:val="none"/>
        </w:rPr>
        <w:tab/>
      </w:r>
    </w:p>
    <w:p w14:paraId="3D277481">
      <w:pPr>
        <w:snapToGrid w:val="0"/>
        <w:spacing w:line="440" w:lineRule="atLeast"/>
        <w:rPr>
          <w:rFonts w:ascii="宋体" w:hAnsi="宋体" w:cs="宋体"/>
          <w:color w:val="auto"/>
          <w:kern w:val="0"/>
          <w:szCs w:val="21"/>
          <w:highlight w:val="none"/>
        </w:rPr>
      </w:pPr>
      <w:r>
        <w:rPr>
          <w:rFonts w:hint="eastAsia" w:ascii="宋体" w:hAnsi="宋体"/>
          <w:b/>
          <w:color w:val="auto"/>
          <w:szCs w:val="21"/>
          <w:highlight w:val="none"/>
        </w:rPr>
        <w:t>六、投标地点：</w:t>
      </w:r>
      <w:r>
        <w:rPr>
          <w:rFonts w:hint="eastAsia" w:ascii="宋体"/>
          <w:color w:val="auto"/>
          <w:sz w:val="22"/>
          <w:highlight w:val="none"/>
        </w:rPr>
        <w:t>欧邦工程管理集团有限公司（三门县湫水大道58号二楼）</w:t>
      </w:r>
    </w:p>
    <w:p w14:paraId="209F0ACE">
      <w:pPr>
        <w:tabs>
          <w:tab w:val="center" w:pos="4706"/>
        </w:tabs>
        <w:snapToGrid w:val="0"/>
        <w:spacing w:line="440" w:lineRule="atLeast"/>
        <w:rPr>
          <w:rFonts w:ascii="宋体"/>
          <w:color w:val="auto"/>
          <w:sz w:val="22"/>
          <w:highlight w:val="none"/>
        </w:rPr>
      </w:pPr>
      <w:r>
        <w:rPr>
          <w:rFonts w:hint="eastAsia" w:ascii="宋体" w:hAnsi="宋体"/>
          <w:b/>
          <w:color w:val="auto"/>
          <w:szCs w:val="21"/>
          <w:highlight w:val="none"/>
        </w:rPr>
        <w:t>七、开标时间：</w:t>
      </w:r>
      <w:r>
        <w:rPr>
          <w:rFonts w:hint="eastAsia" w:ascii="宋体"/>
          <w:color w:val="auto"/>
          <w:sz w:val="22"/>
          <w:highlight w:val="none"/>
          <w:lang w:eastAsia="zh-CN"/>
        </w:rPr>
        <w:t>2025年04月</w:t>
      </w:r>
      <w:r>
        <w:rPr>
          <w:rFonts w:hint="eastAsia" w:ascii="宋体"/>
          <w:color w:val="auto"/>
          <w:sz w:val="22"/>
          <w:highlight w:val="none"/>
          <w:lang w:val="en-US" w:eastAsia="zh-CN"/>
        </w:rPr>
        <w:t>25</w:t>
      </w:r>
      <w:r>
        <w:rPr>
          <w:rFonts w:hint="eastAsia" w:ascii="宋体"/>
          <w:color w:val="auto"/>
          <w:sz w:val="22"/>
          <w:highlight w:val="none"/>
          <w:lang w:eastAsia="zh-CN"/>
        </w:rPr>
        <w:t>日</w:t>
      </w:r>
      <w:r>
        <w:rPr>
          <w:rFonts w:hint="eastAsia" w:ascii="宋体"/>
          <w:color w:val="auto"/>
          <w:sz w:val="22"/>
          <w:highlight w:val="none"/>
          <w:lang w:val="en-US" w:eastAsia="zh-CN"/>
        </w:rPr>
        <w:t>09</w:t>
      </w:r>
      <w:r>
        <w:rPr>
          <w:rFonts w:hint="eastAsia" w:ascii="宋体"/>
          <w:color w:val="auto"/>
          <w:sz w:val="22"/>
          <w:highlight w:val="none"/>
        </w:rPr>
        <w:t>:</w:t>
      </w:r>
      <w:r>
        <w:rPr>
          <w:rFonts w:hint="eastAsia" w:ascii="宋体"/>
          <w:color w:val="auto"/>
          <w:sz w:val="22"/>
          <w:highlight w:val="none"/>
          <w:lang w:val="en-US" w:eastAsia="zh-CN"/>
        </w:rPr>
        <w:t>0</w:t>
      </w:r>
      <w:r>
        <w:rPr>
          <w:rFonts w:hint="eastAsia" w:ascii="宋体"/>
          <w:color w:val="auto"/>
          <w:sz w:val="22"/>
          <w:highlight w:val="none"/>
        </w:rPr>
        <w:t>0时</w:t>
      </w:r>
      <w:r>
        <w:rPr>
          <w:rFonts w:hint="eastAsia" w:ascii="宋体"/>
          <w:color w:val="auto"/>
          <w:sz w:val="22"/>
          <w:highlight w:val="none"/>
        </w:rPr>
        <w:tab/>
      </w:r>
    </w:p>
    <w:p w14:paraId="1F44ACE6">
      <w:pPr>
        <w:snapToGrid w:val="0"/>
        <w:spacing w:line="440" w:lineRule="atLeast"/>
        <w:rPr>
          <w:rFonts w:ascii="宋体"/>
          <w:color w:val="auto"/>
          <w:sz w:val="22"/>
          <w:highlight w:val="none"/>
        </w:rPr>
      </w:pPr>
      <w:r>
        <w:rPr>
          <w:rFonts w:hint="eastAsia" w:ascii="宋体" w:hAnsi="宋体"/>
          <w:b/>
          <w:color w:val="auto"/>
          <w:szCs w:val="21"/>
          <w:highlight w:val="none"/>
        </w:rPr>
        <w:t>八、开标地点：</w:t>
      </w:r>
      <w:r>
        <w:rPr>
          <w:rFonts w:hint="eastAsia" w:ascii="宋体"/>
          <w:color w:val="auto"/>
          <w:sz w:val="22"/>
          <w:highlight w:val="none"/>
        </w:rPr>
        <w:t>欧邦工程管理集团有限公司（三门县湫水大道58号二楼）</w:t>
      </w:r>
    </w:p>
    <w:p w14:paraId="05359E76">
      <w:pPr>
        <w:snapToGrid w:val="0"/>
        <w:spacing w:line="440" w:lineRule="atLeast"/>
        <w:rPr>
          <w:rFonts w:ascii="宋体"/>
          <w:color w:val="auto"/>
          <w:sz w:val="22"/>
          <w:highlight w:val="none"/>
        </w:rPr>
      </w:pPr>
      <w:r>
        <w:rPr>
          <w:rFonts w:hint="eastAsia" w:ascii="宋体"/>
          <w:color w:val="auto"/>
          <w:sz w:val="22"/>
          <w:highlight w:val="none"/>
        </w:rPr>
        <w:t>九、联系方式</w:t>
      </w:r>
    </w:p>
    <w:p w14:paraId="37BB2479">
      <w:pPr>
        <w:spacing w:line="360" w:lineRule="auto"/>
        <w:ind w:firstLine="480" w:firstLineChars="200"/>
        <w:rPr>
          <w:rFonts w:ascii="宋体" w:hAnsi="宋体"/>
          <w:color w:val="auto"/>
          <w:sz w:val="24"/>
          <w:highlight w:val="none"/>
        </w:rPr>
      </w:pPr>
      <w:bookmarkStart w:id="5" w:name="B43_传真"/>
      <w:bookmarkEnd w:id="5"/>
      <w:r>
        <w:rPr>
          <w:rFonts w:hint="eastAsia" w:ascii="宋体" w:hAnsi="宋体"/>
          <w:color w:val="auto"/>
          <w:sz w:val="24"/>
          <w:highlight w:val="none"/>
        </w:rPr>
        <w:t>招标人：三门县农业农村局</w:t>
      </w:r>
    </w:p>
    <w:p w14:paraId="5D9B8557">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 xml:space="preserve">联系人： </w:t>
      </w:r>
      <w:r>
        <w:rPr>
          <w:rFonts w:hint="eastAsia" w:ascii="宋体" w:hAnsi="宋体"/>
          <w:color w:val="auto"/>
          <w:sz w:val="24"/>
          <w:highlight w:val="none"/>
          <w:lang w:eastAsia="zh-CN"/>
        </w:rPr>
        <w:t>黄乾</w:t>
      </w:r>
    </w:p>
    <w:p w14:paraId="2D669EF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电  话：</w:t>
      </w:r>
      <w:r>
        <w:rPr>
          <w:rFonts w:hint="eastAsia" w:ascii="宋体" w:hAnsi="宋体"/>
          <w:color w:val="auto"/>
          <w:sz w:val="24"/>
          <w:highlight w:val="none"/>
          <w:lang w:val="en-US" w:eastAsia="zh-CN"/>
        </w:rPr>
        <w:t xml:space="preserve">13216596789 </w:t>
      </w:r>
    </w:p>
    <w:p w14:paraId="2082112C">
      <w:pPr>
        <w:spacing w:line="360" w:lineRule="auto"/>
        <w:ind w:firstLine="440" w:firstLineChars="200"/>
        <w:jc w:val="left"/>
        <w:rPr>
          <w:rFonts w:hint="eastAsia" w:ascii="宋体"/>
          <w:color w:val="auto"/>
          <w:sz w:val="22"/>
          <w:highlight w:val="none"/>
        </w:rPr>
      </w:pPr>
    </w:p>
    <w:p w14:paraId="091F2091">
      <w:pPr>
        <w:spacing w:line="360" w:lineRule="auto"/>
        <w:ind w:firstLine="440" w:firstLineChars="200"/>
        <w:jc w:val="left"/>
        <w:rPr>
          <w:rFonts w:ascii="宋体" w:hAnsi="宋体"/>
          <w:color w:val="auto"/>
          <w:sz w:val="24"/>
          <w:highlight w:val="none"/>
        </w:rPr>
      </w:pPr>
      <w:r>
        <w:rPr>
          <w:rFonts w:hint="eastAsia" w:ascii="宋体"/>
          <w:color w:val="auto"/>
          <w:sz w:val="22"/>
          <w:highlight w:val="none"/>
        </w:rPr>
        <w:t xml:space="preserve">招标代理：欧邦工程管理集团有限公司 </w:t>
      </w:r>
    </w:p>
    <w:p w14:paraId="5ABF309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联系人：郑晓</w:t>
      </w:r>
      <w:r>
        <w:rPr>
          <w:rFonts w:hint="eastAsia" w:ascii="宋体" w:hAnsi="宋体"/>
          <w:color w:val="auto"/>
          <w:sz w:val="24"/>
          <w:highlight w:val="none"/>
          <w:lang w:eastAsia="zh-CN"/>
        </w:rPr>
        <w:t>锋</w:t>
      </w:r>
      <w:r>
        <w:rPr>
          <w:rFonts w:hint="eastAsia" w:ascii="宋体" w:hAnsi="宋体"/>
          <w:color w:val="auto"/>
          <w:sz w:val="24"/>
          <w:highlight w:val="none"/>
        </w:rPr>
        <w:t xml:space="preserve">      </w:t>
      </w:r>
    </w:p>
    <w:p w14:paraId="76B5925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电话/传真：</w:t>
      </w:r>
      <w:r>
        <w:rPr>
          <w:rFonts w:ascii="宋体" w:hAnsi="宋体"/>
          <w:color w:val="auto"/>
          <w:sz w:val="24"/>
          <w:highlight w:val="none"/>
        </w:rPr>
        <w:t>0576-</w:t>
      </w:r>
      <w:r>
        <w:rPr>
          <w:rFonts w:hint="eastAsia" w:ascii="宋体" w:hAnsi="宋体"/>
          <w:color w:val="auto"/>
          <w:sz w:val="24"/>
          <w:highlight w:val="none"/>
        </w:rPr>
        <w:t>833</w:t>
      </w:r>
      <w:r>
        <w:rPr>
          <w:rFonts w:ascii="宋体" w:hAnsi="宋体"/>
          <w:color w:val="auto"/>
          <w:sz w:val="24"/>
          <w:highlight w:val="none"/>
        </w:rPr>
        <w:t>21522</w:t>
      </w:r>
    </w:p>
    <w:p w14:paraId="6989C0ED">
      <w:pPr>
        <w:spacing w:line="360" w:lineRule="auto"/>
        <w:ind w:firstLine="480" w:firstLineChars="200"/>
        <w:rPr>
          <w:rFonts w:ascii="宋体" w:hAnsi="宋体"/>
          <w:color w:val="auto"/>
          <w:sz w:val="24"/>
          <w:highlight w:val="none"/>
        </w:rPr>
      </w:pPr>
    </w:p>
    <w:p w14:paraId="319C6987">
      <w:pPr>
        <w:spacing w:line="360" w:lineRule="auto"/>
        <w:ind w:firstLine="480"/>
        <w:rPr>
          <w:rFonts w:ascii="宋体" w:hAnsi="宋体"/>
          <w:color w:val="auto"/>
          <w:sz w:val="24"/>
          <w:highlight w:val="none"/>
        </w:rPr>
      </w:pPr>
      <w:r>
        <w:rPr>
          <w:rFonts w:ascii="宋体" w:hAnsi="宋体"/>
          <w:color w:val="auto"/>
          <w:sz w:val="24"/>
          <w:highlight w:val="none"/>
        </w:rPr>
        <w:t xml:space="preserve">                                 </w:t>
      </w:r>
    </w:p>
    <w:p w14:paraId="315C96DE">
      <w:pPr>
        <w:spacing w:line="360" w:lineRule="auto"/>
        <w:rPr>
          <w:rFonts w:ascii="宋体" w:hAnsi="宋体"/>
          <w:color w:val="auto"/>
          <w:sz w:val="24"/>
          <w:highlight w:val="none"/>
        </w:rPr>
      </w:pPr>
    </w:p>
    <w:p w14:paraId="71643A47">
      <w:pPr>
        <w:spacing w:line="360" w:lineRule="auto"/>
        <w:ind w:firstLine="5520" w:firstLineChars="2300"/>
        <w:rPr>
          <w:rFonts w:ascii="宋体" w:hAnsi="宋体"/>
          <w:color w:val="auto"/>
          <w:sz w:val="24"/>
          <w:highlight w:val="none"/>
        </w:rPr>
      </w:pPr>
    </w:p>
    <w:p w14:paraId="2BB2F9C2">
      <w:pPr>
        <w:spacing w:line="360" w:lineRule="auto"/>
        <w:ind w:firstLine="6720" w:firstLineChars="2800"/>
        <w:rPr>
          <w:rFonts w:ascii="宋体" w:hAnsi="宋体"/>
          <w:color w:val="auto"/>
          <w:sz w:val="24"/>
          <w:highlight w:val="none"/>
        </w:rPr>
      </w:pPr>
      <w:r>
        <w:rPr>
          <w:rFonts w:hint="eastAsia" w:ascii="宋体" w:hAnsi="宋体"/>
          <w:color w:val="auto"/>
          <w:sz w:val="24"/>
          <w:highlight w:val="none"/>
        </w:rPr>
        <w:t>三门县农业农村局</w:t>
      </w:r>
    </w:p>
    <w:p w14:paraId="203A3D51">
      <w:pPr>
        <w:spacing w:line="360" w:lineRule="auto"/>
        <w:ind w:firstLine="6000" w:firstLineChars="2500"/>
        <w:rPr>
          <w:rFonts w:ascii="宋体" w:hAnsi="宋体"/>
          <w:color w:val="auto"/>
          <w:sz w:val="24"/>
          <w:highlight w:val="none"/>
        </w:rPr>
      </w:pPr>
      <w:r>
        <w:rPr>
          <w:rFonts w:hint="eastAsia" w:ascii="宋体" w:hAnsi="宋体"/>
          <w:color w:val="auto"/>
          <w:sz w:val="24"/>
          <w:highlight w:val="none"/>
        </w:rPr>
        <w:t>欧邦工程管理集团有限公司</w:t>
      </w:r>
    </w:p>
    <w:p w14:paraId="25E10F0C">
      <w:pPr>
        <w:jc w:val="lef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04</w:t>
      </w:r>
      <w:r>
        <w:rPr>
          <w:rFonts w:hint="eastAsia" w:ascii="宋体" w:hAnsi="宋体"/>
          <w:color w:val="auto"/>
          <w:sz w:val="24"/>
          <w:highlight w:val="none"/>
        </w:rPr>
        <w:t>月</w:t>
      </w:r>
      <w:r>
        <w:rPr>
          <w:rFonts w:hint="eastAsia" w:ascii="宋体" w:hAnsi="宋体"/>
          <w:color w:val="auto"/>
          <w:sz w:val="24"/>
          <w:highlight w:val="none"/>
          <w:lang w:val="en-US" w:eastAsia="zh-CN"/>
        </w:rPr>
        <w:t>17</w:t>
      </w:r>
      <w:r>
        <w:rPr>
          <w:rFonts w:hint="eastAsia" w:ascii="宋体" w:hAnsi="宋体"/>
          <w:color w:val="auto"/>
          <w:sz w:val="24"/>
          <w:highlight w:val="none"/>
        </w:rPr>
        <w:t>日</w:t>
      </w:r>
    </w:p>
    <w:p w14:paraId="6DA08974">
      <w:pPr>
        <w:widowControl/>
        <w:jc w:val="left"/>
        <w:rPr>
          <w:rFonts w:ascii="宋体" w:hAnsi="宋体"/>
          <w:color w:val="auto"/>
          <w:sz w:val="24"/>
          <w:highlight w:val="none"/>
        </w:rPr>
      </w:pPr>
      <w:r>
        <w:rPr>
          <w:rFonts w:ascii="宋体" w:hAnsi="宋体"/>
          <w:color w:val="auto"/>
          <w:sz w:val="24"/>
          <w:highlight w:val="none"/>
        </w:rPr>
        <w:br w:type="page"/>
      </w:r>
    </w:p>
    <w:p w14:paraId="4214783A">
      <w:pPr>
        <w:pStyle w:val="3"/>
        <w:spacing w:before="0" w:after="0" w:line="360" w:lineRule="auto"/>
        <w:jc w:val="center"/>
        <w:rPr>
          <w:rFonts w:ascii="宋体" w:hAnsi="宋体"/>
          <w:color w:val="auto"/>
          <w:sz w:val="36"/>
          <w:szCs w:val="36"/>
          <w:highlight w:val="none"/>
        </w:rPr>
      </w:pPr>
      <w:bookmarkStart w:id="6" w:name="_Toc40859285"/>
      <w:bookmarkStart w:id="7" w:name="_Toc38624161"/>
      <w:r>
        <w:rPr>
          <w:rFonts w:hint="eastAsia" w:ascii="宋体" w:hAnsi="宋体"/>
          <w:color w:val="auto"/>
          <w:sz w:val="36"/>
          <w:szCs w:val="36"/>
          <w:highlight w:val="none"/>
        </w:rPr>
        <w:t>第二章谈判内容</w:t>
      </w:r>
      <w:bookmarkEnd w:id="6"/>
      <w:bookmarkEnd w:id="7"/>
    </w:p>
    <w:p w14:paraId="75A2C6CC">
      <w:pPr>
        <w:pStyle w:val="9"/>
        <w:adjustRightInd w:val="0"/>
        <w:snapToGrid w:val="0"/>
        <w:spacing w:line="440" w:lineRule="atLeast"/>
        <w:rPr>
          <w:rFonts w:hAnsi="宋体"/>
          <w:b/>
          <w:bCs/>
          <w:color w:val="auto"/>
          <w:sz w:val="24"/>
          <w:highlight w:val="none"/>
        </w:rPr>
      </w:pPr>
      <w:r>
        <w:rPr>
          <w:rFonts w:hint="eastAsia" w:hAnsi="宋体"/>
          <w:b/>
          <w:bCs/>
          <w:color w:val="auto"/>
          <w:sz w:val="24"/>
          <w:highlight w:val="none"/>
        </w:rPr>
        <w:t>一、采购总说明</w:t>
      </w:r>
    </w:p>
    <w:p w14:paraId="61883548">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1、本技术规范要求提出的是最低限度的基本技术要求，并未对所有技术细节作出规定，供应商应提供符合本技术要求和国家标准、行业标准的优质产品。</w:t>
      </w:r>
    </w:p>
    <w:p w14:paraId="76E3C471">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2、技术要求及标准的执行</w:t>
      </w:r>
    </w:p>
    <w:p w14:paraId="7DB5C54E">
      <w:pPr>
        <w:pStyle w:val="9"/>
        <w:adjustRightInd w:val="0"/>
        <w:snapToGrid w:val="0"/>
        <w:spacing w:line="440" w:lineRule="atLeast"/>
        <w:ind w:firstLine="482"/>
        <w:rPr>
          <w:rFonts w:hint="eastAsia" w:hAnsi="宋体"/>
          <w:color w:val="auto"/>
          <w:sz w:val="24"/>
          <w:highlight w:val="none"/>
        </w:rPr>
      </w:pPr>
      <w:r>
        <w:rPr>
          <w:rFonts w:hint="eastAsia" w:hAnsi="宋体"/>
          <w:color w:val="auto"/>
          <w:sz w:val="24"/>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24DB048A">
      <w:pPr>
        <w:pStyle w:val="9"/>
        <w:adjustRightInd w:val="0"/>
        <w:snapToGrid w:val="0"/>
        <w:spacing w:line="440" w:lineRule="atLeast"/>
        <w:rPr>
          <w:rFonts w:hAnsi="宋体"/>
          <w:b/>
          <w:bCs/>
          <w:color w:val="auto"/>
          <w:sz w:val="24"/>
          <w:highlight w:val="none"/>
        </w:rPr>
      </w:pPr>
      <w:r>
        <w:rPr>
          <w:rFonts w:hint="eastAsia" w:hAnsi="宋体"/>
          <w:b/>
          <w:bCs/>
          <w:color w:val="auto"/>
          <w:sz w:val="24"/>
          <w:highlight w:val="none"/>
          <w:lang w:eastAsia="zh-CN"/>
        </w:rPr>
        <w:t>二</w:t>
      </w:r>
      <w:r>
        <w:rPr>
          <w:rFonts w:hint="eastAsia" w:hAnsi="宋体"/>
          <w:b/>
          <w:bCs/>
          <w:color w:val="auto"/>
          <w:sz w:val="24"/>
          <w:highlight w:val="none"/>
        </w:rPr>
        <w:t>、采购内容及具体要求</w:t>
      </w:r>
    </w:p>
    <w:p w14:paraId="4A69EE18">
      <w:pPr>
        <w:pStyle w:val="9"/>
        <w:adjustRightInd w:val="0"/>
        <w:snapToGrid w:val="0"/>
        <w:spacing w:line="440" w:lineRule="atLeast"/>
        <w:ind w:firstLine="482"/>
        <w:rPr>
          <w:rFonts w:hAnsi="宋体"/>
          <w:b/>
          <w:bCs/>
          <w:color w:val="auto"/>
          <w:sz w:val="24"/>
          <w:highlight w:val="none"/>
        </w:rPr>
      </w:pPr>
      <w:r>
        <w:rPr>
          <w:rFonts w:hint="eastAsia" w:hAnsi="宋体"/>
          <w:b/>
          <w:bCs/>
          <w:color w:val="auto"/>
          <w:sz w:val="24"/>
          <w:highlight w:val="none"/>
        </w:rPr>
        <w:t>1、对租赁渔船的职责要求：</w:t>
      </w:r>
    </w:p>
    <w:p w14:paraId="01CEA950">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 xml:space="preserve"> （1）负责对三门辖区海域、</w:t>
      </w:r>
      <w:r>
        <w:rPr>
          <w:rFonts w:hAnsi="宋体"/>
          <w:color w:val="auto"/>
          <w:sz w:val="24"/>
          <w:highlight w:val="none"/>
        </w:rPr>
        <w:t>滩涂</w:t>
      </w:r>
      <w:r>
        <w:rPr>
          <w:rFonts w:hint="eastAsia" w:hAnsi="宋体"/>
          <w:color w:val="auto"/>
          <w:sz w:val="24"/>
          <w:highlight w:val="none"/>
        </w:rPr>
        <w:t>违禁渔具的清理工作；</w:t>
      </w:r>
    </w:p>
    <w:p w14:paraId="081ECB34">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 xml:space="preserve"> （2）配合县农业农村局海洋与渔业行政执法队的执法</w:t>
      </w:r>
      <w:r>
        <w:rPr>
          <w:rFonts w:hAnsi="宋体"/>
          <w:color w:val="auto"/>
          <w:sz w:val="24"/>
          <w:highlight w:val="none"/>
        </w:rPr>
        <w:t>工作</w:t>
      </w:r>
      <w:r>
        <w:rPr>
          <w:rFonts w:hint="eastAsia" w:hAnsi="宋体"/>
          <w:color w:val="auto"/>
          <w:sz w:val="24"/>
          <w:highlight w:val="none"/>
        </w:rPr>
        <w:t>（船舶扣押、动态瞭望、港口检查、封港行动等工作）；</w:t>
      </w:r>
    </w:p>
    <w:p w14:paraId="7A9045B8">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 xml:space="preserve"> （3）参于海上抢险救灾工作；</w:t>
      </w:r>
    </w:p>
    <w:p w14:paraId="5419D976">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 xml:space="preserve"> （4）配合三门县农业农村局其它工作的安排。</w:t>
      </w:r>
    </w:p>
    <w:p w14:paraId="6878CCF7">
      <w:pPr>
        <w:pStyle w:val="9"/>
        <w:adjustRightInd w:val="0"/>
        <w:snapToGrid w:val="0"/>
        <w:spacing w:line="440" w:lineRule="atLeast"/>
        <w:ind w:firstLine="482"/>
        <w:rPr>
          <w:rFonts w:hAnsi="宋体"/>
          <w:b/>
          <w:bCs/>
          <w:color w:val="auto"/>
          <w:sz w:val="24"/>
          <w:highlight w:val="none"/>
        </w:rPr>
      </w:pPr>
      <w:r>
        <w:rPr>
          <w:rFonts w:hint="eastAsia" w:hAnsi="宋体"/>
          <w:b/>
          <w:bCs/>
          <w:color w:val="auto"/>
          <w:sz w:val="24"/>
          <w:highlight w:val="none"/>
        </w:rPr>
        <w:t>2、对租赁渔船的基本要求：</w:t>
      </w:r>
    </w:p>
    <w:p w14:paraId="6ABE9B6F">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（1）须持有效的渔业船舶相关证书；（渔业船舶检验证书、登记证书、捕捞许可证或辅助船许可证、国籍证书）。</w:t>
      </w:r>
    </w:p>
    <w:p w14:paraId="1722A28C">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（2）应具备安全适航能力，配齐救生、消防、通信导航等设备；</w:t>
      </w:r>
    </w:p>
    <w:p w14:paraId="777D1478">
      <w:pPr>
        <w:pStyle w:val="9"/>
        <w:adjustRightInd w:val="0"/>
        <w:snapToGrid w:val="0"/>
        <w:spacing w:line="440" w:lineRule="atLeast"/>
        <w:ind w:firstLine="482"/>
        <w:rPr>
          <w:color w:val="auto"/>
          <w:sz w:val="24"/>
          <w:highlight w:val="none"/>
        </w:rPr>
      </w:pPr>
      <w:r>
        <w:rPr>
          <w:rFonts w:hint="eastAsia"/>
          <w:color w:val="auto"/>
          <w:sz w:val="24"/>
          <w:highlight w:val="none"/>
        </w:rPr>
        <w:t>（3）应配齐相应的职务船员及普通船员（共5名），职务船员及普通船员须持有效职务船员证书及专业训练合格证；</w:t>
      </w:r>
    </w:p>
    <w:p w14:paraId="5C21D429">
      <w:pPr>
        <w:pStyle w:val="9"/>
        <w:adjustRightInd w:val="0"/>
        <w:snapToGrid w:val="0"/>
        <w:spacing w:line="440" w:lineRule="atLeast"/>
        <w:ind w:firstLine="482"/>
        <w:rPr>
          <w:color w:val="auto"/>
          <w:sz w:val="24"/>
          <w:highlight w:val="none"/>
        </w:rPr>
      </w:pPr>
      <w:r>
        <w:rPr>
          <w:rFonts w:hint="eastAsia"/>
          <w:color w:val="auto"/>
          <w:sz w:val="24"/>
          <w:highlight w:val="none"/>
        </w:rPr>
        <w:t xml:space="preserve"> （4）在租赁期间，船舶必须参保渔业互保协会并有效；</w:t>
      </w:r>
    </w:p>
    <w:p w14:paraId="15DB3EFA">
      <w:pPr>
        <w:pStyle w:val="9"/>
        <w:adjustRightInd w:val="0"/>
        <w:snapToGrid w:val="0"/>
        <w:spacing w:line="440" w:lineRule="atLeast"/>
        <w:ind w:firstLine="482"/>
        <w:rPr>
          <w:color w:val="auto"/>
          <w:sz w:val="24"/>
          <w:highlight w:val="none"/>
        </w:rPr>
      </w:pPr>
      <w:r>
        <w:rPr>
          <w:rFonts w:hint="eastAsia"/>
          <w:color w:val="auto"/>
          <w:sz w:val="24"/>
          <w:highlight w:val="none"/>
        </w:rPr>
        <w:t xml:space="preserve"> （5）船上应具备良好的生活设施，如床铺、淡水舱、厨房设备、执法人员工作房间（配备空调）等；</w:t>
      </w:r>
    </w:p>
    <w:p w14:paraId="41326CA0">
      <w:pPr>
        <w:pStyle w:val="9"/>
        <w:adjustRightInd w:val="0"/>
        <w:snapToGrid w:val="0"/>
        <w:spacing w:line="440" w:lineRule="atLeast"/>
        <w:ind w:firstLine="482"/>
        <w:rPr>
          <w:rFonts w:hAnsi="宋体"/>
          <w:b/>
          <w:bCs/>
          <w:color w:val="auto"/>
          <w:sz w:val="24"/>
          <w:highlight w:val="none"/>
        </w:rPr>
      </w:pPr>
      <w:r>
        <w:rPr>
          <w:rFonts w:hint="eastAsia"/>
          <w:b/>
          <w:bCs/>
          <w:color w:val="auto"/>
          <w:sz w:val="24"/>
          <w:highlight w:val="none"/>
        </w:rPr>
        <w:t>（6）船长必须有丰富的船舶驾驶经验，熟悉三门海域和港口的实际海况，能胜任各类网具清理、船舶航行、停泊等工作</w:t>
      </w:r>
      <w:r>
        <w:rPr>
          <w:rFonts w:hint="eastAsia" w:hAnsi="宋体"/>
          <w:b/>
          <w:bCs/>
          <w:color w:val="auto"/>
          <w:sz w:val="24"/>
          <w:highlight w:val="none"/>
        </w:rPr>
        <w:t>；</w:t>
      </w:r>
    </w:p>
    <w:p w14:paraId="2CD3B164">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（7）在租赁期间船东及船长对船舶自身安全负全责；</w:t>
      </w:r>
    </w:p>
    <w:p w14:paraId="7AF61D47">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（8）船上应具备有效的起网机。</w:t>
      </w:r>
    </w:p>
    <w:p w14:paraId="268AFB08">
      <w:pPr>
        <w:pStyle w:val="9"/>
        <w:adjustRightInd w:val="0"/>
        <w:snapToGrid w:val="0"/>
        <w:spacing w:line="440" w:lineRule="atLeast"/>
        <w:rPr>
          <w:rFonts w:hAnsi="宋体"/>
          <w:b/>
          <w:bCs/>
          <w:color w:val="auto"/>
          <w:sz w:val="24"/>
          <w:highlight w:val="none"/>
        </w:rPr>
      </w:pPr>
      <w:r>
        <w:rPr>
          <w:rFonts w:hint="eastAsia" w:hAnsi="宋体"/>
          <w:color w:val="auto"/>
          <w:sz w:val="24"/>
          <w:highlight w:val="none"/>
        </w:rPr>
        <w:t xml:space="preserve"> </w:t>
      </w:r>
      <w:r>
        <w:rPr>
          <w:rFonts w:hint="eastAsia" w:hAnsi="宋体"/>
          <w:b/>
          <w:bCs/>
          <w:color w:val="auto"/>
          <w:sz w:val="24"/>
          <w:highlight w:val="none"/>
        </w:rPr>
        <w:t xml:space="preserve"> 3、操作要求：</w:t>
      </w:r>
    </w:p>
    <w:p w14:paraId="0707A561">
      <w:pPr>
        <w:pStyle w:val="9"/>
        <w:adjustRightInd w:val="0"/>
        <w:snapToGrid w:val="0"/>
        <w:spacing w:line="440" w:lineRule="atLeast"/>
        <w:rPr>
          <w:rFonts w:hAnsi="宋体"/>
          <w:b/>
          <w:bCs/>
          <w:color w:val="auto"/>
          <w:sz w:val="24"/>
          <w:highlight w:val="none"/>
        </w:rPr>
      </w:pPr>
      <w:r>
        <w:rPr>
          <w:rFonts w:hint="eastAsia" w:hAnsi="宋体"/>
          <w:b/>
          <w:bCs/>
          <w:color w:val="auto"/>
          <w:sz w:val="24"/>
          <w:highlight w:val="none"/>
        </w:rPr>
        <w:t xml:space="preserve">  （1）“护渔”船舶须悬挂护渔标识牌；</w:t>
      </w:r>
    </w:p>
    <w:p w14:paraId="3E74070B">
      <w:pPr>
        <w:pStyle w:val="9"/>
        <w:adjustRightInd w:val="0"/>
        <w:snapToGrid w:val="0"/>
        <w:spacing w:line="440" w:lineRule="atLeast"/>
        <w:rPr>
          <w:rFonts w:hAnsi="宋体"/>
          <w:b/>
          <w:bCs/>
          <w:color w:val="auto"/>
          <w:sz w:val="24"/>
          <w:highlight w:val="none"/>
        </w:rPr>
      </w:pPr>
      <w:r>
        <w:rPr>
          <w:rFonts w:hint="eastAsia" w:hAnsi="宋体"/>
          <w:b/>
          <w:bCs/>
          <w:color w:val="auto"/>
          <w:sz w:val="24"/>
          <w:highlight w:val="none"/>
        </w:rPr>
        <w:t xml:space="preserve">  （2）在清网过程中，“护渔”船舶船员须在第一时间将清理上的网具做初步损坏，回港后统一叠放并运行送至我单位指定仓库保存。</w:t>
      </w:r>
    </w:p>
    <w:p w14:paraId="48720439">
      <w:pPr>
        <w:pStyle w:val="9"/>
        <w:adjustRightInd w:val="0"/>
        <w:snapToGrid w:val="0"/>
        <w:spacing w:line="440" w:lineRule="atLeast"/>
        <w:rPr>
          <w:rFonts w:hAnsi="宋体"/>
          <w:b/>
          <w:bCs/>
          <w:color w:val="auto"/>
          <w:sz w:val="24"/>
          <w:highlight w:val="none"/>
        </w:rPr>
      </w:pPr>
      <w:r>
        <w:rPr>
          <w:rFonts w:hint="eastAsia" w:hAnsi="宋体"/>
          <w:b/>
          <w:bCs/>
          <w:color w:val="auto"/>
          <w:sz w:val="24"/>
          <w:highlight w:val="none"/>
        </w:rPr>
        <w:t xml:space="preserve">   （3）“护渔”船舶中标后应尽快可投入我单位工作安排，故在招标前应当完成船舶保养、改造等相关要求。</w:t>
      </w:r>
    </w:p>
    <w:p w14:paraId="1996EE20">
      <w:pPr>
        <w:pStyle w:val="9"/>
        <w:adjustRightInd w:val="0"/>
        <w:snapToGrid w:val="0"/>
        <w:spacing w:line="440" w:lineRule="atLeast"/>
        <w:ind w:firstLine="441"/>
        <w:rPr>
          <w:rFonts w:hAnsi="宋体"/>
          <w:b/>
          <w:bCs/>
          <w:color w:val="auto"/>
          <w:sz w:val="24"/>
          <w:highlight w:val="none"/>
        </w:rPr>
      </w:pPr>
      <w:r>
        <w:rPr>
          <w:rFonts w:hint="eastAsia" w:hAnsi="宋体"/>
          <w:b/>
          <w:bCs/>
          <w:color w:val="auto"/>
          <w:sz w:val="24"/>
          <w:highlight w:val="none"/>
        </w:rPr>
        <w:t>（4）“护渔”船租赁期间需要停泊在健跳港</w:t>
      </w:r>
      <w:r>
        <w:rPr>
          <w:rFonts w:hAnsi="宋体"/>
          <w:b/>
          <w:bCs/>
          <w:color w:val="auto"/>
          <w:sz w:val="24"/>
          <w:highlight w:val="none"/>
        </w:rPr>
        <w:t>内</w:t>
      </w:r>
      <w:r>
        <w:rPr>
          <w:rFonts w:hint="eastAsia" w:hAnsi="宋体"/>
          <w:b/>
          <w:bCs/>
          <w:color w:val="auto"/>
          <w:sz w:val="24"/>
          <w:highlight w:val="none"/>
        </w:rPr>
        <w:t>待命。</w:t>
      </w:r>
    </w:p>
    <w:p w14:paraId="4A4CCD66">
      <w:pPr>
        <w:pStyle w:val="9"/>
        <w:adjustRightInd w:val="0"/>
        <w:snapToGrid w:val="0"/>
        <w:spacing w:line="440" w:lineRule="atLeast"/>
        <w:ind w:firstLine="441"/>
        <w:rPr>
          <w:rFonts w:hAnsi="宋体"/>
          <w:b/>
          <w:bCs/>
          <w:color w:val="auto"/>
          <w:sz w:val="24"/>
          <w:highlight w:val="none"/>
        </w:rPr>
      </w:pPr>
      <w:r>
        <w:rPr>
          <w:rFonts w:hint="eastAsia" w:hAnsi="宋体"/>
          <w:b/>
          <w:bCs/>
          <w:color w:val="auto"/>
          <w:sz w:val="24"/>
          <w:highlight w:val="none"/>
        </w:rPr>
        <w:t>（5）“护渔”船舶如遇机械故障需立即报告并及时修理。</w:t>
      </w:r>
    </w:p>
    <w:p w14:paraId="7A12FCFA">
      <w:pPr>
        <w:pStyle w:val="9"/>
        <w:adjustRightInd w:val="0"/>
        <w:snapToGrid w:val="0"/>
        <w:spacing w:line="440" w:lineRule="atLeast"/>
        <w:ind w:firstLine="441"/>
        <w:rPr>
          <w:rFonts w:hAnsi="宋体"/>
          <w:b/>
          <w:bCs/>
          <w:color w:val="auto"/>
          <w:sz w:val="24"/>
          <w:highlight w:val="none"/>
        </w:rPr>
      </w:pPr>
      <w:r>
        <w:rPr>
          <w:rFonts w:hint="eastAsia" w:hAnsi="宋体"/>
          <w:b/>
          <w:bCs/>
          <w:color w:val="auto"/>
          <w:sz w:val="24"/>
          <w:highlight w:val="none"/>
        </w:rPr>
        <w:t>（6）“护渔”船舶租赁期间的安全生产及防火、防盗、防台风等工作由船东及船长负全责。</w:t>
      </w:r>
    </w:p>
    <w:p w14:paraId="6372F91E">
      <w:pPr>
        <w:pStyle w:val="9"/>
        <w:adjustRightInd w:val="0"/>
        <w:snapToGrid w:val="0"/>
        <w:spacing w:line="440" w:lineRule="atLeast"/>
        <w:ind w:firstLine="441"/>
        <w:rPr>
          <w:rFonts w:hAnsi="宋体"/>
          <w:b/>
          <w:bCs/>
          <w:color w:val="auto"/>
          <w:sz w:val="24"/>
          <w:highlight w:val="none"/>
        </w:rPr>
      </w:pPr>
      <w:r>
        <w:rPr>
          <w:rFonts w:hint="eastAsia" w:hAnsi="宋体"/>
          <w:b/>
          <w:bCs/>
          <w:color w:val="auto"/>
          <w:sz w:val="24"/>
          <w:highlight w:val="none"/>
        </w:rPr>
        <w:t>（7）如船东聘用船员工作上无法达到我单位工作要求，我单位有权要求船东更换船员或直接指派相关人员上船。</w:t>
      </w:r>
    </w:p>
    <w:p w14:paraId="4BDEA5C8">
      <w:pPr>
        <w:pStyle w:val="9"/>
        <w:adjustRightInd w:val="0"/>
        <w:snapToGrid w:val="0"/>
        <w:spacing w:line="440" w:lineRule="atLeast"/>
        <w:ind w:firstLine="441"/>
        <w:rPr>
          <w:rFonts w:hAnsi="宋体"/>
          <w:b/>
          <w:bCs/>
          <w:color w:val="auto"/>
          <w:sz w:val="24"/>
          <w:highlight w:val="none"/>
        </w:rPr>
      </w:pPr>
      <w:r>
        <w:rPr>
          <w:rFonts w:hint="eastAsia" w:hAnsi="宋体"/>
          <w:b/>
          <w:bCs/>
          <w:color w:val="auto"/>
          <w:sz w:val="24"/>
          <w:highlight w:val="none"/>
        </w:rPr>
        <w:t>（8）我单位在执行清网等执法行动时，“护渔”船舶及船员需保密，如出现泄密执法行动的，我单位可终止合同。</w:t>
      </w:r>
    </w:p>
    <w:p w14:paraId="5EDD17B4">
      <w:pPr>
        <w:pStyle w:val="9"/>
        <w:adjustRightInd w:val="0"/>
        <w:snapToGrid w:val="0"/>
        <w:spacing w:line="440" w:lineRule="atLeast"/>
        <w:ind w:firstLine="441"/>
        <w:rPr>
          <w:rFonts w:hAnsi="宋体"/>
          <w:b/>
          <w:bCs/>
          <w:color w:val="auto"/>
          <w:sz w:val="24"/>
          <w:highlight w:val="none"/>
        </w:rPr>
      </w:pPr>
      <w:r>
        <w:rPr>
          <w:rFonts w:hint="eastAsia" w:hAnsi="宋体"/>
          <w:b/>
          <w:bCs/>
          <w:color w:val="auto"/>
          <w:sz w:val="24"/>
          <w:highlight w:val="none"/>
        </w:rPr>
        <w:t>（9）“护渔”船舶须如实记录每日航时、航程、人数，清网的具体时间、地点及网具数量，不如实填写或擅自处理清理网具，我单位有权终止合同。</w:t>
      </w:r>
    </w:p>
    <w:p w14:paraId="72A74C47">
      <w:pPr>
        <w:pStyle w:val="9"/>
        <w:adjustRightInd w:val="0"/>
        <w:snapToGrid w:val="0"/>
        <w:spacing w:line="440" w:lineRule="atLeast"/>
        <w:ind w:firstLine="441"/>
        <w:rPr>
          <w:rFonts w:hAnsi="宋体"/>
          <w:b/>
          <w:bCs/>
          <w:color w:val="auto"/>
          <w:sz w:val="24"/>
          <w:highlight w:val="none"/>
        </w:rPr>
      </w:pPr>
      <w:r>
        <w:rPr>
          <w:rFonts w:hint="eastAsia" w:hAnsi="宋体"/>
          <w:b/>
          <w:bCs/>
          <w:color w:val="auto"/>
          <w:sz w:val="24"/>
          <w:highlight w:val="none"/>
        </w:rPr>
        <w:t>（10）船上人员不足五人不能出海，无故不服从我单位工作安排的，我单位有权终止租赁合同。</w:t>
      </w:r>
    </w:p>
    <w:p w14:paraId="4CBC2E30">
      <w:pPr>
        <w:pStyle w:val="9"/>
        <w:adjustRightInd w:val="0"/>
        <w:snapToGrid w:val="0"/>
        <w:spacing w:line="440" w:lineRule="atLeast"/>
        <w:rPr>
          <w:rFonts w:hAnsi="宋体"/>
          <w:b/>
          <w:bCs/>
          <w:color w:val="auto"/>
          <w:sz w:val="24"/>
          <w:highlight w:val="none"/>
        </w:rPr>
      </w:pPr>
      <w:r>
        <w:rPr>
          <w:rFonts w:hint="eastAsia" w:hAnsi="宋体"/>
          <w:b/>
          <w:bCs/>
          <w:color w:val="auto"/>
          <w:sz w:val="24"/>
          <w:highlight w:val="none"/>
          <w:lang w:eastAsia="zh-CN"/>
        </w:rPr>
        <w:t>三</w:t>
      </w:r>
      <w:r>
        <w:rPr>
          <w:rFonts w:hint="eastAsia" w:hAnsi="宋体"/>
          <w:b/>
          <w:bCs/>
          <w:color w:val="auto"/>
          <w:sz w:val="24"/>
          <w:highlight w:val="none"/>
        </w:rPr>
        <w:t>、招标项目概况：</w:t>
      </w:r>
    </w:p>
    <w:tbl>
      <w:tblPr>
        <w:tblStyle w:val="1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33"/>
        <w:gridCol w:w="823"/>
        <w:gridCol w:w="810"/>
        <w:gridCol w:w="1095"/>
        <w:gridCol w:w="2850"/>
        <w:gridCol w:w="1300"/>
      </w:tblGrid>
      <w:tr w14:paraId="1242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608B29B">
            <w:pPr>
              <w:widowControl/>
              <w:spacing w:line="400" w:lineRule="atLeast"/>
              <w:jc w:val="center"/>
              <w:rPr>
                <w:rFonts w:ascii="宋体"/>
                <w:color w:val="auto"/>
                <w:sz w:val="24"/>
                <w:highlight w:val="none"/>
              </w:rPr>
            </w:pPr>
            <w:r>
              <w:rPr>
                <w:rFonts w:hint="eastAsia" w:ascii="宋体"/>
                <w:color w:val="auto"/>
                <w:sz w:val="24"/>
                <w:highlight w:val="none"/>
              </w:rPr>
              <w:t>序号</w:t>
            </w:r>
          </w:p>
        </w:tc>
        <w:tc>
          <w:tcPr>
            <w:tcW w:w="1933" w:type="dxa"/>
          </w:tcPr>
          <w:p w14:paraId="25EDB79B">
            <w:pPr>
              <w:widowControl/>
              <w:spacing w:line="400" w:lineRule="atLeast"/>
              <w:jc w:val="center"/>
              <w:rPr>
                <w:rFonts w:ascii="宋体"/>
                <w:color w:val="auto"/>
                <w:sz w:val="24"/>
                <w:highlight w:val="none"/>
              </w:rPr>
            </w:pPr>
            <w:r>
              <w:rPr>
                <w:rFonts w:hint="eastAsia" w:ascii="宋体"/>
                <w:color w:val="auto"/>
                <w:sz w:val="24"/>
                <w:highlight w:val="none"/>
              </w:rPr>
              <w:t>项目名称</w:t>
            </w:r>
          </w:p>
        </w:tc>
        <w:tc>
          <w:tcPr>
            <w:tcW w:w="823" w:type="dxa"/>
          </w:tcPr>
          <w:p w14:paraId="62E6745A">
            <w:pPr>
              <w:widowControl/>
              <w:spacing w:line="400" w:lineRule="atLeast"/>
              <w:jc w:val="center"/>
              <w:rPr>
                <w:rFonts w:ascii="宋体"/>
                <w:color w:val="auto"/>
                <w:sz w:val="24"/>
                <w:highlight w:val="none"/>
              </w:rPr>
            </w:pPr>
            <w:r>
              <w:rPr>
                <w:rFonts w:hint="eastAsia" w:ascii="宋体"/>
                <w:color w:val="auto"/>
                <w:sz w:val="24"/>
                <w:highlight w:val="none"/>
              </w:rPr>
              <w:t>数量</w:t>
            </w:r>
          </w:p>
        </w:tc>
        <w:tc>
          <w:tcPr>
            <w:tcW w:w="810" w:type="dxa"/>
          </w:tcPr>
          <w:p w14:paraId="3ECE889C">
            <w:pPr>
              <w:widowControl/>
              <w:spacing w:line="400" w:lineRule="atLeast"/>
              <w:jc w:val="center"/>
              <w:rPr>
                <w:rFonts w:ascii="宋体"/>
                <w:color w:val="auto"/>
                <w:sz w:val="24"/>
                <w:highlight w:val="none"/>
              </w:rPr>
            </w:pPr>
            <w:r>
              <w:rPr>
                <w:rFonts w:hint="eastAsia" w:ascii="宋体"/>
                <w:color w:val="auto"/>
                <w:sz w:val="24"/>
                <w:highlight w:val="none"/>
              </w:rPr>
              <w:t>单位</w:t>
            </w:r>
          </w:p>
        </w:tc>
        <w:tc>
          <w:tcPr>
            <w:tcW w:w="1095" w:type="dxa"/>
          </w:tcPr>
          <w:p w14:paraId="21BB2265">
            <w:pPr>
              <w:widowControl/>
              <w:spacing w:line="400" w:lineRule="atLeast"/>
              <w:jc w:val="center"/>
              <w:rPr>
                <w:rFonts w:ascii="宋体"/>
                <w:color w:val="auto"/>
                <w:sz w:val="24"/>
                <w:highlight w:val="none"/>
              </w:rPr>
            </w:pPr>
            <w:r>
              <w:rPr>
                <w:rFonts w:hint="eastAsia" w:ascii="宋体"/>
                <w:color w:val="auto"/>
                <w:sz w:val="24"/>
                <w:highlight w:val="none"/>
                <w:lang w:eastAsia="zh-CN"/>
              </w:rPr>
              <w:t>上限综合</w:t>
            </w:r>
            <w:r>
              <w:rPr>
                <w:rFonts w:hint="eastAsia" w:ascii="宋体"/>
                <w:color w:val="auto"/>
                <w:sz w:val="24"/>
                <w:highlight w:val="none"/>
              </w:rPr>
              <w:t>单价</w:t>
            </w:r>
          </w:p>
        </w:tc>
        <w:tc>
          <w:tcPr>
            <w:tcW w:w="2850" w:type="dxa"/>
          </w:tcPr>
          <w:p w14:paraId="6412F5D5">
            <w:pPr>
              <w:widowControl/>
              <w:spacing w:line="400" w:lineRule="atLeast"/>
              <w:jc w:val="center"/>
              <w:rPr>
                <w:rFonts w:ascii="宋体"/>
                <w:color w:val="auto"/>
                <w:sz w:val="24"/>
                <w:highlight w:val="none"/>
              </w:rPr>
            </w:pPr>
            <w:r>
              <w:rPr>
                <w:rFonts w:hint="eastAsia" w:ascii="宋体"/>
                <w:color w:val="auto"/>
                <w:sz w:val="24"/>
                <w:highlight w:val="none"/>
              </w:rPr>
              <w:t>简要规格描述</w:t>
            </w:r>
          </w:p>
        </w:tc>
        <w:tc>
          <w:tcPr>
            <w:tcW w:w="1300" w:type="dxa"/>
          </w:tcPr>
          <w:p w14:paraId="73FDCE2A">
            <w:pPr>
              <w:widowControl/>
              <w:spacing w:line="400" w:lineRule="atLeast"/>
              <w:jc w:val="center"/>
              <w:rPr>
                <w:rFonts w:ascii="宋体"/>
                <w:color w:val="auto"/>
                <w:sz w:val="24"/>
                <w:highlight w:val="none"/>
              </w:rPr>
            </w:pPr>
            <w:r>
              <w:rPr>
                <w:rFonts w:hint="eastAsia" w:ascii="宋体"/>
                <w:color w:val="auto"/>
                <w:sz w:val="24"/>
                <w:highlight w:val="none"/>
              </w:rPr>
              <w:t>备注</w:t>
            </w:r>
          </w:p>
        </w:tc>
      </w:tr>
      <w:tr w14:paraId="659A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D731016">
            <w:pPr>
              <w:widowControl/>
              <w:spacing w:line="400" w:lineRule="atLeast"/>
              <w:jc w:val="center"/>
              <w:rPr>
                <w:rFonts w:ascii="宋体"/>
                <w:color w:val="auto"/>
                <w:sz w:val="24"/>
                <w:highlight w:val="none"/>
              </w:rPr>
            </w:pPr>
            <w:r>
              <w:rPr>
                <w:rFonts w:hint="eastAsia" w:ascii="宋体"/>
                <w:color w:val="auto"/>
                <w:sz w:val="24"/>
                <w:highlight w:val="none"/>
              </w:rPr>
              <w:t>1</w:t>
            </w:r>
          </w:p>
        </w:tc>
        <w:tc>
          <w:tcPr>
            <w:tcW w:w="1933" w:type="dxa"/>
            <w:vAlign w:val="center"/>
          </w:tcPr>
          <w:p w14:paraId="275168B8">
            <w:pPr>
              <w:widowControl/>
              <w:spacing w:line="300" w:lineRule="atLeast"/>
              <w:jc w:val="center"/>
              <w:rPr>
                <w:rFonts w:hint="eastAsia" w:ascii="宋体" w:eastAsia="宋体"/>
                <w:color w:val="auto"/>
                <w:sz w:val="24"/>
                <w:highlight w:val="none"/>
                <w:lang w:eastAsia="zh-CN"/>
              </w:rPr>
            </w:pPr>
            <w:r>
              <w:rPr>
                <w:rFonts w:hint="eastAsia" w:ascii="宋体"/>
                <w:color w:val="auto"/>
                <w:sz w:val="24"/>
                <w:highlight w:val="none"/>
                <w:lang w:eastAsia="zh-CN"/>
              </w:rPr>
              <w:t>2025年三门县“护渔”船舶租赁项目</w:t>
            </w:r>
          </w:p>
        </w:tc>
        <w:tc>
          <w:tcPr>
            <w:tcW w:w="823" w:type="dxa"/>
            <w:vAlign w:val="center"/>
          </w:tcPr>
          <w:p w14:paraId="417FB1C4">
            <w:pPr>
              <w:widowControl/>
              <w:spacing w:line="400" w:lineRule="atLeast"/>
              <w:jc w:val="center"/>
              <w:rPr>
                <w:rFonts w:ascii="宋体"/>
                <w:color w:val="auto"/>
                <w:sz w:val="24"/>
                <w:highlight w:val="none"/>
              </w:rPr>
            </w:pPr>
            <w:r>
              <w:rPr>
                <w:rFonts w:hint="eastAsia" w:ascii="宋体"/>
                <w:color w:val="auto"/>
                <w:sz w:val="24"/>
                <w:highlight w:val="none"/>
              </w:rPr>
              <w:t>1</w:t>
            </w:r>
          </w:p>
        </w:tc>
        <w:tc>
          <w:tcPr>
            <w:tcW w:w="810" w:type="dxa"/>
            <w:vAlign w:val="center"/>
          </w:tcPr>
          <w:p w14:paraId="0ED71915">
            <w:pPr>
              <w:widowControl/>
              <w:spacing w:line="400" w:lineRule="atLeast"/>
              <w:jc w:val="center"/>
              <w:rPr>
                <w:rFonts w:ascii="宋体"/>
                <w:color w:val="auto"/>
                <w:sz w:val="24"/>
                <w:highlight w:val="none"/>
              </w:rPr>
            </w:pPr>
            <w:r>
              <w:rPr>
                <w:rFonts w:hint="eastAsia" w:ascii="宋体"/>
                <w:color w:val="auto"/>
                <w:sz w:val="24"/>
                <w:highlight w:val="none"/>
              </w:rPr>
              <w:t>艘</w:t>
            </w:r>
          </w:p>
        </w:tc>
        <w:tc>
          <w:tcPr>
            <w:tcW w:w="1095" w:type="dxa"/>
            <w:vAlign w:val="center"/>
          </w:tcPr>
          <w:p w14:paraId="7917F168">
            <w:pPr>
              <w:widowControl/>
              <w:spacing w:line="400" w:lineRule="atLeast"/>
              <w:jc w:val="center"/>
              <w:rPr>
                <w:rFonts w:ascii="宋体"/>
                <w:color w:val="auto"/>
                <w:sz w:val="24"/>
                <w:highlight w:val="none"/>
              </w:rPr>
            </w:pPr>
            <w:r>
              <w:rPr>
                <w:rFonts w:hint="eastAsia" w:ascii="宋体"/>
                <w:color w:val="auto"/>
                <w:sz w:val="24"/>
                <w:highlight w:val="none"/>
              </w:rPr>
              <w:t xml:space="preserve"> 3700元/天</w:t>
            </w:r>
          </w:p>
        </w:tc>
        <w:tc>
          <w:tcPr>
            <w:tcW w:w="2850" w:type="dxa"/>
            <w:vAlign w:val="center"/>
          </w:tcPr>
          <w:p w14:paraId="56CC9FD1">
            <w:pPr>
              <w:widowControl/>
              <w:spacing w:line="300" w:lineRule="atLeast"/>
              <w:rPr>
                <w:rFonts w:ascii="宋体"/>
                <w:color w:val="auto"/>
                <w:sz w:val="24"/>
                <w:highlight w:val="none"/>
              </w:rPr>
            </w:pPr>
            <w:r>
              <w:rPr>
                <w:rFonts w:hint="eastAsia" w:ascii="宋体"/>
                <w:color w:val="auto"/>
                <w:sz w:val="24"/>
                <w:highlight w:val="none"/>
              </w:rPr>
              <w:t>船长12米以上，型宽3米以上。船体材质：钢制；具备一定稳定性。</w:t>
            </w:r>
          </w:p>
        </w:tc>
        <w:tc>
          <w:tcPr>
            <w:tcW w:w="1300" w:type="dxa"/>
            <w:vAlign w:val="center"/>
          </w:tcPr>
          <w:p w14:paraId="3978CF4F">
            <w:pPr>
              <w:widowControl/>
              <w:spacing w:line="300" w:lineRule="atLeast"/>
              <w:jc w:val="center"/>
              <w:rPr>
                <w:rFonts w:ascii="宋体"/>
                <w:color w:val="auto"/>
                <w:sz w:val="24"/>
                <w:highlight w:val="none"/>
              </w:rPr>
            </w:pPr>
            <w:r>
              <w:rPr>
                <w:rFonts w:hint="eastAsia" w:ascii="宋体"/>
                <w:b/>
                <w:bCs/>
                <w:color w:val="auto"/>
                <w:sz w:val="24"/>
                <w:highlight w:val="none"/>
              </w:rPr>
              <w:t>在租赁实际使用期间“护渔”船舶月均出海</w:t>
            </w:r>
            <w:r>
              <w:rPr>
                <w:rFonts w:hint="eastAsia" w:ascii="宋体" w:hAnsi="宋体" w:cs="宋体"/>
                <w:b/>
                <w:bCs/>
                <w:color w:val="auto"/>
                <w:sz w:val="24"/>
                <w:highlight w:val="none"/>
              </w:rPr>
              <w:t>≧9</w:t>
            </w:r>
            <w:r>
              <w:rPr>
                <w:rFonts w:hint="eastAsia" w:ascii="宋体"/>
                <w:b/>
                <w:bCs/>
                <w:color w:val="auto"/>
                <w:sz w:val="24"/>
                <w:highlight w:val="none"/>
              </w:rPr>
              <w:t>日</w:t>
            </w:r>
            <w:r>
              <w:rPr>
                <w:rFonts w:hint="eastAsia" w:ascii="宋体"/>
                <w:color w:val="auto"/>
                <w:sz w:val="24"/>
                <w:highlight w:val="none"/>
              </w:rPr>
              <w:t>。</w:t>
            </w:r>
          </w:p>
        </w:tc>
      </w:tr>
    </w:tbl>
    <w:p w14:paraId="14277E97">
      <w:pPr>
        <w:pStyle w:val="9"/>
        <w:adjustRightInd w:val="0"/>
        <w:snapToGrid w:val="0"/>
        <w:spacing w:line="440" w:lineRule="atLeast"/>
        <w:ind w:firstLine="482"/>
        <w:rPr>
          <w:rFonts w:hint="eastAsia" w:hAnsi="宋体" w:eastAsia="宋体"/>
          <w:b/>
          <w:bCs/>
          <w:color w:val="auto"/>
          <w:sz w:val="24"/>
          <w:highlight w:val="none"/>
          <w:lang w:eastAsia="zh-CN"/>
        </w:rPr>
      </w:pPr>
      <w:r>
        <w:rPr>
          <w:rFonts w:hint="eastAsia" w:hAnsi="宋体"/>
          <w:b/>
          <w:bCs/>
          <w:color w:val="auto"/>
          <w:sz w:val="24"/>
          <w:highlight w:val="none"/>
          <w:lang w:eastAsia="zh-CN"/>
        </w:rPr>
        <w:t>备注：</w:t>
      </w:r>
      <w:r>
        <w:rPr>
          <w:rFonts w:hint="eastAsia" w:hAnsi="宋体"/>
          <w:color w:val="auto"/>
          <w:sz w:val="24"/>
          <w:highlight w:val="none"/>
        </w:rPr>
        <w:t>本项目需租用渔业船舶1艘（每艘船需按照规定配齐相应的职务船员及普通船员（共5名），职务船员及普通船员须持有效职务船员证书及专业训练合格证，且职务船员与进出港报告情况相一致。伏季休渔期间月均出海不少于9日。</w:t>
      </w:r>
    </w:p>
    <w:p w14:paraId="7704BB86">
      <w:pPr>
        <w:pStyle w:val="9"/>
        <w:adjustRightInd w:val="0"/>
        <w:snapToGrid w:val="0"/>
        <w:spacing w:line="440" w:lineRule="atLeast"/>
        <w:rPr>
          <w:rFonts w:hAnsi="宋体"/>
          <w:b/>
          <w:bCs/>
          <w:color w:val="auto"/>
          <w:sz w:val="24"/>
          <w:highlight w:val="none"/>
        </w:rPr>
      </w:pPr>
      <w:r>
        <w:rPr>
          <w:rFonts w:hint="eastAsia" w:hAnsi="宋体"/>
          <w:b/>
          <w:bCs/>
          <w:color w:val="auto"/>
          <w:sz w:val="24"/>
          <w:highlight w:val="none"/>
        </w:rPr>
        <w:t>四、供应商报价要求：</w:t>
      </w:r>
    </w:p>
    <w:p w14:paraId="339F641F">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（1）按单船租赁每天的价格报价，单船租赁综合单价上限为</w:t>
      </w:r>
      <w:r>
        <w:rPr>
          <w:rFonts w:hint="eastAsia"/>
          <w:color w:val="auto"/>
          <w:sz w:val="24"/>
          <w:highlight w:val="none"/>
        </w:rPr>
        <w:t>3700</w:t>
      </w:r>
      <w:r>
        <w:rPr>
          <w:rFonts w:hint="eastAsia" w:hAnsi="宋体"/>
          <w:color w:val="auto"/>
          <w:sz w:val="24"/>
          <w:highlight w:val="none"/>
        </w:rPr>
        <w:t>元/天。</w:t>
      </w:r>
    </w:p>
    <w:p w14:paraId="6218CF2F">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（2）</w:t>
      </w:r>
      <w:r>
        <w:rPr>
          <w:rFonts w:hAnsi="宋体"/>
          <w:color w:val="auto"/>
          <w:sz w:val="24"/>
          <w:highlight w:val="none"/>
        </w:rPr>
        <w:t>供应商应考虑自身实力、经验及项目实施过程中的各种因素，根据采购要求，详细说明所能提供的各项具体服务内容，自主确定报价</w:t>
      </w:r>
      <w:r>
        <w:rPr>
          <w:rFonts w:hint="eastAsia" w:hAnsi="宋体"/>
          <w:color w:val="auto"/>
          <w:sz w:val="24"/>
          <w:highlight w:val="none"/>
        </w:rPr>
        <w:t>（按天进行报价），实行固定综合单价包干。</w:t>
      </w:r>
    </w:p>
    <w:p w14:paraId="29CFC559">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3）此次报价实行固定综合单价包干，即单船投标综合单价一旦确定后，不再进行调整，投标供应商需充分考虑风险。实际按实结算，即结算价=租赁船数*租赁天数×中标供应商投标文件中承诺的单船投标综合单价（元/天）。</w:t>
      </w:r>
    </w:p>
    <w:p w14:paraId="00178FC1">
      <w:pPr>
        <w:pStyle w:val="21"/>
        <w:spacing w:line="360" w:lineRule="auto"/>
        <w:ind w:firstLine="480"/>
        <w:rPr>
          <w:rFonts w:ascii="Times New Roman" w:hAnsi="Times New Roman"/>
          <w:color w:val="auto"/>
          <w:sz w:val="24"/>
          <w:szCs w:val="24"/>
          <w:highlight w:val="none"/>
        </w:rPr>
      </w:pPr>
      <w:r>
        <w:rPr>
          <w:rFonts w:hint="eastAsia" w:ascii="Times New Roman" w:hAnsi="Times New Roman"/>
          <w:color w:val="auto"/>
          <w:sz w:val="24"/>
          <w:szCs w:val="24"/>
          <w:highlight w:val="none"/>
        </w:rPr>
        <w:t>（4）</w:t>
      </w:r>
      <w:r>
        <w:rPr>
          <w:rFonts w:hint="eastAsia" w:hAnsi="宋体"/>
          <w:b/>
          <w:color w:val="auto"/>
          <w:sz w:val="24"/>
          <w:szCs w:val="24"/>
          <w:highlight w:val="none"/>
        </w:rPr>
        <w:t>供应商根据招标文件的要求，完成本次单艘护渔船单日租赁服务采购所涉及的所有费用（包括船舶租赁费用、船舶维护保养费、职务船员工资、伙食费</w:t>
      </w:r>
      <w:r>
        <w:rPr>
          <w:rFonts w:hint="eastAsia" w:ascii="Times New Roman" w:hAnsi="Times New Roman"/>
          <w:color w:val="auto"/>
          <w:sz w:val="24"/>
          <w:szCs w:val="24"/>
          <w:highlight w:val="none"/>
        </w:rPr>
        <w:t>、</w:t>
      </w:r>
      <w:r>
        <w:rPr>
          <w:rFonts w:hint="eastAsia" w:hAnsi="宋体"/>
          <w:b/>
          <w:color w:val="auto"/>
          <w:sz w:val="24"/>
          <w:szCs w:val="24"/>
          <w:highlight w:val="none"/>
        </w:rPr>
        <w:t>船舶燃料费（ 供应商报价时自行注意市场价格波动风险，本合同价格保持不变）、船舶财产保险费、船员人身保险费、安全设施费、税金、招标代理费等其他费用）</w:t>
      </w:r>
    </w:p>
    <w:p w14:paraId="5BF78361">
      <w:pPr>
        <w:pStyle w:val="9"/>
        <w:adjustRightInd w:val="0"/>
        <w:snapToGrid w:val="0"/>
        <w:spacing w:line="440" w:lineRule="atLeast"/>
        <w:rPr>
          <w:rFonts w:hAnsi="宋体"/>
          <w:b/>
          <w:bCs/>
          <w:color w:val="auto"/>
          <w:sz w:val="24"/>
          <w:highlight w:val="none"/>
        </w:rPr>
      </w:pPr>
      <w:r>
        <w:rPr>
          <w:rFonts w:hint="eastAsia" w:hAnsi="宋体"/>
          <w:b/>
          <w:bCs/>
          <w:color w:val="auto"/>
          <w:sz w:val="24"/>
          <w:highlight w:val="none"/>
        </w:rPr>
        <w:t>五、付款方式</w:t>
      </w:r>
    </w:p>
    <w:p w14:paraId="41924196">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每月25日为上月服务费用结算日（遇节假日顺延），中标人每月开具正式发票后，由采购人按月办理付款手续。</w:t>
      </w:r>
    </w:p>
    <w:p w14:paraId="4AEE291C">
      <w:pPr>
        <w:pStyle w:val="9"/>
        <w:adjustRightInd w:val="0"/>
        <w:snapToGrid w:val="0"/>
        <w:spacing w:line="440" w:lineRule="atLeast"/>
        <w:rPr>
          <w:rFonts w:hAnsi="宋体"/>
          <w:b/>
          <w:bCs/>
          <w:color w:val="auto"/>
          <w:sz w:val="24"/>
          <w:highlight w:val="none"/>
        </w:rPr>
      </w:pPr>
      <w:r>
        <w:rPr>
          <w:rFonts w:hint="eastAsia" w:hAnsi="宋体"/>
          <w:b/>
          <w:bCs/>
          <w:color w:val="auto"/>
          <w:sz w:val="24"/>
          <w:highlight w:val="none"/>
        </w:rPr>
        <w:t>六、服务期：</w:t>
      </w:r>
      <w:r>
        <w:rPr>
          <w:rFonts w:hint="eastAsia" w:hAnsi="宋体"/>
          <w:color w:val="auto"/>
          <w:sz w:val="24"/>
          <w:highlight w:val="none"/>
        </w:rPr>
        <w:t>202</w:t>
      </w:r>
      <w:r>
        <w:rPr>
          <w:rFonts w:hint="eastAsia" w:hAnsi="宋体"/>
          <w:color w:val="auto"/>
          <w:sz w:val="24"/>
          <w:highlight w:val="none"/>
          <w:lang w:val="en-US" w:eastAsia="zh-CN"/>
        </w:rPr>
        <w:t>5</w:t>
      </w:r>
      <w:r>
        <w:rPr>
          <w:rFonts w:hint="eastAsia" w:hAnsi="宋体"/>
          <w:color w:val="auto"/>
          <w:sz w:val="24"/>
          <w:highlight w:val="none"/>
        </w:rPr>
        <w:t>年06月01日至202</w:t>
      </w:r>
      <w:r>
        <w:rPr>
          <w:rFonts w:hint="eastAsia" w:hAnsi="宋体"/>
          <w:color w:val="auto"/>
          <w:sz w:val="24"/>
          <w:highlight w:val="none"/>
          <w:lang w:val="en-US" w:eastAsia="zh-CN"/>
        </w:rPr>
        <w:t>5</w:t>
      </w:r>
      <w:r>
        <w:rPr>
          <w:rFonts w:hint="eastAsia" w:hAnsi="宋体"/>
          <w:color w:val="auto"/>
          <w:sz w:val="24"/>
          <w:highlight w:val="none"/>
        </w:rPr>
        <w:t>年12月30日</w:t>
      </w:r>
      <w:r>
        <w:rPr>
          <w:rFonts w:hint="eastAsia"/>
          <w:b/>
          <w:bCs/>
          <w:color w:val="auto"/>
          <w:sz w:val="24"/>
          <w:highlight w:val="none"/>
        </w:rPr>
        <w:t>（9月16日之后，业主有权随时终止租赁合同）</w:t>
      </w:r>
    </w:p>
    <w:p w14:paraId="74725608">
      <w:pPr>
        <w:widowControl/>
        <w:jc w:val="left"/>
        <w:rPr>
          <w:color w:val="auto"/>
          <w:sz w:val="48"/>
          <w:szCs w:val="48"/>
          <w:highlight w:val="none"/>
        </w:rPr>
      </w:pPr>
      <w:r>
        <w:rPr>
          <w:color w:val="auto"/>
          <w:sz w:val="48"/>
          <w:szCs w:val="48"/>
          <w:highlight w:val="none"/>
        </w:rPr>
        <w:br w:type="page"/>
      </w:r>
    </w:p>
    <w:p w14:paraId="53E47780">
      <w:pPr>
        <w:pStyle w:val="3"/>
        <w:spacing w:before="0" w:after="0" w:line="360" w:lineRule="auto"/>
        <w:jc w:val="center"/>
        <w:rPr>
          <w:rFonts w:ascii="宋体" w:hAnsi="宋体"/>
          <w:color w:val="auto"/>
          <w:sz w:val="36"/>
          <w:szCs w:val="36"/>
          <w:highlight w:val="none"/>
        </w:rPr>
      </w:pPr>
      <w:bookmarkStart w:id="8" w:name="_Toc40859286"/>
      <w:r>
        <w:rPr>
          <w:rFonts w:hint="eastAsia" w:ascii="宋体" w:hAnsi="宋体"/>
          <w:color w:val="auto"/>
          <w:sz w:val="36"/>
          <w:szCs w:val="36"/>
          <w:highlight w:val="none"/>
        </w:rPr>
        <w:t>第三章　供应商须知</w:t>
      </w:r>
      <w:bookmarkEnd w:id="8"/>
    </w:p>
    <w:p w14:paraId="4AB3CED2">
      <w:pPr>
        <w:spacing w:line="360" w:lineRule="auto"/>
        <w:jc w:val="center"/>
        <w:rPr>
          <w:rFonts w:ascii="宋体" w:hAnsi="宋体"/>
          <w:b/>
          <w:color w:val="auto"/>
          <w:sz w:val="24"/>
          <w:highlight w:val="none"/>
        </w:rPr>
      </w:pPr>
      <w:r>
        <w:rPr>
          <w:rFonts w:hint="eastAsia" w:ascii="宋体" w:hAnsi="宋体"/>
          <w:b/>
          <w:color w:val="auto"/>
          <w:sz w:val="24"/>
          <w:highlight w:val="none"/>
        </w:rPr>
        <w:t>前附表</w:t>
      </w:r>
    </w:p>
    <w:tbl>
      <w:tblPr>
        <w:tblStyle w:val="18"/>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14:paraId="7B46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8B5397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14:paraId="7F24D8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14:paraId="68C9643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内                 容</w:t>
            </w:r>
          </w:p>
        </w:tc>
      </w:tr>
      <w:tr w14:paraId="003A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29C774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14:paraId="49BEA89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14:paraId="20F015BB">
            <w:pPr>
              <w:spacing w:line="360" w:lineRule="auto"/>
              <w:rPr>
                <w:rFonts w:ascii="宋体" w:hAnsi="宋体" w:cs="宋体"/>
                <w:color w:val="auto"/>
                <w:sz w:val="24"/>
                <w:highlight w:val="none"/>
              </w:rPr>
            </w:pPr>
            <w:r>
              <w:rPr>
                <w:rFonts w:hint="eastAsia" w:ascii="宋体" w:hAnsi="宋体" w:cs="宋体"/>
                <w:color w:val="auto"/>
                <w:sz w:val="24"/>
                <w:highlight w:val="none"/>
              </w:rPr>
              <w:t>符合谈判公告资格要求的供应商</w:t>
            </w:r>
          </w:p>
        </w:tc>
      </w:tr>
      <w:tr w14:paraId="09E2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7C112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14:paraId="6366D1B2">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14:paraId="61F33BF7">
            <w:pPr>
              <w:pStyle w:val="7"/>
              <w:spacing w:line="360" w:lineRule="auto"/>
              <w:rPr>
                <w:rFonts w:ascii="宋体" w:hAnsi="宋体" w:cs="宋体"/>
                <w:color w:val="auto"/>
                <w:sz w:val="24"/>
                <w:highlight w:val="none"/>
              </w:rPr>
            </w:pPr>
            <w:r>
              <w:rPr>
                <w:rFonts w:hint="eastAsia" w:ascii="宋体" w:hAnsi="宋体" w:cs="宋体"/>
                <w:color w:val="auto"/>
                <w:sz w:val="24"/>
                <w:highlight w:val="none"/>
              </w:rPr>
              <w:t>不组织</w:t>
            </w:r>
          </w:p>
        </w:tc>
      </w:tr>
      <w:tr w14:paraId="53A2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12EC5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14:paraId="0C29A3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14:paraId="1F9564F8">
            <w:pPr>
              <w:spacing w:line="360" w:lineRule="auto"/>
              <w:rPr>
                <w:rFonts w:ascii="宋体" w:hAnsi="宋体" w:cs="宋体"/>
                <w:color w:val="auto"/>
                <w:sz w:val="24"/>
                <w:highlight w:val="none"/>
              </w:rPr>
            </w:pPr>
            <w:r>
              <w:rPr>
                <w:rFonts w:hint="eastAsia" w:ascii="宋体" w:hAnsi="宋体" w:cs="宋体"/>
                <w:color w:val="auto"/>
                <w:sz w:val="24"/>
                <w:highlight w:val="none"/>
              </w:rPr>
              <w:t>正本</w:t>
            </w:r>
            <w:r>
              <w:rPr>
                <w:rFonts w:hint="eastAsia" w:ascii="宋体" w:hAnsi="宋体" w:cs="Arial"/>
                <w:color w:val="auto"/>
                <w:sz w:val="24"/>
                <w:highlight w:val="none"/>
              </w:rPr>
              <w:t>1</w:t>
            </w:r>
            <w:r>
              <w:rPr>
                <w:rFonts w:hint="eastAsia" w:ascii="宋体" w:hAnsi="宋体" w:cs="宋体"/>
                <w:color w:val="auto"/>
                <w:sz w:val="24"/>
                <w:highlight w:val="none"/>
              </w:rPr>
              <w:t>份、副本</w:t>
            </w:r>
            <w:r>
              <w:rPr>
                <w:rFonts w:hint="eastAsia" w:ascii="宋体" w:hAnsi="宋体" w:cs="Arial"/>
                <w:color w:val="auto"/>
                <w:sz w:val="24"/>
                <w:highlight w:val="none"/>
              </w:rPr>
              <w:t>2</w:t>
            </w:r>
            <w:r>
              <w:rPr>
                <w:rFonts w:hint="eastAsia" w:ascii="宋体" w:hAnsi="宋体" w:cs="宋体"/>
                <w:color w:val="auto"/>
                <w:sz w:val="24"/>
                <w:highlight w:val="none"/>
              </w:rPr>
              <w:t>份，正副本</w:t>
            </w:r>
            <w:r>
              <w:rPr>
                <w:rFonts w:hint="eastAsia" w:ascii="宋体" w:hAnsi="宋体"/>
                <w:color w:val="auto"/>
                <w:kern w:val="0"/>
                <w:sz w:val="24"/>
                <w:highlight w:val="none"/>
              </w:rPr>
              <w:t>封装成一袋</w:t>
            </w:r>
            <w:r>
              <w:rPr>
                <w:rFonts w:hint="eastAsia" w:ascii="宋体" w:hAnsi="宋体" w:cs="宋体"/>
                <w:color w:val="auto"/>
                <w:sz w:val="24"/>
                <w:highlight w:val="none"/>
              </w:rPr>
              <w:t>。</w:t>
            </w:r>
          </w:p>
        </w:tc>
      </w:tr>
      <w:tr w14:paraId="0403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A6734C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14:paraId="5E79B2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14:paraId="07B846C0">
            <w:pPr>
              <w:spacing w:line="360" w:lineRule="auto"/>
              <w:rPr>
                <w:rFonts w:ascii="宋体" w:hAnsi="宋体" w:cs="宋体"/>
                <w:color w:val="auto"/>
                <w:sz w:val="24"/>
                <w:highlight w:val="none"/>
              </w:rPr>
            </w:pPr>
            <w:r>
              <w:rPr>
                <w:rFonts w:hint="eastAsia" w:ascii="宋体" w:hAnsi="宋体" w:cs="宋体"/>
                <w:color w:val="auto"/>
                <w:sz w:val="24"/>
                <w:highlight w:val="none"/>
              </w:rPr>
              <w:t>谈判响应有效期为谈判后90天，</w:t>
            </w:r>
            <w:r>
              <w:rPr>
                <w:rFonts w:hint="eastAsia" w:ascii="宋体" w:hAnsi="宋体" w:cs="宋体"/>
                <w:color w:val="auto"/>
                <w:kern w:val="0"/>
                <w:sz w:val="24"/>
                <w:highlight w:val="none"/>
              </w:rPr>
              <w:t>谈判响应有效期从提交谈判响应文件的截止之日起算。</w:t>
            </w:r>
          </w:p>
        </w:tc>
      </w:tr>
      <w:tr w14:paraId="5836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F2B4D4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14:paraId="03070CC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14:paraId="0D4B9499">
            <w:pPr>
              <w:spacing w:line="360" w:lineRule="auto"/>
              <w:rPr>
                <w:rFonts w:ascii="宋体" w:hAnsi="宋体" w:cs="宋体"/>
                <w:color w:val="auto"/>
                <w:sz w:val="24"/>
                <w:highlight w:val="none"/>
              </w:rPr>
            </w:pPr>
            <w:r>
              <w:rPr>
                <w:rFonts w:hint="eastAsia" w:ascii="宋体" w:hAnsi="宋体" w:cs="宋体"/>
                <w:color w:val="auto"/>
                <w:sz w:val="24"/>
                <w:highlight w:val="none"/>
              </w:rPr>
              <w:t>截止时间：北京时间</w:t>
            </w:r>
            <w:r>
              <w:rPr>
                <w:rFonts w:hint="eastAsia" w:ascii="宋体"/>
                <w:color w:val="auto"/>
                <w:sz w:val="22"/>
                <w:highlight w:val="none"/>
                <w:lang w:eastAsia="zh-CN"/>
              </w:rPr>
              <w:t>2025年04月</w:t>
            </w:r>
            <w:r>
              <w:rPr>
                <w:rFonts w:hint="eastAsia" w:ascii="宋体"/>
                <w:color w:val="auto"/>
                <w:sz w:val="22"/>
                <w:highlight w:val="none"/>
                <w:lang w:val="en-US" w:eastAsia="zh-CN"/>
              </w:rPr>
              <w:t>25</w:t>
            </w:r>
            <w:r>
              <w:rPr>
                <w:rFonts w:hint="eastAsia" w:ascii="宋体"/>
                <w:color w:val="auto"/>
                <w:sz w:val="22"/>
                <w:highlight w:val="none"/>
                <w:lang w:eastAsia="zh-CN"/>
              </w:rPr>
              <w:t>日</w:t>
            </w:r>
            <w:r>
              <w:rPr>
                <w:rFonts w:hint="eastAsia" w:ascii="宋体"/>
                <w:color w:val="auto"/>
                <w:sz w:val="22"/>
                <w:highlight w:val="none"/>
                <w:lang w:val="en-US" w:eastAsia="zh-CN"/>
              </w:rPr>
              <w:t>09</w:t>
            </w:r>
            <w:r>
              <w:rPr>
                <w:rFonts w:hint="eastAsia" w:ascii="宋体"/>
                <w:color w:val="auto"/>
                <w:sz w:val="22"/>
                <w:highlight w:val="none"/>
              </w:rPr>
              <w:t>:</w:t>
            </w:r>
            <w:r>
              <w:rPr>
                <w:rFonts w:hint="eastAsia" w:ascii="宋体"/>
                <w:color w:val="auto"/>
                <w:sz w:val="22"/>
                <w:highlight w:val="none"/>
                <w:lang w:val="en-US" w:eastAsia="zh-CN"/>
              </w:rPr>
              <w:t>0</w:t>
            </w:r>
            <w:r>
              <w:rPr>
                <w:rFonts w:hint="eastAsia" w:ascii="宋体"/>
                <w:color w:val="auto"/>
                <w:sz w:val="22"/>
                <w:highlight w:val="none"/>
              </w:rPr>
              <w:t>0时</w:t>
            </w:r>
          </w:p>
          <w:p w14:paraId="10A93713">
            <w:pPr>
              <w:spacing w:line="360" w:lineRule="auto"/>
              <w:rPr>
                <w:rFonts w:ascii="宋体" w:hAnsi="宋体" w:cs="宋体"/>
                <w:color w:val="auto"/>
                <w:sz w:val="24"/>
                <w:highlight w:val="none"/>
              </w:rPr>
            </w:pPr>
            <w:r>
              <w:rPr>
                <w:rFonts w:hint="eastAsia" w:ascii="宋体" w:hAnsi="宋体" w:cs="宋体"/>
                <w:color w:val="auto"/>
                <w:sz w:val="24"/>
                <w:highlight w:val="none"/>
              </w:rPr>
              <w:t>递交地点：</w:t>
            </w:r>
            <w:r>
              <w:rPr>
                <w:rFonts w:hint="eastAsia" w:ascii="宋体"/>
                <w:color w:val="auto"/>
                <w:sz w:val="24"/>
                <w:highlight w:val="none"/>
              </w:rPr>
              <w:t>欧邦工程管理集团有限公司（三门县湫水大道58号二楼）开标室</w:t>
            </w:r>
          </w:p>
          <w:p w14:paraId="11C6CAF3">
            <w:pPr>
              <w:spacing w:line="360" w:lineRule="auto"/>
              <w:rPr>
                <w:rFonts w:ascii="宋体" w:hAnsi="宋体" w:cs="宋体"/>
                <w:color w:val="auto"/>
                <w:sz w:val="24"/>
                <w:highlight w:val="none"/>
              </w:rPr>
            </w:pPr>
            <w:r>
              <w:rPr>
                <w:rFonts w:hint="eastAsia" w:ascii="宋体" w:hAnsi="宋体" w:cs="宋体"/>
                <w:color w:val="auto"/>
                <w:sz w:val="24"/>
                <w:highlight w:val="none"/>
              </w:rPr>
              <w:t>逾期送达的谈判响应文件恕不接受。</w:t>
            </w:r>
          </w:p>
        </w:tc>
      </w:tr>
      <w:tr w14:paraId="4B13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9B3B7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14:paraId="597B3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14:paraId="594D1D65">
            <w:pPr>
              <w:spacing w:line="360" w:lineRule="auto"/>
              <w:rPr>
                <w:rFonts w:ascii="宋体" w:hAnsi="宋体" w:cs="宋体"/>
                <w:color w:val="auto"/>
                <w:sz w:val="24"/>
                <w:highlight w:val="none"/>
              </w:rPr>
            </w:pPr>
            <w:r>
              <w:rPr>
                <w:rFonts w:hint="eastAsia" w:ascii="宋体" w:hAnsi="宋体" w:cs="宋体"/>
                <w:color w:val="auto"/>
                <w:sz w:val="24"/>
                <w:highlight w:val="none"/>
              </w:rPr>
              <w:t>时间：北京时间</w:t>
            </w:r>
            <w:r>
              <w:rPr>
                <w:rFonts w:hint="eastAsia" w:ascii="宋体"/>
                <w:color w:val="auto"/>
                <w:sz w:val="22"/>
                <w:highlight w:val="none"/>
                <w:lang w:eastAsia="zh-CN"/>
              </w:rPr>
              <w:t>2025年04月</w:t>
            </w:r>
            <w:r>
              <w:rPr>
                <w:rFonts w:hint="eastAsia" w:ascii="宋体"/>
                <w:color w:val="auto"/>
                <w:sz w:val="22"/>
                <w:highlight w:val="none"/>
                <w:lang w:val="en-US" w:eastAsia="zh-CN"/>
              </w:rPr>
              <w:t>25</w:t>
            </w:r>
            <w:r>
              <w:rPr>
                <w:rFonts w:hint="eastAsia" w:ascii="宋体"/>
                <w:color w:val="auto"/>
                <w:sz w:val="22"/>
                <w:highlight w:val="none"/>
                <w:lang w:eastAsia="zh-CN"/>
              </w:rPr>
              <w:t>日</w:t>
            </w:r>
            <w:r>
              <w:rPr>
                <w:rFonts w:hint="eastAsia" w:ascii="宋体"/>
                <w:color w:val="auto"/>
                <w:sz w:val="22"/>
                <w:highlight w:val="none"/>
                <w:lang w:val="en-US" w:eastAsia="zh-CN"/>
              </w:rPr>
              <w:t>09</w:t>
            </w:r>
            <w:r>
              <w:rPr>
                <w:rFonts w:hint="eastAsia" w:ascii="宋体"/>
                <w:color w:val="auto"/>
                <w:sz w:val="22"/>
                <w:highlight w:val="none"/>
              </w:rPr>
              <w:t>:</w:t>
            </w:r>
            <w:r>
              <w:rPr>
                <w:rFonts w:hint="eastAsia" w:ascii="宋体"/>
                <w:color w:val="auto"/>
                <w:sz w:val="22"/>
                <w:highlight w:val="none"/>
                <w:lang w:val="en-US" w:eastAsia="zh-CN"/>
              </w:rPr>
              <w:t>0</w:t>
            </w:r>
            <w:r>
              <w:rPr>
                <w:rFonts w:hint="eastAsia" w:ascii="宋体"/>
                <w:color w:val="auto"/>
                <w:sz w:val="22"/>
                <w:highlight w:val="none"/>
              </w:rPr>
              <w:t>0时</w:t>
            </w:r>
          </w:p>
          <w:p w14:paraId="61DEE2C4">
            <w:pP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color w:val="auto"/>
                <w:sz w:val="24"/>
                <w:highlight w:val="none"/>
              </w:rPr>
              <w:t>欧邦工程管理集团有限公司（三门县湫水大道58号二楼）开标室</w:t>
            </w:r>
          </w:p>
        </w:tc>
      </w:tr>
      <w:tr w14:paraId="794C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D0512B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14:paraId="6B2CD052">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14:paraId="38426954">
            <w:pPr>
              <w:autoSpaceDE w:val="0"/>
              <w:autoSpaceDN w:val="0"/>
              <w:adjustRightInd w:val="0"/>
              <w:spacing w:line="360" w:lineRule="auto"/>
              <w:ind w:left="10" w:hanging="10"/>
              <w:jc w:val="left"/>
              <w:rPr>
                <w:rFonts w:ascii="宋体" w:hAnsi="宋体" w:cs="宋体"/>
                <w:color w:val="auto"/>
                <w:sz w:val="24"/>
                <w:highlight w:val="none"/>
              </w:rPr>
            </w:pPr>
            <w:r>
              <w:rPr>
                <w:rFonts w:hint="eastAsia" w:ascii="宋体" w:hAnsi="宋体" w:cs="宋体"/>
                <w:color w:val="auto"/>
                <w:kern w:val="0"/>
                <w:sz w:val="24"/>
                <w:highlight w:val="none"/>
                <w:lang w:val="zh-CN"/>
              </w:rPr>
              <w:t>带“</w:t>
            </w:r>
            <w:r>
              <w:rPr>
                <w:rFonts w:hint="eastAsia" w:ascii="宋体" w:hAnsi="宋体" w:cs="宋体"/>
                <w:bCs/>
                <w:color w:val="auto"/>
                <w:sz w:val="24"/>
                <w:highlight w:val="none"/>
              </w:rPr>
              <w:t>▲”的条款是实质性条款，谈判响应文件须作出实质性响应，否则作无效响应处理。</w:t>
            </w:r>
          </w:p>
        </w:tc>
      </w:tr>
      <w:tr w14:paraId="1B03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F1FCAD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14:paraId="48A3163D">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14:paraId="0EF7034F">
            <w:pPr>
              <w:autoSpaceDE w:val="0"/>
              <w:autoSpaceDN w:val="0"/>
              <w:adjustRightInd w:val="0"/>
              <w:spacing w:line="360" w:lineRule="auto"/>
              <w:rPr>
                <w:rFonts w:ascii="宋体" w:hAnsi="宋体" w:cs="宋体"/>
                <w:color w:val="auto"/>
                <w:kern w:val="0"/>
                <w:sz w:val="24"/>
                <w:highlight w:val="none"/>
                <w:lang w:val="zh-CN"/>
              </w:rPr>
            </w:pPr>
            <w:r>
              <w:rPr>
                <w:rFonts w:hint="eastAsia" w:ascii="宋体" w:hAnsi="宋体" w:cs="宋体"/>
                <w:color w:val="auto"/>
                <w:sz w:val="24"/>
                <w:highlight w:val="none"/>
              </w:rPr>
              <w:t>本谈判文件解释权属于采购人和</w:t>
            </w:r>
            <w:r>
              <w:rPr>
                <w:rFonts w:hint="eastAsia" w:ascii="宋体" w:hAnsi="宋体" w:cs="Arial"/>
                <w:color w:val="auto"/>
                <w:sz w:val="24"/>
                <w:highlight w:val="none"/>
              </w:rPr>
              <w:t>采购代理机构</w:t>
            </w:r>
          </w:p>
        </w:tc>
      </w:tr>
    </w:tbl>
    <w:p w14:paraId="1AB73D52">
      <w:pPr>
        <w:spacing w:line="360" w:lineRule="auto"/>
        <w:jc w:val="center"/>
        <w:rPr>
          <w:rFonts w:ascii="宋体" w:hAnsi="宋体"/>
          <w:b/>
          <w:bCs/>
          <w:color w:val="auto"/>
          <w:sz w:val="36"/>
          <w:highlight w:val="none"/>
        </w:rPr>
      </w:pPr>
    </w:p>
    <w:p w14:paraId="69135448">
      <w:pPr>
        <w:spacing w:line="360" w:lineRule="auto"/>
        <w:jc w:val="center"/>
        <w:rPr>
          <w:rFonts w:ascii="宋体" w:hAnsi="宋体"/>
          <w:b/>
          <w:bCs/>
          <w:color w:val="auto"/>
          <w:sz w:val="36"/>
          <w:highlight w:val="none"/>
        </w:rPr>
      </w:pPr>
    </w:p>
    <w:p w14:paraId="4902773D">
      <w:pPr>
        <w:spacing w:line="360" w:lineRule="auto"/>
        <w:jc w:val="center"/>
        <w:rPr>
          <w:rFonts w:ascii="宋体" w:hAnsi="宋体"/>
          <w:b/>
          <w:bCs/>
          <w:color w:val="auto"/>
          <w:sz w:val="36"/>
          <w:highlight w:val="none"/>
        </w:rPr>
      </w:pPr>
    </w:p>
    <w:p w14:paraId="0F20304A">
      <w:pPr>
        <w:spacing w:line="360" w:lineRule="auto"/>
        <w:rPr>
          <w:rFonts w:ascii="宋体" w:hAnsi="宋体"/>
          <w:b/>
          <w:bCs/>
          <w:color w:val="auto"/>
          <w:sz w:val="36"/>
          <w:highlight w:val="none"/>
        </w:rPr>
      </w:pPr>
    </w:p>
    <w:p w14:paraId="3AEB4112">
      <w:pPr>
        <w:spacing w:line="360" w:lineRule="auto"/>
        <w:rPr>
          <w:rFonts w:ascii="宋体" w:hAnsi="宋体"/>
          <w:b/>
          <w:bCs/>
          <w:color w:val="auto"/>
          <w:sz w:val="36"/>
          <w:highlight w:val="none"/>
        </w:rPr>
      </w:pPr>
    </w:p>
    <w:p w14:paraId="31639B0E">
      <w:pPr>
        <w:pStyle w:val="9"/>
        <w:snapToGrid w:val="0"/>
        <w:spacing w:before="120" w:after="120" w:line="360" w:lineRule="auto"/>
        <w:rPr>
          <w:rFonts w:hAnsi="宋体"/>
          <w:b/>
          <w:color w:val="auto"/>
          <w:sz w:val="24"/>
          <w:highlight w:val="none"/>
        </w:rPr>
      </w:pPr>
    </w:p>
    <w:p w14:paraId="32C41DC3">
      <w:pPr>
        <w:pStyle w:val="4"/>
        <w:jc w:val="center"/>
        <w:rPr>
          <w:color w:val="auto"/>
          <w:highlight w:val="none"/>
        </w:rPr>
      </w:pPr>
      <w:bookmarkStart w:id="9" w:name="_Toc40859287"/>
      <w:r>
        <w:rPr>
          <w:rFonts w:hint="eastAsia"/>
          <w:color w:val="auto"/>
          <w:highlight w:val="none"/>
        </w:rPr>
        <w:t>一 、总  则</w:t>
      </w:r>
      <w:bookmarkEnd w:id="9"/>
    </w:p>
    <w:p w14:paraId="3CFB9A22">
      <w:pPr>
        <w:pStyle w:val="9"/>
        <w:snapToGrid w:val="0"/>
        <w:spacing w:line="360" w:lineRule="auto"/>
        <w:ind w:left="2" w:leftChars="1" w:firstLine="482" w:firstLineChars="200"/>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一）</w:t>
      </w:r>
      <w:r>
        <w:rPr>
          <w:rFonts w:hAnsi="宋体"/>
          <w:b/>
          <w:color w:val="auto"/>
          <w:sz w:val="24"/>
          <w:highlight w:val="none"/>
        </w:rPr>
        <w:t>适用范围</w:t>
      </w:r>
    </w:p>
    <w:p w14:paraId="374E11E8">
      <w:pPr>
        <w:pStyle w:val="5"/>
        <w:tabs>
          <w:tab w:val="left" w:pos="0"/>
          <w:tab w:val="left" w:pos="851"/>
        </w:tabs>
        <w:autoSpaceDE w:val="0"/>
        <w:autoSpaceDN w:val="0"/>
        <w:adjustRightInd w:val="0"/>
        <w:snapToGrid w:val="0"/>
        <w:spacing w:before="0" w:after="0"/>
        <w:ind w:firstLine="566" w:firstLineChars="236"/>
        <w:jc w:val="left"/>
        <w:rPr>
          <w:rFonts w:ascii="宋体" w:hAnsi="宋体"/>
          <w:b w:val="0"/>
          <w:color w:val="auto"/>
          <w:sz w:val="24"/>
          <w:szCs w:val="24"/>
          <w:highlight w:val="none"/>
        </w:rPr>
      </w:pPr>
      <w:r>
        <w:rPr>
          <w:rFonts w:hint="eastAsia" w:ascii="宋体" w:hAnsi="宋体"/>
          <w:b w:val="0"/>
          <w:color w:val="auto"/>
          <w:sz w:val="24"/>
          <w:szCs w:val="24"/>
          <w:highlight w:val="none"/>
        </w:rPr>
        <w:t>本谈判文件适用于本次项目的谈判、评审、确定成交供应商、验收、合同履约、付款等行为（法律、法规另有规定的，从其规定）。</w:t>
      </w:r>
    </w:p>
    <w:p w14:paraId="5B414ABA">
      <w:pPr>
        <w:pStyle w:val="9"/>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（二）定义</w:t>
      </w:r>
    </w:p>
    <w:p w14:paraId="49BD35A6">
      <w:pPr>
        <w:pStyle w:val="5"/>
        <w:tabs>
          <w:tab w:val="left" w:pos="0"/>
          <w:tab w:val="left" w:pos="851"/>
        </w:tabs>
        <w:autoSpaceDE w:val="0"/>
        <w:autoSpaceDN w:val="0"/>
        <w:adjustRightInd w:val="0"/>
        <w:snapToGrid w:val="0"/>
        <w:spacing w:before="0" w:after="0"/>
        <w:ind w:firstLine="566" w:firstLineChars="236"/>
        <w:jc w:val="left"/>
        <w:rPr>
          <w:rFonts w:ascii="宋体" w:hAnsi="宋体"/>
          <w:b w:val="0"/>
          <w:bCs w:val="0"/>
          <w:color w:val="auto"/>
          <w:sz w:val="24"/>
          <w:szCs w:val="24"/>
          <w:highlight w:val="none"/>
        </w:rPr>
      </w:pPr>
      <w:r>
        <w:rPr>
          <w:rFonts w:hint="eastAsia" w:ascii="宋体" w:hAnsi="宋体"/>
          <w:b w:val="0"/>
          <w:color w:val="auto"/>
          <w:sz w:val="24"/>
          <w:szCs w:val="24"/>
          <w:highlight w:val="none"/>
        </w:rPr>
        <w:t>1、</w:t>
      </w:r>
      <w:r>
        <w:rPr>
          <w:rFonts w:hint="eastAsia" w:ascii="宋体" w:hAnsi="宋体"/>
          <w:b w:val="0"/>
          <w:bCs w:val="0"/>
          <w:color w:val="auto"/>
          <w:sz w:val="24"/>
          <w:szCs w:val="24"/>
          <w:highlight w:val="none"/>
          <w:lang w:val="zh-CN"/>
        </w:rPr>
        <w:t>“采购组织机构”指采购人委托组织谈判的采购代理机构。</w:t>
      </w:r>
    </w:p>
    <w:p w14:paraId="4FEE3977">
      <w:pPr>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2、采购人：是指委托采购代理机构采购本次项目的国家机关、事业单位和团体组织。</w:t>
      </w:r>
    </w:p>
    <w:p w14:paraId="4604B805">
      <w:pPr>
        <w:snapToGrid w:val="0"/>
        <w:spacing w:line="360" w:lineRule="auto"/>
        <w:ind w:left="424" w:leftChars="202" w:firstLine="141" w:firstLineChars="59"/>
        <w:jc w:val="left"/>
        <w:rPr>
          <w:rFonts w:ascii="宋体" w:hAnsi="宋体"/>
          <w:color w:val="auto"/>
          <w:sz w:val="24"/>
          <w:highlight w:val="none"/>
        </w:rPr>
      </w:pPr>
      <w:r>
        <w:rPr>
          <w:rFonts w:hint="eastAsia" w:ascii="宋体" w:hAnsi="宋体"/>
          <w:color w:val="auto"/>
          <w:sz w:val="24"/>
          <w:highlight w:val="none"/>
        </w:rPr>
        <w:t>3、谈判</w:t>
      </w:r>
      <w:r>
        <w:rPr>
          <w:rFonts w:hint="eastAsia" w:ascii="宋体"/>
          <w:color w:val="auto"/>
          <w:kern w:val="0"/>
          <w:sz w:val="24"/>
          <w:highlight w:val="none"/>
        </w:rPr>
        <w:t>供应商</w:t>
      </w:r>
      <w:r>
        <w:rPr>
          <w:rFonts w:hint="eastAsia" w:ascii="宋体" w:hAnsi="宋体"/>
          <w:color w:val="auto"/>
          <w:sz w:val="24"/>
          <w:highlight w:val="none"/>
        </w:rPr>
        <w:t>：是</w:t>
      </w:r>
      <w:r>
        <w:rPr>
          <w:rFonts w:ascii="宋体" w:hAnsi="宋体"/>
          <w:color w:val="auto"/>
          <w:sz w:val="24"/>
          <w:highlight w:val="none"/>
        </w:rPr>
        <w:t>指向</w:t>
      </w:r>
      <w:r>
        <w:rPr>
          <w:rFonts w:hint="eastAsia" w:ascii="宋体" w:hAnsi="宋体"/>
          <w:color w:val="auto"/>
          <w:sz w:val="24"/>
          <w:highlight w:val="none"/>
        </w:rPr>
        <w:t>采购</w:t>
      </w:r>
      <w:r>
        <w:rPr>
          <w:rFonts w:hint="eastAsia" w:ascii="宋体" w:hAnsi="宋体"/>
          <w:color w:val="auto"/>
          <w:sz w:val="24"/>
          <w:highlight w:val="none"/>
          <w:lang w:val="zh-CN"/>
        </w:rPr>
        <w:t>组织</w:t>
      </w:r>
      <w:r>
        <w:rPr>
          <w:rFonts w:hint="eastAsia" w:ascii="宋体" w:hAnsi="宋体"/>
          <w:color w:val="auto"/>
          <w:sz w:val="24"/>
          <w:highlight w:val="none"/>
        </w:rPr>
        <w:t>机构</w:t>
      </w:r>
      <w:r>
        <w:rPr>
          <w:rFonts w:ascii="宋体" w:hAnsi="宋体"/>
          <w:color w:val="auto"/>
          <w:sz w:val="24"/>
          <w:highlight w:val="none"/>
        </w:rPr>
        <w:t>提交</w:t>
      </w:r>
      <w:r>
        <w:rPr>
          <w:rFonts w:hint="eastAsia" w:ascii="宋体" w:hAnsi="宋体"/>
          <w:color w:val="auto"/>
          <w:sz w:val="24"/>
          <w:highlight w:val="none"/>
        </w:rPr>
        <w:t>谈判响应</w:t>
      </w:r>
      <w:r>
        <w:rPr>
          <w:rFonts w:ascii="宋体" w:hAnsi="宋体"/>
          <w:color w:val="auto"/>
          <w:sz w:val="24"/>
          <w:highlight w:val="none"/>
        </w:rPr>
        <w:t>文件的单位或个人。</w:t>
      </w:r>
    </w:p>
    <w:p w14:paraId="0A50F175">
      <w:pPr>
        <w:snapToGrid w:val="0"/>
        <w:spacing w:line="360" w:lineRule="auto"/>
        <w:ind w:left="424" w:leftChars="202" w:firstLine="143"/>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货物</w:t>
      </w:r>
      <w:r>
        <w:rPr>
          <w:rFonts w:hint="eastAsia" w:ascii="宋体" w:hAnsi="宋体"/>
          <w:color w:val="auto"/>
          <w:sz w:val="24"/>
          <w:highlight w:val="none"/>
        </w:rPr>
        <w:t>：</w:t>
      </w:r>
      <w:r>
        <w:rPr>
          <w:rFonts w:ascii="宋体" w:hAnsi="宋体"/>
          <w:color w:val="auto"/>
          <w:sz w:val="24"/>
          <w:highlight w:val="none"/>
        </w:rPr>
        <w:t>是指各种形态和种类的物品，包括原材料、燃料、设备、产品等。</w:t>
      </w:r>
    </w:p>
    <w:p w14:paraId="65C1BFC5">
      <w:pPr>
        <w:snapToGrid w:val="0"/>
        <w:spacing w:line="360" w:lineRule="auto"/>
        <w:ind w:firstLine="566" w:firstLineChars="236"/>
        <w:jc w:val="left"/>
        <w:rPr>
          <w:rFonts w:ascii="宋体" w:hAnsi="宋体"/>
          <w:b/>
          <w:color w:val="auto"/>
          <w:sz w:val="24"/>
          <w:highlight w:val="none"/>
        </w:rPr>
      </w:pPr>
      <w:r>
        <w:rPr>
          <w:rFonts w:hint="eastAsia" w:ascii="宋体" w:hAnsi="宋体"/>
          <w:color w:val="auto"/>
          <w:sz w:val="24"/>
          <w:highlight w:val="none"/>
        </w:rPr>
        <w:t>5、</w:t>
      </w:r>
      <w:r>
        <w:rPr>
          <w:rFonts w:ascii="宋体" w:hAnsi="宋体"/>
          <w:color w:val="auto"/>
          <w:sz w:val="24"/>
          <w:highlight w:val="none"/>
        </w:rPr>
        <w:t>服务</w:t>
      </w:r>
      <w:r>
        <w:rPr>
          <w:rFonts w:hint="eastAsia" w:ascii="宋体" w:hAnsi="宋体"/>
          <w:color w:val="auto"/>
          <w:sz w:val="24"/>
          <w:highlight w:val="none"/>
        </w:rPr>
        <w:t>：</w:t>
      </w:r>
      <w:r>
        <w:rPr>
          <w:rFonts w:ascii="宋体" w:hAnsi="宋体"/>
          <w:color w:val="auto"/>
          <w:sz w:val="24"/>
          <w:highlight w:val="none"/>
        </w:rPr>
        <w:t>是指除货物和工程以外的政府采购对象，包括各类专业服务、信息网络开发服务、金融保险服务、运输服务，以及维修与维护服务等。</w:t>
      </w:r>
    </w:p>
    <w:p w14:paraId="580B6BDB">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“书面形式”包括信函、传真等。</w:t>
      </w:r>
    </w:p>
    <w:p w14:paraId="7A1F0365">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“▲”系指实质性要求条款。</w:t>
      </w:r>
    </w:p>
    <w:p w14:paraId="6878E6B8">
      <w:pPr>
        <w:pStyle w:val="9"/>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（三）谈判费用</w:t>
      </w:r>
    </w:p>
    <w:p w14:paraId="2A5CAED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1、不论谈判结果如何，供应商均应自行承担所有与谈判有关的全部费用（谈判文件有相关规定除外）。</w:t>
      </w:r>
    </w:p>
    <w:p w14:paraId="4F4EDB19">
      <w:pPr>
        <w:pStyle w:val="22"/>
        <w:spacing w:line="360" w:lineRule="auto"/>
        <w:ind w:firstLine="480" w:firstLineChars="200"/>
        <w:rPr>
          <w:rFonts w:hAnsi="宋体"/>
          <w:color w:val="auto"/>
          <w:sz w:val="24"/>
          <w:highlight w:val="none"/>
        </w:rPr>
      </w:pPr>
      <w:r>
        <w:rPr>
          <w:rFonts w:hint="eastAsia" w:hAnsi="宋体"/>
          <w:color w:val="auto"/>
          <w:sz w:val="24"/>
          <w:highlight w:val="none"/>
        </w:rPr>
        <w:t>2、</w:t>
      </w:r>
      <w:r>
        <w:rPr>
          <w:rFonts w:hint="eastAsia" w:hAnsi="宋体"/>
          <w:color w:val="auto"/>
          <w:sz w:val="24"/>
          <w:szCs w:val="24"/>
          <w:highlight w:val="none"/>
        </w:rPr>
        <w:t>本项目招标代理费共计</w:t>
      </w:r>
      <w:r>
        <w:rPr>
          <w:rFonts w:hint="eastAsia" w:hAnsi="宋体"/>
          <w:color w:val="auto"/>
          <w:sz w:val="24"/>
          <w:szCs w:val="24"/>
          <w:highlight w:val="none"/>
          <w:u w:val="single"/>
        </w:rPr>
        <w:t>6000</w:t>
      </w:r>
      <w:r>
        <w:rPr>
          <w:rFonts w:hint="eastAsia" w:hAnsi="宋体"/>
          <w:color w:val="auto"/>
          <w:sz w:val="24"/>
          <w:szCs w:val="24"/>
          <w:highlight w:val="none"/>
        </w:rPr>
        <w:t>元由中标单位支付， 在领取中标通知书之前付清。</w:t>
      </w:r>
    </w:p>
    <w:p w14:paraId="06F4E04C">
      <w:pPr>
        <w:pStyle w:val="9"/>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14:paraId="2F06331E">
      <w:pPr>
        <w:pStyle w:val="9"/>
        <w:snapToGrid w:val="0"/>
        <w:spacing w:line="360" w:lineRule="auto"/>
        <w:ind w:left="2" w:leftChars="1" w:firstLine="480" w:firstLineChars="200"/>
        <w:rPr>
          <w:rFonts w:hAnsi="宋体"/>
          <w:color w:val="auto"/>
          <w:sz w:val="24"/>
          <w:highlight w:val="none"/>
        </w:rPr>
      </w:pPr>
      <w:r>
        <w:rPr>
          <w:rFonts w:hint="eastAsia" w:hAnsi="宋体"/>
          <w:color w:val="auto"/>
          <w:sz w:val="24"/>
          <w:highlight w:val="none"/>
        </w:rPr>
        <w:t>1、</w:t>
      </w:r>
      <w:r>
        <w:rPr>
          <w:rFonts w:hint="eastAsia"/>
          <w:color w:val="auto"/>
          <w:kern w:val="0"/>
          <w:sz w:val="24"/>
          <w:highlight w:val="none"/>
        </w:rPr>
        <w:t>供应商</w:t>
      </w:r>
      <w:r>
        <w:rPr>
          <w:rFonts w:hint="eastAsia" w:hAnsi="宋体"/>
          <w:color w:val="auto"/>
          <w:sz w:val="24"/>
          <w:highlight w:val="none"/>
        </w:rPr>
        <w:t>谈判</w:t>
      </w:r>
      <w:r>
        <w:rPr>
          <w:rFonts w:hAnsi="宋体"/>
          <w:color w:val="auto"/>
          <w:sz w:val="24"/>
          <w:highlight w:val="none"/>
        </w:rPr>
        <w:t>所使用的资格、信誉、荣誉、业绩与企业认证必须为本法人所拥有。</w:t>
      </w:r>
      <w:r>
        <w:rPr>
          <w:rFonts w:hint="eastAsia"/>
          <w:color w:val="auto"/>
          <w:kern w:val="0"/>
          <w:sz w:val="24"/>
          <w:highlight w:val="none"/>
        </w:rPr>
        <w:t>供应商</w:t>
      </w:r>
      <w:r>
        <w:rPr>
          <w:rFonts w:hint="eastAsia" w:hAnsi="宋体"/>
          <w:color w:val="auto"/>
          <w:sz w:val="24"/>
          <w:highlight w:val="none"/>
        </w:rPr>
        <w:t>谈判</w:t>
      </w:r>
      <w:r>
        <w:rPr>
          <w:rFonts w:hAnsi="宋体"/>
          <w:color w:val="auto"/>
          <w:sz w:val="24"/>
          <w:highlight w:val="none"/>
        </w:rPr>
        <w:t>所使用的采购项目实施人员必须为本法人员工（</w:t>
      </w:r>
      <w:r>
        <w:rPr>
          <w:rFonts w:hint="eastAsia" w:hAnsi="宋体"/>
          <w:color w:val="auto"/>
          <w:sz w:val="24"/>
          <w:highlight w:val="none"/>
        </w:rPr>
        <w:t>指</w:t>
      </w:r>
      <w:r>
        <w:rPr>
          <w:rFonts w:hAnsi="宋体"/>
          <w:color w:val="auto"/>
          <w:sz w:val="24"/>
          <w:highlight w:val="none"/>
        </w:rPr>
        <w:t>必须为本法人或控股公司正式员工）。</w:t>
      </w:r>
    </w:p>
    <w:p w14:paraId="0FD29FE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w:t>
      </w:r>
      <w:r>
        <w:rPr>
          <w:rFonts w:hint="eastAsia" w:hAnsi="宋体"/>
          <w:color w:val="auto"/>
          <w:sz w:val="24"/>
          <w:highlight w:val="none"/>
        </w:rPr>
        <w:t>所标产品</w:t>
      </w:r>
      <w:r>
        <w:rPr>
          <w:rFonts w:hint="eastAsia" w:ascii="宋体" w:hAnsi="宋体"/>
          <w:color w:val="auto"/>
          <w:sz w:val="24"/>
          <w:highlight w:val="none"/>
        </w:rPr>
        <w:t>除谈判文件中明确规定要求“提供官网截图或相应检测报告的证明材料”以外，所有技术参数描述均以谈判文件为准。谈判供应商对所投产品技术参数的真实性承担法律责任。项目谈判结束后、质疑期限内，如有质疑供应商认为成交供应商所投产品、谈判文件技术参数与谈判需求存在重大偏离、错误、甚至造假的情况，应提供具体有效的证明材料。</w:t>
      </w:r>
    </w:p>
    <w:p w14:paraId="3BBB2719">
      <w:pPr>
        <w:pStyle w:val="23"/>
        <w:snapToGrid w:val="0"/>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color w:val="auto"/>
          <w:kern w:val="0"/>
          <w:sz w:val="24"/>
          <w:szCs w:val="24"/>
          <w:highlight w:val="none"/>
        </w:rPr>
        <w:t>供应商</w:t>
      </w:r>
      <w:r>
        <w:rPr>
          <w:rFonts w:ascii="宋体" w:hAnsi="宋体"/>
          <w:color w:val="auto"/>
          <w:sz w:val="24"/>
          <w:szCs w:val="24"/>
          <w:highlight w:val="none"/>
        </w:rPr>
        <w:t>在</w:t>
      </w:r>
      <w:r>
        <w:rPr>
          <w:rFonts w:hint="eastAsia" w:ascii="宋体" w:hAnsi="宋体"/>
          <w:color w:val="auto"/>
          <w:sz w:val="24"/>
          <w:szCs w:val="24"/>
          <w:highlight w:val="none"/>
        </w:rPr>
        <w:t>谈判</w:t>
      </w:r>
      <w:r>
        <w:rPr>
          <w:rFonts w:ascii="宋体" w:hAnsi="宋体"/>
          <w:color w:val="auto"/>
          <w:sz w:val="24"/>
          <w:szCs w:val="24"/>
          <w:highlight w:val="none"/>
        </w:rPr>
        <w:t>活动中提供任何虚假材料,其</w:t>
      </w:r>
      <w:r>
        <w:rPr>
          <w:rFonts w:hint="eastAsia" w:ascii="宋体" w:hAnsi="宋体"/>
          <w:color w:val="auto"/>
          <w:sz w:val="24"/>
          <w:szCs w:val="24"/>
          <w:highlight w:val="none"/>
        </w:rPr>
        <w:t>响应</w:t>
      </w:r>
      <w:r>
        <w:rPr>
          <w:rFonts w:ascii="宋体" w:hAnsi="宋体"/>
          <w:color w:val="auto"/>
          <w:sz w:val="24"/>
          <w:szCs w:val="24"/>
          <w:highlight w:val="none"/>
        </w:rPr>
        <w:t>无效，并报监管部门查处；成交后发现的,根据《中华人民共和国政府采购法》第七十七条第一款第一项之规定</w:t>
      </w:r>
      <w:r>
        <w:rPr>
          <w:rFonts w:hint="eastAsia" w:ascii="宋体" w:hAnsi="宋体"/>
          <w:color w:val="auto"/>
          <w:sz w:val="24"/>
          <w:szCs w:val="24"/>
          <w:highlight w:val="none"/>
        </w:rPr>
        <w:t>，</w:t>
      </w:r>
      <w:r>
        <w:rPr>
          <w:rFonts w:ascii="宋体" w:hAnsi="宋体"/>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olor w:val="auto"/>
          <w:sz w:val="24"/>
          <w:szCs w:val="24"/>
          <w:highlight w:val="none"/>
        </w:rPr>
        <w:t>。</w:t>
      </w:r>
    </w:p>
    <w:p w14:paraId="31807D73">
      <w:pPr>
        <w:pStyle w:val="5"/>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4、</w:t>
      </w:r>
      <w:r>
        <w:rPr>
          <w:rFonts w:hint="eastAsia" w:ascii="宋体"/>
          <w:b w:val="0"/>
          <w:bCs w:val="0"/>
          <w:color w:val="auto"/>
          <w:kern w:val="0"/>
          <w:sz w:val="24"/>
          <w:szCs w:val="24"/>
          <w:highlight w:val="none"/>
        </w:rPr>
        <w:t>供应商</w:t>
      </w:r>
      <w:r>
        <w:rPr>
          <w:rFonts w:hint="eastAsia" w:ascii="宋体" w:hAnsi="宋体"/>
          <w:b w:val="0"/>
          <w:bCs w:val="0"/>
          <w:color w:val="auto"/>
          <w:sz w:val="24"/>
          <w:szCs w:val="24"/>
          <w:highlight w:val="none"/>
        </w:rPr>
        <w:t>不得相互串通谈判报价，不得妨碍其他供应商的公平竞争，不得损害采购人或其他供应商的合法权益，供应商不得以向采购人、谈判小组成员行贿或者采取其他不正当手段谋取成交。</w:t>
      </w:r>
    </w:p>
    <w:p w14:paraId="6725F013">
      <w:pPr>
        <w:pStyle w:val="5"/>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5、为采购项目提供整体设计、规范编制或者项目管理、监理、检测等服务的供应商，不得再参加该采购项目的其他采购活动。</w:t>
      </w:r>
    </w:p>
    <w:p w14:paraId="67473BA7">
      <w:pPr>
        <w:pStyle w:val="5"/>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6、谈判响应文件格式中的表格式样可以根据项目差别做适当调整,但应当保持表格样式基本形态不变。</w:t>
      </w:r>
    </w:p>
    <w:p w14:paraId="7532ADA9">
      <w:pPr>
        <w:pStyle w:val="5"/>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7、单位负责人为同一人或者存在直接控股、管理关系的不同供应商，不得参加同一合同项下的政府采购活动。</w:t>
      </w:r>
    </w:p>
    <w:p w14:paraId="262A4C6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本项目不允许分包。（若本项目允许部分分包，则分包如下：供应商根据谈判文件的规定和采购项目的实际情况，拟在成交后将成交项目的非主体、非关键性工作分包的，应当在谈判响应文件中载明分包承担主体，分包承担主体应当具备相应资质条件且不得再次分包。）</w:t>
      </w:r>
    </w:p>
    <w:p w14:paraId="71DD9DB4">
      <w:pPr>
        <w:pStyle w:val="4"/>
        <w:jc w:val="center"/>
        <w:rPr>
          <w:color w:val="auto"/>
          <w:highlight w:val="none"/>
        </w:rPr>
      </w:pPr>
      <w:bookmarkStart w:id="10" w:name="_Toc40859288"/>
      <w:r>
        <w:rPr>
          <w:rFonts w:hint="eastAsia"/>
          <w:color w:val="auto"/>
          <w:highlight w:val="none"/>
        </w:rPr>
        <w:t>二、谈判响应文件</w:t>
      </w:r>
      <w:bookmarkEnd w:id="10"/>
    </w:p>
    <w:p w14:paraId="50F19B02">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（一）谈判响应文件的组成</w:t>
      </w:r>
    </w:p>
    <w:p w14:paraId="49FF3A9D">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color w:val="auto"/>
          <w:kern w:val="0"/>
          <w:sz w:val="24"/>
          <w:highlight w:val="none"/>
        </w:rPr>
        <w:t>供应商应仔细阅读谈判文件的所有内容，按谈判采购文件的要求，详细编制谈判响应文件</w:t>
      </w:r>
      <w:r>
        <w:rPr>
          <w:rFonts w:hAnsi="宋体"/>
          <w:color w:val="auto"/>
          <w:sz w:val="24"/>
          <w:highlight w:val="none"/>
        </w:rPr>
        <w:t>。</w:t>
      </w:r>
      <w:r>
        <w:rPr>
          <w:rFonts w:hint="eastAsia" w:ascii="宋体" w:hAnsi="宋体"/>
          <w:color w:val="auto"/>
          <w:kern w:val="0"/>
          <w:sz w:val="24"/>
          <w:highlight w:val="none"/>
          <w:lang w:val="zh-CN"/>
        </w:rPr>
        <w:t>【特别提示：如有要求提供资料原件的，原件另行包装，并与谈判响应文件一起提交，谈判响应截止时间后所有原件不予接收。资料原件也可以用与原件相符的公证原件替代】</w:t>
      </w:r>
    </w:p>
    <w:p w14:paraId="0A4FDB1E">
      <w:pPr>
        <w:autoSpaceDE w:val="0"/>
        <w:autoSpaceDN w:val="0"/>
        <w:adjustRightInd w:val="0"/>
        <w:snapToGrid w:val="0"/>
        <w:spacing w:line="430" w:lineRule="atLeast"/>
        <w:ind w:firstLine="482" w:firstLineChars="200"/>
        <w:rPr>
          <w:rFonts w:ascii="宋体"/>
          <w:b/>
          <w:bCs/>
          <w:color w:val="auto"/>
          <w:sz w:val="24"/>
          <w:highlight w:val="none"/>
          <w:lang w:val="zh-CN"/>
        </w:rPr>
      </w:pPr>
      <w:r>
        <w:rPr>
          <w:rFonts w:hint="eastAsia" w:ascii="宋体"/>
          <w:b/>
          <w:bCs/>
          <w:color w:val="auto"/>
          <w:sz w:val="24"/>
          <w:highlight w:val="none"/>
        </w:rPr>
        <w:t>（1）谈判文件由商务报价部分和技术资信部分二部分组成，须分别装订成册，分别密封。技术资信部分（含资信与服务）不得含报价，否则投标将被拒绝。</w:t>
      </w:r>
    </w:p>
    <w:p w14:paraId="3463540A">
      <w:pPr>
        <w:autoSpaceDE w:val="0"/>
        <w:autoSpaceDN w:val="0"/>
        <w:adjustRightInd w:val="0"/>
        <w:snapToGrid w:val="0"/>
        <w:spacing w:line="430" w:lineRule="atLeast"/>
        <w:ind w:firstLine="480" w:firstLineChars="200"/>
        <w:rPr>
          <w:rFonts w:ascii="宋体"/>
          <w:color w:val="auto"/>
          <w:sz w:val="24"/>
          <w:highlight w:val="none"/>
          <w:lang w:val="zh-CN"/>
        </w:rPr>
      </w:pPr>
      <w:r>
        <w:rPr>
          <w:rFonts w:hint="eastAsia" w:ascii="宋体"/>
          <w:color w:val="auto"/>
          <w:sz w:val="24"/>
          <w:highlight w:val="none"/>
          <w:lang w:val="zh-CN"/>
        </w:rPr>
        <w:t>2.1</w:t>
      </w:r>
      <w:r>
        <w:rPr>
          <w:rFonts w:hint="eastAsia" w:ascii="宋体"/>
          <w:color w:val="auto"/>
          <w:sz w:val="24"/>
          <w:highlight w:val="none"/>
        </w:rPr>
        <w:t>商务报价部分</w:t>
      </w:r>
      <w:r>
        <w:rPr>
          <w:rFonts w:hint="eastAsia" w:ascii="宋体"/>
          <w:color w:val="auto"/>
          <w:sz w:val="24"/>
          <w:highlight w:val="none"/>
          <w:lang w:val="zh-CN"/>
        </w:rPr>
        <w:t>组成</w:t>
      </w:r>
    </w:p>
    <w:p w14:paraId="660CE3EB">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1）开标一览表（附件二 ）；</w:t>
      </w:r>
    </w:p>
    <w:p w14:paraId="792873BA">
      <w:pPr>
        <w:autoSpaceDE w:val="0"/>
        <w:autoSpaceDN w:val="0"/>
        <w:adjustRightInd w:val="0"/>
        <w:snapToGri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2.2技术资信部分组成</w:t>
      </w:r>
    </w:p>
    <w:p w14:paraId="59E6B2D9">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1) 投标函（见附件一）；</w:t>
      </w:r>
    </w:p>
    <w:p w14:paraId="2EB62C9D">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2) 法定代表人授权书（见附件三）</w:t>
      </w:r>
      <w:r>
        <w:rPr>
          <w:rFonts w:hint="eastAsia" w:ascii="宋体"/>
          <w:b/>
          <w:bCs/>
          <w:color w:val="auto"/>
          <w:sz w:val="24"/>
          <w:highlight w:val="none"/>
        </w:rPr>
        <w:t>（以法人名义投标的需提供）</w:t>
      </w:r>
      <w:r>
        <w:rPr>
          <w:rFonts w:hint="eastAsia" w:ascii="宋体"/>
          <w:color w:val="auto"/>
          <w:sz w:val="24"/>
          <w:highlight w:val="none"/>
        </w:rPr>
        <w:t>；</w:t>
      </w:r>
    </w:p>
    <w:p w14:paraId="1EB3A10C">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3) 供应商</w:t>
      </w:r>
      <w:r>
        <w:rPr>
          <w:rFonts w:ascii="宋体"/>
          <w:color w:val="auto"/>
          <w:sz w:val="24"/>
          <w:highlight w:val="none"/>
        </w:rPr>
        <w:t>营业执照</w:t>
      </w:r>
      <w:r>
        <w:rPr>
          <w:rFonts w:hint="eastAsia" w:ascii="宋体"/>
          <w:color w:val="auto"/>
          <w:sz w:val="24"/>
          <w:highlight w:val="none"/>
        </w:rPr>
        <w:t>（复印件加盖有效公章）或经营人或所有权人身份证复印件；</w:t>
      </w:r>
    </w:p>
    <w:p w14:paraId="1AD9B1C2">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4) 《船舶国籍登记证书》、《渔业捕捞许可证或辅助船许可证》、《渔业船舶所有权登记证书》（经营人或所有权人与投标人一致）和《渔业船舶检验证书》（检验在有效期内）（复印件）；</w:t>
      </w:r>
    </w:p>
    <w:p w14:paraId="3464ACFB">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5) 供应商其他相关资质证书、资信证书等（复印件 ，如有则提供）；</w:t>
      </w:r>
    </w:p>
    <w:p w14:paraId="6CF24D92">
      <w:pPr>
        <w:autoSpaceDE w:val="0"/>
        <w:autoSpaceDN w:val="0"/>
        <w:adjustRightInd w:val="0"/>
        <w:spacing w:line="430" w:lineRule="atLeast"/>
        <w:ind w:firstLine="480" w:firstLineChars="200"/>
        <w:textAlignment w:val="bottom"/>
        <w:rPr>
          <w:color w:val="auto"/>
          <w:sz w:val="24"/>
          <w:highlight w:val="none"/>
        </w:rPr>
      </w:pPr>
      <w:r>
        <w:rPr>
          <w:rFonts w:hint="eastAsia" w:ascii="宋体"/>
          <w:color w:val="auto"/>
          <w:sz w:val="24"/>
          <w:highlight w:val="none"/>
        </w:rPr>
        <w:t xml:space="preserve">6) </w:t>
      </w:r>
      <w:r>
        <w:rPr>
          <w:rFonts w:hint="eastAsia"/>
          <w:color w:val="auto"/>
          <w:sz w:val="24"/>
          <w:highlight w:val="none"/>
        </w:rPr>
        <w:t>供应商租赁的护渔船情况；</w:t>
      </w:r>
    </w:p>
    <w:p w14:paraId="0DA04DBA">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7) 拟派本项目职务船员情况（见附件四）；</w:t>
      </w:r>
    </w:p>
    <w:p w14:paraId="4B1FC56F">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8) 供应商所投护渔船上配备的设备、器材和工具情况（见附件五）；</w:t>
      </w:r>
    </w:p>
    <w:p w14:paraId="2515DE9A">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9) 根据招标文件中的采购内容与技术要求，需要提供的其它文件和资料；</w:t>
      </w:r>
    </w:p>
    <w:p w14:paraId="1707674F">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10）供应商认为需要提供的文件和资料。</w:t>
      </w:r>
    </w:p>
    <w:p w14:paraId="4D1C5953">
      <w:pPr>
        <w:autoSpaceDE w:val="0"/>
        <w:autoSpaceDN w:val="0"/>
        <w:adjustRightInd w:val="0"/>
        <w:spacing w:line="360" w:lineRule="auto"/>
        <w:rPr>
          <w:rFonts w:ascii="宋体" w:hAnsi="宋体"/>
          <w:color w:val="auto"/>
          <w:kern w:val="0"/>
          <w:sz w:val="24"/>
          <w:highlight w:val="none"/>
        </w:rPr>
      </w:pPr>
      <w:r>
        <w:rPr>
          <w:rFonts w:hint="eastAsia" w:ascii="宋体" w:hAnsi="宋体"/>
          <w:color w:val="auto"/>
          <w:kern w:val="0"/>
          <w:sz w:val="24"/>
          <w:highlight w:val="none"/>
        </w:rPr>
        <w:t>（2）此报价为供应商针对本项目报出的唯一的首次报价，包含其它一切所要涉及到的费用，有选择的报价将被拒绝。</w:t>
      </w:r>
    </w:p>
    <w:p w14:paraId="6271B277">
      <w:pPr>
        <w:snapToGrid w:val="0"/>
        <w:spacing w:line="360" w:lineRule="auto"/>
        <w:rPr>
          <w:rFonts w:ascii="宋体" w:hAnsi="宋体"/>
          <w:color w:val="auto"/>
          <w:kern w:val="0"/>
          <w:sz w:val="24"/>
          <w:highlight w:val="none"/>
          <w:lang w:val="zh-CN"/>
        </w:rPr>
      </w:pPr>
      <w:r>
        <w:rPr>
          <w:rFonts w:hint="eastAsia" w:ascii="宋体" w:hAnsi="宋体"/>
          <w:color w:val="auto"/>
          <w:kern w:val="0"/>
          <w:sz w:val="24"/>
          <w:highlight w:val="none"/>
          <w:lang w:val="zh-CN"/>
        </w:rPr>
        <w:t>（</w:t>
      </w:r>
      <w:r>
        <w:rPr>
          <w:rFonts w:hint="eastAsia" w:ascii="宋体" w:hAnsi="宋体"/>
          <w:color w:val="auto"/>
          <w:kern w:val="0"/>
          <w:sz w:val="24"/>
          <w:highlight w:val="none"/>
        </w:rPr>
        <w:t>3</w:t>
      </w:r>
      <w:r>
        <w:rPr>
          <w:rFonts w:hint="eastAsia" w:ascii="宋体" w:hAnsi="宋体"/>
          <w:color w:val="auto"/>
          <w:kern w:val="0"/>
          <w:sz w:val="24"/>
          <w:highlight w:val="none"/>
          <w:lang w:val="zh-CN"/>
        </w:rPr>
        <w:t>）总报价应当包括运输费用（燃油费用、损耗费、运输工具保险及维修保养等）、人工费、专用工具、包装、装卸、保险、税金等合同包含的所有风险责任等各项费用及不可预见费等所需的全部费用。</w:t>
      </w:r>
    </w:p>
    <w:p w14:paraId="04B66DED">
      <w:pPr>
        <w:snapToGrid w:val="0"/>
        <w:spacing w:line="360" w:lineRule="auto"/>
        <w:rPr>
          <w:rFonts w:ascii="宋体" w:hAnsi="宋体"/>
          <w:color w:val="auto"/>
          <w:kern w:val="0"/>
          <w:sz w:val="24"/>
          <w:highlight w:val="none"/>
          <w:lang w:val="zh-CN"/>
        </w:rPr>
      </w:pPr>
      <w:r>
        <w:rPr>
          <w:rFonts w:hint="eastAsia" w:ascii="宋体" w:hAnsi="宋体"/>
          <w:color w:val="auto"/>
          <w:kern w:val="0"/>
          <w:sz w:val="24"/>
          <w:highlight w:val="none"/>
          <w:lang w:val="zh-CN"/>
        </w:rPr>
        <w:t>（</w:t>
      </w:r>
      <w:r>
        <w:rPr>
          <w:rFonts w:hint="eastAsia" w:ascii="宋体" w:hAnsi="宋体"/>
          <w:color w:val="auto"/>
          <w:kern w:val="0"/>
          <w:sz w:val="24"/>
          <w:highlight w:val="none"/>
        </w:rPr>
        <w:t>4</w:t>
      </w:r>
      <w:r>
        <w:rPr>
          <w:rFonts w:hint="eastAsia" w:ascii="宋体" w:hAnsi="宋体"/>
          <w:color w:val="auto"/>
          <w:kern w:val="0"/>
          <w:sz w:val="24"/>
          <w:highlight w:val="none"/>
          <w:lang w:val="zh-CN"/>
        </w:rPr>
        <w:t>）</w:t>
      </w:r>
      <w:r>
        <w:rPr>
          <w:rFonts w:hint="eastAsia" w:ascii="宋体" w:hAnsi="宋体"/>
          <w:color w:val="auto"/>
          <w:kern w:val="0"/>
          <w:sz w:val="24"/>
          <w:highlight w:val="none"/>
        </w:rPr>
        <w:t>政府采购优惠政策相关资料、产品适用政府采购政策情况表（如有）。</w:t>
      </w:r>
    </w:p>
    <w:p w14:paraId="2117D7E9">
      <w:pPr>
        <w:autoSpaceDE w:val="0"/>
        <w:autoSpaceDN w:val="0"/>
        <w:adjustRightInd w:val="0"/>
        <w:spacing w:line="360" w:lineRule="auto"/>
        <w:rPr>
          <w:rFonts w:ascii="宋体" w:hAnsi="宋体"/>
          <w:color w:val="auto"/>
          <w:kern w:val="0"/>
          <w:sz w:val="24"/>
          <w:highlight w:val="none"/>
        </w:rPr>
      </w:pPr>
      <w:r>
        <w:rPr>
          <w:rFonts w:hint="eastAsia" w:ascii="宋体" w:hAnsi="宋体"/>
          <w:color w:val="auto"/>
          <w:kern w:val="0"/>
          <w:sz w:val="24"/>
          <w:highlight w:val="none"/>
        </w:rPr>
        <w:t>（5）相关报价单需打印或用不退色的墨水填写， 谈判报价单不得涂改和增删，如有错漏必须修改，修改处须由同一签署人签字或盖章。由于字迹模糊或表达不清引起的后果由供应商负责。</w:t>
      </w:r>
    </w:p>
    <w:p w14:paraId="7ECD17E1">
      <w:pPr>
        <w:autoSpaceDE w:val="0"/>
        <w:autoSpaceDN w:val="0"/>
        <w:adjustRightInd w:val="0"/>
        <w:spacing w:line="360" w:lineRule="auto"/>
        <w:rPr>
          <w:rFonts w:ascii="宋体" w:hAnsi="宋体"/>
          <w:b/>
          <w:bCs/>
          <w:color w:val="auto"/>
          <w:kern w:val="0"/>
          <w:sz w:val="24"/>
          <w:highlight w:val="none"/>
        </w:rPr>
      </w:pPr>
      <w:r>
        <w:rPr>
          <w:rFonts w:hint="eastAsia" w:ascii="宋体" w:hAnsi="宋体"/>
          <w:color w:val="auto"/>
          <w:sz w:val="24"/>
          <w:highlight w:val="none"/>
        </w:rPr>
        <w:t>（</w:t>
      </w:r>
      <w:r>
        <w:rPr>
          <w:rFonts w:hint="eastAsia" w:ascii="宋体" w:hAnsi="宋体"/>
          <w:color w:val="auto"/>
          <w:kern w:val="0"/>
          <w:sz w:val="24"/>
          <w:highlight w:val="none"/>
        </w:rPr>
        <w:t>6</w:t>
      </w:r>
      <w:r>
        <w:rPr>
          <w:rFonts w:hint="eastAsia" w:ascii="宋体" w:hAnsi="宋体"/>
          <w:color w:val="auto"/>
          <w:sz w:val="24"/>
          <w:highlight w:val="none"/>
        </w:rPr>
        <w:t>）</w:t>
      </w:r>
      <w:r>
        <w:rPr>
          <w:rFonts w:ascii="宋体" w:hAnsi="宋体"/>
          <w:color w:val="auto"/>
          <w:sz w:val="24"/>
          <w:highlight w:val="none"/>
        </w:rPr>
        <w:t>报价</w:t>
      </w:r>
      <w:r>
        <w:rPr>
          <w:rFonts w:hint="eastAsia" w:ascii="宋体" w:hAnsi="宋体"/>
          <w:color w:val="auto"/>
          <w:sz w:val="24"/>
          <w:highlight w:val="none"/>
        </w:rPr>
        <w:t>有关表格</w:t>
      </w:r>
      <w:r>
        <w:rPr>
          <w:rFonts w:ascii="宋体" w:hAnsi="宋体"/>
          <w:color w:val="auto"/>
          <w:sz w:val="24"/>
          <w:highlight w:val="none"/>
        </w:rPr>
        <w:t>应按</w:t>
      </w:r>
      <w:r>
        <w:rPr>
          <w:rFonts w:hint="eastAsia" w:ascii="宋体" w:hAnsi="宋体"/>
          <w:color w:val="auto"/>
          <w:sz w:val="24"/>
          <w:highlight w:val="none"/>
        </w:rPr>
        <w:t>谈判采购</w:t>
      </w:r>
      <w:r>
        <w:rPr>
          <w:rFonts w:ascii="宋体" w:hAnsi="宋体"/>
          <w:color w:val="auto"/>
          <w:sz w:val="24"/>
          <w:highlight w:val="none"/>
        </w:rPr>
        <w:t>文件中相关附表格式填写。</w:t>
      </w:r>
    </w:p>
    <w:p w14:paraId="42445CD5">
      <w:pPr>
        <w:numPr>
          <w:ilvl w:val="0"/>
          <w:numId w:val="2"/>
        </w:numPr>
        <w:rPr>
          <w:rFonts w:ascii="宋体" w:hAnsi="宋体"/>
          <w:b/>
          <w:bCs/>
          <w:color w:val="auto"/>
          <w:kern w:val="0"/>
          <w:sz w:val="24"/>
          <w:highlight w:val="none"/>
        </w:rPr>
      </w:pPr>
      <w:r>
        <w:rPr>
          <w:rFonts w:hint="eastAsia" w:ascii="宋体" w:hAnsi="宋体"/>
          <w:b/>
          <w:bCs/>
          <w:color w:val="auto"/>
          <w:kern w:val="0"/>
          <w:sz w:val="24"/>
          <w:highlight w:val="none"/>
        </w:rPr>
        <w:t>谈判响应文件的制作、封装及递交要求</w:t>
      </w:r>
    </w:p>
    <w:p w14:paraId="34436A33">
      <w:pPr>
        <w:autoSpaceDE w:val="0"/>
        <w:autoSpaceDN w:val="0"/>
        <w:adjustRightIn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kern w:val="0"/>
          <w:sz w:val="24"/>
          <w:highlight w:val="none"/>
        </w:rPr>
        <w:t>谈判响应</w:t>
      </w:r>
      <w:r>
        <w:rPr>
          <w:rFonts w:hint="eastAsia" w:ascii="宋体" w:hAnsi="宋体"/>
          <w:b/>
          <w:bCs/>
          <w:color w:val="auto"/>
          <w:sz w:val="24"/>
          <w:highlight w:val="none"/>
        </w:rPr>
        <w:t>文件的制作要求</w:t>
      </w:r>
    </w:p>
    <w:p w14:paraId="39A81760">
      <w:pPr>
        <w:autoSpaceDE w:val="0"/>
        <w:autoSpaceDN w:val="0"/>
        <w:adjustRightInd w:val="0"/>
        <w:spacing w:line="360" w:lineRule="auto"/>
        <w:ind w:firstLine="480"/>
        <w:rPr>
          <w:rFonts w:ascii="宋体" w:hAnsi="宋体"/>
          <w:color w:val="auto"/>
          <w:kern w:val="0"/>
          <w:sz w:val="24"/>
          <w:highlight w:val="none"/>
        </w:rPr>
      </w:pPr>
      <w:r>
        <w:rPr>
          <w:rFonts w:hint="eastAsia" w:ascii="宋体" w:hAnsi="宋体"/>
          <w:color w:val="auto"/>
          <w:sz w:val="24"/>
          <w:highlight w:val="none"/>
        </w:rPr>
        <w:t>（1）谈判人应按照谈判文件组成内容及项目采购需求制作谈判响应文件，</w:t>
      </w:r>
      <w:r>
        <w:rPr>
          <w:rFonts w:hint="eastAsia" w:ascii="宋体" w:hAnsi="宋体"/>
          <w:color w:val="auto"/>
          <w:kern w:val="0"/>
          <w:sz w:val="24"/>
          <w:highlight w:val="none"/>
        </w:rPr>
        <w:t>不按谈判采购文件要求制作谈判响应文件的将视情处理（拒收、扣分等），由此产生的责任由谈判人自行承担。</w:t>
      </w:r>
    </w:p>
    <w:p w14:paraId="35FA6A3B">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sz w:val="24"/>
          <w:highlight w:val="none"/>
        </w:rPr>
        <w:t>（2）谈判人应对所提供的全部资料的真实性承担法律责任，谈判响应</w:t>
      </w:r>
      <w:r>
        <w:rPr>
          <w:rFonts w:hint="eastAsia" w:ascii="宋体" w:hAnsi="宋体"/>
          <w:color w:val="auto"/>
          <w:kern w:val="0"/>
          <w:sz w:val="24"/>
          <w:highlight w:val="none"/>
          <w:lang w:val="zh-CN"/>
        </w:rPr>
        <w:t>文件内容中有要求盖章或签字的地方必须加盖谈判人的公章以及法定代表人或全权代表的盖章或签字。</w:t>
      </w:r>
    </w:p>
    <w:p w14:paraId="42D7607F">
      <w:pPr>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w:t>
      </w:r>
      <w:r>
        <w:rPr>
          <w:rFonts w:hint="eastAsia" w:ascii="宋体" w:hAnsi="宋体"/>
          <w:color w:val="auto"/>
          <w:kern w:val="0"/>
          <w:sz w:val="24"/>
          <w:highlight w:val="none"/>
        </w:rPr>
        <w:t>3</w:t>
      </w:r>
      <w:r>
        <w:rPr>
          <w:rFonts w:hint="eastAsia" w:ascii="宋体" w:hAnsi="宋体"/>
          <w:color w:val="auto"/>
          <w:kern w:val="0"/>
          <w:sz w:val="24"/>
          <w:highlight w:val="none"/>
          <w:lang w:val="zh-CN"/>
        </w:rPr>
        <w:t>）谈判响应</w:t>
      </w:r>
      <w:r>
        <w:rPr>
          <w:rFonts w:ascii="宋体" w:hAnsi="宋体"/>
          <w:color w:val="auto"/>
          <w:sz w:val="24"/>
          <w:highlight w:val="none"/>
        </w:rPr>
        <w:t>文件以及</w:t>
      </w:r>
      <w:r>
        <w:rPr>
          <w:rFonts w:hint="eastAsia" w:ascii="宋体" w:hAnsi="宋体"/>
          <w:color w:val="auto"/>
          <w:sz w:val="24"/>
          <w:highlight w:val="none"/>
        </w:rPr>
        <w:t>谈判供应商</w:t>
      </w:r>
      <w:r>
        <w:rPr>
          <w:rFonts w:ascii="宋体" w:hAnsi="宋体"/>
          <w:color w:val="auto"/>
          <w:sz w:val="24"/>
          <w:highlight w:val="none"/>
        </w:rPr>
        <w:t>与</w:t>
      </w:r>
      <w:r>
        <w:rPr>
          <w:rFonts w:hint="eastAsia" w:ascii="宋体" w:hAnsi="宋体"/>
          <w:color w:val="auto"/>
          <w:sz w:val="24"/>
          <w:highlight w:val="none"/>
        </w:rPr>
        <w:t>采购组织机构</w:t>
      </w:r>
      <w:r>
        <w:rPr>
          <w:rFonts w:ascii="宋体" w:hAnsi="宋体"/>
          <w:color w:val="auto"/>
          <w:sz w:val="24"/>
          <w:highlight w:val="none"/>
        </w:rPr>
        <w:t>就有关</w:t>
      </w:r>
      <w:r>
        <w:rPr>
          <w:rFonts w:hint="eastAsia" w:ascii="宋体" w:hAnsi="宋体"/>
          <w:color w:val="auto"/>
          <w:sz w:val="24"/>
          <w:highlight w:val="none"/>
        </w:rPr>
        <w:t>谈判响应</w:t>
      </w:r>
      <w:r>
        <w:rPr>
          <w:rFonts w:ascii="宋体" w:hAnsi="宋体"/>
          <w:color w:val="auto"/>
          <w:sz w:val="24"/>
          <w:highlight w:val="none"/>
        </w:rPr>
        <w:t>事宜的所有来往函电，均应以中文汉语书写。除</w:t>
      </w:r>
      <w:r>
        <w:rPr>
          <w:rFonts w:hint="eastAsia" w:ascii="宋体" w:hAnsi="宋体"/>
          <w:color w:val="auto"/>
          <w:sz w:val="24"/>
          <w:highlight w:val="none"/>
        </w:rPr>
        <w:t>签字</w:t>
      </w:r>
      <w:r>
        <w:rPr>
          <w:rFonts w:ascii="宋体" w:hAnsi="宋体"/>
          <w:color w:val="auto"/>
          <w:sz w:val="24"/>
          <w:highlight w:val="none"/>
        </w:rPr>
        <w:t>、盖章、专用名称等特殊情形外，以中文汉语以外的文字表述的谈判响应文件视同未提供。</w:t>
      </w:r>
    </w:p>
    <w:p w14:paraId="54E3A8B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（4）谈判</w:t>
      </w:r>
      <w:r>
        <w:rPr>
          <w:rFonts w:ascii="宋体" w:hAnsi="宋体"/>
          <w:color w:val="auto"/>
          <w:sz w:val="24"/>
          <w:highlight w:val="none"/>
        </w:rPr>
        <w:t>计量单位，</w:t>
      </w:r>
      <w:r>
        <w:rPr>
          <w:rFonts w:hint="eastAsia" w:ascii="宋体" w:hAnsi="宋体"/>
          <w:color w:val="auto"/>
          <w:sz w:val="24"/>
          <w:highlight w:val="none"/>
        </w:rPr>
        <w:t>谈判</w:t>
      </w:r>
      <w:r>
        <w:rPr>
          <w:rFonts w:ascii="宋体" w:hAnsi="宋体"/>
          <w:color w:val="auto"/>
          <w:sz w:val="24"/>
          <w:highlight w:val="none"/>
        </w:rPr>
        <w:t>文件已有明确规定的，使用</w:t>
      </w:r>
      <w:r>
        <w:rPr>
          <w:rFonts w:hint="eastAsia" w:ascii="宋体" w:hAnsi="宋体"/>
          <w:color w:val="auto"/>
          <w:sz w:val="24"/>
          <w:highlight w:val="none"/>
        </w:rPr>
        <w:t>谈判</w:t>
      </w:r>
      <w:r>
        <w:rPr>
          <w:rFonts w:ascii="宋体" w:hAnsi="宋体"/>
          <w:color w:val="auto"/>
          <w:sz w:val="24"/>
          <w:highlight w:val="none"/>
        </w:rPr>
        <w:t>文件规定的计量单位；</w:t>
      </w:r>
      <w:r>
        <w:rPr>
          <w:rFonts w:hint="eastAsia" w:ascii="宋体" w:hAnsi="宋体"/>
          <w:color w:val="auto"/>
          <w:sz w:val="24"/>
          <w:highlight w:val="none"/>
        </w:rPr>
        <w:t>谈判</w:t>
      </w:r>
      <w:r>
        <w:rPr>
          <w:rFonts w:ascii="宋体" w:hAnsi="宋体"/>
          <w:color w:val="auto"/>
          <w:sz w:val="24"/>
          <w:highlight w:val="none"/>
        </w:rPr>
        <w:t>文件没有规定的，应采用中华人民共和国法定计量单位（货币单位：人民币元）。</w:t>
      </w:r>
    </w:p>
    <w:p w14:paraId="4A123E00">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若</w:t>
      </w:r>
      <w:r>
        <w:rPr>
          <w:rFonts w:hint="eastAsia" w:ascii="宋体" w:hAnsi="宋体"/>
          <w:color w:val="auto"/>
          <w:sz w:val="24"/>
          <w:highlight w:val="none"/>
        </w:rPr>
        <w:t>供应商</w:t>
      </w:r>
      <w:r>
        <w:rPr>
          <w:rFonts w:ascii="宋体" w:hAnsi="宋体"/>
          <w:color w:val="auto"/>
          <w:sz w:val="24"/>
          <w:highlight w:val="none"/>
        </w:rPr>
        <w:t>不按</w:t>
      </w:r>
      <w:r>
        <w:rPr>
          <w:rFonts w:hint="eastAsia" w:ascii="宋体" w:hAnsi="宋体"/>
          <w:color w:val="auto"/>
          <w:sz w:val="24"/>
          <w:highlight w:val="none"/>
        </w:rPr>
        <w:t>谈判</w:t>
      </w:r>
      <w:r>
        <w:rPr>
          <w:rFonts w:ascii="宋体" w:hAnsi="宋体"/>
          <w:color w:val="auto"/>
          <w:sz w:val="24"/>
          <w:highlight w:val="none"/>
        </w:rPr>
        <w:t>文件的要求提供资格审查材料，其风险由</w:t>
      </w:r>
      <w:r>
        <w:rPr>
          <w:rFonts w:hint="eastAsia" w:ascii="宋体" w:hAnsi="宋体"/>
          <w:color w:val="auto"/>
          <w:sz w:val="24"/>
          <w:highlight w:val="none"/>
        </w:rPr>
        <w:t>供应商</w:t>
      </w:r>
      <w:r>
        <w:rPr>
          <w:rFonts w:ascii="宋体" w:hAnsi="宋体"/>
          <w:color w:val="auto"/>
          <w:sz w:val="24"/>
          <w:highlight w:val="none"/>
        </w:rPr>
        <w:t>自行承担。</w:t>
      </w:r>
    </w:p>
    <w:p w14:paraId="3CDDC9CE">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（6）</w:t>
      </w:r>
      <w:r>
        <w:rPr>
          <w:rFonts w:hint="eastAsia" w:ascii="宋体" w:hAnsi="宋体"/>
          <w:color w:val="auto"/>
          <w:sz w:val="24"/>
          <w:highlight w:val="none"/>
        </w:rPr>
        <w:t>与本次谈判无关的内容请不要制作在内，确保谈判文件有针对性、简洁明了，同时节约纸张；谈判响应文件建议以A4纸大小双面打印并装订。</w:t>
      </w:r>
    </w:p>
    <w:p w14:paraId="33C10B7E">
      <w:pPr>
        <w:autoSpaceDE w:val="0"/>
        <w:autoSpaceDN w:val="0"/>
        <w:adjustRightIn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2、谈判响应文件的封装要求</w:t>
      </w:r>
    </w:p>
    <w:p w14:paraId="7FAC5EB0">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（1）谈判响应文件份数：谈判响应文件共3</w:t>
      </w:r>
      <w:r>
        <w:rPr>
          <w:rFonts w:hint="eastAsia" w:ascii="宋体" w:hAnsi="宋体"/>
          <w:bCs/>
          <w:color w:val="auto"/>
          <w:sz w:val="24"/>
          <w:highlight w:val="none"/>
          <w:lang w:val="zh-CN"/>
        </w:rPr>
        <w:t>份</w:t>
      </w:r>
      <w:r>
        <w:rPr>
          <w:rFonts w:hint="eastAsia" w:ascii="宋体"/>
          <w:bCs/>
          <w:color w:val="auto"/>
          <w:sz w:val="24"/>
          <w:highlight w:val="none"/>
          <w:lang w:val="zh-CN"/>
        </w:rPr>
        <w:t>（正本副本</w:t>
      </w:r>
      <w:r>
        <w:rPr>
          <w:rFonts w:hint="eastAsia" w:ascii="宋体" w:hAnsi="宋体"/>
          <w:color w:val="auto"/>
          <w:kern w:val="0"/>
          <w:sz w:val="24"/>
          <w:highlight w:val="none"/>
        </w:rPr>
        <w:t>，封装成一袋）。谈判响应文件的正本封面必须注明“正本”字样，副本可以采用正本的复印件。如有不同标段，请按标段号分别装订，密封要求同上。</w:t>
      </w:r>
    </w:p>
    <w:p w14:paraId="65C7A9EE">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kern w:val="0"/>
          <w:sz w:val="24"/>
          <w:highlight w:val="none"/>
        </w:rPr>
        <w:t>（2）所有谈判响应资料按谈判</w:t>
      </w:r>
      <w:r>
        <w:rPr>
          <w:rFonts w:hint="eastAsia" w:ascii="宋体" w:hAnsi="宋体"/>
          <w:color w:val="auto"/>
          <w:sz w:val="24"/>
          <w:highlight w:val="none"/>
        </w:rPr>
        <w:t>采购文件</w:t>
      </w:r>
      <w:r>
        <w:rPr>
          <w:rFonts w:hint="eastAsia" w:ascii="宋体" w:hAnsi="宋体"/>
          <w:color w:val="auto"/>
          <w:kern w:val="0"/>
          <w:sz w:val="24"/>
          <w:highlight w:val="none"/>
        </w:rPr>
        <w:t>的组成所列</w:t>
      </w:r>
      <w:r>
        <w:rPr>
          <w:rFonts w:hint="eastAsia" w:ascii="宋体" w:hAnsi="宋体"/>
          <w:color w:val="auto"/>
          <w:sz w:val="24"/>
          <w:highlight w:val="none"/>
        </w:rPr>
        <w:t>内容及顺序装订成册，</w:t>
      </w:r>
      <w:r>
        <w:rPr>
          <w:rFonts w:hint="eastAsia" w:ascii="宋体" w:hAnsi="宋体"/>
          <w:color w:val="auto"/>
          <w:sz w:val="24"/>
          <w:highlight w:val="none"/>
          <w:lang w:val="zh-CN"/>
        </w:rPr>
        <w:t>并逐页连续标注页码。因谈判响应文件内容不完整、编排混乱导致谈判响应文件被误读、漏读或者查找不到相关内容的责任由</w:t>
      </w:r>
      <w:r>
        <w:rPr>
          <w:rFonts w:hint="eastAsia" w:ascii="宋体" w:hAnsi="宋体"/>
          <w:color w:val="auto"/>
          <w:sz w:val="24"/>
          <w:highlight w:val="none"/>
        </w:rPr>
        <w:t>供应商</w:t>
      </w:r>
      <w:r>
        <w:rPr>
          <w:rFonts w:hint="eastAsia" w:ascii="宋体" w:hAnsi="宋体"/>
          <w:color w:val="auto"/>
          <w:sz w:val="24"/>
          <w:highlight w:val="none"/>
          <w:lang w:val="zh-CN"/>
        </w:rPr>
        <w:t>自行承担。</w:t>
      </w:r>
    </w:p>
    <w:p w14:paraId="42274E18">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（3）请在密封袋的封口处应有谈判单位公章或谈判全权代表签字。封皮上写明项目编号、标段、谈判响应项目名称、</w:t>
      </w:r>
      <w:r>
        <w:rPr>
          <w:rFonts w:hint="eastAsia" w:ascii="宋体" w:hAnsi="宋体"/>
          <w:color w:val="auto"/>
          <w:sz w:val="24"/>
          <w:highlight w:val="none"/>
        </w:rPr>
        <w:t>供应商</w:t>
      </w:r>
      <w:r>
        <w:rPr>
          <w:rFonts w:hint="eastAsia" w:ascii="宋体" w:hAnsi="宋体"/>
          <w:color w:val="auto"/>
          <w:kern w:val="0"/>
          <w:sz w:val="24"/>
          <w:highlight w:val="none"/>
        </w:rPr>
        <w:t>名称，并注明“谈判响应文件名称”、“谈判时启封”字样，未按上述要求密封及加写标记，采购组织机构对谈判响应文件的误投和提前启封不负责任。</w:t>
      </w:r>
    </w:p>
    <w:p w14:paraId="444F6F34">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（4）项目如分标段，各标段谈判响应文件必须分开编制，并按上述份数要求单独密封包装。</w:t>
      </w:r>
    </w:p>
    <w:p w14:paraId="19A7F663">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rPr>
        <w:t>（5）</w:t>
      </w:r>
      <w:r>
        <w:rPr>
          <w:rFonts w:hint="eastAsia" w:ascii="宋体" w:hAnsi="宋体"/>
          <w:color w:val="auto"/>
          <w:kern w:val="0"/>
          <w:sz w:val="24"/>
          <w:highlight w:val="none"/>
          <w:lang w:val="zh-CN"/>
        </w:rPr>
        <w:t>因密封不严、标记不明而造成失密、拒收、过早启封等情况，</w:t>
      </w:r>
      <w:r>
        <w:rPr>
          <w:rFonts w:hint="eastAsia" w:ascii="宋体" w:hAnsi="宋体"/>
          <w:color w:val="auto"/>
          <w:sz w:val="24"/>
          <w:highlight w:val="none"/>
        </w:rPr>
        <w:t>采购文件</w:t>
      </w:r>
      <w:r>
        <w:rPr>
          <w:rFonts w:hint="eastAsia" w:ascii="宋体" w:hAnsi="宋体"/>
          <w:color w:val="auto"/>
          <w:kern w:val="0"/>
          <w:sz w:val="24"/>
          <w:highlight w:val="none"/>
          <w:lang w:val="zh-CN"/>
        </w:rPr>
        <w:t>概不负责。</w:t>
      </w:r>
    </w:p>
    <w:p w14:paraId="4DDD3AD8">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3、</w:t>
      </w:r>
      <w:r>
        <w:rPr>
          <w:rFonts w:hint="eastAsia" w:ascii="宋体" w:hAnsi="宋体"/>
          <w:color w:val="auto"/>
          <w:sz w:val="24"/>
          <w:highlight w:val="none"/>
        </w:rPr>
        <w:t>谈判响应文件的递交要求</w:t>
      </w:r>
    </w:p>
    <w:p w14:paraId="2554C5D7">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sz w:val="24"/>
          <w:highlight w:val="none"/>
        </w:rPr>
        <w:t>谈判响应</w:t>
      </w:r>
      <w:r>
        <w:rPr>
          <w:rFonts w:hint="eastAsia" w:ascii="宋体" w:hAnsi="宋体"/>
          <w:color w:val="auto"/>
          <w:kern w:val="0"/>
          <w:sz w:val="24"/>
          <w:highlight w:val="none"/>
        </w:rPr>
        <w:t>文件必须在规定时间前派人送达指定的谈判地点。</w:t>
      </w:r>
      <w:r>
        <w:rPr>
          <w:rFonts w:hint="eastAsia" w:ascii="宋体" w:hAnsi="宋体"/>
          <w:color w:val="auto"/>
          <w:sz w:val="24"/>
          <w:highlight w:val="none"/>
        </w:rPr>
        <w:t>谈判响应</w:t>
      </w:r>
      <w:r>
        <w:rPr>
          <w:rFonts w:hint="eastAsia" w:ascii="宋体" w:hAnsi="宋体"/>
          <w:color w:val="auto"/>
          <w:kern w:val="0"/>
          <w:sz w:val="24"/>
          <w:highlight w:val="none"/>
        </w:rPr>
        <w:t>文件在截止时间后提交，采购组织机构将将拒绝接收。</w:t>
      </w:r>
    </w:p>
    <w:p w14:paraId="730616D6">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（2）如有特殊情况，采购组织机构延长截止时间和谈判时间，采购组织机构和</w:t>
      </w:r>
      <w:r>
        <w:rPr>
          <w:rFonts w:hint="eastAsia" w:ascii="宋体" w:hAnsi="宋体"/>
          <w:color w:val="auto"/>
          <w:sz w:val="24"/>
          <w:highlight w:val="none"/>
        </w:rPr>
        <w:t>供应商</w:t>
      </w:r>
      <w:r>
        <w:rPr>
          <w:rFonts w:hint="eastAsia" w:ascii="宋体" w:hAnsi="宋体"/>
          <w:color w:val="auto"/>
          <w:kern w:val="0"/>
          <w:sz w:val="24"/>
          <w:highlight w:val="none"/>
        </w:rPr>
        <w:t>的权利和义务将受到新的截止时间和谈判时间的约束。</w:t>
      </w:r>
    </w:p>
    <w:p w14:paraId="401433E8">
      <w:pPr>
        <w:tabs>
          <w:tab w:val="left" w:pos="189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4、谈判响应文件的补充、修改和撤回。</w:t>
      </w:r>
    </w:p>
    <w:p w14:paraId="651F961F">
      <w:pPr>
        <w:tabs>
          <w:tab w:val="left" w:pos="960"/>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sz w:val="24"/>
          <w:highlight w:val="none"/>
        </w:rPr>
        <w:t>供应商</w:t>
      </w:r>
      <w:r>
        <w:rPr>
          <w:rFonts w:hint="eastAsia" w:ascii="宋体" w:hAnsi="宋体"/>
          <w:color w:val="auto"/>
          <w:kern w:val="0"/>
          <w:sz w:val="24"/>
          <w:highlight w:val="none"/>
        </w:rPr>
        <w:t>如需对上交的谈判响应文件进行补充、修改或撤回的，必须在谈判响应截止时间</w:t>
      </w:r>
      <w:r>
        <w:rPr>
          <w:rFonts w:hint="eastAsia" w:ascii="宋体"/>
          <w:color w:val="auto"/>
          <w:kern w:val="0"/>
          <w:sz w:val="24"/>
          <w:highlight w:val="none"/>
        </w:rPr>
        <w:t>以前将书面的修改文件或撤消通知送达</w:t>
      </w:r>
      <w:r>
        <w:rPr>
          <w:rFonts w:hint="eastAsia" w:ascii="宋体" w:hAnsi="宋体"/>
          <w:color w:val="auto"/>
          <w:sz w:val="24"/>
          <w:highlight w:val="none"/>
        </w:rPr>
        <w:t>采购组织机构</w:t>
      </w:r>
      <w:r>
        <w:rPr>
          <w:rFonts w:hint="eastAsia" w:ascii="宋体"/>
          <w:color w:val="auto"/>
          <w:kern w:val="0"/>
          <w:sz w:val="24"/>
          <w:highlight w:val="none"/>
        </w:rPr>
        <w:t>。</w:t>
      </w:r>
    </w:p>
    <w:p w14:paraId="529F927E">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（2）谈判修改文件必须密封，在密封袋上写明项目编号、标段、谈判项目名称、</w:t>
      </w:r>
      <w:r>
        <w:rPr>
          <w:rFonts w:hint="eastAsia" w:ascii="宋体" w:hAnsi="宋体"/>
          <w:color w:val="auto"/>
          <w:sz w:val="24"/>
          <w:highlight w:val="none"/>
        </w:rPr>
        <w:t>供应商</w:t>
      </w:r>
      <w:r>
        <w:rPr>
          <w:rFonts w:hint="eastAsia" w:ascii="宋体" w:hAnsi="宋体"/>
          <w:color w:val="auto"/>
          <w:kern w:val="0"/>
          <w:sz w:val="24"/>
          <w:highlight w:val="none"/>
        </w:rPr>
        <w:t>名称、并注明“修改文件”、“谈判时启封”字样，其作为谈判响应文件的组成部份。</w:t>
      </w:r>
    </w:p>
    <w:p w14:paraId="0CE8328E">
      <w:pPr>
        <w:tabs>
          <w:tab w:val="left" w:pos="1898"/>
        </w:tabs>
        <w:autoSpaceDE w:val="0"/>
        <w:autoSpaceDN w:val="0"/>
        <w:adjustRightInd w:val="0"/>
        <w:spacing w:line="360" w:lineRule="auto"/>
        <w:rPr>
          <w:rFonts w:ascii="宋体" w:hAnsi="宋体"/>
          <w:b/>
          <w:color w:val="auto"/>
          <w:kern w:val="0"/>
          <w:sz w:val="24"/>
          <w:highlight w:val="none"/>
        </w:rPr>
      </w:pPr>
      <w:r>
        <w:rPr>
          <w:rFonts w:hint="eastAsia" w:ascii="宋体" w:hAnsi="宋体"/>
          <w:b/>
          <w:color w:val="auto"/>
          <w:kern w:val="0"/>
          <w:sz w:val="24"/>
          <w:highlight w:val="none"/>
        </w:rPr>
        <w:t>（三）谈判响应文件的有效期</w:t>
      </w:r>
    </w:p>
    <w:p w14:paraId="29B0BD2B">
      <w:pPr>
        <w:pStyle w:val="6"/>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rPr>
      </w:pPr>
      <w:r>
        <w:rPr>
          <w:rFonts w:hint="eastAsia" w:ascii="宋体" w:hAnsi="宋体"/>
          <w:color w:val="auto"/>
          <w:sz w:val="24"/>
          <w:highlight w:val="none"/>
        </w:rPr>
        <w:t>自谈判响应截止日起90天谈判响应文件应保持有效。有效期不足的谈判响应文件将被拒绝。</w:t>
      </w:r>
    </w:p>
    <w:p w14:paraId="48EAFA8C">
      <w:pPr>
        <w:pStyle w:val="6"/>
        <w:tabs>
          <w:tab w:val="left" w:pos="454"/>
          <w:tab w:val="left" w:pos="720"/>
          <w:tab w:val="left" w:pos="1200"/>
        </w:tabs>
        <w:snapToGrid w:val="0"/>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在特殊情况下，采购人可与供应商协商延长谈判响应文件的有效期，这种要求和答复均以书面形式进行。</w:t>
      </w:r>
    </w:p>
    <w:p w14:paraId="6FBBEAE5">
      <w:pPr>
        <w:pStyle w:val="6"/>
        <w:numPr>
          <w:ilvl w:val="0"/>
          <w:numId w:val="0"/>
        </w:numPr>
        <w:tabs>
          <w:tab w:val="left" w:pos="0"/>
          <w:tab w:val="left" w:pos="720"/>
          <w:tab w:val="left" w:pos="1200"/>
        </w:tabs>
        <w:snapToGrid w:val="0"/>
        <w:spacing w:line="360" w:lineRule="auto"/>
        <w:ind w:firstLine="420" w:firstLineChars="175"/>
        <w:rPr>
          <w:rFonts w:ascii="宋体" w:hAnsi="宋体"/>
          <w:b/>
          <w:color w:val="auto"/>
          <w:sz w:val="24"/>
          <w:highlight w:val="none"/>
        </w:rPr>
      </w:pPr>
      <w:r>
        <w:rPr>
          <w:rFonts w:hint="eastAsia" w:ascii="宋体" w:hAnsi="宋体"/>
          <w:color w:val="auto"/>
          <w:sz w:val="24"/>
          <w:highlight w:val="none"/>
        </w:rPr>
        <w:t>3.供应商可拒绝接受延期要求而不会导致谈判保证金被没收。同意延长有效期的供应商需要相应延长谈判</w:t>
      </w:r>
      <w:r>
        <w:rPr>
          <w:rFonts w:ascii="宋体" w:hAnsi="宋体"/>
          <w:color w:val="auto"/>
          <w:sz w:val="24"/>
          <w:highlight w:val="none"/>
        </w:rPr>
        <w:t>保证金的有效期，但不能修改谈判响应文件。</w:t>
      </w:r>
    </w:p>
    <w:p w14:paraId="3145984A">
      <w:pPr>
        <w:pStyle w:val="6"/>
        <w:numPr>
          <w:ilvl w:val="0"/>
          <w:numId w:val="0"/>
        </w:numPr>
        <w:tabs>
          <w:tab w:val="left" w:pos="0"/>
          <w:tab w:val="left" w:pos="720"/>
          <w:tab w:val="left" w:pos="1200"/>
        </w:tabs>
        <w:snapToGrid w:val="0"/>
        <w:spacing w:line="360" w:lineRule="auto"/>
        <w:ind w:firstLine="420" w:firstLineChars="17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.成交供应商</w:t>
      </w:r>
      <w:r>
        <w:rPr>
          <w:rFonts w:ascii="宋体" w:hAnsi="宋体"/>
          <w:color w:val="auto"/>
          <w:sz w:val="24"/>
          <w:highlight w:val="none"/>
        </w:rPr>
        <w:t>的</w:t>
      </w:r>
      <w:r>
        <w:rPr>
          <w:rFonts w:hint="eastAsia" w:ascii="宋体" w:hAnsi="宋体"/>
          <w:color w:val="auto"/>
          <w:sz w:val="24"/>
          <w:highlight w:val="none"/>
        </w:rPr>
        <w:t>谈判响应</w:t>
      </w:r>
      <w:r>
        <w:rPr>
          <w:rFonts w:ascii="宋体" w:hAnsi="宋体"/>
          <w:color w:val="auto"/>
          <w:sz w:val="24"/>
          <w:highlight w:val="none"/>
        </w:rPr>
        <w:t>文件自</w:t>
      </w:r>
      <w:r>
        <w:rPr>
          <w:rFonts w:hint="eastAsia" w:ascii="宋体" w:hAnsi="宋体"/>
          <w:color w:val="auto"/>
          <w:sz w:val="24"/>
          <w:highlight w:val="none"/>
        </w:rPr>
        <w:t>谈判</w:t>
      </w:r>
      <w:r>
        <w:rPr>
          <w:rFonts w:ascii="宋体" w:hAnsi="宋体"/>
          <w:color w:val="auto"/>
          <w:sz w:val="24"/>
          <w:highlight w:val="none"/>
        </w:rPr>
        <w:t>之日起至合同履行完毕均应保持有效。</w:t>
      </w:r>
    </w:p>
    <w:p w14:paraId="04614BEB">
      <w:pPr>
        <w:pStyle w:val="4"/>
        <w:jc w:val="center"/>
        <w:rPr>
          <w:color w:val="auto"/>
          <w:highlight w:val="none"/>
        </w:rPr>
      </w:pPr>
      <w:bookmarkStart w:id="11" w:name="_Toc40859289"/>
      <w:r>
        <w:rPr>
          <w:rFonts w:hint="eastAsia"/>
          <w:color w:val="auto"/>
          <w:highlight w:val="none"/>
        </w:rPr>
        <w:t>三、谈判</w:t>
      </w:r>
      <w:bookmarkEnd w:id="11"/>
    </w:p>
    <w:p w14:paraId="37987DC5">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rPr>
        <w:t xml:space="preserve"> （一）谈判程序</w:t>
      </w:r>
    </w:p>
    <w:p w14:paraId="097297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1.采购组织机构在“谈判公告”规定的时间和地点组织谈判，谈判采购会议由采购组织机构工作人员主持，所有供应商均应准时参加谈判采购会议。</w:t>
      </w:r>
    </w:p>
    <w:p w14:paraId="656BF7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olor w:val="auto"/>
          <w:sz w:val="24"/>
          <w:highlight w:val="none"/>
        </w:rPr>
        <w:t>采购组织机构工作人员应当</w:t>
      </w:r>
      <w:r>
        <w:rPr>
          <w:rFonts w:hint="eastAsia" w:ascii="宋体" w:hAnsi="宋体" w:cs="宋体"/>
          <w:color w:val="auto"/>
          <w:sz w:val="24"/>
          <w:highlight w:val="none"/>
        </w:rPr>
        <w:t>核验出席谈判活动现场的各供应商代表及相关单位人员身份，并组织其分别登记、签到，无关人员可拒绝其进入现场。</w:t>
      </w:r>
    </w:p>
    <w:p w14:paraId="6FDBD2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3.采购组织机构工作人员接收谈判响应文件并登记，并由供应商代表对递交记录情况进行签字确认。</w:t>
      </w:r>
    </w:p>
    <w:p w14:paraId="50F6DB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14:paraId="2AAC6B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5.对谈判保证金缴纳情况进行查验、核实，提请供应商代表查验谈判响应文件密封情况。</w:t>
      </w:r>
    </w:p>
    <w:p w14:paraId="10165CAB">
      <w:pPr>
        <w:pStyle w:val="9"/>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6、主持人按供应商签到的先后顺序当场拆封谈判响应文件，并送至评审室；</w:t>
      </w:r>
    </w:p>
    <w:p w14:paraId="2B204C66">
      <w:pPr>
        <w:pStyle w:val="9"/>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7.谈判小组对符合资格的供应商的谈判响应文件进行符合性审查，以确定其是否满足谈判文件的实质性要求。</w:t>
      </w:r>
    </w:p>
    <w:p w14:paraId="3945C246">
      <w:pPr>
        <w:pStyle w:val="9"/>
        <w:snapToGrid w:val="0"/>
        <w:spacing w:line="360" w:lineRule="auto"/>
        <w:ind w:firstLine="480" w:firstLineChars="200"/>
        <w:rPr>
          <w:rFonts w:hAnsi="宋体"/>
          <w:color w:val="auto"/>
          <w:sz w:val="24"/>
          <w:highlight w:val="none"/>
        </w:rPr>
      </w:pPr>
      <w:r>
        <w:rPr>
          <w:rFonts w:hint="eastAsia" w:hAnsi="宋体"/>
          <w:color w:val="auto"/>
          <w:sz w:val="24"/>
          <w:highlight w:val="none"/>
        </w:rPr>
        <w:t>8.谈判小组对响应文件进行评审，并根据谈判文件规定的程序、评定成交的标准等事项与实质性响应谈判文件要求的供应商进行谈判。未实质性响应谈判文件的响应文件按无效处理；</w:t>
      </w:r>
    </w:p>
    <w:p w14:paraId="20EDA2C7">
      <w:pPr>
        <w:pStyle w:val="11"/>
        <w:tabs>
          <w:tab w:val="left" w:pos="720"/>
          <w:tab w:val="left" w:pos="1260"/>
          <w:tab w:val="left" w:pos="2160"/>
          <w:tab w:val="left" w:pos="2880"/>
          <w:tab w:val="left" w:pos="3600"/>
          <w:tab w:val="left" w:pos="4320"/>
          <w:tab w:val="left" w:pos="5040"/>
          <w:tab w:val="left" w:pos="5760"/>
          <w:tab w:val="left" w:pos="8280"/>
        </w:tabs>
        <w:ind w:firstLineChars="200"/>
        <w:rPr>
          <w:rFonts w:hAnsi="宋体"/>
          <w:color w:val="auto"/>
          <w:highlight w:val="none"/>
        </w:rPr>
      </w:pPr>
      <w:r>
        <w:rPr>
          <w:rFonts w:hint="eastAsia" w:hAnsi="宋体"/>
          <w:color w:val="auto"/>
          <w:highlight w:val="none"/>
        </w:rPr>
        <w:t>9.谈判小组所有成员集中与单一供应商分别进行谈判。</w:t>
      </w:r>
      <w:r>
        <w:rPr>
          <w:rFonts w:hint="eastAsia"/>
          <w:color w:val="auto"/>
          <w:highlight w:val="none"/>
          <w:shd w:val="clear" w:color="auto" w:fill="FFFFFF"/>
        </w:rPr>
        <w:t>所有参加谈判的供应商均有一轮谈判机会。</w:t>
      </w:r>
      <w:r>
        <w:rPr>
          <w:rFonts w:hint="eastAsia" w:hAnsi="宋体"/>
          <w:color w:val="auto"/>
          <w:highlight w:val="none"/>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14:paraId="4B92A0D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color w:val="auto"/>
          <w:sz w:val="24"/>
          <w:highlight w:val="none"/>
        </w:rPr>
      </w:pPr>
      <w:r>
        <w:rPr>
          <w:rFonts w:hint="eastAsia"/>
          <w:color w:val="auto"/>
          <w:sz w:val="24"/>
          <w:highlight w:val="none"/>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14:paraId="16B091A0">
      <w:pPr>
        <w:pStyle w:val="11"/>
        <w:tabs>
          <w:tab w:val="left" w:pos="720"/>
          <w:tab w:val="left" w:pos="1260"/>
          <w:tab w:val="left" w:pos="2160"/>
          <w:tab w:val="left" w:pos="2880"/>
          <w:tab w:val="left" w:pos="3600"/>
          <w:tab w:val="left" w:pos="4320"/>
          <w:tab w:val="left" w:pos="5040"/>
          <w:tab w:val="left" w:pos="5760"/>
          <w:tab w:val="left" w:pos="8280"/>
        </w:tabs>
        <w:ind w:firstLineChars="200"/>
        <w:rPr>
          <w:rFonts w:hAnsi="宋体"/>
          <w:color w:val="auto"/>
          <w:highlight w:val="none"/>
        </w:rPr>
      </w:pPr>
      <w:r>
        <w:rPr>
          <w:rFonts w:hint="eastAsia" w:hAnsi="宋体"/>
          <w:color w:val="auto"/>
          <w:highlight w:val="none"/>
        </w:rPr>
        <w:t>11.谈判结束后，</w:t>
      </w:r>
      <w:r>
        <w:rPr>
          <w:rFonts w:hint="eastAsia"/>
          <w:color w:val="auto"/>
          <w:highlight w:val="none"/>
        </w:rPr>
        <w:t>谈判小组将</w:t>
      </w:r>
      <w:r>
        <w:rPr>
          <w:rFonts w:hint="eastAsia" w:hAnsi="宋体"/>
          <w:color w:val="auto"/>
          <w:highlight w:val="none"/>
        </w:rPr>
        <w:t>要求所有继续参加谈判的供应商在规定时间内提交最后报价，超过规定时间提交的报价作无效处理；</w:t>
      </w:r>
    </w:p>
    <w:p w14:paraId="599E8C3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12.谈判小组</w:t>
      </w:r>
      <w:r>
        <w:rPr>
          <w:rFonts w:hint="eastAsia" w:ascii="宋体" w:hAnsi="宋体"/>
          <w:color w:val="auto"/>
          <w:kern w:val="0"/>
          <w:sz w:val="24"/>
          <w:highlight w:val="none"/>
        </w:rPr>
        <w:t>编写评审报告</w:t>
      </w:r>
      <w:r>
        <w:rPr>
          <w:rFonts w:hint="eastAsia" w:ascii="宋体" w:hAnsi="宋体"/>
          <w:color w:val="auto"/>
          <w:sz w:val="24"/>
          <w:highlight w:val="none"/>
        </w:rPr>
        <w:t>（评审报告应按相关规定及时向财政部门申请备案）；</w:t>
      </w:r>
    </w:p>
    <w:p w14:paraId="4037F847">
      <w:pPr>
        <w:pStyle w:val="11"/>
        <w:tabs>
          <w:tab w:val="left" w:pos="720"/>
          <w:tab w:val="left" w:pos="1260"/>
          <w:tab w:val="left" w:pos="2160"/>
          <w:tab w:val="left" w:pos="2880"/>
          <w:tab w:val="left" w:pos="3600"/>
          <w:tab w:val="left" w:pos="4320"/>
          <w:tab w:val="left" w:pos="5040"/>
          <w:tab w:val="left" w:pos="5760"/>
          <w:tab w:val="left" w:pos="8280"/>
        </w:tabs>
        <w:ind w:firstLineChars="200"/>
        <w:rPr>
          <w:rFonts w:hAnsi="宋体" w:cs="宋体"/>
          <w:b/>
          <w:color w:val="auto"/>
          <w:highlight w:val="none"/>
        </w:rPr>
      </w:pPr>
      <w:r>
        <w:rPr>
          <w:rFonts w:hint="eastAsia" w:hAnsi="宋体"/>
          <w:color w:val="auto"/>
          <w:highlight w:val="none"/>
        </w:rPr>
        <w:t>13.采购组织机构</w:t>
      </w:r>
      <w:r>
        <w:rPr>
          <w:rFonts w:hint="eastAsia" w:hAnsi="宋体" w:cs="宋体"/>
          <w:color w:val="auto"/>
          <w:highlight w:val="none"/>
        </w:rPr>
        <w:t>对谈判小组专家成员进行评价；</w:t>
      </w:r>
    </w:p>
    <w:p w14:paraId="45D4476F">
      <w:pPr>
        <w:pStyle w:val="17"/>
        <w:spacing w:before="0" w:beforeAutospacing="0" w:after="0" w:afterAutospacing="0" w:line="360" w:lineRule="auto"/>
        <w:ind w:firstLine="480" w:firstLineChars="200"/>
        <w:jc w:val="both"/>
        <w:rPr>
          <w:rFonts w:hint="default"/>
          <w:color w:val="auto"/>
          <w:highlight w:val="none"/>
        </w:rPr>
      </w:pPr>
      <w:r>
        <w:rPr>
          <w:color w:val="auto"/>
          <w:highlight w:val="none"/>
        </w:rPr>
        <w:t>14.宣布谈判结果，谈判采购会议结束。</w:t>
      </w:r>
    </w:p>
    <w:p w14:paraId="0B5654C8">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（二）澄清问题的形式</w:t>
      </w:r>
    </w:p>
    <w:p w14:paraId="1258302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谈判人的澄清、说明或者补正应当采用书面形式，并加盖公章，或者由法定代理人或其授权的代表签字，并不得超出谈判响应文件的范围或者改变谈判响应文件的实质性内容。</w:t>
      </w:r>
    </w:p>
    <w:p w14:paraId="69D1F3B6">
      <w:pPr>
        <w:pStyle w:val="9"/>
        <w:snapToGrid w:val="0"/>
        <w:spacing w:line="360" w:lineRule="auto"/>
        <w:ind w:left="720" w:leftChars="228" w:hanging="241" w:hangingChars="100"/>
        <w:rPr>
          <w:rFonts w:hAnsi="宋体"/>
          <w:b/>
          <w:color w:val="auto"/>
          <w:sz w:val="24"/>
          <w:highlight w:val="none"/>
        </w:rPr>
      </w:pPr>
      <w:r>
        <w:rPr>
          <w:rFonts w:hint="eastAsia" w:hAnsi="宋体"/>
          <w:b/>
          <w:color w:val="auto"/>
          <w:sz w:val="24"/>
          <w:highlight w:val="none"/>
        </w:rPr>
        <w:t>（三）错误修正</w:t>
      </w:r>
    </w:p>
    <w:p w14:paraId="41AA220A">
      <w:pPr>
        <w:pStyle w:val="17"/>
        <w:spacing w:before="0" w:beforeAutospacing="0" w:after="0" w:afterAutospacing="0" w:line="360" w:lineRule="auto"/>
        <w:ind w:firstLine="480" w:firstLineChars="200"/>
        <w:jc w:val="both"/>
        <w:rPr>
          <w:rFonts w:hint="default"/>
          <w:color w:val="auto"/>
          <w:highlight w:val="none"/>
        </w:rPr>
      </w:pPr>
      <w:r>
        <w:rPr>
          <w:color w:val="auto"/>
          <w:highlight w:val="none"/>
        </w:rPr>
        <w:t>谈判响应文件报价出现前后不一致的，除谈判采购文件另有规定外，按照下列规定修正：</w:t>
      </w:r>
    </w:p>
    <w:p w14:paraId="6EB61D4D">
      <w:pPr>
        <w:pStyle w:val="17"/>
        <w:spacing w:before="0" w:beforeAutospacing="0" w:after="0" w:afterAutospacing="0" w:line="360" w:lineRule="auto"/>
        <w:jc w:val="both"/>
        <w:rPr>
          <w:rFonts w:hint="default"/>
          <w:color w:val="auto"/>
          <w:highlight w:val="none"/>
        </w:rPr>
      </w:pPr>
      <w:r>
        <w:rPr>
          <w:color w:val="auto"/>
          <w:highlight w:val="none"/>
        </w:rPr>
        <w:t>　　1.谈判响应文件中首次报价一览表内容与谈判响应文件中相应内容不一致的，以首次报价一览表为准；</w:t>
      </w:r>
    </w:p>
    <w:p w14:paraId="088B7FE1">
      <w:pPr>
        <w:pStyle w:val="17"/>
        <w:spacing w:before="0" w:beforeAutospacing="0" w:after="0" w:afterAutospacing="0" w:line="360" w:lineRule="auto"/>
        <w:jc w:val="both"/>
        <w:rPr>
          <w:rFonts w:hint="default"/>
          <w:color w:val="auto"/>
          <w:highlight w:val="none"/>
        </w:rPr>
      </w:pPr>
      <w:r>
        <w:rPr>
          <w:color w:val="auto"/>
          <w:highlight w:val="none"/>
        </w:rPr>
        <w:t>　　2.大写金额和小写金额不一致的，以大写金额为准；</w:t>
      </w:r>
    </w:p>
    <w:p w14:paraId="5331B694">
      <w:pPr>
        <w:pStyle w:val="17"/>
        <w:spacing w:before="0" w:beforeAutospacing="0" w:after="0" w:afterAutospacing="0" w:line="360" w:lineRule="auto"/>
        <w:jc w:val="both"/>
        <w:rPr>
          <w:rFonts w:hint="default"/>
          <w:color w:val="auto"/>
          <w:highlight w:val="none"/>
        </w:rPr>
      </w:pPr>
      <w:r>
        <w:rPr>
          <w:color w:val="auto"/>
          <w:highlight w:val="none"/>
        </w:rPr>
        <w:t>　　3.单价金额小数点或者百分比有明显错位的，以首次报价一览表的总价为准，并修改单价；</w:t>
      </w:r>
    </w:p>
    <w:p w14:paraId="328CBE5D">
      <w:pPr>
        <w:pStyle w:val="17"/>
        <w:spacing w:before="0" w:beforeAutospacing="0" w:after="0" w:afterAutospacing="0" w:line="360" w:lineRule="auto"/>
        <w:jc w:val="both"/>
        <w:rPr>
          <w:rFonts w:hint="default"/>
          <w:color w:val="auto"/>
          <w:highlight w:val="none"/>
        </w:rPr>
      </w:pPr>
      <w:r>
        <w:rPr>
          <w:color w:val="auto"/>
          <w:highlight w:val="none"/>
        </w:rPr>
        <w:t>　　4.总价金额与按单价汇总金额不一致的，以单价金额计算结果为准。</w:t>
      </w:r>
    </w:p>
    <w:p w14:paraId="58085E97">
      <w:pPr>
        <w:pStyle w:val="17"/>
        <w:spacing w:before="0" w:beforeAutospacing="0" w:after="0" w:afterAutospacing="0" w:line="360" w:lineRule="auto"/>
        <w:jc w:val="both"/>
        <w:rPr>
          <w:rFonts w:hint="default"/>
          <w:color w:val="auto"/>
          <w:highlight w:val="none"/>
        </w:rPr>
      </w:pPr>
      <w:r>
        <w:rPr>
          <w:color w:val="auto"/>
          <w:highlight w:val="none"/>
        </w:rPr>
        <w:t>　　同时出现两种以上不一致的，按照前款规定的顺序修正。修正应当采用书面形式，并加盖公章，或者由法定代表人或其授权的代表签字。修正后的报价经谈判人确认后产生约束力，谈判人不确认的，将终止谈判。</w:t>
      </w:r>
    </w:p>
    <w:p w14:paraId="08C5F618">
      <w:pPr>
        <w:pStyle w:val="17"/>
        <w:spacing w:before="0" w:beforeAutospacing="0" w:after="0" w:afterAutospacing="0" w:line="360" w:lineRule="auto"/>
        <w:ind w:firstLine="361" w:firstLineChars="150"/>
        <w:jc w:val="both"/>
        <w:rPr>
          <w:rFonts w:hint="default"/>
          <w:b/>
          <w:color w:val="auto"/>
          <w:highlight w:val="none"/>
        </w:rPr>
      </w:pPr>
      <w:r>
        <w:rPr>
          <w:b/>
          <w:bCs/>
          <w:color w:val="auto"/>
          <w:highlight w:val="none"/>
        </w:rPr>
        <w:t>（四）</w:t>
      </w:r>
      <w:r>
        <w:rPr>
          <w:b/>
          <w:color w:val="auto"/>
          <w:highlight w:val="none"/>
        </w:rPr>
        <w:t>供应商存在下列情况之一的，响应无效，终止谈判</w:t>
      </w:r>
    </w:p>
    <w:p w14:paraId="039EF7AD">
      <w:pPr>
        <w:pStyle w:val="17"/>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1.未按照谈判文件的规定提交谈判保证金的。</w:t>
      </w:r>
    </w:p>
    <w:p w14:paraId="1CF30C5D">
      <w:pPr>
        <w:pStyle w:val="17"/>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2.谈判响应文件中报价的服务内容跟商务与技术内容中的服务内容出现重大偏差的；</w:t>
      </w:r>
    </w:p>
    <w:p w14:paraId="59063C9D">
      <w:pPr>
        <w:pStyle w:val="17"/>
        <w:tabs>
          <w:tab w:val="left" w:pos="7380"/>
        </w:tabs>
        <w:adjustRightInd w:val="0"/>
        <w:snapToGrid w:val="0"/>
        <w:spacing w:before="0" w:beforeAutospacing="0" w:after="0" w:afterAutospacing="0" w:line="360" w:lineRule="auto"/>
        <w:jc w:val="both"/>
        <w:rPr>
          <w:rFonts w:hint="default"/>
          <w:color w:val="auto"/>
          <w:highlight w:val="none"/>
        </w:rPr>
      </w:pPr>
      <w:r>
        <w:rPr>
          <w:color w:val="auto"/>
          <w:highlight w:val="none"/>
        </w:rPr>
        <w:t>　　3.不具备谈判文件中规定的资格要求的。</w:t>
      </w:r>
      <w:r>
        <w:rPr>
          <w:rFonts w:hint="default"/>
          <w:color w:val="auto"/>
          <w:highlight w:val="none"/>
        </w:rPr>
        <w:tab/>
      </w:r>
    </w:p>
    <w:p w14:paraId="432B31CB">
      <w:pPr>
        <w:pStyle w:val="17"/>
        <w:adjustRightInd w:val="0"/>
        <w:snapToGrid w:val="0"/>
        <w:spacing w:before="0" w:beforeAutospacing="0" w:after="0" w:afterAutospacing="0" w:line="360" w:lineRule="auto"/>
        <w:jc w:val="both"/>
        <w:rPr>
          <w:rFonts w:hint="default"/>
          <w:color w:val="auto"/>
          <w:highlight w:val="none"/>
        </w:rPr>
      </w:pPr>
      <w:r>
        <w:rPr>
          <w:color w:val="auto"/>
          <w:highlight w:val="none"/>
        </w:rPr>
        <w:t>　  4.谈判响应文件含有采购人不能接受的附加条件的。</w:t>
      </w:r>
    </w:p>
    <w:p w14:paraId="4E4634A0">
      <w:pPr>
        <w:adjustRightInd w:val="0"/>
        <w:snapToGrid w:val="0"/>
        <w:spacing w:line="360" w:lineRule="auto"/>
        <w:ind w:firstLine="470" w:firstLineChars="196"/>
        <w:rPr>
          <w:rFonts w:ascii="宋体" w:hAnsi="宋体"/>
          <w:bCs/>
          <w:color w:val="auto"/>
          <w:kern w:val="0"/>
          <w:sz w:val="24"/>
          <w:highlight w:val="none"/>
        </w:rPr>
      </w:pPr>
      <w:r>
        <w:rPr>
          <w:rFonts w:hint="eastAsia" w:ascii="宋体" w:hAnsi="宋体"/>
          <w:color w:val="auto"/>
          <w:kern w:val="0"/>
          <w:sz w:val="24"/>
          <w:highlight w:val="none"/>
        </w:rPr>
        <w:t>5.谈判代表人</w:t>
      </w:r>
      <w:r>
        <w:rPr>
          <w:rFonts w:hint="eastAsia" w:ascii="宋体" w:hAnsi="宋体"/>
          <w:color w:val="auto"/>
          <w:sz w:val="24"/>
          <w:highlight w:val="none"/>
        </w:rPr>
        <w:t>未能出具身份证明或与法定代表人授权委托人身份不符的；</w:t>
      </w:r>
    </w:p>
    <w:p w14:paraId="4FA873A2">
      <w:pPr>
        <w:pStyle w:val="17"/>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6.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14:paraId="52E27BD0">
      <w:pPr>
        <w:pStyle w:val="17"/>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 xml:space="preserve">7.报价超过谈判文件中规定的预算金额/最高限价。 </w:t>
      </w:r>
    </w:p>
    <w:p w14:paraId="4D77F137">
      <w:pPr>
        <w:tabs>
          <w:tab w:val="left" w:pos="1898"/>
        </w:tabs>
        <w:autoSpaceDE w:val="0"/>
        <w:autoSpaceDN w:val="0"/>
        <w:adjustRightInd w:val="0"/>
        <w:snapToGrid w:val="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8.谈判响应参数未如实填写，完全复制粘贴采购参数的。</w:t>
      </w:r>
    </w:p>
    <w:p w14:paraId="1FD3D15A">
      <w:pPr>
        <w:tabs>
          <w:tab w:val="left" w:pos="1898"/>
        </w:tabs>
        <w:autoSpaceDE w:val="0"/>
        <w:autoSpaceDN w:val="0"/>
        <w:adjustRightInd w:val="0"/>
        <w:snapToGrid w:val="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 xml:space="preserve">9.谈判响应文件提供虚假材料的。 </w:t>
      </w:r>
    </w:p>
    <w:p w14:paraId="6EBEB73E">
      <w:pPr>
        <w:tabs>
          <w:tab w:val="left" w:pos="1898"/>
        </w:tabs>
        <w:autoSpaceDE w:val="0"/>
        <w:autoSpaceDN w:val="0"/>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rPr>
        <w:t>10.</w:t>
      </w:r>
      <w:r>
        <w:rPr>
          <w:rFonts w:ascii="宋体" w:hAnsi="宋体"/>
          <w:color w:val="auto"/>
          <w:sz w:val="24"/>
          <w:highlight w:val="none"/>
        </w:rPr>
        <w:t>不同</w:t>
      </w:r>
      <w:r>
        <w:rPr>
          <w:rFonts w:hint="eastAsia" w:ascii="宋体" w:hAnsi="宋体"/>
          <w:color w:val="auto"/>
          <w:sz w:val="24"/>
          <w:highlight w:val="none"/>
        </w:rPr>
        <w:t>供应商</w:t>
      </w:r>
      <w:r>
        <w:rPr>
          <w:rFonts w:ascii="宋体" w:hAnsi="宋体"/>
          <w:color w:val="auto"/>
          <w:sz w:val="24"/>
          <w:highlight w:val="none"/>
        </w:rPr>
        <w:t>的</w:t>
      </w:r>
      <w:r>
        <w:rPr>
          <w:rFonts w:hint="eastAsia" w:ascii="宋体" w:hAnsi="宋体"/>
          <w:color w:val="auto"/>
          <w:sz w:val="24"/>
          <w:highlight w:val="none"/>
        </w:rPr>
        <w:t>谈判响应</w:t>
      </w:r>
      <w:r>
        <w:rPr>
          <w:rFonts w:ascii="宋体" w:hAnsi="宋体"/>
          <w:color w:val="auto"/>
          <w:sz w:val="24"/>
          <w:highlight w:val="none"/>
        </w:rPr>
        <w:t>文件由同一单位或者个人编制；</w:t>
      </w:r>
    </w:p>
    <w:p w14:paraId="3039985D">
      <w:pPr>
        <w:pStyle w:val="17"/>
        <w:spacing w:before="0" w:beforeAutospacing="0" w:after="0" w:afterAutospacing="0" w:line="360" w:lineRule="auto"/>
        <w:ind w:firstLine="480" w:firstLineChars="200"/>
        <w:rPr>
          <w:rFonts w:hint="default"/>
          <w:color w:val="auto"/>
          <w:highlight w:val="none"/>
        </w:rPr>
      </w:pPr>
      <w:r>
        <w:rPr>
          <w:color w:val="auto"/>
          <w:highlight w:val="none"/>
        </w:rPr>
        <w:t>11.不同供应商委托同一单位或者个人办理谈判事宜；</w:t>
      </w:r>
    </w:p>
    <w:p w14:paraId="15C4764A">
      <w:pPr>
        <w:pStyle w:val="17"/>
        <w:spacing w:before="0" w:beforeAutospacing="0" w:after="0" w:afterAutospacing="0" w:line="360" w:lineRule="auto"/>
        <w:ind w:firstLine="480" w:firstLineChars="200"/>
        <w:rPr>
          <w:rFonts w:hint="default"/>
          <w:color w:val="auto"/>
          <w:highlight w:val="none"/>
        </w:rPr>
      </w:pPr>
      <w:r>
        <w:rPr>
          <w:color w:val="auto"/>
          <w:highlight w:val="none"/>
        </w:rPr>
        <w:t>12.不同供应商的谈判响应文件载明的项目管理成员或者联系人员为同一人；</w:t>
      </w:r>
    </w:p>
    <w:p w14:paraId="3C092160">
      <w:pPr>
        <w:pStyle w:val="17"/>
        <w:spacing w:before="0" w:beforeAutospacing="0" w:after="0" w:afterAutospacing="0" w:line="360" w:lineRule="auto"/>
        <w:ind w:firstLine="480" w:firstLineChars="200"/>
        <w:rPr>
          <w:rFonts w:hint="default"/>
          <w:color w:val="auto"/>
          <w:highlight w:val="none"/>
        </w:rPr>
      </w:pPr>
      <w:r>
        <w:rPr>
          <w:color w:val="auto"/>
          <w:highlight w:val="none"/>
        </w:rPr>
        <w:t>13.不同供应商的谈判响应文件异常一致或者报价呈规律性差异；</w:t>
      </w:r>
    </w:p>
    <w:p w14:paraId="21CE0A68">
      <w:pPr>
        <w:pStyle w:val="17"/>
        <w:spacing w:before="0" w:beforeAutospacing="0" w:after="0" w:afterAutospacing="0" w:line="360" w:lineRule="auto"/>
        <w:ind w:firstLine="480" w:firstLineChars="200"/>
        <w:rPr>
          <w:rFonts w:hint="default"/>
          <w:color w:val="auto"/>
          <w:highlight w:val="none"/>
        </w:rPr>
      </w:pPr>
      <w:r>
        <w:rPr>
          <w:color w:val="auto"/>
          <w:highlight w:val="none"/>
        </w:rPr>
        <w:t>14.不同供应商的谈判响应文件相互混装；</w:t>
      </w:r>
    </w:p>
    <w:p w14:paraId="604EBFC0">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15.不符合法律、法规和谈判文件中规定的其他实质性要求的（谈判采购文件中打“▲”内容及被拒绝的条款）。</w:t>
      </w:r>
    </w:p>
    <w:p w14:paraId="345F4AA8">
      <w:pPr>
        <w:autoSpaceDE w:val="0"/>
        <w:autoSpaceDN w:val="0"/>
        <w:adjustRightInd w:val="0"/>
        <w:spacing w:line="360" w:lineRule="auto"/>
        <w:ind w:left="480"/>
        <w:rPr>
          <w:rFonts w:ascii="宋体" w:hAnsi="宋体"/>
          <w:color w:val="auto"/>
          <w:kern w:val="0"/>
          <w:sz w:val="24"/>
          <w:highlight w:val="none"/>
        </w:rPr>
      </w:pPr>
      <w:r>
        <w:rPr>
          <w:rFonts w:hint="eastAsia" w:ascii="宋体" w:hAnsi="宋体"/>
          <w:b/>
          <w:color w:val="auto"/>
          <w:kern w:val="0"/>
          <w:sz w:val="24"/>
          <w:highlight w:val="none"/>
        </w:rPr>
        <w:t>（五）有下列情况之一的，本次谈判终止</w:t>
      </w:r>
    </w:p>
    <w:p w14:paraId="781EAB54">
      <w:pPr>
        <w:pStyle w:val="17"/>
        <w:spacing w:before="0" w:beforeAutospacing="0" w:after="0" w:afterAutospacing="0" w:line="360" w:lineRule="auto"/>
        <w:ind w:firstLine="600" w:firstLineChars="250"/>
        <w:jc w:val="both"/>
        <w:rPr>
          <w:rFonts w:hint="default"/>
          <w:color w:val="auto"/>
          <w:highlight w:val="none"/>
        </w:rPr>
      </w:pPr>
      <w:r>
        <w:rPr>
          <w:color w:val="auto"/>
          <w:highlight w:val="none"/>
        </w:rPr>
        <w:t>1.出现影响采购公正的违法、违规行为的；</w:t>
      </w:r>
    </w:p>
    <w:p w14:paraId="1E44A403">
      <w:pPr>
        <w:pStyle w:val="17"/>
        <w:spacing w:before="0" w:beforeAutospacing="0" w:after="0" w:afterAutospacing="0" w:line="360" w:lineRule="auto"/>
        <w:ind w:firstLine="600" w:firstLineChars="250"/>
        <w:jc w:val="both"/>
        <w:rPr>
          <w:rFonts w:hint="default"/>
          <w:b/>
          <w:bCs/>
          <w:color w:val="auto"/>
          <w:highlight w:val="none"/>
        </w:rPr>
      </w:pPr>
      <w:r>
        <w:rPr>
          <w:color w:val="auto"/>
          <w:highlight w:val="none"/>
        </w:rPr>
        <w:t xml:space="preserve">2.谈判小组发现谈判文件存在歧义、重大缺陷导致谈判工作无法进行，或者谈判文件内容违反国家有关强制性规定的； </w:t>
      </w:r>
    </w:p>
    <w:p w14:paraId="08860A70">
      <w:pPr>
        <w:pStyle w:val="17"/>
        <w:spacing w:before="0" w:beforeAutospacing="0" w:after="0" w:afterAutospacing="0" w:line="360" w:lineRule="auto"/>
        <w:ind w:firstLine="600" w:firstLineChars="250"/>
        <w:jc w:val="both"/>
        <w:rPr>
          <w:rFonts w:hint="default"/>
          <w:color w:val="auto"/>
          <w:highlight w:val="none"/>
        </w:rPr>
      </w:pPr>
      <w:r>
        <w:rPr>
          <w:color w:val="auto"/>
          <w:highlight w:val="none"/>
        </w:rPr>
        <w:t>3.因重大变故，采购任务取消的；</w:t>
      </w:r>
    </w:p>
    <w:p w14:paraId="5EDFC67B">
      <w:pPr>
        <w:pStyle w:val="17"/>
        <w:spacing w:before="0" w:beforeAutospacing="0" w:after="0" w:afterAutospacing="0" w:line="360" w:lineRule="auto"/>
        <w:ind w:firstLine="600" w:firstLineChars="250"/>
        <w:jc w:val="both"/>
        <w:rPr>
          <w:rFonts w:hint="default"/>
          <w:color w:val="auto"/>
          <w:highlight w:val="none"/>
        </w:rPr>
      </w:pPr>
      <w:r>
        <w:rPr>
          <w:color w:val="auto"/>
          <w:highlight w:val="none"/>
        </w:rPr>
        <w:t>4.法律、法规和谈判文件规定的其他导致谈判结果无效的。</w:t>
      </w:r>
    </w:p>
    <w:p w14:paraId="5BDA82EA">
      <w:pPr>
        <w:pStyle w:val="9"/>
        <w:tabs>
          <w:tab w:val="left" w:pos="630"/>
        </w:tabs>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六</w:t>
      </w:r>
      <w:r>
        <w:rPr>
          <w:rFonts w:hAnsi="宋体"/>
          <w:b/>
          <w:color w:val="auto"/>
          <w:sz w:val="24"/>
          <w:highlight w:val="none"/>
        </w:rPr>
        <w:t>）</w:t>
      </w:r>
      <w:r>
        <w:rPr>
          <w:rFonts w:hint="eastAsia" w:hAnsi="宋体"/>
          <w:b/>
          <w:color w:val="auto"/>
          <w:sz w:val="24"/>
          <w:highlight w:val="none"/>
        </w:rPr>
        <w:t>谈判</w:t>
      </w:r>
      <w:r>
        <w:rPr>
          <w:rFonts w:hAnsi="宋体"/>
          <w:b/>
          <w:color w:val="auto"/>
          <w:sz w:val="24"/>
          <w:highlight w:val="none"/>
        </w:rPr>
        <w:t>原则和办法</w:t>
      </w:r>
    </w:p>
    <w:p w14:paraId="357D7A87">
      <w:pPr>
        <w:pStyle w:val="9"/>
        <w:snapToGrid w:val="0"/>
        <w:spacing w:line="360" w:lineRule="auto"/>
        <w:ind w:firstLine="600" w:firstLineChars="250"/>
        <w:rPr>
          <w:rFonts w:hAnsi="宋体"/>
          <w:color w:val="auto"/>
          <w:sz w:val="24"/>
          <w:highlight w:val="none"/>
        </w:rPr>
      </w:pPr>
      <w:r>
        <w:rPr>
          <w:rFonts w:hAnsi="宋体"/>
          <w:color w:val="auto"/>
          <w:sz w:val="24"/>
          <w:highlight w:val="none"/>
        </w:rPr>
        <w:t>1</w:t>
      </w:r>
      <w:r>
        <w:rPr>
          <w:rFonts w:hint="eastAsia" w:hAnsi="宋体"/>
          <w:color w:val="auto"/>
          <w:sz w:val="24"/>
          <w:highlight w:val="none"/>
        </w:rPr>
        <w:t>、谈判</w:t>
      </w:r>
      <w:r>
        <w:rPr>
          <w:rFonts w:hAnsi="宋体"/>
          <w:color w:val="auto"/>
          <w:sz w:val="24"/>
          <w:highlight w:val="none"/>
        </w:rPr>
        <w:t>原则。</w:t>
      </w:r>
      <w:r>
        <w:rPr>
          <w:rFonts w:hint="eastAsia" w:hAnsi="宋体"/>
          <w:color w:val="auto"/>
          <w:sz w:val="24"/>
          <w:highlight w:val="none"/>
        </w:rPr>
        <w:t>谈判小组</w:t>
      </w:r>
      <w:r>
        <w:rPr>
          <w:rFonts w:hAnsi="宋体"/>
          <w:color w:val="auto"/>
          <w:sz w:val="24"/>
          <w:highlight w:val="none"/>
        </w:rPr>
        <w:t>必须公平、公正、客观，不带任何倾向性和启发性；不得向外界透露任何与</w:t>
      </w:r>
      <w:r>
        <w:rPr>
          <w:rFonts w:hint="eastAsia" w:hAnsi="宋体"/>
          <w:color w:val="auto"/>
          <w:sz w:val="24"/>
          <w:highlight w:val="none"/>
        </w:rPr>
        <w:t>评审</w:t>
      </w:r>
      <w:r>
        <w:rPr>
          <w:rFonts w:hAnsi="宋体"/>
          <w:color w:val="auto"/>
          <w:sz w:val="24"/>
          <w:highlight w:val="none"/>
        </w:rPr>
        <w:t>有关的内容；任何单位和个人不得干扰、影响</w:t>
      </w:r>
      <w:r>
        <w:rPr>
          <w:rFonts w:hint="eastAsia" w:hAnsi="宋体"/>
          <w:color w:val="auto"/>
          <w:sz w:val="24"/>
          <w:highlight w:val="none"/>
        </w:rPr>
        <w:t>评审</w:t>
      </w:r>
      <w:r>
        <w:rPr>
          <w:rFonts w:hAnsi="宋体"/>
          <w:color w:val="auto"/>
          <w:sz w:val="24"/>
          <w:highlight w:val="none"/>
        </w:rPr>
        <w:t>的正常进行；</w:t>
      </w:r>
      <w:r>
        <w:rPr>
          <w:rFonts w:hint="eastAsia" w:hAnsi="宋体"/>
          <w:color w:val="auto"/>
          <w:sz w:val="24"/>
          <w:highlight w:val="none"/>
        </w:rPr>
        <w:t>评审</w:t>
      </w:r>
      <w:r>
        <w:rPr>
          <w:rFonts w:hAnsi="宋体"/>
          <w:color w:val="auto"/>
          <w:sz w:val="24"/>
          <w:highlight w:val="none"/>
        </w:rPr>
        <w:t>委员会及有关工作人员不得私下与</w:t>
      </w:r>
      <w:r>
        <w:rPr>
          <w:rFonts w:hint="eastAsia" w:hAnsi="宋体"/>
          <w:color w:val="auto"/>
          <w:sz w:val="24"/>
          <w:highlight w:val="none"/>
        </w:rPr>
        <w:t>供应商</w:t>
      </w:r>
      <w:r>
        <w:rPr>
          <w:rFonts w:hAnsi="宋体"/>
          <w:color w:val="auto"/>
          <w:sz w:val="24"/>
          <w:highlight w:val="none"/>
        </w:rPr>
        <w:t>接触。</w:t>
      </w:r>
    </w:p>
    <w:p w14:paraId="571E0ABE">
      <w:pPr>
        <w:pStyle w:val="9"/>
        <w:snapToGrid w:val="0"/>
        <w:spacing w:line="360" w:lineRule="auto"/>
        <w:ind w:firstLine="600" w:firstLineChars="250"/>
        <w:rPr>
          <w:color w:val="auto"/>
          <w:sz w:val="24"/>
          <w:highlight w:val="none"/>
        </w:rPr>
      </w:pPr>
      <w:r>
        <w:rPr>
          <w:rFonts w:hAnsi="宋体"/>
          <w:color w:val="auto"/>
          <w:sz w:val="24"/>
          <w:highlight w:val="none"/>
        </w:rPr>
        <w:t>2</w:t>
      </w:r>
      <w:r>
        <w:rPr>
          <w:rFonts w:hint="eastAsia" w:hAnsi="宋体"/>
          <w:color w:val="auto"/>
          <w:sz w:val="24"/>
          <w:highlight w:val="none"/>
        </w:rPr>
        <w:t>、谈判</w:t>
      </w:r>
      <w:r>
        <w:rPr>
          <w:rFonts w:hAnsi="宋体"/>
          <w:color w:val="auto"/>
          <w:sz w:val="24"/>
          <w:highlight w:val="none"/>
        </w:rPr>
        <w:t>办法</w:t>
      </w:r>
      <w:r>
        <w:rPr>
          <w:rFonts w:hint="eastAsia" w:hAnsi="宋体"/>
          <w:color w:val="auto"/>
          <w:sz w:val="24"/>
          <w:highlight w:val="none"/>
        </w:rPr>
        <w:t>：</w:t>
      </w:r>
      <w:r>
        <w:rPr>
          <w:rFonts w:hint="eastAsia"/>
          <w:color w:val="auto"/>
          <w:sz w:val="24"/>
          <w:highlight w:val="none"/>
        </w:rPr>
        <w:t>（1）谈判</w:t>
      </w:r>
      <w:r>
        <w:rPr>
          <w:color w:val="auto"/>
          <w:sz w:val="24"/>
          <w:highlight w:val="none"/>
        </w:rPr>
        <w:t>小组应当从质量和服务均能满足</w:t>
      </w:r>
      <w:r>
        <w:rPr>
          <w:rFonts w:hint="eastAsia"/>
          <w:color w:val="auto"/>
          <w:sz w:val="24"/>
          <w:highlight w:val="none"/>
        </w:rPr>
        <w:t>谈判</w:t>
      </w:r>
      <w:r>
        <w:rPr>
          <w:color w:val="auto"/>
          <w:sz w:val="24"/>
          <w:highlight w:val="none"/>
        </w:rPr>
        <w:t>文件实质性响应要求的供应商中，按照报价由低到高的顺序确定成交候选人。</w:t>
      </w:r>
    </w:p>
    <w:p w14:paraId="4F59D5D1">
      <w:pPr>
        <w:pStyle w:val="17"/>
        <w:spacing w:before="0" w:beforeAutospacing="0" w:after="0" w:afterAutospacing="0" w:line="360" w:lineRule="auto"/>
        <w:ind w:firstLine="600" w:firstLineChars="250"/>
        <w:jc w:val="both"/>
        <w:rPr>
          <w:rFonts w:hint="default" w:ascii="仿宋_GB2312" w:hAnsi="仿宋_GB2312" w:eastAsia="仿宋_GB2312" w:cs="仿宋_GB2312"/>
          <w:color w:val="auto"/>
          <w:kern w:val="2"/>
          <w:highlight w:val="none"/>
          <w:shd w:val="clear" w:color="FFFFFF" w:fill="D9D9D9"/>
        </w:rPr>
      </w:pPr>
      <w:r>
        <w:rPr>
          <w:color w:val="auto"/>
          <w:highlight w:val="none"/>
        </w:rPr>
        <w:t>（2）如遇相同最低报价，则在相同最低报价中重新报价，直至产生最低报价者为成交单位。</w:t>
      </w:r>
    </w:p>
    <w:p w14:paraId="141B8AFB">
      <w:pPr>
        <w:pStyle w:val="9"/>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七</w:t>
      </w:r>
      <w:r>
        <w:rPr>
          <w:rFonts w:hAnsi="宋体"/>
          <w:b/>
          <w:color w:val="auto"/>
          <w:sz w:val="24"/>
          <w:highlight w:val="none"/>
        </w:rPr>
        <w:t>）</w:t>
      </w:r>
      <w:r>
        <w:rPr>
          <w:rFonts w:hint="eastAsia" w:hAnsi="宋体"/>
          <w:b/>
          <w:color w:val="auto"/>
          <w:sz w:val="24"/>
          <w:highlight w:val="none"/>
        </w:rPr>
        <w:t>评审</w:t>
      </w:r>
      <w:r>
        <w:rPr>
          <w:rFonts w:hAnsi="宋体"/>
          <w:b/>
          <w:color w:val="auto"/>
          <w:sz w:val="24"/>
          <w:highlight w:val="none"/>
        </w:rPr>
        <w:t>过程的监控</w:t>
      </w:r>
    </w:p>
    <w:p w14:paraId="5B8E963A">
      <w:pPr>
        <w:pStyle w:val="17"/>
        <w:spacing w:before="0" w:beforeAutospacing="0" w:after="0" w:afterAutospacing="0" w:line="360" w:lineRule="auto"/>
        <w:ind w:firstLine="480" w:firstLineChars="200"/>
        <w:jc w:val="both"/>
        <w:rPr>
          <w:rFonts w:hint="default"/>
          <w:color w:val="auto"/>
          <w:highlight w:val="none"/>
        </w:rPr>
      </w:pPr>
      <w:r>
        <w:rPr>
          <w:color w:val="auto"/>
          <w:highlight w:val="none"/>
        </w:rPr>
        <w:t>本项目评审过程实行全程录音、录像监控，政府采购监管部门视情进行现场监督，供应商在评审过程中所进行的试图影响评审结果的不公正活动，可能导致其谈判响应被拒绝。</w:t>
      </w:r>
    </w:p>
    <w:p w14:paraId="4CFA630E">
      <w:pPr>
        <w:pStyle w:val="4"/>
        <w:jc w:val="center"/>
        <w:rPr>
          <w:color w:val="auto"/>
          <w:highlight w:val="none"/>
        </w:rPr>
      </w:pPr>
      <w:bookmarkStart w:id="12" w:name="_Toc40859290"/>
      <w:r>
        <w:rPr>
          <w:rFonts w:hint="eastAsia"/>
          <w:color w:val="auto"/>
          <w:highlight w:val="none"/>
        </w:rPr>
        <w:t>四</w:t>
      </w:r>
      <w:r>
        <w:rPr>
          <w:color w:val="auto"/>
          <w:highlight w:val="none"/>
        </w:rPr>
        <w:t>、谈判结果确定</w:t>
      </w:r>
      <w:bookmarkEnd w:id="12"/>
    </w:p>
    <w:p w14:paraId="69C2BC90">
      <w:pPr>
        <w:pStyle w:val="17"/>
        <w:spacing w:before="0" w:beforeAutospacing="0" w:after="0" w:afterAutospacing="0" w:line="360" w:lineRule="auto"/>
        <w:ind w:firstLine="600" w:firstLineChars="250"/>
        <w:jc w:val="both"/>
        <w:rPr>
          <w:rFonts w:hint="default"/>
          <w:color w:val="auto"/>
          <w:highlight w:val="none"/>
        </w:rPr>
      </w:pPr>
      <w:r>
        <w:rPr>
          <w:color w:val="auto"/>
          <w:highlight w:val="none"/>
        </w:rP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14:paraId="54EBDD8D">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2、发布成交结果公告。采购组织机构应当在</w:t>
      </w:r>
      <w:r>
        <w:rPr>
          <w:rFonts w:ascii="宋体" w:hAnsi="宋体"/>
          <w:color w:val="auto"/>
          <w:kern w:val="0"/>
          <w:sz w:val="24"/>
          <w:highlight w:val="none"/>
        </w:rPr>
        <w:t>成交供应商确定</w:t>
      </w:r>
      <w:r>
        <w:rPr>
          <w:rFonts w:hint="eastAsia" w:ascii="宋体" w:hAnsi="宋体"/>
          <w:color w:val="auto"/>
          <w:kern w:val="0"/>
          <w:sz w:val="24"/>
          <w:highlight w:val="none"/>
        </w:rPr>
        <w:t>后</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成交结果，并将谈判文件随同公告。</w:t>
      </w:r>
    </w:p>
    <w:p w14:paraId="09C4E3F0">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3、发出成交通知书。采购组织机构在发布成交结果同时，向成交供应商发出成交通知书。</w:t>
      </w:r>
    </w:p>
    <w:p w14:paraId="5FBC9FB0">
      <w:pPr>
        <w:pStyle w:val="4"/>
        <w:jc w:val="center"/>
        <w:rPr>
          <w:color w:val="auto"/>
          <w:highlight w:val="none"/>
        </w:rPr>
      </w:pPr>
      <w:bookmarkStart w:id="13" w:name="_Toc40859291"/>
      <w:r>
        <w:rPr>
          <w:rFonts w:hint="eastAsia"/>
          <w:color w:val="auto"/>
          <w:highlight w:val="none"/>
        </w:rPr>
        <w:t>五、合同签订及公告</w:t>
      </w:r>
      <w:bookmarkEnd w:id="13"/>
    </w:p>
    <w:p w14:paraId="4C01A87D">
      <w:pPr>
        <w:pStyle w:val="8"/>
        <w:ind w:firstLine="482" w:firstLineChars="200"/>
        <w:rPr>
          <w:rFonts w:hAnsi="宋体"/>
          <w:b/>
          <w:color w:val="auto"/>
          <w:szCs w:val="24"/>
          <w:highlight w:val="none"/>
        </w:rPr>
      </w:pPr>
      <w:r>
        <w:rPr>
          <w:rFonts w:hint="eastAsia"/>
          <w:b/>
          <w:color w:val="auto"/>
          <w:szCs w:val="24"/>
          <w:highlight w:val="none"/>
        </w:rPr>
        <w:t>（一）</w:t>
      </w:r>
      <w:r>
        <w:rPr>
          <w:rFonts w:hint="eastAsia" w:hAnsi="宋体"/>
          <w:b/>
          <w:color w:val="auto"/>
          <w:szCs w:val="24"/>
          <w:highlight w:val="none"/>
        </w:rPr>
        <w:t>签订合同</w:t>
      </w:r>
    </w:p>
    <w:p w14:paraId="4477434E">
      <w:pPr>
        <w:pStyle w:val="8"/>
        <w:ind w:firstLine="480" w:firstLineChars="200"/>
        <w:rPr>
          <w:rFonts w:hAnsi="宋体"/>
          <w:color w:val="auto"/>
          <w:szCs w:val="24"/>
          <w:highlight w:val="none"/>
        </w:rPr>
      </w:pPr>
      <w:r>
        <w:rPr>
          <w:rFonts w:hint="eastAsia" w:hAnsi="宋体"/>
          <w:color w:val="auto"/>
          <w:szCs w:val="24"/>
          <w:highlight w:val="none"/>
        </w:rPr>
        <w:t>1、采购人应当自成交通知书发出之日起10个工作日内，</w:t>
      </w:r>
      <w:r>
        <w:rPr>
          <w:color w:val="auto"/>
          <w:szCs w:val="24"/>
          <w:highlight w:val="none"/>
        </w:rPr>
        <w:t>按照</w:t>
      </w:r>
      <w:r>
        <w:rPr>
          <w:rFonts w:hint="eastAsia"/>
          <w:color w:val="auto"/>
          <w:szCs w:val="24"/>
          <w:highlight w:val="none"/>
        </w:rPr>
        <w:t>谈判</w:t>
      </w:r>
      <w:r>
        <w:rPr>
          <w:color w:val="auto"/>
          <w:szCs w:val="24"/>
          <w:highlight w:val="none"/>
        </w:rPr>
        <w:t>采购文件</w:t>
      </w:r>
      <w:r>
        <w:rPr>
          <w:rFonts w:hint="eastAsia"/>
          <w:color w:val="auto"/>
          <w:szCs w:val="24"/>
          <w:highlight w:val="none"/>
        </w:rPr>
        <w:t>确定的合同文本以及采购标的、规格型号、采购金额、采购数量和服务要求等事项签订政府采购合同。</w:t>
      </w:r>
    </w:p>
    <w:p w14:paraId="0DF09DCB">
      <w:pPr>
        <w:pStyle w:val="17"/>
        <w:spacing w:before="0" w:beforeAutospacing="0" w:after="0" w:afterAutospacing="0" w:line="360" w:lineRule="auto"/>
        <w:ind w:firstLine="600" w:firstLineChars="250"/>
        <w:jc w:val="both"/>
        <w:rPr>
          <w:rFonts w:hint="default"/>
          <w:color w:val="auto"/>
          <w:highlight w:val="none"/>
        </w:rPr>
      </w:pPr>
      <w:r>
        <w:rPr>
          <w:color w:val="auto"/>
          <w:highlight w:val="none"/>
        </w:rP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14:paraId="09832B88">
      <w:pPr>
        <w:pStyle w:val="17"/>
        <w:spacing w:before="0" w:beforeAutospacing="0" w:after="0" w:afterAutospacing="0" w:line="360" w:lineRule="auto"/>
        <w:ind w:firstLine="600" w:firstLineChars="250"/>
        <w:jc w:val="both"/>
        <w:rPr>
          <w:rFonts w:hint="default"/>
          <w:color w:val="auto"/>
          <w:highlight w:val="none"/>
        </w:rPr>
      </w:pPr>
      <w:r>
        <w:rPr>
          <w:color w:val="auto"/>
          <w:highlight w:val="none"/>
        </w:rPr>
        <w:t>3、成交供应商无故拖延、拒签合同的,谈判保证金将不予退还并取消成交资格。</w:t>
      </w:r>
    </w:p>
    <w:p w14:paraId="6348E9C5">
      <w:pPr>
        <w:pStyle w:val="17"/>
        <w:spacing w:before="0" w:beforeAutospacing="0" w:after="0" w:afterAutospacing="0" w:line="360" w:lineRule="auto"/>
        <w:ind w:firstLine="600" w:firstLineChars="250"/>
        <w:jc w:val="both"/>
        <w:rPr>
          <w:rFonts w:hint="default"/>
          <w:color w:val="auto"/>
          <w:highlight w:val="none"/>
        </w:rPr>
      </w:pPr>
      <w:r>
        <w:rPr>
          <w:color w:val="auto"/>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071031FE">
      <w:pPr>
        <w:pStyle w:val="17"/>
        <w:spacing w:line="360" w:lineRule="auto"/>
        <w:ind w:firstLine="600" w:firstLineChars="250"/>
        <w:rPr>
          <w:rFonts w:hint="default"/>
          <w:color w:val="auto"/>
          <w:highlight w:val="none"/>
        </w:rPr>
      </w:pPr>
      <w:r>
        <w:rPr>
          <w:color w:val="auto"/>
          <w:highlight w:val="none"/>
        </w:rPr>
        <w:t>5、询问或者质疑事项可能影响成交结果的，采购人应当暂停签订合同，已经签订合同的，应当中止履行合同（成交结果的质疑期为成交结果公告期限届满之日起七个工作日）。</w:t>
      </w:r>
    </w:p>
    <w:p w14:paraId="734B4281">
      <w:pPr>
        <w:pStyle w:val="17"/>
        <w:spacing w:line="360" w:lineRule="auto"/>
        <w:ind w:firstLine="602" w:firstLineChars="250"/>
        <w:rPr>
          <w:rFonts w:hint="default" w:ascii="仿宋_GB2312" w:hAnsi="仿宋_GB2312" w:eastAsia="仿宋_GB2312" w:cs="仿宋_GB2312"/>
          <w:b/>
          <w:color w:val="auto"/>
          <w:highlight w:val="none"/>
        </w:rPr>
      </w:pPr>
      <w:r>
        <w:rPr>
          <w:b/>
          <w:color w:val="auto"/>
          <w:highlight w:val="none"/>
        </w:rPr>
        <w:t>（二）合同公告及备案</w:t>
      </w:r>
    </w:p>
    <w:p w14:paraId="54BADA49">
      <w:pPr>
        <w:pStyle w:val="8"/>
        <w:ind w:firstLine="480" w:firstLineChars="200"/>
        <w:rPr>
          <w:rFonts w:hAnsi="宋体"/>
          <w:color w:val="auto"/>
          <w:szCs w:val="24"/>
          <w:highlight w:val="none"/>
        </w:rPr>
      </w:pPr>
      <w:r>
        <w:rPr>
          <w:rFonts w:hint="eastAsia" w:hAnsi="宋体"/>
          <w:color w:val="auto"/>
          <w:szCs w:val="24"/>
          <w:highlight w:val="none"/>
        </w:rPr>
        <w:t>1、采购人应当自政府采购合同签订之日起2个工作日内，</w:t>
      </w:r>
      <w:r>
        <w:rPr>
          <w:rFonts w:hAnsi="宋体"/>
          <w:color w:val="auto"/>
          <w:szCs w:val="24"/>
          <w:highlight w:val="none"/>
        </w:rPr>
        <w:t>在省级以上财政部门指定的</w:t>
      </w:r>
      <w:r>
        <w:rPr>
          <w:rFonts w:hint="eastAsia" w:hAnsi="宋体"/>
          <w:color w:val="auto"/>
          <w:szCs w:val="24"/>
          <w:highlight w:val="none"/>
        </w:rPr>
        <w:t>政府采购信息发布</w:t>
      </w:r>
      <w:r>
        <w:rPr>
          <w:rFonts w:hAnsi="宋体"/>
          <w:color w:val="auto"/>
          <w:szCs w:val="24"/>
          <w:highlight w:val="none"/>
        </w:rPr>
        <w:t>媒体及相关网站</w:t>
      </w:r>
      <w:r>
        <w:rPr>
          <w:rFonts w:hint="eastAsia" w:hAnsi="宋体"/>
          <w:color w:val="auto"/>
          <w:szCs w:val="24"/>
          <w:highlight w:val="none"/>
        </w:rPr>
        <w:t>上</w:t>
      </w:r>
      <w:r>
        <w:rPr>
          <w:rFonts w:hAnsi="宋体"/>
          <w:color w:val="auto"/>
          <w:szCs w:val="24"/>
          <w:highlight w:val="none"/>
        </w:rPr>
        <w:t>公告</w:t>
      </w:r>
      <w:r>
        <w:rPr>
          <w:rFonts w:hint="eastAsia" w:hAnsi="宋体"/>
          <w:color w:val="auto"/>
          <w:szCs w:val="24"/>
          <w:highlight w:val="none"/>
        </w:rPr>
        <w:t>。</w:t>
      </w:r>
    </w:p>
    <w:p w14:paraId="19EFA1E7">
      <w:pPr>
        <w:pStyle w:val="8"/>
        <w:ind w:firstLine="480" w:firstLineChars="200"/>
        <w:rPr>
          <w:rFonts w:hAnsi="宋体"/>
          <w:color w:val="auto"/>
          <w:szCs w:val="24"/>
          <w:highlight w:val="none"/>
        </w:rPr>
      </w:pPr>
      <w:r>
        <w:rPr>
          <w:rFonts w:hint="eastAsia" w:hAnsi="宋体"/>
          <w:color w:val="auto"/>
          <w:szCs w:val="24"/>
          <w:highlight w:val="none"/>
        </w:rPr>
        <w:t>2、采购人应当自政府采购合同签订之日起7个工作日内，将政府采购合同副本报同级人民政府财政部门备案以及采购组织机构存档。</w:t>
      </w:r>
    </w:p>
    <w:p w14:paraId="3EE17A70">
      <w:pPr>
        <w:widowControl/>
        <w:jc w:val="left"/>
        <w:rPr>
          <w:color w:val="auto"/>
          <w:sz w:val="48"/>
          <w:szCs w:val="48"/>
          <w:highlight w:val="none"/>
        </w:rPr>
      </w:pPr>
      <w:r>
        <w:rPr>
          <w:color w:val="auto"/>
          <w:sz w:val="48"/>
          <w:szCs w:val="48"/>
          <w:highlight w:val="none"/>
        </w:rPr>
        <w:br w:type="page"/>
      </w:r>
    </w:p>
    <w:p w14:paraId="38086FD6">
      <w:pPr>
        <w:pStyle w:val="3"/>
        <w:spacing w:before="0" w:after="0" w:line="360" w:lineRule="auto"/>
        <w:jc w:val="center"/>
        <w:rPr>
          <w:rFonts w:ascii="宋体" w:hAnsi="宋体"/>
          <w:color w:val="auto"/>
          <w:sz w:val="36"/>
          <w:szCs w:val="36"/>
          <w:highlight w:val="none"/>
        </w:rPr>
      </w:pPr>
      <w:bookmarkStart w:id="14" w:name="_Toc40859292"/>
      <w:r>
        <w:rPr>
          <w:rFonts w:hint="eastAsia" w:ascii="宋体" w:hAnsi="宋体"/>
          <w:color w:val="auto"/>
          <w:sz w:val="36"/>
          <w:szCs w:val="36"/>
          <w:highlight w:val="none"/>
        </w:rPr>
        <w:t>第四章  政府采购合同主要条款指引</w:t>
      </w:r>
      <w:bookmarkEnd w:id="14"/>
    </w:p>
    <w:p w14:paraId="0E8AB62F">
      <w:pPr>
        <w:tabs>
          <w:tab w:val="left" w:pos="850"/>
        </w:tabs>
        <w:autoSpaceDE w:val="0"/>
        <w:autoSpaceDN w:val="0"/>
        <w:spacing w:line="400" w:lineRule="exact"/>
        <w:jc w:val="left"/>
        <w:textAlignment w:val="bottom"/>
        <w:rPr>
          <w:rFonts w:ascii="宋体" w:hAnsi="宋体"/>
          <w:color w:val="auto"/>
          <w:highlight w:val="none"/>
        </w:rPr>
      </w:pPr>
      <w:r>
        <w:rPr>
          <w:rFonts w:hint="eastAsia" w:ascii="宋体" w:hAnsi="宋体"/>
          <w:color w:val="auto"/>
          <w:highlight w:val="none"/>
        </w:rPr>
        <w:t xml:space="preserve">  </w:t>
      </w:r>
    </w:p>
    <w:p w14:paraId="421B8078">
      <w:pPr>
        <w:tabs>
          <w:tab w:val="left" w:pos="850"/>
        </w:tabs>
        <w:autoSpaceDE w:val="0"/>
        <w:autoSpaceDN w:val="0"/>
        <w:spacing w:line="288" w:lineRule="auto"/>
        <w:ind w:firstLine="420" w:firstLineChars="200"/>
        <w:jc w:val="left"/>
        <w:textAlignment w:val="bottom"/>
        <w:rPr>
          <w:rFonts w:ascii="宋体" w:hAnsi="宋体"/>
          <w:color w:val="auto"/>
          <w:szCs w:val="21"/>
          <w:highlight w:val="none"/>
        </w:rPr>
      </w:pPr>
      <w:r>
        <w:rPr>
          <w:rFonts w:hint="eastAsia" w:ascii="宋体" w:hAnsi="宋体"/>
          <w:color w:val="auto"/>
          <w:szCs w:val="21"/>
          <w:highlight w:val="none"/>
        </w:rPr>
        <w:t>由招标人(买方)与中标人(卖方)根据本章合同条款格式及投标文件签订</w:t>
      </w:r>
      <w:r>
        <w:rPr>
          <w:rFonts w:hint="eastAsia" w:ascii="宋体" w:hAnsi="宋体"/>
          <w:color w:val="auto"/>
          <w:sz w:val="24"/>
          <w:highlight w:val="none"/>
          <w:u w:val="single"/>
          <w:lang w:eastAsia="zh-CN"/>
        </w:rPr>
        <w:t>2025年三门县“护渔”船舶租赁项目</w:t>
      </w:r>
      <w:r>
        <w:rPr>
          <w:rFonts w:hint="eastAsia" w:ascii="宋体" w:hAnsi="宋体"/>
          <w:color w:val="auto"/>
          <w:sz w:val="24"/>
          <w:highlight w:val="none"/>
          <w:u w:val="single"/>
        </w:rPr>
        <w:t>项目</w:t>
      </w:r>
      <w:r>
        <w:rPr>
          <w:rFonts w:hint="eastAsia" w:ascii="宋体" w:hAnsi="宋体"/>
          <w:color w:val="auto"/>
          <w:szCs w:val="21"/>
          <w:highlight w:val="none"/>
        </w:rPr>
        <w:t>合同。</w:t>
      </w:r>
    </w:p>
    <w:p w14:paraId="0C8F8BDF">
      <w:pPr>
        <w:spacing w:line="288" w:lineRule="auto"/>
        <w:ind w:firstLine="420" w:firstLineChars="200"/>
        <w:rPr>
          <w:rFonts w:ascii="宋体" w:hAnsi="宋体"/>
          <w:color w:val="auto"/>
          <w:szCs w:val="21"/>
          <w:highlight w:val="none"/>
        </w:rPr>
      </w:pPr>
    </w:p>
    <w:p w14:paraId="254E334A">
      <w:pPr>
        <w:tabs>
          <w:tab w:val="left" w:pos="850"/>
        </w:tabs>
        <w:autoSpaceDE w:val="0"/>
        <w:autoSpaceDN w:val="0"/>
        <w:spacing w:line="288" w:lineRule="auto"/>
        <w:ind w:firstLine="420" w:firstLineChars="200"/>
        <w:textAlignment w:val="bottom"/>
        <w:rPr>
          <w:color w:val="auto"/>
          <w:szCs w:val="21"/>
          <w:highlight w:val="none"/>
        </w:rPr>
      </w:pPr>
    </w:p>
    <w:p w14:paraId="53C8440C">
      <w:pPr>
        <w:tabs>
          <w:tab w:val="left" w:pos="850"/>
        </w:tabs>
        <w:autoSpaceDE w:val="0"/>
        <w:autoSpaceDN w:val="0"/>
        <w:spacing w:line="288" w:lineRule="auto"/>
        <w:ind w:firstLine="420" w:firstLineChars="200"/>
        <w:jc w:val="center"/>
        <w:textAlignment w:val="bottom"/>
        <w:rPr>
          <w:rFonts w:eastAsia="黑体"/>
          <w:color w:val="auto"/>
          <w:szCs w:val="21"/>
          <w:highlight w:val="none"/>
        </w:rPr>
      </w:pPr>
    </w:p>
    <w:p w14:paraId="0CF63942">
      <w:pPr>
        <w:tabs>
          <w:tab w:val="left" w:pos="850"/>
        </w:tabs>
        <w:autoSpaceDE w:val="0"/>
        <w:autoSpaceDN w:val="0"/>
        <w:spacing w:line="288" w:lineRule="auto"/>
        <w:ind w:firstLine="422" w:firstLineChars="200"/>
        <w:jc w:val="center"/>
        <w:textAlignment w:val="bottom"/>
        <w:rPr>
          <w:b/>
          <w:color w:val="auto"/>
          <w:szCs w:val="21"/>
          <w:highlight w:val="none"/>
        </w:rPr>
      </w:pPr>
    </w:p>
    <w:p w14:paraId="1E82DFF5">
      <w:pPr>
        <w:tabs>
          <w:tab w:val="left" w:pos="850"/>
        </w:tabs>
        <w:autoSpaceDE w:val="0"/>
        <w:autoSpaceDN w:val="0"/>
        <w:spacing w:line="288" w:lineRule="auto"/>
        <w:ind w:firstLine="422" w:firstLineChars="200"/>
        <w:jc w:val="center"/>
        <w:textAlignment w:val="bottom"/>
        <w:rPr>
          <w:b/>
          <w:color w:val="auto"/>
          <w:szCs w:val="21"/>
          <w:highlight w:val="none"/>
        </w:rPr>
      </w:pPr>
    </w:p>
    <w:p w14:paraId="1077D1BE">
      <w:pPr>
        <w:tabs>
          <w:tab w:val="left" w:pos="850"/>
        </w:tabs>
        <w:autoSpaceDE w:val="0"/>
        <w:autoSpaceDN w:val="0"/>
        <w:spacing w:line="288" w:lineRule="auto"/>
        <w:ind w:firstLine="422" w:firstLineChars="200"/>
        <w:jc w:val="center"/>
        <w:textAlignment w:val="bottom"/>
        <w:rPr>
          <w:b/>
          <w:color w:val="auto"/>
          <w:szCs w:val="21"/>
          <w:highlight w:val="none"/>
        </w:rPr>
      </w:pPr>
    </w:p>
    <w:p w14:paraId="24B5F981">
      <w:pPr>
        <w:tabs>
          <w:tab w:val="left" w:pos="850"/>
        </w:tabs>
        <w:autoSpaceDE w:val="0"/>
        <w:autoSpaceDN w:val="0"/>
        <w:spacing w:line="288" w:lineRule="auto"/>
        <w:ind w:firstLine="422" w:firstLineChars="200"/>
        <w:jc w:val="center"/>
        <w:textAlignment w:val="bottom"/>
        <w:rPr>
          <w:b/>
          <w:color w:val="auto"/>
          <w:szCs w:val="21"/>
          <w:highlight w:val="none"/>
        </w:rPr>
      </w:pPr>
    </w:p>
    <w:p w14:paraId="67F2AD29">
      <w:pPr>
        <w:tabs>
          <w:tab w:val="left" w:pos="850"/>
        </w:tabs>
        <w:autoSpaceDE w:val="0"/>
        <w:autoSpaceDN w:val="0"/>
        <w:spacing w:line="288" w:lineRule="auto"/>
        <w:ind w:firstLine="422" w:firstLineChars="200"/>
        <w:jc w:val="center"/>
        <w:textAlignment w:val="bottom"/>
        <w:rPr>
          <w:b/>
          <w:color w:val="auto"/>
          <w:szCs w:val="21"/>
          <w:highlight w:val="none"/>
        </w:rPr>
      </w:pPr>
    </w:p>
    <w:p w14:paraId="7AA511B2">
      <w:pPr>
        <w:tabs>
          <w:tab w:val="left" w:pos="850"/>
        </w:tabs>
        <w:autoSpaceDE w:val="0"/>
        <w:autoSpaceDN w:val="0"/>
        <w:spacing w:line="288" w:lineRule="auto"/>
        <w:ind w:firstLine="422" w:firstLineChars="200"/>
        <w:jc w:val="center"/>
        <w:textAlignment w:val="bottom"/>
        <w:rPr>
          <w:b/>
          <w:color w:val="auto"/>
          <w:szCs w:val="21"/>
          <w:highlight w:val="none"/>
        </w:rPr>
      </w:pPr>
    </w:p>
    <w:p w14:paraId="1A6670B5">
      <w:pPr>
        <w:tabs>
          <w:tab w:val="left" w:pos="850"/>
        </w:tabs>
        <w:autoSpaceDE w:val="0"/>
        <w:autoSpaceDN w:val="0"/>
        <w:spacing w:line="288" w:lineRule="auto"/>
        <w:ind w:firstLine="422" w:firstLineChars="200"/>
        <w:jc w:val="center"/>
        <w:textAlignment w:val="bottom"/>
        <w:rPr>
          <w:b/>
          <w:color w:val="auto"/>
          <w:szCs w:val="21"/>
          <w:highlight w:val="none"/>
        </w:rPr>
      </w:pPr>
    </w:p>
    <w:p w14:paraId="0E6CDFE4">
      <w:pPr>
        <w:tabs>
          <w:tab w:val="left" w:pos="850"/>
        </w:tabs>
        <w:autoSpaceDE w:val="0"/>
        <w:autoSpaceDN w:val="0"/>
        <w:spacing w:line="288" w:lineRule="auto"/>
        <w:ind w:firstLine="422" w:firstLineChars="200"/>
        <w:jc w:val="center"/>
        <w:textAlignment w:val="bottom"/>
        <w:rPr>
          <w:b/>
          <w:color w:val="auto"/>
          <w:szCs w:val="21"/>
          <w:highlight w:val="none"/>
        </w:rPr>
      </w:pPr>
    </w:p>
    <w:p w14:paraId="1BD12310">
      <w:pPr>
        <w:tabs>
          <w:tab w:val="left" w:pos="850"/>
        </w:tabs>
        <w:autoSpaceDE w:val="0"/>
        <w:autoSpaceDN w:val="0"/>
        <w:spacing w:line="288" w:lineRule="auto"/>
        <w:ind w:firstLine="422" w:firstLineChars="200"/>
        <w:jc w:val="center"/>
        <w:textAlignment w:val="bottom"/>
        <w:rPr>
          <w:b/>
          <w:color w:val="auto"/>
          <w:szCs w:val="21"/>
          <w:highlight w:val="none"/>
        </w:rPr>
      </w:pPr>
    </w:p>
    <w:p w14:paraId="1F75E89A">
      <w:pPr>
        <w:tabs>
          <w:tab w:val="left" w:pos="850"/>
        </w:tabs>
        <w:autoSpaceDE w:val="0"/>
        <w:autoSpaceDN w:val="0"/>
        <w:spacing w:line="288" w:lineRule="auto"/>
        <w:ind w:firstLine="422" w:firstLineChars="200"/>
        <w:jc w:val="center"/>
        <w:textAlignment w:val="bottom"/>
        <w:rPr>
          <w:b/>
          <w:color w:val="auto"/>
          <w:szCs w:val="21"/>
          <w:highlight w:val="none"/>
        </w:rPr>
      </w:pPr>
    </w:p>
    <w:p w14:paraId="6A28A58B">
      <w:pPr>
        <w:tabs>
          <w:tab w:val="left" w:pos="850"/>
        </w:tabs>
        <w:autoSpaceDE w:val="0"/>
        <w:autoSpaceDN w:val="0"/>
        <w:spacing w:line="288" w:lineRule="auto"/>
        <w:ind w:firstLine="422" w:firstLineChars="200"/>
        <w:jc w:val="center"/>
        <w:textAlignment w:val="bottom"/>
        <w:rPr>
          <w:b/>
          <w:color w:val="auto"/>
          <w:szCs w:val="21"/>
          <w:highlight w:val="none"/>
        </w:rPr>
      </w:pPr>
    </w:p>
    <w:p w14:paraId="1BE254B3">
      <w:pPr>
        <w:tabs>
          <w:tab w:val="left" w:pos="850"/>
        </w:tabs>
        <w:autoSpaceDE w:val="0"/>
        <w:autoSpaceDN w:val="0"/>
        <w:spacing w:line="288" w:lineRule="auto"/>
        <w:ind w:firstLine="422" w:firstLineChars="200"/>
        <w:jc w:val="center"/>
        <w:textAlignment w:val="bottom"/>
        <w:rPr>
          <w:b/>
          <w:color w:val="auto"/>
          <w:szCs w:val="21"/>
          <w:highlight w:val="none"/>
        </w:rPr>
      </w:pPr>
    </w:p>
    <w:p w14:paraId="7120EC00">
      <w:pPr>
        <w:tabs>
          <w:tab w:val="left" w:pos="850"/>
        </w:tabs>
        <w:autoSpaceDE w:val="0"/>
        <w:autoSpaceDN w:val="0"/>
        <w:spacing w:line="288" w:lineRule="auto"/>
        <w:ind w:firstLine="422" w:firstLineChars="200"/>
        <w:jc w:val="center"/>
        <w:textAlignment w:val="bottom"/>
        <w:rPr>
          <w:b/>
          <w:color w:val="auto"/>
          <w:szCs w:val="21"/>
          <w:highlight w:val="none"/>
        </w:rPr>
      </w:pPr>
    </w:p>
    <w:p w14:paraId="3537681D">
      <w:pPr>
        <w:tabs>
          <w:tab w:val="left" w:pos="850"/>
        </w:tabs>
        <w:autoSpaceDE w:val="0"/>
        <w:autoSpaceDN w:val="0"/>
        <w:spacing w:line="288" w:lineRule="auto"/>
        <w:textAlignment w:val="bottom"/>
        <w:rPr>
          <w:b/>
          <w:color w:val="auto"/>
          <w:szCs w:val="21"/>
          <w:highlight w:val="none"/>
        </w:rPr>
      </w:pPr>
    </w:p>
    <w:p w14:paraId="7B16BCCD">
      <w:pPr>
        <w:snapToGrid w:val="0"/>
        <w:spacing w:line="430" w:lineRule="atLeast"/>
        <w:jc w:val="center"/>
        <w:rPr>
          <w:rFonts w:ascii="宋体"/>
          <w:color w:val="auto"/>
          <w:sz w:val="36"/>
          <w:highlight w:val="none"/>
        </w:rPr>
      </w:pPr>
    </w:p>
    <w:p w14:paraId="7205E710">
      <w:pPr>
        <w:snapToGrid w:val="0"/>
        <w:spacing w:line="430" w:lineRule="atLeast"/>
        <w:jc w:val="center"/>
        <w:rPr>
          <w:rFonts w:ascii="宋体"/>
          <w:color w:val="auto"/>
          <w:sz w:val="36"/>
          <w:highlight w:val="none"/>
        </w:rPr>
      </w:pPr>
    </w:p>
    <w:p w14:paraId="3C40079C">
      <w:pPr>
        <w:snapToGrid w:val="0"/>
        <w:spacing w:line="430" w:lineRule="atLeast"/>
        <w:jc w:val="center"/>
        <w:rPr>
          <w:rFonts w:ascii="宋体"/>
          <w:color w:val="auto"/>
          <w:sz w:val="36"/>
          <w:highlight w:val="none"/>
        </w:rPr>
      </w:pPr>
    </w:p>
    <w:p w14:paraId="037E06AA">
      <w:pPr>
        <w:snapToGrid w:val="0"/>
        <w:spacing w:line="430" w:lineRule="atLeast"/>
        <w:jc w:val="center"/>
        <w:rPr>
          <w:rFonts w:ascii="宋体"/>
          <w:color w:val="auto"/>
          <w:sz w:val="36"/>
          <w:highlight w:val="none"/>
        </w:rPr>
      </w:pPr>
    </w:p>
    <w:p w14:paraId="6EC8E887">
      <w:pPr>
        <w:snapToGrid w:val="0"/>
        <w:spacing w:line="430" w:lineRule="atLeast"/>
        <w:jc w:val="center"/>
        <w:rPr>
          <w:rFonts w:ascii="宋体"/>
          <w:color w:val="auto"/>
          <w:sz w:val="36"/>
          <w:highlight w:val="none"/>
        </w:rPr>
      </w:pPr>
    </w:p>
    <w:p w14:paraId="4B167717">
      <w:pPr>
        <w:snapToGrid w:val="0"/>
        <w:spacing w:line="430" w:lineRule="atLeast"/>
        <w:jc w:val="center"/>
        <w:rPr>
          <w:rFonts w:ascii="宋体"/>
          <w:color w:val="auto"/>
          <w:sz w:val="36"/>
          <w:highlight w:val="none"/>
        </w:rPr>
      </w:pPr>
    </w:p>
    <w:p w14:paraId="4C5E21F6">
      <w:pPr>
        <w:snapToGrid w:val="0"/>
        <w:spacing w:line="430" w:lineRule="atLeast"/>
        <w:jc w:val="center"/>
        <w:rPr>
          <w:rFonts w:ascii="宋体"/>
          <w:color w:val="auto"/>
          <w:sz w:val="36"/>
          <w:highlight w:val="none"/>
        </w:rPr>
      </w:pPr>
    </w:p>
    <w:p w14:paraId="260BAFE0">
      <w:pPr>
        <w:snapToGrid w:val="0"/>
        <w:spacing w:line="430" w:lineRule="atLeast"/>
        <w:jc w:val="center"/>
        <w:rPr>
          <w:rFonts w:ascii="宋体"/>
          <w:color w:val="auto"/>
          <w:sz w:val="36"/>
          <w:highlight w:val="none"/>
        </w:rPr>
      </w:pPr>
    </w:p>
    <w:p w14:paraId="7DD319EF">
      <w:pPr>
        <w:snapToGrid w:val="0"/>
        <w:spacing w:line="430" w:lineRule="atLeast"/>
        <w:jc w:val="center"/>
        <w:rPr>
          <w:rFonts w:ascii="宋体"/>
          <w:color w:val="auto"/>
          <w:sz w:val="36"/>
          <w:highlight w:val="none"/>
        </w:rPr>
      </w:pPr>
    </w:p>
    <w:p w14:paraId="7204B363">
      <w:pPr>
        <w:snapToGrid w:val="0"/>
        <w:spacing w:line="430" w:lineRule="atLeast"/>
        <w:jc w:val="center"/>
        <w:rPr>
          <w:rFonts w:ascii="宋体"/>
          <w:color w:val="auto"/>
          <w:sz w:val="36"/>
          <w:highlight w:val="none"/>
        </w:rPr>
      </w:pPr>
    </w:p>
    <w:p w14:paraId="5940195E">
      <w:pPr>
        <w:snapToGrid w:val="0"/>
        <w:spacing w:line="430" w:lineRule="atLeast"/>
        <w:jc w:val="center"/>
        <w:rPr>
          <w:rFonts w:ascii="宋体"/>
          <w:color w:val="auto"/>
          <w:sz w:val="36"/>
          <w:highlight w:val="none"/>
        </w:rPr>
      </w:pPr>
    </w:p>
    <w:p w14:paraId="24BF8244">
      <w:pPr>
        <w:snapToGrid w:val="0"/>
        <w:spacing w:line="430" w:lineRule="atLeast"/>
        <w:jc w:val="center"/>
        <w:rPr>
          <w:rFonts w:ascii="宋体"/>
          <w:color w:val="auto"/>
          <w:sz w:val="36"/>
          <w:highlight w:val="none"/>
        </w:rPr>
      </w:pPr>
      <w:r>
        <w:rPr>
          <w:rFonts w:hint="eastAsia" w:ascii="宋体"/>
          <w:color w:val="auto"/>
          <w:sz w:val="36"/>
          <w:highlight w:val="none"/>
        </w:rPr>
        <w:t xml:space="preserve"> </w:t>
      </w:r>
    </w:p>
    <w:p w14:paraId="30083BCE">
      <w:pPr>
        <w:snapToGrid w:val="0"/>
        <w:spacing w:line="430" w:lineRule="atLeast"/>
        <w:jc w:val="center"/>
        <w:rPr>
          <w:rFonts w:ascii="宋体"/>
          <w:color w:val="auto"/>
          <w:sz w:val="36"/>
          <w:highlight w:val="none"/>
        </w:rPr>
      </w:pPr>
      <w:r>
        <w:rPr>
          <w:rFonts w:hint="eastAsia" w:ascii="宋体"/>
          <w:color w:val="auto"/>
          <w:sz w:val="36"/>
          <w:highlight w:val="none"/>
        </w:rPr>
        <w:t>合同格式</w:t>
      </w:r>
    </w:p>
    <w:p w14:paraId="3F16DB85">
      <w:pPr>
        <w:pStyle w:val="9"/>
        <w:snapToGrid w:val="0"/>
        <w:spacing w:line="430" w:lineRule="atLeast"/>
        <w:jc w:val="left"/>
        <w:rPr>
          <w:rFonts w:hAnsi="宋体"/>
          <w:color w:val="auto"/>
          <w:sz w:val="24"/>
          <w:highlight w:val="none"/>
        </w:rPr>
      </w:pPr>
      <w:r>
        <w:rPr>
          <w:rFonts w:hint="eastAsia" w:hAnsi="宋体"/>
          <w:color w:val="auto"/>
          <w:sz w:val="24"/>
          <w:highlight w:val="none"/>
        </w:rPr>
        <w:t xml:space="preserve">                                                      编号  ：</w:t>
      </w:r>
    </w:p>
    <w:p w14:paraId="7186FE83">
      <w:pPr>
        <w:pStyle w:val="9"/>
        <w:snapToGrid w:val="0"/>
        <w:spacing w:after="120" w:line="380" w:lineRule="atLeast"/>
        <w:ind w:firstLine="440"/>
        <w:rPr>
          <w:rFonts w:hAnsi="宋体"/>
          <w:color w:val="auto"/>
          <w:sz w:val="24"/>
          <w:highlight w:val="none"/>
        </w:rPr>
      </w:pPr>
      <w:r>
        <w:rPr>
          <w:rFonts w:hint="eastAsia" w:hAnsi="宋体"/>
          <w:color w:val="auto"/>
          <w:sz w:val="24"/>
          <w:highlight w:val="none"/>
        </w:rPr>
        <w:t>采购人：</w:t>
      </w:r>
      <w:r>
        <w:rPr>
          <w:rFonts w:hint="eastAsia" w:hAnsi="宋体"/>
          <w:color w:val="auto"/>
          <w:sz w:val="24"/>
          <w:highlight w:val="none"/>
          <w:u w:val="single"/>
        </w:rPr>
        <w:t xml:space="preserve">               （以下简称甲方）</w:t>
      </w:r>
    </w:p>
    <w:p w14:paraId="0976BE9C">
      <w:pPr>
        <w:pStyle w:val="9"/>
        <w:snapToGrid w:val="0"/>
        <w:spacing w:after="120" w:line="380" w:lineRule="atLeast"/>
        <w:ind w:firstLine="440"/>
        <w:rPr>
          <w:rFonts w:hAnsi="宋体"/>
          <w:color w:val="auto"/>
          <w:sz w:val="24"/>
          <w:highlight w:val="none"/>
        </w:rPr>
      </w:pPr>
      <w:r>
        <w:rPr>
          <w:rFonts w:hint="eastAsia" w:hAnsi="宋体"/>
          <w:color w:val="auto"/>
          <w:sz w:val="24"/>
          <w:highlight w:val="none"/>
        </w:rPr>
        <w:t>中标供应商：</w:t>
      </w:r>
      <w:r>
        <w:rPr>
          <w:rFonts w:hint="eastAsia" w:hAnsi="宋体"/>
          <w:color w:val="auto"/>
          <w:sz w:val="24"/>
          <w:highlight w:val="none"/>
          <w:u w:val="single"/>
        </w:rPr>
        <w:t>本次采购的中标供应商（以下简称乙方）</w:t>
      </w:r>
    </w:p>
    <w:p w14:paraId="20874F02">
      <w:pPr>
        <w:pStyle w:val="9"/>
        <w:snapToGrid w:val="0"/>
        <w:spacing w:after="120" w:line="380" w:lineRule="atLeast"/>
        <w:ind w:firstLine="480" w:firstLineChars="200"/>
        <w:rPr>
          <w:rFonts w:hAnsi="宋体"/>
          <w:color w:val="auto"/>
          <w:sz w:val="24"/>
          <w:highlight w:val="none"/>
        </w:rPr>
      </w:pPr>
      <w:r>
        <w:rPr>
          <w:rFonts w:hAnsi="宋体"/>
          <w:color w:val="auto"/>
          <w:sz w:val="24"/>
          <w:highlight w:val="none"/>
        </w:rPr>
        <w:t>为确</w:t>
      </w:r>
      <w:r>
        <w:rPr>
          <w:rFonts w:hint="eastAsia" w:hAnsi="宋体"/>
          <w:color w:val="auto"/>
          <w:sz w:val="24"/>
          <w:highlight w:val="none"/>
        </w:rPr>
        <w:t>保</w:t>
      </w:r>
      <w:r>
        <w:rPr>
          <w:rFonts w:hint="eastAsia" w:hAnsi="宋体"/>
          <w:color w:val="auto"/>
          <w:sz w:val="24"/>
          <w:highlight w:val="none"/>
          <w:u w:val="single"/>
          <w:lang w:eastAsia="zh-CN"/>
        </w:rPr>
        <w:t>2025年三门县“护渔”船舶租赁项目</w:t>
      </w:r>
      <w:r>
        <w:rPr>
          <w:rFonts w:hint="eastAsia" w:hAnsi="宋体"/>
          <w:color w:val="auto"/>
          <w:sz w:val="24"/>
          <w:highlight w:val="none"/>
        </w:rPr>
        <w:t>的招标</w:t>
      </w:r>
      <w:r>
        <w:rPr>
          <w:rFonts w:hAnsi="宋体"/>
          <w:color w:val="auto"/>
          <w:sz w:val="24"/>
          <w:highlight w:val="none"/>
        </w:rPr>
        <w:t>要求，甲乙双方为明确双方的责任和义务，根据《中华人民共和国</w:t>
      </w:r>
      <w:r>
        <w:rPr>
          <w:rFonts w:hint="eastAsia" w:hAnsi="宋体"/>
          <w:color w:val="auto"/>
          <w:sz w:val="24"/>
          <w:highlight w:val="none"/>
        </w:rPr>
        <w:t>民法典</w:t>
      </w:r>
      <w:r>
        <w:rPr>
          <w:rFonts w:hAnsi="宋体"/>
          <w:color w:val="auto"/>
          <w:sz w:val="24"/>
          <w:highlight w:val="none"/>
        </w:rPr>
        <w:t>》及有关合同管理条例的规定，经过双方友好协商就下述条款协商一致，甲、乙双方同意按照下面的条款和条件，签署本合同。</w:t>
      </w:r>
    </w:p>
    <w:p w14:paraId="14C9EA39">
      <w:pPr>
        <w:pStyle w:val="9"/>
        <w:numPr>
          <w:ilvl w:val="0"/>
          <w:numId w:val="3"/>
        </w:numPr>
        <w:snapToGrid w:val="0"/>
        <w:spacing w:after="120" w:line="380" w:lineRule="atLeast"/>
        <w:ind w:firstLine="480" w:firstLineChars="200"/>
        <w:rPr>
          <w:rFonts w:hAnsi="宋体"/>
          <w:color w:val="auto"/>
          <w:sz w:val="24"/>
          <w:highlight w:val="none"/>
          <w:u w:val="single"/>
        </w:rPr>
      </w:pPr>
      <w:r>
        <w:rPr>
          <w:rFonts w:hint="eastAsia" w:hAnsi="宋体"/>
          <w:color w:val="auto"/>
          <w:sz w:val="24"/>
          <w:highlight w:val="none"/>
        </w:rPr>
        <w:t>项目名称：</w:t>
      </w:r>
      <w:r>
        <w:rPr>
          <w:rFonts w:hint="eastAsia" w:hAnsi="宋体"/>
          <w:color w:val="auto"/>
          <w:sz w:val="24"/>
          <w:highlight w:val="none"/>
          <w:u w:val="single"/>
          <w:lang w:eastAsia="zh-CN"/>
        </w:rPr>
        <w:t>2025年三门县“护渔”船舶租赁项目</w:t>
      </w:r>
    </w:p>
    <w:p w14:paraId="30D2FE08">
      <w:pPr>
        <w:pStyle w:val="9"/>
        <w:numPr>
          <w:ilvl w:val="0"/>
          <w:numId w:val="3"/>
        </w:numPr>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租赁船数：</w:t>
      </w:r>
      <w:r>
        <w:rPr>
          <w:rFonts w:hint="eastAsia"/>
          <w:color w:val="auto"/>
          <w:sz w:val="24"/>
          <w:highlight w:val="none"/>
        </w:rPr>
        <w:t>1艘（应配齐相应职务船员及普通船员共5名</w:t>
      </w:r>
      <w:r>
        <w:rPr>
          <w:rFonts w:hint="eastAsia" w:hAnsi="宋体"/>
          <w:color w:val="auto"/>
          <w:sz w:val="24"/>
          <w:highlight w:val="none"/>
        </w:rPr>
        <w:t>）。</w:t>
      </w:r>
    </w:p>
    <w:p w14:paraId="653D6521">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3、租赁时间：按实际使用天数计算。</w:t>
      </w:r>
      <w:r>
        <w:rPr>
          <w:rFonts w:hint="eastAsia"/>
          <w:b/>
          <w:bCs/>
          <w:color w:val="auto"/>
          <w:sz w:val="24"/>
          <w:highlight w:val="none"/>
        </w:rPr>
        <w:t>在租赁实际使用期间“护渔”船舶月均出海不少于9日</w:t>
      </w:r>
      <w:r>
        <w:rPr>
          <w:rFonts w:hint="eastAsia"/>
          <w:color w:val="auto"/>
          <w:sz w:val="24"/>
          <w:highlight w:val="none"/>
        </w:rPr>
        <w:t>。</w:t>
      </w:r>
    </w:p>
    <w:p w14:paraId="3C90080A">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4、护渔船服务范围：按采购人要求。</w:t>
      </w:r>
    </w:p>
    <w:p w14:paraId="402EF72D">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5、对租赁渔船的要求：</w:t>
      </w:r>
    </w:p>
    <w:p w14:paraId="5C00DFB0">
      <w:pPr>
        <w:pStyle w:val="9"/>
        <w:adjustRightInd w:val="0"/>
        <w:snapToGrid w:val="0"/>
        <w:spacing w:line="440" w:lineRule="atLeast"/>
        <w:ind w:firstLine="482"/>
        <w:rPr>
          <w:rFonts w:hAnsi="宋体"/>
          <w:b/>
          <w:bCs/>
          <w:color w:val="auto"/>
          <w:sz w:val="24"/>
          <w:highlight w:val="none"/>
        </w:rPr>
      </w:pPr>
      <w:r>
        <w:rPr>
          <w:rFonts w:hint="eastAsia" w:hAnsi="宋体"/>
          <w:b/>
          <w:bCs/>
          <w:color w:val="auto"/>
          <w:sz w:val="24"/>
          <w:highlight w:val="none"/>
        </w:rPr>
        <w:t>1</w:t>
      </w:r>
      <w:r>
        <w:rPr>
          <w:rFonts w:hint="eastAsia" w:hAnsi="宋体"/>
          <w:b/>
          <w:bCs/>
          <w:color w:val="auto"/>
          <w:sz w:val="24"/>
          <w:highlight w:val="none"/>
          <w:lang w:val="en-US" w:eastAsia="zh-CN"/>
        </w:rPr>
        <w:t>)</w:t>
      </w:r>
      <w:r>
        <w:rPr>
          <w:rFonts w:hint="eastAsia" w:hAnsi="宋体"/>
          <w:b/>
          <w:bCs/>
          <w:color w:val="auto"/>
          <w:sz w:val="24"/>
          <w:highlight w:val="none"/>
        </w:rPr>
        <w:t>对租赁渔船的职责要求：</w:t>
      </w:r>
    </w:p>
    <w:p w14:paraId="0DD809CC">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 xml:space="preserve"> （1）负责对三门辖区海域、</w:t>
      </w:r>
      <w:r>
        <w:rPr>
          <w:rFonts w:hAnsi="宋体"/>
          <w:color w:val="auto"/>
          <w:sz w:val="24"/>
          <w:highlight w:val="none"/>
        </w:rPr>
        <w:t>滩涂</w:t>
      </w:r>
      <w:r>
        <w:rPr>
          <w:rFonts w:hint="eastAsia" w:hAnsi="宋体"/>
          <w:color w:val="auto"/>
          <w:sz w:val="24"/>
          <w:highlight w:val="none"/>
        </w:rPr>
        <w:t>违禁渔具的清理工作；</w:t>
      </w:r>
    </w:p>
    <w:p w14:paraId="7CE74628">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 xml:space="preserve"> （2）配合县农业农村局海洋与渔业行政执法队的执法</w:t>
      </w:r>
      <w:r>
        <w:rPr>
          <w:rFonts w:hAnsi="宋体"/>
          <w:color w:val="auto"/>
          <w:sz w:val="24"/>
          <w:highlight w:val="none"/>
        </w:rPr>
        <w:t>工作</w:t>
      </w:r>
      <w:r>
        <w:rPr>
          <w:rFonts w:hint="eastAsia" w:hAnsi="宋体"/>
          <w:color w:val="auto"/>
          <w:sz w:val="24"/>
          <w:highlight w:val="none"/>
        </w:rPr>
        <w:t>（船舶扣押、动态瞭望、港口检查、封港行动等工作）；</w:t>
      </w:r>
    </w:p>
    <w:p w14:paraId="500AD27B">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 xml:space="preserve"> （3）参于海上抢险救灾工作；</w:t>
      </w:r>
    </w:p>
    <w:p w14:paraId="78521921">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 xml:space="preserve"> （4）配合三门县农业农村局其它工作的安排。</w:t>
      </w:r>
    </w:p>
    <w:p w14:paraId="59AAB4A2">
      <w:pPr>
        <w:pStyle w:val="9"/>
        <w:adjustRightInd w:val="0"/>
        <w:snapToGrid w:val="0"/>
        <w:spacing w:line="440" w:lineRule="atLeast"/>
        <w:ind w:firstLine="482"/>
        <w:rPr>
          <w:rFonts w:hAnsi="宋体"/>
          <w:b/>
          <w:bCs/>
          <w:color w:val="auto"/>
          <w:sz w:val="24"/>
          <w:highlight w:val="none"/>
        </w:rPr>
      </w:pPr>
      <w:r>
        <w:rPr>
          <w:rFonts w:hint="eastAsia" w:hAnsi="宋体"/>
          <w:b/>
          <w:bCs/>
          <w:color w:val="auto"/>
          <w:sz w:val="24"/>
          <w:highlight w:val="none"/>
        </w:rPr>
        <w:t>2</w:t>
      </w:r>
      <w:r>
        <w:rPr>
          <w:rFonts w:hint="eastAsia" w:hAnsi="宋体"/>
          <w:b/>
          <w:bCs/>
          <w:color w:val="auto"/>
          <w:sz w:val="24"/>
          <w:highlight w:val="none"/>
          <w:lang w:val="en-US" w:eastAsia="zh-CN"/>
        </w:rPr>
        <w:t>)</w:t>
      </w:r>
      <w:r>
        <w:rPr>
          <w:rFonts w:hint="eastAsia" w:hAnsi="宋体"/>
          <w:b/>
          <w:bCs/>
          <w:color w:val="auto"/>
          <w:sz w:val="24"/>
          <w:highlight w:val="none"/>
        </w:rPr>
        <w:t>对租赁渔船的基本要求：</w:t>
      </w:r>
    </w:p>
    <w:p w14:paraId="6FA1E219">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（1）须持有效的渔业船舶相关证书；（渔业船舶检验证书、登记证书、捕捞许可证或辅助船许可证、国籍证书）。</w:t>
      </w:r>
    </w:p>
    <w:p w14:paraId="1BE63510">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（2）应具备安全适航能力，配齐救生、消防、通信导航等设备；</w:t>
      </w:r>
    </w:p>
    <w:p w14:paraId="02ED5DCA">
      <w:pPr>
        <w:pStyle w:val="9"/>
        <w:adjustRightInd w:val="0"/>
        <w:snapToGrid w:val="0"/>
        <w:spacing w:line="440" w:lineRule="atLeast"/>
        <w:ind w:firstLine="482"/>
        <w:rPr>
          <w:color w:val="auto"/>
          <w:sz w:val="24"/>
          <w:highlight w:val="none"/>
        </w:rPr>
      </w:pPr>
      <w:r>
        <w:rPr>
          <w:rFonts w:hint="eastAsia"/>
          <w:color w:val="auto"/>
          <w:sz w:val="24"/>
          <w:highlight w:val="none"/>
        </w:rPr>
        <w:t>（3）应配齐相应的职务船员及普通船员（共5名），职务船员及普通船员须持有效职务船员证书及专业训练合格证；</w:t>
      </w:r>
    </w:p>
    <w:p w14:paraId="338E8434">
      <w:pPr>
        <w:pStyle w:val="9"/>
        <w:adjustRightInd w:val="0"/>
        <w:snapToGrid w:val="0"/>
        <w:spacing w:line="440" w:lineRule="atLeast"/>
        <w:ind w:firstLine="482"/>
        <w:rPr>
          <w:color w:val="auto"/>
          <w:sz w:val="24"/>
          <w:highlight w:val="none"/>
        </w:rPr>
      </w:pPr>
      <w:r>
        <w:rPr>
          <w:rFonts w:hint="eastAsia"/>
          <w:color w:val="auto"/>
          <w:sz w:val="24"/>
          <w:highlight w:val="none"/>
        </w:rPr>
        <w:t xml:space="preserve"> （4）在租赁期间，船舶必须参保渔业互保协会并有效；</w:t>
      </w:r>
    </w:p>
    <w:p w14:paraId="49A8693C">
      <w:pPr>
        <w:pStyle w:val="9"/>
        <w:adjustRightInd w:val="0"/>
        <w:snapToGrid w:val="0"/>
        <w:spacing w:line="440" w:lineRule="atLeast"/>
        <w:ind w:firstLine="482"/>
        <w:rPr>
          <w:color w:val="auto"/>
          <w:sz w:val="24"/>
          <w:highlight w:val="none"/>
        </w:rPr>
      </w:pPr>
      <w:r>
        <w:rPr>
          <w:rFonts w:hint="eastAsia"/>
          <w:color w:val="auto"/>
          <w:sz w:val="24"/>
          <w:highlight w:val="none"/>
        </w:rPr>
        <w:t xml:space="preserve"> （5）船上应具备良好的生活设施，如床铺、淡水舱、厨房设备、执法人员工作房间（配备空调）等；</w:t>
      </w:r>
    </w:p>
    <w:p w14:paraId="7D8260B1">
      <w:pPr>
        <w:pStyle w:val="9"/>
        <w:adjustRightInd w:val="0"/>
        <w:snapToGrid w:val="0"/>
        <w:spacing w:line="440" w:lineRule="atLeast"/>
        <w:ind w:firstLine="482"/>
        <w:rPr>
          <w:rFonts w:hAnsi="宋体"/>
          <w:b/>
          <w:bCs/>
          <w:color w:val="auto"/>
          <w:sz w:val="24"/>
          <w:highlight w:val="none"/>
        </w:rPr>
      </w:pPr>
      <w:r>
        <w:rPr>
          <w:rFonts w:hint="eastAsia"/>
          <w:b/>
          <w:bCs/>
          <w:color w:val="auto"/>
          <w:sz w:val="24"/>
          <w:highlight w:val="none"/>
        </w:rPr>
        <w:t>（6）船长必须有丰富的船舶驾驶经验，熟悉三门海域和港口的实际海况，能胜任各类网具清理、船舶航行、停泊等工作</w:t>
      </w:r>
      <w:r>
        <w:rPr>
          <w:rFonts w:hint="eastAsia" w:hAnsi="宋体"/>
          <w:b/>
          <w:bCs/>
          <w:color w:val="auto"/>
          <w:sz w:val="24"/>
          <w:highlight w:val="none"/>
        </w:rPr>
        <w:t>；</w:t>
      </w:r>
    </w:p>
    <w:p w14:paraId="5B23CDEE">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（7）在租赁期间船东及船长对船舶自身安全负全责；</w:t>
      </w:r>
    </w:p>
    <w:p w14:paraId="15D25EFA">
      <w:pPr>
        <w:pStyle w:val="9"/>
        <w:adjustRightInd w:val="0"/>
        <w:snapToGrid w:val="0"/>
        <w:spacing w:line="440" w:lineRule="atLeast"/>
        <w:ind w:firstLine="482"/>
        <w:rPr>
          <w:rFonts w:hAnsi="宋体"/>
          <w:color w:val="auto"/>
          <w:sz w:val="24"/>
          <w:highlight w:val="none"/>
        </w:rPr>
      </w:pPr>
      <w:r>
        <w:rPr>
          <w:rFonts w:hint="eastAsia" w:hAnsi="宋体"/>
          <w:color w:val="auto"/>
          <w:sz w:val="24"/>
          <w:highlight w:val="none"/>
        </w:rPr>
        <w:t>（8）船上应具备有效的起网机。</w:t>
      </w:r>
    </w:p>
    <w:p w14:paraId="5536D114">
      <w:pPr>
        <w:pStyle w:val="9"/>
        <w:adjustRightInd w:val="0"/>
        <w:snapToGrid w:val="0"/>
        <w:spacing w:line="440" w:lineRule="atLeast"/>
        <w:rPr>
          <w:rFonts w:hAnsi="宋体"/>
          <w:b/>
          <w:bCs/>
          <w:color w:val="auto"/>
          <w:sz w:val="24"/>
          <w:highlight w:val="none"/>
        </w:rPr>
      </w:pPr>
      <w:r>
        <w:rPr>
          <w:rFonts w:hint="eastAsia" w:hAnsi="宋体"/>
          <w:color w:val="auto"/>
          <w:sz w:val="24"/>
          <w:highlight w:val="none"/>
        </w:rPr>
        <w:t xml:space="preserve"> </w:t>
      </w:r>
      <w:r>
        <w:rPr>
          <w:rFonts w:hint="eastAsia" w:hAnsi="宋体"/>
          <w:b/>
          <w:bCs/>
          <w:color w:val="auto"/>
          <w:sz w:val="24"/>
          <w:highlight w:val="none"/>
        </w:rPr>
        <w:t xml:space="preserve"> 3</w:t>
      </w:r>
      <w:r>
        <w:rPr>
          <w:rFonts w:hint="eastAsia" w:hAnsi="宋体"/>
          <w:b/>
          <w:bCs/>
          <w:color w:val="auto"/>
          <w:sz w:val="24"/>
          <w:highlight w:val="none"/>
          <w:lang w:val="en-US" w:eastAsia="zh-CN"/>
        </w:rPr>
        <w:t>)</w:t>
      </w:r>
      <w:r>
        <w:rPr>
          <w:rFonts w:hint="eastAsia" w:hAnsi="宋体"/>
          <w:b/>
          <w:bCs/>
          <w:color w:val="auto"/>
          <w:sz w:val="24"/>
          <w:highlight w:val="none"/>
        </w:rPr>
        <w:t>操作要求：</w:t>
      </w:r>
    </w:p>
    <w:p w14:paraId="4856F2AB">
      <w:pPr>
        <w:pStyle w:val="9"/>
        <w:adjustRightInd w:val="0"/>
        <w:snapToGrid w:val="0"/>
        <w:spacing w:line="440" w:lineRule="atLeast"/>
        <w:rPr>
          <w:rFonts w:hAnsi="宋体"/>
          <w:b/>
          <w:bCs/>
          <w:color w:val="auto"/>
          <w:sz w:val="24"/>
          <w:highlight w:val="none"/>
        </w:rPr>
      </w:pPr>
      <w:r>
        <w:rPr>
          <w:rFonts w:hint="eastAsia" w:hAnsi="宋体"/>
          <w:b/>
          <w:bCs/>
          <w:color w:val="auto"/>
          <w:sz w:val="24"/>
          <w:highlight w:val="none"/>
        </w:rPr>
        <w:t xml:space="preserve">  （1）“护渔”船舶须悬挂护渔标识牌；</w:t>
      </w:r>
    </w:p>
    <w:p w14:paraId="07D812B2">
      <w:pPr>
        <w:pStyle w:val="9"/>
        <w:adjustRightInd w:val="0"/>
        <w:snapToGrid w:val="0"/>
        <w:spacing w:line="440" w:lineRule="atLeast"/>
        <w:rPr>
          <w:rFonts w:hAnsi="宋体"/>
          <w:b/>
          <w:bCs/>
          <w:color w:val="auto"/>
          <w:sz w:val="24"/>
          <w:highlight w:val="none"/>
        </w:rPr>
      </w:pPr>
      <w:r>
        <w:rPr>
          <w:rFonts w:hint="eastAsia" w:hAnsi="宋体"/>
          <w:b/>
          <w:bCs/>
          <w:color w:val="auto"/>
          <w:sz w:val="24"/>
          <w:highlight w:val="none"/>
        </w:rPr>
        <w:t xml:space="preserve">  （2）在清网过程中，“护渔”船舶船员须在第一时间将清理上的网具做初步损坏，回港后统一叠放并运行送至我单位指定仓库保存。</w:t>
      </w:r>
    </w:p>
    <w:p w14:paraId="7C5C9421">
      <w:pPr>
        <w:pStyle w:val="9"/>
        <w:adjustRightInd w:val="0"/>
        <w:snapToGrid w:val="0"/>
        <w:spacing w:line="440" w:lineRule="atLeast"/>
        <w:rPr>
          <w:rFonts w:hAnsi="宋体"/>
          <w:b/>
          <w:bCs/>
          <w:color w:val="auto"/>
          <w:sz w:val="24"/>
          <w:highlight w:val="none"/>
        </w:rPr>
      </w:pPr>
      <w:r>
        <w:rPr>
          <w:rFonts w:hint="eastAsia" w:hAnsi="宋体"/>
          <w:b/>
          <w:bCs/>
          <w:color w:val="auto"/>
          <w:sz w:val="24"/>
          <w:highlight w:val="none"/>
        </w:rPr>
        <w:t xml:space="preserve">   （3）“护渔”船舶中标后应尽快可投入我单位工作安排，故在招标前应当完成船舶保养、改造等相关要求。</w:t>
      </w:r>
    </w:p>
    <w:p w14:paraId="2CA79294">
      <w:pPr>
        <w:pStyle w:val="9"/>
        <w:adjustRightInd w:val="0"/>
        <w:snapToGrid w:val="0"/>
        <w:spacing w:line="440" w:lineRule="atLeast"/>
        <w:ind w:firstLine="441"/>
        <w:rPr>
          <w:rFonts w:hAnsi="宋体"/>
          <w:b/>
          <w:bCs/>
          <w:color w:val="auto"/>
          <w:sz w:val="24"/>
          <w:highlight w:val="none"/>
        </w:rPr>
      </w:pPr>
      <w:r>
        <w:rPr>
          <w:rFonts w:hint="eastAsia" w:hAnsi="宋体"/>
          <w:b/>
          <w:bCs/>
          <w:color w:val="auto"/>
          <w:sz w:val="24"/>
          <w:highlight w:val="none"/>
        </w:rPr>
        <w:t>（4）“护渔”船租赁期间需要停泊在健跳港</w:t>
      </w:r>
      <w:r>
        <w:rPr>
          <w:rFonts w:hAnsi="宋体"/>
          <w:b/>
          <w:bCs/>
          <w:color w:val="auto"/>
          <w:sz w:val="24"/>
          <w:highlight w:val="none"/>
        </w:rPr>
        <w:t>内</w:t>
      </w:r>
      <w:r>
        <w:rPr>
          <w:rFonts w:hint="eastAsia" w:hAnsi="宋体"/>
          <w:b/>
          <w:bCs/>
          <w:color w:val="auto"/>
          <w:sz w:val="24"/>
          <w:highlight w:val="none"/>
        </w:rPr>
        <w:t>待命。</w:t>
      </w:r>
    </w:p>
    <w:p w14:paraId="7583EB23">
      <w:pPr>
        <w:pStyle w:val="9"/>
        <w:adjustRightInd w:val="0"/>
        <w:snapToGrid w:val="0"/>
        <w:spacing w:line="440" w:lineRule="atLeast"/>
        <w:ind w:firstLine="441"/>
        <w:rPr>
          <w:rFonts w:hAnsi="宋体"/>
          <w:b/>
          <w:bCs/>
          <w:color w:val="auto"/>
          <w:sz w:val="24"/>
          <w:highlight w:val="none"/>
        </w:rPr>
      </w:pPr>
      <w:r>
        <w:rPr>
          <w:rFonts w:hint="eastAsia" w:hAnsi="宋体"/>
          <w:b/>
          <w:bCs/>
          <w:color w:val="auto"/>
          <w:sz w:val="24"/>
          <w:highlight w:val="none"/>
        </w:rPr>
        <w:t>（5）“护渔”船舶如遇机械故障需立即报告并及时修理。</w:t>
      </w:r>
    </w:p>
    <w:p w14:paraId="75E283A9">
      <w:pPr>
        <w:pStyle w:val="9"/>
        <w:adjustRightInd w:val="0"/>
        <w:snapToGrid w:val="0"/>
        <w:spacing w:line="440" w:lineRule="atLeast"/>
        <w:ind w:firstLine="441"/>
        <w:rPr>
          <w:rFonts w:hAnsi="宋体"/>
          <w:b/>
          <w:bCs/>
          <w:color w:val="auto"/>
          <w:sz w:val="24"/>
          <w:highlight w:val="none"/>
        </w:rPr>
      </w:pPr>
      <w:r>
        <w:rPr>
          <w:rFonts w:hint="eastAsia" w:hAnsi="宋体"/>
          <w:b/>
          <w:bCs/>
          <w:color w:val="auto"/>
          <w:sz w:val="24"/>
          <w:highlight w:val="none"/>
        </w:rPr>
        <w:t>（6）“护渔”船舶租赁期间的安全生产及防火、防盗、防台风等工作由船东及船长负全责。</w:t>
      </w:r>
    </w:p>
    <w:p w14:paraId="421A1C68">
      <w:pPr>
        <w:pStyle w:val="9"/>
        <w:adjustRightInd w:val="0"/>
        <w:snapToGrid w:val="0"/>
        <w:spacing w:line="440" w:lineRule="atLeast"/>
        <w:ind w:firstLine="441"/>
        <w:rPr>
          <w:rFonts w:hAnsi="宋体"/>
          <w:b/>
          <w:bCs/>
          <w:color w:val="auto"/>
          <w:sz w:val="24"/>
          <w:highlight w:val="none"/>
        </w:rPr>
      </w:pPr>
      <w:r>
        <w:rPr>
          <w:rFonts w:hint="eastAsia" w:hAnsi="宋体"/>
          <w:b/>
          <w:bCs/>
          <w:color w:val="auto"/>
          <w:sz w:val="24"/>
          <w:highlight w:val="none"/>
        </w:rPr>
        <w:t>（7）如船东聘用船员工作上无法达到我单位工作要求，我单位有权要求船东更换船员或直接指派相关人员上船。</w:t>
      </w:r>
    </w:p>
    <w:p w14:paraId="51819C04">
      <w:pPr>
        <w:pStyle w:val="9"/>
        <w:adjustRightInd w:val="0"/>
        <w:snapToGrid w:val="0"/>
        <w:spacing w:line="440" w:lineRule="atLeast"/>
        <w:ind w:firstLine="441"/>
        <w:rPr>
          <w:rFonts w:hAnsi="宋体"/>
          <w:b/>
          <w:bCs/>
          <w:color w:val="auto"/>
          <w:sz w:val="24"/>
          <w:highlight w:val="none"/>
        </w:rPr>
      </w:pPr>
      <w:r>
        <w:rPr>
          <w:rFonts w:hint="eastAsia" w:hAnsi="宋体"/>
          <w:b/>
          <w:bCs/>
          <w:color w:val="auto"/>
          <w:sz w:val="24"/>
          <w:highlight w:val="none"/>
        </w:rPr>
        <w:t>（8）我单位在执行清网等执法行动时，“护渔”船舶及船员需保密，如出现泄密执法行动的，我单位可终止合同。</w:t>
      </w:r>
    </w:p>
    <w:p w14:paraId="5C1E769A">
      <w:pPr>
        <w:pStyle w:val="9"/>
        <w:adjustRightInd w:val="0"/>
        <w:snapToGrid w:val="0"/>
        <w:spacing w:line="440" w:lineRule="atLeast"/>
        <w:ind w:firstLine="441"/>
        <w:rPr>
          <w:rFonts w:hAnsi="宋体"/>
          <w:b/>
          <w:bCs/>
          <w:color w:val="auto"/>
          <w:sz w:val="24"/>
          <w:highlight w:val="none"/>
        </w:rPr>
      </w:pPr>
      <w:r>
        <w:rPr>
          <w:rFonts w:hint="eastAsia" w:hAnsi="宋体"/>
          <w:b/>
          <w:bCs/>
          <w:color w:val="auto"/>
          <w:sz w:val="24"/>
          <w:highlight w:val="none"/>
        </w:rPr>
        <w:t>（9）“护渔”船舶须如实记录每日航时、航程、人数，清网的具体时间、地点及网具数量，不如实填写或擅自处理清理网具，我单位有权终止合同。</w:t>
      </w:r>
    </w:p>
    <w:p w14:paraId="5158097C">
      <w:pPr>
        <w:pStyle w:val="9"/>
        <w:adjustRightInd w:val="0"/>
        <w:snapToGrid w:val="0"/>
        <w:spacing w:line="440" w:lineRule="atLeast"/>
        <w:ind w:firstLine="441"/>
        <w:rPr>
          <w:rFonts w:hAnsi="宋体"/>
          <w:b/>
          <w:bCs/>
          <w:color w:val="auto"/>
          <w:sz w:val="24"/>
          <w:highlight w:val="none"/>
        </w:rPr>
      </w:pPr>
      <w:r>
        <w:rPr>
          <w:rFonts w:hint="eastAsia" w:hAnsi="宋体"/>
          <w:b/>
          <w:bCs/>
          <w:color w:val="auto"/>
          <w:sz w:val="24"/>
          <w:highlight w:val="none"/>
        </w:rPr>
        <w:t>（10）船上人员不足五人不能出海，无故不服从我单位工作安排的，我单位有权终止租赁合同。</w:t>
      </w:r>
    </w:p>
    <w:p w14:paraId="0322E33E">
      <w:pPr>
        <w:pStyle w:val="9"/>
        <w:adjustRightInd w:val="0"/>
        <w:snapToGrid w:val="0"/>
        <w:spacing w:line="440" w:lineRule="atLeast"/>
        <w:rPr>
          <w:rFonts w:hAnsi="宋体"/>
          <w:color w:val="auto"/>
          <w:sz w:val="24"/>
          <w:highlight w:val="none"/>
        </w:rPr>
      </w:pPr>
      <w:r>
        <w:rPr>
          <w:rFonts w:hint="eastAsia" w:hAnsi="宋体"/>
          <w:color w:val="auto"/>
          <w:sz w:val="24"/>
          <w:highlight w:val="none"/>
        </w:rPr>
        <w:t>7、合同价格：</w:t>
      </w:r>
    </w:p>
    <w:p w14:paraId="11E11C2B">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本合同单船中标综合单价为</w:t>
      </w:r>
      <w:r>
        <w:rPr>
          <w:rFonts w:hint="eastAsia" w:hAnsi="宋体"/>
          <w:color w:val="auto"/>
          <w:sz w:val="24"/>
          <w:highlight w:val="none"/>
          <w:u w:val="single"/>
        </w:rPr>
        <w:t xml:space="preserve">    </w:t>
      </w:r>
      <w:r>
        <w:rPr>
          <w:rFonts w:hint="eastAsia" w:hAnsi="宋体"/>
          <w:color w:val="auto"/>
          <w:sz w:val="24"/>
          <w:highlight w:val="none"/>
        </w:rPr>
        <w:t>元/天，实际按实结算，即结算价=租赁船数*租赁天数×中标供应商投标文件中承诺的单船投标综合单价（元/天）。</w:t>
      </w:r>
    </w:p>
    <w:p w14:paraId="365E3EA4">
      <w:pPr>
        <w:pStyle w:val="23"/>
        <w:spacing w:line="360" w:lineRule="auto"/>
        <w:ind w:firstLine="480"/>
        <w:rPr>
          <w:rFonts w:hAnsi="宋体"/>
          <w:color w:val="auto"/>
          <w:sz w:val="24"/>
          <w:szCs w:val="24"/>
          <w:highlight w:val="none"/>
        </w:rPr>
      </w:pPr>
      <w:r>
        <w:rPr>
          <w:rFonts w:hint="eastAsia" w:hAnsi="宋体"/>
          <w:color w:val="auto"/>
          <w:sz w:val="24"/>
          <w:szCs w:val="24"/>
          <w:highlight w:val="none"/>
        </w:rPr>
        <w:t>此次报价实行固定综合单价包干，即单船投标综合单价一旦确定后，不再进行调整，投标供应商需充分考虑风险。单船投标综合单价报价范围包括：供应商根据招标文件的要求，完成本次单艘护渔船单月租赁服务采购所涉及的所有费用</w:t>
      </w:r>
      <w:r>
        <w:rPr>
          <w:rFonts w:hint="eastAsia" w:hAnsi="宋体"/>
          <w:b/>
          <w:color w:val="auto"/>
          <w:sz w:val="24"/>
          <w:szCs w:val="24"/>
          <w:highlight w:val="none"/>
        </w:rPr>
        <w:t>包括船舶租赁费用、船舶维护保养费、职务船员工资、伙食费</w:t>
      </w:r>
      <w:r>
        <w:rPr>
          <w:rFonts w:hint="eastAsia" w:ascii="Times New Roman" w:hAnsi="Times New Roman"/>
          <w:color w:val="auto"/>
          <w:sz w:val="24"/>
          <w:szCs w:val="24"/>
          <w:highlight w:val="none"/>
        </w:rPr>
        <w:t>、</w:t>
      </w:r>
      <w:r>
        <w:rPr>
          <w:rFonts w:hint="eastAsia" w:hAnsi="宋体"/>
          <w:b/>
          <w:color w:val="auto"/>
          <w:sz w:val="24"/>
          <w:szCs w:val="24"/>
          <w:highlight w:val="none"/>
        </w:rPr>
        <w:t>船舶燃料费（ 供应商报价时自行注意市场价格波动风险，本合同价格保持不变）、船舶财产保险费、船员人身保险费、安全设施费、税金、招标代理费等其他费用）</w:t>
      </w:r>
      <w:r>
        <w:rPr>
          <w:rFonts w:hint="eastAsia" w:hAnsi="宋体"/>
          <w:color w:val="auto"/>
          <w:sz w:val="24"/>
          <w:szCs w:val="24"/>
          <w:highlight w:val="none"/>
        </w:rPr>
        <w:t>。</w:t>
      </w:r>
    </w:p>
    <w:p w14:paraId="44BC16F0">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7、履约保证金</w:t>
      </w:r>
    </w:p>
    <w:p w14:paraId="5B999006">
      <w:pPr>
        <w:pStyle w:val="9"/>
        <w:snapToGrid w:val="0"/>
        <w:spacing w:after="120" w:line="380" w:lineRule="atLeast"/>
        <w:ind w:firstLine="480" w:firstLineChars="200"/>
        <w:rPr>
          <w:rFonts w:hint="eastAsia" w:hAnsi="宋体"/>
          <w:color w:val="auto"/>
          <w:sz w:val="24"/>
          <w:highlight w:val="none"/>
          <w:lang w:eastAsia="zh-CN"/>
        </w:rPr>
      </w:pPr>
      <w:r>
        <w:rPr>
          <w:rFonts w:hint="eastAsia" w:hAnsi="宋体"/>
          <w:color w:val="auto"/>
          <w:sz w:val="24"/>
          <w:highlight w:val="none"/>
          <w:lang w:eastAsia="zh-CN"/>
        </w:rPr>
        <w:t>本项目无履约保证金。</w:t>
      </w:r>
    </w:p>
    <w:p w14:paraId="0657C809">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8、付款方式：每月25日为上月服务费用结算日（遇节假日顺延），中标人每月开具正式发票后，由采购人按月办理付款手续。</w:t>
      </w:r>
    </w:p>
    <w:p w14:paraId="546ED932">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9</w:t>
      </w:r>
      <w:r>
        <w:rPr>
          <w:rFonts w:hAnsi="宋体"/>
          <w:color w:val="auto"/>
          <w:sz w:val="24"/>
          <w:highlight w:val="none"/>
        </w:rPr>
        <w:t>、合同转让和分包</w:t>
      </w:r>
      <w:r>
        <w:rPr>
          <w:rFonts w:hint="eastAsia" w:hAnsi="宋体"/>
          <w:color w:val="auto"/>
          <w:sz w:val="24"/>
          <w:highlight w:val="none"/>
        </w:rPr>
        <w:t>：</w:t>
      </w:r>
      <w:r>
        <w:rPr>
          <w:rFonts w:hAnsi="宋体"/>
          <w:color w:val="auto"/>
          <w:sz w:val="24"/>
          <w:highlight w:val="none"/>
        </w:rPr>
        <w:t>未经甲方书面同意，乙方不得将合同</w:t>
      </w:r>
      <w:r>
        <w:rPr>
          <w:rFonts w:hint="eastAsia" w:hAnsi="宋体"/>
          <w:color w:val="auto"/>
          <w:sz w:val="24"/>
          <w:highlight w:val="none"/>
        </w:rPr>
        <w:t>的全部</w:t>
      </w:r>
      <w:r>
        <w:rPr>
          <w:rFonts w:hAnsi="宋体"/>
          <w:color w:val="auto"/>
          <w:sz w:val="24"/>
          <w:highlight w:val="none"/>
        </w:rPr>
        <w:t>工作转包给第三方。</w:t>
      </w:r>
    </w:p>
    <w:p w14:paraId="6183A73E">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10、验收方法：甲方按招标文件相关要求进行验收，如需要委托第三方验收，验收费用由乙方承担，供应商自行注意报价风险。</w:t>
      </w:r>
    </w:p>
    <w:p w14:paraId="6E440AB1">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11、监督：乙方须严格履行合同要求，接受甲方的监督。</w:t>
      </w:r>
    </w:p>
    <w:p w14:paraId="7D4FC919">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12、</w:t>
      </w:r>
      <w:r>
        <w:rPr>
          <w:rFonts w:hAnsi="宋体"/>
          <w:color w:val="auto"/>
          <w:sz w:val="24"/>
          <w:highlight w:val="none"/>
        </w:rPr>
        <w:t>违约赔偿</w:t>
      </w:r>
    </w:p>
    <w:p w14:paraId="19CCEAC1">
      <w:pPr>
        <w:pStyle w:val="9"/>
        <w:snapToGrid w:val="0"/>
        <w:spacing w:after="120" w:line="380" w:lineRule="atLeast"/>
        <w:ind w:firstLine="480" w:firstLineChars="200"/>
        <w:rPr>
          <w:rFonts w:hAnsi="宋体"/>
          <w:color w:val="auto"/>
          <w:sz w:val="24"/>
          <w:highlight w:val="none"/>
        </w:rPr>
      </w:pPr>
      <w:r>
        <w:rPr>
          <w:rFonts w:hAnsi="宋体"/>
          <w:color w:val="auto"/>
          <w:sz w:val="24"/>
          <w:highlight w:val="none"/>
        </w:rPr>
        <w:t>除不可抗力外，如乙方发生不能按期</w:t>
      </w:r>
      <w:r>
        <w:rPr>
          <w:rFonts w:hint="eastAsia" w:hAnsi="宋体"/>
          <w:color w:val="auto"/>
          <w:sz w:val="24"/>
          <w:highlight w:val="none"/>
        </w:rPr>
        <w:t>服务</w:t>
      </w:r>
      <w:r>
        <w:rPr>
          <w:rFonts w:hAnsi="宋体"/>
          <w:color w:val="auto"/>
          <w:sz w:val="24"/>
          <w:highlight w:val="none"/>
        </w:rPr>
        <w:t>应及时以书面形式通知对方。甲乙双方应本着友好的态度进行协商，妥善解决。</w:t>
      </w:r>
    </w:p>
    <w:p w14:paraId="7C6B7C00">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13</w:t>
      </w:r>
      <w:r>
        <w:rPr>
          <w:rFonts w:hAnsi="宋体"/>
          <w:color w:val="auto"/>
          <w:sz w:val="24"/>
          <w:highlight w:val="none"/>
        </w:rPr>
        <w:t>、违约终止合同</w:t>
      </w:r>
    </w:p>
    <w:p w14:paraId="5C6B5DE9">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13</w:t>
      </w:r>
      <w:r>
        <w:rPr>
          <w:rFonts w:hAnsi="宋体"/>
          <w:color w:val="auto"/>
          <w:sz w:val="24"/>
          <w:highlight w:val="none"/>
        </w:rPr>
        <w:t>.1甲方在乙方存在如下违约情况时，有权考虑并提出终止全部或部分合同。</w:t>
      </w:r>
    </w:p>
    <w:p w14:paraId="4ED0A40F">
      <w:pPr>
        <w:pStyle w:val="9"/>
        <w:snapToGrid w:val="0"/>
        <w:spacing w:after="120" w:line="380" w:lineRule="atLeast"/>
        <w:ind w:firstLine="480" w:firstLineChars="200"/>
        <w:rPr>
          <w:rFonts w:hAnsi="宋体"/>
          <w:color w:val="auto"/>
          <w:sz w:val="24"/>
          <w:highlight w:val="none"/>
        </w:rPr>
      </w:pPr>
      <w:r>
        <w:rPr>
          <w:rFonts w:hAnsi="宋体"/>
          <w:color w:val="auto"/>
          <w:sz w:val="24"/>
          <w:highlight w:val="none"/>
        </w:rPr>
        <w:t>1) 乙方未能在合同规定期限内</w:t>
      </w:r>
      <w:r>
        <w:rPr>
          <w:rFonts w:hint="eastAsia" w:hAnsi="宋体"/>
          <w:color w:val="auto"/>
          <w:sz w:val="24"/>
          <w:highlight w:val="none"/>
        </w:rPr>
        <w:t>提供服务</w:t>
      </w:r>
      <w:r>
        <w:rPr>
          <w:rFonts w:hAnsi="宋体"/>
          <w:color w:val="auto"/>
          <w:sz w:val="24"/>
          <w:highlight w:val="none"/>
        </w:rPr>
        <w:t>。</w:t>
      </w:r>
    </w:p>
    <w:p w14:paraId="265B99F4">
      <w:pPr>
        <w:pStyle w:val="9"/>
        <w:snapToGrid w:val="0"/>
        <w:spacing w:after="120" w:line="380" w:lineRule="atLeast"/>
        <w:ind w:firstLine="480" w:firstLineChars="200"/>
        <w:rPr>
          <w:rFonts w:hAnsi="宋体"/>
          <w:color w:val="auto"/>
          <w:sz w:val="24"/>
          <w:highlight w:val="none"/>
        </w:rPr>
      </w:pPr>
      <w:r>
        <w:rPr>
          <w:rFonts w:hAnsi="宋体"/>
          <w:color w:val="auto"/>
          <w:sz w:val="24"/>
          <w:highlight w:val="none"/>
        </w:rPr>
        <w:t>2) 乙方未能履行合同规定的其他义务。</w:t>
      </w:r>
    </w:p>
    <w:p w14:paraId="29339E1D">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13</w:t>
      </w:r>
      <w:r>
        <w:rPr>
          <w:rFonts w:hAnsi="宋体"/>
          <w:color w:val="auto"/>
          <w:sz w:val="24"/>
          <w:highlight w:val="none"/>
        </w:rPr>
        <w:t>.2乙方应继续执行合同中未中止部分。</w:t>
      </w:r>
    </w:p>
    <w:p w14:paraId="57EE420C">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14、事故责任</w:t>
      </w:r>
    </w:p>
    <w:p w14:paraId="245AAEEC">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w:t>
      </w:r>
      <w:r>
        <w:rPr>
          <w:rFonts w:hint="eastAsia" w:hAnsi="宋体"/>
          <w:color w:val="auto"/>
          <w:sz w:val="24"/>
          <w:highlight w:val="none"/>
        </w:rPr>
        <w:t xml:space="preserve"> </w:t>
      </w:r>
      <w:r>
        <w:rPr>
          <w:rFonts w:hAnsi="宋体"/>
          <w:color w:val="auto"/>
          <w:sz w:val="24"/>
          <w:highlight w:val="none"/>
        </w:rPr>
        <w:t>在</w:t>
      </w:r>
      <w:r>
        <w:rPr>
          <w:rFonts w:hint="eastAsia" w:hAnsi="宋体"/>
          <w:color w:val="auto"/>
          <w:sz w:val="24"/>
          <w:highlight w:val="none"/>
        </w:rPr>
        <w:t>服务</w:t>
      </w:r>
      <w:r>
        <w:rPr>
          <w:rFonts w:hAnsi="宋体"/>
          <w:color w:val="auto"/>
          <w:sz w:val="24"/>
          <w:highlight w:val="none"/>
        </w:rPr>
        <w:t>期内，乙方应为其执行本合同所</w:t>
      </w:r>
      <w:r>
        <w:rPr>
          <w:rFonts w:hint="eastAsia" w:hAnsi="宋体"/>
          <w:color w:val="auto"/>
          <w:sz w:val="24"/>
          <w:highlight w:val="none"/>
        </w:rPr>
        <w:t>投入</w:t>
      </w:r>
      <w:r>
        <w:rPr>
          <w:rFonts w:hAnsi="宋体"/>
          <w:color w:val="auto"/>
          <w:sz w:val="24"/>
          <w:highlight w:val="none"/>
        </w:rPr>
        <w:t>的</w:t>
      </w:r>
      <w:r>
        <w:rPr>
          <w:rFonts w:hint="eastAsia" w:hAnsi="宋体"/>
          <w:color w:val="auto"/>
          <w:sz w:val="24"/>
          <w:highlight w:val="none"/>
        </w:rPr>
        <w:t>船舶</w:t>
      </w:r>
      <w:r>
        <w:rPr>
          <w:rFonts w:hAnsi="宋体"/>
          <w:color w:val="auto"/>
          <w:sz w:val="24"/>
          <w:highlight w:val="none"/>
        </w:rPr>
        <w:t>投保</w:t>
      </w:r>
      <w:r>
        <w:rPr>
          <w:rFonts w:hint="eastAsia" w:hAnsi="宋体"/>
          <w:color w:val="auto"/>
          <w:sz w:val="24"/>
          <w:highlight w:val="none"/>
        </w:rPr>
        <w:t>船舶财产保险费</w:t>
      </w:r>
      <w:r>
        <w:rPr>
          <w:rFonts w:hAnsi="宋体"/>
          <w:color w:val="auto"/>
          <w:sz w:val="24"/>
          <w:highlight w:val="none"/>
        </w:rPr>
        <w:t>，以保证甲方在乙方工作</w:t>
      </w:r>
      <w:r>
        <w:rPr>
          <w:rFonts w:hint="eastAsia" w:hAnsi="宋体"/>
          <w:color w:val="auto"/>
          <w:sz w:val="24"/>
          <w:highlight w:val="none"/>
        </w:rPr>
        <w:t>船舶</w:t>
      </w:r>
      <w:r>
        <w:rPr>
          <w:rFonts w:hAnsi="宋体"/>
          <w:color w:val="auto"/>
          <w:sz w:val="24"/>
          <w:highlight w:val="none"/>
        </w:rPr>
        <w:t>索偿时不受任何责任的约束。</w:t>
      </w:r>
    </w:p>
    <w:p w14:paraId="131FC135">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w:t>
      </w:r>
      <w:r>
        <w:rPr>
          <w:rFonts w:hint="eastAsia" w:hAnsi="宋体"/>
          <w:color w:val="auto"/>
          <w:sz w:val="24"/>
          <w:highlight w:val="none"/>
        </w:rPr>
        <w:t xml:space="preserve"> </w:t>
      </w:r>
      <w:r>
        <w:rPr>
          <w:rFonts w:hAnsi="宋体"/>
          <w:color w:val="auto"/>
          <w:sz w:val="24"/>
          <w:highlight w:val="none"/>
        </w:rPr>
        <w:t>在</w:t>
      </w:r>
      <w:r>
        <w:rPr>
          <w:rFonts w:hint="eastAsia" w:hAnsi="宋体"/>
          <w:color w:val="auto"/>
          <w:sz w:val="24"/>
          <w:highlight w:val="none"/>
        </w:rPr>
        <w:t>服务</w:t>
      </w:r>
      <w:r>
        <w:rPr>
          <w:rFonts w:hAnsi="宋体"/>
          <w:color w:val="auto"/>
          <w:sz w:val="24"/>
          <w:highlight w:val="none"/>
        </w:rPr>
        <w:t>期内，乙方应为其执行本合同所雇佣的</w:t>
      </w:r>
      <w:r>
        <w:rPr>
          <w:rFonts w:hint="eastAsia" w:hAnsi="宋体"/>
          <w:color w:val="auto"/>
          <w:sz w:val="24"/>
          <w:highlight w:val="none"/>
        </w:rPr>
        <w:t>船员</w:t>
      </w:r>
      <w:r>
        <w:rPr>
          <w:rFonts w:hAnsi="宋体"/>
          <w:color w:val="auto"/>
          <w:sz w:val="24"/>
          <w:highlight w:val="none"/>
        </w:rPr>
        <w:t>承担工伤事故责任。</w:t>
      </w:r>
    </w:p>
    <w:p w14:paraId="64234137">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3</w:t>
      </w:r>
      <w:r>
        <w:rPr>
          <w:rFonts w:hAnsi="宋体"/>
          <w:color w:val="auto"/>
          <w:sz w:val="24"/>
          <w:highlight w:val="none"/>
        </w:rPr>
        <w:t>)</w:t>
      </w:r>
      <w:r>
        <w:rPr>
          <w:rFonts w:hint="eastAsia" w:hAnsi="宋体"/>
          <w:color w:val="auto"/>
          <w:sz w:val="24"/>
          <w:highlight w:val="none"/>
        </w:rPr>
        <w:t xml:space="preserve"> </w:t>
      </w:r>
      <w:r>
        <w:rPr>
          <w:rFonts w:hAnsi="宋体"/>
          <w:color w:val="auto"/>
          <w:sz w:val="24"/>
          <w:highlight w:val="none"/>
        </w:rPr>
        <w:t>在</w:t>
      </w:r>
      <w:r>
        <w:rPr>
          <w:rFonts w:hint="eastAsia" w:hAnsi="宋体"/>
          <w:color w:val="auto"/>
          <w:sz w:val="24"/>
          <w:highlight w:val="none"/>
        </w:rPr>
        <w:t>服务</w:t>
      </w:r>
      <w:r>
        <w:rPr>
          <w:rFonts w:hAnsi="宋体"/>
          <w:color w:val="auto"/>
          <w:sz w:val="24"/>
          <w:highlight w:val="none"/>
        </w:rPr>
        <w:t>期内，乙方应为其执行本合同所雇佣的</w:t>
      </w:r>
      <w:r>
        <w:rPr>
          <w:rFonts w:hint="eastAsia" w:hAnsi="宋体"/>
          <w:color w:val="auto"/>
          <w:sz w:val="24"/>
          <w:highlight w:val="none"/>
        </w:rPr>
        <w:t>船员</w:t>
      </w:r>
      <w:r>
        <w:rPr>
          <w:rFonts w:hAnsi="宋体"/>
          <w:color w:val="auto"/>
          <w:sz w:val="24"/>
          <w:highlight w:val="none"/>
        </w:rPr>
        <w:t>投保人身意外伤害险，以保证甲方在乙方工作人员索偿时不受任何责任的约束。</w:t>
      </w:r>
    </w:p>
    <w:p w14:paraId="528B7ACD">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15</w:t>
      </w:r>
      <w:r>
        <w:rPr>
          <w:rFonts w:hAnsi="宋体"/>
          <w:color w:val="auto"/>
          <w:sz w:val="24"/>
          <w:highlight w:val="none"/>
        </w:rPr>
        <w:t>、</w:t>
      </w:r>
      <w:r>
        <w:rPr>
          <w:rFonts w:hint="eastAsia" w:hAnsi="宋体"/>
          <w:color w:val="auto"/>
          <w:sz w:val="24"/>
          <w:highlight w:val="none"/>
        </w:rPr>
        <w:t>争议解决方法</w:t>
      </w:r>
    </w:p>
    <w:p w14:paraId="75439D21">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15</w:t>
      </w:r>
      <w:r>
        <w:rPr>
          <w:rFonts w:hAnsi="宋体"/>
          <w:color w:val="auto"/>
          <w:sz w:val="24"/>
          <w:highlight w:val="none"/>
        </w:rPr>
        <w:t>.1凡有关本合同或执行本合同中发生的争端，甲、乙双方应通过友好协商，妥善解决。如通过协商仍不能解决时，</w:t>
      </w:r>
      <w:r>
        <w:rPr>
          <w:rFonts w:hint="eastAsia" w:hAnsi="宋体"/>
          <w:color w:val="auto"/>
          <w:sz w:val="24"/>
          <w:highlight w:val="none"/>
        </w:rPr>
        <w:t>可向甲方所在地有管辖权的人民法院起诉</w:t>
      </w:r>
      <w:r>
        <w:rPr>
          <w:rFonts w:hAnsi="宋体"/>
          <w:color w:val="auto"/>
          <w:sz w:val="24"/>
          <w:highlight w:val="none"/>
        </w:rPr>
        <w:t>。</w:t>
      </w:r>
    </w:p>
    <w:p w14:paraId="407D038B">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15</w:t>
      </w:r>
      <w:r>
        <w:rPr>
          <w:rFonts w:hAnsi="宋体"/>
          <w:color w:val="auto"/>
          <w:sz w:val="24"/>
          <w:highlight w:val="none"/>
        </w:rPr>
        <w:t>.</w:t>
      </w:r>
      <w:r>
        <w:rPr>
          <w:rFonts w:hint="eastAsia" w:hAnsi="宋体"/>
          <w:color w:val="auto"/>
          <w:sz w:val="24"/>
          <w:highlight w:val="none"/>
        </w:rPr>
        <w:t>2</w:t>
      </w:r>
      <w:r>
        <w:rPr>
          <w:rFonts w:hAnsi="宋体"/>
          <w:color w:val="auto"/>
          <w:sz w:val="24"/>
          <w:highlight w:val="none"/>
        </w:rPr>
        <w:t>在</w:t>
      </w:r>
      <w:r>
        <w:rPr>
          <w:rFonts w:hint="eastAsia" w:hAnsi="宋体"/>
          <w:color w:val="auto"/>
          <w:sz w:val="24"/>
          <w:highlight w:val="none"/>
        </w:rPr>
        <w:t>法院受理</w:t>
      </w:r>
      <w:r>
        <w:rPr>
          <w:rFonts w:hAnsi="宋体"/>
          <w:color w:val="auto"/>
          <w:sz w:val="24"/>
          <w:highlight w:val="none"/>
        </w:rPr>
        <w:t>期间，除正在进行</w:t>
      </w:r>
      <w:r>
        <w:rPr>
          <w:rFonts w:hint="eastAsia" w:hAnsi="宋体"/>
          <w:color w:val="auto"/>
          <w:sz w:val="24"/>
          <w:highlight w:val="none"/>
        </w:rPr>
        <w:t>受理</w:t>
      </w:r>
      <w:r>
        <w:rPr>
          <w:rFonts w:hAnsi="宋体"/>
          <w:color w:val="auto"/>
          <w:sz w:val="24"/>
          <w:highlight w:val="none"/>
        </w:rPr>
        <w:t>的部分外，本合同其他部分应继续执行。</w:t>
      </w:r>
    </w:p>
    <w:p w14:paraId="0A0906EC">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16</w:t>
      </w:r>
      <w:r>
        <w:rPr>
          <w:rFonts w:hAnsi="宋体"/>
          <w:color w:val="auto"/>
          <w:sz w:val="24"/>
          <w:highlight w:val="none"/>
        </w:rPr>
        <w:t>、适用法律：本合同按照中华人民共和国的有关法律进行解释。</w:t>
      </w:r>
    </w:p>
    <w:p w14:paraId="40C5A54C">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17</w:t>
      </w:r>
      <w:r>
        <w:rPr>
          <w:rFonts w:hAnsi="宋体"/>
          <w:color w:val="auto"/>
          <w:sz w:val="24"/>
          <w:highlight w:val="none"/>
        </w:rPr>
        <w:t>、未尽事宜：未尽事宜，甲、乙双方协商解决。</w:t>
      </w:r>
    </w:p>
    <w:p w14:paraId="14DD632E">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18、合同生效</w:t>
      </w:r>
    </w:p>
    <w:p w14:paraId="30D56C6D">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18</w:t>
      </w:r>
      <w:r>
        <w:rPr>
          <w:rFonts w:hAnsi="宋体"/>
          <w:color w:val="auto"/>
          <w:sz w:val="24"/>
          <w:highlight w:val="none"/>
        </w:rPr>
        <w:t>.1</w:t>
      </w:r>
      <w:r>
        <w:rPr>
          <w:rFonts w:hint="eastAsia" w:hAnsi="宋体"/>
          <w:color w:val="auto"/>
          <w:sz w:val="24"/>
          <w:highlight w:val="none"/>
        </w:rPr>
        <w:t>如上述文件与本合同有不符之处，以有利于采购人的为准。</w:t>
      </w:r>
    </w:p>
    <w:p w14:paraId="642BB47A">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18</w:t>
      </w:r>
      <w:r>
        <w:rPr>
          <w:rFonts w:hAnsi="宋体"/>
          <w:color w:val="auto"/>
          <w:sz w:val="24"/>
          <w:highlight w:val="none"/>
        </w:rPr>
        <w:t>.</w:t>
      </w:r>
      <w:r>
        <w:rPr>
          <w:rFonts w:hint="eastAsia" w:hAnsi="宋体"/>
          <w:color w:val="auto"/>
          <w:sz w:val="24"/>
          <w:highlight w:val="none"/>
        </w:rPr>
        <w:t>2本合同</w:t>
      </w:r>
      <w:r>
        <w:rPr>
          <w:rFonts w:hint="eastAsia" w:hAnsi="宋体"/>
          <w:color w:val="auto"/>
          <w:sz w:val="24"/>
          <w:highlight w:val="none"/>
          <w:lang w:eastAsia="zh-CN"/>
        </w:rPr>
        <w:t>甲乙</w:t>
      </w:r>
      <w:r>
        <w:rPr>
          <w:rFonts w:hint="eastAsia" w:hAnsi="宋体"/>
          <w:color w:val="auto"/>
          <w:sz w:val="24"/>
          <w:highlight w:val="none"/>
        </w:rPr>
        <w:t>双方法定代表人或授权代表签署并加盖印章后生效。</w:t>
      </w:r>
    </w:p>
    <w:p w14:paraId="371944CC">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18</w:t>
      </w:r>
      <w:r>
        <w:rPr>
          <w:rFonts w:hAnsi="宋体"/>
          <w:color w:val="auto"/>
          <w:sz w:val="24"/>
          <w:highlight w:val="none"/>
        </w:rPr>
        <w:t>.</w:t>
      </w:r>
      <w:r>
        <w:rPr>
          <w:rFonts w:hint="eastAsia" w:hAnsi="宋体"/>
          <w:color w:val="auto"/>
          <w:sz w:val="24"/>
          <w:highlight w:val="none"/>
        </w:rPr>
        <w:t>3</w:t>
      </w:r>
      <w:r>
        <w:rPr>
          <w:rFonts w:hAnsi="宋体"/>
          <w:color w:val="auto"/>
          <w:sz w:val="24"/>
          <w:highlight w:val="none"/>
        </w:rPr>
        <w:t>本合同正本</w:t>
      </w:r>
      <w:r>
        <w:rPr>
          <w:rFonts w:hint="eastAsia" w:hAnsi="宋体"/>
          <w:color w:val="auto"/>
          <w:sz w:val="24"/>
          <w:highlight w:val="none"/>
        </w:rPr>
        <w:t>贰</w:t>
      </w:r>
      <w:r>
        <w:rPr>
          <w:rFonts w:hAnsi="宋体"/>
          <w:color w:val="auto"/>
          <w:sz w:val="24"/>
          <w:highlight w:val="none"/>
        </w:rPr>
        <w:t>份</w:t>
      </w:r>
      <w:r>
        <w:rPr>
          <w:rFonts w:hint="eastAsia" w:hAnsi="宋体"/>
          <w:color w:val="auto"/>
          <w:sz w:val="24"/>
          <w:highlight w:val="none"/>
        </w:rPr>
        <w:t>副本贰份</w:t>
      </w:r>
      <w:r>
        <w:rPr>
          <w:rFonts w:hAnsi="宋体"/>
          <w:color w:val="auto"/>
          <w:sz w:val="24"/>
          <w:highlight w:val="none"/>
        </w:rPr>
        <w:t>，</w:t>
      </w:r>
      <w:r>
        <w:rPr>
          <w:rFonts w:hint="eastAsia" w:hAnsi="宋体"/>
          <w:color w:val="auto"/>
          <w:sz w:val="24"/>
          <w:highlight w:val="none"/>
        </w:rPr>
        <w:t>甲乙双方各执一正一副</w:t>
      </w:r>
      <w:r>
        <w:rPr>
          <w:rFonts w:hAnsi="宋体"/>
          <w:color w:val="auto"/>
          <w:sz w:val="24"/>
          <w:highlight w:val="none"/>
        </w:rPr>
        <w:t>。</w:t>
      </w:r>
    </w:p>
    <w:p w14:paraId="55D2DBE1">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19、合同附件</w:t>
      </w:r>
    </w:p>
    <w:p w14:paraId="30E7CBCA">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下列文件与本合同具有同等法律效力：</w:t>
      </w:r>
    </w:p>
    <w:p w14:paraId="4D3BA357">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1、采购人的招标文件与补充文件；</w:t>
      </w:r>
    </w:p>
    <w:p w14:paraId="0979BD4A">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2、中标供应商投标文件；</w:t>
      </w:r>
    </w:p>
    <w:p w14:paraId="1737A5AD">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3、询标纪要和承诺书。</w:t>
      </w:r>
    </w:p>
    <w:p w14:paraId="2CCCA00B">
      <w:pPr>
        <w:pStyle w:val="9"/>
        <w:snapToGrid w:val="0"/>
        <w:spacing w:after="120" w:line="380" w:lineRule="atLeast"/>
        <w:ind w:firstLine="480" w:firstLineChars="200"/>
        <w:rPr>
          <w:rFonts w:hAnsi="宋体"/>
          <w:color w:val="auto"/>
          <w:sz w:val="24"/>
          <w:highlight w:val="none"/>
        </w:rPr>
      </w:pPr>
      <w:r>
        <w:rPr>
          <w:rFonts w:hint="eastAsia" w:hAnsi="宋体"/>
          <w:color w:val="auto"/>
          <w:sz w:val="24"/>
          <w:highlight w:val="none"/>
        </w:rPr>
        <w:t>4、中标通知书</w:t>
      </w:r>
    </w:p>
    <w:p w14:paraId="0526B20B">
      <w:pPr>
        <w:autoSpaceDE w:val="0"/>
        <w:autoSpaceDN w:val="0"/>
        <w:adjustRightInd w:val="0"/>
        <w:spacing w:line="380" w:lineRule="atLeast"/>
        <w:rPr>
          <w:rFonts w:ascii="宋体"/>
          <w:color w:val="auto"/>
          <w:sz w:val="24"/>
          <w:highlight w:val="none"/>
          <w:lang w:val="zh-CN"/>
        </w:rPr>
      </w:pPr>
    </w:p>
    <w:p w14:paraId="151FCAB7">
      <w:pPr>
        <w:pStyle w:val="9"/>
        <w:spacing w:after="120" w:line="380" w:lineRule="atLeast"/>
        <w:ind w:firstLine="440"/>
        <w:rPr>
          <w:rFonts w:hAnsi="宋体" w:cs="Arial"/>
          <w:color w:val="auto"/>
          <w:sz w:val="24"/>
          <w:highlight w:val="none"/>
        </w:rPr>
      </w:pPr>
      <w:r>
        <w:rPr>
          <w:rFonts w:hint="eastAsia" w:hAnsi="宋体" w:cs="Arial"/>
          <w:color w:val="auto"/>
          <w:sz w:val="24"/>
          <w:highlight w:val="none"/>
        </w:rPr>
        <w:t>甲方(盖章)：                                   乙方：</w:t>
      </w:r>
    </w:p>
    <w:p w14:paraId="27A7BA67">
      <w:pPr>
        <w:pStyle w:val="9"/>
        <w:spacing w:after="120" w:line="380" w:lineRule="atLeast"/>
        <w:ind w:firstLine="440"/>
        <w:rPr>
          <w:rFonts w:hAnsi="宋体" w:cs="Arial"/>
          <w:color w:val="auto"/>
          <w:sz w:val="24"/>
          <w:highlight w:val="none"/>
        </w:rPr>
      </w:pPr>
      <w:r>
        <w:rPr>
          <w:rFonts w:hint="eastAsia" w:hAnsi="宋体" w:cs="Arial"/>
          <w:color w:val="auto"/>
          <w:sz w:val="24"/>
          <w:highlight w:val="none"/>
        </w:rPr>
        <w:t>法定代表人或授权代表：                         法定代表人或授权代表：</w:t>
      </w:r>
    </w:p>
    <w:p w14:paraId="6F903A7D">
      <w:pPr>
        <w:pStyle w:val="9"/>
        <w:spacing w:after="120" w:line="380" w:lineRule="atLeast"/>
        <w:ind w:firstLine="440"/>
        <w:rPr>
          <w:rFonts w:hAnsi="宋体" w:cs="Arial"/>
          <w:color w:val="auto"/>
          <w:sz w:val="24"/>
          <w:highlight w:val="none"/>
        </w:rPr>
      </w:pPr>
      <w:r>
        <w:rPr>
          <w:rFonts w:hint="eastAsia" w:hAnsi="宋体" w:cs="Arial"/>
          <w:color w:val="auto"/>
          <w:sz w:val="24"/>
          <w:highlight w:val="none"/>
        </w:rPr>
        <w:t>开户银行：                                     开户银行：</w:t>
      </w:r>
    </w:p>
    <w:p w14:paraId="59A2D2D3">
      <w:pPr>
        <w:pStyle w:val="9"/>
        <w:spacing w:after="120" w:line="380" w:lineRule="atLeast"/>
        <w:ind w:firstLine="440"/>
        <w:rPr>
          <w:rFonts w:hAnsi="宋体" w:cs="Arial"/>
          <w:color w:val="auto"/>
          <w:sz w:val="24"/>
          <w:highlight w:val="none"/>
        </w:rPr>
      </w:pPr>
      <w:r>
        <w:rPr>
          <w:rFonts w:hint="eastAsia" w:hAnsi="宋体" w:cs="Arial"/>
          <w:color w:val="auto"/>
          <w:sz w:val="24"/>
          <w:highlight w:val="none"/>
        </w:rPr>
        <w:t>开户名称：                                     开户名称：</w:t>
      </w:r>
    </w:p>
    <w:p w14:paraId="2FC3AC61">
      <w:pPr>
        <w:pStyle w:val="9"/>
        <w:spacing w:after="120" w:line="380" w:lineRule="atLeast"/>
        <w:ind w:firstLine="440"/>
        <w:rPr>
          <w:rFonts w:hAnsi="宋体" w:cs="Arial"/>
          <w:color w:val="auto"/>
          <w:sz w:val="24"/>
          <w:highlight w:val="none"/>
        </w:rPr>
      </w:pPr>
      <w:r>
        <w:rPr>
          <w:rFonts w:hint="eastAsia" w:hAnsi="宋体" w:cs="Arial"/>
          <w:color w:val="auto"/>
          <w:sz w:val="24"/>
          <w:highlight w:val="none"/>
        </w:rPr>
        <w:t>账号：                                         账号：</w:t>
      </w:r>
    </w:p>
    <w:p w14:paraId="526AF978">
      <w:pPr>
        <w:pStyle w:val="9"/>
        <w:spacing w:after="120" w:line="380" w:lineRule="atLeast"/>
        <w:ind w:firstLine="440"/>
        <w:rPr>
          <w:rFonts w:hAnsi="宋体" w:cs="Arial"/>
          <w:color w:val="auto"/>
          <w:sz w:val="24"/>
          <w:highlight w:val="none"/>
        </w:rPr>
      </w:pPr>
      <w:r>
        <w:rPr>
          <w:rFonts w:hint="eastAsia" w:hAnsi="宋体" w:cs="Arial"/>
          <w:color w:val="auto"/>
          <w:sz w:val="24"/>
          <w:highlight w:val="none"/>
        </w:rPr>
        <w:t>签约日期：                                     签约地点：</w:t>
      </w:r>
    </w:p>
    <w:p w14:paraId="16463807">
      <w:pPr>
        <w:widowControl/>
        <w:jc w:val="left"/>
        <w:rPr>
          <w:color w:val="auto"/>
          <w:sz w:val="48"/>
          <w:szCs w:val="48"/>
          <w:highlight w:val="none"/>
        </w:rPr>
      </w:pPr>
      <w:r>
        <w:rPr>
          <w:color w:val="auto"/>
          <w:sz w:val="48"/>
          <w:szCs w:val="48"/>
          <w:highlight w:val="none"/>
        </w:rPr>
        <w:br w:type="page"/>
      </w:r>
    </w:p>
    <w:p w14:paraId="59B9D5E2">
      <w:pPr>
        <w:pStyle w:val="3"/>
        <w:spacing w:before="0" w:after="0" w:line="360" w:lineRule="auto"/>
        <w:jc w:val="center"/>
        <w:rPr>
          <w:rStyle w:val="27"/>
          <w:rFonts w:ascii="宋体" w:hAnsi="宋体"/>
          <w:b w:val="0"/>
          <w:bCs w:val="0"/>
          <w:color w:val="auto"/>
          <w:sz w:val="36"/>
          <w:szCs w:val="36"/>
          <w:highlight w:val="none"/>
        </w:rPr>
      </w:pPr>
      <w:bookmarkStart w:id="15" w:name="_Toc40859293"/>
      <w:r>
        <w:rPr>
          <w:rFonts w:hint="eastAsia" w:ascii="宋体" w:hAnsi="宋体"/>
          <w:color w:val="auto"/>
          <w:sz w:val="36"/>
          <w:szCs w:val="36"/>
          <w:highlight w:val="none"/>
        </w:rPr>
        <w:t>第五章谈判响应文件格式附件</w:t>
      </w:r>
      <w:bookmarkEnd w:id="15"/>
    </w:p>
    <w:p w14:paraId="59066C4C">
      <w:pPr>
        <w:pStyle w:val="4"/>
        <w:jc w:val="left"/>
        <w:rPr>
          <w:color w:val="auto"/>
          <w:highlight w:val="none"/>
        </w:rPr>
      </w:pPr>
      <w:bookmarkStart w:id="16" w:name="_Toc40859294"/>
      <w:r>
        <w:rPr>
          <w:rFonts w:hint="eastAsia"/>
          <w:color w:val="auto"/>
          <w:highlight w:val="none"/>
        </w:rPr>
        <w:t>附件一</w:t>
      </w:r>
      <w:bookmarkEnd w:id="16"/>
    </w:p>
    <w:p w14:paraId="0E44B5CF">
      <w:pPr>
        <w:autoSpaceDE w:val="0"/>
        <w:autoSpaceDN w:val="0"/>
        <w:adjustRightInd w:val="0"/>
        <w:spacing w:line="360" w:lineRule="exact"/>
        <w:rPr>
          <w:rFonts w:ascii="宋体"/>
          <w:color w:val="auto"/>
          <w:sz w:val="36"/>
          <w:highlight w:val="none"/>
          <w:lang w:val="zh-CN"/>
        </w:rPr>
      </w:pPr>
      <w:r>
        <w:rPr>
          <w:rFonts w:hint="eastAsia" w:ascii="宋体"/>
          <w:color w:val="auto"/>
          <w:sz w:val="32"/>
          <w:highlight w:val="none"/>
          <w:lang w:val="zh-CN"/>
        </w:rPr>
        <w:t xml:space="preserve">                         </w:t>
      </w:r>
      <w:r>
        <w:rPr>
          <w:rFonts w:hint="eastAsia" w:ascii="宋体"/>
          <w:color w:val="auto"/>
          <w:sz w:val="36"/>
          <w:highlight w:val="none"/>
          <w:lang w:val="zh-CN"/>
        </w:rPr>
        <w:t>投  标  函</w:t>
      </w:r>
    </w:p>
    <w:p w14:paraId="63CA5941">
      <w:pPr>
        <w:autoSpaceDE w:val="0"/>
        <w:autoSpaceDN w:val="0"/>
        <w:adjustRightInd w:val="0"/>
        <w:spacing w:line="360" w:lineRule="exact"/>
        <w:rPr>
          <w:rFonts w:ascii="宋体"/>
          <w:color w:val="auto"/>
          <w:sz w:val="36"/>
          <w:highlight w:val="none"/>
          <w:lang w:val="zh-CN"/>
        </w:rPr>
      </w:pPr>
    </w:p>
    <w:p w14:paraId="40B7DAE8">
      <w:pPr>
        <w:snapToGrid w:val="0"/>
        <w:spacing w:before="156" w:beforeLines="50" w:after="50" w:line="324" w:lineRule="auto"/>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（采购代理机构名称）：</w:t>
      </w:r>
    </w:p>
    <w:p w14:paraId="41D5C7AF">
      <w:p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 xml:space="preserve">系中华人民共和国合法企业/个人，经营地址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BB686F2">
      <w:p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（投标人名称 </w:t>
      </w:r>
      <w:r>
        <w:rPr>
          <w:rFonts w:hint="eastAsia" w:ascii="宋体" w:hAnsi="宋体" w:cs="宋体"/>
          <w:color w:val="auto"/>
          <w:kern w:val="0"/>
          <w:sz w:val="24"/>
          <w:highlight w:val="none"/>
        </w:rPr>
        <w:t xml:space="preserve">）的法定代表人，我公司自愿参加贵方组织的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）的谈判，为此，我公司就本次谈判有关事项郑重声明如下：</w:t>
      </w:r>
    </w:p>
    <w:p w14:paraId="11A7B422">
      <w:pPr>
        <w:numPr>
          <w:ilvl w:val="0"/>
          <w:numId w:val="4"/>
        </w:numPr>
        <w:snapToGrid w:val="0"/>
        <w:spacing w:before="156" w:beforeLines="50" w:after="50" w:line="324" w:lineRule="auto"/>
        <w:ind w:firstLine="480" w:firstLineChars="200"/>
        <w:rPr>
          <w:rFonts w:ascii="宋体" w:hAnsi="宋体" w:cs="宋体"/>
          <w:b/>
          <w:color w:val="auto"/>
          <w:kern w:val="0"/>
          <w:sz w:val="24"/>
          <w:highlight w:val="none"/>
        </w:rPr>
      </w:pPr>
      <w:r>
        <w:rPr>
          <w:rFonts w:hint="eastAsia" w:ascii="Arial" w:hAnsi="Arial" w:cs="Arial"/>
          <w:color w:val="auto"/>
          <w:sz w:val="24"/>
          <w:highlight w:val="none"/>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14:paraId="5B366117">
      <w:pPr>
        <w:numPr>
          <w:ilvl w:val="0"/>
          <w:numId w:val="4"/>
        </w:num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w:t>
      </w:r>
      <w:r>
        <w:rPr>
          <w:rFonts w:ascii="宋体" w:hAnsi="宋体" w:cs="宋体"/>
          <w:color w:val="auto"/>
          <w:kern w:val="0"/>
          <w:sz w:val="24"/>
          <w:highlight w:val="none"/>
        </w:rPr>
        <w:t>在参与</w:t>
      </w:r>
      <w:r>
        <w:rPr>
          <w:rFonts w:hint="eastAsia" w:ascii="宋体" w:hAnsi="宋体" w:cs="宋体"/>
          <w:color w:val="auto"/>
          <w:kern w:val="0"/>
          <w:sz w:val="24"/>
          <w:highlight w:val="none"/>
        </w:rPr>
        <w:t>谈判响应</w:t>
      </w:r>
      <w:r>
        <w:rPr>
          <w:rFonts w:ascii="宋体" w:hAnsi="宋体" w:cs="宋体"/>
          <w:color w:val="auto"/>
          <w:kern w:val="0"/>
          <w:sz w:val="24"/>
          <w:highlight w:val="none"/>
        </w:rPr>
        <w:t>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w:t>
      </w:r>
      <w:r>
        <w:rPr>
          <w:rFonts w:hint="eastAsia" w:ascii="宋体" w:hAnsi="宋体" w:cs="宋体"/>
          <w:color w:val="auto"/>
          <w:kern w:val="0"/>
          <w:sz w:val="24"/>
          <w:highlight w:val="none"/>
        </w:rPr>
        <w:t>谈判</w:t>
      </w:r>
      <w:r>
        <w:rPr>
          <w:rFonts w:ascii="宋体" w:hAnsi="宋体" w:cs="宋体"/>
          <w:color w:val="auto"/>
          <w:kern w:val="0"/>
          <w:sz w:val="24"/>
          <w:highlight w:val="none"/>
        </w:rPr>
        <w:t>文件和所有相关资料，我方完全明白并认为此</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文件没有倾向性，也没有存在排斥潜在</w:t>
      </w:r>
      <w:r>
        <w:rPr>
          <w:rFonts w:hint="eastAsia" w:ascii="宋体" w:hAnsi="宋体" w:cs="宋体"/>
          <w:color w:val="auto"/>
          <w:kern w:val="0"/>
          <w:sz w:val="24"/>
          <w:highlight w:val="none"/>
        </w:rPr>
        <w:t>供应商</w:t>
      </w:r>
      <w:r>
        <w:rPr>
          <w:rFonts w:ascii="宋体" w:hAnsi="宋体" w:cs="宋体"/>
          <w:color w:val="auto"/>
          <w:kern w:val="0"/>
          <w:sz w:val="24"/>
          <w:highlight w:val="none"/>
        </w:rPr>
        <w:t>的内容，我方同意</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文件的相关条款，放弃对</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文件提出误解和质疑的一切权</w:t>
      </w:r>
      <w:r>
        <w:rPr>
          <w:rFonts w:hint="eastAsia" w:ascii="宋体" w:hAnsi="宋体" w:cs="宋体"/>
          <w:color w:val="auto"/>
          <w:kern w:val="0"/>
          <w:sz w:val="24"/>
          <w:highlight w:val="none"/>
        </w:rPr>
        <w:t>利。</w:t>
      </w:r>
    </w:p>
    <w:p w14:paraId="6CDB720E">
      <w:pPr>
        <w:snapToGrid w:val="0"/>
        <w:spacing w:before="156" w:beforeLines="50" w:after="50" w:line="324" w:lineRule="auto"/>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14:paraId="0D6170B6">
      <w:pPr>
        <w:snapToGrid w:val="0"/>
        <w:spacing w:before="156" w:beforeLines="50" w:after="50" w:line="324" w:lineRule="auto"/>
        <w:ind w:firstLine="480" w:firstLineChars="200"/>
        <w:rPr>
          <w:rFonts w:ascii="宋体" w:hAnsi="宋体"/>
          <w:color w:val="auto"/>
          <w:kern w:val="0"/>
          <w:sz w:val="24"/>
          <w:highlight w:val="none"/>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公司谈判响应的</w:t>
      </w:r>
      <w:r>
        <w:rPr>
          <w:rFonts w:hint="eastAsia" w:ascii="宋体" w:hAnsi="宋体"/>
          <w:color w:val="auto"/>
          <w:kern w:val="0"/>
          <w:sz w:val="24"/>
          <w:highlight w:val="none"/>
        </w:rPr>
        <w:t>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rPr>
        <w:t>我方</w:t>
      </w:r>
      <w:r>
        <w:rPr>
          <w:rFonts w:hint="eastAsia" w:ascii="宋体" w:hAnsi="宋体"/>
          <w:color w:val="auto"/>
          <w:kern w:val="0"/>
          <w:sz w:val="24"/>
          <w:highlight w:val="none"/>
        </w:rPr>
        <w:t>承担。</w:t>
      </w:r>
      <w:r>
        <w:rPr>
          <w:rFonts w:hint="eastAsia" w:ascii="宋体" w:hAnsi="宋体" w:cs="宋体"/>
          <w:color w:val="auto"/>
          <w:kern w:val="0"/>
          <w:sz w:val="24"/>
          <w:highlight w:val="none"/>
        </w:rPr>
        <w:t>我方的总</w:t>
      </w:r>
      <w:r>
        <w:rPr>
          <w:rFonts w:hint="eastAsia" w:ascii="宋体" w:hAnsi="宋体"/>
          <w:color w:val="auto"/>
          <w:kern w:val="0"/>
          <w:sz w:val="24"/>
          <w:highlight w:val="none"/>
        </w:rPr>
        <w:t>报价</w:t>
      </w:r>
      <w:r>
        <w:rPr>
          <w:rFonts w:hint="eastAsia" w:ascii="宋体" w:hAnsi="宋体" w:cs="宋体"/>
          <w:color w:val="auto"/>
          <w:kern w:val="0"/>
          <w:sz w:val="24"/>
          <w:highlight w:val="none"/>
        </w:rPr>
        <w:t>已</w:t>
      </w:r>
      <w:r>
        <w:rPr>
          <w:rFonts w:hint="eastAsia" w:ascii="宋体" w:hAnsi="宋体"/>
          <w:color w:val="auto"/>
          <w:kern w:val="0"/>
          <w:sz w:val="24"/>
          <w:highlight w:val="none"/>
        </w:rPr>
        <w:t>包含所有应向所有权人支付的专利权、商标权或其它知识产权的一切相关费用。</w:t>
      </w:r>
    </w:p>
    <w:p w14:paraId="0707A31F">
      <w:pPr>
        <w:snapToGrid w:val="0"/>
        <w:spacing w:before="156" w:beforeLines="50" w:after="50" w:line="324" w:lineRule="auto"/>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严格履行政府采购合同，不降低合同约定的产品质量和服务，不擅自变更、中止、终止合同，或拒绝履行合同义务；</w:t>
      </w:r>
    </w:p>
    <w:p w14:paraId="089E1ABA">
      <w:pPr>
        <w:snapToGrid w:val="0"/>
        <w:spacing w:before="156" w:beforeLines="50" w:after="50" w:line="324" w:lineRule="auto"/>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3AFC5B25">
      <w:pPr>
        <w:tabs>
          <w:tab w:val="left" w:pos="6328"/>
        </w:tabs>
        <w:adjustRightInd w:val="0"/>
        <w:snapToGrid w:val="0"/>
        <w:spacing w:line="324" w:lineRule="auto"/>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 xml:space="preserve">   投标人名称(公章或</w:t>
      </w:r>
      <w:r>
        <w:rPr>
          <w:rFonts w:hint="eastAsia" w:ascii="宋体" w:hAnsi="宋体"/>
          <w:color w:val="auto"/>
          <w:sz w:val="24"/>
          <w:highlight w:val="none"/>
        </w:rPr>
        <w:t>加按指印</w:t>
      </w:r>
      <w:r>
        <w:rPr>
          <w:rFonts w:hint="eastAsia" w:ascii="宋体" w:hAnsi="宋体" w:cs="仿宋_GB2312"/>
          <w:color w:val="auto"/>
          <w:kern w:val="0"/>
          <w:sz w:val="24"/>
          <w:highlight w:val="none"/>
          <w:lang w:val="zh-CN"/>
        </w:rPr>
        <w:t>)：</w:t>
      </w:r>
      <w:r>
        <w:rPr>
          <w:rFonts w:hint="eastAsia" w:ascii="宋体" w:hAnsi="宋体" w:cs="仿宋_GB2312"/>
          <w:color w:val="auto"/>
          <w:kern w:val="0"/>
          <w:sz w:val="24"/>
          <w:highlight w:val="none"/>
          <w:lang w:val="zh-CN"/>
        </w:rPr>
        <w:tab/>
      </w: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年</w:t>
      </w:r>
      <w:r>
        <w:rPr>
          <w:rFonts w:hint="eastAsia" w:ascii="宋体" w:hAnsi="宋体" w:cs="仿宋_GB2312"/>
          <w:color w:val="auto"/>
          <w:kern w:val="0"/>
          <w:sz w:val="24"/>
          <w:highlight w:val="none"/>
        </w:rPr>
        <w:t xml:space="preserve"> 月  日</w:t>
      </w:r>
    </w:p>
    <w:p w14:paraId="4362FBFF">
      <w:pPr>
        <w:tabs>
          <w:tab w:val="left" w:pos="6962"/>
        </w:tabs>
        <w:adjustRightInd w:val="0"/>
        <w:snapToGrid w:val="0"/>
        <w:spacing w:line="324" w:lineRule="auto"/>
        <w:ind w:firstLine="240" w:firstLineChars="1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0BCA7DF2">
      <w:pPr>
        <w:widowControl/>
        <w:jc w:val="left"/>
        <w:rPr>
          <w:rFonts w:ascii="宋体"/>
          <w:color w:val="auto"/>
          <w:sz w:val="30"/>
          <w:highlight w:val="none"/>
          <w:lang w:val="zh-CN"/>
        </w:rPr>
      </w:pPr>
      <w:r>
        <w:rPr>
          <w:rFonts w:ascii="宋体"/>
          <w:color w:val="auto"/>
          <w:sz w:val="30"/>
          <w:highlight w:val="none"/>
          <w:lang w:val="zh-CN"/>
        </w:rPr>
        <w:br w:type="page"/>
      </w:r>
    </w:p>
    <w:p w14:paraId="353F4ED1">
      <w:pPr>
        <w:pStyle w:val="4"/>
        <w:jc w:val="left"/>
        <w:rPr>
          <w:color w:val="auto"/>
          <w:highlight w:val="none"/>
        </w:rPr>
      </w:pPr>
      <w:bookmarkStart w:id="17" w:name="_Toc40859295"/>
      <w:r>
        <w:rPr>
          <w:rFonts w:hint="eastAsia"/>
          <w:color w:val="auto"/>
          <w:highlight w:val="none"/>
        </w:rPr>
        <w:t>附件二</w:t>
      </w:r>
      <w:bookmarkEnd w:id="17"/>
      <w:r>
        <w:rPr>
          <w:rFonts w:hint="eastAsia"/>
          <w:color w:val="auto"/>
          <w:highlight w:val="none"/>
        </w:rPr>
        <w:t xml:space="preserve"> </w:t>
      </w:r>
    </w:p>
    <w:p w14:paraId="188D325F">
      <w:pPr>
        <w:autoSpaceDE w:val="0"/>
        <w:autoSpaceDN w:val="0"/>
        <w:adjustRightInd w:val="0"/>
        <w:spacing w:line="360" w:lineRule="atLeast"/>
        <w:jc w:val="center"/>
        <w:textAlignment w:val="baseline"/>
        <w:rPr>
          <w:rFonts w:ascii="宋体"/>
          <w:color w:val="auto"/>
          <w:sz w:val="32"/>
          <w:highlight w:val="none"/>
          <w:lang w:val="zh-CN"/>
        </w:rPr>
      </w:pPr>
      <w:r>
        <w:rPr>
          <w:rFonts w:hint="eastAsia" w:ascii="宋体"/>
          <w:color w:val="auto"/>
          <w:sz w:val="32"/>
          <w:highlight w:val="none"/>
          <w:lang w:val="zh-CN"/>
        </w:rPr>
        <w:t>开标一览表</w:t>
      </w:r>
    </w:p>
    <w:p w14:paraId="0EF207E0">
      <w:pPr>
        <w:autoSpaceDE w:val="0"/>
        <w:autoSpaceDN w:val="0"/>
        <w:adjustRightInd w:val="0"/>
        <w:rPr>
          <w:color w:val="auto"/>
          <w:sz w:val="22"/>
          <w:highlight w:val="none"/>
          <w:u w:val="single"/>
        </w:rPr>
      </w:pPr>
      <w:r>
        <w:rPr>
          <w:rFonts w:hint="eastAsia" w:ascii="宋体"/>
          <w:color w:val="auto"/>
          <w:sz w:val="22"/>
          <w:szCs w:val="22"/>
          <w:highlight w:val="none"/>
          <w:lang w:val="zh-CN"/>
        </w:rPr>
        <w:t>投标人名称：</w:t>
      </w:r>
      <w:r>
        <w:rPr>
          <w:rFonts w:ascii="宋体"/>
          <w:color w:val="auto"/>
          <w:sz w:val="22"/>
          <w:szCs w:val="22"/>
          <w:highlight w:val="none"/>
          <w:u w:val="single"/>
          <w:lang w:val="zh-CN"/>
        </w:rPr>
        <w:t xml:space="preserve">             </w:t>
      </w:r>
      <w:r>
        <w:rPr>
          <w:rFonts w:ascii="宋体"/>
          <w:color w:val="auto"/>
          <w:sz w:val="22"/>
          <w:szCs w:val="22"/>
          <w:highlight w:val="none"/>
          <w:lang w:val="zh-CN"/>
        </w:rPr>
        <w:t xml:space="preserve">     </w:t>
      </w:r>
      <w:r>
        <w:rPr>
          <w:rFonts w:hint="eastAsia" w:ascii="宋体"/>
          <w:color w:val="auto"/>
          <w:sz w:val="22"/>
          <w:szCs w:val="22"/>
          <w:highlight w:val="none"/>
          <w:lang w:val="zh-CN"/>
        </w:rPr>
        <w:t xml:space="preserve">                     招标编号：</w:t>
      </w:r>
      <w:r>
        <w:rPr>
          <w:rFonts w:ascii="宋体"/>
          <w:color w:val="auto"/>
          <w:sz w:val="22"/>
          <w:szCs w:val="22"/>
          <w:highlight w:val="none"/>
          <w:u w:val="single"/>
          <w:lang w:val="zh-CN"/>
        </w:rPr>
        <w:t xml:space="preserve">         </w:t>
      </w:r>
    </w:p>
    <w:tbl>
      <w:tblPr>
        <w:tblStyle w:val="18"/>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4680"/>
        <w:gridCol w:w="1980"/>
      </w:tblGrid>
      <w:tr w14:paraId="4D21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700" w:type="dxa"/>
            <w:vAlign w:val="center"/>
          </w:tcPr>
          <w:p w14:paraId="29FF0D6A">
            <w:pPr>
              <w:pStyle w:val="9"/>
              <w:jc w:val="center"/>
              <w:rPr>
                <w:rFonts w:hAnsi="宋体"/>
                <w:color w:val="auto"/>
                <w:sz w:val="22"/>
                <w:szCs w:val="22"/>
                <w:highlight w:val="none"/>
              </w:rPr>
            </w:pPr>
            <w:r>
              <w:rPr>
                <w:rFonts w:hint="eastAsia" w:hAnsi="宋体"/>
                <w:color w:val="auto"/>
                <w:sz w:val="22"/>
                <w:szCs w:val="22"/>
                <w:highlight w:val="none"/>
              </w:rPr>
              <w:t>项目名称</w:t>
            </w:r>
          </w:p>
        </w:tc>
        <w:tc>
          <w:tcPr>
            <w:tcW w:w="4680" w:type="dxa"/>
            <w:vAlign w:val="center"/>
          </w:tcPr>
          <w:p w14:paraId="1F115BB7">
            <w:pPr>
              <w:pStyle w:val="9"/>
              <w:jc w:val="center"/>
              <w:rPr>
                <w:rFonts w:hAnsi="宋体"/>
                <w:color w:val="auto"/>
                <w:sz w:val="22"/>
                <w:szCs w:val="22"/>
                <w:highlight w:val="none"/>
              </w:rPr>
            </w:pPr>
            <w:r>
              <w:rPr>
                <w:rFonts w:hint="eastAsia" w:hAnsi="宋体"/>
                <w:color w:val="auto"/>
                <w:sz w:val="22"/>
                <w:szCs w:val="22"/>
                <w:highlight w:val="none"/>
              </w:rPr>
              <w:t>单船投标综合单价（元/天）</w:t>
            </w:r>
          </w:p>
        </w:tc>
        <w:tc>
          <w:tcPr>
            <w:tcW w:w="1980" w:type="dxa"/>
            <w:vAlign w:val="center"/>
          </w:tcPr>
          <w:p w14:paraId="01B7031E">
            <w:pPr>
              <w:pStyle w:val="9"/>
              <w:jc w:val="center"/>
              <w:rPr>
                <w:rFonts w:hAnsi="宋体"/>
                <w:color w:val="auto"/>
                <w:sz w:val="22"/>
                <w:szCs w:val="22"/>
                <w:highlight w:val="none"/>
              </w:rPr>
            </w:pPr>
            <w:r>
              <w:rPr>
                <w:rFonts w:hint="eastAsia" w:hAnsi="宋体"/>
                <w:color w:val="auto"/>
                <w:sz w:val="22"/>
                <w:szCs w:val="22"/>
                <w:highlight w:val="none"/>
              </w:rPr>
              <w:t>备注</w:t>
            </w:r>
          </w:p>
        </w:tc>
      </w:tr>
      <w:tr w14:paraId="7B21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700" w:type="dxa"/>
            <w:vAlign w:val="center"/>
          </w:tcPr>
          <w:p w14:paraId="035D5A8B">
            <w:pPr>
              <w:jc w:val="center"/>
              <w:rPr>
                <w:rFonts w:hint="eastAsia" w:ascii="宋体" w:eastAsia="宋体"/>
                <w:color w:val="auto"/>
                <w:sz w:val="22"/>
                <w:szCs w:val="22"/>
                <w:highlight w:val="none"/>
                <w:lang w:eastAsia="zh-CN"/>
              </w:rPr>
            </w:pPr>
            <w:r>
              <w:rPr>
                <w:rFonts w:hint="eastAsia" w:hAnsi="宋体"/>
                <w:color w:val="auto"/>
                <w:sz w:val="24"/>
                <w:highlight w:val="none"/>
                <w:lang w:eastAsia="zh-CN"/>
              </w:rPr>
              <w:t>2025年三门县“护渔”船舶租赁项目</w:t>
            </w:r>
          </w:p>
        </w:tc>
        <w:tc>
          <w:tcPr>
            <w:tcW w:w="4680" w:type="dxa"/>
            <w:vAlign w:val="center"/>
          </w:tcPr>
          <w:p w14:paraId="1FA6E652">
            <w:pPr>
              <w:pStyle w:val="9"/>
              <w:rPr>
                <w:rFonts w:hAnsi="宋体"/>
                <w:color w:val="auto"/>
                <w:sz w:val="22"/>
                <w:szCs w:val="22"/>
                <w:highlight w:val="none"/>
              </w:rPr>
            </w:pPr>
            <w:r>
              <w:rPr>
                <w:rFonts w:hint="eastAsia" w:hAnsi="宋体"/>
                <w:color w:val="auto"/>
                <w:sz w:val="22"/>
                <w:szCs w:val="22"/>
                <w:highlight w:val="none"/>
              </w:rPr>
              <w:t>大写：</w:t>
            </w:r>
          </w:p>
          <w:p w14:paraId="7BB6B98D">
            <w:pPr>
              <w:pStyle w:val="9"/>
              <w:rPr>
                <w:rFonts w:hAnsi="宋体"/>
                <w:color w:val="auto"/>
                <w:sz w:val="22"/>
                <w:szCs w:val="22"/>
                <w:highlight w:val="none"/>
              </w:rPr>
            </w:pPr>
            <w:r>
              <w:rPr>
                <w:rFonts w:hint="eastAsia" w:hAnsi="宋体"/>
                <w:color w:val="auto"/>
                <w:sz w:val="22"/>
                <w:szCs w:val="22"/>
                <w:highlight w:val="none"/>
              </w:rPr>
              <w:t>小写：</w:t>
            </w:r>
          </w:p>
        </w:tc>
        <w:tc>
          <w:tcPr>
            <w:tcW w:w="1980" w:type="dxa"/>
            <w:vAlign w:val="center"/>
          </w:tcPr>
          <w:p w14:paraId="2EB32515">
            <w:pPr>
              <w:pStyle w:val="9"/>
              <w:jc w:val="center"/>
              <w:rPr>
                <w:rFonts w:hAnsi="宋体"/>
                <w:color w:val="auto"/>
                <w:sz w:val="22"/>
                <w:szCs w:val="22"/>
                <w:highlight w:val="none"/>
              </w:rPr>
            </w:pPr>
            <w:r>
              <w:rPr>
                <w:rFonts w:hint="eastAsia"/>
                <w:color w:val="auto"/>
                <w:sz w:val="22"/>
                <w:highlight w:val="none"/>
              </w:rPr>
              <w:t xml:space="preserve"> </w:t>
            </w:r>
          </w:p>
        </w:tc>
      </w:tr>
    </w:tbl>
    <w:p w14:paraId="14B1CA6C">
      <w:pPr>
        <w:spacing w:line="360" w:lineRule="exact"/>
        <w:jc w:val="left"/>
        <w:rPr>
          <w:rFonts w:ascii="宋体"/>
          <w:color w:val="auto"/>
          <w:sz w:val="22"/>
          <w:highlight w:val="none"/>
        </w:rPr>
      </w:pPr>
      <w:r>
        <w:rPr>
          <w:rFonts w:hint="eastAsia" w:ascii="宋体"/>
          <w:color w:val="auto"/>
          <w:sz w:val="22"/>
          <w:highlight w:val="none"/>
        </w:rPr>
        <w:t>▲开标</w:t>
      </w:r>
      <w:r>
        <w:rPr>
          <w:rFonts w:ascii="宋体"/>
          <w:color w:val="auto"/>
          <w:sz w:val="22"/>
          <w:highlight w:val="none"/>
        </w:rPr>
        <w:t>一览表中</w:t>
      </w:r>
      <w:r>
        <w:rPr>
          <w:rFonts w:hint="eastAsia" w:ascii="宋体"/>
          <w:color w:val="auto"/>
          <w:sz w:val="22"/>
          <w:highlight w:val="none"/>
        </w:rPr>
        <w:t>单船投标综合单价</w:t>
      </w:r>
      <w:r>
        <w:rPr>
          <w:rFonts w:ascii="宋体"/>
          <w:color w:val="auto"/>
          <w:sz w:val="22"/>
          <w:highlight w:val="none"/>
        </w:rPr>
        <w:t>为符合招标文件要求的</w:t>
      </w:r>
      <w:r>
        <w:rPr>
          <w:rFonts w:hint="eastAsia" w:ascii="宋体"/>
          <w:color w:val="auto"/>
          <w:sz w:val="22"/>
          <w:highlight w:val="none"/>
        </w:rPr>
        <w:t>所有费用。</w:t>
      </w:r>
    </w:p>
    <w:p w14:paraId="265FB242">
      <w:pPr>
        <w:spacing w:line="360" w:lineRule="exact"/>
        <w:jc w:val="left"/>
        <w:rPr>
          <w:rFonts w:ascii="宋体"/>
          <w:color w:val="auto"/>
          <w:sz w:val="22"/>
          <w:highlight w:val="none"/>
        </w:rPr>
      </w:pPr>
      <w:r>
        <w:rPr>
          <w:rFonts w:hint="eastAsia" w:ascii="宋体"/>
          <w:color w:val="auto"/>
          <w:sz w:val="22"/>
          <w:highlight w:val="none"/>
        </w:rPr>
        <w:t>▲不提供此表格的将视为没有实质性响应招标文件。</w:t>
      </w:r>
    </w:p>
    <w:p w14:paraId="4C0E956F">
      <w:pPr>
        <w:spacing w:line="360" w:lineRule="exact"/>
        <w:jc w:val="left"/>
        <w:rPr>
          <w:rFonts w:ascii="宋体"/>
          <w:color w:val="auto"/>
          <w:sz w:val="22"/>
          <w:highlight w:val="none"/>
        </w:rPr>
      </w:pPr>
    </w:p>
    <w:p w14:paraId="4A838FB7">
      <w:pPr>
        <w:spacing w:line="360" w:lineRule="exact"/>
        <w:jc w:val="left"/>
        <w:rPr>
          <w:rFonts w:ascii="宋体"/>
          <w:color w:val="auto"/>
          <w:sz w:val="22"/>
          <w:highlight w:val="none"/>
        </w:rPr>
      </w:pPr>
    </w:p>
    <w:p w14:paraId="130B69DA">
      <w:pPr>
        <w:spacing w:line="360" w:lineRule="exact"/>
        <w:jc w:val="center"/>
        <w:rPr>
          <w:rFonts w:ascii="宋体"/>
          <w:color w:val="auto"/>
          <w:sz w:val="22"/>
          <w:highlight w:val="none"/>
        </w:rPr>
      </w:pPr>
      <w:r>
        <w:rPr>
          <w:rFonts w:hint="eastAsia" w:ascii="宋体"/>
          <w:color w:val="auto"/>
          <w:sz w:val="22"/>
          <w:highlight w:val="none"/>
        </w:rPr>
        <w:t xml:space="preserve">                                            </w:t>
      </w:r>
    </w:p>
    <w:p w14:paraId="5402A164">
      <w:pPr>
        <w:spacing w:line="360" w:lineRule="exact"/>
        <w:jc w:val="center"/>
        <w:rPr>
          <w:rFonts w:ascii="宋体"/>
          <w:color w:val="auto"/>
          <w:sz w:val="22"/>
          <w:highlight w:val="none"/>
        </w:rPr>
      </w:pPr>
    </w:p>
    <w:p w14:paraId="4EB76BD2">
      <w:pPr>
        <w:spacing w:line="360" w:lineRule="exact"/>
        <w:jc w:val="center"/>
        <w:rPr>
          <w:rFonts w:ascii="宋体"/>
          <w:color w:val="auto"/>
          <w:sz w:val="22"/>
          <w:highlight w:val="none"/>
        </w:rPr>
      </w:pPr>
    </w:p>
    <w:p w14:paraId="5FDCC430">
      <w:pPr>
        <w:spacing w:line="360" w:lineRule="exact"/>
        <w:jc w:val="center"/>
        <w:rPr>
          <w:rFonts w:ascii="宋体"/>
          <w:color w:val="auto"/>
          <w:sz w:val="22"/>
          <w:highlight w:val="none"/>
        </w:rPr>
      </w:pPr>
      <w:r>
        <w:rPr>
          <w:rFonts w:hint="eastAsia" w:ascii="宋体"/>
          <w:color w:val="auto"/>
          <w:sz w:val="22"/>
          <w:highlight w:val="none"/>
        </w:rPr>
        <w:t xml:space="preserve">                                         投标人签字：</w:t>
      </w:r>
      <w:r>
        <w:rPr>
          <w:rFonts w:ascii="宋体"/>
          <w:color w:val="auto"/>
          <w:sz w:val="22"/>
          <w:highlight w:val="none"/>
        </w:rPr>
        <w:t xml:space="preserve">            </w:t>
      </w:r>
    </w:p>
    <w:p w14:paraId="3A7243E1">
      <w:pPr>
        <w:spacing w:line="360" w:lineRule="exact"/>
        <w:jc w:val="center"/>
        <w:rPr>
          <w:rFonts w:ascii="宋体"/>
          <w:color w:val="auto"/>
          <w:sz w:val="22"/>
          <w:highlight w:val="none"/>
        </w:rPr>
      </w:pPr>
      <w:r>
        <w:rPr>
          <w:rFonts w:hint="eastAsia" w:ascii="宋体"/>
          <w:color w:val="auto"/>
          <w:sz w:val="22"/>
          <w:highlight w:val="none"/>
        </w:rPr>
        <w:t xml:space="preserve">                                         日期：</w:t>
      </w:r>
    </w:p>
    <w:p w14:paraId="59491910">
      <w:pPr>
        <w:widowControl/>
        <w:jc w:val="left"/>
        <w:rPr>
          <w:rFonts w:ascii="宋体" w:hAnsi="宋体" w:cs="Courier New"/>
          <w:color w:val="auto"/>
          <w:sz w:val="24"/>
          <w:highlight w:val="none"/>
        </w:rPr>
      </w:pPr>
      <w:r>
        <w:rPr>
          <w:rFonts w:ascii="宋体" w:hAnsi="宋体" w:cs="Courier New"/>
          <w:color w:val="auto"/>
          <w:sz w:val="24"/>
          <w:highlight w:val="none"/>
        </w:rPr>
        <w:br w:type="page"/>
      </w:r>
    </w:p>
    <w:p w14:paraId="65B596D4">
      <w:pPr>
        <w:adjustRightInd w:val="0"/>
        <w:snapToGrid w:val="0"/>
        <w:spacing w:line="420" w:lineRule="auto"/>
        <w:rPr>
          <w:rFonts w:ascii="宋体" w:hAnsi="宋体" w:cs="Courier New"/>
          <w:color w:val="auto"/>
          <w:sz w:val="24"/>
          <w:highlight w:val="none"/>
        </w:rPr>
      </w:pPr>
    </w:p>
    <w:p w14:paraId="68ED881A">
      <w:pPr>
        <w:pStyle w:val="4"/>
        <w:jc w:val="left"/>
        <w:rPr>
          <w:color w:val="auto"/>
          <w:highlight w:val="none"/>
        </w:rPr>
      </w:pPr>
      <w:bookmarkStart w:id="18" w:name="_Toc40859296"/>
      <w:r>
        <w:rPr>
          <w:rFonts w:hint="eastAsia"/>
          <w:color w:val="auto"/>
          <w:highlight w:val="none"/>
        </w:rPr>
        <w:t>附件三</w:t>
      </w:r>
      <w:bookmarkEnd w:id="18"/>
    </w:p>
    <w:p w14:paraId="5EE2A127">
      <w:pPr>
        <w:tabs>
          <w:tab w:val="left" w:pos="1080"/>
        </w:tabs>
        <w:autoSpaceDE w:val="0"/>
        <w:autoSpaceDN w:val="0"/>
        <w:adjustRightInd w:val="0"/>
        <w:spacing w:line="360" w:lineRule="exact"/>
        <w:jc w:val="center"/>
        <w:rPr>
          <w:rFonts w:ascii="宋体"/>
          <w:color w:val="auto"/>
          <w:sz w:val="36"/>
          <w:highlight w:val="none"/>
          <w:lang w:val="zh-CN"/>
        </w:rPr>
      </w:pPr>
      <w:r>
        <w:rPr>
          <w:rFonts w:hint="eastAsia" w:ascii="宋体"/>
          <w:color w:val="auto"/>
          <w:sz w:val="32"/>
          <w:highlight w:val="none"/>
          <w:lang w:val="zh-CN"/>
        </w:rPr>
        <w:t>（一）法定代表人授权书</w:t>
      </w:r>
    </w:p>
    <w:p w14:paraId="73590C71">
      <w:pPr>
        <w:autoSpaceDE w:val="0"/>
        <w:autoSpaceDN w:val="0"/>
        <w:adjustRightInd w:val="0"/>
        <w:spacing w:line="360" w:lineRule="exact"/>
        <w:jc w:val="center"/>
        <w:rPr>
          <w:rFonts w:ascii="宋体"/>
          <w:color w:val="auto"/>
          <w:sz w:val="36"/>
          <w:highlight w:val="none"/>
          <w:lang w:val="zh-CN"/>
        </w:rPr>
      </w:pPr>
    </w:p>
    <w:p w14:paraId="65510D6F">
      <w:pPr>
        <w:spacing w:line="360" w:lineRule="exact"/>
        <w:rPr>
          <w:rFonts w:ascii="宋体"/>
          <w:color w:val="auto"/>
          <w:sz w:val="22"/>
          <w:highlight w:val="none"/>
        </w:rPr>
      </w:pPr>
      <w:r>
        <w:rPr>
          <w:rFonts w:hint="eastAsia" w:ascii="宋体"/>
          <w:color w:val="auto"/>
          <w:sz w:val="22"/>
          <w:highlight w:val="none"/>
          <w:u w:val="single"/>
        </w:rPr>
        <w:t>（采购人名称）</w:t>
      </w:r>
      <w:r>
        <w:rPr>
          <w:rFonts w:hint="eastAsia" w:ascii="宋体"/>
          <w:color w:val="auto"/>
          <w:sz w:val="22"/>
          <w:highlight w:val="none"/>
          <w:lang w:val="zh-CN"/>
        </w:rPr>
        <w:t>：</w:t>
      </w:r>
    </w:p>
    <w:p w14:paraId="252CFD2B">
      <w:pPr>
        <w:snapToGrid w:val="0"/>
        <w:spacing w:line="580" w:lineRule="atLeast"/>
        <w:ind w:firstLine="440" w:firstLineChars="200"/>
        <w:rPr>
          <w:rFonts w:ascii="宋体"/>
          <w:color w:val="auto"/>
          <w:sz w:val="22"/>
          <w:szCs w:val="22"/>
          <w:highlight w:val="none"/>
        </w:rPr>
      </w:pPr>
      <w:r>
        <w:rPr>
          <w:rFonts w:hint="eastAsia" w:ascii="宋体"/>
          <w:color w:val="auto"/>
          <w:sz w:val="22"/>
          <w:szCs w:val="22"/>
          <w:highlight w:val="none"/>
        </w:rPr>
        <w:t>本授权委托书声明：我</w:t>
      </w:r>
      <w:r>
        <w:rPr>
          <w:rFonts w:hint="eastAsia" w:ascii="宋体"/>
          <w:color w:val="auto"/>
          <w:sz w:val="22"/>
          <w:szCs w:val="22"/>
          <w:highlight w:val="none"/>
          <w:u w:val="single"/>
        </w:rPr>
        <w:t xml:space="preserve">   （法定代表人姓名）   </w:t>
      </w:r>
      <w:r>
        <w:rPr>
          <w:rFonts w:hint="eastAsia" w:ascii="宋体"/>
          <w:color w:val="auto"/>
          <w:sz w:val="22"/>
          <w:szCs w:val="22"/>
          <w:highlight w:val="none"/>
        </w:rPr>
        <w:t>系</w:t>
      </w:r>
      <w:r>
        <w:rPr>
          <w:rFonts w:hint="eastAsia" w:ascii="宋体"/>
          <w:color w:val="auto"/>
          <w:sz w:val="22"/>
          <w:szCs w:val="22"/>
          <w:highlight w:val="none"/>
          <w:u w:val="single"/>
        </w:rPr>
        <w:t xml:space="preserve">   （投标人名称）  </w:t>
      </w:r>
      <w:r>
        <w:rPr>
          <w:rFonts w:hint="eastAsia" w:ascii="宋体"/>
          <w:color w:val="auto"/>
          <w:sz w:val="22"/>
          <w:szCs w:val="22"/>
          <w:highlight w:val="none"/>
        </w:rPr>
        <w:t>的法定代表人，现授权委托</w:t>
      </w:r>
      <w:r>
        <w:rPr>
          <w:rFonts w:hint="eastAsia" w:ascii="宋体"/>
          <w:color w:val="auto"/>
          <w:sz w:val="22"/>
          <w:szCs w:val="22"/>
          <w:highlight w:val="none"/>
          <w:u w:val="single"/>
        </w:rPr>
        <w:t xml:space="preserve">  （投标人名称）   </w:t>
      </w:r>
      <w:r>
        <w:rPr>
          <w:rFonts w:hint="eastAsia" w:ascii="宋体"/>
          <w:color w:val="auto"/>
          <w:sz w:val="22"/>
          <w:szCs w:val="22"/>
          <w:highlight w:val="none"/>
        </w:rPr>
        <w:t>的</w:t>
      </w:r>
      <w:r>
        <w:rPr>
          <w:rFonts w:hint="eastAsia" w:ascii="宋体"/>
          <w:color w:val="auto"/>
          <w:sz w:val="22"/>
          <w:szCs w:val="22"/>
          <w:highlight w:val="none"/>
          <w:u w:val="single"/>
        </w:rPr>
        <w:t xml:space="preserve">  （授权代表姓名）  </w:t>
      </w:r>
      <w:r>
        <w:rPr>
          <w:rFonts w:hint="eastAsia" w:ascii="宋体"/>
          <w:color w:val="auto"/>
          <w:sz w:val="22"/>
          <w:szCs w:val="22"/>
          <w:highlight w:val="none"/>
        </w:rPr>
        <w:t>为我公司法定代表人授权代表，参加贵处组织的</w:t>
      </w:r>
      <w:r>
        <w:rPr>
          <w:rFonts w:hint="eastAsia" w:ascii="宋体"/>
          <w:color w:val="auto"/>
          <w:sz w:val="22"/>
          <w:szCs w:val="22"/>
          <w:highlight w:val="none"/>
          <w:u w:val="single"/>
        </w:rPr>
        <w:t xml:space="preserve">  （招标项目名称，括号中填写项目编号）  </w:t>
      </w:r>
      <w:r>
        <w:rPr>
          <w:rFonts w:hint="eastAsia" w:ascii="宋体"/>
          <w:color w:val="auto"/>
          <w:sz w:val="22"/>
          <w:szCs w:val="22"/>
          <w:highlight w:val="none"/>
        </w:rPr>
        <w:t>项目投标，全权处理本次招投标活动中的一切事宜，我承认授权代表全权代表我所签署的本项目的投标文件的内容。</w:t>
      </w:r>
    </w:p>
    <w:p w14:paraId="33B4FA35">
      <w:pPr>
        <w:spacing w:line="360" w:lineRule="exact"/>
        <w:ind w:firstLine="440" w:firstLineChars="200"/>
        <w:rPr>
          <w:rFonts w:ascii="宋体"/>
          <w:color w:val="auto"/>
          <w:sz w:val="22"/>
          <w:szCs w:val="22"/>
          <w:highlight w:val="none"/>
        </w:rPr>
      </w:pPr>
    </w:p>
    <w:p w14:paraId="1EF61A00">
      <w:pPr>
        <w:spacing w:line="360" w:lineRule="exact"/>
        <w:ind w:firstLine="440" w:firstLineChars="200"/>
        <w:rPr>
          <w:rFonts w:ascii="宋体"/>
          <w:color w:val="auto"/>
          <w:sz w:val="22"/>
          <w:highlight w:val="none"/>
        </w:rPr>
      </w:pPr>
      <w:r>
        <w:rPr>
          <w:rFonts w:hint="eastAsia" w:ascii="宋体"/>
          <w:color w:val="auto"/>
          <w:sz w:val="22"/>
          <w:szCs w:val="22"/>
          <w:highlight w:val="none"/>
        </w:rPr>
        <w:t>授权代表无转授权，特此授权。</w:t>
      </w:r>
    </w:p>
    <w:p w14:paraId="4241B1A8">
      <w:pPr>
        <w:spacing w:line="360" w:lineRule="exact"/>
        <w:ind w:firstLine="2952" w:firstLineChars="1342"/>
        <w:rPr>
          <w:rFonts w:ascii="宋体"/>
          <w:color w:val="auto"/>
          <w:sz w:val="22"/>
          <w:highlight w:val="none"/>
          <w:u w:val="single"/>
        </w:rPr>
      </w:pPr>
      <w:r>
        <w:rPr>
          <w:rFonts w:hint="eastAsia" w:ascii="宋体"/>
          <w:color w:val="auto"/>
          <w:sz w:val="22"/>
          <w:highlight w:val="none"/>
        </w:rPr>
        <w:t>授权代表：</w:t>
      </w:r>
      <w:r>
        <w:rPr>
          <w:rFonts w:hint="eastAsia" w:ascii="宋体"/>
          <w:color w:val="auto"/>
          <w:sz w:val="22"/>
          <w:highlight w:val="none"/>
          <w:u w:val="single"/>
        </w:rPr>
        <w:t xml:space="preserve">   （签字）  </w:t>
      </w:r>
      <w:r>
        <w:rPr>
          <w:rFonts w:hint="eastAsia" w:ascii="宋体"/>
          <w:color w:val="auto"/>
          <w:sz w:val="22"/>
          <w:highlight w:val="none"/>
        </w:rPr>
        <w:t xml:space="preserve"> 性别 ：</w:t>
      </w:r>
      <w:r>
        <w:rPr>
          <w:rFonts w:hint="eastAsia" w:ascii="宋体"/>
          <w:color w:val="auto"/>
          <w:sz w:val="22"/>
          <w:highlight w:val="none"/>
          <w:u w:val="single"/>
        </w:rPr>
        <w:t xml:space="preserve">        </w:t>
      </w:r>
      <w:r>
        <w:rPr>
          <w:rFonts w:hint="eastAsia" w:ascii="宋体"/>
          <w:color w:val="auto"/>
          <w:sz w:val="22"/>
          <w:highlight w:val="none"/>
        </w:rPr>
        <w:t xml:space="preserve"> 年龄：</w:t>
      </w:r>
      <w:r>
        <w:rPr>
          <w:rFonts w:hint="eastAsia" w:ascii="宋体"/>
          <w:color w:val="auto"/>
          <w:sz w:val="22"/>
          <w:highlight w:val="none"/>
          <w:u w:val="single"/>
        </w:rPr>
        <w:t xml:space="preserve">       </w:t>
      </w:r>
    </w:p>
    <w:p w14:paraId="430C3825">
      <w:pPr>
        <w:spacing w:line="360" w:lineRule="exact"/>
        <w:ind w:firstLine="2952" w:firstLineChars="1342"/>
        <w:rPr>
          <w:rFonts w:ascii="宋体"/>
          <w:color w:val="auto"/>
          <w:sz w:val="22"/>
          <w:highlight w:val="none"/>
          <w:u w:val="single"/>
        </w:rPr>
      </w:pPr>
    </w:p>
    <w:p w14:paraId="500C70FE">
      <w:pPr>
        <w:spacing w:line="360" w:lineRule="exact"/>
        <w:ind w:firstLine="2952" w:firstLineChars="1342"/>
        <w:rPr>
          <w:rFonts w:ascii="宋体"/>
          <w:color w:val="auto"/>
          <w:sz w:val="22"/>
          <w:highlight w:val="none"/>
          <w:u w:val="single"/>
        </w:rPr>
      </w:pPr>
      <w:r>
        <w:rPr>
          <w:rFonts w:hint="eastAsia" w:ascii="宋体"/>
          <w:color w:val="auto"/>
          <w:sz w:val="22"/>
          <w:highlight w:val="none"/>
        </w:rPr>
        <w:t>详细通讯地址：</w:t>
      </w:r>
      <w:r>
        <w:rPr>
          <w:rFonts w:hint="eastAsia" w:ascii="宋体"/>
          <w:color w:val="auto"/>
          <w:sz w:val="22"/>
          <w:highlight w:val="none"/>
          <w:u w:val="single"/>
        </w:rPr>
        <w:t xml:space="preserve">                  </w:t>
      </w:r>
      <w:r>
        <w:rPr>
          <w:rFonts w:hint="eastAsia" w:ascii="宋体"/>
          <w:color w:val="auto"/>
          <w:sz w:val="22"/>
          <w:highlight w:val="none"/>
        </w:rPr>
        <w:t xml:space="preserve"> 邮政编码：</w:t>
      </w:r>
      <w:r>
        <w:rPr>
          <w:rFonts w:hint="eastAsia" w:ascii="宋体"/>
          <w:color w:val="auto"/>
          <w:sz w:val="22"/>
          <w:highlight w:val="none"/>
          <w:u w:val="single"/>
        </w:rPr>
        <w:t xml:space="preserve">           </w:t>
      </w:r>
    </w:p>
    <w:p w14:paraId="4FE2ABFC">
      <w:pPr>
        <w:spacing w:line="360" w:lineRule="exact"/>
        <w:ind w:firstLine="2952" w:firstLineChars="1342"/>
        <w:rPr>
          <w:rFonts w:ascii="宋体"/>
          <w:color w:val="auto"/>
          <w:sz w:val="22"/>
          <w:highlight w:val="none"/>
          <w:u w:val="single"/>
        </w:rPr>
      </w:pPr>
    </w:p>
    <w:p w14:paraId="2D989C66">
      <w:pPr>
        <w:spacing w:line="360" w:lineRule="exact"/>
        <w:ind w:firstLine="2952" w:firstLineChars="1342"/>
        <w:rPr>
          <w:rFonts w:ascii="宋体"/>
          <w:color w:val="auto"/>
          <w:sz w:val="22"/>
          <w:highlight w:val="none"/>
          <w:u w:val="single"/>
        </w:rPr>
      </w:pPr>
      <w:r>
        <w:rPr>
          <w:rFonts w:hint="eastAsia" w:ascii="宋体"/>
          <w:color w:val="auto"/>
          <w:sz w:val="22"/>
          <w:highlight w:val="none"/>
        </w:rPr>
        <w:t>电话：</w:t>
      </w:r>
      <w:r>
        <w:rPr>
          <w:rFonts w:hint="eastAsia" w:ascii="宋体"/>
          <w:color w:val="auto"/>
          <w:sz w:val="22"/>
          <w:highlight w:val="none"/>
          <w:u w:val="single"/>
        </w:rPr>
        <w:t xml:space="preserve">                   </w:t>
      </w:r>
      <w:r>
        <w:rPr>
          <w:rFonts w:hint="eastAsia" w:ascii="宋体"/>
          <w:color w:val="auto"/>
          <w:sz w:val="22"/>
          <w:highlight w:val="none"/>
        </w:rPr>
        <w:t xml:space="preserve"> 传真：</w:t>
      </w:r>
      <w:r>
        <w:rPr>
          <w:rFonts w:hint="eastAsia" w:ascii="宋体"/>
          <w:color w:val="auto"/>
          <w:sz w:val="22"/>
          <w:highlight w:val="none"/>
          <w:u w:val="single"/>
        </w:rPr>
        <w:t xml:space="preserve">                      </w:t>
      </w:r>
    </w:p>
    <w:p w14:paraId="26D9CB83">
      <w:pPr>
        <w:spacing w:line="360" w:lineRule="exact"/>
        <w:ind w:left="1" w:firstLine="422" w:firstLineChars="192"/>
        <w:rPr>
          <w:rFonts w:ascii="宋体"/>
          <w:color w:val="auto"/>
          <w:sz w:val="22"/>
          <w:highlight w:val="none"/>
        </w:rPr>
      </w:pPr>
      <w:r>
        <w:rPr>
          <w:rFonts w:hint="eastAsia" w:ascii="宋体"/>
          <w:color w:val="auto"/>
          <w:sz w:val="22"/>
          <w:highlight w:val="none"/>
        </w:rPr>
        <w:t xml:space="preserve">                       </w:t>
      </w:r>
    </w:p>
    <w:p w14:paraId="37139C26">
      <w:pPr>
        <w:spacing w:line="360" w:lineRule="exact"/>
        <w:ind w:left="1" w:firstLine="2728" w:firstLineChars="1240"/>
        <w:rPr>
          <w:rFonts w:ascii="宋体"/>
          <w:color w:val="auto"/>
          <w:sz w:val="22"/>
          <w:highlight w:val="none"/>
        </w:rPr>
      </w:pPr>
      <w:r>
        <w:rPr>
          <w:rFonts w:hint="eastAsia" w:ascii="宋体"/>
          <w:color w:val="auto"/>
          <w:sz w:val="22"/>
          <w:highlight w:val="none"/>
        </w:rPr>
        <w:t xml:space="preserve">  投标人：</w:t>
      </w:r>
      <w:r>
        <w:rPr>
          <w:rFonts w:hint="eastAsia" w:ascii="宋体"/>
          <w:color w:val="auto"/>
          <w:sz w:val="22"/>
          <w:highlight w:val="none"/>
          <w:u w:val="single"/>
        </w:rPr>
        <w:t xml:space="preserve">                             （</w:t>
      </w:r>
      <w:r>
        <w:rPr>
          <w:rFonts w:hint="eastAsia" w:ascii="宋体" w:hAnsi="宋体" w:cs="仿宋_GB2312"/>
          <w:color w:val="auto"/>
          <w:kern w:val="0"/>
          <w:sz w:val="24"/>
          <w:highlight w:val="none"/>
          <w:u w:val="single"/>
          <w:lang w:val="zh-CN"/>
        </w:rPr>
        <w:t>公章或</w:t>
      </w:r>
      <w:r>
        <w:rPr>
          <w:rFonts w:hint="eastAsia" w:ascii="宋体" w:hAnsi="宋体"/>
          <w:color w:val="auto"/>
          <w:sz w:val="24"/>
          <w:highlight w:val="none"/>
          <w:u w:val="single"/>
        </w:rPr>
        <w:t>加按指印</w:t>
      </w:r>
      <w:r>
        <w:rPr>
          <w:rFonts w:hint="eastAsia" w:ascii="宋体"/>
          <w:color w:val="auto"/>
          <w:sz w:val="22"/>
          <w:highlight w:val="none"/>
          <w:u w:val="single"/>
        </w:rPr>
        <w:t>）</w:t>
      </w:r>
    </w:p>
    <w:p w14:paraId="3AD6A397">
      <w:pPr>
        <w:spacing w:line="360" w:lineRule="exact"/>
        <w:ind w:left="1" w:firstLine="422" w:firstLineChars="192"/>
        <w:rPr>
          <w:rFonts w:ascii="宋体"/>
          <w:color w:val="auto"/>
          <w:sz w:val="22"/>
          <w:highlight w:val="none"/>
        </w:rPr>
      </w:pPr>
      <w:r>
        <w:rPr>
          <w:rFonts w:hint="eastAsia" w:ascii="宋体"/>
          <w:color w:val="auto"/>
          <w:sz w:val="22"/>
          <w:highlight w:val="none"/>
        </w:rPr>
        <w:t xml:space="preserve">                       </w:t>
      </w:r>
    </w:p>
    <w:p w14:paraId="4E185DE3">
      <w:pPr>
        <w:spacing w:line="360" w:lineRule="exact"/>
        <w:ind w:left="2100" w:right="440"/>
        <w:jc w:val="center"/>
        <w:rPr>
          <w:rFonts w:ascii="宋体"/>
          <w:color w:val="auto"/>
          <w:sz w:val="22"/>
          <w:highlight w:val="none"/>
        </w:rPr>
      </w:pPr>
      <w:r>
        <w:rPr>
          <w:rFonts w:hint="eastAsia" w:ascii="宋体"/>
          <w:color w:val="auto"/>
          <w:sz w:val="22"/>
          <w:highlight w:val="none"/>
        </w:rPr>
        <w:t xml:space="preserve">       法定代表人：</w:t>
      </w:r>
      <w:r>
        <w:rPr>
          <w:rFonts w:hint="eastAsia" w:ascii="宋体"/>
          <w:color w:val="auto"/>
          <w:sz w:val="22"/>
          <w:highlight w:val="none"/>
          <w:u w:val="single"/>
        </w:rPr>
        <w:t xml:space="preserve">                            （签字或盖章）</w:t>
      </w:r>
    </w:p>
    <w:p w14:paraId="3F00EEEC">
      <w:pPr>
        <w:spacing w:line="360" w:lineRule="exact"/>
        <w:ind w:left="2699"/>
        <w:rPr>
          <w:rFonts w:ascii="宋体"/>
          <w:color w:val="auto"/>
          <w:sz w:val="22"/>
          <w:highlight w:val="none"/>
        </w:rPr>
      </w:pPr>
      <w:r>
        <w:rPr>
          <w:rFonts w:hint="eastAsia" w:ascii="宋体"/>
          <w:color w:val="auto"/>
          <w:sz w:val="22"/>
          <w:highlight w:val="none"/>
        </w:rPr>
        <w:t xml:space="preserve">  </w:t>
      </w:r>
    </w:p>
    <w:p w14:paraId="0D0D136B">
      <w:pPr>
        <w:spacing w:line="360" w:lineRule="exact"/>
        <w:ind w:left="2699"/>
        <w:rPr>
          <w:rFonts w:ascii="宋体"/>
          <w:color w:val="auto"/>
          <w:sz w:val="22"/>
          <w:highlight w:val="none"/>
        </w:rPr>
      </w:pPr>
      <w:r>
        <w:rPr>
          <w:rFonts w:hint="eastAsia" w:ascii="宋体"/>
          <w:color w:val="auto"/>
          <w:sz w:val="22"/>
          <w:highlight w:val="none"/>
        </w:rPr>
        <w:t xml:space="preserve">                 授权委托日期：</w:t>
      </w:r>
      <w:r>
        <w:rPr>
          <w:rFonts w:hint="eastAsia" w:ascii="宋体"/>
          <w:color w:val="auto"/>
          <w:sz w:val="22"/>
          <w:highlight w:val="none"/>
          <w:u w:val="single"/>
        </w:rPr>
        <w:t xml:space="preserve">     </w:t>
      </w:r>
      <w:r>
        <w:rPr>
          <w:rFonts w:hint="eastAsia" w:ascii="宋体"/>
          <w:color w:val="auto"/>
          <w:sz w:val="22"/>
          <w:highlight w:val="none"/>
        </w:rPr>
        <w:t xml:space="preserve">年 </w:t>
      </w:r>
      <w:r>
        <w:rPr>
          <w:rFonts w:hint="eastAsia" w:ascii="宋体"/>
          <w:color w:val="auto"/>
          <w:sz w:val="22"/>
          <w:highlight w:val="none"/>
          <w:u w:val="single"/>
        </w:rPr>
        <w:t xml:space="preserve">    </w:t>
      </w:r>
      <w:r>
        <w:rPr>
          <w:rFonts w:hint="eastAsia" w:ascii="宋体"/>
          <w:color w:val="auto"/>
          <w:sz w:val="22"/>
          <w:highlight w:val="none"/>
        </w:rPr>
        <w:t>月</w:t>
      </w:r>
      <w:r>
        <w:rPr>
          <w:rFonts w:hint="eastAsia" w:ascii="宋体"/>
          <w:color w:val="auto"/>
          <w:sz w:val="22"/>
          <w:highlight w:val="none"/>
          <w:u w:val="single"/>
        </w:rPr>
        <w:t xml:space="preserve">     </w:t>
      </w:r>
      <w:r>
        <w:rPr>
          <w:rFonts w:hint="eastAsia" w:ascii="宋体"/>
          <w:color w:val="auto"/>
          <w:sz w:val="22"/>
          <w:highlight w:val="none"/>
        </w:rPr>
        <w:t>日</w:t>
      </w:r>
    </w:p>
    <w:tbl>
      <w:tblPr>
        <w:tblStyle w:val="18"/>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14:paraId="3DFC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9435" w:type="dxa"/>
          </w:tcPr>
          <w:p w14:paraId="4EB83D71">
            <w:pPr>
              <w:pStyle w:val="9"/>
              <w:adjustRightInd w:val="0"/>
              <w:snapToGrid w:val="0"/>
              <w:spacing w:line="360" w:lineRule="exact"/>
              <w:jc w:val="center"/>
              <w:rPr>
                <w:rFonts w:hAnsi="宋体"/>
                <w:color w:val="auto"/>
                <w:sz w:val="36"/>
                <w:highlight w:val="none"/>
              </w:rPr>
            </w:pPr>
            <w:r>
              <w:rPr>
                <w:rFonts w:hint="eastAsia" w:hAnsi="宋体"/>
                <w:color w:val="auto"/>
                <w:sz w:val="22"/>
                <w:highlight w:val="none"/>
              </w:rPr>
              <w:t xml:space="preserve">  </w:t>
            </w:r>
          </w:p>
          <w:p w14:paraId="6A65D3B8">
            <w:pPr>
              <w:pStyle w:val="9"/>
              <w:adjustRightInd w:val="0"/>
              <w:snapToGrid w:val="0"/>
              <w:spacing w:line="360" w:lineRule="exact"/>
              <w:jc w:val="center"/>
              <w:rPr>
                <w:rFonts w:hAnsi="宋体"/>
                <w:color w:val="auto"/>
                <w:sz w:val="36"/>
                <w:highlight w:val="none"/>
              </w:rPr>
            </w:pPr>
          </w:p>
          <w:p w14:paraId="109C864F">
            <w:pPr>
              <w:pStyle w:val="9"/>
              <w:adjustRightInd w:val="0"/>
              <w:snapToGrid w:val="0"/>
              <w:spacing w:line="360" w:lineRule="exact"/>
              <w:jc w:val="center"/>
              <w:rPr>
                <w:rFonts w:hAnsi="宋体"/>
                <w:color w:val="auto"/>
                <w:sz w:val="36"/>
                <w:highlight w:val="none"/>
              </w:rPr>
            </w:pPr>
          </w:p>
          <w:p w14:paraId="299C2CE6">
            <w:pPr>
              <w:pStyle w:val="9"/>
              <w:adjustRightInd w:val="0"/>
              <w:snapToGrid w:val="0"/>
              <w:spacing w:line="360" w:lineRule="exact"/>
              <w:jc w:val="center"/>
              <w:rPr>
                <w:rFonts w:hAnsi="宋体"/>
                <w:color w:val="auto"/>
                <w:sz w:val="36"/>
                <w:highlight w:val="none"/>
              </w:rPr>
            </w:pPr>
          </w:p>
          <w:p w14:paraId="658D98E8">
            <w:pPr>
              <w:pStyle w:val="9"/>
              <w:adjustRightInd w:val="0"/>
              <w:snapToGrid w:val="0"/>
              <w:spacing w:line="360" w:lineRule="exact"/>
              <w:jc w:val="center"/>
              <w:rPr>
                <w:rFonts w:hAnsi="宋体"/>
                <w:color w:val="auto"/>
                <w:sz w:val="36"/>
                <w:highlight w:val="none"/>
              </w:rPr>
            </w:pPr>
            <w:r>
              <w:rPr>
                <w:rFonts w:hint="eastAsia" w:hAnsi="宋体"/>
                <w:color w:val="auto"/>
                <w:sz w:val="36"/>
                <w:highlight w:val="none"/>
              </w:rPr>
              <w:t>粘贴法人授权代表身份证复印影印件</w:t>
            </w:r>
          </w:p>
          <w:p w14:paraId="424CB694">
            <w:pPr>
              <w:pStyle w:val="9"/>
              <w:adjustRightInd w:val="0"/>
              <w:snapToGrid w:val="0"/>
              <w:spacing w:line="360" w:lineRule="exact"/>
              <w:jc w:val="center"/>
              <w:rPr>
                <w:rFonts w:hAnsi="宋体"/>
                <w:color w:val="auto"/>
                <w:sz w:val="36"/>
                <w:highlight w:val="none"/>
              </w:rPr>
            </w:pPr>
          </w:p>
          <w:p w14:paraId="6FA69007">
            <w:pPr>
              <w:pStyle w:val="9"/>
              <w:adjustRightInd w:val="0"/>
              <w:snapToGrid w:val="0"/>
              <w:spacing w:line="360" w:lineRule="exact"/>
              <w:jc w:val="center"/>
              <w:rPr>
                <w:rFonts w:hAnsi="宋体"/>
                <w:color w:val="auto"/>
                <w:sz w:val="36"/>
                <w:highlight w:val="none"/>
              </w:rPr>
            </w:pPr>
          </w:p>
          <w:p w14:paraId="610E281D">
            <w:pPr>
              <w:pStyle w:val="9"/>
              <w:adjustRightInd w:val="0"/>
              <w:snapToGrid w:val="0"/>
              <w:spacing w:line="360" w:lineRule="exact"/>
              <w:jc w:val="center"/>
              <w:rPr>
                <w:rFonts w:hAnsi="宋体"/>
                <w:color w:val="auto"/>
                <w:sz w:val="36"/>
                <w:highlight w:val="none"/>
              </w:rPr>
            </w:pPr>
          </w:p>
        </w:tc>
      </w:tr>
    </w:tbl>
    <w:p w14:paraId="52493BC6">
      <w:pPr>
        <w:adjustRightInd w:val="0"/>
        <w:snapToGrid w:val="0"/>
        <w:spacing w:line="420" w:lineRule="auto"/>
        <w:rPr>
          <w:rFonts w:ascii="宋体" w:hAnsi="宋体" w:cs="Courier New"/>
          <w:color w:val="auto"/>
          <w:sz w:val="24"/>
          <w:highlight w:val="none"/>
        </w:rPr>
      </w:pPr>
    </w:p>
    <w:p w14:paraId="4C6E9E9B">
      <w:pPr>
        <w:widowControl/>
        <w:jc w:val="left"/>
        <w:rPr>
          <w:rFonts w:ascii="宋体" w:hAnsi="宋体" w:cs="Courier New"/>
          <w:color w:val="auto"/>
          <w:sz w:val="24"/>
          <w:highlight w:val="none"/>
        </w:rPr>
      </w:pPr>
      <w:r>
        <w:rPr>
          <w:rFonts w:ascii="宋体" w:hAnsi="宋体" w:cs="Courier New"/>
          <w:color w:val="auto"/>
          <w:sz w:val="24"/>
          <w:highlight w:val="none"/>
        </w:rPr>
        <w:br w:type="page"/>
      </w:r>
    </w:p>
    <w:p w14:paraId="07C37EE9">
      <w:pPr>
        <w:adjustRightInd w:val="0"/>
        <w:snapToGrid w:val="0"/>
        <w:spacing w:line="420" w:lineRule="auto"/>
        <w:rPr>
          <w:rFonts w:ascii="宋体" w:hAnsi="宋体" w:cs="Courier New"/>
          <w:color w:val="auto"/>
          <w:sz w:val="24"/>
          <w:highlight w:val="none"/>
        </w:rPr>
      </w:pPr>
    </w:p>
    <w:p w14:paraId="7B857378">
      <w:pPr>
        <w:pStyle w:val="4"/>
        <w:jc w:val="left"/>
        <w:rPr>
          <w:color w:val="auto"/>
          <w:highlight w:val="none"/>
        </w:rPr>
      </w:pPr>
      <w:bookmarkStart w:id="19" w:name="_Toc40859297"/>
      <w:r>
        <w:rPr>
          <w:rFonts w:hint="eastAsia"/>
          <w:color w:val="auto"/>
          <w:highlight w:val="none"/>
        </w:rPr>
        <w:t>附件四</w:t>
      </w:r>
      <w:bookmarkEnd w:id="19"/>
    </w:p>
    <w:p w14:paraId="494E46DB">
      <w:pPr>
        <w:autoSpaceDE w:val="0"/>
        <w:autoSpaceDN w:val="0"/>
        <w:adjustRightInd w:val="0"/>
        <w:spacing w:line="430" w:lineRule="atLeast"/>
        <w:jc w:val="center"/>
        <w:textAlignment w:val="bottom"/>
        <w:rPr>
          <w:rFonts w:ascii="宋体"/>
          <w:color w:val="auto"/>
          <w:sz w:val="32"/>
          <w:highlight w:val="none"/>
          <w:lang w:val="zh-CN"/>
        </w:rPr>
      </w:pPr>
      <w:r>
        <w:rPr>
          <w:rFonts w:hint="eastAsia" w:ascii="宋体"/>
          <w:color w:val="auto"/>
          <w:sz w:val="32"/>
          <w:highlight w:val="none"/>
          <w:lang w:val="zh-CN"/>
        </w:rPr>
        <w:t>拟派本项目职务船员情况表</w:t>
      </w:r>
    </w:p>
    <w:tbl>
      <w:tblPr>
        <w:tblStyle w:val="18"/>
        <w:tblW w:w="9225" w:type="dxa"/>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4"/>
        <w:gridCol w:w="1980"/>
        <w:gridCol w:w="720"/>
        <w:gridCol w:w="720"/>
        <w:gridCol w:w="720"/>
        <w:gridCol w:w="720"/>
        <w:gridCol w:w="1170"/>
        <w:gridCol w:w="1170"/>
        <w:gridCol w:w="1291"/>
      </w:tblGrid>
      <w:tr w14:paraId="2C3E32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14A3D8C3">
            <w:pPr>
              <w:jc w:val="center"/>
              <w:rPr>
                <w:rFonts w:ascii="宋体" w:cs="Arial"/>
                <w:bCs/>
                <w:color w:val="auto"/>
                <w:sz w:val="22"/>
                <w:szCs w:val="22"/>
                <w:highlight w:val="none"/>
              </w:rPr>
            </w:pPr>
            <w:r>
              <w:rPr>
                <w:rFonts w:ascii="宋体" w:cs="Arial"/>
                <w:bCs/>
                <w:color w:val="auto"/>
                <w:sz w:val="22"/>
                <w:szCs w:val="22"/>
                <w:highlight w:val="none"/>
              </w:rPr>
              <w:t>姓名</w:t>
            </w:r>
          </w:p>
        </w:tc>
        <w:tc>
          <w:tcPr>
            <w:tcW w:w="1980" w:type="dxa"/>
            <w:vAlign w:val="center"/>
          </w:tcPr>
          <w:p w14:paraId="2F382FC0">
            <w:pPr>
              <w:jc w:val="center"/>
              <w:rPr>
                <w:rFonts w:ascii="宋体" w:cs="Arial"/>
                <w:bCs/>
                <w:color w:val="auto"/>
                <w:sz w:val="22"/>
                <w:szCs w:val="22"/>
                <w:highlight w:val="none"/>
              </w:rPr>
            </w:pPr>
            <w:r>
              <w:rPr>
                <w:rFonts w:ascii="宋体" w:cs="Arial"/>
                <w:bCs/>
                <w:color w:val="auto"/>
                <w:sz w:val="22"/>
                <w:szCs w:val="22"/>
                <w:highlight w:val="none"/>
              </w:rPr>
              <w:t>本项目主要工作</w:t>
            </w:r>
          </w:p>
        </w:tc>
        <w:tc>
          <w:tcPr>
            <w:tcW w:w="720" w:type="dxa"/>
            <w:vAlign w:val="center"/>
          </w:tcPr>
          <w:p w14:paraId="5DD7CCDB">
            <w:pPr>
              <w:jc w:val="center"/>
              <w:rPr>
                <w:rFonts w:ascii="宋体" w:cs="Arial"/>
                <w:bCs/>
                <w:color w:val="auto"/>
                <w:sz w:val="22"/>
                <w:szCs w:val="22"/>
                <w:highlight w:val="none"/>
              </w:rPr>
            </w:pPr>
            <w:r>
              <w:rPr>
                <w:rFonts w:ascii="宋体" w:cs="Arial"/>
                <w:bCs/>
                <w:color w:val="auto"/>
                <w:sz w:val="22"/>
                <w:szCs w:val="22"/>
                <w:highlight w:val="none"/>
              </w:rPr>
              <w:t>年龄</w:t>
            </w:r>
          </w:p>
        </w:tc>
        <w:tc>
          <w:tcPr>
            <w:tcW w:w="720" w:type="dxa"/>
            <w:vAlign w:val="center"/>
          </w:tcPr>
          <w:p w14:paraId="162C0D56">
            <w:pPr>
              <w:jc w:val="center"/>
              <w:rPr>
                <w:rFonts w:ascii="宋体" w:cs="Arial"/>
                <w:bCs/>
                <w:color w:val="auto"/>
                <w:sz w:val="22"/>
                <w:szCs w:val="22"/>
                <w:highlight w:val="none"/>
              </w:rPr>
            </w:pPr>
            <w:r>
              <w:rPr>
                <w:rFonts w:ascii="宋体" w:cs="Arial"/>
                <w:bCs/>
                <w:color w:val="auto"/>
                <w:sz w:val="22"/>
                <w:szCs w:val="22"/>
                <w:highlight w:val="none"/>
              </w:rPr>
              <w:t>性别</w:t>
            </w:r>
          </w:p>
        </w:tc>
        <w:tc>
          <w:tcPr>
            <w:tcW w:w="720" w:type="dxa"/>
            <w:tcBorders>
              <w:right w:val="single" w:color="auto" w:sz="4" w:space="0"/>
            </w:tcBorders>
            <w:vAlign w:val="center"/>
          </w:tcPr>
          <w:p w14:paraId="31A87055">
            <w:pPr>
              <w:jc w:val="center"/>
              <w:rPr>
                <w:rFonts w:ascii="宋体" w:cs="Arial"/>
                <w:bCs/>
                <w:color w:val="auto"/>
                <w:sz w:val="22"/>
                <w:szCs w:val="22"/>
                <w:highlight w:val="none"/>
              </w:rPr>
            </w:pPr>
            <w:r>
              <w:rPr>
                <w:rFonts w:hint="eastAsia" w:ascii="宋体" w:cs="Arial"/>
                <w:bCs/>
                <w:color w:val="auto"/>
                <w:sz w:val="22"/>
                <w:szCs w:val="22"/>
                <w:highlight w:val="none"/>
              </w:rPr>
              <w:t>学历</w:t>
            </w:r>
          </w:p>
        </w:tc>
        <w:tc>
          <w:tcPr>
            <w:tcW w:w="720" w:type="dxa"/>
            <w:tcBorders>
              <w:left w:val="single" w:color="auto" w:sz="4" w:space="0"/>
            </w:tcBorders>
            <w:vAlign w:val="center"/>
          </w:tcPr>
          <w:p w14:paraId="5AA765D0">
            <w:pPr>
              <w:jc w:val="center"/>
              <w:rPr>
                <w:rFonts w:ascii="宋体" w:cs="Arial"/>
                <w:bCs/>
                <w:color w:val="auto"/>
                <w:sz w:val="22"/>
                <w:szCs w:val="22"/>
                <w:highlight w:val="none"/>
              </w:rPr>
            </w:pPr>
            <w:r>
              <w:rPr>
                <w:rFonts w:ascii="宋体" w:cs="Arial"/>
                <w:bCs/>
                <w:color w:val="auto"/>
                <w:sz w:val="22"/>
                <w:szCs w:val="22"/>
                <w:highlight w:val="none"/>
              </w:rPr>
              <w:t>专业</w:t>
            </w:r>
          </w:p>
        </w:tc>
        <w:tc>
          <w:tcPr>
            <w:tcW w:w="1170" w:type="dxa"/>
            <w:vAlign w:val="center"/>
          </w:tcPr>
          <w:p w14:paraId="7CBD7C05">
            <w:pPr>
              <w:jc w:val="center"/>
              <w:rPr>
                <w:rFonts w:ascii="宋体" w:cs="Arial"/>
                <w:bCs/>
                <w:color w:val="auto"/>
                <w:sz w:val="22"/>
                <w:szCs w:val="22"/>
                <w:highlight w:val="none"/>
              </w:rPr>
            </w:pPr>
            <w:r>
              <w:rPr>
                <w:rFonts w:hint="eastAsia" w:ascii="宋体" w:cs="Arial"/>
                <w:bCs/>
                <w:color w:val="auto"/>
                <w:sz w:val="22"/>
                <w:szCs w:val="22"/>
                <w:highlight w:val="none"/>
              </w:rPr>
              <w:t>从事工作</w:t>
            </w:r>
          </w:p>
          <w:p w14:paraId="1B6AEA72">
            <w:pPr>
              <w:jc w:val="center"/>
              <w:rPr>
                <w:rFonts w:ascii="宋体" w:cs="Arial"/>
                <w:bCs/>
                <w:color w:val="auto"/>
                <w:sz w:val="22"/>
                <w:szCs w:val="22"/>
                <w:highlight w:val="none"/>
              </w:rPr>
            </w:pPr>
            <w:r>
              <w:rPr>
                <w:rFonts w:ascii="宋体" w:cs="Arial"/>
                <w:bCs/>
                <w:color w:val="auto"/>
                <w:sz w:val="22"/>
                <w:szCs w:val="22"/>
                <w:highlight w:val="none"/>
              </w:rPr>
              <w:t>年限</w:t>
            </w:r>
          </w:p>
        </w:tc>
        <w:tc>
          <w:tcPr>
            <w:tcW w:w="1170" w:type="dxa"/>
            <w:vAlign w:val="center"/>
          </w:tcPr>
          <w:p w14:paraId="22A6294A">
            <w:pPr>
              <w:jc w:val="center"/>
              <w:rPr>
                <w:rFonts w:ascii="宋体" w:cs="Arial"/>
                <w:bCs/>
                <w:color w:val="auto"/>
                <w:sz w:val="22"/>
                <w:szCs w:val="22"/>
                <w:highlight w:val="none"/>
              </w:rPr>
            </w:pPr>
            <w:r>
              <w:rPr>
                <w:rFonts w:ascii="宋体" w:cs="Arial"/>
                <w:bCs/>
                <w:color w:val="auto"/>
                <w:sz w:val="22"/>
                <w:szCs w:val="22"/>
                <w:highlight w:val="none"/>
              </w:rPr>
              <w:t>职务</w:t>
            </w:r>
          </w:p>
          <w:p w14:paraId="316D9FC0">
            <w:pPr>
              <w:jc w:val="center"/>
              <w:rPr>
                <w:rFonts w:ascii="宋体" w:cs="Arial"/>
                <w:bCs/>
                <w:color w:val="auto"/>
                <w:sz w:val="22"/>
                <w:szCs w:val="22"/>
                <w:highlight w:val="none"/>
              </w:rPr>
            </w:pPr>
            <w:r>
              <w:rPr>
                <w:rFonts w:ascii="宋体" w:cs="Arial"/>
                <w:bCs/>
                <w:color w:val="auto"/>
                <w:sz w:val="22"/>
                <w:szCs w:val="22"/>
                <w:highlight w:val="none"/>
              </w:rPr>
              <w:t>和职称</w:t>
            </w:r>
          </w:p>
        </w:tc>
        <w:tc>
          <w:tcPr>
            <w:tcW w:w="1291" w:type="dxa"/>
            <w:vAlign w:val="center"/>
          </w:tcPr>
          <w:p w14:paraId="66C51974">
            <w:pPr>
              <w:jc w:val="center"/>
              <w:rPr>
                <w:rFonts w:ascii="宋体" w:cs="Arial"/>
                <w:bCs/>
                <w:color w:val="auto"/>
                <w:sz w:val="22"/>
                <w:szCs w:val="22"/>
                <w:highlight w:val="none"/>
              </w:rPr>
            </w:pPr>
            <w:r>
              <w:rPr>
                <w:rFonts w:ascii="宋体" w:cs="Arial"/>
                <w:bCs/>
                <w:color w:val="auto"/>
                <w:sz w:val="22"/>
                <w:szCs w:val="22"/>
                <w:highlight w:val="none"/>
              </w:rPr>
              <w:t>联系方式</w:t>
            </w:r>
          </w:p>
        </w:tc>
      </w:tr>
      <w:tr w14:paraId="12E012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08A4650F">
            <w:pPr>
              <w:jc w:val="center"/>
              <w:rPr>
                <w:rFonts w:ascii="宋体" w:cs="Arial"/>
                <w:bCs/>
                <w:color w:val="auto"/>
                <w:sz w:val="22"/>
                <w:szCs w:val="22"/>
                <w:highlight w:val="none"/>
              </w:rPr>
            </w:pPr>
          </w:p>
        </w:tc>
        <w:tc>
          <w:tcPr>
            <w:tcW w:w="1980" w:type="dxa"/>
            <w:vAlign w:val="center"/>
          </w:tcPr>
          <w:p w14:paraId="4C8C3236">
            <w:pPr>
              <w:jc w:val="center"/>
              <w:rPr>
                <w:rFonts w:ascii="宋体" w:cs="Arial"/>
                <w:bCs/>
                <w:color w:val="auto"/>
                <w:sz w:val="22"/>
                <w:szCs w:val="22"/>
                <w:highlight w:val="none"/>
              </w:rPr>
            </w:pPr>
          </w:p>
        </w:tc>
        <w:tc>
          <w:tcPr>
            <w:tcW w:w="720" w:type="dxa"/>
            <w:vAlign w:val="center"/>
          </w:tcPr>
          <w:p w14:paraId="34BE98D3">
            <w:pPr>
              <w:jc w:val="center"/>
              <w:rPr>
                <w:rFonts w:ascii="宋体" w:cs="Arial"/>
                <w:bCs/>
                <w:color w:val="auto"/>
                <w:sz w:val="22"/>
                <w:szCs w:val="22"/>
                <w:highlight w:val="none"/>
              </w:rPr>
            </w:pPr>
          </w:p>
        </w:tc>
        <w:tc>
          <w:tcPr>
            <w:tcW w:w="720" w:type="dxa"/>
            <w:vAlign w:val="center"/>
          </w:tcPr>
          <w:p w14:paraId="0A5F2B95">
            <w:pPr>
              <w:jc w:val="center"/>
              <w:rPr>
                <w:rFonts w:ascii="宋体" w:cs="Arial"/>
                <w:bCs/>
                <w:color w:val="auto"/>
                <w:sz w:val="22"/>
                <w:szCs w:val="22"/>
                <w:highlight w:val="none"/>
              </w:rPr>
            </w:pPr>
          </w:p>
        </w:tc>
        <w:tc>
          <w:tcPr>
            <w:tcW w:w="720" w:type="dxa"/>
            <w:tcBorders>
              <w:right w:val="single" w:color="auto" w:sz="4" w:space="0"/>
            </w:tcBorders>
            <w:vAlign w:val="center"/>
          </w:tcPr>
          <w:p w14:paraId="173D7CA4">
            <w:pPr>
              <w:jc w:val="center"/>
              <w:rPr>
                <w:rFonts w:ascii="宋体" w:cs="Arial"/>
                <w:bCs/>
                <w:color w:val="auto"/>
                <w:sz w:val="22"/>
                <w:szCs w:val="22"/>
                <w:highlight w:val="none"/>
              </w:rPr>
            </w:pPr>
          </w:p>
        </w:tc>
        <w:tc>
          <w:tcPr>
            <w:tcW w:w="720" w:type="dxa"/>
            <w:tcBorders>
              <w:left w:val="single" w:color="auto" w:sz="4" w:space="0"/>
            </w:tcBorders>
            <w:vAlign w:val="center"/>
          </w:tcPr>
          <w:p w14:paraId="6D9221D3">
            <w:pPr>
              <w:jc w:val="center"/>
              <w:rPr>
                <w:rFonts w:ascii="宋体" w:cs="Arial"/>
                <w:bCs/>
                <w:color w:val="auto"/>
                <w:sz w:val="22"/>
                <w:szCs w:val="22"/>
                <w:highlight w:val="none"/>
              </w:rPr>
            </w:pPr>
          </w:p>
        </w:tc>
        <w:tc>
          <w:tcPr>
            <w:tcW w:w="1170" w:type="dxa"/>
            <w:vAlign w:val="center"/>
          </w:tcPr>
          <w:p w14:paraId="6F68E54A">
            <w:pPr>
              <w:jc w:val="center"/>
              <w:rPr>
                <w:rFonts w:ascii="宋体" w:cs="Arial"/>
                <w:bCs/>
                <w:color w:val="auto"/>
                <w:sz w:val="22"/>
                <w:szCs w:val="22"/>
                <w:highlight w:val="none"/>
              </w:rPr>
            </w:pPr>
          </w:p>
        </w:tc>
        <w:tc>
          <w:tcPr>
            <w:tcW w:w="1170" w:type="dxa"/>
            <w:vAlign w:val="center"/>
          </w:tcPr>
          <w:p w14:paraId="4870A0B2">
            <w:pPr>
              <w:jc w:val="center"/>
              <w:rPr>
                <w:rFonts w:ascii="宋体" w:cs="Arial"/>
                <w:bCs/>
                <w:color w:val="auto"/>
                <w:sz w:val="22"/>
                <w:szCs w:val="22"/>
                <w:highlight w:val="none"/>
              </w:rPr>
            </w:pPr>
          </w:p>
        </w:tc>
        <w:tc>
          <w:tcPr>
            <w:tcW w:w="1291" w:type="dxa"/>
            <w:vAlign w:val="center"/>
          </w:tcPr>
          <w:p w14:paraId="0568D9AA">
            <w:pPr>
              <w:jc w:val="center"/>
              <w:rPr>
                <w:rFonts w:ascii="宋体" w:cs="Arial"/>
                <w:bCs/>
                <w:color w:val="auto"/>
                <w:sz w:val="22"/>
                <w:szCs w:val="22"/>
                <w:highlight w:val="none"/>
              </w:rPr>
            </w:pPr>
          </w:p>
        </w:tc>
      </w:tr>
      <w:tr w14:paraId="1639E6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6000B199">
            <w:pPr>
              <w:jc w:val="center"/>
              <w:rPr>
                <w:rFonts w:ascii="宋体" w:cs="Arial"/>
                <w:bCs/>
                <w:color w:val="auto"/>
                <w:sz w:val="22"/>
                <w:szCs w:val="22"/>
                <w:highlight w:val="none"/>
              </w:rPr>
            </w:pPr>
          </w:p>
        </w:tc>
        <w:tc>
          <w:tcPr>
            <w:tcW w:w="1980" w:type="dxa"/>
            <w:vAlign w:val="center"/>
          </w:tcPr>
          <w:p w14:paraId="3A992349">
            <w:pPr>
              <w:jc w:val="center"/>
              <w:rPr>
                <w:rFonts w:ascii="宋体" w:cs="Arial"/>
                <w:bCs/>
                <w:color w:val="auto"/>
                <w:sz w:val="22"/>
                <w:szCs w:val="22"/>
                <w:highlight w:val="none"/>
              </w:rPr>
            </w:pPr>
          </w:p>
        </w:tc>
        <w:tc>
          <w:tcPr>
            <w:tcW w:w="720" w:type="dxa"/>
            <w:vAlign w:val="center"/>
          </w:tcPr>
          <w:p w14:paraId="22E66BF5">
            <w:pPr>
              <w:jc w:val="center"/>
              <w:rPr>
                <w:rFonts w:ascii="宋体" w:cs="Arial"/>
                <w:bCs/>
                <w:color w:val="auto"/>
                <w:sz w:val="22"/>
                <w:szCs w:val="22"/>
                <w:highlight w:val="none"/>
              </w:rPr>
            </w:pPr>
          </w:p>
        </w:tc>
        <w:tc>
          <w:tcPr>
            <w:tcW w:w="720" w:type="dxa"/>
            <w:vAlign w:val="center"/>
          </w:tcPr>
          <w:p w14:paraId="70DA31B8">
            <w:pPr>
              <w:jc w:val="center"/>
              <w:rPr>
                <w:rFonts w:ascii="宋体" w:cs="Arial"/>
                <w:bCs/>
                <w:color w:val="auto"/>
                <w:sz w:val="22"/>
                <w:szCs w:val="22"/>
                <w:highlight w:val="none"/>
              </w:rPr>
            </w:pPr>
          </w:p>
        </w:tc>
        <w:tc>
          <w:tcPr>
            <w:tcW w:w="720" w:type="dxa"/>
            <w:tcBorders>
              <w:right w:val="single" w:color="auto" w:sz="4" w:space="0"/>
            </w:tcBorders>
            <w:vAlign w:val="center"/>
          </w:tcPr>
          <w:p w14:paraId="5A344F2D">
            <w:pPr>
              <w:jc w:val="center"/>
              <w:rPr>
                <w:rFonts w:ascii="宋体" w:cs="Arial"/>
                <w:bCs/>
                <w:color w:val="auto"/>
                <w:sz w:val="22"/>
                <w:szCs w:val="22"/>
                <w:highlight w:val="none"/>
              </w:rPr>
            </w:pPr>
          </w:p>
        </w:tc>
        <w:tc>
          <w:tcPr>
            <w:tcW w:w="720" w:type="dxa"/>
            <w:tcBorders>
              <w:left w:val="single" w:color="auto" w:sz="4" w:space="0"/>
            </w:tcBorders>
            <w:vAlign w:val="center"/>
          </w:tcPr>
          <w:p w14:paraId="1F037E6B">
            <w:pPr>
              <w:jc w:val="center"/>
              <w:rPr>
                <w:rFonts w:ascii="宋体" w:cs="Arial"/>
                <w:bCs/>
                <w:color w:val="auto"/>
                <w:sz w:val="22"/>
                <w:szCs w:val="22"/>
                <w:highlight w:val="none"/>
              </w:rPr>
            </w:pPr>
          </w:p>
        </w:tc>
        <w:tc>
          <w:tcPr>
            <w:tcW w:w="1170" w:type="dxa"/>
            <w:vAlign w:val="center"/>
          </w:tcPr>
          <w:p w14:paraId="00D66A83">
            <w:pPr>
              <w:jc w:val="center"/>
              <w:rPr>
                <w:rFonts w:ascii="宋体" w:cs="Arial"/>
                <w:bCs/>
                <w:color w:val="auto"/>
                <w:sz w:val="22"/>
                <w:szCs w:val="22"/>
                <w:highlight w:val="none"/>
              </w:rPr>
            </w:pPr>
          </w:p>
        </w:tc>
        <w:tc>
          <w:tcPr>
            <w:tcW w:w="1170" w:type="dxa"/>
            <w:vAlign w:val="center"/>
          </w:tcPr>
          <w:p w14:paraId="6C674CBD">
            <w:pPr>
              <w:jc w:val="center"/>
              <w:rPr>
                <w:rFonts w:ascii="宋体" w:cs="Arial"/>
                <w:bCs/>
                <w:color w:val="auto"/>
                <w:sz w:val="22"/>
                <w:szCs w:val="22"/>
                <w:highlight w:val="none"/>
              </w:rPr>
            </w:pPr>
          </w:p>
        </w:tc>
        <w:tc>
          <w:tcPr>
            <w:tcW w:w="1291" w:type="dxa"/>
            <w:vAlign w:val="center"/>
          </w:tcPr>
          <w:p w14:paraId="5125C1EF">
            <w:pPr>
              <w:jc w:val="center"/>
              <w:rPr>
                <w:rFonts w:ascii="宋体" w:cs="Arial"/>
                <w:bCs/>
                <w:color w:val="auto"/>
                <w:sz w:val="22"/>
                <w:szCs w:val="22"/>
                <w:highlight w:val="none"/>
              </w:rPr>
            </w:pPr>
          </w:p>
        </w:tc>
      </w:tr>
      <w:tr w14:paraId="5E5F07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2DBF62DC">
            <w:pPr>
              <w:jc w:val="center"/>
              <w:rPr>
                <w:rFonts w:ascii="宋体" w:cs="Arial"/>
                <w:bCs/>
                <w:color w:val="auto"/>
                <w:sz w:val="22"/>
                <w:szCs w:val="22"/>
                <w:highlight w:val="none"/>
              </w:rPr>
            </w:pPr>
          </w:p>
        </w:tc>
        <w:tc>
          <w:tcPr>
            <w:tcW w:w="1980" w:type="dxa"/>
            <w:vAlign w:val="center"/>
          </w:tcPr>
          <w:p w14:paraId="7C96E8FF">
            <w:pPr>
              <w:jc w:val="center"/>
              <w:rPr>
                <w:rFonts w:ascii="宋体" w:cs="Arial"/>
                <w:bCs/>
                <w:color w:val="auto"/>
                <w:sz w:val="22"/>
                <w:szCs w:val="22"/>
                <w:highlight w:val="none"/>
              </w:rPr>
            </w:pPr>
          </w:p>
        </w:tc>
        <w:tc>
          <w:tcPr>
            <w:tcW w:w="720" w:type="dxa"/>
            <w:vAlign w:val="center"/>
          </w:tcPr>
          <w:p w14:paraId="6852BD14">
            <w:pPr>
              <w:jc w:val="center"/>
              <w:rPr>
                <w:rFonts w:ascii="宋体" w:cs="Arial"/>
                <w:bCs/>
                <w:color w:val="auto"/>
                <w:sz w:val="22"/>
                <w:szCs w:val="22"/>
                <w:highlight w:val="none"/>
              </w:rPr>
            </w:pPr>
          </w:p>
        </w:tc>
        <w:tc>
          <w:tcPr>
            <w:tcW w:w="720" w:type="dxa"/>
            <w:vAlign w:val="center"/>
          </w:tcPr>
          <w:p w14:paraId="4DE70550">
            <w:pPr>
              <w:jc w:val="center"/>
              <w:rPr>
                <w:rFonts w:ascii="宋体" w:cs="Arial"/>
                <w:bCs/>
                <w:color w:val="auto"/>
                <w:sz w:val="22"/>
                <w:szCs w:val="22"/>
                <w:highlight w:val="none"/>
              </w:rPr>
            </w:pPr>
          </w:p>
        </w:tc>
        <w:tc>
          <w:tcPr>
            <w:tcW w:w="720" w:type="dxa"/>
            <w:tcBorders>
              <w:right w:val="single" w:color="auto" w:sz="4" w:space="0"/>
            </w:tcBorders>
            <w:vAlign w:val="center"/>
          </w:tcPr>
          <w:p w14:paraId="17AA536F">
            <w:pPr>
              <w:jc w:val="center"/>
              <w:rPr>
                <w:rFonts w:ascii="宋体" w:cs="Arial"/>
                <w:bCs/>
                <w:color w:val="auto"/>
                <w:sz w:val="22"/>
                <w:szCs w:val="22"/>
                <w:highlight w:val="none"/>
              </w:rPr>
            </w:pPr>
          </w:p>
        </w:tc>
        <w:tc>
          <w:tcPr>
            <w:tcW w:w="720" w:type="dxa"/>
            <w:tcBorders>
              <w:left w:val="single" w:color="auto" w:sz="4" w:space="0"/>
            </w:tcBorders>
            <w:vAlign w:val="center"/>
          </w:tcPr>
          <w:p w14:paraId="2B1D6066">
            <w:pPr>
              <w:jc w:val="center"/>
              <w:rPr>
                <w:rFonts w:ascii="宋体" w:cs="Arial"/>
                <w:bCs/>
                <w:color w:val="auto"/>
                <w:sz w:val="22"/>
                <w:szCs w:val="22"/>
                <w:highlight w:val="none"/>
              </w:rPr>
            </w:pPr>
          </w:p>
        </w:tc>
        <w:tc>
          <w:tcPr>
            <w:tcW w:w="1170" w:type="dxa"/>
            <w:vAlign w:val="center"/>
          </w:tcPr>
          <w:p w14:paraId="6A36A90D">
            <w:pPr>
              <w:jc w:val="center"/>
              <w:rPr>
                <w:rFonts w:ascii="宋体" w:cs="Arial"/>
                <w:bCs/>
                <w:color w:val="auto"/>
                <w:sz w:val="22"/>
                <w:szCs w:val="22"/>
                <w:highlight w:val="none"/>
              </w:rPr>
            </w:pPr>
          </w:p>
        </w:tc>
        <w:tc>
          <w:tcPr>
            <w:tcW w:w="1170" w:type="dxa"/>
            <w:vAlign w:val="center"/>
          </w:tcPr>
          <w:p w14:paraId="4750ADF6">
            <w:pPr>
              <w:jc w:val="center"/>
              <w:rPr>
                <w:rFonts w:ascii="宋体" w:cs="Arial"/>
                <w:bCs/>
                <w:color w:val="auto"/>
                <w:sz w:val="22"/>
                <w:szCs w:val="22"/>
                <w:highlight w:val="none"/>
              </w:rPr>
            </w:pPr>
          </w:p>
        </w:tc>
        <w:tc>
          <w:tcPr>
            <w:tcW w:w="1291" w:type="dxa"/>
            <w:vAlign w:val="center"/>
          </w:tcPr>
          <w:p w14:paraId="29A16F00">
            <w:pPr>
              <w:jc w:val="center"/>
              <w:rPr>
                <w:rFonts w:ascii="宋体" w:cs="Arial"/>
                <w:bCs/>
                <w:color w:val="auto"/>
                <w:sz w:val="22"/>
                <w:szCs w:val="22"/>
                <w:highlight w:val="none"/>
              </w:rPr>
            </w:pPr>
          </w:p>
        </w:tc>
      </w:tr>
      <w:tr w14:paraId="569577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01949E24">
            <w:pPr>
              <w:jc w:val="center"/>
              <w:rPr>
                <w:rFonts w:ascii="宋体" w:cs="Arial"/>
                <w:bCs/>
                <w:color w:val="auto"/>
                <w:sz w:val="22"/>
                <w:szCs w:val="22"/>
                <w:highlight w:val="none"/>
              </w:rPr>
            </w:pPr>
          </w:p>
        </w:tc>
        <w:tc>
          <w:tcPr>
            <w:tcW w:w="1980" w:type="dxa"/>
            <w:vAlign w:val="center"/>
          </w:tcPr>
          <w:p w14:paraId="3DF16DDF">
            <w:pPr>
              <w:jc w:val="center"/>
              <w:rPr>
                <w:rFonts w:ascii="宋体" w:cs="Arial"/>
                <w:bCs/>
                <w:color w:val="auto"/>
                <w:sz w:val="22"/>
                <w:szCs w:val="22"/>
                <w:highlight w:val="none"/>
              </w:rPr>
            </w:pPr>
          </w:p>
        </w:tc>
        <w:tc>
          <w:tcPr>
            <w:tcW w:w="720" w:type="dxa"/>
            <w:vAlign w:val="center"/>
          </w:tcPr>
          <w:p w14:paraId="1C35A3AA">
            <w:pPr>
              <w:jc w:val="center"/>
              <w:rPr>
                <w:rFonts w:ascii="宋体" w:cs="Arial"/>
                <w:bCs/>
                <w:color w:val="auto"/>
                <w:sz w:val="22"/>
                <w:szCs w:val="22"/>
                <w:highlight w:val="none"/>
              </w:rPr>
            </w:pPr>
          </w:p>
        </w:tc>
        <w:tc>
          <w:tcPr>
            <w:tcW w:w="720" w:type="dxa"/>
            <w:vAlign w:val="center"/>
          </w:tcPr>
          <w:p w14:paraId="25386940">
            <w:pPr>
              <w:jc w:val="center"/>
              <w:rPr>
                <w:rFonts w:ascii="宋体" w:cs="Arial"/>
                <w:bCs/>
                <w:color w:val="auto"/>
                <w:sz w:val="22"/>
                <w:szCs w:val="22"/>
                <w:highlight w:val="none"/>
              </w:rPr>
            </w:pPr>
          </w:p>
        </w:tc>
        <w:tc>
          <w:tcPr>
            <w:tcW w:w="720" w:type="dxa"/>
            <w:tcBorders>
              <w:right w:val="single" w:color="auto" w:sz="4" w:space="0"/>
            </w:tcBorders>
            <w:vAlign w:val="center"/>
          </w:tcPr>
          <w:p w14:paraId="3D9753CC">
            <w:pPr>
              <w:jc w:val="center"/>
              <w:rPr>
                <w:rFonts w:ascii="宋体" w:cs="Arial"/>
                <w:bCs/>
                <w:color w:val="auto"/>
                <w:sz w:val="22"/>
                <w:szCs w:val="22"/>
                <w:highlight w:val="none"/>
              </w:rPr>
            </w:pPr>
          </w:p>
        </w:tc>
        <w:tc>
          <w:tcPr>
            <w:tcW w:w="720" w:type="dxa"/>
            <w:tcBorders>
              <w:left w:val="single" w:color="auto" w:sz="4" w:space="0"/>
            </w:tcBorders>
            <w:vAlign w:val="center"/>
          </w:tcPr>
          <w:p w14:paraId="4AE3B3D9">
            <w:pPr>
              <w:jc w:val="center"/>
              <w:rPr>
                <w:rFonts w:ascii="宋体" w:cs="Arial"/>
                <w:bCs/>
                <w:color w:val="auto"/>
                <w:sz w:val="22"/>
                <w:szCs w:val="22"/>
                <w:highlight w:val="none"/>
              </w:rPr>
            </w:pPr>
          </w:p>
        </w:tc>
        <w:tc>
          <w:tcPr>
            <w:tcW w:w="1170" w:type="dxa"/>
            <w:vAlign w:val="center"/>
          </w:tcPr>
          <w:p w14:paraId="34397D99">
            <w:pPr>
              <w:jc w:val="center"/>
              <w:rPr>
                <w:rFonts w:ascii="宋体" w:cs="Arial"/>
                <w:bCs/>
                <w:color w:val="auto"/>
                <w:sz w:val="22"/>
                <w:szCs w:val="22"/>
                <w:highlight w:val="none"/>
              </w:rPr>
            </w:pPr>
          </w:p>
        </w:tc>
        <w:tc>
          <w:tcPr>
            <w:tcW w:w="1170" w:type="dxa"/>
            <w:vAlign w:val="center"/>
          </w:tcPr>
          <w:p w14:paraId="4D30DE50">
            <w:pPr>
              <w:jc w:val="center"/>
              <w:rPr>
                <w:rFonts w:ascii="宋体" w:cs="Arial"/>
                <w:bCs/>
                <w:color w:val="auto"/>
                <w:sz w:val="22"/>
                <w:szCs w:val="22"/>
                <w:highlight w:val="none"/>
              </w:rPr>
            </w:pPr>
          </w:p>
        </w:tc>
        <w:tc>
          <w:tcPr>
            <w:tcW w:w="1291" w:type="dxa"/>
            <w:vAlign w:val="center"/>
          </w:tcPr>
          <w:p w14:paraId="77B1827F">
            <w:pPr>
              <w:jc w:val="center"/>
              <w:rPr>
                <w:rFonts w:ascii="宋体" w:cs="Arial"/>
                <w:bCs/>
                <w:color w:val="auto"/>
                <w:sz w:val="22"/>
                <w:szCs w:val="22"/>
                <w:highlight w:val="none"/>
              </w:rPr>
            </w:pPr>
          </w:p>
        </w:tc>
      </w:tr>
      <w:tr w14:paraId="0FF14B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712D8F90">
            <w:pPr>
              <w:jc w:val="center"/>
              <w:rPr>
                <w:rFonts w:ascii="宋体" w:cs="Arial"/>
                <w:bCs/>
                <w:color w:val="auto"/>
                <w:sz w:val="22"/>
                <w:szCs w:val="22"/>
                <w:highlight w:val="none"/>
              </w:rPr>
            </w:pPr>
          </w:p>
        </w:tc>
        <w:tc>
          <w:tcPr>
            <w:tcW w:w="1980" w:type="dxa"/>
            <w:vAlign w:val="center"/>
          </w:tcPr>
          <w:p w14:paraId="3E7BD0BA">
            <w:pPr>
              <w:jc w:val="center"/>
              <w:rPr>
                <w:rFonts w:ascii="宋体" w:cs="Arial"/>
                <w:bCs/>
                <w:color w:val="auto"/>
                <w:sz w:val="22"/>
                <w:szCs w:val="22"/>
                <w:highlight w:val="none"/>
              </w:rPr>
            </w:pPr>
          </w:p>
        </w:tc>
        <w:tc>
          <w:tcPr>
            <w:tcW w:w="720" w:type="dxa"/>
            <w:vAlign w:val="center"/>
          </w:tcPr>
          <w:p w14:paraId="478CA6C6">
            <w:pPr>
              <w:jc w:val="center"/>
              <w:rPr>
                <w:rFonts w:ascii="宋体" w:cs="Arial"/>
                <w:bCs/>
                <w:color w:val="auto"/>
                <w:sz w:val="22"/>
                <w:szCs w:val="22"/>
                <w:highlight w:val="none"/>
              </w:rPr>
            </w:pPr>
          </w:p>
        </w:tc>
        <w:tc>
          <w:tcPr>
            <w:tcW w:w="720" w:type="dxa"/>
            <w:vAlign w:val="center"/>
          </w:tcPr>
          <w:p w14:paraId="1F88410A">
            <w:pPr>
              <w:jc w:val="center"/>
              <w:rPr>
                <w:rFonts w:ascii="宋体" w:cs="Arial"/>
                <w:bCs/>
                <w:color w:val="auto"/>
                <w:sz w:val="22"/>
                <w:szCs w:val="22"/>
                <w:highlight w:val="none"/>
              </w:rPr>
            </w:pPr>
          </w:p>
        </w:tc>
        <w:tc>
          <w:tcPr>
            <w:tcW w:w="720" w:type="dxa"/>
            <w:tcBorders>
              <w:right w:val="single" w:color="auto" w:sz="4" w:space="0"/>
            </w:tcBorders>
            <w:vAlign w:val="center"/>
          </w:tcPr>
          <w:p w14:paraId="6B29736F">
            <w:pPr>
              <w:jc w:val="center"/>
              <w:rPr>
                <w:rFonts w:ascii="宋体" w:cs="Arial"/>
                <w:bCs/>
                <w:color w:val="auto"/>
                <w:sz w:val="22"/>
                <w:szCs w:val="22"/>
                <w:highlight w:val="none"/>
              </w:rPr>
            </w:pPr>
          </w:p>
        </w:tc>
        <w:tc>
          <w:tcPr>
            <w:tcW w:w="720" w:type="dxa"/>
            <w:tcBorders>
              <w:left w:val="single" w:color="auto" w:sz="4" w:space="0"/>
            </w:tcBorders>
            <w:vAlign w:val="center"/>
          </w:tcPr>
          <w:p w14:paraId="155C076C">
            <w:pPr>
              <w:jc w:val="center"/>
              <w:rPr>
                <w:rFonts w:ascii="宋体" w:cs="Arial"/>
                <w:bCs/>
                <w:color w:val="auto"/>
                <w:sz w:val="22"/>
                <w:szCs w:val="22"/>
                <w:highlight w:val="none"/>
              </w:rPr>
            </w:pPr>
          </w:p>
        </w:tc>
        <w:tc>
          <w:tcPr>
            <w:tcW w:w="1170" w:type="dxa"/>
            <w:vAlign w:val="center"/>
          </w:tcPr>
          <w:p w14:paraId="16BFF2C7">
            <w:pPr>
              <w:jc w:val="center"/>
              <w:rPr>
                <w:rFonts w:ascii="宋体" w:cs="Arial"/>
                <w:bCs/>
                <w:color w:val="auto"/>
                <w:sz w:val="22"/>
                <w:szCs w:val="22"/>
                <w:highlight w:val="none"/>
              </w:rPr>
            </w:pPr>
          </w:p>
        </w:tc>
        <w:tc>
          <w:tcPr>
            <w:tcW w:w="1170" w:type="dxa"/>
            <w:vAlign w:val="center"/>
          </w:tcPr>
          <w:p w14:paraId="55EB99D2">
            <w:pPr>
              <w:jc w:val="center"/>
              <w:rPr>
                <w:rFonts w:ascii="宋体" w:cs="Arial"/>
                <w:bCs/>
                <w:color w:val="auto"/>
                <w:sz w:val="22"/>
                <w:szCs w:val="22"/>
                <w:highlight w:val="none"/>
              </w:rPr>
            </w:pPr>
          </w:p>
        </w:tc>
        <w:tc>
          <w:tcPr>
            <w:tcW w:w="1291" w:type="dxa"/>
            <w:vAlign w:val="center"/>
          </w:tcPr>
          <w:p w14:paraId="4BCBCE07">
            <w:pPr>
              <w:jc w:val="center"/>
              <w:rPr>
                <w:rFonts w:ascii="宋体" w:cs="Arial"/>
                <w:bCs/>
                <w:color w:val="auto"/>
                <w:sz w:val="22"/>
                <w:szCs w:val="22"/>
                <w:highlight w:val="none"/>
              </w:rPr>
            </w:pPr>
          </w:p>
        </w:tc>
      </w:tr>
      <w:tr w14:paraId="422A9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778270A2">
            <w:pPr>
              <w:jc w:val="center"/>
              <w:rPr>
                <w:rFonts w:ascii="宋体" w:cs="Arial"/>
                <w:bCs/>
                <w:color w:val="auto"/>
                <w:sz w:val="22"/>
                <w:szCs w:val="22"/>
                <w:highlight w:val="none"/>
              </w:rPr>
            </w:pPr>
          </w:p>
        </w:tc>
        <w:tc>
          <w:tcPr>
            <w:tcW w:w="1980" w:type="dxa"/>
            <w:vAlign w:val="center"/>
          </w:tcPr>
          <w:p w14:paraId="7F28ADCC">
            <w:pPr>
              <w:jc w:val="center"/>
              <w:rPr>
                <w:rFonts w:ascii="宋体" w:cs="Arial"/>
                <w:bCs/>
                <w:color w:val="auto"/>
                <w:sz w:val="22"/>
                <w:szCs w:val="22"/>
                <w:highlight w:val="none"/>
              </w:rPr>
            </w:pPr>
          </w:p>
        </w:tc>
        <w:tc>
          <w:tcPr>
            <w:tcW w:w="720" w:type="dxa"/>
            <w:vAlign w:val="center"/>
          </w:tcPr>
          <w:p w14:paraId="1A61D4B9">
            <w:pPr>
              <w:jc w:val="center"/>
              <w:rPr>
                <w:rFonts w:ascii="宋体" w:cs="Arial"/>
                <w:bCs/>
                <w:color w:val="auto"/>
                <w:sz w:val="22"/>
                <w:szCs w:val="22"/>
                <w:highlight w:val="none"/>
              </w:rPr>
            </w:pPr>
          </w:p>
        </w:tc>
        <w:tc>
          <w:tcPr>
            <w:tcW w:w="720" w:type="dxa"/>
            <w:vAlign w:val="center"/>
          </w:tcPr>
          <w:p w14:paraId="5132509D">
            <w:pPr>
              <w:jc w:val="center"/>
              <w:rPr>
                <w:rFonts w:ascii="宋体" w:cs="Arial"/>
                <w:bCs/>
                <w:color w:val="auto"/>
                <w:sz w:val="22"/>
                <w:szCs w:val="22"/>
                <w:highlight w:val="none"/>
              </w:rPr>
            </w:pPr>
          </w:p>
        </w:tc>
        <w:tc>
          <w:tcPr>
            <w:tcW w:w="720" w:type="dxa"/>
            <w:tcBorders>
              <w:right w:val="single" w:color="auto" w:sz="4" w:space="0"/>
            </w:tcBorders>
            <w:vAlign w:val="center"/>
          </w:tcPr>
          <w:p w14:paraId="0EA641C8">
            <w:pPr>
              <w:jc w:val="center"/>
              <w:rPr>
                <w:rFonts w:ascii="宋体" w:cs="Arial"/>
                <w:bCs/>
                <w:color w:val="auto"/>
                <w:sz w:val="22"/>
                <w:szCs w:val="22"/>
                <w:highlight w:val="none"/>
              </w:rPr>
            </w:pPr>
          </w:p>
        </w:tc>
        <w:tc>
          <w:tcPr>
            <w:tcW w:w="720" w:type="dxa"/>
            <w:tcBorders>
              <w:left w:val="single" w:color="auto" w:sz="4" w:space="0"/>
            </w:tcBorders>
            <w:vAlign w:val="center"/>
          </w:tcPr>
          <w:p w14:paraId="5A15330E">
            <w:pPr>
              <w:jc w:val="center"/>
              <w:rPr>
                <w:rFonts w:ascii="宋体" w:cs="Arial"/>
                <w:bCs/>
                <w:color w:val="auto"/>
                <w:sz w:val="22"/>
                <w:szCs w:val="22"/>
                <w:highlight w:val="none"/>
              </w:rPr>
            </w:pPr>
          </w:p>
        </w:tc>
        <w:tc>
          <w:tcPr>
            <w:tcW w:w="1170" w:type="dxa"/>
            <w:vAlign w:val="center"/>
          </w:tcPr>
          <w:p w14:paraId="562FDBE5">
            <w:pPr>
              <w:jc w:val="center"/>
              <w:rPr>
                <w:rFonts w:ascii="宋体" w:cs="Arial"/>
                <w:bCs/>
                <w:color w:val="auto"/>
                <w:sz w:val="22"/>
                <w:szCs w:val="22"/>
                <w:highlight w:val="none"/>
              </w:rPr>
            </w:pPr>
          </w:p>
        </w:tc>
        <w:tc>
          <w:tcPr>
            <w:tcW w:w="1170" w:type="dxa"/>
            <w:vAlign w:val="center"/>
          </w:tcPr>
          <w:p w14:paraId="160B1E90">
            <w:pPr>
              <w:jc w:val="center"/>
              <w:rPr>
                <w:rFonts w:ascii="宋体" w:cs="Arial"/>
                <w:bCs/>
                <w:color w:val="auto"/>
                <w:sz w:val="22"/>
                <w:szCs w:val="22"/>
                <w:highlight w:val="none"/>
              </w:rPr>
            </w:pPr>
          </w:p>
        </w:tc>
        <w:tc>
          <w:tcPr>
            <w:tcW w:w="1291" w:type="dxa"/>
            <w:vAlign w:val="center"/>
          </w:tcPr>
          <w:p w14:paraId="6CBF8433">
            <w:pPr>
              <w:jc w:val="center"/>
              <w:rPr>
                <w:rFonts w:ascii="宋体" w:cs="Arial"/>
                <w:bCs/>
                <w:color w:val="auto"/>
                <w:sz w:val="22"/>
                <w:szCs w:val="22"/>
                <w:highlight w:val="none"/>
              </w:rPr>
            </w:pPr>
          </w:p>
        </w:tc>
      </w:tr>
      <w:tr w14:paraId="7258D4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3A19766B">
            <w:pPr>
              <w:jc w:val="center"/>
              <w:rPr>
                <w:rFonts w:ascii="宋体" w:cs="Arial"/>
                <w:bCs/>
                <w:color w:val="auto"/>
                <w:sz w:val="22"/>
                <w:szCs w:val="22"/>
                <w:highlight w:val="none"/>
              </w:rPr>
            </w:pPr>
          </w:p>
        </w:tc>
        <w:tc>
          <w:tcPr>
            <w:tcW w:w="1980" w:type="dxa"/>
            <w:vAlign w:val="center"/>
          </w:tcPr>
          <w:p w14:paraId="26E6F4CB">
            <w:pPr>
              <w:jc w:val="center"/>
              <w:rPr>
                <w:rFonts w:ascii="宋体" w:cs="Arial"/>
                <w:bCs/>
                <w:color w:val="auto"/>
                <w:sz w:val="22"/>
                <w:szCs w:val="22"/>
                <w:highlight w:val="none"/>
              </w:rPr>
            </w:pPr>
          </w:p>
        </w:tc>
        <w:tc>
          <w:tcPr>
            <w:tcW w:w="720" w:type="dxa"/>
            <w:vAlign w:val="center"/>
          </w:tcPr>
          <w:p w14:paraId="7EF9CB3D">
            <w:pPr>
              <w:jc w:val="center"/>
              <w:rPr>
                <w:rFonts w:ascii="宋体" w:cs="Arial"/>
                <w:bCs/>
                <w:color w:val="auto"/>
                <w:sz w:val="22"/>
                <w:szCs w:val="22"/>
                <w:highlight w:val="none"/>
              </w:rPr>
            </w:pPr>
          </w:p>
        </w:tc>
        <w:tc>
          <w:tcPr>
            <w:tcW w:w="720" w:type="dxa"/>
            <w:vAlign w:val="center"/>
          </w:tcPr>
          <w:p w14:paraId="503CEA07">
            <w:pPr>
              <w:jc w:val="center"/>
              <w:rPr>
                <w:rFonts w:ascii="宋体" w:cs="Arial"/>
                <w:bCs/>
                <w:color w:val="auto"/>
                <w:sz w:val="22"/>
                <w:szCs w:val="22"/>
                <w:highlight w:val="none"/>
              </w:rPr>
            </w:pPr>
          </w:p>
        </w:tc>
        <w:tc>
          <w:tcPr>
            <w:tcW w:w="720" w:type="dxa"/>
            <w:tcBorders>
              <w:right w:val="single" w:color="auto" w:sz="4" w:space="0"/>
            </w:tcBorders>
            <w:vAlign w:val="center"/>
          </w:tcPr>
          <w:p w14:paraId="37C8CC20">
            <w:pPr>
              <w:jc w:val="center"/>
              <w:rPr>
                <w:rFonts w:ascii="宋体" w:cs="Arial"/>
                <w:bCs/>
                <w:color w:val="auto"/>
                <w:sz w:val="22"/>
                <w:szCs w:val="22"/>
                <w:highlight w:val="none"/>
              </w:rPr>
            </w:pPr>
          </w:p>
        </w:tc>
        <w:tc>
          <w:tcPr>
            <w:tcW w:w="720" w:type="dxa"/>
            <w:tcBorders>
              <w:left w:val="single" w:color="auto" w:sz="4" w:space="0"/>
            </w:tcBorders>
            <w:vAlign w:val="center"/>
          </w:tcPr>
          <w:p w14:paraId="38665803">
            <w:pPr>
              <w:jc w:val="center"/>
              <w:rPr>
                <w:rFonts w:ascii="宋体" w:cs="Arial"/>
                <w:bCs/>
                <w:color w:val="auto"/>
                <w:sz w:val="22"/>
                <w:szCs w:val="22"/>
                <w:highlight w:val="none"/>
              </w:rPr>
            </w:pPr>
          </w:p>
        </w:tc>
        <w:tc>
          <w:tcPr>
            <w:tcW w:w="1170" w:type="dxa"/>
            <w:vAlign w:val="center"/>
          </w:tcPr>
          <w:p w14:paraId="63FC773E">
            <w:pPr>
              <w:jc w:val="center"/>
              <w:rPr>
                <w:rFonts w:ascii="宋体" w:cs="Arial"/>
                <w:bCs/>
                <w:color w:val="auto"/>
                <w:sz w:val="22"/>
                <w:szCs w:val="22"/>
                <w:highlight w:val="none"/>
              </w:rPr>
            </w:pPr>
          </w:p>
        </w:tc>
        <w:tc>
          <w:tcPr>
            <w:tcW w:w="1170" w:type="dxa"/>
            <w:vAlign w:val="center"/>
          </w:tcPr>
          <w:p w14:paraId="6A6F8E2C">
            <w:pPr>
              <w:jc w:val="center"/>
              <w:rPr>
                <w:rFonts w:ascii="宋体" w:cs="Arial"/>
                <w:bCs/>
                <w:color w:val="auto"/>
                <w:sz w:val="22"/>
                <w:szCs w:val="22"/>
                <w:highlight w:val="none"/>
              </w:rPr>
            </w:pPr>
          </w:p>
        </w:tc>
        <w:tc>
          <w:tcPr>
            <w:tcW w:w="1291" w:type="dxa"/>
            <w:vAlign w:val="center"/>
          </w:tcPr>
          <w:p w14:paraId="07CA6904">
            <w:pPr>
              <w:jc w:val="center"/>
              <w:rPr>
                <w:rFonts w:ascii="宋体" w:cs="Arial"/>
                <w:bCs/>
                <w:color w:val="auto"/>
                <w:sz w:val="22"/>
                <w:szCs w:val="22"/>
                <w:highlight w:val="none"/>
              </w:rPr>
            </w:pPr>
          </w:p>
        </w:tc>
      </w:tr>
      <w:tr w14:paraId="78B174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3046B1FF">
            <w:pPr>
              <w:jc w:val="center"/>
              <w:rPr>
                <w:rFonts w:ascii="宋体" w:cs="Arial"/>
                <w:bCs/>
                <w:color w:val="auto"/>
                <w:sz w:val="22"/>
                <w:szCs w:val="22"/>
                <w:highlight w:val="none"/>
              </w:rPr>
            </w:pPr>
          </w:p>
        </w:tc>
        <w:tc>
          <w:tcPr>
            <w:tcW w:w="1980" w:type="dxa"/>
            <w:vAlign w:val="center"/>
          </w:tcPr>
          <w:p w14:paraId="44545107">
            <w:pPr>
              <w:jc w:val="center"/>
              <w:rPr>
                <w:rFonts w:ascii="宋体" w:cs="Arial"/>
                <w:bCs/>
                <w:color w:val="auto"/>
                <w:sz w:val="22"/>
                <w:szCs w:val="22"/>
                <w:highlight w:val="none"/>
              </w:rPr>
            </w:pPr>
          </w:p>
        </w:tc>
        <w:tc>
          <w:tcPr>
            <w:tcW w:w="720" w:type="dxa"/>
            <w:vAlign w:val="center"/>
          </w:tcPr>
          <w:p w14:paraId="28557272">
            <w:pPr>
              <w:jc w:val="center"/>
              <w:rPr>
                <w:rFonts w:ascii="宋体" w:cs="Arial"/>
                <w:bCs/>
                <w:color w:val="auto"/>
                <w:sz w:val="22"/>
                <w:szCs w:val="22"/>
                <w:highlight w:val="none"/>
              </w:rPr>
            </w:pPr>
          </w:p>
        </w:tc>
        <w:tc>
          <w:tcPr>
            <w:tcW w:w="720" w:type="dxa"/>
            <w:vAlign w:val="center"/>
          </w:tcPr>
          <w:p w14:paraId="29BEA942">
            <w:pPr>
              <w:jc w:val="center"/>
              <w:rPr>
                <w:rFonts w:ascii="宋体" w:cs="Arial"/>
                <w:bCs/>
                <w:color w:val="auto"/>
                <w:sz w:val="22"/>
                <w:szCs w:val="22"/>
                <w:highlight w:val="none"/>
              </w:rPr>
            </w:pPr>
          </w:p>
        </w:tc>
        <w:tc>
          <w:tcPr>
            <w:tcW w:w="720" w:type="dxa"/>
            <w:tcBorders>
              <w:right w:val="single" w:color="auto" w:sz="4" w:space="0"/>
            </w:tcBorders>
            <w:vAlign w:val="center"/>
          </w:tcPr>
          <w:p w14:paraId="32CAF625">
            <w:pPr>
              <w:jc w:val="center"/>
              <w:rPr>
                <w:rFonts w:ascii="宋体" w:cs="Arial"/>
                <w:bCs/>
                <w:color w:val="auto"/>
                <w:sz w:val="22"/>
                <w:szCs w:val="22"/>
                <w:highlight w:val="none"/>
              </w:rPr>
            </w:pPr>
          </w:p>
        </w:tc>
        <w:tc>
          <w:tcPr>
            <w:tcW w:w="720" w:type="dxa"/>
            <w:tcBorders>
              <w:left w:val="single" w:color="auto" w:sz="4" w:space="0"/>
            </w:tcBorders>
            <w:vAlign w:val="center"/>
          </w:tcPr>
          <w:p w14:paraId="4608F9AD">
            <w:pPr>
              <w:jc w:val="center"/>
              <w:rPr>
                <w:rFonts w:ascii="宋体" w:cs="Arial"/>
                <w:bCs/>
                <w:color w:val="auto"/>
                <w:sz w:val="22"/>
                <w:szCs w:val="22"/>
                <w:highlight w:val="none"/>
              </w:rPr>
            </w:pPr>
          </w:p>
        </w:tc>
        <w:tc>
          <w:tcPr>
            <w:tcW w:w="1170" w:type="dxa"/>
            <w:vAlign w:val="center"/>
          </w:tcPr>
          <w:p w14:paraId="167C51B8">
            <w:pPr>
              <w:jc w:val="center"/>
              <w:rPr>
                <w:rFonts w:ascii="宋体" w:cs="Arial"/>
                <w:bCs/>
                <w:color w:val="auto"/>
                <w:sz w:val="22"/>
                <w:szCs w:val="22"/>
                <w:highlight w:val="none"/>
              </w:rPr>
            </w:pPr>
          </w:p>
        </w:tc>
        <w:tc>
          <w:tcPr>
            <w:tcW w:w="1170" w:type="dxa"/>
            <w:vAlign w:val="center"/>
          </w:tcPr>
          <w:p w14:paraId="05FA5E57">
            <w:pPr>
              <w:jc w:val="center"/>
              <w:rPr>
                <w:rFonts w:ascii="宋体" w:cs="Arial"/>
                <w:bCs/>
                <w:color w:val="auto"/>
                <w:sz w:val="22"/>
                <w:szCs w:val="22"/>
                <w:highlight w:val="none"/>
              </w:rPr>
            </w:pPr>
          </w:p>
        </w:tc>
        <w:tc>
          <w:tcPr>
            <w:tcW w:w="1291" w:type="dxa"/>
            <w:vAlign w:val="center"/>
          </w:tcPr>
          <w:p w14:paraId="314E15E7">
            <w:pPr>
              <w:jc w:val="center"/>
              <w:rPr>
                <w:rFonts w:ascii="宋体" w:cs="Arial"/>
                <w:bCs/>
                <w:color w:val="auto"/>
                <w:sz w:val="22"/>
                <w:szCs w:val="22"/>
                <w:highlight w:val="none"/>
              </w:rPr>
            </w:pPr>
          </w:p>
        </w:tc>
      </w:tr>
      <w:tr w14:paraId="70A07F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4F2025C0">
            <w:pPr>
              <w:jc w:val="center"/>
              <w:rPr>
                <w:rFonts w:ascii="宋体" w:cs="Arial"/>
                <w:bCs/>
                <w:color w:val="auto"/>
                <w:sz w:val="22"/>
                <w:szCs w:val="22"/>
                <w:highlight w:val="none"/>
              </w:rPr>
            </w:pPr>
          </w:p>
        </w:tc>
        <w:tc>
          <w:tcPr>
            <w:tcW w:w="1980" w:type="dxa"/>
            <w:vAlign w:val="center"/>
          </w:tcPr>
          <w:p w14:paraId="6BF8C764">
            <w:pPr>
              <w:jc w:val="center"/>
              <w:rPr>
                <w:rFonts w:ascii="宋体" w:cs="Arial"/>
                <w:bCs/>
                <w:color w:val="auto"/>
                <w:sz w:val="22"/>
                <w:szCs w:val="22"/>
                <w:highlight w:val="none"/>
              </w:rPr>
            </w:pPr>
          </w:p>
        </w:tc>
        <w:tc>
          <w:tcPr>
            <w:tcW w:w="720" w:type="dxa"/>
            <w:vAlign w:val="center"/>
          </w:tcPr>
          <w:p w14:paraId="201D6C46">
            <w:pPr>
              <w:jc w:val="center"/>
              <w:rPr>
                <w:rFonts w:ascii="宋体" w:cs="Arial"/>
                <w:bCs/>
                <w:color w:val="auto"/>
                <w:sz w:val="22"/>
                <w:szCs w:val="22"/>
                <w:highlight w:val="none"/>
              </w:rPr>
            </w:pPr>
          </w:p>
        </w:tc>
        <w:tc>
          <w:tcPr>
            <w:tcW w:w="720" w:type="dxa"/>
            <w:vAlign w:val="center"/>
          </w:tcPr>
          <w:p w14:paraId="302818A7">
            <w:pPr>
              <w:jc w:val="center"/>
              <w:rPr>
                <w:rFonts w:ascii="宋体" w:cs="Arial"/>
                <w:bCs/>
                <w:color w:val="auto"/>
                <w:sz w:val="22"/>
                <w:szCs w:val="22"/>
                <w:highlight w:val="none"/>
              </w:rPr>
            </w:pPr>
          </w:p>
        </w:tc>
        <w:tc>
          <w:tcPr>
            <w:tcW w:w="720" w:type="dxa"/>
            <w:tcBorders>
              <w:right w:val="single" w:color="auto" w:sz="4" w:space="0"/>
            </w:tcBorders>
            <w:vAlign w:val="center"/>
          </w:tcPr>
          <w:p w14:paraId="487CE143">
            <w:pPr>
              <w:jc w:val="center"/>
              <w:rPr>
                <w:rFonts w:ascii="宋体" w:cs="Arial"/>
                <w:bCs/>
                <w:color w:val="auto"/>
                <w:sz w:val="22"/>
                <w:szCs w:val="22"/>
                <w:highlight w:val="none"/>
              </w:rPr>
            </w:pPr>
          </w:p>
        </w:tc>
        <w:tc>
          <w:tcPr>
            <w:tcW w:w="720" w:type="dxa"/>
            <w:tcBorders>
              <w:left w:val="single" w:color="auto" w:sz="4" w:space="0"/>
            </w:tcBorders>
            <w:vAlign w:val="center"/>
          </w:tcPr>
          <w:p w14:paraId="57E034ED">
            <w:pPr>
              <w:jc w:val="center"/>
              <w:rPr>
                <w:rFonts w:ascii="宋体" w:cs="Arial"/>
                <w:bCs/>
                <w:color w:val="auto"/>
                <w:sz w:val="22"/>
                <w:szCs w:val="22"/>
                <w:highlight w:val="none"/>
              </w:rPr>
            </w:pPr>
          </w:p>
        </w:tc>
        <w:tc>
          <w:tcPr>
            <w:tcW w:w="1170" w:type="dxa"/>
            <w:vAlign w:val="center"/>
          </w:tcPr>
          <w:p w14:paraId="7788798B">
            <w:pPr>
              <w:jc w:val="center"/>
              <w:rPr>
                <w:rFonts w:ascii="宋体" w:cs="Arial"/>
                <w:bCs/>
                <w:color w:val="auto"/>
                <w:sz w:val="22"/>
                <w:szCs w:val="22"/>
                <w:highlight w:val="none"/>
              </w:rPr>
            </w:pPr>
          </w:p>
        </w:tc>
        <w:tc>
          <w:tcPr>
            <w:tcW w:w="1170" w:type="dxa"/>
            <w:vAlign w:val="center"/>
          </w:tcPr>
          <w:p w14:paraId="62DB941B">
            <w:pPr>
              <w:jc w:val="center"/>
              <w:rPr>
                <w:rFonts w:ascii="宋体" w:cs="Arial"/>
                <w:bCs/>
                <w:color w:val="auto"/>
                <w:sz w:val="22"/>
                <w:szCs w:val="22"/>
                <w:highlight w:val="none"/>
              </w:rPr>
            </w:pPr>
          </w:p>
        </w:tc>
        <w:tc>
          <w:tcPr>
            <w:tcW w:w="1291" w:type="dxa"/>
            <w:vAlign w:val="center"/>
          </w:tcPr>
          <w:p w14:paraId="232F3D6E">
            <w:pPr>
              <w:jc w:val="center"/>
              <w:rPr>
                <w:rFonts w:ascii="宋体" w:cs="Arial"/>
                <w:bCs/>
                <w:color w:val="auto"/>
                <w:sz w:val="22"/>
                <w:szCs w:val="22"/>
                <w:highlight w:val="none"/>
              </w:rPr>
            </w:pPr>
          </w:p>
        </w:tc>
      </w:tr>
      <w:tr w14:paraId="35FA26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78613CD4">
            <w:pPr>
              <w:jc w:val="center"/>
              <w:rPr>
                <w:rFonts w:ascii="宋体" w:cs="Arial"/>
                <w:bCs/>
                <w:color w:val="auto"/>
                <w:sz w:val="22"/>
                <w:szCs w:val="22"/>
                <w:highlight w:val="none"/>
              </w:rPr>
            </w:pPr>
          </w:p>
        </w:tc>
        <w:tc>
          <w:tcPr>
            <w:tcW w:w="1980" w:type="dxa"/>
            <w:vAlign w:val="center"/>
          </w:tcPr>
          <w:p w14:paraId="53E53EB1">
            <w:pPr>
              <w:jc w:val="center"/>
              <w:rPr>
                <w:rFonts w:ascii="宋体" w:cs="Arial"/>
                <w:bCs/>
                <w:color w:val="auto"/>
                <w:sz w:val="22"/>
                <w:szCs w:val="22"/>
                <w:highlight w:val="none"/>
              </w:rPr>
            </w:pPr>
          </w:p>
        </w:tc>
        <w:tc>
          <w:tcPr>
            <w:tcW w:w="720" w:type="dxa"/>
            <w:vAlign w:val="center"/>
          </w:tcPr>
          <w:p w14:paraId="641E55E3">
            <w:pPr>
              <w:jc w:val="center"/>
              <w:rPr>
                <w:rFonts w:ascii="宋体" w:cs="Arial"/>
                <w:bCs/>
                <w:color w:val="auto"/>
                <w:sz w:val="22"/>
                <w:szCs w:val="22"/>
                <w:highlight w:val="none"/>
              </w:rPr>
            </w:pPr>
          </w:p>
        </w:tc>
        <w:tc>
          <w:tcPr>
            <w:tcW w:w="720" w:type="dxa"/>
            <w:vAlign w:val="center"/>
          </w:tcPr>
          <w:p w14:paraId="7E23CA68">
            <w:pPr>
              <w:jc w:val="center"/>
              <w:rPr>
                <w:rFonts w:ascii="宋体" w:cs="Arial"/>
                <w:bCs/>
                <w:color w:val="auto"/>
                <w:sz w:val="22"/>
                <w:szCs w:val="22"/>
                <w:highlight w:val="none"/>
              </w:rPr>
            </w:pPr>
          </w:p>
        </w:tc>
        <w:tc>
          <w:tcPr>
            <w:tcW w:w="720" w:type="dxa"/>
            <w:tcBorders>
              <w:right w:val="single" w:color="auto" w:sz="4" w:space="0"/>
            </w:tcBorders>
            <w:vAlign w:val="center"/>
          </w:tcPr>
          <w:p w14:paraId="00D028EC">
            <w:pPr>
              <w:jc w:val="center"/>
              <w:rPr>
                <w:rFonts w:ascii="宋体" w:cs="Arial"/>
                <w:bCs/>
                <w:color w:val="auto"/>
                <w:sz w:val="22"/>
                <w:szCs w:val="22"/>
                <w:highlight w:val="none"/>
              </w:rPr>
            </w:pPr>
          </w:p>
        </w:tc>
        <w:tc>
          <w:tcPr>
            <w:tcW w:w="720" w:type="dxa"/>
            <w:tcBorders>
              <w:left w:val="single" w:color="auto" w:sz="4" w:space="0"/>
            </w:tcBorders>
            <w:vAlign w:val="center"/>
          </w:tcPr>
          <w:p w14:paraId="2D495F8E">
            <w:pPr>
              <w:jc w:val="center"/>
              <w:rPr>
                <w:rFonts w:ascii="宋体" w:cs="Arial"/>
                <w:bCs/>
                <w:color w:val="auto"/>
                <w:sz w:val="22"/>
                <w:szCs w:val="22"/>
                <w:highlight w:val="none"/>
              </w:rPr>
            </w:pPr>
          </w:p>
        </w:tc>
        <w:tc>
          <w:tcPr>
            <w:tcW w:w="1170" w:type="dxa"/>
            <w:vAlign w:val="center"/>
          </w:tcPr>
          <w:p w14:paraId="20C2B682">
            <w:pPr>
              <w:jc w:val="center"/>
              <w:rPr>
                <w:rFonts w:ascii="宋体" w:cs="Arial"/>
                <w:bCs/>
                <w:color w:val="auto"/>
                <w:sz w:val="22"/>
                <w:szCs w:val="22"/>
                <w:highlight w:val="none"/>
              </w:rPr>
            </w:pPr>
          </w:p>
        </w:tc>
        <w:tc>
          <w:tcPr>
            <w:tcW w:w="1170" w:type="dxa"/>
            <w:vAlign w:val="center"/>
          </w:tcPr>
          <w:p w14:paraId="30374E9C">
            <w:pPr>
              <w:jc w:val="center"/>
              <w:rPr>
                <w:rFonts w:ascii="宋体" w:cs="Arial"/>
                <w:bCs/>
                <w:color w:val="auto"/>
                <w:sz w:val="22"/>
                <w:szCs w:val="22"/>
                <w:highlight w:val="none"/>
              </w:rPr>
            </w:pPr>
          </w:p>
        </w:tc>
        <w:tc>
          <w:tcPr>
            <w:tcW w:w="1291" w:type="dxa"/>
            <w:vAlign w:val="center"/>
          </w:tcPr>
          <w:p w14:paraId="68F9519C">
            <w:pPr>
              <w:jc w:val="center"/>
              <w:rPr>
                <w:rFonts w:ascii="宋体" w:cs="Arial"/>
                <w:bCs/>
                <w:color w:val="auto"/>
                <w:sz w:val="22"/>
                <w:szCs w:val="22"/>
                <w:highlight w:val="none"/>
              </w:rPr>
            </w:pPr>
          </w:p>
        </w:tc>
      </w:tr>
      <w:tr w14:paraId="5201AF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7F2374DA">
            <w:pPr>
              <w:jc w:val="center"/>
              <w:rPr>
                <w:rFonts w:ascii="宋体" w:cs="Arial"/>
                <w:bCs/>
                <w:color w:val="auto"/>
                <w:sz w:val="22"/>
                <w:szCs w:val="22"/>
                <w:highlight w:val="none"/>
              </w:rPr>
            </w:pPr>
          </w:p>
        </w:tc>
        <w:tc>
          <w:tcPr>
            <w:tcW w:w="1980" w:type="dxa"/>
            <w:vAlign w:val="center"/>
          </w:tcPr>
          <w:p w14:paraId="7688F751">
            <w:pPr>
              <w:jc w:val="center"/>
              <w:rPr>
                <w:rFonts w:ascii="宋体" w:cs="Arial"/>
                <w:bCs/>
                <w:color w:val="auto"/>
                <w:sz w:val="22"/>
                <w:szCs w:val="22"/>
                <w:highlight w:val="none"/>
              </w:rPr>
            </w:pPr>
          </w:p>
        </w:tc>
        <w:tc>
          <w:tcPr>
            <w:tcW w:w="720" w:type="dxa"/>
            <w:vAlign w:val="center"/>
          </w:tcPr>
          <w:p w14:paraId="63E124C7">
            <w:pPr>
              <w:jc w:val="center"/>
              <w:rPr>
                <w:rFonts w:ascii="宋体" w:cs="Arial"/>
                <w:bCs/>
                <w:color w:val="auto"/>
                <w:sz w:val="22"/>
                <w:szCs w:val="22"/>
                <w:highlight w:val="none"/>
              </w:rPr>
            </w:pPr>
          </w:p>
        </w:tc>
        <w:tc>
          <w:tcPr>
            <w:tcW w:w="720" w:type="dxa"/>
            <w:vAlign w:val="center"/>
          </w:tcPr>
          <w:p w14:paraId="46816220">
            <w:pPr>
              <w:jc w:val="center"/>
              <w:rPr>
                <w:rFonts w:ascii="宋体" w:cs="Arial"/>
                <w:bCs/>
                <w:color w:val="auto"/>
                <w:sz w:val="22"/>
                <w:szCs w:val="22"/>
                <w:highlight w:val="none"/>
              </w:rPr>
            </w:pPr>
          </w:p>
        </w:tc>
        <w:tc>
          <w:tcPr>
            <w:tcW w:w="720" w:type="dxa"/>
            <w:tcBorders>
              <w:right w:val="single" w:color="auto" w:sz="4" w:space="0"/>
            </w:tcBorders>
            <w:vAlign w:val="center"/>
          </w:tcPr>
          <w:p w14:paraId="23C8648B">
            <w:pPr>
              <w:jc w:val="center"/>
              <w:rPr>
                <w:rFonts w:ascii="宋体" w:cs="Arial"/>
                <w:bCs/>
                <w:color w:val="auto"/>
                <w:sz w:val="22"/>
                <w:szCs w:val="22"/>
                <w:highlight w:val="none"/>
              </w:rPr>
            </w:pPr>
          </w:p>
        </w:tc>
        <w:tc>
          <w:tcPr>
            <w:tcW w:w="720" w:type="dxa"/>
            <w:tcBorders>
              <w:left w:val="single" w:color="auto" w:sz="4" w:space="0"/>
            </w:tcBorders>
            <w:vAlign w:val="center"/>
          </w:tcPr>
          <w:p w14:paraId="6FF02F78">
            <w:pPr>
              <w:jc w:val="center"/>
              <w:rPr>
                <w:rFonts w:ascii="宋体" w:cs="Arial"/>
                <w:bCs/>
                <w:color w:val="auto"/>
                <w:sz w:val="22"/>
                <w:szCs w:val="22"/>
                <w:highlight w:val="none"/>
              </w:rPr>
            </w:pPr>
          </w:p>
        </w:tc>
        <w:tc>
          <w:tcPr>
            <w:tcW w:w="1170" w:type="dxa"/>
            <w:vAlign w:val="center"/>
          </w:tcPr>
          <w:p w14:paraId="417057D7">
            <w:pPr>
              <w:jc w:val="center"/>
              <w:rPr>
                <w:rFonts w:ascii="宋体" w:cs="Arial"/>
                <w:bCs/>
                <w:color w:val="auto"/>
                <w:sz w:val="22"/>
                <w:szCs w:val="22"/>
                <w:highlight w:val="none"/>
              </w:rPr>
            </w:pPr>
          </w:p>
        </w:tc>
        <w:tc>
          <w:tcPr>
            <w:tcW w:w="1170" w:type="dxa"/>
            <w:vAlign w:val="center"/>
          </w:tcPr>
          <w:p w14:paraId="2B8C5C3D">
            <w:pPr>
              <w:jc w:val="center"/>
              <w:rPr>
                <w:rFonts w:ascii="宋体" w:cs="Arial"/>
                <w:bCs/>
                <w:color w:val="auto"/>
                <w:sz w:val="22"/>
                <w:szCs w:val="22"/>
                <w:highlight w:val="none"/>
              </w:rPr>
            </w:pPr>
          </w:p>
        </w:tc>
        <w:tc>
          <w:tcPr>
            <w:tcW w:w="1291" w:type="dxa"/>
            <w:vAlign w:val="center"/>
          </w:tcPr>
          <w:p w14:paraId="4B076549">
            <w:pPr>
              <w:jc w:val="center"/>
              <w:rPr>
                <w:rFonts w:ascii="宋体" w:cs="Arial"/>
                <w:bCs/>
                <w:color w:val="auto"/>
                <w:sz w:val="22"/>
                <w:szCs w:val="22"/>
                <w:highlight w:val="none"/>
              </w:rPr>
            </w:pPr>
          </w:p>
        </w:tc>
      </w:tr>
      <w:tr w14:paraId="6FB7B5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12285431">
            <w:pPr>
              <w:jc w:val="center"/>
              <w:rPr>
                <w:rFonts w:ascii="宋体" w:cs="Arial"/>
                <w:bCs/>
                <w:color w:val="auto"/>
                <w:sz w:val="22"/>
                <w:szCs w:val="22"/>
                <w:highlight w:val="none"/>
              </w:rPr>
            </w:pPr>
          </w:p>
        </w:tc>
        <w:tc>
          <w:tcPr>
            <w:tcW w:w="1980" w:type="dxa"/>
            <w:vAlign w:val="center"/>
          </w:tcPr>
          <w:p w14:paraId="080C7F0F">
            <w:pPr>
              <w:jc w:val="center"/>
              <w:rPr>
                <w:rFonts w:ascii="宋体" w:cs="Arial"/>
                <w:bCs/>
                <w:color w:val="auto"/>
                <w:sz w:val="22"/>
                <w:szCs w:val="22"/>
                <w:highlight w:val="none"/>
              </w:rPr>
            </w:pPr>
          </w:p>
        </w:tc>
        <w:tc>
          <w:tcPr>
            <w:tcW w:w="720" w:type="dxa"/>
            <w:vAlign w:val="center"/>
          </w:tcPr>
          <w:p w14:paraId="5829A448">
            <w:pPr>
              <w:jc w:val="center"/>
              <w:rPr>
                <w:rFonts w:ascii="宋体" w:cs="Arial"/>
                <w:bCs/>
                <w:color w:val="auto"/>
                <w:sz w:val="22"/>
                <w:szCs w:val="22"/>
                <w:highlight w:val="none"/>
              </w:rPr>
            </w:pPr>
          </w:p>
        </w:tc>
        <w:tc>
          <w:tcPr>
            <w:tcW w:w="720" w:type="dxa"/>
            <w:vAlign w:val="center"/>
          </w:tcPr>
          <w:p w14:paraId="07191835">
            <w:pPr>
              <w:jc w:val="center"/>
              <w:rPr>
                <w:rFonts w:ascii="宋体" w:cs="Arial"/>
                <w:bCs/>
                <w:color w:val="auto"/>
                <w:sz w:val="22"/>
                <w:szCs w:val="22"/>
                <w:highlight w:val="none"/>
              </w:rPr>
            </w:pPr>
          </w:p>
        </w:tc>
        <w:tc>
          <w:tcPr>
            <w:tcW w:w="720" w:type="dxa"/>
            <w:tcBorders>
              <w:right w:val="single" w:color="auto" w:sz="4" w:space="0"/>
            </w:tcBorders>
            <w:vAlign w:val="center"/>
          </w:tcPr>
          <w:p w14:paraId="0DA2494D">
            <w:pPr>
              <w:jc w:val="center"/>
              <w:rPr>
                <w:rFonts w:ascii="宋体" w:cs="Arial"/>
                <w:bCs/>
                <w:color w:val="auto"/>
                <w:sz w:val="22"/>
                <w:szCs w:val="22"/>
                <w:highlight w:val="none"/>
              </w:rPr>
            </w:pPr>
          </w:p>
        </w:tc>
        <w:tc>
          <w:tcPr>
            <w:tcW w:w="720" w:type="dxa"/>
            <w:tcBorders>
              <w:left w:val="single" w:color="auto" w:sz="4" w:space="0"/>
            </w:tcBorders>
            <w:vAlign w:val="center"/>
          </w:tcPr>
          <w:p w14:paraId="5365F363">
            <w:pPr>
              <w:jc w:val="center"/>
              <w:rPr>
                <w:rFonts w:ascii="宋体" w:cs="Arial"/>
                <w:bCs/>
                <w:color w:val="auto"/>
                <w:sz w:val="22"/>
                <w:szCs w:val="22"/>
                <w:highlight w:val="none"/>
              </w:rPr>
            </w:pPr>
          </w:p>
        </w:tc>
        <w:tc>
          <w:tcPr>
            <w:tcW w:w="1170" w:type="dxa"/>
            <w:vAlign w:val="center"/>
          </w:tcPr>
          <w:p w14:paraId="59A88E37">
            <w:pPr>
              <w:jc w:val="center"/>
              <w:rPr>
                <w:rFonts w:ascii="宋体" w:cs="Arial"/>
                <w:bCs/>
                <w:color w:val="auto"/>
                <w:sz w:val="22"/>
                <w:szCs w:val="22"/>
                <w:highlight w:val="none"/>
              </w:rPr>
            </w:pPr>
          </w:p>
        </w:tc>
        <w:tc>
          <w:tcPr>
            <w:tcW w:w="1170" w:type="dxa"/>
            <w:vAlign w:val="center"/>
          </w:tcPr>
          <w:p w14:paraId="780D70FE">
            <w:pPr>
              <w:jc w:val="center"/>
              <w:rPr>
                <w:rFonts w:ascii="宋体" w:cs="Arial"/>
                <w:bCs/>
                <w:color w:val="auto"/>
                <w:sz w:val="22"/>
                <w:szCs w:val="22"/>
                <w:highlight w:val="none"/>
              </w:rPr>
            </w:pPr>
          </w:p>
        </w:tc>
        <w:tc>
          <w:tcPr>
            <w:tcW w:w="1291" w:type="dxa"/>
            <w:vAlign w:val="center"/>
          </w:tcPr>
          <w:p w14:paraId="5AEA5837">
            <w:pPr>
              <w:jc w:val="center"/>
              <w:rPr>
                <w:rFonts w:ascii="宋体" w:cs="Arial"/>
                <w:bCs/>
                <w:color w:val="auto"/>
                <w:sz w:val="22"/>
                <w:szCs w:val="22"/>
                <w:highlight w:val="none"/>
              </w:rPr>
            </w:pPr>
          </w:p>
        </w:tc>
      </w:tr>
      <w:tr w14:paraId="3A8C65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1599F0D8">
            <w:pPr>
              <w:jc w:val="center"/>
              <w:rPr>
                <w:rFonts w:ascii="宋体" w:cs="Arial"/>
                <w:bCs/>
                <w:color w:val="auto"/>
                <w:sz w:val="22"/>
                <w:szCs w:val="22"/>
                <w:highlight w:val="none"/>
              </w:rPr>
            </w:pPr>
          </w:p>
        </w:tc>
        <w:tc>
          <w:tcPr>
            <w:tcW w:w="1980" w:type="dxa"/>
            <w:vAlign w:val="center"/>
          </w:tcPr>
          <w:p w14:paraId="154E413B">
            <w:pPr>
              <w:jc w:val="center"/>
              <w:rPr>
                <w:rFonts w:ascii="宋体" w:cs="Arial"/>
                <w:bCs/>
                <w:color w:val="auto"/>
                <w:sz w:val="22"/>
                <w:szCs w:val="22"/>
                <w:highlight w:val="none"/>
              </w:rPr>
            </w:pPr>
          </w:p>
        </w:tc>
        <w:tc>
          <w:tcPr>
            <w:tcW w:w="720" w:type="dxa"/>
            <w:vAlign w:val="center"/>
          </w:tcPr>
          <w:p w14:paraId="496FE3FE">
            <w:pPr>
              <w:jc w:val="center"/>
              <w:rPr>
                <w:rFonts w:ascii="宋体" w:cs="Arial"/>
                <w:bCs/>
                <w:color w:val="auto"/>
                <w:sz w:val="22"/>
                <w:szCs w:val="22"/>
                <w:highlight w:val="none"/>
              </w:rPr>
            </w:pPr>
          </w:p>
        </w:tc>
        <w:tc>
          <w:tcPr>
            <w:tcW w:w="720" w:type="dxa"/>
            <w:vAlign w:val="center"/>
          </w:tcPr>
          <w:p w14:paraId="1A232DA4">
            <w:pPr>
              <w:jc w:val="center"/>
              <w:rPr>
                <w:rFonts w:ascii="宋体" w:cs="Arial"/>
                <w:bCs/>
                <w:color w:val="auto"/>
                <w:sz w:val="22"/>
                <w:szCs w:val="22"/>
                <w:highlight w:val="none"/>
              </w:rPr>
            </w:pPr>
          </w:p>
        </w:tc>
        <w:tc>
          <w:tcPr>
            <w:tcW w:w="720" w:type="dxa"/>
            <w:tcBorders>
              <w:right w:val="single" w:color="auto" w:sz="4" w:space="0"/>
            </w:tcBorders>
            <w:vAlign w:val="center"/>
          </w:tcPr>
          <w:p w14:paraId="25A920EE">
            <w:pPr>
              <w:jc w:val="center"/>
              <w:rPr>
                <w:rFonts w:ascii="宋体" w:cs="Arial"/>
                <w:bCs/>
                <w:color w:val="auto"/>
                <w:sz w:val="22"/>
                <w:szCs w:val="22"/>
                <w:highlight w:val="none"/>
              </w:rPr>
            </w:pPr>
          </w:p>
        </w:tc>
        <w:tc>
          <w:tcPr>
            <w:tcW w:w="720" w:type="dxa"/>
            <w:tcBorders>
              <w:left w:val="single" w:color="auto" w:sz="4" w:space="0"/>
            </w:tcBorders>
            <w:vAlign w:val="center"/>
          </w:tcPr>
          <w:p w14:paraId="225485CD">
            <w:pPr>
              <w:jc w:val="center"/>
              <w:rPr>
                <w:rFonts w:ascii="宋体" w:cs="Arial"/>
                <w:bCs/>
                <w:color w:val="auto"/>
                <w:sz w:val="22"/>
                <w:szCs w:val="22"/>
                <w:highlight w:val="none"/>
              </w:rPr>
            </w:pPr>
          </w:p>
        </w:tc>
        <w:tc>
          <w:tcPr>
            <w:tcW w:w="1170" w:type="dxa"/>
            <w:vAlign w:val="center"/>
          </w:tcPr>
          <w:p w14:paraId="47E67B9A">
            <w:pPr>
              <w:jc w:val="center"/>
              <w:rPr>
                <w:rFonts w:ascii="宋体" w:cs="Arial"/>
                <w:bCs/>
                <w:color w:val="auto"/>
                <w:sz w:val="22"/>
                <w:szCs w:val="22"/>
                <w:highlight w:val="none"/>
              </w:rPr>
            </w:pPr>
          </w:p>
        </w:tc>
        <w:tc>
          <w:tcPr>
            <w:tcW w:w="1170" w:type="dxa"/>
            <w:vAlign w:val="center"/>
          </w:tcPr>
          <w:p w14:paraId="0E908759">
            <w:pPr>
              <w:jc w:val="center"/>
              <w:rPr>
                <w:rFonts w:ascii="宋体" w:cs="Arial"/>
                <w:bCs/>
                <w:color w:val="auto"/>
                <w:sz w:val="22"/>
                <w:szCs w:val="22"/>
                <w:highlight w:val="none"/>
              </w:rPr>
            </w:pPr>
          </w:p>
        </w:tc>
        <w:tc>
          <w:tcPr>
            <w:tcW w:w="1291" w:type="dxa"/>
            <w:vAlign w:val="center"/>
          </w:tcPr>
          <w:p w14:paraId="2EC589EE">
            <w:pPr>
              <w:jc w:val="center"/>
              <w:rPr>
                <w:rFonts w:ascii="宋体" w:cs="Arial"/>
                <w:bCs/>
                <w:color w:val="auto"/>
                <w:sz w:val="22"/>
                <w:szCs w:val="22"/>
                <w:highlight w:val="none"/>
              </w:rPr>
            </w:pPr>
          </w:p>
        </w:tc>
      </w:tr>
      <w:tr w14:paraId="05A9DE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1CB97B89">
            <w:pPr>
              <w:jc w:val="center"/>
              <w:rPr>
                <w:rFonts w:ascii="宋体" w:cs="Arial"/>
                <w:bCs/>
                <w:color w:val="auto"/>
                <w:sz w:val="22"/>
                <w:szCs w:val="22"/>
                <w:highlight w:val="none"/>
              </w:rPr>
            </w:pPr>
          </w:p>
        </w:tc>
        <w:tc>
          <w:tcPr>
            <w:tcW w:w="1980" w:type="dxa"/>
            <w:vAlign w:val="center"/>
          </w:tcPr>
          <w:p w14:paraId="2A02B944">
            <w:pPr>
              <w:jc w:val="center"/>
              <w:rPr>
                <w:rFonts w:ascii="宋体" w:cs="Arial"/>
                <w:bCs/>
                <w:color w:val="auto"/>
                <w:sz w:val="22"/>
                <w:szCs w:val="22"/>
                <w:highlight w:val="none"/>
              </w:rPr>
            </w:pPr>
          </w:p>
        </w:tc>
        <w:tc>
          <w:tcPr>
            <w:tcW w:w="720" w:type="dxa"/>
            <w:vAlign w:val="center"/>
          </w:tcPr>
          <w:p w14:paraId="7557B869">
            <w:pPr>
              <w:jc w:val="center"/>
              <w:rPr>
                <w:rFonts w:ascii="宋体" w:cs="Arial"/>
                <w:bCs/>
                <w:color w:val="auto"/>
                <w:sz w:val="22"/>
                <w:szCs w:val="22"/>
                <w:highlight w:val="none"/>
              </w:rPr>
            </w:pPr>
          </w:p>
        </w:tc>
        <w:tc>
          <w:tcPr>
            <w:tcW w:w="720" w:type="dxa"/>
            <w:vAlign w:val="center"/>
          </w:tcPr>
          <w:p w14:paraId="2A65E387">
            <w:pPr>
              <w:jc w:val="center"/>
              <w:rPr>
                <w:rFonts w:ascii="宋体" w:cs="Arial"/>
                <w:bCs/>
                <w:color w:val="auto"/>
                <w:sz w:val="22"/>
                <w:szCs w:val="22"/>
                <w:highlight w:val="none"/>
              </w:rPr>
            </w:pPr>
          </w:p>
        </w:tc>
        <w:tc>
          <w:tcPr>
            <w:tcW w:w="720" w:type="dxa"/>
            <w:tcBorders>
              <w:right w:val="single" w:color="auto" w:sz="4" w:space="0"/>
            </w:tcBorders>
            <w:vAlign w:val="center"/>
          </w:tcPr>
          <w:p w14:paraId="734AF189">
            <w:pPr>
              <w:jc w:val="center"/>
              <w:rPr>
                <w:rFonts w:ascii="宋体" w:cs="Arial"/>
                <w:bCs/>
                <w:color w:val="auto"/>
                <w:sz w:val="22"/>
                <w:szCs w:val="22"/>
                <w:highlight w:val="none"/>
              </w:rPr>
            </w:pPr>
          </w:p>
        </w:tc>
        <w:tc>
          <w:tcPr>
            <w:tcW w:w="720" w:type="dxa"/>
            <w:tcBorders>
              <w:left w:val="single" w:color="auto" w:sz="4" w:space="0"/>
            </w:tcBorders>
            <w:vAlign w:val="center"/>
          </w:tcPr>
          <w:p w14:paraId="16ED5A5A">
            <w:pPr>
              <w:jc w:val="center"/>
              <w:rPr>
                <w:rFonts w:ascii="宋体" w:cs="Arial"/>
                <w:bCs/>
                <w:color w:val="auto"/>
                <w:sz w:val="22"/>
                <w:szCs w:val="22"/>
                <w:highlight w:val="none"/>
              </w:rPr>
            </w:pPr>
          </w:p>
        </w:tc>
        <w:tc>
          <w:tcPr>
            <w:tcW w:w="1170" w:type="dxa"/>
            <w:vAlign w:val="center"/>
          </w:tcPr>
          <w:p w14:paraId="3F2CC659">
            <w:pPr>
              <w:jc w:val="center"/>
              <w:rPr>
                <w:rFonts w:ascii="宋体" w:cs="Arial"/>
                <w:bCs/>
                <w:color w:val="auto"/>
                <w:sz w:val="22"/>
                <w:szCs w:val="22"/>
                <w:highlight w:val="none"/>
              </w:rPr>
            </w:pPr>
          </w:p>
        </w:tc>
        <w:tc>
          <w:tcPr>
            <w:tcW w:w="1170" w:type="dxa"/>
            <w:vAlign w:val="center"/>
          </w:tcPr>
          <w:p w14:paraId="6912D687">
            <w:pPr>
              <w:jc w:val="center"/>
              <w:rPr>
                <w:rFonts w:ascii="宋体" w:cs="Arial"/>
                <w:bCs/>
                <w:color w:val="auto"/>
                <w:sz w:val="22"/>
                <w:szCs w:val="22"/>
                <w:highlight w:val="none"/>
              </w:rPr>
            </w:pPr>
          </w:p>
        </w:tc>
        <w:tc>
          <w:tcPr>
            <w:tcW w:w="1291" w:type="dxa"/>
            <w:vAlign w:val="center"/>
          </w:tcPr>
          <w:p w14:paraId="4E37D232">
            <w:pPr>
              <w:jc w:val="center"/>
              <w:rPr>
                <w:rFonts w:ascii="宋体" w:cs="Arial"/>
                <w:bCs/>
                <w:color w:val="auto"/>
                <w:sz w:val="22"/>
                <w:szCs w:val="22"/>
                <w:highlight w:val="none"/>
              </w:rPr>
            </w:pPr>
          </w:p>
        </w:tc>
      </w:tr>
      <w:tr w14:paraId="06708A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0D18D88D">
            <w:pPr>
              <w:jc w:val="center"/>
              <w:rPr>
                <w:rFonts w:ascii="宋体" w:cs="Arial"/>
                <w:bCs/>
                <w:color w:val="auto"/>
                <w:sz w:val="22"/>
                <w:szCs w:val="22"/>
                <w:highlight w:val="none"/>
              </w:rPr>
            </w:pPr>
          </w:p>
        </w:tc>
        <w:tc>
          <w:tcPr>
            <w:tcW w:w="1980" w:type="dxa"/>
            <w:vAlign w:val="center"/>
          </w:tcPr>
          <w:p w14:paraId="36F72749">
            <w:pPr>
              <w:jc w:val="center"/>
              <w:rPr>
                <w:rFonts w:ascii="宋体" w:cs="Arial"/>
                <w:bCs/>
                <w:color w:val="auto"/>
                <w:sz w:val="22"/>
                <w:szCs w:val="22"/>
                <w:highlight w:val="none"/>
              </w:rPr>
            </w:pPr>
          </w:p>
        </w:tc>
        <w:tc>
          <w:tcPr>
            <w:tcW w:w="720" w:type="dxa"/>
            <w:vAlign w:val="center"/>
          </w:tcPr>
          <w:p w14:paraId="593BF48C">
            <w:pPr>
              <w:jc w:val="center"/>
              <w:rPr>
                <w:rFonts w:ascii="宋体" w:cs="Arial"/>
                <w:bCs/>
                <w:color w:val="auto"/>
                <w:sz w:val="22"/>
                <w:szCs w:val="22"/>
                <w:highlight w:val="none"/>
              </w:rPr>
            </w:pPr>
          </w:p>
        </w:tc>
        <w:tc>
          <w:tcPr>
            <w:tcW w:w="720" w:type="dxa"/>
            <w:vAlign w:val="center"/>
          </w:tcPr>
          <w:p w14:paraId="1E2D5E54">
            <w:pPr>
              <w:jc w:val="center"/>
              <w:rPr>
                <w:rFonts w:ascii="宋体" w:cs="Arial"/>
                <w:bCs/>
                <w:color w:val="auto"/>
                <w:sz w:val="22"/>
                <w:szCs w:val="22"/>
                <w:highlight w:val="none"/>
              </w:rPr>
            </w:pPr>
          </w:p>
        </w:tc>
        <w:tc>
          <w:tcPr>
            <w:tcW w:w="720" w:type="dxa"/>
            <w:tcBorders>
              <w:right w:val="single" w:color="auto" w:sz="4" w:space="0"/>
            </w:tcBorders>
            <w:vAlign w:val="center"/>
          </w:tcPr>
          <w:p w14:paraId="7A8B04A3">
            <w:pPr>
              <w:jc w:val="center"/>
              <w:rPr>
                <w:rFonts w:ascii="宋体" w:cs="Arial"/>
                <w:bCs/>
                <w:color w:val="auto"/>
                <w:sz w:val="22"/>
                <w:szCs w:val="22"/>
                <w:highlight w:val="none"/>
              </w:rPr>
            </w:pPr>
          </w:p>
        </w:tc>
        <w:tc>
          <w:tcPr>
            <w:tcW w:w="720" w:type="dxa"/>
            <w:tcBorders>
              <w:left w:val="single" w:color="auto" w:sz="4" w:space="0"/>
            </w:tcBorders>
            <w:vAlign w:val="center"/>
          </w:tcPr>
          <w:p w14:paraId="2B9F6938">
            <w:pPr>
              <w:jc w:val="center"/>
              <w:rPr>
                <w:rFonts w:ascii="宋体" w:cs="Arial"/>
                <w:bCs/>
                <w:color w:val="auto"/>
                <w:sz w:val="22"/>
                <w:szCs w:val="22"/>
                <w:highlight w:val="none"/>
              </w:rPr>
            </w:pPr>
          </w:p>
        </w:tc>
        <w:tc>
          <w:tcPr>
            <w:tcW w:w="1170" w:type="dxa"/>
            <w:vAlign w:val="center"/>
          </w:tcPr>
          <w:p w14:paraId="746BE3EC">
            <w:pPr>
              <w:jc w:val="center"/>
              <w:rPr>
                <w:rFonts w:ascii="宋体" w:cs="Arial"/>
                <w:bCs/>
                <w:color w:val="auto"/>
                <w:sz w:val="22"/>
                <w:szCs w:val="22"/>
                <w:highlight w:val="none"/>
              </w:rPr>
            </w:pPr>
          </w:p>
        </w:tc>
        <w:tc>
          <w:tcPr>
            <w:tcW w:w="1170" w:type="dxa"/>
            <w:vAlign w:val="center"/>
          </w:tcPr>
          <w:p w14:paraId="3B651C58">
            <w:pPr>
              <w:jc w:val="center"/>
              <w:rPr>
                <w:rFonts w:ascii="宋体" w:cs="Arial"/>
                <w:bCs/>
                <w:color w:val="auto"/>
                <w:sz w:val="22"/>
                <w:szCs w:val="22"/>
                <w:highlight w:val="none"/>
              </w:rPr>
            </w:pPr>
          </w:p>
        </w:tc>
        <w:tc>
          <w:tcPr>
            <w:tcW w:w="1291" w:type="dxa"/>
            <w:vAlign w:val="center"/>
          </w:tcPr>
          <w:p w14:paraId="34432D38">
            <w:pPr>
              <w:jc w:val="center"/>
              <w:rPr>
                <w:rFonts w:ascii="宋体" w:cs="Arial"/>
                <w:bCs/>
                <w:color w:val="auto"/>
                <w:sz w:val="22"/>
                <w:szCs w:val="22"/>
                <w:highlight w:val="none"/>
              </w:rPr>
            </w:pPr>
          </w:p>
        </w:tc>
      </w:tr>
      <w:tr w14:paraId="43CDE2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12D0CCD4">
            <w:pPr>
              <w:jc w:val="center"/>
              <w:rPr>
                <w:rFonts w:ascii="宋体" w:cs="Arial"/>
                <w:bCs/>
                <w:color w:val="auto"/>
                <w:sz w:val="22"/>
                <w:szCs w:val="22"/>
                <w:highlight w:val="none"/>
              </w:rPr>
            </w:pPr>
          </w:p>
        </w:tc>
        <w:tc>
          <w:tcPr>
            <w:tcW w:w="1980" w:type="dxa"/>
            <w:vAlign w:val="center"/>
          </w:tcPr>
          <w:p w14:paraId="6F558799">
            <w:pPr>
              <w:jc w:val="center"/>
              <w:rPr>
                <w:rFonts w:ascii="宋体" w:cs="Arial"/>
                <w:bCs/>
                <w:color w:val="auto"/>
                <w:sz w:val="22"/>
                <w:szCs w:val="22"/>
                <w:highlight w:val="none"/>
              </w:rPr>
            </w:pPr>
          </w:p>
        </w:tc>
        <w:tc>
          <w:tcPr>
            <w:tcW w:w="720" w:type="dxa"/>
            <w:vAlign w:val="center"/>
          </w:tcPr>
          <w:p w14:paraId="3FBB7514">
            <w:pPr>
              <w:jc w:val="center"/>
              <w:rPr>
                <w:rFonts w:ascii="宋体" w:cs="Arial"/>
                <w:bCs/>
                <w:color w:val="auto"/>
                <w:sz w:val="22"/>
                <w:szCs w:val="22"/>
                <w:highlight w:val="none"/>
              </w:rPr>
            </w:pPr>
          </w:p>
        </w:tc>
        <w:tc>
          <w:tcPr>
            <w:tcW w:w="720" w:type="dxa"/>
            <w:vAlign w:val="center"/>
          </w:tcPr>
          <w:p w14:paraId="630CB151">
            <w:pPr>
              <w:jc w:val="center"/>
              <w:rPr>
                <w:rFonts w:ascii="宋体" w:cs="Arial"/>
                <w:bCs/>
                <w:color w:val="auto"/>
                <w:sz w:val="22"/>
                <w:szCs w:val="22"/>
                <w:highlight w:val="none"/>
              </w:rPr>
            </w:pPr>
          </w:p>
        </w:tc>
        <w:tc>
          <w:tcPr>
            <w:tcW w:w="720" w:type="dxa"/>
            <w:tcBorders>
              <w:right w:val="single" w:color="auto" w:sz="4" w:space="0"/>
            </w:tcBorders>
            <w:vAlign w:val="center"/>
          </w:tcPr>
          <w:p w14:paraId="2819729C">
            <w:pPr>
              <w:jc w:val="center"/>
              <w:rPr>
                <w:rFonts w:ascii="宋体" w:cs="Arial"/>
                <w:bCs/>
                <w:color w:val="auto"/>
                <w:sz w:val="22"/>
                <w:szCs w:val="22"/>
                <w:highlight w:val="none"/>
              </w:rPr>
            </w:pPr>
          </w:p>
        </w:tc>
        <w:tc>
          <w:tcPr>
            <w:tcW w:w="720" w:type="dxa"/>
            <w:tcBorders>
              <w:left w:val="single" w:color="auto" w:sz="4" w:space="0"/>
            </w:tcBorders>
            <w:vAlign w:val="center"/>
          </w:tcPr>
          <w:p w14:paraId="5BC18770">
            <w:pPr>
              <w:jc w:val="center"/>
              <w:rPr>
                <w:rFonts w:ascii="宋体" w:cs="Arial"/>
                <w:bCs/>
                <w:color w:val="auto"/>
                <w:sz w:val="22"/>
                <w:szCs w:val="22"/>
                <w:highlight w:val="none"/>
              </w:rPr>
            </w:pPr>
          </w:p>
        </w:tc>
        <w:tc>
          <w:tcPr>
            <w:tcW w:w="1170" w:type="dxa"/>
            <w:vAlign w:val="center"/>
          </w:tcPr>
          <w:p w14:paraId="7018F05E">
            <w:pPr>
              <w:jc w:val="center"/>
              <w:rPr>
                <w:rFonts w:ascii="宋体" w:cs="Arial"/>
                <w:bCs/>
                <w:color w:val="auto"/>
                <w:sz w:val="22"/>
                <w:szCs w:val="22"/>
                <w:highlight w:val="none"/>
              </w:rPr>
            </w:pPr>
          </w:p>
        </w:tc>
        <w:tc>
          <w:tcPr>
            <w:tcW w:w="1170" w:type="dxa"/>
            <w:vAlign w:val="center"/>
          </w:tcPr>
          <w:p w14:paraId="1EB4677F">
            <w:pPr>
              <w:jc w:val="center"/>
              <w:rPr>
                <w:rFonts w:ascii="宋体" w:cs="Arial"/>
                <w:bCs/>
                <w:color w:val="auto"/>
                <w:sz w:val="22"/>
                <w:szCs w:val="22"/>
                <w:highlight w:val="none"/>
              </w:rPr>
            </w:pPr>
          </w:p>
        </w:tc>
        <w:tc>
          <w:tcPr>
            <w:tcW w:w="1291" w:type="dxa"/>
            <w:vAlign w:val="center"/>
          </w:tcPr>
          <w:p w14:paraId="7E752E08">
            <w:pPr>
              <w:jc w:val="center"/>
              <w:rPr>
                <w:rFonts w:ascii="宋体" w:cs="Arial"/>
                <w:bCs/>
                <w:color w:val="auto"/>
                <w:sz w:val="22"/>
                <w:szCs w:val="22"/>
                <w:highlight w:val="none"/>
              </w:rPr>
            </w:pPr>
          </w:p>
        </w:tc>
      </w:tr>
    </w:tbl>
    <w:p w14:paraId="31832190">
      <w:pPr>
        <w:spacing w:line="460" w:lineRule="atLeast"/>
        <w:rPr>
          <w:rFonts w:ascii="宋体"/>
          <w:color w:val="auto"/>
          <w:spacing w:val="20"/>
          <w:sz w:val="22"/>
          <w:szCs w:val="22"/>
          <w:highlight w:val="none"/>
        </w:rPr>
      </w:pPr>
      <w:r>
        <w:rPr>
          <w:rFonts w:ascii="宋体"/>
          <w:color w:val="auto"/>
          <w:spacing w:val="20"/>
          <w:sz w:val="22"/>
          <w:szCs w:val="22"/>
          <w:highlight w:val="none"/>
        </w:rPr>
        <w:t>注：1、应随表提交</w:t>
      </w:r>
      <w:r>
        <w:rPr>
          <w:rFonts w:hint="eastAsia" w:ascii="宋体"/>
          <w:color w:val="auto"/>
          <w:spacing w:val="20"/>
          <w:sz w:val="22"/>
          <w:szCs w:val="22"/>
          <w:highlight w:val="none"/>
        </w:rPr>
        <w:t>相关人员的学历、</w:t>
      </w:r>
      <w:r>
        <w:rPr>
          <w:rFonts w:ascii="宋体"/>
          <w:color w:val="auto"/>
          <w:spacing w:val="20"/>
          <w:sz w:val="22"/>
          <w:szCs w:val="22"/>
          <w:highlight w:val="none"/>
        </w:rPr>
        <w:t>职称、资格证书</w:t>
      </w:r>
      <w:r>
        <w:rPr>
          <w:rFonts w:hint="eastAsia" w:ascii="宋体"/>
          <w:color w:val="auto"/>
          <w:spacing w:val="20"/>
          <w:sz w:val="22"/>
          <w:szCs w:val="22"/>
          <w:highlight w:val="none"/>
        </w:rPr>
        <w:t>等</w:t>
      </w:r>
      <w:r>
        <w:rPr>
          <w:rFonts w:ascii="宋体"/>
          <w:color w:val="auto"/>
          <w:spacing w:val="20"/>
          <w:sz w:val="22"/>
          <w:szCs w:val="22"/>
          <w:highlight w:val="none"/>
        </w:rPr>
        <w:t>复印件</w:t>
      </w:r>
      <w:r>
        <w:rPr>
          <w:rFonts w:hint="eastAsia" w:ascii="宋体"/>
          <w:color w:val="auto"/>
          <w:spacing w:val="20"/>
          <w:sz w:val="22"/>
          <w:szCs w:val="22"/>
          <w:highlight w:val="none"/>
        </w:rPr>
        <w:t xml:space="preserve"> </w:t>
      </w:r>
      <w:r>
        <w:rPr>
          <w:rFonts w:ascii="宋体"/>
          <w:color w:val="auto"/>
          <w:spacing w:val="20"/>
          <w:sz w:val="22"/>
          <w:szCs w:val="22"/>
          <w:highlight w:val="none"/>
        </w:rPr>
        <w:t>。</w:t>
      </w:r>
    </w:p>
    <w:p w14:paraId="53F36498">
      <w:pPr>
        <w:spacing w:line="460" w:lineRule="atLeast"/>
        <w:ind w:firstLine="480"/>
        <w:rPr>
          <w:rFonts w:ascii="宋体"/>
          <w:color w:val="auto"/>
          <w:spacing w:val="20"/>
          <w:sz w:val="22"/>
          <w:szCs w:val="22"/>
          <w:highlight w:val="none"/>
        </w:rPr>
      </w:pPr>
      <w:r>
        <w:rPr>
          <w:rFonts w:ascii="宋体"/>
          <w:color w:val="auto"/>
          <w:spacing w:val="20"/>
          <w:sz w:val="22"/>
          <w:szCs w:val="22"/>
          <w:highlight w:val="none"/>
        </w:rPr>
        <w:t>2、列入本表人员如要更换，需经</w:t>
      </w:r>
      <w:r>
        <w:rPr>
          <w:rFonts w:hint="eastAsia" w:ascii="宋体"/>
          <w:color w:val="auto"/>
          <w:spacing w:val="20"/>
          <w:sz w:val="22"/>
          <w:szCs w:val="22"/>
          <w:highlight w:val="none"/>
        </w:rPr>
        <w:t>采购</w:t>
      </w:r>
      <w:r>
        <w:rPr>
          <w:rFonts w:ascii="宋体"/>
          <w:color w:val="auto"/>
          <w:spacing w:val="20"/>
          <w:sz w:val="22"/>
          <w:szCs w:val="22"/>
          <w:highlight w:val="none"/>
        </w:rPr>
        <w:t>人同意；擅自更换或不到位属违约行为。</w:t>
      </w:r>
    </w:p>
    <w:p w14:paraId="3C4F732B">
      <w:pPr>
        <w:spacing w:line="460" w:lineRule="atLeast"/>
        <w:ind w:firstLine="520" w:firstLineChars="200"/>
        <w:rPr>
          <w:rFonts w:ascii="宋体"/>
          <w:color w:val="auto"/>
          <w:spacing w:val="20"/>
          <w:sz w:val="22"/>
          <w:szCs w:val="22"/>
          <w:highlight w:val="none"/>
        </w:rPr>
      </w:pPr>
      <w:r>
        <w:rPr>
          <w:rFonts w:hint="eastAsia" w:ascii="宋体"/>
          <w:color w:val="auto"/>
          <w:spacing w:val="20"/>
          <w:sz w:val="22"/>
          <w:szCs w:val="22"/>
          <w:highlight w:val="none"/>
        </w:rPr>
        <w:t>3、表格可以延续</w:t>
      </w:r>
      <w:r>
        <w:rPr>
          <w:rFonts w:ascii="宋体"/>
          <w:color w:val="auto"/>
          <w:spacing w:val="20"/>
          <w:sz w:val="22"/>
          <w:szCs w:val="22"/>
          <w:highlight w:val="none"/>
        </w:rPr>
        <w:t>。</w:t>
      </w:r>
    </w:p>
    <w:p w14:paraId="6734C796">
      <w:pPr>
        <w:spacing w:line="460" w:lineRule="atLeast"/>
        <w:ind w:firstLine="480"/>
        <w:rPr>
          <w:rFonts w:ascii="宋体"/>
          <w:color w:val="auto"/>
          <w:spacing w:val="20"/>
          <w:sz w:val="22"/>
          <w:szCs w:val="22"/>
          <w:highlight w:val="none"/>
        </w:rPr>
      </w:pPr>
    </w:p>
    <w:p w14:paraId="18B93F5E">
      <w:pPr>
        <w:spacing w:line="460" w:lineRule="atLeast"/>
        <w:ind w:firstLine="480"/>
        <w:rPr>
          <w:rFonts w:ascii="宋体"/>
          <w:color w:val="auto"/>
          <w:spacing w:val="20"/>
          <w:sz w:val="22"/>
          <w:szCs w:val="22"/>
          <w:highlight w:val="none"/>
        </w:rPr>
      </w:pPr>
      <w:r>
        <w:rPr>
          <w:rFonts w:hint="eastAsia" w:ascii="宋体"/>
          <w:color w:val="auto"/>
          <w:spacing w:val="20"/>
          <w:sz w:val="22"/>
          <w:szCs w:val="22"/>
          <w:highlight w:val="none"/>
        </w:rPr>
        <w:t>投标人签字</w:t>
      </w:r>
      <w:r>
        <w:rPr>
          <w:rFonts w:ascii="宋体"/>
          <w:color w:val="auto"/>
          <w:spacing w:val="20"/>
          <w:sz w:val="22"/>
          <w:szCs w:val="22"/>
          <w:highlight w:val="none"/>
        </w:rPr>
        <w:t>：</w:t>
      </w:r>
    </w:p>
    <w:p w14:paraId="3223D0F8">
      <w:pPr>
        <w:spacing w:line="460" w:lineRule="atLeast"/>
        <w:ind w:firstLine="480"/>
        <w:rPr>
          <w:rFonts w:ascii="宋体"/>
          <w:color w:val="auto"/>
          <w:spacing w:val="20"/>
          <w:sz w:val="22"/>
          <w:szCs w:val="22"/>
          <w:highlight w:val="none"/>
        </w:rPr>
      </w:pPr>
      <w:r>
        <w:rPr>
          <w:rFonts w:ascii="宋体"/>
          <w:color w:val="auto"/>
          <w:spacing w:val="20"/>
          <w:sz w:val="22"/>
          <w:szCs w:val="22"/>
          <w:highlight w:val="none"/>
        </w:rPr>
        <w:t>日期：</w:t>
      </w:r>
    </w:p>
    <w:p w14:paraId="30A280ED">
      <w:pPr>
        <w:widowControl/>
        <w:jc w:val="left"/>
        <w:rPr>
          <w:rFonts w:ascii="宋体"/>
          <w:color w:val="auto"/>
          <w:sz w:val="32"/>
          <w:highlight w:val="none"/>
          <w:lang w:val="zh-CN"/>
        </w:rPr>
      </w:pPr>
      <w:r>
        <w:rPr>
          <w:rFonts w:ascii="宋体"/>
          <w:color w:val="auto"/>
          <w:sz w:val="32"/>
          <w:highlight w:val="none"/>
          <w:lang w:val="zh-CN"/>
        </w:rPr>
        <w:br w:type="page"/>
      </w:r>
    </w:p>
    <w:p w14:paraId="0B00A1A5">
      <w:pPr>
        <w:pStyle w:val="4"/>
        <w:jc w:val="left"/>
        <w:rPr>
          <w:color w:val="auto"/>
          <w:highlight w:val="none"/>
        </w:rPr>
      </w:pPr>
      <w:bookmarkStart w:id="20" w:name="_Toc40859298"/>
      <w:r>
        <w:rPr>
          <w:rFonts w:hint="eastAsia"/>
          <w:color w:val="auto"/>
          <w:highlight w:val="none"/>
        </w:rPr>
        <w:t>附件五</w:t>
      </w:r>
      <w:bookmarkEnd w:id="20"/>
    </w:p>
    <w:p w14:paraId="4CDB2B2F">
      <w:pPr>
        <w:autoSpaceDE w:val="0"/>
        <w:autoSpaceDN w:val="0"/>
        <w:adjustRightInd w:val="0"/>
        <w:spacing w:line="430" w:lineRule="atLeast"/>
        <w:jc w:val="center"/>
        <w:textAlignment w:val="bottom"/>
        <w:rPr>
          <w:rFonts w:ascii="宋体"/>
          <w:color w:val="auto"/>
          <w:sz w:val="32"/>
          <w:highlight w:val="none"/>
          <w:lang w:val="zh-CN"/>
        </w:rPr>
      </w:pPr>
      <w:r>
        <w:rPr>
          <w:rFonts w:hint="eastAsia" w:ascii="宋体"/>
          <w:color w:val="auto"/>
          <w:sz w:val="32"/>
          <w:highlight w:val="none"/>
          <w:lang w:val="zh-CN"/>
        </w:rPr>
        <w:t>供应商所投护渔船上配备的设备、器材和工具情况表</w:t>
      </w:r>
    </w:p>
    <w:p w14:paraId="7D4DAF2E">
      <w:pPr>
        <w:spacing w:line="480" w:lineRule="exact"/>
        <w:ind w:firstLine="440" w:firstLineChars="200"/>
        <w:rPr>
          <w:rFonts w:ascii="宋体"/>
          <w:color w:val="auto"/>
          <w:sz w:val="22"/>
          <w:szCs w:val="22"/>
          <w:highlight w:val="none"/>
        </w:rPr>
      </w:pPr>
      <w:r>
        <w:rPr>
          <w:rFonts w:hint="eastAsia" w:ascii="宋体"/>
          <w:color w:val="auto"/>
          <w:sz w:val="22"/>
          <w:szCs w:val="22"/>
          <w:highlight w:val="none"/>
        </w:rPr>
        <w:t>项目名称：                               招标编号：</w:t>
      </w:r>
    </w:p>
    <w:tbl>
      <w:tblPr>
        <w:tblStyle w:val="18"/>
        <w:tblW w:w="94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6"/>
        <w:gridCol w:w="2360"/>
        <w:gridCol w:w="1224"/>
        <w:gridCol w:w="1224"/>
        <w:gridCol w:w="1224"/>
        <w:gridCol w:w="1224"/>
        <w:gridCol w:w="1224"/>
      </w:tblGrid>
      <w:tr w14:paraId="35671C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14:paraId="6EE0176E">
            <w:pPr>
              <w:spacing w:line="480" w:lineRule="exact"/>
              <w:jc w:val="center"/>
              <w:rPr>
                <w:rFonts w:ascii="宋体"/>
                <w:color w:val="auto"/>
                <w:sz w:val="22"/>
                <w:szCs w:val="22"/>
                <w:highlight w:val="none"/>
              </w:rPr>
            </w:pPr>
            <w:r>
              <w:rPr>
                <w:rFonts w:hint="eastAsia" w:ascii="宋体"/>
                <w:color w:val="auto"/>
                <w:sz w:val="22"/>
                <w:szCs w:val="22"/>
                <w:highlight w:val="none"/>
              </w:rPr>
              <w:t>序号</w:t>
            </w:r>
          </w:p>
        </w:tc>
        <w:tc>
          <w:tcPr>
            <w:tcW w:w="2360" w:type="dxa"/>
            <w:vAlign w:val="center"/>
          </w:tcPr>
          <w:p w14:paraId="13ED85EE">
            <w:pPr>
              <w:spacing w:line="480" w:lineRule="exact"/>
              <w:jc w:val="center"/>
              <w:rPr>
                <w:rFonts w:ascii="宋体"/>
                <w:color w:val="auto"/>
                <w:sz w:val="22"/>
                <w:szCs w:val="22"/>
                <w:highlight w:val="none"/>
              </w:rPr>
            </w:pPr>
            <w:r>
              <w:rPr>
                <w:rFonts w:hint="eastAsia" w:ascii="宋体"/>
                <w:color w:val="auto"/>
                <w:sz w:val="22"/>
                <w:szCs w:val="22"/>
                <w:highlight w:val="none"/>
              </w:rPr>
              <w:t>设备、器材和工具名称</w:t>
            </w:r>
          </w:p>
        </w:tc>
        <w:tc>
          <w:tcPr>
            <w:tcW w:w="1224" w:type="dxa"/>
            <w:vAlign w:val="center"/>
          </w:tcPr>
          <w:p w14:paraId="6BF3B155">
            <w:pPr>
              <w:spacing w:line="480" w:lineRule="exact"/>
              <w:jc w:val="center"/>
              <w:rPr>
                <w:rFonts w:ascii="宋体"/>
                <w:color w:val="auto"/>
                <w:sz w:val="22"/>
                <w:szCs w:val="22"/>
                <w:highlight w:val="none"/>
              </w:rPr>
            </w:pPr>
            <w:r>
              <w:rPr>
                <w:rFonts w:hint="eastAsia" w:ascii="宋体"/>
                <w:color w:val="auto"/>
                <w:sz w:val="22"/>
                <w:szCs w:val="22"/>
                <w:highlight w:val="none"/>
              </w:rPr>
              <w:t>规格型号</w:t>
            </w:r>
          </w:p>
        </w:tc>
        <w:tc>
          <w:tcPr>
            <w:tcW w:w="1224" w:type="dxa"/>
            <w:vAlign w:val="center"/>
          </w:tcPr>
          <w:p w14:paraId="56C86CE4">
            <w:pPr>
              <w:spacing w:line="480" w:lineRule="exact"/>
              <w:jc w:val="center"/>
              <w:rPr>
                <w:rFonts w:ascii="宋体"/>
                <w:color w:val="auto"/>
                <w:sz w:val="22"/>
                <w:szCs w:val="22"/>
                <w:highlight w:val="none"/>
              </w:rPr>
            </w:pPr>
            <w:r>
              <w:rPr>
                <w:rFonts w:hint="eastAsia" w:ascii="宋体"/>
                <w:color w:val="auto"/>
                <w:sz w:val="22"/>
                <w:szCs w:val="22"/>
                <w:highlight w:val="none"/>
              </w:rPr>
              <w:t>数量</w:t>
            </w:r>
          </w:p>
        </w:tc>
        <w:tc>
          <w:tcPr>
            <w:tcW w:w="1224" w:type="dxa"/>
            <w:vAlign w:val="center"/>
          </w:tcPr>
          <w:p w14:paraId="4AC0F0B0">
            <w:pPr>
              <w:spacing w:line="480" w:lineRule="exact"/>
              <w:jc w:val="center"/>
              <w:rPr>
                <w:rFonts w:ascii="宋体"/>
                <w:color w:val="auto"/>
                <w:sz w:val="22"/>
                <w:szCs w:val="22"/>
                <w:highlight w:val="none"/>
              </w:rPr>
            </w:pPr>
            <w:r>
              <w:rPr>
                <w:rFonts w:hint="eastAsia" w:ascii="宋体"/>
                <w:color w:val="auto"/>
                <w:sz w:val="22"/>
                <w:szCs w:val="22"/>
                <w:highlight w:val="none"/>
              </w:rPr>
              <w:t>产地</w:t>
            </w:r>
          </w:p>
        </w:tc>
        <w:tc>
          <w:tcPr>
            <w:tcW w:w="1224" w:type="dxa"/>
            <w:vAlign w:val="center"/>
          </w:tcPr>
          <w:p w14:paraId="2E63B121">
            <w:pPr>
              <w:spacing w:line="480" w:lineRule="exact"/>
              <w:jc w:val="center"/>
              <w:rPr>
                <w:rFonts w:ascii="宋体"/>
                <w:color w:val="auto"/>
                <w:sz w:val="22"/>
                <w:szCs w:val="22"/>
                <w:highlight w:val="none"/>
              </w:rPr>
            </w:pPr>
            <w:r>
              <w:rPr>
                <w:rFonts w:hint="eastAsia" w:ascii="宋体"/>
                <w:color w:val="auto"/>
                <w:sz w:val="22"/>
                <w:szCs w:val="22"/>
                <w:highlight w:val="none"/>
              </w:rPr>
              <w:t>购入日期</w:t>
            </w:r>
          </w:p>
        </w:tc>
        <w:tc>
          <w:tcPr>
            <w:tcW w:w="1224" w:type="dxa"/>
            <w:vAlign w:val="center"/>
          </w:tcPr>
          <w:p w14:paraId="3DF7E3E8">
            <w:pPr>
              <w:spacing w:line="480" w:lineRule="exact"/>
              <w:jc w:val="center"/>
              <w:rPr>
                <w:rFonts w:ascii="宋体"/>
                <w:color w:val="auto"/>
                <w:sz w:val="22"/>
                <w:szCs w:val="22"/>
                <w:highlight w:val="none"/>
              </w:rPr>
            </w:pPr>
            <w:r>
              <w:rPr>
                <w:rFonts w:hint="eastAsia" w:ascii="宋体"/>
                <w:color w:val="auto"/>
                <w:sz w:val="22"/>
                <w:szCs w:val="22"/>
                <w:highlight w:val="none"/>
              </w:rPr>
              <w:t>备注</w:t>
            </w:r>
          </w:p>
        </w:tc>
      </w:tr>
      <w:tr w14:paraId="6B3E49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14:paraId="12ED842C">
            <w:pPr>
              <w:spacing w:line="360" w:lineRule="auto"/>
              <w:rPr>
                <w:rFonts w:ascii="宋体"/>
                <w:color w:val="auto"/>
                <w:sz w:val="22"/>
                <w:szCs w:val="22"/>
                <w:highlight w:val="none"/>
              </w:rPr>
            </w:pPr>
          </w:p>
        </w:tc>
        <w:tc>
          <w:tcPr>
            <w:tcW w:w="2360" w:type="dxa"/>
            <w:vAlign w:val="center"/>
          </w:tcPr>
          <w:p w14:paraId="1035780A">
            <w:pPr>
              <w:spacing w:line="360" w:lineRule="auto"/>
              <w:rPr>
                <w:rFonts w:ascii="宋体"/>
                <w:color w:val="auto"/>
                <w:sz w:val="22"/>
                <w:szCs w:val="22"/>
                <w:highlight w:val="none"/>
              </w:rPr>
            </w:pPr>
          </w:p>
        </w:tc>
        <w:tc>
          <w:tcPr>
            <w:tcW w:w="1224" w:type="dxa"/>
            <w:vAlign w:val="center"/>
          </w:tcPr>
          <w:p w14:paraId="5079FEBF">
            <w:pPr>
              <w:spacing w:line="360" w:lineRule="auto"/>
              <w:jc w:val="center"/>
              <w:rPr>
                <w:rFonts w:ascii="宋体"/>
                <w:color w:val="auto"/>
                <w:sz w:val="22"/>
                <w:szCs w:val="22"/>
                <w:highlight w:val="none"/>
              </w:rPr>
            </w:pPr>
          </w:p>
        </w:tc>
        <w:tc>
          <w:tcPr>
            <w:tcW w:w="1224" w:type="dxa"/>
            <w:vAlign w:val="center"/>
          </w:tcPr>
          <w:p w14:paraId="482A2E04">
            <w:pPr>
              <w:spacing w:line="360" w:lineRule="auto"/>
              <w:jc w:val="center"/>
              <w:rPr>
                <w:rFonts w:ascii="宋体"/>
                <w:color w:val="auto"/>
                <w:sz w:val="22"/>
                <w:szCs w:val="22"/>
                <w:highlight w:val="none"/>
              </w:rPr>
            </w:pPr>
          </w:p>
        </w:tc>
        <w:tc>
          <w:tcPr>
            <w:tcW w:w="1224" w:type="dxa"/>
            <w:vAlign w:val="center"/>
          </w:tcPr>
          <w:p w14:paraId="702EAA4F">
            <w:pPr>
              <w:spacing w:line="360" w:lineRule="auto"/>
              <w:jc w:val="center"/>
              <w:rPr>
                <w:rFonts w:ascii="宋体"/>
                <w:color w:val="auto"/>
                <w:sz w:val="22"/>
                <w:szCs w:val="22"/>
                <w:highlight w:val="none"/>
              </w:rPr>
            </w:pPr>
          </w:p>
        </w:tc>
        <w:tc>
          <w:tcPr>
            <w:tcW w:w="1224" w:type="dxa"/>
            <w:vAlign w:val="center"/>
          </w:tcPr>
          <w:p w14:paraId="389C9C9C">
            <w:pPr>
              <w:pStyle w:val="10"/>
              <w:spacing w:line="360" w:lineRule="auto"/>
              <w:ind w:left="5250"/>
              <w:jc w:val="center"/>
              <w:rPr>
                <w:rFonts w:ascii="宋体" w:hAnsi="宋体"/>
                <w:color w:val="auto"/>
                <w:sz w:val="22"/>
                <w:szCs w:val="22"/>
                <w:highlight w:val="none"/>
              </w:rPr>
            </w:pPr>
          </w:p>
        </w:tc>
        <w:tc>
          <w:tcPr>
            <w:tcW w:w="1224" w:type="dxa"/>
            <w:vAlign w:val="center"/>
          </w:tcPr>
          <w:p w14:paraId="7607D024">
            <w:pPr>
              <w:spacing w:line="360" w:lineRule="auto"/>
              <w:jc w:val="center"/>
              <w:rPr>
                <w:rFonts w:ascii="宋体"/>
                <w:color w:val="auto"/>
                <w:sz w:val="22"/>
                <w:szCs w:val="22"/>
                <w:highlight w:val="none"/>
              </w:rPr>
            </w:pPr>
          </w:p>
        </w:tc>
      </w:tr>
      <w:tr w14:paraId="03061A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14:paraId="63136F20">
            <w:pPr>
              <w:spacing w:line="360" w:lineRule="auto"/>
              <w:rPr>
                <w:rFonts w:ascii="宋体"/>
                <w:color w:val="auto"/>
                <w:sz w:val="22"/>
                <w:szCs w:val="22"/>
                <w:highlight w:val="none"/>
              </w:rPr>
            </w:pPr>
          </w:p>
        </w:tc>
        <w:tc>
          <w:tcPr>
            <w:tcW w:w="2360" w:type="dxa"/>
            <w:vAlign w:val="center"/>
          </w:tcPr>
          <w:p w14:paraId="621395A3">
            <w:pPr>
              <w:spacing w:line="360" w:lineRule="auto"/>
              <w:rPr>
                <w:rFonts w:ascii="宋体"/>
                <w:color w:val="auto"/>
                <w:sz w:val="22"/>
                <w:szCs w:val="22"/>
                <w:highlight w:val="none"/>
              </w:rPr>
            </w:pPr>
          </w:p>
        </w:tc>
        <w:tc>
          <w:tcPr>
            <w:tcW w:w="1224" w:type="dxa"/>
            <w:vAlign w:val="center"/>
          </w:tcPr>
          <w:p w14:paraId="3B291EA0">
            <w:pPr>
              <w:spacing w:line="360" w:lineRule="auto"/>
              <w:jc w:val="center"/>
              <w:rPr>
                <w:rFonts w:ascii="宋体"/>
                <w:color w:val="auto"/>
                <w:sz w:val="22"/>
                <w:szCs w:val="22"/>
                <w:highlight w:val="none"/>
              </w:rPr>
            </w:pPr>
          </w:p>
        </w:tc>
        <w:tc>
          <w:tcPr>
            <w:tcW w:w="1224" w:type="dxa"/>
            <w:vAlign w:val="center"/>
          </w:tcPr>
          <w:p w14:paraId="4806EE8F">
            <w:pPr>
              <w:spacing w:line="360" w:lineRule="auto"/>
              <w:jc w:val="center"/>
              <w:rPr>
                <w:rFonts w:ascii="宋体"/>
                <w:color w:val="auto"/>
                <w:sz w:val="22"/>
                <w:szCs w:val="22"/>
                <w:highlight w:val="none"/>
              </w:rPr>
            </w:pPr>
          </w:p>
        </w:tc>
        <w:tc>
          <w:tcPr>
            <w:tcW w:w="1224" w:type="dxa"/>
            <w:vAlign w:val="center"/>
          </w:tcPr>
          <w:p w14:paraId="71C59CA4">
            <w:pPr>
              <w:spacing w:line="360" w:lineRule="auto"/>
              <w:jc w:val="center"/>
              <w:rPr>
                <w:rFonts w:ascii="宋体"/>
                <w:color w:val="auto"/>
                <w:sz w:val="22"/>
                <w:szCs w:val="22"/>
                <w:highlight w:val="none"/>
              </w:rPr>
            </w:pPr>
          </w:p>
        </w:tc>
        <w:tc>
          <w:tcPr>
            <w:tcW w:w="1224" w:type="dxa"/>
            <w:vAlign w:val="center"/>
          </w:tcPr>
          <w:p w14:paraId="3EDF5724">
            <w:pPr>
              <w:spacing w:line="360" w:lineRule="auto"/>
              <w:jc w:val="center"/>
              <w:rPr>
                <w:rFonts w:ascii="宋体"/>
                <w:color w:val="auto"/>
                <w:sz w:val="22"/>
                <w:szCs w:val="22"/>
                <w:highlight w:val="none"/>
              </w:rPr>
            </w:pPr>
          </w:p>
        </w:tc>
        <w:tc>
          <w:tcPr>
            <w:tcW w:w="1224" w:type="dxa"/>
            <w:vAlign w:val="center"/>
          </w:tcPr>
          <w:p w14:paraId="50242D03">
            <w:pPr>
              <w:spacing w:line="360" w:lineRule="auto"/>
              <w:jc w:val="center"/>
              <w:rPr>
                <w:rFonts w:ascii="宋体"/>
                <w:color w:val="auto"/>
                <w:sz w:val="22"/>
                <w:szCs w:val="22"/>
                <w:highlight w:val="none"/>
              </w:rPr>
            </w:pPr>
          </w:p>
        </w:tc>
      </w:tr>
      <w:tr w14:paraId="6C6383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14:paraId="640A6783">
            <w:pPr>
              <w:spacing w:line="360" w:lineRule="auto"/>
              <w:rPr>
                <w:rFonts w:ascii="宋体"/>
                <w:color w:val="auto"/>
                <w:sz w:val="22"/>
                <w:szCs w:val="22"/>
                <w:highlight w:val="none"/>
              </w:rPr>
            </w:pPr>
          </w:p>
        </w:tc>
        <w:tc>
          <w:tcPr>
            <w:tcW w:w="2360" w:type="dxa"/>
            <w:vAlign w:val="center"/>
          </w:tcPr>
          <w:p w14:paraId="3F2E5FC4">
            <w:pPr>
              <w:spacing w:line="360" w:lineRule="auto"/>
              <w:rPr>
                <w:rFonts w:ascii="宋体"/>
                <w:color w:val="auto"/>
                <w:sz w:val="22"/>
                <w:szCs w:val="22"/>
                <w:highlight w:val="none"/>
              </w:rPr>
            </w:pPr>
          </w:p>
        </w:tc>
        <w:tc>
          <w:tcPr>
            <w:tcW w:w="1224" w:type="dxa"/>
            <w:vAlign w:val="center"/>
          </w:tcPr>
          <w:p w14:paraId="6D6318F5">
            <w:pPr>
              <w:spacing w:line="360" w:lineRule="auto"/>
              <w:jc w:val="center"/>
              <w:rPr>
                <w:rFonts w:ascii="宋体"/>
                <w:color w:val="auto"/>
                <w:sz w:val="22"/>
                <w:szCs w:val="22"/>
                <w:highlight w:val="none"/>
              </w:rPr>
            </w:pPr>
          </w:p>
        </w:tc>
        <w:tc>
          <w:tcPr>
            <w:tcW w:w="1224" w:type="dxa"/>
            <w:vAlign w:val="center"/>
          </w:tcPr>
          <w:p w14:paraId="30E6C61C">
            <w:pPr>
              <w:spacing w:line="360" w:lineRule="auto"/>
              <w:jc w:val="center"/>
              <w:rPr>
                <w:rFonts w:ascii="宋体"/>
                <w:color w:val="auto"/>
                <w:sz w:val="22"/>
                <w:szCs w:val="22"/>
                <w:highlight w:val="none"/>
              </w:rPr>
            </w:pPr>
          </w:p>
        </w:tc>
        <w:tc>
          <w:tcPr>
            <w:tcW w:w="1224" w:type="dxa"/>
            <w:vAlign w:val="center"/>
          </w:tcPr>
          <w:p w14:paraId="2DD12A35">
            <w:pPr>
              <w:spacing w:line="360" w:lineRule="auto"/>
              <w:jc w:val="center"/>
              <w:rPr>
                <w:rFonts w:ascii="宋体"/>
                <w:color w:val="auto"/>
                <w:sz w:val="22"/>
                <w:szCs w:val="22"/>
                <w:highlight w:val="none"/>
              </w:rPr>
            </w:pPr>
          </w:p>
        </w:tc>
        <w:tc>
          <w:tcPr>
            <w:tcW w:w="1224" w:type="dxa"/>
            <w:vAlign w:val="center"/>
          </w:tcPr>
          <w:p w14:paraId="29CEA150">
            <w:pPr>
              <w:spacing w:line="360" w:lineRule="auto"/>
              <w:jc w:val="center"/>
              <w:rPr>
                <w:rFonts w:ascii="宋体"/>
                <w:color w:val="auto"/>
                <w:sz w:val="22"/>
                <w:szCs w:val="22"/>
                <w:highlight w:val="none"/>
              </w:rPr>
            </w:pPr>
          </w:p>
        </w:tc>
        <w:tc>
          <w:tcPr>
            <w:tcW w:w="1224" w:type="dxa"/>
            <w:vAlign w:val="center"/>
          </w:tcPr>
          <w:p w14:paraId="7A35AA02">
            <w:pPr>
              <w:spacing w:line="360" w:lineRule="auto"/>
              <w:jc w:val="center"/>
              <w:rPr>
                <w:rFonts w:ascii="宋体"/>
                <w:color w:val="auto"/>
                <w:sz w:val="22"/>
                <w:szCs w:val="22"/>
                <w:highlight w:val="none"/>
              </w:rPr>
            </w:pPr>
          </w:p>
        </w:tc>
      </w:tr>
      <w:tr w14:paraId="311418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14:paraId="1F433FA5">
            <w:pPr>
              <w:spacing w:line="360" w:lineRule="auto"/>
              <w:rPr>
                <w:rFonts w:ascii="宋体"/>
                <w:color w:val="auto"/>
                <w:sz w:val="22"/>
                <w:szCs w:val="22"/>
                <w:highlight w:val="none"/>
              </w:rPr>
            </w:pPr>
          </w:p>
        </w:tc>
        <w:tc>
          <w:tcPr>
            <w:tcW w:w="2360" w:type="dxa"/>
            <w:vAlign w:val="center"/>
          </w:tcPr>
          <w:p w14:paraId="1DDE3AF8">
            <w:pPr>
              <w:spacing w:line="360" w:lineRule="auto"/>
              <w:rPr>
                <w:rFonts w:ascii="宋体"/>
                <w:color w:val="auto"/>
                <w:sz w:val="22"/>
                <w:szCs w:val="22"/>
                <w:highlight w:val="none"/>
              </w:rPr>
            </w:pPr>
          </w:p>
        </w:tc>
        <w:tc>
          <w:tcPr>
            <w:tcW w:w="1224" w:type="dxa"/>
            <w:vAlign w:val="center"/>
          </w:tcPr>
          <w:p w14:paraId="45F45368">
            <w:pPr>
              <w:spacing w:line="360" w:lineRule="auto"/>
              <w:jc w:val="center"/>
              <w:rPr>
                <w:rFonts w:ascii="宋体"/>
                <w:color w:val="auto"/>
                <w:sz w:val="22"/>
                <w:szCs w:val="22"/>
                <w:highlight w:val="none"/>
              </w:rPr>
            </w:pPr>
          </w:p>
        </w:tc>
        <w:tc>
          <w:tcPr>
            <w:tcW w:w="1224" w:type="dxa"/>
            <w:vAlign w:val="center"/>
          </w:tcPr>
          <w:p w14:paraId="37F62F37">
            <w:pPr>
              <w:spacing w:line="360" w:lineRule="auto"/>
              <w:jc w:val="center"/>
              <w:rPr>
                <w:rFonts w:ascii="宋体"/>
                <w:color w:val="auto"/>
                <w:sz w:val="22"/>
                <w:szCs w:val="22"/>
                <w:highlight w:val="none"/>
              </w:rPr>
            </w:pPr>
          </w:p>
        </w:tc>
        <w:tc>
          <w:tcPr>
            <w:tcW w:w="1224" w:type="dxa"/>
            <w:vAlign w:val="center"/>
          </w:tcPr>
          <w:p w14:paraId="0D5FCF94">
            <w:pPr>
              <w:spacing w:line="360" w:lineRule="auto"/>
              <w:jc w:val="center"/>
              <w:rPr>
                <w:rFonts w:ascii="宋体"/>
                <w:color w:val="auto"/>
                <w:sz w:val="22"/>
                <w:szCs w:val="22"/>
                <w:highlight w:val="none"/>
              </w:rPr>
            </w:pPr>
          </w:p>
        </w:tc>
        <w:tc>
          <w:tcPr>
            <w:tcW w:w="1224" w:type="dxa"/>
            <w:vAlign w:val="center"/>
          </w:tcPr>
          <w:p w14:paraId="438498F1">
            <w:pPr>
              <w:spacing w:line="360" w:lineRule="auto"/>
              <w:jc w:val="center"/>
              <w:rPr>
                <w:rFonts w:ascii="宋体"/>
                <w:color w:val="auto"/>
                <w:sz w:val="22"/>
                <w:szCs w:val="22"/>
                <w:highlight w:val="none"/>
              </w:rPr>
            </w:pPr>
          </w:p>
        </w:tc>
        <w:tc>
          <w:tcPr>
            <w:tcW w:w="1224" w:type="dxa"/>
            <w:vAlign w:val="center"/>
          </w:tcPr>
          <w:p w14:paraId="56CDAD5D">
            <w:pPr>
              <w:spacing w:line="360" w:lineRule="auto"/>
              <w:jc w:val="center"/>
              <w:rPr>
                <w:rFonts w:ascii="宋体"/>
                <w:color w:val="auto"/>
                <w:sz w:val="22"/>
                <w:szCs w:val="22"/>
                <w:highlight w:val="none"/>
              </w:rPr>
            </w:pPr>
          </w:p>
        </w:tc>
      </w:tr>
      <w:tr w14:paraId="0C14EA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14:paraId="0D2F4DA7">
            <w:pPr>
              <w:spacing w:line="360" w:lineRule="auto"/>
              <w:rPr>
                <w:rFonts w:ascii="宋体"/>
                <w:color w:val="auto"/>
                <w:sz w:val="22"/>
                <w:szCs w:val="22"/>
                <w:highlight w:val="none"/>
              </w:rPr>
            </w:pPr>
          </w:p>
        </w:tc>
        <w:tc>
          <w:tcPr>
            <w:tcW w:w="2360" w:type="dxa"/>
            <w:vAlign w:val="center"/>
          </w:tcPr>
          <w:p w14:paraId="6BB4F536">
            <w:pPr>
              <w:spacing w:line="360" w:lineRule="auto"/>
              <w:rPr>
                <w:rFonts w:ascii="宋体"/>
                <w:color w:val="auto"/>
                <w:sz w:val="22"/>
                <w:szCs w:val="22"/>
                <w:highlight w:val="none"/>
              </w:rPr>
            </w:pPr>
          </w:p>
        </w:tc>
        <w:tc>
          <w:tcPr>
            <w:tcW w:w="1224" w:type="dxa"/>
            <w:vAlign w:val="center"/>
          </w:tcPr>
          <w:p w14:paraId="3E48DD0B">
            <w:pPr>
              <w:spacing w:line="360" w:lineRule="auto"/>
              <w:jc w:val="center"/>
              <w:rPr>
                <w:rFonts w:ascii="宋体"/>
                <w:color w:val="auto"/>
                <w:sz w:val="22"/>
                <w:szCs w:val="22"/>
                <w:highlight w:val="none"/>
              </w:rPr>
            </w:pPr>
          </w:p>
        </w:tc>
        <w:tc>
          <w:tcPr>
            <w:tcW w:w="1224" w:type="dxa"/>
            <w:vAlign w:val="center"/>
          </w:tcPr>
          <w:p w14:paraId="56A90051">
            <w:pPr>
              <w:spacing w:line="360" w:lineRule="auto"/>
              <w:jc w:val="center"/>
              <w:rPr>
                <w:rFonts w:ascii="宋体"/>
                <w:color w:val="auto"/>
                <w:sz w:val="22"/>
                <w:szCs w:val="22"/>
                <w:highlight w:val="none"/>
              </w:rPr>
            </w:pPr>
          </w:p>
        </w:tc>
        <w:tc>
          <w:tcPr>
            <w:tcW w:w="1224" w:type="dxa"/>
            <w:vAlign w:val="center"/>
          </w:tcPr>
          <w:p w14:paraId="451A926C">
            <w:pPr>
              <w:spacing w:line="360" w:lineRule="auto"/>
              <w:jc w:val="center"/>
              <w:rPr>
                <w:rFonts w:ascii="宋体"/>
                <w:color w:val="auto"/>
                <w:sz w:val="22"/>
                <w:szCs w:val="22"/>
                <w:highlight w:val="none"/>
              </w:rPr>
            </w:pPr>
          </w:p>
        </w:tc>
        <w:tc>
          <w:tcPr>
            <w:tcW w:w="1224" w:type="dxa"/>
            <w:vAlign w:val="center"/>
          </w:tcPr>
          <w:p w14:paraId="4CAE921C">
            <w:pPr>
              <w:spacing w:line="360" w:lineRule="auto"/>
              <w:jc w:val="center"/>
              <w:rPr>
                <w:rFonts w:ascii="宋体"/>
                <w:color w:val="auto"/>
                <w:sz w:val="22"/>
                <w:szCs w:val="22"/>
                <w:highlight w:val="none"/>
              </w:rPr>
            </w:pPr>
          </w:p>
        </w:tc>
        <w:tc>
          <w:tcPr>
            <w:tcW w:w="1224" w:type="dxa"/>
            <w:vAlign w:val="center"/>
          </w:tcPr>
          <w:p w14:paraId="0267CB2B">
            <w:pPr>
              <w:spacing w:line="360" w:lineRule="auto"/>
              <w:jc w:val="center"/>
              <w:rPr>
                <w:rFonts w:ascii="宋体"/>
                <w:color w:val="auto"/>
                <w:sz w:val="22"/>
                <w:szCs w:val="22"/>
                <w:highlight w:val="none"/>
              </w:rPr>
            </w:pPr>
          </w:p>
        </w:tc>
      </w:tr>
      <w:tr w14:paraId="503F67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14:paraId="49D08C48">
            <w:pPr>
              <w:spacing w:line="360" w:lineRule="auto"/>
              <w:rPr>
                <w:rFonts w:ascii="宋体"/>
                <w:color w:val="auto"/>
                <w:sz w:val="22"/>
                <w:szCs w:val="22"/>
                <w:highlight w:val="none"/>
              </w:rPr>
            </w:pPr>
          </w:p>
        </w:tc>
        <w:tc>
          <w:tcPr>
            <w:tcW w:w="2360" w:type="dxa"/>
            <w:vAlign w:val="center"/>
          </w:tcPr>
          <w:p w14:paraId="67C6998E">
            <w:pPr>
              <w:spacing w:line="360" w:lineRule="auto"/>
              <w:rPr>
                <w:rFonts w:ascii="宋体"/>
                <w:color w:val="auto"/>
                <w:sz w:val="22"/>
                <w:szCs w:val="22"/>
                <w:highlight w:val="none"/>
              </w:rPr>
            </w:pPr>
          </w:p>
        </w:tc>
        <w:tc>
          <w:tcPr>
            <w:tcW w:w="1224" w:type="dxa"/>
            <w:vAlign w:val="center"/>
          </w:tcPr>
          <w:p w14:paraId="133E6CE8">
            <w:pPr>
              <w:spacing w:line="360" w:lineRule="auto"/>
              <w:jc w:val="center"/>
              <w:rPr>
                <w:rFonts w:ascii="宋体"/>
                <w:color w:val="auto"/>
                <w:sz w:val="22"/>
                <w:szCs w:val="22"/>
                <w:highlight w:val="none"/>
              </w:rPr>
            </w:pPr>
          </w:p>
        </w:tc>
        <w:tc>
          <w:tcPr>
            <w:tcW w:w="1224" w:type="dxa"/>
            <w:vAlign w:val="center"/>
          </w:tcPr>
          <w:p w14:paraId="115A88AA">
            <w:pPr>
              <w:spacing w:line="360" w:lineRule="auto"/>
              <w:jc w:val="center"/>
              <w:rPr>
                <w:rFonts w:ascii="宋体"/>
                <w:color w:val="auto"/>
                <w:sz w:val="22"/>
                <w:szCs w:val="22"/>
                <w:highlight w:val="none"/>
              </w:rPr>
            </w:pPr>
          </w:p>
        </w:tc>
        <w:tc>
          <w:tcPr>
            <w:tcW w:w="1224" w:type="dxa"/>
            <w:vAlign w:val="center"/>
          </w:tcPr>
          <w:p w14:paraId="6FF5449E">
            <w:pPr>
              <w:spacing w:line="360" w:lineRule="auto"/>
              <w:jc w:val="center"/>
              <w:rPr>
                <w:rFonts w:ascii="宋体"/>
                <w:color w:val="auto"/>
                <w:sz w:val="22"/>
                <w:szCs w:val="22"/>
                <w:highlight w:val="none"/>
              </w:rPr>
            </w:pPr>
          </w:p>
        </w:tc>
        <w:tc>
          <w:tcPr>
            <w:tcW w:w="1224" w:type="dxa"/>
            <w:vAlign w:val="center"/>
          </w:tcPr>
          <w:p w14:paraId="646D6F95">
            <w:pPr>
              <w:spacing w:line="360" w:lineRule="auto"/>
              <w:jc w:val="center"/>
              <w:rPr>
                <w:rFonts w:ascii="宋体"/>
                <w:color w:val="auto"/>
                <w:sz w:val="22"/>
                <w:szCs w:val="22"/>
                <w:highlight w:val="none"/>
              </w:rPr>
            </w:pPr>
          </w:p>
        </w:tc>
        <w:tc>
          <w:tcPr>
            <w:tcW w:w="1224" w:type="dxa"/>
            <w:vAlign w:val="center"/>
          </w:tcPr>
          <w:p w14:paraId="276F364F">
            <w:pPr>
              <w:spacing w:line="360" w:lineRule="auto"/>
              <w:jc w:val="center"/>
              <w:rPr>
                <w:rFonts w:ascii="宋体"/>
                <w:color w:val="auto"/>
                <w:sz w:val="22"/>
                <w:szCs w:val="22"/>
                <w:highlight w:val="none"/>
              </w:rPr>
            </w:pPr>
          </w:p>
        </w:tc>
      </w:tr>
      <w:tr w14:paraId="62BEB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14:paraId="423A0190">
            <w:pPr>
              <w:spacing w:line="360" w:lineRule="auto"/>
              <w:rPr>
                <w:rFonts w:ascii="宋体"/>
                <w:color w:val="auto"/>
                <w:sz w:val="22"/>
                <w:szCs w:val="22"/>
                <w:highlight w:val="none"/>
              </w:rPr>
            </w:pPr>
          </w:p>
        </w:tc>
        <w:tc>
          <w:tcPr>
            <w:tcW w:w="2360" w:type="dxa"/>
            <w:vAlign w:val="center"/>
          </w:tcPr>
          <w:p w14:paraId="110F7D8B">
            <w:pPr>
              <w:spacing w:line="360" w:lineRule="auto"/>
              <w:rPr>
                <w:rFonts w:ascii="宋体"/>
                <w:color w:val="auto"/>
                <w:sz w:val="22"/>
                <w:szCs w:val="22"/>
                <w:highlight w:val="none"/>
              </w:rPr>
            </w:pPr>
          </w:p>
        </w:tc>
        <w:tc>
          <w:tcPr>
            <w:tcW w:w="1224" w:type="dxa"/>
            <w:vAlign w:val="center"/>
          </w:tcPr>
          <w:p w14:paraId="58B31E88">
            <w:pPr>
              <w:spacing w:line="360" w:lineRule="auto"/>
              <w:jc w:val="center"/>
              <w:rPr>
                <w:rFonts w:ascii="宋体"/>
                <w:color w:val="auto"/>
                <w:sz w:val="22"/>
                <w:szCs w:val="22"/>
                <w:highlight w:val="none"/>
              </w:rPr>
            </w:pPr>
          </w:p>
        </w:tc>
        <w:tc>
          <w:tcPr>
            <w:tcW w:w="1224" w:type="dxa"/>
            <w:vAlign w:val="center"/>
          </w:tcPr>
          <w:p w14:paraId="26E922F1">
            <w:pPr>
              <w:spacing w:line="360" w:lineRule="auto"/>
              <w:jc w:val="center"/>
              <w:rPr>
                <w:rFonts w:ascii="宋体"/>
                <w:color w:val="auto"/>
                <w:sz w:val="22"/>
                <w:szCs w:val="22"/>
                <w:highlight w:val="none"/>
              </w:rPr>
            </w:pPr>
          </w:p>
        </w:tc>
        <w:tc>
          <w:tcPr>
            <w:tcW w:w="1224" w:type="dxa"/>
            <w:vAlign w:val="center"/>
          </w:tcPr>
          <w:p w14:paraId="2EC0DDB1">
            <w:pPr>
              <w:spacing w:line="360" w:lineRule="auto"/>
              <w:jc w:val="center"/>
              <w:rPr>
                <w:rFonts w:ascii="宋体"/>
                <w:color w:val="auto"/>
                <w:sz w:val="22"/>
                <w:szCs w:val="22"/>
                <w:highlight w:val="none"/>
              </w:rPr>
            </w:pPr>
          </w:p>
        </w:tc>
        <w:tc>
          <w:tcPr>
            <w:tcW w:w="1224" w:type="dxa"/>
            <w:vAlign w:val="center"/>
          </w:tcPr>
          <w:p w14:paraId="7CCBDA8A">
            <w:pPr>
              <w:spacing w:line="360" w:lineRule="auto"/>
              <w:jc w:val="center"/>
              <w:rPr>
                <w:rFonts w:ascii="宋体"/>
                <w:color w:val="auto"/>
                <w:sz w:val="22"/>
                <w:szCs w:val="22"/>
                <w:highlight w:val="none"/>
              </w:rPr>
            </w:pPr>
          </w:p>
        </w:tc>
        <w:tc>
          <w:tcPr>
            <w:tcW w:w="1224" w:type="dxa"/>
            <w:vAlign w:val="center"/>
          </w:tcPr>
          <w:p w14:paraId="3903F632">
            <w:pPr>
              <w:spacing w:line="360" w:lineRule="auto"/>
              <w:jc w:val="center"/>
              <w:rPr>
                <w:rFonts w:ascii="宋体"/>
                <w:color w:val="auto"/>
                <w:sz w:val="22"/>
                <w:szCs w:val="22"/>
                <w:highlight w:val="none"/>
              </w:rPr>
            </w:pPr>
          </w:p>
        </w:tc>
      </w:tr>
      <w:tr w14:paraId="1C2594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14:paraId="2EBAE471">
            <w:pPr>
              <w:spacing w:line="360" w:lineRule="auto"/>
              <w:rPr>
                <w:rFonts w:ascii="宋体"/>
                <w:color w:val="auto"/>
                <w:sz w:val="22"/>
                <w:szCs w:val="22"/>
                <w:highlight w:val="none"/>
              </w:rPr>
            </w:pPr>
          </w:p>
        </w:tc>
        <w:tc>
          <w:tcPr>
            <w:tcW w:w="2360" w:type="dxa"/>
            <w:vAlign w:val="center"/>
          </w:tcPr>
          <w:p w14:paraId="4207AD45">
            <w:pPr>
              <w:spacing w:line="360" w:lineRule="auto"/>
              <w:rPr>
                <w:rFonts w:ascii="宋体"/>
                <w:color w:val="auto"/>
                <w:sz w:val="22"/>
                <w:szCs w:val="22"/>
                <w:highlight w:val="none"/>
              </w:rPr>
            </w:pPr>
          </w:p>
        </w:tc>
        <w:tc>
          <w:tcPr>
            <w:tcW w:w="1224" w:type="dxa"/>
            <w:vAlign w:val="center"/>
          </w:tcPr>
          <w:p w14:paraId="5733493F">
            <w:pPr>
              <w:spacing w:line="360" w:lineRule="auto"/>
              <w:jc w:val="center"/>
              <w:rPr>
                <w:rFonts w:ascii="宋体"/>
                <w:color w:val="auto"/>
                <w:sz w:val="22"/>
                <w:szCs w:val="22"/>
                <w:highlight w:val="none"/>
              </w:rPr>
            </w:pPr>
          </w:p>
        </w:tc>
        <w:tc>
          <w:tcPr>
            <w:tcW w:w="1224" w:type="dxa"/>
            <w:vAlign w:val="center"/>
          </w:tcPr>
          <w:p w14:paraId="1F6EF0A7">
            <w:pPr>
              <w:spacing w:line="360" w:lineRule="auto"/>
              <w:jc w:val="center"/>
              <w:rPr>
                <w:rFonts w:ascii="宋体"/>
                <w:color w:val="auto"/>
                <w:sz w:val="22"/>
                <w:szCs w:val="22"/>
                <w:highlight w:val="none"/>
              </w:rPr>
            </w:pPr>
          </w:p>
        </w:tc>
        <w:tc>
          <w:tcPr>
            <w:tcW w:w="1224" w:type="dxa"/>
            <w:vAlign w:val="center"/>
          </w:tcPr>
          <w:p w14:paraId="7ADEBB4B">
            <w:pPr>
              <w:spacing w:line="360" w:lineRule="auto"/>
              <w:jc w:val="center"/>
              <w:rPr>
                <w:rFonts w:ascii="宋体"/>
                <w:color w:val="auto"/>
                <w:sz w:val="22"/>
                <w:szCs w:val="22"/>
                <w:highlight w:val="none"/>
              </w:rPr>
            </w:pPr>
          </w:p>
        </w:tc>
        <w:tc>
          <w:tcPr>
            <w:tcW w:w="1224" w:type="dxa"/>
            <w:vAlign w:val="center"/>
          </w:tcPr>
          <w:p w14:paraId="5347DAFE">
            <w:pPr>
              <w:spacing w:line="360" w:lineRule="auto"/>
              <w:jc w:val="center"/>
              <w:rPr>
                <w:rFonts w:ascii="宋体"/>
                <w:color w:val="auto"/>
                <w:sz w:val="22"/>
                <w:szCs w:val="22"/>
                <w:highlight w:val="none"/>
              </w:rPr>
            </w:pPr>
          </w:p>
        </w:tc>
        <w:tc>
          <w:tcPr>
            <w:tcW w:w="1224" w:type="dxa"/>
            <w:vAlign w:val="center"/>
          </w:tcPr>
          <w:p w14:paraId="6B21D4FE">
            <w:pPr>
              <w:spacing w:line="360" w:lineRule="auto"/>
              <w:jc w:val="center"/>
              <w:rPr>
                <w:rFonts w:ascii="宋体"/>
                <w:color w:val="auto"/>
                <w:sz w:val="22"/>
                <w:szCs w:val="22"/>
                <w:highlight w:val="none"/>
              </w:rPr>
            </w:pPr>
          </w:p>
        </w:tc>
      </w:tr>
      <w:tr w14:paraId="74CFE6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14:paraId="35342574">
            <w:pPr>
              <w:spacing w:line="360" w:lineRule="auto"/>
              <w:rPr>
                <w:rFonts w:ascii="宋体"/>
                <w:color w:val="auto"/>
                <w:sz w:val="22"/>
                <w:szCs w:val="22"/>
                <w:highlight w:val="none"/>
              </w:rPr>
            </w:pPr>
          </w:p>
        </w:tc>
        <w:tc>
          <w:tcPr>
            <w:tcW w:w="2360" w:type="dxa"/>
            <w:vAlign w:val="center"/>
          </w:tcPr>
          <w:p w14:paraId="4EBD5C04">
            <w:pPr>
              <w:spacing w:line="360" w:lineRule="auto"/>
              <w:rPr>
                <w:rFonts w:ascii="宋体"/>
                <w:color w:val="auto"/>
                <w:sz w:val="22"/>
                <w:szCs w:val="22"/>
                <w:highlight w:val="none"/>
              </w:rPr>
            </w:pPr>
          </w:p>
        </w:tc>
        <w:tc>
          <w:tcPr>
            <w:tcW w:w="1224" w:type="dxa"/>
            <w:vAlign w:val="center"/>
          </w:tcPr>
          <w:p w14:paraId="13BA918B">
            <w:pPr>
              <w:spacing w:line="360" w:lineRule="auto"/>
              <w:jc w:val="center"/>
              <w:rPr>
                <w:rFonts w:ascii="宋体"/>
                <w:color w:val="auto"/>
                <w:sz w:val="22"/>
                <w:szCs w:val="22"/>
                <w:highlight w:val="none"/>
              </w:rPr>
            </w:pPr>
          </w:p>
        </w:tc>
        <w:tc>
          <w:tcPr>
            <w:tcW w:w="1224" w:type="dxa"/>
            <w:vAlign w:val="center"/>
          </w:tcPr>
          <w:p w14:paraId="2B3EFA6A">
            <w:pPr>
              <w:spacing w:line="360" w:lineRule="auto"/>
              <w:jc w:val="center"/>
              <w:rPr>
                <w:rFonts w:ascii="宋体"/>
                <w:color w:val="auto"/>
                <w:sz w:val="22"/>
                <w:szCs w:val="22"/>
                <w:highlight w:val="none"/>
              </w:rPr>
            </w:pPr>
          </w:p>
        </w:tc>
        <w:tc>
          <w:tcPr>
            <w:tcW w:w="1224" w:type="dxa"/>
            <w:vAlign w:val="center"/>
          </w:tcPr>
          <w:p w14:paraId="639B9C07">
            <w:pPr>
              <w:spacing w:line="360" w:lineRule="auto"/>
              <w:jc w:val="center"/>
              <w:rPr>
                <w:rFonts w:ascii="宋体"/>
                <w:color w:val="auto"/>
                <w:sz w:val="22"/>
                <w:szCs w:val="22"/>
                <w:highlight w:val="none"/>
              </w:rPr>
            </w:pPr>
          </w:p>
        </w:tc>
        <w:tc>
          <w:tcPr>
            <w:tcW w:w="1224" w:type="dxa"/>
            <w:vAlign w:val="center"/>
          </w:tcPr>
          <w:p w14:paraId="496B0B6F">
            <w:pPr>
              <w:spacing w:line="360" w:lineRule="auto"/>
              <w:jc w:val="center"/>
              <w:rPr>
                <w:rFonts w:ascii="宋体"/>
                <w:color w:val="auto"/>
                <w:sz w:val="22"/>
                <w:szCs w:val="22"/>
                <w:highlight w:val="none"/>
              </w:rPr>
            </w:pPr>
          </w:p>
        </w:tc>
        <w:tc>
          <w:tcPr>
            <w:tcW w:w="1224" w:type="dxa"/>
            <w:vAlign w:val="center"/>
          </w:tcPr>
          <w:p w14:paraId="12D398E9">
            <w:pPr>
              <w:spacing w:line="360" w:lineRule="auto"/>
              <w:jc w:val="center"/>
              <w:rPr>
                <w:rFonts w:ascii="宋体"/>
                <w:color w:val="auto"/>
                <w:sz w:val="22"/>
                <w:szCs w:val="22"/>
                <w:highlight w:val="none"/>
              </w:rPr>
            </w:pPr>
          </w:p>
        </w:tc>
      </w:tr>
      <w:tr w14:paraId="636B09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14:paraId="04313FCF">
            <w:pPr>
              <w:spacing w:line="360" w:lineRule="auto"/>
              <w:rPr>
                <w:rFonts w:ascii="宋体"/>
                <w:color w:val="auto"/>
                <w:sz w:val="22"/>
                <w:szCs w:val="22"/>
                <w:highlight w:val="none"/>
              </w:rPr>
            </w:pPr>
          </w:p>
        </w:tc>
        <w:tc>
          <w:tcPr>
            <w:tcW w:w="2360" w:type="dxa"/>
            <w:vAlign w:val="center"/>
          </w:tcPr>
          <w:p w14:paraId="0050490A">
            <w:pPr>
              <w:spacing w:line="360" w:lineRule="auto"/>
              <w:rPr>
                <w:rFonts w:ascii="宋体"/>
                <w:color w:val="auto"/>
                <w:sz w:val="22"/>
                <w:szCs w:val="22"/>
                <w:highlight w:val="none"/>
              </w:rPr>
            </w:pPr>
          </w:p>
        </w:tc>
        <w:tc>
          <w:tcPr>
            <w:tcW w:w="1224" w:type="dxa"/>
            <w:vAlign w:val="center"/>
          </w:tcPr>
          <w:p w14:paraId="7AB02FE6">
            <w:pPr>
              <w:spacing w:line="360" w:lineRule="auto"/>
              <w:jc w:val="center"/>
              <w:rPr>
                <w:rFonts w:ascii="宋体"/>
                <w:color w:val="auto"/>
                <w:sz w:val="22"/>
                <w:szCs w:val="22"/>
                <w:highlight w:val="none"/>
              </w:rPr>
            </w:pPr>
          </w:p>
        </w:tc>
        <w:tc>
          <w:tcPr>
            <w:tcW w:w="1224" w:type="dxa"/>
            <w:vAlign w:val="center"/>
          </w:tcPr>
          <w:p w14:paraId="3E1EE1B6">
            <w:pPr>
              <w:spacing w:line="360" w:lineRule="auto"/>
              <w:jc w:val="center"/>
              <w:rPr>
                <w:rFonts w:ascii="宋体"/>
                <w:color w:val="auto"/>
                <w:sz w:val="22"/>
                <w:szCs w:val="22"/>
                <w:highlight w:val="none"/>
              </w:rPr>
            </w:pPr>
          </w:p>
        </w:tc>
        <w:tc>
          <w:tcPr>
            <w:tcW w:w="1224" w:type="dxa"/>
            <w:vAlign w:val="center"/>
          </w:tcPr>
          <w:p w14:paraId="0EC4EC14">
            <w:pPr>
              <w:spacing w:line="360" w:lineRule="auto"/>
              <w:jc w:val="center"/>
              <w:rPr>
                <w:rFonts w:ascii="宋体"/>
                <w:color w:val="auto"/>
                <w:sz w:val="22"/>
                <w:szCs w:val="22"/>
                <w:highlight w:val="none"/>
              </w:rPr>
            </w:pPr>
          </w:p>
        </w:tc>
        <w:tc>
          <w:tcPr>
            <w:tcW w:w="1224" w:type="dxa"/>
            <w:vAlign w:val="center"/>
          </w:tcPr>
          <w:p w14:paraId="485F69C5">
            <w:pPr>
              <w:spacing w:line="360" w:lineRule="auto"/>
              <w:jc w:val="center"/>
              <w:rPr>
                <w:rFonts w:ascii="宋体"/>
                <w:color w:val="auto"/>
                <w:sz w:val="22"/>
                <w:szCs w:val="22"/>
                <w:highlight w:val="none"/>
              </w:rPr>
            </w:pPr>
          </w:p>
        </w:tc>
        <w:tc>
          <w:tcPr>
            <w:tcW w:w="1224" w:type="dxa"/>
            <w:vAlign w:val="center"/>
          </w:tcPr>
          <w:p w14:paraId="706B67A9">
            <w:pPr>
              <w:spacing w:line="360" w:lineRule="auto"/>
              <w:jc w:val="center"/>
              <w:rPr>
                <w:rFonts w:ascii="宋体"/>
                <w:color w:val="auto"/>
                <w:sz w:val="22"/>
                <w:szCs w:val="22"/>
                <w:highlight w:val="none"/>
              </w:rPr>
            </w:pPr>
          </w:p>
        </w:tc>
      </w:tr>
    </w:tbl>
    <w:p w14:paraId="2F177173">
      <w:pPr>
        <w:spacing w:line="460" w:lineRule="atLeast"/>
        <w:ind w:firstLine="480"/>
        <w:rPr>
          <w:rFonts w:ascii="宋体"/>
          <w:color w:val="auto"/>
          <w:spacing w:val="20"/>
          <w:sz w:val="22"/>
          <w:szCs w:val="22"/>
          <w:highlight w:val="none"/>
        </w:rPr>
      </w:pPr>
    </w:p>
    <w:p w14:paraId="4D9F15E3">
      <w:pPr>
        <w:spacing w:line="460" w:lineRule="atLeast"/>
        <w:ind w:firstLine="480"/>
        <w:rPr>
          <w:rFonts w:ascii="宋体"/>
          <w:color w:val="auto"/>
          <w:spacing w:val="20"/>
          <w:sz w:val="22"/>
          <w:szCs w:val="22"/>
          <w:highlight w:val="none"/>
        </w:rPr>
      </w:pPr>
      <w:r>
        <w:rPr>
          <w:rFonts w:hint="eastAsia" w:ascii="宋体"/>
          <w:color w:val="auto"/>
          <w:spacing w:val="20"/>
          <w:sz w:val="22"/>
          <w:szCs w:val="22"/>
          <w:highlight w:val="none"/>
        </w:rPr>
        <w:t>投标人签字</w:t>
      </w:r>
      <w:r>
        <w:rPr>
          <w:rFonts w:ascii="宋体"/>
          <w:color w:val="auto"/>
          <w:spacing w:val="20"/>
          <w:sz w:val="22"/>
          <w:szCs w:val="22"/>
          <w:highlight w:val="none"/>
        </w:rPr>
        <w:t>：</w:t>
      </w:r>
    </w:p>
    <w:p w14:paraId="64005F3A">
      <w:pPr>
        <w:spacing w:line="460" w:lineRule="atLeast"/>
        <w:ind w:firstLine="480"/>
        <w:rPr>
          <w:rFonts w:ascii="宋体"/>
          <w:color w:val="auto"/>
          <w:spacing w:val="20"/>
          <w:sz w:val="22"/>
          <w:szCs w:val="22"/>
          <w:highlight w:val="none"/>
        </w:rPr>
      </w:pPr>
      <w:r>
        <w:rPr>
          <w:rFonts w:ascii="宋体"/>
          <w:color w:val="auto"/>
          <w:spacing w:val="20"/>
          <w:sz w:val="22"/>
          <w:szCs w:val="22"/>
          <w:highlight w:val="none"/>
        </w:rPr>
        <w:t>日期：</w:t>
      </w:r>
    </w:p>
    <w:p w14:paraId="3EF1C07A">
      <w:pPr>
        <w:jc w:val="left"/>
        <w:rPr>
          <w:color w:val="auto"/>
          <w:sz w:val="48"/>
          <w:szCs w:val="48"/>
          <w:highlight w:val="none"/>
        </w:rPr>
      </w:pPr>
    </w:p>
    <w:sectPr>
      <w:headerReference r:id="rId3" w:type="default"/>
      <w:footerReference r:id="rId4" w:type="default"/>
      <w:pgSz w:w="11906" w:h="16838"/>
      <w:pgMar w:top="1361" w:right="1247" w:bottom="136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4958">
    <w:pPr>
      <w:pStyle w:val="13"/>
      <w:jc w:val="right"/>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F0235E6">
                <w:pPr>
                  <w:pStyle w:val="13"/>
                  <w:jc w:val="right"/>
                </w:pPr>
                <w:r>
                  <w:fldChar w:fldCharType="begin"/>
                </w:r>
                <w:r>
                  <w:instrText xml:space="preserve"> PAGE   \* MERGEFORMAT </w:instrText>
                </w:r>
                <w:r>
                  <w:fldChar w:fldCharType="separate"/>
                </w:r>
                <w:r>
                  <w:rPr>
                    <w:lang w:val="zh-CN"/>
                  </w:rPr>
                  <w:t>6</w:t>
                </w:r>
                <w:r>
                  <w:rPr>
                    <w:lang w:val="zh-CN"/>
                  </w:rPr>
                  <w:fldChar w:fldCharType="end"/>
                </w:r>
              </w:p>
            </w:txbxContent>
          </v:textbox>
        </v:shape>
      </w:pict>
    </w:r>
  </w:p>
  <w:p w14:paraId="7D67718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5ABC7">
    <w:pPr>
      <w:pStyle w:val="14"/>
      <w:jc w:val="both"/>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2">
    <w:nsid w:val="15DFBE35"/>
    <w:multiLevelType w:val="singleLevel"/>
    <w:tmpl w:val="15DFBE35"/>
    <w:lvl w:ilvl="0" w:tentative="0">
      <w:start w:val="1"/>
      <w:numFmt w:val="decimal"/>
      <w:pStyle w:val="6"/>
      <w:lvlText w:val="%1."/>
      <w:lvlJc w:val="left"/>
      <w:pPr>
        <w:tabs>
          <w:tab w:val="left" w:pos="360"/>
        </w:tabs>
        <w:ind w:left="360" w:hanging="360"/>
      </w:pPr>
    </w:lvl>
  </w:abstractNum>
  <w:abstractNum w:abstractNumId="3">
    <w:nsid w:val="20D292A7"/>
    <w:multiLevelType w:val="singleLevel"/>
    <w:tmpl w:val="20D292A7"/>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VhODkyZjc2NTQ2ODJiYjM5OTFjZDYzODYxYmFlZDEifQ=="/>
  </w:docVars>
  <w:rsids>
    <w:rsidRoot w:val="00544248"/>
    <w:rsid w:val="00066AA2"/>
    <w:rsid w:val="00074FF0"/>
    <w:rsid w:val="000D5CBB"/>
    <w:rsid w:val="001150F2"/>
    <w:rsid w:val="001B23F7"/>
    <w:rsid w:val="001E1454"/>
    <w:rsid w:val="001E47A6"/>
    <w:rsid w:val="001F13FD"/>
    <w:rsid w:val="002233F1"/>
    <w:rsid w:val="00235998"/>
    <w:rsid w:val="00240A4E"/>
    <w:rsid w:val="00251D74"/>
    <w:rsid w:val="00255A0F"/>
    <w:rsid w:val="002914CE"/>
    <w:rsid w:val="002E1441"/>
    <w:rsid w:val="002F1170"/>
    <w:rsid w:val="003077E5"/>
    <w:rsid w:val="00336BF9"/>
    <w:rsid w:val="00393D19"/>
    <w:rsid w:val="003A6B66"/>
    <w:rsid w:val="003B186B"/>
    <w:rsid w:val="003B6D6F"/>
    <w:rsid w:val="003F4337"/>
    <w:rsid w:val="00474DC4"/>
    <w:rsid w:val="004E6C9B"/>
    <w:rsid w:val="00503B03"/>
    <w:rsid w:val="00544248"/>
    <w:rsid w:val="0055119E"/>
    <w:rsid w:val="005E3411"/>
    <w:rsid w:val="005F415E"/>
    <w:rsid w:val="006E1DB7"/>
    <w:rsid w:val="00744E0A"/>
    <w:rsid w:val="00794304"/>
    <w:rsid w:val="008063B6"/>
    <w:rsid w:val="008100D8"/>
    <w:rsid w:val="0082511A"/>
    <w:rsid w:val="008463C8"/>
    <w:rsid w:val="00870ABD"/>
    <w:rsid w:val="008C759E"/>
    <w:rsid w:val="009034FC"/>
    <w:rsid w:val="0093202F"/>
    <w:rsid w:val="0096759C"/>
    <w:rsid w:val="00987AA2"/>
    <w:rsid w:val="009C7A3F"/>
    <w:rsid w:val="009D27C1"/>
    <w:rsid w:val="00A26117"/>
    <w:rsid w:val="00A73820"/>
    <w:rsid w:val="00A94247"/>
    <w:rsid w:val="00AB4B3D"/>
    <w:rsid w:val="00BF62F3"/>
    <w:rsid w:val="00C11B99"/>
    <w:rsid w:val="00C9309C"/>
    <w:rsid w:val="00C9766F"/>
    <w:rsid w:val="00D21A2B"/>
    <w:rsid w:val="00DC36F7"/>
    <w:rsid w:val="00E1245C"/>
    <w:rsid w:val="00E60C16"/>
    <w:rsid w:val="00F45079"/>
    <w:rsid w:val="00F561A0"/>
    <w:rsid w:val="00F620F1"/>
    <w:rsid w:val="01840C81"/>
    <w:rsid w:val="018856AF"/>
    <w:rsid w:val="02F35AE8"/>
    <w:rsid w:val="054364BD"/>
    <w:rsid w:val="07CF5DE6"/>
    <w:rsid w:val="09252F05"/>
    <w:rsid w:val="092539AC"/>
    <w:rsid w:val="0B1C6125"/>
    <w:rsid w:val="0B664CB3"/>
    <w:rsid w:val="0BA457DB"/>
    <w:rsid w:val="0BB53545"/>
    <w:rsid w:val="0EA10664"/>
    <w:rsid w:val="0ED65CAC"/>
    <w:rsid w:val="0F556F14"/>
    <w:rsid w:val="12AA1929"/>
    <w:rsid w:val="12E960C1"/>
    <w:rsid w:val="143811B7"/>
    <w:rsid w:val="14C33176"/>
    <w:rsid w:val="15B8435D"/>
    <w:rsid w:val="16225C7A"/>
    <w:rsid w:val="162E0AC3"/>
    <w:rsid w:val="16D57191"/>
    <w:rsid w:val="18157BDA"/>
    <w:rsid w:val="18BA663E"/>
    <w:rsid w:val="1AC9700C"/>
    <w:rsid w:val="1C5D17BA"/>
    <w:rsid w:val="1CB33AD0"/>
    <w:rsid w:val="1DB00088"/>
    <w:rsid w:val="1E822B26"/>
    <w:rsid w:val="1F58270D"/>
    <w:rsid w:val="1F974FE3"/>
    <w:rsid w:val="1FC55FF4"/>
    <w:rsid w:val="246D27B7"/>
    <w:rsid w:val="258F6C70"/>
    <w:rsid w:val="285C14C0"/>
    <w:rsid w:val="2A04539F"/>
    <w:rsid w:val="2C3818FC"/>
    <w:rsid w:val="2D5B1D46"/>
    <w:rsid w:val="2E1E7EF7"/>
    <w:rsid w:val="301461DC"/>
    <w:rsid w:val="35074561"/>
    <w:rsid w:val="35B77D36"/>
    <w:rsid w:val="3619610C"/>
    <w:rsid w:val="362472B7"/>
    <w:rsid w:val="368340BC"/>
    <w:rsid w:val="36FA0D6A"/>
    <w:rsid w:val="37F10781"/>
    <w:rsid w:val="39111E53"/>
    <w:rsid w:val="39F96B6F"/>
    <w:rsid w:val="3C5A15A0"/>
    <w:rsid w:val="3D8E5820"/>
    <w:rsid w:val="3E8135D7"/>
    <w:rsid w:val="3EF06066"/>
    <w:rsid w:val="42C615B8"/>
    <w:rsid w:val="440B5E1C"/>
    <w:rsid w:val="441A605F"/>
    <w:rsid w:val="451C26BC"/>
    <w:rsid w:val="45350C77"/>
    <w:rsid w:val="45392515"/>
    <w:rsid w:val="477B5067"/>
    <w:rsid w:val="47B21B9C"/>
    <w:rsid w:val="47D97FDF"/>
    <w:rsid w:val="49C32CF5"/>
    <w:rsid w:val="4A0D5CB7"/>
    <w:rsid w:val="4ACE1952"/>
    <w:rsid w:val="4AF40C8C"/>
    <w:rsid w:val="4B5E0F27"/>
    <w:rsid w:val="503E4E84"/>
    <w:rsid w:val="50622020"/>
    <w:rsid w:val="51786173"/>
    <w:rsid w:val="54F55D2D"/>
    <w:rsid w:val="5547359F"/>
    <w:rsid w:val="56513437"/>
    <w:rsid w:val="585F62F9"/>
    <w:rsid w:val="590B5B1F"/>
    <w:rsid w:val="5BC85EC2"/>
    <w:rsid w:val="5C403D31"/>
    <w:rsid w:val="5E99374C"/>
    <w:rsid w:val="5F9C5723"/>
    <w:rsid w:val="5FCD3B2E"/>
    <w:rsid w:val="62B965EC"/>
    <w:rsid w:val="67762CFD"/>
    <w:rsid w:val="67A942EF"/>
    <w:rsid w:val="68420E31"/>
    <w:rsid w:val="6AEB57B0"/>
    <w:rsid w:val="6B056872"/>
    <w:rsid w:val="6B902E71"/>
    <w:rsid w:val="6F4F630E"/>
    <w:rsid w:val="71771BEA"/>
    <w:rsid w:val="72B679BE"/>
    <w:rsid w:val="72DF5BFA"/>
    <w:rsid w:val="733503C0"/>
    <w:rsid w:val="73974727"/>
    <w:rsid w:val="77183DD1"/>
    <w:rsid w:val="7B05341C"/>
    <w:rsid w:val="7B1B79EC"/>
    <w:rsid w:val="7B5B0730"/>
    <w:rsid w:val="7C574BE4"/>
    <w:rsid w:val="7F7B6CAB"/>
    <w:rsid w:val="7FAC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autoRedefine/>
    <w:unhideWhenUsed/>
    <w:qFormat/>
    <w:uiPriority w:val="9"/>
    <w:pPr>
      <w:keepNext/>
      <w:keepLines/>
      <w:spacing w:before="260" w:after="260" w:line="416" w:lineRule="auto"/>
      <w:outlineLvl w:val="1"/>
    </w:pPr>
    <w:rPr>
      <w:rFonts w:ascii="Cambria" w:hAnsi="Cambria" w:cs="黑体"/>
      <w:b/>
      <w:bCs/>
      <w:sz w:val="32"/>
      <w:szCs w:val="32"/>
    </w:rPr>
  </w:style>
  <w:style w:type="paragraph" w:styleId="5">
    <w:name w:val="heading 3"/>
    <w:basedOn w:val="1"/>
    <w:next w:val="1"/>
    <w:link w:val="30"/>
    <w:autoRedefine/>
    <w:unhideWhenUsed/>
    <w:qFormat/>
    <w:uiPriority w:val="9"/>
    <w:pPr>
      <w:keepNext/>
      <w:keepLines/>
      <w:spacing w:before="260" w:after="260" w:line="416" w:lineRule="auto"/>
      <w:outlineLvl w:val="2"/>
    </w:pPr>
    <w:rPr>
      <w:b/>
      <w:bCs/>
      <w:sz w:val="32"/>
      <w:szCs w:val="32"/>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34"/>
    <w:pPr>
      <w:ind w:firstLine="420" w:firstLineChars="200"/>
    </w:pPr>
    <w:rPr>
      <w:szCs w:val="22"/>
    </w:rPr>
  </w:style>
  <w:style w:type="paragraph" w:styleId="6">
    <w:name w:val="List Number"/>
    <w:basedOn w:val="1"/>
    <w:autoRedefine/>
    <w:qFormat/>
    <w:uiPriority w:val="0"/>
    <w:pPr>
      <w:numPr>
        <w:ilvl w:val="0"/>
        <w:numId w:val="1"/>
      </w:numPr>
    </w:pPr>
    <w:rPr>
      <w:rFonts w:ascii="Times New Roman" w:hAnsi="Times New Roman"/>
    </w:rPr>
  </w:style>
  <w:style w:type="paragraph" w:styleId="7">
    <w:name w:val="annotation text"/>
    <w:link w:val="33"/>
    <w:autoRedefine/>
    <w:qFormat/>
    <w:uiPriority w:val="0"/>
    <w:pPr>
      <w:widowControl w:val="0"/>
    </w:pPr>
    <w:rPr>
      <w:rFonts w:ascii="Times New Roman" w:hAnsi="Times New Roman" w:eastAsia="宋体" w:cs="Times New Roman"/>
      <w:kern w:val="2"/>
      <w:sz w:val="21"/>
      <w:szCs w:val="24"/>
      <w:lang w:val="en-US" w:eastAsia="zh-CN" w:bidi="ar-SA"/>
    </w:rPr>
  </w:style>
  <w:style w:type="paragraph" w:styleId="8">
    <w:name w:val="Body Text Indent"/>
    <w:basedOn w:val="1"/>
    <w:link w:val="32"/>
    <w:autoRedefine/>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hAnsi="Times New Roman"/>
      <w:color w:val="000000"/>
      <w:kern w:val="0"/>
      <w:sz w:val="24"/>
      <w:szCs w:val="20"/>
    </w:rPr>
  </w:style>
  <w:style w:type="paragraph" w:styleId="9">
    <w:name w:val="Plain Text"/>
    <w:basedOn w:val="1"/>
    <w:link w:val="29"/>
    <w:autoRedefine/>
    <w:qFormat/>
    <w:uiPriority w:val="0"/>
    <w:rPr>
      <w:rFonts w:ascii="宋体" w:hAnsi="Courier New"/>
    </w:rPr>
  </w:style>
  <w:style w:type="paragraph" w:styleId="10">
    <w:name w:val="Date"/>
    <w:basedOn w:val="1"/>
    <w:next w:val="1"/>
    <w:link w:val="28"/>
    <w:autoRedefine/>
    <w:unhideWhenUsed/>
    <w:qFormat/>
    <w:uiPriority w:val="0"/>
    <w:pPr>
      <w:ind w:left="100" w:leftChars="2500"/>
    </w:pPr>
  </w:style>
  <w:style w:type="paragraph" w:styleId="11">
    <w:name w:val="Body Text Indent 2"/>
    <w:basedOn w:val="1"/>
    <w:link w:val="31"/>
    <w:autoRedefine/>
    <w:qFormat/>
    <w:uiPriority w:val="0"/>
    <w:pPr>
      <w:widowControl/>
      <w:spacing w:line="480" w:lineRule="atLeast"/>
      <w:ind w:firstLine="480"/>
    </w:pPr>
    <w:rPr>
      <w:rFonts w:ascii="宋体" w:hAnsi="Times New Roman"/>
      <w:sz w:val="24"/>
    </w:rPr>
  </w:style>
  <w:style w:type="paragraph" w:styleId="12">
    <w:name w:val="Balloon Text"/>
    <w:basedOn w:val="1"/>
    <w:link w:val="26"/>
    <w:autoRedefine/>
    <w:unhideWhenUsed/>
    <w:qFormat/>
    <w:uiPriority w:val="99"/>
    <w:rPr>
      <w:sz w:val="18"/>
      <w:szCs w:val="18"/>
    </w:rPr>
  </w:style>
  <w:style w:type="paragraph" w:styleId="13">
    <w:name w:val="footer"/>
    <w:basedOn w:val="1"/>
    <w:link w:val="25"/>
    <w:autoRedefine/>
    <w:unhideWhenUsed/>
    <w:qFormat/>
    <w:uiPriority w:val="99"/>
    <w:pPr>
      <w:tabs>
        <w:tab w:val="center" w:pos="4153"/>
        <w:tab w:val="right" w:pos="8306"/>
      </w:tabs>
      <w:snapToGrid w:val="0"/>
      <w:jc w:val="left"/>
    </w:pPr>
    <w:rPr>
      <w:sz w:val="18"/>
      <w:szCs w:val="18"/>
    </w:rPr>
  </w:style>
  <w:style w:type="paragraph" w:styleId="14">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character" w:styleId="20">
    <w:name w:val="Hyperlink"/>
    <w:autoRedefine/>
    <w:unhideWhenUsed/>
    <w:qFormat/>
    <w:uiPriority w:val="99"/>
    <w:rPr>
      <w:color w:val="0000FF"/>
      <w:u w:val="single"/>
    </w:rPr>
  </w:style>
  <w:style w:type="paragraph" w:customStyle="1" w:styleId="21">
    <w:name w:val="列出段落1"/>
    <w:basedOn w:val="1"/>
    <w:autoRedefine/>
    <w:qFormat/>
    <w:uiPriority w:val="0"/>
    <w:pPr>
      <w:ind w:firstLine="420" w:firstLineChars="200"/>
    </w:pPr>
    <w:rPr>
      <w:szCs w:val="22"/>
    </w:rPr>
  </w:style>
  <w:style w:type="paragraph" w:customStyle="1" w:styleId="22">
    <w:name w:val="1"/>
    <w:basedOn w:val="1"/>
    <w:next w:val="9"/>
    <w:autoRedefine/>
    <w:qFormat/>
    <w:uiPriority w:val="0"/>
    <w:rPr>
      <w:rFonts w:ascii="宋体" w:hAnsi="Courier New"/>
      <w:szCs w:val="20"/>
    </w:rPr>
  </w:style>
  <w:style w:type="paragraph" w:customStyle="1" w:styleId="23">
    <w:name w:val="列出段落2"/>
    <w:basedOn w:val="1"/>
    <w:autoRedefine/>
    <w:qFormat/>
    <w:uiPriority w:val="0"/>
    <w:pPr>
      <w:ind w:firstLine="420" w:firstLineChars="200"/>
    </w:pPr>
    <w:rPr>
      <w:szCs w:val="22"/>
    </w:rPr>
  </w:style>
  <w:style w:type="character" w:customStyle="1" w:styleId="24">
    <w:name w:val="页眉 字符"/>
    <w:link w:val="14"/>
    <w:autoRedefine/>
    <w:qFormat/>
    <w:uiPriority w:val="99"/>
    <w:rPr>
      <w:sz w:val="18"/>
      <w:szCs w:val="18"/>
    </w:rPr>
  </w:style>
  <w:style w:type="character" w:customStyle="1" w:styleId="25">
    <w:name w:val="页脚 字符"/>
    <w:link w:val="13"/>
    <w:autoRedefine/>
    <w:qFormat/>
    <w:uiPriority w:val="99"/>
    <w:rPr>
      <w:sz w:val="18"/>
      <w:szCs w:val="18"/>
    </w:rPr>
  </w:style>
  <w:style w:type="character" w:customStyle="1" w:styleId="26">
    <w:name w:val="批注框文本 字符"/>
    <w:link w:val="12"/>
    <w:autoRedefine/>
    <w:semiHidden/>
    <w:qFormat/>
    <w:uiPriority w:val="99"/>
    <w:rPr>
      <w:sz w:val="18"/>
      <w:szCs w:val="18"/>
    </w:rPr>
  </w:style>
  <w:style w:type="character" w:customStyle="1" w:styleId="27">
    <w:name w:val="标题 1 字符"/>
    <w:link w:val="3"/>
    <w:autoRedefine/>
    <w:qFormat/>
    <w:uiPriority w:val="0"/>
    <w:rPr>
      <w:rFonts w:ascii="Calibri" w:hAnsi="Calibri" w:eastAsia="宋体" w:cs="Times New Roman"/>
      <w:b/>
      <w:bCs/>
      <w:kern w:val="44"/>
      <w:sz w:val="44"/>
      <w:szCs w:val="44"/>
    </w:rPr>
  </w:style>
  <w:style w:type="character" w:customStyle="1" w:styleId="28">
    <w:name w:val="日期 字符"/>
    <w:link w:val="10"/>
    <w:autoRedefine/>
    <w:semiHidden/>
    <w:qFormat/>
    <w:uiPriority w:val="99"/>
    <w:rPr>
      <w:rFonts w:ascii="Calibri" w:hAnsi="Calibri" w:eastAsia="宋体" w:cs="Times New Roman"/>
      <w:szCs w:val="24"/>
    </w:rPr>
  </w:style>
  <w:style w:type="character" w:customStyle="1" w:styleId="29">
    <w:name w:val="纯文本 字符"/>
    <w:link w:val="9"/>
    <w:autoRedefine/>
    <w:qFormat/>
    <w:uiPriority w:val="0"/>
    <w:rPr>
      <w:rFonts w:ascii="宋体" w:hAnsi="Courier New" w:eastAsia="宋体" w:cs="Times New Roman"/>
      <w:szCs w:val="24"/>
    </w:rPr>
  </w:style>
  <w:style w:type="character" w:customStyle="1" w:styleId="30">
    <w:name w:val="标题 3 字符"/>
    <w:link w:val="5"/>
    <w:autoRedefine/>
    <w:semiHidden/>
    <w:qFormat/>
    <w:uiPriority w:val="9"/>
    <w:rPr>
      <w:rFonts w:ascii="Calibri" w:hAnsi="Calibri" w:eastAsia="宋体" w:cs="Times New Roman"/>
      <w:b/>
      <w:bCs/>
      <w:sz w:val="32"/>
      <w:szCs w:val="32"/>
    </w:rPr>
  </w:style>
  <w:style w:type="character" w:customStyle="1" w:styleId="31">
    <w:name w:val="正文文本缩进 2 字符"/>
    <w:link w:val="11"/>
    <w:autoRedefine/>
    <w:qFormat/>
    <w:uiPriority w:val="0"/>
    <w:rPr>
      <w:rFonts w:ascii="宋体" w:hAnsi="Times New Roman" w:eastAsia="宋体" w:cs="Times New Roman"/>
      <w:sz w:val="24"/>
      <w:szCs w:val="24"/>
    </w:rPr>
  </w:style>
  <w:style w:type="character" w:customStyle="1" w:styleId="32">
    <w:name w:val="正文文本缩进 字符"/>
    <w:link w:val="8"/>
    <w:qFormat/>
    <w:uiPriority w:val="0"/>
    <w:rPr>
      <w:rFonts w:ascii="宋体" w:hAnsi="Times New Roman" w:eastAsia="宋体" w:cs="Times New Roman"/>
      <w:color w:val="000000"/>
      <w:kern w:val="0"/>
      <w:sz w:val="24"/>
      <w:szCs w:val="20"/>
    </w:rPr>
  </w:style>
  <w:style w:type="character" w:customStyle="1" w:styleId="33">
    <w:name w:val="批注文字 字符"/>
    <w:link w:val="7"/>
    <w:autoRedefine/>
    <w:qFormat/>
    <w:uiPriority w:val="0"/>
    <w:rPr>
      <w:rFonts w:ascii="Times New Roman" w:hAnsi="Times New Roman" w:eastAsia="宋体" w:cs="Times New Roman"/>
      <w:szCs w:val="24"/>
    </w:rPr>
  </w:style>
  <w:style w:type="character" w:customStyle="1" w:styleId="34">
    <w:name w:val="标题 2 字符"/>
    <w:link w:val="4"/>
    <w:autoRedefine/>
    <w:qFormat/>
    <w:uiPriority w:val="9"/>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11435</Words>
  <Characters>11704</Characters>
  <Lines>113</Lines>
  <Paragraphs>32</Paragraphs>
  <TotalTime>25</TotalTime>
  <ScaleCrop>false</ScaleCrop>
  <LinksUpToDate>false</LinksUpToDate>
  <CharactersWithSpaces>12044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2020-05-20T00:46:00Z</dcterms:created>
  <dc:creator>User</dc:creator>
  <cp:lastModifiedBy>野菊花</cp:lastModifiedBy>
  <cp:lastPrinted>2023-04-23T01:48:00Z</cp:lastPrinted>
  <dcterms:modified xsi:type="dcterms:W3CDTF">2025-04-17T03:07:05Z</dcterms:modified>
  <dc:title>2022年三门县“护渔”船舶租赁项目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AA833E6D528D4D999ED0740AE49F66A3_12</vt:lpwstr>
  </property>
  <property fmtid="{D5CDD505-2E9C-101B-9397-08002B2CF9AE}" pid="4" name="KSOTemplateDocerSaveRecord">
    <vt:lpwstr>eyJoZGlkIjoiNGU4ZTE1NGMzZmIyY2E3MjkyY2JiNjE4MDczMmJkNWUiLCJ1c2VySWQiOiI4OTY3MTI4OTgifQ==</vt:lpwstr>
  </property>
</Properties>
</file>