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4B171">
      <w:pPr>
        <w:autoSpaceDE w:val="0"/>
        <w:autoSpaceDN w:val="0"/>
        <w:adjustRightInd w:val="0"/>
        <w:spacing w:line="360" w:lineRule="auto"/>
        <w:ind w:firstLine="361" w:firstLineChars="150"/>
        <w:jc w:val="left"/>
        <w:rPr>
          <w:rFonts w:hint="eastAsia" w:ascii="宋体" w:hAnsi="宋体"/>
          <w:b/>
          <w:bCs/>
          <w:color w:val="auto"/>
          <w:kern w:val="0"/>
          <w:sz w:val="24"/>
          <w:highlight w:val="none"/>
          <w:lang w:eastAsia="zh-CN"/>
        </w:rPr>
      </w:pPr>
      <w:r>
        <w:rPr>
          <w:rFonts w:hint="eastAsia" w:ascii="宋体" w:hAnsi="宋体"/>
          <w:b/>
          <w:bCs/>
          <w:color w:val="auto"/>
          <w:kern w:val="0"/>
          <w:sz w:val="24"/>
          <w:highlight w:val="none"/>
          <w:lang w:eastAsia="zh-CN"/>
        </w:rPr>
        <w:t>附件：</w:t>
      </w:r>
    </w:p>
    <w:p w14:paraId="1EB6AEFB">
      <w:pPr>
        <w:autoSpaceDE w:val="0"/>
        <w:autoSpaceDN w:val="0"/>
        <w:adjustRightInd w:val="0"/>
        <w:spacing w:line="360" w:lineRule="auto"/>
        <w:ind w:firstLine="361" w:firstLineChars="150"/>
        <w:jc w:val="left"/>
        <w:rPr>
          <w:rFonts w:hint="eastAsia" w:ascii="宋体" w:hAnsi="宋体"/>
          <w:b/>
          <w:bCs/>
          <w:color w:val="auto"/>
          <w:kern w:val="0"/>
          <w:sz w:val="24"/>
          <w:highlight w:val="none"/>
        </w:rPr>
      </w:pPr>
      <w:r>
        <w:rPr>
          <w:rFonts w:hint="eastAsia" w:ascii="宋体" w:hAnsi="宋体"/>
          <w:b/>
          <w:bCs/>
          <w:color w:val="auto"/>
          <w:kern w:val="0"/>
          <w:sz w:val="24"/>
          <w:highlight w:val="none"/>
          <w:lang w:eastAsia="zh-CN"/>
        </w:rPr>
        <w:t>五</w:t>
      </w:r>
      <w:r>
        <w:rPr>
          <w:rFonts w:hint="eastAsia" w:ascii="宋体" w:hAnsi="宋体"/>
          <w:b/>
          <w:bCs/>
          <w:color w:val="auto"/>
          <w:kern w:val="0"/>
          <w:sz w:val="24"/>
          <w:highlight w:val="none"/>
        </w:rPr>
        <w:t>、详细的</w:t>
      </w:r>
      <w:r>
        <w:rPr>
          <w:rFonts w:hint="eastAsia" w:ascii="宋体"/>
          <w:b/>
          <w:bCs/>
          <w:color w:val="auto"/>
          <w:sz w:val="24"/>
          <w:highlight w:val="none"/>
          <w:lang w:val="zh-CN"/>
        </w:rPr>
        <w:t>评审内容及分值</w:t>
      </w:r>
      <w:r>
        <w:rPr>
          <w:rFonts w:hint="eastAsia" w:ascii="宋体" w:hAnsi="宋体"/>
          <w:b/>
          <w:bCs/>
          <w:color w:val="auto"/>
          <w:kern w:val="0"/>
          <w:sz w:val="24"/>
          <w:highlight w:val="none"/>
        </w:rPr>
        <w:t>：</w:t>
      </w:r>
      <w:bookmarkStart w:id="0" w:name="_Toc6219"/>
    </w:p>
    <w:p w14:paraId="2F2ED2F3">
      <w:pPr>
        <w:autoSpaceDE w:val="0"/>
        <w:autoSpaceDN w:val="0"/>
        <w:adjustRightInd w:val="0"/>
        <w:spacing w:line="360" w:lineRule="auto"/>
        <w:ind w:firstLine="361" w:firstLineChars="150"/>
        <w:jc w:val="left"/>
        <w:rPr>
          <w:rFonts w:hint="eastAsia" w:ascii="宋体" w:hAnsi="宋体" w:eastAsia="宋体" w:cs="Times New Roman"/>
          <w:b/>
          <w:bCs/>
          <w:color w:val="auto"/>
          <w:kern w:val="0"/>
          <w:sz w:val="24"/>
          <w:highlight w:val="none"/>
          <w:lang w:val="zh-CN" w:eastAsia="zh-CN"/>
        </w:rPr>
      </w:pPr>
      <w:r>
        <w:rPr>
          <w:rFonts w:hint="eastAsia" w:ascii="宋体" w:hAnsi="宋体" w:eastAsia="宋体" w:cs="Times New Roman"/>
          <w:b/>
          <w:bCs/>
          <w:color w:val="auto"/>
          <w:kern w:val="0"/>
          <w:sz w:val="24"/>
          <w:highlight w:val="none"/>
          <w:lang w:val="en-US" w:eastAsia="zh-CN"/>
        </w:rPr>
        <w:t>1、</w:t>
      </w:r>
      <w:bookmarkEnd w:id="0"/>
      <w:r>
        <w:rPr>
          <w:rFonts w:hint="eastAsia" w:ascii="宋体" w:hAnsi="宋体" w:eastAsia="宋体" w:cs="Times New Roman"/>
          <w:b/>
          <w:bCs/>
          <w:color w:val="auto"/>
          <w:kern w:val="0"/>
          <w:sz w:val="24"/>
          <w:highlight w:val="none"/>
          <w:lang w:val="zh-CN"/>
        </w:rPr>
        <w:t>商务及技术</w:t>
      </w:r>
      <w:r>
        <w:rPr>
          <w:rFonts w:hint="eastAsia" w:ascii="宋体" w:hAnsi="宋体" w:eastAsia="宋体" w:cs="Times New Roman"/>
          <w:b/>
          <w:bCs/>
          <w:color w:val="auto"/>
          <w:kern w:val="0"/>
          <w:sz w:val="24"/>
          <w:highlight w:val="none"/>
          <w:lang w:val="en-US" w:eastAsia="zh-CN"/>
        </w:rPr>
        <w:t>部分</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993"/>
        <w:gridCol w:w="1237"/>
        <w:gridCol w:w="6009"/>
        <w:gridCol w:w="939"/>
      </w:tblGrid>
      <w:tr w14:paraId="3640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993" w:type="dxa"/>
            <w:noWrap w:val="0"/>
            <w:vAlign w:val="center"/>
          </w:tcPr>
          <w:p w14:paraId="52C844F1">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序号</w:t>
            </w:r>
          </w:p>
        </w:tc>
        <w:tc>
          <w:tcPr>
            <w:tcW w:w="1237" w:type="dxa"/>
            <w:noWrap w:val="0"/>
            <w:vAlign w:val="center"/>
          </w:tcPr>
          <w:p w14:paraId="7A158FF3">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评审内容</w:t>
            </w:r>
          </w:p>
        </w:tc>
        <w:tc>
          <w:tcPr>
            <w:tcW w:w="6009" w:type="dxa"/>
            <w:noWrap w:val="0"/>
            <w:vAlign w:val="center"/>
          </w:tcPr>
          <w:p w14:paraId="7D744E7A">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评分标准</w:t>
            </w:r>
          </w:p>
        </w:tc>
        <w:tc>
          <w:tcPr>
            <w:tcW w:w="939" w:type="dxa"/>
            <w:noWrap w:val="0"/>
            <w:vAlign w:val="center"/>
          </w:tcPr>
          <w:p w14:paraId="3D473580">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default"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分值</w:t>
            </w:r>
          </w:p>
        </w:tc>
      </w:tr>
      <w:tr w14:paraId="1104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993" w:type="dxa"/>
            <w:noWrap w:val="0"/>
            <w:vAlign w:val="center"/>
          </w:tcPr>
          <w:p w14:paraId="0E409E37">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w:t>
            </w:r>
          </w:p>
        </w:tc>
        <w:tc>
          <w:tcPr>
            <w:tcW w:w="1237" w:type="dxa"/>
            <w:noWrap w:val="0"/>
            <w:vAlign w:val="center"/>
          </w:tcPr>
          <w:p w14:paraId="0B4BCF00">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color w:val="auto"/>
                <w:spacing w:val="0"/>
                <w:sz w:val="24"/>
                <w:szCs w:val="24"/>
                <w:highlight w:val="none"/>
                <w:lang w:val="en-US" w:eastAsia="zh-CN"/>
              </w:rPr>
              <w:t>企业认证</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3分</w:t>
            </w:r>
            <w:r>
              <w:rPr>
                <w:rFonts w:hint="eastAsia" w:ascii="宋体" w:hAnsi="宋体" w:eastAsia="宋体" w:cs="宋体"/>
                <w:color w:val="auto"/>
                <w:spacing w:val="0"/>
                <w:sz w:val="24"/>
                <w:szCs w:val="24"/>
                <w:highlight w:val="none"/>
                <w:lang w:eastAsia="zh-CN"/>
              </w:rPr>
              <w:t>）</w:t>
            </w:r>
          </w:p>
        </w:tc>
        <w:tc>
          <w:tcPr>
            <w:tcW w:w="6009" w:type="dxa"/>
            <w:noWrap w:val="0"/>
            <w:vAlign w:val="center"/>
          </w:tcPr>
          <w:p w14:paraId="2C484B58">
            <w:pPr>
              <w:keepNext w:val="0"/>
              <w:keepLines w:val="0"/>
              <w:pageBreakBefore w:val="0"/>
              <w:widowControl w:val="0"/>
              <w:kinsoku/>
              <w:wordWrap w:val="0"/>
              <w:overflowPunct w:val="0"/>
              <w:topLinePunct/>
              <w:autoSpaceDE/>
              <w:autoSpaceDN/>
              <w:bidi w:val="0"/>
              <w:snapToGrid w:val="0"/>
              <w:spacing w:line="360" w:lineRule="auto"/>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color w:val="auto"/>
                <w:spacing w:val="0"/>
                <w:sz w:val="24"/>
                <w:szCs w:val="24"/>
                <w:highlight w:val="none"/>
              </w:rPr>
              <w:t>投标人具有质量管理体系认证（有效期内）的得</w:t>
            </w:r>
            <w:r>
              <w:rPr>
                <w:rFonts w:hint="eastAsia" w:ascii="宋体" w:hAnsi="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分，具有环境管理体系认证（有效期内）的得</w:t>
            </w:r>
            <w:r>
              <w:rPr>
                <w:rFonts w:hint="eastAsia" w:ascii="宋体" w:hAnsi="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分</w:t>
            </w:r>
            <w:r>
              <w:rPr>
                <w:rFonts w:hint="eastAsia" w:ascii="宋体" w:hAnsi="宋体" w:eastAsia="宋体" w:cs="宋体"/>
                <w:color w:val="auto"/>
                <w:spacing w:val="0"/>
                <w:sz w:val="24"/>
                <w:szCs w:val="24"/>
                <w:highlight w:val="none"/>
                <w:lang w:eastAsia="zh-CN"/>
              </w:rPr>
              <w:t>，具</w:t>
            </w:r>
            <w:r>
              <w:rPr>
                <w:rFonts w:hint="eastAsia" w:ascii="宋体" w:hAnsi="宋体" w:eastAsia="宋体" w:cs="宋体"/>
                <w:color w:val="auto"/>
                <w:spacing w:val="0"/>
                <w:sz w:val="24"/>
                <w:szCs w:val="24"/>
                <w:highlight w:val="none"/>
              </w:rPr>
              <w:t>有</w:t>
            </w:r>
            <w:r>
              <w:rPr>
                <w:rFonts w:hint="eastAsia" w:ascii="宋体" w:hAnsi="宋体" w:eastAsia="宋体" w:cs="宋体"/>
                <w:color w:val="auto"/>
                <w:kern w:val="0"/>
                <w:sz w:val="24"/>
                <w:szCs w:val="24"/>
                <w:highlight w:val="none"/>
                <w:lang w:val="en-US" w:eastAsia="zh-CN" w:bidi="ar-SA"/>
              </w:rPr>
              <w:t>职业健康安全管理体系认证</w:t>
            </w:r>
            <w:r>
              <w:rPr>
                <w:rFonts w:hint="eastAsia" w:ascii="宋体" w:hAnsi="宋体" w:eastAsia="宋体" w:cs="宋体"/>
                <w:color w:val="auto"/>
                <w:spacing w:val="0"/>
                <w:sz w:val="24"/>
                <w:szCs w:val="24"/>
                <w:highlight w:val="none"/>
              </w:rPr>
              <w:t>（有效期内）的得</w:t>
            </w:r>
            <w:r>
              <w:rPr>
                <w:rFonts w:hint="eastAsia" w:ascii="宋体" w:hAnsi="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分</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总分为</w:t>
            </w:r>
            <w:r>
              <w:rPr>
                <w:rFonts w:hint="eastAsia" w:ascii="宋体" w:hAnsi="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r>
              <w:rPr>
                <w:rFonts w:hint="eastAsia" w:ascii="宋体" w:hAnsi="宋体" w:eastAsia="宋体" w:cs="宋体"/>
                <w:color w:val="auto"/>
                <w:spacing w:val="0"/>
                <w:sz w:val="24"/>
                <w:szCs w:val="24"/>
                <w:highlight w:val="none"/>
                <w:lang w:eastAsia="zh-CN"/>
              </w:rPr>
              <w:t>。</w:t>
            </w:r>
          </w:p>
        </w:tc>
        <w:tc>
          <w:tcPr>
            <w:tcW w:w="939" w:type="dxa"/>
            <w:noWrap w:val="0"/>
            <w:vAlign w:val="center"/>
          </w:tcPr>
          <w:p w14:paraId="33CEA78A">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cs="宋体"/>
                <w:b w:val="0"/>
                <w:bCs w:val="0"/>
                <w:color w:val="auto"/>
                <w:spacing w:val="0"/>
                <w:sz w:val="24"/>
                <w:szCs w:val="24"/>
                <w:highlight w:val="none"/>
                <w:lang w:val="en-US" w:eastAsia="zh-CN"/>
              </w:rPr>
              <w:t>3分</w:t>
            </w:r>
          </w:p>
        </w:tc>
      </w:tr>
      <w:tr w14:paraId="1920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993" w:type="dxa"/>
            <w:vMerge w:val="restart"/>
            <w:noWrap w:val="0"/>
            <w:vAlign w:val="center"/>
          </w:tcPr>
          <w:p w14:paraId="5CABF181">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2</w:t>
            </w:r>
          </w:p>
        </w:tc>
        <w:tc>
          <w:tcPr>
            <w:tcW w:w="1237" w:type="dxa"/>
            <w:vMerge w:val="restart"/>
            <w:noWrap w:val="0"/>
            <w:vAlign w:val="center"/>
          </w:tcPr>
          <w:p w14:paraId="4F8D0886">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4"/>
                <w:szCs w:val="24"/>
                <w:highlight w:val="none"/>
              </w:rPr>
              <w:t>项目实施方案</w:t>
            </w:r>
            <w:r>
              <w:rPr>
                <w:rFonts w:hint="eastAsia" w:ascii="宋体" w:hAnsi="宋体" w:eastAsia="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30</w:t>
            </w:r>
            <w:r>
              <w:rPr>
                <w:rFonts w:hint="eastAsia" w:ascii="宋体" w:hAnsi="宋体" w:eastAsia="宋体" w:cs="宋体"/>
                <w:color w:val="auto"/>
                <w:spacing w:val="0"/>
                <w:sz w:val="24"/>
                <w:szCs w:val="24"/>
                <w:highlight w:val="none"/>
                <w:lang w:val="en-US" w:eastAsia="zh-CN"/>
              </w:rPr>
              <w:t>分</w:t>
            </w:r>
            <w:r>
              <w:rPr>
                <w:rFonts w:hint="eastAsia" w:ascii="宋体" w:hAnsi="宋体" w:eastAsia="宋体" w:cs="宋体"/>
                <w:color w:val="auto"/>
                <w:spacing w:val="0"/>
                <w:sz w:val="24"/>
                <w:szCs w:val="24"/>
                <w:highlight w:val="none"/>
                <w:lang w:eastAsia="zh-CN"/>
              </w:rPr>
              <w:t>）</w:t>
            </w:r>
          </w:p>
        </w:tc>
        <w:tc>
          <w:tcPr>
            <w:tcW w:w="6009" w:type="dxa"/>
            <w:noWrap w:val="0"/>
            <w:vAlign w:val="center"/>
          </w:tcPr>
          <w:p w14:paraId="62A991B7">
            <w:pPr>
              <w:keepNext w:val="0"/>
              <w:keepLines w:val="0"/>
              <w:pageBreakBefore w:val="0"/>
              <w:widowControl w:val="0"/>
              <w:kinsoku/>
              <w:wordWrap w:val="0"/>
              <w:overflowPunct w:val="0"/>
              <w:topLinePunct/>
              <w:autoSpaceDE/>
              <w:autoSpaceDN/>
              <w:bidi w:val="0"/>
              <w:adjustRightInd/>
              <w:snapToGrid w:val="0"/>
              <w:spacing w:line="360" w:lineRule="auto"/>
              <w:jc w:val="left"/>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val="0"/>
                <w:bCs w:val="0"/>
                <w:color w:val="auto"/>
                <w:spacing w:val="0"/>
                <w:sz w:val="24"/>
                <w:szCs w:val="24"/>
                <w:highlight w:val="none"/>
              </w:rPr>
              <w:t>根据投标人提供的项目实施方案，含面料及辅料的进货和库存计划、生产计划安排、货源保障措施等内容进行评价</w:t>
            </w:r>
            <w:r>
              <w:rPr>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b w:val="0"/>
                <w:bCs w:val="0"/>
                <w:color w:val="auto"/>
                <w:spacing w:val="0"/>
                <w:sz w:val="24"/>
                <w:szCs w:val="24"/>
                <w:highlight w:val="none"/>
                <w:lang w:val="en-US" w:eastAsia="zh-CN"/>
              </w:rPr>
              <w:t>0-</w:t>
            </w:r>
            <w:r>
              <w:rPr>
                <w:rFonts w:hint="eastAsia" w:ascii="宋体" w:hAnsi="宋体" w:cs="宋体"/>
                <w:b w:val="0"/>
                <w:bCs w:val="0"/>
                <w:color w:val="auto"/>
                <w:spacing w:val="0"/>
                <w:sz w:val="24"/>
                <w:szCs w:val="24"/>
                <w:highlight w:val="none"/>
                <w:lang w:val="en-US" w:eastAsia="zh-CN"/>
              </w:rPr>
              <w:t>10</w:t>
            </w:r>
            <w:r>
              <w:rPr>
                <w:rFonts w:hint="eastAsia" w:ascii="宋体" w:hAnsi="宋体" w:eastAsia="宋体" w:cs="宋体"/>
                <w:b w:val="0"/>
                <w:bCs w:val="0"/>
                <w:color w:val="auto"/>
                <w:spacing w:val="0"/>
                <w:sz w:val="24"/>
                <w:szCs w:val="24"/>
                <w:highlight w:val="none"/>
                <w:lang w:val="en-US" w:eastAsia="zh-CN"/>
              </w:rPr>
              <w:t>分</w:t>
            </w:r>
            <w:r>
              <w:rPr>
                <w:rFonts w:hint="eastAsia" w:ascii="宋体" w:hAnsi="宋体" w:eastAsia="宋体" w:cs="宋体"/>
                <w:b w:val="0"/>
                <w:bCs w:val="0"/>
                <w:color w:val="auto"/>
                <w:spacing w:val="0"/>
                <w:sz w:val="24"/>
                <w:szCs w:val="24"/>
                <w:highlight w:val="none"/>
                <w:lang w:eastAsia="zh-CN"/>
              </w:rPr>
              <w:t>）</w:t>
            </w:r>
          </w:p>
        </w:tc>
        <w:tc>
          <w:tcPr>
            <w:tcW w:w="939" w:type="dxa"/>
            <w:noWrap w:val="0"/>
            <w:vAlign w:val="center"/>
          </w:tcPr>
          <w:p w14:paraId="45CC413E">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default" w:ascii="宋体" w:hAnsi="宋体" w:eastAsia="宋体" w:cs="宋体"/>
                <w:b/>
                <w:bCs/>
                <w:color w:val="auto"/>
                <w:spacing w:val="0"/>
                <w:sz w:val="24"/>
                <w:szCs w:val="24"/>
                <w:highlight w:val="none"/>
                <w:lang w:val="en-US" w:eastAsia="zh-CN"/>
              </w:rPr>
            </w:pPr>
            <w:r>
              <w:rPr>
                <w:rFonts w:hint="eastAsia" w:ascii="宋体" w:hAnsi="宋体" w:cs="宋体"/>
                <w:b/>
                <w:bCs/>
                <w:color w:val="auto"/>
                <w:spacing w:val="0"/>
                <w:sz w:val="24"/>
                <w:szCs w:val="24"/>
                <w:highlight w:val="none"/>
                <w:lang w:val="en-US" w:eastAsia="zh-CN"/>
              </w:rPr>
              <w:t>10分</w:t>
            </w:r>
          </w:p>
        </w:tc>
      </w:tr>
      <w:tr w14:paraId="53AD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993" w:type="dxa"/>
            <w:vMerge w:val="continue"/>
            <w:noWrap w:val="0"/>
            <w:vAlign w:val="center"/>
          </w:tcPr>
          <w:p w14:paraId="50772633">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rPr>
            </w:pPr>
          </w:p>
        </w:tc>
        <w:tc>
          <w:tcPr>
            <w:tcW w:w="1237" w:type="dxa"/>
            <w:vMerge w:val="continue"/>
            <w:noWrap w:val="0"/>
            <w:vAlign w:val="center"/>
          </w:tcPr>
          <w:p w14:paraId="6D8CD753">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rPr>
            </w:pPr>
          </w:p>
        </w:tc>
        <w:tc>
          <w:tcPr>
            <w:tcW w:w="6009" w:type="dxa"/>
            <w:noWrap w:val="0"/>
            <w:vAlign w:val="center"/>
          </w:tcPr>
          <w:p w14:paraId="24AAC0B3">
            <w:pPr>
              <w:keepNext w:val="0"/>
              <w:keepLines w:val="0"/>
              <w:pageBreakBefore w:val="0"/>
              <w:widowControl w:val="0"/>
              <w:kinsoku/>
              <w:wordWrap w:val="0"/>
              <w:overflowPunct w:val="0"/>
              <w:topLinePunct/>
              <w:autoSpaceDE/>
              <w:autoSpaceDN/>
              <w:bidi w:val="0"/>
              <w:snapToGrid w:val="0"/>
              <w:spacing w:line="360" w:lineRule="auto"/>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Cs/>
                <w:color w:val="auto"/>
                <w:spacing w:val="0"/>
                <w:sz w:val="24"/>
                <w:szCs w:val="24"/>
                <w:highlight w:val="none"/>
              </w:rPr>
              <w:t>根据投标人的产品质量保障方案及出现质量问题的应急处理措施进行评分。</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0-</w:t>
            </w:r>
            <w:r>
              <w:rPr>
                <w:rFonts w:hint="eastAsia" w:ascii="宋体" w:hAnsi="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CN"/>
              </w:rPr>
              <w:t>分</w:t>
            </w:r>
            <w:r>
              <w:rPr>
                <w:rFonts w:hint="eastAsia" w:ascii="宋体" w:hAnsi="宋体" w:eastAsia="宋体" w:cs="宋体"/>
                <w:color w:val="auto"/>
                <w:spacing w:val="0"/>
                <w:sz w:val="24"/>
                <w:szCs w:val="24"/>
                <w:highlight w:val="none"/>
                <w:lang w:eastAsia="zh-CN"/>
              </w:rPr>
              <w:t>）</w:t>
            </w:r>
          </w:p>
        </w:tc>
        <w:tc>
          <w:tcPr>
            <w:tcW w:w="939" w:type="dxa"/>
            <w:noWrap w:val="0"/>
            <w:vAlign w:val="center"/>
          </w:tcPr>
          <w:p w14:paraId="4F737697">
            <w:pPr>
              <w:keepNext w:val="0"/>
              <w:keepLines w:val="0"/>
              <w:pageBreakBefore w:val="0"/>
              <w:widowControl w:val="0"/>
              <w:kinsoku/>
              <w:wordWrap w:val="0"/>
              <w:overflowPunct w:val="0"/>
              <w:topLinePunct/>
              <w:autoSpaceDE/>
              <w:autoSpaceDN/>
              <w:bidi w:val="0"/>
              <w:adjustRightInd/>
              <w:snapToGrid w:val="0"/>
              <w:spacing w:line="360" w:lineRule="auto"/>
              <w:jc w:val="both"/>
              <w:textAlignment w:val="auto"/>
              <w:rPr>
                <w:rFonts w:hint="default" w:ascii="宋体" w:hAnsi="宋体" w:eastAsia="宋体" w:cs="宋体"/>
                <w:b/>
                <w:bCs/>
                <w:color w:val="auto"/>
                <w:spacing w:val="0"/>
                <w:sz w:val="24"/>
                <w:szCs w:val="24"/>
                <w:highlight w:val="none"/>
                <w:lang w:val="en-US" w:eastAsia="zh-CN"/>
              </w:rPr>
            </w:pPr>
            <w:r>
              <w:rPr>
                <w:rFonts w:hint="eastAsia" w:ascii="宋体" w:hAnsi="宋体" w:cs="宋体"/>
                <w:b/>
                <w:bCs/>
                <w:color w:val="auto"/>
                <w:spacing w:val="0"/>
                <w:sz w:val="24"/>
                <w:szCs w:val="24"/>
                <w:highlight w:val="none"/>
                <w:lang w:val="en-US" w:eastAsia="zh-CN"/>
              </w:rPr>
              <w:t>10分</w:t>
            </w:r>
          </w:p>
        </w:tc>
      </w:tr>
      <w:tr w14:paraId="6A02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993" w:type="dxa"/>
            <w:vMerge w:val="continue"/>
            <w:noWrap w:val="0"/>
            <w:vAlign w:val="center"/>
          </w:tcPr>
          <w:p w14:paraId="2EA0B72A">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rPr>
            </w:pPr>
          </w:p>
        </w:tc>
        <w:tc>
          <w:tcPr>
            <w:tcW w:w="1237" w:type="dxa"/>
            <w:vMerge w:val="continue"/>
            <w:noWrap w:val="0"/>
            <w:vAlign w:val="center"/>
          </w:tcPr>
          <w:p w14:paraId="16AFF74E">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rPr>
            </w:pPr>
          </w:p>
        </w:tc>
        <w:tc>
          <w:tcPr>
            <w:tcW w:w="6009" w:type="dxa"/>
            <w:noWrap w:val="0"/>
            <w:vAlign w:val="center"/>
          </w:tcPr>
          <w:p w14:paraId="162892BC">
            <w:pPr>
              <w:keepNext w:val="0"/>
              <w:keepLines w:val="0"/>
              <w:pageBreakBefore w:val="0"/>
              <w:widowControl w:val="0"/>
              <w:kinsoku/>
              <w:wordWrap w:val="0"/>
              <w:overflowPunct w:val="0"/>
              <w:topLinePunct/>
              <w:autoSpaceDE/>
              <w:autoSpaceDN/>
              <w:bidi w:val="0"/>
              <w:snapToGrid w:val="0"/>
              <w:spacing w:line="360" w:lineRule="auto"/>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rPr>
              <w:t>根据投标人的</w:t>
            </w:r>
            <w:r>
              <w:rPr>
                <w:rFonts w:hint="eastAsia" w:ascii="宋体" w:hAnsi="宋体" w:eastAsia="宋体" w:cs="宋体"/>
                <w:color w:val="auto"/>
                <w:spacing w:val="0"/>
                <w:kern w:val="0"/>
                <w:sz w:val="24"/>
                <w:szCs w:val="24"/>
                <w:highlight w:val="none"/>
              </w:rPr>
              <w:t>项目组织方案</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lang w:val="en-US" w:eastAsia="zh-CN"/>
              </w:rPr>
              <w:t>包括</w:t>
            </w:r>
            <w:r>
              <w:rPr>
                <w:rFonts w:hint="eastAsia" w:ascii="宋体" w:hAnsi="宋体" w:eastAsia="宋体" w:cs="宋体"/>
                <w:color w:val="auto"/>
                <w:spacing w:val="0"/>
                <w:kern w:val="0"/>
                <w:sz w:val="24"/>
                <w:szCs w:val="24"/>
                <w:highlight w:val="none"/>
              </w:rPr>
              <w:t>采购计划、生产安排、加工工艺、组织验收、合理配送、供货计划、人员安排等方面</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Cs/>
                <w:color w:val="auto"/>
                <w:spacing w:val="0"/>
                <w:sz w:val="24"/>
                <w:szCs w:val="24"/>
                <w:highlight w:val="none"/>
              </w:rPr>
              <w:t>进行评分</w:t>
            </w:r>
            <w:r>
              <w:rPr>
                <w:rFonts w:hint="eastAsia" w:ascii="宋体" w:hAnsi="宋体" w:eastAsia="宋体" w:cs="宋体"/>
                <w:bCs/>
                <w:color w:val="auto"/>
                <w:spacing w:val="0"/>
                <w:sz w:val="24"/>
                <w:szCs w:val="24"/>
                <w:highlight w:val="none"/>
                <w:lang w:eastAsia="zh-CN"/>
              </w:rPr>
              <w:t>。</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0-10分</w:t>
            </w:r>
            <w:r>
              <w:rPr>
                <w:rFonts w:hint="eastAsia" w:ascii="宋体" w:hAnsi="宋体" w:eastAsia="宋体" w:cs="宋体"/>
                <w:color w:val="auto"/>
                <w:spacing w:val="0"/>
                <w:sz w:val="24"/>
                <w:szCs w:val="24"/>
                <w:highlight w:val="none"/>
                <w:lang w:eastAsia="zh-CN"/>
              </w:rPr>
              <w:t>）</w:t>
            </w:r>
          </w:p>
        </w:tc>
        <w:tc>
          <w:tcPr>
            <w:tcW w:w="939" w:type="dxa"/>
            <w:noWrap w:val="0"/>
            <w:vAlign w:val="center"/>
          </w:tcPr>
          <w:p w14:paraId="2178FEAE">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cs="宋体"/>
                <w:b w:val="0"/>
                <w:bCs w:val="0"/>
                <w:color w:val="auto"/>
                <w:spacing w:val="0"/>
                <w:sz w:val="24"/>
                <w:szCs w:val="24"/>
                <w:highlight w:val="none"/>
                <w:lang w:val="en-US" w:eastAsia="zh-CN"/>
              </w:rPr>
              <w:t>10分</w:t>
            </w:r>
          </w:p>
        </w:tc>
      </w:tr>
      <w:tr w14:paraId="766E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986" w:hRule="atLeast"/>
          <w:jc w:val="center"/>
        </w:trPr>
        <w:tc>
          <w:tcPr>
            <w:tcW w:w="993" w:type="dxa"/>
            <w:noWrap w:val="0"/>
            <w:vAlign w:val="center"/>
          </w:tcPr>
          <w:p w14:paraId="2550B4C2">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p>
        </w:tc>
        <w:tc>
          <w:tcPr>
            <w:tcW w:w="1237" w:type="dxa"/>
            <w:noWrap w:val="0"/>
            <w:vAlign w:val="center"/>
          </w:tcPr>
          <w:p w14:paraId="3E7ED4B6">
            <w:pPr>
              <w:keepNext w:val="0"/>
              <w:keepLines w:val="0"/>
              <w:pageBreakBefore w:val="0"/>
              <w:widowControl w:val="0"/>
              <w:kinsoku/>
              <w:wordWrap w:val="0"/>
              <w:overflowPunct w:val="0"/>
              <w:topLinePunct/>
              <w:autoSpaceDE/>
              <w:autoSpaceDN/>
              <w:bidi w:val="0"/>
              <w:adjustRightInd/>
              <w:snapToGrid w:val="0"/>
              <w:spacing w:line="360" w:lineRule="auto"/>
              <w:jc w:val="left"/>
              <w:textAlignment w:val="auto"/>
              <w:rPr>
                <w:rFonts w:hint="default"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4"/>
                <w:szCs w:val="24"/>
                <w:highlight w:val="none"/>
              </w:rPr>
              <w:t>企</w:t>
            </w:r>
            <w:r>
              <w:rPr>
                <w:rFonts w:hint="eastAsia" w:ascii="宋体" w:hAnsi="宋体" w:eastAsia="宋体" w:cs="宋体"/>
                <w:color w:val="auto"/>
                <w:spacing w:val="0"/>
                <w:sz w:val="24"/>
                <w:szCs w:val="24"/>
                <w:highlight w:val="none"/>
                <w:lang w:val="en-US" w:eastAsia="zh-CN"/>
              </w:rPr>
              <w:t>业</w:t>
            </w:r>
            <w:r>
              <w:rPr>
                <w:rFonts w:hint="eastAsia" w:ascii="宋体" w:hAnsi="宋体" w:eastAsia="宋体" w:cs="宋体"/>
                <w:color w:val="auto"/>
                <w:spacing w:val="0"/>
                <w:sz w:val="24"/>
                <w:szCs w:val="24"/>
                <w:highlight w:val="none"/>
              </w:rPr>
              <w:t>综合实力</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3分）</w:t>
            </w:r>
          </w:p>
        </w:tc>
        <w:tc>
          <w:tcPr>
            <w:tcW w:w="6009" w:type="dxa"/>
            <w:noWrap w:val="0"/>
            <w:vAlign w:val="center"/>
          </w:tcPr>
          <w:p w14:paraId="28C2B832">
            <w:pPr>
              <w:keepNext w:val="0"/>
              <w:keepLines w:val="0"/>
              <w:pageBreakBefore w:val="0"/>
              <w:widowControl w:val="0"/>
              <w:kinsoku/>
              <w:wordWrap w:val="0"/>
              <w:overflowPunct w:val="0"/>
              <w:topLinePunct/>
              <w:autoSpaceDE/>
              <w:autoSpaceDN/>
              <w:bidi w:val="0"/>
              <w:snapToGrid w:val="0"/>
              <w:spacing w:line="360" w:lineRule="auto"/>
              <w:textAlignment w:val="auto"/>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shd w:val="clear" w:color="auto" w:fill="auto"/>
                <w:lang w:eastAsia="zh-CN"/>
              </w:rPr>
              <w:t>投标人厂房：投标人具有自有厂房的得</w:t>
            </w:r>
            <w:r>
              <w:rPr>
                <w:rFonts w:hint="eastAsia" w:ascii="宋体" w:hAnsi="宋体" w:eastAsia="宋体" w:cs="宋体"/>
                <w:color w:val="auto"/>
                <w:spacing w:val="0"/>
                <w:kern w:val="0"/>
                <w:sz w:val="24"/>
                <w:szCs w:val="24"/>
                <w:highlight w:val="none"/>
                <w:shd w:val="clear" w:color="auto" w:fill="auto"/>
                <w:lang w:val="en-US" w:eastAsia="zh-CN"/>
              </w:rPr>
              <w:t>3分，具有租赁厂房的得2分。投标人自有厂房的，投标文件中需提供房产证（不动产证）复印件或出具乡镇（街道）城建部门认可的证明资料；租赁房产的必须提供房产证（不动产证）和租赁合同(协议书）复印件，房屋租赁协议签订时间必须在招标公告发布之日前。</w:t>
            </w:r>
          </w:p>
        </w:tc>
        <w:tc>
          <w:tcPr>
            <w:tcW w:w="939" w:type="dxa"/>
            <w:noWrap w:val="0"/>
            <w:vAlign w:val="center"/>
          </w:tcPr>
          <w:p w14:paraId="16670258">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cs="宋体"/>
                <w:b w:val="0"/>
                <w:bCs w:val="0"/>
                <w:color w:val="auto"/>
                <w:spacing w:val="0"/>
                <w:sz w:val="24"/>
                <w:szCs w:val="24"/>
                <w:highlight w:val="none"/>
                <w:lang w:val="en-US" w:eastAsia="zh-CN"/>
              </w:rPr>
            </w:pPr>
            <w:r>
              <w:rPr>
                <w:rFonts w:hint="eastAsia" w:ascii="宋体" w:hAnsi="宋体" w:cs="宋体"/>
                <w:b w:val="0"/>
                <w:bCs w:val="0"/>
                <w:color w:val="auto"/>
                <w:spacing w:val="0"/>
                <w:sz w:val="24"/>
                <w:szCs w:val="24"/>
                <w:highlight w:val="none"/>
                <w:lang w:val="en-US" w:eastAsia="zh-CN"/>
              </w:rPr>
              <w:t>3分</w:t>
            </w:r>
          </w:p>
          <w:p w14:paraId="745A57A3">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default" w:ascii="宋体" w:hAnsi="宋体" w:cs="宋体"/>
                <w:b w:val="0"/>
                <w:bCs w:val="0"/>
                <w:color w:val="auto"/>
                <w:spacing w:val="0"/>
                <w:sz w:val="24"/>
                <w:szCs w:val="24"/>
                <w:highlight w:val="none"/>
                <w:lang w:val="en-US" w:eastAsia="zh-CN"/>
              </w:rPr>
            </w:pPr>
          </w:p>
        </w:tc>
      </w:tr>
      <w:tr w14:paraId="0D1E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993" w:type="dxa"/>
            <w:noWrap w:val="0"/>
            <w:vAlign w:val="center"/>
          </w:tcPr>
          <w:p w14:paraId="7FF747BF">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w:t>
            </w:r>
          </w:p>
        </w:tc>
        <w:tc>
          <w:tcPr>
            <w:tcW w:w="1237" w:type="dxa"/>
            <w:noWrap w:val="0"/>
            <w:vAlign w:val="center"/>
          </w:tcPr>
          <w:p w14:paraId="1BE5590A">
            <w:pPr>
              <w:keepNext w:val="0"/>
              <w:keepLines w:val="0"/>
              <w:pageBreakBefore w:val="0"/>
              <w:widowControl w:val="0"/>
              <w:kinsoku/>
              <w:wordWrap w:val="0"/>
              <w:overflowPunct w:val="0"/>
              <w:topLinePunct/>
              <w:autoSpaceDE/>
              <w:autoSpaceDN/>
              <w:bidi w:val="0"/>
              <w:adjustRightInd/>
              <w:snapToGrid w:val="0"/>
              <w:spacing w:line="360" w:lineRule="auto"/>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类似</w:t>
            </w:r>
            <w:r>
              <w:rPr>
                <w:rFonts w:hint="eastAsia" w:ascii="宋体" w:hAnsi="宋体" w:eastAsia="宋体" w:cs="宋体"/>
                <w:color w:val="auto"/>
                <w:spacing w:val="0"/>
                <w:sz w:val="24"/>
                <w:szCs w:val="24"/>
                <w:highlight w:val="none"/>
              </w:rPr>
              <w:t>业绩</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3分</w:t>
            </w:r>
            <w:r>
              <w:rPr>
                <w:rFonts w:hint="eastAsia" w:ascii="宋体" w:hAnsi="宋体" w:eastAsia="宋体" w:cs="宋体"/>
                <w:color w:val="auto"/>
                <w:spacing w:val="0"/>
                <w:sz w:val="24"/>
                <w:szCs w:val="24"/>
                <w:highlight w:val="none"/>
                <w:lang w:eastAsia="zh-CN"/>
              </w:rPr>
              <w:t>）</w:t>
            </w:r>
          </w:p>
        </w:tc>
        <w:tc>
          <w:tcPr>
            <w:tcW w:w="6009" w:type="dxa"/>
            <w:noWrap w:val="0"/>
            <w:vAlign w:val="center"/>
          </w:tcPr>
          <w:p w14:paraId="04370B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GB"/>
              </w:rPr>
              <w:t>投标人</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年1月1日</w:t>
            </w:r>
            <w:r>
              <w:rPr>
                <w:rFonts w:hint="eastAsia" w:ascii="宋体" w:hAnsi="宋体" w:eastAsia="宋体" w:cs="宋体"/>
                <w:color w:val="auto"/>
                <w:sz w:val="24"/>
                <w:szCs w:val="24"/>
                <w:highlight w:val="none"/>
              </w:rPr>
              <w:t>以来签订的学生</w:t>
            </w:r>
            <w:r>
              <w:rPr>
                <w:rFonts w:hint="eastAsia" w:ascii="宋体" w:hAnsi="宋体" w:eastAsia="宋体" w:cs="宋体"/>
                <w:color w:val="auto"/>
                <w:sz w:val="24"/>
                <w:szCs w:val="24"/>
                <w:highlight w:val="none"/>
                <w:lang w:eastAsia="zh-CN"/>
              </w:rPr>
              <w:t>校服</w:t>
            </w:r>
            <w:r>
              <w:rPr>
                <w:rFonts w:hint="eastAsia" w:ascii="宋体" w:hAnsi="宋体" w:eastAsia="宋体" w:cs="宋体"/>
                <w:color w:val="auto"/>
                <w:sz w:val="24"/>
                <w:szCs w:val="24"/>
                <w:highlight w:val="none"/>
              </w:rPr>
              <w:t>业绩（以合同签订日期为准）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份合同</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BC85F1F">
            <w:pPr>
              <w:keepNext w:val="0"/>
              <w:keepLines w:val="0"/>
              <w:pageBreakBefore w:val="0"/>
              <w:widowControl w:val="0"/>
              <w:kinsoku/>
              <w:wordWrap w:val="0"/>
              <w:overflowPunct w:val="0"/>
              <w:topLinePunct/>
              <w:autoSpaceDE/>
              <w:autoSpaceDN/>
              <w:bidi w:val="0"/>
              <w:snapToGrid w:val="0"/>
              <w:spacing w:line="360" w:lineRule="auto"/>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b/>
                <w:bCs/>
                <w:color w:val="auto"/>
                <w:spacing w:val="0"/>
                <w:kern w:val="0"/>
                <w:sz w:val="24"/>
                <w:szCs w:val="24"/>
                <w:highlight w:val="none"/>
                <w:lang w:val="en-US" w:eastAsia="zh-CN"/>
              </w:rPr>
              <w:t>提供合同业绩原件的复印件并加盖公章。</w:t>
            </w:r>
          </w:p>
        </w:tc>
        <w:tc>
          <w:tcPr>
            <w:tcW w:w="939" w:type="dxa"/>
            <w:noWrap w:val="0"/>
            <w:vAlign w:val="center"/>
          </w:tcPr>
          <w:p w14:paraId="510B756C">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cs="宋体"/>
                <w:b w:val="0"/>
                <w:bCs w:val="0"/>
                <w:color w:val="auto"/>
                <w:spacing w:val="0"/>
                <w:sz w:val="24"/>
                <w:szCs w:val="24"/>
                <w:highlight w:val="none"/>
                <w:lang w:val="en-US" w:eastAsia="zh-CN"/>
              </w:rPr>
              <w:t>3分</w:t>
            </w:r>
          </w:p>
        </w:tc>
      </w:tr>
      <w:tr w14:paraId="7E7A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306" w:hRule="atLeast"/>
          <w:jc w:val="center"/>
        </w:trPr>
        <w:tc>
          <w:tcPr>
            <w:tcW w:w="993" w:type="dxa"/>
            <w:vMerge w:val="restart"/>
            <w:noWrap w:val="0"/>
            <w:vAlign w:val="center"/>
          </w:tcPr>
          <w:p w14:paraId="0A01466F">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w:t>
            </w:r>
          </w:p>
        </w:tc>
        <w:tc>
          <w:tcPr>
            <w:tcW w:w="1237" w:type="dxa"/>
            <w:vMerge w:val="restart"/>
            <w:noWrap w:val="0"/>
            <w:vAlign w:val="center"/>
          </w:tcPr>
          <w:p w14:paraId="5C93DB20">
            <w:pPr>
              <w:keepNext w:val="0"/>
              <w:keepLines w:val="0"/>
              <w:pageBreakBefore w:val="0"/>
              <w:widowControl w:val="0"/>
              <w:kinsoku/>
              <w:wordWrap w:val="0"/>
              <w:overflowPunct w:val="0"/>
              <w:topLinePunct/>
              <w:autoSpaceDE/>
              <w:autoSpaceDN/>
              <w:bidi w:val="0"/>
              <w:adjustRightInd/>
              <w:snapToGrid w:val="0"/>
              <w:spacing w:line="360" w:lineRule="auto"/>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val="en-US" w:eastAsia="en-US" w:bidi="ar-SA"/>
              </w:rPr>
              <w:t>售后服务</w:t>
            </w:r>
            <w:r>
              <w:rPr>
                <w:rFonts w:hint="eastAsia" w:ascii="宋体" w:hAnsi="宋体" w:eastAsia="宋体" w:cs="宋体"/>
                <w:color w:val="auto"/>
                <w:spacing w:val="0"/>
                <w:kern w:val="0"/>
                <w:sz w:val="24"/>
                <w:szCs w:val="24"/>
                <w:highlight w:val="none"/>
                <w:lang w:val="en-US" w:eastAsia="zh-CN" w:bidi="ar-SA"/>
              </w:rPr>
              <w:t>（</w:t>
            </w:r>
            <w:r>
              <w:rPr>
                <w:rFonts w:hint="eastAsia" w:ascii="宋体" w:hAnsi="宋体" w:cs="宋体"/>
                <w:color w:val="auto"/>
                <w:spacing w:val="0"/>
                <w:kern w:val="0"/>
                <w:sz w:val="24"/>
                <w:szCs w:val="24"/>
                <w:highlight w:val="none"/>
                <w:lang w:val="en-US" w:eastAsia="zh-CN" w:bidi="ar-SA"/>
              </w:rPr>
              <w:t>16</w:t>
            </w:r>
            <w:r>
              <w:rPr>
                <w:rFonts w:hint="eastAsia" w:ascii="宋体" w:hAnsi="宋体" w:eastAsia="宋体" w:cs="宋体"/>
                <w:color w:val="auto"/>
                <w:spacing w:val="0"/>
                <w:kern w:val="0"/>
                <w:sz w:val="24"/>
                <w:szCs w:val="24"/>
                <w:highlight w:val="none"/>
                <w:lang w:val="en-US" w:eastAsia="zh-CN" w:bidi="ar-SA"/>
              </w:rPr>
              <w:t>分）</w:t>
            </w:r>
          </w:p>
        </w:tc>
        <w:tc>
          <w:tcPr>
            <w:tcW w:w="6009" w:type="dxa"/>
            <w:noWrap w:val="0"/>
            <w:vAlign w:val="center"/>
          </w:tcPr>
          <w:p w14:paraId="2BB5D399">
            <w:pPr>
              <w:keepNext w:val="0"/>
              <w:keepLines w:val="0"/>
              <w:pageBreakBefore w:val="0"/>
              <w:widowControl w:val="0"/>
              <w:numPr>
                <w:ilvl w:val="0"/>
                <w:numId w:val="0"/>
              </w:numPr>
              <w:kinsoku/>
              <w:wordWrap w:val="0"/>
              <w:overflowPunct w:val="0"/>
              <w:topLinePunct/>
              <w:autoSpaceDE/>
              <w:autoSpaceDN/>
              <w:bidi w:val="0"/>
              <w:adjustRightInd/>
              <w:snapToGrid w:val="0"/>
              <w:spacing w:line="360" w:lineRule="auto"/>
              <w:ind w:left="0" w:leftChars="0" w:firstLine="0" w:firstLineChars="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b w:val="0"/>
                <w:bCs w:val="0"/>
                <w:color w:val="auto"/>
                <w:spacing w:val="0"/>
                <w:sz w:val="24"/>
                <w:szCs w:val="24"/>
                <w:highlight w:val="none"/>
              </w:rPr>
              <w:t>根据投标人提供针对本项目的售后服务方案，包括送货、退换货、修补服务方案、包装及运输方案进行综合比较评分</w:t>
            </w:r>
            <w:r>
              <w:rPr>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b w:val="0"/>
                <w:bCs w:val="0"/>
                <w:color w:val="auto"/>
                <w:spacing w:val="0"/>
                <w:sz w:val="24"/>
                <w:szCs w:val="24"/>
                <w:highlight w:val="none"/>
                <w:lang w:val="en-US" w:eastAsia="zh-CN"/>
              </w:rPr>
              <w:t>0-</w:t>
            </w:r>
            <w:r>
              <w:rPr>
                <w:rFonts w:hint="eastAsia" w:ascii="宋体" w:hAnsi="宋体" w:cs="宋体"/>
                <w:b w:val="0"/>
                <w:bCs w:val="0"/>
                <w:color w:val="auto"/>
                <w:spacing w:val="0"/>
                <w:sz w:val="24"/>
                <w:szCs w:val="24"/>
                <w:highlight w:val="none"/>
                <w:lang w:val="en-US" w:eastAsia="zh-CN"/>
              </w:rPr>
              <w:t>11</w:t>
            </w:r>
            <w:r>
              <w:rPr>
                <w:rFonts w:hint="eastAsia" w:ascii="宋体" w:hAnsi="宋体" w:eastAsia="宋体" w:cs="宋体"/>
                <w:b w:val="0"/>
                <w:bCs w:val="0"/>
                <w:color w:val="auto"/>
                <w:spacing w:val="0"/>
                <w:sz w:val="24"/>
                <w:szCs w:val="24"/>
                <w:highlight w:val="none"/>
                <w:lang w:val="en-US" w:eastAsia="zh-CN"/>
              </w:rPr>
              <w:t>分</w:t>
            </w:r>
            <w:r>
              <w:rPr>
                <w:rFonts w:hint="eastAsia" w:ascii="宋体" w:hAnsi="宋体" w:eastAsia="宋体" w:cs="宋体"/>
                <w:b w:val="0"/>
                <w:bCs w:val="0"/>
                <w:color w:val="auto"/>
                <w:spacing w:val="0"/>
                <w:sz w:val="24"/>
                <w:szCs w:val="24"/>
                <w:highlight w:val="none"/>
                <w:lang w:eastAsia="zh-CN"/>
              </w:rPr>
              <w:t>）</w:t>
            </w:r>
          </w:p>
        </w:tc>
        <w:tc>
          <w:tcPr>
            <w:tcW w:w="939" w:type="dxa"/>
            <w:noWrap w:val="0"/>
            <w:vAlign w:val="center"/>
          </w:tcPr>
          <w:p w14:paraId="45D41E45">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default" w:ascii="宋体" w:hAnsi="宋体" w:eastAsia="宋体" w:cs="宋体"/>
                <w:b w:val="0"/>
                <w:bCs w:val="0"/>
                <w:color w:val="auto"/>
                <w:spacing w:val="0"/>
                <w:kern w:val="2"/>
                <w:sz w:val="24"/>
                <w:szCs w:val="24"/>
                <w:highlight w:val="none"/>
                <w:lang w:val="en-US" w:eastAsia="zh-CN" w:bidi="ar-SA"/>
              </w:rPr>
            </w:pPr>
            <w:r>
              <w:rPr>
                <w:rFonts w:hint="eastAsia" w:ascii="宋体" w:hAnsi="宋体" w:cs="宋体"/>
                <w:b w:val="0"/>
                <w:bCs w:val="0"/>
                <w:color w:val="auto"/>
                <w:spacing w:val="0"/>
                <w:kern w:val="2"/>
                <w:sz w:val="24"/>
                <w:szCs w:val="24"/>
                <w:highlight w:val="none"/>
                <w:lang w:val="en-US" w:eastAsia="zh-CN" w:bidi="ar-SA"/>
              </w:rPr>
              <w:t>11</w:t>
            </w:r>
            <w:r>
              <w:rPr>
                <w:rFonts w:hint="eastAsia" w:ascii="宋体" w:hAnsi="宋体" w:cs="宋体"/>
                <w:b w:val="0"/>
                <w:bCs w:val="0"/>
                <w:color w:val="auto"/>
                <w:spacing w:val="0"/>
                <w:sz w:val="24"/>
                <w:szCs w:val="24"/>
                <w:highlight w:val="none"/>
                <w:lang w:val="en-US" w:eastAsia="zh-CN"/>
              </w:rPr>
              <w:t>分</w:t>
            </w:r>
          </w:p>
        </w:tc>
      </w:tr>
      <w:tr w14:paraId="7EEC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993" w:type="dxa"/>
            <w:vMerge w:val="continue"/>
            <w:noWrap w:val="0"/>
            <w:vAlign w:val="center"/>
          </w:tcPr>
          <w:p w14:paraId="7655E9EE">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eastAsia" w:ascii="宋体" w:hAnsi="宋体" w:eastAsia="宋体" w:cs="宋体"/>
                <w:color w:val="auto"/>
                <w:spacing w:val="0"/>
                <w:sz w:val="24"/>
                <w:szCs w:val="24"/>
                <w:highlight w:val="none"/>
                <w:lang w:val="en-US" w:eastAsia="zh-CN"/>
              </w:rPr>
            </w:pPr>
          </w:p>
        </w:tc>
        <w:tc>
          <w:tcPr>
            <w:tcW w:w="1237" w:type="dxa"/>
            <w:vMerge w:val="continue"/>
            <w:noWrap w:val="0"/>
            <w:vAlign w:val="center"/>
          </w:tcPr>
          <w:p w14:paraId="79DBB6E8">
            <w:pPr>
              <w:keepNext w:val="0"/>
              <w:keepLines w:val="0"/>
              <w:pageBreakBefore w:val="0"/>
              <w:widowControl w:val="0"/>
              <w:kinsoku/>
              <w:wordWrap w:val="0"/>
              <w:overflowPunct w:val="0"/>
              <w:topLinePunct/>
              <w:autoSpaceDE/>
              <w:autoSpaceDN/>
              <w:bidi w:val="0"/>
              <w:adjustRightInd/>
              <w:snapToGrid w:val="0"/>
              <w:spacing w:line="360" w:lineRule="auto"/>
              <w:jc w:val="left"/>
              <w:textAlignment w:val="auto"/>
              <w:rPr>
                <w:rFonts w:hint="eastAsia" w:ascii="宋体" w:hAnsi="宋体" w:eastAsia="宋体" w:cs="宋体"/>
                <w:color w:val="auto"/>
                <w:spacing w:val="0"/>
                <w:kern w:val="0"/>
                <w:sz w:val="24"/>
                <w:szCs w:val="24"/>
                <w:highlight w:val="none"/>
                <w:lang w:val="en-US" w:eastAsia="en-US" w:bidi="ar-SA"/>
              </w:rPr>
            </w:pPr>
          </w:p>
        </w:tc>
        <w:tc>
          <w:tcPr>
            <w:tcW w:w="6009" w:type="dxa"/>
            <w:noWrap w:val="0"/>
            <w:vAlign w:val="center"/>
          </w:tcPr>
          <w:p w14:paraId="13408B31">
            <w:pPr>
              <w:keepNext w:val="0"/>
              <w:keepLines w:val="0"/>
              <w:pageBreakBefore w:val="0"/>
              <w:widowControl w:val="0"/>
              <w:numPr>
                <w:ilvl w:val="0"/>
                <w:numId w:val="0"/>
              </w:numPr>
              <w:kinsoku/>
              <w:wordWrap w:val="0"/>
              <w:overflowPunct w:val="0"/>
              <w:topLinePunct/>
              <w:autoSpaceDE/>
              <w:autoSpaceDN/>
              <w:bidi w:val="0"/>
              <w:adjustRightInd/>
              <w:snapToGrid w:val="0"/>
              <w:spacing w:line="360" w:lineRule="auto"/>
              <w:ind w:left="0" w:leftChars="0" w:firstLine="0" w:firstLineChars="0"/>
              <w:textAlignment w:val="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具备电子商务平台，并能够提供网上下单、支付、物流配送等服务，得</w:t>
            </w:r>
            <w:r>
              <w:rPr>
                <w:rFonts w:hint="eastAsia" w:ascii="宋体" w:hAnsi="宋体" w:cs="宋体"/>
                <w:b w:val="0"/>
                <w:bCs w:val="0"/>
                <w:color w:val="auto"/>
                <w:spacing w:val="0"/>
                <w:sz w:val="24"/>
                <w:szCs w:val="24"/>
                <w:highlight w:val="none"/>
                <w:lang w:val="en-US" w:eastAsia="zh-CN"/>
              </w:rPr>
              <w:t>5</w:t>
            </w:r>
            <w:r>
              <w:rPr>
                <w:rFonts w:hint="eastAsia" w:ascii="宋体" w:hAnsi="宋体" w:eastAsia="宋体" w:cs="宋体"/>
                <w:b w:val="0"/>
                <w:bCs w:val="0"/>
                <w:color w:val="auto"/>
                <w:spacing w:val="0"/>
                <w:sz w:val="24"/>
                <w:szCs w:val="24"/>
                <w:highlight w:val="none"/>
              </w:rPr>
              <w:t>分，未提供或提供不全的不得分（提供相关</w:t>
            </w:r>
            <w:r>
              <w:rPr>
                <w:rFonts w:hint="eastAsia" w:ascii="宋体" w:hAnsi="宋体" w:eastAsia="宋体" w:cs="宋体"/>
                <w:b w:val="0"/>
                <w:bCs w:val="0"/>
                <w:color w:val="auto"/>
                <w:spacing w:val="0"/>
                <w:sz w:val="24"/>
                <w:szCs w:val="24"/>
                <w:highlight w:val="none"/>
                <w:lang w:eastAsia="zh-CN"/>
              </w:rPr>
              <w:t>证明</w:t>
            </w:r>
            <w:r>
              <w:rPr>
                <w:rFonts w:hint="eastAsia" w:ascii="宋体" w:hAnsi="宋体" w:eastAsia="宋体" w:cs="宋体"/>
                <w:b w:val="0"/>
                <w:bCs w:val="0"/>
                <w:color w:val="auto"/>
                <w:spacing w:val="0"/>
                <w:sz w:val="24"/>
                <w:szCs w:val="24"/>
                <w:highlight w:val="none"/>
              </w:rPr>
              <w:t>材料加盖投标人公章）</w:t>
            </w:r>
          </w:p>
        </w:tc>
        <w:tc>
          <w:tcPr>
            <w:tcW w:w="939" w:type="dxa"/>
            <w:noWrap w:val="0"/>
            <w:vAlign w:val="center"/>
          </w:tcPr>
          <w:p w14:paraId="23C6FDBC">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cs="宋体"/>
                <w:b w:val="0"/>
                <w:bCs w:val="0"/>
                <w:color w:val="auto"/>
                <w:spacing w:val="0"/>
                <w:sz w:val="24"/>
                <w:szCs w:val="24"/>
                <w:highlight w:val="none"/>
                <w:lang w:val="en-US" w:eastAsia="zh-CN"/>
              </w:rPr>
              <w:t>5分</w:t>
            </w:r>
          </w:p>
        </w:tc>
      </w:tr>
      <w:tr w14:paraId="1483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863" w:hRule="atLeast"/>
          <w:jc w:val="center"/>
        </w:trPr>
        <w:tc>
          <w:tcPr>
            <w:tcW w:w="993" w:type="dxa"/>
            <w:vMerge w:val="restart"/>
            <w:noWrap w:val="0"/>
            <w:vAlign w:val="center"/>
          </w:tcPr>
          <w:p w14:paraId="041331DB">
            <w:pPr>
              <w:keepNext w:val="0"/>
              <w:keepLines w:val="0"/>
              <w:pageBreakBefore w:val="0"/>
              <w:widowControl w:val="0"/>
              <w:kinsoku/>
              <w:wordWrap w:val="0"/>
              <w:overflowPunct w:val="0"/>
              <w:topLinePunct/>
              <w:autoSpaceDE/>
              <w:autoSpaceDN/>
              <w:bidi w:val="0"/>
              <w:snapToGrid w:val="0"/>
              <w:spacing w:line="360" w:lineRule="auto"/>
              <w:ind w:firstLine="240" w:firstLineChars="1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cs="宋体"/>
                <w:color w:val="auto"/>
                <w:spacing w:val="0"/>
                <w:sz w:val="24"/>
                <w:szCs w:val="24"/>
                <w:highlight w:val="none"/>
                <w:lang w:val="en-US" w:eastAsia="zh-CN"/>
              </w:rPr>
              <w:t>6</w:t>
            </w:r>
          </w:p>
        </w:tc>
        <w:tc>
          <w:tcPr>
            <w:tcW w:w="1237" w:type="dxa"/>
            <w:vMerge w:val="restart"/>
            <w:noWrap w:val="0"/>
            <w:vAlign w:val="center"/>
          </w:tcPr>
          <w:p w14:paraId="1FFB0A7C">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投标样品</w:t>
            </w:r>
            <w:r>
              <w:rPr>
                <w:rFonts w:hint="eastAsia" w:ascii="宋体" w:hAnsi="宋体" w:eastAsia="宋体" w:cs="宋体"/>
                <w:color w:val="auto"/>
                <w:spacing w:val="0"/>
                <w:sz w:val="24"/>
                <w:szCs w:val="24"/>
                <w:highlight w:val="none"/>
                <w:lang w:val="en-US" w:eastAsia="zh-CN"/>
              </w:rPr>
              <w:t>15分</w:t>
            </w:r>
            <w:r>
              <w:rPr>
                <w:rFonts w:hint="eastAsia" w:ascii="宋体" w:hAnsi="宋体" w:eastAsia="宋体" w:cs="宋体"/>
                <w:color w:val="auto"/>
                <w:spacing w:val="0"/>
                <w:sz w:val="24"/>
                <w:szCs w:val="24"/>
                <w:highlight w:val="none"/>
                <w:lang w:eastAsia="zh-CN"/>
              </w:rPr>
              <w:t>）</w:t>
            </w:r>
          </w:p>
        </w:tc>
        <w:tc>
          <w:tcPr>
            <w:tcW w:w="6009" w:type="dxa"/>
            <w:noWrap w:val="0"/>
            <w:vAlign w:val="center"/>
          </w:tcPr>
          <w:p w14:paraId="6FE90302">
            <w:pPr>
              <w:keepNext w:val="0"/>
              <w:keepLines w:val="0"/>
              <w:pageBreakBefore w:val="0"/>
              <w:widowControl w:val="0"/>
              <w:kinsoku/>
              <w:wordWrap w:val="0"/>
              <w:overflowPunct w:val="0"/>
              <w:topLinePunct/>
              <w:autoSpaceDE/>
              <w:autoSpaceDN/>
              <w:bidi w:val="0"/>
              <w:adjustRightInd/>
              <w:snapToGrid w:val="0"/>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bCs w:val="0"/>
                <w:color w:val="auto"/>
                <w:spacing w:val="0"/>
                <w:sz w:val="24"/>
                <w:szCs w:val="24"/>
                <w:highlight w:val="none"/>
              </w:rPr>
              <w:t>满足招标文件服装布料要求；产品样品整洁美观，新颖，线路顺直，左右对称，质地密实，挺括，平滑无疵点、不拔缝、不打皱、手感好；耐洗耐磨，抗皱不拔，不掉色起毛球针织面料。</w:t>
            </w:r>
            <w:r>
              <w:rPr>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b w:val="0"/>
                <w:bCs w:val="0"/>
                <w:color w:val="auto"/>
                <w:spacing w:val="0"/>
                <w:sz w:val="24"/>
                <w:szCs w:val="24"/>
                <w:highlight w:val="none"/>
                <w:lang w:val="en-US" w:eastAsia="zh-CN"/>
              </w:rPr>
              <w:t>0-5分</w:t>
            </w:r>
            <w:r>
              <w:rPr>
                <w:rFonts w:hint="eastAsia" w:ascii="宋体" w:hAnsi="宋体" w:eastAsia="宋体" w:cs="宋体"/>
                <w:b w:val="0"/>
                <w:bCs w:val="0"/>
                <w:color w:val="auto"/>
                <w:spacing w:val="0"/>
                <w:sz w:val="24"/>
                <w:szCs w:val="24"/>
                <w:highlight w:val="none"/>
                <w:lang w:eastAsia="zh-CN"/>
              </w:rPr>
              <w:t>）</w:t>
            </w:r>
          </w:p>
        </w:tc>
        <w:tc>
          <w:tcPr>
            <w:tcW w:w="939" w:type="dxa"/>
            <w:noWrap w:val="0"/>
            <w:vAlign w:val="center"/>
          </w:tcPr>
          <w:p w14:paraId="2E89C8E2">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cs="宋体"/>
                <w:b w:val="0"/>
                <w:bCs w:val="0"/>
                <w:color w:val="auto"/>
                <w:spacing w:val="0"/>
                <w:sz w:val="24"/>
                <w:szCs w:val="24"/>
                <w:highlight w:val="none"/>
                <w:lang w:val="en-US" w:eastAsia="zh-CN"/>
              </w:rPr>
              <w:t>5分</w:t>
            </w:r>
          </w:p>
        </w:tc>
      </w:tr>
      <w:tr w14:paraId="1CAE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903" w:hRule="atLeast"/>
          <w:jc w:val="center"/>
        </w:trPr>
        <w:tc>
          <w:tcPr>
            <w:tcW w:w="993" w:type="dxa"/>
            <w:vMerge w:val="continue"/>
            <w:noWrap w:val="0"/>
            <w:vAlign w:val="center"/>
          </w:tcPr>
          <w:p w14:paraId="5522FE18">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eastAsia" w:ascii="宋体" w:hAnsi="宋体" w:eastAsia="宋体" w:cs="宋体"/>
                <w:color w:val="auto"/>
                <w:spacing w:val="0"/>
                <w:sz w:val="24"/>
                <w:szCs w:val="24"/>
                <w:highlight w:val="none"/>
              </w:rPr>
            </w:pPr>
          </w:p>
        </w:tc>
        <w:tc>
          <w:tcPr>
            <w:tcW w:w="1237" w:type="dxa"/>
            <w:vMerge w:val="continue"/>
            <w:noWrap w:val="0"/>
            <w:vAlign w:val="center"/>
          </w:tcPr>
          <w:p w14:paraId="3F97A30C">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color w:val="auto"/>
                <w:spacing w:val="0"/>
                <w:sz w:val="24"/>
                <w:szCs w:val="24"/>
                <w:highlight w:val="none"/>
              </w:rPr>
            </w:pPr>
          </w:p>
        </w:tc>
        <w:tc>
          <w:tcPr>
            <w:tcW w:w="6009" w:type="dxa"/>
            <w:noWrap w:val="0"/>
            <w:vAlign w:val="center"/>
          </w:tcPr>
          <w:p w14:paraId="3F3E330E">
            <w:pPr>
              <w:keepNext w:val="0"/>
              <w:keepLines w:val="0"/>
              <w:pageBreakBefore w:val="0"/>
              <w:widowControl w:val="0"/>
              <w:kinsoku/>
              <w:wordWrap w:val="0"/>
              <w:overflowPunct w:val="0"/>
              <w:topLinePunct/>
              <w:autoSpaceDE/>
              <w:autoSpaceDN/>
              <w:bidi w:val="0"/>
              <w:adjustRightInd/>
              <w:snapToGrid w:val="0"/>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bCs w:val="0"/>
                <w:color w:val="auto"/>
                <w:spacing w:val="0"/>
                <w:sz w:val="24"/>
                <w:szCs w:val="24"/>
                <w:highlight w:val="none"/>
              </w:rPr>
              <w:t>服装里布手感、柔软、贴切，弹性及透气性好，抗皱性强，衣领、前襟粘度好、剥离强度高；熨烫后能有效地固定布面，使缝合处平整、线面光滑，保型性好，能保持干爽、舒适的感觉。</w:t>
            </w:r>
            <w:r>
              <w:rPr>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b w:val="0"/>
                <w:bCs w:val="0"/>
                <w:color w:val="auto"/>
                <w:spacing w:val="0"/>
                <w:sz w:val="24"/>
                <w:szCs w:val="24"/>
                <w:highlight w:val="none"/>
                <w:lang w:val="en-US" w:eastAsia="zh-CN"/>
              </w:rPr>
              <w:t>0-5分</w:t>
            </w:r>
            <w:r>
              <w:rPr>
                <w:rFonts w:hint="eastAsia" w:ascii="宋体" w:hAnsi="宋体" w:eastAsia="宋体" w:cs="宋体"/>
                <w:b w:val="0"/>
                <w:bCs w:val="0"/>
                <w:color w:val="auto"/>
                <w:spacing w:val="0"/>
                <w:sz w:val="24"/>
                <w:szCs w:val="24"/>
                <w:highlight w:val="none"/>
                <w:lang w:eastAsia="zh-CN"/>
              </w:rPr>
              <w:t>）</w:t>
            </w:r>
          </w:p>
        </w:tc>
        <w:tc>
          <w:tcPr>
            <w:tcW w:w="939" w:type="dxa"/>
            <w:noWrap w:val="0"/>
            <w:vAlign w:val="center"/>
          </w:tcPr>
          <w:p w14:paraId="4F38AF97">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cs="宋体"/>
                <w:b w:val="0"/>
                <w:bCs w:val="0"/>
                <w:color w:val="auto"/>
                <w:spacing w:val="0"/>
                <w:sz w:val="24"/>
                <w:szCs w:val="24"/>
                <w:highlight w:val="none"/>
                <w:lang w:val="en-US" w:eastAsia="zh-CN"/>
              </w:rPr>
              <w:t>5分</w:t>
            </w:r>
          </w:p>
        </w:tc>
      </w:tr>
      <w:tr w14:paraId="5860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0" w:hRule="atLeast"/>
          <w:jc w:val="center"/>
        </w:trPr>
        <w:tc>
          <w:tcPr>
            <w:tcW w:w="993" w:type="dxa"/>
            <w:vMerge w:val="continue"/>
            <w:noWrap w:val="0"/>
            <w:vAlign w:val="center"/>
          </w:tcPr>
          <w:p w14:paraId="5507F956">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eastAsia" w:ascii="宋体" w:hAnsi="宋体" w:eastAsia="宋体" w:cs="宋体"/>
                <w:color w:val="auto"/>
                <w:spacing w:val="0"/>
                <w:sz w:val="24"/>
                <w:szCs w:val="24"/>
                <w:highlight w:val="none"/>
              </w:rPr>
            </w:pPr>
          </w:p>
        </w:tc>
        <w:tc>
          <w:tcPr>
            <w:tcW w:w="1237" w:type="dxa"/>
            <w:vMerge w:val="continue"/>
            <w:noWrap w:val="0"/>
            <w:vAlign w:val="center"/>
          </w:tcPr>
          <w:p w14:paraId="48545761">
            <w:pPr>
              <w:keepNext w:val="0"/>
              <w:keepLines w:val="0"/>
              <w:pageBreakBefore w:val="0"/>
              <w:widowControl w:val="0"/>
              <w:kinsoku/>
              <w:wordWrap w:val="0"/>
              <w:overflowPunct w:val="0"/>
              <w:topLinePunct/>
              <w:autoSpaceDE/>
              <w:autoSpaceDN/>
              <w:bidi w:val="0"/>
              <w:adjustRightInd/>
              <w:snapToGrid w:val="0"/>
              <w:spacing w:line="360" w:lineRule="auto"/>
              <w:jc w:val="center"/>
              <w:textAlignment w:val="auto"/>
              <w:rPr>
                <w:rFonts w:hint="eastAsia" w:ascii="宋体" w:hAnsi="宋体" w:eastAsia="宋体" w:cs="宋体"/>
                <w:color w:val="auto"/>
                <w:spacing w:val="0"/>
                <w:sz w:val="24"/>
                <w:szCs w:val="24"/>
                <w:highlight w:val="none"/>
              </w:rPr>
            </w:pPr>
          </w:p>
        </w:tc>
        <w:tc>
          <w:tcPr>
            <w:tcW w:w="6009" w:type="dxa"/>
            <w:noWrap w:val="0"/>
            <w:vAlign w:val="center"/>
          </w:tcPr>
          <w:p w14:paraId="4D87ED9D">
            <w:pPr>
              <w:keepNext w:val="0"/>
              <w:keepLines w:val="0"/>
              <w:pageBreakBefore w:val="0"/>
              <w:widowControl w:val="0"/>
              <w:kinsoku/>
              <w:wordWrap w:val="0"/>
              <w:overflowPunct w:val="0"/>
              <w:topLinePunct/>
              <w:autoSpaceDE/>
              <w:autoSpaceDN/>
              <w:bidi w:val="0"/>
              <w:adjustRightInd/>
              <w:snapToGrid w:val="0"/>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根据投标人制作的样衣的面辅料综合评定，符合招标方提供服装技术参数。</w:t>
            </w:r>
            <w:r>
              <w:rPr>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b w:val="0"/>
                <w:bCs w:val="0"/>
                <w:color w:val="auto"/>
                <w:spacing w:val="0"/>
                <w:sz w:val="24"/>
                <w:szCs w:val="24"/>
                <w:highlight w:val="none"/>
                <w:lang w:val="en-US" w:eastAsia="zh-CN"/>
              </w:rPr>
              <w:t>0-5分</w:t>
            </w:r>
            <w:r>
              <w:rPr>
                <w:rFonts w:hint="eastAsia" w:ascii="宋体" w:hAnsi="宋体" w:eastAsia="宋体" w:cs="宋体"/>
                <w:b w:val="0"/>
                <w:bCs w:val="0"/>
                <w:color w:val="auto"/>
                <w:spacing w:val="0"/>
                <w:sz w:val="24"/>
                <w:szCs w:val="24"/>
                <w:highlight w:val="none"/>
                <w:lang w:eastAsia="zh-CN"/>
              </w:rPr>
              <w:t>）</w:t>
            </w:r>
          </w:p>
        </w:tc>
        <w:tc>
          <w:tcPr>
            <w:tcW w:w="939" w:type="dxa"/>
            <w:noWrap w:val="0"/>
            <w:vAlign w:val="center"/>
          </w:tcPr>
          <w:p w14:paraId="75405C2A">
            <w:pPr>
              <w:keepNext w:val="0"/>
              <w:keepLines w:val="0"/>
              <w:pageBreakBefore w:val="0"/>
              <w:widowControl w:val="0"/>
              <w:kinsoku/>
              <w:wordWrap w:val="0"/>
              <w:overflowPunct w:val="0"/>
              <w:topLinePunct/>
              <w:autoSpaceDE/>
              <w:autoSpaceDN/>
              <w:bidi w:val="0"/>
              <w:snapToGrid w:val="0"/>
              <w:spacing w:line="360" w:lineRule="auto"/>
              <w:jc w:val="center"/>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cs="宋体"/>
                <w:b w:val="0"/>
                <w:bCs w:val="0"/>
                <w:color w:val="auto"/>
                <w:spacing w:val="0"/>
                <w:sz w:val="24"/>
                <w:szCs w:val="24"/>
                <w:highlight w:val="none"/>
                <w:lang w:val="en-US" w:eastAsia="zh-CN"/>
              </w:rPr>
              <w:t>5分</w:t>
            </w:r>
          </w:p>
        </w:tc>
      </w:tr>
    </w:tbl>
    <w:p w14:paraId="3C52677F">
      <w:pPr>
        <w:keepNext w:val="0"/>
        <w:keepLines w:val="0"/>
        <w:pageBreakBefore w:val="0"/>
        <w:kinsoku/>
        <w:wordWrap/>
        <w:overflowPunct/>
        <w:topLinePunct w:val="0"/>
        <w:autoSpaceDE/>
        <w:autoSpaceDN/>
        <w:bidi w:val="0"/>
        <w:adjustRightInd/>
        <w:spacing w:line="360" w:lineRule="auto"/>
      </w:pPr>
      <w:r>
        <w:rPr>
          <w:rFonts w:hint="eastAsia" w:asciiTheme="minorEastAsia" w:hAnsiTheme="minorEastAsia" w:eastAsiaTheme="minorEastAsia" w:cstheme="minorEastAsia"/>
          <w:sz w:val="24"/>
          <w:szCs w:val="24"/>
        </w:rPr>
        <w:t xml:space="preserve">    </w:t>
      </w:r>
    </w:p>
    <w:p w14:paraId="0046D70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0767F"/>
    <w:rsid w:val="6590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2025-03-11T02:49:00Z</dcterms:created>
  <dc:creator>Tina</dc:creator>
  <cp:lastModifiedBy>Tina</cp:lastModifiedBy>
  <dcterms:modified xsi:type="dcterms:W3CDTF">2025-03-11T02:51:03Z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CB1E412A0FCD41D9B18EE642FB78F6A5_11</vt:lpwstr>
  </property>
  <property fmtid="{D5CDD505-2E9C-101B-9397-08002B2CF9AE}" pid="4" name="KSOTemplateDocerSaveRecord">
    <vt:lpwstr>eyJoZGlkIjoiOGQzYzFlODdmZjEzMTQ5YjM0Yjc2ZWVmNzQ1MjlhMjUiLCJ1c2VySWQiOiI1MTcxNTEyODAifQ==</vt:lpwstr>
  </property>
</Properties>
</file>