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kern w:val="36"/>
          <w:sz w:val="44"/>
          <w:szCs w:val="44"/>
        </w:rPr>
      </w:pPr>
      <w:bookmarkStart w:id="0" w:name="_Toc288556308"/>
      <w:bookmarkStart w:id="1" w:name="_Toc197855124"/>
      <w:bookmarkStart w:id="2" w:name="_Toc197855230"/>
      <w:bookmarkStart w:id="3" w:name="_Toc194913661"/>
      <w:bookmarkStart w:id="4" w:name="_Toc345680005"/>
      <w:bookmarkStart w:id="5" w:name="_Toc279155481"/>
      <w:bookmarkStart w:id="6" w:name="_Toc197855084"/>
      <w:bookmarkStart w:id="7" w:name="_Toc260052801"/>
      <w:bookmarkStart w:id="8" w:name="_Toc279656821"/>
      <w:bookmarkStart w:id="9" w:name="_Toc197855002"/>
      <w:bookmarkStart w:id="10" w:name="_Toc197855060"/>
      <w:bookmarkStart w:id="11" w:name="_Toc194913689"/>
    </w:p>
    <w:p>
      <w:pPr>
        <w:jc w:val="center"/>
        <w:rPr>
          <w:rFonts w:ascii="宋体" w:hAnsi="宋体" w:eastAsia="宋体" w:cs="宋体"/>
          <w:b/>
          <w:bCs/>
          <w:kern w:val="36"/>
          <w:sz w:val="44"/>
          <w:szCs w:val="44"/>
        </w:rPr>
      </w:pPr>
      <w:r>
        <w:rPr>
          <w:rFonts w:hint="eastAsia" w:ascii="宋体" w:hAnsi="宋体" w:eastAsia="宋体" w:cs="宋体"/>
          <w:b/>
          <w:bCs/>
          <w:kern w:val="36"/>
          <w:sz w:val="44"/>
          <w:szCs w:val="44"/>
        </w:rPr>
        <w:t xml:space="preserve">2024年三门县国省道公路标志标线及安全设施增设和维护工程  </w:t>
      </w:r>
    </w:p>
    <w:p>
      <w:pPr>
        <w:pStyle w:val="2"/>
      </w:pPr>
    </w:p>
    <w:p/>
    <w:p>
      <w:pPr>
        <w:jc w:val="center"/>
        <w:rPr>
          <w:rFonts w:ascii="宋体" w:hAnsi="宋体" w:eastAsia="宋体" w:cs="宋体"/>
          <w:sz w:val="84"/>
        </w:rPr>
      </w:pPr>
      <w:r>
        <w:rPr>
          <w:rFonts w:hint="eastAsia" w:ascii="宋体" w:hAnsi="宋体" w:eastAsia="宋体" w:cs="宋体"/>
          <w:sz w:val="72"/>
          <w:szCs w:val="72"/>
        </w:rPr>
        <w:t>施工招标文件</w:t>
      </w:r>
    </w:p>
    <w:p>
      <w:pPr>
        <w:spacing w:line="360" w:lineRule="auto"/>
        <w:jc w:val="center"/>
        <w:rPr>
          <w:rFonts w:ascii="宋体" w:hAnsi="宋体" w:eastAsia="宋体" w:cs="宋体"/>
          <w:b/>
          <w:bCs/>
          <w:sz w:val="36"/>
          <w:szCs w:val="36"/>
        </w:rPr>
      </w:pPr>
    </w:p>
    <w:p>
      <w:pPr>
        <w:spacing w:line="360" w:lineRule="auto"/>
        <w:jc w:val="center"/>
        <w:rPr>
          <w:rFonts w:ascii="宋体" w:hAnsi="宋体" w:eastAsia="宋体" w:cs="宋体"/>
          <w:b/>
          <w:sz w:val="36"/>
          <w:szCs w:val="36"/>
        </w:rPr>
      </w:pPr>
      <w:r>
        <w:rPr>
          <w:rFonts w:hint="eastAsia" w:ascii="宋体" w:hAnsi="宋体" w:eastAsia="宋体" w:cs="宋体"/>
          <w:b/>
          <w:bCs/>
          <w:sz w:val="36"/>
          <w:szCs w:val="36"/>
        </w:rPr>
        <w:t>备案登记号：</w:t>
      </w:r>
      <w:r>
        <w:rPr>
          <w:rFonts w:ascii="宋体" w:hAnsi="宋体" w:eastAsia="宋体" w:cs="宋体"/>
          <w:b/>
          <w:bCs/>
          <w:sz w:val="36"/>
          <w:szCs w:val="36"/>
        </w:rPr>
        <w:t>浙联招备</w:t>
      </w:r>
      <w:r>
        <w:rPr>
          <w:rFonts w:hint="eastAsia" w:ascii="宋体" w:hAnsi="宋体" w:eastAsia="宋体" w:cs="宋体"/>
          <w:b/>
          <w:sz w:val="30"/>
          <w:szCs w:val="30"/>
        </w:rPr>
        <w:t>【2024】</w:t>
      </w:r>
      <w:r>
        <w:rPr>
          <w:rFonts w:ascii="宋体" w:hAnsi="宋体" w:eastAsia="宋体" w:cs="宋体"/>
          <w:b/>
          <w:sz w:val="30"/>
          <w:szCs w:val="30"/>
        </w:rPr>
        <w:t>038</w:t>
      </w:r>
      <w:r>
        <w:rPr>
          <w:rFonts w:hint="eastAsia" w:ascii="宋体" w:hAnsi="宋体" w:eastAsia="宋体" w:cs="宋体"/>
          <w:b/>
          <w:sz w:val="30"/>
          <w:szCs w:val="30"/>
        </w:rPr>
        <w:t>号</w:t>
      </w:r>
    </w:p>
    <w:p>
      <w:pPr>
        <w:spacing w:line="360" w:lineRule="auto"/>
        <w:rPr>
          <w:rFonts w:ascii="宋体" w:hAnsi="宋体" w:eastAsia="宋体" w:cs="宋体"/>
          <w:b/>
          <w:sz w:val="32"/>
        </w:rPr>
      </w:pPr>
    </w:p>
    <w:p>
      <w:pPr>
        <w:spacing w:line="360" w:lineRule="auto"/>
        <w:rPr>
          <w:rFonts w:ascii="宋体" w:hAnsi="宋体" w:eastAsia="宋体" w:cs="宋体"/>
          <w:b/>
          <w:sz w:val="32"/>
        </w:rPr>
      </w:pPr>
    </w:p>
    <w:p>
      <w:pPr>
        <w:spacing w:line="360" w:lineRule="auto"/>
        <w:rPr>
          <w:rFonts w:ascii="宋体" w:hAnsi="宋体" w:eastAsia="宋体" w:cs="宋体"/>
          <w:b/>
          <w:sz w:val="32"/>
        </w:rPr>
      </w:pPr>
    </w:p>
    <w:p>
      <w:pPr>
        <w:pStyle w:val="2"/>
      </w:pPr>
    </w:p>
    <w:p>
      <w:pPr>
        <w:spacing w:line="360" w:lineRule="auto"/>
        <w:rPr>
          <w:rFonts w:ascii="宋体" w:hAnsi="宋体" w:eastAsia="宋体" w:cs="宋体"/>
          <w:b/>
          <w:sz w:val="32"/>
        </w:rPr>
      </w:pPr>
    </w:p>
    <w:p>
      <w:pPr>
        <w:spacing w:line="360" w:lineRule="auto"/>
        <w:rPr>
          <w:rFonts w:ascii="宋体" w:hAnsi="宋体" w:eastAsia="宋体" w:cs="宋体"/>
          <w:b/>
          <w:sz w:val="32"/>
        </w:rPr>
      </w:pPr>
    </w:p>
    <w:p>
      <w:pPr>
        <w:pStyle w:val="2"/>
      </w:pPr>
    </w:p>
    <w:tbl>
      <w:tblPr>
        <w:tblStyle w:val="52"/>
        <w:tblW w:w="0" w:type="auto"/>
        <w:jc w:val="center"/>
        <w:tblLayout w:type="fixed"/>
        <w:tblCellMar>
          <w:top w:w="0" w:type="dxa"/>
          <w:left w:w="108" w:type="dxa"/>
          <w:bottom w:w="0" w:type="dxa"/>
          <w:right w:w="108" w:type="dxa"/>
        </w:tblCellMar>
      </w:tblPr>
      <w:tblGrid>
        <w:gridCol w:w="2170"/>
        <w:gridCol w:w="14"/>
        <w:gridCol w:w="239"/>
        <w:gridCol w:w="14"/>
        <w:gridCol w:w="5574"/>
        <w:gridCol w:w="33"/>
      </w:tblGrid>
      <w:tr>
        <w:tblPrEx>
          <w:tblCellMar>
            <w:top w:w="0" w:type="dxa"/>
            <w:left w:w="108" w:type="dxa"/>
            <w:bottom w:w="0" w:type="dxa"/>
            <w:right w:w="108" w:type="dxa"/>
          </w:tblCellMar>
        </w:tblPrEx>
        <w:trPr>
          <w:gridAfter w:val="1"/>
          <w:wAfter w:w="33" w:type="dxa"/>
          <w:trHeight w:val="756" w:hRule="atLeast"/>
          <w:jc w:val="center"/>
        </w:trPr>
        <w:tc>
          <w:tcPr>
            <w:tcW w:w="2170" w:type="dxa"/>
            <w:vAlign w:val="center"/>
          </w:tcPr>
          <w:p>
            <w:pPr>
              <w:adjustRightInd w:val="0"/>
              <w:snapToGrid w:val="0"/>
              <w:spacing w:line="440" w:lineRule="exact"/>
              <w:jc w:val="distribute"/>
              <w:rPr>
                <w:rFonts w:ascii="Times New Roman" w:hAnsi="Times New Roman" w:eastAsia="宋体"/>
                <w:sz w:val="32"/>
                <w:szCs w:val="28"/>
              </w:rPr>
            </w:pPr>
            <w:r>
              <w:rPr>
                <w:rFonts w:ascii="Times New Roman" w:hAnsi="Times New Roman" w:eastAsia="宋体"/>
                <w:sz w:val="32"/>
                <w:szCs w:val="28"/>
              </w:rPr>
              <w:t>招标人</w:t>
            </w:r>
          </w:p>
        </w:tc>
        <w:tc>
          <w:tcPr>
            <w:tcW w:w="253" w:type="dxa"/>
            <w:gridSpan w:val="2"/>
            <w:vAlign w:val="center"/>
          </w:tcPr>
          <w:p>
            <w:pPr>
              <w:adjustRightInd w:val="0"/>
              <w:snapToGrid w:val="0"/>
              <w:spacing w:line="440" w:lineRule="exact"/>
              <w:jc w:val="distribute"/>
              <w:rPr>
                <w:rFonts w:ascii="Times New Roman" w:hAnsi="Times New Roman" w:eastAsia="宋体"/>
                <w:sz w:val="32"/>
                <w:szCs w:val="28"/>
              </w:rPr>
            </w:pPr>
            <w:r>
              <w:rPr>
                <w:rFonts w:ascii="Times New Roman" w:hAnsi="Times New Roman" w:eastAsia="宋体"/>
                <w:sz w:val="32"/>
                <w:szCs w:val="28"/>
              </w:rPr>
              <w:t>：</w:t>
            </w:r>
          </w:p>
        </w:tc>
        <w:tc>
          <w:tcPr>
            <w:tcW w:w="5588" w:type="dxa"/>
            <w:gridSpan w:val="2"/>
            <w:vAlign w:val="center"/>
          </w:tcPr>
          <w:p>
            <w:pPr>
              <w:adjustRightInd w:val="0"/>
              <w:snapToGrid w:val="0"/>
              <w:spacing w:line="440" w:lineRule="exact"/>
              <w:jc w:val="distribute"/>
              <w:rPr>
                <w:rFonts w:ascii="Times New Roman" w:hAnsi="Times New Roman" w:eastAsia="宋体"/>
                <w:sz w:val="32"/>
                <w:szCs w:val="28"/>
              </w:rPr>
            </w:pPr>
            <w:r>
              <w:rPr>
                <w:rFonts w:hint="eastAsia" w:ascii="Times New Roman" w:hAnsi="Times New Roman" w:eastAsia="宋体"/>
                <w:sz w:val="32"/>
                <w:szCs w:val="28"/>
              </w:rPr>
              <w:t>三门县公路与运输管理中心</w:t>
            </w:r>
          </w:p>
        </w:tc>
      </w:tr>
      <w:tr>
        <w:tblPrEx>
          <w:tblCellMar>
            <w:top w:w="0" w:type="dxa"/>
            <w:left w:w="108" w:type="dxa"/>
            <w:bottom w:w="0" w:type="dxa"/>
            <w:right w:w="108" w:type="dxa"/>
          </w:tblCellMar>
        </w:tblPrEx>
        <w:trPr>
          <w:gridAfter w:val="1"/>
          <w:wAfter w:w="33" w:type="dxa"/>
          <w:trHeight w:val="756" w:hRule="atLeast"/>
          <w:jc w:val="center"/>
        </w:trPr>
        <w:tc>
          <w:tcPr>
            <w:tcW w:w="2170" w:type="dxa"/>
            <w:vAlign w:val="center"/>
          </w:tcPr>
          <w:p>
            <w:pPr>
              <w:adjustRightInd w:val="0"/>
              <w:snapToGrid w:val="0"/>
              <w:spacing w:line="440" w:lineRule="exact"/>
              <w:jc w:val="distribute"/>
              <w:rPr>
                <w:rFonts w:ascii="Times New Roman" w:hAnsi="Times New Roman" w:eastAsia="宋体"/>
                <w:sz w:val="32"/>
                <w:szCs w:val="28"/>
              </w:rPr>
            </w:pPr>
            <w:r>
              <w:rPr>
                <w:rFonts w:ascii="Times New Roman" w:hAnsi="Times New Roman" w:eastAsia="宋体"/>
                <w:sz w:val="32"/>
                <w:szCs w:val="28"/>
              </w:rPr>
              <w:t>招标代理人</w:t>
            </w:r>
          </w:p>
        </w:tc>
        <w:tc>
          <w:tcPr>
            <w:tcW w:w="253" w:type="dxa"/>
            <w:gridSpan w:val="2"/>
            <w:vAlign w:val="center"/>
          </w:tcPr>
          <w:p>
            <w:pPr>
              <w:adjustRightInd w:val="0"/>
              <w:snapToGrid w:val="0"/>
              <w:spacing w:line="440" w:lineRule="exact"/>
              <w:jc w:val="distribute"/>
              <w:rPr>
                <w:rFonts w:ascii="Times New Roman" w:hAnsi="Times New Roman" w:eastAsia="宋体"/>
                <w:sz w:val="32"/>
                <w:szCs w:val="28"/>
              </w:rPr>
            </w:pPr>
            <w:r>
              <w:rPr>
                <w:rFonts w:ascii="Times New Roman" w:hAnsi="Times New Roman" w:eastAsia="宋体"/>
                <w:sz w:val="32"/>
                <w:szCs w:val="28"/>
              </w:rPr>
              <w:t>：</w:t>
            </w:r>
          </w:p>
        </w:tc>
        <w:tc>
          <w:tcPr>
            <w:tcW w:w="5588" w:type="dxa"/>
            <w:gridSpan w:val="2"/>
            <w:vAlign w:val="center"/>
          </w:tcPr>
          <w:p>
            <w:pPr>
              <w:adjustRightInd w:val="0"/>
              <w:snapToGrid w:val="0"/>
              <w:spacing w:line="440" w:lineRule="exact"/>
              <w:jc w:val="distribute"/>
              <w:rPr>
                <w:rFonts w:ascii="Times New Roman" w:hAnsi="Times New Roman" w:eastAsia="宋体"/>
                <w:sz w:val="32"/>
                <w:szCs w:val="28"/>
              </w:rPr>
            </w:pPr>
            <w:r>
              <w:rPr>
                <w:rFonts w:hint="eastAsia" w:ascii="Times New Roman" w:hAnsi="Times New Roman" w:eastAsia="宋体"/>
                <w:sz w:val="32"/>
                <w:szCs w:val="28"/>
              </w:rPr>
              <w:t>联通工程咨询（浙江）有限公司</w:t>
            </w:r>
          </w:p>
        </w:tc>
      </w:tr>
      <w:tr>
        <w:tblPrEx>
          <w:tblCellMar>
            <w:top w:w="0" w:type="dxa"/>
            <w:left w:w="108" w:type="dxa"/>
            <w:bottom w:w="0" w:type="dxa"/>
            <w:right w:w="108" w:type="dxa"/>
          </w:tblCellMar>
        </w:tblPrEx>
        <w:trPr>
          <w:trHeight w:val="1036" w:hRule="atLeast"/>
          <w:jc w:val="center"/>
        </w:trPr>
        <w:tc>
          <w:tcPr>
            <w:tcW w:w="2184" w:type="dxa"/>
            <w:gridSpan w:val="2"/>
            <w:vAlign w:val="center"/>
          </w:tcPr>
          <w:p>
            <w:pPr>
              <w:adjustRightInd w:val="0"/>
              <w:snapToGrid w:val="0"/>
              <w:spacing w:line="440" w:lineRule="exact"/>
              <w:jc w:val="distribute"/>
              <w:rPr>
                <w:rFonts w:ascii="Times New Roman" w:hAnsi="Times New Roman" w:eastAsia="宋体"/>
                <w:sz w:val="32"/>
                <w:szCs w:val="28"/>
              </w:rPr>
            </w:pPr>
            <w:r>
              <w:rPr>
                <w:rFonts w:hint="eastAsia" w:ascii="Times New Roman" w:hAnsi="Times New Roman" w:eastAsia="宋体"/>
                <w:sz w:val="32"/>
                <w:szCs w:val="28"/>
              </w:rPr>
              <w:t>项目主管部门</w:t>
            </w:r>
          </w:p>
        </w:tc>
        <w:tc>
          <w:tcPr>
            <w:tcW w:w="253" w:type="dxa"/>
            <w:gridSpan w:val="2"/>
            <w:vAlign w:val="center"/>
          </w:tcPr>
          <w:p>
            <w:pPr>
              <w:adjustRightInd w:val="0"/>
              <w:snapToGrid w:val="0"/>
              <w:spacing w:line="440" w:lineRule="exact"/>
              <w:jc w:val="distribute"/>
              <w:rPr>
                <w:rFonts w:ascii="Times New Roman" w:hAnsi="Times New Roman" w:eastAsia="宋体"/>
                <w:sz w:val="32"/>
                <w:szCs w:val="28"/>
              </w:rPr>
            </w:pPr>
            <w:r>
              <w:rPr>
                <w:rFonts w:hint="eastAsia" w:ascii="Times New Roman" w:hAnsi="Times New Roman" w:eastAsia="宋体"/>
                <w:sz w:val="32"/>
                <w:szCs w:val="28"/>
              </w:rPr>
              <w:t>：</w:t>
            </w:r>
          </w:p>
        </w:tc>
        <w:tc>
          <w:tcPr>
            <w:tcW w:w="5607" w:type="dxa"/>
            <w:gridSpan w:val="2"/>
            <w:vAlign w:val="center"/>
          </w:tcPr>
          <w:p>
            <w:pPr>
              <w:adjustRightInd w:val="0"/>
              <w:snapToGrid w:val="0"/>
              <w:spacing w:line="440" w:lineRule="exact"/>
              <w:jc w:val="distribute"/>
              <w:rPr>
                <w:rFonts w:ascii="Times New Roman" w:hAnsi="Times New Roman" w:eastAsia="宋体"/>
                <w:sz w:val="32"/>
                <w:szCs w:val="28"/>
              </w:rPr>
            </w:pPr>
            <w:r>
              <w:rPr>
                <w:rFonts w:hint="eastAsia" w:ascii="Times New Roman" w:hAnsi="Times New Roman" w:eastAsia="宋体"/>
                <w:sz w:val="32"/>
                <w:szCs w:val="28"/>
              </w:rPr>
              <w:t>三门县交通运输局</w:t>
            </w:r>
          </w:p>
        </w:tc>
      </w:tr>
    </w:tbl>
    <w:p>
      <w:pPr>
        <w:pStyle w:val="2"/>
        <w:jc w:val="both"/>
      </w:pPr>
    </w:p>
    <w:p>
      <w:pPr>
        <w:jc w:val="center"/>
        <w:rPr>
          <w:rFonts w:ascii="Times New Roman" w:hAnsi="Times New Roman" w:eastAsia="宋体"/>
          <w:sz w:val="32"/>
          <w:szCs w:val="28"/>
        </w:rPr>
      </w:pPr>
      <w:r>
        <w:rPr>
          <w:rFonts w:ascii="Times New Roman" w:hAnsi="Times New Roman" w:eastAsia="宋体"/>
          <w:sz w:val="32"/>
          <w:szCs w:val="28"/>
        </w:rPr>
        <w:t xml:space="preserve">二 〇 二 </w:t>
      </w:r>
      <w:r>
        <w:rPr>
          <w:rFonts w:hint="eastAsia" w:ascii="Times New Roman" w:hAnsi="Times New Roman" w:eastAsia="宋体"/>
          <w:sz w:val="32"/>
          <w:szCs w:val="28"/>
        </w:rPr>
        <w:t>四</w:t>
      </w:r>
      <w:r>
        <w:rPr>
          <w:rFonts w:ascii="Times New Roman" w:hAnsi="Times New Roman" w:eastAsia="宋体"/>
          <w:sz w:val="32"/>
          <w:szCs w:val="28"/>
        </w:rPr>
        <w:t xml:space="preserve"> 年</w:t>
      </w:r>
      <w:r>
        <w:rPr>
          <w:rFonts w:hint="eastAsia" w:ascii="Times New Roman" w:hAnsi="Times New Roman" w:eastAsia="宋体"/>
          <w:sz w:val="32"/>
          <w:szCs w:val="28"/>
        </w:rPr>
        <w:t xml:space="preserve"> 七 </w:t>
      </w:r>
      <w:r>
        <w:rPr>
          <w:rFonts w:ascii="Times New Roman" w:hAnsi="Times New Roman" w:eastAsia="宋体"/>
          <w:sz w:val="32"/>
          <w:szCs w:val="28"/>
        </w:rPr>
        <w:t>月</w:t>
      </w:r>
      <w:bookmarkEnd w:id="0"/>
      <w:bookmarkEnd w:id="1"/>
      <w:bookmarkEnd w:id="2"/>
      <w:bookmarkEnd w:id="3"/>
      <w:bookmarkEnd w:id="4"/>
      <w:bookmarkEnd w:id="5"/>
      <w:bookmarkEnd w:id="6"/>
      <w:bookmarkEnd w:id="7"/>
      <w:bookmarkEnd w:id="8"/>
      <w:bookmarkEnd w:id="9"/>
      <w:bookmarkEnd w:id="10"/>
      <w:bookmarkEnd w:id="11"/>
    </w:p>
    <w:p>
      <w:pPr>
        <w:jc w:val="center"/>
        <w:rPr>
          <w:rFonts w:ascii="宋体" w:hAnsi="宋体" w:eastAsia="宋体" w:cs="宋体"/>
          <w:sz w:val="48"/>
          <w:szCs w:val="48"/>
        </w:rPr>
      </w:pPr>
    </w:p>
    <w:p>
      <w:pPr>
        <w:jc w:val="center"/>
        <w:rPr>
          <w:rFonts w:ascii="宋体" w:hAnsi="宋体" w:eastAsia="宋体" w:cs="宋体"/>
          <w:sz w:val="48"/>
          <w:szCs w:val="48"/>
        </w:rPr>
      </w:pPr>
    </w:p>
    <w:p>
      <w:pPr>
        <w:jc w:val="left"/>
        <w:rPr>
          <w:rFonts w:ascii="宋体" w:hAnsi="宋体" w:eastAsia="宋体" w:cs="宋体"/>
          <w:sz w:val="48"/>
          <w:szCs w:val="48"/>
        </w:rPr>
      </w:pPr>
      <w:r>
        <w:rPr>
          <w:rFonts w:ascii="宋体" w:hAnsi="宋体" w:eastAsia="宋体" w:cs="宋体"/>
          <w:sz w:val="48"/>
          <w:szCs w:val="48"/>
        </w:rPr>
        <w:drawing>
          <wp:inline distT="0" distB="0" distL="0" distR="0">
            <wp:extent cx="5975985" cy="8457565"/>
            <wp:effectExtent l="0" t="0" r="571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75985" cy="8457565"/>
                    </a:xfrm>
                    <a:prstGeom prst="rect">
                      <a:avLst/>
                    </a:prstGeom>
                  </pic:spPr>
                </pic:pic>
              </a:graphicData>
            </a:graphic>
          </wp:inline>
        </w:drawing>
      </w:r>
    </w:p>
    <w:p>
      <w:pPr>
        <w:jc w:val="center"/>
        <w:rPr>
          <w:rFonts w:ascii="宋体" w:hAnsi="宋体" w:eastAsia="宋体" w:cs="宋体"/>
          <w:sz w:val="48"/>
          <w:szCs w:val="48"/>
        </w:rPr>
      </w:pPr>
    </w:p>
    <w:p>
      <w:pPr>
        <w:jc w:val="center"/>
        <w:rPr>
          <w:rFonts w:ascii="宋体" w:hAnsi="宋体" w:eastAsia="宋体" w:cs="宋体"/>
          <w:sz w:val="48"/>
          <w:szCs w:val="48"/>
        </w:rPr>
      </w:pPr>
      <w:r>
        <w:rPr>
          <w:rFonts w:hint="eastAsia" w:ascii="宋体" w:hAnsi="宋体" w:eastAsia="宋体" w:cs="宋体"/>
          <w:sz w:val="48"/>
          <w:szCs w:val="48"/>
        </w:rPr>
        <w:t>说 明</w:t>
      </w:r>
    </w:p>
    <w:p>
      <w:pPr>
        <w:spacing w:line="420" w:lineRule="exact"/>
        <w:rPr>
          <w:rFonts w:ascii="宋体" w:hAnsi="宋体" w:eastAsia="宋体" w:cs="宋体"/>
          <w:sz w:val="24"/>
        </w:rPr>
      </w:pPr>
    </w:p>
    <w:p>
      <w:pPr>
        <w:spacing w:line="420" w:lineRule="exact"/>
        <w:ind w:firstLine="489"/>
        <w:rPr>
          <w:rFonts w:ascii="宋体" w:hAnsi="宋体" w:eastAsia="宋体" w:cs="宋体"/>
          <w:szCs w:val="21"/>
        </w:rPr>
      </w:pPr>
      <w:r>
        <w:rPr>
          <w:rFonts w:hint="eastAsia" w:ascii="宋体" w:hAnsi="宋体" w:eastAsia="宋体" w:cs="宋体"/>
          <w:szCs w:val="21"/>
        </w:rPr>
        <w:t>一、</w:t>
      </w:r>
      <w:r>
        <w:rPr>
          <w:rFonts w:hint="eastAsia" w:ascii="宋体" w:hAnsi="宋体" w:eastAsia="宋体" w:cs="宋体"/>
          <w:szCs w:val="21"/>
          <w:u w:val="single"/>
        </w:rPr>
        <w:t xml:space="preserve">2024年三门县国省道公路标志标线及安全设施增设和维护工程 </w:t>
      </w:r>
      <w:r>
        <w:rPr>
          <w:rFonts w:hint="eastAsia" w:ascii="宋体" w:hAnsi="宋体" w:eastAsia="宋体" w:cs="宋体"/>
          <w:szCs w:val="21"/>
        </w:rPr>
        <w:t>施工招标文件以《中华人民共和国招标投标法》、《中华人民共和国招标投标法实施条例》、《浙江省招标投标条例》、中华人民共和国《标准施工招标文件》（2007年版）、交通运输部《公路工程标准施工招标文件》（2018年版）</w:t>
      </w:r>
      <w:r>
        <w:rPr>
          <w:rFonts w:hint="eastAsia" w:eastAsia="楷体_GB2312"/>
          <w:color w:val="000000"/>
          <w:sz w:val="24"/>
        </w:rPr>
        <w:t>及</w:t>
      </w:r>
      <w:r>
        <w:rPr>
          <w:rFonts w:hint="eastAsia" w:ascii="宋体" w:hAnsi="宋体" w:eastAsia="宋体" w:cs="宋体"/>
          <w:szCs w:val="21"/>
        </w:rPr>
        <w:t>《浙江省公路工程施工招标文件示范文本》（</w:t>
      </w:r>
      <w:r>
        <w:rPr>
          <w:rFonts w:ascii="宋体" w:hAnsi="宋体" w:eastAsia="宋体" w:cs="宋体"/>
          <w:szCs w:val="21"/>
        </w:rPr>
        <w:t>20</w:t>
      </w:r>
      <w:r>
        <w:rPr>
          <w:rFonts w:hint="eastAsia" w:ascii="宋体" w:hAnsi="宋体" w:eastAsia="宋体" w:cs="宋体"/>
          <w:szCs w:val="21"/>
        </w:rPr>
        <w:t>2</w:t>
      </w:r>
      <w:r>
        <w:rPr>
          <w:rFonts w:ascii="宋体" w:hAnsi="宋体" w:eastAsia="宋体" w:cs="宋体"/>
          <w:szCs w:val="21"/>
        </w:rPr>
        <w:t>3</w:t>
      </w:r>
      <w:r>
        <w:rPr>
          <w:rFonts w:hint="eastAsia" w:ascii="宋体" w:hAnsi="宋体" w:eastAsia="宋体" w:cs="宋体"/>
          <w:szCs w:val="21"/>
        </w:rPr>
        <w:t>年版）</w:t>
      </w:r>
      <w:r>
        <w:rPr>
          <w:rFonts w:hint="eastAsia" w:eastAsia="楷体_GB2312"/>
          <w:color w:val="000000"/>
          <w:sz w:val="24"/>
        </w:rPr>
        <w:t>为依据</w:t>
      </w:r>
      <w:r>
        <w:rPr>
          <w:rFonts w:hint="eastAsia" w:ascii="宋体" w:hAnsi="宋体" w:eastAsia="宋体" w:cs="宋体"/>
          <w:szCs w:val="21"/>
        </w:rPr>
        <w:t>为依据，结合本项目的特点和实际需要编制而成。</w:t>
      </w:r>
    </w:p>
    <w:p>
      <w:pPr>
        <w:spacing w:line="360" w:lineRule="auto"/>
        <w:ind w:firstLine="489"/>
        <w:rPr>
          <w:szCs w:val="21"/>
        </w:rPr>
      </w:pPr>
      <w:r>
        <w:rPr>
          <w:szCs w:val="21"/>
        </w:rPr>
        <w:t>招标文件引用了《标准施工招标文件》和《公路工程标准施工招标文件》中的“投标人须知”、“评标办法”、“通用合同条款”、“A.公路工程专用合同条款”正文。</w:t>
      </w:r>
    </w:p>
    <w:p>
      <w:pPr>
        <w:spacing w:line="360" w:lineRule="auto"/>
        <w:ind w:firstLine="489"/>
        <w:rPr>
          <w:szCs w:val="21"/>
        </w:rPr>
      </w:pPr>
      <w:r>
        <w:rPr>
          <w:szCs w:val="21"/>
        </w:rPr>
        <w:t>二、《标准施工招标文件》、《公路工程标准施工招标文件》中“投标人须知”、“评标办法”、“通用合同条款”、“A.公路工程专用合同条款”是必须遵循的通用条款和规定，针对本项目的具体特点和实际情况：</w:t>
      </w:r>
    </w:p>
    <w:p>
      <w:pPr>
        <w:spacing w:line="360" w:lineRule="auto"/>
        <w:ind w:firstLine="489"/>
        <w:rPr>
          <w:szCs w:val="21"/>
        </w:rPr>
      </w:pPr>
      <w:r>
        <w:rPr>
          <w:szCs w:val="21"/>
        </w:rPr>
        <w:t>在“投标人须知前附表”和“评标办法前附表”中对“投标人须知”、“评标办法”进行了补充、细化。</w:t>
      </w:r>
    </w:p>
    <w:p>
      <w:pPr>
        <w:spacing w:line="360" w:lineRule="auto"/>
        <w:ind w:firstLine="489"/>
        <w:rPr>
          <w:szCs w:val="21"/>
        </w:rPr>
      </w:pPr>
      <w:r>
        <w:rPr>
          <w:szCs w:val="21"/>
        </w:rPr>
        <w:t>在“B.项目专用合同条款”中，对“通用合同条款”、“A.公路工程专用合同条款”进行了补充、细化或约定。</w:t>
      </w:r>
    </w:p>
    <w:p>
      <w:pPr>
        <w:spacing w:line="360" w:lineRule="auto"/>
        <w:ind w:firstLine="489"/>
        <w:rPr>
          <w:szCs w:val="21"/>
        </w:rPr>
      </w:pPr>
      <w:r>
        <w:rPr>
          <w:szCs w:val="21"/>
        </w:rPr>
        <w:t>三、招标文件中的“通用技术规范”直接引用了《公路工程标准施工招标文件》（2018年版·第二册）技术规范。</w:t>
      </w:r>
    </w:p>
    <w:p>
      <w:pPr>
        <w:spacing w:line="360" w:lineRule="auto"/>
        <w:ind w:firstLine="489"/>
        <w:rPr>
          <w:szCs w:val="21"/>
        </w:rPr>
      </w:pPr>
      <w:r>
        <w:rPr>
          <w:szCs w:val="21"/>
        </w:rPr>
        <w:t>根据本项目的具体特点和实际需要，在“项目专用技术规范”中对“通用技术规范”进行了补充和修改。</w:t>
      </w:r>
    </w:p>
    <w:p>
      <w:pPr>
        <w:spacing w:line="360" w:lineRule="auto"/>
        <w:ind w:firstLine="489"/>
        <w:rPr>
          <w:szCs w:val="21"/>
        </w:rPr>
      </w:pPr>
      <w:r>
        <w:rPr>
          <w:szCs w:val="21"/>
        </w:rPr>
        <w:t>四、“工程量清单计</w:t>
      </w:r>
      <w:r>
        <w:rPr>
          <w:rFonts w:hint="eastAsia"/>
          <w:szCs w:val="21"/>
        </w:rPr>
        <w:t>量</w:t>
      </w:r>
      <w:r>
        <w:rPr>
          <w:szCs w:val="21"/>
        </w:rPr>
        <w:t>规则”按照浙江省地方标准《交通建设工程工程量清单计价规范 第1部分：公路工程》（DB 33/T628.1—2021）编制。</w:t>
      </w:r>
    </w:p>
    <w:p>
      <w:pPr>
        <w:spacing w:line="360" w:lineRule="auto"/>
        <w:ind w:firstLine="489"/>
        <w:rPr>
          <w:szCs w:val="21"/>
        </w:rPr>
      </w:pPr>
      <w:r>
        <w:rPr>
          <w:szCs w:val="21"/>
        </w:rPr>
        <w:t>五、投标人应按招标文件的要求认真编制投标文件，完整地响应招标文件的规定和内容，避免投标文件因不能通过评审而被拒绝。</w:t>
      </w:r>
    </w:p>
    <w:p>
      <w:pPr>
        <w:spacing w:line="360" w:lineRule="auto"/>
        <w:ind w:firstLine="489"/>
        <w:rPr>
          <w:szCs w:val="21"/>
        </w:rPr>
      </w:pPr>
      <w:r>
        <w:rPr>
          <w:szCs w:val="21"/>
        </w:rPr>
        <w:t>六、《标准施工招标文件》、《公路工程标准施工招标文件》、《交通建设工程工程量清单计价规范 第1部分：公路工程》（DB33/T 628.1-2021）</w:t>
      </w:r>
      <w:r>
        <w:rPr>
          <w:rFonts w:hint="eastAsia"/>
          <w:szCs w:val="21"/>
        </w:rPr>
        <w:t>、</w:t>
      </w:r>
      <w:r>
        <w:rPr>
          <w:rFonts w:hint="eastAsia" w:ascii="宋体" w:hAnsi="宋体"/>
        </w:rPr>
        <w:t>《浙江省公路工程施工招标文件示范文本》（2023年版）由投标人自备</w:t>
      </w:r>
      <w:r>
        <w:rPr>
          <w:szCs w:val="21"/>
        </w:rPr>
        <w:t>。</w:t>
      </w:r>
    </w:p>
    <w:p>
      <w:pPr>
        <w:spacing w:line="400" w:lineRule="exact"/>
        <w:ind w:firstLine="480" w:firstLineChars="200"/>
        <w:jc w:val="center"/>
        <w:rPr>
          <w:rFonts w:ascii="宋体" w:hAnsi="宋体" w:eastAsia="宋体" w:cs="宋体"/>
          <w:sz w:val="36"/>
          <w:szCs w:val="36"/>
        </w:rPr>
      </w:pPr>
      <w:r>
        <w:rPr>
          <w:rFonts w:hint="eastAsia" w:ascii="宋体" w:hAnsi="宋体" w:eastAsia="宋体" w:cs="宋体"/>
          <w:sz w:val="24"/>
        </w:rPr>
        <w:br w:type="page"/>
      </w:r>
      <w:r>
        <w:rPr>
          <w:rFonts w:hint="eastAsia" w:ascii="宋体" w:hAnsi="宋体" w:eastAsia="宋体" w:cs="宋体"/>
          <w:sz w:val="36"/>
          <w:szCs w:val="36"/>
          <w:lang w:val="zh-CN"/>
        </w:rPr>
        <w:t>目  录</w:t>
      </w:r>
    </w:p>
    <w:p>
      <w:pPr>
        <w:pStyle w:val="37"/>
        <w:tabs>
          <w:tab w:val="right" w:leader="dot" w:pos="8683"/>
        </w:tabs>
        <w:rPr>
          <w:rFonts w:asciiTheme="minorHAnsi" w:hAnsiTheme="minorHAnsi" w:cstheme="minorBidi"/>
          <w:b/>
          <w:szCs w:val="22"/>
        </w:rPr>
      </w:pPr>
      <w:r>
        <w:rPr>
          <w:szCs w:val="21"/>
        </w:rPr>
        <w:fldChar w:fldCharType="begin"/>
      </w:r>
      <w:r>
        <w:rPr>
          <w:szCs w:val="21"/>
        </w:rPr>
        <w:instrText xml:space="preserve"> TOC \o "1-2" \h \z \u </w:instrText>
      </w:r>
      <w:r>
        <w:rPr>
          <w:szCs w:val="21"/>
        </w:rPr>
        <w:fldChar w:fldCharType="separate"/>
      </w:r>
      <w:r>
        <w:fldChar w:fldCharType="begin"/>
      </w:r>
      <w:r>
        <w:instrText xml:space="preserve"> HYPERLINK \l "_Toc173246144" </w:instrText>
      </w:r>
      <w:r>
        <w:fldChar w:fldCharType="separate"/>
      </w:r>
      <w:r>
        <w:rPr>
          <w:rStyle w:val="59"/>
          <w:rFonts w:hint="eastAsia" w:ascii="宋体" w:hAnsi="宋体"/>
          <w:b/>
        </w:rPr>
        <w:t>第</w:t>
      </w:r>
      <w:r>
        <w:rPr>
          <w:rStyle w:val="59"/>
          <w:rFonts w:ascii="宋体" w:hAnsi="宋体"/>
          <w:b/>
        </w:rPr>
        <w:t xml:space="preserve">  </w:t>
      </w:r>
      <w:r>
        <w:rPr>
          <w:rStyle w:val="59"/>
          <w:rFonts w:hint="eastAsia" w:ascii="宋体" w:hAnsi="宋体"/>
          <w:b/>
        </w:rPr>
        <w:t>一</w:t>
      </w:r>
      <w:r>
        <w:rPr>
          <w:rStyle w:val="59"/>
          <w:rFonts w:ascii="宋体" w:hAnsi="宋体"/>
          <w:b/>
        </w:rPr>
        <w:t xml:space="preserve">  </w:t>
      </w:r>
      <w:r>
        <w:rPr>
          <w:rStyle w:val="59"/>
          <w:rFonts w:hint="eastAsia" w:ascii="宋体" w:hAnsi="宋体"/>
          <w:b/>
        </w:rPr>
        <w:t>卷</w:t>
      </w:r>
      <w:r>
        <w:rPr>
          <w:b/>
        </w:rPr>
        <w:tab/>
      </w:r>
      <w:r>
        <w:rPr>
          <w:b/>
        </w:rPr>
        <w:fldChar w:fldCharType="end"/>
      </w:r>
      <w:r>
        <w:rPr>
          <w:b/>
        </w:rPr>
        <w:t>5</w:t>
      </w:r>
    </w:p>
    <w:p>
      <w:pPr>
        <w:pStyle w:val="37"/>
        <w:tabs>
          <w:tab w:val="right" w:leader="dot" w:pos="8683"/>
        </w:tabs>
        <w:rPr>
          <w:rFonts w:asciiTheme="minorHAnsi" w:hAnsiTheme="minorHAnsi" w:cstheme="minorBidi"/>
          <w:b/>
          <w:szCs w:val="22"/>
        </w:rPr>
      </w:pPr>
      <w:r>
        <w:fldChar w:fldCharType="begin"/>
      </w:r>
      <w:r>
        <w:instrText xml:space="preserve"> HYPERLINK \l "_Toc173246145" </w:instrText>
      </w:r>
      <w:r>
        <w:fldChar w:fldCharType="separate"/>
      </w:r>
      <w:r>
        <w:rPr>
          <w:rStyle w:val="59"/>
          <w:rFonts w:hint="eastAsia" w:ascii="宋体" w:hAnsi="宋体"/>
          <w:b/>
        </w:rPr>
        <w:t>第一章</w:t>
      </w:r>
      <w:r>
        <w:rPr>
          <w:rStyle w:val="59"/>
          <w:rFonts w:ascii="宋体" w:hAnsi="宋体"/>
          <w:b/>
        </w:rPr>
        <w:t xml:space="preserve"> </w:t>
      </w:r>
      <w:r>
        <w:rPr>
          <w:rStyle w:val="59"/>
          <w:rFonts w:hint="eastAsia" w:ascii="宋体" w:hAnsi="宋体"/>
          <w:b/>
        </w:rPr>
        <w:t>招标公告</w:t>
      </w:r>
      <w:r>
        <w:rPr>
          <w:b/>
        </w:rPr>
        <w:tab/>
      </w:r>
      <w:r>
        <w:rPr>
          <w:b/>
        </w:rPr>
        <w:fldChar w:fldCharType="end"/>
      </w:r>
      <w:r>
        <w:rPr>
          <w:b/>
        </w:rPr>
        <w:t>6</w:t>
      </w:r>
    </w:p>
    <w:p>
      <w:pPr>
        <w:pStyle w:val="37"/>
        <w:tabs>
          <w:tab w:val="right" w:leader="dot" w:pos="8683"/>
        </w:tabs>
        <w:rPr>
          <w:rFonts w:asciiTheme="minorHAnsi" w:hAnsiTheme="minorHAnsi" w:cstheme="minorBidi"/>
          <w:szCs w:val="22"/>
        </w:rPr>
      </w:pPr>
      <w:r>
        <w:fldChar w:fldCharType="begin"/>
      </w:r>
      <w:r>
        <w:instrText xml:space="preserve"> HYPERLINK \l "_Toc173246146" </w:instrText>
      </w:r>
      <w:r>
        <w:fldChar w:fldCharType="separate"/>
      </w:r>
      <w:r>
        <w:rPr>
          <w:rStyle w:val="59"/>
          <w:rFonts w:hint="eastAsia" w:ascii="宋体" w:hAnsi="宋体"/>
          <w:b/>
        </w:rPr>
        <w:t>第二章</w:t>
      </w:r>
      <w:r>
        <w:rPr>
          <w:rStyle w:val="59"/>
          <w:rFonts w:ascii="宋体" w:hAnsi="宋体"/>
          <w:b/>
        </w:rPr>
        <w:t xml:space="preserve">  </w:t>
      </w:r>
      <w:r>
        <w:rPr>
          <w:rStyle w:val="59"/>
          <w:rFonts w:hint="eastAsia" w:ascii="宋体" w:hAnsi="宋体"/>
          <w:b/>
        </w:rPr>
        <w:t>投标人须知</w:t>
      </w:r>
      <w:r>
        <w:rPr>
          <w:b/>
        </w:rPr>
        <w:tab/>
      </w:r>
      <w:r>
        <w:rPr>
          <w:b/>
        </w:rPr>
        <w:fldChar w:fldCharType="end"/>
      </w:r>
      <w:r>
        <w:rPr>
          <w:b/>
        </w:rPr>
        <w:t>8</w:t>
      </w:r>
    </w:p>
    <w:p>
      <w:pPr>
        <w:pStyle w:val="37"/>
        <w:tabs>
          <w:tab w:val="right" w:leader="dot" w:pos="8683"/>
        </w:tabs>
      </w:pPr>
      <w:r>
        <w:fldChar w:fldCharType="begin"/>
      </w:r>
      <w:r>
        <w:instrText xml:space="preserve"> HYPERLINK \l "_Toc173246147" </w:instrText>
      </w:r>
      <w:r>
        <w:fldChar w:fldCharType="separate"/>
      </w:r>
      <w:r>
        <w:rPr>
          <w:rStyle w:val="59"/>
          <w:rFonts w:hint="eastAsia" w:ascii="宋体" w:hAnsi="宋体"/>
        </w:rPr>
        <w:t>投标人须知前附表</w:t>
      </w:r>
      <w:r>
        <w:tab/>
      </w:r>
      <w:r>
        <w:fldChar w:fldCharType="end"/>
      </w:r>
      <w:r>
        <w:t>8</w:t>
      </w:r>
    </w:p>
    <w:p>
      <w:r>
        <w:rPr>
          <w:rFonts w:hint="eastAsia"/>
        </w:rPr>
        <w:t>1 .总则....................................................................................................................................................</w:t>
      </w:r>
      <w:r>
        <w:t>17</w:t>
      </w:r>
    </w:p>
    <w:p>
      <w:pPr>
        <w:pStyle w:val="37"/>
        <w:tabs>
          <w:tab w:val="right" w:leader="dot" w:pos="8683"/>
        </w:tabs>
        <w:rPr>
          <w:rFonts w:asciiTheme="minorHAnsi" w:hAnsiTheme="minorHAnsi" w:cstheme="minorBidi"/>
          <w:szCs w:val="22"/>
        </w:rPr>
      </w:pPr>
      <w:r>
        <w:fldChar w:fldCharType="begin"/>
      </w:r>
      <w:r>
        <w:instrText xml:space="preserve"> HYPERLINK \l "_Toc173246153" </w:instrText>
      </w:r>
      <w:r>
        <w:fldChar w:fldCharType="separate"/>
      </w:r>
      <w:r>
        <w:rPr>
          <w:rStyle w:val="59"/>
          <w:rFonts w:ascii="宋体" w:hAnsi="宋体"/>
        </w:rPr>
        <w:t xml:space="preserve">1.1 </w:t>
      </w:r>
      <w:r>
        <w:rPr>
          <w:rStyle w:val="59"/>
          <w:rFonts w:hint="eastAsia" w:ascii="宋体" w:hAnsi="宋体"/>
        </w:rPr>
        <w:t>项目概况</w:t>
      </w:r>
      <w:r>
        <w:tab/>
      </w:r>
      <w:r>
        <w:fldChar w:fldCharType="begin"/>
      </w:r>
      <w:r>
        <w:instrText xml:space="preserve"> PAGEREF _Toc173246153 \h </w:instrText>
      </w:r>
      <w:r>
        <w:fldChar w:fldCharType="separate"/>
      </w:r>
      <w:r>
        <w:t>17</w:t>
      </w:r>
      <w:r>
        <w:fldChar w:fldCharType="end"/>
      </w:r>
      <w:r>
        <w:fldChar w:fldCharType="end"/>
      </w:r>
    </w:p>
    <w:p>
      <w:pPr>
        <w:pStyle w:val="37"/>
        <w:tabs>
          <w:tab w:val="right" w:leader="dot" w:pos="8683"/>
        </w:tabs>
        <w:rPr>
          <w:rFonts w:asciiTheme="minorHAnsi" w:hAnsiTheme="minorHAnsi" w:cstheme="minorBidi"/>
          <w:szCs w:val="22"/>
        </w:rPr>
      </w:pPr>
      <w:r>
        <w:fldChar w:fldCharType="begin"/>
      </w:r>
      <w:r>
        <w:instrText xml:space="preserve"> HYPERLINK \l "_Toc173246165" </w:instrText>
      </w:r>
      <w:r>
        <w:fldChar w:fldCharType="separate"/>
      </w:r>
      <w:r>
        <w:rPr>
          <w:rStyle w:val="59"/>
          <w:rFonts w:ascii="宋体" w:hAnsi="宋体"/>
        </w:rPr>
        <w:t xml:space="preserve">2. </w:t>
      </w:r>
      <w:r>
        <w:rPr>
          <w:rStyle w:val="59"/>
          <w:rFonts w:hint="eastAsia" w:ascii="宋体" w:hAnsi="宋体"/>
        </w:rPr>
        <w:t>招标文件</w:t>
      </w:r>
      <w:r>
        <w:tab/>
      </w:r>
      <w:r>
        <w:fldChar w:fldCharType="begin"/>
      </w:r>
      <w:r>
        <w:instrText xml:space="preserve"> PAGEREF _Toc173246165 \h </w:instrText>
      </w:r>
      <w:r>
        <w:fldChar w:fldCharType="separate"/>
      </w:r>
      <w:r>
        <w:t>20</w:t>
      </w:r>
      <w:r>
        <w:fldChar w:fldCharType="end"/>
      </w:r>
      <w:r>
        <w:fldChar w:fldCharType="end"/>
      </w:r>
    </w:p>
    <w:p>
      <w:pPr>
        <w:pStyle w:val="37"/>
        <w:tabs>
          <w:tab w:val="right" w:leader="dot" w:pos="8683"/>
        </w:tabs>
        <w:rPr>
          <w:rFonts w:asciiTheme="minorHAnsi" w:hAnsiTheme="minorHAnsi" w:cstheme="minorBidi"/>
          <w:szCs w:val="22"/>
        </w:rPr>
      </w:pPr>
      <w:r>
        <w:fldChar w:fldCharType="begin"/>
      </w:r>
      <w:r>
        <w:instrText xml:space="preserve"> HYPERLINK \l "_Toc173246166" </w:instrText>
      </w:r>
      <w:r>
        <w:fldChar w:fldCharType="separate"/>
      </w:r>
      <w:r>
        <w:rPr>
          <w:rStyle w:val="59"/>
          <w:rFonts w:ascii="宋体" w:hAnsi="宋体"/>
        </w:rPr>
        <w:t xml:space="preserve">2.1 </w:t>
      </w:r>
      <w:r>
        <w:rPr>
          <w:rStyle w:val="59"/>
          <w:rFonts w:hint="eastAsia" w:ascii="宋体" w:hAnsi="宋体"/>
        </w:rPr>
        <w:t>招标文件的组成</w:t>
      </w:r>
      <w:r>
        <w:tab/>
      </w:r>
      <w:r>
        <w:fldChar w:fldCharType="begin"/>
      </w:r>
      <w:r>
        <w:instrText xml:space="preserve"> PAGEREF _Toc173246166 \h </w:instrText>
      </w:r>
      <w:r>
        <w:fldChar w:fldCharType="separate"/>
      </w:r>
      <w:r>
        <w:t>20</w:t>
      </w:r>
      <w:r>
        <w:fldChar w:fldCharType="end"/>
      </w:r>
      <w:r>
        <w:fldChar w:fldCharType="end"/>
      </w:r>
    </w:p>
    <w:p>
      <w:pPr>
        <w:pStyle w:val="37"/>
        <w:tabs>
          <w:tab w:val="right" w:leader="dot" w:pos="8683"/>
        </w:tabs>
        <w:rPr>
          <w:rFonts w:asciiTheme="minorHAnsi" w:hAnsiTheme="minorHAnsi" w:cstheme="minorBidi"/>
          <w:szCs w:val="22"/>
        </w:rPr>
      </w:pPr>
      <w:r>
        <w:fldChar w:fldCharType="begin"/>
      </w:r>
      <w:r>
        <w:instrText xml:space="preserve"> HYPERLINK \l "_Toc173246167" </w:instrText>
      </w:r>
      <w:r>
        <w:fldChar w:fldCharType="separate"/>
      </w:r>
      <w:r>
        <w:rPr>
          <w:rStyle w:val="59"/>
          <w:rFonts w:ascii="宋体" w:hAnsi="宋体"/>
        </w:rPr>
        <w:t xml:space="preserve">3. </w:t>
      </w:r>
      <w:r>
        <w:rPr>
          <w:rStyle w:val="59"/>
          <w:rFonts w:hint="eastAsia" w:ascii="宋体" w:hAnsi="宋体"/>
        </w:rPr>
        <w:t>投标文件</w:t>
      </w:r>
      <w:r>
        <w:tab/>
      </w:r>
      <w:r>
        <w:fldChar w:fldCharType="begin"/>
      </w:r>
      <w:r>
        <w:instrText xml:space="preserve"> PAGEREF _Toc173246167 \h </w:instrText>
      </w:r>
      <w:r>
        <w:fldChar w:fldCharType="separate"/>
      </w:r>
      <w:r>
        <w:t>21</w:t>
      </w:r>
      <w:r>
        <w:fldChar w:fldCharType="end"/>
      </w:r>
      <w:r>
        <w:fldChar w:fldCharType="end"/>
      </w:r>
    </w:p>
    <w:p>
      <w:pPr>
        <w:pStyle w:val="37"/>
        <w:tabs>
          <w:tab w:val="right" w:leader="dot" w:pos="8683"/>
        </w:tabs>
        <w:rPr>
          <w:rFonts w:asciiTheme="minorHAnsi" w:hAnsiTheme="minorHAnsi" w:cstheme="minorBidi"/>
          <w:szCs w:val="22"/>
        </w:rPr>
      </w:pPr>
      <w:r>
        <w:fldChar w:fldCharType="begin"/>
      </w:r>
      <w:r>
        <w:instrText xml:space="preserve"> HYPERLINK \l "_Toc173246175" </w:instrText>
      </w:r>
      <w:r>
        <w:fldChar w:fldCharType="separate"/>
      </w:r>
      <w:r>
        <w:rPr>
          <w:rStyle w:val="59"/>
          <w:rFonts w:ascii="宋体" w:hAnsi="宋体"/>
        </w:rPr>
        <w:t xml:space="preserve">4. </w:t>
      </w:r>
      <w:r>
        <w:rPr>
          <w:rStyle w:val="59"/>
          <w:rFonts w:hint="eastAsia" w:ascii="宋体" w:hAnsi="宋体"/>
        </w:rPr>
        <w:t>投标</w:t>
      </w:r>
      <w:r>
        <w:tab/>
      </w:r>
      <w:r>
        <w:fldChar w:fldCharType="begin"/>
      </w:r>
      <w:r>
        <w:instrText xml:space="preserve"> PAGEREF _Toc173246175 \h </w:instrText>
      </w:r>
      <w:r>
        <w:fldChar w:fldCharType="separate"/>
      </w:r>
      <w:r>
        <w:t>23</w:t>
      </w:r>
      <w:r>
        <w:fldChar w:fldCharType="end"/>
      </w:r>
      <w:r>
        <w:fldChar w:fldCharType="end"/>
      </w:r>
    </w:p>
    <w:p>
      <w:pPr>
        <w:pStyle w:val="37"/>
        <w:tabs>
          <w:tab w:val="right" w:leader="dot" w:pos="8683"/>
        </w:tabs>
        <w:rPr>
          <w:rFonts w:asciiTheme="minorHAnsi" w:hAnsiTheme="minorHAnsi" w:cstheme="minorBidi"/>
          <w:szCs w:val="22"/>
        </w:rPr>
      </w:pPr>
      <w:r>
        <w:fldChar w:fldCharType="begin"/>
      </w:r>
      <w:r>
        <w:instrText xml:space="preserve"> HYPERLINK \l "_Toc173246176" </w:instrText>
      </w:r>
      <w:r>
        <w:fldChar w:fldCharType="separate"/>
      </w:r>
      <w:r>
        <w:rPr>
          <w:rStyle w:val="59"/>
          <w:rFonts w:ascii="宋体" w:hAnsi="宋体"/>
        </w:rPr>
        <w:t xml:space="preserve">5. </w:t>
      </w:r>
      <w:r>
        <w:rPr>
          <w:rStyle w:val="59"/>
          <w:rFonts w:hint="eastAsia" w:ascii="宋体" w:hAnsi="宋体"/>
        </w:rPr>
        <w:t>开标</w:t>
      </w:r>
      <w:r>
        <w:tab/>
      </w:r>
      <w:r>
        <w:fldChar w:fldCharType="begin"/>
      </w:r>
      <w:r>
        <w:instrText xml:space="preserve"> PAGEREF _Toc173246176 \h </w:instrText>
      </w:r>
      <w:r>
        <w:fldChar w:fldCharType="separate"/>
      </w:r>
      <w:r>
        <w:t>24</w:t>
      </w:r>
      <w:r>
        <w:fldChar w:fldCharType="end"/>
      </w:r>
      <w:r>
        <w:fldChar w:fldCharType="end"/>
      </w:r>
    </w:p>
    <w:p>
      <w:pPr>
        <w:pStyle w:val="37"/>
        <w:tabs>
          <w:tab w:val="right" w:leader="dot" w:pos="8683"/>
        </w:tabs>
        <w:rPr>
          <w:rFonts w:asciiTheme="minorHAnsi" w:hAnsiTheme="minorHAnsi" w:cstheme="minorBidi"/>
          <w:szCs w:val="22"/>
        </w:rPr>
      </w:pPr>
      <w:r>
        <w:fldChar w:fldCharType="begin"/>
      </w:r>
      <w:r>
        <w:instrText xml:space="preserve"> HYPERLINK \l "_Toc173246178" </w:instrText>
      </w:r>
      <w:r>
        <w:fldChar w:fldCharType="separate"/>
      </w:r>
      <w:r>
        <w:rPr>
          <w:rStyle w:val="59"/>
          <w:rFonts w:ascii="宋体" w:hAnsi="宋体"/>
        </w:rPr>
        <w:t xml:space="preserve">6. </w:t>
      </w:r>
      <w:r>
        <w:rPr>
          <w:rStyle w:val="59"/>
          <w:rFonts w:hint="eastAsia" w:ascii="宋体" w:hAnsi="宋体"/>
        </w:rPr>
        <w:t>评标</w:t>
      </w:r>
      <w:r>
        <w:tab/>
      </w:r>
      <w:r>
        <w:fldChar w:fldCharType="begin"/>
      </w:r>
      <w:r>
        <w:instrText xml:space="preserve"> PAGEREF _Toc173246178 \h </w:instrText>
      </w:r>
      <w:r>
        <w:fldChar w:fldCharType="separate"/>
      </w:r>
      <w:r>
        <w:t>24</w:t>
      </w:r>
      <w:r>
        <w:fldChar w:fldCharType="end"/>
      </w:r>
      <w:r>
        <w:fldChar w:fldCharType="end"/>
      </w:r>
    </w:p>
    <w:p>
      <w:pPr>
        <w:pStyle w:val="37"/>
        <w:tabs>
          <w:tab w:val="right" w:leader="dot" w:pos="8683"/>
        </w:tabs>
        <w:rPr>
          <w:rFonts w:asciiTheme="minorHAnsi" w:hAnsiTheme="minorHAnsi" w:cstheme="minorBidi"/>
          <w:szCs w:val="22"/>
        </w:rPr>
      </w:pPr>
      <w:r>
        <w:fldChar w:fldCharType="begin"/>
      </w:r>
      <w:r>
        <w:instrText xml:space="preserve"> HYPERLINK \l "_Toc173246179" </w:instrText>
      </w:r>
      <w:r>
        <w:fldChar w:fldCharType="separate"/>
      </w:r>
      <w:r>
        <w:rPr>
          <w:rStyle w:val="59"/>
          <w:rFonts w:ascii="宋体" w:hAnsi="宋体"/>
        </w:rPr>
        <w:t xml:space="preserve">7. </w:t>
      </w:r>
      <w:r>
        <w:rPr>
          <w:rStyle w:val="59"/>
          <w:rFonts w:hint="eastAsia" w:ascii="宋体" w:hAnsi="宋体"/>
        </w:rPr>
        <w:t>合同授予</w:t>
      </w:r>
      <w:r>
        <w:tab/>
      </w:r>
      <w:r>
        <w:fldChar w:fldCharType="begin"/>
      </w:r>
      <w:r>
        <w:instrText xml:space="preserve"> PAGEREF _Toc173246179 \h </w:instrText>
      </w:r>
      <w:r>
        <w:fldChar w:fldCharType="separate"/>
      </w:r>
      <w:r>
        <w:t>25</w:t>
      </w:r>
      <w:r>
        <w:fldChar w:fldCharType="end"/>
      </w:r>
      <w:r>
        <w:fldChar w:fldCharType="end"/>
      </w:r>
    </w:p>
    <w:p>
      <w:pPr>
        <w:pStyle w:val="37"/>
        <w:tabs>
          <w:tab w:val="right" w:leader="dot" w:pos="8683"/>
        </w:tabs>
        <w:rPr>
          <w:rFonts w:asciiTheme="minorHAnsi" w:hAnsiTheme="minorHAnsi" w:cstheme="minorBidi"/>
          <w:szCs w:val="22"/>
        </w:rPr>
      </w:pPr>
      <w:r>
        <w:fldChar w:fldCharType="begin"/>
      </w:r>
      <w:r>
        <w:instrText xml:space="preserve"> HYPERLINK \l "_Toc173246184" </w:instrText>
      </w:r>
      <w:r>
        <w:fldChar w:fldCharType="separate"/>
      </w:r>
      <w:r>
        <w:rPr>
          <w:rStyle w:val="59"/>
          <w:rFonts w:ascii="宋体" w:hAnsi="宋体"/>
        </w:rPr>
        <w:t xml:space="preserve">8. </w:t>
      </w:r>
      <w:r>
        <w:rPr>
          <w:rStyle w:val="59"/>
          <w:rFonts w:hint="eastAsia" w:ascii="宋体" w:hAnsi="宋体"/>
        </w:rPr>
        <w:t>重新招标和不再招标</w:t>
      </w:r>
      <w:r>
        <w:tab/>
      </w:r>
      <w:r>
        <w:fldChar w:fldCharType="begin"/>
      </w:r>
      <w:r>
        <w:instrText xml:space="preserve"> PAGEREF _Toc173246184 \h </w:instrText>
      </w:r>
      <w:r>
        <w:fldChar w:fldCharType="separate"/>
      </w:r>
      <w:r>
        <w:t>26</w:t>
      </w:r>
      <w:r>
        <w:fldChar w:fldCharType="end"/>
      </w:r>
      <w:r>
        <w:fldChar w:fldCharType="end"/>
      </w:r>
    </w:p>
    <w:p>
      <w:pPr>
        <w:pStyle w:val="37"/>
        <w:tabs>
          <w:tab w:val="right" w:leader="dot" w:pos="8683"/>
        </w:tabs>
        <w:rPr>
          <w:rFonts w:asciiTheme="minorHAnsi" w:hAnsiTheme="minorHAnsi" w:cstheme="minorBidi"/>
          <w:szCs w:val="22"/>
        </w:rPr>
      </w:pPr>
      <w:r>
        <w:fldChar w:fldCharType="begin"/>
      </w:r>
      <w:r>
        <w:instrText xml:space="preserve"> HYPERLINK \l "_Toc173246187" </w:instrText>
      </w:r>
      <w:r>
        <w:fldChar w:fldCharType="separate"/>
      </w:r>
      <w:r>
        <w:rPr>
          <w:rStyle w:val="59"/>
          <w:rFonts w:ascii="宋体" w:hAnsi="宋体"/>
        </w:rPr>
        <w:t xml:space="preserve">9. </w:t>
      </w:r>
      <w:r>
        <w:rPr>
          <w:rStyle w:val="59"/>
          <w:rFonts w:hint="eastAsia" w:ascii="宋体" w:hAnsi="宋体"/>
        </w:rPr>
        <w:t>纪律和监督</w:t>
      </w:r>
      <w:r>
        <w:tab/>
      </w:r>
      <w:r>
        <w:fldChar w:fldCharType="begin"/>
      </w:r>
      <w:r>
        <w:instrText xml:space="preserve"> PAGEREF _Toc173246187 \h </w:instrText>
      </w:r>
      <w:r>
        <w:fldChar w:fldCharType="separate"/>
      </w:r>
      <w:r>
        <w:t>26</w:t>
      </w:r>
      <w:r>
        <w:fldChar w:fldCharType="end"/>
      </w:r>
      <w:r>
        <w:fldChar w:fldCharType="end"/>
      </w:r>
    </w:p>
    <w:p>
      <w:pPr>
        <w:pStyle w:val="37"/>
        <w:tabs>
          <w:tab w:val="right" w:leader="dot" w:pos="8683"/>
        </w:tabs>
        <w:rPr>
          <w:rFonts w:asciiTheme="minorHAnsi" w:hAnsiTheme="minorHAnsi" w:cstheme="minorBidi"/>
          <w:szCs w:val="22"/>
        </w:rPr>
      </w:pPr>
      <w:r>
        <w:fldChar w:fldCharType="begin"/>
      </w:r>
      <w:r>
        <w:instrText xml:space="preserve"> HYPERLINK \l "_Toc173246190" </w:instrText>
      </w:r>
      <w:r>
        <w:fldChar w:fldCharType="separate"/>
      </w:r>
      <w:r>
        <w:rPr>
          <w:rStyle w:val="59"/>
          <w:rFonts w:ascii="宋体" w:hAnsi="宋体"/>
        </w:rPr>
        <w:t xml:space="preserve">10. </w:t>
      </w:r>
      <w:r>
        <w:rPr>
          <w:rStyle w:val="59"/>
          <w:rFonts w:hint="eastAsia" w:ascii="宋体" w:hAnsi="宋体"/>
        </w:rPr>
        <w:t>需要补充的其他内容</w:t>
      </w:r>
      <w:r>
        <w:tab/>
      </w:r>
      <w:r>
        <w:fldChar w:fldCharType="begin"/>
      </w:r>
      <w:r>
        <w:instrText xml:space="preserve"> PAGEREF _Toc173246190 \h </w:instrText>
      </w:r>
      <w:r>
        <w:fldChar w:fldCharType="separate"/>
      </w:r>
      <w:r>
        <w:t>27</w:t>
      </w:r>
      <w:r>
        <w:fldChar w:fldCharType="end"/>
      </w:r>
      <w:r>
        <w:fldChar w:fldCharType="end"/>
      </w:r>
    </w:p>
    <w:p>
      <w:pPr>
        <w:pStyle w:val="37"/>
        <w:tabs>
          <w:tab w:val="right" w:leader="dot" w:pos="8683"/>
        </w:tabs>
        <w:ind w:firstLine="210" w:firstLineChars="100"/>
        <w:rPr>
          <w:rFonts w:asciiTheme="minorHAnsi" w:hAnsiTheme="minorHAnsi" w:cstheme="minorBidi"/>
          <w:b/>
          <w:szCs w:val="22"/>
        </w:rPr>
      </w:pPr>
      <w:r>
        <w:fldChar w:fldCharType="begin"/>
      </w:r>
      <w:r>
        <w:instrText xml:space="preserve"> HYPERLINK \l "_Toc173246191" </w:instrText>
      </w:r>
      <w:r>
        <w:fldChar w:fldCharType="separate"/>
      </w:r>
      <w:r>
        <w:rPr>
          <w:rStyle w:val="59"/>
          <w:rFonts w:hint="eastAsia" w:ascii="宋体" w:hAnsi="宋体"/>
          <w:b/>
        </w:rPr>
        <w:t>第三章</w:t>
      </w:r>
      <w:r>
        <w:rPr>
          <w:rStyle w:val="59"/>
          <w:rFonts w:ascii="宋体" w:hAnsi="宋体"/>
          <w:b/>
        </w:rPr>
        <w:t xml:space="preserve"> </w:t>
      </w:r>
      <w:r>
        <w:rPr>
          <w:rStyle w:val="59"/>
          <w:rFonts w:hint="eastAsia" w:ascii="宋体" w:hAnsi="宋体"/>
          <w:b/>
        </w:rPr>
        <w:t>评标办法（合理区间抽取定价法）</w:t>
      </w:r>
      <w:r>
        <w:rPr>
          <w:b/>
        </w:rPr>
        <w:tab/>
      </w:r>
      <w:r>
        <w:rPr>
          <w:b/>
        </w:rPr>
        <w:fldChar w:fldCharType="end"/>
      </w:r>
      <w:r>
        <w:rPr>
          <w:b/>
        </w:rPr>
        <w:t>28</w:t>
      </w:r>
    </w:p>
    <w:p>
      <w:pPr>
        <w:pStyle w:val="37"/>
        <w:tabs>
          <w:tab w:val="right" w:leader="dot" w:pos="8683"/>
        </w:tabs>
        <w:ind w:firstLine="210" w:firstLineChars="100"/>
        <w:rPr>
          <w:rFonts w:asciiTheme="minorHAnsi" w:hAnsiTheme="minorHAnsi" w:cstheme="minorBidi"/>
          <w:b/>
          <w:szCs w:val="22"/>
        </w:rPr>
      </w:pPr>
      <w:r>
        <w:fldChar w:fldCharType="begin"/>
      </w:r>
      <w:r>
        <w:instrText xml:space="preserve"> HYPERLINK \l "_Toc173246197" </w:instrText>
      </w:r>
      <w:r>
        <w:fldChar w:fldCharType="separate"/>
      </w:r>
      <w:r>
        <w:rPr>
          <w:rStyle w:val="59"/>
          <w:rFonts w:hint="eastAsia" w:ascii="宋体" w:hAnsi="宋体"/>
          <w:b/>
        </w:rPr>
        <w:t>第四章</w:t>
      </w:r>
      <w:r>
        <w:rPr>
          <w:rStyle w:val="59"/>
          <w:rFonts w:ascii="宋体" w:hAnsi="宋体"/>
          <w:b/>
        </w:rPr>
        <w:t xml:space="preserve">  </w:t>
      </w:r>
      <w:r>
        <w:rPr>
          <w:rStyle w:val="59"/>
          <w:rFonts w:hint="eastAsia" w:ascii="宋体" w:hAnsi="宋体"/>
          <w:b/>
        </w:rPr>
        <w:t>合同条款及格式</w:t>
      </w:r>
      <w:r>
        <w:rPr>
          <w:b/>
        </w:rPr>
        <w:tab/>
      </w:r>
      <w:r>
        <w:rPr>
          <w:b/>
        </w:rPr>
        <w:fldChar w:fldCharType="begin"/>
      </w:r>
      <w:r>
        <w:rPr>
          <w:b/>
        </w:rPr>
        <w:instrText xml:space="preserve"> PAGEREF _Toc173246197 \h </w:instrText>
      </w:r>
      <w:r>
        <w:rPr>
          <w:b/>
        </w:rPr>
        <w:fldChar w:fldCharType="separate"/>
      </w:r>
      <w:r>
        <w:rPr>
          <w:b/>
        </w:rPr>
        <w:t>31</w:t>
      </w:r>
      <w:r>
        <w:rPr>
          <w:b/>
        </w:rPr>
        <w:fldChar w:fldCharType="end"/>
      </w:r>
      <w:r>
        <w:rPr>
          <w:b/>
        </w:rPr>
        <w:fldChar w:fldCharType="end"/>
      </w:r>
    </w:p>
    <w:p>
      <w:pPr>
        <w:pStyle w:val="37"/>
        <w:tabs>
          <w:tab w:val="right" w:leader="dot" w:pos="8683"/>
        </w:tabs>
        <w:rPr>
          <w:rFonts w:asciiTheme="minorHAnsi" w:hAnsiTheme="minorHAnsi" w:cstheme="minorBidi"/>
          <w:szCs w:val="22"/>
        </w:rPr>
      </w:pPr>
      <w:r>
        <w:fldChar w:fldCharType="begin"/>
      </w:r>
      <w:r>
        <w:instrText xml:space="preserve"> HYPERLINK \l "_Toc173246198" </w:instrText>
      </w:r>
      <w:r>
        <w:fldChar w:fldCharType="separate"/>
      </w:r>
      <w:r>
        <w:rPr>
          <w:rStyle w:val="59"/>
          <w:rFonts w:hint="eastAsia" w:ascii="宋体" w:hAnsi="宋体"/>
        </w:rPr>
        <w:t>第一节</w:t>
      </w:r>
      <w:r>
        <w:rPr>
          <w:rStyle w:val="59"/>
          <w:rFonts w:ascii="宋体" w:hAnsi="宋体"/>
        </w:rPr>
        <w:t xml:space="preserve">  </w:t>
      </w:r>
      <w:r>
        <w:rPr>
          <w:rStyle w:val="59"/>
          <w:rFonts w:hint="eastAsia" w:ascii="宋体" w:hAnsi="宋体"/>
        </w:rPr>
        <w:t>通用合同条款</w:t>
      </w:r>
      <w:r>
        <w:tab/>
      </w:r>
      <w:r>
        <w:fldChar w:fldCharType="begin"/>
      </w:r>
      <w:r>
        <w:instrText xml:space="preserve"> PAGEREF _Toc173246198 \h </w:instrText>
      </w:r>
      <w:r>
        <w:fldChar w:fldCharType="separate"/>
      </w:r>
      <w:r>
        <w:t>32</w:t>
      </w:r>
      <w:r>
        <w:fldChar w:fldCharType="end"/>
      </w:r>
      <w:r>
        <w:fldChar w:fldCharType="end"/>
      </w:r>
    </w:p>
    <w:p>
      <w:pPr>
        <w:pStyle w:val="37"/>
        <w:tabs>
          <w:tab w:val="right" w:leader="dot" w:pos="8683"/>
        </w:tabs>
        <w:rPr>
          <w:rFonts w:asciiTheme="minorHAnsi" w:hAnsiTheme="minorHAnsi" w:cstheme="minorBidi"/>
          <w:szCs w:val="22"/>
        </w:rPr>
      </w:pPr>
      <w:r>
        <w:fldChar w:fldCharType="begin"/>
      </w:r>
      <w:r>
        <w:instrText xml:space="preserve"> HYPERLINK \l "_Toc173246199" </w:instrText>
      </w:r>
      <w:r>
        <w:fldChar w:fldCharType="separate"/>
      </w:r>
      <w:r>
        <w:rPr>
          <w:rStyle w:val="59"/>
          <w:rFonts w:hint="eastAsia" w:ascii="宋体" w:hAnsi="宋体"/>
        </w:rPr>
        <w:t>第二节</w:t>
      </w:r>
      <w:r>
        <w:rPr>
          <w:rStyle w:val="59"/>
          <w:rFonts w:ascii="宋体" w:hAnsi="宋体"/>
        </w:rPr>
        <w:t xml:space="preserve"> </w:t>
      </w:r>
      <w:r>
        <w:rPr>
          <w:rStyle w:val="59"/>
          <w:rFonts w:hint="eastAsia" w:ascii="宋体" w:hAnsi="宋体"/>
        </w:rPr>
        <w:t>专用合同条款</w:t>
      </w:r>
      <w:r>
        <w:tab/>
      </w:r>
      <w:r>
        <w:fldChar w:fldCharType="begin"/>
      </w:r>
      <w:r>
        <w:instrText xml:space="preserve"> PAGEREF _Toc173246199 \h </w:instrText>
      </w:r>
      <w:r>
        <w:fldChar w:fldCharType="separate"/>
      </w:r>
      <w:r>
        <w:t>33</w:t>
      </w:r>
      <w:r>
        <w:fldChar w:fldCharType="end"/>
      </w:r>
      <w:r>
        <w:fldChar w:fldCharType="end"/>
      </w:r>
    </w:p>
    <w:p>
      <w:pPr>
        <w:pStyle w:val="37"/>
        <w:tabs>
          <w:tab w:val="left" w:pos="840"/>
          <w:tab w:val="right" w:leader="dot" w:pos="8683"/>
        </w:tabs>
        <w:rPr>
          <w:rStyle w:val="59"/>
        </w:rPr>
      </w:pPr>
      <w:r>
        <w:fldChar w:fldCharType="begin"/>
      </w:r>
      <w:r>
        <w:instrText xml:space="preserve"> HYPERLINK \l "_Toc173246262" </w:instrText>
      </w:r>
      <w:r>
        <w:fldChar w:fldCharType="separate"/>
      </w:r>
      <w:r>
        <w:rPr>
          <w:rStyle w:val="59"/>
          <w:rFonts w:hint="eastAsia" w:ascii="宋体" w:hAnsi="宋体"/>
        </w:rPr>
        <w:t>第三节</w:t>
      </w:r>
      <w:r>
        <w:rPr>
          <w:rFonts w:asciiTheme="minorHAnsi" w:hAnsiTheme="minorHAnsi" w:cstheme="minorBidi"/>
          <w:szCs w:val="22"/>
        </w:rPr>
        <w:tab/>
      </w:r>
      <w:r>
        <w:rPr>
          <w:rStyle w:val="59"/>
          <w:rFonts w:hint="eastAsia" w:ascii="宋体" w:hAnsi="宋体"/>
        </w:rPr>
        <w:t>合同附件格式</w:t>
      </w:r>
      <w:r>
        <w:tab/>
      </w:r>
      <w:r>
        <w:fldChar w:fldCharType="begin"/>
      </w:r>
      <w:r>
        <w:instrText xml:space="preserve"> PAGEREF _Toc173246262 \h </w:instrText>
      </w:r>
      <w:r>
        <w:fldChar w:fldCharType="separate"/>
      </w:r>
      <w:r>
        <w:t>57</w:t>
      </w:r>
      <w:r>
        <w:fldChar w:fldCharType="end"/>
      </w:r>
      <w:r>
        <w:fldChar w:fldCharType="end"/>
      </w:r>
    </w:p>
    <w:p>
      <w:pPr>
        <w:ind w:firstLine="211" w:firstLineChars="100"/>
        <w:rPr>
          <w:b/>
        </w:rPr>
      </w:pPr>
      <w:r>
        <w:rPr>
          <w:rFonts w:hint="eastAsia"/>
          <w:b/>
        </w:rPr>
        <w:t>第五章 工程量清单................................................................................................................</w:t>
      </w:r>
      <w:r>
        <w:rPr>
          <w:b/>
        </w:rPr>
        <w:t>...68</w:t>
      </w:r>
    </w:p>
    <w:p>
      <w:pPr>
        <w:pStyle w:val="37"/>
        <w:tabs>
          <w:tab w:val="right" w:leader="dot" w:pos="8683"/>
        </w:tabs>
        <w:rPr>
          <w:rStyle w:val="59"/>
          <w:b/>
          <w:color w:val="auto"/>
          <w:u w:val="none"/>
        </w:rPr>
      </w:pPr>
      <w:r>
        <w:fldChar w:fldCharType="begin"/>
      </w:r>
      <w:r>
        <w:instrText xml:space="preserve"> HYPERLINK \l "_Toc173246263" </w:instrText>
      </w:r>
      <w:r>
        <w:fldChar w:fldCharType="separate"/>
      </w:r>
      <w:r>
        <w:rPr>
          <w:rStyle w:val="59"/>
          <w:rFonts w:hint="eastAsia" w:ascii="宋体" w:hAnsi="宋体"/>
          <w:b/>
          <w:color w:val="auto"/>
          <w:u w:val="none"/>
        </w:rPr>
        <w:t>第</w:t>
      </w:r>
      <w:r>
        <w:rPr>
          <w:rStyle w:val="59"/>
          <w:rFonts w:ascii="宋体" w:hAnsi="宋体"/>
          <w:b/>
          <w:color w:val="auto"/>
          <w:u w:val="none"/>
        </w:rPr>
        <w:t xml:space="preserve"> </w:t>
      </w:r>
      <w:r>
        <w:rPr>
          <w:rStyle w:val="59"/>
          <w:rFonts w:hint="eastAsia" w:ascii="宋体" w:hAnsi="宋体"/>
          <w:b/>
          <w:color w:val="auto"/>
          <w:u w:val="none"/>
        </w:rPr>
        <w:t>二</w:t>
      </w:r>
      <w:r>
        <w:rPr>
          <w:rStyle w:val="59"/>
          <w:rFonts w:ascii="宋体" w:hAnsi="宋体"/>
          <w:b/>
          <w:color w:val="auto"/>
          <w:u w:val="none"/>
        </w:rPr>
        <w:t xml:space="preserve"> </w:t>
      </w:r>
      <w:r>
        <w:rPr>
          <w:rStyle w:val="59"/>
          <w:rFonts w:hint="eastAsia" w:ascii="宋体" w:hAnsi="宋体"/>
          <w:b/>
          <w:color w:val="auto"/>
          <w:u w:val="none"/>
        </w:rPr>
        <w:t>卷</w:t>
      </w:r>
      <w:r>
        <w:rPr>
          <w:b/>
        </w:rPr>
        <w:tab/>
      </w:r>
      <w:r>
        <w:rPr>
          <w:b/>
        </w:rPr>
        <w:fldChar w:fldCharType="begin"/>
      </w:r>
      <w:r>
        <w:rPr>
          <w:b/>
        </w:rPr>
        <w:instrText xml:space="preserve"> PAGEREF _Toc173246263 \h </w:instrText>
      </w:r>
      <w:r>
        <w:rPr>
          <w:b/>
        </w:rPr>
        <w:fldChar w:fldCharType="separate"/>
      </w:r>
      <w:r>
        <w:rPr>
          <w:b/>
        </w:rPr>
        <w:t>71</w:t>
      </w:r>
      <w:r>
        <w:rPr>
          <w:b/>
        </w:rPr>
        <w:fldChar w:fldCharType="end"/>
      </w:r>
      <w:r>
        <w:rPr>
          <w:b/>
        </w:rPr>
        <w:fldChar w:fldCharType="end"/>
      </w:r>
    </w:p>
    <w:p>
      <w:pPr>
        <w:rPr>
          <w:b/>
        </w:rPr>
      </w:pPr>
      <w:r>
        <w:rPr>
          <w:rFonts w:hint="eastAsia"/>
          <w:b/>
        </w:rPr>
        <w:t>第六章 图纸</w:t>
      </w:r>
      <w:r>
        <w:rPr>
          <w:b/>
        </w:rPr>
        <w:t>（</w:t>
      </w:r>
      <w:r>
        <w:rPr>
          <w:rFonts w:hint="eastAsia"/>
          <w:b/>
        </w:rPr>
        <w:t>另册</w:t>
      </w:r>
      <w:r>
        <w:rPr>
          <w:b/>
        </w:rPr>
        <w:t>）</w:t>
      </w:r>
      <w:r>
        <w:rPr>
          <w:rFonts w:hint="eastAsia"/>
          <w:b/>
        </w:rPr>
        <w:t>....................................................................................................................</w:t>
      </w:r>
      <w:r>
        <w:rPr>
          <w:b/>
        </w:rPr>
        <w:t>72</w:t>
      </w:r>
    </w:p>
    <w:p>
      <w:pPr>
        <w:pStyle w:val="37"/>
        <w:tabs>
          <w:tab w:val="right" w:leader="dot" w:pos="8683"/>
        </w:tabs>
        <w:rPr>
          <w:b/>
        </w:rPr>
      </w:pPr>
      <w:r>
        <w:fldChar w:fldCharType="begin"/>
      </w:r>
      <w:r>
        <w:instrText xml:space="preserve"> HYPERLINK \l "_Toc173246264" </w:instrText>
      </w:r>
      <w:r>
        <w:fldChar w:fldCharType="separate"/>
      </w:r>
      <w:r>
        <w:rPr>
          <w:rFonts w:hint="eastAsia"/>
          <w:b/>
        </w:rPr>
        <w:t>第</w:t>
      </w:r>
      <w:r>
        <w:rPr>
          <w:b/>
        </w:rPr>
        <w:t xml:space="preserve"> </w:t>
      </w:r>
      <w:r>
        <w:rPr>
          <w:rFonts w:hint="eastAsia"/>
          <w:b/>
        </w:rPr>
        <w:t>三</w:t>
      </w:r>
      <w:r>
        <w:rPr>
          <w:b/>
        </w:rPr>
        <w:t xml:space="preserve"> </w:t>
      </w:r>
      <w:r>
        <w:rPr>
          <w:rFonts w:hint="eastAsia"/>
          <w:b/>
        </w:rPr>
        <w:t>卷</w:t>
      </w:r>
      <w:r>
        <w:rPr>
          <w:b/>
        </w:rPr>
        <w:tab/>
      </w:r>
      <w:r>
        <w:rPr>
          <w:b/>
        </w:rPr>
        <w:fldChar w:fldCharType="begin"/>
      </w:r>
      <w:r>
        <w:rPr>
          <w:b/>
        </w:rPr>
        <w:instrText xml:space="preserve"> PAGEREF _Toc173246264 \h </w:instrText>
      </w:r>
      <w:r>
        <w:rPr>
          <w:b/>
        </w:rPr>
        <w:fldChar w:fldCharType="separate"/>
      </w:r>
      <w:r>
        <w:rPr>
          <w:b/>
        </w:rPr>
        <w:t>73</w:t>
      </w:r>
      <w:r>
        <w:rPr>
          <w:b/>
        </w:rPr>
        <w:fldChar w:fldCharType="end"/>
      </w:r>
      <w:r>
        <w:rPr>
          <w:b/>
        </w:rPr>
        <w:fldChar w:fldCharType="end"/>
      </w:r>
    </w:p>
    <w:p>
      <w:pPr>
        <w:ind w:firstLine="211" w:firstLineChars="100"/>
        <w:rPr>
          <w:b/>
        </w:rPr>
      </w:pPr>
      <w:r>
        <w:rPr>
          <w:rFonts w:hint="eastAsia"/>
          <w:b/>
        </w:rPr>
        <w:t>第七</w:t>
      </w:r>
      <w:r>
        <w:rPr>
          <w:b/>
        </w:rPr>
        <w:t>章</w:t>
      </w:r>
      <w:r>
        <w:rPr>
          <w:rFonts w:hint="eastAsia"/>
          <w:b/>
        </w:rPr>
        <w:t xml:space="preserve"> 技术</w:t>
      </w:r>
      <w:r>
        <w:rPr>
          <w:b/>
        </w:rPr>
        <w:t>规范</w:t>
      </w:r>
      <w:r>
        <w:rPr>
          <w:rFonts w:hint="eastAsia"/>
          <w:b/>
        </w:rPr>
        <w:t>.......................................................................................................................</w:t>
      </w:r>
      <w:r>
        <w:rPr>
          <w:b/>
        </w:rPr>
        <w:t>74</w:t>
      </w:r>
    </w:p>
    <w:p>
      <w:pPr>
        <w:pStyle w:val="37"/>
        <w:tabs>
          <w:tab w:val="right" w:leader="dot" w:pos="8683"/>
          <w:tab w:val="right" w:pos="9411"/>
        </w:tabs>
        <w:rPr>
          <w:rStyle w:val="59"/>
          <w:b/>
          <w:color w:val="auto"/>
          <w:u w:val="none"/>
        </w:rPr>
      </w:pPr>
      <w:r>
        <w:fldChar w:fldCharType="begin"/>
      </w:r>
      <w:r>
        <w:instrText xml:space="preserve"> HYPERLINK \l "_Toc173246265" </w:instrText>
      </w:r>
      <w:r>
        <w:fldChar w:fldCharType="separate"/>
      </w:r>
      <w:r>
        <w:rPr>
          <w:rStyle w:val="59"/>
          <w:rFonts w:hint="eastAsia" w:ascii="宋体" w:hAnsi="宋体"/>
          <w:b/>
          <w:color w:val="auto"/>
          <w:u w:val="none"/>
        </w:rPr>
        <w:t>第</w:t>
      </w:r>
      <w:r>
        <w:rPr>
          <w:rStyle w:val="59"/>
          <w:rFonts w:ascii="宋体" w:hAnsi="宋体"/>
          <w:b/>
          <w:color w:val="auto"/>
          <w:u w:val="none"/>
        </w:rPr>
        <w:t xml:space="preserve"> </w:t>
      </w:r>
      <w:r>
        <w:rPr>
          <w:rStyle w:val="59"/>
          <w:rFonts w:hint="eastAsia" w:ascii="宋体" w:hAnsi="宋体"/>
          <w:b/>
          <w:color w:val="auto"/>
          <w:u w:val="none"/>
        </w:rPr>
        <w:t>四</w:t>
      </w:r>
      <w:r>
        <w:rPr>
          <w:rStyle w:val="59"/>
          <w:rFonts w:ascii="宋体" w:hAnsi="宋体"/>
          <w:b/>
          <w:color w:val="auto"/>
          <w:u w:val="none"/>
        </w:rPr>
        <w:t xml:space="preserve"> </w:t>
      </w:r>
      <w:r>
        <w:rPr>
          <w:rStyle w:val="59"/>
          <w:rFonts w:hint="eastAsia" w:ascii="宋体" w:hAnsi="宋体"/>
          <w:b/>
          <w:color w:val="auto"/>
          <w:u w:val="none"/>
        </w:rPr>
        <w:t>卷</w:t>
      </w:r>
      <w:r>
        <w:rPr>
          <w:b/>
        </w:rPr>
        <w:tab/>
      </w:r>
      <w:r>
        <w:rPr>
          <w:b/>
        </w:rPr>
        <w:fldChar w:fldCharType="end"/>
      </w:r>
      <w:r>
        <w:rPr>
          <w:rStyle w:val="59"/>
          <w:b/>
          <w:color w:val="auto"/>
          <w:u w:val="none"/>
        </w:rPr>
        <w:t>82</w:t>
      </w:r>
    </w:p>
    <w:p>
      <w:pPr>
        <w:ind w:firstLine="316" w:firstLineChars="150"/>
        <w:rPr>
          <w:b/>
        </w:rPr>
      </w:pPr>
      <w:r>
        <w:rPr>
          <w:rFonts w:hint="eastAsia"/>
          <w:b/>
        </w:rPr>
        <w:t>第八</w:t>
      </w:r>
      <w:r>
        <w:rPr>
          <w:b/>
        </w:rPr>
        <w:t>章</w:t>
      </w:r>
      <w:r>
        <w:rPr>
          <w:rFonts w:hint="eastAsia"/>
          <w:b/>
        </w:rPr>
        <w:t xml:space="preserve"> 工程量</w:t>
      </w:r>
      <w:r>
        <w:rPr>
          <w:b/>
        </w:rPr>
        <w:t>清单计量规则</w:t>
      </w:r>
      <w:r>
        <w:rPr>
          <w:rFonts w:hint="eastAsia"/>
          <w:b/>
        </w:rPr>
        <w:t>..................................................................................................</w:t>
      </w:r>
      <w:r>
        <w:rPr>
          <w:b/>
        </w:rPr>
        <w:t>83</w:t>
      </w:r>
    </w:p>
    <w:p>
      <w:pPr>
        <w:pStyle w:val="37"/>
        <w:tabs>
          <w:tab w:val="right" w:leader="dot" w:pos="8683"/>
        </w:tabs>
        <w:ind w:firstLine="316" w:firstLineChars="150"/>
        <w:rPr>
          <w:rStyle w:val="59"/>
          <w:rFonts w:ascii="宋体" w:hAnsi="宋体"/>
          <w:b/>
          <w:color w:val="auto"/>
          <w:u w:val="none"/>
        </w:rPr>
      </w:pPr>
      <w:r>
        <w:rPr>
          <w:rStyle w:val="59"/>
          <w:rFonts w:hint="eastAsia" w:ascii="宋体" w:hAnsi="宋体"/>
          <w:b/>
          <w:color w:val="auto"/>
          <w:u w:val="none"/>
        </w:rPr>
        <w:t>第九</w:t>
      </w:r>
      <w:r>
        <w:rPr>
          <w:rStyle w:val="59"/>
          <w:rFonts w:ascii="宋体" w:hAnsi="宋体"/>
          <w:b/>
          <w:color w:val="auto"/>
          <w:u w:val="none"/>
        </w:rPr>
        <w:t>章</w:t>
      </w:r>
      <w:r>
        <w:rPr>
          <w:rStyle w:val="59"/>
          <w:rFonts w:hint="eastAsia" w:ascii="宋体" w:hAnsi="宋体"/>
          <w:b/>
          <w:color w:val="auto"/>
          <w:u w:val="none"/>
        </w:rPr>
        <w:t xml:space="preserve"> 投标文件</w:t>
      </w:r>
      <w:r>
        <w:rPr>
          <w:rStyle w:val="59"/>
          <w:rFonts w:ascii="宋体" w:hAnsi="宋体"/>
          <w:b/>
          <w:color w:val="auto"/>
          <w:u w:val="none"/>
        </w:rPr>
        <w:t>格式..........................................................84</w:t>
      </w:r>
    </w:p>
    <w:p>
      <w:pPr>
        <w:pStyle w:val="37"/>
        <w:tabs>
          <w:tab w:val="right" w:leader="dot" w:pos="8683"/>
        </w:tabs>
        <w:rPr>
          <w:rFonts w:asciiTheme="minorHAnsi" w:hAnsiTheme="minorHAnsi" w:cstheme="minorBidi"/>
          <w:szCs w:val="22"/>
        </w:rPr>
      </w:pPr>
      <w:r>
        <w:fldChar w:fldCharType="begin"/>
      </w:r>
      <w:r>
        <w:instrText xml:space="preserve"> HYPERLINK \l "_Toc173246266" </w:instrText>
      </w:r>
      <w:r>
        <w:fldChar w:fldCharType="separate"/>
      </w:r>
      <w:r>
        <w:rPr>
          <w:rStyle w:val="59"/>
          <w:rFonts w:hint="eastAsia" w:ascii="宋体" w:hAnsi="宋体"/>
        </w:rPr>
        <w:t>一、 投标函</w:t>
      </w:r>
      <w:r>
        <w:tab/>
      </w:r>
      <w:r>
        <w:fldChar w:fldCharType="end"/>
      </w:r>
      <w:r>
        <w:rPr>
          <w:rStyle w:val="59"/>
          <w:color w:val="auto"/>
          <w:u w:val="none"/>
        </w:rPr>
        <w:t>87</w:t>
      </w:r>
    </w:p>
    <w:p>
      <w:pPr>
        <w:pStyle w:val="37"/>
        <w:tabs>
          <w:tab w:val="right" w:leader="dot" w:pos="8683"/>
        </w:tabs>
        <w:rPr>
          <w:rFonts w:asciiTheme="minorHAnsi" w:hAnsiTheme="minorHAnsi" w:cstheme="minorBidi"/>
          <w:szCs w:val="22"/>
        </w:rPr>
      </w:pPr>
      <w:r>
        <w:fldChar w:fldCharType="begin"/>
      </w:r>
      <w:r>
        <w:instrText xml:space="preserve"> HYPERLINK \l "_Toc173246267" </w:instrText>
      </w:r>
      <w:r>
        <w:fldChar w:fldCharType="separate"/>
      </w:r>
      <w:r>
        <w:rPr>
          <w:rStyle w:val="59"/>
          <w:rFonts w:hint="eastAsia" w:ascii="宋体" w:hAnsi="宋体"/>
          <w:color w:val="auto"/>
          <w:u w:val="none"/>
        </w:rPr>
        <w:t>二、投标函附录</w:t>
      </w:r>
      <w:r>
        <w:tab/>
      </w:r>
      <w:r>
        <w:fldChar w:fldCharType="end"/>
      </w:r>
      <w:r>
        <w:rPr>
          <w:rStyle w:val="59"/>
          <w:color w:val="auto"/>
          <w:u w:val="none"/>
        </w:rPr>
        <w:t>88</w:t>
      </w:r>
    </w:p>
    <w:p>
      <w:pPr>
        <w:pStyle w:val="37"/>
        <w:tabs>
          <w:tab w:val="right" w:leader="dot" w:pos="8683"/>
        </w:tabs>
        <w:rPr>
          <w:rFonts w:asciiTheme="minorHAnsi" w:hAnsiTheme="minorHAnsi" w:cstheme="minorBidi"/>
          <w:szCs w:val="22"/>
        </w:rPr>
      </w:pPr>
      <w:r>
        <w:fldChar w:fldCharType="begin"/>
      </w:r>
      <w:r>
        <w:instrText xml:space="preserve"> HYPERLINK \l "_Toc173246268" </w:instrText>
      </w:r>
      <w:r>
        <w:fldChar w:fldCharType="separate"/>
      </w:r>
      <w:r>
        <w:rPr>
          <w:rStyle w:val="59"/>
          <w:rFonts w:hint="eastAsia" w:ascii="宋体" w:hAnsi="宋体"/>
          <w:color w:val="auto"/>
          <w:u w:val="none"/>
        </w:rPr>
        <w:t>三、法定代表人身份证明及附有法定代表人身份证明的授权委托书</w:t>
      </w:r>
      <w:r>
        <w:tab/>
      </w:r>
      <w:r>
        <w:fldChar w:fldCharType="end"/>
      </w:r>
      <w:r>
        <w:rPr>
          <w:rStyle w:val="59"/>
          <w:color w:val="auto"/>
          <w:u w:val="none"/>
        </w:rPr>
        <w:t>89</w:t>
      </w:r>
    </w:p>
    <w:p>
      <w:pPr>
        <w:pStyle w:val="37"/>
        <w:tabs>
          <w:tab w:val="right" w:leader="dot" w:pos="8683"/>
        </w:tabs>
        <w:rPr>
          <w:rFonts w:asciiTheme="minorHAnsi" w:hAnsiTheme="minorHAnsi" w:cstheme="minorBidi"/>
          <w:szCs w:val="22"/>
        </w:rPr>
      </w:pPr>
      <w:r>
        <w:fldChar w:fldCharType="begin"/>
      </w:r>
      <w:r>
        <w:instrText xml:space="preserve"> HYPERLINK \l "_Toc173246269" </w:instrText>
      </w:r>
      <w:r>
        <w:fldChar w:fldCharType="separate"/>
      </w:r>
      <w:r>
        <w:rPr>
          <w:rStyle w:val="59"/>
          <w:rFonts w:hint="eastAsia" w:ascii="宋体" w:hAnsi="宋体"/>
          <w:color w:val="auto"/>
          <w:u w:val="none"/>
        </w:rPr>
        <w:t>四、项目管理机构</w:t>
      </w:r>
      <w:r>
        <w:tab/>
      </w:r>
      <w:r>
        <w:fldChar w:fldCharType="end"/>
      </w:r>
      <w:r>
        <w:rPr>
          <w:rStyle w:val="59"/>
          <w:color w:val="auto"/>
          <w:u w:val="none"/>
        </w:rPr>
        <w:t>91</w:t>
      </w:r>
    </w:p>
    <w:p>
      <w:pPr>
        <w:pStyle w:val="37"/>
        <w:tabs>
          <w:tab w:val="right" w:leader="dot" w:pos="8683"/>
        </w:tabs>
        <w:rPr>
          <w:rFonts w:asciiTheme="minorHAnsi" w:hAnsiTheme="minorHAnsi" w:cstheme="minorBidi"/>
          <w:szCs w:val="22"/>
        </w:rPr>
      </w:pPr>
      <w:r>
        <w:fldChar w:fldCharType="begin"/>
      </w:r>
      <w:r>
        <w:instrText xml:space="preserve"> HYPERLINK \l "_Toc173246270" </w:instrText>
      </w:r>
      <w:r>
        <w:fldChar w:fldCharType="separate"/>
      </w:r>
      <w:r>
        <w:rPr>
          <w:rStyle w:val="59"/>
          <w:rFonts w:hint="eastAsia" w:ascii="宋体" w:hAnsi="宋体"/>
          <w:color w:val="auto"/>
          <w:u w:val="none"/>
        </w:rPr>
        <w:t>五、资格审查资料</w:t>
      </w:r>
      <w:r>
        <w:tab/>
      </w:r>
      <w:r>
        <w:fldChar w:fldCharType="end"/>
      </w:r>
      <w:r>
        <w:rPr>
          <w:rStyle w:val="59"/>
          <w:color w:val="auto"/>
          <w:u w:val="none"/>
        </w:rPr>
        <w:t>92</w:t>
      </w:r>
    </w:p>
    <w:p>
      <w:pPr>
        <w:pStyle w:val="37"/>
        <w:tabs>
          <w:tab w:val="right" w:leader="dot" w:pos="8683"/>
        </w:tabs>
        <w:rPr>
          <w:rFonts w:asciiTheme="minorHAnsi" w:hAnsiTheme="minorHAnsi" w:cstheme="minorBidi"/>
          <w:szCs w:val="22"/>
        </w:rPr>
      </w:pPr>
      <w:r>
        <w:fldChar w:fldCharType="begin"/>
      </w:r>
      <w:r>
        <w:instrText xml:space="preserve"> HYPERLINK \l "_Toc173246271" </w:instrText>
      </w:r>
      <w:r>
        <w:fldChar w:fldCharType="separate"/>
      </w:r>
      <w:r>
        <w:rPr>
          <w:rStyle w:val="59"/>
          <w:rFonts w:hint="eastAsia" w:ascii="宋体" w:hAnsi="宋体"/>
          <w:color w:val="auto"/>
          <w:u w:val="none"/>
        </w:rPr>
        <w:t>（一）投标人基本情况表</w:t>
      </w:r>
      <w:r>
        <w:tab/>
      </w:r>
      <w:r>
        <w:fldChar w:fldCharType="end"/>
      </w:r>
      <w:r>
        <w:rPr>
          <w:rStyle w:val="59"/>
          <w:color w:val="auto"/>
          <w:u w:val="none"/>
        </w:rPr>
        <w:t>93</w:t>
      </w:r>
    </w:p>
    <w:p>
      <w:pPr>
        <w:pStyle w:val="37"/>
        <w:tabs>
          <w:tab w:val="right" w:leader="dot" w:pos="8683"/>
        </w:tabs>
        <w:rPr>
          <w:rFonts w:asciiTheme="majorEastAsia" w:hAnsiTheme="majorEastAsia" w:eastAsiaTheme="majorEastAsia" w:cstheme="minorBidi"/>
          <w:szCs w:val="22"/>
        </w:rPr>
      </w:pPr>
      <w:r>
        <w:fldChar w:fldCharType="begin"/>
      </w:r>
      <w:r>
        <w:instrText xml:space="preserve"> HYPERLINK \l "_Toc173246272" </w:instrText>
      </w:r>
      <w:r>
        <w:fldChar w:fldCharType="separate"/>
      </w:r>
      <w:r>
        <w:rPr>
          <w:rStyle w:val="59"/>
          <w:rFonts w:hint="eastAsia" w:asciiTheme="majorEastAsia" w:hAnsiTheme="majorEastAsia" w:eastAsiaTheme="majorEastAsia"/>
          <w:color w:val="auto"/>
          <w:u w:val="none"/>
        </w:rPr>
        <w:t>（二）投标人的信誉情况</w:t>
      </w:r>
      <w:r>
        <w:tab/>
      </w:r>
      <w:r>
        <w:rPr>
          <w:rFonts w:asciiTheme="majorEastAsia" w:hAnsiTheme="majorEastAsia" w:eastAsiaTheme="majorEastAsia"/>
        </w:rPr>
        <w:fldChar w:fldCharType="begin"/>
      </w:r>
      <w:r>
        <w:rPr>
          <w:rFonts w:asciiTheme="majorEastAsia" w:hAnsiTheme="majorEastAsia" w:eastAsiaTheme="majorEastAsia"/>
        </w:rPr>
        <w:instrText xml:space="preserve"> PAGEREF _Toc173246272 \h </w:instrText>
      </w:r>
      <w:r>
        <w:rPr>
          <w:rFonts w:asciiTheme="majorEastAsia" w:hAnsiTheme="majorEastAsia" w:eastAsiaTheme="majorEastAsia"/>
        </w:rPr>
        <w:fldChar w:fldCharType="separate"/>
      </w:r>
      <w:r>
        <w:rPr>
          <w:rFonts w:asciiTheme="majorEastAsia" w:hAnsiTheme="majorEastAsia" w:eastAsiaTheme="majorEastAsia"/>
        </w:rPr>
        <w:t>9</w:t>
      </w:r>
      <w:r>
        <w:rPr>
          <w:rFonts w:asciiTheme="majorEastAsia" w:hAnsiTheme="majorEastAsia" w:eastAsiaTheme="majorEastAsia"/>
        </w:rPr>
        <w:fldChar w:fldCharType="end"/>
      </w:r>
      <w:r>
        <w:rPr>
          <w:rFonts w:asciiTheme="majorEastAsia" w:hAnsiTheme="majorEastAsia" w:eastAsiaTheme="majorEastAsia"/>
        </w:rPr>
        <w:fldChar w:fldCharType="end"/>
      </w:r>
      <w:r>
        <w:rPr>
          <w:rFonts w:asciiTheme="majorEastAsia" w:hAnsiTheme="majorEastAsia" w:eastAsiaTheme="majorEastAsia"/>
        </w:rPr>
        <w:t>4</w:t>
      </w:r>
    </w:p>
    <w:p>
      <w:pPr>
        <w:pStyle w:val="37"/>
        <w:tabs>
          <w:tab w:val="right" w:leader="dot" w:pos="8683"/>
        </w:tabs>
        <w:rPr>
          <w:rFonts w:asciiTheme="minorHAnsi" w:hAnsiTheme="minorHAnsi" w:cstheme="minorBidi"/>
          <w:szCs w:val="22"/>
        </w:rPr>
      </w:pPr>
      <w:r>
        <w:fldChar w:fldCharType="begin"/>
      </w:r>
      <w:r>
        <w:instrText xml:space="preserve"> HYPERLINK \l "_Toc173246273" </w:instrText>
      </w:r>
      <w:r>
        <w:fldChar w:fldCharType="separate"/>
      </w:r>
      <w:r>
        <w:rPr>
          <w:rStyle w:val="59"/>
          <w:rFonts w:hint="eastAsia" w:ascii="宋体" w:hAnsi="宋体"/>
          <w:color w:val="auto"/>
          <w:u w:val="none"/>
        </w:rPr>
        <w:t>（三）拟委任的项目经理、项目技术负责人和安全负责人资历表</w:t>
      </w:r>
      <w:r>
        <w:tab/>
      </w:r>
      <w:r>
        <w:fldChar w:fldCharType="begin"/>
      </w:r>
      <w:r>
        <w:instrText xml:space="preserve"> PAGEREF _Toc173246273 \h </w:instrText>
      </w:r>
      <w:r>
        <w:fldChar w:fldCharType="separate"/>
      </w:r>
      <w:r>
        <w:t>9</w:t>
      </w:r>
      <w:r>
        <w:fldChar w:fldCharType="end"/>
      </w:r>
      <w:r>
        <w:fldChar w:fldCharType="end"/>
      </w:r>
      <w:r>
        <w:t>5</w:t>
      </w:r>
    </w:p>
    <w:p>
      <w:pPr>
        <w:pStyle w:val="37"/>
        <w:tabs>
          <w:tab w:val="right" w:leader="dot" w:pos="8683"/>
        </w:tabs>
        <w:rPr>
          <w:rFonts w:asciiTheme="minorHAnsi" w:hAnsiTheme="minorHAnsi" w:cstheme="minorBidi"/>
          <w:szCs w:val="22"/>
        </w:rPr>
      </w:pPr>
      <w:r>
        <w:fldChar w:fldCharType="begin"/>
      </w:r>
      <w:r>
        <w:instrText xml:space="preserve"> HYPERLINK \l "_Toc173246274" </w:instrText>
      </w:r>
      <w:r>
        <w:fldChar w:fldCharType="separate"/>
      </w:r>
      <w:r>
        <w:rPr>
          <w:rStyle w:val="59"/>
          <w:rFonts w:hint="eastAsia" w:ascii="宋体" w:hAnsi="宋体"/>
          <w:color w:val="auto"/>
          <w:u w:val="none"/>
        </w:rPr>
        <w:t>（四）财务要求</w:t>
      </w:r>
      <w:r>
        <w:tab/>
      </w:r>
      <w:r>
        <w:fldChar w:fldCharType="begin"/>
      </w:r>
      <w:r>
        <w:instrText xml:space="preserve"> PAGEREF _Toc173246274 \h </w:instrText>
      </w:r>
      <w:r>
        <w:fldChar w:fldCharType="separate"/>
      </w:r>
      <w:r>
        <w:t>9</w:t>
      </w:r>
      <w:r>
        <w:fldChar w:fldCharType="end"/>
      </w:r>
      <w:r>
        <w:fldChar w:fldCharType="end"/>
      </w:r>
      <w:r>
        <w:t>6</w:t>
      </w:r>
    </w:p>
    <w:p>
      <w:pPr>
        <w:pStyle w:val="37"/>
        <w:tabs>
          <w:tab w:val="right" w:leader="dot" w:pos="8683"/>
        </w:tabs>
        <w:rPr>
          <w:rFonts w:asciiTheme="minorHAnsi" w:hAnsiTheme="minorHAnsi" w:cstheme="minorBidi"/>
          <w:szCs w:val="22"/>
        </w:rPr>
      </w:pPr>
      <w:r>
        <w:fldChar w:fldCharType="begin"/>
      </w:r>
      <w:r>
        <w:instrText xml:space="preserve"> HYPERLINK \l "_Toc173246275" </w:instrText>
      </w:r>
      <w:r>
        <w:fldChar w:fldCharType="separate"/>
      </w:r>
      <w:r>
        <w:rPr>
          <w:rStyle w:val="59"/>
          <w:rFonts w:hint="eastAsia" w:ascii="宋体" w:hAnsi="宋体"/>
          <w:color w:val="auto"/>
          <w:u w:val="none"/>
        </w:rPr>
        <w:t>（五）履约行为表</w:t>
      </w:r>
      <w:r>
        <w:tab/>
      </w:r>
      <w:r>
        <w:fldChar w:fldCharType="end"/>
      </w:r>
      <w:r>
        <w:rPr>
          <w:rStyle w:val="59"/>
          <w:color w:val="auto"/>
          <w:u w:val="none"/>
        </w:rPr>
        <w:t>97</w:t>
      </w:r>
    </w:p>
    <w:p>
      <w:pPr>
        <w:pStyle w:val="37"/>
        <w:tabs>
          <w:tab w:val="right" w:leader="dot" w:pos="8683"/>
        </w:tabs>
        <w:rPr>
          <w:rFonts w:asciiTheme="minorHAnsi" w:hAnsiTheme="minorHAnsi" w:cstheme="minorBidi"/>
          <w:szCs w:val="22"/>
        </w:rPr>
      </w:pPr>
      <w:r>
        <w:fldChar w:fldCharType="begin"/>
      </w:r>
      <w:r>
        <w:instrText xml:space="preserve"> HYPERLINK \l "_Toc173246276" </w:instrText>
      </w:r>
      <w:r>
        <w:fldChar w:fldCharType="separate"/>
      </w:r>
      <w:r>
        <w:rPr>
          <w:rStyle w:val="59"/>
          <w:rFonts w:hint="eastAsia" w:ascii="宋体" w:hAnsi="宋体"/>
          <w:color w:val="auto"/>
          <w:u w:val="none"/>
        </w:rPr>
        <w:t>六、承</w:t>
      </w:r>
      <w:r>
        <w:rPr>
          <w:rStyle w:val="59"/>
          <w:rFonts w:ascii="宋体" w:hAnsi="宋体"/>
          <w:color w:val="auto"/>
          <w:u w:val="none"/>
        </w:rPr>
        <w:t xml:space="preserve">  </w:t>
      </w:r>
      <w:r>
        <w:rPr>
          <w:rStyle w:val="59"/>
          <w:rFonts w:hint="eastAsia" w:ascii="宋体" w:hAnsi="宋体"/>
          <w:color w:val="auto"/>
          <w:u w:val="none"/>
        </w:rPr>
        <w:t>诺</w:t>
      </w:r>
      <w:r>
        <w:rPr>
          <w:rStyle w:val="59"/>
          <w:rFonts w:ascii="宋体" w:hAnsi="宋体"/>
          <w:color w:val="auto"/>
          <w:u w:val="none"/>
        </w:rPr>
        <w:t xml:space="preserve">  </w:t>
      </w:r>
      <w:r>
        <w:rPr>
          <w:rStyle w:val="59"/>
          <w:rFonts w:hint="eastAsia" w:ascii="宋体" w:hAnsi="宋体"/>
          <w:color w:val="auto"/>
          <w:u w:val="none"/>
        </w:rPr>
        <w:t>函</w:t>
      </w:r>
      <w:r>
        <w:tab/>
      </w:r>
      <w:r>
        <w:fldChar w:fldCharType="end"/>
      </w:r>
      <w:r>
        <w:rPr>
          <w:rStyle w:val="59"/>
          <w:color w:val="auto"/>
          <w:u w:val="none"/>
        </w:rPr>
        <w:t>98</w:t>
      </w:r>
    </w:p>
    <w:p>
      <w:pPr>
        <w:pStyle w:val="37"/>
        <w:tabs>
          <w:tab w:val="right" w:leader="dot" w:pos="8683"/>
        </w:tabs>
        <w:rPr>
          <w:rFonts w:asciiTheme="minorHAnsi" w:hAnsiTheme="minorHAnsi" w:cstheme="minorBidi"/>
          <w:szCs w:val="22"/>
        </w:rPr>
      </w:pPr>
      <w:r>
        <w:fldChar w:fldCharType="begin"/>
      </w:r>
      <w:r>
        <w:instrText xml:space="preserve"> HYPERLINK \l "_Toc173246277" </w:instrText>
      </w:r>
      <w:r>
        <w:fldChar w:fldCharType="separate"/>
      </w:r>
      <w:r>
        <w:rPr>
          <w:rStyle w:val="59"/>
          <w:rFonts w:hint="eastAsia" w:ascii="宋体" w:hAnsi="宋体"/>
          <w:color w:val="auto"/>
          <w:u w:val="none"/>
        </w:rPr>
        <w:t>七、其</w:t>
      </w:r>
      <w:r>
        <w:rPr>
          <w:rStyle w:val="59"/>
          <w:rFonts w:ascii="宋体" w:hAnsi="宋体"/>
          <w:color w:val="auto"/>
          <w:u w:val="none"/>
        </w:rPr>
        <w:t xml:space="preserve"> </w:t>
      </w:r>
      <w:r>
        <w:rPr>
          <w:rStyle w:val="59"/>
          <w:rFonts w:hint="eastAsia" w:ascii="宋体" w:hAnsi="宋体"/>
          <w:color w:val="auto"/>
          <w:u w:val="none"/>
        </w:rPr>
        <w:t>他</w:t>
      </w:r>
      <w:r>
        <w:rPr>
          <w:rStyle w:val="59"/>
          <w:rFonts w:ascii="宋体" w:hAnsi="宋体"/>
          <w:color w:val="auto"/>
          <w:u w:val="none"/>
        </w:rPr>
        <w:t xml:space="preserve"> </w:t>
      </w:r>
      <w:r>
        <w:rPr>
          <w:rStyle w:val="59"/>
          <w:rFonts w:hint="eastAsia" w:ascii="宋体" w:hAnsi="宋体"/>
          <w:color w:val="auto"/>
          <w:u w:val="none"/>
        </w:rPr>
        <w:t>材</w:t>
      </w:r>
      <w:r>
        <w:rPr>
          <w:rStyle w:val="59"/>
          <w:rFonts w:ascii="宋体" w:hAnsi="宋体"/>
          <w:color w:val="auto"/>
          <w:u w:val="none"/>
        </w:rPr>
        <w:t xml:space="preserve"> </w:t>
      </w:r>
      <w:r>
        <w:rPr>
          <w:rStyle w:val="59"/>
          <w:rFonts w:hint="eastAsia" w:ascii="宋体" w:hAnsi="宋体"/>
          <w:color w:val="auto"/>
          <w:u w:val="none"/>
        </w:rPr>
        <w:t>料</w:t>
      </w:r>
      <w:r>
        <w:tab/>
      </w:r>
      <w:r>
        <w:fldChar w:fldCharType="begin"/>
      </w:r>
      <w:r>
        <w:instrText xml:space="preserve"> PAGEREF _Toc173246277 \h </w:instrText>
      </w:r>
      <w:r>
        <w:fldChar w:fldCharType="separate"/>
      </w:r>
      <w:r>
        <w:t>100</w:t>
      </w:r>
      <w:r>
        <w:fldChar w:fldCharType="end"/>
      </w:r>
      <w:r>
        <w:fldChar w:fldCharType="end"/>
      </w:r>
    </w:p>
    <w:p>
      <w:pPr>
        <w:rPr>
          <w:rFonts w:ascii="宋体" w:hAnsi="宋体" w:eastAsia="宋体" w:cs="宋体"/>
        </w:rPr>
      </w:pPr>
      <w:r>
        <w:rPr>
          <w:rFonts w:ascii="Arial" w:hAnsi="Arial" w:cs="Arial"/>
          <w:sz w:val="24"/>
        </w:rPr>
        <w:fldChar w:fldCharType="end"/>
      </w:r>
    </w:p>
    <w:p>
      <w:pPr>
        <w:rPr>
          <w:rFonts w:ascii="宋体" w:hAnsi="宋体" w:eastAsia="宋体" w:cs="宋体"/>
          <w:sz w:val="24"/>
        </w:rPr>
      </w:pPr>
    </w:p>
    <w:p>
      <w:pPr>
        <w:tabs>
          <w:tab w:val="left" w:pos="6075"/>
        </w:tabs>
        <w:rPr>
          <w:rFonts w:ascii="宋体" w:hAnsi="宋体" w:eastAsia="宋体" w:cs="宋体"/>
          <w:sz w:val="24"/>
        </w:rPr>
      </w:pPr>
      <w:r>
        <w:rPr>
          <w:rFonts w:ascii="宋体" w:hAnsi="宋体" w:eastAsia="宋体" w:cs="宋体"/>
          <w:sz w:val="24"/>
        </w:rPr>
        <w:tab/>
      </w:r>
    </w:p>
    <w:p>
      <w:pPr>
        <w:rPr>
          <w:rFonts w:ascii="宋体" w:hAnsi="宋体" w:eastAsia="宋体" w:cs="宋体"/>
          <w:sz w:val="24"/>
        </w:rPr>
      </w:pPr>
    </w:p>
    <w:p>
      <w:pPr>
        <w:rPr>
          <w:rFonts w:ascii="宋体" w:hAnsi="宋体" w:eastAsia="宋体" w:cs="宋体"/>
          <w:sz w:val="24"/>
        </w:rPr>
      </w:pPr>
    </w:p>
    <w:p>
      <w:pPr>
        <w:pStyle w:val="2"/>
      </w:pPr>
    </w:p>
    <w:p/>
    <w:p>
      <w:pPr>
        <w:pStyle w:val="2"/>
        <w:jc w:val="both"/>
      </w:pPr>
    </w:p>
    <w:p>
      <w:pPr>
        <w:pStyle w:val="3"/>
        <w:spacing w:before="0" w:after="0" w:line="240" w:lineRule="auto"/>
        <w:jc w:val="center"/>
        <w:rPr>
          <w:rFonts w:ascii="宋体" w:hAnsi="宋体"/>
          <w:sz w:val="72"/>
          <w:szCs w:val="72"/>
        </w:rPr>
      </w:pPr>
      <w:bookmarkStart w:id="12" w:name="_Toc173244757"/>
      <w:bookmarkStart w:id="13" w:name="_Toc173246144"/>
      <w:r>
        <w:rPr>
          <w:rFonts w:hint="eastAsia" w:ascii="宋体" w:hAnsi="宋体"/>
          <w:sz w:val="72"/>
          <w:szCs w:val="72"/>
        </w:rPr>
        <w:t>第  一  卷</w:t>
      </w:r>
      <w:bookmarkEnd w:id="12"/>
      <w:bookmarkEnd w:id="13"/>
    </w:p>
    <w:p>
      <w:pPr>
        <w:rPr>
          <w:rFonts w:ascii="宋体" w:hAnsi="宋体" w:eastAsia="宋体" w:cs="宋体"/>
          <w:sz w:val="24"/>
        </w:rPr>
      </w:pPr>
    </w:p>
    <w:p>
      <w:pPr>
        <w:rPr>
          <w:rFonts w:ascii="宋体" w:hAnsi="宋体" w:eastAsia="宋体" w:cs="宋体"/>
          <w:sz w:val="24"/>
        </w:rPr>
      </w:pPr>
    </w:p>
    <w:p>
      <w:pPr>
        <w:widowControl/>
        <w:jc w:val="left"/>
        <w:rPr>
          <w:rFonts w:ascii="宋体" w:hAnsi="宋体" w:eastAsia="宋体" w:cs="宋体"/>
          <w:kern w:val="44"/>
          <w:sz w:val="30"/>
          <w:szCs w:val="30"/>
        </w:rPr>
      </w:pPr>
      <w:r>
        <w:rPr>
          <w:rFonts w:ascii="宋体" w:hAnsi="宋体" w:eastAsia="宋体" w:cs="宋体"/>
          <w:kern w:val="44"/>
          <w:sz w:val="30"/>
          <w:szCs w:val="30"/>
        </w:rPr>
        <w:br w:type="page"/>
      </w:r>
    </w:p>
    <w:p>
      <w:pPr>
        <w:pStyle w:val="3"/>
        <w:spacing w:line="240" w:lineRule="auto"/>
        <w:jc w:val="center"/>
        <w:rPr>
          <w:rFonts w:ascii="宋体" w:hAnsi="宋体"/>
          <w:sz w:val="30"/>
          <w:szCs w:val="30"/>
        </w:rPr>
      </w:pPr>
      <w:bookmarkStart w:id="14" w:name="_Toc173244758"/>
      <w:bookmarkStart w:id="15" w:name="_Toc173246145"/>
      <w:r>
        <w:rPr>
          <w:rFonts w:hint="eastAsia" w:ascii="宋体" w:hAnsi="宋体"/>
          <w:sz w:val="30"/>
          <w:szCs w:val="30"/>
        </w:rPr>
        <w:t>第一章 招标公告</w:t>
      </w:r>
      <w:bookmarkEnd w:id="14"/>
      <w:bookmarkEnd w:id="15"/>
    </w:p>
    <w:p>
      <w:pPr>
        <w:jc w:val="center"/>
        <w:rPr>
          <w:sz w:val="30"/>
          <w:szCs w:val="30"/>
        </w:rPr>
      </w:pPr>
      <w:r>
        <w:rPr>
          <w:rFonts w:hint="eastAsia"/>
          <w:sz w:val="30"/>
          <w:szCs w:val="30"/>
        </w:rPr>
        <w:t xml:space="preserve">2024年三门县国省道公路标志标线及安全设施增设和维护工程  </w:t>
      </w:r>
    </w:p>
    <w:p>
      <w:pPr>
        <w:jc w:val="center"/>
        <w:rPr>
          <w:sz w:val="30"/>
          <w:szCs w:val="30"/>
        </w:rPr>
      </w:pPr>
      <w:r>
        <w:rPr>
          <w:rFonts w:hint="eastAsia"/>
          <w:sz w:val="30"/>
          <w:szCs w:val="30"/>
        </w:rPr>
        <w:t>招标公告</w:t>
      </w:r>
    </w:p>
    <w:p>
      <w:pPr>
        <w:spacing w:line="360" w:lineRule="auto"/>
        <w:rPr>
          <w:rFonts w:hAnsi="宋体"/>
          <w:b/>
          <w:sz w:val="24"/>
        </w:rPr>
      </w:pPr>
      <w:r>
        <w:rPr>
          <w:rFonts w:hint="eastAsia" w:hAnsi="宋体"/>
          <w:b/>
          <w:sz w:val="24"/>
        </w:rPr>
        <w:t>1、招标条件</w:t>
      </w:r>
    </w:p>
    <w:p>
      <w:pPr>
        <w:spacing w:line="360" w:lineRule="auto"/>
        <w:ind w:firstLine="440" w:firstLineChars="200"/>
        <w:rPr>
          <w:rFonts w:hAnsi="宋体"/>
          <w:sz w:val="22"/>
        </w:rPr>
      </w:pPr>
      <w:r>
        <w:rPr>
          <w:rFonts w:hint="eastAsia" w:hAnsi="宋体"/>
          <w:sz w:val="22"/>
        </w:rPr>
        <w:t>本招标项目</w:t>
      </w:r>
      <w:r>
        <w:rPr>
          <w:rFonts w:hint="eastAsia" w:hAnsi="宋体"/>
          <w:sz w:val="22"/>
          <w:u w:val="single"/>
        </w:rPr>
        <w:t xml:space="preserve">2024年三门县国省道公路标志标线及安全设施增设和维护工程 </w:t>
      </w:r>
      <w:r>
        <w:rPr>
          <w:rFonts w:hint="eastAsia" w:hAnsi="宋体"/>
          <w:sz w:val="22"/>
        </w:rPr>
        <w:t>（以下简称本项目）已批准建设，项目发包人为</w:t>
      </w:r>
      <w:r>
        <w:rPr>
          <w:rFonts w:hint="eastAsia" w:hAnsi="宋体"/>
          <w:sz w:val="22"/>
          <w:u w:val="single"/>
        </w:rPr>
        <w:t xml:space="preserve">三门县公路与运输管理中心 </w:t>
      </w:r>
      <w:r>
        <w:rPr>
          <w:rFonts w:hint="eastAsia" w:hAnsi="宋体"/>
          <w:sz w:val="22"/>
        </w:rPr>
        <w:t>，建设资金来自</w:t>
      </w:r>
      <w:r>
        <w:rPr>
          <w:rFonts w:hint="eastAsia" w:hAnsi="宋体"/>
          <w:sz w:val="22"/>
          <w:u w:val="single"/>
        </w:rPr>
        <w:t>自筹</w:t>
      </w:r>
      <w:r>
        <w:rPr>
          <w:rFonts w:hint="eastAsia" w:hAnsi="宋体"/>
          <w:sz w:val="22"/>
        </w:rPr>
        <w:t>。项目已具备招标条件，现对该项目的施工进行公开招标。</w:t>
      </w:r>
    </w:p>
    <w:p>
      <w:pPr>
        <w:spacing w:line="360" w:lineRule="auto"/>
        <w:rPr>
          <w:rFonts w:hAnsi="宋体"/>
          <w:b/>
          <w:sz w:val="24"/>
        </w:rPr>
      </w:pPr>
      <w:r>
        <w:rPr>
          <w:rFonts w:hint="eastAsia" w:hAnsi="宋体"/>
          <w:b/>
          <w:sz w:val="24"/>
        </w:rPr>
        <w:t>2、项目概况与招标范围</w:t>
      </w:r>
    </w:p>
    <w:p>
      <w:pPr>
        <w:spacing w:line="360" w:lineRule="auto"/>
        <w:ind w:firstLine="440" w:firstLineChars="200"/>
        <w:rPr>
          <w:rFonts w:hAnsi="宋体"/>
          <w:sz w:val="22"/>
        </w:rPr>
      </w:pPr>
      <w:r>
        <w:rPr>
          <w:rFonts w:hint="eastAsia" w:hAnsi="宋体"/>
          <w:sz w:val="22"/>
        </w:rPr>
        <w:t>2.1本项目位于三门县区域范围内，具体路线详见施工图纸。</w:t>
      </w:r>
    </w:p>
    <w:p>
      <w:pPr>
        <w:spacing w:line="360" w:lineRule="auto"/>
        <w:ind w:firstLine="440" w:firstLineChars="200"/>
        <w:rPr>
          <w:rFonts w:hAnsi="宋体"/>
          <w:sz w:val="22"/>
        </w:rPr>
      </w:pPr>
      <w:r>
        <w:rPr>
          <w:rFonts w:hint="eastAsia" w:hAnsi="宋体"/>
          <w:sz w:val="22"/>
        </w:rPr>
        <w:t>2.2本次招标施工为1个标段。本项目招标控制价（预算审核）：</w:t>
      </w:r>
      <w:r>
        <w:rPr>
          <w:rFonts w:hAnsi="宋体"/>
          <w:sz w:val="22"/>
          <w:u w:val="single"/>
        </w:rPr>
        <w:t>575318</w:t>
      </w:r>
      <w:r>
        <w:rPr>
          <w:rFonts w:hint="eastAsia" w:hAnsi="宋体"/>
          <w:sz w:val="22"/>
          <w:u w:val="single"/>
        </w:rPr>
        <w:t>元</w:t>
      </w:r>
      <w:r>
        <w:rPr>
          <w:rFonts w:hint="eastAsia" w:hAnsi="宋体"/>
          <w:sz w:val="22"/>
        </w:rPr>
        <w:t>。</w:t>
      </w:r>
    </w:p>
    <w:p>
      <w:pPr>
        <w:spacing w:line="360" w:lineRule="auto"/>
        <w:ind w:firstLine="440" w:firstLineChars="200"/>
        <w:rPr>
          <w:rFonts w:hAnsi="宋体"/>
          <w:sz w:val="22"/>
        </w:rPr>
      </w:pPr>
      <w:r>
        <w:rPr>
          <w:rFonts w:hint="eastAsia" w:hAnsi="宋体"/>
          <w:sz w:val="22"/>
        </w:rPr>
        <w:t>2.</w:t>
      </w:r>
      <w:r>
        <w:rPr>
          <w:rFonts w:hAnsi="宋体"/>
          <w:sz w:val="22"/>
        </w:rPr>
        <w:t>3</w:t>
      </w:r>
      <w:r>
        <w:rPr>
          <w:rFonts w:hint="eastAsia" w:hAnsi="宋体"/>
          <w:sz w:val="22"/>
        </w:rPr>
        <w:t>招标范围：招标人所提供的预算审核书及施工图范围内标志标线及安全设施维护等工程。</w:t>
      </w:r>
    </w:p>
    <w:p>
      <w:pPr>
        <w:spacing w:line="360" w:lineRule="auto"/>
        <w:ind w:firstLine="440" w:firstLineChars="200"/>
        <w:rPr>
          <w:rFonts w:hAnsi="宋体"/>
          <w:sz w:val="22"/>
        </w:rPr>
      </w:pPr>
      <w:r>
        <w:rPr>
          <w:rFonts w:hint="eastAsia" w:hAnsi="宋体"/>
          <w:sz w:val="22"/>
        </w:rPr>
        <w:t>2.</w:t>
      </w:r>
      <w:r>
        <w:rPr>
          <w:rFonts w:hAnsi="宋体"/>
          <w:sz w:val="22"/>
        </w:rPr>
        <w:t>4</w:t>
      </w:r>
      <w:r>
        <w:rPr>
          <w:rFonts w:hint="eastAsia" w:hAnsi="宋体"/>
          <w:sz w:val="22"/>
        </w:rPr>
        <w:t>计划工期：不超过</w:t>
      </w:r>
      <w:r>
        <w:rPr>
          <w:rFonts w:hAnsi="宋体"/>
          <w:sz w:val="22"/>
        </w:rPr>
        <w:t>45</w:t>
      </w:r>
      <w:r>
        <w:rPr>
          <w:rFonts w:hint="eastAsia" w:hAnsi="宋体"/>
          <w:sz w:val="22"/>
        </w:rPr>
        <w:t>日历天（投标人在投标文件中必须明确工期天数），缺陷责任期为12个月。</w:t>
      </w:r>
    </w:p>
    <w:p>
      <w:pPr>
        <w:spacing w:line="360" w:lineRule="auto"/>
        <w:rPr>
          <w:rFonts w:hAnsi="宋体"/>
          <w:b/>
          <w:sz w:val="24"/>
        </w:rPr>
      </w:pPr>
      <w:r>
        <w:rPr>
          <w:rFonts w:hint="eastAsia" w:hAnsi="宋体"/>
          <w:b/>
          <w:sz w:val="24"/>
        </w:rPr>
        <w:t>3、投标人资格要求</w:t>
      </w:r>
    </w:p>
    <w:p>
      <w:pPr>
        <w:spacing w:line="360" w:lineRule="auto"/>
        <w:ind w:firstLine="440" w:firstLineChars="200"/>
        <w:rPr>
          <w:rFonts w:hAnsi="宋体"/>
          <w:b/>
          <w:sz w:val="22"/>
          <w:u w:val="single"/>
        </w:rPr>
      </w:pPr>
      <w:r>
        <w:rPr>
          <w:rFonts w:hint="eastAsia" w:hAnsi="宋体"/>
          <w:sz w:val="22"/>
        </w:rPr>
        <w:t>3.1本次公开招标要求投标人具备交通安全设施养护资质（可承担各等级公路交通安全设施的各类养护工程）或公路交通工程专业承包（公路安全设施分项）二级及以上资质</w:t>
      </w:r>
      <w:r>
        <w:rPr>
          <w:rStyle w:val="55"/>
          <w:rFonts w:hint="eastAsia" w:ascii="宋体" w:hAnsi="宋体" w:eastAsia="宋体" w:cs="宋体"/>
          <w:color w:val="000000"/>
          <w:szCs w:val="21"/>
          <w:shd w:val="clear" w:color="auto" w:fill="FFFFFF"/>
        </w:rPr>
        <w:t>，并在人员、设备、资金等方面具有相应的施工能力。</w:t>
      </w:r>
    </w:p>
    <w:p>
      <w:pPr>
        <w:spacing w:line="360" w:lineRule="auto"/>
        <w:ind w:firstLine="442" w:firstLineChars="200"/>
        <w:rPr>
          <w:rFonts w:hAnsi="宋体"/>
          <w:b/>
          <w:sz w:val="22"/>
          <w:u w:val="single"/>
        </w:rPr>
      </w:pPr>
      <w:r>
        <w:rPr>
          <w:rFonts w:hint="eastAsia" w:hAnsi="宋体"/>
          <w:b/>
          <w:sz w:val="22"/>
        </w:rPr>
        <w:t>3.2拟委任的项目经理要求具有</w:t>
      </w:r>
      <w:r>
        <w:rPr>
          <w:rFonts w:hint="eastAsia" w:hAnsi="宋体"/>
          <w:b/>
          <w:sz w:val="22"/>
          <w:u w:val="single"/>
        </w:rPr>
        <w:t>公路工程专业注册建造师二级及以上，无在建工程。</w:t>
      </w:r>
    </w:p>
    <w:p>
      <w:pPr>
        <w:spacing w:line="360" w:lineRule="auto"/>
        <w:ind w:firstLine="440" w:firstLineChars="200"/>
        <w:rPr>
          <w:rFonts w:hAnsi="宋体"/>
          <w:sz w:val="22"/>
        </w:rPr>
      </w:pPr>
      <w:r>
        <w:rPr>
          <w:rFonts w:hint="eastAsia" w:hAnsi="宋体"/>
          <w:sz w:val="22"/>
        </w:rPr>
        <w:t>3.3本次招标不接受联合体投标。</w:t>
      </w:r>
    </w:p>
    <w:p>
      <w:pPr>
        <w:spacing w:line="360" w:lineRule="auto"/>
        <w:ind w:firstLine="440" w:firstLineChars="200"/>
        <w:rPr>
          <w:rFonts w:hAnsi="宋体"/>
          <w:sz w:val="22"/>
        </w:rPr>
      </w:pPr>
      <w:r>
        <w:rPr>
          <w:rFonts w:hint="eastAsia" w:hAnsi="宋体"/>
          <w:sz w:val="22"/>
        </w:rPr>
        <w:t>3.4与招标人存在利害关系可能影响招标公正性的法人、其他组织或者个人，不得参加投标。单位负责人为同一人或者存在控股（含法定代表人控股）、管理关系的不同单位，不得参加同一标段的投标。</w:t>
      </w:r>
    </w:p>
    <w:p>
      <w:pPr>
        <w:spacing w:line="360" w:lineRule="auto"/>
        <w:rPr>
          <w:rFonts w:hAnsi="宋体"/>
          <w:b/>
          <w:sz w:val="24"/>
        </w:rPr>
      </w:pPr>
      <w:r>
        <w:rPr>
          <w:rFonts w:hint="eastAsia" w:hAnsi="宋体"/>
          <w:b/>
          <w:sz w:val="24"/>
        </w:rPr>
        <w:t>4、招标文件获取方式</w:t>
      </w:r>
    </w:p>
    <w:p>
      <w:pPr>
        <w:spacing w:line="360" w:lineRule="auto"/>
        <w:ind w:firstLine="440" w:firstLineChars="200"/>
        <w:rPr>
          <w:sz w:val="22"/>
        </w:rPr>
      </w:pPr>
      <w:r>
        <w:rPr>
          <w:rFonts w:hint="eastAsia"/>
          <w:sz w:val="22"/>
        </w:rPr>
        <w:t>4.1本项目实行资格后审，凡有意参加投标者，招标文件将于公告之日起在三门县公共资源交易中心网 “网址http://www.sanmen.gov.cn/col/col1229610743/index.html”上发布并供下载，招标文件以书面为主。</w:t>
      </w:r>
    </w:p>
    <w:p>
      <w:pPr>
        <w:spacing w:line="360" w:lineRule="auto"/>
        <w:ind w:firstLine="440" w:firstLineChars="200"/>
        <w:rPr>
          <w:sz w:val="22"/>
        </w:rPr>
      </w:pPr>
      <w:r>
        <w:rPr>
          <w:rFonts w:hint="eastAsia"/>
          <w:sz w:val="22"/>
        </w:rPr>
        <w:t>4.2投标人网上免费下载招标文件，不收取任何工本费。</w:t>
      </w:r>
    </w:p>
    <w:p>
      <w:pPr>
        <w:widowControl/>
        <w:spacing w:before="120" w:after="120" w:line="370" w:lineRule="exact"/>
        <w:ind w:left="-179" w:right="-154" w:firstLine="241" w:firstLineChars="100"/>
        <w:jc w:val="left"/>
        <w:rPr>
          <w:rFonts w:ascii="宋体" w:hAnsi="宋体" w:eastAsia="宋体" w:cs="宋体"/>
          <w:b/>
          <w:bCs/>
          <w:sz w:val="24"/>
        </w:rPr>
      </w:pPr>
      <w:r>
        <w:rPr>
          <w:rFonts w:ascii="宋体" w:hAnsi="宋体" w:eastAsia="宋体" w:cs="宋体"/>
          <w:b/>
          <w:bCs/>
          <w:sz w:val="24"/>
        </w:rPr>
        <w:t>5</w:t>
      </w:r>
      <w:r>
        <w:rPr>
          <w:rFonts w:hint="eastAsia" w:ascii="宋体" w:hAnsi="宋体" w:eastAsia="宋体" w:cs="宋体"/>
          <w:b/>
          <w:bCs/>
          <w:sz w:val="24"/>
        </w:rPr>
        <w:t>、投标文件的递交</w:t>
      </w:r>
    </w:p>
    <w:p>
      <w:pPr>
        <w:spacing w:line="460" w:lineRule="exact"/>
        <w:ind w:firstLine="480" w:firstLineChars="200"/>
        <w:rPr>
          <w:rFonts w:ascii="宋体" w:hAnsi="宋体" w:eastAsia="宋体" w:cs="宋体"/>
          <w:sz w:val="24"/>
        </w:rPr>
      </w:pPr>
      <w:r>
        <w:rPr>
          <w:rFonts w:ascii="宋体" w:hAnsi="宋体" w:eastAsia="宋体" w:cs="宋体"/>
          <w:sz w:val="24"/>
        </w:rPr>
        <w:t>5</w:t>
      </w:r>
      <w:r>
        <w:rPr>
          <w:rFonts w:hint="eastAsia" w:ascii="宋体" w:hAnsi="宋体" w:eastAsia="宋体" w:cs="宋体"/>
          <w:sz w:val="24"/>
        </w:rPr>
        <w:t>.1 投标文件递交的截止时间（投标截止时间，下同）为</w:t>
      </w:r>
      <w:r>
        <w:rPr>
          <w:rFonts w:hint="eastAsia" w:ascii="宋体" w:hAnsi="宋体" w:eastAsia="宋体" w:cs="宋体"/>
          <w:sz w:val="24"/>
          <w:u w:val="single"/>
        </w:rPr>
        <w:t>2024</w:t>
      </w:r>
      <w:r>
        <w:rPr>
          <w:rFonts w:hint="eastAsia" w:ascii="宋体" w:hAnsi="宋体" w:eastAsia="宋体" w:cs="宋体"/>
          <w:sz w:val="24"/>
        </w:rPr>
        <w:t>年</w:t>
      </w:r>
      <w:r>
        <w:rPr>
          <w:rFonts w:ascii="宋体" w:hAnsi="宋体" w:eastAsia="宋体" w:cs="宋体"/>
          <w:sz w:val="24"/>
          <w:u w:val="single"/>
        </w:rPr>
        <w:t>08</w:t>
      </w:r>
      <w:r>
        <w:rPr>
          <w:rFonts w:hint="eastAsia" w:ascii="宋体" w:hAnsi="宋体" w:eastAsia="宋体" w:cs="宋体"/>
          <w:sz w:val="24"/>
        </w:rPr>
        <w:t>月</w:t>
      </w:r>
      <w:r>
        <w:rPr>
          <w:rFonts w:ascii="宋体" w:hAnsi="宋体" w:eastAsia="宋体" w:cs="宋体"/>
          <w:sz w:val="24"/>
          <w:u w:val="single"/>
        </w:rPr>
        <w:t>07</w:t>
      </w:r>
      <w:r>
        <w:rPr>
          <w:rFonts w:hint="eastAsia" w:ascii="宋体" w:hAnsi="宋体" w:eastAsia="宋体" w:cs="宋体"/>
          <w:sz w:val="24"/>
        </w:rPr>
        <w:t>日</w:t>
      </w:r>
      <w:r>
        <w:rPr>
          <w:rFonts w:hint="eastAsia" w:ascii="宋体" w:hAnsi="宋体" w:eastAsia="宋体" w:cs="宋体"/>
          <w:sz w:val="24"/>
          <w:lang w:eastAsia="zh-CN"/>
        </w:rPr>
        <w:t>下</w:t>
      </w:r>
      <w:bookmarkStart w:id="598" w:name="_GoBack"/>
      <w:bookmarkEnd w:id="598"/>
      <w:r>
        <w:rPr>
          <w:rFonts w:hint="eastAsia" w:ascii="宋体" w:hAnsi="宋体" w:eastAsia="宋体" w:cs="宋体"/>
          <w:sz w:val="24"/>
        </w:rPr>
        <w:t>午</w:t>
      </w:r>
      <w:r>
        <w:rPr>
          <w:rFonts w:ascii="宋体" w:hAnsi="宋体" w:eastAsia="宋体" w:cs="宋体"/>
          <w:sz w:val="24"/>
          <w:u w:val="single"/>
        </w:rPr>
        <w:t>15</w:t>
      </w:r>
      <w:r>
        <w:rPr>
          <w:rFonts w:hint="eastAsia" w:ascii="宋体" w:hAnsi="宋体" w:eastAsia="宋体" w:cs="宋体"/>
          <w:sz w:val="24"/>
        </w:rPr>
        <w:t>时</w:t>
      </w:r>
      <w:r>
        <w:rPr>
          <w:rFonts w:hint="eastAsia" w:ascii="宋体" w:hAnsi="宋体" w:eastAsia="宋体" w:cs="宋体"/>
          <w:sz w:val="24"/>
          <w:u w:val="single"/>
        </w:rPr>
        <w:t>30</w:t>
      </w:r>
      <w:r>
        <w:rPr>
          <w:rFonts w:hint="eastAsia" w:ascii="宋体" w:hAnsi="宋体" w:eastAsia="宋体" w:cs="宋体"/>
          <w:sz w:val="24"/>
        </w:rPr>
        <w:t>分，地点为</w:t>
      </w:r>
      <w:r>
        <w:rPr>
          <w:rFonts w:hint="eastAsia" w:ascii="宋体" w:hAnsi="宋体" w:eastAsia="宋体" w:cs="宋体"/>
          <w:sz w:val="24"/>
          <w:u w:val="single"/>
        </w:rPr>
        <w:t>三门县公路与运输管理中心会议室（三门县</w:t>
      </w:r>
      <w:r>
        <w:rPr>
          <w:rFonts w:ascii="宋体" w:hAnsi="宋体" w:eastAsia="宋体" w:cs="宋体"/>
          <w:sz w:val="24"/>
          <w:u w:val="single"/>
        </w:rPr>
        <w:t>广场路</w:t>
      </w:r>
      <w:r>
        <w:rPr>
          <w:rFonts w:hint="eastAsia" w:ascii="宋体" w:hAnsi="宋体" w:eastAsia="宋体" w:cs="宋体"/>
          <w:sz w:val="24"/>
          <w:u w:val="single"/>
        </w:rPr>
        <w:t>22号</w:t>
      </w:r>
      <w:r>
        <w:rPr>
          <w:rFonts w:ascii="宋体" w:hAnsi="宋体" w:eastAsia="宋体" w:cs="宋体"/>
          <w:sz w:val="24"/>
          <w:u w:val="single"/>
        </w:rPr>
        <w:t>交通大楼</w:t>
      </w:r>
      <w:r>
        <w:rPr>
          <w:rFonts w:hint="eastAsia" w:ascii="宋体" w:hAnsi="宋体" w:eastAsia="宋体" w:cs="宋体"/>
          <w:sz w:val="24"/>
          <w:u w:val="single"/>
        </w:rPr>
        <w:t>8楼）。</w:t>
      </w:r>
    </w:p>
    <w:p>
      <w:pPr>
        <w:spacing w:line="460" w:lineRule="exact"/>
        <w:ind w:firstLine="480" w:firstLineChars="200"/>
        <w:rPr>
          <w:rFonts w:ascii="宋体" w:hAnsi="宋体" w:eastAsia="宋体" w:cs="宋体"/>
          <w:sz w:val="24"/>
        </w:rPr>
      </w:pPr>
      <w:r>
        <w:rPr>
          <w:rFonts w:ascii="宋体" w:hAnsi="宋体" w:eastAsia="宋体" w:cs="宋体"/>
          <w:sz w:val="24"/>
        </w:rPr>
        <w:t>5</w:t>
      </w:r>
      <w:r>
        <w:rPr>
          <w:rFonts w:hint="eastAsia" w:ascii="宋体" w:hAnsi="宋体" w:eastAsia="宋体" w:cs="宋体"/>
          <w:sz w:val="24"/>
        </w:rPr>
        <w:t>.2 逾期送达的或者未送达指定地点的投标文件，招标人不予受理。</w:t>
      </w:r>
    </w:p>
    <w:p>
      <w:pPr>
        <w:widowControl/>
        <w:spacing w:line="370" w:lineRule="exact"/>
        <w:ind w:right="-154"/>
        <w:jc w:val="left"/>
        <w:rPr>
          <w:rFonts w:ascii="宋体" w:hAnsi="宋体" w:eastAsia="宋体" w:cs="宋体"/>
          <w:b/>
          <w:bCs/>
          <w:kern w:val="0"/>
          <w:sz w:val="24"/>
        </w:rPr>
      </w:pPr>
      <w:bookmarkStart w:id="16" w:name="_Toc222032639"/>
      <w:bookmarkEnd w:id="16"/>
      <w:bookmarkStart w:id="17" w:name="_Toc222030972"/>
      <w:bookmarkEnd w:id="17"/>
      <w:bookmarkStart w:id="18" w:name="_Toc221949941"/>
      <w:bookmarkEnd w:id="18"/>
      <w:bookmarkStart w:id="19" w:name="_Toc20301106"/>
      <w:bookmarkEnd w:id="19"/>
      <w:bookmarkStart w:id="20" w:name="_Toc144974485"/>
      <w:bookmarkEnd w:id="20"/>
      <w:bookmarkStart w:id="21" w:name="_Toc168475632"/>
      <w:bookmarkEnd w:id="21"/>
      <w:bookmarkStart w:id="22" w:name="_Toc168476035"/>
      <w:bookmarkEnd w:id="22"/>
      <w:bookmarkStart w:id="23" w:name="_Toc272158573"/>
      <w:bookmarkEnd w:id="23"/>
      <w:bookmarkStart w:id="24" w:name="_Toc222033821"/>
      <w:bookmarkEnd w:id="24"/>
      <w:bookmarkStart w:id="25" w:name="_Toc222029470"/>
      <w:bookmarkEnd w:id="25"/>
      <w:bookmarkStart w:id="26" w:name="_Toc229305330"/>
      <w:bookmarkEnd w:id="26"/>
      <w:bookmarkStart w:id="27" w:name="_Toc426899865"/>
      <w:bookmarkEnd w:id="27"/>
    </w:p>
    <w:p>
      <w:pPr>
        <w:widowControl/>
        <w:spacing w:line="370" w:lineRule="exact"/>
        <w:ind w:right="-154"/>
        <w:jc w:val="left"/>
        <w:rPr>
          <w:rFonts w:ascii="宋体" w:hAnsi="宋体" w:eastAsia="宋体" w:cs="宋体"/>
          <w:kern w:val="0"/>
          <w:sz w:val="24"/>
        </w:rPr>
      </w:pPr>
      <w:r>
        <w:rPr>
          <w:rFonts w:ascii="宋体" w:hAnsi="宋体" w:eastAsia="宋体" w:cs="宋体"/>
          <w:b/>
          <w:bCs/>
          <w:kern w:val="0"/>
          <w:sz w:val="24"/>
        </w:rPr>
        <w:t>6</w:t>
      </w:r>
      <w:r>
        <w:rPr>
          <w:rFonts w:hint="eastAsia" w:ascii="宋体" w:hAnsi="宋体" w:eastAsia="宋体" w:cs="宋体"/>
          <w:b/>
          <w:bCs/>
          <w:kern w:val="0"/>
          <w:sz w:val="24"/>
        </w:rPr>
        <w:t>、踏勘现场和投标预备会</w:t>
      </w:r>
    </w:p>
    <w:p>
      <w:pPr>
        <w:widowControl/>
        <w:spacing w:line="370" w:lineRule="exact"/>
        <w:ind w:left="-179" w:right="-154" w:firstLine="420"/>
        <w:jc w:val="left"/>
        <w:rPr>
          <w:rFonts w:ascii="宋体" w:hAnsi="宋体" w:eastAsia="宋体" w:cs="宋体"/>
          <w:kern w:val="0"/>
          <w:sz w:val="24"/>
        </w:rPr>
      </w:pPr>
      <w:r>
        <w:rPr>
          <w:rFonts w:hint="eastAsia" w:ascii="宋体" w:hAnsi="宋体" w:eastAsia="宋体" w:cs="宋体"/>
          <w:kern w:val="0"/>
          <w:sz w:val="24"/>
        </w:rPr>
        <w:t>投标人可自行踏勘现场。招标人不组织投标预备会。</w:t>
      </w:r>
    </w:p>
    <w:p>
      <w:pPr>
        <w:pStyle w:val="6"/>
        <w:spacing w:before="240" w:beforeLines="100" w:line="360" w:lineRule="auto"/>
        <w:ind w:firstLine="0" w:firstLineChars="0"/>
        <w:outlineLvl w:val="2"/>
        <w:rPr>
          <w:rFonts w:eastAsia="黑体"/>
          <w:b/>
          <w:sz w:val="24"/>
        </w:rPr>
      </w:pPr>
      <w:r>
        <w:rPr>
          <w:rFonts w:eastAsia="黑体"/>
          <w:b/>
          <w:sz w:val="24"/>
        </w:rPr>
        <w:t>7</w:t>
      </w:r>
      <w:r>
        <w:rPr>
          <w:rFonts w:hint="eastAsia" w:eastAsia="黑体"/>
          <w:b/>
          <w:sz w:val="24"/>
        </w:rPr>
        <w:t>、联系方式</w:t>
      </w:r>
    </w:p>
    <w:p>
      <w:pPr>
        <w:spacing w:line="360" w:lineRule="auto"/>
        <w:rPr>
          <w:rFonts w:hAnsi="宋体"/>
          <w:sz w:val="22"/>
          <w:szCs w:val="22"/>
        </w:rPr>
      </w:pPr>
      <w:r>
        <w:rPr>
          <w:rFonts w:hint="eastAsia" w:hAnsi="宋体"/>
          <w:sz w:val="22"/>
          <w:szCs w:val="22"/>
        </w:rPr>
        <w:t>招 标 人：</w:t>
      </w:r>
      <w:r>
        <w:rPr>
          <w:rFonts w:hint="eastAsia" w:hAnsi="宋体"/>
          <w:sz w:val="22"/>
          <w:szCs w:val="22"/>
          <w:u w:val="single"/>
        </w:rPr>
        <w:t xml:space="preserve">  三门县公路与运输管理中心   </w:t>
      </w:r>
      <w:r>
        <w:rPr>
          <w:rFonts w:hint="eastAsia" w:hAnsi="宋体"/>
          <w:sz w:val="22"/>
          <w:szCs w:val="22"/>
        </w:rPr>
        <w:t>；</w:t>
      </w:r>
    </w:p>
    <w:p>
      <w:pPr>
        <w:spacing w:line="360" w:lineRule="auto"/>
        <w:rPr>
          <w:rFonts w:hAnsi="宋体"/>
          <w:sz w:val="22"/>
          <w:szCs w:val="22"/>
        </w:rPr>
      </w:pPr>
      <w:r>
        <w:rPr>
          <w:rFonts w:hint="eastAsia" w:hAnsi="宋体"/>
          <w:sz w:val="22"/>
          <w:szCs w:val="22"/>
        </w:rPr>
        <w:t>地    址：</w:t>
      </w:r>
      <w:r>
        <w:rPr>
          <w:rFonts w:hint="eastAsia" w:hAnsi="宋体"/>
          <w:sz w:val="22"/>
          <w:szCs w:val="22"/>
          <w:u w:val="single"/>
        </w:rPr>
        <w:t xml:space="preserve">三门县广场路交通大楼   </w:t>
      </w:r>
      <w:r>
        <w:rPr>
          <w:rFonts w:hint="eastAsia" w:hAnsi="宋体"/>
          <w:sz w:val="22"/>
          <w:szCs w:val="22"/>
        </w:rPr>
        <w:t>；</w:t>
      </w:r>
    </w:p>
    <w:p>
      <w:pPr>
        <w:spacing w:line="360" w:lineRule="auto"/>
        <w:rPr>
          <w:rFonts w:hAnsi="宋体"/>
          <w:sz w:val="22"/>
          <w:szCs w:val="22"/>
          <w:u w:val="single"/>
        </w:rPr>
      </w:pPr>
      <w:r>
        <w:rPr>
          <w:rFonts w:hint="eastAsia" w:hAnsi="宋体"/>
          <w:sz w:val="22"/>
          <w:szCs w:val="22"/>
        </w:rPr>
        <w:t>联 系 人：</w:t>
      </w:r>
      <w:r>
        <w:rPr>
          <w:rFonts w:hint="eastAsia" w:hAnsi="宋体"/>
          <w:sz w:val="22"/>
          <w:szCs w:val="22"/>
          <w:u w:val="single"/>
        </w:rPr>
        <w:t xml:space="preserve">  章竣强  </w:t>
      </w:r>
      <w:r>
        <w:rPr>
          <w:rFonts w:hint="eastAsia" w:hAnsi="宋体"/>
          <w:sz w:val="22"/>
          <w:szCs w:val="22"/>
        </w:rPr>
        <w:t>；</w:t>
      </w:r>
    </w:p>
    <w:p>
      <w:pPr>
        <w:spacing w:line="360" w:lineRule="auto"/>
        <w:rPr>
          <w:rFonts w:hAnsi="宋体"/>
          <w:sz w:val="22"/>
          <w:szCs w:val="22"/>
          <w:u w:val="single"/>
        </w:rPr>
      </w:pPr>
      <w:r>
        <w:rPr>
          <w:rFonts w:hint="eastAsia" w:hAnsi="宋体"/>
          <w:sz w:val="22"/>
          <w:szCs w:val="22"/>
        </w:rPr>
        <w:t>电    话：</w:t>
      </w:r>
      <w:r>
        <w:rPr>
          <w:rFonts w:hint="eastAsia" w:hAnsi="宋体"/>
          <w:sz w:val="22"/>
          <w:szCs w:val="22"/>
          <w:u w:val="single"/>
        </w:rPr>
        <w:t xml:space="preserve">  13566837396</w:t>
      </w:r>
      <w:r>
        <w:rPr>
          <w:rFonts w:hAnsi="宋体"/>
          <w:sz w:val="22"/>
          <w:szCs w:val="22"/>
          <w:u w:val="single"/>
        </w:rPr>
        <w:t xml:space="preserve"> </w:t>
      </w:r>
      <w:r>
        <w:rPr>
          <w:rFonts w:hint="eastAsia" w:hAnsi="宋体"/>
          <w:sz w:val="22"/>
          <w:szCs w:val="22"/>
          <w:u w:val="single"/>
        </w:rPr>
        <w:t xml:space="preserve"> </w:t>
      </w:r>
      <w:r>
        <w:rPr>
          <w:rFonts w:hint="eastAsia" w:hAnsi="宋体"/>
          <w:sz w:val="22"/>
          <w:szCs w:val="22"/>
        </w:rPr>
        <w:t>；</w:t>
      </w:r>
    </w:p>
    <w:p>
      <w:pPr>
        <w:spacing w:line="360" w:lineRule="auto"/>
        <w:rPr>
          <w:rFonts w:hAnsi="宋体"/>
          <w:sz w:val="22"/>
          <w:szCs w:val="22"/>
        </w:rPr>
      </w:pPr>
    </w:p>
    <w:p>
      <w:pPr>
        <w:spacing w:line="360" w:lineRule="auto"/>
        <w:rPr>
          <w:rFonts w:hAnsi="宋体"/>
          <w:sz w:val="22"/>
          <w:szCs w:val="22"/>
          <w:u w:val="single"/>
        </w:rPr>
      </w:pPr>
      <w:r>
        <w:rPr>
          <w:rFonts w:hint="eastAsia" w:hAnsi="宋体"/>
          <w:sz w:val="22"/>
          <w:szCs w:val="22"/>
        </w:rPr>
        <w:t>招标代理机构：</w:t>
      </w:r>
      <w:r>
        <w:rPr>
          <w:rFonts w:hint="eastAsia" w:hAnsi="宋体"/>
          <w:sz w:val="22"/>
          <w:szCs w:val="22"/>
          <w:u w:val="single"/>
        </w:rPr>
        <w:t xml:space="preserve"> 联通工程咨询（浙江）有限公司   </w:t>
      </w:r>
      <w:r>
        <w:rPr>
          <w:rFonts w:hint="eastAsia" w:hAnsi="宋体"/>
          <w:sz w:val="22"/>
          <w:szCs w:val="22"/>
        </w:rPr>
        <w:t>；</w:t>
      </w:r>
    </w:p>
    <w:p>
      <w:pPr>
        <w:spacing w:line="360" w:lineRule="auto"/>
        <w:rPr>
          <w:rFonts w:hAnsi="宋体"/>
          <w:sz w:val="22"/>
          <w:szCs w:val="22"/>
          <w:u w:val="single"/>
        </w:rPr>
      </w:pPr>
      <w:r>
        <w:rPr>
          <w:rFonts w:hint="eastAsia" w:hAnsi="宋体"/>
          <w:sz w:val="22"/>
          <w:szCs w:val="22"/>
        </w:rPr>
        <w:t>地     址：</w:t>
      </w:r>
      <w:r>
        <w:rPr>
          <w:rFonts w:hint="eastAsia" w:hAnsi="宋体"/>
          <w:sz w:val="22"/>
          <w:szCs w:val="22"/>
          <w:u w:val="single"/>
        </w:rPr>
        <w:t>三门县海游街道朝晖路71号（启明博物馆东侧）</w:t>
      </w:r>
      <w:r>
        <w:rPr>
          <w:rFonts w:hint="eastAsia" w:hAnsi="宋体"/>
          <w:sz w:val="22"/>
          <w:szCs w:val="22"/>
        </w:rPr>
        <w:t>；</w:t>
      </w:r>
    </w:p>
    <w:p>
      <w:pPr>
        <w:spacing w:line="360" w:lineRule="auto"/>
        <w:rPr>
          <w:rFonts w:hAnsi="宋体"/>
          <w:sz w:val="22"/>
          <w:szCs w:val="22"/>
        </w:rPr>
      </w:pPr>
      <w:r>
        <w:rPr>
          <w:rFonts w:hint="eastAsia" w:hAnsi="宋体"/>
          <w:sz w:val="22"/>
          <w:szCs w:val="22"/>
        </w:rPr>
        <w:t>联  系 人：</w:t>
      </w:r>
      <w:r>
        <w:rPr>
          <w:rFonts w:hint="eastAsia" w:hAnsi="宋体"/>
          <w:sz w:val="22"/>
          <w:szCs w:val="22"/>
          <w:u w:val="single"/>
        </w:rPr>
        <w:t xml:space="preserve"> 楼凯霞  </w:t>
      </w:r>
      <w:r>
        <w:rPr>
          <w:rFonts w:hint="eastAsia" w:hAnsi="宋体"/>
          <w:sz w:val="22"/>
          <w:szCs w:val="22"/>
        </w:rPr>
        <w:t>；</w:t>
      </w:r>
    </w:p>
    <w:p>
      <w:pPr>
        <w:spacing w:line="360" w:lineRule="auto"/>
        <w:rPr>
          <w:rFonts w:hAnsi="宋体"/>
          <w:sz w:val="22"/>
          <w:szCs w:val="22"/>
        </w:rPr>
      </w:pPr>
      <w:r>
        <w:rPr>
          <w:rFonts w:hint="eastAsia" w:hAnsi="宋体"/>
          <w:sz w:val="22"/>
          <w:szCs w:val="22"/>
        </w:rPr>
        <w:t>电     话：</w:t>
      </w:r>
      <w:r>
        <w:rPr>
          <w:rFonts w:hint="eastAsia" w:hAnsi="宋体"/>
          <w:sz w:val="22"/>
          <w:szCs w:val="22"/>
          <w:u w:val="single"/>
        </w:rPr>
        <w:t xml:space="preserve">  0576-83339991  </w:t>
      </w:r>
      <w:r>
        <w:rPr>
          <w:rFonts w:hint="eastAsia" w:hAnsi="宋体"/>
          <w:sz w:val="22"/>
          <w:szCs w:val="22"/>
        </w:rPr>
        <w:t>；</w:t>
      </w:r>
    </w:p>
    <w:p>
      <w:pPr>
        <w:spacing w:line="360" w:lineRule="auto"/>
        <w:rPr>
          <w:rFonts w:hAnsi="宋体"/>
          <w:sz w:val="22"/>
          <w:szCs w:val="22"/>
        </w:rPr>
      </w:pPr>
      <w:r>
        <w:rPr>
          <w:rFonts w:hint="eastAsia" w:hAnsi="宋体"/>
          <w:sz w:val="22"/>
          <w:szCs w:val="22"/>
        </w:rPr>
        <w:t> </w:t>
      </w:r>
    </w:p>
    <w:p>
      <w:pPr>
        <w:pStyle w:val="2"/>
      </w:pPr>
    </w:p>
    <w:p>
      <w:pPr>
        <w:spacing w:line="360" w:lineRule="auto"/>
        <w:jc w:val="right"/>
        <w:rPr>
          <w:rFonts w:hAnsi="宋体"/>
          <w:sz w:val="22"/>
          <w:szCs w:val="22"/>
        </w:rPr>
      </w:pPr>
      <w:r>
        <w:rPr>
          <w:rFonts w:hint="eastAsia" w:hAnsi="宋体"/>
          <w:sz w:val="22"/>
          <w:szCs w:val="22"/>
        </w:rPr>
        <w:t xml:space="preserve"> 三门县公路与运输管理中心</w:t>
      </w:r>
    </w:p>
    <w:p>
      <w:pPr>
        <w:spacing w:line="360" w:lineRule="auto"/>
        <w:jc w:val="right"/>
        <w:rPr>
          <w:rFonts w:hAnsi="宋体"/>
          <w:sz w:val="22"/>
          <w:szCs w:val="22"/>
        </w:rPr>
      </w:pPr>
      <w:r>
        <w:rPr>
          <w:rFonts w:hint="eastAsia" w:hAnsi="宋体"/>
          <w:sz w:val="22"/>
          <w:szCs w:val="22"/>
        </w:rPr>
        <w:t xml:space="preserve"> 联通工程咨询（浙江）有限公司</w:t>
      </w:r>
    </w:p>
    <w:p>
      <w:pPr>
        <w:spacing w:line="360" w:lineRule="auto"/>
        <w:jc w:val="right"/>
        <w:rPr>
          <w:rFonts w:hAnsi="宋体"/>
          <w:sz w:val="22"/>
          <w:szCs w:val="22"/>
        </w:rPr>
      </w:pPr>
      <w:r>
        <w:rPr>
          <w:rFonts w:hint="eastAsia" w:hAnsi="宋体"/>
          <w:sz w:val="22"/>
          <w:szCs w:val="22"/>
        </w:rPr>
        <w:t>三门县交通运输局</w:t>
      </w:r>
    </w:p>
    <w:p>
      <w:pPr>
        <w:wordWrap w:val="0"/>
        <w:spacing w:line="360" w:lineRule="auto"/>
        <w:jc w:val="right"/>
        <w:rPr>
          <w:rFonts w:hAnsi="宋体"/>
          <w:sz w:val="22"/>
          <w:szCs w:val="22"/>
        </w:rPr>
      </w:pPr>
      <w:r>
        <w:rPr>
          <w:rFonts w:hint="eastAsia" w:hAnsi="宋体"/>
          <w:sz w:val="22"/>
          <w:szCs w:val="22"/>
        </w:rPr>
        <w:t>2024年</w:t>
      </w:r>
      <w:r>
        <w:rPr>
          <w:rFonts w:hAnsi="宋体"/>
          <w:sz w:val="22"/>
          <w:szCs w:val="22"/>
        </w:rPr>
        <w:t>07</w:t>
      </w:r>
      <w:r>
        <w:rPr>
          <w:rFonts w:hint="eastAsia" w:hAnsi="宋体"/>
          <w:sz w:val="22"/>
          <w:szCs w:val="22"/>
        </w:rPr>
        <w:t>月</w:t>
      </w:r>
      <w:r>
        <w:rPr>
          <w:rFonts w:hAnsi="宋体"/>
          <w:sz w:val="22"/>
          <w:szCs w:val="22"/>
        </w:rPr>
        <w:t>31</w:t>
      </w:r>
      <w:r>
        <w:rPr>
          <w:rFonts w:hint="eastAsia" w:hAnsi="宋体"/>
          <w:sz w:val="22"/>
          <w:szCs w:val="22"/>
        </w:rPr>
        <w:t>日</w:t>
      </w:r>
    </w:p>
    <w:p>
      <w:pPr>
        <w:pStyle w:val="47"/>
        <w:shd w:val="clear" w:color="auto" w:fill="FFFFFF"/>
        <w:wordWrap w:val="0"/>
        <w:spacing w:before="0" w:beforeAutospacing="0" w:after="0" w:afterAutospacing="0" w:line="480" w:lineRule="auto"/>
        <w:jc w:val="right"/>
        <w:rPr>
          <w:rFonts w:ascii="宋体" w:hAnsi="宋体" w:eastAsia="宋体" w:cs="宋体"/>
          <w:color w:val="auto"/>
          <w:kern w:val="2"/>
          <w:sz w:val="21"/>
          <w:szCs w:val="21"/>
        </w:rPr>
      </w:pPr>
    </w:p>
    <w:p>
      <w:pPr>
        <w:pStyle w:val="47"/>
        <w:shd w:val="clear" w:color="auto" w:fill="FFFFFF"/>
        <w:spacing w:before="0" w:beforeAutospacing="0" w:after="0" w:afterAutospacing="0" w:line="480" w:lineRule="auto"/>
        <w:jc w:val="right"/>
        <w:rPr>
          <w:rFonts w:ascii="宋体" w:hAnsi="宋体" w:eastAsia="宋体" w:cs="宋体"/>
          <w:color w:val="auto"/>
          <w:kern w:val="2"/>
          <w:sz w:val="21"/>
          <w:szCs w:val="21"/>
        </w:rPr>
      </w:pPr>
    </w:p>
    <w:p>
      <w:pPr>
        <w:pStyle w:val="47"/>
        <w:shd w:val="clear" w:color="auto" w:fill="FFFFFF"/>
        <w:spacing w:before="0" w:beforeAutospacing="0" w:after="0" w:afterAutospacing="0" w:line="480" w:lineRule="auto"/>
        <w:jc w:val="right"/>
        <w:rPr>
          <w:rFonts w:ascii="宋体" w:hAnsi="宋体" w:eastAsia="宋体" w:cs="宋体"/>
          <w:color w:val="auto"/>
          <w:kern w:val="2"/>
          <w:sz w:val="21"/>
          <w:szCs w:val="21"/>
        </w:rPr>
      </w:pPr>
    </w:p>
    <w:p>
      <w:pPr>
        <w:rPr>
          <w:rFonts w:ascii="宋体" w:hAnsi="宋体" w:eastAsia="宋体" w:cs="宋体"/>
          <w:sz w:val="24"/>
        </w:rPr>
      </w:pPr>
    </w:p>
    <w:p>
      <w:pPr>
        <w:rPr>
          <w:rFonts w:ascii="宋体" w:hAnsi="宋体" w:eastAsia="宋体" w:cs="宋体"/>
          <w:sz w:val="24"/>
        </w:rPr>
      </w:pPr>
    </w:p>
    <w:p>
      <w:pPr>
        <w:widowControl/>
        <w:jc w:val="left"/>
        <w:rPr>
          <w:rFonts w:ascii="宋体" w:hAnsi="宋体" w:eastAsia="宋体" w:cs="宋体"/>
          <w:b/>
          <w:sz w:val="44"/>
          <w:szCs w:val="44"/>
        </w:rPr>
      </w:pPr>
      <w:r>
        <w:rPr>
          <w:rFonts w:ascii="宋体" w:hAnsi="宋体" w:eastAsia="宋体" w:cs="宋体"/>
          <w:b/>
          <w:sz w:val="44"/>
          <w:szCs w:val="44"/>
        </w:rPr>
        <w:br w:type="page"/>
      </w:r>
    </w:p>
    <w:p>
      <w:pPr>
        <w:pStyle w:val="3"/>
        <w:spacing w:line="240" w:lineRule="auto"/>
        <w:jc w:val="center"/>
        <w:rPr>
          <w:rFonts w:ascii="宋体" w:hAnsi="宋体"/>
          <w:sz w:val="30"/>
          <w:szCs w:val="30"/>
        </w:rPr>
      </w:pPr>
      <w:bookmarkStart w:id="28" w:name="_Toc173244759"/>
      <w:bookmarkStart w:id="29" w:name="_Toc173246146"/>
      <w:r>
        <w:rPr>
          <w:rFonts w:hint="eastAsia" w:ascii="宋体" w:hAnsi="宋体"/>
          <w:sz w:val="30"/>
          <w:szCs w:val="30"/>
        </w:rPr>
        <w:t>第二章  投标人须知</w:t>
      </w:r>
      <w:bookmarkEnd w:id="28"/>
      <w:bookmarkEnd w:id="29"/>
    </w:p>
    <w:p>
      <w:pPr>
        <w:pStyle w:val="3"/>
        <w:spacing w:before="0" w:after="0" w:line="240" w:lineRule="auto"/>
        <w:jc w:val="center"/>
        <w:rPr>
          <w:rFonts w:ascii="宋体" w:hAnsi="宋体"/>
          <w:sz w:val="30"/>
          <w:szCs w:val="30"/>
        </w:rPr>
      </w:pPr>
      <w:bookmarkStart w:id="30" w:name="_Toc173244760"/>
      <w:bookmarkStart w:id="31" w:name="_Toc173246147"/>
      <w:r>
        <w:rPr>
          <w:rFonts w:hint="eastAsia" w:ascii="宋体" w:hAnsi="宋体"/>
          <w:sz w:val="30"/>
          <w:szCs w:val="30"/>
        </w:rPr>
        <w:t>投标人须知前附表</w:t>
      </w:r>
      <w:bookmarkEnd w:id="30"/>
      <w:bookmarkEnd w:id="31"/>
    </w:p>
    <w:tbl>
      <w:tblPr>
        <w:tblStyle w:val="52"/>
        <w:tblW w:w="1058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47"/>
        <w:gridCol w:w="2705"/>
        <w:gridCol w:w="702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7" w:hRule="atLeast"/>
          <w:jc w:val="center"/>
        </w:trPr>
        <w:tc>
          <w:tcPr>
            <w:tcW w:w="847" w:type="dxa"/>
            <w:tcBorders>
              <w:top w:val="single" w:color="000000" w:sz="12"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b/>
                <w:szCs w:val="21"/>
              </w:rPr>
            </w:pPr>
            <w:r>
              <w:rPr>
                <w:rFonts w:hint="eastAsia" w:ascii="宋体" w:hAnsi="宋体" w:eastAsia="宋体" w:cs="宋体"/>
                <w:b/>
                <w:szCs w:val="21"/>
              </w:rPr>
              <w:t>条款号</w:t>
            </w:r>
          </w:p>
        </w:tc>
        <w:tc>
          <w:tcPr>
            <w:tcW w:w="2705" w:type="dxa"/>
            <w:tcBorders>
              <w:top w:val="single" w:color="000000" w:sz="12" w:space="0"/>
              <w:left w:val="single" w:color="000000" w:sz="6" w:space="0"/>
              <w:bottom w:val="single" w:color="000000" w:sz="6" w:space="0"/>
              <w:right w:val="single" w:color="000000" w:sz="6" w:space="0"/>
            </w:tcBorders>
            <w:vAlign w:val="center"/>
          </w:tcPr>
          <w:p>
            <w:pPr>
              <w:spacing w:line="360" w:lineRule="exact"/>
              <w:jc w:val="center"/>
              <w:rPr>
                <w:rFonts w:ascii="宋体" w:hAnsi="宋体" w:eastAsia="宋体" w:cs="宋体"/>
                <w:b/>
                <w:szCs w:val="21"/>
              </w:rPr>
            </w:pPr>
            <w:r>
              <w:rPr>
                <w:rFonts w:hint="eastAsia" w:ascii="宋体" w:hAnsi="宋体" w:eastAsia="宋体" w:cs="宋体"/>
                <w:b/>
                <w:szCs w:val="21"/>
              </w:rPr>
              <w:t>条 款 名 称</w:t>
            </w:r>
          </w:p>
        </w:tc>
        <w:tc>
          <w:tcPr>
            <w:tcW w:w="7028" w:type="dxa"/>
            <w:tcBorders>
              <w:top w:val="single" w:color="000000" w:sz="12" w:space="0"/>
              <w:left w:val="single" w:color="000000" w:sz="6" w:space="0"/>
              <w:bottom w:val="single" w:color="000000" w:sz="6" w:space="0"/>
              <w:right w:val="single" w:color="000000" w:sz="12" w:space="0"/>
            </w:tcBorders>
            <w:vAlign w:val="center"/>
          </w:tcPr>
          <w:p>
            <w:pPr>
              <w:spacing w:line="360" w:lineRule="exact"/>
              <w:ind w:left="141" w:leftChars="67"/>
              <w:jc w:val="center"/>
              <w:rPr>
                <w:rFonts w:ascii="宋体" w:hAnsi="宋体" w:eastAsia="宋体" w:cs="宋体"/>
                <w:b/>
                <w:szCs w:val="21"/>
              </w:rPr>
            </w:pPr>
            <w:r>
              <w:rPr>
                <w:rFonts w:hint="eastAsia" w:ascii="宋体" w:hAnsi="宋体" w:eastAsia="宋体" w:cs="宋体"/>
                <w:b/>
                <w:szCs w:val="21"/>
              </w:rPr>
              <w:t>编 列 内 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75"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1.1.2</w:t>
            </w:r>
          </w:p>
        </w:tc>
        <w:tc>
          <w:tcPr>
            <w:tcW w:w="2705" w:type="dxa"/>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发包人</w:t>
            </w:r>
          </w:p>
        </w:tc>
        <w:tc>
          <w:tcPr>
            <w:tcW w:w="7028" w:type="dxa"/>
            <w:tcBorders>
              <w:top w:val="single" w:color="000000" w:sz="6" w:space="0"/>
              <w:left w:val="single" w:color="000000" w:sz="6" w:space="0"/>
              <w:bottom w:val="single" w:color="000000" w:sz="6" w:space="0"/>
              <w:right w:val="single" w:color="000000" w:sz="12" w:space="0"/>
            </w:tcBorders>
            <w:vAlign w:val="center"/>
          </w:tcPr>
          <w:p>
            <w:pPr>
              <w:spacing w:line="360" w:lineRule="exact"/>
              <w:ind w:left="141" w:leftChars="67"/>
              <w:rPr>
                <w:rFonts w:ascii="宋体" w:hAnsi="宋体" w:eastAsia="宋体" w:cs="宋体"/>
                <w:szCs w:val="21"/>
              </w:rPr>
            </w:pPr>
            <w:r>
              <w:rPr>
                <w:rFonts w:hint="eastAsia" w:ascii="宋体" w:hAnsi="宋体" w:eastAsia="宋体" w:cs="宋体"/>
                <w:szCs w:val="21"/>
              </w:rPr>
              <w:t>名    称：三门县公路与运输管理中心</w:t>
            </w:r>
          </w:p>
          <w:p>
            <w:pPr>
              <w:spacing w:line="360" w:lineRule="exact"/>
              <w:ind w:left="141" w:leftChars="67"/>
              <w:rPr>
                <w:rFonts w:ascii="宋体" w:hAnsi="宋体" w:eastAsia="宋体" w:cs="宋体"/>
                <w:szCs w:val="21"/>
              </w:rPr>
            </w:pPr>
            <w:r>
              <w:rPr>
                <w:rFonts w:hint="eastAsia" w:ascii="宋体" w:hAnsi="宋体" w:eastAsia="宋体" w:cs="宋体"/>
                <w:szCs w:val="21"/>
              </w:rPr>
              <w:t>地    址：三门县广场路交通大楼</w:t>
            </w:r>
          </w:p>
          <w:p>
            <w:pPr>
              <w:spacing w:line="360" w:lineRule="exact"/>
              <w:ind w:left="141" w:leftChars="67"/>
              <w:rPr>
                <w:rFonts w:ascii="宋体" w:hAnsi="宋体" w:eastAsia="宋体" w:cs="宋体"/>
                <w:szCs w:val="21"/>
              </w:rPr>
            </w:pPr>
            <w:r>
              <w:rPr>
                <w:rFonts w:hint="eastAsia" w:ascii="宋体" w:hAnsi="宋体" w:eastAsia="宋体" w:cs="宋体"/>
                <w:szCs w:val="21"/>
              </w:rPr>
              <w:t>邮    编：31710</w:t>
            </w:r>
            <w:r>
              <w:rPr>
                <w:rFonts w:ascii="宋体" w:hAnsi="宋体" w:eastAsia="宋体" w:cs="宋体"/>
                <w:szCs w:val="21"/>
              </w:rPr>
              <w:t>0</w:t>
            </w:r>
          </w:p>
          <w:p>
            <w:pPr>
              <w:spacing w:line="360" w:lineRule="exact"/>
              <w:ind w:left="141" w:leftChars="67"/>
              <w:rPr>
                <w:rFonts w:ascii="宋体" w:hAnsi="宋体" w:eastAsia="宋体" w:cs="宋体"/>
                <w:szCs w:val="21"/>
              </w:rPr>
            </w:pPr>
            <w:r>
              <w:rPr>
                <w:rFonts w:hint="eastAsia" w:ascii="宋体" w:hAnsi="宋体" w:eastAsia="宋体" w:cs="宋体"/>
                <w:szCs w:val="21"/>
              </w:rPr>
              <w:t xml:space="preserve">联 系 人：章竣强 </w:t>
            </w:r>
          </w:p>
          <w:p>
            <w:pPr>
              <w:spacing w:line="360" w:lineRule="exact"/>
              <w:ind w:left="141" w:leftChars="67"/>
              <w:rPr>
                <w:rFonts w:ascii="宋体" w:hAnsi="宋体" w:eastAsia="宋体" w:cs="宋体"/>
                <w:b/>
                <w:szCs w:val="21"/>
              </w:rPr>
            </w:pPr>
            <w:r>
              <w:rPr>
                <w:rFonts w:hint="eastAsia" w:ascii="宋体" w:hAnsi="宋体" w:eastAsia="宋体" w:cs="宋体"/>
                <w:szCs w:val="21"/>
              </w:rPr>
              <w:t xml:space="preserve">电    话： 13566837396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97"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1.1.3</w:t>
            </w:r>
          </w:p>
        </w:tc>
        <w:tc>
          <w:tcPr>
            <w:tcW w:w="2705" w:type="dxa"/>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招标代理机构</w:t>
            </w:r>
          </w:p>
        </w:tc>
        <w:tc>
          <w:tcPr>
            <w:tcW w:w="7028" w:type="dxa"/>
            <w:tcBorders>
              <w:top w:val="single" w:color="000000" w:sz="6" w:space="0"/>
              <w:left w:val="single" w:color="000000" w:sz="6" w:space="0"/>
              <w:bottom w:val="single" w:color="000000" w:sz="6" w:space="0"/>
              <w:right w:val="single" w:color="000000" w:sz="12" w:space="0"/>
            </w:tcBorders>
            <w:vAlign w:val="center"/>
          </w:tcPr>
          <w:p>
            <w:pPr>
              <w:spacing w:line="360" w:lineRule="exact"/>
              <w:ind w:left="141" w:leftChars="67"/>
              <w:rPr>
                <w:rFonts w:ascii="宋体" w:hAnsi="宋体" w:eastAsia="宋体" w:cs="宋体"/>
                <w:szCs w:val="21"/>
              </w:rPr>
            </w:pPr>
            <w:r>
              <w:rPr>
                <w:rFonts w:hint="eastAsia" w:ascii="宋体" w:hAnsi="宋体" w:eastAsia="宋体" w:cs="宋体"/>
                <w:szCs w:val="21"/>
              </w:rPr>
              <w:t>名    称：联通工程咨询（浙江）有限公司</w:t>
            </w:r>
          </w:p>
          <w:p>
            <w:pPr>
              <w:spacing w:line="360" w:lineRule="exact"/>
              <w:ind w:left="141" w:leftChars="67"/>
              <w:rPr>
                <w:rFonts w:ascii="宋体" w:hAnsi="宋体" w:eastAsia="宋体" w:cs="宋体"/>
                <w:szCs w:val="21"/>
              </w:rPr>
            </w:pPr>
            <w:r>
              <w:rPr>
                <w:rFonts w:hint="eastAsia" w:ascii="宋体" w:hAnsi="宋体" w:eastAsia="宋体" w:cs="宋体"/>
                <w:szCs w:val="21"/>
              </w:rPr>
              <w:t>地    址：三门县海游街道朝晖路71号（启明博物馆东侧）</w:t>
            </w:r>
          </w:p>
          <w:p>
            <w:pPr>
              <w:spacing w:line="360" w:lineRule="exact"/>
              <w:ind w:left="141" w:leftChars="67"/>
              <w:rPr>
                <w:rFonts w:ascii="宋体" w:hAnsi="宋体" w:eastAsia="宋体" w:cs="宋体"/>
                <w:szCs w:val="21"/>
              </w:rPr>
            </w:pPr>
            <w:r>
              <w:rPr>
                <w:rFonts w:hint="eastAsia" w:ascii="宋体" w:hAnsi="宋体" w:eastAsia="宋体" w:cs="宋体"/>
                <w:szCs w:val="21"/>
              </w:rPr>
              <w:t xml:space="preserve">联 系 人：楼凯霞  </w:t>
            </w:r>
          </w:p>
          <w:p>
            <w:pPr>
              <w:spacing w:line="360" w:lineRule="exact"/>
              <w:ind w:left="141" w:leftChars="67"/>
              <w:rPr>
                <w:rFonts w:ascii="宋体" w:hAnsi="宋体" w:eastAsia="宋体" w:cs="宋体"/>
                <w:b/>
                <w:szCs w:val="21"/>
              </w:rPr>
            </w:pPr>
            <w:r>
              <w:rPr>
                <w:rFonts w:hint="eastAsia" w:ascii="宋体" w:hAnsi="宋体" w:eastAsia="宋体" w:cs="宋体"/>
                <w:szCs w:val="21"/>
              </w:rPr>
              <w:t>电    话：0576-83339991；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7"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1.1.4</w:t>
            </w:r>
          </w:p>
        </w:tc>
        <w:tc>
          <w:tcPr>
            <w:tcW w:w="2705" w:type="dxa"/>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项目名称</w:t>
            </w:r>
          </w:p>
        </w:tc>
        <w:tc>
          <w:tcPr>
            <w:tcW w:w="7028" w:type="dxa"/>
            <w:tcBorders>
              <w:top w:val="single" w:color="000000" w:sz="6" w:space="0"/>
              <w:left w:val="single" w:color="000000" w:sz="6" w:space="0"/>
              <w:bottom w:val="single" w:color="000000" w:sz="6" w:space="0"/>
              <w:right w:val="single" w:color="000000" w:sz="12" w:space="0"/>
            </w:tcBorders>
            <w:vAlign w:val="center"/>
          </w:tcPr>
          <w:p>
            <w:pPr>
              <w:spacing w:line="360" w:lineRule="exact"/>
              <w:ind w:left="141" w:leftChars="67"/>
              <w:rPr>
                <w:rFonts w:ascii="宋体" w:hAnsi="宋体" w:eastAsia="宋体" w:cs="宋体"/>
                <w:bCs/>
                <w:szCs w:val="21"/>
              </w:rPr>
            </w:pPr>
            <w:r>
              <w:rPr>
                <w:rFonts w:hint="eastAsia" w:ascii="宋体" w:hAnsi="宋体" w:eastAsia="宋体" w:cs="宋体"/>
                <w:szCs w:val="21"/>
              </w:rPr>
              <w:t xml:space="preserve">2024年三门县国省道公路标志标线及安全设施增设和维护工程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7"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1.1.5</w:t>
            </w:r>
          </w:p>
        </w:tc>
        <w:tc>
          <w:tcPr>
            <w:tcW w:w="2705" w:type="dxa"/>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建设地点</w:t>
            </w:r>
          </w:p>
        </w:tc>
        <w:tc>
          <w:tcPr>
            <w:tcW w:w="7028" w:type="dxa"/>
            <w:tcBorders>
              <w:top w:val="single" w:color="000000" w:sz="6" w:space="0"/>
              <w:left w:val="single" w:color="000000" w:sz="6" w:space="0"/>
              <w:bottom w:val="single" w:color="000000" w:sz="6" w:space="0"/>
              <w:right w:val="single" w:color="000000" w:sz="12" w:space="0"/>
            </w:tcBorders>
            <w:vAlign w:val="center"/>
          </w:tcPr>
          <w:p>
            <w:pPr>
              <w:spacing w:line="360" w:lineRule="exact"/>
              <w:ind w:left="141" w:leftChars="67"/>
              <w:rPr>
                <w:rFonts w:ascii="宋体" w:hAnsi="宋体" w:eastAsia="宋体" w:cs="宋体"/>
                <w:bCs/>
                <w:szCs w:val="21"/>
              </w:rPr>
            </w:pPr>
            <w:r>
              <w:rPr>
                <w:rFonts w:hint="eastAsia" w:ascii="宋体" w:hAnsi="宋体" w:eastAsia="宋体" w:cs="宋体"/>
                <w:szCs w:val="21"/>
              </w:rPr>
              <w:t>三门县国道公路</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7"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1.2.1</w:t>
            </w:r>
          </w:p>
        </w:tc>
        <w:tc>
          <w:tcPr>
            <w:tcW w:w="2705" w:type="dxa"/>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资金来源</w:t>
            </w:r>
          </w:p>
        </w:tc>
        <w:tc>
          <w:tcPr>
            <w:tcW w:w="7028" w:type="dxa"/>
            <w:tcBorders>
              <w:top w:val="single" w:color="000000" w:sz="6" w:space="0"/>
              <w:left w:val="single" w:color="000000" w:sz="6" w:space="0"/>
              <w:bottom w:val="single" w:color="000000" w:sz="6" w:space="0"/>
              <w:right w:val="single" w:color="000000" w:sz="12" w:space="0"/>
            </w:tcBorders>
            <w:vAlign w:val="center"/>
          </w:tcPr>
          <w:p>
            <w:pPr>
              <w:spacing w:line="360" w:lineRule="exact"/>
              <w:ind w:left="141" w:leftChars="67"/>
              <w:rPr>
                <w:rFonts w:ascii="宋体" w:hAnsi="宋体" w:eastAsia="宋体" w:cs="宋体"/>
                <w:bCs/>
                <w:szCs w:val="21"/>
              </w:rPr>
            </w:pPr>
            <w:r>
              <w:rPr>
                <w:rFonts w:hint="eastAsia" w:hAnsi="宋体"/>
                <w:spacing w:val="5"/>
                <w:sz w:val="22"/>
              </w:rPr>
              <w:t>自筹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7"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1.2.2</w:t>
            </w:r>
          </w:p>
        </w:tc>
        <w:tc>
          <w:tcPr>
            <w:tcW w:w="2705" w:type="dxa"/>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出资比例</w:t>
            </w:r>
          </w:p>
        </w:tc>
        <w:tc>
          <w:tcPr>
            <w:tcW w:w="7028" w:type="dxa"/>
            <w:tcBorders>
              <w:top w:val="single" w:color="000000" w:sz="6" w:space="0"/>
              <w:left w:val="single" w:color="000000" w:sz="6" w:space="0"/>
              <w:bottom w:val="single" w:color="000000" w:sz="6" w:space="0"/>
              <w:right w:val="single" w:color="000000" w:sz="12" w:space="0"/>
            </w:tcBorders>
            <w:vAlign w:val="center"/>
          </w:tcPr>
          <w:p>
            <w:pPr>
              <w:spacing w:line="360" w:lineRule="exact"/>
              <w:ind w:left="141" w:leftChars="67"/>
              <w:rPr>
                <w:rFonts w:ascii="宋体" w:hAnsi="宋体" w:eastAsia="宋体" w:cs="宋体"/>
                <w:bCs/>
                <w:szCs w:val="21"/>
              </w:rPr>
            </w:pPr>
            <w:r>
              <w:rPr>
                <w:rFonts w:hint="eastAsia" w:ascii="宋体" w:hAnsi="宋体" w:eastAsia="宋体" w:cs="宋体"/>
                <w:bCs/>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7"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1.2.3</w:t>
            </w:r>
          </w:p>
        </w:tc>
        <w:tc>
          <w:tcPr>
            <w:tcW w:w="2705" w:type="dxa"/>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资金落实情况</w:t>
            </w:r>
          </w:p>
        </w:tc>
        <w:tc>
          <w:tcPr>
            <w:tcW w:w="7028" w:type="dxa"/>
            <w:tcBorders>
              <w:top w:val="single" w:color="000000" w:sz="6" w:space="0"/>
              <w:left w:val="single" w:color="000000" w:sz="6" w:space="0"/>
              <w:bottom w:val="single" w:color="000000" w:sz="6" w:space="0"/>
              <w:right w:val="single" w:color="000000" w:sz="12" w:space="0"/>
            </w:tcBorders>
            <w:vAlign w:val="center"/>
          </w:tcPr>
          <w:p>
            <w:pPr>
              <w:spacing w:line="360" w:lineRule="exact"/>
              <w:ind w:left="141" w:leftChars="67"/>
              <w:rPr>
                <w:rFonts w:ascii="宋体" w:hAnsi="宋体" w:eastAsia="宋体" w:cs="宋体"/>
                <w:bCs/>
                <w:szCs w:val="21"/>
              </w:rPr>
            </w:pPr>
            <w:r>
              <w:rPr>
                <w:rFonts w:hint="eastAsia" w:ascii="宋体" w:hAnsi="宋体" w:eastAsia="宋体" w:cs="宋体"/>
                <w:bCs/>
                <w:szCs w:val="21"/>
              </w:rPr>
              <w:t>已落实</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42"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1.3.1</w:t>
            </w:r>
          </w:p>
        </w:tc>
        <w:tc>
          <w:tcPr>
            <w:tcW w:w="2705"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招标范围</w:t>
            </w:r>
          </w:p>
        </w:tc>
        <w:tc>
          <w:tcPr>
            <w:tcW w:w="7028" w:type="dxa"/>
            <w:tcBorders>
              <w:top w:val="single" w:color="000000" w:sz="6" w:space="0"/>
              <w:left w:val="single" w:color="000000" w:sz="6" w:space="0"/>
              <w:bottom w:val="single" w:color="000000" w:sz="6" w:space="0"/>
              <w:right w:val="single" w:color="000000" w:sz="12" w:space="0"/>
            </w:tcBorders>
            <w:vAlign w:val="center"/>
          </w:tcPr>
          <w:p>
            <w:pPr>
              <w:pStyle w:val="5"/>
              <w:widowControl/>
              <w:spacing w:before="0" w:after="0" w:line="360" w:lineRule="exact"/>
              <w:jc w:val="left"/>
              <w:rPr>
                <w:rFonts w:ascii="宋体" w:hAnsi="宋体"/>
                <w:b w:val="0"/>
                <w:bCs w:val="0"/>
                <w:sz w:val="21"/>
                <w:szCs w:val="21"/>
              </w:rPr>
            </w:pPr>
            <w:r>
              <w:rPr>
                <w:rFonts w:hint="eastAsia" w:ascii="宋体" w:hAnsi="宋体"/>
                <w:b w:val="0"/>
                <w:sz w:val="21"/>
                <w:szCs w:val="21"/>
              </w:rPr>
              <w:t>招标人所提供的预算审核书及施工图范围内标志标线及安全设施维护等工程。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06"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1.3.2</w:t>
            </w:r>
          </w:p>
        </w:tc>
        <w:tc>
          <w:tcPr>
            <w:tcW w:w="2705" w:type="dxa"/>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计划工期</w:t>
            </w:r>
          </w:p>
        </w:tc>
        <w:tc>
          <w:tcPr>
            <w:tcW w:w="7028" w:type="dxa"/>
            <w:tcBorders>
              <w:top w:val="single" w:color="000000" w:sz="6" w:space="0"/>
              <w:left w:val="single" w:color="000000" w:sz="6" w:space="0"/>
              <w:bottom w:val="single" w:color="000000" w:sz="6" w:space="0"/>
              <w:right w:val="single" w:color="000000" w:sz="12" w:space="0"/>
            </w:tcBorders>
            <w:vAlign w:val="center"/>
          </w:tcPr>
          <w:p>
            <w:pPr>
              <w:spacing w:line="260" w:lineRule="exact"/>
              <w:ind w:left="141" w:leftChars="67"/>
              <w:rPr>
                <w:rFonts w:ascii="宋体" w:hAnsi="宋体" w:eastAsia="宋体" w:cs="宋体"/>
                <w:szCs w:val="21"/>
              </w:rPr>
            </w:pPr>
            <w:r>
              <w:rPr>
                <w:rFonts w:hint="eastAsia" w:ascii="宋体" w:hAnsi="宋体" w:eastAsia="宋体" w:cs="宋体"/>
                <w:szCs w:val="21"/>
              </w:rPr>
              <w:t>计划工期：不超过</w:t>
            </w:r>
            <w:r>
              <w:rPr>
                <w:rFonts w:ascii="宋体" w:hAnsi="宋体" w:eastAsia="宋体" w:cs="宋体"/>
                <w:szCs w:val="21"/>
              </w:rPr>
              <w:t>45</w:t>
            </w:r>
            <w:r>
              <w:rPr>
                <w:rFonts w:hint="eastAsia" w:ascii="宋体" w:hAnsi="宋体" w:eastAsia="宋体" w:cs="宋体"/>
                <w:szCs w:val="21"/>
              </w:rPr>
              <w:t>日历天（投标人在投标文件中必须明确工期天数）</w:t>
            </w:r>
          </w:p>
          <w:p>
            <w:pPr>
              <w:spacing w:line="360" w:lineRule="exact"/>
              <w:ind w:left="141" w:leftChars="67"/>
              <w:rPr>
                <w:rFonts w:ascii="宋体" w:hAnsi="宋体" w:eastAsia="宋体" w:cs="宋体"/>
                <w:szCs w:val="21"/>
              </w:rPr>
            </w:pPr>
            <w:r>
              <w:rPr>
                <w:rFonts w:hint="eastAsia" w:ascii="宋体" w:hAnsi="宋体" w:eastAsia="宋体" w:cs="宋体"/>
                <w:szCs w:val="21"/>
              </w:rPr>
              <w:t>计划开工日期： 以签发开工令为准</w:t>
            </w:r>
          </w:p>
          <w:p>
            <w:pPr>
              <w:spacing w:line="360" w:lineRule="exact"/>
              <w:ind w:left="141" w:leftChars="67"/>
              <w:rPr>
                <w:rFonts w:ascii="宋体" w:hAnsi="宋体" w:eastAsia="宋体" w:cs="宋体"/>
                <w:szCs w:val="21"/>
              </w:rPr>
            </w:pPr>
            <w:r>
              <w:rPr>
                <w:rFonts w:hint="eastAsia" w:ascii="宋体" w:hAnsi="宋体" w:eastAsia="宋体" w:cs="宋体"/>
                <w:szCs w:val="21"/>
              </w:rPr>
              <w:t>计划交（竣）工日期：按开工日期推算</w:t>
            </w:r>
          </w:p>
          <w:p>
            <w:pPr>
              <w:spacing w:line="360" w:lineRule="exact"/>
              <w:ind w:left="141" w:leftChars="67"/>
              <w:rPr>
                <w:rFonts w:ascii="宋体" w:hAnsi="宋体" w:eastAsia="宋体" w:cs="宋体"/>
                <w:szCs w:val="21"/>
              </w:rPr>
            </w:pPr>
            <w:r>
              <w:rPr>
                <w:rFonts w:hint="eastAsia" w:ascii="宋体" w:hAnsi="宋体" w:eastAsia="宋体" w:cs="宋体"/>
                <w:szCs w:val="21"/>
              </w:rPr>
              <w:t>缺陷责任期为12个月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4"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1.3.3</w:t>
            </w:r>
          </w:p>
        </w:tc>
        <w:tc>
          <w:tcPr>
            <w:tcW w:w="2705" w:type="dxa"/>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质量要求</w:t>
            </w:r>
          </w:p>
        </w:tc>
        <w:tc>
          <w:tcPr>
            <w:tcW w:w="7028" w:type="dxa"/>
            <w:tcBorders>
              <w:top w:val="single" w:color="000000" w:sz="6" w:space="0"/>
              <w:left w:val="single" w:color="000000" w:sz="6" w:space="0"/>
              <w:bottom w:val="single" w:color="000000" w:sz="6" w:space="0"/>
              <w:right w:val="single" w:color="000000" w:sz="12" w:space="0"/>
            </w:tcBorders>
            <w:vAlign w:val="center"/>
          </w:tcPr>
          <w:p>
            <w:pPr>
              <w:spacing w:line="360" w:lineRule="exact"/>
              <w:ind w:left="141" w:leftChars="67"/>
              <w:rPr>
                <w:rFonts w:ascii="宋体" w:hAnsi="宋体" w:eastAsia="宋体" w:cs="宋体"/>
                <w:szCs w:val="21"/>
              </w:rPr>
            </w:pPr>
            <w:r>
              <w:rPr>
                <w:rFonts w:hint="eastAsia" w:ascii="宋体" w:hAnsi="宋体" w:eastAsia="宋体" w:cs="宋体"/>
                <w:szCs w:val="21"/>
              </w:rPr>
              <w:t>标段工程交（竣）工验收的质量评定：</w:t>
            </w:r>
            <w:r>
              <w:rPr>
                <w:rFonts w:hint="eastAsia" w:ascii="宋体" w:hAnsi="宋体" w:eastAsia="宋体" w:cs="宋体"/>
                <w:szCs w:val="21"/>
                <w:u w:val="single"/>
              </w:rPr>
              <w:t xml:space="preserve"> 合格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7"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color w:val="000000"/>
                <w:szCs w:val="21"/>
              </w:rPr>
            </w:pPr>
            <w:r>
              <w:rPr>
                <w:rFonts w:hint="eastAsia"/>
                <w:color w:val="000000"/>
                <w:szCs w:val="21"/>
              </w:rPr>
              <w:t>1.3.4</w:t>
            </w:r>
          </w:p>
        </w:tc>
        <w:tc>
          <w:tcPr>
            <w:tcW w:w="2705" w:type="dxa"/>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color w:val="000000"/>
                <w:kern w:val="0"/>
                <w:szCs w:val="21"/>
              </w:rPr>
            </w:pPr>
            <w:r>
              <w:rPr>
                <w:color w:val="000000"/>
                <w:szCs w:val="21"/>
              </w:rPr>
              <w:t>安全目标</w:t>
            </w:r>
          </w:p>
        </w:tc>
        <w:tc>
          <w:tcPr>
            <w:tcW w:w="7028" w:type="dxa"/>
            <w:tcBorders>
              <w:top w:val="single" w:color="000000" w:sz="6" w:space="0"/>
              <w:left w:val="single" w:color="000000" w:sz="6" w:space="0"/>
              <w:bottom w:val="single" w:color="000000" w:sz="6" w:space="0"/>
              <w:right w:val="single" w:color="000000" w:sz="12" w:space="0"/>
            </w:tcBorders>
            <w:vAlign w:val="center"/>
          </w:tcPr>
          <w:p>
            <w:pPr>
              <w:spacing w:line="240" w:lineRule="exact"/>
              <w:ind w:left="141" w:leftChars="67"/>
              <w:rPr>
                <w:kern w:val="0"/>
                <w:szCs w:val="21"/>
              </w:rPr>
            </w:pPr>
            <w:r>
              <w:rPr>
                <w:rFonts w:hint="eastAsia"/>
                <w:szCs w:val="21"/>
                <w:u w:val="single"/>
              </w:rPr>
              <w:t>不发生较大及以上生产安全责任事故，人员零死亡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254"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1.4.1</w:t>
            </w:r>
          </w:p>
        </w:tc>
        <w:tc>
          <w:tcPr>
            <w:tcW w:w="2705" w:type="dxa"/>
            <w:tcBorders>
              <w:top w:val="single" w:color="000000" w:sz="6" w:space="0"/>
              <w:left w:val="single" w:color="000000" w:sz="6" w:space="0"/>
              <w:bottom w:val="single" w:color="000000" w:sz="6" w:space="0"/>
              <w:right w:val="single" w:color="000000" w:sz="6" w:space="0"/>
            </w:tcBorders>
            <w:vAlign w:val="center"/>
          </w:tcPr>
          <w:p>
            <w:pPr>
              <w:spacing w:line="260" w:lineRule="exact"/>
              <w:jc w:val="center"/>
              <w:rPr>
                <w:rFonts w:ascii="宋体" w:hAnsi="宋体" w:eastAsia="宋体" w:cs="宋体"/>
                <w:szCs w:val="21"/>
              </w:rPr>
            </w:pPr>
            <w:r>
              <w:rPr>
                <w:rFonts w:hint="eastAsia" w:ascii="宋体" w:hAnsi="宋体" w:eastAsia="宋体" w:cs="宋体"/>
                <w:szCs w:val="21"/>
              </w:rPr>
              <w:t>投标人资质条件、能力和信誉</w:t>
            </w:r>
          </w:p>
        </w:tc>
        <w:tc>
          <w:tcPr>
            <w:tcW w:w="7028" w:type="dxa"/>
            <w:tcBorders>
              <w:top w:val="single" w:color="000000" w:sz="6" w:space="0"/>
              <w:left w:val="single" w:color="000000" w:sz="6" w:space="0"/>
              <w:bottom w:val="single" w:color="000000" w:sz="6" w:space="0"/>
              <w:right w:val="single" w:color="000000" w:sz="12" w:space="0"/>
            </w:tcBorders>
            <w:vAlign w:val="center"/>
          </w:tcPr>
          <w:p>
            <w:pPr>
              <w:spacing w:line="360" w:lineRule="exact"/>
              <w:ind w:left="141" w:leftChars="67"/>
              <w:rPr>
                <w:rFonts w:ascii="宋体" w:hAnsi="宋体" w:eastAsia="宋体" w:cs="宋体"/>
                <w:szCs w:val="21"/>
              </w:rPr>
            </w:pPr>
            <w:r>
              <w:rPr>
                <w:rFonts w:hint="eastAsia" w:ascii="宋体" w:hAnsi="宋体" w:eastAsia="宋体" w:cs="宋体"/>
                <w:szCs w:val="21"/>
              </w:rPr>
              <w:t>资质条件：见附录1</w:t>
            </w:r>
          </w:p>
          <w:p>
            <w:pPr>
              <w:spacing w:line="360" w:lineRule="exact"/>
              <w:ind w:left="141" w:leftChars="67"/>
              <w:rPr>
                <w:rFonts w:ascii="宋体" w:hAnsi="宋体" w:eastAsia="宋体" w:cs="宋体"/>
                <w:szCs w:val="21"/>
              </w:rPr>
            </w:pPr>
            <w:r>
              <w:rPr>
                <w:rFonts w:hint="eastAsia" w:ascii="宋体" w:hAnsi="宋体" w:eastAsia="宋体" w:cs="宋体"/>
                <w:szCs w:val="21"/>
              </w:rPr>
              <w:t>财务要求：见附录2</w:t>
            </w:r>
          </w:p>
          <w:p>
            <w:pPr>
              <w:spacing w:line="360" w:lineRule="exact"/>
              <w:ind w:left="141" w:leftChars="67"/>
              <w:rPr>
                <w:rFonts w:ascii="宋体" w:hAnsi="宋体" w:eastAsia="宋体" w:cs="宋体"/>
                <w:szCs w:val="21"/>
              </w:rPr>
            </w:pPr>
            <w:r>
              <w:rPr>
                <w:rFonts w:hint="eastAsia" w:ascii="宋体" w:hAnsi="宋体" w:eastAsia="宋体" w:cs="宋体"/>
                <w:szCs w:val="21"/>
              </w:rPr>
              <w:t>业绩要求：见附录3</w:t>
            </w:r>
          </w:p>
          <w:p>
            <w:pPr>
              <w:spacing w:line="360" w:lineRule="exact"/>
              <w:ind w:left="141" w:leftChars="67"/>
              <w:rPr>
                <w:rFonts w:ascii="宋体" w:hAnsi="宋体" w:eastAsia="宋体" w:cs="宋体"/>
                <w:szCs w:val="21"/>
              </w:rPr>
            </w:pPr>
            <w:r>
              <w:rPr>
                <w:rFonts w:hint="eastAsia" w:ascii="宋体" w:hAnsi="宋体" w:eastAsia="宋体" w:cs="宋体"/>
                <w:szCs w:val="21"/>
              </w:rPr>
              <w:t>信誉要求：见附录4</w:t>
            </w:r>
          </w:p>
          <w:p>
            <w:pPr>
              <w:spacing w:line="360" w:lineRule="exact"/>
              <w:ind w:left="141" w:leftChars="67"/>
              <w:rPr>
                <w:rFonts w:ascii="宋体" w:hAnsi="宋体" w:eastAsia="宋体" w:cs="宋体"/>
                <w:szCs w:val="21"/>
              </w:rPr>
            </w:pPr>
            <w:r>
              <w:rPr>
                <w:rFonts w:hint="eastAsia" w:ascii="宋体" w:hAnsi="宋体" w:eastAsia="宋体" w:cs="宋体"/>
                <w:szCs w:val="21"/>
              </w:rPr>
              <w:t>项目经理、项目技术负责人和安全负责人资格：见附录5</w:t>
            </w:r>
          </w:p>
          <w:p>
            <w:pPr>
              <w:spacing w:line="360" w:lineRule="exact"/>
              <w:ind w:left="141" w:leftChars="67"/>
              <w:rPr>
                <w:rFonts w:ascii="宋体" w:hAnsi="宋体" w:eastAsia="宋体" w:cs="宋体"/>
                <w:szCs w:val="21"/>
              </w:rPr>
            </w:pPr>
            <w:r>
              <w:rPr>
                <w:rFonts w:hint="eastAsia" w:ascii="宋体" w:hAnsi="宋体" w:eastAsia="宋体" w:cs="宋体"/>
                <w:szCs w:val="21"/>
              </w:rPr>
              <w:t>其他要求：无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7"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1.4.2</w:t>
            </w:r>
          </w:p>
        </w:tc>
        <w:tc>
          <w:tcPr>
            <w:tcW w:w="2705" w:type="dxa"/>
            <w:tcBorders>
              <w:top w:val="single" w:color="000000" w:sz="6" w:space="0"/>
              <w:left w:val="single" w:color="000000" w:sz="6" w:space="0"/>
              <w:bottom w:val="single" w:color="000000" w:sz="6" w:space="0"/>
              <w:right w:val="single" w:color="000000" w:sz="6" w:space="0"/>
            </w:tcBorders>
            <w:vAlign w:val="center"/>
          </w:tcPr>
          <w:p>
            <w:pPr>
              <w:spacing w:line="260" w:lineRule="exact"/>
              <w:jc w:val="center"/>
              <w:rPr>
                <w:rFonts w:ascii="宋体" w:hAnsi="宋体" w:eastAsia="宋体" w:cs="宋体"/>
                <w:szCs w:val="21"/>
              </w:rPr>
            </w:pPr>
            <w:r>
              <w:rPr>
                <w:rFonts w:hint="eastAsia" w:ascii="宋体" w:hAnsi="宋体" w:eastAsia="宋体" w:cs="宋体"/>
                <w:szCs w:val="21"/>
              </w:rPr>
              <w:t>是否接受联合体投标</w:t>
            </w:r>
          </w:p>
        </w:tc>
        <w:tc>
          <w:tcPr>
            <w:tcW w:w="7028" w:type="dxa"/>
            <w:tcBorders>
              <w:top w:val="single" w:color="000000" w:sz="6" w:space="0"/>
              <w:left w:val="single" w:color="000000" w:sz="6" w:space="0"/>
              <w:bottom w:val="single" w:color="000000" w:sz="6" w:space="0"/>
              <w:right w:val="single" w:color="000000" w:sz="12" w:space="0"/>
            </w:tcBorders>
            <w:vAlign w:val="center"/>
          </w:tcPr>
          <w:p>
            <w:pPr>
              <w:spacing w:line="360" w:lineRule="exact"/>
              <w:ind w:left="141" w:leftChars="67"/>
              <w:rPr>
                <w:rFonts w:ascii="宋体" w:hAnsi="宋体" w:eastAsia="宋体" w:cs="宋体"/>
                <w:szCs w:val="21"/>
              </w:rPr>
            </w:pPr>
            <w:r>
              <w:rPr>
                <w:rFonts w:hint="eastAsia" w:ascii="宋体" w:hAnsi="宋体" w:eastAsia="宋体" w:cs="宋体"/>
                <w:szCs w:val="21"/>
              </w:rPr>
              <w:t>不接受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05"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color w:val="000000"/>
                <w:szCs w:val="21"/>
              </w:rPr>
            </w:pPr>
            <w:r>
              <w:rPr>
                <w:rFonts w:hint="eastAsia"/>
                <w:color w:val="000000"/>
                <w:szCs w:val="21"/>
              </w:rPr>
              <w:t>1.4.3</w:t>
            </w:r>
          </w:p>
        </w:tc>
        <w:tc>
          <w:tcPr>
            <w:tcW w:w="2705" w:type="dxa"/>
            <w:tcBorders>
              <w:top w:val="single" w:color="000000" w:sz="6" w:space="0"/>
              <w:left w:val="single" w:color="000000" w:sz="6" w:space="0"/>
              <w:bottom w:val="single" w:color="000000" w:sz="6" w:space="0"/>
              <w:right w:val="single" w:color="000000" w:sz="6" w:space="0"/>
            </w:tcBorders>
            <w:vAlign w:val="center"/>
          </w:tcPr>
          <w:p>
            <w:pPr>
              <w:spacing w:line="260" w:lineRule="exact"/>
              <w:jc w:val="center"/>
              <w:rPr>
                <w:color w:val="000000"/>
              </w:rPr>
            </w:pPr>
            <w:r>
              <w:rPr>
                <w:rFonts w:hint="eastAsia"/>
                <w:color w:val="000000"/>
                <w:szCs w:val="21"/>
              </w:rPr>
              <w:t>投标人不得存在的其他关联情形</w:t>
            </w:r>
          </w:p>
        </w:tc>
        <w:tc>
          <w:tcPr>
            <w:tcW w:w="7028" w:type="dxa"/>
            <w:tcBorders>
              <w:top w:val="single" w:color="000000" w:sz="6" w:space="0"/>
              <w:left w:val="single" w:color="000000" w:sz="6" w:space="0"/>
              <w:bottom w:val="single" w:color="000000" w:sz="6" w:space="0"/>
              <w:right w:val="single" w:color="000000" w:sz="12" w:space="0"/>
            </w:tcBorders>
            <w:vAlign w:val="center"/>
          </w:tcPr>
          <w:p>
            <w:pPr>
              <w:spacing w:line="240" w:lineRule="exact"/>
              <w:ind w:left="141" w:leftChars="67" w:right="136" w:rightChars="65"/>
              <w:rPr>
                <w:color w:val="000000"/>
                <w:szCs w:val="21"/>
              </w:rPr>
            </w:pPr>
            <w:r>
              <w:rPr>
                <w:rFonts w:hint="eastAsia"/>
                <w:color w:val="000000"/>
                <w:szCs w:val="21"/>
              </w:rPr>
              <w:t>（11）被暂停或取消投标资格的；</w:t>
            </w:r>
          </w:p>
          <w:p>
            <w:pPr>
              <w:spacing w:line="240" w:lineRule="exact"/>
              <w:ind w:left="141" w:leftChars="67" w:right="136" w:rightChars="65"/>
              <w:rPr>
                <w:color w:val="000000"/>
                <w:szCs w:val="21"/>
              </w:rPr>
            </w:pPr>
            <w:r>
              <w:rPr>
                <w:rFonts w:hint="eastAsia"/>
                <w:color w:val="000000"/>
                <w:szCs w:val="21"/>
              </w:rPr>
              <w:t>（12）财产被接管或全部冻结的；</w:t>
            </w:r>
          </w:p>
          <w:p>
            <w:pPr>
              <w:spacing w:line="240" w:lineRule="exact"/>
              <w:ind w:left="141" w:leftChars="67" w:right="136" w:rightChars="65"/>
              <w:rPr>
                <w:color w:val="000000"/>
                <w:szCs w:val="21"/>
              </w:rPr>
            </w:pPr>
            <w:r>
              <w:rPr>
                <w:rFonts w:hint="eastAsia"/>
                <w:color w:val="000000"/>
                <w:szCs w:val="21"/>
              </w:rPr>
              <w:t>（13）自202</w:t>
            </w:r>
            <w:r>
              <w:rPr>
                <w:color w:val="000000"/>
                <w:szCs w:val="21"/>
              </w:rPr>
              <w:t>1</w:t>
            </w:r>
            <w:r>
              <w:rPr>
                <w:rFonts w:hint="eastAsia"/>
                <w:color w:val="000000"/>
                <w:szCs w:val="21"/>
              </w:rPr>
              <w:t>年7月1日以来以弄虚作假骗取中标或严重违约或重大工程质量问题的（以省级及以上交通行政主管部门的书面通报或司法机关出具的有关法律文书为准）；</w:t>
            </w:r>
          </w:p>
          <w:p>
            <w:pPr>
              <w:spacing w:line="240" w:lineRule="exact"/>
              <w:ind w:left="141" w:leftChars="67" w:right="136" w:rightChars="65"/>
              <w:rPr>
                <w:color w:val="000000"/>
                <w:szCs w:val="21"/>
              </w:rPr>
            </w:pPr>
            <w:r>
              <w:rPr>
                <w:rFonts w:hint="eastAsia"/>
                <w:color w:val="000000"/>
                <w:szCs w:val="21"/>
              </w:rPr>
              <w:t>（14）与招标人存在利害关系可能影响招标公正性的法人、其他组织或者个人参加投标。</w:t>
            </w:r>
          </w:p>
          <w:p>
            <w:pPr>
              <w:spacing w:line="240" w:lineRule="exact"/>
              <w:ind w:left="141" w:leftChars="67" w:right="136" w:rightChars="65"/>
              <w:rPr>
                <w:color w:val="000000"/>
              </w:rPr>
            </w:pPr>
            <w:r>
              <w:rPr>
                <w:rFonts w:hint="eastAsia"/>
                <w:color w:val="000000"/>
                <w:szCs w:val="21"/>
              </w:rPr>
              <w:t>（15）为投资参股本项目的法人单位。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7"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1.9.1</w:t>
            </w:r>
          </w:p>
        </w:tc>
        <w:tc>
          <w:tcPr>
            <w:tcW w:w="2705" w:type="dxa"/>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踏勘现场</w:t>
            </w:r>
          </w:p>
        </w:tc>
        <w:tc>
          <w:tcPr>
            <w:tcW w:w="7028" w:type="dxa"/>
            <w:tcBorders>
              <w:top w:val="single" w:color="000000" w:sz="6" w:space="0"/>
              <w:left w:val="single" w:color="000000" w:sz="6" w:space="0"/>
              <w:bottom w:val="single" w:color="000000" w:sz="6" w:space="0"/>
              <w:right w:val="single" w:color="000000" w:sz="12" w:space="0"/>
            </w:tcBorders>
            <w:vAlign w:val="center"/>
          </w:tcPr>
          <w:p>
            <w:pPr>
              <w:spacing w:line="360" w:lineRule="exact"/>
              <w:ind w:left="141" w:leftChars="67"/>
              <w:rPr>
                <w:rFonts w:ascii="宋体" w:hAnsi="宋体" w:eastAsia="宋体" w:cs="宋体"/>
                <w:szCs w:val="21"/>
              </w:rPr>
            </w:pPr>
            <w:r>
              <w:rPr>
                <w:rFonts w:hint="eastAsia" w:ascii="宋体" w:hAnsi="宋体" w:eastAsia="宋体" w:cs="宋体"/>
                <w:szCs w:val="21"/>
              </w:rPr>
              <w:t>不组织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7"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1.10.1</w:t>
            </w:r>
          </w:p>
        </w:tc>
        <w:tc>
          <w:tcPr>
            <w:tcW w:w="2705" w:type="dxa"/>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投标预备会</w:t>
            </w:r>
          </w:p>
        </w:tc>
        <w:tc>
          <w:tcPr>
            <w:tcW w:w="7028" w:type="dxa"/>
            <w:tcBorders>
              <w:top w:val="single" w:color="000000" w:sz="6" w:space="0"/>
              <w:left w:val="single" w:color="000000" w:sz="6" w:space="0"/>
              <w:bottom w:val="single" w:color="000000" w:sz="6" w:space="0"/>
              <w:right w:val="single" w:color="000000" w:sz="12" w:space="0"/>
            </w:tcBorders>
            <w:vAlign w:val="center"/>
          </w:tcPr>
          <w:p>
            <w:pPr>
              <w:spacing w:line="360" w:lineRule="exact"/>
              <w:ind w:left="141" w:leftChars="67"/>
              <w:rPr>
                <w:rFonts w:ascii="宋体" w:hAnsi="宋体" w:eastAsia="宋体" w:cs="宋体"/>
                <w:szCs w:val="21"/>
              </w:rPr>
            </w:pPr>
            <w:r>
              <w:rPr>
                <w:rFonts w:hint="eastAsia" w:ascii="宋体" w:hAnsi="宋体" w:eastAsia="宋体" w:cs="宋体"/>
                <w:szCs w:val="21"/>
              </w:rPr>
              <w:t>不召开</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8"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1.10.2</w:t>
            </w:r>
          </w:p>
        </w:tc>
        <w:tc>
          <w:tcPr>
            <w:tcW w:w="2705" w:type="dxa"/>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投标人提出问题的截止时间</w:t>
            </w:r>
          </w:p>
        </w:tc>
        <w:tc>
          <w:tcPr>
            <w:tcW w:w="7028" w:type="dxa"/>
            <w:tcBorders>
              <w:top w:val="single" w:color="000000" w:sz="6" w:space="0"/>
              <w:left w:val="single" w:color="000000" w:sz="6" w:space="0"/>
              <w:bottom w:val="single" w:color="000000" w:sz="6" w:space="0"/>
              <w:right w:val="single" w:color="000000" w:sz="12" w:space="0"/>
            </w:tcBorders>
            <w:vAlign w:val="center"/>
          </w:tcPr>
          <w:p>
            <w:pPr>
              <w:spacing w:line="360" w:lineRule="exact"/>
              <w:ind w:left="141" w:leftChars="67" w:right="136" w:rightChars="65"/>
              <w:rPr>
                <w:rFonts w:ascii="宋体" w:hAnsi="宋体" w:eastAsia="宋体" w:cs="宋体"/>
                <w:szCs w:val="21"/>
              </w:rPr>
            </w:pPr>
            <w:r>
              <w:rPr>
                <w:rFonts w:hint="eastAsia" w:ascii="宋体" w:hAnsi="宋体" w:eastAsia="宋体" w:cs="宋体"/>
                <w:szCs w:val="21"/>
              </w:rPr>
              <w:t>（投标人对招标文件要求澄清的，应在递交投标文件截止之日3天前（以收到日期为准）提出，对招标文件有异议的，应当在投标截止时间3日前（以收到日期为准）提出。）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8"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1.10.3</w:t>
            </w:r>
          </w:p>
        </w:tc>
        <w:tc>
          <w:tcPr>
            <w:tcW w:w="2705" w:type="dxa"/>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发包人书面澄清的时间</w:t>
            </w:r>
          </w:p>
        </w:tc>
        <w:tc>
          <w:tcPr>
            <w:tcW w:w="7028" w:type="dxa"/>
            <w:tcBorders>
              <w:top w:val="single" w:color="000000" w:sz="6" w:space="0"/>
              <w:left w:val="single" w:color="000000" w:sz="6" w:space="0"/>
              <w:bottom w:val="single" w:color="000000" w:sz="6" w:space="0"/>
              <w:right w:val="single" w:color="000000" w:sz="12" w:space="0"/>
            </w:tcBorders>
            <w:vAlign w:val="center"/>
          </w:tcPr>
          <w:p>
            <w:pPr>
              <w:spacing w:line="360" w:lineRule="exact"/>
              <w:ind w:left="141" w:leftChars="67"/>
              <w:rPr>
                <w:rFonts w:ascii="宋体" w:hAnsi="宋体" w:eastAsia="宋体" w:cs="宋体"/>
                <w:szCs w:val="21"/>
              </w:rPr>
            </w:pPr>
            <w:r>
              <w:rPr>
                <w:rFonts w:hint="eastAsia" w:ascii="宋体" w:hAnsi="宋体" w:eastAsia="宋体" w:cs="宋体"/>
                <w:szCs w:val="21"/>
              </w:rPr>
              <w:t>递交投标文件截止时间前（以发出日期为准）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8"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1.11</w:t>
            </w:r>
          </w:p>
        </w:tc>
        <w:tc>
          <w:tcPr>
            <w:tcW w:w="2705" w:type="dxa"/>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分包</w:t>
            </w:r>
          </w:p>
        </w:tc>
        <w:tc>
          <w:tcPr>
            <w:tcW w:w="7028" w:type="dxa"/>
            <w:tcBorders>
              <w:top w:val="single" w:color="000000" w:sz="6" w:space="0"/>
              <w:left w:val="single" w:color="000000" w:sz="6" w:space="0"/>
              <w:bottom w:val="single" w:color="000000" w:sz="6" w:space="0"/>
              <w:right w:val="single" w:color="000000" w:sz="12" w:space="0"/>
            </w:tcBorders>
            <w:vAlign w:val="center"/>
          </w:tcPr>
          <w:p>
            <w:pPr>
              <w:spacing w:line="360" w:lineRule="exact"/>
              <w:ind w:left="149" w:leftChars="71"/>
              <w:rPr>
                <w:rFonts w:ascii="宋体" w:hAnsi="宋体" w:eastAsia="宋体" w:cs="宋体"/>
                <w:szCs w:val="21"/>
              </w:rPr>
            </w:pPr>
            <w:r>
              <w:rPr>
                <w:rFonts w:ascii="宋体" w:hAnsi="宋体" w:eastAsia="宋体" w:cs="宋体"/>
                <w:szCs w:val="21"/>
              </w:rPr>
              <w:sym w:font="Wingdings" w:char="F0FE"/>
            </w:r>
            <w:r>
              <w:rPr>
                <w:rFonts w:hint="eastAsia" w:ascii="宋体" w:hAnsi="宋体" w:eastAsia="宋体" w:cs="宋体"/>
                <w:szCs w:val="21"/>
              </w:rPr>
              <w:t>不允许</w:t>
            </w:r>
          </w:p>
          <w:p>
            <w:pPr>
              <w:spacing w:line="400" w:lineRule="exact"/>
              <w:ind w:left="149" w:leftChars="71"/>
              <w:rPr>
                <w:rFonts w:ascii="宋体" w:hAnsi="宋体" w:eastAsia="宋体" w:cs="宋体"/>
                <w:szCs w:val="21"/>
              </w:rPr>
            </w:pPr>
            <w:r>
              <w:rPr>
                <w:rFonts w:ascii="宋体" w:hAnsi="宋体" w:eastAsia="宋体" w:cs="宋体"/>
                <w:szCs w:val="21"/>
              </w:rPr>
              <w:sym w:font="Wingdings 2" w:char="F0A3"/>
            </w:r>
            <w:r>
              <w:rPr>
                <w:rFonts w:hint="eastAsia" w:ascii="宋体" w:hAnsi="宋体" w:eastAsia="宋体" w:cs="宋体"/>
                <w:szCs w:val="21"/>
              </w:rPr>
              <w:t>允许</w:t>
            </w:r>
          </w:p>
          <w:p>
            <w:pPr>
              <w:spacing w:line="260" w:lineRule="exact"/>
              <w:ind w:left="149" w:leftChars="71" w:right="136" w:rightChars="65"/>
              <w:rPr>
                <w:rFonts w:ascii="宋体" w:hAnsi="宋体" w:eastAsia="宋体" w:cs="宋体"/>
                <w:szCs w:val="21"/>
              </w:rPr>
            </w:pPr>
            <w:r>
              <w:rPr>
                <w:rFonts w:hint="eastAsia" w:ascii="宋体" w:hAnsi="宋体" w:eastAsia="宋体" w:cs="宋体"/>
                <w:szCs w:val="21"/>
              </w:rPr>
              <w:t>投标人拟在中标后将中标项目的部分工作进行分包的，应符合以下规定：</w:t>
            </w:r>
          </w:p>
          <w:p>
            <w:pPr>
              <w:spacing w:line="360" w:lineRule="exact"/>
              <w:ind w:left="149" w:leftChars="71" w:right="136" w:rightChars="65"/>
              <w:rPr>
                <w:szCs w:val="21"/>
              </w:rPr>
            </w:pPr>
            <w:r>
              <w:rPr>
                <w:rFonts w:hint="eastAsia"/>
                <w:szCs w:val="21"/>
              </w:rPr>
              <w:t>分包应符合交通运输部《关于印发公路工程施工分包管理办法的通知》及浙江省交通运输厅《</w:t>
            </w:r>
            <w:r>
              <w:rPr>
                <w:rFonts w:hint="eastAsia" w:ascii="宋体" w:hAnsi="宋体" w:cs="宋体"/>
                <w:szCs w:val="21"/>
              </w:rPr>
              <w:t>浙江省公路水运工程施工分包管理办法（试行）</w:t>
            </w:r>
            <w:r>
              <w:rPr>
                <w:rFonts w:hint="eastAsia"/>
                <w:szCs w:val="21"/>
              </w:rPr>
              <w:t>》有关分包管理的规定。承包人应及时向分包人支付工程款。</w:t>
            </w:r>
          </w:p>
          <w:p>
            <w:pPr>
              <w:spacing w:line="360" w:lineRule="exact"/>
              <w:ind w:left="149" w:leftChars="71" w:right="136" w:rightChars="65"/>
              <w:rPr>
                <w:szCs w:val="21"/>
              </w:rPr>
            </w:pPr>
            <w:r>
              <w:rPr>
                <w:rFonts w:hint="eastAsia"/>
                <w:szCs w:val="21"/>
              </w:rPr>
              <w:t>分包的其他规定：</w:t>
            </w:r>
            <w:r>
              <w:rPr>
                <w:szCs w:val="21"/>
                <w:u w:val="single"/>
              </w:rPr>
              <w:t xml:space="preserve">          </w:t>
            </w:r>
            <w:r>
              <w:rPr>
                <w:rFonts w:hint="eastAsia"/>
                <w:szCs w:val="21"/>
                <w:u w:val="single"/>
              </w:rPr>
              <w:t>/</w:t>
            </w:r>
            <w:r>
              <w:rPr>
                <w:szCs w:val="21"/>
                <w:u w:val="single"/>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8"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1.12</w:t>
            </w:r>
          </w:p>
        </w:tc>
        <w:tc>
          <w:tcPr>
            <w:tcW w:w="2705" w:type="dxa"/>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偏离</w:t>
            </w:r>
          </w:p>
        </w:tc>
        <w:tc>
          <w:tcPr>
            <w:tcW w:w="7028" w:type="dxa"/>
            <w:tcBorders>
              <w:top w:val="single" w:color="000000" w:sz="6" w:space="0"/>
              <w:left w:val="single" w:color="000000" w:sz="6" w:space="0"/>
              <w:bottom w:val="single" w:color="000000" w:sz="6" w:space="0"/>
              <w:right w:val="single" w:color="000000" w:sz="12" w:space="0"/>
            </w:tcBorders>
            <w:vAlign w:val="center"/>
          </w:tcPr>
          <w:p>
            <w:pPr>
              <w:spacing w:line="360" w:lineRule="exact"/>
              <w:rPr>
                <w:rFonts w:ascii="宋体" w:hAnsi="宋体" w:eastAsia="宋体" w:cs="宋体"/>
                <w:szCs w:val="21"/>
              </w:rPr>
            </w:pPr>
            <w:r>
              <w:rPr>
                <w:rFonts w:hint="eastAsia" w:ascii="宋体" w:hAnsi="宋体" w:eastAsia="宋体" w:cs="宋体"/>
                <w:szCs w:val="21"/>
              </w:rPr>
              <w:t xml:space="preserve"> 允许细微偏差，不允许重大偏差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8"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jc w:val="center"/>
              <w:rPr>
                <w:rFonts w:ascii="宋体" w:hAnsi="宋体" w:eastAsia="宋体" w:cs="宋体"/>
                <w:szCs w:val="21"/>
              </w:rPr>
            </w:pPr>
            <w:r>
              <w:rPr>
                <w:rFonts w:hint="eastAsia" w:ascii="宋体" w:hAnsi="宋体" w:eastAsia="宋体" w:cs="宋体"/>
                <w:szCs w:val="21"/>
              </w:rPr>
              <w:t>2.1</w:t>
            </w:r>
          </w:p>
        </w:tc>
        <w:tc>
          <w:tcPr>
            <w:tcW w:w="2705" w:type="dxa"/>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招标文件组成</w:t>
            </w:r>
          </w:p>
        </w:tc>
        <w:tc>
          <w:tcPr>
            <w:tcW w:w="7028" w:type="dxa"/>
            <w:tcBorders>
              <w:top w:val="single" w:color="000000" w:sz="6" w:space="0"/>
              <w:left w:val="single" w:color="000000" w:sz="6" w:space="0"/>
              <w:bottom w:val="single" w:color="000000" w:sz="6" w:space="0"/>
              <w:right w:val="single" w:color="000000" w:sz="12" w:space="0"/>
            </w:tcBorders>
            <w:vAlign w:val="center"/>
          </w:tcPr>
          <w:p>
            <w:pPr>
              <w:spacing w:line="360" w:lineRule="exact"/>
              <w:ind w:left="141" w:leftChars="67" w:right="136" w:rightChars="65"/>
              <w:rPr>
                <w:rFonts w:ascii="宋体" w:hAnsi="宋体" w:eastAsia="宋体" w:cs="宋体"/>
                <w:szCs w:val="21"/>
              </w:rPr>
            </w:pPr>
            <w:r>
              <w:rPr>
                <w:rFonts w:hint="eastAsia" w:ascii="宋体" w:hAnsi="宋体" w:eastAsia="宋体" w:cs="宋体"/>
                <w:szCs w:val="21"/>
              </w:rPr>
              <w:t>原文中“以最后发出的书面文件为准”修改为：“以网上下载电子版为准；当招标文件、补遗书（补充、澄清、修改文件）在同一内容的表述上不一致时，以在三门县公共资源交易中心网最后发出的电子文件为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8"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jc w:val="center"/>
              <w:rPr>
                <w:rFonts w:ascii="宋体" w:hAnsi="宋体" w:eastAsia="宋体" w:cs="宋体"/>
                <w:szCs w:val="21"/>
              </w:rPr>
            </w:pPr>
            <w:r>
              <w:rPr>
                <w:rFonts w:hint="eastAsia" w:ascii="宋体" w:hAnsi="宋体" w:eastAsia="宋体" w:cs="宋体"/>
                <w:szCs w:val="21"/>
              </w:rPr>
              <w:t>2.2.</w:t>
            </w:r>
          </w:p>
        </w:tc>
        <w:tc>
          <w:tcPr>
            <w:tcW w:w="2705" w:type="dxa"/>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招标文件的澄清、补充、修改的时间</w:t>
            </w:r>
          </w:p>
        </w:tc>
        <w:tc>
          <w:tcPr>
            <w:tcW w:w="7028" w:type="dxa"/>
            <w:tcBorders>
              <w:top w:val="single" w:color="000000" w:sz="6" w:space="0"/>
              <w:left w:val="single" w:color="000000" w:sz="6" w:space="0"/>
              <w:bottom w:val="single" w:color="000000" w:sz="6" w:space="0"/>
              <w:right w:val="single" w:color="000000" w:sz="12" w:space="0"/>
            </w:tcBorders>
            <w:vAlign w:val="center"/>
          </w:tcPr>
          <w:p>
            <w:pPr>
              <w:spacing w:line="360" w:lineRule="exact"/>
              <w:ind w:left="141" w:leftChars="67" w:right="136" w:rightChars="65"/>
              <w:rPr>
                <w:rFonts w:ascii="宋体" w:hAnsi="宋体" w:eastAsia="宋体" w:cs="宋体"/>
                <w:szCs w:val="21"/>
              </w:rPr>
            </w:pPr>
            <w:r>
              <w:rPr>
                <w:rFonts w:hint="eastAsia" w:ascii="宋体" w:hAnsi="宋体" w:eastAsia="宋体" w:cs="宋体"/>
                <w:szCs w:val="21"/>
              </w:rPr>
              <w:t>澄清、补充、修改的内容影响投标文件编制的，招标人将在投标截止时间3 日前，以电子文件形式上传“三门县公共资源交易中心网”供潜在投标人自己下载，不足3 天的，招标人将顺延递交投标文件的截止时间。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8"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2.2.2</w:t>
            </w:r>
          </w:p>
        </w:tc>
        <w:tc>
          <w:tcPr>
            <w:tcW w:w="2705" w:type="dxa"/>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投标截止时间</w:t>
            </w:r>
          </w:p>
        </w:tc>
        <w:tc>
          <w:tcPr>
            <w:tcW w:w="7028" w:type="dxa"/>
            <w:tcBorders>
              <w:top w:val="single" w:color="000000" w:sz="6" w:space="0"/>
              <w:left w:val="single" w:color="000000" w:sz="6" w:space="0"/>
              <w:bottom w:val="single" w:color="000000" w:sz="6" w:space="0"/>
              <w:right w:val="single" w:color="000000" w:sz="12" w:space="0"/>
            </w:tcBorders>
            <w:vAlign w:val="center"/>
          </w:tcPr>
          <w:p>
            <w:pPr>
              <w:spacing w:line="360" w:lineRule="exact"/>
              <w:ind w:left="97" w:leftChars="46"/>
              <w:rPr>
                <w:rFonts w:ascii="宋体" w:hAnsi="宋体" w:eastAsia="宋体" w:cs="宋体"/>
                <w:szCs w:val="21"/>
              </w:rPr>
            </w:pPr>
            <w:r>
              <w:rPr>
                <w:rFonts w:hint="eastAsia" w:ascii="宋体" w:hAnsi="宋体" w:eastAsia="宋体" w:cs="宋体"/>
                <w:szCs w:val="21"/>
              </w:rPr>
              <w:t>详见招标公告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88" w:hRule="atLeast"/>
          <w:jc w:val="center"/>
        </w:trPr>
        <w:tc>
          <w:tcPr>
            <w:tcW w:w="847" w:type="dxa"/>
            <w:vMerge w:val="restart"/>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2.3</w:t>
            </w:r>
          </w:p>
        </w:tc>
        <w:tc>
          <w:tcPr>
            <w:tcW w:w="2705" w:type="dxa"/>
            <w:tcBorders>
              <w:top w:val="single" w:color="000000" w:sz="6" w:space="0"/>
              <w:left w:val="single" w:color="000000" w:sz="6" w:space="0"/>
              <w:bottom w:val="single" w:color="000000" w:sz="6" w:space="0"/>
              <w:right w:val="single" w:color="000000" w:sz="6" w:space="0"/>
            </w:tcBorders>
            <w:vAlign w:val="center"/>
          </w:tcPr>
          <w:p>
            <w:pPr>
              <w:spacing w:line="360" w:lineRule="exact"/>
              <w:ind w:left="97" w:leftChars="46"/>
              <w:rPr>
                <w:rFonts w:ascii="宋体" w:hAnsi="宋体" w:eastAsia="宋体" w:cs="宋体"/>
                <w:szCs w:val="21"/>
              </w:rPr>
            </w:pPr>
            <w:r>
              <w:rPr>
                <w:rFonts w:hint="eastAsia" w:ascii="宋体" w:hAnsi="宋体" w:eastAsia="宋体" w:cs="宋体"/>
                <w:szCs w:val="21"/>
              </w:rPr>
              <w:t>下载澄清、修改、补充文件网址</w:t>
            </w:r>
          </w:p>
        </w:tc>
        <w:tc>
          <w:tcPr>
            <w:tcW w:w="7028" w:type="dxa"/>
            <w:tcBorders>
              <w:top w:val="single" w:color="000000" w:sz="6" w:space="0"/>
              <w:left w:val="single" w:color="000000" w:sz="6" w:space="0"/>
              <w:bottom w:val="single" w:color="000000" w:sz="6" w:space="0"/>
              <w:right w:val="single" w:color="000000" w:sz="12" w:space="0"/>
            </w:tcBorders>
            <w:vAlign w:val="center"/>
          </w:tcPr>
          <w:p>
            <w:pPr>
              <w:wordWrap w:val="0"/>
              <w:spacing w:line="360" w:lineRule="exact"/>
              <w:ind w:left="97" w:leftChars="46" w:right="136" w:rightChars="65"/>
              <w:rPr>
                <w:rFonts w:ascii="宋体" w:hAnsi="宋体" w:eastAsia="宋体" w:cs="宋体"/>
                <w:szCs w:val="21"/>
              </w:rPr>
            </w:pPr>
            <w:r>
              <w:rPr>
                <w:rFonts w:hint="eastAsia" w:ascii="宋体" w:hAnsi="宋体" w:eastAsia="宋体" w:cs="宋体"/>
                <w:szCs w:val="21"/>
              </w:rPr>
              <w:t>三门县公共资源交易中心网 “网址http://www.sanmen.gov.cn/col/col1229610743/index.html”上发布并供下载，</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45" w:hRule="atLeast"/>
          <w:jc w:val="center"/>
        </w:trPr>
        <w:tc>
          <w:tcPr>
            <w:tcW w:w="847" w:type="dxa"/>
            <w:vMerge w:val="continue"/>
            <w:tcBorders>
              <w:top w:val="single" w:color="000000" w:sz="6" w:space="0"/>
              <w:left w:val="single" w:color="000000" w:sz="12" w:space="0"/>
              <w:bottom w:val="single" w:color="000000" w:sz="6" w:space="0"/>
              <w:right w:val="single" w:color="000000" w:sz="6" w:space="0"/>
            </w:tcBorders>
            <w:vAlign w:val="center"/>
          </w:tcPr>
          <w:p>
            <w:pPr>
              <w:widowControl/>
              <w:jc w:val="left"/>
              <w:rPr>
                <w:rFonts w:ascii="宋体" w:hAnsi="宋体" w:eastAsia="宋体" w:cs="宋体"/>
                <w:szCs w:val="21"/>
              </w:rPr>
            </w:pPr>
          </w:p>
        </w:tc>
        <w:tc>
          <w:tcPr>
            <w:tcW w:w="2705" w:type="dxa"/>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投标人确认收到招标文件澄清、修改的时间</w:t>
            </w:r>
          </w:p>
        </w:tc>
        <w:tc>
          <w:tcPr>
            <w:tcW w:w="7028" w:type="dxa"/>
            <w:tcBorders>
              <w:top w:val="single" w:color="000000" w:sz="6" w:space="0"/>
              <w:left w:val="single" w:color="000000" w:sz="6" w:space="0"/>
              <w:bottom w:val="single" w:color="000000" w:sz="6" w:space="0"/>
              <w:right w:val="single" w:color="000000" w:sz="12" w:space="0"/>
            </w:tcBorders>
            <w:vAlign w:val="center"/>
          </w:tcPr>
          <w:p>
            <w:pPr>
              <w:spacing w:line="360" w:lineRule="exact"/>
              <w:ind w:left="97" w:leftChars="46" w:right="136" w:rightChars="65"/>
              <w:rPr>
                <w:rFonts w:ascii="宋体" w:hAnsi="宋体" w:eastAsia="宋体" w:cs="宋体"/>
                <w:szCs w:val="21"/>
              </w:rPr>
            </w:pPr>
            <w:r>
              <w:rPr>
                <w:rFonts w:hint="eastAsia" w:ascii="宋体" w:hAnsi="宋体" w:eastAsia="宋体" w:cs="宋体"/>
                <w:szCs w:val="21"/>
              </w:rPr>
              <w:t>无需确认。潜在投标人应自行关注网站公告，招标人不再一一通知。投标人因自身贻误行为导致投标失败的，责任自负。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8"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3.1.1</w:t>
            </w:r>
          </w:p>
        </w:tc>
        <w:tc>
          <w:tcPr>
            <w:tcW w:w="2705" w:type="dxa"/>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构成投标文件的其他材料</w:t>
            </w:r>
          </w:p>
        </w:tc>
        <w:tc>
          <w:tcPr>
            <w:tcW w:w="7028" w:type="dxa"/>
            <w:tcBorders>
              <w:top w:val="single" w:color="000000" w:sz="6" w:space="0"/>
              <w:left w:val="single" w:color="000000" w:sz="6" w:space="0"/>
              <w:bottom w:val="single" w:color="000000" w:sz="6" w:space="0"/>
              <w:right w:val="single" w:color="000000" w:sz="12" w:space="0"/>
            </w:tcBorders>
            <w:vAlign w:val="center"/>
          </w:tcPr>
          <w:p>
            <w:pPr>
              <w:spacing w:line="360" w:lineRule="exact"/>
              <w:ind w:left="97" w:leftChars="46"/>
              <w:rPr>
                <w:rFonts w:ascii="宋体" w:hAnsi="宋体" w:eastAsia="宋体" w:cs="宋体"/>
                <w:szCs w:val="21"/>
              </w:rPr>
            </w:pPr>
            <w:r>
              <w:rPr>
                <w:rFonts w:hint="eastAsia" w:ascii="宋体" w:hAnsi="宋体" w:eastAsia="宋体" w:cs="宋体"/>
                <w:szCs w:val="21"/>
              </w:rPr>
              <w:t>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8"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3.2.1</w:t>
            </w:r>
          </w:p>
        </w:tc>
        <w:tc>
          <w:tcPr>
            <w:tcW w:w="2705" w:type="dxa"/>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工程量清单的填写方式</w:t>
            </w:r>
          </w:p>
        </w:tc>
        <w:tc>
          <w:tcPr>
            <w:tcW w:w="7028" w:type="dxa"/>
            <w:tcBorders>
              <w:top w:val="single" w:color="000000" w:sz="6" w:space="0"/>
              <w:left w:val="single" w:color="000000" w:sz="6" w:space="0"/>
              <w:bottom w:val="single" w:color="000000" w:sz="6" w:space="0"/>
              <w:right w:val="single" w:color="000000" w:sz="12" w:space="0"/>
            </w:tcBorders>
            <w:vAlign w:val="center"/>
          </w:tcPr>
          <w:p>
            <w:pPr>
              <w:spacing w:line="360" w:lineRule="exact"/>
              <w:ind w:left="97" w:leftChars="46"/>
              <w:rPr>
                <w:rFonts w:ascii="宋体" w:hAnsi="宋体" w:eastAsia="宋体" w:cs="宋体"/>
                <w:szCs w:val="21"/>
              </w:rPr>
            </w:pPr>
            <w:r>
              <w:rPr>
                <w:rFonts w:hint="eastAsia" w:ascii="宋体" w:hAnsi="宋体" w:eastAsia="宋体" w:cs="宋体"/>
                <w:szCs w:val="21"/>
              </w:rPr>
              <w:t>投标人按照有效报价范围内（10%～15%）填写投标报价。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8"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3.2.5</w:t>
            </w:r>
          </w:p>
        </w:tc>
        <w:tc>
          <w:tcPr>
            <w:tcW w:w="2705" w:type="dxa"/>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是否接受调价函</w:t>
            </w:r>
          </w:p>
        </w:tc>
        <w:tc>
          <w:tcPr>
            <w:tcW w:w="7028" w:type="dxa"/>
            <w:tcBorders>
              <w:top w:val="single" w:color="000000" w:sz="6" w:space="0"/>
              <w:left w:val="single" w:color="000000" w:sz="6" w:space="0"/>
              <w:bottom w:val="single" w:color="000000" w:sz="6" w:space="0"/>
              <w:right w:val="single" w:color="000000" w:sz="12" w:space="0"/>
            </w:tcBorders>
            <w:vAlign w:val="center"/>
          </w:tcPr>
          <w:p>
            <w:pPr>
              <w:spacing w:line="360" w:lineRule="exact"/>
              <w:ind w:left="97" w:leftChars="46"/>
              <w:rPr>
                <w:rFonts w:ascii="宋体" w:hAnsi="宋体" w:eastAsia="宋体" w:cs="宋体"/>
                <w:szCs w:val="21"/>
              </w:rPr>
            </w:pPr>
            <w:r>
              <w:rPr>
                <w:rFonts w:hint="eastAsia" w:ascii="宋体" w:hAnsi="宋体" w:eastAsia="宋体" w:cs="宋体"/>
                <w:szCs w:val="21"/>
              </w:rPr>
              <w:t>不接受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8"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3.3.1</w:t>
            </w:r>
          </w:p>
        </w:tc>
        <w:tc>
          <w:tcPr>
            <w:tcW w:w="2705" w:type="dxa"/>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投标有效期</w:t>
            </w:r>
          </w:p>
        </w:tc>
        <w:tc>
          <w:tcPr>
            <w:tcW w:w="7028" w:type="dxa"/>
            <w:tcBorders>
              <w:top w:val="single" w:color="000000" w:sz="6" w:space="0"/>
              <w:left w:val="single" w:color="000000" w:sz="6" w:space="0"/>
              <w:bottom w:val="single" w:color="000000" w:sz="6" w:space="0"/>
              <w:right w:val="single" w:color="000000" w:sz="12" w:space="0"/>
            </w:tcBorders>
            <w:vAlign w:val="center"/>
          </w:tcPr>
          <w:p>
            <w:pPr>
              <w:spacing w:line="360" w:lineRule="exact"/>
              <w:ind w:left="97" w:leftChars="46"/>
              <w:rPr>
                <w:rFonts w:ascii="宋体" w:hAnsi="宋体" w:eastAsia="宋体" w:cs="宋体"/>
                <w:szCs w:val="21"/>
              </w:rPr>
            </w:pPr>
            <w:r>
              <w:rPr>
                <w:rFonts w:hint="eastAsia" w:ascii="宋体" w:hAnsi="宋体" w:eastAsia="宋体" w:cs="宋体"/>
                <w:szCs w:val="21"/>
              </w:rPr>
              <w:t>自投标人提交投标文件截止之日起计算90天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90"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3.4.1</w:t>
            </w:r>
          </w:p>
        </w:tc>
        <w:tc>
          <w:tcPr>
            <w:tcW w:w="2705" w:type="dxa"/>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投标保证金</w:t>
            </w:r>
          </w:p>
        </w:tc>
        <w:tc>
          <w:tcPr>
            <w:tcW w:w="7028" w:type="dxa"/>
            <w:tcBorders>
              <w:top w:val="single" w:color="000000" w:sz="6" w:space="0"/>
              <w:left w:val="single" w:color="000000" w:sz="6" w:space="0"/>
              <w:bottom w:val="single" w:color="000000" w:sz="6" w:space="0"/>
              <w:right w:val="single" w:color="000000" w:sz="12" w:space="0"/>
            </w:tcBorders>
            <w:vAlign w:val="center"/>
          </w:tcPr>
          <w:p>
            <w:pPr>
              <w:ind w:left="94" w:leftChars="45"/>
              <w:rPr>
                <w:rFonts w:ascii="宋体" w:hAnsi="宋体" w:eastAsia="宋体"/>
                <w:szCs w:val="21"/>
              </w:rPr>
            </w:pPr>
            <w:r>
              <w:rPr>
                <w:rFonts w:hint="eastAsia" w:ascii="宋体" w:hAnsi="宋体" w:eastAsia="宋体"/>
                <w:szCs w:val="21"/>
              </w:rPr>
              <w:t>投标保证金金额</w:t>
            </w:r>
            <w:r>
              <w:rPr>
                <w:rFonts w:hint="eastAsia" w:ascii="宋体" w:hAnsi="宋体" w:eastAsia="宋体"/>
                <w:color w:val="000000"/>
                <w:szCs w:val="21"/>
              </w:rPr>
              <w:t>：人民币</w:t>
            </w:r>
            <w:r>
              <w:rPr>
                <w:rFonts w:ascii="宋体" w:hAnsi="宋体" w:eastAsia="宋体"/>
                <w:color w:val="000000"/>
                <w:szCs w:val="21"/>
                <w:u w:val="single"/>
              </w:rPr>
              <w:t>10000</w:t>
            </w:r>
            <w:r>
              <w:rPr>
                <w:rFonts w:hint="eastAsia" w:ascii="宋体" w:hAnsi="宋体" w:eastAsia="宋体"/>
                <w:color w:val="000000"/>
                <w:szCs w:val="21"/>
                <w:u w:val="single"/>
              </w:rPr>
              <w:t>元</w:t>
            </w:r>
            <w:r>
              <w:rPr>
                <w:rFonts w:hint="eastAsia" w:ascii="宋体" w:hAnsi="宋体" w:eastAsia="宋体"/>
                <w:color w:val="000000"/>
                <w:szCs w:val="21"/>
              </w:rPr>
              <w:t>（大写：</w:t>
            </w:r>
            <w:r>
              <w:rPr>
                <w:rFonts w:hint="eastAsia" w:ascii="宋体" w:hAnsi="宋体" w:eastAsia="宋体"/>
                <w:bCs/>
                <w:color w:val="000000"/>
                <w:szCs w:val="21"/>
                <w:u w:val="single"/>
              </w:rPr>
              <w:t>壹万</w:t>
            </w:r>
            <w:r>
              <w:rPr>
                <w:rFonts w:ascii="宋体" w:hAnsi="宋体" w:eastAsia="宋体"/>
                <w:bCs/>
                <w:color w:val="000000"/>
                <w:szCs w:val="21"/>
                <w:u w:val="single"/>
              </w:rPr>
              <w:t>元</w:t>
            </w:r>
            <w:r>
              <w:rPr>
                <w:rFonts w:hint="eastAsia" w:ascii="宋体" w:hAnsi="宋体" w:eastAsia="宋体"/>
                <w:color w:val="000000"/>
                <w:szCs w:val="21"/>
              </w:rPr>
              <w:t>整）</w:t>
            </w:r>
            <w:r>
              <w:rPr>
                <w:rFonts w:hint="eastAsia" w:ascii="宋体" w:hAnsi="宋体" w:eastAsia="宋体"/>
                <w:szCs w:val="21"/>
              </w:rPr>
              <w:t>；</w:t>
            </w:r>
          </w:p>
          <w:p>
            <w:pPr>
              <w:ind w:left="94" w:leftChars="45"/>
            </w:pPr>
            <w:r>
              <w:rPr>
                <w:rFonts w:hint="eastAsia" w:ascii="宋体" w:hAnsi="宋体" w:eastAsia="宋体"/>
                <w:szCs w:val="21"/>
              </w:rPr>
              <w:t>提交投标保证金形式：现金，（保证金装入档案袋密封并标示出单位名称）。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8"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color w:val="000000"/>
                <w:szCs w:val="21"/>
              </w:rPr>
            </w:pPr>
            <w:r>
              <w:rPr>
                <w:rFonts w:hint="eastAsia"/>
                <w:color w:val="000000"/>
                <w:szCs w:val="21"/>
              </w:rPr>
              <w:t>3.5</w:t>
            </w:r>
          </w:p>
        </w:tc>
        <w:tc>
          <w:tcPr>
            <w:tcW w:w="2705" w:type="dxa"/>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color w:val="000000"/>
                <w:szCs w:val="21"/>
              </w:rPr>
            </w:pPr>
            <w:r>
              <w:rPr>
                <w:rFonts w:hint="eastAsia"/>
                <w:color w:val="000000"/>
                <w:szCs w:val="21"/>
              </w:rPr>
              <w:t>资格审查资料的特殊要求</w:t>
            </w:r>
          </w:p>
        </w:tc>
        <w:tc>
          <w:tcPr>
            <w:tcW w:w="7028" w:type="dxa"/>
            <w:tcBorders>
              <w:top w:val="single" w:color="000000" w:sz="6" w:space="0"/>
              <w:left w:val="single" w:color="000000" w:sz="6" w:space="0"/>
              <w:bottom w:val="single" w:color="000000" w:sz="6" w:space="0"/>
              <w:right w:val="single" w:color="000000" w:sz="12" w:space="0"/>
            </w:tcBorders>
            <w:vAlign w:val="center"/>
          </w:tcPr>
          <w:p>
            <w:pPr>
              <w:spacing w:line="260" w:lineRule="exact"/>
              <w:ind w:left="141" w:leftChars="67"/>
              <w:rPr>
                <w:color w:val="000000"/>
                <w:szCs w:val="21"/>
              </w:rPr>
            </w:pPr>
            <w:r>
              <w:rPr>
                <w:rFonts w:hint="eastAsia"/>
              </w:rPr>
              <w:t>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8"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color w:val="000000"/>
                <w:szCs w:val="21"/>
              </w:rPr>
            </w:pPr>
            <w:r>
              <w:rPr>
                <w:rFonts w:hint="eastAsia"/>
                <w:color w:val="000000"/>
                <w:szCs w:val="21"/>
              </w:rPr>
              <w:t>3.5.1</w:t>
            </w:r>
          </w:p>
        </w:tc>
        <w:tc>
          <w:tcPr>
            <w:tcW w:w="2705" w:type="dxa"/>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color w:val="000000"/>
                <w:szCs w:val="21"/>
              </w:rPr>
            </w:pPr>
            <w:r>
              <w:rPr>
                <w:rFonts w:hint="eastAsia"/>
                <w:color w:val="000000"/>
                <w:szCs w:val="21"/>
              </w:rPr>
              <w:t>投标人基本情况表应附资料</w:t>
            </w:r>
          </w:p>
        </w:tc>
        <w:tc>
          <w:tcPr>
            <w:tcW w:w="7028" w:type="dxa"/>
            <w:tcBorders>
              <w:top w:val="single" w:color="000000" w:sz="6" w:space="0"/>
              <w:left w:val="single" w:color="000000" w:sz="6" w:space="0"/>
              <w:bottom w:val="single" w:color="000000" w:sz="6" w:space="0"/>
              <w:right w:val="single" w:color="000000" w:sz="12" w:space="0"/>
            </w:tcBorders>
            <w:vAlign w:val="center"/>
          </w:tcPr>
          <w:p>
            <w:pPr>
              <w:spacing w:line="260" w:lineRule="exact"/>
              <w:ind w:left="141" w:leftChars="67" w:right="136" w:rightChars="65" w:firstLine="8" w:firstLineChars="4"/>
            </w:pPr>
            <w:r>
              <w:rPr>
                <w:rFonts w:hint="eastAsia"/>
              </w:rPr>
              <w:t>“投标人基本情况表”应附：</w:t>
            </w:r>
          </w:p>
          <w:p>
            <w:pPr>
              <w:spacing w:line="260" w:lineRule="exact"/>
              <w:ind w:left="141" w:leftChars="67" w:right="136" w:rightChars="65" w:firstLine="420" w:firstLineChars="200"/>
            </w:pPr>
            <w:r>
              <w:rPr>
                <w:rFonts w:hint="eastAsia"/>
              </w:rPr>
              <w:t>（1）企业法人营业执照副本复印件；</w:t>
            </w:r>
          </w:p>
          <w:p>
            <w:pPr>
              <w:spacing w:line="260" w:lineRule="exact"/>
              <w:ind w:left="141" w:leftChars="67" w:right="136" w:rightChars="65" w:firstLine="420" w:firstLineChars="200"/>
            </w:pPr>
            <w:r>
              <w:rPr>
                <w:rFonts w:hint="eastAsia"/>
              </w:rPr>
              <w:t>（2）施工资质证书副本复印件；</w:t>
            </w:r>
          </w:p>
          <w:p>
            <w:pPr>
              <w:spacing w:line="260" w:lineRule="exact"/>
              <w:ind w:left="141" w:leftChars="67" w:right="136" w:rightChars="65" w:firstLine="420" w:firstLineChars="200"/>
            </w:pPr>
            <w:r>
              <w:rPr>
                <w:rFonts w:hint="eastAsia"/>
              </w:rPr>
              <w:t>（</w:t>
            </w:r>
            <w:r>
              <w:t>3</w:t>
            </w:r>
            <w:r>
              <w:rPr>
                <w:rFonts w:hint="eastAsia"/>
              </w:rPr>
              <w:t>）基本账户开户许可证（或银行出具的基本账户存款证明或基本存款账户信息）的复印件；</w:t>
            </w:r>
          </w:p>
          <w:p>
            <w:pPr>
              <w:spacing w:line="260" w:lineRule="exact"/>
              <w:ind w:left="141" w:leftChars="67" w:right="136" w:rightChars="65" w:firstLine="420" w:firstLineChars="200"/>
            </w:pPr>
            <w:r>
              <w:rPr>
                <w:rFonts w:hint="eastAsia"/>
              </w:rPr>
              <w:t>（</w:t>
            </w:r>
            <w:r>
              <w:t>4</w:t>
            </w:r>
            <w:r>
              <w:rPr>
                <w:rFonts w:hint="eastAsia"/>
              </w:rPr>
              <w:t>）投标人在“国家企业信用信息公示系统”中基础信息（体现股东及出资详细信息）的网页截图或由法定的社会验资机构出具的验资报告或注册地市场监督部门出具的股东出资情况证明复印件。</w:t>
            </w:r>
          </w:p>
          <w:p>
            <w:pPr>
              <w:spacing w:line="260" w:lineRule="exact"/>
              <w:ind w:left="141" w:leftChars="67" w:right="136" w:rightChars="65" w:firstLine="420" w:firstLineChars="200"/>
            </w:pPr>
            <w:r>
              <w:rPr>
                <w:rFonts w:hint="eastAsia"/>
              </w:rPr>
              <w:t>（</w:t>
            </w:r>
            <w:r>
              <w:t>5</w:t>
            </w:r>
            <w:r>
              <w:rPr>
                <w:rFonts w:hint="eastAsia"/>
              </w:rPr>
              <w:t>）投标人提供投标截止时间所在本周在</w:t>
            </w:r>
            <w:r>
              <w:t>“</w:t>
            </w:r>
            <w:r>
              <w:rPr>
                <w:rFonts w:hint="eastAsia"/>
              </w:rPr>
              <w:t>浙江省建筑市场监管公共服务系统</w:t>
            </w:r>
            <w:r>
              <w:t>”</w:t>
            </w:r>
            <w:r>
              <w:rPr>
                <w:rFonts w:hint="eastAsia"/>
              </w:rPr>
              <w:t>查询投标所需施工资质的动态核查结果为</w:t>
            </w:r>
            <w:r>
              <w:t>“</w:t>
            </w:r>
            <w:r>
              <w:rPr>
                <w:rFonts w:hint="eastAsia"/>
              </w:rPr>
              <w:t>合格</w:t>
            </w:r>
            <w:r>
              <w:t>”</w:t>
            </w:r>
            <w:r>
              <w:rPr>
                <w:rFonts w:hint="eastAsia"/>
              </w:rPr>
              <w:t>的动态核查证明（养护资质除外）。</w:t>
            </w:r>
          </w:p>
          <w:p>
            <w:pPr>
              <w:spacing w:line="260" w:lineRule="exact"/>
              <w:ind w:left="141" w:leftChars="67" w:right="136" w:rightChars="65" w:firstLine="420" w:firstLineChars="200"/>
              <w:rPr>
                <w:color w:val="000000"/>
                <w:szCs w:val="21"/>
              </w:rPr>
            </w:pPr>
            <w:r>
              <w:rPr>
                <w:rFonts w:hint="eastAsia"/>
              </w:rPr>
              <w:t>企业法人营业执照副本、施工资质证书副本、基本账户开户许可证（或银行出具的基本账户存款证明或基本存款账户信息）的复印件应提供全本（证书封面、封底、空白页除外），应包括投标人名称、投标人其他相关信息、颁发机构名称、投标人信息变更情况等关键页在内，并逐页加盖单位公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7"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color w:val="000000"/>
                <w:szCs w:val="21"/>
              </w:rPr>
            </w:pPr>
            <w:r>
              <w:rPr>
                <w:color w:val="000000"/>
                <w:szCs w:val="21"/>
              </w:rPr>
              <w:t>3.5.2</w:t>
            </w:r>
          </w:p>
        </w:tc>
        <w:tc>
          <w:tcPr>
            <w:tcW w:w="2705" w:type="dxa"/>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color w:val="000000"/>
                <w:szCs w:val="21"/>
              </w:rPr>
            </w:pPr>
            <w:r>
              <w:rPr>
                <w:rFonts w:hint="eastAsia"/>
                <w:color w:val="000000"/>
                <w:szCs w:val="21"/>
              </w:rPr>
              <w:t>财务状况表</w:t>
            </w:r>
          </w:p>
        </w:tc>
        <w:tc>
          <w:tcPr>
            <w:tcW w:w="7028" w:type="dxa"/>
            <w:tcBorders>
              <w:top w:val="single" w:color="000000" w:sz="6" w:space="0"/>
              <w:left w:val="single" w:color="000000" w:sz="6" w:space="0"/>
              <w:bottom w:val="single" w:color="000000" w:sz="6" w:space="0"/>
              <w:right w:val="single" w:color="000000" w:sz="12" w:space="0"/>
            </w:tcBorders>
            <w:vAlign w:val="center"/>
          </w:tcPr>
          <w:p>
            <w:pPr>
              <w:spacing w:line="260" w:lineRule="exact"/>
              <w:ind w:left="141" w:leftChars="67"/>
              <w:rPr>
                <w:color w:val="000000"/>
              </w:rPr>
            </w:pPr>
            <w:r>
              <w:rPr>
                <w:rFonts w:hint="eastAsia"/>
                <w:color w:val="000000"/>
                <w:szCs w:val="21"/>
              </w:rPr>
              <w:t>无须提供</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94"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color w:val="000000"/>
                <w:szCs w:val="21"/>
              </w:rPr>
            </w:pPr>
            <w:r>
              <w:rPr>
                <w:color w:val="000000"/>
                <w:szCs w:val="21"/>
              </w:rPr>
              <w:t>3.5.3</w:t>
            </w:r>
          </w:p>
        </w:tc>
        <w:tc>
          <w:tcPr>
            <w:tcW w:w="2705"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kern w:val="0"/>
                <w:szCs w:val="21"/>
              </w:rPr>
            </w:pPr>
            <w:r>
              <w:rPr>
                <w:color w:val="000000"/>
                <w:szCs w:val="21"/>
              </w:rPr>
              <w:t>近年完成的类似项目的年份要求及需附资料</w:t>
            </w:r>
          </w:p>
        </w:tc>
        <w:tc>
          <w:tcPr>
            <w:tcW w:w="7028" w:type="dxa"/>
            <w:tcBorders>
              <w:top w:val="single" w:color="000000" w:sz="6" w:space="0"/>
              <w:left w:val="single" w:color="000000" w:sz="6" w:space="0"/>
              <w:bottom w:val="single" w:color="000000" w:sz="6" w:space="0"/>
              <w:right w:val="single" w:color="000000" w:sz="12" w:space="0"/>
            </w:tcBorders>
            <w:vAlign w:val="center"/>
          </w:tcPr>
          <w:p>
            <w:pPr>
              <w:spacing w:line="260" w:lineRule="exact"/>
              <w:ind w:left="141" w:leftChars="67"/>
              <w:rPr>
                <w:kern w:val="0"/>
                <w:szCs w:val="21"/>
                <w:u w:val="single"/>
              </w:rPr>
            </w:pPr>
            <w:r>
              <w:rPr>
                <w:rFonts w:hint="eastAsia"/>
                <w:color w:val="000000"/>
                <w:szCs w:val="21"/>
              </w:rPr>
              <w:t>无须提供</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92"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color w:val="000000"/>
                <w:szCs w:val="21"/>
              </w:rPr>
            </w:pPr>
            <w:r>
              <w:rPr>
                <w:color w:val="000000"/>
                <w:szCs w:val="21"/>
              </w:rPr>
              <w:t>3.5.5</w:t>
            </w:r>
          </w:p>
        </w:tc>
        <w:tc>
          <w:tcPr>
            <w:tcW w:w="2705"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kern w:val="0"/>
                <w:szCs w:val="21"/>
              </w:rPr>
            </w:pPr>
            <w:r>
              <w:rPr>
                <w:color w:val="000000"/>
                <w:szCs w:val="21"/>
              </w:rPr>
              <w:t>拟委任的项目经理、项目技术负责人和安全负责人资历表应附资料</w:t>
            </w:r>
          </w:p>
        </w:tc>
        <w:tc>
          <w:tcPr>
            <w:tcW w:w="7028" w:type="dxa"/>
            <w:tcBorders>
              <w:top w:val="single" w:color="000000" w:sz="6" w:space="0"/>
              <w:left w:val="single" w:color="000000" w:sz="6" w:space="0"/>
              <w:bottom w:val="single" w:color="000000" w:sz="6" w:space="0"/>
              <w:right w:val="single" w:color="000000" w:sz="12" w:space="0"/>
            </w:tcBorders>
            <w:vAlign w:val="center"/>
          </w:tcPr>
          <w:p>
            <w:pPr>
              <w:spacing w:line="260" w:lineRule="exact"/>
              <w:ind w:left="141" w:leftChars="67" w:right="136" w:rightChars="65" w:firstLine="420" w:firstLineChars="200"/>
            </w:pPr>
            <w:r>
              <w:rPr>
                <w:rFonts w:hint="eastAsia"/>
              </w:rPr>
              <w:t>“拟委任的项目经理、项目技术负责人和安全负责人资历表”应附以下资料：</w:t>
            </w:r>
          </w:p>
          <w:p>
            <w:pPr>
              <w:spacing w:line="260" w:lineRule="exact"/>
              <w:ind w:left="141" w:leftChars="67" w:right="136" w:rightChars="65" w:firstLine="420" w:firstLineChars="200"/>
            </w:pPr>
            <w:r>
              <w:rPr>
                <w:rFonts w:hint="eastAsia"/>
              </w:rPr>
              <w:t>（1）项目经理：身份证、职称资格证书、有效期内的安全生产考核合格证书(B类) 、建造师注册证书；项目技术负责人：身份证、职称资格证书、有效期内的安全生产考核合格证书(B类) ；安全负责人：身份证、有效期内的安全生产考核合格证书(C类) 。</w:t>
            </w:r>
          </w:p>
          <w:p>
            <w:pPr>
              <w:spacing w:line="260" w:lineRule="exact"/>
              <w:ind w:left="141" w:leftChars="67" w:right="136" w:rightChars="65" w:firstLine="420" w:firstLineChars="200"/>
            </w:pPr>
            <w:r>
              <w:rPr>
                <w:rFonts w:hint="eastAsia"/>
              </w:rPr>
              <w:t>身份证应提供正反双面复印件。</w:t>
            </w:r>
          </w:p>
          <w:p>
            <w:pPr>
              <w:spacing w:line="260" w:lineRule="exact"/>
              <w:ind w:left="141" w:leftChars="67" w:right="136" w:rightChars="65" w:firstLine="420" w:firstLineChars="200"/>
            </w:pPr>
            <w:r>
              <w:rPr>
                <w:rFonts w:hint="eastAsia"/>
              </w:rPr>
              <w:t>拟委任的项目经理的建造师注册证书、安全生产考核合格证书和项目技术负责人、安全负责人的安全生产考核合格证书上单位名称应与投标人名称一致。</w:t>
            </w:r>
          </w:p>
          <w:p>
            <w:pPr>
              <w:spacing w:line="260" w:lineRule="exact"/>
              <w:ind w:left="141" w:leftChars="67" w:right="136" w:rightChars="65" w:firstLine="420" w:firstLineChars="200"/>
            </w:pPr>
            <w:r>
              <w:rPr>
                <w:rFonts w:hint="eastAsia"/>
              </w:rPr>
              <w:t>（2）项目经理若曾在其他在建合同工程中担任项目经理但已进行更换的，应附项目发包人的同意更换证明材料，否则更换前后的项目经理均视为有“在建合同工程”。</w:t>
            </w:r>
          </w:p>
          <w:p>
            <w:pPr>
              <w:spacing w:line="260" w:lineRule="exact"/>
              <w:ind w:left="141" w:leftChars="67" w:right="136" w:rightChars="65" w:firstLine="422" w:firstLineChars="200"/>
              <w:rPr>
                <w:b/>
              </w:rPr>
            </w:pPr>
            <w:r>
              <w:rPr>
                <w:rFonts w:hint="eastAsia"/>
                <w:b/>
              </w:rPr>
              <w:t>备注：以上证书复印件加盖单位公章。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6"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color w:val="000000"/>
                <w:szCs w:val="21"/>
              </w:rPr>
            </w:pPr>
            <w:r>
              <w:rPr>
                <w:rFonts w:hint="eastAsia"/>
                <w:color w:val="000000"/>
                <w:szCs w:val="21"/>
              </w:rPr>
              <w:t>3.5.6</w:t>
            </w:r>
          </w:p>
        </w:tc>
        <w:tc>
          <w:tcPr>
            <w:tcW w:w="2705"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color w:val="000000"/>
                <w:szCs w:val="21"/>
              </w:rPr>
            </w:pPr>
            <w:r>
              <w:rPr>
                <w:color w:val="000000"/>
                <w:szCs w:val="21"/>
              </w:rPr>
              <w:t>拟委任的其他管理和技术人员资历表应附资料</w:t>
            </w:r>
          </w:p>
        </w:tc>
        <w:tc>
          <w:tcPr>
            <w:tcW w:w="7028" w:type="dxa"/>
            <w:tcBorders>
              <w:top w:val="single" w:color="000000" w:sz="6" w:space="0"/>
              <w:left w:val="single" w:color="000000" w:sz="6" w:space="0"/>
              <w:bottom w:val="single" w:color="000000" w:sz="6" w:space="0"/>
              <w:right w:val="single" w:color="000000" w:sz="12" w:space="0"/>
            </w:tcBorders>
            <w:vAlign w:val="center"/>
          </w:tcPr>
          <w:p>
            <w:pPr>
              <w:spacing w:line="260" w:lineRule="exact"/>
              <w:ind w:left="141" w:leftChars="67"/>
              <w:rPr>
                <w:color w:val="000000"/>
                <w:szCs w:val="21"/>
              </w:rPr>
            </w:pPr>
            <w:r>
              <w:rPr>
                <w:rFonts w:hint="eastAsia"/>
                <w:color w:val="000000"/>
                <w:szCs w:val="21"/>
              </w:rPr>
              <w:t>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7"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3.6</w:t>
            </w:r>
          </w:p>
        </w:tc>
        <w:tc>
          <w:tcPr>
            <w:tcW w:w="2705" w:type="dxa"/>
            <w:tcBorders>
              <w:top w:val="single" w:color="000000" w:sz="6" w:space="0"/>
              <w:left w:val="single" w:color="000000" w:sz="6" w:space="0"/>
              <w:bottom w:val="single" w:color="000000" w:sz="6" w:space="0"/>
              <w:right w:val="single" w:color="000000" w:sz="6" w:space="0"/>
            </w:tcBorders>
            <w:vAlign w:val="center"/>
          </w:tcPr>
          <w:p>
            <w:pPr>
              <w:spacing w:line="360" w:lineRule="exact"/>
              <w:rPr>
                <w:rFonts w:ascii="宋体" w:hAnsi="宋体" w:eastAsia="宋体" w:cs="宋体"/>
                <w:szCs w:val="21"/>
              </w:rPr>
            </w:pPr>
            <w:r>
              <w:rPr>
                <w:rFonts w:hint="eastAsia" w:ascii="宋体" w:hAnsi="宋体" w:eastAsia="宋体" w:cs="宋体"/>
                <w:szCs w:val="21"/>
              </w:rPr>
              <w:t>是否允许递交备选投标方案</w:t>
            </w:r>
          </w:p>
        </w:tc>
        <w:tc>
          <w:tcPr>
            <w:tcW w:w="7028" w:type="dxa"/>
            <w:tcBorders>
              <w:top w:val="single" w:color="000000" w:sz="6" w:space="0"/>
              <w:left w:val="single" w:color="000000" w:sz="6" w:space="0"/>
              <w:bottom w:val="single" w:color="auto" w:sz="6" w:space="0"/>
              <w:right w:val="single" w:color="000000" w:sz="12" w:space="0"/>
            </w:tcBorders>
            <w:vAlign w:val="center"/>
          </w:tcPr>
          <w:p>
            <w:pPr>
              <w:spacing w:line="360" w:lineRule="exact"/>
              <w:ind w:left="141" w:leftChars="67"/>
              <w:rPr>
                <w:rFonts w:ascii="宋体" w:hAnsi="宋体" w:eastAsia="宋体" w:cs="宋体"/>
                <w:szCs w:val="21"/>
              </w:rPr>
            </w:pPr>
            <w:r>
              <w:rPr>
                <w:rFonts w:hint="eastAsia" w:ascii="宋体" w:hAnsi="宋体" w:eastAsia="宋体" w:cs="宋体"/>
                <w:szCs w:val="21"/>
              </w:rPr>
              <w:t>不允许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7"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3.7.1</w:t>
            </w:r>
          </w:p>
        </w:tc>
        <w:tc>
          <w:tcPr>
            <w:tcW w:w="2705" w:type="dxa"/>
            <w:tcBorders>
              <w:top w:val="single" w:color="auto" w:sz="4" w:space="0"/>
              <w:left w:val="single" w:color="auto" w:sz="4" w:space="0"/>
              <w:bottom w:val="single" w:color="auto" w:sz="4" w:space="0"/>
              <w:right w:val="single" w:color="auto" w:sz="6" w:space="0"/>
            </w:tcBorders>
            <w:vAlign w:val="center"/>
          </w:tcPr>
          <w:p>
            <w:pPr>
              <w:jc w:val="center"/>
              <w:rPr>
                <w:szCs w:val="21"/>
              </w:rPr>
            </w:pPr>
            <w:r>
              <w:rPr>
                <w:szCs w:val="21"/>
              </w:rPr>
              <w:t>投标文件其它</w:t>
            </w:r>
          </w:p>
          <w:p>
            <w:pPr>
              <w:jc w:val="center"/>
              <w:rPr>
                <w:szCs w:val="21"/>
              </w:rPr>
            </w:pPr>
            <w:r>
              <w:rPr>
                <w:szCs w:val="21"/>
              </w:rPr>
              <w:t>格式要求</w:t>
            </w:r>
          </w:p>
        </w:tc>
        <w:tc>
          <w:tcPr>
            <w:tcW w:w="7028" w:type="dxa"/>
            <w:tcBorders>
              <w:top w:val="single" w:color="auto" w:sz="6" w:space="0"/>
              <w:left w:val="single" w:color="auto" w:sz="6" w:space="0"/>
              <w:bottom w:val="single" w:color="auto" w:sz="6" w:space="0"/>
              <w:right w:val="single" w:color="auto" w:sz="8" w:space="0"/>
            </w:tcBorders>
            <w:vAlign w:val="center"/>
          </w:tcPr>
          <w:p>
            <w:pPr>
              <w:ind w:left="149" w:leftChars="71" w:right="65" w:rightChars="31"/>
            </w:pPr>
            <w:r>
              <w:t>1、投标人应使用招标文件中提供的附件格式。表格如不够用时，可以按同样格式扩展。</w:t>
            </w:r>
          </w:p>
          <w:p>
            <w:pPr>
              <w:ind w:left="149" w:leftChars="71" w:right="65" w:rightChars="31"/>
            </w:pPr>
            <w:r>
              <w:t>2、投标人投标文件所用的纸张建议采用A4型纸，图表可根据需要作适当扩展。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7"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3.7.</w:t>
            </w:r>
            <w:r>
              <w:rPr>
                <w:rFonts w:ascii="宋体" w:hAnsi="宋体" w:eastAsia="宋体" w:cs="宋体"/>
                <w:szCs w:val="21"/>
              </w:rPr>
              <w:t>4</w:t>
            </w:r>
          </w:p>
        </w:tc>
        <w:tc>
          <w:tcPr>
            <w:tcW w:w="2705" w:type="dxa"/>
            <w:tcBorders>
              <w:top w:val="single" w:color="auto" w:sz="4" w:space="0"/>
              <w:left w:val="single" w:color="auto" w:sz="4" w:space="0"/>
              <w:bottom w:val="single" w:color="auto" w:sz="4" w:space="0"/>
              <w:right w:val="single" w:color="auto" w:sz="6" w:space="0"/>
            </w:tcBorders>
            <w:vAlign w:val="center"/>
          </w:tcPr>
          <w:p>
            <w:pPr>
              <w:jc w:val="center"/>
              <w:rPr>
                <w:szCs w:val="21"/>
              </w:rPr>
            </w:pPr>
            <w:r>
              <w:rPr>
                <w:szCs w:val="21"/>
              </w:rPr>
              <w:t>投标文件份数</w:t>
            </w:r>
          </w:p>
        </w:tc>
        <w:tc>
          <w:tcPr>
            <w:tcW w:w="7028" w:type="dxa"/>
            <w:tcBorders>
              <w:top w:val="single" w:color="auto" w:sz="6" w:space="0"/>
              <w:left w:val="single" w:color="auto" w:sz="6" w:space="0"/>
              <w:bottom w:val="single" w:color="auto" w:sz="6" w:space="0"/>
              <w:right w:val="single" w:color="auto" w:sz="8" w:space="0"/>
            </w:tcBorders>
            <w:vAlign w:val="center"/>
          </w:tcPr>
          <w:p>
            <w:pPr>
              <w:ind w:left="149" w:leftChars="71" w:right="65" w:rightChars="31"/>
            </w:pPr>
            <w:r>
              <w:t>正本1份、副本4份（包括证书复印件）。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7"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3.7.5</w:t>
            </w:r>
          </w:p>
        </w:tc>
        <w:tc>
          <w:tcPr>
            <w:tcW w:w="2705" w:type="dxa"/>
            <w:tcBorders>
              <w:top w:val="single" w:color="auto" w:sz="4" w:space="0"/>
              <w:left w:val="single" w:color="auto" w:sz="4" w:space="0"/>
              <w:bottom w:val="single" w:color="auto" w:sz="4" w:space="0"/>
              <w:right w:val="single" w:color="auto" w:sz="6" w:space="0"/>
            </w:tcBorders>
            <w:vAlign w:val="center"/>
          </w:tcPr>
          <w:p>
            <w:pPr>
              <w:jc w:val="center"/>
              <w:rPr>
                <w:szCs w:val="21"/>
              </w:rPr>
            </w:pPr>
            <w:r>
              <w:rPr>
                <w:szCs w:val="21"/>
              </w:rPr>
              <w:t>投标文件装订</w:t>
            </w:r>
          </w:p>
        </w:tc>
        <w:tc>
          <w:tcPr>
            <w:tcW w:w="7028" w:type="dxa"/>
            <w:tcBorders>
              <w:top w:val="single" w:color="auto" w:sz="6" w:space="0"/>
              <w:left w:val="single" w:color="auto" w:sz="6" w:space="0"/>
              <w:bottom w:val="single" w:color="auto" w:sz="6" w:space="0"/>
              <w:right w:val="single" w:color="auto" w:sz="8" w:space="0"/>
            </w:tcBorders>
            <w:vAlign w:val="center"/>
          </w:tcPr>
          <w:p>
            <w:pPr>
              <w:ind w:left="149" w:leftChars="71" w:right="65" w:rightChars="31" w:firstLine="210"/>
              <w:rPr>
                <w:color w:val="000000"/>
                <w:kern w:val="1"/>
              </w:rPr>
            </w:pPr>
            <w:r>
              <w:rPr>
                <w:color w:val="000000"/>
                <w:kern w:val="1"/>
              </w:rPr>
              <w:t>第3.7.5项</w:t>
            </w:r>
            <w:r>
              <w:rPr>
                <w:rFonts w:hint="eastAsia"/>
                <w:color w:val="000000"/>
                <w:kern w:val="1"/>
              </w:rPr>
              <w:t>款</w:t>
            </w:r>
            <w:r>
              <w:rPr>
                <w:color w:val="000000"/>
                <w:kern w:val="1"/>
              </w:rPr>
              <w:t>细化为：</w:t>
            </w:r>
          </w:p>
          <w:p>
            <w:pPr>
              <w:pStyle w:val="6"/>
              <w:tabs>
                <w:tab w:val="left" w:pos="2760"/>
              </w:tabs>
              <w:adjustRightInd w:val="0"/>
              <w:ind w:left="149" w:leftChars="71" w:right="65" w:rightChars="31" w:firstLine="210" w:firstLineChars="100"/>
            </w:pPr>
            <w:r>
              <w:rPr>
                <w:color w:val="000000"/>
                <w:kern w:val="0"/>
              </w:rPr>
              <w:t>装订要求：</w:t>
            </w:r>
            <w:r>
              <w:rPr>
                <w:rFonts w:hint="eastAsia" w:ascii="宋体" w:hAnsi="宋体"/>
                <w:color w:val="000000"/>
                <w:kern w:val="0"/>
                <w:szCs w:val="21"/>
              </w:rPr>
              <w:t>投标文件采用封胶装订</w:t>
            </w:r>
            <w:r>
              <w:rPr>
                <w:color w:val="000000"/>
                <w:kern w:val="0"/>
              </w:rPr>
              <w:t>，不得采用活页装订（活页装订是指用卡条、抽杆夹、订书机等形式装订，使标书可以拆卸或者在翻动过程中易脱落的一种装订方式。</w:t>
            </w:r>
            <w:r>
              <w:rPr>
                <w:b/>
                <w:color w:val="000000"/>
                <w:kern w:val="0"/>
              </w:rPr>
              <w:t>采用活页装订的投标文件按无效标处理</w:t>
            </w:r>
            <w:r>
              <w:rPr>
                <w:color w:val="000000"/>
                <w:kern w:val="0"/>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7"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4.1.2</w:t>
            </w:r>
          </w:p>
        </w:tc>
        <w:tc>
          <w:tcPr>
            <w:tcW w:w="2705" w:type="dxa"/>
            <w:tcBorders>
              <w:top w:val="single" w:color="auto" w:sz="4" w:space="0"/>
              <w:left w:val="single" w:color="auto" w:sz="4" w:space="0"/>
              <w:bottom w:val="single" w:color="auto" w:sz="4" w:space="0"/>
              <w:right w:val="single" w:color="auto" w:sz="6" w:space="0"/>
            </w:tcBorders>
            <w:vAlign w:val="center"/>
          </w:tcPr>
          <w:p>
            <w:pPr>
              <w:jc w:val="center"/>
            </w:pPr>
            <w:r>
              <w:t>投标文件密封</w:t>
            </w:r>
          </w:p>
          <w:p>
            <w:pPr>
              <w:jc w:val="center"/>
              <w:rPr>
                <w:szCs w:val="21"/>
              </w:rPr>
            </w:pPr>
            <w:r>
              <w:t>及装订</w:t>
            </w:r>
          </w:p>
        </w:tc>
        <w:tc>
          <w:tcPr>
            <w:tcW w:w="7028" w:type="dxa"/>
            <w:tcBorders>
              <w:top w:val="single" w:color="auto" w:sz="6" w:space="0"/>
              <w:left w:val="single" w:color="auto" w:sz="6" w:space="0"/>
              <w:bottom w:val="single" w:color="auto" w:sz="6" w:space="0"/>
              <w:right w:val="single" w:color="auto" w:sz="8" w:space="0"/>
            </w:tcBorders>
            <w:vAlign w:val="center"/>
          </w:tcPr>
          <w:p>
            <w:pPr>
              <w:ind w:left="149" w:leftChars="71" w:right="65" w:rightChars="31"/>
            </w:pPr>
            <w:r>
              <w:rPr>
                <w:rFonts w:hint="eastAsia" w:ascii="宋体" w:hAnsi="宋体"/>
              </w:rPr>
              <w:t>投标文件正副本分别单独装订成册，按相关规定密封于同一个密封袋内。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93"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spacing w:line="260" w:lineRule="exact"/>
              <w:jc w:val="center"/>
              <w:rPr>
                <w:rFonts w:ascii="宋体" w:hAnsi="宋体" w:eastAsia="宋体" w:cs="宋体"/>
                <w:szCs w:val="21"/>
              </w:rPr>
            </w:pPr>
            <w:r>
              <w:rPr>
                <w:rFonts w:hint="eastAsia" w:ascii="宋体" w:hAnsi="宋体" w:eastAsia="宋体" w:cs="宋体"/>
                <w:szCs w:val="21"/>
              </w:rPr>
              <w:t>4.2.2</w:t>
            </w:r>
          </w:p>
        </w:tc>
        <w:tc>
          <w:tcPr>
            <w:tcW w:w="2705" w:type="dxa"/>
            <w:tcBorders>
              <w:top w:val="single" w:color="000000" w:sz="6" w:space="0"/>
              <w:left w:val="single" w:color="000000" w:sz="6" w:space="0"/>
              <w:bottom w:val="single" w:color="000000" w:sz="6" w:space="0"/>
              <w:right w:val="single" w:color="000000" w:sz="6" w:space="0"/>
            </w:tcBorders>
            <w:vAlign w:val="center"/>
          </w:tcPr>
          <w:p>
            <w:pPr>
              <w:spacing w:line="260" w:lineRule="exact"/>
              <w:jc w:val="center"/>
              <w:rPr>
                <w:rFonts w:ascii="宋体" w:hAnsi="宋体" w:eastAsia="宋体" w:cs="宋体"/>
                <w:szCs w:val="21"/>
              </w:rPr>
            </w:pPr>
            <w:r>
              <w:rPr>
                <w:rFonts w:hint="eastAsia" w:ascii="宋体" w:hAnsi="宋体" w:eastAsia="宋体" w:cs="宋体"/>
                <w:szCs w:val="21"/>
              </w:rPr>
              <w:t>递交投标文件地点</w:t>
            </w:r>
          </w:p>
        </w:tc>
        <w:tc>
          <w:tcPr>
            <w:tcW w:w="7028" w:type="dxa"/>
            <w:tcBorders>
              <w:top w:val="single" w:color="auto" w:sz="6" w:space="0"/>
              <w:left w:val="single" w:color="000000" w:sz="6" w:space="0"/>
              <w:bottom w:val="single" w:color="000000" w:sz="6" w:space="0"/>
              <w:right w:val="single" w:color="000000" w:sz="12" w:space="0"/>
            </w:tcBorders>
            <w:vAlign w:val="center"/>
          </w:tcPr>
          <w:p>
            <w:pPr>
              <w:spacing w:line="260" w:lineRule="exact"/>
              <w:ind w:left="149" w:leftChars="71"/>
              <w:rPr>
                <w:rFonts w:ascii="宋体" w:hAnsi="宋体" w:eastAsia="宋体" w:cs="宋体"/>
                <w:szCs w:val="21"/>
              </w:rPr>
            </w:pPr>
            <w:r>
              <w:rPr>
                <w:rFonts w:hint="eastAsia" w:ascii="宋体" w:hAnsi="宋体" w:eastAsia="宋体" w:cs="宋体"/>
                <w:b/>
                <w:szCs w:val="21"/>
              </w:rPr>
              <w:t>三门县公路与运输管理中心会议室（三门县广场路22号交通大楼8楼）。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93"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spacing w:line="260" w:lineRule="exact"/>
              <w:jc w:val="center"/>
              <w:rPr>
                <w:rFonts w:ascii="宋体" w:hAnsi="宋体" w:eastAsia="宋体" w:cs="宋体"/>
                <w:szCs w:val="21"/>
              </w:rPr>
            </w:pPr>
            <w:r>
              <w:rPr>
                <w:rFonts w:hint="eastAsia" w:ascii="宋体" w:hAnsi="宋体" w:eastAsia="宋体" w:cs="宋体"/>
                <w:szCs w:val="21"/>
              </w:rPr>
              <w:t>4.2.3</w:t>
            </w:r>
          </w:p>
        </w:tc>
        <w:tc>
          <w:tcPr>
            <w:tcW w:w="2705" w:type="dxa"/>
            <w:tcBorders>
              <w:top w:val="single" w:color="000000" w:sz="6" w:space="0"/>
              <w:left w:val="single" w:color="000000" w:sz="6" w:space="0"/>
              <w:bottom w:val="single" w:color="000000" w:sz="6" w:space="0"/>
              <w:right w:val="single" w:color="000000" w:sz="6" w:space="0"/>
            </w:tcBorders>
            <w:vAlign w:val="center"/>
          </w:tcPr>
          <w:p>
            <w:pPr>
              <w:spacing w:line="260" w:lineRule="exact"/>
              <w:jc w:val="center"/>
              <w:rPr>
                <w:rFonts w:ascii="宋体" w:hAnsi="宋体" w:eastAsia="宋体" w:cs="宋体"/>
                <w:szCs w:val="21"/>
              </w:rPr>
            </w:pPr>
            <w:r>
              <w:rPr>
                <w:rFonts w:hint="eastAsia" w:ascii="宋体" w:hAnsi="宋体" w:eastAsia="宋体" w:cs="宋体"/>
                <w:szCs w:val="21"/>
              </w:rPr>
              <w:t>是否退还投标文件</w:t>
            </w:r>
          </w:p>
        </w:tc>
        <w:tc>
          <w:tcPr>
            <w:tcW w:w="7028" w:type="dxa"/>
            <w:tcBorders>
              <w:top w:val="single" w:color="000000" w:sz="6" w:space="0"/>
              <w:left w:val="single" w:color="000000" w:sz="6" w:space="0"/>
              <w:bottom w:val="single" w:color="000000" w:sz="6" w:space="0"/>
              <w:right w:val="single" w:color="000000" w:sz="12" w:space="0"/>
            </w:tcBorders>
            <w:vAlign w:val="center"/>
          </w:tcPr>
          <w:p>
            <w:pPr>
              <w:spacing w:line="260" w:lineRule="exact"/>
              <w:ind w:left="149" w:leftChars="71"/>
              <w:rPr>
                <w:rFonts w:ascii="宋体" w:hAnsi="宋体" w:eastAsia="宋体" w:cs="宋体"/>
                <w:szCs w:val="21"/>
              </w:rPr>
            </w:pPr>
            <w:r>
              <w:rPr>
                <w:rFonts w:hint="eastAsia" w:ascii="宋体" w:hAnsi="宋体" w:eastAsia="宋体" w:cs="宋体"/>
                <w:szCs w:val="21"/>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93"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spacing w:line="260" w:lineRule="exact"/>
              <w:jc w:val="center"/>
              <w:rPr>
                <w:rFonts w:ascii="宋体" w:hAnsi="宋体" w:eastAsia="宋体" w:cs="宋体"/>
                <w:szCs w:val="21"/>
              </w:rPr>
            </w:pPr>
            <w:r>
              <w:rPr>
                <w:rFonts w:hint="eastAsia" w:ascii="宋体" w:hAnsi="宋体" w:eastAsia="宋体" w:cs="宋体"/>
                <w:szCs w:val="21"/>
              </w:rPr>
              <w:t>4.2.5</w:t>
            </w:r>
          </w:p>
        </w:tc>
        <w:tc>
          <w:tcPr>
            <w:tcW w:w="2705" w:type="dxa"/>
            <w:tcBorders>
              <w:top w:val="single" w:color="000000" w:sz="6" w:space="0"/>
              <w:left w:val="single" w:color="000000" w:sz="6" w:space="0"/>
              <w:bottom w:val="single" w:color="000000" w:sz="6" w:space="0"/>
              <w:right w:val="single" w:color="000000" w:sz="6" w:space="0"/>
            </w:tcBorders>
            <w:vAlign w:val="center"/>
          </w:tcPr>
          <w:p>
            <w:pPr>
              <w:spacing w:line="260" w:lineRule="exact"/>
              <w:jc w:val="center"/>
              <w:rPr>
                <w:rFonts w:ascii="宋体" w:hAnsi="宋体" w:eastAsia="宋体" w:cs="宋体"/>
                <w:szCs w:val="21"/>
              </w:rPr>
            </w:pPr>
            <w:r>
              <w:rPr>
                <w:rFonts w:hint="eastAsia" w:ascii="宋体" w:hAnsi="宋体" w:eastAsia="宋体" w:cs="宋体"/>
                <w:szCs w:val="21"/>
              </w:rPr>
              <w:t>投标文件递交</w:t>
            </w:r>
          </w:p>
        </w:tc>
        <w:tc>
          <w:tcPr>
            <w:tcW w:w="7028" w:type="dxa"/>
            <w:tcBorders>
              <w:top w:val="single" w:color="000000" w:sz="6" w:space="0"/>
              <w:left w:val="single" w:color="000000" w:sz="6" w:space="0"/>
              <w:bottom w:val="single" w:color="000000" w:sz="6" w:space="0"/>
              <w:right w:val="single" w:color="000000" w:sz="12" w:space="0"/>
            </w:tcBorders>
            <w:vAlign w:val="center"/>
          </w:tcPr>
          <w:p>
            <w:pPr>
              <w:pStyle w:val="6"/>
              <w:spacing w:line="288" w:lineRule="auto"/>
              <w:ind w:firstLine="0" w:firstLineChars="0"/>
              <w:rPr>
                <w:rFonts w:ascii="宋体" w:hAnsi="宋体" w:eastAsia="宋体"/>
                <w:bCs/>
                <w:color w:val="000000"/>
              </w:rPr>
            </w:pPr>
            <w:r>
              <w:rPr>
                <w:rFonts w:hint="eastAsia" w:ascii="宋体" w:hAnsi="宋体" w:eastAsia="宋体"/>
                <w:bCs/>
                <w:color w:val="000000"/>
              </w:rPr>
              <w:t>（1）投标人法定代表人（提供法定代表人身份证明原件）或委托代理人（必须出具</w:t>
            </w:r>
            <w:r>
              <w:rPr>
                <w:rFonts w:hint="eastAsia" w:ascii="宋体" w:hAnsi="宋体" w:eastAsia="宋体" w:cs="宋体"/>
                <w:spacing w:val="-4"/>
              </w:rPr>
              <w:t>附有法定代表人身份证明的授权委托</w:t>
            </w:r>
            <w:r>
              <w:rPr>
                <w:rFonts w:hint="eastAsia" w:ascii="宋体" w:hAnsi="宋体" w:eastAsia="宋体"/>
                <w:bCs/>
                <w:color w:val="000000"/>
              </w:rPr>
              <w:t>书原件，参考样张附后）必须参加开标会议，经招标人确认身份后（招标人对其身份不明的，须出具身份证或驾驶证原件）再签名报到，以证明其出席开标会议。</w:t>
            </w:r>
          </w:p>
          <w:p>
            <w:pPr>
              <w:spacing w:line="260" w:lineRule="exact"/>
              <w:ind w:left="149" w:leftChars="71"/>
              <w:rPr>
                <w:rFonts w:ascii="宋体" w:hAnsi="宋体" w:eastAsia="宋体" w:cs="宋体"/>
                <w:szCs w:val="21"/>
              </w:rPr>
            </w:pPr>
            <w:r>
              <w:rPr>
                <w:rFonts w:hint="eastAsia" w:ascii="宋体" w:hAnsi="宋体" w:eastAsia="宋体" w:cs="宋体"/>
                <w:szCs w:val="21"/>
              </w:rPr>
              <w:t>（2）投标担保已提交。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93"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spacing w:line="260" w:lineRule="exact"/>
              <w:jc w:val="center"/>
              <w:rPr>
                <w:rFonts w:ascii="宋体" w:hAnsi="宋体" w:eastAsia="宋体" w:cs="宋体"/>
                <w:szCs w:val="21"/>
              </w:rPr>
            </w:pPr>
            <w:r>
              <w:rPr>
                <w:rFonts w:hint="eastAsia" w:ascii="宋体" w:hAnsi="宋体" w:eastAsia="宋体" w:cs="宋体"/>
                <w:szCs w:val="21"/>
              </w:rPr>
              <w:t>4.2.6</w:t>
            </w:r>
          </w:p>
        </w:tc>
        <w:tc>
          <w:tcPr>
            <w:tcW w:w="2705" w:type="dxa"/>
            <w:tcBorders>
              <w:top w:val="single" w:color="000000" w:sz="6" w:space="0"/>
              <w:left w:val="single" w:color="000000" w:sz="6" w:space="0"/>
              <w:bottom w:val="single" w:color="000000" w:sz="6" w:space="0"/>
              <w:right w:val="single" w:color="000000" w:sz="6" w:space="0"/>
            </w:tcBorders>
            <w:vAlign w:val="center"/>
          </w:tcPr>
          <w:p>
            <w:pPr>
              <w:spacing w:line="260" w:lineRule="exact"/>
              <w:jc w:val="center"/>
              <w:rPr>
                <w:rFonts w:ascii="宋体" w:hAnsi="宋体" w:eastAsia="宋体" w:cs="宋体"/>
                <w:szCs w:val="21"/>
              </w:rPr>
            </w:pPr>
            <w:r>
              <w:rPr>
                <w:rFonts w:hint="eastAsia" w:ascii="宋体" w:hAnsi="宋体" w:eastAsia="宋体" w:cs="宋体"/>
                <w:szCs w:val="21"/>
              </w:rPr>
              <w:t>发包人通知延后投标</w:t>
            </w:r>
          </w:p>
          <w:p>
            <w:pPr>
              <w:spacing w:line="260" w:lineRule="exact"/>
              <w:jc w:val="center"/>
              <w:rPr>
                <w:rFonts w:ascii="宋体" w:hAnsi="宋体" w:eastAsia="宋体" w:cs="宋体"/>
                <w:szCs w:val="21"/>
              </w:rPr>
            </w:pPr>
            <w:r>
              <w:rPr>
                <w:rFonts w:hint="eastAsia" w:ascii="宋体" w:hAnsi="宋体" w:eastAsia="宋体" w:cs="宋体"/>
                <w:szCs w:val="21"/>
              </w:rPr>
              <w:t>截止时间的时间</w:t>
            </w:r>
          </w:p>
        </w:tc>
        <w:tc>
          <w:tcPr>
            <w:tcW w:w="7028" w:type="dxa"/>
            <w:tcBorders>
              <w:top w:val="single" w:color="000000" w:sz="6" w:space="0"/>
              <w:left w:val="single" w:color="000000" w:sz="6" w:space="0"/>
              <w:bottom w:val="single" w:color="000000" w:sz="6" w:space="0"/>
              <w:right w:val="single" w:color="000000" w:sz="12" w:space="0"/>
            </w:tcBorders>
            <w:vAlign w:val="center"/>
          </w:tcPr>
          <w:p>
            <w:pPr>
              <w:spacing w:line="260" w:lineRule="exact"/>
              <w:ind w:left="149" w:leftChars="71"/>
              <w:rPr>
                <w:rFonts w:ascii="宋体" w:hAnsi="宋体" w:eastAsia="宋体" w:cs="宋体"/>
                <w:szCs w:val="21"/>
              </w:rPr>
            </w:pPr>
            <w:r>
              <w:rPr>
                <w:rFonts w:hint="eastAsia" w:ascii="宋体" w:hAnsi="宋体" w:eastAsia="宋体" w:cs="宋体"/>
                <w:szCs w:val="21"/>
              </w:rPr>
              <w:t>原定投标截止时间前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9"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spacing w:line="260" w:lineRule="exact"/>
              <w:jc w:val="center"/>
              <w:rPr>
                <w:rFonts w:ascii="宋体" w:hAnsi="宋体" w:eastAsia="宋体" w:cs="宋体"/>
                <w:szCs w:val="21"/>
              </w:rPr>
            </w:pPr>
            <w:r>
              <w:rPr>
                <w:rFonts w:hint="eastAsia" w:ascii="宋体" w:hAnsi="宋体" w:eastAsia="宋体" w:cs="宋体"/>
                <w:szCs w:val="21"/>
              </w:rPr>
              <w:t>5.1</w:t>
            </w:r>
          </w:p>
        </w:tc>
        <w:tc>
          <w:tcPr>
            <w:tcW w:w="2705" w:type="dxa"/>
            <w:tcBorders>
              <w:top w:val="single" w:color="000000" w:sz="6" w:space="0"/>
              <w:left w:val="single" w:color="000000" w:sz="6" w:space="0"/>
              <w:bottom w:val="single" w:color="000000" w:sz="6" w:space="0"/>
              <w:right w:val="single" w:color="000000" w:sz="6" w:space="0"/>
            </w:tcBorders>
            <w:vAlign w:val="center"/>
          </w:tcPr>
          <w:p>
            <w:pPr>
              <w:spacing w:line="260" w:lineRule="exact"/>
              <w:jc w:val="center"/>
              <w:rPr>
                <w:rFonts w:ascii="宋体" w:hAnsi="宋体" w:eastAsia="宋体" w:cs="宋体"/>
                <w:szCs w:val="21"/>
              </w:rPr>
            </w:pPr>
            <w:r>
              <w:rPr>
                <w:rFonts w:hint="eastAsia" w:ascii="宋体" w:hAnsi="宋体" w:eastAsia="宋体" w:cs="宋体"/>
                <w:szCs w:val="21"/>
              </w:rPr>
              <w:t>开标时间和地点</w:t>
            </w:r>
          </w:p>
        </w:tc>
        <w:tc>
          <w:tcPr>
            <w:tcW w:w="7028" w:type="dxa"/>
            <w:tcBorders>
              <w:top w:val="single" w:color="000000" w:sz="6" w:space="0"/>
              <w:left w:val="single" w:color="000000" w:sz="6" w:space="0"/>
              <w:bottom w:val="single" w:color="000000" w:sz="6" w:space="0"/>
              <w:right w:val="single" w:color="000000" w:sz="12" w:space="0"/>
            </w:tcBorders>
            <w:vAlign w:val="center"/>
          </w:tcPr>
          <w:p>
            <w:pPr>
              <w:spacing w:line="260" w:lineRule="exact"/>
              <w:ind w:left="149" w:leftChars="71"/>
              <w:rPr>
                <w:rFonts w:ascii="宋体" w:hAnsi="宋体" w:eastAsia="宋体" w:cs="宋体"/>
                <w:szCs w:val="21"/>
              </w:rPr>
            </w:pPr>
            <w:r>
              <w:rPr>
                <w:rFonts w:eastAsia="黑体"/>
                <w:b/>
              </w:rPr>
              <w:t>详见本工程招标公告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9"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spacing w:line="260" w:lineRule="exact"/>
              <w:jc w:val="center"/>
              <w:rPr>
                <w:rFonts w:ascii="宋体" w:hAnsi="宋体" w:eastAsia="宋体" w:cs="宋体"/>
                <w:szCs w:val="21"/>
              </w:rPr>
            </w:pPr>
            <w:r>
              <w:rPr>
                <w:rFonts w:hint="eastAsia" w:ascii="宋体" w:hAnsi="宋体" w:eastAsia="宋体" w:cs="宋体"/>
                <w:szCs w:val="21"/>
              </w:rPr>
              <w:t>7.3.1</w:t>
            </w:r>
          </w:p>
        </w:tc>
        <w:tc>
          <w:tcPr>
            <w:tcW w:w="2705" w:type="dxa"/>
            <w:tcBorders>
              <w:top w:val="single" w:color="000000" w:sz="6" w:space="0"/>
              <w:left w:val="single" w:color="000000" w:sz="6" w:space="0"/>
              <w:bottom w:val="single" w:color="000000" w:sz="6" w:space="0"/>
              <w:right w:val="single" w:color="000000" w:sz="6" w:space="0"/>
            </w:tcBorders>
            <w:vAlign w:val="center"/>
          </w:tcPr>
          <w:p>
            <w:pPr>
              <w:spacing w:line="260" w:lineRule="exact"/>
              <w:jc w:val="center"/>
              <w:rPr>
                <w:rFonts w:ascii="宋体" w:hAnsi="宋体" w:eastAsia="宋体" w:cs="宋体"/>
                <w:szCs w:val="21"/>
              </w:rPr>
            </w:pPr>
            <w:r>
              <w:rPr>
                <w:rFonts w:hint="eastAsia" w:ascii="宋体" w:hAnsi="宋体" w:eastAsia="宋体" w:cs="宋体"/>
                <w:szCs w:val="21"/>
              </w:rPr>
              <w:t>履约担保</w:t>
            </w:r>
          </w:p>
        </w:tc>
        <w:tc>
          <w:tcPr>
            <w:tcW w:w="7028" w:type="dxa"/>
            <w:tcBorders>
              <w:top w:val="single" w:color="000000" w:sz="6" w:space="0"/>
              <w:left w:val="single" w:color="000000" w:sz="6" w:space="0"/>
              <w:bottom w:val="single" w:color="000000" w:sz="6" w:space="0"/>
              <w:right w:val="single" w:color="000000" w:sz="12" w:space="0"/>
            </w:tcBorders>
            <w:vAlign w:val="center"/>
          </w:tcPr>
          <w:p>
            <w:pPr>
              <w:spacing w:line="280" w:lineRule="exact"/>
              <w:ind w:left="105" w:leftChars="50" w:right="113" w:firstLine="420" w:firstLineChars="200"/>
              <w:rPr>
                <w:rFonts w:hAnsi="宋体"/>
                <w:color w:val="000000"/>
                <w:szCs w:val="21"/>
                <w:highlight w:val="yellow"/>
              </w:rPr>
            </w:pPr>
            <w:r>
              <w:rPr>
                <w:rFonts w:hint="eastAsia" w:hAnsi="宋体"/>
                <w:szCs w:val="21"/>
              </w:rPr>
              <w:t>履约担保的金额：</w:t>
            </w:r>
            <w:r>
              <w:rPr>
                <w:rFonts w:hint="eastAsia" w:hAnsi="宋体"/>
                <w:b/>
                <w:szCs w:val="21"/>
                <w:u w:val="single"/>
              </w:rPr>
              <w:t>签约合同价的</w:t>
            </w:r>
            <w:r>
              <w:rPr>
                <w:rFonts w:hAnsi="宋体"/>
                <w:b/>
                <w:szCs w:val="21"/>
                <w:u w:val="single"/>
              </w:rPr>
              <w:t>2</w:t>
            </w:r>
            <w:r>
              <w:rPr>
                <w:rFonts w:hint="eastAsia" w:hAnsi="宋体"/>
                <w:b/>
                <w:szCs w:val="21"/>
                <w:u w:val="single"/>
              </w:rPr>
              <w:t>％。</w:t>
            </w:r>
          </w:p>
          <w:p>
            <w:pPr>
              <w:spacing w:line="280" w:lineRule="exact"/>
              <w:ind w:left="105" w:leftChars="50" w:right="113" w:firstLine="420" w:firstLineChars="200"/>
              <w:rPr>
                <w:rFonts w:hAnsi="宋体"/>
                <w:szCs w:val="21"/>
              </w:rPr>
            </w:pPr>
            <w:r>
              <w:rPr>
                <w:rFonts w:hint="eastAsia" w:hAnsi="宋体"/>
                <w:szCs w:val="21"/>
              </w:rPr>
              <w:t>履约担保形式：现金（电汇或银行汇票形式）或银行保函或保险机构保证保险保单或融资担保公司保函。</w:t>
            </w:r>
          </w:p>
          <w:p>
            <w:pPr>
              <w:spacing w:line="280" w:lineRule="exact"/>
              <w:ind w:left="105" w:leftChars="50" w:right="113" w:firstLine="420" w:firstLineChars="200"/>
              <w:rPr>
                <w:rFonts w:hAnsi="宋体"/>
                <w:szCs w:val="21"/>
              </w:rPr>
            </w:pPr>
            <w:r>
              <w:rPr>
                <w:rFonts w:hint="eastAsia" w:hAnsi="宋体"/>
                <w:szCs w:val="21"/>
              </w:rPr>
              <w:t>若采用银行保函，出具保函的银行级别：国有或股份制商业银行县（区、市）级及以上银行。</w:t>
            </w:r>
          </w:p>
          <w:p>
            <w:pPr>
              <w:spacing w:line="280" w:lineRule="exact"/>
              <w:ind w:left="105" w:leftChars="50" w:right="113" w:firstLine="420" w:firstLineChars="200"/>
              <w:rPr>
                <w:rFonts w:hAnsi="宋体"/>
                <w:szCs w:val="21"/>
              </w:rPr>
            </w:pPr>
            <w:r>
              <w:rPr>
                <w:rFonts w:hint="eastAsia" w:hAnsi="宋体"/>
                <w:szCs w:val="21"/>
              </w:rPr>
              <w:t>若采用保险机构保证保险保单，出具保单的保险公司级别：县（区、市）级及以上国有或股份制保险公司。</w:t>
            </w:r>
          </w:p>
          <w:p>
            <w:pPr>
              <w:spacing w:line="260" w:lineRule="exact"/>
              <w:ind w:firstLine="210" w:firstLineChars="100"/>
              <w:rPr>
                <w:rFonts w:ascii="宋体" w:hAnsi="宋体" w:cs="宋体"/>
                <w:szCs w:val="21"/>
              </w:rPr>
            </w:pPr>
            <w:r>
              <w:rPr>
                <w:rFonts w:hint="eastAsia" w:hAnsi="宋体"/>
                <w:szCs w:val="21"/>
              </w:rPr>
              <w:t>若采用融资担保公司保函，出具保函的融资担保公司级别：县（区、市）级及以上国有或股份制融资担保公司。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9" w:hRule="atLeast"/>
          <w:jc w:val="center"/>
        </w:trPr>
        <w:tc>
          <w:tcPr>
            <w:tcW w:w="10580" w:type="dxa"/>
            <w:gridSpan w:val="3"/>
            <w:tcBorders>
              <w:top w:val="single" w:color="000000" w:sz="6" w:space="0"/>
              <w:left w:val="single" w:color="000000" w:sz="12" w:space="0"/>
              <w:bottom w:val="single" w:color="000000" w:sz="6" w:space="0"/>
              <w:right w:val="single" w:color="000000" w:sz="12" w:space="0"/>
            </w:tcBorders>
            <w:vAlign w:val="center"/>
          </w:tcPr>
          <w:p>
            <w:pPr>
              <w:spacing w:line="260" w:lineRule="exact"/>
              <w:jc w:val="center"/>
              <w:rPr>
                <w:rFonts w:ascii="宋体" w:hAnsi="宋体" w:eastAsia="宋体" w:cs="宋体"/>
                <w:szCs w:val="21"/>
              </w:rPr>
            </w:pPr>
            <w:r>
              <w:rPr>
                <w:rFonts w:hint="eastAsia" w:ascii="宋体" w:hAnsi="宋体" w:eastAsia="宋体" w:cs="宋体"/>
                <w:szCs w:val="21"/>
              </w:rPr>
              <w:t>需要补充的其他内容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3"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spacing w:line="260" w:lineRule="exact"/>
              <w:jc w:val="center"/>
              <w:rPr>
                <w:rFonts w:ascii="宋体" w:hAnsi="宋体" w:eastAsia="宋体" w:cs="宋体"/>
                <w:szCs w:val="21"/>
              </w:rPr>
            </w:pPr>
            <w:r>
              <w:rPr>
                <w:rFonts w:hint="eastAsia" w:ascii="宋体" w:hAnsi="宋体" w:eastAsia="宋体" w:cs="宋体"/>
                <w:szCs w:val="21"/>
              </w:rPr>
              <w:t>3.1</w:t>
            </w:r>
          </w:p>
        </w:tc>
        <w:tc>
          <w:tcPr>
            <w:tcW w:w="2705" w:type="dxa"/>
            <w:tcBorders>
              <w:top w:val="single" w:color="000000" w:sz="6" w:space="0"/>
              <w:left w:val="single" w:color="000000" w:sz="6" w:space="0"/>
              <w:bottom w:val="single" w:color="000000" w:sz="6" w:space="0"/>
              <w:right w:val="single" w:color="000000" w:sz="6" w:space="0"/>
            </w:tcBorders>
            <w:vAlign w:val="center"/>
          </w:tcPr>
          <w:p>
            <w:pPr>
              <w:spacing w:line="260" w:lineRule="exact"/>
              <w:jc w:val="center"/>
              <w:rPr>
                <w:rFonts w:ascii="宋体" w:hAnsi="宋体" w:eastAsia="宋体" w:cs="宋体"/>
                <w:szCs w:val="21"/>
              </w:rPr>
            </w:pPr>
            <w:r>
              <w:rPr>
                <w:rFonts w:hint="eastAsia" w:ascii="宋体" w:hAnsi="宋体" w:eastAsia="宋体" w:cs="宋体"/>
                <w:szCs w:val="21"/>
              </w:rPr>
              <w:t>投标文件的组成</w:t>
            </w:r>
          </w:p>
        </w:tc>
        <w:tc>
          <w:tcPr>
            <w:tcW w:w="7028" w:type="dxa"/>
            <w:tcBorders>
              <w:top w:val="single" w:color="000000" w:sz="6" w:space="0"/>
              <w:left w:val="single" w:color="000000" w:sz="6" w:space="0"/>
              <w:bottom w:val="single" w:color="000000" w:sz="6" w:space="0"/>
              <w:right w:val="single" w:color="000000" w:sz="12" w:space="0"/>
            </w:tcBorders>
            <w:vAlign w:val="center"/>
          </w:tcPr>
          <w:p>
            <w:pPr>
              <w:pStyle w:val="143"/>
              <w:spacing w:line="251" w:lineRule="exact"/>
              <w:ind w:left="146" w:leftChars="65" w:hanging="10"/>
              <w:rPr>
                <w:rFonts w:ascii="宋体" w:hAnsi="宋体" w:eastAsia="宋体" w:cs="宋体"/>
                <w:b/>
                <w:sz w:val="21"/>
              </w:rPr>
            </w:pPr>
            <w:r>
              <w:rPr>
                <w:rFonts w:hint="eastAsia" w:ascii="宋体" w:hAnsi="宋体" w:eastAsia="宋体" w:cs="宋体"/>
                <w:b/>
                <w:sz w:val="21"/>
              </w:rPr>
              <w:t>投标文件组成内容包括：</w:t>
            </w:r>
          </w:p>
          <w:p>
            <w:pPr>
              <w:pStyle w:val="143"/>
              <w:spacing w:line="251" w:lineRule="exact"/>
              <w:ind w:left="146" w:leftChars="65" w:hanging="10"/>
              <w:rPr>
                <w:rFonts w:ascii="宋体" w:hAnsi="宋体" w:eastAsia="宋体" w:cs="宋体"/>
                <w:sz w:val="21"/>
              </w:rPr>
            </w:pPr>
            <w:r>
              <w:rPr>
                <w:rFonts w:hint="eastAsia" w:ascii="宋体" w:hAnsi="宋体" w:eastAsia="宋体" w:cs="宋体"/>
                <w:sz w:val="21"/>
              </w:rPr>
              <w:t>第 3.1.1 项细化为：</w:t>
            </w:r>
          </w:p>
          <w:p>
            <w:pPr>
              <w:pStyle w:val="143"/>
              <w:spacing w:before="16" w:line="249" w:lineRule="auto"/>
              <w:ind w:left="146" w:leftChars="65" w:right="482" w:hanging="10"/>
              <w:rPr>
                <w:rFonts w:ascii="宋体" w:hAnsi="宋体" w:eastAsia="宋体" w:cs="宋体"/>
                <w:sz w:val="21"/>
              </w:rPr>
            </w:pPr>
            <w:r>
              <w:rPr>
                <w:rFonts w:hint="eastAsia" w:ascii="宋体" w:hAnsi="宋体" w:eastAsia="宋体" w:cs="宋体"/>
                <w:sz w:val="21"/>
              </w:rPr>
              <w:t xml:space="preserve">3.1.1 投标文件应包括下列内容： </w:t>
            </w:r>
          </w:p>
          <w:p>
            <w:pPr>
              <w:pStyle w:val="143"/>
              <w:tabs>
                <w:tab w:val="left" w:pos="589"/>
              </w:tabs>
              <w:spacing w:before="2"/>
              <w:ind w:left="136" w:leftChars="65"/>
              <w:rPr>
                <w:rFonts w:ascii="宋体" w:hAnsi="宋体" w:eastAsia="宋体" w:cs="宋体"/>
                <w:sz w:val="21"/>
              </w:rPr>
            </w:pPr>
            <w:r>
              <w:rPr>
                <w:rFonts w:hint="eastAsia" w:ascii="宋体" w:hAnsi="宋体" w:eastAsia="宋体" w:cs="宋体"/>
                <w:spacing w:val="-3"/>
                <w:sz w:val="21"/>
              </w:rPr>
              <w:t>(1)投标函及投标函附录；</w:t>
            </w:r>
          </w:p>
          <w:p>
            <w:pPr>
              <w:pStyle w:val="143"/>
              <w:tabs>
                <w:tab w:val="left" w:pos="589"/>
              </w:tabs>
              <w:spacing w:before="22" w:line="247" w:lineRule="auto"/>
              <w:ind w:left="136" w:leftChars="65" w:right="262"/>
              <w:rPr>
                <w:rFonts w:ascii="宋体" w:hAnsi="宋体" w:eastAsia="宋体" w:cs="宋体"/>
                <w:sz w:val="21"/>
              </w:rPr>
            </w:pPr>
            <w:r>
              <w:rPr>
                <w:rFonts w:ascii="宋体" w:hAnsi="宋体" w:eastAsia="宋体" w:cs="宋体"/>
                <w:spacing w:val="-4"/>
                <w:sz w:val="21"/>
              </w:rPr>
              <w:t>(2)</w:t>
            </w:r>
            <w:r>
              <w:rPr>
                <w:rFonts w:hint="eastAsia" w:ascii="宋体" w:hAnsi="宋体" w:eastAsia="宋体" w:cs="宋体"/>
                <w:spacing w:val="-4"/>
                <w:sz w:val="21"/>
              </w:rPr>
              <w:t xml:space="preserve">法定代表人身份证明或附有法定代表人身份证明的授权委托； </w:t>
            </w:r>
          </w:p>
          <w:p>
            <w:pPr>
              <w:pStyle w:val="143"/>
              <w:tabs>
                <w:tab w:val="left" w:pos="589"/>
              </w:tabs>
              <w:spacing w:before="4" w:line="247" w:lineRule="auto"/>
              <w:ind w:left="136" w:leftChars="65" w:right="682"/>
              <w:rPr>
                <w:rFonts w:ascii="宋体" w:hAnsi="宋体" w:eastAsia="宋体" w:cs="宋体"/>
                <w:sz w:val="21"/>
              </w:rPr>
            </w:pPr>
            <w:r>
              <w:rPr>
                <w:rFonts w:ascii="宋体" w:hAnsi="宋体" w:eastAsia="宋体" w:cs="宋体"/>
                <w:spacing w:val="-3"/>
                <w:sz w:val="21"/>
              </w:rPr>
              <w:t>(3)</w:t>
            </w:r>
            <w:r>
              <w:rPr>
                <w:rFonts w:hint="eastAsia" w:ascii="宋体" w:hAnsi="宋体" w:eastAsia="宋体" w:cs="宋体"/>
                <w:spacing w:val="-3"/>
                <w:sz w:val="21"/>
              </w:rPr>
              <w:t>联合体协议书（</w:t>
            </w:r>
            <w:r>
              <w:rPr>
                <w:rFonts w:hint="eastAsia" w:ascii="宋体" w:hAnsi="宋体" w:eastAsia="宋体" w:cs="宋体"/>
                <w:spacing w:val="-2"/>
                <w:sz w:val="21"/>
              </w:rPr>
              <w:t>如有</w:t>
            </w:r>
            <w:r>
              <w:rPr>
                <w:rFonts w:hint="eastAsia" w:ascii="宋体" w:hAnsi="宋体" w:eastAsia="宋体" w:cs="宋体"/>
                <w:sz w:val="21"/>
              </w:rPr>
              <w:t>）；（</w:t>
            </w:r>
            <w:r>
              <w:rPr>
                <w:rFonts w:hint="eastAsia" w:ascii="宋体" w:hAnsi="宋体" w:eastAsia="宋体" w:cs="宋体"/>
                <w:spacing w:val="-3"/>
                <w:sz w:val="21"/>
              </w:rPr>
              <w:t>本项目不适用</w:t>
            </w:r>
            <w:r>
              <w:rPr>
                <w:rFonts w:hint="eastAsia" w:ascii="宋体" w:hAnsi="宋体" w:eastAsia="宋体" w:cs="宋体"/>
                <w:sz w:val="21"/>
              </w:rPr>
              <w:t xml:space="preserve">） </w:t>
            </w:r>
          </w:p>
          <w:p>
            <w:pPr>
              <w:pStyle w:val="143"/>
              <w:tabs>
                <w:tab w:val="left" w:pos="589"/>
              </w:tabs>
              <w:spacing w:before="5"/>
              <w:ind w:left="136" w:leftChars="65"/>
              <w:rPr>
                <w:rFonts w:ascii="宋体" w:hAnsi="宋体" w:eastAsia="宋体" w:cs="宋体"/>
                <w:sz w:val="21"/>
              </w:rPr>
            </w:pPr>
            <w:r>
              <w:rPr>
                <w:rFonts w:ascii="宋体" w:hAnsi="宋体" w:eastAsia="宋体" w:cs="宋体"/>
                <w:spacing w:val="-3"/>
                <w:sz w:val="21"/>
              </w:rPr>
              <w:t>(4)</w:t>
            </w:r>
            <w:r>
              <w:rPr>
                <w:rFonts w:hint="eastAsia" w:ascii="宋体" w:hAnsi="宋体" w:eastAsia="宋体" w:cs="宋体"/>
                <w:spacing w:val="-3"/>
                <w:sz w:val="21"/>
              </w:rPr>
              <w:t>项目管理机构；</w:t>
            </w:r>
          </w:p>
          <w:p>
            <w:pPr>
              <w:pStyle w:val="143"/>
              <w:tabs>
                <w:tab w:val="left" w:pos="553"/>
              </w:tabs>
              <w:spacing w:before="12" w:line="247" w:lineRule="auto"/>
              <w:ind w:left="136" w:leftChars="65" w:right="1942"/>
              <w:rPr>
                <w:rFonts w:ascii="宋体" w:hAnsi="宋体" w:eastAsia="宋体" w:cs="宋体"/>
                <w:sz w:val="21"/>
              </w:rPr>
            </w:pPr>
            <w:r>
              <w:rPr>
                <w:rFonts w:hint="eastAsia" w:ascii="宋体" w:hAnsi="宋体" w:eastAsia="宋体" w:cs="宋体"/>
                <w:spacing w:val="-3"/>
                <w:sz w:val="21"/>
              </w:rPr>
              <w:t>(5)资格审查资料；</w:t>
            </w:r>
          </w:p>
          <w:p>
            <w:pPr>
              <w:pStyle w:val="143"/>
              <w:tabs>
                <w:tab w:val="left" w:pos="589"/>
              </w:tabs>
              <w:spacing w:before="5"/>
              <w:ind w:left="136" w:leftChars="65"/>
              <w:rPr>
                <w:rFonts w:ascii="宋体" w:hAnsi="宋体" w:eastAsia="宋体" w:cs="宋体"/>
                <w:sz w:val="21"/>
              </w:rPr>
            </w:pPr>
            <w:r>
              <w:rPr>
                <w:rFonts w:ascii="宋体" w:hAnsi="宋体" w:eastAsia="宋体" w:cs="宋体"/>
                <w:spacing w:val="-3"/>
                <w:sz w:val="21"/>
              </w:rPr>
              <w:t>(6)</w:t>
            </w:r>
            <w:r>
              <w:rPr>
                <w:rFonts w:hint="eastAsia" w:ascii="宋体" w:hAnsi="宋体" w:eastAsia="宋体" w:cs="宋体"/>
                <w:spacing w:val="-3"/>
                <w:sz w:val="21"/>
              </w:rPr>
              <w:t>承诺函；</w:t>
            </w:r>
          </w:p>
          <w:p>
            <w:pPr>
              <w:pStyle w:val="143"/>
              <w:tabs>
                <w:tab w:val="left" w:pos="589"/>
              </w:tabs>
              <w:spacing w:before="12"/>
              <w:ind w:left="136" w:leftChars="65"/>
              <w:rPr>
                <w:rFonts w:ascii="宋体" w:hAnsi="宋体" w:eastAsia="宋体" w:cs="宋体"/>
                <w:sz w:val="21"/>
              </w:rPr>
            </w:pPr>
            <w:r>
              <w:rPr>
                <w:rFonts w:hint="eastAsia" w:ascii="宋体" w:hAnsi="宋体" w:eastAsia="宋体" w:cs="宋体"/>
                <w:spacing w:val="-3"/>
                <w:sz w:val="21"/>
              </w:rPr>
              <w:t>(7)其他材料。</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20"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spacing w:line="260" w:lineRule="exact"/>
              <w:jc w:val="center"/>
              <w:rPr>
                <w:rFonts w:ascii="宋体" w:hAnsi="宋体" w:eastAsia="宋体" w:cs="宋体"/>
                <w:szCs w:val="21"/>
              </w:rPr>
            </w:pPr>
            <w:r>
              <w:rPr>
                <w:rFonts w:hint="eastAsia" w:ascii="宋体" w:hAnsi="宋体" w:eastAsia="宋体" w:cs="宋体"/>
                <w:szCs w:val="21"/>
              </w:rPr>
              <w:t>3.2</w:t>
            </w:r>
          </w:p>
        </w:tc>
        <w:tc>
          <w:tcPr>
            <w:tcW w:w="2705" w:type="dxa"/>
            <w:tcBorders>
              <w:top w:val="single" w:color="000000" w:sz="6" w:space="0"/>
              <w:left w:val="single" w:color="000000" w:sz="6" w:space="0"/>
              <w:bottom w:val="single" w:color="000000" w:sz="6" w:space="0"/>
              <w:right w:val="single" w:color="000000" w:sz="6" w:space="0"/>
            </w:tcBorders>
            <w:vAlign w:val="center"/>
          </w:tcPr>
          <w:p>
            <w:pPr>
              <w:spacing w:line="260" w:lineRule="exact"/>
              <w:jc w:val="center"/>
              <w:rPr>
                <w:rFonts w:ascii="宋体" w:hAnsi="宋体" w:eastAsia="宋体" w:cs="宋体"/>
                <w:szCs w:val="21"/>
              </w:rPr>
            </w:pPr>
            <w:r>
              <w:rPr>
                <w:rFonts w:hint="eastAsia" w:ascii="宋体" w:hAnsi="宋体" w:eastAsia="宋体" w:cs="宋体"/>
                <w:szCs w:val="21"/>
              </w:rPr>
              <w:t>投标报价</w:t>
            </w:r>
          </w:p>
        </w:tc>
        <w:tc>
          <w:tcPr>
            <w:tcW w:w="7028" w:type="dxa"/>
            <w:tcBorders>
              <w:top w:val="single" w:color="000000" w:sz="6" w:space="0"/>
              <w:left w:val="single" w:color="000000" w:sz="6" w:space="0"/>
              <w:bottom w:val="single" w:color="000000" w:sz="6" w:space="0"/>
              <w:right w:val="single" w:color="000000" w:sz="12" w:space="0"/>
            </w:tcBorders>
            <w:vAlign w:val="center"/>
          </w:tcPr>
          <w:p>
            <w:pPr>
              <w:spacing w:line="340" w:lineRule="exact"/>
              <w:ind w:left="147" w:leftChars="70"/>
              <w:rPr>
                <w:rFonts w:ascii="宋体" w:hAnsi="宋体" w:eastAsia="宋体" w:cs="宋体"/>
                <w:szCs w:val="21"/>
              </w:rPr>
            </w:pPr>
            <w:r>
              <w:rPr>
                <w:rFonts w:hint="eastAsia" w:ascii="宋体" w:hAnsi="宋体" w:eastAsia="宋体" w:cs="宋体"/>
                <w:szCs w:val="21"/>
              </w:rPr>
              <w:t xml:space="preserve">补充第3.2.3 </w:t>
            </w:r>
          </w:p>
          <w:p>
            <w:pPr>
              <w:spacing w:line="340" w:lineRule="exact"/>
              <w:ind w:left="147" w:leftChars="70"/>
              <w:rPr>
                <w:rFonts w:ascii="宋体" w:hAnsi="宋体" w:eastAsia="宋体" w:cs="宋体"/>
                <w:b/>
                <w:bCs/>
                <w:szCs w:val="21"/>
              </w:rPr>
            </w:pPr>
            <w:r>
              <w:rPr>
                <w:rFonts w:hint="eastAsia" w:ascii="宋体" w:hAnsi="宋体" w:eastAsia="宋体" w:cs="宋体"/>
                <w:b/>
                <w:bCs/>
                <w:szCs w:val="21"/>
              </w:rPr>
              <w:t>工程量清单预算审核价为</w:t>
            </w:r>
            <w:r>
              <w:rPr>
                <w:rFonts w:ascii="Times New Roman" w:hAnsi="宋体" w:cs="宋体"/>
                <w:b/>
                <w:kern w:val="0"/>
                <w:szCs w:val="22"/>
                <w:u w:val="single"/>
                <w:lang w:bidi="zh-CN"/>
              </w:rPr>
              <w:t>575318</w:t>
            </w:r>
            <w:r>
              <w:rPr>
                <w:rFonts w:hint="eastAsia" w:ascii="宋体" w:hAnsi="宋体" w:eastAsia="宋体" w:cs="宋体"/>
                <w:b/>
                <w:bCs/>
                <w:szCs w:val="21"/>
                <w:u w:val="single"/>
              </w:rPr>
              <w:t>元</w:t>
            </w:r>
            <w:r>
              <w:rPr>
                <w:rFonts w:hint="eastAsia" w:ascii="宋体" w:hAnsi="宋体" w:eastAsia="宋体" w:cs="宋体"/>
                <w:b/>
                <w:bCs/>
                <w:szCs w:val="21"/>
              </w:rPr>
              <w:t>，投标报价有效范围为10%～15%（含10%和15%），投标人报价超出此区间范围作否决投标处理。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879"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spacing w:line="260" w:lineRule="exact"/>
              <w:jc w:val="center"/>
              <w:rPr>
                <w:rFonts w:ascii="宋体" w:hAnsi="宋体" w:eastAsia="宋体" w:cs="宋体"/>
                <w:szCs w:val="21"/>
              </w:rPr>
            </w:pPr>
            <w:r>
              <w:rPr>
                <w:rFonts w:hint="eastAsia" w:ascii="宋体" w:hAnsi="宋体" w:eastAsia="宋体" w:cs="宋体"/>
                <w:szCs w:val="21"/>
              </w:rPr>
              <w:t>3.4</w:t>
            </w:r>
          </w:p>
        </w:tc>
        <w:tc>
          <w:tcPr>
            <w:tcW w:w="2705" w:type="dxa"/>
            <w:tcBorders>
              <w:top w:val="single" w:color="000000" w:sz="6" w:space="0"/>
              <w:left w:val="single" w:color="000000" w:sz="6" w:space="0"/>
              <w:bottom w:val="single" w:color="000000" w:sz="6" w:space="0"/>
              <w:right w:val="single" w:color="000000" w:sz="6" w:space="0"/>
            </w:tcBorders>
            <w:vAlign w:val="center"/>
          </w:tcPr>
          <w:p>
            <w:pPr>
              <w:spacing w:line="260" w:lineRule="exact"/>
              <w:jc w:val="center"/>
              <w:rPr>
                <w:rFonts w:ascii="宋体" w:hAnsi="宋体" w:eastAsia="宋体" w:cs="宋体"/>
                <w:szCs w:val="21"/>
              </w:rPr>
            </w:pPr>
            <w:r>
              <w:rPr>
                <w:rFonts w:hint="eastAsia" w:ascii="宋体" w:hAnsi="宋体" w:eastAsia="宋体" w:cs="宋体"/>
                <w:szCs w:val="21"/>
              </w:rPr>
              <w:t>投标保证金</w:t>
            </w:r>
          </w:p>
        </w:tc>
        <w:tc>
          <w:tcPr>
            <w:tcW w:w="7028" w:type="dxa"/>
            <w:tcBorders>
              <w:top w:val="single" w:color="000000" w:sz="6" w:space="0"/>
              <w:left w:val="single" w:color="000000" w:sz="6" w:space="0"/>
              <w:bottom w:val="single" w:color="000000" w:sz="6" w:space="0"/>
              <w:right w:val="single" w:color="000000" w:sz="12" w:space="0"/>
            </w:tcBorders>
            <w:vAlign w:val="center"/>
          </w:tcPr>
          <w:p>
            <w:pPr>
              <w:spacing w:line="260" w:lineRule="exact"/>
              <w:ind w:left="94" w:leftChars="45"/>
              <w:rPr>
                <w:rFonts w:ascii="宋体" w:hAnsi="宋体" w:eastAsia="宋体" w:cs="宋体"/>
                <w:szCs w:val="21"/>
              </w:rPr>
            </w:pPr>
            <w:r>
              <w:rPr>
                <w:rFonts w:hint="eastAsia" w:ascii="宋体" w:hAnsi="宋体" w:eastAsia="宋体" w:cs="宋体"/>
                <w:szCs w:val="21"/>
              </w:rPr>
              <w:t>第 3.4.3 项细化为：</w:t>
            </w:r>
          </w:p>
          <w:p>
            <w:pPr>
              <w:spacing w:line="260" w:lineRule="exact"/>
              <w:ind w:left="94" w:leftChars="45"/>
              <w:rPr>
                <w:rFonts w:ascii="宋体" w:hAnsi="宋体" w:eastAsia="宋体" w:cs="宋体"/>
                <w:szCs w:val="21"/>
              </w:rPr>
            </w:pPr>
            <w:r>
              <w:rPr>
                <w:rFonts w:hint="eastAsia" w:ascii="宋体" w:hAnsi="宋体" w:eastAsia="宋体" w:cs="宋体"/>
                <w:szCs w:val="21"/>
              </w:rPr>
              <w:t>3.4.3</w:t>
            </w:r>
            <w:r>
              <w:rPr>
                <w:rFonts w:hint="eastAsia"/>
              </w:rPr>
              <w:t>未中标的投标人（含无效标的）在开标会议结束后当场退还</w:t>
            </w:r>
            <w:r>
              <w:rPr>
                <w:rFonts w:hint="eastAsia" w:ascii="宋体" w:hAnsi="宋体" w:eastAsia="宋体" w:cs="宋体"/>
                <w:szCs w:val="21"/>
              </w:rPr>
              <w:t>。</w:t>
            </w:r>
          </w:p>
          <w:p>
            <w:pPr>
              <w:spacing w:line="260" w:lineRule="exact"/>
              <w:ind w:left="94" w:leftChars="45"/>
              <w:rPr>
                <w:rFonts w:ascii="宋体" w:hAnsi="宋体" w:eastAsia="宋体" w:cs="宋体"/>
                <w:szCs w:val="21"/>
              </w:rPr>
            </w:pPr>
            <w:r>
              <w:rPr>
                <w:rFonts w:hint="eastAsia" w:ascii="宋体" w:hAnsi="宋体" w:eastAsia="宋体" w:cs="宋体"/>
                <w:szCs w:val="21"/>
              </w:rPr>
              <w:t>第 3.4.4 项细化为：</w:t>
            </w:r>
          </w:p>
          <w:p>
            <w:pPr>
              <w:spacing w:line="260" w:lineRule="exact"/>
              <w:ind w:left="94" w:leftChars="45"/>
              <w:rPr>
                <w:rFonts w:ascii="宋体" w:hAnsi="宋体" w:eastAsia="宋体" w:cs="宋体"/>
                <w:szCs w:val="21"/>
              </w:rPr>
            </w:pPr>
            <w:r>
              <w:rPr>
                <w:rFonts w:hint="eastAsia" w:ascii="宋体" w:hAnsi="宋体" w:eastAsia="宋体" w:cs="宋体"/>
                <w:szCs w:val="21"/>
              </w:rPr>
              <w:t>3.4.4 有下列情形之一的，投标保证金将不予退还：</w:t>
            </w:r>
          </w:p>
          <w:p>
            <w:pPr>
              <w:spacing w:line="260" w:lineRule="exact"/>
              <w:ind w:left="94" w:leftChars="45"/>
              <w:rPr>
                <w:rFonts w:ascii="宋体" w:hAnsi="宋体" w:eastAsia="宋体" w:cs="宋体"/>
                <w:szCs w:val="21"/>
              </w:rPr>
            </w:pPr>
            <w:r>
              <w:rPr>
                <w:rFonts w:hint="eastAsia" w:ascii="宋体" w:hAnsi="宋体" w:eastAsia="宋体" w:cs="宋体"/>
                <w:szCs w:val="21"/>
              </w:rPr>
              <w:t>(1)投标人在规定的投标有效期内撤销或修改其投标文件；</w:t>
            </w:r>
          </w:p>
          <w:p>
            <w:pPr>
              <w:spacing w:line="260" w:lineRule="exact"/>
              <w:ind w:left="94" w:leftChars="45"/>
              <w:rPr>
                <w:rFonts w:ascii="宋体" w:hAnsi="宋体" w:eastAsia="宋体" w:cs="宋体"/>
                <w:szCs w:val="21"/>
              </w:rPr>
            </w:pPr>
            <w:r>
              <w:rPr>
                <w:rFonts w:hint="eastAsia" w:ascii="宋体" w:hAnsi="宋体" w:eastAsia="宋体" w:cs="宋体"/>
                <w:szCs w:val="21"/>
              </w:rPr>
              <w:t>(2)中标人在收到中标通知书后，无正当理由拒签合同协议书、廉政合同、安全生产合同、工程质量责任合同、工程资金监管协议或未按招标文件规定提交履约担保；</w:t>
            </w:r>
          </w:p>
          <w:p>
            <w:pPr>
              <w:spacing w:line="260" w:lineRule="exact"/>
              <w:ind w:left="94" w:leftChars="45"/>
              <w:rPr>
                <w:rFonts w:ascii="宋体" w:hAnsi="宋体" w:eastAsia="宋体" w:cs="宋体"/>
                <w:szCs w:val="21"/>
              </w:rPr>
            </w:pPr>
            <w:r>
              <w:rPr>
                <w:rFonts w:hint="eastAsia" w:ascii="宋体" w:hAnsi="宋体" w:eastAsia="宋体" w:cs="宋体"/>
                <w:szCs w:val="21"/>
              </w:rPr>
              <w:t>(3)投标人不接受依据评标办法的规定对其投标文件中细微偏差进行澄清和补正；</w:t>
            </w:r>
          </w:p>
          <w:p>
            <w:pPr>
              <w:spacing w:line="260" w:lineRule="exact"/>
              <w:ind w:left="94" w:leftChars="45"/>
              <w:rPr>
                <w:rFonts w:ascii="宋体" w:hAnsi="宋体" w:eastAsia="宋体" w:cs="宋体"/>
                <w:szCs w:val="21"/>
              </w:rPr>
            </w:pPr>
            <w:r>
              <w:rPr>
                <w:rFonts w:hint="eastAsia" w:ascii="宋体" w:hAnsi="宋体" w:eastAsia="宋体" w:cs="宋体"/>
                <w:szCs w:val="21"/>
              </w:rPr>
              <w:t>(4)投标人提交了虚假资料。</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356"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spacing w:line="260" w:lineRule="exact"/>
              <w:jc w:val="center"/>
              <w:rPr>
                <w:rFonts w:ascii="宋体" w:hAnsi="宋体" w:eastAsia="宋体" w:cs="宋体"/>
                <w:szCs w:val="21"/>
              </w:rPr>
            </w:pPr>
            <w:r>
              <w:rPr>
                <w:rFonts w:hint="eastAsia" w:ascii="宋体" w:hAnsi="宋体" w:eastAsia="宋体" w:cs="宋体"/>
                <w:szCs w:val="21"/>
              </w:rPr>
              <w:t>5.2</w:t>
            </w:r>
          </w:p>
        </w:tc>
        <w:tc>
          <w:tcPr>
            <w:tcW w:w="2705" w:type="dxa"/>
            <w:tcBorders>
              <w:top w:val="single" w:color="000000" w:sz="6" w:space="0"/>
              <w:left w:val="single" w:color="000000" w:sz="6" w:space="0"/>
              <w:bottom w:val="single" w:color="000000" w:sz="6" w:space="0"/>
              <w:right w:val="single" w:color="000000" w:sz="6" w:space="0"/>
            </w:tcBorders>
            <w:vAlign w:val="center"/>
          </w:tcPr>
          <w:p>
            <w:pPr>
              <w:spacing w:line="260" w:lineRule="exact"/>
              <w:jc w:val="center"/>
              <w:rPr>
                <w:rFonts w:ascii="宋体" w:hAnsi="宋体" w:eastAsia="宋体" w:cs="宋体"/>
                <w:szCs w:val="21"/>
              </w:rPr>
            </w:pPr>
            <w:r>
              <w:rPr>
                <w:rFonts w:hint="eastAsia" w:ascii="宋体" w:hAnsi="宋体" w:eastAsia="宋体" w:cs="宋体"/>
                <w:szCs w:val="21"/>
              </w:rPr>
              <w:t>开标程序</w:t>
            </w:r>
          </w:p>
        </w:tc>
        <w:tc>
          <w:tcPr>
            <w:tcW w:w="7028" w:type="dxa"/>
            <w:tcBorders>
              <w:top w:val="single" w:color="000000" w:sz="6" w:space="0"/>
              <w:left w:val="single" w:color="000000" w:sz="6" w:space="0"/>
              <w:bottom w:val="single" w:color="000000" w:sz="6" w:space="0"/>
              <w:right w:val="single" w:color="000000" w:sz="12" w:space="0"/>
            </w:tcBorders>
            <w:vAlign w:val="center"/>
          </w:tcPr>
          <w:p>
            <w:pPr>
              <w:spacing w:line="240" w:lineRule="exact"/>
              <w:ind w:left="149" w:leftChars="71"/>
              <w:rPr>
                <w:szCs w:val="21"/>
              </w:rPr>
            </w:pPr>
            <w:r>
              <w:rPr>
                <w:b/>
                <w:bCs/>
                <w:szCs w:val="21"/>
              </w:rPr>
              <w:t>（1）密封情况和人员到场情况检查：</w:t>
            </w:r>
            <w:r>
              <w:rPr>
                <w:szCs w:val="21"/>
              </w:rPr>
              <w:t>由投标人或者其推选的代表检查</w:t>
            </w:r>
            <w:r>
              <w:rPr>
                <w:rFonts w:hint="eastAsia"/>
                <w:szCs w:val="21"/>
              </w:rPr>
              <w:t>密封</w:t>
            </w:r>
            <w:r>
              <w:rPr>
                <w:szCs w:val="21"/>
              </w:rPr>
              <w:t>并签字确认；</w:t>
            </w:r>
          </w:p>
          <w:p>
            <w:pPr>
              <w:spacing w:line="240" w:lineRule="exact"/>
              <w:ind w:left="149" w:leftChars="71"/>
              <w:rPr>
                <w:szCs w:val="21"/>
              </w:rPr>
            </w:pPr>
            <w:r>
              <w:rPr>
                <w:b/>
                <w:bCs/>
                <w:szCs w:val="21"/>
              </w:rPr>
              <w:t>（2）</w:t>
            </w:r>
            <w:r>
              <w:rPr>
                <w:b/>
                <w:szCs w:val="21"/>
              </w:rPr>
              <w:t>开标顺序</w:t>
            </w:r>
            <w:r>
              <w:rPr>
                <w:szCs w:val="21"/>
              </w:rPr>
              <w:t>：</w:t>
            </w:r>
            <w:r>
              <w:rPr>
                <w:rFonts w:hint="eastAsia"/>
                <w:szCs w:val="21"/>
              </w:rPr>
              <w:t>直接开投标文件，公布投标报价等主要内容，再抽取评标标底下浮率，最后资格审查推荐中标候选人</w:t>
            </w:r>
            <w:r>
              <w:rPr>
                <w:szCs w:val="21"/>
              </w:rPr>
              <w:t>。</w:t>
            </w:r>
          </w:p>
          <w:p>
            <w:pPr>
              <w:pStyle w:val="143"/>
              <w:spacing w:before="18" w:line="201" w:lineRule="auto"/>
              <w:ind w:left="149" w:leftChars="71" w:right="150"/>
              <w:rPr>
                <w:rFonts w:ascii="宋体" w:hAnsi="宋体" w:eastAsia="宋体" w:cs="宋体"/>
                <w:szCs w:val="21"/>
              </w:rPr>
            </w:pPr>
            <w:r>
              <w:rPr>
                <w:sz w:val="21"/>
                <w:szCs w:val="21"/>
              </w:rPr>
              <w:t>投标人对开标</w:t>
            </w:r>
            <w:r>
              <w:rPr>
                <w:rFonts w:hint="eastAsia"/>
                <w:sz w:val="21"/>
                <w:szCs w:val="21"/>
              </w:rPr>
              <w:t>过程</w:t>
            </w:r>
            <w:r>
              <w:rPr>
                <w:sz w:val="21"/>
                <w:szCs w:val="21"/>
              </w:rPr>
              <w:t>有异议的，应该在开标现场提出、招标人（招标代理机构）应当当场作出答复，并制作记录。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7"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spacing w:line="260" w:lineRule="exact"/>
              <w:jc w:val="center"/>
              <w:rPr>
                <w:rFonts w:ascii="宋体" w:hAnsi="宋体" w:eastAsia="宋体" w:cs="宋体"/>
                <w:szCs w:val="21"/>
              </w:rPr>
            </w:pPr>
            <w:r>
              <w:rPr>
                <w:rFonts w:hint="eastAsia" w:ascii="宋体" w:hAnsi="宋体" w:eastAsia="宋体" w:cs="宋体"/>
                <w:szCs w:val="21"/>
              </w:rPr>
              <w:t>6.3</w:t>
            </w:r>
          </w:p>
        </w:tc>
        <w:tc>
          <w:tcPr>
            <w:tcW w:w="2705"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eastAsia="宋体" w:cs="宋体"/>
                <w:szCs w:val="21"/>
              </w:rPr>
            </w:pPr>
            <w:r>
              <w:rPr>
                <w:szCs w:val="21"/>
              </w:rPr>
              <w:t>中标候选人名数</w:t>
            </w:r>
          </w:p>
        </w:tc>
        <w:tc>
          <w:tcPr>
            <w:tcW w:w="7028" w:type="dxa"/>
            <w:tcBorders>
              <w:top w:val="single" w:color="000000" w:sz="6" w:space="0"/>
              <w:left w:val="single" w:color="000000" w:sz="6" w:space="0"/>
              <w:bottom w:val="single" w:color="000000" w:sz="6" w:space="0"/>
              <w:right w:val="single" w:color="000000" w:sz="12" w:space="0"/>
            </w:tcBorders>
            <w:vAlign w:val="center"/>
          </w:tcPr>
          <w:p>
            <w:pPr>
              <w:ind w:firstLine="210" w:firstLineChars="100"/>
              <w:rPr>
                <w:rFonts w:ascii="宋体" w:hAnsi="宋体" w:eastAsia="宋体" w:cs="宋体"/>
                <w:szCs w:val="21"/>
              </w:rPr>
            </w:pPr>
            <w:r>
              <w:t>推荐一名中标候选人。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78"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spacing w:line="260" w:lineRule="exact"/>
              <w:jc w:val="center"/>
              <w:rPr>
                <w:rFonts w:ascii="宋体" w:hAnsi="宋体" w:eastAsia="宋体" w:cs="宋体"/>
                <w:szCs w:val="21"/>
              </w:rPr>
            </w:pPr>
            <w:r>
              <w:rPr>
                <w:rFonts w:hint="eastAsia" w:ascii="宋体" w:hAnsi="宋体" w:eastAsia="宋体" w:cs="宋体"/>
                <w:szCs w:val="21"/>
              </w:rPr>
              <w:t>7.2</w:t>
            </w:r>
          </w:p>
        </w:tc>
        <w:tc>
          <w:tcPr>
            <w:tcW w:w="2705" w:type="dxa"/>
            <w:tcBorders>
              <w:top w:val="single" w:color="000000" w:sz="6" w:space="0"/>
              <w:left w:val="single" w:color="000000" w:sz="6" w:space="0"/>
              <w:bottom w:val="single" w:color="000000" w:sz="6" w:space="0"/>
              <w:right w:val="single" w:color="000000" w:sz="6" w:space="0"/>
            </w:tcBorders>
            <w:vAlign w:val="center"/>
          </w:tcPr>
          <w:p>
            <w:pPr>
              <w:spacing w:line="260" w:lineRule="exact"/>
              <w:jc w:val="center"/>
              <w:rPr>
                <w:rFonts w:ascii="宋体" w:hAnsi="宋体" w:eastAsia="宋体" w:cs="宋体"/>
                <w:szCs w:val="21"/>
              </w:rPr>
            </w:pPr>
            <w:r>
              <w:rPr>
                <w:rFonts w:hint="eastAsia" w:ascii="宋体" w:hAnsi="宋体" w:eastAsia="宋体" w:cs="宋体"/>
                <w:szCs w:val="21"/>
              </w:rPr>
              <w:t>中标通知</w:t>
            </w:r>
          </w:p>
        </w:tc>
        <w:tc>
          <w:tcPr>
            <w:tcW w:w="7028" w:type="dxa"/>
            <w:tcBorders>
              <w:top w:val="single" w:color="000000" w:sz="6" w:space="0"/>
              <w:left w:val="single" w:color="000000" w:sz="6" w:space="0"/>
              <w:bottom w:val="single" w:color="000000" w:sz="6" w:space="0"/>
              <w:right w:val="single" w:color="000000" w:sz="12" w:space="0"/>
            </w:tcBorders>
            <w:vAlign w:val="center"/>
          </w:tcPr>
          <w:p>
            <w:pPr>
              <w:spacing w:line="260" w:lineRule="exact"/>
              <w:ind w:left="94" w:leftChars="45"/>
              <w:rPr>
                <w:rFonts w:ascii="宋体" w:hAnsi="宋体" w:eastAsia="宋体" w:cs="宋体"/>
                <w:szCs w:val="21"/>
              </w:rPr>
            </w:pPr>
            <w:r>
              <w:rPr>
                <w:rFonts w:hint="eastAsia" w:ascii="宋体" w:hAnsi="宋体" w:eastAsia="宋体" w:cs="宋体"/>
                <w:szCs w:val="21"/>
              </w:rPr>
              <w:t>第7.2.3款细化为：</w:t>
            </w:r>
          </w:p>
          <w:p>
            <w:pPr>
              <w:spacing w:line="350" w:lineRule="exact"/>
              <w:ind w:left="94" w:leftChars="45" w:firstLine="105" w:firstLineChars="50"/>
              <w:rPr>
                <w:rFonts w:ascii="宋体" w:hAnsi="宋体" w:eastAsia="宋体" w:cs="宋体"/>
                <w:szCs w:val="21"/>
              </w:rPr>
            </w:pPr>
            <w:r>
              <w:rPr>
                <w:rFonts w:hint="eastAsia" w:ascii="宋体" w:hAnsi="宋体" w:eastAsia="宋体" w:cs="宋体"/>
                <w:szCs w:val="21"/>
              </w:rPr>
              <w:t>在本章第3.3款规定的投标有效期内，发包人以书面形式向中标人发出中标通知书，同时将中标候选人中标情况在三门县公共资源交易中心公示 3 天（最后一天</w:t>
            </w:r>
            <w:r>
              <w:rPr>
                <w:rFonts w:ascii="宋体" w:hAnsi="宋体" w:eastAsia="宋体" w:cs="宋体"/>
                <w:szCs w:val="21"/>
              </w:rPr>
              <w:t>为工作日</w:t>
            </w:r>
            <w:r>
              <w:rPr>
                <w:rFonts w:hint="eastAsia" w:ascii="宋体" w:hAnsi="宋体" w:eastAsia="宋体" w:cs="宋体"/>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93"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spacing w:line="260" w:lineRule="exact"/>
              <w:jc w:val="center"/>
              <w:rPr>
                <w:rFonts w:ascii="宋体" w:hAnsi="宋体" w:eastAsia="宋体" w:cs="宋体"/>
                <w:szCs w:val="21"/>
              </w:rPr>
            </w:pPr>
            <w:r>
              <w:rPr>
                <w:rFonts w:hint="eastAsia" w:ascii="宋体" w:hAnsi="宋体" w:eastAsia="宋体" w:cs="宋体"/>
                <w:szCs w:val="21"/>
              </w:rPr>
              <w:t>7.3</w:t>
            </w:r>
          </w:p>
        </w:tc>
        <w:tc>
          <w:tcPr>
            <w:tcW w:w="2705" w:type="dxa"/>
            <w:tcBorders>
              <w:top w:val="single" w:color="000000" w:sz="6" w:space="0"/>
              <w:left w:val="single" w:color="000000" w:sz="6" w:space="0"/>
              <w:bottom w:val="single" w:color="000000" w:sz="6" w:space="0"/>
              <w:right w:val="single" w:color="000000" w:sz="6" w:space="0"/>
            </w:tcBorders>
            <w:vAlign w:val="center"/>
          </w:tcPr>
          <w:p>
            <w:pPr>
              <w:spacing w:line="260" w:lineRule="exact"/>
              <w:jc w:val="center"/>
              <w:rPr>
                <w:rFonts w:ascii="宋体" w:hAnsi="宋体" w:eastAsia="宋体" w:cs="宋体"/>
                <w:szCs w:val="21"/>
              </w:rPr>
            </w:pPr>
            <w:r>
              <w:rPr>
                <w:rFonts w:hint="eastAsia" w:ascii="宋体" w:hAnsi="宋体" w:eastAsia="宋体" w:cs="宋体"/>
                <w:szCs w:val="21"/>
              </w:rPr>
              <w:t>履约担保</w:t>
            </w:r>
          </w:p>
        </w:tc>
        <w:tc>
          <w:tcPr>
            <w:tcW w:w="7028" w:type="dxa"/>
            <w:tcBorders>
              <w:top w:val="single" w:color="000000" w:sz="6" w:space="0"/>
              <w:left w:val="single" w:color="000000" w:sz="6" w:space="0"/>
              <w:bottom w:val="single" w:color="000000" w:sz="6" w:space="0"/>
              <w:right w:val="single" w:color="000000" w:sz="12" w:space="0"/>
            </w:tcBorders>
            <w:vAlign w:val="center"/>
          </w:tcPr>
          <w:p>
            <w:pPr>
              <w:spacing w:line="350" w:lineRule="exact"/>
              <w:ind w:left="94" w:leftChars="45"/>
              <w:rPr>
                <w:rFonts w:ascii="宋体" w:hAnsi="宋体" w:eastAsia="宋体" w:cs="宋体"/>
                <w:szCs w:val="21"/>
              </w:rPr>
            </w:pPr>
            <w:r>
              <w:rPr>
                <w:rFonts w:hint="eastAsia" w:ascii="宋体" w:hAnsi="宋体" w:eastAsia="宋体" w:cs="宋体"/>
                <w:szCs w:val="21"/>
              </w:rPr>
              <w:t>第 7.3.1 项细化为：</w:t>
            </w:r>
          </w:p>
          <w:p>
            <w:pPr>
              <w:spacing w:line="350" w:lineRule="exact"/>
              <w:ind w:left="94" w:leftChars="45" w:firstLine="420" w:firstLineChars="200"/>
              <w:rPr>
                <w:rFonts w:ascii="宋体" w:hAnsi="宋体" w:eastAsia="宋体" w:cs="宋体"/>
                <w:szCs w:val="21"/>
              </w:rPr>
            </w:pPr>
            <w:r>
              <w:rPr>
                <w:rFonts w:hint="eastAsia" w:ascii="宋体" w:hAnsi="宋体" w:eastAsia="宋体" w:cs="宋体"/>
                <w:szCs w:val="21"/>
              </w:rPr>
              <w:t>7.3.1 在签订合同前，中标人应按投标人须知前附表规定的金额、担保形式和招标文件第四章“合同条款及格式”规定的履约担保格式向发包人提交履约担保。联合体中标的，其履约担保由牵头人递交，并应符合投标人须知前附表规定的金额、担保形式和招标文件第四章“合同条款及格式”规定的履约担保格式要求。</w:t>
            </w:r>
          </w:p>
          <w:p>
            <w:pPr>
              <w:spacing w:line="350" w:lineRule="exact"/>
              <w:ind w:left="94" w:leftChars="45" w:firstLine="420" w:firstLineChars="200"/>
              <w:rPr>
                <w:rFonts w:ascii="宋体" w:hAnsi="宋体" w:eastAsia="宋体" w:cs="宋体"/>
                <w:szCs w:val="21"/>
              </w:rPr>
            </w:pPr>
            <w:r>
              <w:rPr>
                <w:rFonts w:hint="eastAsia" w:ascii="宋体" w:hAnsi="宋体" w:eastAsia="宋体" w:cs="宋体"/>
                <w:szCs w:val="21"/>
              </w:rPr>
              <w:t>采用银行保函时，出具银行保函的银行级别在投标人须知前附表中说明，所需的费用由中标人承担，中标人应保证银行保函有效。</w:t>
            </w:r>
          </w:p>
          <w:p>
            <w:pPr>
              <w:spacing w:line="350" w:lineRule="exact"/>
              <w:ind w:left="94" w:leftChars="45"/>
              <w:rPr>
                <w:rFonts w:ascii="宋体" w:hAnsi="宋体" w:eastAsia="宋体" w:cs="宋体"/>
                <w:szCs w:val="21"/>
              </w:rPr>
            </w:pPr>
            <w:r>
              <w:rPr>
                <w:rFonts w:hint="eastAsia" w:ascii="宋体" w:hAnsi="宋体" w:eastAsia="宋体" w:cs="宋体"/>
                <w:szCs w:val="21"/>
              </w:rPr>
              <w:t>第 7.3.2 项细化为：</w:t>
            </w:r>
          </w:p>
          <w:p>
            <w:pPr>
              <w:spacing w:line="350" w:lineRule="exact"/>
              <w:ind w:left="94" w:leftChars="45"/>
              <w:rPr>
                <w:rFonts w:ascii="宋体" w:hAnsi="宋体" w:eastAsia="宋体" w:cs="宋体"/>
                <w:szCs w:val="21"/>
              </w:rPr>
            </w:pPr>
            <w:r>
              <w:rPr>
                <w:rFonts w:hint="eastAsia" w:ascii="宋体" w:hAnsi="宋体" w:eastAsia="宋体" w:cs="宋体"/>
                <w:szCs w:val="21"/>
              </w:rPr>
              <w:t>7.3.2 中标人不能按本章第 7.3.1 项要求提交履约担保的，视为放弃中标，其投标保证金不予退还，给发包人造成的损失超过投标保证金数额的，中标人还应当对超过部分予以赔偿。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93"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spacing w:line="260" w:lineRule="exact"/>
              <w:jc w:val="center"/>
              <w:rPr>
                <w:rFonts w:ascii="宋体" w:hAnsi="宋体" w:eastAsia="宋体" w:cs="宋体"/>
                <w:szCs w:val="21"/>
              </w:rPr>
            </w:pPr>
            <w:r>
              <w:rPr>
                <w:rFonts w:hint="eastAsia" w:ascii="宋体" w:hAnsi="宋体" w:eastAsia="宋体" w:cs="宋体"/>
                <w:szCs w:val="21"/>
              </w:rPr>
              <w:t>7.4</w:t>
            </w:r>
          </w:p>
        </w:tc>
        <w:tc>
          <w:tcPr>
            <w:tcW w:w="2705" w:type="dxa"/>
            <w:tcBorders>
              <w:top w:val="single" w:color="000000" w:sz="6" w:space="0"/>
              <w:left w:val="single" w:color="000000" w:sz="6" w:space="0"/>
              <w:bottom w:val="single" w:color="000000" w:sz="6" w:space="0"/>
              <w:right w:val="single" w:color="000000" w:sz="6" w:space="0"/>
            </w:tcBorders>
            <w:vAlign w:val="center"/>
          </w:tcPr>
          <w:p>
            <w:pPr>
              <w:spacing w:line="260" w:lineRule="exact"/>
              <w:jc w:val="center"/>
              <w:rPr>
                <w:rFonts w:ascii="宋体" w:hAnsi="宋体" w:eastAsia="宋体" w:cs="宋体"/>
                <w:szCs w:val="21"/>
              </w:rPr>
            </w:pPr>
            <w:r>
              <w:rPr>
                <w:rFonts w:hint="eastAsia" w:ascii="宋体" w:hAnsi="宋体" w:eastAsia="宋体" w:cs="宋体"/>
                <w:szCs w:val="21"/>
              </w:rPr>
              <w:t>签订合同</w:t>
            </w:r>
          </w:p>
        </w:tc>
        <w:tc>
          <w:tcPr>
            <w:tcW w:w="7028" w:type="dxa"/>
            <w:tcBorders>
              <w:top w:val="single" w:color="000000" w:sz="6" w:space="0"/>
              <w:left w:val="single" w:color="000000" w:sz="6" w:space="0"/>
              <w:bottom w:val="single" w:color="000000" w:sz="6" w:space="0"/>
              <w:right w:val="single" w:color="000000" w:sz="12" w:space="0"/>
            </w:tcBorders>
            <w:vAlign w:val="center"/>
          </w:tcPr>
          <w:p>
            <w:pPr>
              <w:spacing w:line="350" w:lineRule="exact"/>
              <w:ind w:left="94" w:leftChars="45"/>
              <w:rPr>
                <w:rFonts w:ascii="宋体" w:hAnsi="宋体" w:eastAsia="宋体" w:cs="宋体"/>
                <w:szCs w:val="21"/>
              </w:rPr>
            </w:pPr>
            <w:r>
              <w:rPr>
                <w:rFonts w:hint="eastAsia" w:ascii="宋体" w:hAnsi="宋体" w:eastAsia="宋体" w:cs="宋体"/>
                <w:szCs w:val="21"/>
              </w:rPr>
              <w:t>第 7.4.1 项细化为：</w:t>
            </w:r>
          </w:p>
          <w:p>
            <w:pPr>
              <w:spacing w:line="350" w:lineRule="exact"/>
              <w:ind w:left="94" w:leftChars="45"/>
              <w:rPr>
                <w:rFonts w:ascii="宋体" w:hAnsi="宋体" w:eastAsia="宋体" w:cs="宋体"/>
                <w:szCs w:val="21"/>
              </w:rPr>
            </w:pPr>
            <w:r>
              <w:rPr>
                <w:rFonts w:hint="eastAsia" w:ascii="宋体" w:hAnsi="宋体" w:eastAsia="宋体" w:cs="宋体"/>
                <w:szCs w:val="21"/>
              </w:rPr>
              <w:t>7.4.1 发包人和中标人应当自中标通知书发出之日起 30 天内，根据招标文件和中标人的投标文件订立书面合同。中标人无正当理由拒签合同的，发包人取消其中标资格，其投标保证金不予退还；给发包人造成的损失超过投标保证金数额的，中标人还应当对超过部分予以赔偿。</w:t>
            </w:r>
          </w:p>
          <w:p>
            <w:pPr>
              <w:spacing w:line="350" w:lineRule="exact"/>
              <w:ind w:left="94" w:leftChars="45"/>
              <w:rPr>
                <w:rFonts w:ascii="宋体" w:hAnsi="宋体" w:eastAsia="宋体" w:cs="宋体"/>
                <w:szCs w:val="21"/>
              </w:rPr>
            </w:pPr>
            <w:r>
              <w:rPr>
                <w:rFonts w:hint="eastAsia" w:ascii="宋体" w:hAnsi="宋体" w:eastAsia="宋体" w:cs="宋体"/>
                <w:szCs w:val="21"/>
              </w:rPr>
              <w:t>第 7.4.2 项细化为：</w:t>
            </w:r>
          </w:p>
          <w:p>
            <w:pPr>
              <w:spacing w:line="350" w:lineRule="exact"/>
              <w:ind w:left="94" w:leftChars="45"/>
              <w:rPr>
                <w:rFonts w:ascii="宋体" w:hAnsi="宋体" w:eastAsia="宋体" w:cs="宋体"/>
                <w:szCs w:val="21"/>
              </w:rPr>
            </w:pPr>
            <w:r>
              <w:rPr>
                <w:rFonts w:hint="eastAsia" w:ascii="宋体" w:hAnsi="宋体" w:eastAsia="宋体" w:cs="宋体"/>
                <w:szCs w:val="21"/>
              </w:rPr>
              <w:t>7.4.2 发出中标通知书后，发包人无正当理由拒签合同的，发包人向中标人退还投标保证金；给中标人造成损失的，还应当赔偿损失。</w:t>
            </w:r>
          </w:p>
          <w:p>
            <w:pPr>
              <w:spacing w:line="350" w:lineRule="exact"/>
              <w:ind w:left="94" w:leftChars="45"/>
              <w:rPr>
                <w:rFonts w:ascii="宋体" w:hAnsi="宋体" w:eastAsia="宋体" w:cs="宋体"/>
                <w:szCs w:val="21"/>
              </w:rPr>
            </w:pPr>
            <w:r>
              <w:rPr>
                <w:rFonts w:hint="eastAsia" w:ascii="宋体" w:hAnsi="宋体" w:eastAsia="宋体" w:cs="宋体"/>
                <w:szCs w:val="21"/>
              </w:rPr>
              <w:t>7.4.3修改为：签约合同价确定原则如下：</w:t>
            </w:r>
          </w:p>
          <w:p>
            <w:pPr>
              <w:spacing w:line="340" w:lineRule="exact"/>
              <w:ind w:left="94" w:leftChars="45"/>
              <w:rPr>
                <w:rFonts w:ascii="宋体" w:hAnsi="宋体" w:eastAsia="宋体" w:cs="宋体"/>
                <w:szCs w:val="21"/>
              </w:rPr>
            </w:pPr>
            <w:r>
              <w:rPr>
                <w:rFonts w:hint="eastAsia" w:ascii="宋体" w:hAnsi="宋体" w:eastAsia="宋体" w:cs="宋体"/>
                <w:szCs w:val="21"/>
              </w:rPr>
              <w:t>签约合同价=招标人预算审核价*（1-评标标底下浮率）</w:t>
            </w:r>
          </w:p>
          <w:p>
            <w:pPr>
              <w:spacing w:line="340" w:lineRule="exact"/>
              <w:ind w:left="94" w:leftChars="45"/>
              <w:rPr>
                <w:rFonts w:ascii="宋体" w:hAnsi="宋体" w:eastAsia="宋体" w:cs="宋体"/>
                <w:szCs w:val="21"/>
              </w:rPr>
            </w:pPr>
            <w:r>
              <w:rPr>
                <w:rFonts w:hint="eastAsia" w:ascii="宋体" w:hAnsi="宋体" w:eastAsia="宋体" w:cs="宋体"/>
                <w:szCs w:val="21"/>
              </w:rPr>
              <w:t>第 7.4.4 项细化为：</w:t>
            </w:r>
          </w:p>
          <w:p>
            <w:pPr>
              <w:spacing w:line="340" w:lineRule="exact"/>
              <w:ind w:left="94" w:leftChars="45"/>
              <w:rPr>
                <w:rFonts w:ascii="宋体" w:hAnsi="宋体" w:eastAsia="宋体" w:cs="宋体"/>
                <w:szCs w:val="21"/>
              </w:rPr>
            </w:pPr>
            <w:r>
              <w:rPr>
                <w:rFonts w:hint="eastAsia" w:ascii="宋体" w:hAnsi="宋体" w:eastAsia="宋体" w:cs="宋体"/>
                <w:szCs w:val="21"/>
              </w:rPr>
              <w:t>7.4.4 合同协议书经双方法定代表人或其授权的代理人签署并加盖单位章后生效。发包人和中标人在签订合同协议书的同时需按照本招标文件规定的格式和要求签订廉政合同、安全生产合同、工程质量责任合同，明确双方在廉政建设、安全生产、工程质量方面的权利和义务以及应承担的违约责任。</w:t>
            </w:r>
          </w:p>
          <w:p>
            <w:pPr>
              <w:spacing w:line="340" w:lineRule="exact"/>
              <w:ind w:left="94" w:leftChars="45"/>
              <w:rPr>
                <w:rFonts w:ascii="宋体" w:hAnsi="宋体" w:eastAsia="宋体" w:cs="宋体"/>
                <w:szCs w:val="21"/>
              </w:rPr>
            </w:pPr>
            <w:r>
              <w:rPr>
                <w:rFonts w:hint="eastAsia" w:ascii="宋体" w:hAnsi="宋体" w:eastAsia="宋体" w:cs="宋体"/>
                <w:szCs w:val="21"/>
              </w:rPr>
              <w:t>第 7.4.5 项细化为：</w:t>
            </w:r>
          </w:p>
          <w:p>
            <w:pPr>
              <w:spacing w:line="340" w:lineRule="exact"/>
              <w:ind w:left="94" w:leftChars="45"/>
              <w:rPr>
                <w:rFonts w:ascii="宋体" w:hAnsi="宋体" w:eastAsia="宋体" w:cs="宋体"/>
                <w:szCs w:val="21"/>
              </w:rPr>
            </w:pPr>
            <w:r>
              <w:rPr>
                <w:rFonts w:hint="eastAsia" w:ascii="宋体" w:hAnsi="宋体" w:eastAsia="宋体" w:cs="宋体"/>
                <w:szCs w:val="21"/>
              </w:rPr>
              <w:t>7.4.5 如果根据本章第3.5.8 项、第 7.3.2 项或第 7.4.1 项规定，发包人取消了中标人的中标资格，或中标候选人放弃中标、或因不可抗力不能履行合同，或者被查实存在影响中标结果的违法行为等情形，中标候选人不符合中标条件的，发包人按规定重新组织招标。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93"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spacing w:line="260" w:lineRule="exact"/>
              <w:jc w:val="center"/>
              <w:rPr>
                <w:rFonts w:ascii="宋体" w:hAnsi="宋体" w:eastAsia="宋体" w:cs="宋体"/>
                <w:szCs w:val="21"/>
              </w:rPr>
            </w:pPr>
            <w:r>
              <w:rPr>
                <w:rFonts w:hint="eastAsia" w:ascii="宋体" w:hAnsi="宋体" w:eastAsia="宋体" w:cs="宋体"/>
                <w:szCs w:val="21"/>
              </w:rPr>
              <w:t>8.1</w:t>
            </w:r>
          </w:p>
        </w:tc>
        <w:tc>
          <w:tcPr>
            <w:tcW w:w="2705" w:type="dxa"/>
            <w:tcBorders>
              <w:top w:val="single" w:color="000000" w:sz="6" w:space="0"/>
              <w:left w:val="single" w:color="000000" w:sz="6" w:space="0"/>
              <w:bottom w:val="single" w:color="000000" w:sz="6" w:space="0"/>
              <w:right w:val="single" w:color="000000" w:sz="6" w:space="0"/>
            </w:tcBorders>
            <w:vAlign w:val="center"/>
          </w:tcPr>
          <w:p>
            <w:pPr>
              <w:spacing w:line="260" w:lineRule="exact"/>
              <w:jc w:val="center"/>
              <w:rPr>
                <w:rFonts w:ascii="宋体" w:hAnsi="宋体" w:eastAsia="宋体" w:cs="宋体"/>
                <w:szCs w:val="21"/>
              </w:rPr>
            </w:pPr>
            <w:r>
              <w:rPr>
                <w:rFonts w:hint="eastAsia" w:ascii="宋体" w:hAnsi="宋体" w:eastAsia="宋体" w:cs="宋体"/>
                <w:szCs w:val="21"/>
              </w:rPr>
              <w:t>重新招标</w:t>
            </w:r>
          </w:p>
        </w:tc>
        <w:tc>
          <w:tcPr>
            <w:tcW w:w="7028" w:type="dxa"/>
            <w:tcBorders>
              <w:top w:val="single" w:color="000000" w:sz="6" w:space="0"/>
              <w:left w:val="single" w:color="000000" w:sz="6" w:space="0"/>
              <w:bottom w:val="single" w:color="000000" w:sz="6" w:space="0"/>
              <w:right w:val="single" w:color="000000" w:sz="12" w:space="0"/>
            </w:tcBorders>
            <w:vAlign w:val="center"/>
          </w:tcPr>
          <w:p>
            <w:pPr>
              <w:spacing w:line="320" w:lineRule="exact"/>
              <w:ind w:left="149" w:leftChars="71"/>
              <w:rPr>
                <w:rFonts w:ascii="宋体" w:hAnsi="宋体" w:eastAsia="宋体" w:cs="宋体"/>
                <w:szCs w:val="21"/>
              </w:rPr>
            </w:pPr>
            <w:r>
              <w:rPr>
                <w:rFonts w:hint="eastAsia" w:ascii="宋体" w:hAnsi="宋体" w:eastAsia="宋体" w:cs="宋体"/>
                <w:szCs w:val="21"/>
              </w:rPr>
              <w:t>第8.1款细化为：</w:t>
            </w:r>
          </w:p>
          <w:p>
            <w:pPr>
              <w:spacing w:line="320" w:lineRule="exact"/>
              <w:ind w:left="149" w:leftChars="71"/>
              <w:rPr>
                <w:rFonts w:ascii="宋体" w:hAnsi="宋体" w:eastAsia="宋体" w:cs="宋体"/>
                <w:szCs w:val="21"/>
              </w:rPr>
            </w:pPr>
            <w:r>
              <w:rPr>
                <w:rFonts w:hint="eastAsia" w:ascii="宋体" w:hAnsi="宋体" w:eastAsia="宋体" w:cs="宋体"/>
                <w:szCs w:val="21"/>
              </w:rPr>
              <w:t>有下列情形之一的，发包人将重新招标：</w:t>
            </w:r>
          </w:p>
          <w:p>
            <w:pPr>
              <w:spacing w:line="320" w:lineRule="exact"/>
              <w:ind w:left="149" w:leftChars="71"/>
              <w:rPr>
                <w:rFonts w:ascii="宋体" w:hAnsi="宋体" w:eastAsia="宋体" w:cs="宋体"/>
                <w:szCs w:val="21"/>
              </w:rPr>
            </w:pPr>
            <w:r>
              <w:rPr>
                <w:rFonts w:hint="eastAsia" w:ascii="宋体" w:hAnsi="宋体" w:eastAsia="宋体" w:cs="宋体"/>
                <w:szCs w:val="21"/>
              </w:rPr>
              <w:t>（1）投标截止时间止，投标人少于3个的；</w:t>
            </w:r>
          </w:p>
          <w:p>
            <w:pPr>
              <w:spacing w:line="320" w:lineRule="exact"/>
              <w:ind w:left="149" w:leftChars="71"/>
              <w:rPr>
                <w:rFonts w:ascii="宋体" w:hAnsi="宋体" w:eastAsia="宋体" w:cs="宋体"/>
                <w:szCs w:val="21"/>
              </w:rPr>
            </w:pPr>
            <w:r>
              <w:rPr>
                <w:rFonts w:hint="eastAsia" w:ascii="宋体" w:hAnsi="宋体" w:eastAsia="宋体" w:cs="宋体"/>
                <w:szCs w:val="21"/>
              </w:rPr>
              <w:t>（2）有效投标少于3个，使得投标明显缺乏竞争，否决所有投标的。</w:t>
            </w:r>
          </w:p>
          <w:p>
            <w:pPr>
              <w:spacing w:line="320" w:lineRule="exact"/>
              <w:ind w:left="149" w:leftChars="71"/>
              <w:rPr>
                <w:rFonts w:ascii="宋体" w:hAnsi="宋体" w:eastAsia="宋体" w:cs="宋体"/>
                <w:szCs w:val="21"/>
              </w:rPr>
            </w:pPr>
            <w:r>
              <w:rPr>
                <w:rFonts w:hint="eastAsia" w:ascii="宋体" w:hAnsi="宋体" w:eastAsia="宋体" w:cs="宋体"/>
                <w:szCs w:val="21"/>
              </w:rPr>
              <w:t>（3）中标候选人未与发包人签订合同的；</w:t>
            </w:r>
          </w:p>
          <w:p>
            <w:pPr>
              <w:spacing w:line="320" w:lineRule="exact"/>
              <w:ind w:left="149" w:leftChars="71"/>
              <w:rPr>
                <w:rFonts w:ascii="宋体" w:hAnsi="宋体" w:eastAsia="宋体" w:cs="宋体"/>
                <w:szCs w:val="21"/>
              </w:rPr>
            </w:pPr>
            <w:r>
              <w:rPr>
                <w:rFonts w:hint="eastAsia" w:ascii="宋体" w:hAnsi="宋体" w:eastAsia="宋体" w:cs="宋体"/>
                <w:szCs w:val="21"/>
              </w:rPr>
              <w:t>（4）有7.4.5项规定的情形；</w:t>
            </w:r>
          </w:p>
          <w:p>
            <w:pPr>
              <w:spacing w:line="320" w:lineRule="exact"/>
              <w:ind w:left="149" w:leftChars="71"/>
              <w:rPr>
                <w:rFonts w:ascii="宋体" w:hAnsi="宋体" w:eastAsia="宋体" w:cs="宋体"/>
                <w:szCs w:val="21"/>
              </w:rPr>
            </w:pPr>
            <w:r>
              <w:rPr>
                <w:rFonts w:hint="eastAsia" w:ascii="宋体" w:hAnsi="宋体" w:eastAsia="宋体" w:cs="宋体"/>
                <w:szCs w:val="21"/>
              </w:rPr>
              <w:t>（5）法律规定的其他情形。</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93"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spacing w:line="260" w:lineRule="exact"/>
              <w:jc w:val="center"/>
              <w:rPr>
                <w:rFonts w:ascii="宋体" w:hAnsi="宋体" w:eastAsia="宋体" w:cs="宋体"/>
                <w:szCs w:val="21"/>
              </w:rPr>
            </w:pPr>
            <w:r>
              <w:rPr>
                <w:rFonts w:hint="eastAsia" w:ascii="宋体" w:hAnsi="宋体" w:eastAsia="宋体" w:cs="宋体"/>
                <w:szCs w:val="21"/>
              </w:rPr>
              <w:t>9.5</w:t>
            </w:r>
          </w:p>
        </w:tc>
        <w:tc>
          <w:tcPr>
            <w:tcW w:w="2705" w:type="dxa"/>
            <w:tcBorders>
              <w:top w:val="single" w:color="000000" w:sz="6" w:space="0"/>
              <w:left w:val="single" w:color="000000" w:sz="6" w:space="0"/>
              <w:bottom w:val="single" w:color="000000" w:sz="6" w:space="0"/>
              <w:right w:val="single" w:color="000000" w:sz="6" w:space="0"/>
            </w:tcBorders>
            <w:vAlign w:val="center"/>
          </w:tcPr>
          <w:p>
            <w:pPr>
              <w:spacing w:line="260" w:lineRule="exact"/>
              <w:jc w:val="center"/>
              <w:rPr>
                <w:rFonts w:ascii="宋体" w:hAnsi="宋体" w:eastAsia="宋体" w:cs="宋体"/>
                <w:szCs w:val="21"/>
              </w:rPr>
            </w:pPr>
            <w:r>
              <w:rPr>
                <w:rFonts w:hint="eastAsia" w:ascii="宋体" w:hAnsi="宋体" w:eastAsia="宋体" w:cs="宋体"/>
                <w:szCs w:val="21"/>
              </w:rPr>
              <w:t>投诉</w:t>
            </w:r>
          </w:p>
        </w:tc>
        <w:tc>
          <w:tcPr>
            <w:tcW w:w="7028" w:type="dxa"/>
            <w:tcBorders>
              <w:top w:val="single" w:color="000000" w:sz="6" w:space="0"/>
              <w:left w:val="single" w:color="000000" w:sz="6" w:space="0"/>
              <w:bottom w:val="single" w:color="000000" w:sz="6" w:space="0"/>
              <w:right w:val="single" w:color="000000" w:sz="12" w:space="0"/>
            </w:tcBorders>
            <w:vAlign w:val="center"/>
          </w:tcPr>
          <w:p>
            <w:pPr>
              <w:spacing w:line="260" w:lineRule="exact"/>
              <w:ind w:left="149" w:leftChars="71"/>
              <w:rPr>
                <w:rFonts w:ascii="宋体" w:hAnsi="宋体" w:eastAsia="宋体" w:cs="宋体"/>
                <w:szCs w:val="21"/>
              </w:rPr>
            </w:pPr>
            <w:r>
              <w:rPr>
                <w:rFonts w:hint="eastAsia" w:ascii="宋体" w:hAnsi="宋体" w:eastAsia="宋体" w:cs="宋体"/>
                <w:szCs w:val="21"/>
              </w:rPr>
              <w:t>第 9.5 款细化为：</w:t>
            </w:r>
          </w:p>
          <w:p>
            <w:pPr>
              <w:spacing w:line="260" w:lineRule="exact"/>
              <w:ind w:left="149" w:leftChars="71"/>
              <w:rPr>
                <w:rFonts w:ascii="宋体" w:hAnsi="宋体" w:eastAsia="宋体" w:cs="宋体"/>
                <w:szCs w:val="21"/>
              </w:rPr>
            </w:pPr>
            <w:r>
              <w:rPr>
                <w:rFonts w:hint="eastAsia" w:ascii="宋体" w:hAnsi="宋体" w:eastAsia="宋体" w:cs="宋体"/>
                <w:szCs w:val="21"/>
              </w:rPr>
              <w:t xml:space="preserve">    潜在投标人或其他利害关系人对招标文件有异议的，应当在投标截止时间 3 日前以书面形式向发包人提出，发包人应当自收到异议之日起 3 日内作出答复。作出答复前，发包人应暂停招投标活动。</w:t>
            </w:r>
          </w:p>
          <w:p>
            <w:pPr>
              <w:spacing w:line="260" w:lineRule="exact"/>
              <w:ind w:left="149" w:leftChars="71"/>
              <w:rPr>
                <w:rFonts w:ascii="宋体" w:hAnsi="宋体" w:eastAsia="宋体" w:cs="宋体"/>
                <w:szCs w:val="21"/>
              </w:rPr>
            </w:pPr>
            <w:r>
              <w:rPr>
                <w:rFonts w:hint="eastAsia" w:ascii="宋体" w:hAnsi="宋体" w:eastAsia="宋体" w:cs="宋体"/>
                <w:szCs w:val="21"/>
              </w:rPr>
              <w:t xml:space="preserve">    投标人对开标有异议的，应当在开标现场提出，发包人应当当场作出答复，并制作记录。</w:t>
            </w:r>
          </w:p>
          <w:p>
            <w:pPr>
              <w:spacing w:line="260" w:lineRule="exact"/>
              <w:ind w:left="149" w:leftChars="71"/>
              <w:rPr>
                <w:rFonts w:ascii="宋体" w:hAnsi="宋体" w:eastAsia="宋体" w:cs="宋体"/>
                <w:szCs w:val="21"/>
              </w:rPr>
            </w:pPr>
            <w:r>
              <w:rPr>
                <w:rFonts w:hint="eastAsia" w:ascii="宋体" w:hAnsi="宋体" w:eastAsia="宋体" w:cs="宋体"/>
                <w:szCs w:val="21"/>
              </w:rPr>
              <w:t xml:space="preserve">    投标人或其他利害关系人对评标结果有异议的，应当在中标候选人公示期间以书面形式向发包人提出，发包人应当自收到异议之日起 3 日内作出答复。作出答复前，发包人应暂停招投标活动。</w:t>
            </w:r>
          </w:p>
          <w:p>
            <w:pPr>
              <w:spacing w:line="260" w:lineRule="exact"/>
              <w:ind w:left="149" w:leftChars="71"/>
              <w:rPr>
                <w:rFonts w:ascii="宋体" w:hAnsi="宋体" w:eastAsia="宋体" w:cs="宋体"/>
                <w:szCs w:val="21"/>
              </w:rPr>
            </w:pPr>
            <w:r>
              <w:rPr>
                <w:rFonts w:hint="eastAsia" w:ascii="宋体" w:hAnsi="宋体" w:eastAsia="宋体" w:cs="宋体"/>
                <w:szCs w:val="21"/>
              </w:rPr>
              <w:t xml:space="preserve">    发包人逾期未答复异议事项，或者潜在投标人或其他利害关系人对发包人的答复不满意，或者潜在投标人或其他利害关系人认为本次招标活动违反法律、法规和规章规定的，投标人或其他利害关系人有权向有关行政监督部门投诉。投诉应按《中华人民共和国招标投标法实施条例》（中华人民共和国国务院令第 613 号）及《工程建设项目招标投标活动投诉处理办法》（国家七部委令 2004 年第11 号）、国家发改委等九部委 2013 年第 23 号令办理。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93"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pPr>
              <w:pStyle w:val="143"/>
              <w:spacing w:before="94" w:line="260" w:lineRule="exact"/>
              <w:ind w:right="234"/>
              <w:jc w:val="center"/>
              <w:rPr>
                <w:rFonts w:ascii="Times New Roman"/>
                <w:sz w:val="21"/>
              </w:rPr>
            </w:pPr>
            <w:r>
              <w:rPr>
                <w:rFonts w:ascii="Times New Roman"/>
                <w:sz w:val="21"/>
              </w:rPr>
              <w:t>1</w:t>
            </w:r>
            <w:r>
              <w:rPr>
                <w:rFonts w:hint="eastAsia" w:ascii="Times New Roman"/>
                <w:sz w:val="21"/>
              </w:rPr>
              <w:t>1</w:t>
            </w:r>
          </w:p>
        </w:tc>
        <w:tc>
          <w:tcPr>
            <w:tcW w:w="9733" w:type="dxa"/>
            <w:gridSpan w:val="2"/>
            <w:tcBorders>
              <w:top w:val="single" w:color="000000" w:sz="6" w:space="0"/>
              <w:left w:val="single" w:color="000000" w:sz="6" w:space="0"/>
              <w:bottom w:val="single" w:color="000000" w:sz="6" w:space="0"/>
              <w:right w:val="single" w:color="000000" w:sz="12" w:space="0"/>
            </w:tcBorders>
            <w:vAlign w:val="center"/>
          </w:tcPr>
          <w:p>
            <w:pPr>
              <w:pStyle w:val="143"/>
              <w:spacing w:line="260" w:lineRule="exact"/>
              <w:jc w:val="center"/>
              <w:rPr>
                <w:rFonts w:ascii="黑体" w:eastAsia="黑体"/>
                <w:b/>
                <w:sz w:val="21"/>
              </w:rPr>
            </w:pPr>
            <w:r>
              <w:rPr>
                <w:rFonts w:hint="eastAsia" w:ascii="微软雅黑" w:eastAsia="微软雅黑"/>
                <w:b/>
              </w:rPr>
              <w:t>需要补充的其他内容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77" w:hRule="atLeast"/>
          <w:jc w:val="center"/>
        </w:trPr>
        <w:tc>
          <w:tcPr>
            <w:tcW w:w="847" w:type="dxa"/>
            <w:tcBorders>
              <w:top w:val="single" w:color="000000" w:sz="6" w:space="0"/>
              <w:left w:val="single" w:color="000000" w:sz="12" w:space="0"/>
              <w:bottom w:val="single" w:color="000000" w:sz="12" w:space="0"/>
              <w:right w:val="single" w:color="000000" w:sz="6" w:space="0"/>
            </w:tcBorders>
            <w:vAlign w:val="center"/>
          </w:tcPr>
          <w:p>
            <w:pPr>
              <w:pStyle w:val="143"/>
              <w:spacing w:before="151" w:line="260" w:lineRule="exact"/>
              <w:ind w:right="234"/>
              <w:jc w:val="center"/>
              <w:rPr>
                <w:rFonts w:ascii="Times New Roman"/>
                <w:b/>
                <w:sz w:val="21"/>
              </w:rPr>
            </w:pPr>
            <w:r>
              <w:rPr>
                <w:rFonts w:hint="eastAsia" w:ascii="Times New Roman"/>
                <w:b/>
                <w:sz w:val="21"/>
              </w:rPr>
              <w:t>11.2</w:t>
            </w:r>
          </w:p>
        </w:tc>
        <w:tc>
          <w:tcPr>
            <w:tcW w:w="2705" w:type="dxa"/>
            <w:tcBorders>
              <w:top w:val="single" w:color="000000" w:sz="6" w:space="0"/>
              <w:left w:val="single" w:color="000000" w:sz="6" w:space="0"/>
              <w:bottom w:val="single" w:color="000000" w:sz="12" w:space="0"/>
              <w:right w:val="single" w:color="000000" w:sz="6" w:space="0"/>
            </w:tcBorders>
            <w:vAlign w:val="center"/>
          </w:tcPr>
          <w:p>
            <w:pPr>
              <w:pStyle w:val="143"/>
              <w:spacing w:before="70" w:line="260" w:lineRule="exact"/>
              <w:jc w:val="center"/>
              <w:rPr>
                <w:rFonts w:ascii="微软雅黑" w:eastAsia="微软雅黑"/>
                <w:b/>
                <w:sz w:val="21"/>
              </w:rPr>
            </w:pPr>
            <w:r>
              <w:rPr>
                <w:rFonts w:hint="eastAsia" w:ascii="微软雅黑" w:eastAsia="微软雅黑"/>
                <w:b/>
                <w:sz w:val="21"/>
              </w:rPr>
              <w:t>招标代理费</w:t>
            </w:r>
          </w:p>
        </w:tc>
        <w:tc>
          <w:tcPr>
            <w:tcW w:w="7028" w:type="dxa"/>
            <w:tcBorders>
              <w:top w:val="single" w:color="000000" w:sz="6" w:space="0"/>
              <w:left w:val="single" w:color="000000" w:sz="6" w:space="0"/>
              <w:bottom w:val="single" w:color="000000" w:sz="12" w:space="0"/>
              <w:right w:val="single" w:color="000000" w:sz="12" w:space="0"/>
            </w:tcBorders>
            <w:vAlign w:val="center"/>
          </w:tcPr>
          <w:p>
            <w:pPr>
              <w:pStyle w:val="143"/>
              <w:spacing w:line="260" w:lineRule="exact"/>
              <w:ind w:left="149" w:leftChars="71"/>
              <w:rPr>
                <w:rFonts w:ascii="微软雅黑" w:eastAsia="微软雅黑"/>
                <w:b/>
                <w:sz w:val="21"/>
              </w:rPr>
            </w:pPr>
            <w:r>
              <w:rPr>
                <w:rFonts w:hint="eastAsia" w:ascii="微软雅黑" w:eastAsia="微软雅黑"/>
                <w:b/>
                <w:sz w:val="21"/>
              </w:rPr>
              <w:t>中标人在领取中标通知书时向代理机构一次性支付招标代理费为人民币5</w:t>
            </w:r>
            <w:r>
              <w:rPr>
                <w:rFonts w:ascii="微软雅黑" w:eastAsia="微软雅黑"/>
                <w:b/>
                <w:sz w:val="21"/>
              </w:rPr>
              <w:t>8</w:t>
            </w:r>
            <w:r>
              <w:rPr>
                <w:rFonts w:hint="eastAsia" w:ascii="微软雅黑" w:eastAsia="微软雅黑"/>
                <w:b/>
                <w:sz w:val="21"/>
              </w:rPr>
              <w:t>00元。</w:t>
            </w:r>
          </w:p>
        </w:tc>
      </w:tr>
    </w:tbl>
    <w:p>
      <w:pPr>
        <w:rPr>
          <w:rFonts w:ascii="宋体" w:hAnsi="宋体" w:eastAsia="宋体" w:cs="宋体"/>
          <w:szCs w:val="21"/>
        </w:rPr>
      </w:pPr>
    </w:p>
    <w:p>
      <w:pPr>
        <w:rPr>
          <w:rFonts w:ascii="宋体" w:hAnsi="宋体" w:eastAsia="宋体" w:cs="宋体"/>
          <w:szCs w:val="21"/>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widowControl/>
        <w:jc w:val="left"/>
        <w:rPr>
          <w:rFonts w:ascii="宋体" w:hAnsi="宋体" w:eastAsia="宋体" w:cs="宋体"/>
          <w:sz w:val="24"/>
        </w:rPr>
      </w:pPr>
      <w:r>
        <w:rPr>
          <w:rFonts w:hint="eastAsia" w:ascii="宋体" w:hAnsi="宋体" w:eastAsia="宋体" w:cs="宋体"/>
          <w:sz w:val="24"/>
        </w:rPr>
        <w:t>附录</w:t>
      </w:r>
    </w:p>
    <w:p>
      <w:pPr>
        <w:rPr>
          <w:rFonts w:ascii="宋体" w:hAnsi="宋体" w:eastAsia="宋体" w:cs="宋体"/>
          <w:sz w:val="24"/>
        </w:rPr>
      </w:pPr>
    </w:p>
    <w:p>
      <w:pPr>
        <w:jc w:val="center"/>
        <w:rPr>
          <w:rFonts w:ascii="宋体" w:hAnsi="宋体" w:eastAsia="宋体" w:cs="宋体"/>
          <w:sz w:val="24"/>
        </w:rPr>
      </w:pPr>
    </w:p>
    <w:p>
      <w:pPr>
        <w:jc w:val="center"/>
        <w:rPr>
          <w:rFonts w:ascii="宋体" w:hAnsi="宋体" w:eastAsia="宋体" w:cs="宋体"/>
          <w:sz w:val="24"/>
        </w:rPr>
      </w:pPr>
    </w:p>
    <w:p>
      <w:pPr>
        <w:pStyle w:val="3"/>
        <w:spacing w:before="240" w:after="240" w:line="240" w:lineRule="auto"/>
        <w:jc w:val="center"/>
        <w:rPr>
          <w:rFonts w:ascii="宋体" w:hAnsi="宋体"/>
          <w:sz w:val="24"/>
          <w:szCs w:val="24"/>
          <w:vertAlign w:val="superscript"/>
        </w:rPr>
      </w:pPr>
      <w:bookmarkStart w:id="32" w:name="_Toc173246148"/>
      <w:bookmarkStart w:id="33" w:name="_Toc173244761"/>
      <w:r>
        <w:rPr>
          <w:rFonts w:hint="eastAsia" w:ascii="宋体" w:hAnsi="宋体"/>
          <w:sz w:val="24"/>
          <w:szCs w:val="24"/>
        </w:rPr>
        <w:t>附录1   资格审查条件(资质最低条件)</w:t>
      </w:r>
      <w:bookmarkEnd w:id="32"/>
      <w:bookmarkEnd w:id="33"/>
    </w:p>
    <w:tbl>
      <w:tblPr>
        <w:tblStyle w:val="5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43"/>
        <w:gridCol w:w="62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2943"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标段</w:t>
            </w:r>
          </w:p>
        </w:tc>
        <w:tc>
          <w:tcPr>
            <w:tcW w:w="6237"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eastAsia="宋体" w:cs="宋体"/>
                <w:szCs w:val="21"/>
              </w:rPr>
            </w:pPr>
            <w:r>
              <w:rPr>
                <w:rFonts w:hint="eastAsia" w:ascii="宋体" w:hAnsi="宋体" w:eastAsia="宋体" w:cs="宋体"/>
                <w:szCs w:val="21"/>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2943"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施工标段</w:t>
            </w:r>
          </w:p>
        </w:tc>
        <w:tc>
          <w:tcPr>
            <w:tcW w:w="6237" w:type="dxa"/>
            <w:tcBorders>
              <w:top w:val="single" w:color="auto" w:sz="6" w:space="0"/>
              <w:left w:val="single" w:color="auto" w:sz="6" w:space="0"/>
              <w:bottom w:val="single" w:color="auto" w:sz="12" w:space="0"/>
              <w:right w:val="single" w:color="auto" w:sz="12" w:space="0"/>
            </w:tcBorders>
            <w:vAlign w:val="center"/>
          </w:tcPr>
          <w:p>
            <w:pPr>
              <w:spacing w:line="360" w:lineRule="exact"/>
              <w:rPr>
                <w:rFonts w:ascii="宋体" w:hAnsi="宋体" w:eastAsia="宋体" w:cs="宋体"/>
                <w:szCs w:val="21"/>
              </w:rPr>
            </w:pPr>
          </w:p>
          <w:p>
            <w:pPr>
              <w:widowControl/>
              <w:spacing w:line="360" w:lineRule="auto"/>
              <w:jc w:val="left"/>
              <w:rPr>
                <w:rFonts w:ascii="宋体" w:hAnsi="宋体" w:eastAsia="宋体" w:cs="宋体"/>
                <w:szCs w:val="21"/>
                <w:u w:val="single"/>
              </w:rPr>
            </w:pPr>
            <w:r>
              <w:rPr>
                <w:rFonts w:hint="eastAsia" w:ascii="宋体" w:hAnsi="宋体" w:eastAsia="宋体" w:cs="宋体"/>
                <w:szCs w:val="21"/>
              </w:rPr>
              <w:t>投标人</w:t>
            </w:r>
            <w:r>
              <w:rPr>
                <w:rFonts w:hint="eastAsia" w:ascii="宋体" w:hAnsi="宋体" w:eastAsia="宋体" w:cs="宋体"/>
                <w:color w:val="000000"/>
                <w:szCs w:val="21"/>
                <w:shd w:val="clear" w:color="auto" w:fill="FFFFFF"/>
              </w:rPr>
              <w:t>具备</w:t>
            </w:r>
            <w:r>
              <w:rPr>
                <w:rFonts w:hint="eastAsia" w:ascii="宋体" w:hAnsi="宋体" w:eastAsia="宋体" w:cs="宋体"/>
                <w:color w:val="000000"/>
                <w:szCs w:val="21"/>
                <w:u w:val="single"/>
                <w:shd w:val="clear" w:color="auto" w:fill="FFFFFF"/>
              </w:rPr>
              <w:t>独立法人资格，具备交通安全设施养护资质（可承担各等级公路交通安全设施的各类养护工程）或公路交通工程专业承包（公路安全设施分项）二级及以上资质的企业</w:t>
            </w:r>
            <w:r>
              <w:rPr>
                <w:rStyle w:val="55"/>
                <w:rFonts w:hint="eastAsia" w:ascii="宋体" w:hAnsi="宋体" w:eastAsia="宋体" w:cs="宋体"/>
                <w:color w:val="000000"/>
                <w:szCs w:val="21"/>
                <w:shd w:val="clear" w:color="auto" w:fill="FFFFFF"/>
              </w:rPr>
              <w:t>资质，并在人员、设备、资金等方面具有相应的施工能力。</w:t>
            </w:r>
          </w:p>
        </w:tc>
      </w:tr>
    </w:tbl>
    <w:p>
      <w:pPr>
        <w:spacing w:before="120" w:after="120"/>
        <w:jc w:val="center"/>
        <w:rPr>
          <w:rFonts w:ascii="宋体" w:hAnsi="宋体" w:eastAsia="宋体" w:cs="宋体"/>
          <w:b/>
          <w:bCs/>
          <w:kern w:val="44"/>
          <w:sz w:val="30"/>
          <w:szCs w:val="30"/>
        </w:rPr>
      </w:pPr>
    </w:p>
    <w:p>
      <w:pPr>
        <w:spacing w:before="120" w:after="120"/>
        <w:jc w:val="center"/>
        <w:rPr>
          <w:rFonts w:ascii="宋体" w:hAnsi="宋体" w:eastAsia="宋体" w:cs="宋体"/>
          <w:b/>
          <w:bCs/>
          <w:kern w:val="44"/>
          <w:sz w:val="30"/>
          <w:szCs w:val="30"/>
        </w:rPr>
      </w:pPr>
    </w:p>
    <w:p>
      <w:pPr>
        <w:spacing w:before="120" w:after="120"/>
        <w:jc w:val="center"/>
        <w:rPr>
          <w:rFonts w:ascii="宋体" w:hAnsi="宋体" w:eastAsia="宋体" w:cs="宋体"/>
          <w:b/>
          <w:bCs/>
          <w:kern w:val="44"/>
          <w:sz w:val="30"/>
          <w:szCs w:val="30"/>
        </w:rPr>
      </w:pPr>
    </w:p>
    <w:p>
      <w:pPr>
        <w:pStyle w:val="3"/>
        <w:spacing w:before="240" w:after="240" w:line="240" w:lineRule="auto"/>
        <w:jc w:val="center"/>
        <w:rPr>
          <w:rFonts w:ascii="宋体" w:hAnsi="宋体"/>
          <w:sz w:val="24"/>
          <w:szCs w:val="24"/>
        </w:rPr>
      </w:pPr>
      <w:bookmarkStart w:id="34" w:name="_Toc173244762"/>
      <w:bookmarkStart w:id="35" w:name="_Toc173246149"/>
      <w:r>
        <w:rPr>
          <w:rFonts w:hint="eastAsia" w:ascii="宋体" w:hAnsi="宋体"/>
          <w:sz w:val="24"/>
          <w:szCs w:val="24"/>
        </w:rPr>
        <w:t>附录2   资格审查条件(财务最低要求)</w:t>
      </w:r>
      <w:bookmarkEnd w:id="34"/>
      <w:bookmarkEnd w:id="35"/>
    </w:p>
    <w:p>
      <w:pPr>
        <w:rPr>
          <w:rFonts w:ascii="宋体" w:hAnsi="宋体" w:eastAsia="宋体" w:cs="宋体"/>
          <w:sz w:val="24"/>
        </w:rPr>
      </w:pPr>
    </w:p>
    <w:tbl>
      <w:tblPr>
        <w:tblStyle w:val="5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43"/>
        <w:gridCol w:w="62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2943"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标段</w:t>
            </w:r>
          </w:p>
        </w:tc>
        <w:tc>
          <w:tcPr>
            <w:tcW w:w="6237"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eastAsia="宋体" w:cs="宋体"/>
                <w:szCs w:val="21"/>
              </w:rPr>
            </w:pPr>
            <w:r>
              <w:rPr>
                <w:rFonts w:hint="eastAsia" w:ascii="宋体" w:hAnsi="宋体" w:eastAsia="宋体" w:cs="宋体"/>
                <w:szCs w:val="21"/>
              </w:rPr>
              <w:t>财 务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2943"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施工标段</w:t>
            </w:r>
          </w:p>
        </w:tc>
        <w:tc>
          <w:tcPr>
            <w:tcW w:w="6237" w:type="dxa"/>
            <w:tcBorders>
              <w:top w:val="single" w:color="auto" w:sz="6" w:space="0"/>
              <w:left w:val="single" w:color="auto" w:sz="6" w:space="0"/>
              <w:bottom w:val="single" w:color="auto" w:sz="12" w:space="0"/>
              <w:right w:val="single" w:color="auto" w:sz="12" w:space="0"/>
            </w:tcBorders>
            <w:vAlign w:val="center"/>
          </w:tcPr>
          <w:p>
            <w:pPr>
              <w:spacing w:line="360" w:lineRule="exact"/>
              <w:rPr>
                <w:rFonts w:ascii="宋体" w:hAnsi="宋体" w:eastAsia="宋体" w:cs="宋体"/>
                <w:szCs w:val="21"/>
              </w:rPr>
            </w:pPr>
            <w:r>
              <w:rPr>
                <w:rFonts w:hint="eastAsia" w:ascii="宋体" w:hAnsi="宋体" w:eastAsia="宋体" w:cs="宋体"/>
                <w:szCs w:val="21"/>
              </w:rPr>
              <w:t xml:space="preserve">    </w:t>
            </w:r>
          </w:p>
          <w:p>
            <w:pPr>
              <w:spacing w:line="360" w:lineRule="exact"/>
              <w:rPr>
                <w:rFonts w:ascii="宋体" w:hAnsi="宋体" w:eastAsia="宋体" w:cs="宋体"/>
                <w:szCs w:val="21"/>
              </w:rPr>
            </w:pPr>
            <w:r>
              <w:rPr>
                <w:rFonts w:hint="eastAsia" w:ascii="宋体" w:hAnsi="宋体" w:eastAsia="宋体" w:cs="宋体"/>
                <w:szCs w:val="21"/>
              </w:rPr>
              <w:t xml:space="preserve">    承诺提供不少于</w:t>
            </w:r>
            <w:r>
              <w:rPr>
                <w:rFonts w:hint="eastAsia" w:ascii="宋体" w:hAnsi="宋体" w:eastAsia="宋体" w:cs="宋体"/>
                <w:b/>
                <w:szCs w:val="21"/>
                <w:u w:val="single"/>
              </w:rPr>
              <w:t>5</w:t>
            </w:r>
            <w:r>
              <w:rPr>
                <w:rFonts w:hint="eastAsia" w:ascii="宋体" w:hAnsi="宋体" w:eastAsia="宋体" w:cs="宋体"/>
                <w:szCs w:val="21"/>
              </w:rPr>
              <w:t>万元人民币的流动资金（由投标人自行决定采用银行信贷证明或财务能力承诺书）。</w:t>
            </w:r>
          </w:p>
          <w:p>
            <w:pPr>
              <w:spacing w:line="360" w:lineRule="exact"/>
              <w:ind w:firstLine="420"/>
              <w:rPr>
                <w:rFonts w:ascii="宋体" w:hAnsi="宋体" w:eastAsia="宋体" w:cs="宋体"/>
                <w:szCs w:val="21"/>
              </w:rPr>
            </w:pPr>
            <w:r>
              <w:rPr>
                <w:rFonts w:hint="eastAsia" w:ascii="宋体" w:hAnsi="宋体" w:eastAsia="宋体" w:cs="宋体"/>
                <w:szCs w:val="21"/>
              </w:rPr>
              <w:t xml:space="preserve"> 若采用银行信贷证明，开具银行信贷证明的银行级别：国有银行或股份制商业银行县（区、市）级及以上银行。</w:t>
            </w:r>
          </w:p>
          <w:p>
            <w:pPr>
              <w:spacing w:line="360" w:lineRule="exact"/>
              <w:ind w:firstLine="420"/>
              <w:rPr>
                <w:rFonts w:ascii="宋体" w:hAnsi="宋体" w:eastAsia="宋体" w:cs="宋体"/>
                <w:szCs w:val="21"/>
              </w:rPr>
            </w:pPr>
          </w:p>
        </w:tc>
      </w:tr>
    </w:tbl>
    <w:p>
      <w:pPr>
        <w:rPr>
          <w:rFonts w:ascii="宋体" w:hAnsi="宋体" w:eastAsia="宋体" w:cs="宋体"/>
          <w:sz w:val="24"/>
        </w:rPr>
      </w:pPr>
    </w:p>
    <w:p>
      <w:pPr>
        <w:widowControl/>
        <w:jc w:val="left"/>
        <w:rPr>
          <w:rFonts w:ascii="宋体" w:hAnsi="宋体" w:eastAsia="宋体" w:cs="宋体"/>
          <w:sz w:val="24"/>
        </w:rPr>
      </w:pPr>
      <w:r>
        <w:rPr>
          <w:rFonts w:ascii="宋体" w:hAnsi="宋体" w:eastAsia="宋体" w:cs="宋体"/>
          <w:sz w:val="24"/>
        </w:rPr>
        <w:br w:type="page"/>
      </w:r>
    </w:p>
    <w:p>
      <w:pPr>
        <w:pStyle w:val="3"/>
        <w:spacing w:before="240" w:after="240" w:line="240" w:lineRule="auto"/>
        <w:jc w:val="center"/>
        <w:rPr>
          <w:rFonts w:ascii="宋体" w:hAnsi="宋体"/>
          <w:sz w:val="24"/>
          <w:szCs w:val="24"/>
        </w:rPr>
      </w:pPr>
      <w:bookmarkStart w:id="36" w:name="_Toc173244763"/>
      <w:bookmarkStart w:id="37" w:name="_Toc173246150"/>
      <w:r>
        <w:rPr>
          <w:rFonts w:hint="eastAsia" w:ascii="宋体" w:hAnsi="宋体"/>
          <w:sz w:val="24"/>
          <w:szCs w:val="24"/>
        </w:rPr>
        <w:t>附录3   资格审查条件(业绩最低要求)</w:t>
      </w:r>
      <w:bookmarkEnd w:id="36"/>
      <w:bookmarkEnd w:id="37"/>
    </w:p>
    <w:p>
      <w:pPr>
        <w:rPr>
          <w:rFonts w:ascii="宋体" w:hAnsi="宋体" w:eastAsia="宋体" w:cs="宋体"/>
          <w:sz w:val="24"/>
        </w:rPr>
      </w:pPr>
    </w:p>
    <w:tbl>
      <w:tblPr>
        <w:tblStyle w:val="5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43"/>
        <w:gridCol w:w="62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2943"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标段</w:t>
            </w:r>
          </w:p>
        </w:tc>
        <w:tc>
          <w:tcPr>
            <w:tcW w:w="6237"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eastAsia="宋体" w:cs="宋体"/>
                <w:szCs w:val="21"/>
              </w:rPr>
            </w:pPr>
            <w:r>
              <w:rPr>
                <w:rFonts w:hint="eastAsia" w:ascii="宋体" w:hAnsi="宋体" w:eastAsia="宋体" w:cs="宋体"/>
                <w:szCs w:val="21"/>
              </w:rPr>
              <w:t>业 绩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5" w:hRule="atLeast"/>
        </w:trPr>
        <w:tc>
          <w:tcPr>
            <w:tcW w:w="2943"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施工标段</w:t>
            </w:r>
          </w:p>
        </w:tc>
        <w:tc>
          <w:tcPr>
            <w:tcW w:w="6237" w:type="dxa"/>
            <w:tcBorders>
              <w:top w:val="single" w:color="auto" w:sz="6" w:space="0"/>
              <w:left w:val="single" w:color="auto" w:sz="6" w:space="0"/>
              <w:bottom w:val="single" w:color="auto" w:sz="12" w:space="0"/>
              <w:right w:val="single" w:color="auto" w:sz="12"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w:t>
            </w:r>
          </w:p>
        </w:tc>
      </w:tr>
    </w:tbl>
    <w:p>
      <w:pPr>
        <w:spacing w:line="360" w:lineRule="exact"/>
        <w:rPr>
          <w:rFonts w:ascii="宋体" w:hAnsi="宋体" w:eastAsia="宋体" w:cs="宋体"/>
          <w:szCs w:val="21"/>
        </w:rPr>
      </w:pPr>
      <w:r>
        <w:rPr>
          <w:rFonts w:hint="eastAsia" w:ascii="宋体" w:hAnsi="宋体" w:eastAsia="宋体" w:cs="宋体"/>
          <w:szCs w:val="21"/>
        </w:rPr>
        <w:t>注：投标人应在“第九章投标文件格式”的“</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以来完成的主要类似项目情况表”后附：(1)中标通知书复印件；(2)合同协议书复印件；(3)质量证明文件（由发包人出具的工程（标段）交工验收证书或竣工验收委员会出具的工程竣工验收鉴定书或质量监督机构对各参建单位签发的工作综合评价等级证书）的复印件；（4）从“浙江省交通运输厅建设市场诚信信息系统”中打印的含有该系统水印的《主要业绩信息一览表》。</w:t>
      </w:r>
    </w:p>
    <w:p>
      <w:pPr>
        <w:spacing w:line="360" w:lineRule="exact"/>
        <w:rPr>
          <w:rFonts w:ascii="宋体" w:hAnsi="宋体" w:eastAsia="宋体" w:cs="宋体"/>
          <w:szCs w:val="21"/>
        </w:rPr>
      </w:pPr>
    </w:p>
    <w:p>
      <w:pPr>
        <w:spacing w:line="360" w:lineRule="exact"/>
        <w:rPr>
          <w:rFonts w:ascii="宋体" w:hAnsi="宋体" w:eastAsia="宋体" w:cs="宋体"/>
          <w:szCs w:val="21"/>
        </w:rPr>
      </w:pPr>
    </w:p>
    <w:p>
      <w:pPr>
        <w:spacing w:line="360" w:lineRule="exact"/>
        <w:rPr>
          <w:rFonts w:ascii="宋体" w:hAnsi="宋体" w:eastAsia="宋体" w:cs="宋体"/>
          <w:szCs w:val="21"/>
        </w:rPr>
      </w:pPr>
    </w:p>
    <w:p>
      <w:pPr>
        <w:pStyle w:val="3"/>
        <w:spacing w:before="240" w:after="240" w:line="240" w:lineRule="auto"/>
        <w:jc w:val="center"/>
        <w:rPr>
          <w:rFonts w:ascii="宋体" w:hAnsi="宋体"/>
          <w:sz w:val="24"/>
          <w:szCs w:val="24"/>
        </w:rPr>
      </w:pPr>
      <w:bookmarkStart w:id="38" w:name="_Toc173244764"/>
      <w:bookmarkStart w:id="39" w:name="_Toc173246151"/>
      <w:r>
        <w:rPr>
          <w:rFonts w:hint="eastAsia" w:ascii="宋体" w:hAnsi="宋体"/>
          <w:sz w:val="24"/>
          <w:szCs w:val="24"/>
        </w:rPr>
        <w:t>附录4   资格审查条件(信誉最低要求)</w:t>
      </w:r>
      <w:bookmarkEnd w:id="38"/>
      <w:bookmarkEnd w:id="39"/>
    </w:p>
    <w:p>
      <w:pPr>
        <w:rPr>
          <w:rFonts w:ascii="宋体" w:hAnsi="宋体" w:eastAsia="宋体" w:cs="宋体"/>
          <w:sz w:val="24"/>
        </w:rPr>
      </w:pPr>
    </w:p>
    <w:tbl>
      <w:tblPr>
        <w:tblStyle w:val="5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43"/>
        <w:gridCol w:w="6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2943"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标段</w:t>
            </w:r>
          </w:p>
        </w:tc>
        <w:tc>
          <w:tcPr>
            <w:tcW w:w="6465"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eastAsia="宋体" w:cs="宋体"/>
                <w:szCs w:val="21"/>
              </w:rPr>
            </w:pPr>
            <w:r>
              <w:rPr>
                <w:rFonts w:hint="eastAsia" w:ascii="宋体" w:hAnsi="宋体" w:eastAsia="宋体" w:cs="宋体"/>
                <w:szCs w:val="21"/>
              </w:rPr>
              <w:t>信 誉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2943"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施工标段</w:t>
            </w:r>
          </w:p>
        </w:tc>
        <w:tc>
          <w:tcPr>
            <w:tcW w:w="6465" w:type="dxa"/>
            <w:tcBorders>
              <w:top w:val="single" w:color="auto" w:sz="6" w:space="0"/>
              <w:left w:val="single" w:color="auto" w:sz="6" w:space="0"/>
              <w:bottom w:val="single" w:color="auto" w:sz="12" w:space="0"/>
              <w:right w:val="single" w:color="auto" w:sz="12" w:space="0"/>
            </w:tcBorders>
            <w:vAlign w:val="center"/>
          </w:tcPr>
          <w:p>
            <w:pPr>
              <w:spacing w:line="360" w:lineRule="exact"/>
              <w:rPr>
                <w:color w:val="000000"/>
                <w:szCs w:val="21"/>
              </w:rPr>
            </w:pPr>
            <w:r>
              <w:rPr>
                <w:rFonts w:hint="eastAsia"/>
                <w:color w:val="000000"/>
                <w:szCs w:val="21"/>
              </w:rPr>
              <w:t>不存在</w:t>
            </w:r>
            <w:r>
              <w:rPr>
                <w:color w:val="000000"/>
                <w:szCs w:val="21"/>
              </w:rPr>
              <w:t>投标人须知第1.4.3</w:t>
            </w:r>
            <w:r>
              <w:rPr>
                <w:rFonts w:hint="eastAsia"/>
                <w:color w:val="000000"/>
                <w:szCs w:val="21"/>
              </w:rPr>
              <w:t>及1.4.4</w:t>
            </w:r>
            <w:r>
              <w:rPr>
                <w:color w:val="000000"/>
                <w:szCs w:val="21"/>
              </w:rPr>
              <w:t>项的情形</w:t>
            </w:r>
            <w:r>
              <w:rPr>
                <w:rFonts w:hint="eastAsia"/>
                <w:color w:val="000000"/>
                <w:szCs w:val="21"/>
              </w:rPr>
              <w:t>。</w:t>
            </w:r>
          </w:p>
        </w:tc>
      </w:tr>
    </w:tbl>
    <w:p>
      <w:pPr>
        <w:rPr>
          <w:rFonts w:ascii="宋体" w:hAnsi="宋体" w:eastAsia="宋体" w:cs="宋体"/>
          <w:szCs w:val="21"/>
        </w:rPr>
      </w:pPr>
      <w:r>
        <w:rPr>
          <w:rFonts w:hint="eastAsia"/>
          <w:color w:val="000000"/>
          <w:szCs w:val="21"/>
        </w:rPr>
        <w:t>注：投标人应在“投标文件格式”的“投标人的信誉情况表”后附投标人在国家企业信用信息公示系统中未被列入严重违法失信企业名单、在“信用中国”网站中未被列入失信被执行人名单的网页截图。</w:t>
      </w:r>
    </w:p>
    <w:p>
      <w:pPr>
        <w:rPr>
          <w:rFonts w:ascii="宋体" w:hAnsi="宋体" w:eastAsia="宋体" w:cs="宋体"/>
          <w:szCs w:val="21"/>
        </w:rPr>
      </w:pPr>
      <w:r>
        <w:rPr>
          <w:rFonts w:hint="eastAsia" w:ascii="宋体" w:hAnsi="宋体" w:eastAsia="宋体" w:cs="宋体"/>
          <w:szCs w:val="21"/>
        </w:rPr>
        <w:br w:type="page"/>
      </w:r>
    </w:p>
    <w:p>
      <w:pPr>
        <w:pStyle w:val="3"/>
        <w:spacing w:before="240" w:after="240" w:line="240" w:lineRule="auto"/>
        <w:jc w:val="center"/>
        <w:rPr>
          <w:rFonts w:ascii="宋体" w:hAnsi="宋体"/>
          <w:sz w:val="24"/>
          <w:szCs w:val="24"/>
        </w:rPr>
      </w:pPr>
      <w:bookmarkStart w:id="40" w:name="_Toc173244765"/>
      <w:bookmarkStart w:id="41" w:name="_Toc173246152"/>
      <w:r>
        <w:rPr>
          <w:rFonts w:hint="eastAsia" w:ascii="宋体" w:hAnsi="宋体"/>
          <w:sz w:val="24"/>
          <w:szCs w:val="24"/>
        </w:rPr>
        <w:t>附录5   资格审查条件(项目经理、项目技术负责人和安全负责人最低要求)</w:t>
      </w:r>
      <w:bookmarkEnd w:id="40"/>
      <w:bookmarkEnd w:id="41"/>
    </w:p>
    <w:tbl>
      <w:tblPr>
        <w:tblStyle w:val="52"/>
        <w:tblW w:w="92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51"/>
        <w:gridCol w:w="1134"/>
        <w:gridCol w:w="61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exact"/>
        </w:trPr>
        <w:tc>
          <w:tcPr>
            <w:tcW w:w="1951"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人  员</w:t>
            </w:r>
          </w:p>
        </w:tc>
        <w:tc>
          <w:tcPr>
            <w:tcW w:w="1134"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数  量</w:t>
            </w:r>
          </w:p>
        </w:tc>
        <w:tc>
          <w:tcPr>
            <w:tcW w:w="6154"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eastAsia="宋体" w:cs="宋体"/>
                <w:szCs w:val="21"/>
              </w:rPr>
            </w:pPr>
            <w:r>
              <w:rPr>
                <w:rFonts w:hint="eastAsia" w:ascii="宋体" w:hAnsi="宋体" w:eastAsia="宋体" w:cs="宋体"/>
                <w:szCs w:val="21"/>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951"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项目经理</w:t>
            </w: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1</w:t>
            </w:r>
          </w:p>
        </w:tc>
        <w:tc>
          <w:tcPr>
            <w:tcW w:w="6154" w:type="dxa"/>
            <w:tcBorders>
              <w:top w:val="single" w:color="auto" w:sz="6" w:space="0"/>
              <w:left w:val="single" w:color="auto" w:sz="6" w:space="0"/>
              <w:bottom w:val="single" w:color="auto" w:sz="6" w:space="0"/>
              <w:right w:val="single" w:color="auto" w:sz="12" w:space="0"/>
            </w:tcBorders>
            <w:vAlign w:val="center"/>
          </w:tcPr>
          <w:p>
            <w:pPr>
              <w:spacing w:line="340" w:lineRule="exact"/>
              <w:rPr>
                <w:szCs w:val="21"/>
              </w:rPr>
            </w:pPr>
            <w:r>
              <w:rPr>
                <w:szCs w:val="21"/>
              </w:rPr>
              <w:t>1、</w:t>
            </w:r>
            <w:r>
              <w:rPr>
                <w:rFonts w:hint="eastAsia"/>
                <w:szCs w:val="21"/>
              </w:rPr>
              <w:t>具</w:t>
            </w:r>
            <w:r>
              <w:rPr>
                <w:szCs w:val="21"/>
              </w:rPr>
              <w:t>有</w:t>
            </w:r>
            <w:r>
              <w:rPr>
                <w:szCs w:val="21"/>
                <w:u w:val="single"/>
              </w:rPr>
              <w:t>公路工程专业</w:t>
            </w:r>
            <w:r>
              <w:rPr>
                <w:rFonts w:hint="eastAsia"/>
                <w:szCs w:val="21"/>
                <w:u w:val="single"/>
              </w:rPr>
              <w:t>二级及以上</w:t>
            </w:r>
            <w:r>
              <w:rPr>
                <w:szCs w:val="21"/>
              </w:rPr>
              <w:t>注册建造师证书，</w:t>
            </w:r>
            <w:r>
              <w:rPr>
                <w:rFonts w:hint="eastAsia"/>
                <w:szCs w:val="21"/>
                <w:u w:val="single"/>
              </w:rPr>
              <w:t>公路工程相关专业中级及以上</w:t>
            </w:r>
            <w:r>
              <w:rPr>
                <w:szCs w:val="21"/>
              </w:rPr>
              <w:t>技术职称</w:t>
            </w:r>
            <w:r>
              <w:rPr>
                <w:rFonts w:hint="eastAsia"/>
                <w:szCs w:val="21"/>
              </w:rPr>
              <w:t>。</w:t>
            </w:r>
          </w:p>
          <w:p>
            <w:pPr>
              <w:spacing w:line="340" w:lineRule="exact"/>
              <w:rPr>
                <w:szCs w:val="21"/>
              </w:rPr>
            </w:pPr>
            <w:r>
              <w:rPr>
                <w:szCs w:val="21"/>
              </w:rPr>
              <w:t>2、</w:t>
            </w:r>
            <w:r>
              <w:rPr>
                <w:rFonts w:hint="eastAsia"/>
                <w:szCs w:val="21"/>
              </w:rPr>
              <w:t>有</w:t>
            </w:r>
            <w:r>
              <w:rPr>
                <w:szCs w:val="21"/>
              </w:rPr>
              <w:t>效期内的</w:t>
            </w:r>
            <w:r>
              <w:rPr>
                <w:rFonts w:hint="eastAsia"/>
                <w:szCs w:val="21"/>
              </w:rPr>
              <w:t>交通工程专业施工</w:t>
            </w:r>
            <w:r>
              <w:rPr>
                <w:szCs w:val="21"/>
              </w:rPr>
              <w:t>企业项目负责人安全生产考核合格证书（B类）。</w:t>
            </w:r>
          </w:p>
          <w:p>
            <w:pPr>
              <w:spacing w:line="340" w:lineRule="exact"/>
              <w:rPr>
                <w:color w:val="000000"/>
                <w:szCs w:val="21"/>
              </w:rPr>
            </w:pPr>
            <w:r>
              <w:rPr>
                <w:rFonts w:hint="eastAsia"/>
                <w:szCs w:val="21"/>
              </w:rPr>
              <w:t>3、</w:t>
            </w:r>
            <w:r>
              <w:rPr>
                <w:szCs w:val="21"/>
              </w:rPr>
              <w:t>拟任项目经理投标截止日未在其他在建合同工程中任项目经理(包括设计施工总承包项目中的施工负责人)。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1" w:hRule="atLeast"/>
        </w:trPr>
        <w:tc>
          <w:tcPr>
            <w:tcW w:w="1951" w:type="dxa"/>
            <w:tcBorders>
              <w:top w:val="single" w:color="auto" w:sz="6" w:space="0"/>
              <w:left w:val="single" w:color="auto" w:sz="12" w:space="0"/>
              <w:bottom w:val="single" w:color="auto" w:sz="6" w:space="0"/>
              <w:right w:val="single" w:color="auto" w:sz="6" w:space="0"/>
            </w:tcBorders>
            <w:vAlign w:val="center"/>
          </w:tcPr>
          <w:p>
            <w:pPr>
              <w:spacing w:line="360" w:lineRule="exact"/>
              <w:ind w:firstLine="210" w:firstLineChars="100"/>
              <w:rPr>
                <w:rFonts w:ascii="宋体" w:hAnsi="宋体" w:eastAsia="宋体" w:cs="宋体"/>
                <w:szCs w:val="21"/>
              </w:rPr>
            </w:pPr>
            <w:r>
              <w:rPr>
                <w:rFonts w:hint="eastAsia" w:ascii="宋体" w:hAnsi="宋体" w:eastAsia="宋体" w:cs="宋体"/>
                <w:szCs w:val="21"/>
              </w:rPr>
              <w:t>项目技术负责人</w:t>
            </w: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1</w:t>
            </w:r>
          </w:p>
        </w:tc>
        <w:tc>
          <w:tcPr>
            <w:tcW w:w="6154" w:type="dxa"/>
            <w:tcBorders>
              <w:top w:val="single" w:color="auto" w:sz="6" w:space="0"/>
              <w:left w:val="single" w:color="auto" w:sz="6" w:space="0"/>
              <w:bottom w:val="single" w:color="auto" w:sz="6" w:space="0"/>
              <w:right w:val="single" w:color="auto" w:sz="12" w:space="0"/>
            </w:tcBorders>
            <w:vAlign w:val="center"/>
          </w:tcPr>
          <w:p>
            <w:pPr>
              <w:spacing w:line="340" w:lineRule="exact"/>
              <w:rPr>
                <w:szCs w:val="21"/>
              </w:rPr>
            </w:pPr>
            <w:r>
              <w:rPr>
                <w:rFonts w:hint="eastAsia"/>
                <w:szCs w:val="21"/>
              </w:rPr>
              <w:t>1、</w:t>
            </w:r>
            <w:r>
              <w:rPr>
                <w:szCs w:val="21"/>
              </w:rPr>
              <w:t>具有</w:t>
            </w:r>
            <w:r>
              <w:rPr>
                <w:rFonts w:hint="eastAsia"/>
                <w:szCs w:val="21"/>
                <w:u w:val="single"/>
              </w:rPr>
              <w:t>公路工程相关专业中级及以上</w:t>
            </w:r>
            <w:r>
              <w:rPr>
                <w:szCs w:val="21"/>
              </w:rPr>
              <w:t>技术职称。</w:t>
            </w:r>
          </w:p>
          <w:p>
            <w:pPr>
              <w:spacing w:line="340" w:lineRule="exact"/>
              <w:rPr>
                <w:szCs w:val="21"/>
              </w:rPr>
            </w:pPr>
            <w:r>
              <w:rPr>
                <w:rFonts w:hint="eastAsia"/>
                <w:szCs w:val="21"/>
              </w:rPr>
              <w:t>2、</w:t>
            </w:r>
            <w:r>
              <w:rPr>
                <w:szCs w:val="21"/>
              </w:rPr>
              <w:t>有效期内的</w:t>
            </w:r>
            <w:r>
              <w:rPr>
                <w:rFonts w:hint="eastAsia"/>
                <w:szCs w:val="21"/>
              </w:rPr>
              <w:t>交通工程专业</w:t>
            </w:r>
            <w:r>
              <w:rPr>
                <w:szCs w:val="21"/>
              </w:rPr>
              <w:t xml:space="preserve">施工企业项目负责人安全生产考核合格证书(B类) </w:t>
            </w: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1" w:hRule="atLeast"/>
        </w:trPr>
        <w:tc>
          <w:tcPr>
            <w:tcW w:w="1951" w:type="dxa"/>
            <w:tcBorders>
              <w:top w:val="single" w:color="auto" w:sz="6" w:space="0"/>
              <w:left w:val="single" w:color="auto" w:sz="12" w:space="0"/>
              <w:bottom w:val="single" w:color="auto" w:sz="12" w:space="0"/>
              <w:right w:val="single" w:color="auto" w:sz="6" w:space="0"/>
            </w:tcBorders>
            <w:vAlign w:val="center"/>
          </w:tcPr>
          <w:p>
            <w:pPr>
              <w:jc w:val="center"/>
              <w:rPr>
                <w:color w:val="000000"/>
                <w:szCs w:val="21"/>
              </w:rPr>
            </w:pPr>
            <w:r>
              <w:rPr>
                <w:color w:val="000000"/>
                <w:szCs w:val="21"/>
              </w:rPr>
              <w:t>安全负责人</w:t>
            </w:r>
          </w:p>
        </w:tc>
        <w:tc>
          <w:tcPr>
            <w:tcW w:w="1134" w:type="dxa"/>
            <w:tcBorders>
              <w:top w:val="single" w:color="auto" w:sz="6" w:space="0"/>
              <w:left w:val="single" w:color="auto" w:sz="6" w:space="0"/>
              <w:bottom w:val="single" w:color="auto" w:sz="12" w:space="0"/>
              <w:right w:val="single" w:color="auto" w:sz="6" w:space="0"/>
            </w:tcBorders>
            <w:vAlign w:val="center"/>
          </w:tcPr>
          <w:p>
            <w:pPr>
              <w:jc w:val="center"/>
              <w:rPr>
                <w:color w:val="000000"/>
                <w:szCs w:val="21"/>
              </w:rPr>
            </w:pPr>
            <w:r>
              <w:rPr>
                <w:color w:val="000000"/>
                <w:szCs w:val="21"/>
              </w:rPr>
              <w:t>1</w:t>
            </w:r>
          </w:p>
        </w:tc>
        <w:tc>
          <w:tcPr>
            <w:tcW w:w="6154" w:type="dxa"/>
            <w:tcBorders>
              <w:top w:val="single" w:color="auto" w:sz="6" w:space="0"/>
              <w:left w:val="single" w:color="auto" w:sz="6" w:space="0"/>
              <w:bottom w:val="single" w:color="auto" w:sz="12" w:space="0"/>
              <w:right w:val="single" w:color="auto" w:sz="12" w:space="0"/>
            </w:tcBorders>
            <w:vAlign w:val="center"/>
          </w:tcPr>
          <w:p>
            <w:pPr>
              <w:spacing w:line="340" w:lineRule="exact"/>
              <w:rPr>
                <w:szCs w:val="21"/>
              </w:rPr>
            </w:pPr>
            <w:r>
              <w:rPr>
                <w:szCs w:val="21"/>
              </w:rPr>
              <w:t>有效期内的</w:t>
            </w:r>
            <w:r>
              <w:rPr>
                <w:rFonts w:hint="eastAsia"/>
                <w:szCs w:val="21"/>
              </w:rPr>
              <w:t>交通工程专业</w:t>
            </w:r>
            <w:r>
              <w:rPr>
                <w:szCs w:val="21"/>
              </w:rPr>
              <w:t>施工企业专职安全生产管理人员安全生产考核合格证书(C类) 。</w:t>
            </w:r>
          </w:p>
        </w:tc>
      </w:tr>
    </w:tbl>
    <w:p>
      <w:pPr>
        <w:spacing w:before="31" w:line="377" w:lineRule="auto"/>
        <w:ind w:right="127"/>
        <w:rPr>
          <w:szCs w:val="21"/>
        </w:rPr>
      </w:pPr>
      <w:r>
        <w:rPr>
          <w:szCs w:val="21"/>
        </w:rPr>
        <w:t>注：1</w:t>
      </w:r>
      <w:r>
        <w:rPr>
          <w:rFonts w:hint="eastAsia"/>
          <w:szCs w:val="21"/>
        </w:rPr>
        <w:t>.</w:t>
      </w:r>
      <w:r>
        <w:rPr>
          <w:szCs w:val="21"/>
        </w:rPr>
        <w:t>在建合同工程的开始时间为该合同工程中标通知书发出之日(不通过招标方式的，开始时间为合同签订之日) ，结束时间为该合同工程通过交工验收或合同解除之日。</w:t>
      </w:r>
    </w:p>
    <w:p>
      <w:pPr>
        <w:spacing w:before="31" w:line="377" w:lineRule="auto"/>
        <w:ind w:right="127"/>
        <w:rPr>
          <w:szCs w:val="21"/>
        </w:rPr>
      </w:pPr>
      <w:r>
        <w:rPr>
          <w:szCs w:val="21"/>
        </w:rPr>
        <w:t>2.拟委任项目经理是否有“在建合同工程”按以下原则认定：</w:t>
      </w:r>
    </w:p>
    <w:p>
      <w:pPr>
        <w:spacing w:before="31" w:line="377" w:lineRule="auto"/>
        <w:ind w:right="127"/>
        <w:rPr>
          <w:szCs w:val="21"/>
        </w:rPr>
      </w:pPr>
      <w:r>
        <w:rPr>
          <w:szCs w:val="21"/>
        </w:rPr>
        <w:t>(1).若该合同工程协议书尚未签订，则其中标通知书中明确的项目经理和备选项目经理均视为有 “在建合同工程”；</w:t>
      </w:r>
    </w:p>
    <w:p>
      <w:pPr>
        <w:spacing w:before="31" w:line="377" w:lineRule="auto"/>
        <w:ind w:right="127"/>
        <w:rPr>
          <w:szCs w:val="21"/>
        </w:rPr>
      </w:pPr>
      <w:r>
        <w:rPr>
          <w:szCs w:val="21"/>
        </w:rPr>
        <w:t>(2).若该合同工程协议书已签订的，则仅合同协议书中明确的项目经理视为有“在建合同工程”。</w:t>
      </w:r>
    </w:p>
    <w:p>
      <w:pPr>
        <w:spacing w:before="31" w:line="377" w:lineRule="auto"/>
        <w:ind w:right="127"/>
        <w:rPr>
          <w:szCs w:val="21"/>
        </w:rPr>
      </w:pPr>
      <w:r>
        <w:rPr>
          <w:szCs w:val="21"/>
        </w:rPr>
        <w:t>(3).该合同工程未通过验收或合同解除前，合同协议书中明确的项目经理已经更换的，则现任项目经理视为有“在建合同工程”，同时应在投标文件中附该合同工程项目发包人的同意更换证明材料，否则更换前后的项目经理均视为有“在建合同工程”。</w:t>
      </w:r>
    </w:p>
    <w:p>
      <w:pPr>
        <w:spacing w:before="31" w:line="377" w:lineRule="auto"/>
        <w:ind w:right="127"/>
        <w:rPr>
          <w:szCs w:val="21"/>
        </w:rPr>
      </w:pPr>
      <w:r>
        <w:rPr>
          <w:szCs w:val="21"/>
        </w:rPr>
        <w:t>3. “在建合同工程”范围：包括在中华人民共和国境内所有建设工程，不受地域、行业和投资性质的限制。</w:t>
      </w:r>
    </w:p>
    <w:p>
      <w:pPr>
        <w:spacing w:before="31" w:line="377" w:lineRule="auto"/>
        <w:ind w:right="127"/>
        <w:rPr>
          <w:szCs w:val="21"/>
        </w:rPr>
      </w:pPr>
      <w:r>
        <w:rPr>
          <w:szCs w:val="21"/>
        </w:rPr>
        <w:t xml:space="preserve">4.所附资料见投标人须知前附表 3.5 项规定。 </w:t>
      </w:r>
    </w:p>
    <w:p>
      <w:pPr>
        <w:spacing w:before="31" w:line="377" w:lineRule="auto"/>
        <w:ind w:right="127"/>
        <w:rPr>
          <w:szCs w:val="21"/>
        </w:rPr>
      </w:pPr>
      <w:r>
        <w:rPr>
          <w:rFonts w:hint="eastAsia"/>
          <w:szCs w:val="21"/>
        </w:rPr>
        <w:t>5.（1）投标人拟派项目经理的一级建造师注册证书，须提供电子证书打印件的复印件。投标人一级建造师电子证书须执行住房和城乡建设部的文件（建办市〔2021〕40号）的相关规定。一级建造师电子证书打印后，应在个人签名处手写本人签名，未手写签名或与签名图像笔迹不一致的，该电子证书无效。（2）若投标人拟派项目经理为二级建造师的，可提供纸质证书复印件或电子证书打印件的复印件。</w:t>
      </w:r>
    </w:p>
    <w:p>
      <w:pPr>
        <w:rPr>
          <w:rFonts w:ascii="宋体" w:hAnsi="宋体"/>
          <w:b/>
          <w:sz w:val="28"/>
          <w:szCs w:val="28"/>
        </w:rPr>
      </w:pPr>
      <w:bookmarkStart w:id="42" w:name="_Toc25083"/>
    </w:p>
    <w:p>
      <w:pPr>
        <w:widowControl/>
        <w:jc w:val="left"/>
        <w:rPr>
          <w:rFonts w:ascii="宋体" w:hAnsi="宋体"/>
          <w:b/>
          <w:sz w:val="28"/>
          <w:szCs w:val="28"/>
        </w:rPr>
      </w:pPr>
      <w:r>
        <w:rPr>
          <w:rFonts w:ascii="宋体" w:hAnsi="宋体"/>
          <w:b/>
          <w:sz w:val="28"/>
          <w:szCs w:val="28"/>
        </w:rPr>
        <w:br w:type="page"/>
      </w:r>
    </w:p>
    <w:p>
      <w:pPr>
        <w:rPr>
          <w:rFonts w:ascii="宋体" w:hAnsi="宋体"/>
          <w:b/>
          <w:sz w:val="28"/>
          <w:szCs w:val="28"/>
        </w:rPr>
      </w:pPr>
    </w:p>
    <w:p>
      <w:pPr>
        <w:rPr>
          <w:rFonts w:ascii="宋体" w:hAnsi="宋体"/>
          <w:b/>
          <w:sz w:val="28"/>
          <w:szCs w:val="28"/>
        </w:rPr>
      </w:pPr>
      <w:r>
        <w:rPr>
          <w:rFonts w:hint="eastAsia" w:ascii="宋体" w:hAnsi="宋体"/>
          <w:b/>
          <w:sz w:val="28"/>
          <w:szCs w:val="28"/>
        </w:rPr>
        <w:t>1. 总则</w:t>
      </w:r>
      <w:bookmarkEnd w:id="42"/>
    </w:p>
    <w:p>
      <w:pPr>
        <w:pStyle w:val="3"/>
        <w:spacing w:before="0" w:after="0" w:line="460" w:lineRule="exact"/>
        <w:rPr>
          <w:rFonts w:ascii="宋体" w:hAnsi="宋体"/>
          <w:sz w:val="21"/>
          <w:szCs w:val="21"/>
        </w:rPr>
      </w:pPr>
      <w:bookmarkStart w:id="43" w:name="_Toc10596"/>
      <w:bookmarkStart w:id="44" w:name="_Toc173244766"/>
      <w:bookmarkStart w:id="45" w:name="_Toc173246153"/>
      <w:r>
        <w:rPr>
          <w:rFonts w:hint="eastAsia" w:ascii="宋体" w:hAnsi="宋体"/>
          <w:sz w:val="21"/>
          <w:szCs w:val="21"/>
        </w:rPr>
        <w:t>1.1 项目概况</w:t>
      </w:r>
      <w:bookmarkEnd w:id="43"/>
      <w:bookmarkEnd w:id="44"/>
      <w:bookmarkEnd w:id="45"/>
    </w:p>
    <w:p>
      <w:pPr>
        <w:spacing w:line="460" w:lineRule="exact"/>
        <w:ind w:firstLine="420" w:firstLineChars="200"/>
        <w:rPr>
          <w:rFonts w:ascii="宋体" w:hAnsi="宋体" w:eastAsia="宋体" w:cs="宋体"/>
          <w:szCs w:val="21"/>
        </w:rPr>
      </w:pPr>
      <w:r>
        <w:rPr>
          <w:rFonts w:hint="eastAsia" w:ascii="宋体" w:hAnsi="宋体" w:eastAsia="宋体" w:cs="宋体"/>
          <w:szCs w:val="21"/>
        </w:rPr>
        <w:t>1.1.1根据《中华人民共和国招标投标法》等有关法律、法规和规章的规定，本招标项目已具备招标条件，现对本标段施工进行招标。</w:t>
      </w:r>
    </w:p>
    <w:p>
      <w:pPr>
        <w:spacing w:line="460" w:lineRule="exact"/>
        <w:ind w:firstLine="420" w:firstLineChars="200"/>
        <w:rPr>
          <w:rFonts w:ascii="宋体" w:hAnsi="宋体" w:eastAsia="宋体" w:cs="宋体"/>
          <w:szCs w:val="21"/>
        </w:rPr>
      </w:pPr>
      <w:r>
        <w:rPr>
          <w:rFonts w:hint="eastAsia" w:ascii="宋体" w:hAnsi="宋体" w:eastAsia="宋体" w:cs="宋体"/>
          <w:szCs w:val="21"/>
        </w:rPr>
        <w:t>1.1.2 本招标项目发包人：见投标人须知前附表。</w:t>
      </w:r>
    </w:p>
    <w:p>
      <w:pPr>
        <w:spacing w:line="460" w:lineRule="exact"/>
        <w:ind w:firstLine="420" w:firstLineChars="200"/>
        <w:rPr>
          <w:rFonts w:ascii="宋体" w:hAnsi="宋体" w:eastAsia="宋体" w:cs="宋体"/>
          <w:szCs w:val="21"/>
        </w:rPr>
      </w:pPr>
      <w:r>
        <w:rPr>
          <w:rFonts w:hint="eastAsia" w:ascii="宋体" w:hAnsi="宋体" w:eastAsia="宋体" w:cs="宋体"/>
          <w:szCs w:val="21"/>
        </w:rPr>
        <w:t>1.1.3 本标段招标代理机构：见投标人须知前附表。</w:t>
      </w:r>
    </w:p>
    <w:p>
      <w:pPr>
        <w:spacing w:line="460" w:lineRule="exact"/>
        <w:ind w:firstLine="420" w:firstLineChars="200"/>
        <w:rPr>
          <w:rFonts w:ascii="宋体" w:hAnsi="宋体" w:eastAsia="宋体" w:cs="宋体"/>
          <w:szCs w:val="21"/>
        </w:rPr>
      </w:pPr>
      <w:r>
        <w:rPr>
          <w:rFonts w:hint="eastAsia" w:ascii="宋体" w:hAnsi="宋体" w:eastAsia="宋体" w:cs="宋体"/>
          <w:szCs w:val="21"/>
        </w:rPr>
        <w:t>1.1.4 本招标项目名称：见投标人须知前附表。</w:t>
      </w:r>
    </w:p>
    <w:p>
      <w:pPr>
        <w:spacing w:line="460" w:lineRule="exact"/>
        <w:ind w:firstLine="420" w:firstLineChars="200"/>
        <w:rPr>
          <w:rFonts w:ascii="宋体" w:hAnsi="宋体" w:eastAsia="宋体" w:cs="宋体"/>
          <w:szCs w:val="21"/>
        </w:rPr>
      </w:pPr>
      <w:r>
        <w:rPr>
          <w:rFonts w:hint="eastAsia" w:ascii="宋体" w:hAnsi="宋体" w:eastAsia="宋体" w:cs="宋体"/>
          <w:szCs w:val="21"/>
        </w:rPr>
        <w:t>1.1.5 本标段建设地点：见投标人须知前附表。</w:t>
      </w:r>
    </w:p>
    <w:p>
      <w:pPr>
        <w:pStyle w:val="3"/>
        <w:spacing w:before="0" w:after="0" w:line="460" w:lineRule="exact"/>
        <w:rPr>
          <w:rFonts w:ascii="宋体" w:hAnsi="宋体"/>
          <w:sz w:val="21"/>
          <w:szCs w:val="21"/>
        </w:rPr>
      </w:pPr>
      <w:bookmarkStart w:id="46" w:name="_Toc21899"/>
      <w:bookmarkStart w:id="47" w:name="_Toc173244767"/>
      <w:bookmarkStart w:id="48" w:name="_Toc173246154"/>
      <w:r>
        <w:rPr>
          <w:rFonts w:hint="eastAsia" w:ascii="宋体" w:hAnsi="宋体"/>
          <w:sz w:val="21"/>
          <w:szCs w:val="21"/>
        </w:rPr>
        <w:t>1.2 资金来源和落实情况</w:t>
      </w:r>
      <w:bookmarkEnd w:id="46"/>
      <w:bookmarkEnd w:id="47"/>
      <w:bookmarkEnd w:id="48"/>
    </w:p>
    <w:p>
      <w:pPr>
        <w:spacing w:line="460" w:lineRule="exact"/>
        <w:ind w:firstLine="420" w:firstLineChars="200"/>
        <w:rPr>
          <w:rFonts w:ascii="宋体" w:hAnsi="宋体" w:eastAsia="宋体" w:cs="宋体"/>
          <w:szCs w:val="21"/>
        </w:rPr>
      </w:pPr>
      <w:r>
        <w:rPr>
          <w:rFonts w:hint="eastAsia" w:ascii="宋体" w:hAnsi="宋体" w:eastAsia="宋体" w:cs="宋体"/>
          <w:szCs w:val="21"/>
        </w:rPr>
        <w:t>1.2.1 本招标项目的资金来源：见投标人须知前附表。</w:t>
      </w:r>
    </w:p>
    <w:p>
      <w:pPr>
        <w:spacing w:line="460" w:lineRule="exact"/>
        <w:ind w:firstLine="420" w:firstLineChars="200"/>
        <w:rPr>
          <w:rFonts w:ascii="宋体" w:hAnsi="宋体" w:eastAsia="宋体" w:cs="宋体"/>
          <w:szCs w:val="21"/>
        </w:rPr>
      </w:pPr>
      <w:r>
        <w:rPr>
          <w:rFonts w:hint="eastAsia" w:ascii="宋体" w:hAnsi="宋体" w:eastAsia="宋体" w:cs="宋体"/>
          <w:szCs w:val="21"/>
        </w:rPr>
        <w:t>1.2.2 本招标项目的出资比例：见投标人须知前附表。</w:t>
      </w:r>
    </w:p>
    <w:p>
      <w:pPr>
        <w:spacing w:line="460" w:lineRule="exact"/>
        <w:ind w:firstLine="420" w:firstLineChars="200"/>
        <w:rPr>
          <w:rFonts w:ascii="宋体" w:hAnsi="宋体" w:eastAsia="宋体" w:cs="宋体"/>
          <w:szCs w:val="21"/>
        </w:rPr>
      </w:pPr>
      <w:r>
        <w:rPr>
          <w:rFonts w:hint="eastAsia" w:ascii="宋体" w:hAnsi="宋体" w:eastAsia="宋体" w:cs="宋体"/>
          <w:szCs w:val="21"/>
        </w:rPr>
        <w:t>1.2.3 本招标项目的资金落实情况：见投标人须知前附表。</w:t>
      </w:r>
    </w:p>
    <w:p>
      <w:pPr>
        <w:pStyle w:val="3"/>
        <w:spacing w:before="0" w:after="0" w:line="460" w:lineRule="exact"/>
        <w:rPr>
          <w:rFonts w:ascii="宋体" w:hAnsi="宋体"/>
          <w:sz w:val="21"/>
          <w:szCs w:val="21"/>
        </w:rPr>
      </w:pPr>
      <w:bookmarkStart w:id="49" w:name="_Toc29023"/>
      <w:bookmarkStart w:id="50" w:name="_Toc173244768"/>
      <w:bookmarkStart w:id="51" w:name="_Toc173246155"/>
      <w:r>
        <w:rPr>
          <w:rFonts w:hint="eastAsia" w:ascii="宋体" w:hAnsi="宋体"/>
          <w:sz w:val="21"/>
          <w:szCs w:val="21"/>
        </w:rPr>
        <w:t>1.3 招标范围、计划工期和质量要求</w:t>
      </w:r>
      <w:bookmarkEnd w:id="49"/>
      <w:bookmarkEnd w:id="50"/>
      <w:bookmarkEnd w:id="51"/>
    </w:p>
    <w:p>
      <w:pPr>
        <w:spacing w:line="460" w:lineRule="exact"/>
        <w:ind w:firstLine="420" w:firstLineChars="200"/>
        <w:rPr>
          <w:rFonts w:ascii="宋体" w:hAnsi="宋体" w:eastAsia="宋体" w:cs="宋体"/>
          <w:szCs w:val="21"/>
        </w:rPr>
      </w:pPr>
      <w:r>
        <w:rPr>
          <w:rFonts w:hint="eastAsia" w:ascii="宋体" w:hAnsi="宋体" w:eastAsia="宋体" w:cs="宋体"/>
          <w:szCs w:val="21"/>
        </w:rPr>
        <w:t>1.3.1 本次招标范围：见投标人须知前附表。</w:t>
      </w:r>
    </w:p>
    <w:p>
      <w:pPr>
        <w:spacing w:line="460" w:lineRule="exact"/>
        <w:ind w:firstLine="420" w:firstLineChars="200"/>
        <w:rPr>
          <w:rFonts w:ascii="宋体" w:hAnsi="宋体" w:eastAsia="宋体" w:cs="宋体"/>
          <w:szCs w:val="21"/>
        </w:rPr>
      </w:pPr>
      <w:r>
        <w:rPr>
          <w:rFonts w:hint="eastAsia" w:ascii="宋体" w:hAnsi="宋体" w:eastAsia="宋体" w:cs="宋体"/>
          <w:szCs w:val="21"/>
        </w:rPr>
        <w:t>1.3.2 本标段的计划工期：见投标人须知前附表。</w:t>
      </w:r>
    </w:p>
    <w:p>
      <w:pPr>
        <w:spacing w:line="460" w:lineRule="exact"/>
        <w:ind w:firstLine="420" w:firstLineChars="200"/>
        <w:rPr>
          <w:rFonts w:ascii="宋体" w:hAnsi="宋体" w:eastAsia="宋体" w:cs="宋体"/>
          <w:szCs w:val="21"/>
        </w:rPr>
      </w:pPr>
      <w:r>
        <w:rPr>
          <w:rFonts w:hint="eastAsia" w:ascii="宋体" w:hAnsi="宋体" w:eastAsia="宋体" w:cs="宋体"/>
          <w:szCs w:val="21"/>
        </w:rPr>
        <w:t>1.3.3 本标段的质量要求：见投标人须知前附表。</w:t>
      </w:r>
    </w:p>
    <w:p>
      <w:pPr>
        <w:spacing w:line="460" w:lineRule="exact"/>
        <w:ind w:firstLine="420" w:firstLineChars="200"/>
        <w:rPr>
          <w:rFonts w:ascii="宋体" w:hAnsi="宋体" w:eastAsia="宋体" w:cs="宋体"/>
          <w:szCs w:val="21"/>
        </w:rPr>
      </w:pPr>
      <w:r>
        <w:rPr>
          <w:rFonts w:hint="eastAsia" w:ascii="宋体" w:hAnsi="宋体"/>
          <w:color w:val="000000"/>
          <w:szCs w:val="21"/>
        </w:rPr>
        <w:t>1.3.4 本标段的安全目标：见投标人须知前附表。</w:t>
      </w:r>
    </w:p>
    <w:p>
      <w:pPr>
        <w:pStyle w:val="3"/>
        <w:spacing w:before="0" w:after="0" w:line="460" w:lineRule="exact"/>
        <w:rPr>
          <w:rFonts w:ascii="宋体" w:hAnsi="宋体"/>
          <w:sz w:val="21"/>
          <w:szCs w:val="21"/>
        </w:rPr>
      </w:pPr>
      <w:bookmarkStart w:id="52" w:name="_Toc1726"/>
      <w:bookmarkStart w:id="53" w:name="_Toc173244769"/>
      <w:bookmarkStart w:id="54" w:name="_Toc173246156"/>
      <w:r>
        <w:rPr>
          <w:rFonts w:hint="eastAsia" w:ascii="宋体" w:hAnsi="宋体"/>
          <w:sz w:val="21"/>
          <w:szCs w:val="21"/>
        </w:rPr>
        <w:t>1.4 投标人资格要求</w:t>
      </w:r>
      <w:bookmarkEnd w:id="52"/>
      <w:bookmarkEnd w:id="53"/>
      <w:bookmarkEnd w:id="54"/>
    </w:p>
    <w:p>
      <w:pPr>
        <w:spacing w:line="460" w:lineRule="exact"/>
        <w:ind w:firstLine="420" w:firstLineChars="200"/>
        <w:rPr>
          <w:rFonts w:ascii="宋体" w:hAnsi="宋体" w:eastAsia="宋体" w:cs="宋体"/>
          <w:szCs w:val="21"/>
        </w:rPr>
      </w:pPr>
      <w:r>
        <w:rPr>
          <w:rFonts w:hint="eastAsia" w:ascii="宋体" w:hAnsi="宋体" w:eastAsia="宋体" w:cs="宋体"/>
          <w:szCs w:val="21"/>
        </w:rPr>
        <w:t>1.4.1 投标人应具备承担本标段施工的资质条件、能力和信誉。</w:t>
      </w:r>
    </w:p>
    <w:p>
      <w:pPr>
        <w:spacing w:line="460" w:lineRule="exact"/>
        <w:ind w:firstLine="420" w:firstLineChars="200"/>
        <w:rPr>
          <w:rFonts w:ascii="宋体" w:hAnsi="宋体" w:eastAsia="宋体" w:cs="宋体"/>
          <w:szCs w:val="21"/>
        </w:rPr>
      </w:pPr>
      <w:r>
        <w:rPr>
          <w:rFonts w:hint="eastAsia" w:ascii="宋体" w:hAnsi="宋体" w:eastAsia="宋体" w:cs="宋体"/>
          <w:szCs w:val="21"/>
        </w:rPr>
        <w:t>（1）资质条件：见投标人须知前附表；</w:t>
      </w:r>
    </w:p>
    <w:p>
      <w:pPr>
        <w:spacing w:line="460" w:lineRule="exact"/>
        <w:ind w:firstLine="420" w:firstLineChars="200"/>
        <w:rPr>
          <w:rFonts w:ascii="宋体" w:hAnsi="宋体" w:eastAsia="宋体" w:cs="宋体"/>
          <w:szCs w:val="21"/>
        </w:rPr>
      </w:pPr>
      <w:r>
        <w:rPr>
          <w:rFonts w:hint="eastAsia" w:ascii="宋体" w:hAnsi="宋体" w:eastAsia="宋体" w:cs="宋体"/>
          <w:szCs w:val="21"/>
        </w:rPr>
        <w:t>（2）财务要求：见投标人须知前附表；</w:t>
      </w:r>
    </w:p>
    <w:p>
      <w:pPr>
        <w:spacing w:line="460" w:lineRule="exact"/>
        <w:ind w:firstLine="420" w:firstLineChars="200"/>
        <w:rPr>
          <w:rFonts w:ascii="宋体" w:hAnsi="宋体" w:eastAsia="宋体" w:cs="宋体"/>
          <w:szCs w:val="21"/>
        </w:rPr>
      </w:pPr>
      <w:r>
        <w:rPr>
          <w:rFonts w:hint="eastAsia" w:ascii="宋体" w:hAnsi="宋体" w:eastAsia="宋体" w:cs="宋体"/>
          <w:szCs w:val="21"/>
        </w:rPr>
        <w:t>（3）业绩要求：见投标人须知前附表；</w:t>
      </w:r>
    </w:p>
    <w:p>
      <w:pPr>
        <w:spacing w:line="460" w:lineRule="exact"/>
        <w:ind w:firstLine="420" w:firstLineChars="200"/>
        <w:rPr>
          <w:rFonts w:ascii="宋体" w:hAnsi="宋体" w:eastAsia="宋体" w:cs="宋体"/>
          <w:szCs w:val="21"/>
        </w:rPr>
      </w:pPr>
      <w:r>
        <w:rPr>
          <w:rFonts w:hint="eastAsia" w:ascii="宋体" w:hAnsi="宋体" w:eastAsia="宋体" w:cs="宋体"/>
          <w:szCs w:val="21"/>
        </w:rPr>
        <w:t>（4）信誉要求：见投标人须知前附表;</w:t>
      </w:r>
    </w:p>
    <w:p>
      <w:pPr>
        <w:spacing w:line="460" w:lineRule="exact"/>
        <w:ind w:firstLine="420" w:firstLineChars="200"/>
        <w:rPr>
          <w:rFonts w:ascii="宋体" w:hAnsi="宋体" w:eastAsia="宋体" w:cs="宋体"/>
          <w:szCs w:val="21"/>
        </w:rPr>
      </w:pPr>
      <w:r>
        <w:rPr>
          <w:rFonts w:hint="eastAsia" w:ascii="宋体" w:hAnsi="宋体" w:eastAsia="宋体" w:cs="宋体"/>
          <w:szCs w:val="21"/>
        </w:rPr>
        <w:t>（5）</w:t>
      </w:r>
      <w:r>
        <w:rPr>
          <w:rFonts w:hint="eastAsia"/>
          <w:szCs w:val="21"/>
        </w:rPr>
        <w:t>项目经理、项目技术负责人和安全负责人资格：见投标人须知前附表</w:t>
      </w:r>
      <w:r>
        <w:rPr>
          <w:rFonts w:hint="eastAsia" w:ascii="宋体" w:hAnsi="宋体" w:eastAsia="宋体" w:cs="宋体"/>
          <w:szCs w:val="21"/>
        </w:rPr>
        <w:t>；</w:t>
      </w:r>
    </w:p>
    <w:p>
      <w:pPr>
        <w:spacing w:line="460" w:lineRule="exact"/>
        <w:ind w:firstLine="420" w:firstLineChars="200"/>
        <w:rPr>
          <w:rFonts w:ascii="宋体" w:hAnsi="宋体" w:eastAsia="宋体" w:cs="宋体"/>
          <w:szCs w:val="21"/>
        </w:rPr>
      </w:pPr>
      <w:r>
        <w:rPr>
          <w:rFonts w:hint="eastAsia" w:ascii="宋体" w:hAnsi="宋体" w:eastAsia="宋体" w:cs="宋体"/>
          <w:szCs w:val="21"/>
        </w:rPr>
        <w:t>（6）其他要求：见投标人须知前附表。</w:t>
      </w:r>
    </w:p>
    <w:p>
      <w:pPr>
        <w:spacing w:line="460" w:lineRule="exact"/>
        <w:ind w:firstLine="420" w:firstLineChars="200"/>
        <w:rPr>
          <w:rFonts w:ascii="宋体" w:hAnsi="宋体" w:eastAsia="宋体" w:cs="宋体"/>
          <w:szCs w:val="21"/>
        </w:rPr>
      </w:pPr>
      <w:r>
        <w:rPr>
          <w:rFonts w:hint="eastAsia" w:ascii="宋体" w:hAnsi="宋体" w:eastAsia="宋体" w:cs="宋体"/>
          <w:szCs w:val="21"/>
        </w:rPr>
        <w:t>1.4.2 投标人须知前附表规定接受联合体投标的，除应符合本章第1.4.1项和投标人须知前附表的要求外，还应遵守以下规定：</w:t>
      </w:r>
    </w:p>
    <w:p>
      <w:pPr>
        <w:spacing w:line="460" w:lineRule="exact"/>
        <w:ind w:firstLine="420" w:firstLineChars="200"/>
        <w:rPr>
          <w:rFonts w:ascii="宋体" w:hAnsi="宋体" w:eastAsia="宋体" w:cs="宋体"/>
          <w:szCs w:val="21"/>
        </w:rPr>
      </w:pPr>
      <w:r>
        <w:rPr>
          <w:rFonts w:hint="eastAsia" w:ascii="宋体" w:hAnsi="宋体" w:eastAsia="宋体" w:cs="宋体"/>
          <w:szCs w:val="21"/>
        </w:rPr>
        <w:t>（1）联合体各方应按招标文件提供的格式签订联合体协议书，明确联合体牵头人和各方权利义务；</w:t>
      </w:r>
    </w:p>
    <w:p>
      <w:pPr>
        <w:spacing w:line="460" w:lineRule="exact"/>
        <w:ind w:firstLine="420" w:firstLineChars="200"/>
        <w:rPr>
          <w:rFonts w:ascii="宋体" w:hAnsi="宋体" w:eastAsia="宋体" w:cs="宋体"/>
          <w:szCs w:val="21"/>
        </w:rPr>
      </w:pPr>
      <w:r>
        <w:rPr>
          <w:rFonts w:hint="eastAsia" w:ascii="宋体" w:hAnsi="宋体" w:eastAsia="宋体" w:cs="宋体"/>
          <w:szCs w:val="21"/>
        </w:rPr>
        <w:t>（2）由同一专业的单位组成的联合体，按照资质等级较低的单位确定资质等级；</w:t>
      </w:r>
    </w:p>
    <w:p>
      <w:pPr>
        <w:spacing w:line="460" w:lineRule="exact"/>
        <w:ind w:firstLine="420" w:firstLineChars="200"/>
        <w:rPr>
          <w:rFonts w:ascii="宋体" w:hAnsi="宋体" w:eastAsia="宋体" w:cs="宋体"/>
          <w:szCs w:val="21"/>
        </w:rPr>
      </w:pPr>
      <w:r>
        <w:rPr>
          <w:rFonts w:hint="eastAsia" w:ascii="宋体" w:hAnsi="宋体" w:eastAsia="宋体" w:cs="宋体"/>
          <w:szCs w:val="21"/>
        </w:rPr>
        <w:t>（3）联合体各方不得再以自己名义单独或参加其他联合体在同一标段中投标；</w:t>
      </w:r>
    </w:p>
    <w:p>
      <w:pPr>
        <w:spacing w:line="460" w:lineRule="exact"/>
        <w:ind w:firstLine="420" w:firstLineChars="200"/>
        <w:rPr>
          <w:rFonts w:ascii="宋体" w:hAnsi="宋体" w:eastAsia="宋体" w:cs="宋体"/>
          <w:szCs w:val="21"/>
        </w:rPr>
      </w:pPr>
      <w:r>
        <w:rPr>
          <w:rFonts w:hint="eastAsia" w:ascii="宋体" w:hAnsi="宋体" w:eastAsia="宋体" w:cs="宋体"/>
          <w:szCs w:val="21"/>
        </w:rPr>
        <w:t>（4）联合体所有成员数量不得超过投标人须知前附表规定的数量；</w:t>
      </w:r>
    </w:p>
    <w:p>
      <w:pPr>
        <w:spacing w:line="460" w:lineRule="exact"/>
        <w:ind w:firstLine="420" w:firstLineChars="200"/>
        <w:rPr>
          <w:rFonts w:ascii="宋体" w:hAnsi="宋体" w:eastAsia="宋体" w:cs="宋体"/>
          <w:szCs w:val="21"/>
        </w:rPr>
      </w:pPr>
      <w:r>
        <w:rPr>
          <w:rFonts w:hint="eastAsia" w:ascii="宋体" w:hAnsi="宋体" w:eastAsia="宋体" w:cs="宋体"/>
          <w:szCs w:val="21"/>
        </w:rPr>
        <w:t>（5）联合体牵头人所承担的工程量必须超过总工程量的50%；</w:t>
      </w:r>
    </w:p>
    <w:p>
      <w:pPr>
        <w:spacing w:line="460" w:lineRule="exact"/>
        <w:ind w:firstLine="420" w:firstLineChars="200"/>
        <w:rPr>
          <w:rFonts w:ascii="宋体" w:hAnsi="宋体" w:eastAsia="宋体" w:cs="宋体"/>
          <w:szCs w:val="21"/>
        </w:rPr>
      </w:pPr>
      <w:r>
        <w:rPr>
          <w:rFonts w:hint="eastAsia" w:ascii="宋体" w:hAnsi="宋体" w:eastAsia="宋体" w:cs="宋体"/>
          <w:szCs w:val="21"/>
        </w:rPr>
        <w:t>（6）联合体各方应分别按照本招标文件的要求，填写投标文件中的相应表格，并由联合体牵头人负责对联合体各成员的资料进行统一汇总后一并提交给发包人；联合体牵头人所提交的投标文件应认为已代表了联合体各成员的真实情况；</w:t>
      </w:r>
    </w:p>
    <w:p>
      <w:pPr>
        <w:spacing w:line="460" w:lineRule="exact"/>
        <w:ind w:firstLine="420" w:firstLineChars="200"/>
        <w:rPr>
          <w:rFonts w:ascii="宋体" w:hAnsi="宋体" w:eastAsia="宋体" w:cs="宋体"/>
          <w:szCs w:val="21"/>
        </w:rPr>
      </w:pPr>
      <w:r>
        <w:rPr>
          <w:rFonts w:hint="eastAsia" w:ascii="宋体" w:hAnsi="宋体" w:eastAsia="宋体" w:cs="宋体"/>
          <w:szCs w:val="21"/>
        </w:rPr>
        <w:t>（7）尽管委任了联合体牵头人，但联合体各成员在投标、签约与履行合同过程中，仍负有连带的和各自的法律责任。</w:t>
      </w:r>
    </w:p>
    <w:p>
      <w:pPr>
        <w:spacing w:line="360" w:lineRule="auto"/>
        <w:ind w:firstLine="420" w:firstLineChars="200"/>
        <w:jc w:val="left"/>
        <w:rPr>
          <w:szCs w:val="21"/>
        </w:rPr>
      </w:pPr>
      <w:bookmarkStart w:id="55" w:name="_Toc28412"/>
      <w:r>
        <w:rPr>
          <w:szCs w:val="21"/>
        </w:rPr>
        <w:t xml:space="preserve">1.4.3 </w:t>
      </w:r>
      <w:r>
        <w:rPr>
          <w:rFonts w:hint="eastAsia"/>
          <w:szCs w:val="21"/>
        </w:rPr>
        <w:t>投标人（包括联合体各成员）不得与本标段相关单位存在下列关联情形：</w:t>
      </w:r>
    </w:p>
    <w:p>
      <w:pPr>
        <w:spacing w:line="360" w:lineRule="auto"/>
        <w:ind w:firstLine="420" w:firstLineChars="200"/>
        <w:jc w:val="left"/>
        <w:rPr>
          <w:szCs w:val="21"/>
        </w:rPr>
      </w:pPr>
      <w:r>
        <w:rPr>
          <w:rFonts w:hint="eastAsia"/>
          <w:szCs w:val="21"/>
        </w:rPr>
        <w:t>（</w:t>
      </w:r>
      <w:r>
        <w:rPr>
          <w:szCs w:val="21"/>
        </w:rPr>
        <w:t>1</w:t>
      </w:r>
      <w:r>
        <w:rPr>
          <w:rFonts w:hint="eastAsia"/>
          <w:szCs w:val="21"/>
        </w:rPr>
        <w:t>）为招标人不具有独立法人资格的附属机构（单位）；</w:t>
      </w:r>
    </w:p>
    <w:p>
      <w:pPr>
        <w:spacing w:line="360" w:lineRule="auto"/>
        <w:ind w:firstLine="420" w:firstLineChars="200"/>
        <w:jc w:val="left"/>
        <w:rPr>
          <w:szCs w:val="21"/>
        </w:rPr>
      </w:pPr>
      <w:r>
        <w:rPr>
          <w:rFonts w:hint="eastAsia"/>
          <w:szCs w:val="21"/>
        </w:rPr>
        <w:t>（</w:t>
      </w:r>
      <w:r>
        <w:rPr>
          <w:szCs w:val="21"/>
        </w:rPr>
        <w:t>2</w:t>
      </w:r>
      <w:r>
        <w:rPr>
          <w:rFonts w:hint="eastAsia"/>
          <w:szCs w:val="21"/>
        </w:rPr>
        <w:t>）与招标人存在利害关系且可能影响招标公正性；</w:t>
      </w:r>
    </w:p>
    <w:p>
      <w:pPr>
        <w:spacing w:line="360" w:lineRule="auto"/>
        <w:ind w:firstLine="420" w:firstLineChars="200"/>
        <w:jc w:val="left"/>
        <w:rPr>
          <w:szCs w:val="21"/>
        </w:rPr>
      </w:pPr>
      <w:r>
        <w:rPr>
          <w:rFonts w:hint="eastAsia"/>
          <w:szCs w:val="21"/>
        </w:rPr>
        <w:t>（</w:t>
      </w:r>
      <w:r>
        <w:rPr>
          <w:szCs w:val="21"/>
        </w:rPr>
        <w:t>3</w:t>
      </w:r>
      <w:r>
        <w:rPr>
          <w:rFonts w:hint="eastAsia"/>
          <w:szCs w:val="21"/>
        </w:rPr>
        <w:t>）与本标段的其他投标人同为一个单位负责人；</w:t>
      </w:r>
    </w:p>
    <w:p>
      <w:pPr>
        <w:spacing w:line="360" w:lineRule="auto"/>
        <w:ind w:firstLine="420" w:firstLineChars="200"/>
        <w:jc w:val="left"/>
        <w:rPr>
          <w:szCs w:val="21"/>
        </w:rPr>
      </w:pPr>
      <w:r>
        <w:rPr>
          <w:rFonts w:hint="eastAsia"/>
          <w:szCs w:val="21"/>
        </w:rPr>
        <w:t>（</w:t>
      </w:r>
      <w:r>
        <w:rPr>
          <w:szCs w:val="21"/>
        </w:rPr>
        <w:t>4</w:t>
      </w:r>
      <w:r>
        <w:rPr>
          <w:rFonts w:hint="eastAsia"/>
          <w:szCs w:val="21"/>
        </w:rPr>
        <w:t>）与本标段的其他投标人存在控股（含法定代表人控股）、管理关系；</w:t>
      </w:r>
    </w:p>
    <w:p>
      <w:pPr>
        <w:spacing w:line="360" w:lineRule="auto"/>
        <w:ind w:firstLine="420" w:firstLineChars="200"/>
        <w:jc w:val="left"/>
        <w:rPr>
          <w:szCs w:val="21"/>
        </w:rPr>
      </w:pPr>
      <w:r>
        <w:rPr>
          <w:rFonts w:hint="eastAsia"/>
          <w:szCs w:val="21"/>
        </w:rPr>
        <w:t>（</w:t>
      </w:r>
      <w:r>
        <w:rPr>
          <w:szCs w:val="21"/>
        </w:rPr>
        <w:t>5</w:t>
      </w:r>
      <w:r>
        <w:rPr>
          <w:rFonts w:hint="eastAsia"/>
          <w:szCs w:val="21"/>
        </w:rPr>
        <w:t>）为本标段前期准备提供设计或咨询服务的法人或其他任何附属机构（单位）；</w:t>
      </w:r>
    </w:p>
    <w:p>
      <w:pPr>
        <w:spacing w:line="360" w:lineRule="auto"/>
        <w:ind w:firstLine="420" w:firstLineChars="200"/>
        <w:jc w:val="left"/>
        <w:rPr>
          <w:szCs w:val="21"/>
        </w:rPr>
      </w:pPr>
      <w:r>
        <w:rPr>
          <w:rFonts w:hint="eastAsia"/>
          <w:szCs w:val="21"/>
        </w:rPr>
        <w:t>（</w:t>
      </w:r>
      <w:r>
        <w:rPr>
          <w:szCs w:val="21"/>
        </w:rPr>
        <w:t>6</w:t>
      </w:r>
      <w:r>
        <w:rPr>
          <w:rFonts w:hint="eastAsia"/>
          <w:szCs w:val="21"/>
        </w:rPr>
        <w:t>）为本标段的监理人；</w:t>
      </w:r>
    </w:p>
    <w:p>
      <w:pPr>
        <w:spacing w:line="360" w:lineRule="auto"/>
        <w:ind w:firstLine="420" w:firstLineChars="200"/>
        <w:jc w:val="left"/>
        <w:rPr>
          <w:szCs w:val="21"/>
        </w:rPr>
      </w:pPr>
      <w:r>
        <w:rPr>
          <w:rFonts w:hint="eastAsia"/>
          <w:szCs w:val="21"/>
        </w:rPr>
        <w:t>（</w:t>
      </w:r>
      <w:r>
        <w:rPr>
          <w:szCs w:val="21"/>
        </w:rPr>
        <w:t>7</w:t>
      </w:r>
      <w:r>
        <w:rPr>
          <w:rFonts w:hint="eastAsia"/>
          <w:szCs w:val="21"/>
        </w:rPr>
        <w:t>）为本标段的代建人；</w:t>
      </w:r>
    </w:p>
    <w:p>
      <w:pPr>
        <w:spacing w:line="360" w:lineRule="auto"/>
        <w:ind w:firstLine="420" w:firstLineChars="200"/>
        <w:jc w:val="left"/>
        <w:rPr>
          <w:szCs w:val="21"/>
        </w:rPr>
      </w:pPr>
      <w:r>
        <w:rPr>
          <w:rFonts w:hint="eastAsia"/>
          <w:szCs w:val="21"/>
        </w:rPr>
        <w:t>（</w:t>
      </w:r>
      <w:r>
        <w:rPr>
          <w:szCs w:val="21"/>
        </w:rPr>
        <w:t>8</w:t>
      </w:r>
      <w:r>
        <w:rPr>
          <w:rFonts w:hint="eastAsia"/>
          <w:szCs w:val="21"/>
        </w:rPr>
        <w:t>）为本标段的招标代理机构；</w:t>
      </w:r>
    </w:p>
    <w:p>
      <w:pPr>
        <w:spacing w:line="360" w:lineRule="auto"/>
        <w:ind w:firstLine="420" w:firstLineChars="200"/>
        <w:jc w:val="left"/>
        <w:rPr>
          <w:szCs w:val="21"/>
        </w:rPr>
      </w:pPr>
      <w:r>
        <w:rPr>
          <w:rFonts w:hint="eastAsia"/>
          <w:szCs w:val="21"/>
        </w:rPr>
        <w:t>（</w:t>
      </w:r>
      <w:r>
        <w:rPr>
          <w:szCs w:val="21"/>
        </w:rPr>
        <w:t>9</w:t>
      </w:r>
      <w:r>
        <w:rPr>
          <w:rFonts w:hint="eastAsia"/>
          <w:szCs w:val="21"/>
        </w:rPr>
        <w:t>）与本标段的监理人或代建人或招标代理机构同为一个法定代表人；</w:t>
      </w:r>
    </w:p>
    <w:p>
      <w:pPr>
        <w:spacing w:line="360" w:lineRule="auto"/>
        <w:ind w:firstLine="420" w:firstLineChars="200"/>
        <w:jc w:val="left"/>
        <w:rPr>
          <w:szCs w:val="21"/>
        </w:rPr>
      </w:pPr>
      <w:r>
        <w:rPr>
          <w:rFonts w:hint="eastAsia"/>
          <w:szCs w:val="21"/>
        </w:rPr>
        <w:t>（</w:t>
      </w:r>
      <w:r>
        <w:rPr>
          <w:szCs w:val="21"/>
        </w:rPr>
        <w:t>10</w:t>
      </w:r>
      <w:r>
        <w:rPr>
          <w:rFonts w:hint="eastAsia"/>
          <w:szCs w:val="21"/>
        </w:rPr>
        <w:t>）与本标段的监理人或代建人或招标代理机构存在控股或参股关系；</w:t>
      </w:r>
    </w:p>
    <w:p>
      <w:pPr>
        <w:spacing w:line="360" w:lineRule="auto"/>
        <w:ind w:firstLine="420" w:firstLineChars="200"/>
        <w:jc w:val="left"/>
        <w:rPr>
          <w:szCs w:val="21"/>
        </w:rPr>
      </w:pPr>
      <w:r>
        <w:rPr>
          <w:rFonts w:hint="eastAsia"/>
          <w:szCs w:val="21"/>
        </w:rPr>
        <w:t>（</w:t>
      </w:r>
      <w:r>
        <w:rPr>
          <w:szCs w:val="21"/>
        </w:rPr>
        <w:t>11</w:t>
      </w:r>
      <w:r>
        <w:rPr>
          <w:rFonts w:hint="eastAsia"/>
          <w:szCs w:val="21"/>
        </w:rPr>
        <w:t>）法律法规或投标人须知前附表规定的其他情形。</w:t>
      </w:r>
    </w:p>
    <w:p>
      <w:pPr>
        <w:spacing w:line="360" w:lineRule="auto"/>
        <w:ind w:firstLine="420" w:firstLineChars="200"/>
        <w:jc w:val="left"/>
        <w:rPr>
          <w:szCs w:val="21"/>
        </w:rPr>
      </w:pPr>
      <w:r>
        <w:rPr>
          <w:szCs w:val="21"/>
        </w:rPr>
        <w:t xml:space="preserve">1.4.4 </w:t>
      </w:r>
      <w:r>
        <w:rPr>
          <w:rFonts w:hint="eastAsia"/>
          <w:szCs w:val="21"/>
        </w:rPr>
        <w:t>投标人（包括联合体各成员）不得存在下列不良状况或不良信用记录：</w:t>
      </w:r>
    </w:p>
    <w:p>
      <w:pPr>
        <w:spacing w:line="360" w:lineRule="auto"/>
        <w:ind w:firstLine="420" w:firstLineChars="200"/>
        <w:jc w:val="left"/>
        <w:rPr>
          <w:szCs w:val="21"/>
        </w:rPr>
      </w:pPr>
      <w:r>
        <w:rPr>
          <w:rFonts w:hint="eastAsia"/>
          <w:szCs w:val="21"/>
        </w:rPr>
        <w:t>（</w:t>
      </w:r>
      <w:r>
        <w:rPr>
          <w:szCs w:val="21"/>
        </w:rPr>
        <w:t>1</w:t>
      </w:r>
      <w:r>
        <w:rPr>
          <w:rFonts w:hint="eastAsia"/>
          <w:szCs w:val="21"/>
        </w:rPr>
        <w:t>）被交通运输部、浙江省交通运输厅、浙江省发展和改革委员会取消投标资格或禁止进入浙江省建设市场且处于有效期内的；</w:t>
      </w:r>
    </w:p>
    <w:p>
      <w:pPr>
        <w:spacing w:line="360" w:lineRule="auto"/>
        <w:ind w:firstLine="420" w:firstLineChars="200"/>
        <w:jc w:val="left"/>
        <w:rPr>
          <w:szCs w:val="21"/>
        </w:rPr>
      </w:pPr>
      <w:r>
        <w:rPr>
          <w:rFonts w:hint="eastAsia"/>
          <w:szCs w:val="21"/>
        </w:rPr>
        <w:t>（</w:t>
      </w:r>
      <w:r>
        <w:rPr>
          <w:szCs w:val="21"/>
        </w:rPr>
        <w:t>2</w:t>
      </w:r>
      <w:r>
        <w:rPr>
          <w:rFonts w:hint="eastAsia"/>
          <w:szCs w:val="21"/>
        </w:rPr>
        <w:t>）被责令停业，暂扣或吊销执照，或吊销资质证书；</w:t>
      </w:r>
    </w:p>
    <w:p>
      <w:pPr>
        <w:spacing w:line="360" w:lineRule="auto"/>
        <w:ind w:firstLine="420" w:firstLineChars="200"/>
        <w:jc w:val="left"/>
        <w:rPr>
          <w:szCs w:val="21"/>
        </w:rPr>
      </w:pPr>
      <w:r>
        <w:rPr>
          <w:rFonts w:hint="eastAsia"/>
          <w:szCs w:val="21"/>
        </w:rPr>
        <w:t>（</w:t>
      </w:r>
      <w:r>
        <w:rPr>
          <w:szCs w:val="21"/>
        </w:rPr>
        <w:t>3</w:t>
      </w:r>
      <w:r>
        <w:rPr>
          <w:rFonts w:hint="eastAsia"/>
          <w:szCs w:val="21"/>
        </w:rPr>
        <w:t>）进入清算程序，或被宣告破产，或其他丧失履约能力的情形；</w:t>
      </w:r>
    </w:p>
    <w:p>
      <w:pPr>
        <w:spacing w:line="360" w:lineRule="auto"/>
        <w:ind w:firstLine="420" w:firstLineChars="200"/>
        <w:jc w:val="left"/>
        <w:rPr>
          <w:szCs w:val="21"/>
        </w:rPr>
      </w:pPr>
      <w:r>
        <w:rPr>
          <w:rFonts w:hint="eastAsia"/>
          <w:szCs w:val="21"/>
        </w:rPr>
        <w:t>（</w:t>
      </w:r>
      <w:r>
        <w:rPr>
          <w:szCs w:val="21"/>
        </w:rPr>
        <w:t>4</w:t>
      </w:r>
      <w:r>
        <w:rPr>
          <w:rFonts w:hint="eastAsia"/>
          <w:szCs w:val="21"/>
        </w:rPr>
        <w:t>）在国家企业信用信息公示系统（</w:t>
      </w:r>
      <w:r>
        <w:fldChar w:fldCharType="begin"/>
      </w:r>
      <w:r>
        <w:instrText xml:space="preserve"> HYPERLINK "http://www.gsxt.gov.cn" </w:instrText>
      </w:r>
      <w:r>
        <w:fldChar w:fldCharType="separate"/>
      </w:r>
      <w:r>
        <w:t>http://www.gsxt.gov.cn</w:t>
      </w:r>
      <w:r>
        <w:fldChar w:fldCharType="end"/>
      </w:r>
      <w:r>
        <w:rPr>
          <w:rFonts w:hint="eastAsia"/>
          <w:szCs w:val="21"/>
        </w:rPr>
        <w:t>）中被列入严重违法失信企业名单；</w:t>
      </w:r>
    </w:p>
    <w:p>
      <w:pPr>
        <w:spacing w:line="360" w:lineRule="auto"/>
        <w:ind w:firstLine="420" w:firstLineChars="200"/>
        <w:jc w:val="left"/>
        <w:rPr>
          <w:szCs w:val="21"/>
        </w:rPr>
      </w:pPr>
      <w:r>
        <w:rPr>
          <w:rFonts w:hint="eastAsia"/>
          <w:szCs w:val="21"/>
        </w:rPr>
        <w:t>（</w:t>
      </w:r>
      <w:r>
        <w:rPr>
          <w:szCs w:val="21"/>
        </w:rPr>
        <w:t>5</w:t>
      </w:r>
      <w:r>
        <w:rPr>
          <w:rFonts w:hint="eastAsia"/>
          <w:szCs w:val="21"/>
        </w:rPr>
        <w:t>）在</w:t>
      </w:r>
      <w:r>
        <w:rPr>
          <w:szCs w:val="21"/>
        </w:rPr>
        <w:t>“</w:t>
      </w:r>
      <w:r>
        <w:rPr>
          <w:rFonts w:hint="eastAsia"/>
          <w:szCs w:val="21"/>
        </w:rPr>
        <w:t>信用中国</w:t>
      </w:r>
      <w:r>
        <w:rPr>
          <w:szCs w:val="21"/>
        </w:rPr>
        <w:t>”</w:t>
      </w:r>
      <w:r>
        <w:rPr>
          <w:rFonts w:hint="eastAsia"/>
          <w:szCs w:val="21"/>
        </w:rPr>
        <w:t>网站（</w:t>
      </w:r>
      <w:r>
        <w:rPr>
          <w:szCs w:val="21"/>
        </w:rPr>
        <w:t>http://www.creditchina.gov.cn</w:t>
      </w:r>
      <w:r>
        <w:rPr>
          <w:rFonts w:hint="eastAsia"/>
          <w:szCs w:val="21"/>
        </w:rPr>
        <w:t>）中被列入失信被执行人名单；</w:t>
      </w:r>
    </w:p>
    <w:p>
      <w:pPr>
        <w:spacing w:line="360" w:lineRule="auto"/>
        <w:ind w:firstLine="420" w:firstLineChars="200"/>
        <w:jc w:val="left"/>
        <w:rPr>
          <w:szCs w:val="21"/>
        </w:rPr>
      </w:pPr>
      <w:r>
        <w:rPr>
          <w:rFonts w:hint="eastAsia"/>
          <w:szCs w:val="21"/>
        </w:rPr>
        <w:t>（</w:t>
      </w:r>
      <w:r>
        <w:rPr>
          <w:szCs w:val="21"/>
        </w:rPr>
        <w:t>6</w:t>
      </w:r>
      <w:r>
        <w:rPr>
          <w:rFonts w:hint="eastAsia"/>
          <w:szCs w:val="21"/>
        </w:rPr>
        <w:t>）投标人或其法定代表人、拟委任的项目经理在投标人须知前附表规定日期后有行贿犯罪行为的（行贿犯罪行为的认定以中国裁判文书网（</w:t>
      </w:r>
      <w:r>
        <w:rPr>
          <w:szCs w:val="21"/>
        </w:rPr>
        <w:t>http://wenshu.court.gov.cn/</w:t>
      </w:r>
      <w:r>
        <w:rPr>
          <w:rFonts w:hint="eastAsia"/>
          <w:szCs w:val="21"/>
        </w:rPr>
        <w:t>）</w:t>
      </w:r>
      <w:r>
        <w:rPr>
          <w:rFonts w:hint="eastAsia"/>
          <w:sz w:val="22"/>
          <w:szCs w:val="22"/>
        </w:rPr>
        <w:t>查询结果为准，投标文件中无需提供查询结果</w:t>
      </w:r>
      <w:r>
        <w:rPr>
          <w:rFonts w:hint="eastAsia"/>
          <w:szCs w:val="21"/>
        </w:rPr>
        <w:t>）；</w:t>
      </w:r>
    </w:p>
    <w:p>
      <w:pPr>
        <w:spacing w:line="360" w:lineRule="auto"/>
        <w:ind w:firstLine="420" w:firstLineChars="200"/>
        <w:jc w:val="left"/>
        <w:rPr>
          <w:szCs w:val="21"/>
        </w:rPr>
      </w:pPr>
      <w:r>
        <w:rPr>
          <w:rFonts w:hint="eastAsia"/>
          <w:szCs w:val="21"/>
        </w:rPr>
        <w:t>（</w:t>
      </w:r>
      <w:r>
        <w:rPr>
          <w:szCs w:val="21"/>
        </w:rPr>
        <w:t>7</w:t>
      </w:r>
      <w:r>
        <w:rPr>
          <w:rFonts w:hint="eastAsia"/>
          <w:szCs w:val="21"/>
        </w:rPr>
        <w:t>）法律法规或投标人须知前附表规定的其他情形。</w:t>
      </w:r>
    </w:p>
    <w:p>
      <w:pPr>
        <w:pStyle w:val="3"/>
        <w:spacing w:before="0" w:after="0" w:line="460" w:lineRule="exact"/>
        <w:rPr>
          <w:rFonts w:ascii="宋体" w:hAnsi="宋体"/>
          <w:sz w:val="21"/>
          <w:szCs w:val="21"/>
        </w:rPr>
      </w:pPr>
      <w:bookmarkStart w:id="56" w:name="_Toc173244770"/>
      <w:bookmarkStart w:id="57" w:name="_Toc173246157"/>
      <w:r>
        <w:rPr>
          <w:rFonts w:hint="eastAsia" w:ascii="宋体" w:hAnsi="宋体"/>
          <w:sz w:val="21"/>
          <w:szCs w:val="21"/>
        </w:rPr>
        <w:t>1.5 费用承担</w:t>
      </w:r>
      <w:bookmarkEnd w:id="55"/>
      <w:bookmarkEnd w:id="56"/>
      <w:bookmarkEnd w:id="57"/>
    </w:p>
    <w:p>
      <w:pPr>
        <w:widowControl/>
        <w:spacing w:line="460" w:lineRule="exact"/>
        <w:jc w:val="left"/>
        <w:rPr>
          <w:rFonts w:ascii="宋体" w:hAnsi="宋体" w:eastAsia="宋体" w:cs="宋体"/>
          <w:szCs w:val="21"/>
        </w:rPr>
      </w:pPr>
      <w:bookmarkStart w:id="58" w:name="_Toc21599"/>
      <w:r>
        <w:rPr>
          <w:rFonts w:hint="eastAsia" w:ascii="宋体" w:hAnsi="宋体" w:eastAsia="宋体" w:cs="宋体"/>
          <w:szCs w:val="21"/>
        </w:rPr>
        <w:t>投标人准备和参加投标活动发生的费用自理。</w:t>
      </w:r>
    </w:p>
    <w:p>
      <w:pPr>
        <w:pStyle w:val="2"/>
        <w:spacing w:before="0" w:after="0"/>
        <w:jc w:val="both"/>
        <w:rPr>
          <w:rFonts w:ascii="宋体" w:hAnsi="宋体" w:eastAsia="宋体" w:cs="宋体"/>
          <w:kern w:val="2"/>
          <w:sz w:val="21"/>
          <w:szCs w:val="21"/>
        </w:rPr>
      </w:pPr>
      <w:bookmarkStart w:id="59" w:name="_Toc173244771"/>
      <w:bookmarkStart w:id="60" w:name="_Toc173246158"/>
      <w:r>
        <w:rPr>
          <w:rFonts w:hint="eastAsia" w:ascii="宋体" w:hAnsi="宋体" w:eastAsia="宋体" w:cs="宋体"/>
          <w:kern w:val="2"/>
          <w:sz w:val="21"/>
          <w:szCs w:val="21"/>
        </w:rPr>
        <w:t>本工程</w:t>
      </w:r>
      <w:r>
        <w:rPr>
          <w:rFonts w:ascii="宋体" w:hAnsi="宋体" w:eastAsia="宋体" w:cs="宋体"/>
          <w:kern w:val="2"/>
          <w:sz w:val="21"/>
          <w:szCs w:val="21"/>
        </w:rPr>
        <w:t>招标代理费人民币</w:t>
      </w:r>
      <w:r>
        <w:rPr>
          <w:rFonts w:hint="eastAsia" w:ascii="宋体" w:hAnsi="宋体" w:eastAsia="宋体" w:cs="宋体"/>
          <w:kern w:val="2"/>
          <w:sz w:val="21"/>
          <w:szCs w:val="21"/>
        </w:rPr>
        <w:t>伍仟捌</w:t>
      </w:r>
      <w:r>
        <w:rPr>
          <w:rFonts w:ascii="宋体" w:hAnsi="宋体" w:eastAsia="宋体" w:cs="宋体"/>
          <w:kern w:val="2"/>
          <w:sz w:val="21"/>
          <w:szCs w:val="21"/>
        </w:rPr>
        <w:t>佰元（¥5800</w:t>
      </w:r>
      <w:r>
        <w:rPr>
          <w:rFonts w:hint="eastAsia" w:ascii="宋体" w:hAnsi="宋体" w:eastAsia="宋体" w:cs="宋体"/>
          <w:kern w:val="2"/>
          <w:sz w:val="21"/>
          <w:szCs w:val="21"/>
        </w:rPr>
        <w:t>元</w:t>
      </w:r>
      <w:r>
        <w:rPr>
          <w:rFonts w:ascii="宋体" w:hAnsi="宋体" w:eastAsia="宋体" w:cs="宋体"/>
          <w:kern w:val="2"/>
          <w:sz w:val="21"/>
          <w:szCs w:val="21"/>
        </w:rPr>
        <w:t>）</w:t>
      </w:r>
      <w:r>
        <w:rPr>
          <w:rFonts w:hint="eastAsia" w:ascii="宋体" w:hAnsi="宋体" w:eastAsia="宋体" w:cs="宋体"/>
          <w:kern w:val="2"/>
          <w:sz w:val="21"/>
          <w:szCs w:val="21"/>
        </w:rPr>
        <w:t>由</w:t>
      </w:r>
      <w:r>
        <w:rPr>
          <w:rFonts w:ascii="宋体" w:hAnsi="宋体" w:eastAsia="宋体" w:cs="宋体"/>
          <w:kern w:val="2"/>
          <w:sz w:val="21"/>
          <w:szCs w:val="21"/>
        </w:rPr>
        <w:t>中标单位支付</w:t>
      </w:r>
      <w:r>
        <w:rPr>
          <w:rFonts w:hint="eastAsia" w:ascii="宋体" w:hAnsi="宋体" w:eastAsia="宋体" w:cs="宋体"/>
          <w:kern w:val="2"/>
          <w:sz w:val="21"/>
          <w:szCs w:val="21"/>
        </w:rPr>
        <w:t>，在</w:t>
      </w:r>
      <w:r>
        <w:rPr>
          <w:rFonts w:ascii="宋体" w:hAnsi="宋体" w:eastAsia="宋体" w:cs="宋体"/>
          <w:kern w:val="2"/>
          <w:sz w:val="21"/>
          <w:szCs w:val="21"/>
        </w:rPr>
        <w:t>领取中标通知</w:t>
      </w:r>
      <w:r>
        <w:rPr>
          <w:rFonts w:hint="eastAsia" w:ascii="宋体" w:hAnsi="宋体" w:eastAsia="宋体" w:cs="宋体"/>
          <w:kern w:val="2"/>
          <w:sz w:val="21"/>
          <w:szCs w:val="21"/>
        </w:rPr>
        <w:t>书时</w:t>
      </w:r>
      <w:r>
        <w:rPr>
          <w:rFonts w:ascii="宋体" w:hAnsi="宋体" w:eastAsia="宋体" w:cs="宋体"/>
          <w:kern w:val="2"/>
          <w:sz w:val="21"/>
          <w:szCs w:val="21"/>
        </w:rPr>
        <w:t>支付。</w:t>
      </w:r>
      <w:bookmarkEnd w:id="59"/>
      <w:bookmarkEnd w:id="60"/>
    </w:p>
    <w:p>
      <w:pPr>
        <w:pStyle w:val="3"/>
        <w:spacing w:before="0" w:after="0" w:line="460" w:lineRule="exact"/>
        <w:rPr>
          <w:rFonts w:ascii="宋体" w:hAnsi="宋体"/>
          <w:sz w:val="21"/>
          <w:szCs w:val="21"/>
        </w:rPr>
      </w:pPr>
      <w:bookmarkStart w:id="61" w:name="_Toc173244772"/>
      <w:bookmarkStart w:id="62" w:name="_Toc173246159"/>
      <w:r>
        <w:rPr>
          <w:rFonts w:hint="eastAsia" w:ascii="宋体" w:hAnsi="宋体"/>
          <w:sz w:val="21"/>
          <w:szCs w:val="21"/>
        </w:rPr>
        <w:t>1.6 保密</w:t>
      </w:r>
      <w:bookmarkEnd w:id="58"/>
      <w:bookmarkEnd w:id="61"/>
      <w:bookmarkEnd w:id="62"/>
    </w:p>
    <w:p>
      <w:pPr>
        <w:spacing w:line="460" w:lineRule="exact"/>
        <w:ind w:firstLine="420" w:firstLineChars="200"/>
        <w:rPr>
          <w:rFonts w:ascii="宋体" w:hAnsi="宋体" w:eastAsia="宋体" w:cs="宋体"/>
          <w:szCs w:val="21"/>
        </w:rPr>
      </w:pPr>
      <w:r>
        <w:rPr>
          <w:rFonts w:hint="eastAsia" w:ascii="宋体" w:hAnsi="宋体" w:eastAsia="宋体" w:cs="宋体"/>
          <w:szCs w:val="21"/>
        </w:rPr>
        <w:t>参与招标投标活动的各方应对招标文件和投标文件中的商业和技术等秘密保密，违者应对由此造成的后果承担法律责任。</w:t>
      </w:r>
    </w:p>
    <w:p>
      <w:pPr>
        <w:pStyle w:val="3"/>
        <w:spacing w:before="0" w:after="0" w:line="460" w:lineRule="exact"/>
        <w:rPr>
          <w:rFonts w:ascii="宋体" w:hAnsi="宋体"/>
          <w:sz w:val="21"/>
          <w:szCs w:val="21"/>
        </w:rPr>
      </w:pPr>
      <w:bookmarkStart w:id="63" w:name="_Toc17491"/>
      <w:bookmarkStart w:id="64" w:name="_Toc173244773"/>
      <w:bookmarkStart w:id="65" w:name="_Toc173246160"/>
      <w:r>
        <w:rPr>
          <w:rFonts w:hint="eastAsia" w:ascii="宋体" w:hAnsi="宋体"/>
          <w:sz w:val="21"/>
          <w:szCs w:val="21"/>
        </w:rPr>
        <w:t>1.7 语言文字</w:t>
      </w:r>
      <w:bookmarkEnd w:id="63"/>
      <w:bookmarkEnd w:id="64"/>
      <w:bookmarkEnd w:id="65"/>
    </w:p>
    <w:p>
      <w:pPr>
        <w:spacing w:line="460" w:lineRule="exact"/>
        <w:ind w:firstLine="420" w:firstLineChars="200"/>
        <w:rPr>
          <w:rFonts w:ascii="宋体" w:hAnsi="宋体" w:eastAsia="宋体" w:cs="宋体"/>
          <w:szCs w:val="21"/>
        </w:rPr>
      </w:pPr>
      <w:r>
        <w:rPr>
          <w:rFonts w:hint="eastAsia" w:ascii="宋体" w:hAnsi="宋体" w:eastAsia="宋体" w:cs="宋体"/>
          <w:szCs w:val="21"/>
        </w:rPr>
        <w:t>除专用术语外，与招标投标有关的语言均使用中文。必要时专用术语应附有中文注释。</w:t>
      </w:r>
    </w:p>
    <w:p>
      <w:pPr>
        <w:pStyle w:val="3"/>
        <w:spacing w:before="0" w:after="0" w:line="460" w:lineRule="exact"/>
        <w:rPr>
          <w:rFonts w:ascii="宋体" w:hAnsi="宋体"/>
          <w:sz w:val="21"/>
          <w:szCs w:val="21"/>
        </w:rPr>
      </w:pPr>
      <w:bookmarkStart w:id="66" w:name="_Toc25808"/>
      <w:bookmarkStart w:id="67" w:name="_Toc173244774"/>
      <w:bookmarkStart w:id="68" w:name="_Toc173246161"/>
      <w:r>
        <w:rPr>
          <w:rFonts w:hint="eastAsia" w:ascii="宋体" w:hAnsi="宋体"/>
          <w:sz w:val="21"/>
          <w:szCs w:val="21"/>
        </w:rPr>
        <w:t>1.8 计量单位</w:t>
      </w:r>
      <w:bookmarkEnd w:id="66"/>
      <w:bookmarkEnd w:id="67"/>
      <w:bookmarkEnd w:id="68"/>
    </w:p>
    <w:p>
      <w:pPr>
        <w:spacing w:line="460" w:lineRule="exact"/>
        <w:ind w:firstLine="420" w:firstLineChars="200"/>
        <w:rPr>
          <w:rFonts w:ascii="宋体" w:hAnsi="宋体" w:eastAsia="宋体" w:cs="宋体"/>
          <w:szCs w:val="21"/>
        </w:rPr>
      </w:pPr>
      <w:r>
        <w:rPr>
          <w:rFonts w:hint="eastAsia" w:ascii="宋体" w:hAnsi="宋体" w:eastAsia="宋体" w:cs="宋体"/>
          <w:szCs w:val="21"/>
        </w:rPr>
        <w:t>所有计量均采用中华人民共和国法定计量单位。</w:t>
      </w:r>
    </w:p>
    <w:p>
      <w:pPr>
        <w:pStyle w:val="3"/>
        <w:spacing w:before="0" w:after="0" w:line="460" w:lineRule="exact"/>
        <w:rPr>
          <w:rFonts w:ascii="宋体" w:hAnsi="宋体"/>
          <w:sz w:val="21"/>
          <w:szCs w:val="21"/>
        </w:rPr>
      </w:pPr>
      <w:bookmarkStart w:id="69" w:name="_Toc56"/>
      <w:bookmarkStart w:id="70" w:name="_Toc173244775"/>
      <w:bookmarkStart w:id="71" w:name="_Toc173246162"/>
      <w:r>
        <w:rPr>
          <w:rFonts w:hint="eastAsia" w:ascii="宋体" w:hAnsi="宋体"/>
          <w:sz w:val="21"/>
          <w:szCs w:val="21"/>
        </w:rPr>
        <w:t>1.9 踏勘现场</w:t>
      </w:r>
      <w:bookmarkEnd w:id="69"/>
      <w:bookmarkEnd w:id="70"/>
      <w:bookmarkEnd w:id="71"/>
    </w:p>
    <w:p>
      <w:pPr>
        <w:spacing w:line="460" w:lineRule="exact"/>
        <w:ind w:firstLine="420" w:firstLineChars="200"/>
        <w:rPr>
          <w:rFonts w:ascii="宋体" w:hAnsi="宋体" w:eastAsia="宋体" w:cs="宋体"/>
          <w:szCs w:val="21"/>
        </w:rPr>
      </w:pPr>
      <w:r>
        <w:rPr>
          <w:rFonts w:hint="eastAsia" w:ascii="宋体" w:hAnsi="宋体" w:eastAsia="宋体" w:cs="宋体"/>
          <w:szCs w:val="21"/>
        </w:rPr>
        <w:t>1.9.1 投标人须知前附表规定组织踏勘现场的，发包人按投标人须知前附表规定的时间、地点组织投标人踏勘项目现场。</w:t>
      </w:r>
    </w:p>
    <w:p>
      <w:pPr>
        <w:spacing w:line="460" w:lineRule="exact"/>
        <w:ind w:firstLine="420" w:firstLineChars="200"/>
        <w:rPr>
          <w:rFonts w:ascii="宋体" w:hAnsi="宋体" w:eastAsia="宋体" w:cs="宋体"/>
          <w:szCs w:val="21"/>
        </w:rPr>
      </w:pPr>
      <w:r>
        <w:rPr>
          <w:rFonts w:hint="eastAsia" w:ascii="宋体" w:hAnsi="宋体" w:eastAsia="宋体" w:cs="宋体"/>
          <w:szCs w:val="21"/>
        </w:rPr>
        <w:t>1.9.2 投标人踏勘现场发生的费用自理。</w:t>
      </w:r>
    </w:p>
    <w:p>
      <w:pPr>
        <w:spacing w:line="460" w:lineRule="exact"/>
        <w:ind w:firstLine="420" w:firstLineChars="200"/>
        <w:rPr>
          <w:rFonts w:ascii="宋体" w:hAnsi="宋体" w:eastAsia="宋体" w:cs="宋体"/>
          <w:szCs w:val="21"/>
        </w:rPr>
      </w:pPr>
      <w:r>
        <w:rPr>
          <w:rFonts w:hint="eastAsia" w:ascii="宋体" w:hAnsi="宋体" w:eastAsia="宋体" w:cs="宋体"/>
          <w:szCs w:val="21"/>
        </w:rPr>
        <w:t>1.9.3 除发包人的原因外，投标人自行负责在踏勘现场中所发生的人员伤亡和财产损失。</w:t>
      </w:r>
    </w:p>
    <w:p>
      <w:pPr>
        <w:spacing w:line="460" w:lineRule="exact"/>
        <w:ind w:firstLine="420" w:firstLineChars="200"/>
        <w:rPr>
          <w:rFonts w:ascii="宋体" w:hAnsi="宋体" w:eastAsia="宋体" w:cs="宋体"/>
          <w:szCs w:val="21"/>
        </w:rPr>
      </w:pPr>
      <w:r>
        <w:rPr>
          <w:rFonts w:hint="eastAsia" w:ascii="宋体" w:hAnsi="宋体" w:eastAsia="宋体" w:cs="宋体"/>
          <w:szCs w:val="21"/>
        </w:rPr>
        <w:t>1.9.4 发包人在踏勘现场中介绍的工程场地和相关的周边环境情况，供投标人在编制投标文件时参考，发包人不对投标人据此作出的判断和决策负责。</w:t>
      </w:r>
    </w:p>
    <w:p>
      <w:pPr>
        <w:spacing w:line="460" w:lineRule="exact"/>
        <w:ind w:firstLine="420" w:firstLineChars="200"/>
        <w:rPr>
          <w:rFonts w:ascii="宋体" w:hAnsi="宋体" w:eastAsia="宋体" w:cs="宋体"/>
          <w:szCs w:val="21"/>
        </w:rPr>
      </w:pPr>
      <w:r>
        <w:rPr>
          <w:rFonts w:hint="eastAsia" w:ascii="宋体" w:hAnsi="宋体" w:eastAsia="宋体" w:cs="宋体"/>
          <w:szCs w:val="21"/>
        </w:rPr>
        <w:t>1.9.5 发包人提供的本合同工程的水文、地质、气象和料场分布、取土场、弃土场位置等参考资料，并不构成合同文件的组成部分，投标人应对自己对上述资料的解释、推论和应用负责，发包人不对投标人据此作出的判断和决策承担任何责任。</w:t>
      </w:r>
    </w:p>
    <w:p>
      <w:pPr>
        <w:spacing w:line="460" w:lineRule="exact"/>
        <w:outlineLvl w:val="2"/>
        <w:rPr>
          <w:rFonts w:ascii="宋体" w:hAnsi="宋体" w:eastAsia="宋体" w:cs="宋体"/>
        </w:rPr>
      </w:pPr>
      <w:bookmarkStart w:id="72" w:name="_Toc24857"/>
      <w:bookmarkStart w:id="73" w:name="_Toc441076966"/>
      <w:bookmarkStart w:id="74" w:name="_Toc467421238"/>
      <w:bookmarkStart w:id="75" w:name="_Toc467421042"/>
      <w:r>
        <w:rPr>
          <w:rFonts w:hint="eastAsia" w:ascii="宋体" w:hAnsi="宋体" w:eastAsia="宋体" w:cs="宋体"/>
        </w:rPr>
        <w:t>1.10 投标预备会</w:t>
      </w:r>
      <w:bookmarkEnd w:id="72"/>
      <w:bookmarkEnd w:id="73"/>
      <w:bookmarkEnd w:id="74"/>
      <w:bookmarkEnd w:id="75"/>
    </w:p>
    <w:p>
      <w:pPr>
        <w:spacing w:line="460" w:lineRule="exact"/>
        <w:ind w:firstLine="435"/>
        <w:rPr>
          <w:rFonts w:ascii="宋体" w:hAnsi="宋体" w:eastAsia="宋体" w:cs="宋体"/>
        </w:rPr>
      </w:pPr>
      <w:r>
        <w:rPr>
          <w:rFonts w:hint="eastAsia" w:ascii="宋体" w:hAnsi="宋体" w:eastAsia="宋体" w:cs="宋体"/>
        </w:rPr>
        <w:t>1.10.1 发包人将按投标人须知前附表规定召开投标预备会。</w:t>
      </w:r>
    </w:p>
    <w:p>
      <w:pPr>
        <w:spacing w:line="460" w:lineRule="exact"/>
        <w:ind w:firstLine="435"/>
        <w:rPr>
          <w:rFonts w:ascii="宋体" w:hAnsi="宋体" w:eastAsia="宋体" w:cs="宋体"/>
        </w:rPr>
      </w:pPr>
      <w:r>
        <w:rPr>
          <w:rFonts w:hint="eastAsia" w:ascii="宋体" w:hAnsi="宋体" w:eastAsia="宋体" w:cs="宋体"/>
        </w:rPr>
        <w:t>1.10.2 投标人在踏勘现场（如果有）及阅读招标文件后提出的与投标有关的问题，发包人将在投标预备会上予以解答。投标人应在投标人须知前附表规定的截止时间之前，以书面形式将要求答复的问题提交给发包人，以便发包人进行准备。</w:t>
      </w:r>
    </w:p>
    <w:p>
      <w:pPr>
        <w:spacing w:line="460" w:lineRule="exact"/>
        <w:ind w:firstLine="315" w:firstLineChars="150"/>
        <w:outlineLvl w:val="2"/>
        <w:rPr>
          <w:rFonts w:ascii="宋体" w:hAnsi="宋体" w:eastAsia="宋体" w:cs="宋体"/>
          <w:szCs w:val="21"/>
        </w:rPr>
      </w:pPr>
      <w:bookmarkStart w:id="76" w:name="_Toc22426"/>
      <w:r>
        <w:rPr>
          <w:rFonts w:hint="eastAsia" w:ascii="宋体" w:hAnsi="宋体" w:eastAsia="宋体" w:cs="宋体"/>
        </w:rPr>
        <w:t xml:space="preserve">1.10.3 </w:t>
      </w:r>
      <w:r>
        <w:rPr>
          <w:rFonts w:hint="eastAsia" w:ascii="宋体" w:hAnsi="宋体" w:eastAsia="宋体" w:cs="宋体"/>
          <w:szCs w:val="21"/>
        </w:rPr>
        <w:t>发包人将以补遗书形式书面答复投标人提出的问题，按规定报备后，发包人将在</w:t>
      </w:r>
      <w:r>
        <w:rPr>
          <w:rFonts w:hint="eastAsia"/>
          <w:kern w:val="0"/>
          <w:szCs w:val="21"/>
        </w:rPr>
        <w:t>三门县公共资源交易中心</w:t>
      </w:r>
      <w:r>
        <w:rPr>
          <w:rFonts w:hint="eastAsia" w:ascii="宋体" w:hAnsi="宋体" w:eastAsia="宋体" w:cs="宋体"/>
          <w:szCs w:val="21"/>
        </w:rPr>
        <w:t>“网址：</w:t>
      </w:r>
      <w:r>
        <w:fldChar w:fldCharType="begin"/>
      </w:r>
      <w:r>
        <w:instrText xml:space="preserve"> HYPERLINK "http://www.smztb.com" </w:instrText>
      </w:r>
      <w:r>
        <w:fldChar w:fldCharType="separate"/>
      </w:r>
      <w:r>
        <w:t>http://www.sanmen.gov.cn/col/col1229610743/index.html</w:t>
      </w:r>
      <w:r>
        <w:rPr>
          <w:rStyle w:val="59"/>
          <w:rFonts w:hint="eastAsia" w:ascii="宋体" w:hAnsi="宋体" w:eastAsia="宋体" w:cs="宋体"/>
          <w:color w:val="auto"/>
          <w:szCs w:val="21"/>
          <w:u w:val="none"/>
        </w:rPr>
        <w:t>”上公开发布补遗书（补充、澄清、修改文件）对招标文件进行答复。</w:t>
      </w:r>
      <w:r>
        <w:rPr>
          <w:rStyle w:val="59"/>
          <w:rFonts w:hint="eastAsia" w:ascii="宋体" w:hAnsi="宋体" w:eastAsia="宋体" w:cs="宋体"/>
          <w:b/>
          <w:bCs/>
          <w:color w:val="auto"/>
          <w:szCs w:val="21"/>
          <w:u w:val="none"/>
        </w:rPr>
        <w:t>潜在投标人应自行关注网站公告，发包人不再一一通知。</w:t>
      </w:r>
      <w:r>
        <w:rPr>
          <w:rStyle w:val="59"/>
          <w:rFonts w:hint="eastAsia" w:ascii="宋体" w:hAnsi="宋体" w:eastAsia="宋体" w:cs="宋体"/>
          <w:b/>
          <w:bCs/>
          <w:color w:val="auto"/>
          <w:szCs w:val="21"/>
          <w:u w:val="none"/>
        </w:rPr>
        <w:fldChar w:fldCharType="end"/>
      </w:r>
      <w:bookmarkEnd w:id="76"/>
    </w:p>
    <w:p>
      <w:pPr>
        <w:pStyle w:val="3"/>
        <w:spacing w:before="0" w:after="0" w:line="460" w:lineRule="exact"/>
        <w:rPr>
          <w:rFonts w:ascii="宋体" w:hAnsi="宋体"/>
          <w:sz w:val="21"/>
          <w:szCs w:val="21"/>
        </w:rPr>
      </w:pPr>
      <w:bookmarkStart w:id="77" w:name="_Toc3473"/>
      <w:bookmarkStart w:id="78" w:name="_Toc173244776"/>
      <w:bookmarkStart w:id="79" w:name="_Toc173246163"/>
      <w:r>
        <w:rPr>
          <w:rFonts w:hint="eastAsia" w:ascii="宋体" w:hAnsi="宋体"/>
          <w:sz w:val="21"/>
          <w:szCs w:val="21"/>
        </w:rPr>
        <w:t>1.11 分包</w:t>
      </w:r>
      <w:bookmarkEnd w:id="77"/>
      <w:bookmarkEnd w:id="78"/>
      <w:bookmarkEnd w:id="79"/>
    </w:p>
    <w:p>
      <w:pPr>
        <w:spacing w:line="460" w:lineRule="exact"/>
        <w:ind w:firstLine="420" w:firstLineChars="200"/>
        <w:rPr>
          <w:rFonts w:ascii="宋体" w:hAnsi="宋体" w:eastAsia="宋体" w:cs="宋体"/>
          <w:szCs w:val="21"/>
        </w:rPr>
      </w:pPr>
      <w:r>
        <w:rPr>
          <w:rFonts w:hint="eastAsia" w:ascii="宋体" w:hAnsi="宋体" w:eastAsia="宋体" w:cs="宋体"/>
          <w:szCs w:val="21"/>
        </w:rPr>
        <w:t xml:space="preserve">本项目严禁转包和违规分包，且不得再次分包。投标人拟在中标后将中标项目的部分非主体、非关键性工作进行分包的，应符合以下规定： </w:t>
      </w:r>
    </w:p>
    <w:p>
      <w:pPr>
        <w:spacing w:line="460" w:lineRule="exact"/>
        <w:ind w:firstLine="420" w:firstLineChars="200"/>
        <w:rPr>
          <w:rFonts w:ascii="宋体" w:hAnsi="宋体" w:eastAsia="宋体" w:cs="宋体"/>
          <w:szCs w:val="21"/>
        </w:rPr>
      </w:pPr>
      <w:r>
        <w:rPr>
          <w:rFonts w:hint="eastAsia" w:ascii="宋体" w:hAnsi="宋体" w:eastAsia="宋体" w:cs="宋体"/>
          <w:szCs w:val="21"/>
        </w:rPr>
        <w:t>分包内容要求：允许分包的工程范围仅限于非关键性工程或者适合专业化队伍施工的专业工程；</w:t>
      </w:r>
    </w:p>
    <w:p>
      <w:pPr>
        <w:spacing w:line="460" w:lineRule="exact"/>
        <w:ind w:firstLine="420" w:firstLineChars="200"/>
        <w:rPr>
          <w:rFonts w:ascii="宋体" w:hAnsi="宋体" w:eastAsia="宋体" w:cs="宋体"/>
          <w:szCs w:val="21"/>
        </w:rPr>
      </w:pPr>
      <w:r>
        <w:rPr>
          <w:rFonts w:hint="eastAsia" w:ascii="宋体" w:hAnsi="宋体" w:eastAsia="宋体" w:cs="宋体"/>
          <w:szCs w:val="21"/>
        </w:rPr>
        <w:t>分包金额要求：专业工程分包的工程量累计不得超过总工程量的30%；</w:t>
      </w:r>
    </w:p>
    <w:p>
      <w:pPr>
        <w:spacing w:line="460" w:lineRule="exact"/>
        <w:ind w:firstLine="420" w:firstLineChars="200"/>
        <w:rPr>
          <w:rFonts w:ascii="宋体" w:hAnsi="宋体" w:eastAsia="宋体" w:cs="宋体"/>
          <w:szCs w:val="21"/>
        </w:rPr>
      </w:pPr>
      <w:r>
        <w:rPr>
          <w:rFonts w:hint="eastAsia" w:ascii="宋体" w:hAnsi="宋体" w:eastAsia="宋体" w:cs="宋体"/>
          <w:szCs w:val="21"/>
        </w:rPr>
        <w:t>接受分包的第三人资质要求：分包人的资格能力应与其分包工程的标准和规模相适应，具备相应的专业承包资质或劳务分包资质；</w:t>
      </w:r>
    </w:p>
    <w:p>
      <w:pPr>
        <w:spacing w:line="460" w:lineRule="exact"/>
        <w:ind w:firstLine="420" w:firstLineChars="200"/>
        <w:rPr>
          <w:rFonts w:ascii="宋体" w:hAnsi="宋体" w:eastAsia="宋体" w:cs="宋体"/>
          <w:szCs w:val="21"/>
        </w:rPr>
      </w:pPr>
      <w:r>
        <w:rPr>
          <w:rFonts w:hint="eastAsia" w:ascii="宋体" w:hAnsi="宋体" w:eastAsia="宋体" w:cs="宋体"/>
          <w:szCs w:val="21"/>
        </w:rPr>
        <w:t>其他要求；投标人如有分包计划，应按第九章“投标文件格式”的要求填写“拟分包项目调查表”，且投标人中标后的分包应满足合同条款第4.3款的相关要求。</w:t>
      </w:r>
    </w:p>
    <w:p>
      <w:pPr>
        <w:pStyle w:val="3"/>
        <w:spacing w:before="0" w:after="0" w:line="460" w:lineRule="exact"/>
        <w:rPr>
          <w:rFonts w:ascii="宋体" w:hAnsi="宋体"/>
          <w:sz w:val="21"/>
          <w:szCs w:val="21"/>
          <w:vertAlign w:val="superscript"/>
        </w:rPr>
      </w:pPr>
      <w:bookmarkStart w:id="80" w:name="_Toc1094"/>
      <w:bookmarkStart w:id="81" w:name="_Toc173244777"/>
      <w:bookmarkStart w:id="82" w:name="_Toc173246164"/>
      <w:r>
        <w:rPr>
          <w:rFonts w:hint="eastAsia" w:ascii="宋体" w:hAnsi="宋体"/>
          <w:sz w:val="21"/>
          <w:szCs w:val="21"/>
        </w:rPr>
        <w:t>1.12 偏离</w:t>
      </w:r>
      <w:bookmarkEnd w:id="80"/>
      <w:bookmarkEnd w:id="81"/>
      <w:bookmarkEnd w:id="82"/>
    </w:p>
    <w:p>
      <w:pPr>
        <w:spacing w:line="460" w:lineRule="exact"/>
        <w:ind w:firstLine="420" w:firstLineChars="200"/>
        <w:rPr>
          <w:rFonts w:ascii="宋体" w:hAnsi="宋体" w:eastAsia="宋体" w:cs="宋体"/>
          <w:szCs w:val="21"/>
        </w:rPr>
      </w:pPr>
      <w:r>
        <w:rPr>
          <w:rFonts w:hint="eastAsia" w:ascii="宋体" w:hAnsi="宋体" w:eastAsia="宋体" w:cs="宋体"/>
          <w:szCs w:val="21"/>
        </w:rPr>
        <w:t>投标人须知前附表允许投标文件偏离招标文件某些要求的，偏离应当符合招标文件规定的偏离范围和幅度。</w:t>
      </w:r>
    </w:p>
    <w:p>
      <w:pPr>
        <w:pStyle w:val="3"/>
        <w:spacing w:before="0" w:after="0" w:line="460" w:lineRule="exact"/>
        <w:rPr>
          <w:rFonts w:ascii="宋体" w:hAnsi="宋体"/>
          <w:sz w:val="21"/>
          <w:szCs w:val="21"/>
        </w:rPr>
      </w:pPr>
      <w:bookmarkStart w:id="83" w:name="_Toc19356"/>
      <w:bookmarkStart w:id="84" w:name="_Toc173244778"/>
      <w:bookmarkStart w:id="85" w:name="_Toc173246165"/>
      <w:r>
        <w:rPr>
          <w:rFonts w:hint="eastAsia" w:ascii="宋体" w:hAnsi="宋体"/>
          <w:sz w:val="21"/>
          <w:szCs w:val="21"/>
        </w:rPr>
        <w:t>2. 招标文件</w:t>
      </w:r>
      <w:bookmarkEnd w:id="83"/>
      <w:bookmarkEnd w:id="84"/>
      <w:bookmarkEnd w:id="85"/>
    </w:p>
    <w:p>
      <w:pPr>
        <w:pStyle w:val="3"/>
        <w:keepNext w:val="0"/>
        <w:keepLines w:val="0"/>
        <w:spacing w:before="0" w:after="0" w:line="460" w:lineRule="exact"/>
        <w:rPr>
          <w:rFonts w:ascii="宋体" w:hAnsi="宋体"/>
          <w:sz w:val="21"/>
          <w:szCs w:val="21"/>
        </w:rPr>
      </w:pPr>
      <w:bookmarkStart w:id="86" w:name="_Toc7209"/>
      <w:bookmarkStart w:id="87" w:name="_Toc173244779"/>
      <w:bookmarkStart w:id="88" w:name="_Toc173246166"/>
      <w:r>
        <w:rPr>
          <w:rFonts w:hint="eastAsia" w:ascii="宋体" w:hAnsi="宋体"/>
          <w:sz w:val="21"/>
          <w:szCs w:val="21"/>
        </w:rPr>
        <w:t>2.1 招标文件的组成</w:t>
      </w:r>
      <w:bookmarkEnd w:id="86"/>
      <w:bookmarkEnd w:id="87"/>
      <w:bookmarkEnd w:id="88"/>
    </w:p>
    <w:p>
      <w:pPr>
        <w:spacing w:line="460" w:lineRule="exact"/>
        <w:ind w:firstLine="420" w:firstLineChars="200"/>
        <w:rPr>
          <w:rFonts w:ascii="宋体" w:hAnsi="宋体" w:eastAsia="宋体" w:cs="宋体"/>
          <w:szCs w:val="21"/>
        </w:rPr>
      </w:pPr>
      <w:r>
        <w:rPr>
          <w:rFonts w:hint="eastAsia" w:ascii="宋体" w:hAnsi="宋体" w:eastAsia="宋体" w:cs="宋体"/>
          <w:szCs w:val="21"/>
        </w:rPr>
        <w:t>本招标文件包括：</w:t>
      </w:r>
    </w:p>
    <w:p>
      <w:pPr>
        <w:spacing w:line="460" w:lineRule="exact"/>
        <w:ind w:firstLine="420" w:firstLineChars="200"/>
        <w:rPr>
          <w:rFonts w:ascii="宋体" w:hAnsi="宋体" w:eastAsia="宋体" w:cs="宋体"/>
          <w:szCs w:val="21"/>
        </w:rPr>
      </w:pPr>
      <w:r>
        <w:rPr>
          <w:rFonts w:hint="eastAsia" w:ascii="宋体" w:hAnsi="宋体" w:eastAsia="宋体" w:cs="宋体"/>
          <w:szCs w:val="21"/>
        </w:rPr>
        <w:t>（1）招标公告（或投标邀请书）；</w:t>
      </w:r>
    </w:p>
    <w:p>
      <w:pPr>
        <w:spacing w:line="460" w:lineRule="exact"/>
        <w:ind w:firstLine="420" w:firstLineChars="200"/>
        <w:rPr>
          <w:rFonts w:ascii="宋体" w:hAnsi="宋体" w:eastAsia="宋体" w:cs="宋体"/>
          <w:szCs w:val="21"/>
        </w:rPr>
      </w:pPr>
      <w:r>
        <w:rPr>
          <w:rFonts w:hint="eastAsia" w:ascii="宋体" w:hAnsi="宋体" w:eastAsia="宋体" w:cs="宋体"/>
          <w:szCs w:val="21"/>
        </w:rPr>
        <w:t>（2）投标人须知；</w:t>
      </w:r>
    </w:p>
    <w:p>
      <w:pPr>
        <w:spacing w:line="460" w:lineRule="exact"/>
        <w:ind w:firstLine="420" w:firstLineChars="200"/>
        <w:rPr>
          <w:rFonts w:ascii="宋体" w:hAnsi="宋体" w:eastAsia="宋体" w:cs="宋体"/>
          <w:szCs w:val="21"/>
        </w:rPr>
      </w:pPr>
      <w:r>
        <w:rPr>
          <w:rFonts w:hint="eastAsia" w:ascii="宋体" w:hAnsi="宋体" w:eastAsia="宋体" w:cs="宋体"/>
          <w:szCs w:val="21"/>
        </w:rPr>
        <w:t>（3）评标办法；</w:t>
      </w:r>
    </w:p>
    <w:p>
      <w:pPr>
        <w:spacing w:line="460" w:lineRule="exact"/>
        <w:ind w:firstLine="420" w:firstLineChars="200"/>
        <w:rPr>
          <w:rFonts w:ascii="宋体" w:hAnsi="宋体" w:eastAsia="宋体" w:cs="宋体"/>
          <w:szCs w:val="21"/>
        </w:rPr>
      </w:pPr>
      <w:r>
        <w:rPr>
          <w:rFonts w:hint="eastAsia" w:ascii="宋体" w:hAnsi="宋体" w:eastAsia="宋体" w:cs="宋体"/>
          <w:szCs w:val="21"/>
        </w:rPr>
        <w:t>（4）合同条款及格式；</w:t>
      </w:r>
    </w:p>
    <w:p>
      <w:pPr>
        <w:spacing w:line="460" w:lineRule="exact"/>
        <w:ind w:firstLine="420" w:firstLineChars="200"/>
        <w:rPr>
          <w:rFonts w:ascii="宋体" w:hAnsi="宋体" w:eastAsia="宋体" w:cs="宋体"/>
          <w:szCs w:val="21"/>
        </w:rPr>
      </w:pPr>
      <w:r>
        <w:rPr>
          <w:rFonts w:hint="eastAsia" w:ascii="宋体" w:hAnsi="宋体" w:eastAsia="宋体" w:cs="宋体"/>
          <w:szCs w:val="21"/>
        </w:rPr>
        <w:t>（5）工程量清单；</w:t>
      </w:r>
    </w:p>
    <w:p>
      <w:pPr>
        <w:spacing w:line="460" w:lineRule="exact"/>
        <w:ind w:firstLine="420" w:firstLineChars="200"/>
        <w:rPr>
          <w:rFonts w:ascii="宋体" w:hAnsi="宋体" w:eastAsia="宋体" w:cs="宋体"/>
          <w:szCs w:val="21"/>
        </w:rPr>
      </w:pPr>
      <w:r>
        <w:rPr>
          <w:rFonts w:hint="eastAsia" w:ascii="宋体" w:hAnsi="宋体" w:eastAsia="宋体" w:cs="宋体"/>
          <w:szCs w:val="21"/>
        </w:rPr>
        <w:t>（6）图纸；</w:t>
      </w:r>
    </w:p>
    <w:p>
      <w:pPr>
        <w:spacing w:line="460" w:lineRule="exact"/>
        <w:ind w:firstLine="420" w:firstLineChars="200"/>
        <w:rPr>
          <w:rFonts w:ascii="宋体" w:hAnsi="宋体" w:eastAsia="宋体" w:cs="宋体"/>
          <w:szCs w:val="21"/>
        </w:rPr>
      </w:pPr>
      <w:r>
        <w:rPr>
          <w:rFonts w:hint="eastAsia" w:ascii="宋体" w:hAnsi="宋体" w:eastAsia="宋体" w:cs="宋体"/>
          <w:szCs w:val="21"/>
        </w:rPr>
        <w:t>（7）技术规范；</w:t>
      </w:r>
    </w:p>
    <w:p>
      <w:pPr>
        <w:spacing w:line="460" w:lineRule="exact"/>
        <w:ind w:firstLine="420" w:firstLineChars="200"/>
        <w:rPr>
          <w:rFonts w:ascii="宋体" w:hAnsi="宋体" w:eastAsia="宋体" w:cs="宋体"/>
          <w:szCs w:val="21"/>
        </w:rPr>
      </w:pPr>
      <w:r>
        <w:rPr>
          <w:rFonts w:hint="eastAsia" w:ascii="宋体" w:hAnsi="宋体" w:eastAsia="宋体" w:cs="宋体"/>
          <w:szCs w:val="21"/>
        </w:rPr>
        <w:t>（8）投标文件格式；</w:t>
      </w:r>
    </w:p>
    <w:p>
      <w:pPr>
        <w:spacing w:line="460" w:lineRule="exact"/>
        <w:ind w:firstLine="420" w:firstLineChars="200"/>
        <w:rPr>
          <w:rFonts w:ascii="宋体" w:hAnsi="宋体" w:eastAsia="宋体" w:cs="宋体"/>
          <w:szCs w:val="21"/>
        </w:rPr>
      </w:pPr>
      <w:r>
        <w:rPr>
          <w:rFonts w:hint="eastAsia" w:ascii="宋体" w:hAnsi="宋体" w:eastAsia="宋体" w:cs="宋体"/>
          <w:szCs w:val="21"/>
        </w:rPr>
        <w:t>（9）投标人须知前附表规定的其他材料。</w:t>
      </w:r>
    </w:p>
    <w:p>
      <w:pPr>
        <w:spacing w:line="460" w:lineRule="exact"/>
        <w:ind w:firstLine="422" w:firstLineChars="200"/>
        <w:rPr>
          <w:rFonts w:ascii="宋体" w:hAnsi="宋体" w:eastAsia="宋体" w:cs="宋体"/>
          <w:b/>
        </w:rPr>
      </w:pPr>
      <w:r>
        <w:rPr>
          <w:rFonts w:hint="eastAsia" w:ascii="宋体" w:hAnsi="宋体" w:eastAsia="宋体" w:cs="宋体"/>
          <w:b/>
        </w:rPr>
        <w:t>除上款内容外，发包人在提交投标文件截止时间前，发布在三门县公共资源交易中心网对招标文件的澄清或修改内容，均为招标文件的组成部分，对发包人和投标人起约束作用，投标人应经常浏览发布招标公告的媒体。</w:t>
      </w:r>
    </w:p>
    <w:p>
      <w:pPr>
        <w:spacing w:line="460" w:lineRule="exact"/>
        <w:ind w:firstLine="420" w:firstLineChars="200"/>
        <w:rPr>
          <w:rFonts w:ascii="宋体" w:hAnsi="宋体" w:eastAsia="宋体" w:cs="宋体"/>
        </w:rPr>
      </w:pPr>
      <w:r>
        <w:rPr>
          <w:rFonts w:hint="eastAsia" w:ascii="宋体" w:hAnsi="宋体" w:eastAsia="宋体" w:cs="宋体"/>
        </w:rPr>
        <w:t>投标人通过在</w:t>
      </w:r>
      <w:r>
        <w:rPr>
          <w:rFonts w:hint="eastAsia" w:ascii="宋体" w:hAnsi="宋体" w:eastAsia="宋体" w:cs="宋体"/>
          <w:b/>
        </w:rPr>
        <w:t>三门县公共资源交易中心网</w:t>
      </w:r>
      <w:r>
        <w:rPr>
          <w:rFonts w:hint="eastAsia" w:ascii="宋体" w:hAnsi="宋体" w:eastAsia="宋体" w:cs="宋体"/>
        </w:rPr>
        <w:t>自行下载的方式获取招标文件及相关附件。投标人在获取招标文件后，应仔细检查招标文件的所有内容，如有残缺等问题应自招标文件发布在</w:t>
      </w:r>
      <w:r>
        <w:rPr>
          <w:rFonts w:hint="eastAsia" w:ascii="宋体" w:hAnsi="宋体" w:eastAsia="宋体" w:cs="宋体"/>
          <w:b/>
        </w:rPr>
        <w:t>三门县公共资源交易中心网</w:t>
      </w:r>
      <w:r>
        <w:rPr>
          <w:rFonts w:hint="eastAsia" w:ascii="宋体" w:hAnsi="宋体" w:eastAsia="宋体" w:cs="宋体"/>
        </w:rPr>
        <w:t>3日内向发包人提出，否则，由此引起的损失由投标人自己承担。投标人应同时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104"/>
        <w:spacing w:line="460" w:lineRule="exact"/>
        <w:rPr>
          <w:rFonts w:ascii="宋体" w:hAnsi="宋体" w:eastAsia="宋体"/>
          <w:sz w:val="21"/>
          <w:szCs w:val="21"/>
        </w:rPr>
      </w:pPr>
      <w:bookmarkStart w:id="89" w:name="_Toc283976500"/>
      <w:bookmarkStart w:id="90" w:name="_Toc372899826"/>
      <w:bookmarkStart w:id="91" w:name="_Toc152045544"/>
      <w:bookmarkStart w:id="92" w:name="_Toc282596264"/>
      <w:bookmarkStart w:id="93" w:name="_Toc179632562"/>
      <w:bookmarkStart w:id="94" w:name="_Toc283886209"/>
      <w:bookmarkStart w:id="95" w:name="_Toc466827128"/>
      <w:bookmarkStart w:id="96" w:name="_Toc321925386"/>
      <w:bookmarkStart w:id="97" w:name="_Toc466827895"/>
      <w:bookmarkStart w:id="98" w:name="_Toc474850381"/>
      <w:bookmarkStart w:id="99" w:name="_Toc237768793"/>
      <w:bookmarkStart w:id="100" w:name="_Toc237769257"/>
      <w:bookmarkStart w:id="101" w:name="_Toc144974512"/>
      <w:bookmarkStart w:id="102" w:name="_Toc372899703"/>
      <w:bookmarkStart w:id="103" w:name="_Toc152042320"/>
      <w:bookmarkStart w:id="104" w:name="_Toc288556251"/>
      <w:bookmarkStart w:id="105" w:name="_Toc16316"/>
      <w:bookmarkStart w:id="106" w:name="_Toc394573897"/>
      <w:r>
        <w:rPr>
          <w:rFonts w:hint="eastAsia" w:ascii="宋体" w:hAnsi="宋体" w:eastAsia="宋体"/>
          <w:sz w:val="21"/>
          <w:szCs w:val="21"/>
        </w:rPr>
        <w:t>2.2 招标文件的澄清</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pPr>
        <w:spacing w:line="460" w:lineRule="exact"/>
        <w:ind w:firstLine="420" w:firstLineChars="200"/>
        <w:rPr>
          <w:rFonts w:ascii="宋体" w:hAnsi="宋体" w:eastAsia="宋体" w:cs="宋体"/>
        </w:rPr>
      </w:pPr>
      <w:bookmarkStart w:id="107" w:name="_Toc282596265"/>
      <w:bookmarkStart w:id="108" w:name="_Toc466827896"/>
      <w:bookmarkStart w:id="109" w:name="_Toc237769258"/>
      <w:bookmarkStart w:id="110" w:name="_Toc283886210"/>
      <w:bookmarkStart w:id="111" w:name="_Toc30297"/>
      <w:bookmarkStart w:id="112" w:name="_Toc372899827"/>
      <w:bookmarkStart w:id="113" w:name="_Toc152042321"/>
      <w:bookmarkStart w:id="114" w:name="_Toc152045545"/>
      <w:bookmarkStart w:id="115" w:name="_Toc321925387"/>
      <w:bookmarkStart w:id="116" w:name="_Toc237768794"/>
      <w:bookmarkStart w:id="117" w:name="_Toc288556252"/>
      <w:bookmarkStart w:id="118" w:name="_Toc283976501"/>
      <w:bookmarkStart w:id="119" w:name="_Toc466827129"/>
      <w:bookmarkStart w:id="120" w:name="_Toc394573898"/>
      <w:bookmarkStart w:id="121" w:name="_Toc372899704"/>
      <w:bookmarkStart w:id="122" w:name="_Toc179632563"/>
      <w:bookmarkStart w:id="123" w:name="_Toc144974513"/>
      <w:bookmarkStart w:id="124" w:name="_Toc474850382"/>
      <w:r>
        <w:rPr>
          <w:rFonts w:hint="eastAsia" w:ascii="宋体" w:hAnsi="宋体" w:eastAsia="宋体" w:cs="宋体"/>
        </w:rPr>
        <w:t>2.2.1投标人从交易场所（发布招标公告的媒体上）自行下载的方式获取招标文件及相关附件。投标人在获取招标文件后，应仔细检查招标文件的所有内容，如有内容不全、对内容有疑问等问题应自招标文件发布在交易场所（发布招标公告的媒体上）3日内向招标人提出，要求招标人对招标文件予以澄清。</w:t>
      </w:r>
    </w:p>
    <w:p>
      <w:pPr>
        <w:spacing w:line="460" w:lineRule="exact"/>
        <w:ind w:firstLine="420" w:firstLineChars="200"/>
        <w:rPr>
          <w:rFonts w:ascii="宋体" w:hAnsi="宋体" w:eastAsia="宋体" w:cs="宋体"/>
        </w:rPr>
      </w:pPr>
      <w:r>
        <w:rPr>
          <w:rFonts w:hint="eastAsia" w:ascii="宋体" w:hAnsi="宋体" w:eastAsia="宋体" w:cs="宋体"/>
        </w:rPr>
        <w:t>2.2.2招标人的澄清将在交易场所（发布招标公告的媒体上）发布，所有获取招标文件的潜在投标人自行下载。澄清内容可能影响投标文件编制的，招标人应当在投标截止时间（投标截止时间详见投标人须知前附表2.3款规定）3天前，将澄清的内容在交易场所（发布招标公告的媒体上）发布；不足3日的，招标人应当顺延投标文件的截止时间。</w:t>
      </w:r>
    </w:p>
    <w:p>
      <w:pPr>
        <w:spacing w:line="460" w:lineRule="exact"/>
        <w:ind w:firstLine="420" w:firstLineChars="200"/>
        <w:rPr>
          <w:rFonts w:ascii="宋体" w:hAnsi="宋体" w:eastAsia="宋体" w:cs="宋体"/>
        </w:rPr>
      </w:pPr>
      <w:r>
        <w:rPr>
          <w:rFonts w:hint="eastAsia" w:ascii="宋体" w:hAnsi="宋体" w:eastAsia="宋体" w:cs="宋体"/>
        </w:rPr>
        <w:t>2.2.3招标人及招标代理机构的任何工作人员对投标人所作的任何口头解释、介绍、答复，只能供投标人参考，对招标人无任何约束力。</w:t>
      </w:r>
    </w:p>
    <w:p>
      <w:pPr>
        <w:pStyle w:val="104"/>
        <w:spacing w:line="460" w:lineRule="exact"/>
        <w:rPr>
          <w:rFonts w:ascii="宋体" w:hAnsi="宋体" w:eastAsia="宋体"/>
          <w:sz w:val="21"/>
          <w:szCs w:val="21"/>
        </w:rPr>
      </w:pPr>
      <w:r>
        <w:rPr>
          <w:rFonts w:hint="eastAsia" w:ascii="宋体" w:hAnsi="宋体" w:eastAsia="宋体"/>
          <w:sz w:val="21"/>
          <w:szCs w:val="21"/>
        </w:rPr>
        <w:t>2.3 招标文件的修改</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pPr>
        <w:spacing w:line="460" w:lineRule="exact"/>
        <w:ind w:firstLine="420" w:firstLineChars="200"/>
        <w:rPr>
          <w:rFonts w:ascii="宋体" w:hAnsi="宋体" w:eastAsia="宋体" w:cs="宋体"/>
        </w:rPr>
      </w:pPr>
      <w:bookmarkStart w:id="125" w:name="_Toc31749"/>
      <w:r>
        <w:rPr>
          <w:rFonts w:hint="eastAsia" w:ascii="宋体" w:hAnsi="宋体" w:eastAsia="宋体" w:cs="宋体"/>
        </w:rPr>
        <w:t>招标人可以对已发出的招标文件进行必要的修改。招标人的修改内容将在交易场所（发布招标公告的媒体上）发布，所有获取招标文件的潜在投标人自行下载。修改的内容可能影响投标文件编制的，招标人应当在提交投标截止时间至少3日前，将修改的内容在交易场所（发布招标公告的媒体上）发布；不足3日的，招标人应当顺延提交投标文件的截止时间。当招标文件、招标文件的澄清、修改、补充等在同一内容的表述上不一致时，以最后发出的文件为准。</w:t>
      </w:r>
    </w:p>
    <w:p>
      <w:pPr>
        <w:pStyle w:val="3"/>
        <w:spacing w:before="0" w:after="0" w:line="460" w:lineRule="exact"/>
        <w:rPr>
          <w:rFonts w:ascii="宋体" w:hAnsi="宋体"/>
          <w:sz w:val="21"/>
          <w:szCs w:val="21"/>
        </w:rPr>
      </w:pPr>
      <w:bookmarkStart w:id="126" w:name="_Toc173246167"/>
      <w:bookmarkStart w:id="127" w:name="_Toc173244780"/>
      <w:r>
        <w:rPr>
          <w:rFonts w:hint="eastAsia" w:ascii="宋体" w:hAnsi="宋体"/>
          <w:sz w:val="21"/>
          <w:szCs w:val="21"/>
        </w:rPr>
        <w:t>3. 投标文件</w:t>
      </w:r>
      <w:bookmarkEnd w:id="125"/>
      <w:bookmarkEnd w:id="126"/>
      <w:bookmarkEnd w:id="127"/>
    </w:p>
    <w:p>
      <w:pPr>
        <w:pStyle w:val="3"/>
        <w:spacing w:before="0" w:after="0" w:line="460" w:lineRule="exact"/>
        <w:rPr>
          <w:rFonts w:ascii="宋体" w:hAnsi="宋体"/>
          <w:sz w:val="21"/>
          <w:szCs w:val="21"/>
        </w:rPr>
      </w:pPr>
      <w:bookmarkStart w:id="128" w:name="_Toc22620"/>
      <w:bookmarkStart w:id="129" w:name="_Toc173244781"/>
      <w:bookmarkStart w:id="130" w:name="_Toc173246168"/>
      <w:r>
        <w:rPr>
          <w:rFonts w:hint="eastAsia" w:ascii="宋体" w:hAnsi="宋体"/>
          <w:sz w:val="21"/>
          <w:szCs w:val="21"/>
        </w:rPr>
        <w:t>3.1 投标文件的组成</w:t>
      </w:r>
      <w:bookmarkEnd w:id="128"/>
      <w:bookmarkEnd w:id="129"/>
      <w:bookmarkEnd w:id="130"/>
    </w:p>
    <w:p>
      <w:pPr>
        <w:spacing w:line="460" w:lineRule="exact"/>
        <w:ind w:firstLine="420" w:firstLineChars="200"/>
        <w:rPr>
          <w:rFonts w:ascii="宋体" w:hAnsi="宋体" w:eastAsia="宋体" w:cs="宋体"/>
          <w:szCs w:val="21"/>
        </w:rPr>
      </w:pPr>
      <w:r>
        <w:rPr>
          <w:rFonts w:hint="eastAsia" w:ascii="宋体" w:hAnsi="宋体" w:eastAsia="宋体" w:cs="宋体"/>
          <w:szCs w:val="21"/>
        </w:rPr>
        <w:t>3.1.1 投标文件应包括下列内容：</w:t>
      </w:r>
    </w:p>
    <w:p>
      <w:pPr>
        <w:spacing w:line="460" w:lineRule="exact"/>
        <w:ind w:firstLine="420" w:firstLineChars="200"/>
        <w:rPr>
          <w:rFonts w:ascii="宋体" w:hAnsi="宋体" w:eastAsia="宋体" w:cs="宋体"/>
          <w:szCs w:val="21"/>
        </w:rPr>
      </w:pPr>
      <w:r>
        <w:rPr>
          <w:rFonts w:hint="eastAsia" w:ascii="宋体" w:hAnsi="宋体" w:eastAsia="宋体" w:cs="宋体"/>
          <w:szCs w:val="21"/>
        </w:rPr>
        <w:t>（1）投标函及投标函附录；</w:t>
      </w:r>
    </w:p>
    <w:p>
      <w:pPr>
        <w:spacing w:line="460" w:lineRule="exact"/>
        <w:ind w:firstLine="420" w:firstLineChars="200"/>
        <w:rPr>
          <w:rFonts w:ascii="宋体" w:hAnsi="宋体" w:eastAsia="宋体" w:cs="宋体"/>
          <w:szCs w:val="21"/>
        </w:rPr>
      </w:pPr>
      <w:r>
        <w:rPr>
          <w:rFonts w:hint="eastAsia" w:ascii="宋体" w:hAnsi="宋体" w:eastAsia="宋体" w:cs="宋体"/>
          <w:szCs w:val="21"/>
        </w:rPr>
        <w:t>（2）法定代表人身份证明或附有法定代表人身份证明的授权委托书；</w:t>
      </w:r>
    </w:p>
    <w:p>
      <w:pPr>
        <w:spacing w:line="460" w:lineRule="exact"/>
        <w:ind w:firstLine="420" w:firstLineChars="200"/>
        <w:rPr>
          <w:rFonts w:ascii="宋体" w:hAnsi="宋体" w:eastAsia="宋体" w:cs="宋体"/>
          <w:szCs w:val="21"/>
        </w:rPr>
      </w:pPr>
      <w:r>
        <w:rPr>
          <w:rFonts w:hint="eastAsia" w:ascii="宋体" w:hAnsi="宋体" w:eastAsia="宋体" w:cs="宋体"/>
          <w:szCs w:val="21"/>
        </w:rPr>
        <w:t>（3）联合体协议书</w:t>
      </w:r>
      <w:r>
        <w:rPr>
          <w:rFonts w:hint="eastAsia"/>
          <w:spacing w:val="-3"/>
        </w:rPr>
        <w:t>（</w:t>
      </w:r>
      <w:r>
        <w:rPr>
          <w:rFonts w:hint="eastAsia"/>
          <w:spacing w:val="-2"/>
        </w:rPr>
        <w:t>如有</w:t>
      </w:r>
      <w:r>
        <w:rPr>
          <w:rFonts w:hint="eastAsia"/>
        </w:rPr>
        <w:t>）；（</w:t>
      </w:r>
      <w:r>
        <w:rPr>
          <w:rFonts w:hint="eastAsia"/>
          <w:spacing w:val="-3"/>
        </w:rPr>
        <w:t>本项目不适用</w:t>
      </w:r>
      <w:r>
        <w:rPr>
          <w:rFonts w:hint="eastAsia"/>
        </w:rPr>
        <w:t>）</w:t>
      </w:r>
      <w:r>
        <w:rPr>
          <w:rFonts w:hint="eastAsia" w:ascii="宋体" w:hAnsi="宋体" w:eastAsia="宋体" w:cs="宋体"/>
          <w:szCs w:val="21"/>
        </w:rPr>
        <w:t>；</w:t>
      </w:r>
    </w:p>
    <w:p>
      <w:pPr>
        <w:spacing w:line="460" w:lineRule="exact"/>
        <w:ind w:firstLine="420" w:firstLineChars="200"/>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4</w:t>
      </w:r>
      <w:r>
        <w:rPr>
          <w:rFonts w:hint="eastAsia" w:ascii="宋体" w:hAnsi="宋体" w:eastAsia="宋体" w:cs="宋体"/>
          <w:szCs w:val="21"/>
        </w:rPr>
        <w:t>）项目管理机构；</w:t>
      </w:r>
    </w:p>
    <w:p>
      <w:pPr>
        <w:spacing w:line="460" w:lineRule="exact"/>
        <w:ind w:firstLine="420" w:firstLineChars="200"/>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5</w:t>
      </w:r>
      <w:r>
        <w:rPr>
          <w:rFonts w:hint="eastAsia" w:ascii="宋体" w:hAnsi="宋体" w:eastAsia="宋体" w:cs="宋体"/>
          <w:szCs w:val="21"/>
        </w:rPr>
        <w:t>）资格审查资料；</w:t>
      </w:r>
    </w:p>
    <w:p>
      <w:pPr>
        <w:spacing w:line="460" w:lineRule="exact"/>
        <w:ind w:firstLine="420" w:firstLineChars="200"/>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6</w:t>
      </w:r>
      <w:r>
        <w:rPr>
          <w:rFonts w:hint="eastAsia" w:ascii="宋体" w:hAnsi="宋体" w:eastAsia="宋体" w:cs="宋体"/>
          <w:szCs w:val="21"/>
        </w:rPr>
        <w:t>）承诺函；</w:t>
      </w:r>
    </w:p>
    <w:p>
      <w:pPr>
        <w:spacing w:line="460" w:lineRule="exact"/>
        <w:ind w:firstLine="420" w:firstLineChars="200"/>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7</w:t>
      </w:r>
      <w:r>
        <w:rPr>
          <w:rFonts w:hint="eastAsia" w:ascii="宋体" w:hAnsi="宋体" w:eastAsia="宋体" w:cs="宋体"/>
          <w:szCs w:val="21"/>
        </w:rPr>
        <w:t>）投标人须知前附表规定的其他材料。</w:t>
      </w:r>
    </w:p>
    <w:p>
      <w:pPr>
        <w:spacing w:line="460" w:lineRule="exact"/>
        <w:ind w:firstLine="420" w:firstLineChars="200"/>
        <w:rPr>
          <w:rFonts w:ascii="宋体" w:hAnsi="宋体" w:eastAsia="宋体" w:cs="宋体"/>
          <w:szCs w:val="21"/>
        </w:rPr>
      </w:pPr>
      <w:r>
        <w:rPr>
          <w:rFonts w:hint="eastAsia" w:ascii="宋体" w:hAnsi="宋体" w:eastAsia="宋体" w:cs="宋体"/>
          <w:szCs w:val="21"/>
        </w:rPr>
        <w:t>3.1.2 投标人须知前附表规定不接受联合体投标的，或投标人没有组成联合体的，投标文件不包括本章第 3.1.1（3）目所指的联合体协议书。</w:t>
      </w:r>
    </w:p>
    <w:p>
      <w:pPr>
        <w:pStyle w:val="3"/>
        <w:spacing w:before="0" w:after="0" w:line="460" w:lineRule="exact"/>
        <w:rPr>
          <w:rFonts w:ascii="宋体" w:hAnsi="宋体"/>
          <w:sz w:val="21"/>
          <w:szCs w:val="21"/>
        </w:rPr>
      </w:pPr>
      <w:bookmarkStart w:id="131" w:name="_Toc15939"/>
      <w:bookmarkStart w:id="132" w:name="_Toc173244782"/>
      <w:bookmarkStart w:id="133" w:name="_Toc173246169"/>
      <w:r>
        <w:rPr>
          <w:rFonts w:hint="eastAsia" w:ascii="宋体" w:hAnsi="宋体"/>
          <w:sz w:val="21"/>
          <w:szCs w:val="21"/>
        </w:rPr>
        <w:t>3.2 投标报价</w:t>
      </w:r>
      <w:bookmarkEnd w:id="131"/>
      <w:bookmarkEnd w:id="132"/>
      <w:bookmarkEnd w:id="133"/>
    </w:p>
    <w:p>
      <w:pPr>
        <w:spacing w:line="460" w:lineRule="exact"/>
        <w:ind w:firstLine="420" w:firstLineChars="200"/>
        <w:rPr>
          <w:rFonts w:ascii="宋体" w:hAnsi="宋体" w:eastAsia="宋体" w:cs="宋体"/>
          <w:szCs w:val="21"/>
        </w:rPr>
      </w:pPr>
      <w:bookmarkStart w:id="134" w:name="_Toc4025"/>
      <w:r>
        <w:rPr>
          <w:rFonts w:hint="eastAsia" w:ascii="宋体" w:hAnsi="宋体" w:eastAsia="宋体" w:cs="宋体"/>
          <w:szCs w:val="21"/>
        </w:rPr>
        <w:t xml:space="preserve">3.2.1招标控制价：本工程招标控制价具体金额见投标人须知前附表。 </w:t>
      </w:r>
    </w:p>
    <w:p>
      <w:pPr>
        <w:spacing w:line="460" w:lineRule="exact"/>
        <w:ind w:firstLine="420" w:firstLineChars="200"/>
        <w:rPr>
          <w:rFonts w:ascii="宋体" w:hAnsi="宋体" w:eastAsia="宋体" w:cs="宋体"/>
          <w:szCs w:val="21"/>
        </w:rPr>
      </w:pPr>
      <w:r>
        <w:rPr>
          <w:rFonts w:hint="eastAsia" w:ascii="宋体" w:hAnsi="宋体" w:eastAsia="宋体" w:cs="宋体"/>
          <w:szCs w:val="21"/>
        </w:rPr>
        <w:t>3.2.2 投标人在投标截止时间前修改投标函中的投标总报价。</w:t>
      </w:r>
    </w:p>
    <w:p>
      <w:pPr>
        <w:pStyle w:val="3"/>
        <w:spacing w:before="0" w:after="0" w:line="460" w:lineRule="exact"/>
        <w:rPr>
          <w:rFonts w:ascii="宋体" w:hAnsi="宋体"/>
          <w:sz w:val="21"/>
          <w:szCs w:val="21"/>
        </w:rPr>
      </w:pPr>
      <w:bookmarkStart w:id="135" w:name="_Toc173244783"/>
      <w:bookmarkStart w:id="136" w:name="_Toc173246170"/>
      <w:r>
        <w:rPr>
          <w:rFonts w:hint="eastAsia" w:ascii="宋体" w:hAnsi="宋体"/>
          <w:sz w:val="21"/>
          <w:szCs w:val="21"/>
        </w:rPr>
        <w:t>3.3 投标有效期</w:t>
      </w:r>
      <w:bookmarkEnd w:id="134"/>
      <w:bookmarkEnd w:id="135"/>
      <w:bookmarkEnd w:id="136"/>
    </w:p>
    <w:p>
      <w:pPr>
        <w:spacing w:line="460" w:lineRule="exact"/>
        <w:ind w:firstLine="420" w:firstLineChars="200"/>
        <w:rPr>
          <w:rFonts w:ascii="宋体" w:hAnsi="宋体" w:eastAsia="宋体" w:cs="宋体"/>
          <w:szCs w:val="21"/>
        </w:rPr>
      </w:pPr>
      <w:r>
        <w:rPr>
          <w:rFonts w:hint="eastAsia" w:ascii="宋体" w:hAnsi="宋体" w:eastAsia="宋体" w:cs="宋体"/>
          <w:szCs w:val="21"/>
        </w:rPr>
        <w:t>3.3.1 在投标人须知前附表规定的投标有效期内，投标人不得要求撤销或修改其投标文件。</w:t>
      </w:r>
    </w:p>
    <w:p>
      <w:pPr>
        <w:spacing w:line="460" w:lineRule="exact"/>
        <w:ind w:firstLine="420" w:firstLineChars="200"/>
        <w:rPr>
          <w:rFonts w:ascii="宋体" w:hAnsi="宋体" w:eastAsia="宋体" w:cs="宋体"/>
          <w:szCs w:val="21"/>
        </w:rPr>
      </w:pPr>
      <w:r>
        <w:rPr>
          <w:rFonts w:hint="eastAsia" w:ascii="宋体" w:hAnsi="宋体" w:eastAsia="宋体" w:cs="宋体"/>
          <w:szCs w:val="21"/>
        </w:rPr>
        <w:t>3.3.2 出现特殊情况需要延长投标有效期的，发包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3"/>
        <w:spacing w:before="0" w:after="0" w:line="460" w:lineRule="exact"/>
        <w:rPr>
          <w:rFonts w:ascii="宋体" w:hAnsi="宋体"/>
          <w:sz w:val="21"/>
          <w:szCs w:val="21"/>
        </w:rPr>
      </w:pPr>
      <w:bookmarkStart w:id="137" w:name="_Toc30215"/>
      <w:bookmarkStart w:id="138" w:name="_Toc173244784"/>
      <w:bookmarkStart w:id="139" w:name="_Toc173246171"/>
      <w:r>
        <w:rPr>
          <w:rFonts w:hint="eastAsia" w:ascii="宋体" w:hAnsi="宋体"/>
          <w:sz w:val="21"/>
          <w:szCs w:val="21"/>
        </w:rPr>
        <w:t>3.4 投标保证金</w:t>
      </w:r>
      <w:bookmarkEnd w:id="137"/>
      <w:bookmarkEnd w:id="138"/>
      <w:bookmarkEnd w:id="139"/>
    </w:p>
    <w:p>
      <w:pPr>
        <w:spacing w:line="460" w:lineRule="exact"/>
        <w:ind w:firstLine="420" w:firstLineChars="200"/>
        <w:rPr>
          <w:rFonts w:ascii="宋体" w:hAnsi="宋体" w:eastAsia="宋体" w:cs="宋体"/>
          <w:szCs w:val="21"/>
        </w:rPr>
      </w:pPr>
      <w:bookmarkStart w:id="140" w:name="_Toc18049"/>
      <w:r>
        <w:rPr>
          <w:rFonts w:hint="eastAsia" w:ascii="宋体" w:hAnsi="宋体" w:eastAsia="宋体" w:cs="宋体"/>
          <w:szCs w:val="21"/>
        </w:rPr>
        <w:t xml:space="preserve">3.4.1 投标人在递交投标文件的同时，应按投标人须知前附表规定递交投标担保。 </w:t>
      </w:r>
    </w:p>
    <w:p>
      <w:pPr>
        <w:spacing w:line="460" w:lineRule="exact"/>
        <w:ind w:firstLine="420" w:firstLineChars="200"/>
        <w:rPr>
          <w:rFonts w:ascii="宋体" w:hAnsi="宋体" w:eastAsia="宋体" w:cs="宋体"/>
          <w:szCs w:val="21"/>
        </w:rPr>
      </w:pPr>
      <w:r>
        <w:rPr>
          <w:rFonts w:hint="eastAsia" w:ascii="宋体" w:hAnsi="宋体" w:eastAsia="宋体" w:cs="宋体"/>
          <w:szCs w:val="21"/>
        </w:rPr>
        <w:t xml:space="preserve">3.4.2 投标人不按本章第3.4.1项要求提交投标担保的，招标人将视为不响应投标而予以拒绝。 </w:t>
      </w:r>
    </w:p>
    <w:p>
      <w:pPr>
        <w:spacing w:line="460" w:lineRule="exact"/>
        <w:ind w:firstLine="420" w:firstLineChars="200"/>
        <w:rPr>
          <w:rFonts w:ascii="宋体" w:hAnsi="宋体" w:eastAsia="宋体" w:cs="宋体"/>
          <w:szCs w:val="21"/>
        </w:rPr>
      </w:pPr>
      <w:r>
        <w:rPr>
          <w:rFonts w:hint="eastAsia" w:ascii="宋体" w:hAnsi="宋体" w:eastAsia="宋体" w:cs="宋体"/>
          <w:szCs w:val="21"/>
        </w:rPr>
        <w:t xml:space="preserve">3.4.3投标担保按以下方式退还： </w:t>
      </w:r>
    </w:p>
    <w:p>
      <w:pPr>
        <w:spacing w:line="460" w:lineRule="exact"/>
        <w:ind w:firstLine="420" w:firstLineChars="200"/>
        <w:rPr>
          <w:rFonts w:ascii="宋体" w:hAnsi="宋体" w:eastAsia="宋体" w:cs="宋体"/>
          <w:szCs w:val="21"/>
        </w:rPr>
      </w:pPr>
      <w:r>
        <w:rPr>
          <w:rFonts w:hint="eastAsia" w:ascii="宋体" w:hAnsi="宋体" w:eastAsia="宋体" w:cs="宋体"/>
          <w:szCs w:val="21"/>
        </w:rPr>
        <w:t xml:space="preserve">（1）中标人在合同签订后退还； </w:t>
      </w:r>
    </w:p>
    <w:p>
      <w:pPr>
        <w:spacing w:line="460" w:lineRule="exact"/>
        <w:ind w:firstLine="420" w:firstLineChars="200"/>
        <w:rPr>
          <w:rFonts w:ascii="宋体" w:hAnsi="宋体" w:eastAsia="宋体" w:cs="宋体"/>
          <w:szCs w:val="21"/>
        </w:rPr>
      </w:pPr>
      <w:r>
        <w:rPr>
          <w:rFonts w:hint="eastAsia" w:ascii="宋体" w:hAnsi="宋体" w:eastAsia="宋体" w:cs="宋体"/>
          <w:szCs w:val="21"/>
        </w:rPr>
        <w:t xml:space="preserve">（2）未中标的投标人（含无效标的）在开标会议结束后当场退还。  </w:t>
      </w:r>
    </w:p>
    <w:p>
      <w:pPr>
        <w:spacing w:line="460" w:lineRule="exact"/>
        <w:ind w:firstLine="420" w:firstLineChars="200"/>
        <w:rPr>
          <w:rFonts w:ascii="宋体" w:hAnsi="宋体" w:eastAsia="宋体" w:cs="宋体"/>
          <w:szCs w:val="21"/>
        </w:rPr>
      </w:pPr>
      <w:r>
        <w:rPr>
          <w:rFonts w:hint="eastAsia" w:ascii="宋体" w:hAnsi="宋体" w:eastAsia="宋体" w:cs="宋体"/>
          <w:szCs w:val="21"/>
        </w:rPr>
        <w:t xml:space="preserve">3.4.4投标人有下列情形的，招标人可以对投标人的投标担保按下列相应规定进行处理： </w:t>
      </w:r>
    </w:p>
    <w:p>
      <w:pPr>
        <w:spacing w:line="460" w:lineRule="exact"/>
        <w:ind w:firstLine="420" w:firstLineChars="200"/>
        <w:rPr>
          <w:rFonts w:ascii="宋体" w:hAnsi="宋体" w:eastAsia="宋体" w:cs="宋体"/>
          <w:szCs w:val="21"/>
        </w:rPr>
      </w:pPr>
      <w:r>
        <w:rPr>
          <w:rFonts w:hint="eastAsia" w:ascii="宋体" w:hAnsi="宋体" w:eastAsia="宋体" w:cs="宋体"/>
          <w:szCs w:val="21"/>
        </w:rPr>
        <w:t xml:space="preserve">（1）投标人放弃中标候选人或中标资格的（包括中标人无正当理由不与招标人订立合同；在签订合同时 向招标人提出附加条件；不按照招标文件要求提交履约担保），对其投标担保全部不予退还；对招标人造成的经济损失（包括报价的差额损失）超过投标担保总金额的，应对超过部分予以赔偿； </w:t>
      </w:r>
    </w:p>
    <w:p>
      <w:pPr>
        <w:spacing w:line="460" w:lineRule="exact"/>
        <w:ind w:firstLine="420" w:firstLineChars="200"/>
        <w:rPr>
          <w:rFonts w:ascii="宋体" w:hAnsi="宋体" w:eastAsia="宋体" w:cs="宋体"/>
          <w:szCs w:val="21"/>
        </w:rPr>
      </w:pPr>
      <w:r>
        <w:rPr>
          <w:rFonts w:hint="eastAsia" w:ascii="宋体" w:hAnsi="宋体" w:eastAsia="宋体" w:cs="宋体"/>
          <w:szCs w:val="21"/>
        </w:rPr>
        <w:t xml:space="preserve">（2）投标人在投标有效期内撤销其投标文件的，对其投标担保全部不予退还； </w:t>
      </w:r>
    </w:p>
    <w:p>
      <w:pPr>
        <w:spacing w:line="460" w:lineRule="exact"/>
        <w:ind w:firstLine="420" w:firstLineChars="200"/>
        <w:rPr>
          <w:rFonts w:ascii="宋体" w:hAnsi="宋体" w:eastAsia="宋体" w:cs="宋体"/>
          <w:szCs w:val="21"/>
        </w:rPr>
      </w:pPr>
      <w:r>
        <w:rPr>
          <w:rFonts w:hint="eastAsia" w:ascii="宋体" w:hAnsi="宋体" w:eastAsia="宋体" w:cs="宋体"/>
          <w:szCs w:val="21"/>
        </w:rPr>
        <w:t xml:space="preserve">3.4.5 投标人涉嫌违法违规或被投诉的，在调查处理期间，其投标担保暂不退还，待调查处理结果明确后，按有关规定办理。 </w:t>
      </w:r>
    </w:p>
    <w:p>
      <w:pPr>
        <w:pStyle w:val="3"/>
        <w:spacing w:before="0" w:after="0" w:line="460" w:lineRule="exact"/>
        <w:rPr>
          <w:rFonts w:ascii="宋体" w:hAnsi="宋体"/>
          <w:sz w:val="21"/>
          <w:szCs w:val="21"/>
        </w:rPr>
      </w:pPr>
      <w:bookmarkStart w:id="141" w:name="_Toc173244785"/>
      <w:bookmarkStart w:id="142" w:name="_Toc173246172"/>
      <w:r>
        <w:rPr>
          <w:rFonts w:hint="eastAsia" w:ascii="宋体" w:hAnsi="宋体"/>
          <w:sz w:val="21"/>
          <w:szCs w:val="21"/>
        </w:rPr>
        <w:t>3.5 资格审查资料</w:t>
      </w:r>
      <w:bookmarkEnd w:id="140"/>
      <w:bookmarkEnd w:id="141"/>
      <w:bookmarkEnd w:id="142"/>
    </w:p>
    <w:p>
      <w:pPr>
        <w:spacing w:line="380" w:lineRule="exact"/>
        <w:ind w:firstLine="420" w:firstLineChars="200"/>
        <w:rPr>
          <w:rFonts w:ascii="宋体" w:hAnsi="宋体"/>
          <w:color w:val="000000"/>
          <w:szCs w:val="21"/>
        </w:rPr>
      </w:pPr>
      <w:bookmarkStart w:id="143" w:name="_Toc20625"/>
      <w:r>
        <w:rPr>
          <w:rFonts w:hint="eastAsia" w:ascii="宋体" w:hAnsi="宋体"/>
          <w:color w:val="000000"/>
          <w:szCs w:val="21"/>
        </w:rPr>
        <w:t>除投标人须知前附表另有规定外，投标人应按下列规定提供资格审查资料，以证明其满足本章第1.4款规定的资质、财务、业绩、信誉等要求。</w:t>
      </w:r>
    </w:p>
    <w:p>
      <w:pPr>
        <w:spacing w:line="380" w:lineRule="exact"/>
        <w:ind w:firstLine="420" w:firstLineChars="200"/>
        <w:rPr>
          <w:rFonts w:ascii="宋体" w:hAnsi="宋体"/>
          <w:color w:val="000000"/>
          <w:szCs w:val="21"/>
        </w:rPr>
      </w:pPr>
      <w:r>
        <w:rPr>
          <w:rFonts w:hint="eastAsia" w:ascii="宋体" w:hAnsi="宋体"/>
          <w:color w:val="000000"/>
          <w:szCs w:val="21"/>
        </w:rPr>
        <w:t>3.5.1 “投标人基本情况表”应附资料见投标人须知前附表。</w:t>
      </w:r>
    </w:p>
    <w:p>
      <w:pPr>
        <w:spacing w:line="380" w:lineRule="exact"/>
        <w:ind w:firstLine="420" w:firstLineChars="200"/>
        <w:rPr>
          <w:rFonts w:ascii="宋体" w:hAnsi="宋体"/>
          <w:color w:val="000000"/>
          <w:szCs w:val="21"/>
        </w:rPr>
      </w:pPr>
      <w:r>
        <w:rPr>
          <w:rFonts w:hint="eastAsia" w:ascii="宋体" w:hAnsi="宋体"/>
          <w:color w:val="000000"/>
          <w:szCs w:val="21"/>
        </w:rPr>
        <w:t>3.5.2 若投标人须知前附表要求提供“近年财务状况表”，则“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spacing w:line="380" w:lineRule="exact"/>
        <w:ind w:firstLine="420" w:firstLineChars="200"/>
        <w:rPr>
          <w:rFonts w:ascii="宋体" w:hAnsi="宋体"/>
          <w:color w:val="000000"/>
          <w:szCs w:val="21"/>
        </w:rPr>
      </w:pPr>
      <w:r>
        <w:rPr>
          <w:rFonts w:hint="eastAsia" w:ascii="宋体" w:hAnsi="宋体"/>
          <w:color w:val="000000"/>
          <w:szCs w:val="21"/>
        </w:rPr>
        <w:t>3.5.3 “近年完成的类似项目情况表”具体年份及需附资料及要求见投标人须知前附表。每张表格只填写一个项目，并标明序号。</w:t>
      </w:r>
    </w:p>
    <w:p>
      <w:pPr>
        <w:spacing w:line="380" w:lineRule="exact"/>
        <w:ind w:firstLine="420" w:firstLineChars="200"/>
        <w:rPr>
          <w:rFonts w:ascii="宋体" w:hAnsi="宋体"/>
          <w:color w:val="000000"/>
          <w:szCs w:val="21"/>
        </w:rPr>
      </w:pPr>
      <w:r>
        <w:rPr>
          <w:rFonts w:hint="eastAsia" w:ascii="宋体" w:hAnsi="宋体"/>
          <w:color w:val="000000"/>
          <w:szCs w:val="21"/>
        </w:rPr>
        <w:t>3.5.4 “投标人的信誉情况表”应附投标人在“国家企业信用信息公示系统”中未被列入严重违法失信企业名单、在“信用中国”网站中未被列入失信被执行人名单的网页截图。</w:t>
      </w:r>
    </w:p>
    <w:p>
      <w:pPr>
        <w:spacing w:line="380" w:lineRule="exact"/>
        <w:ind w:firstLine="420" w:firstLineChars="200"/>
        <w:rPr>
          <w:rFonts w:ascii="宋体" w:hAnsi="宋体"/>
          <w:color w:val="000000"/>
          <w:szCs w:val="21"/>
        </w:rPr>
      </w:pPr>
      <w:r>
        <w:rPr>
          <w:rFonts w:hint="eastAsia" w:ascii="宋体" w:hAnsi="宋体"/>
          <w:color w:val="000000"/>
          <w:szCs w:val="21"/>
        </w:rPr>
        <w:t>3.5.5 “拟委任的项目经理、项目技术负责人和安全负责人资历表” 应附资料及要求见投标人须知前附表。</w:t>
      </w:r>
    </w:p>
    <w:p>
      <w:pPr>
        <w:spacing w:line="380" w:lineRule="exact"/>
        <w:ind w:firstLine="420" w:firstLineChars="200"/>
        <w:rPr>
          <w:rFonts w:ascii="宋体" w:hAnsi="宋体"/>
          <w:color w:val="000000"/>
          <w:szCs w:val="21"/>
        </w:rPr>
      </w:pPr>
      <w:r>
        <w:rPr>
          <w:rFonts w:hint="eastAsia" w:ascii="宋体" w:hAnsi="宋体"/>
          <w:color w:val="000000"/>
          <w:szCs w:val="21"/>
        </w:rPr>
        <w:t>3.5.6 “拟委任的其他管理和技术人员汇总表”（如有）应填报满足投标人须知前附表附录 6 规定的其他人员的相关信息。“拟委任的其他管理和技术人员资历表”（如有）需附资料及要求见投标人须知前附表。</w:t>
      </w:r>
    </w:p>
    <w:p>
      <w:pPr>
        <w:spacing w:line="380" w:lineRule="exact"/>
        <w:ind w:firstLine="420" w:firstLineChars="200"/>
        <w:rPr>
          <w:rFonts w:ascii="宋体" w:hAnsi="宋体"/>
          <w:color w:val="000000"/>
          <w:szCs w:val="21"/>
        </w:rPr>
      </w:pPr>
      <w:r>
        <w:rPr>
          <w:rFonts w:hint="eastAsia" w:ascii="宋体" w:hAnsi="宋体"/>
          <w:color w:val="000000"/>
          <w:szCs w:val="21"/>
        </w:rPr>
        <w:t>3.5.7 “拟投入本标段的主要施工机械表”“拟配备本标段的主要材料试验、测量、质检仪器设备表”（如有）应填报满足投标人须知前附表附录6规定的机械设备和试验检测设备。</w:t>
      </w:r>
    </w:p>
    <w:p>
      <w:pPr>
        <w:spacing w:line="380" w:lineRule="exact"/>
        <w:ind w:firstLine="420" w:firstLineChars="200"/>
        <w:rPr>
          <w:rFonts w:ascii="宋体" w:hAnsi="宋体"/>
          <w:color w:val="000000"/>
          <w:szCs w:val="21"/>
        </w:rPr>
      </w:pPr>
      <w:r>
        <w:rPr>
          <w:rFonts w:hint="eastAsia" w:ascii="宋体" w:hAnsi="宋体"/>
          <w:color w:val="000000"/>
          <w:szCs w:val="21"/>
        </w:rPr>
        <w:t>3.5.8 投标人须知前附表规定接受联合体投标的，本章第3.5.1项至第3.5.7项规定的表格和资料应包括联合体各方相关情况。</w:t>
      </w:r>
    </w:p>
    <w:p>
      <w:pPr>
        <w:spacing w:line="380" w:lineRule="exact"/>
        <w:ind w:firstLine="420" w:firstLineChars="200"/>
        <w:rPr>
          <w:rFonts w:ascii="宋体" w:hAnsi="宋体"/>
          <w:color w:val="000000"/>
          <w:szCs w:val="21"/>
        </w:rPr>
      </w:pPr>
      <w:r>
        <w:rPr>
          <w:rFonts w:hint="eastAsia" w:ascii="宋体" w:hAnsi="宋体"/>
          <w:color w:val="000000"/>
          <w:szCs w:val="21"/>
        </w:rPr>
        <w:t>3.5.9 除合同条款约定的特殊情形外，投标人在投标文件中填报的项目经理和项目技术负责人不允许更换。</w:t>
      </w:r>
    </w:p>
    <w:p>
      <w:pPr>
        <w:spacing w:line="380" w:lineRule="exact"/>
        <w:ind w:firstLine="420" w:firstLineChars="200"/>
        <w:rPr>
          <w:rFonts w:ascii="宋体" w:hAnsi="宋体"/>
          <w:color w:val="000000"/>
          <w:szCs w:val="21"/>
        </w:rPr>
      </w:pPr>
      <w:r>
        <w:rPr>
          <w:rFonts w:hint="eastAsia" w:ascii="宋体" w:hAnsi="宋体"/>
          <w:color w:val="000000"/>
          <w:szCs w:val="21"/>
        </w:rPr>
        <w:t>3.5.10 投标人在投标文件中填报的资质、业绩、主要人员资历和目前在岗情况、信用等级等信息，应与其在浙江省交通运输信用综合管理服务系统上填报并发布的相关信息一致。投标人应根据本单位实际情况及时完成相关信息的申报、录入和动态更新，并对相关信息的真实性、完整性和准确性负责。</w:t>
      </w:r>
    </w:p>
    <w:p>
      <w:pPr>
        <w:spacing w:line="380" w:lineRule="exact"/>
        <w:ind w:firstLine="420" w:firstLineChars="200"/>
        <w:rPr>
          <w:rFonts w:ascii="宋体" w:hAnsi="宋体"/>
          <w:color w:val="000000"/>
          <w:szCs w:val="21"/>
        </w:rPr>
      </w:pPr>
      <w:r>
        <w:rPr>
          <w:rFonts w:hint="eastAsia" w:ascii="宋体" w:hAnsi="宋体"/>
          <w:color w:val="000000"/>
          <w:szCs w:val="21"/>
        </w:rPr>
        <w:t>3.5.11 招标人有权核查投标人在投标文件中提供的材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5％签约合同价的金额作为违约金。同时招标人将投标人上述弄虚作假行为上报浙江省交通运输厅，作为不良记录纳入浙江省交通运输信用综合管理服务系统。</w:t>
      </w:r>
    </w:p>
    <w:p>
      <w:pPr>
        <w:pStyle w:val="3"/>
        <w:spacing w:before="0" w:after="0" w:line="460" w:lineRule="exact"/>
        <w:rPr>
          <w:rFonts w:ascii="宋体" w:hAnsi="宋体"/>
          <w:sz w:val="21"/>
          <w:szCs w:val="21"/>
        </w:rPr>
      </w:pPr>
      <w:bookmarkStart w:id="144" w:name="_Toc173244786"/>
      <w:bookmarkStart w:id="145" w:name="_Toc173246173"/>
      <w:r>
        <w:rPr>
          <w:rFonts w:hint="eastAsia" w:ascii="宋体" w:hAnsi="宋体"/>
          <w:sz w:val="21"/>
          <w:szCs w:val="21"/>
        </w:rPr>
        <w:t>3.6 备选投标方案</w:t>
      </w:r>
      <w:bookmarkEnd w:id="143"/>
      <w:bookmarkEnd w:id="144"/>
      <w:bookmarkEnd w:id="145"/>
    </w:p>
    <w:p>
      <w:pPr>
        <w:spacing w:line="460" w:lineRule="exact"/>
        <w:ind w:firstLine="420" w:firstLineChars="200"/>
        <w:rPr>
          <w:rFonts w:ascii="宋体" w:hAnsi="宋体" w:eastAsia="宋体" w:cs="宋体"/>
          <w:szCs w:val="21"/>
        </w:rPr>
      </w:pPr>
      <w:r>
        <w:rPr>
          <w:rFonts w:hint="eastAsia" w:ascii="宋体" w:hAnsi="宋体" w:eastAsia="宋体" w:cs="宋体"/>
          <w:szCs w:val="21"/>
        </w:rPr>
        <w:t>除投标人须知前附表另有规定外，投标人不得递交备选投标方案。允许投标人递交备选投标方案的，只有中标人所递交的备选投标方案方可予以考虑。或中标人的备选投标方案优于其按照招标文件要求编制的投标方案的，发包人可以接受该备选投标方案。</w:t>
      </w:r>
    </w:p>
    <w:p>
      <w:pPr>
        <w:pStyle w:val="3"/>
        <w:spacing w:before="0" w:after="0" w:line="460" w:lineRule="exact"/>
        <w:rPr>
          <w:rFonts w:ascii="宋体" w:hAnsi="宋体"/>
          <w:sz w:val="21"/>
          <w:szCs w:val="21"/>
        </w:rPr>
      </w:pPr>
      <w:bookmarkStart w:id="146" w:name="_Toc28373"/>
      <w:bookmarkStart w:id="147" w:name="_Toc173244787"/>
      <w:bookmarkStart w:id="148" w:name="_Toc173246174"/>
      <w:r>
        <w:rPr>
          <w:rFonts w:hint="eastAsia" w:ascii="宋体" w:hAnsi="宋体"/>
          <w:sz w:val="21"/>
          <w:szCs w:val="21"/>
        </w:rPr>
        <w:t>3.7 投标文件的编制</w:t>
      </w:r>
      <w:bookmarkEnd w:id="146"/>
      <w:bookmarkEnd w:id="147"/>
      <w:bookmarkEnd w:id="148"/>
    </w:p>
    <w:p>
      <w:pPr>
        <w:spacing w:line="400" w:lineRule="exact"/>
        <w:ind w:firstLine="420" w:firstLineChars="200"/>
      </w:pPr>
      <w:bookmarkStart w:id="149" w:name="_Toc4575"/>
      <w:r>
        <w:t>3.7.1投标文件应按招标文件提供的格式进行编写。投标文件其它格式要求见投标人须知前附表。</w:t>
      </w:r>
    </w:p>
    <w:p>
      <w:pPr>
        <w:spacing w:line="400" w:lineRule="exact"/>
        <w:ind w:firstLine="420" w:firstLineChars="200"/>
      </w:pPr>
      <w:r>
        <w:t>3.7.2投标人投标文件所用的纸张建议采用A4型纸，图表可根据需要作适当扩展。</w:t>
      </w:r>
    </w:p>
    <w:p>
      <w:pPr>
        <w:spacing w:line="400" w:lineRule="exact"/>
        <w:ind w:firstLine="420" w:firstLineChars="200"/>
      </w:pPr>
      <w:r>
        <w:t>3.7.3</w:t>
      </w:r>
      <w:r>
        <w:rPr>
          <w:rFonts w:eastAsia="黑体"/>
          <w:b/>
        </w:rPr>
        <w:t>投标文件应用不褪色的材料书写或打印，招标文件格式注明签署或盖章的，投标人均应按要求签署或盖章。投标文件应尽量避免涂改、行间插字或删除。如果出现上述情况，改动之处应加盖单位章。</w:t>
      </w:r>
    </w:p>
    <w:p>
      <w:pPr>
        <w:pStyle w:val="22"/>
        <w:tabs>
          <w:tab w:val="left" w:pos="574"/>
        </w:tabs>
        <w:spacing w:after="0" w:line="400" w:lineRule="exact"/>
        <w:ind w:firstLine="420" w:firstLineChars="200"/>
      </w:pPr>
      <w:r>
        <w:t>3.7.4投标文件份数见投标人须知前附表。当副本和正本不一致时，以正本为准。如未注明正副本的，由评标委员会或工作人员随机抽签确定一本作为正本。</w:t>
      </w:r>
    </w:p>
    <w:p>
      <w:pPr>
        <w:spacing w:line="400" w:lineRule="exact"/>
        <w:ind w:firstLine="420" w:firstLineChars="200"/>
      </w:pPr>
      <w:r>
        <w:t>3.7.5投标文件的正本与副本应分别装订成册，装订要求见投标人须知前附表。</w:t>
      </w:r>
    </w:p>
    <w:p>
      <w:pPr>
        <w:pStyle w:val="3"/>
        <w:spacing w:before="0" w:after="0" w:line="460" w:lineRule="exact"/>
        <w:rPr>
          <w:rFonts w:ascii="宋体" w:hAnsi="宋体"/>
          <w:sz w:val="21"/>
          <w:szCs w:val="21"/>
        </w:rPr>
      </w:pPr>
      <w:bookmarkStart w:id="150" w:name="_Toc173244788"/>
      <w:bookmarkStart w:id="151" w:name="_Toc173246175"/>
      <w:r>
        <w:rPr>
          <w:rFonts w:hint="eastAsia" w:ascii="宋体" w:hAnsi="宋体"/>
          <w:sz w:val="21"/>
          <w:szCs w:val="21"/>
        </w:rPr>
        <w:t>4. 投标</w:t>
      </w:r>
      <w:bookmarkEnd w:id="149"/>
      <w:bookmarkEnd w:id="150"/>
      <w:bookmarkEnd w:id="151"/>
    </w:p>
    <w:p>
      <w:pPr>
        <w:pStyle w:val="104"/>
        <w:rPr>
          <w:rFonts w:cs="Times New Roman"/>
        </w:rPr>
      </w:pPr>
      <w:bookmarkStart w:id="152" w:name="_Toc144974524"/>
      <w:bookmarkStart w:id="153" w:name="_Toc152042332"/>
      <w:bookmarkStart w:id="154" w:name="_Toc152045556"/>
      <w:bookmarkStart w:id="155" w:name="_Toc179632574"/>
      <w:bookmarkStart w:id="156" w:name="_Toc237768804"/>
      <w:bookmarkStart w:id="157" w:name="_Toc237769268"/>
      <w:bookmarkStart w:id="158" w:name="_Toc282596274"/>
      <w:bookmarkStart w:id="159" w:name="_Toc283886219"/>
      <w:bookmarkStart w:id="160" w:name="_Toc283976510"/>
      <w:bookmarkStart w:id="161" w:name="_Toc288556261"/>
      <w:bookmarkStart w:id="162" w:name="_Toc321925396"/>
      <w:bookmarkStart w:id="163" w:name="_Toc372899713"/>
      <w:bookmarkStart w:id="164" w:name="_Toc372899836"/>
      <w:bookmarkStart w:id="165" w:name="_Toc394573907"/>
      <w:r>
        <w:rPr>
          <w:rFonts w:cs="Times New Roman"/>
        </w:rPr>
        <w:t>4.1 投标文件的密封和标记</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pPr>
        <w:spacing w:line="400" w:lineRule="exact"/>
        <w:ind w:firstLine="420" w:firstLineChars="200"/>
      </w:pPr>
      <w:bookmarkStart w:id="166" w:name="_Toc14501"/>
      <w:r>
        <w:t>4.1.1投标人应将投标文件按规定密封，并注明招标工程（标段）名称、投标人名称及标函名称。密封袋封口处加盖单位公章或法人代表或委托代理人印章或签字。</w:t>
      </w:r>
    </w:p>
    <w:p>
      <w:pPr>
        <w:spacing w:line="400" w:lineRule="exact"/>
        <w:ind w:firstLine="420" w:firstLineChars="200"/>
      </w:pPr>
      <w:r>
        <w:t>4.1.2</w:t>
      </w:r>
      <w:r>
        <w:rPr>
          <w:bCs/>
        </w:rPr>
        <w:t>投标文件的密封及装订要求详见投标人须知前附表。</w:t>
      </w:r>
    </w:p>
    <w:p>
      <w:pPr>
        <w:spacing w:line="400" w:lineRule="exact"/>
        <w:ind w:firstLine="420" w:firstLineChars="200"/>
      </w:pPr>
      <w:r>
        <w:t>4.1.3 未按本章第4.1.1项或第4.1.2项要求密封和加写标记的投标文件，招标人不予受理。</w:t>
      </w:r>
    </w:p>
    <w:p>
      <w:pPr>
        <w:pStyle w:val="104"/>
        <w:rPr>
          <w:rFonts w:cs="Times New Roman"/>
        </w:rPr>
      </w:pPr>
      <w:bookmarkStart w:id="167" w:name="_Toc144974525"/>
      <w:bookmarkStart w:id="168" w:name="_Toc152042333"/>
      <w:bookmarkStart w:id="169" w:name="_Toc152045557"/>
      <w:bookmarkStart w:id="170" w:name="_Toc179632575"/>
      <w:bookmarkStart w:id="171" w:name="_Toc237768805"/>
      <w:bookmarkStart w:id="172" w:name="_Toc237769269"/>
      <w:bookmarkStart w:id="173" w:name="_Toc282596275"/>
      <w:bookmarkStart w:id="174" w:name="_Toc283886220"/>
      <w:bookmarkStart w:id="175" w:name="_Toc283976511"/>
      <w:bookmarkStart w:id="176" w:name="_Toc288556262"/>
      <w:bookmarkStart w:id="177" w:name="_Toc321925397"/>
      <w:bookmarkStart w:id="178" w:name="_Toc372899714"/>
      <w:bookmarkStart w:id="179" w:name="_Toc372899837"/>
      <w:bookmarkStart w:id="180" w:name="_Toc394573908"/>
      <w:r>
        <w:rPr>
          <w:rFonts w:cs="Times New Roman"/>
        </w:rPr>
        <w:t>4.2 投标文件的递交</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pPr>
        <w:spacing w:line="400" w:lineRule="exact"/>
        <w:ind w:firstLine="420" w:firstLineChars="200"/>
      </w:pPr>
      <w:r>
        <w:t>4.2.1 投标人应在本章第2.2.2项规定的投标截止时间前递交投标文件。</w:t>
      </w:r>
    </w:p>
    <w:p>
      <w:pPr>
        <w:spacing w:line="400" w:lineRule="exact"/>
        <w:ind w:firstLine="420" w:firstLineChars="200"/>
      </w:pPr>
      <w:r>
        <w:t>4.2.2 投标人递交投标文件的地点：见投标人须知前附表。</w:t>
      </w:r>
    </w:p>
    <w:p>
      <w:pPr>
        <w:spacing w:line="400" w:lineRule="exact"/>
        <w:ind w:firstLine="420" w:firstLineChars="200"/>
      </w:pPr>
      <w:r>
        <w:t>4.2.3 除投标人须知前附表另有规定外，投标人所递交的投标文件不予退还。</w:t>
      </w:r>
    </w:p>
    <w:p>
      <w:pPr>
        <w:spacing w:line="400" w:lineRule="exact"/>
        <w:ind w:firstLine="420" w:firstLineChars="200"/>
      </w:pPr>
      <w:r>
        <w:t>4.2.4 招标人收到投标文件后，向投标人出具签收凭证。</w:t>
      </w:r>
    </w:p>
    <w:p>
      <w:pPr>
        <w:spacing w:line="400" w:lineRule="exact"/>
        <w:ind w:firstLine="420" w:firstLineChars="200"/>
      </w:pPr>
      <w:r>
        <w:t>4.2.5逾期送达的或者未送达指定地点的或未同时满足本须知前附表要求的投标文件，招标人不予受理。</w:t>
      </w:r>
    </w:p>
    <w:p>
      <w:pPr>
        <w:pStyle w:val="104"/>
        <w:rPr>
          <w:rFonts w:cs="Times New Roman"/>
        </w:rPr>
      </w:pPr>
      <w:bookmarkStart w:id="181" w:name="_Toc144974526"/>
      <w:bookmarkStart w:id="182" w:name="_Toc152042334"/>
      <w:bookmarkStart w:id="183" w:name="_Toc152045558"/>
      <w:bookmarkStart w:id="184" w:name="_Toc179632576"/>
      <w:bookmarkStart w:id="185" w:name="_Toc237768806"/>
      <w:bookmarkStart w:id="186" w:name="_Toc237769270"/>
      <w:bookmarkStart w:id="187" w:name="_Toc282596276"/>
      <w:bookmarkStart w:id="188" w:name="_Toc283886221"/>
      <w:bookmarkStart w:id="189" w:name="_Toc283976512"/>
      <w:bookmarkStart w:id="190" w:name="_Toc288556263"/>
      <w:bookmarkStart w:id="191" w:name="_Toc321925398"/>
      <w:bookmarkStart w:id="192" w:name="_Toc372899715"/>
      <w:bookmarkStart w:id="193" w:name="_Toc372899838"/>
      <w:bookmarkStart w:id="194" w:name="_Toc394573909"/>
      <w:r>
        <w:rPr>
          <w:rFonts w:cs="Times New Roman"/>
        </w:rPr>
        <w:t>4.3 投标文件的修改与撤回</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pPr>
        <w:spacing w:line="400" w:lineRule="exact"/>
        <w:ind w:firstLine="420" w:firstLineChars="200"/>
      </w:pPr>
      <w:r>
        <w:t>4.3.1 在本章第2.2.2项规定的投标截止时间前，投标人可以修改或撤回已递交的投标文件，但应以书面形式通知招标人。</w:t>
      </w:r>
    </w:p>
    <w:p>
      <w:pPr>
        <w:spacing w:line="400" w:lineRule="exact"/>
        <w:ind w:firstLine="420" w:firstLineChars="200"/>
      </w:pPr>
      <w:r>
        <w:t>4.3.2 投标人修改或撤回已递交投标文件的书面通知应按照本章第3.7.3项的要求签字或盖章。招标人收到书面通知后，向投标人出具签收凭证。</w:t>
      </w:r>
    </w:p>
    <w:p>
      <w:pPr>
        <w:spacing w:line="400" w:lineRule="exact"/>
        <w:ind w:firstLine="420" w:firstLineChars="200"/>
      </w:pPr>
      <w:r>
        <w:t>4.3.3 修改的内容为投标文件的组成部分。修改的投标文件应按照本章第3条、第4条规定进行编制、密封、标记和递交，并标明“修改”字样。</w:t>
      </w:r>
    </w:p>
    <w:p>
      <w:pPr>
        <w:pStyle w:val="3"/>
        <w:spacing w:before="0" w:after="0" w:line="460" w:lineRule="exact"/>
        <w:rPr>
          <w:rFonts w:ascii="宋体" w:hAnsi="宋体"/>
          <w:sz w:val="21"/>
          <w:szCs w:val="21"/>
        </w:rPr>
      </w:pPr>
      <w:bookmarkStart w:id="195" w:name="_Toc173244789"/>
      <w:bookmarkStart w:id="196" w:name="_Toc173246176"/>
      <w:r>
        <w:rPr>
          <w:rFonts w:hint="eastAsia" w:ascii="宋体" w:hAnsi="宋体"/>
          <w:sz w:val="21"/>
          <w:szCs w:val="21"/>
        </w:rPr>
        <w:t>5. 开标</w:t>
      </w:r>
      <w:bookmarkEnd w:id="166"/>
      <w:bookmarkEnd w:id="195"/>
      <w:bookmarkEnd w:id="196"/>
    </w:p>
    <w:p>
      <w:pPr>
        <w:pStyle w:val="3"/>
        <w:spacing w:before="0" w:after="0" w:line="460" w:lineRule="exact"/>
        <w:rPr>
          <w:rFonts w:ascii="宋体" w:hAnsi="宋体"/>
          <w:sz w:val="21"/>
          <w:szCs w:val="21"/>
        </w:rPr>
      </w:pPr>
      <w:bookmarkStart w:id="197" w:name="_Toc9575"/>
      <w:bookmarkStart w:id="198" w:name="_Toc173244790"/>
      <w:bookmarkStart w:id="199" w:name="_Toc173246177"/>
      <w:r>
        <w:rPr>
          <w:rFonts w:hint="eastAsia" w:ascii="宋体" w:hAnsi="宋体"/>
          <w:sz w:val="21"/>
          <w:szCs w:val="21"/>
        </w:rPr>
        <w:t>5.1 开标时间和地点</w:t>
      </w:r>
      <w:bookmarkEnd w:id="197"/>
      <w:bookmarkEnd w:id="198"/>
      <w:bookmarkEnd w:id="199"/>
    </w:p>
    <w:p>
      <w:pPr>
        <w:spacing w:line="400" w:lineRule="exact"/>
        <w:ind w:firstLine="420" w:firstLineChars="200"/>
      </w:pPr>
      <w:r>
        <w:rPr>
          <w:rFonts w:hint="eastAsia" w:ascii="宋体" w:hAnsi="宋体" w:eastAsia="宋体" w:cs="宋体"/>
          <w:szCs w:val="21"/>
        </w:rPr>
        <w:t>发</w:t>
      </w:r>
      <w:bookmarkStart w:id="200" w:name="_Toc3610"/>
      <w:r>
        <w:t>招标人在本章第2.2.2项规定的投标截止时间（开标时间）和投标人须知前附表规定的地点公开开标，并邀请所有投标人的法定代表人或其委托代理人准时参加。</w:t>
      </w:r>
    </w:p>
    <w:p>
      <w:pPr>
        <w:spacing w:line="460" w:lineRule="exact"/>
        <w:rPr>
          <w:rFonts w:ascii="宋体" w:hAnsi="宋体" w:eastAsia="宋体" w:cs="宋体"/>
          <w:b/>
          <w:bCs/>
          <w:kern w:val="44"/>
          <w:szCs w:val="21"/>
        </w:rPr>
      </w:pPr>
      <w:r>
        <w:rPr>
          <w:rFonts w:hint="eastAsia" w:ascii="宋体" w:hAnsi="宋体" w:eastAsia="宋体" w:cs="宋体"/>
          <w:b/>
          <w:bCs/>
          <w:kern w:val="44"/>
          <w:szCs w:val="21"/>
        </w:rPr>
        <w:t>5.2 开标程序</w:t>
      </w:r>
      <w:bookmarkEnd w:id="200"/>
    </w:p>
    <w:p>
      <w:pPr>
        <w:spacing w:line="400" w:lineRule="exact"/>
        <w:ind w:firstLine="420" w:firstLineChars="200"/>
      </w:pPr>
      <w:bookmarkStart w:id="201" w:name="_Toc23383"/>
      <w:r>
        <w:t>主持人按下列程序进行开标：</w:t>
      </w:r>
    </w:p>
    <w:p>
      <w:pPr>
        <w:spacing w:line="400" w:lineRule="exact"/>
        <w:ind w:firstLine="359" w:firstLineChars="171"/>
      </w:pPr>
      <w:r>
        <w:t>（1）宣布开标纪律；</w:t>
      </w:r>
    </w:p>
    <w:p>
      <w:pPr>
        <w:spacing w:line="400" w:lineRule="exact"/>
        <w:ind w:firstLine="359" w:firstLineChars="171"/>
      </w:pPr>
      <w:r>
        <w:t>（2）公布在投标截止时间前递交投标文件的投标人名称，并点名确认投标人是否派人到场；</w:t>
      </w:r>
    </w:p>
    <w:p>
      <w:pPr>
        <w:spacing w:line="400" w:lineRule="exact"/>
        <w:ind w:firstLine="359" w:firstLineChars="171"/>
      </w:pPr>
      <w:r>
        <w:t>（3）宣布开标人、唱标人、记录人、监标人等有关人员姓名；</w:t>
      </w:r>
    </w:p>
    <w:p>
      <w:pPr>
        <w:spacing w:line="400" w:lineRule="exact"/>
        <w:ind w:firstLine="359" w:firstLineChars="171"/>
      </w:pPr>
      <w:r>
        <w:t>（4）按照投标人须知前附表规定检查投标文件的密封情况；</w:t>
      </w:r>
    </w:p>
    <w:p>
      <w:pPr>
        <w:spacing w:line="400" w:lineRule="exact"/>
        <w:ind w:firstLine="359" w:firstLineChars="171"/>
      </w:pPr>
      <w:r>
        <w:t>（5）按照投标人须知前附表的规定确定并宣布投标文件开标顺序；</w:t>
      </w:r>
    </w:p>
    <w:p>
      <w:pPr>
        <w:spacing w:line="400" w:lineRule="exact"/>
        <w:ind w:firstLine="359" w:firstLineChars="171"/>
      </w:pPr>
      <w:r>
        <w:t>（6）按照宣布的开标顺序当众开标，公布投标人名称、标段名称、投标担保的递交情况、投标报价、质量目标、工期及其他内容，并记录在案；</w:t>
      </w:r>
    </w:p>
    <w:p>
      <w:pPr>
        <w:spacing w:line="400" w:lineRule="exact"/>
        <w:ind w:firstLine="359" w:firstLineChars="171"/>
      </w:pPr>
      <w:r>
        <w:t>（7）投标人代表、招标人代表、监标人等有关人员在开标记录上签字确认；</w:t>
      </w:r>
    </w:p>
    <w:p>
      <w:pPr>
        <w:spacing w:line="400" w:lineRule="exact"/>
        <w:ind w:firstLine="359" w:firstLineChars="171"/>
      </w:pPr>
      <w:r>
        <w:t>（8）开标结束。</w:t>
      </w:r>
    </w:p>
    <w:p>
      <w:pPr>
        <w:pStyle w:val="3"/>
        <w:spacing w:before="0" w:after="0" w:line="460" w:lineRule="exact"/>
        <w:rPr>
          <w:rFonts w:ascii="宋体" w:hAnsi="宋体"/>
          <w:sz w:val="21"/>
          <w:szCs w:val="21"/>
        </w:rPr>
      </w:pPr>
      <w:bookmarkStart w:id="202" w:name="_Toc173244791"/>
      <w:bookmarkStart w:id="203" w:name="_Toc173246178"/>
      <w:r>
        <w:rPr>
          <w:rFonts w:hint="eastAsia" w:ascii="宋体" w:hAnsi="宋体"/>
          <w:sz w:val="21"/>
          <w:szCs w:val="21"/>
        </w:rPr>
        <w:t>6. 评标</w:t>
      </w:r>
      <w:bookmarkEnd w:id="201"/>
      <w:bookmarkEnd w:id="202"/>
      <w:bookmarkEnd w:id="203"/>
    </w:p>
    <w:p>
      <w:pPr>
        <w:pStyle w:val="104"/>
        <w:rPr>
          <w:rFonts w:cs="Times New Roman"/>
        </w:rPr>
      </w:pPr>
      <w:bookmarkStart w:id="204" w:name="_Toc144974531"/>
      <w:bookmarkStart w:id="205" w:name="_Toc152042339"/>
      <w:bookmarkStart w:id="206" w:name="_Toc152045563"/>
      <w:bookmarkStart w:id="207" w:name="_Toc179632581"/>
      <w:bookmarkStart w:id="208" w:name="_Toc237768811"/>
      <w:bookmarkStart w:id="209" w:name="_Toc237769275"/>
      <w:bookmarkStart w:id="210" w:name="_Toc282596281"/>
      <w:bookmarkStart w:id="211" w:name="_Toc283886226"/>
      <w:bookmarkStart w:id="212" w:name="_Toc283976517"/>
      <w:bookmarkStart w:id="213" w:name="_Toc288556268"/>
      <w:bookmarkStart w:id="214" w:name="_Toc321925403"/>
      <w:bookmarkStart w:id="215" w:name="_Toc372899720"/>
      <w:bookmarkStart w:id="216" w:name="_Toc372899843"/>
      <w:bookmarkStart w:id="217" w:name="_Toc394573914"/>
      <w:bookmarkStart w:id="218" w:name="_Toc32297"/>
      <w:r>
        <w:rPr>
          <w:rFonts w:cs="Times New Roman"/>
        </w:rPr>
        <w:t>6.1 评标委员会</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pPr>
        <w:spacing w:line="400" w:lineRule="exact"/>
        <w:ind w:firstLine="420" w:firstLineChars="200"/>
      </w:pPr>
      <w:bookmarkStart w:id="219" w:name="_Toc152045564"/>
      <w:bookmarkStart w:id="220" w:name="_Toc144974532"/>
      <w:bookmarkStart w:id="221" w:name="_Toc152042340"/>
      <w:bookmarkStart w:id="222" w:name="_Toc179632582"/>
      <w:r>
        <w:t>6.1.1评标由招标人依法组建的评标委员会负责。评标委员会由招标人或其委托的招标代理机构熟悉相关业务的代表，以及有关技术、经济等方面的专家组成。</w:t>
      </w:r>
    </w:p>
    <w:p>
      <w:pPr>
        <w:pStyle w:val="104"/>
        <w:tabs>
          <w:tab w:val="left" w:pos="2620"/>
        </w:tabs>
        <w:rPr>
          <w:rFonts w:cs="Times New Roman"/>
        </w:rPr>
      </w:pPr>
      <w:bookmarkStart w:id="223" w:name="_Toc237768812"/>
      <w:bookmarkStart w:id="224" w:name="_Toc237769276"/>
      <w:bookmarkStart w:id="225" w:name="_Toc282596282"/>
      <w:bookmarkStart w:id="226" w:name="_Toc283886227"/>
      <w:bookmarkStart w:id="227" w:name="_Toc283976518"/>
      <w:bookmarkStart w:id="228" w:name="_Toc288556269"/>
      <w:bookmarkStart w:id="229" w:name="_Toc321925404"/>
      <w:bookmarkStart w:id="230" w:name="_Toc372899721"/>
      <w:bookmarkStart w:id="231" w:name="_Toc372899844"/>
      <w:bookmarkStart w:id="232" w:name="_Toc394573915"/>
      <w:r>
        <w:rPr>
          <w:rFonts w:cs="Times New Roman"/>
        </w:rPr>
        <w:t>6.2 评标原则</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Pr>
          <w:rFonts w:cs="Times New Roman"/>
        </w:rPr>
        <w:tab/>
      </w:r>
    </w:p>
    <w:p>
      <w:pPr>
        <w:spacing w:line="400" w:lineRule="exact"/>
        <w:ind w:firstLine="420" w:firstLineChars="200"/>
      </w:pPr>
      <w:r>
        <w:t>评标活动遵循公平、公正、科学和择优的原则。</w:t>
      </w:r>
    </w:p>
    <w:p>
      <w:pPr>
        <w:pStyle w:val="104"/>
        <w:rPr>
          <w:rFonts w:cs="Times New Roman"/>
        </w:rPr>
      </w:pPr>
      <w:bookmarkStart w:id="233" w:name="_Toc144974533"/>
      <w:bookmarkStart w:id="234" w:name="_Toc152042341"/>
      <w:bookmarkStart w:id="235" w:name="_Toc152045565"/>
      <w:bookmarkStart w:id="236" w:name="_Toc179632583"/>
      <w:bookmarkStart w:id="237" w:name="_Toc237768813"/>
      <w:bookmarkStart w:id="238" w:name="_Toc237769277"/>
      <w:bookmarkStart w:id="239" w:name="_Toc282596283"/>
      <w:bookmarkStart w:id="240" w:name="_Toc283886228"/>
      <w:bookmarkStart w:id="241" w:name="_Toc283976519"/>
      <w:bookmarkStart w:id="242" w:name="_Toc288556270"/>
      <w:bookmarkStart w:id="243" w:name="_Toc321925405"/>
      <w:bookmarkStart w:id="244" w:name="_Toc372899722"/>
      <w:bookmarkStart w:id="245" w:name="_Toc372899845"/>
      <w:bookmarkStart w:id="246" w:name="_Toc394573916"/>
      <w:r>
        <w:rPr>
          <w:rFonts w:cs="Times New Roman"/>
        </w:rPr>
        <w:t>6.3 评标</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pPr>
        <w:spacing w:line="400" w:lineRule="exact"/>
        <w:ind w:firstLine="420" w:firstLineChars="200"/>
      </w:pPr>
      <w:r>
        <w:t>评标委员会按照第三章“评标办法”规定的方法、评审因素、标准和程序对投标文件进行评审。第三章“评标办法”没有规定的方法、评审因素和标准，不作为评标依据。</w:t>
      </w:r>
    </w:p>
    <w:p>
      <w:pPr>
        <w:pStyle w:val="3"/>
        <w:spacing w:before="0" w:after="0" w:line="460" w:lineRule="exact"/>
        <w:rPr>
          <w:rFonts w:ascii="宋体" w:hAnsi="宋体"/>
          <w:sz w:val="21"/>
          <w:szCs w:val="21"/>
        </w:rPr>
      </w:pPr>
      <w:bookmarkStart w:id="247" w:name="_Toc173244792"/>
      <w:bookmarkStart w:id="248" w:name="_Toc173246179"/>
      <w:r>
        <w:rPr>
          <w:rFonts w:hint="eastAsia" w:ascii="宋体" w:hAnsi="宋体"/>
          <w:sz w:val="21"/>
          <w:szCs w:val="21"/>
        </w:rPr>
        <w:t>7. 合同授予</w:t>
      </w:r>
      <w:bookmarkEnd w:id="218"/>
      <w:bookmarkEnd w:id="247"/>
      <w:bookmarkEnd w:id="248"/>
    </w:p>
    <w:p>
      <w:pPr>
        <w:pStyle w:val="3"/>
        <w:spacing w:before="0" w:after="0" w:line="460" w:lineRule="exact"/>
        <w:rPr>
          <w:rFonts w:ascii="宋体" w:hAnsi="宋体"/>
          <w:sz w:val="21"/>
          <w:szCs w:val="21"/>
        </w:rPr>
      </w:pPr>
      <w:bookmarkStart w:id="249" w:name="_Toc173246180"/>
      <w:bookmarkStart w:id="250" w:name="_Toc173244793"/>
      <w:bookmarkStart w:id="251" w:name="_Toc5081"/>
      <w:r>
        <w:rPr>
          <w:rFonts w:hint="eastAsia" w:ascii="宋体" w:hAnsi="宋体"/>
          <w:sz w:val="21"/>
          <w:szCs w:val="21"/>
        </w:rPr>
        <w:t>7.1 中标候选人公示</w:t>
      </w:r>
      <w:bookmarkEnd w:id="249"/>
      <w:bookmarkEnd w:id="250"/>
      <w:r>
        <w:rPr>
          <w:rFonts w:hint="eastAsia" w:ascii="宋体" w:hAnsi="宋体"/>
          <w:sz w:val="21"/>
          <w:szCs w:val="21"/>
        </w:rPr>
        <w:t xml:space="preserve"> </w:t>
      </w:r>
    </w:p>
    <w:p>
      <w:pPr>
        <w:spacing w:line="460" w:lineRule="exact"/>
        <w:ind w:firstLine="420" w:firstLineChars="200"/>
        <w:rPr>
          <w:rFonts w:ascii="宋体" w:hAnsi="宋体" w:eastAsia="宋体" w:cs="宋体"/>
          <w:szCs w:val="21"/>
        </w:rPr>
      </w:pPr>
      <w:r>
        <w:rPr>
          <w:rFonts w:hint="eastAsia" w:ascii="宋体" w:hAnsi="宋体" w:eastAsia="宋体" w:cs="宋体"/>
          <w:szCs w:val="21"/>
        </w:rPr>
        <w:t xml:space="preserve">7.1.1招标人应当将推荐的中标候选人在交易场所（发布招标公告的媒体上）进行公示，公示期不得少于3日（最后一日为工作日）。 </w:t>
      </w:r>
    </w:p>
    <w:p>
      <w:pPr>
        <w:spacing w:line="460" w:lineRule="exact"/>
        <w:ind w:firstLine="420" w:firstLineChars="200"/>
        <w:rPr>
          <w:rFonts w:ascii="宋体" w:hAnsi="宋体" w:eastAsia="宋体" w:cs="宋体"/>
          <w:szCs w:val="21"/>
        </w:rPr>
      </w:pPr>
      <w:r>
        <w:rPr>
          <w:rFonts w:ascii="宋体" w:hAnsi="宋体" w:eastAsia="宋体" w:cs="宋体"/>
          <w:szCs w:val="21"/>
        </w:rPr>
        <w:t xml:space="preserve">7.1.2 </w:t>
      </w:r>
      <w:r>
        <w:rPr>
          <w:rFonts w:hint="eastAsia" w:ascii="宋体" w:hAnsi="宋体" w:eastAsia="宋体" w:cs="宋体"/>
          <w:szCs w:val="21"/>
        </w:rPr>
        <w:t xml:space="preserve">属于《 中华人民共和国招标投标法实施条例》第二十二条、第四十四条、第五十四条规定事项投诉的，应当向招标人（招标代理机构）提出（附相关有效证明材料），招标人（招标代理机构）应给予答复。投标人对答复不服或认为招标人（招标代理机构）有违反有关规定及其他弄虚作假情形的，可在接到答复之日起 </w:t>
      </w:r>
      <w:r>
        <w:rPr>
          <w:rFonts w:ascii="宋体" w:hAnsi="宋体" w:eastAsia="宋体" w:cs="宋体"/>
          <w:szCs w:val="21"/>
        </w:rPr>
        <w:t xml:space="preserve">3 </w:t>
      </w:r>
      <w:r>
        <w:rPr>
          <w:rFonts w:hint="eastAsia" w:ascii="宋体" w:hAnsi="宋体" w:eastAsia="宋体" w:cs="宋体"/>
          <w:szCs w:val="21"/>
        </w:rPr>
        <w:t xml:space="preserve">日内向招标监管机构书面申请核查，并提交相关材料。 </w:t>
      </w:r>
    </w:p>
    <w:p>
      <w:pPr>
        <w:spacing w:line="460" w:lineRule="exact"/>
        <w:ind w:firstLine="420" w:firstLineChars="200"/>
        <w:rPr>
          <w:rFonts w:ascii="宋体" w:hAnsi="宋体" w:eastAsia="宋体" w:cs="宋体"/>
          <w:szCs w:val="21"/>
        </w:rPr>
      </w:pPr>
      <w:r>
        <w:rPr>
          <w:rFonts w:hint="eastAsia" w:ascii="宋体" w:hAnsi="宋体" w:eastAsia="宋体" w:cs="宋体"/>
          <w:szCs w:val="21"/>
        </w:rPr>
        <w:t xml:space="preserve">7.1.3 涉及中标候选人投标资格、项目负责人在建等情形的，招标人（招标代理机构）可以书面形式要求其进行澄清或说明。中标候选人应自收到书面通知之日起3日内进行澄清或说明。 </w:t>
      </w:r>
    </w:p>
    <w:p>
      <w:pPr>
        <w:spacing w:line="460" w:lineRule="exact"/>
        <w:ind w:firstLine="420" w:firstLineChars="200"/>
        <w:rPr>
          <w:rFonts w:ascii="宋体" w:hAnsi="宋体" w:eastAsia="宋体" w:cs="宋体"/>
          <w:szCs w:val="21"/>
        </w:rPr>
      </w:pPr>
      <w:r>
        <w:rPr>
          <w:rFonts w:hint="eastAsia" w:ascii="宋体" w:hAnsi="宋体" w:eastAsia="宋体" w:cs="宋体"/>
          <w:szCs w:val="21"/>
        </w:rPr>
        <w:t xml:space="preserve">7.1.4中标候选人有以下情形之一的，其资格无效： </w:t>
      </w:r>
    </w:p>
    <w:p>
      <w:pPr>
        <w:spacing w:line="460" w:lineRule="exact"/>
        <w:ind w:firstLine="420" w:firstLineChars="200"/>
        <w:rPr>
          <w:rFonts w:ascii="宋体" w:hAnsi="宋体" w:eastAsia="宋体" w:cs="宋体"/>
          <w:szCs w:val="21"/>
        </w:rPr>
      </w:pPr>
      <w:r>
        <w:rPr>
          <w:rFonts w:hint="eastAsia" w:ascii="宋体" w:hAnsi="宋体" w:eastAsia="宋体" w:cs="宋体"/>
          <w:szCs w:val="21"/>
        </w:rPr>
        <w:t xml:space="preserve">（1）投标资格不符合本章第1.4项规定的； </w:t>
      </w:r>
    </w:p>
    <w:p>
      <w:pPr>
        <w:spacing w:line="460" w:lineRule="exact"/>
        <w:ind w:firstLine="420" w:firstLineChars="200"/>
        <w:rPr>
          <w:rFonts w:ascii="宋体" w:hAnsi="宋体" w:eastAsia="宋体" w:cs="宋体"/>
          <w:szCs w:val="21"/>
        </w:rPr>
      </w:pPr>
      <w:r>
        <w:rPr>
          <w:rFonts w:hint="eastAsia" w:ascii="宋体" w:hAnsi="宋体" w:eastAsia="宋体" w:cs="宋体"/>
          <w:szCs w:val="21"/>
        </w:rPr>
        <w:t xml:space="preserve">（2）投标人提供虚假材料骗取投标资格的； </w:t>
      </w:r>
    </w:p>
    <w:p>
      <w:pPr>
        <w:spacing w:line="460" w:lineRule="exact"/>
        <w:ind w:firstLine="420" w:firstLineChars="200"/>
        <w:rPr>
          <w:rFonts w:ascii="宋体" w:hAnsi="宋体" w:eastAsia="宋体" w:cs="宋体"/>
          <w:szCs w:val="21"/>
        </w:rPr>
      </w:pPr>
      <w:r>
        <w:rPr>
          <w:rFonts w:hint="eastAsia" w:ascii="宋体" w:hAnsi="宋体" w:eastAsia="宋体" w:cs="宋体"/>
          <w:szCs w:val="21"/>
        </w:rPr>
        <w:t xml:space="preserve">（3）按第三章“评标办法”规定应作无效标处理的； </w:t>
      </w:r>
    </w:p>
    <w:p>
      <w:pPr>
        <w:spacing w:line="460" w:lineRule="exact"/>
        <w:ind w:firstLine="420" w:firstLineChars="200"/>
        <w:rPr>
          <w:rFonts w:ascii="宋体" w:hAnsi="宋体" w:eastAsia="宋体" w:cs="宋体"/>
          <w:szCs w:val="21"/>
        </w:rPr>
      </w:pPr>
      <w:r>
        <w:rPr>
          <w:rFonts w:hint="eastAsia" w:ascii="宋体" w:hAnsi="宋体" w:eastAsia="宋体" w:cs="宋体"/>
          <w:szCs w:val="21"/>
        </w:rPr>
        <w:t xml:space="preserve">（4）拒绝按本章第7.1.3款规定进行说明或不能合理说明理由的； </w:t>
      </w:r>
    </w:p>
    <w:p>
      <w:pPr>
        <w:spacing w:line="460" w:lineRule="exact"/>
        <w:ind w:firstLine="420" w:firstLineChars="200"/>
        <w:rPr>
          <w:rFonts w:ascii="宋体" w:hAnsi="宋体" w:eastAsia="宋体" w:cs="宋体"/>
          <w:szCs w:val="21"/>
        </w:rPr>
      </w:pPr>
      <w:r>
        <w:rPr>
          <w:rFonts w:hint="eastAsia" w:ascii="宋体" w:hAnsi="宋体" w:eastAsia="宋体" w:cs="宋体"/>
          <w:szCs w:val="21"/>
        </w:rPr>
        <w:t xml:space="preserve">（5）法律法规规定作无效标处理的其它情形。 </w:t>
      </w:r>
    </w:p>
    <w:p>
      <w:pPr>
        <w:pStyle w:val="3"/>
        <w:spacing w:before="0" w:after="0" w:line="460" w:lineRule="exact"/>
        <w:rPr>
          <w:rFonts w:ascii="宋体" w:hAnsi="宋体"/>
          <w:sz w:val="21"/>
          <w:szCs w:val="21"/>
        </w:rPr>
      </w:pPr>
      <w:bookmarkStart w:id="252" w:name="_Toc173244794"/>
      <w:bookmarkStart w:id="253" w:name="_Toc173246181"/>
      <w:r>
        <w:rPr>
          <w:rFonts w:hint="eastAsia" w:ascii="宋体" w:hAnsi="宋体"/>
          <w:sz w:val="21"/>
          <w:szCs w:val="21"/>
        </w:rPr>
        <w:t>7.2 中标通知</w:t>
      </w:r>
      <w:bookmarkEnd w:id="251"/>
      <w:bookmarkEnd w:id="252"/>
      <w:bookmarkEnd w:id="253"/>
    </w:p>
    <w:p>
      <w:pPr>
        <w:spacing w:line="460" w:lineRule="exact"/>
        <w:ind w:firstLine="420" w:firstLineChars="200"/>
        <w:rPr>
          <w:rFonts w:ascii="宋体" w:hAnsi="宋体" w:eastAsia="宋体" w:cs="宋体"/>
          <w:szCs w:val="21"/>
        </w:rPr>
      </w:pPr>
      <w:bookmarkStart w:id="254" w:name="_Toc9056"/>
      <w:r>
        <w:rPr>
          <w:rFonts w:hint="eastAsia" w:ascii="宋体" w:hAnsi="宋体" w:eastAsia="宋体" w:cs="宋体"/>
          <w:szCs w:val="21"/>
        </w:rPr>
        <w:t xml:space="preserve">7.2.1招标人应当确定中标候选人为中标人。如涉及其他投标人资格无效的，评标结果不作调整。 </w:t>
      </w:r>
    </w:p>
    <w:p>
      <w:pPr>
        <w:spacing w:line="460" w:lineRule="exact"/>
        <w:ind w:firstLine="420" w:firstLineChars="200"/>
        <w:rPr>
          <w:rFonts w:ascii="宋体" w:hAnsi="宋体" w:eastAsia="宋体" w:cs="宋体"/>
          <w:szCs w:val="21"/>
        </w:rPr>
      </w:pPr>
      <w:r>
        <w:rPr>
          <w:rFonts w:hint="eastAsia" w:ascii="宋体" w:hAnsi="宋体" w:eastAsia="宋体" w:cs="宋体"/>
          <w:szCs w:val="21"/>
        </w:rPr>
        <w:t xml:space="preserve">中标候选人放弃中标，或者因不可抗力提出不能履行合同，或者因违反本章第7.1.4项规定造成其资格无效的,本次招标失败，重新组织招标。 </w:t>
      </w:r>
    </w:p>
    <w:p>
      <w:pPr>
        <w:spacing w:line="460" w:lineRule="exact"/>
        <w:ind w:firstLine="420" w:firstLineChars="200"/>
        <w:rPr>
          <w:rFonts w:ascii="宋体" w:hAnsi="宋体" w:eastAsia="宋体" w:cs="宋体"/>
          <w:szCs w:val="21"/>
        </w:rPr>
      </w:pPr>
      <w:r>
        <w:rPr>
          <w:rFonts w:hint="eastAsia" w:ascii="宋体" w:hAnsi="宋体" w:eastAsia="宋体" w:cs="宋体"/>
          <w:szCs w:val="21"/>
        </w:rPr>
        <w:t xml:space="preserve">7.2.2中标人确定后，招标人应当向中标人发出《建设工程中标通知书》。 </w:t>
      </w:r>
    </w:p>
    <w:p>
      <w:pPr>
        <w:spacing w:line="460" w:lineRule="exact"/>
        <w:ind w:firstLine="420" w:firstLineChars="200"/>
        <w:rPr>
          <w:rFonts w:ascii="宋体" w:hAnsi="宋体" w:eastAsia="宋体" w:cs="宋体"/>
          <w:szCs w:val="21"/>
        </w:rPr>
      </w:pPr>
      <w:r>
        <w:rPr>
          <w:rFonts w:hint="eastAsia" w:ascii="宋体" w:hAnsi="宋体" w:eastAsia="宋体" w:cs="宋体"/>
          <w:szCs w:val="21"/>
        </w:rPr>
        <w:t xml:space="preserve">7.2.3招标人在发出《建设工程中标通知书》的同时，应当将中标结果以书面形式通知所有未中标的投标人。 </w:t>
      </w:r>
    </w:p>
    <w:p>
      <w:pPr>
        <w:spacing w:line="460" w:lineRule="exact"/>
        <w:ind w:firstLine="420" w:firstLineChars="200"/>
        <w:rPr>
          <w:rFonts w:ascii="宋体" w:hAnsi="宋体" w:eastAsia="宋体" w:cs="宋体"/>
          <w:szCs w:val="21"/>
        </w:rPr>
      </w:pPr>
      <w:r>
        <w:rPr>
          <w:rFonts w:hint="eastAsia" w:ascii="宋体" w:hAnsi="宋体" w:eastAsia="宋体" w:cs="宋体"/>
          <w:szCs w:val="21"/>
        </w:rPr>
        <w:t>7.2.4《建设工程中标通知书》对招标人和中标人具有法律约束力。《建设工程中标通知书》发出后，如中标人违反法律法规规定而中标无效的，应承担相应的法律责任，本次招标失败，应重新组织招标。</w:t>
      </w:r>
    </w:p>
    <w:p>
      <w:pPr>
        <w:pStyle w:val="3"/>
        <w:spacing w:before="0" w:after="0" w:line="460" w:lineRule="exact"/>
        <w:rPr>
          <w:rFonts w:ascii="宋体" w:hAnsi="宋体"/>
          <w:sz w:val="21"/>
          <w:szCs w:val="21"/>
        </w:rPr>
      </w:pPr>
      <w:bookmarkStart w:id="255" w:name="_Toc173244795"/>
      <w:bookmarkStart w:id="256" w:name="_Toc173246182"/>
      <w:r>
        <w:rPr>
          <w:rFonts w:hint="eastAsia" w:ascii="宋体" w:hAnsi="宋体"/>
          <w:sz w:val="21"/>
          <w:szCs w:val="21"/>
        </w:rPr>
        <w:t>7.3 履约</w:t>
      </w:r>
      <w:bookmarkEnd w:id="254"/>
      <w:r>
        <w:rPr>
          <w:rFonts w:hint="eastAsia" w:ascii="宋体" w:hAnsi="宋体"/>
          <w:sz w:val="21"/>
          <w:szCs w:val="21"/>
        </w:rPr>
        <w:t>担保</w:t>
      </w:r>
      <w:bookmarkEnd w:id="255"/>
      <w:bookmarkEnd w:id="256"/>
    </w:p>
    <w:p>
      <w:pPr>
        <w:spacing w:line="380" w:lineRule="exact"/>
        <w:ind w:firstLine="420" w:firstLineChars="200"/>
        <w:rPr>
          <w:rFonts w:ascii="宋体" w:hAnsi="宋体"/>
          <w:color w:val="000000"/>
          <w:szCs w:val="21"/>
        </w:rPr>
      </w:pPr>
      <w:bookmarkStart w:id="257" w:name="_Toc3612"/>
      <w:r>
        <w:rPr>
          <w:rFonts w:hint="eastAsia" w:ascii="宋体" w:hAnsi="宋体"/>
          <w:color w:val="000000"/>
          <w:szCs w:val="21"/>
        </w:rPr>
        <w:t>7.</w:t>
      </w:r>
      <w:r>
        <w:rPr>
          <w:rFonts w:ascii="宋体" w:hAnsi="宋体"/>
          <w:color w:val="000000"/>
          <w:szCs w:val="21"/>
        </w:rPr>
        <w:t>3</w:t>
      </w:r>
      <w:r>
        <w:rPr>
          <w:rFonts w:hint="eastAsia" w:ascii="宋体" w:hAnsi="宋体"/>
          <w:color w:val="000000"/>
          <w:szCs w:val="21"/>
        </w:rPr>
        <w:t>.1 在签订合同前，中标人应按投标人须知前附表规定的形式、金额和招标文件第四章“合同条款及格式”规定的或事先经过招标人书面认可的</w:t>
      </w:r>
      <w:r>
        <w:rPr>
          <w:rFonts w:hint="eastAsia" w:ascii="宋体" w:hAnsi="宋体"/>
          <w:szCs w:val="21"/>
        </w:rPr>
        <w:t>履约担保</w:t>
      </w:r>
      <w:r>
        <w:rPr>
          <w:rFonts w:hint="eastAsia" w:ascii="宋体" w:hAnsi="宋体"/>
          <w:color w:val="000000"/>
          <w:szCs w:val="21"/>
        </w:rPr>
        <w:t>格式向招标人提交</w:t>
      </w:r>
      <w:r>
        <w:rPr>
          <w:rFonts w:hint="eastAsia" w:ascii="宋体" w:hAnsi="宋体"/>
          <w:szCs w:val="21"/>
        </w:rPr>
        <w:t>履约担保</w:t>
      </w:r>
      <w:r>
        <w:rPr>
          <w:rFonts w:hint="eastAsia" w:ascii="宋体" w:hAnsi="宋体"/>
          <w:color w:val="000000"/>
          <w:szCs w:val="21"/>
        </w:rPr>
        <w:t>。联合体中标的，其</w:t>
      </w:r>
      <w:r>
        <w:rPr>
          <w:rFonts w:hint="eastAsia" w:ascii="宋体" w:hAnsi="宋体"/>
          <w:szCs w:val="21"/>
        </w:rPr>
        <w:t>履约担保</w:t>
      </w:r>
      <w:r>
        <w:rPr>
          <w:rFonts w:hint="eastAsia" w:ascii="宋体" w:hAnsi="宋体"/>
          <w:color w:val="000000"/>
          <w:szCs w:val="21"/>
        </w:rPr>
        <w:t>以联合体各方或联合体牵头人的名义提交。</w:t>
      </w:r>
    </w:p>
    <w:p>
      <w:pPr>
        <w:spacing w:line="380" w:lineRule="exact"/>
        <w:ind w:firstLine="420" w:firstLineChars="200"/>
        <w:rPr>
          <w:rFonts w:ascii="宋体" w:hAnsi="宋体"/>
          <w:color w:val="000000"/>
          <w:szCs w:val="21"/>
        </w:rPr>
      </w:pPr>
      <w:r>
        <w:rPr>
          <w:rFonts w:hint="eastAsia" w:ascii="宋体" w:hAnsi="宋体"/>
          <w:color w:val="000000"/>
          <w:szCs w:val="21"/>
        </w:rPr>
        <w:t>采用银行保函时，应由符合投标人须知前附表规定级别的银行开具，所需的费用由中标人承担，中标人应保证银行保函有效。</w:t>
      </w:r>
    </w:p>
    <w:p>
      <w:pPr>
        <w:spacing w:line="380" w:lineRule="exact"/>
        <w:ind w:firstLine="420" w:firstLineChars="200"/>
        <w:rPr>
          <w:rFonts w:ascii="宋体" w:hAnsi="宋体"/>
          <w:color w:val="000000"/>
          <w:szCs w:val="21"/>
        </w:rPr>
      </w:pPr>
      <w:r>
        <w:rPr>
          <w:rFonts w:hint="eastAsia" w:ascii="宋体" w:hAnsi="宋体"/>
          <w:color w:val="000000"/>
          <w:szCs w:val="21"/>
        </w:rPr>
        <w:t>7.</w:t>
      </w:r>
      <w:r>
        <w:rPr>
          <w:rFonts w:ascii="宋体" w:hAnsi="宋体"/>
          <w:color w:val="000000"/>
          <w:szCs w:val="21"/>
        </w:rPr>
        <w:t>3</w:t>
      </w:r>
      <w:r>
        <w:rPr>
          <w:rFonts w:hint="eastAsia" w:ascii="宋体" w:hAnsi="宋体"/>
          <w:color w:val="000000"/>
          <w:szCs w:val="21"/>
        </w:rPr>
        <w:t>.2 中标人不能按本章第7.</w:t>
      </w:r>
      <w:r>
        <w:rPr>
          <w:rFonts w:ascii="宋体" w:hAnsi="宋体"/>
          <w:color w:val="000000"/>
          <w:szCs w:val="21"/>
        </w:rPr>
        <w:t>3</w:t>
      </w:r>
      <w:r>
        <w:rPr>
          <w:rFonts w:hint="eastAsia" w:ascii="宋体" w:hAnsi="宋体"/>
          <w:color w:val="000000"/>
          <w:szCs w:val="21"/>
        </w:rPr>
        <w:t>.1项要求提交</w:t>
      </w:r>
      <w:r>
        <w:rPr>
          <w:rFonts w:hint="eastAsia" w:ascii="宋体" w:hAnsi="宋体"/>
          <w:szCs w:val="21"/>
        </w:rPr>
        <w:t>履约担保</w:t>
      </w:r>
      <w:r>
        <w:rPr>
          <w:rFonts w:hint="eastAsia" w:ascii="宋体" w:hAnsi="宋体"/>
          <w:color w:val="000000"/>
          <w:szCs w:val="21"/>
        </w:rPr>
        <w:t>的，视为放弃中标，其投标保证金及同期银行存款利息不予退还，给招标人造成的损失超过投标保证金数额及同期银行存款利息的，中标人还应当对超过部分予以赔偿。</w:t>
      </w:r>
    </w:p>
    <w:p>
      <w:pPr>
        <w:pStyle w:val="3"/>
        <w:spacing w:before="0" w:after="0" w:line="460" w:lineRule="exact"/>
        <w:rPr>
          <w:rFonts w:ascii="宋体" w:hAnsi="宋体"/>
          <w:sz w:val="21"/>
          <w:szCs w:val="21"/>
        </w:rPr>
      </w:pPr>
      <w:bookmarkStart w:id="258" w:name="_Toc173244796"/>
      <w:bookmarkStart w:id="259" w:name="_Toc173246183"/>
      <w:r>
        <w:rPr>
          <w:rFonts w:hint="eastAsia" w:ascii="宋体" w:hAnsi="宋体"/>
          <w:sz w:val="21"/>
          <w:szCs w:val="21"/>
        </w:rPr>
        <w:t>7.4 签订合同</w:t>
      </w:r>
      <w:bookmarkEnd w:id="257"/>
      <w:bookmarkEnd w:id="258"/>
      <w:bookmarkEnd w:id="259"/>
    </w:p>
    <w:p>
      <w:pPr>
        <w:spacing w:line="460" w:lineRule="exact"/>
        <w:ind w:firstLine="420" w:firstLineChars="200"/>
        <w:rPr>
          <w:rFonts w:ascii="宋体" w:hAnsi="宋体" w:eastAsia="宋体" w:cs="宋体"/>
          <w:szCs w:val="21"/>
        </w:rPr>
      </w:pPr>
      <w:bookmarkStart w:id="260" w:name="_Toc21601"/>
      <w:r>
        <w:rPr>
          <w:rFonts w:hint="eastAsia" w:ascii="宋体" w:hAnsi="宋体" w:eastAsia="宋体" w:cs="宋体"/>
          <w:szCs w:val="21"/>
        </w:rPr>
        <w:t xml:space="preserve">7.4.1中标人应在签订合同前向招标人提交履约担保，未提交履约担保的，不授予合同。履约担保额度详见投标人须知前附表，履约担保可以采用工程保函 工程保函（银行保函、保险机构保证保险保单）或现金形式。如不能办理工程保函采用现金的，履约担保必须解入招标文件前附表规定的招标人帐户。 </w:t>
      </w:r>
    </w:p>
    <w:p>
      <w:pPr>
        <w:spacing w:line="460" w:lineRule="exact"/>
        <w:ind w:firstLine="420" w:firstLineChars="200"/>
        <w:rPr>
          <w:rFonts w:ascii="宋体" w:hAnsi="宋体" w:eastAsia="宋体" w:cs="宋体"/>
          <w:szCs w:val="21"/>
        </w:rPr>
      </w:pPr>
      <w:r>
        <w:rPr>
          <w:rFonts w:hint="eastAsia" w:ascii="宋体" w:hAnsi="宋体" w:eastAsia="宋体" w:cs="宋体"/>
          <w:szCs w:val="21"/>
        </w:rPr>
        <w:t xml:space="preserve">7.4.2自《建设工程中标通知书》发出之日起30日内，招标人和中标人应当按照本招标文件和中标人的投标文件订立书面合同。招标人与中标人不得再行订立背离合同实质性内容的其他协议。 </w:t>
      </w:r>
    </w:p>
    <w:p>
      <w:pPr>
        <w:spacing w:line="460" w:lineRule="exact"/>
        <w:ind w:firstLine="420" w:firstLineChars="200"/>
        <w:rPr>
          <w:rFonts w:ascii="宋体" w:hAnsi="宋体" w:eastAsia="宋体" w:cs="宋体"/>
          <w:szCs w:val="21"/>
        </w:rPr>
      </w:pPr>
      <w:r>
        <w:rPr>
          <w:rFonts w:hint="eastAsia" w:ascii="宋体" w:hAnsi="宋体" w:eastAsia="宋体" w:cs="宋体"/>
          <w:szCs w:val="21"/>
        </w:rPr>
        <w:t xml:space="preserve">7.4.3招标人与中标人须根据国家、省、市建设工程施工合同管理的规定及招标文件、投标文件，签订施工合同。 </w:t>
      </w:r>
    </w:p>
    <w:p>
      <w:pPr>
        <w:spacing w:line="460" w:lineRule="exact"/>
        <w:ind w:firstLine="420" w:firstLineChars="200"/>
        <w:rPr>
          <w:rFonts w:ascii="宋体" w:hAnsi="宋体" w:eastAsia="宋体" w:cs="宋体"/>
          <w:szCs w:val="21"/>
        </w:rPr>
      </w:pPr>
      <w:r>
        <w:rPr>
          <w:rFonts w:hint="eastAsia" w:ascii="宋体" w:hAnsi="宋体" w:eastAsia="宋体" w:cs="宋体"/>
          <w:szCs w:val="21"/>
        </w:rPr>
        <w:t xml:space="preserve">7.4.4招标人与中标人应当按照《关于在我市工程建设领域推行廉政合同的通知》（台纪[2001]19号）的要求签订《廉政合同》。 </w:t>
      </w:r>
    </w:p>
    <w:p>
      <w:pPr>
        <w:pStyle w:val="3"/>
        <w:spacing w:before="0" w:after="0" w:line="460" w:lineRule="exact"/>
        <w:rPr>
          <w:rFonts w:ascii="宋体" w:hAnsi="宋体"/>
          <w:sz w:val="21"/>
          <w:szCs w:val="21"/>
        </w:rPr>
      </w:pPr>
      <w:bookmarkStart w:id="261" w:name="_Toc173244797"/>
      <w:bookmarkStart w:id="262" w:name="_Toc173246184"/>
      <w:r>
        <w:rPr>
          <w:rFonts w:hint="eastAsia" w:ascii="宋体" w:hAnsi="宋体"/>
          <w:sz w:val="21"/>
          <w:szCs w:val="21"/>
        </w:rPr>
        <w:t>8. 重新招标和不再招标</w:t>
      </w:r>
      <w:bookmarkEnd w:id="260"/>
      <w:bookmarkEnd w:id="261"/>
      <w:bookmarkEnd w:id="262"/>
    </w:p>
    <w:p>
      <w:pPr>
        <w:pStyle w:val="3"/>
        <w:spacing w:before="0" w:after="0" w:line="460" w:lineRule="exact"/>
        <w:rPr>
          <w:rFonts w:ascii="宋体" w:hAnsi="宋体"/>
          <w:sz w:val="21"/>
          <w:szCs w:val="21"/>
        </w:rPr>
      </w:pPr>
      <w:bookmarkStart w:id="263" w:name="_Toc14036"/>
      <w:bookmarkStart w:id="264" w:name="_Toc173244798"/>
      <w:bookmarkStart w:id="265" w:name="_Toc173246185"/>
      <w:r>
        <w:rPr>
          <w:rFonts w:hint="eastAsia" w:ascii="宋体" w:hAnsi="宋体"/>
          <w:sz w:val="21"/>
          <w:szCs w:val="21"/>
        </w:rPr>
        <w:t>8.1 重新招标</w:t>
      </w:r>
      <w:bookmarkEnd w:id="263"/>
      <w:bookmarkEnd w:id="264"/>
      <w:bookmarkEnd w:id="265"/>
    </w:p>
    <w:p>
      <w:pPr>
        <w:spacing w:line="460" w:lineRule="exact"/>
        <w:ind w:firstLine="420" w:firstLineChars="200"/>
        <w:rPr>
          <w:rFonts w:ascii="宋体" w:hAnsi="宋体" w:eastAsia="宋体" w:cs="宋体"/>
          <w:szCs w:val="21"/>
        </w:rPr>
      </w:pPr>
      <w:r>
        <w:rPr>
          <w:rFonts w:hint="eastAsia" w:ascii="宋体" w:hAnsi="宋体" w:eastAsia="宋体" w:cs="宋体"/>
          <w:szCs w:val="21"/>
        </w:rPr>
        <w:t>有下列情形之一的，发包人将重新招标：</w:t>
      </w:r>
    </w:p>
    <w:p>
      <w:pPr>
        <w:spacing w:line="460" w:lineRule="exact"/>
        <w:ind w:firstLine="420" w:firstLineChars="200"/>
        <w:rPr>
          <w:rFonts w:ascii="宋体" w:hAnsi="宋体" w:eastAsia="宋体" w:cs="宋体"/>
          <w:szCs w:val="21"/>
        </w:rPr>
      </w:pPr>
      <w:r>
        <w:rPr>
          <w:rFonts w:hint="eastAsia" w:ascii="宋体" w:hAnsi="宋体" w:eastAsia="宋体" w:cs="宋体"/>
          <w:szCs w:val="21"/>
        </w:rPr>
        <w:t>（1）投标截止时间止，投标人少于3个的；</w:t>
      </w:r>
    </w:p>
    <w:p>
      <w:pPr>
        <w:spacing w:line="460" w:lineRule="exact"/>
        <w:ind w:firstLine="420" w:firstLineChars="200"/>
        <w:rPr>
          <w:rFonts w:ascii="宋体" w:hAnsi="宋体" w:eastAsia="宋体" w:cs="宋体"/>
          <w:szCs w:val="21"/>
        </w:rPr>
      </w:pPr>
      <w:r>
        <w:rPr>
          <w:rFonts w:hint="eastAsia" w:ascii="宋体" w:hAnsi="宋体" w:eastAsia="宋体" w:cs="宋体"/>
          <w:szCs w:val="21"/>
        </w:rPr>
        <w:t>（2）有效投标少于3个，使得投标明显缺乏竞争，否决所有投标的。</w:t>
      </w:r>
    </w:p>
    <w:p>
      <w:pPr>
        <w:spacing w:line="460" w:lineRule="exact"/>
        <w:ind w:firstLine="420" w:firstLineChars="200"/>
        <w:rPr>
          <w:rFonts w:ascii="宋体" w:hAnsi="宋体" w:eastAsia="宋体" w:cs="宋体"/>
          <w:szCs w:val="21"/>
        </w:rPr>
      </w:pPr>
      <w:r>
        <w:rPr>
          <w:rFonts w:hint="eastAsia" w:ascii="宋体" w:hAnsi="宋体" w:eastAsia="宋体" w:cs="宋体"/>
          <w:szCs w:val="21"/>
        </w:rPr>
        <w:t>（3）中标候选人均未与发包人签订合同的；</w:t>
      </w:r>
    </w:p>
    <w:p>
      <w:pPr>
        <w:spacing w:line="460" w:lineRule="exact"/>
        <w:ind w:firstLine="420" w:firstLineChars="200"/>
        <w:rPr>
          <w:rFonts w:ascii="宋体" w:hAnsi="宋体" w:eastAsia="宋体" w:cs="宋体"/>
          <w:szCs w:val="21"/>
        </w:rPr>
      </w:pPr>
      <w:r>
        <w:rPr>
          <w:rFonts w:hint="eastAsia" w:ascii="宋体" w:hAnsi="宋体" w:eastAsia="宋体" w:cs="宋体"/>
          <w:szCs w:val="21"/>
        </w:rPr>
        <w:t>（4）法律规定的其他情形。</w:t>
      </w:r>
    </w:p>
    <w:p>
      <w:pPr>
        <w:pStyle w:val="3"/>
        <w:spacing w:before="0" w:after="0" w:line="460" w:lineRule="exact"/>
        <w:rPr>
          <w:rFonts w:ascii="宋体" w:hAnsi="宋体"/>
          <w:sz w:val="21"/>
          <w:szCs w:val="21"/>
        </w:rPr>
      </w:pPr>
      <w:bookmarkStart w:id="266" w:name="_Toc21928"/>
      <w:bookmarkStart w:id="267" w:name="_Toc173244799"/>
      <w:bookmarkStart w:id="268" w:name="_Toc173246186"/>
      <w:r>
        <w:rPr>
          <w:rFonts w:hint="eastAsia" w:ascii="宋体" w:hAnsi="宋体"/>
          <w:sz w:val="21"/>
          <w:szCs w:val="21"/>
        </w:rPr>
        <w:t>8.2 不再招标</w:t>
      </w:r>
      <w:bookmarkEnd w:id="266"/>
      <w:bookmarkEnd w:id="267"/>
      <w:bookmarkEnd w:id="268"/>
    </w:p>
    <w:p>
      <w:pPr>
        <w:spacing w:line="460" w:lineRule="exact"/>
        <w:ind w:firstLine="420" w:firstLineChars="200"/>
        <w:rPr>
          <w:rFonts w:ascii="宋体" w:hAnsi="宋体" w:eastAsia="宋体" w:cs="宋体"/>
          <w:szCs w:val="21"/>
        </w:rPr>
      </w:pPr>
      <w:r>
        <w:rPr>
          <w:rFonts w:hint="eastAsia" w:ascii="宋体" w:hAnsi="宋体" w:eastAsia="宋体" w:cs="宋体"/>
          <w:szCs w:val="21"/>
        </w:rPr>
        <w:t>重新招标后投标人仍少于3个或者所有投标被否决的，属于必须审批或核准的工程建设项目，经原审批或核准部门批准后不再进行招标。</w:t>
      </w:r>
    </w:p>
    <w:p>
      <w:pPr>
        <w:pStyle w:val="3"/>
        <w:spacing w:before="0" w:after="0" w:line="460" w:lineRule="exact"/>
        <w:rPr>
          <w:rFonts w:ascii="宋体" w:hAnsi="宋体"/>
          <w:sz w:val="21"/>
          <w:szCs w:val="21"/>
        </w:rPr>
      </w:pPr>
      <w:bookmarkStart w:id="269" w:name="_Toc13522"/>
      <w:bookmarkStart w:id="270" w:name="_Toc173244800"/>
      <w:bookmarkStart w:id="271" w:name="_Toc173246187"/>
      <w:r>
        <w:rPr>
          <w:rFonts w:hint="eastAsia" w:ascii="宋体" w:hAnsi="宋体"/>
          <w:sz w:val="21"/>
          <w:szCs w:val="21"/>
        </w:rPr>
        <w:t>9. 纪律和监督</w:t>
      </w:r>
      <w:bookmarkEnd w:id="269"/>
      <w:bookmarkEnd w:id="270"/>
      <w:bookmarkEnd w:id="271"/>
    </w:p>
    <w:p>
      <w:pPr>
        <w:pStyle w:val="3"/>
        <w:spacing w:before="0" w:after="0" w:line="460" w:lineRule="exact"/>
        <w:rPr>
          <w:rFonts w:ascii="宋体" w:hAnsi="宋体"/>
          <w:sz w:val="21"/>
          <w:szCs w:val="21"/>
        </w:rPr>
      </w:pPr>
      <w:bookmarkStart w:id="272" w:name="_Toc31184"/>
      <w:bookmarkStart w:id="273" w:name="_Toc173244801"/>
      <w:bookmarkStart w:id="274" w:name="_Toc173246188"/>
      <w:r>
        <w:rPr>
          <w:rFonts w:hint="eastAsia" w:ascii="宋体" w:hAnsi="宋体"/>
          <w:sz w:val="21"/>
          <w:szCs w:val="21"/>
        </w:rPr>
        <w:t>9.1 对发包人的纪律要求</w:t>
      </w:r>
      <w:bookmarkEnd w:id="272"/>
      <w:bookmarkEnd w:id="273"/>
      <w:bookmarkEnd w:id="274"/>
    </w:p>
    <w:p>
      <w:pPr>
        <w:spacing w:line="460" w:lineRule="exact"/>
        <w:ind w:firstLine="420" w:firstLineChars="200"/>
        <w:rPr>
          <w:rFonts w:ascii="宋体" w:hAnsi="宋体" w:eastAsia="宋体" w:cs="宋体"/>
          <w:szCs w:val="21"/>
        </w:rPr>
      </w:pPr>
      <w:r>
        <w:rPr>
          <w:rFonts w:hint="eastAsia" w:ascii="宋体" w:hAnsi="宋体" w:eastAsia="宋体" w:cs="宋体"/>
          <w:szCs w:val="21"/>
        </w:rPr>
        <w:t>发包人不得泄漏招标投标活动中应当保密的情况和资料，不得与投标人串通损害国家利益、社会公共利益或者他人合法权益。</w:t>
      </w:r>
    </w:p>
    <w:p>
      <w:pPr>
        <w:pStyle w:val="3"/>
        <w:spacing w:before="0" w:after="0" w:line="460" w:lineRule="exact"/>
        <w:rPr>
          <w:rFonts w:ascii="宋体" w:hAnsi="宋体"/>
          <w:sz w:val="21"/>
          <w:szCs w:val="21"/>
        </w:rPr>
      </w:pPr>
      <w:bookmarkStart w:id="275" w:name="_Toc787"/>
      <w:bookmarkStart w:id="276" w:name="_Toc173244802"/>
      <w:bookmarkStart w:id="277" w:name="_Toc173246189"/>
      <w:r>
        <w:rPr>
          <w:rFonts w:hint="eastAsia" w:ascii="宋体" w:hAnsi="宋体"/>
          <w:sz w:val="21"/>
          <w:szCs w:val="21"/>
        </w:rPr>
        <w:t>9.2 对投标人的纪律要求</w:t>
      </w:r>
      <w:bookmarkEnd w:id="275"/>
      <w:bookmarkEnd w:id="276"/>
      <w:bookmarkEnd w:id="277"/>
    </w:p>
    <w:p>
      <w:pPr>
        <w:spacing w:line="460" w:lineRule="exact"/>
        <w:ind w:firstLine="420" w:firstLineChars="200"/>
        <w:rPr>
          <w:rFonts w:ascii="宋体" w:hAnsi="宋体" w:eastAsia="宋体" w:cs="宋体"/>
          <w:szCs w:val="21"/>
        </w:rPr>
      </w:pPr>
      <w:bookmarkStart w:id="278" w:name="_Toc8071"/>
      <w:r>
        <w:rPr>
          <w:rFonts w:hint="eastAsia" w:ascii="宋体" w:hAnsi="宋体" w:eastAsia="宋体" w:cs="宋体"/>
          <w:szCs w:val="21"/>
        </w:rPr>
        <w:t>投标人不得相互串通投标或者与招标人串通投标，不得向招标人行贿谋取中标，不得以他人名义投标或者以其他方式弄虚作假骗取中标；投标人不得以任何方式干扰、影响评标工作。</w:t>
      </w:r>
    </w:p>
    <w:bookmarkEnd w:id="278"/>
    <w:p>
      <w:pPr>
        <w:pStyle w:val="104"/>
        <w:rPr>
          <w:rFonts w:cs="Times New Roman"/>
          <w:sz w:val="21"/>
          <w:szCs w:val="21"/>
        </w:rPr>
      </w:pPr>
      <w:bookmarkStart w:id="279" w:name="_Toc144974545"/>
      <w:bookmarkStart w:id="280" w:name="_Toc152042353"/>
      <w:bookmarkStart w:id="281" w:name="_Toc152045577"/>
      <w:bookmarkStart w:id="282" w:name="_Toc179632595"/>
      <w:bookmarkStart w:id="283" w:name="_Toc237768825"/>
      <w:bookmarkStart w:id="284" w:name="_Toc237769289"/>
      <w:bookmarkStart w:id="285" w:name="_Toc282596295"/>
      <w:bookmarkStart w:id="286" w:name="_Toc283886240"/>
      <w:bookmarkStart w:id="287" w:name="_Toc283976531"/>
      <w:bookmarkStart w:id="288" w:name="_Toc288556282"/>
      <w:bookmarkStart w:id="289" w:name="_Toc321925417"/>
      <w:bookmarkStart w:id="290" w:name="_Toc372899734"/>
      <w:bookmarkStart w:id="291" w:name="_Toc372899857"/>
      <w:bookmarkStart w:id="292" w:name="_Toc394573928"/>
      <w:bookmarkStart w:id="293" w:name="_Toc2232"/>
      <w:r>
        <w:rPr>
          <w:rFonts w:cs="Times New Roman"/>
          <w:sz w:val="21"/>
          <w:szCs w:val="21"/>
        </w:rPr>
        <w:t>9.3 对评标委员会成员的纪律要求</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pPr>
        <w:spacing w:line="400" w:lineRule="exact"/>
        <w:ind w:firstLine="420" w:firstLineChars="200"/>
        <w:rPr>
          <w:szCs w:val="21"/>
        </w:rPr>
      </w:pPr>
      <w:r>
        <w:rPr>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104"/>
        <w:rPr>
          <w:rFonts w:cs="Times New Roman"/>
          <w:sz w:val="21"/>
          <w:szCs w:val="21"/>
        </w:rPr>
      </w:pPr>
      <w:bookmarkStart w:id="294" w:name="_Toc152042354"/>
      <w:bookmarkStart w:id="295" w:name="_Toc152045578"/>
      <w:bookmarkStart w:id="296" w:name="_Toc179632596"/>
      <w:bookmarkStart w:id="297" w:name="_Toc237768826"/>
      <w:bookmarkStart w:id="298" w:name="_Toc237769290"/>
      <w:bookmarkStart w:id="299" w:name="_Toc282596296"/>
      <w:bookmarkStart w:id="300" w:name="_Toc283886241"/>
      <w:bookmarkStart w:id="301" w:name="_Toc283976532"/>
      <w:bookmarkStart w:id="302" w:name="_Toc288556283"/>
      <w:bookmarkStart w:id="303" w:name="_Toc321925418"/>
      <w:bookmarkStart w:id="304" w:name="_Toc372899735"/>
      <w:bookmarkStart w:id="305" w:name="_Toc372899858"/>
      <w:bookmarkStart w:id="306" w:name="_Toc394573929"/>
      <w:bookmarkStart w:id="307" w:name="_Toc144974546"/>
      <w:r>
        <w:rPr>
          <w:rFonts w:cs="Times New Roman"/>
          <w:sz w:val="21"/>
          <w:szCs w:val="21"/>
        </w:rPr>
        <w:t>9.4 对与评标活动有关的工作人员的纪律要求</w:t>
      </w:r>
      <w:bookmarkEnd w:id="294"/>
      <w:bookmarkEnd w:id="295"/>
      <w:bookmarkEnd w:id="296"/>
      <w:bookmarkEnd w:id="297"/>
      <w:bookmarkEnd w:id="298"/>
      <w:bookmarkEnd w:id="299"/>
      <w:bookmarkEnd w:id="300"/>
      <w:bookmarkEnd w:id="301"/>
      <w:bookmarkEnd w:id="302"/>
      <w:bookmarkEnd w:id="303"/>
      <w:bookmarkEnd w:id="304"/>
      <w:bookmarkEnd w:id="305"/>
      <w:bookmarkEnd w:id="306"/>
    </w:p>
    <w:p>
      <w:pPr>
        <w:spacing w:line="400" w:lineRule="exact"/>
        <w:ind w:firstLine="420" w:firstLineChars="200"/>
        <w:rPr>
          <w:szCs w:val="21"/>
        </w:rPr>
      </w:pPr>
      <w:bookmarkStart w:id="308" w:name="_Toc152042355"/>
      <w:r>
        <w:rPr>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08"/>
    </w:p>
    <w:p>
      <w:pPr>
        <w:pStyle w:val="104"/>
        <w:rPr>
          <w:rFonts w:cs="Times New Roman"/>
          <w:sz w:val="21"/>
          <w:szCs w:val="21"/>
        </w:rPr>
      </w:pPr>
      <w:bookmarkStart w:id="309" w:name="_Toc152042356"/>
      <w:bookmarkStart w:id="310" w:name="_Toc152045579"/>
      <w:bookmarkStart w:id="311" w:name="_Toc179632597"/>
      <w:bookmarkStart w:id="312" w:name="_Toc237768827"/>
      <w:bookmarkStart w:id="313" w:name="_Toc237769291"/>
      <w:bookmarkStart w:id="314" w:name="_Toc282596297"/>
      <w:bookmarkStart w:id="315" w:name="_Toc283886242"/>
      <w:bookmarkStart w:id="316" w:name="_Toc283976533"/>
      <w:bookmarkStart w:id="317" w:name="_Toc288556284"/>
      <w:bookmarkStart w:id="318" w:name="_Toc321925419"/>
      <w:bookmarkStart w:id="319" w:name="_Toc372899736"/>
      <w:bookmarkStart w:id="320" w:name="_Toc372899859"/>
      <w:bookmarkStart w:id="321" w:name="_Toc394573930"/>
      <w:r>
        <w:rPr>
          <w:rFonts w:cs="Times New Roman"/>
          <w:sz w:val="21"/>
          <w:szCs w:val="21"/>
        </w:rPr>
        <w:t>9.5 投诉</w:t>
      </w:r>
      <w:bookmarkEnd w:id="307"/>
      <w:bookmarkEnd w:id="309"/>
      <w:bookmarkEnd w:id="310"/>
      <w:bookmarkEnd w:id="311"/>
      <w:bookmarkEnd w:id="312"/>
      <w:bookmarkEnd w:id="313"/>
      <w:bookmarkEnd w:id="314"/>
      <w:bookmarkEnd w:id="315"/>
      <w:bookmarkEnd w:id="316"/>
      <w:bookmarkEnd w:id="317"/>
      <w:bookmarkEnd w:id="318"/>
      <w:bookmarkEnd w:id="319"/>
      <w:bookmarkEnd w:id="320"/>
      <w:bookmarkEnd w:id="321"/>
    </w:p>
    <w:p>
      <w:pPr>
        <w:spacing w:line="400" w:lineRule="exact"/>
        <w:ind w:firstLine="420" w:firstLineChars="200"/>
        <w:rPr>
          <w:szCs w:val="21"/>
        </w:rPr>
      </w:pPr>
      <w:r>
        <w:rPr>
          <w:szCs w:val="21"/>
        </w:rPr>
        <w:t>投标人和其他利害关系人认为本次招标活动违反法律、法规和规章规定的，有权向有关行政监督部门投诉。任何单位和个人发现本次招标活动违反法律、法规和规章规定的，有权向有关行政监督部门举报。</w:t>
      </w:r>
    </w:p>
    <w:p>
      <w:pPr>
        <w:pStyle w:val="3"/>
        <w:spacing w:before="0" w:after="0" w:line="460" w:lineRule="exact"/>
        <w:rPr>
          <w:rFonts w:ascii="宋体" w:hAnsi="宋体"/>
          <w:sz w:val="21"/>
          <w:szCs w:val="21"/>
        </w:rPr>
      </w:pPr>
      <w:bookmarkStart w:id="322" w:name="_Toc173244803"/>
      <w:bookmarkStart w:id="323" w:name="_Toc173246190"/>
      <w:r>
        <w:rPr>
          <w:rFonts w:hint="eastAsia" w:ascii="宋体" w:hAnsi="宋体"/>
          <w:sz w:val="21"/>
          <w:szCs w:val="21"/>
        </w:rPr>
        <w:t>10. 需要补充的其他内容</w:t>
      </w:r>
      <w:bookmarkEnd w:id="293"/>
      <w:bookmarkEnd w:id="322"/>
      <w:bookmarkEnd w:id="323"/>
    </w:p>
    <w:p>
      <w:pPr>
        <w:spacing w:line="460" w:lineRule="exact"/>
        <w:ind w:firstLine="420" w:firstLineChars="200"/>
        <w:rPr>
          <w:rFonts w:ascii="宋体" w:hAnsi="宋体" w:eastAsia="宋体" w:cs="宋体"/>
          <w:szCs w:val="21"/>
        </w:rPr>
      </w:pPr>
      <w:r>
        <w:rPr>
          <w:rFonts w:hint="eastAsia" w:ascii="宋体" w:hAnsi="宋体" w:eastAsia="宋体" w:cs="宋体"/>
          <w:szCs w:val="21"/>
        </w:rPr>
        <w:t>10.1自提交投标文件之日起，投标人应保证其提共的联系方式（电话、传真、电子邮件）一直有效，以保证往来函件（招标文件的澄清、修改等）能及时通知投标人，并能及时反馈信息，否则发包人不承担由此引起的一切后果。</w:t>
      </w:r>
    </w:p>
    <w:p>
      <w:pPr>
        <w:spacing w:line="460" w:lineRule="exact"/>
        <w:ind w:firstLine="420" w:firstLineChars="200"/>
        <w:rPr>
          <w:rFonts w:ascii="宋体" w:hAnsi="宋体" w:eastAsia="宋体" w:cs="宋体"/>
          <w:szCs w:val="21"/>
        </w:rPr>
      </w:pPr>
      <w:r>
        <w:rPr>
          <w:rFonts w:hint="eastAsia" w:ascii="宋体" w:hAnsi="宋体" w:eastAsia="宋体" w:cs="宋体"/>
          <w:szCs w:val="21"/>
        </w:rPr>
        <w:t>需要补充的其他内容：见投标人须知前附表。</w:t>
      </w:r>
    </w:p>
    <w:p>
      <w:pPr>
        <w:widowControl/>
        <w:jc w:val="left"/>
        <w:rPr>
          <w:rFonts w:ascii="宋体" w:hAnsi="宋体" w:eastAsia="宋体" w:cs="宋体"/>
          <w:sz w:val="24"/>
        </w:rPr>
      </w:pPr>
      <w:r>
        <w:rPr>
          <w:rFonts w:ascii="宋体" w:hAnsi="宋体" w:eastAsia="宋体" w:cs="宋体"/>
          <w:sz w:val="24"/>
        </w:rPr>
        <w:br w:type="page"/>
      </w: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jc w:val="center"/>
        <w:rPr>
          <w:rFonts w:ascii="宋体" w:hAnsi="宋体" w:eastAsia="宋体" w:cs="宋体"/>
          <w:sz w:val="52"/>
          <w:szCs w:val="52"/>
        </w:rPr>
      </w:pPr>
    </w:p>
    <w:p>
      <w:pPr>
        <w:jc w:val="center"/>
        <w:rPr>
          <w:rFonts w:ascii="宋体" w:hAnsi="宋体" w:eastAsia="宋体" w:cs="宋体"/>
          <w:b/>
          <w:sz w:val="48"/>
          <w:szCs w:val="48"/>
        </w:rPr>
      </w:pPr>
      <w:r>
        <w:rPr>
          <w:rFonts w:hint="eastAsia" w:ascii="宋体" w:hAnsi="宋体" w:eastAsia="宋体" w:cs="宋体"/>
          <w:b/>
          <w:sz w:val="48"/>
          <w:szCs w:val="48"/>
        </w:rPr>
        <w:t>第三章  评 标 办 法</w:t>
      </w:r>
    </w:p>
    <w:p>
      <w:pPr>
        <w:rPr>
          <w:rFonts w:ascii="宋体" w:hAnsi="宋体" w:eastAsia="宋体" w:cs="宋体"/>
          <w:sz w:val="24"/>
        </w:rPr>
      </w:pPr>
    </w:p>
    <w:p>
      <w:pPr>
        <w:pStyle w:val="3"/>
        <w:spacing w:before="0" w:after="0" w:line="360" w:lineRule="auto"/>
        <w:jc w:val="center"/>
        <w:rPr>
          <w:rFonts w:ascii="宋体" w:hAnsi="宋体"/>
          <w:sz w:val="30"/>
          <w:szCs w:val="30"/>
        </w:rPr>
      </w:pPr>
      <w:r>
        <w:rPr>
          <w:rFonts w:hint="eastAsia" w:ascii="宋体" w:hAnsi="宋体"/>
          <w:b w:val="0"/>
          <w:bCs w:val="0"/>
          <w:sz w:val="24"/>
        </w:rPr>
        <w:br w:type="page"/>
      </w:r>
    </w:p>
    <w:p>
      <w:pPr>
        <w:pStyle w:val="3"/>
        <w:snapToGrid w:val="0"/>
        <w:spacing w:before="0" w:after="0" w:line="360" w:lineRule="auto"/>
        <w:jc w:val="center"/>
        <w:rPr>
          <w:rFonts w:ascii="宋体" w:hAnsi="宋体"/>
          <w:sz w:val="30"/>
          <w:szCs w:val="30"/>
        </w:rPr>
      </w:pPr>
      <w:bookmarkStart w:id="324" w:name="_Toc171410477"/>
      <w:bookmarkStart w:id="325" w:name="_Toc394573943"/>
      <w:bookmarkStart w:id="326" w:name="_Toc228163243"/>
      <w:bookmarkStart w:id="327" w:name="_Toc173244809"/>
      <w:bookmarkStart w:id="328" w:name="_Toc173246196"/>
      <w:r>
        <w:rPr>
          <w:rFonts w:hint="eastAsia" w:ascii="宋体" w:hAnsi="宋体"/>
          <w:sz w:val="30"/>
          <w:szCs w:val="30"/>
        </w:rPr>
        <w:t>第三章 评标办法（合理区间抽取定价法）</w:t>
      </w:r>
      <w:bookmarkEnd w:id="324"/>
    </w:p>
    <w:p>
      <w:pPr>
        <w:adjustRightInd w:val="0"/>
        <w:snapToGrid w:val="0"/>
        <w:spacing w:line="400" w:lineRule="exact"/>
        <w:ind w:firstLine="422" w:firstLineChars="200"/>
        <w:rPr>
          <w:b/>
          <w:szCs w:val="21"/>
        </w:rPr>
      </w:pPr>
      <w:bookmarkStart w:id="329" w:name="OLE_LINK4"/>
      <w:bookmarkStart w:id="330" w:name="OLE_LINK3"/>
      <w:r>
        <w:rPr>
          <w:b/>
          <w:szCs w:val="21"/>
        </w:rPr>
        <w:t>1.评标方法</w:t>
      </w:r>
    </w:p>
    <w:p>
      <w:pPr>
        <w:adjustRightInd w:val="0"/>
        <w:snapToGrid w:val="0"/>
        <w:spacing w:line="400" w:lineRule="exact"/>
        <w:ind w:firstLine="420" w:firstLineChars="200"/>
        <w:rPr>
          <w:szCs w:val="21"/>
        </w:rPr>
      </w:pPr>
      <w:r>
        <w:rPr>
          <w:szCs w:val="21"/>
        </w:rPr>
        <w:t>本次评标采用合理区间抽取定价法，评标分值100分。</w:t>
      </w:r>
      <w:r>
        <w:rPr>
          <w:rFonts w:hint="eastAsia"/>
          <w:szCs w:val="21"/>
        </w:rPr>
        <w:t>评标委员会</w:t>
      </w:r>
      <w:r>
        <w:rPr>
          <w:szCs w:val="21"/>
        </w:rPr>
        <w:t>按本章第2款评标程序对投标文件进行评审，由招标人确定中标候选人1名。</w:t>
      </w:r>
    </w:p>
    <w:p>
      <w:pPr>
        <w:adjustRightInd w:val="0"/>
        <w:snapToGrid w:val="0"/>
        <w:spacing w:line="400" w:lineRule="exact"/>
        <w:ind w:firstLine="422" w:firstLineChars="200"/>
        <w:rPr>
          <w:b/>
          <w:szCs w:val="21"/>
        </w:rPr>
      </w:pPr>
      <w:r>
        <w:rPr>
          <w:b/>
          <w:szCs w:val="21"/>
        </w:rPr>
        <w:t>2.评标程序</w:t>
      </w:r>
    </w:p>
    <w:p>
      <w:pPr>
        <w:adjustRightInd w:val="0"/>
        <w:snapToGrid w:val="0"/>
        <w:spacing w:line="400" w:lineRule="exact"/>
        <w:ind w:firstLine="420" w:firstLineChars="200"/>
        <w:rPr>
          <w:szCs w:val="21"/>
        </w:rPr>
      </w:pPr>
      <w:r>
        <w:rPr>
          <w:szCs w:val="21"/>
        </w:rPr>
        <w:t>（1）评标标底浮动率的确定</w:t>
      </w:r>
    </w:p>
    <w:p>
      <w:pPr>
        <w:adjustRightInd w:val="0"/>
        <w:snapToGrid w:val="0"/>
        <w:spacing w:line="400" w:lineRule="exact"/>
        <w:ind w:firstLine="420" w:firstLineChars="200"/>
        <w:rPr>
          <w:szCs w:val="21"/>
        </w:rPr>
      </w:pPr>
      <w:r>
        <w:rPr>
          <w:szCs w:val="21"/>
        </w:rPr>
        <w:t>（2）投标报价分值计算</w:t>
      </w:r>
    </w:p>
    <w:p>
      <w:pPr>
        <w:adjustRightInd w:val="0"/>
        <w:snapToGrid w:val="0"/>
        <w:spacing w:line="400" w:lineRule="exact"/>
        <w:ind w:firstLine="420" w:firstLineChars="200"/>
        <w:rPr>
          <w:szCs w:val="21"/>
        </w:rPr>
      </w:pPr>
      <w:r>
        <w:rPr>
          <w:szCs w:val="21"/>
        </w:rPr>
        <w:t>（3）推荐中标候选人</w:t>
      </w:r>
    </w:p>
    <w:p>
      <w:pPr>
        <w:adjustRightInd w:val="0"/>
        <w:snapToGrid w:val="0"/>
        <w:spacing w:line="400" w:lineRule="exact"/>
        <w:ind w:firstLine="422" w:firstLineChars="200"/>
        <w:rPr>
          <w:b/>
          <w:szCs w:val="21"/>
        </w:rPr>
      </w:pPr>
      <w:r>
        <w:rPr>
          <w:b/>
          <w:szCs w:val="21"/>
        </w:rPr>
        <w:t>3.评标标准</w:t>
      </w:r>
    </w:p>
    <w:p>
      <w:pPr>
        <w:adjustRightInd w:val="0"/>
        <w:snapToGrid w:val="0"/>
        <w:spacing w:line="400" w:lineRule="exact"/>
        <w:ind w:firstLine="420" w:firstLineChars="200"/>
        <w:rPr>
          <w:szCs w:val="21"/>
        </w:rPr>
      </w:pPr>
      <w:r>
        <w:rPr>
          <w:szCs w:val="21"/>
        </w:rPr>
        <w:t>3.1评标标底浮动率的确定：</w:t>
      </w:r>
    </w:p>
    <w:p>
      <w:pPr>
        <w:adjustRightInd w:val="0"/>
        <w:snapToGrid w:val="0"/>
        <w:spacing w:line="400" w:lineRule="exact"/>
        <w:ind w:firstLine="420" w:firstLineChars="200"/>
        <w:rPr>
          <w:szCs w:val="21"/>
        </w:rPr>
      </w:pPr>
      <w:r>
        <w:rPr>
          <w:szCs w:val="21"/>
        </w:rPr>
        <w:t>由招标人代表在规定合理区间范围（详见投标须知前附表，含上、下限，各档之间的步长为0.2%）内，分别抽取3次，每次随机抽取1个数值，再取该3个数值的算术平均值作为评标标底浮动率（作为工程变更，结算依据，计算结果小数点后保留2位，第3位四舍五入）。</w:t>
      </w:r>
    </w:p>
    <w:p>
      <w:pPr>
        <w:adjustRightInd w:val="0"/>
        <w:snapToGrid w:val="0"/>
        <w:spacing w:line="400" w:lineRule="exact"/>
        <w:ind w:firstLine="420" w:firstLineChars="200"/>
        <w:rPr>
          <w:szCs w:val="21"/>
        </w:rPr>
      </w:pPr>
      <w:r>
        <w:rPr>
          <w:szCs w:val="21"/>
        </w:rPr>
        <w:t>3.2投标报价分值计算</w:t>
      </w:r>
    </w:p>
    <w:p>
      <w:pPr>
        <w:adjustRightInd w:val="0"/>
        <w:snapToGrid w:val="0"/>
        <w:spacing w:line="400" w:lineRule="exact"/>
        <w:ind w:firstLine="420" w:firstLineChars="200"/>
        <w:rPr>
          <w:szCs w:val="21"/>
        </w:rPr>
      </w:pPr>
      <w:bookmarkStart w:id="331" w:name="OLE_LINK2"/>
      <w:r>
        <w:rPr>
          <w:szCs w:val="21"/>
        </w:rPr>
        <w:t>投标报价分值为满分100分，以评标标底浮动率为基础，将投标人的投标报价浮动率与评标标底浮动率对比，进行计分。</w:t>
      </w:r>
    </w:p>
    <w:p>
      <w:pPr>
        <w:adjustRightInd w:val="0"/>
        <w:snapToGrid w:val="0"/>
        <w:spacing w:line="400" w:lineRule="exact"/>
        <w:ind w:firstLine="420" w:firstLineChars="200"/>
        <w:rPr>
          <w:szCs w:val="21"/>
        </w:rPr>
      </w:pPr>
      <w:r>
        <w:rPr>
          <w:szCs w:val="21"/>
        </w:rPr>
        <w:t>投标报价浮动率等于评标标底浮动率时，得满分100分。</w:t>
      </w:r>
    </w:p>
    <w:p>
      <w:pPr>
        <w:adjustRightInd w:val="0"/>
        <w:snapToGrid w:val="0"/>
        <w:spacing w:line="400" w:lineRule="exact"/>
        <w:ind w:firstLine="420" w:firstLineChars="200"/>
        <w:rPr>
          <w:szCs w:val="21"/>
        </w:rPr>
      </w:pPr>
      <w:r>
        <w:rPr>
          <w:szCs w:val="21"/>
        </w:rPr>
        <w:t>投标报价浮动率每低于评标标底浮动率1个百分点，扣1.5分。</w:t>
      </w:r>
    </w:p>
    <w:p>
      <w:pPr>
        <w:adjustRightInd w:val="0"/>
        <w:snapToGrid w:val="0"/>
        <w:spacing w:line="400" w:lineRule="exact"/>
        <w:ind w:firstLine="420" w:firstLineChars="200"/>
        <w:rPr>
          <w:szCs w:val="21"/>
        </w:rPr>
      </w:pPr>
      <w:r>
        <w:rPr>
          <w:szCs w:val="21"/>
        </w:rPr>
        <w:t>投标报价浮动率每高于评标标底浮动率1个百分点，扣1分。</w:t>
      </w:r>
    </w:p>
    <w:p>
      <w:pPr>
        <w:adjustRightInd w:val="0"/>
        <w:snapToGrid w:val="0"/>
        <w:spacing w:line="400" w:lineRule="exact"/>
        <w:ind w:firstLine="420" w:firstLineChars="200"/>
        <w:rPr>
          <w:szCs w:val="21"/>
        </w:rPr>
      </w:pPr>
      <w:r>
        <w:rPr>
          <w:szCs w:val="21"/>
        </w:rPr>
        <w:t>评分不足1个百分点时，使用直线插入法计算，计算公式如下（计算结果小数点后保留2位，第3位四舍五入）：</w:t>
      </w:r>
    </w:p>
    <w:p>
      <w:pPr>
        <w:jc w:val="center"/>
      </w:pPr>
      <w:r>
        <w:t>报价得分=100－|</w:t>
      </w:r>
      <w:r>
        <w:fldChar w:fldCharType="begin"/>
      </w:r>
      <w:r>
        <w:instrText xml:space="preserve"> EQ \F(投标报价浮动率-评标标底浮动率,评标标底浮动率) </w:instrText>
      </w:r>
      <w:r>
        <w:fldChar w:fldCharType="end"/>
      </w:r>
      <w:r>
        <w:t>|×100×扣分值（标准）</w:t>
      </w:r>
    </w:p>
    <w:p>
      <w:pPr>
        <w:adjustRightInd w:val="0"/>
        <w:snapToGrid w:val="0"/>
        <w:spacing w:line="400" w:lineRule="exact"/>
        <w:ind w:firstLine="420" w:firstLineChars="200"/>
        <w:rPr>
          <w:szCs w:val="21"/>
        </w:rPr>
      </w:pPr>
      <w:r>
        <w:rPr>
          <w:szCs w:val="21"/>
        </w:rPr>
        <w:t>3.3、推荐中标候选人</w:t>
      </w:r>
    </w:p>
    <w:p>
      <w:pPr>
        <w:adjustRightInd w:val="0"/>
        <w:snapToGrid w:val="0"/>
        <w:spacing w:line="400" w:lineRule="exact"/>
        <w:ind w:firstLine="420" w:firstLineChars="200"/>
        <w:rPr>
          <w:szCs w:val="21"/>
        </w:rPr>
      </w:pPr>
      <w:r>
        <w:rPr>
          <w:rFonts w:hint="eastAsia"/>
          <w:szCs w:val="21"/>
        </w:rPr>
        <w:t>评标委员会</w:t>
      </w:r>
      <w:r>
        <w:rPr>
          <w:szCs w:val="21"/>
        </w:rPr>
        <w:t>对投标人</w:t>
      </w:r>
      <w:r>
        <w:t>报价</w:t>
      </w:r>
      <w:r>
        <w:rPr>
          <w:szCs w:val="21"/>
        </w:rPr>
        <w:t>得分从高到低进行排序，对排名第一的投标人</w:t>
      </w:r>
      <w:r>
        <w:rPr>
          <w:rFonts w:hint="eastAsia"/>
          <w:szCs w:val="21"/>
        </w:rPr>
        <w:t>资格</w:t>
      </w:r>
      <w:r>
        <w:rPr>
          <w:szCs w:val="21"/>
        </w:rPr>
        <w:t>进行审查</w:t>
      </w:r>
      <w:r>
        <w:rPr>
          <w:rFonts w:hint="eastAsia"/>
          <w:szCs w:val="21"/>
        </w:rPr>
        <w:t>；若排名第一投标人报价得分相同，则并列第一均进入资格审查。</w:t>
      </w:r>
      <w:r>
        <w:rPr>
          <w:szCs w:val="21"/>
        </w:rPr>
        <w:t>投标人存在以下情形之一的，否决其投标。</w:t>
      </w:r>
    </w:p>
    <w:p>
      <w:pPr>
        <w:adjustRightInd w:val="0"/>
        <w:snapToGrid w:val="0"/>
        <w:spacing w:line="400" w:lineRule="exact"/>
        <w:ind w:firstLine="420" w:firstLineChars="200"/>
        <w:rPr>
          <w:szCs w:val="21"/>
        </w:rPr>
      </w:pPr>
      <w:r>
        <w:rPr>
          <w:szCs w:val="21"/>
        </w:rPr>
        <w:t>（1）投标人的资格、项目负责人资格</w:t>
      </w:r>
      <w:r>
        <w:rPr>
          <w:rFonts w:hint="eastAsia"/>
          <w:szCs w:val="21"/>
        </w:rPr>
        <w:t>等资格审查资料</w:t>
      </w:r>
      <w:r>
        <w:rPr>
          <w:szCs w:val="21"/>
        </w:rPr>
        <w:t>不符合招标文件要求；</w:t>
      </w:r>
    </w:p>
    <w:p>
      <w:pPr>
        <w:adjustRightInd w:val="0"/>
        <w:snapToGrid w:val="0"/>
        <w:spacing w:line="400" w:lineRule="exact"/>
        <w:ind w:firstLine="420" w:firstLineChars="200"/>
        <w:rPr>
          <w:szCs w:val="21"/>
        </w:rPr>
      </w:pPr>
      <w:r>
        <w:rPr>
          <w:szCs w:val="21"/>
        </w:rPr>
        <w:t>（2）投标人未提供有效的营业执照、企业资质证书；</w:t>
      </w:r>
    </w:p>
    <w:p>
      <w:pPr>
        <w:adjustRightInd w:val="0"/>
        <w:snapToGrid w:val="0"/>
        <w:spacing w:line="400" w:lineRule="exact"/>
        <w:ind w:firstLine="420" w:firstLineChars="200"/>
        <w:rPr>
          <w:szCs w:val="21"/>
        </w:rPr>
      </w:pPr>
      <w:r>
        <w:rPr>
          <w:szCs w:val="21"/>
        </w:rPr>
        <w:t>（3）投标报价浮动率超出合理区理范围 (详见投标须知前附表) ；</w:t>
      </w:r>
    </w:p>
    <w:p>
      <w:pPr>
        <w:adjustRightInd w:val="0"/>
        <w:snapToGrid w:val="0"/>
        <w:spacing w:line="400" w:lineRule="exact"/>
        <w:ind w:firstLine="420" w:firstLineChars="200"/>
        <w:rPr>
          <w:szCs w:val="21"/>
        </w:rPr>
      </w:pPr>
      <w:r>
        <w:rPr>
          <w:szCs w:val="21"/>
        </w:rPr>
        <w:t>（4）投标文件载明的投标工期超过招标文件规定的招标工期的或工期不明确；</w:t>
      </w:r>
    </w:p>
    <w:p>
      <w:pPr>
        <w:adjustRightInd w:val="0"/>
        <w:snapToGrid w:val="0"/>
        <w:spacing w:line="400" w:lineRule="exact"/>
        <w:ind w:firstLine="420" w:firstLineChars="200"/>
        <w:rPr>
          <w:szCs w:val="21"/>
        </w:rPr>
      </w:pPr>
      <w:r>
        <w:rPr>
          <w:szCs w:val="21"/>
        </w:rPr>
        <w:t>（5）投标文件载明的招标项目的质量目标（标准）不满足招标文件规定的质量目标（标准）要求；</w:t>
      </w:r>
    </w:p>
    <w:p>
      <w:pPr>
        <w:adjustRightInd w:val="0"/>
        <w:snapToGrid w:val="0"/>
        <w:spacing w:line="400" w:lineRule="exact"/>
        <w:ind w:firstLine="420" w:firstLineChars="200"/>
        <w:rPr>
          <w:szCs w:val="21"/>
        </w:rPr>
      </w:pPr>
      <w:r>
        <w:rPr>
          <w:szCs w:val="21"/>
        </w:rPr>
        <w:t>（6）投标函同时未盖投标单位公章和未盖法定代表人印章；</w:t>
      </w:r>
    </w:p>
    <w:p>
      <w:pPr>
        <w:adjustRightInd w:val="0"/>
        <w:snapToGrid w:val="0"/>
        <w:spacing w:line="400" w:lineRule="exact"/>
        <w:ind w:firstLine="420" w:firstLineChars="200"/>
        <w:rPr>
          <w:szCs w:val="21"/>
        </w:rPr>
      </w:pPr>
      <w:r>
        <w:rPr>
          <w:szCs w:val="21"/>
        </w:rPr>
        <w:t>（7）投标人名称与投标人公章不一致的或法定代表人名称与法定代表人印章不一致；</w:t>
      </w:r>
    </w:p>
    <w:p>
      <w:pPr>
        <w:adjustRightInd w:val="0"/>
        <w:snapToGrid w:val="0"/>
        <w:spacing w:line="400" w:lineRule="exact"/>
        <w:ind w:firstLine="420" w:firstLineChars="200"/>
        <w:rPr>
          <w:szCs w:val="21"/>
        </w:rPr>
      </w:pPr>
      <w:r>
        <w:rPr>
          <w:szCs w:val="21"/>
        </w:rPr>
        <w:t>（8）投标人不按要求提交投标保证金的</w:t>
      </w:r>
      <w:r>
        <w:t>或提供的投标保证金有缺陷而不能接受</w:t>
      </w:r>
      <w:r>
        <w:rPr>
          <w:szCs w:val="21"/>
        </w:rPr>
        <w:t>；</w:t>
      </w:r>
    </w:p>
    <w:p>
      <w:pPr>
        <w:adjustRightInd w:val="0"/>
        <w:snapToGrid w:val="0"/>
        <w:spacing w:line="400" w:lineRule="exact"/>
        <w:ind w:firstLine="420" w:firstLineChars="200"/>
        <w:rPr>
          <w:szCs w:val="21"/>
        </w:rPr>
      </w:pPr>
      <w:r>
        <w:rPr>
          <w:szCs w:val="21"/>
        </w:rPr>
        <w:t>（9）串通投标或弄虚作假或有其他违法行为；</w:t>
      </w:r>
    </w:p>
    <w:p>
      <w:pPr>
        <w:adjustRightInd w:val="0"/>
        <w:snapToGrid w:val="0"/>
        <w:spacing w:line="400" w:lineRule="exact"/>
        <w:ind w:firstLine="420" w:firstLineChars="200"/>
        <w:rPr>
          <w:szCs w:val="21"/>
        </w:rPr>
      </w:pPr>
      <w:r>
        <w:rPr>
          <w:szCs w:val="21"/>
        </w:rPr>
        <w:t>（10）不同投标人的投标文件由同一单位或者个人编制（包括使用同一台电脑、同一套投标工具、同一套计价软件）；</w:t>
      </w:r>
    </w:p>
    <w:p>
      <w:pPr>
        <w:adjustRightInd w:val="0"/>
        <w:snapToGrid w:val="0"/>
        <w:spacing w:line="400" w:lineRule="exact"/>
        <w:ind w:firstLine="420" w:firstLineChars="200"/>
        <w:rPr>
          <w:szCs w:val="21"/>
        </w:rPr>
      </w:pPr>
      <w:r>
        <w:rPr>
          <w:szCs w:val="21"/>
        </w:rPr>
        <w:t>（11）</w:t>
      </w:r>
      <w:r>
        <w:rPr>
          <w:rFonts w:hint="eastAsia"/>
          <w:szCs w:val="21"/>
        </w:rPr>
        <w:t>投标文件未按招标文件要求签字或盖章的；</w:t>
      </w:r>
    </w:p>
    <w:p>
      <w:pPr>
        <w:adjustRightInd w:val="0"/>
        <w:snapToGrid w:val="0"/>
        <w:spacing w:line="400" w:lineRule="exact"/>
        <w:ind w:firstLine="420" w:firstLineChars="200"/>
        <w:rPr>
          <w:szCs w:val="21"/>
        </w:rPr>
      </w:pPr>
      <w:r>
        <w:rPr>
          <w:rFonts w:hint="eastAsia"/>
          <w:szCs w:val="21"/>
        </w:rPr>
        <w:t>（12）</w:t>
      </w:r>
      <w:r>
        <w:rPr>
          <w:szCs w:val="21"/>
        </w:rPr>
        <w:t>不按要求澄清、说明或补正；</w:t>
      </w:r>
    </w:p>
    <w:p>
      <w:pPr>
        <w:adjustRightInd w:val="0"/>
        <w:snapToGrid w:val="0"/>
        <w:spacing w:line="400" w:lineRule="exact"/>
        <w:ind w:firstLine="420" w:firstLineChars="200"/>
        <w:rPr>
          <w:szCs w:val="21"/>
        </w:rPr>
      </w:pPr>
      <w:r>
        <w:rPr>
          <w:szCs w:val="21"/>
        </w:rPr>
        <w:t>（1</w:t>
      </w:r>
      <w:r>
        <w:rPr>
          <w:rFonts w:hint="eastAsia"/>
          <w:szCs w:val="21"/>
        </w:rPr>
        <w:t>3</w:t>
      </w:r>
      <w:r>
        <w:rPr>
          <w:szCs w:val="21"/>
        </w:rPr>
        <w:t>）投标文件附有招标人不能接受条件；</w:t>
      </w:r>
    </w:p>
    <w:p>
      <w:pPr>
        <w:adjustRightInd w:val="0"/>
        <w:snapToGrid w:val="0"/>
        <w:spacing w:line="400" w:lineRule="exact"/>
        <w:ind w:firstLine="420" w:firstLineChars="200"/>
        <w:rPr>
          <w:szCs w:val="21"/>
        </w:rPr>
      </w:pPr>
      <w:r>
        <w:rPr>
          <w:szCs w:val="21"/>
        </w:rPr>
        <w:t>（1</w:t>
      </w:r>
      <w:r>
        <w:rPr>
          <w:rFonts w:hint="eastAsia"/>
          <w:szCs w:val="21"/>
        </w:rPr>
        <w:t>4</w:t>
      </w:r>
      <w:r>
        <w:rPr>
          <w:szCs w:val="21"/>
        </w:rPr>
        <w:t>）存在招标文件、法律、法规、规章等规定的投标无效或其他应当否决投标的情形。</w:t>
      </w:r>
    </w:p>
    <w:p>
      <w:pPr>
        <w:adjustRightInd w:val="0"/>
        <w:snapToGrid w:val="0"/>
        <w:spacing w:line="400" w:lineRule="exact"/>
        <w:ind w:firstLine="420" w:firstLineChars="200"/>
        <w:rPr>
          <w:szCs w:val="21"/>
        </w:rPr>
      </w:pPr>
      <w:r>
        <w:rPr>
          <w:szCs w:val="21"/>
        </w:rPr>
        <w:t>排名第一的投标人审查结果如不符合要求，作无效标处理，空缺的名额由之后排名靠前的投标人进行替补，然后再对其资格进行评审，如再不符合要求，再替补，以此类推。经资格审查合格的一名投标人为本工程的中标候选人。若出现报价得分并列，以报价浮动率值大者排名在前，如均相同，则由招标人代表抽签确定</w:t>
      </w:r>
      <w:r>
        <w:rPr>
          <w:rFonts w:hint="eastAsia"/>
          <w:szCs w:val="21"/>
        </w:rPr>
        <w:t>中标候选人</w:t>
      </w:r>
      <w:r>
        <w:rPr>
          <w:szCs w:val="21"/>
        </w:rPr>
        <w:t>。</w:t>
      </w:r>
    </w:p>
    <w:p>
      <w:pPr>
        <w:adjustRightInd w:val="0"/>
        <w:snapToGrid w:val="0"/>
        <w:spacing w:line="400" w:lineRule="exact"/>
        <w:ind w:firstLine="420" w:firstLineChars="200"/>
        <w:rPr>
          <w:szCs w:val="21"/>
        </w:rPr>
      </w:pPr>
      <w:r>
        <w:rPr>
          <w:szCs w:val="21"/>
        </w:rPr>
        <w:t>（1）中标价（合同价）＝预算</w:t>
      </w:r>
      <w:r>
        <w:rPr>
          <w:rFonts w:hint="eastAsia"/>
          <w:szCs w:val="21"/>
        </w:rPr>
        <w:t>审核</w:t>
      </w:r>
      <w:r>
        <w:rPr>
          <w:szCs w:val="21"/>
        </w:rPr>
        <w:t>价×(1－评标标底浮动率)。</w:t>
      </w:r>
    </w:p>
    <w:bookmarkEnd w:id="325"/>
    <w:bookmarkEnd w:id="326"/>
    <w:bookmarkEnd w:id="327"/>
    <w:bookmarkEnd w:id="328"/>
    <w:bookmarkEnd w:id="329"/>
    <w:bookmarkEnd w:id="330"/>
    <w:bookmarkEnd w:id="331"/>
    <w:p>
      <w:pPr>
        <w:spacing w:line="400" w:lineRule="exact"/>
        <w:ind w:firstLine="420" w:firstLineChars="200"/>
        <w:rPr>
          <w:rFonts w:ascii="宋体" w:hAnsi="宋体" w:eastAsia="宋体" w:cs="宋体"/>
          <w:szCs w:val="21"/>
        </w:rPr>
      </w:pPr>
    </w:p>
    <w:p>
      <w:pPr>
        <w:spacing w:line="400" w:lineRule="exact"/>
        <w:ind w:firstLine="420" w:firstLineChars="200"/>
        <w:rPr>
          <w:rFonts w:ascii="宋体" w:hAnsi="宋体" w:eastAsia="宋体" w:cs="宋体"/>
          <w:szCs w:val="21"/>
        </w:rPr>
      </w:pPr>
    </w:p>
    <w:p>
      <w:pPr>
        <w:spacing w:line="400" w:lineRule="exact"/>
        <w:ind w:firstLine="480" w:firstLineChars="200"/>
        <w:rPr>
          <w:rFonts w:ascii="宋体" w:hAnsi="宋体" w:eastAsia="宋体" w:cs="宋体"/>
          <w:sz w:val="24"/>
        </w:rPr>
      </w:pPr>
      <w:r>
        <w:rPr>
          <w:rFonts w:hint="eastAsia" w:ascii="宋体" w:hAnsi="宋体" w:eastAsia="宋体" w:cs="宋体"/>
          <w:sz w:val="24"/>
        </w:rPr>
        <w:br w:type="page"/>
      </w:r>
    </w:p>
    <w:p>
      <w:pPr>
        <w:pStyle w:val="3"/>
        <w:keepNext w:val="0"/>
        <w:keepLines w:val="0"/>
        <w:snapToGrid w:val="0"/>
        <w:spacing w:before="0" w:after="0" w:line="360" w:lineRule="auto"/>
        <w:jc w:val="center"/>
        <w:rPr>
          <w:rFonts w:ascii="宋体" w:hAnsi="宋体"/>
          <w:sz w:val="48"/>
          <w:szCs w:val="48"/>
        </w:rPr>
      </w:pPr>
    </w:p>
    <w:p>
      <w:pPr>
        <w:pStyle w:val="3"/>
        <w:keepNext w:val="0"/>
        <w:keepLines w:val="0"/>
        <w:snapToGrid w:val="0"/>
        <w:spacing w:before="0" w:after="0" w:line="360" w:lineRule="auto"/>
        <w:jc w:val="center"/>
        <w:rPr>
          <w:rFonts w:ascii="宋体" w:hAnsi="宋体"/>
          <w:sz w:val="48"/>
          <w:szCs w:val="48"/>
        </w:rPr>
      </w:pPr>
    </w:p>
    <w:p>
      <w:pPr>
        <w:pStyle w:val="3"/>
        <w:keepNext w:val="0"/>
        <w:keepLines w:val="0"/>
        <w:snapToGrid w:val="0"/>
        <w:spacing w:before="0" w:after="0" w:line="360" w:lineRule="auto"/>
        <w:jc w:val="center"/>
        <w:rPr>
          <w:rFonts w:ascii="宋体" w:hAnsi="宋体"/>
          <w:sz w:val="48"/>
          <w:szCs w:val="48"/>
        </w:rPr>
      </w:pPr>
    </w:p>
    <w:p>
      <w:pPr>
        <w:pStyle w:val="3"/>
        <w:keepNext w:val="0"/>
        <w:keepLines w:val="0"/>
        <w:snapToGrid w:val="0"/>
        <w:spacing w:before="0" w:after="0" w:line="360" w:lineRule="auto"/>
        <w:jc w:val="center"/>
        <w:rPr>
          <w:rFonts w:ascii="宋体" w:hAnsi="宋体"/>
          <w:sz w:val="48"/>
          <w:szCs w:val="48"/>
        </w:rPr>
      </w:pPr>
      <w:bookmarkStart w:id="332" w:name="_Toc173244810"/>
      <w:bookmarkStart w:id="333" w:name="_Toc173246197"/>
      <w:r>
        <w:rPr>
          <w:rFonts w:hint="eastAsia" w:ascii="宋体" w:hAnsi="宋体"/>
          <w:sz w:val="48"/>
          <w:szCs w:val="48"/>
        </w:rPr>
        <w:t>第四章  合同条款及格式</w:t>
      </w:r>
      <w:bookmarkEnd w:id="332"/>
      <w:bookmarkEnd w:id="333"/>
    </w:p>
    <w:p>
      <w:pPr>
        <w:pStyle w:val="3"/>
        <w:keepNext w:val="0"/>
        <w:keepLines w:val="0"/>
        <w:spacing w:after="120" w:line="240" w:lineRule="auto"/>
        <w:jc w:val="center"/>
        <w:rPr>
          <w:rFonts w:ascii="宋体" w:hAnsi="宋体"/>
          <w:sz w:val="28"/>
          <w:szCs w:val="28"/>
        </w:rPr>
      </w:pPr>
    </w:p>
    <w:p>
      <w:pPr>
        <w:pStyle w:val="3"/>
        <w:keepNext w:val="0"/>
        <w:keepLines w:val="0"/>
        <w:spacing w:after="120" w:line="240" w:lineRule="auto"/>
        <w:jc w:val="center"/>
        <w:rPr>
          <w:rFonts w:ascii="宋体" w:hAnsi="宋体"/>
          <w:sz w:val="28"/>
          <w:szCs w:val="28"/>
        </w:rPr>
      </w:pPr>
    </w:p>
    <w:p>
      <w:pPr>
        <w:pStyle w:val="3"/>
        <w:keepNext w:val="0"/>
        <w:keepLines w:val="0"/>
        <w:spacing w:after="120" w:line="240" w:lineRule="auto"/>
        <w:jc w:val="center"/>
        <w:rPr>
          <w:rFonts w:ascii="宋体" w:hAnsi="宋体"/>
          <w:sz w:val="28"/>
          <w:szCs w:val="28"/>
        </w:rPr>
      </w:pPr>
    </w:p>
    <w:p>
      <w:pPr>
        <w:pStyle w:val="3"/>
        <w:keepNext w:val="0"/>
        <w:keepLines w:val="0"/>
        <w:spacing w:after="120" w:line="240" w:lineRule="auto"/>
        <w:jc w:val="center"/>
        <w:rPr>
          <w:rFonts w:ascii="宋体" w:hAnsi="宋体"/>
          <w:sz w:val="28"/>
          <w:szCs w:val="28"/>
        </w:rPr>
      </w:pPr>
    </w:p>
    <w:p>
      <w:pPr>
        <w:pStyle w:val="3"/>
        <w:keepNext w:val="0"/>
        <w:keepLines w:val="0"/>
        <w:spacing w:after="120" w:line="240" w:lineRule="auto"/>
        <w:jc w:val="center"/>
        <w:rPr>
          <w:rFonts w:ascii="宋体" w:hAnsi="宋体"/>
          <w:sz w:val="28"/>
          <w:szCs w:val="28"/>
        </w:rPr>
      </w:pPr>
    </w:p>
    <w:p>
      <w:pPr>
        <w:pStyle w:val="3"/>
        <w:keepNext w:val="0"/>
        <w:keepLines w:val="0"/>
        <w:spacing w:after="120" w:line="240" w:lineRule="auto"/>
        <w:jc w:val="center"/>
        <w:rPr>
          <w:rFonts w:ascii="宋体" w:hAnsi="宋体"/>
          <w:sz w:val="28"/>
          <w:szCs w:val="28"/>
        </w:rPr>
      </w:pPr>
    </w:p>
    <w:p>
      <w:pPr>
        <w:pStyle w:val="3"/>
        <w:keepNext w:val="0"/>
        <w:keepLines w:val="0"/>
        <w:spacing w:after="120" w:line="240" w:lineRule="auto"/>
        <w:jc w:val="center"/>
        <w:rPr>
          <w:rFonts w:ascii="宋体" w:hAnsi="宋体"/>
          <w:sz w:val="28"/>
          <w:szCs w:val="28"/>
        </w:rPr>
      </w:pPr>
    </w:p>
    <w:p>
      <w:pPr>
        <w:pStyle w:val="3"/>
        <w:keepNext w:val="0"/>
        <w:keepLines w:val="0"/>
        <w:spacing w:after="120" w:line="240" w:lineRule="auto"/>
        <w:jc w:val="center"/>
        <w:rPr>
          <w:rFonts w:ascii="宋体" w:hAnsi="宋体"/>
          <w:sz w:val="28"/>
          <w:szCs w:val="28"/>
        </w:rPr>
      </w:pPr>
    </w:p>
    <w:p>
      <w:pPr>
        <w:pStyle w:val="3"/>
        <w:keepNext w:val="0"/>
        <w:keepLines w:val="0"/>
        <w:spacing w:after="120" w:line="240" w:lineRule="auto"/>
        <w:jc w:val="center"/>
        <w:rPr>
          <w:rFonts w:ascii="宋体" w:hAnsi="宋体"/>
          <w:sz w:val="28"/>
          <w:szCs w:val="28"/>
        </w:rPr>
      </w:pPr>
    </w:p>
    <w:p>
      <w:pPr>
        <w:pStyle w:val="3"/>
        <w:keepNext w:val="0"/>
        <w:keepLines w:val="0"/>
        <w:spacing w:after="120" w:line="240" w:lineRule="auto"/>
        <w:jc w:val="center"/>
        <w:rPr>
          <w:rFonts w:ascii="宋体" w:hAnsi="宋体"/>
          <w:sz w:val="28"/>
          <w:szCs w:val="28"/>
        </w:rPr>
      </w:pPr>
    </w:p>
    <w:p>
      <w:pPr>
        <w:pStyle w:val="3"/>
        <w:keepNext w:val="0"/>
        <w:keepLines w:val="0"/>
        <w:spacing w:after="120" w:line="240" w:lineRule="auto"/>
        <w:jc w:val="center"/>
        <w:rPr>
          <w:rFonts w:ascii="宋体" w:hAnsi="宋体"/>
          <w:sz w:val="28"/>
          <w:szCs w:val="28"/>
        </w:rPr>
      </w:pPr>
    </w:p>
    <w:p>
      <w:pPr>
        <w:pStyle w:val="3"/>
        <w:keepNext w:val="0"/>
        <w:keepLines w:val="0"/>
        <w:spacing w:after="120" w:line="240" w:lineRule="auto"/>
        <w:jc w:val="center"/>
        <w:rPr>
          <w:rFonts w:ascii="宋体" w:hAnsi="宋体"/>
          <w:sz w:val="28"/>
          <w:szCs w:val="28"/>
        </w:rPr>
      </w:pPr>
    </w:p>
    <w:p>
      <w:pPr>
        <w:pStyle w:val="3"/>
        <w:keepNext w:val="0"/>
        <w:keepLines w:val="0"/>
        <w:spacing w:after="120" w:line="240" w:lineRule="auto"/>
        <w:jc w:val="center"/>
        <w:rPr>
          <w:rFonts w:ascii="宋体" w:hAnsi="宋体"/>
          <w:sz w:val="28"/>
          <w:szCs w:val="28"/>
        </w:rPr>
      </w:pPr>
    </w:p>
    <w:p>
      <w:pPr>
        <w:pStyle w:val="3"/>
        <w:keepNext w:val="0"/>
        <w:keepLines w:val="0"/>
        <w:spacing w:after="120" w:line="240" w:lineRule="auto"/>
        <w:jc w:val="center"/>
        <w:rPr>
          <w:rFonts w:ascii="宋体" w:hAnsi="宋体"/>
          <w:sz w:val="28"/>
          <w:szCs w:val="28"/>
        </w:rPr>
      </w:pPr>
    </w:p>
    <w:p>
      <w:pPr>
        <w:pStyle w:val="3"/>
        <w:keepNext w:val="0"/>
        <w:keepLines w:val="0"/>
        <w:spacing w:after="120" w:line="240" w:lineRule="auto"/>
        <w:jc w:val="center"/>
        <w:rPr>
          <w:rFonts w:ascii="宋体" w:hAnsi="宋体"/>
          <w:sz w:val="28"/>
          <w:szCs w:val="28"/>
        </w:rPr>
      </w:pPr>
    </w:p>
    <w:p>
      <w:pPr>
        <w:pStyle w:val="3"/>
        <w:keepNext w:val="0"/>
        <w:keepLines w:val="0"/>
        <w:spacing w:after="120" w:line="240" w:lineRule="auto"/>
        <w:jc w:val="center"/>
        <w:rPr>
          <w:rFonts w:ascii="宋体" w:hAnsi="宋体"/>
          <w:sz w:val="28"/>
          <w:szCs w:val="28"/>
        </w:rPr>
      </w:pPr>
    </w:p>
    <w:p>
      <w:pPr>
        <w:pStyle w:val="3"/>
        <w:keepNext w:val="0"/>
        <w:keepLines w:val="0"/>
        <w:spacing w:after="120" w:line="240" w:lineRule="auto"/>
        <w:jc w:val="center"/>
        <w:rPr>
          <w:rFonts w:ascii="宋体" w:hAnsi="宋体"/>
          <w:sz w:val="28"/>
          <w:szCs w:val="28"/>
        </w:rPr>
      </w:pPr>
    </w:p>
    <w:p>
      <w:pPr>
        <w:pStyle w:val="3"/>
        <w:keepNext w:val="0"/>
        <w:keepLines w:val="0"/>
        <w:spacing w:after="120" w:line="240" w:lineRule="auto"/>
        <w:jc w:val="center"/>
        <w:rPr>
          <w:rFonts w:ascii="宋体" w:hAnsi="宋体"/>
          <w:sz w:val="28"/>
          <w:szCs w:val="28"/>
        </w:rPr>
      </w:pPr>
      <w:bookmarkStart w:id="334" w:name="_Toc173244811"/>
      <w:bookmarkStart w:id="335" w:name="_Toc173246198"/>
      <w:r>
        <w:rPr>
          <w:rFonts w:hint="eastAsia" w:ascii="宋体" w:hAnsi="宋体"/>
          <w:sz w:val="28"/>
          <w:szCs w:val="28"/>
        </w:rPr>
        <w:t>第一节  通用合同条款</w:t>
      </w:r>
      <w:bookmarkEnd w:id="334"/>
      <w:bookmarkEnd w:id="335"/>
    </w:p>
    <w:p>
      <w:pPr>
        <w:tabs>
          <w:tab w:val="left" w:pos="3193"/>
        </w:tabs>
        <w:spacing w:line="400" w:lineRule="exact"/>
        <w:ind w:firstLine="420" w:firstLineChars="200"/>
        <w:rPr>
          <w:rFonts w:ascii="宋体" w:hAnsi="宋体" w:eastAsia="宋体" w:cs="宋体"/>
          <w:szCs w:val="21"/>
        </w:rPr>
      </w:pPr>
      <w:r>
        <w:rPr>
          <w:rFonts w:hint="eastAsia" w:ascii="宋体" w:hAnsi="宋体" w:eastAsia="宋体" w:cs="宋体"/>
          <w:szCs w:val="21"/>
        </w:rPr>
        <w:t>“通用合同条款”采用《标准施工招标文件》第四章第一节“通用合同条款”。</w:t>
      </w:r>
    </w:p>
    <w:p>
      <w:pPr>
        <w:tabs>
          <w:tab w:val="left" w:pos="3193"/>
        </w:tabs>
        <w:spacing w:line="400" w:lineRule="exact"/>
        <w:ind w:firstLine="420" w:firstLineChars="200"/>
        <w:rPr>
          <w:rFonts w:ascii="宋体" w:hAnsi="宋体" w:eastAsia="宋体" w:cs="宋体"/>
          <w:szCs w:val="21"/>
        </w:rPr>
      </w:pPr>
    </w:p>
    <w:p>
      <w:pPr>
        <w:pStyle w:val="3"/>
        <w:keepNext w:val="0"/>
        <w:keepLines w:val="0"/>
        <w:spacing w:after="120" w:line="240" w:lineRule="auto"/>
        <w:jc w:val="center"/>
        <w:rPr>
          <w:rFonts w:ascii="宋体" w:hAnsi="宋体"/>
          <w:sz w:val="28"/>
          <w:szCs w:val="28"/>
        </w:rPr>
      </w:pPr>
    </w:p>
    <w:p>
      <w:pPr>
        <w:pStyle w:val="3"/>
        <w:keepNext w:val="0"/>
        <w:keepLines w:val="0"/>
        <w:spacing w:after="120" w:line="240" w:lineRule="auto"/>
        <w:jc w:val="center"/>
        <w:rPr>
          <w:rFonts w:ascii="宋体" w:hAnsi="宋体"/>
          <w:sz w:val="28"/>
          <w:szCs w:val="28"/>
        </w:rPr>
      </w:pPr>
    </w:p>
    <w:p>
      <w:pPr>
        <w:pStyle w:val="3"/>
        <w:keepNext w:val="0"/>
        <w:keepLines w:val="0"/>
        <w:spacing w:after="120" w:line="240" w:lineRule="auto"/>
        <w:jc w:val="center"/>
        <w:rPr>
          <w:rFonts w:ascii="宋体" w:hAnsi="宋体"/>
          <w:sz w:val="28"/>
          <w:szCs w:val="28"/>
        </w:rPr>
      </w:pPr>
    </w:p>
    <w:p>
      <w:pPr>
        <w:pStyle w:val="3"/>
        <w:keepNext w:val="0"/>
        <w:keepLines w:val="0"/>
        <w:spacing w:after="120" w:line="240" w:lineRule="auto"/>
        <w:jc w:val="center"/>
        <w:rPr>
          <w:rFonts w:ascii="宋体" w:hAnsi="宋体"/>
          <w:sz w:val="28"/>
          <w:szCs w:val="28"/>
        </w:rPr>
      </w:pPr>
    </w:p>
    <w:p>
      <w:pPr>
        <w:pStyle w:val="3"/>
        <w:keepNext w:val="0"/>
        <w:keepLines w:val="0"/>
        <w:spacing w:after="120" w:line="240" w:lineRule="auto"/>
        <w:jc w:val="center"/>
        <w:rPr>
          <w:rFonts w:ascii="宋体" w:hAnsi="宋体"/>
          <w:sz w:val="28"/>
          <w:szCs w:val="28"/>
        </w:rPr>
      </w:pPr>
    </w:p>
    <w:p>
      <w:pPr>
        <w:pStyle w:val="3"/>
        <w:keepNext w:val="0"/>
        <w:keepLines w:val="0"/>
        <w:spacing w:after="120" w:line="240" w:lineRule="auto"/>
        <w:jc w:val="center"/>
        <w:rPr>
          <w:rFonts w:ascii="宋体" w:hAnsi="宋体"/>
          <w:sz w:val="28"/>
          <w:szCs w:val="28"/>
        </w:rPr>
      </w:pPr>
    </w:p>
    <w:p>
      <w:pPr>
        <w:pStyle w:val="3"/>
        <w:keepNext w:val="0"/>
        <w:keepLines w:val="0"/>
        <w:spacing w:after="120" w:line="240" w:lineRule="auto"/>
        <w:jc w:val="center"/>
        <w:rPr>
          <w:rFonts w:ascii="宋体" w:hAnsi="宋体"/>
          <w:sz w:val="28"/>
          <w:szCs w:val="28"/>
        </w:rPr>
      </w:pPr>
    </w:p>
    <w:p>
      <w:pPr>
        <w:pStyle w:val="3"/>
        <w:keepNext w:val="0"/>
        <w:keepLines w:val="0"/>
        <w:spacing w:after="120" w:line="240" w:lineRule="auto"/>
        <w:jc w:val="center"/>
        <w:rPr>
          <w:rFonts w:ascii="宋体" w:hAnsi="宋体"/>
          <w:sz w:val="28"/>
          <w:szCs w:val="28"/>
        </w:rPr>
      </w:pPr>
    </w:p>
    <w:p>
      <w:pPr>
        <w:pStyle w:val="3"/>
        <w:keepNext w:val="0"/>
        <w:keepLines w:val="0"/>
        <w:spacing w:after="120" w:line="240" w:lineRule="auto"/>
        <w:jc w:val="center"/>
        <w:rPr>
          <w:rFonts w:ascii="宋体" w:hAnsi="宋体"/>
          <w:sz w:val="28"/>
          <w:szCs w:val="28"/>
        </w:rPr>
      </w:pPr>
    </w:p>
    <w:p>
      <w:pPr>
        <w:pStyle w:val="3"/>
        <w:keepNext w:val="0"/>
        <w:keepLines w:val="0"/>
        <w:spacing w:after="120" w:line="240" w:lineRule="auto"/>
        <w:jc w:val="center"/>
        <w:rPr>
          <w:rFonts w:ascii="宋体" w:hAnsi="宋体"/>
          <w:sz w:val="28"/>
          <w:szCs w:val="28"/>
        </w:rPr>
      </w:pPr>
    </w:p>
    <w:p>
      <w:pPr>
        <w:pStyle w:val="3"/>
        <w:keepNext w:val="0"/>
        <w:keepLines w:val="0"/>
        <w:spacing w:after="120" w:line="240" w:lineRule="auto"/>
        <w:jc w:val="center"/>
        <w:rPr>
          <w:rFonts w:ascii="宋体" w:hAnsi="宋体"/>
          <w:sz w:val="28"/>
          <w:szCs w:val="28"/>
        </w:rPr>
      </w:pPr>
    </w:p>
    <w:p>
      <w:pPr>
        <w:pStyle w:val="3"/>
        <w:keepNext w:val="0"/>
        <w:keepLines w:val="0"/>
        <w:spacing w:after="120" w:line="240" w:lineRule="auto"/>
        <w:jc w:val="center"/>
        <w:rPr>
          <w:rFonts w:ascii="宋体" w:hAnsi="宋体"/>
          <w:sz w:val="28"/>
          <w:szCs w:val="28"/>
        </w:rPr>
      </w:pPr>
    </w:p>
    <w:p>
      <w:pPr>
        <w:pStyle w:val="3"/>
        <w:keepNext w:val="0"/>
        <w:keepLines w:val="0"/>
        <w:spacing w:after="120" w:line="240" w:lineRule="auto"/>
        <w:jc w:val="center"/>
        <w:rPr>
          <w:rFonts w:ascii="宋体" w:hAnsi="宋体"/>
          <w:sz w:val="28"/>
          <w:szCs w:val="28"/>
        </w:rPr>
      </w:pPr>
    </w:p>
    <w:p>
      <w:pPr>
        <w:pStyle w:val="3"/>
        <w:keepNext w:val="0"/>
        <w:keepLines w:val="0"/>
        <w:spacing w:after="120" w:line="240" w:lineRule="auto"/>
        <w:jc w:val="center"/>
        <w:rPr>
          <w:rFonts w:ascii="宋体" w:hAnsi="宋体"/>
          <w:sz w:val="28"/>
          <w:szCs w:val="28"/>
        </w:rPr>
      </w:pPr>
    </w:p>
    <w:p>
      <w:pPr>
        <w:pStyle w:val="3"/>
        <w:keepNext w:val="0"/>
        <w:keepLines w:val="0"/>
        <w:spacing w:after="120" w:line="240" w:lineRule="auto"/>
        <w:jc w:val="center"/>
        <w:rPr>
          <w:rFonts w:ascii="宋体" w:hAnsi="宋体"/>
          <w:sz w:val="28"/>
          <w:szCs w:val="28"/>
        </w:rPr>
      </w:pPr>
    </w:p>
    <w:p>
      <w:pPr>
        <w:pStyle w:val="3"/>
        <w:keepNext w:val="0"/>
        <w:keepLines w:val="0"/>
        <w:spacing w:after="120" w:line="240" w:lineRule="auto"/>
        <w:jc w:val="center"/>
        <w:rPr>
          <w:rFonts w:ascii="宋体" w:hAnsi="宋体"/>
          <w:sz w:val="28"/>
          <w:szCs w:val="28"/>
        </w:rPr>
      </w:pPr>
    </w:p>
    <w:p>
      <w:pPr>
        <w:pStyle w:val="3"/>
        <w:keepNext w:val="0"/>
        <w:keepLines w:val="0"/>
        <w:spacing w:after="120" w:line="240" w:lineRule="auto"/>
        <w:jc w:val="center"/>
        <w:rPr>
          <w:rFonts w:ascii="宋体" w:hAnsi="宋体"/>
          <w:sz w:val="28"/>
          <w:szCs w:val="28"/>
        </w:rPr>
      </w:pPr>
    </w:p>
    <w:p>
      <w:pPr>
        <w:pStyle w:val="3"/>
        <w:keepNext w:val="0"/>
        <w:keepLines w:val="0"/>
        <w:spacing w:after="120" w:line="240" w:lineRule="auto"/>
        <w:jc w:val="center"/>
        <w:rPr>
          <w:rFonts w:ascii="宋体" w:hAnsi="宋体"/>
          <w:sz w:val="28"/>
          <w:szCs w:val="28"/>
        </w:rPr>
      </w:pPr>
      <w:bookmarkStart w:id="336" w:name="_Toc173244812"/>
      <w:bookmarkStart w:id="337" w:name="_Toc173246199"/>
      <w:r>
        <w:rPr>
          <w:rFonts w:hint="eastAsia" w:ascii="宋体" w:hAnsi="宋体"/>
          <w:sz w:val="28"/>
          <w:szCs w:val="28"/>
        </w:rPr>
        <w:t>第二节 专用合同条款</w:t>
      </w:r>
      <w:bookmarkEnd w:id="336"/>
      <w:bookmarkEnd w:id="337"/>
    </w:p>
    <w:p>
      <w:pPr>
        <w:ind w:left="420"/>
        <w:jc w:val="center"/>
        <w:rPr>
          <w:rFonts w:ascii="宋体" w:hAnsi="宋体" w:eastAsia="宋体" w:cs="宋体"/>
          <w:szCs w:val="21"/>
        </w:rPr>
      </w:pPr>
    </w:p>
    <w:p>
      <w:pPr>
        <w:ind w:left="420"/>
        <w:jc w:val="center"/>
        <w:rPr>
          <w:rFonts w:ascii="宋体" w:hAnsi="宋体" w:eastAsia="宋体" w:cs="宋体"/>
          <w:szCs w:val="21"/>
        </w:rPr>
      </w:pPr>
    </w:p>
    <w:p>
      <w:pPr>
        <w:jc w:val="center"/>
        <w:rPr>
          <w:rFonts w:ascii="宋体" w:hAnsi="宋体" w:eastAsia="宋体" w:cs="宋体"/>
          <w:sz w:val="28"/>
          <w:szCs w:val="28"/>
        </w:rPr>
      </w:pPr>
    </w:p>
    <w:p>
      <w:pPr>
        <w:jc w:val="center"/>
        <w:rPr>
          <w:rFonts w:ascii="宋体" w:hAnsi="宋体" w:eastAsia="宋体" w:cs="宋体"/>
          <w:sz w:val="28"/>
          <w:szCs w:val="28"/>
        </w:rPr>
      </w:pPr>
    </w:p>
    <w:p>
      <w:pPr>
        <w:jc w:val="center"/>
        <w:rPr>
          <w:rFonts w:ascii="宋体" w:hAnsi="宋体" w:eastAsia="宋体" w:cs="宋体"/>
          <w:sz w:val="28"/>
          <w:szCs w:val="28"/>
        </w:rPr>
      </w:pPr>
    </w:p>
    <w:p>
      <w:pPr>
        <w:jc w:val="center"/>
        <w:rPr>
          <w:rFonts w:ascii="宋体" w:hAnsi="宋体" w:eastAsia="宋体" w:cs="宋体"/>
          <w:sz w:val="28"/>
          <w:szCs w:val="28"/>
        </w:rPr>
      </w:pPr>
    </w:p>
    <w:p>
      <w:pPr>
        <w:jc w:val="center"/>
        <w:rPr>
          <w:rFonts w:ascii="宋体" w:hAnsi="宋体" w:eastAsia="宋体" w:cs="宋体"/>
          <w:sz w:val="28"/>
          <w:szCs w:val="28"/>
        </w:rPr>
      </w:pPr>
    </w:p>
    <w:p>
      <w:pPr>
        <w:jc w:val="center"/>
        <w:rPr>
          <w:rFonts w:ascii="宋体" w:hAnsi="宋体" w:eastAsia="宋体" w:cs="宋体"/>
          <w:sz w:val="28"/>
          <w:szCs w:val="28"/>
        </w:rPr>
      </w:pPr>
    </w:p>
    <w:p>
      <w:pPr>
        <w:jc w:val="center"/>
        <w:rPr>
          <w:rFonts w:ascii="宋体" w:hAnsi="宋体" w:eastAsia="宋体" w:cs="宋体"/>
          <w:sz w:val="28"/>
          <w:szCs w:val="28"/>
        </w:rPr>
      </w:pPr>
    </w:p>
    <w:p>
      <w:pPr>
        <w:jc w:val="center"/>
        <w:rPr>
          <w:rFonts w:ascii="宋体" w:hAnsi="宋体" w:eastAsia="宋体" w:cs="宋体"/>
          <w:sz w:val="28"/>
          <w:szCs w:val="28"/>
        </w:rPr>
      </w:pPr>
    </w:p>
    <w:p>
      <w:pPr>
        <w:jc w:val="center"/>
        <w:rPr>
          <w:rFonts w:ascii="宋体" w:hAnsi="宋体" w:eastAsia="宋体" w:cs="宋体"/>
          <w:sz w:val="28"/>
          <w:szCs w:val="28"/>
        </w:rPr>
      </w:pPr>
    </w:p>
    <w:p>
      <w:pPr>
        <w:jc w:val="center"/>
        <w:rPr>
          <w:rFonts w:ascii="宋体" w:hAnsi="宋体" w:eastAsia="宋体" w:cs="宋体"/>
          <w:sz w:val="28"/>
          <w:szCs w:val="28"/>
        </w:rPr>
      </w:pPr>
    </w:p>
    <w:p>
      <w:pPr>
        <w:jc w:val="center"/>
        <w:rPr>
          <w:rFonts w:ascii="宋体" w:hAnsi="宋体" w:eastAsia="宋体" w:cs="宋体"/>
          <w:sz w:val="28"/>
          <w:szCs w:val="28"/>
        </w:rPr>
      </w:pPr>
    </w:p>
    <w:p>
      <w:pPr>
        <w:jc w:val="center"/>
        <w:rPr>
          <w:rFonts w:ascii="宋体" w:hAnsi="宋体" w:eastAsia="宋体" w:cs="宋体"/>
          <w:sz w:val="28"/>
          <w:szCs w:val="28"/>
        </w:rPr>
      </w:pPr>
    </w:p>
    <w:p>
      <w:pPr>
        <w:jc w:val="center"/>
        <w:rPr>
          <w:rFonts w:ascii="宋体" w:hAnsi="宋体" w:eastAsia="宋体" w:cs="宋体"/>
          <w:sz w:val="28"/>
          <w:szCs w:val="28"/>
        </w:rPr>
      </w:pPr>
    </w:p>
    <w:p>
      <w:pPr>
        <w:jc w:val="center"/>
        <w:rPr>
          <w:rFonts w:ascii="宋体" w:hAnsi="宋体" w:eastAsia="宋体" w:cs="宋体"/>
          <w:sz w:val="28"/>
          <w:szCs w:val="28"/>
        </w:rPr>
      </w:pPr>
    </w:p>
    <w:p>
      <w:pPr>
        <w:jc w:val="center"/>
        <w:rPr>
          <w:rFonts w:ascii="宋体" w:hAnsi="宋体" w:eastAsia="宋体" w:cs="宋体"/>
          <w:sz w:val="28"/>
          <w:szCs w:val="28"/>
        </w:rPr>
      </w:pPr>
    </w:p>
    <w:p>
      <w:pPr>
        <w:jc w:val="center"/>
        <w:rPr>
          <w:rFonts w:ascii="宋体" w:hAnsi="宋体" w:eastAsia="宋体" w:cs="宋体"/>
          <w:sz w:val="28"/>
          <w:szCs w:val="28"/>
        </w:rPr>
      </w:pPr>
    </w:p>
    <w:p>
      <w:pPr>
        <w:jc w:val="center"/>
        <w:rPr>
          <w:rFonts w:ascii="宋体" w:hAnsi="宋体" w:eastAsia="宋体" w:cs="宋体"/>
          <w:sz w:val="28"/>
          <w:szCs w:val="28"/>
        </w:rPr>
      </w:pPr>
    </w:p>
    <w:p>
      <w:pPr>
        <w:jc w:val="center"/>
        <w:rPr>
          <w:rFonts w:ascii="宋体" w:hAnsi="宋体" w:eastAsia="宋体" w:cs="宋体"/>
          <w:sz w:val="28"/>
          <w:szCs w:val="28"/>
        </w:rPr>
      </w:pPr>
    </w:p>
    <w:p>
      <w:pPr>
        <w:jc w:val="center"/>
        <w:rPr>
          <w:rFonts w:ascii="宋体" w:hAnsi="宋体" w:eastAsia="宋体" w:cs="宋体"/>
          <w:sz w:val="28"/>
          <w:szCs w:val="28"/>
        </w:rPr>
      </w:pPr>
    </w:p>
    <w:p>
      <w:pPr>
        <w:jc w:val="center"/>
        <w:rPr>
          <w:rFonts w:ascii="宋体" w:hAnsi="宋体" w:eastAsia="宋体" w:cs="宋体"/>
          <w:sz w:val="28"/>
          <w:szCs w:val="28"/>
        </w:rPr>
      </w:pPr>
    </w:p>
    <w:p>
      <w:pPr>
        <w:jc w:val="center"/>
        <w:rPr>
          <w:rFonts w:ascii="宋体" w:hAnsi="宋体" w:eastAsia="宋体" w:cs="宋体"/>
          <w:sz w:val="28"/>
          <w:szCs w:val="28"/>
        </w:rPr>
      </w:pPr>
    </w:p>
    <w:p>
      <w:pPr>
        <w:jc w:val="center"/>
        <w:rPr>
          <w:rFonts w:ascii="宋体" w:hAnsi="宋体" w:eastAsia="宋体" w:cs="宋体"/>
          <w:sz w:val="28"/>
          <w:szCs w:val="28"/>
        </w:rPr>
      </w:pPr>
    </w:p>
    <w:p>
      <w:pPr>
        <w:jc w:val="center"/>
        <w:rPr>
          <w:rFonts w:ascii="宋体" w:hAnsi="宋体" w:eastAsia="宋体" w:cs="宋体"/>
          <w:sz w:val="28"/>
          <w:szCs w:val="28"/>
        </w:rPr>
      </w:pPr>
    </w:p>
    <w:p>
      <w:pPr>
        <w:jc w:val="center"/>
        <w:rPr>
          <w:rFonts w:ascii="宋体" w:hAnsi="宋体" w:eastAsia="宋体" w:cs="宋体"/>
          <w:sz w:val="28"/>
          <w:szCs w:val="28"/>
        </w:rPr>
      </w:pPr>
    </w:p>
    <w:p>
      <w:pPr>
        <w:jc w:val="center"/>
        <w:rPr>
          <w:rFonts w:ascii="宋体" w:hAnsi="宋体" w:eastAsia="宋体" w:cs="宋体"/>
          <w:sz w:val="28"/>
          <w:szCs w:val="28"/>
        </w:rPr>
      </w:pPr>
    </w:p>
    <w:p>
      <w:pPr>
        <w:jc w:val="center"/>
        <w:rPr>
          <w:rFonts w:ascii="宋体" w:hAnsi="宋体" w:eastAsia="宋体" w:cs="宋体"/>
          <w:sz w:val="28"/>
          <w:szCs w:val="28"/>
        </w:rPr>
      </w:pPr>
    </w:p>
    <w:p>
      <w:pPr>
        <w:jc w:val="center"/>
        <w:rPr>
          <w:rFonts w:ascii="宋体" w:hAnsi="宋体" w:eastAsia="宋体" w:cs="宋体"/>
          <w:sz w:val="28"/>
          <w:szCs w:val="28"/>
        </w:rPr>
      </w:pPr>
    </w:p>
    <w:p>
      <w:pPr>
        <w:jc w:val="center"/>
        <w:rPr>
          <w:rFonts w:ascii="宋体" w:hAnsi="宋体" w:eastAsia="宋体" w:cs="宋体"/>
          <w:sz w:val="28"/>
          <w:szCs w:val="28"/>
        </w:rPr>
      </w:pPr>
    </w:p>
    <w:p>
      <w:pPr>
        <w:jc w:val="center"/>
        <w:rPr>
          <w:rFonts w:ascii="宋体" w:hAnsi="宋体" w:eastAsia="宋体" w:cs="宋体"/>
          <w:sz w:val="28"/>
          <w:szCs w:val="28"/>
        </w:rPr>
      </w:pPr>
    </w:p>
    <w:p>
      <w:pPr>
        <w:jc w:val="center"/>
        <w:rPr>
          <w:rFonts w:ascii="宋体" w:hAnsi="宋体" w:eastAsia="宋体" w:cs="宋体"/>
          <w:sz w:val="28"/>
          <w:szCs w:val="28"/>
        </w:rPr>
      </w:pPr>
    </w:p>
    <w:p>
      <w:pPr>
        <w:jc w:val="center"/>
        <w:rPr>
          <w:rFonts w:ascii="宋体" w:hAnsi="宋体" w:eastAsia="宋体" w:cs="宋体"/>
          <w:sz w:val="28"/>
          <w:szCs w:val="28"/>
        </w:rPr>
      </w:pPr>
    </w:p>
    <w:p>
      <w:pPr>
        <w:jc w:val="center"/>
        <w:rPr>
          <w:rFonts w:ascii="宋体" w:hAnsi="宋体" w:eastAsia="宋体" w:cs="宋体"/>
          <w:sz w:val="28"/>
          <w:szCs w:val="28"/>
        </w:rPr>
      </w:pPr>
    </w:p>
    <w:p>
      <w:pPr>
        <w:jc w:val="center"/>
        <w:rPr>
          <w:rFonts w:ascii="宋体" w:hAnsi="宋体" w:eastAsia="宋体" w:cs="宋体"/>
          <w:sz w:val="28"/>
          <w:szCs w:val="28"/>
        </w:rPr>
      </w:pPr>
    </w:p>
    <w:p>
      <w:pPr>
        <w:jc w:val="center"/>
        <w:rPr>
          <w:rFonts w:ascii="宋体" w:hAnsi="宋体" w:eastAsia="宋体" w:cs="宋体"/>
          <w:sz w:val="28"/>
          <w:szCs w:val="28"/>
        </w:rPr>
      </w:pPr>
    </w:p>
    <w:p>
      <w:pPr>
        <w:jc w:val="center"/>
        <w:rPr>
          <w:rFonts w:ascii="宋体" w:hAnsi="宋体" w:eastAsia="宋体" w:cs="宋体"/>
          <w:sz w:val="28"/>
          <w:szCs w:val="28"/>
        </w:rPr>
      </w:pPr>
    </w:p>
    <w:p>
      <w:pPr>
        <w:jc w:val="center"/>
        <w:rPr>
          <w:rFonts w:ascii="宋体" w:hAnsi="宋体" w:eastAsia="宋体" w:cs="宋体"/>
          <w:sz w:val="28"/>
          <w:szCs w:val="28"/>
        </w:rPr>
      </w:pPr>
    </w:p>
    <w:p>
      <w:pPr>
        <w:jc w:val="center"/>
        <w:rPr>
          <w:rFonts w:ascii="宋体" w:hAnsi="宋体" w:eastAsia="宋体" w:cs="宋体"/>
          <w:sz w:val="28"/>
          <w:szCs w:val="28"/>
        </w:rPr>
      </w:pPr>
    </w:p>
    <w:p>
      <w:pPr>
        <w:jc w:val="center"/>
        <w:rPr>
          <w:rFonts w:ascii="宋体" w:hAnsi="宋体" w:eastAsia="宋体" w:cs="宋体"/>
          <w:sz w:val="28"/>
          <w:szCs w:val="28"/>
        </w:rPr>
      </w:pPr>
      <w:r>
        <w:rPr>
          <w:rFonts w:hint="eastAsia" w:ascii="宋体" w:hAnsi="宋体" w:eastAsia="宋体" w:cs="宋体"/>
          <w:sz w:val="28"/>
          <w:szCs w:val="28"/>
        </w:rPr>
        <w:t>A．公路工程专用合同条款</w:t>
      </w:r>
    </w:p>
    <w:p>
      <w:pPr>
        <w:ind w:left="420"/>
        <w:jc w:val="center"/>
        <w:rPr>
          <w:rFonts w:ascii="宋体" w:hAnsi="宋体" w:eastAsia="宋体" w:cs="宋体"/>
          <w:sz w:val="36"/>
          <w:szCs w:val="36"/>
        </w:rPr>
      </w:pPr>
      <w:r>
        <w:rPr>
          <w:rFonts w:hint="eastAsia" w:ascii="宋体" w:hAnsi="宋体" w:eastAsia="宋体" w:cs="宋体"/>
          <w:sz w:val="36"/>
          <w:szCs w:val="36"/>
        </w:rPr>
        <w:t xml:space="preserve"> </w:t>
      </w:r>
    </w:p>
    <w:p>
      <w:pPr>
        <w:spacing w:line="360" w:lineRule="exact"/>
        <w:ind w:left="420" w:firstLine="420" w:firstLineChars="200"/>
        <w:rPr>
          <w:rFonts w:ascii="宋体" w:hAnsi="宋体" w:eastAsia="宋体" w:cs="宋体"/>
          <w:szCs w:val="21"/>
        </w:rPr>
      </w:pPr>
      <w:r>
        <w:rPr>
          <w:rFonts w:hint="eastAsia" w:ascii="宋体" w:hAnsi="宋体" w:eastAsia="宋体" w:cs="宋体"/>
          <w:szCs w:val="21"/>
        </w:rPr>
        <w:t>“A. 公路工程专用合同条款”采用《公路工程标准施工招标文件》（2018年版） 第四章第二节“ A. 公路工程专用合同条款”。</w:t>
      </w:r>
    </w:p>
    <w:p>
      <w:pPr>
        <w:spacing w:line="360" w:lineRule="exact"/>
        <w:ind w:left="420"/>
        <w:jc w:val="center"/>
        <w:rPr>
          <w:rFonts w:ascii="宋体" w:hAnsi="宋体" w:eastAsia="宋体" w:cs="宋体"/>
          <w:szCs w:val="21"/>
        </w:rPr>
      </w:pPr>
    </w:p>
    <w:p>
      <w:pPr>
        <w:ind w:left="420"/>
        <w:jc w:val="center"/>
        <w:rPr>
          <w:rFonts w:ascii="宋体" w:hAnsi="宋体" w:eastAsia="宋体" w:cs="宋体"/>
          <w:sz w:val="28"/>
          <w:szCs w:val="28"/>
        </w:rPr>
      </w:pPr>
    </w:p>
    <w:p>
      <w:pPr>
        <w:ind w:left="420"/>
        <w:jc w:val="center"/>
        <w:rPr>
          <w:rFonts w:ascii="宋体" w:hAnsi="宋体" w:eastAsia="宋体" w:cs="宋体"/>
          <w:sz w:val="28"/>
          <w:szCs w:val="28"/>
        </w:rPr>
      </w:pPr>
    </w:p>
    <w:p>
      <w:pPr>
        <w:ind w:left="420"/>
        <w:jc w:val="center"/>
        <w:rPr>
          <w:rFonts w:ascii="宋体" w:hAnsi="宋体" w:eastAsia="宋体" w:cs="宋体"/>
          <w:sz w:val="28"/>
          <w:szCs w:val="28"/>
        </w:rPr>
      </w:pPr>
    </w:p>
    <w:p>
      <w:pPr>
        <w:ind w:left="420"/>
        <w:jc w:val="center"/>
        <w:rPr>
          <w:rFonts w:ascii="宋体" w:hAnsi="宋体" w:eastAsia="宋体" w:cs="宋体"/>
          <w:sz w:val="28"/>
          <w:szCs w:val="28"/>
        </w:rPr>
      </w:pPr>
    </w:p>
    <w:p>
      <w:pPr>
        <w:ind w:left="420"/>
        <w:jc w:val="center"/>
        <w:rPr>
          <w:rFonts w:ascii="宋体" w:hAnsi="宋体" w:eastAsia="宋体" w:cs="宋体"/>
          <w:sz w:val="28"/>
          <w:szCs w:val="28"/>
        </w:rPr>
      </w:pPr>
    </w:p>
    <w:p>
      <w:pPr>
        <w:ind w:left="420"/>
        <w:jc w:val="center"/>
        <w:rPr>
          <w:rFonts w:ascii="宋体" w:hAnsi="宋体" w:eastAsia="宋体" w:cs="宋体"/>
          <w:sz w:val="28"/>
          <w:szCs w:val="28"/>
        </w:rPr>
      </w:pPr>
    </w:p>
    <w:p>
      <w:pPr>
        <w:ind w:left="420"/>
        <w:jc w:val="center"/>
        <w:rPr>
          <w:rFonts w:ascii="宋体" w:hAnsi="宋体" w:eastAsia="宋体" w:cs="宋体"/>
          <w:sz w:val="28"/>
          <w:szCs w:val="28"/>
        </w:rPr>
      </w:pPr>
    </w:p>
    <w:p>
      <w:pPr>
        <w:ind w:left="420"/>
        <w:jc w:val="center"/>
        <w:rPr>
          <w:rFonts w:ascii="宋体" w:hAnsi="宋体" w:eastAsia="宋体" w:cs="宋体"/>
          <w:sz w:val="28"/>
          <w:szCs w:val="28"/>
        </w:rPr>
      </w:pPr>
    </w:p>
    <w:p>
      <w:pPr>
        <w:ind w:left="420"/>
        <w:jc w:val="center"/>
        <w:rPr>
          <w:rFonts w:ascii="宋体" w:hAnsi="宋体" w:eastAsia="宋体" w:cs="宋体"/>
          <w:sz w:val="28"/>
          <w:szCs w:val="28"/>
        </w:rPr>
      </w:pPr>
    </w:p>
    <w:p>
      <w:pPr>
        <w:ind w:left="420"/>
        <w:jc w:val="center"/>
        <w:rPr>
          <w:rFonts w:ascii="宋体" w:hAnsi="宋体" w:eastAsia="宋体" w:cs="宋体"/>
          <w:sz w:val="28"/>
          <w:szCs w:val="28"/>
        </w:rPr>
      </w:pPr>
    </w:p>
    <w:p>
      <w:pPr>
        <w:ind w:left="420"/>
        <w:jc w:val="center"/>
        <w:rPr>
          <w:rFonts w:ascii="宋体" w:hAnsi="宋体" w:eastAsia="宋体" w:cs="宋体"/>
          <w:sz w:val="28"/>
          <w:szCs w:val="28"/>
        </w:rPr>
      </w:pPr>
    </w:p>
    <w:p>
      <w:pPr>
        <w:ind w:left="420"/>
        <w:jc w:val="center"/>
        <w:rPr>
          <w:rFonts w:ascii="宋体" w:hAnsi="宋体" w:eastAsia="宋体" w:cs="宋体"/>
          <w:sz w:val="28"/>
          <w:szCs w:val="28"/>
        </w:rPr>
      </w:pPr>
    </w:p>
    <w:p>
      <w:pPr>
        <w:ind w:left="420"/>
        <w:jc w:val="center"/>
        <w:rPr>
          <w:rFonts w:ascii="宋体" w:hAnsi="宋体" w:eastAsia="宋体" w:cs="宋体"/>
          <w:sz w:val="28"/>
          <w:szCs w:val="28"/>
        </w:rPr>
      </w:pPr>
    </w:p>
    <w:p>
      <w:pPr>
        <w:ind w:left="420"/>
        <w:jc w:val="center"/>
        <w:rPr>
          <w:rFonts w:ascii="宋体" w:hAnsi="宋体" w:eastAsia="宋体" w:cs="宋体"/>
          <w:sz w:val="28"/>
          <w:szCs w:val="28"/>
        </w:rPr>
      </w:pPr>
    </w:p>
    <w:p>
      <w:pPr>
        <w:ind w:left="420"/>
        <w:jc w:val="center"/>
        <w:rPr>
          <w:rFonts w:ascii="宋体" w:hAnsi="宋体" w:eastAsia="宋体" w:cs="宋体"/>
          <w:sz w:val="28"/>
          <w:szCs w:val="28"/>
        </w:rPr>
      </w:pPr>
    </w:p>
    <w:p>
      <w:pPr>
        <w:ind w:left="420"/>
        <w:jc w:val="center"/>
        <w:rPr>
          <w:rFonts w:ascii="宋体" w:hAnsi="宋体" w:eastAsia="宋体" w:cs="宋体"/>
          <w:sz w:val="28"/>
          <w:szCs w:val="28"/>
        </w:rPr>
      </w:pPr>
    </w:p>
    <w:p>
      <w:pPr>
        <w:ind w:left="420"/>
        <w:jc w:val="center"/>
        <w:rPr>
          <w:rFonts w:ascii="宋体" w:hAnsi="宋体" w:eastAsia="宋体" w:cs="宋体"/>
          <w:sz w:val="28"/>
          <w:szCs w:val="28"/>
        </w:rPr>
      </w:pPr>
    </w:p>
    <w:p>
      <w:pPr>
        <w:ind w:left="420"/>
        <w:jc w:val="center"/>
        <w:rPr>
          <w:rFonts w:ascii="宋体" w:hAnsi="宋体" w:eastAsia="宋体" w:cs="宋体"/>
          <w:sz w:val="28"/>
          <w:szCs w:val="28"/>
        </w:rPr>
      </w:pPr>
    </w:p>
    <w:p>
      <w:pPr>
        <w:ind w:left="420"/>
        <w:jc w:val="center"/>
        <w:rPr>
          <w:rFonts w:ascii="宋体" w:hAnsi="宋体" w:eastAsia="宋体" w:cs="宋体"/>
          <w:sz w:val="28"/>
          <w:szCs w:val="28"/>
        </w:rPr>
      </w:pPr>
    </w:p>
    <w:p>
      <w:pPr>
        <w:ind w:left="420"/>
        <w:jc w:val="center"/>
        <w:rPr>
          <w:rFonts w:ascii="宋体" w:hAnsi="宋体" w:eastAsia="宋体" w:cs="宋体"/>
          <w:sz w:val="28"/>
          <w:szCs w:val="28"/>
        </w:rPr>
      </w:pPr>
    </w:p>
    <w:p>
      <w:pPr>
        <w:ind w:left="420"/>
        <w:jc w:val="center"/>
        <w:rPr>
          <w:rFonts w:ascii="宋体" w:hAnsi="宋体" w:eastAsia="宋体" w:cs="宋体"/>
          <w:sz w:val="28"/>
          <w:szCs w:val="28"/>
        </w:rPr>
      </w:pPr>
    </w:p>
    <w:p>
      <w:pPr>
        <w:ind w:left="420"/>
        <w:jc w:val="center"/>
        <w:rPr>
          <w:rFonts w:ascii="宋体" w:hAnsi="宋体" w:eastAsia="宋体" w:cs="宋体"/>
          <w:sz w:val="28"/>
          <w:szCs w:val="28"/>
        </w:rPr>
      </w:pPr>
    </w:p>
    <w:p>
      <w:pPr>
        <w:ind w:left="420"/>
        <w:jc w:val="center"/>
        <w:rPr>
          <w:rFonts w:ascii="宋体" w:hAnsi="宋体" w:eastAsia="宋体" w:cs="宋体"/>
          <w:sz w:val="28"/>
          <w:szCs w:val="28"/>
        </w:rPr>
      </w:pPr>
    </w:p>
    <w:p>
      <w:pPr>
        <w:ind w:left="420"/>
        <w:jc w:val="center"/>
        <w:rPr>
          <w:rFonts w:ascii="宋体" w:hAnsi="宋体" w:eastAsia="宋体" w:cs="宋体"/>
          <w:sz w:val="28"/>
          <w:szCs w:val="28"/>
        </w:rPr>
      </w:pPr>
    </w:p>
    <w:p>
      <w:pPr>
        <w:ind w:left="420"/>
        <w:jc w:val="center"/>
        <w:rPr>
          <w:rFonts w:ascii="宋体" w:hAnsi="宋体" w:eastAsia="宋体" w:cs="宋体"/>
          <w:sz w:val="28"/>
          <w:szCs w:val="28"/>
        </w:rPr>
      </w:pPr>
    </w:p>
    <w:p>
      <w:pPr>
        <w:ind w:left="420"/>
        <w:jc w:val="center"/>
        <w:rPr>
          <w:rFonts w:ascii="宋体" w:hAnsi="宋体" w:eastAsia="宋体" w:cs="宋体"/>
          <w:sz w:val="28"/>
          <w:szCs w:val="28"/>
        </w:rPr>
      </w:pPr>
    </w:p>
    <w:p>
      <w:pPr>
        <w:ind w:left="420"/>
        <w:jc w:val="center"/>
        <w:rPr>
          <w:rFonts w:ascii="宋体" w:hAnsi="宋体" w:eastAsia="宋体" w:cs="宋体"/>
          <w:sz w:val="28"/>
          <w:szCs w:val="28"/>
        </w:rPr>
      </w:pPr>
    </w:p>
    <w:p>
      <w:pPr>
        <w:ind w:left="420"/>
        <w:jc w:val="center"/>
        <w:rPr>
          <w:rFonts w:ascii="宋体" w:hAnsi="宋体" w:eastAsia="宋体" w:cs="宋体"/>
          <w:sz w:val="28"/>
          <w:szCs w:val="28"/>
        </w:rPr>
      </w:pPr>
    </w:p>
    <w:p>
      <w:pPr>
        <w:ind w:left="420"/>
        <w:jc w:val="center"/>
        <w:rPr>
          <w:rFonts w:ascii="宋体" w:hAnsi="宋体" w:eastAsia="宋体" w:cs="宋体"/>
          <w:sz w:val="28"/>
          <w:szCs w:val="28"/>
        </w:rPr>
      </w:pPr>
    </w:p>
    <w:p>
      <w:pPr>
        <w:ind w:left="420"/>
        <w:jc w:val="center"/>
        <w:rPr>
          <w:rFonts w:ascii="宋体" w:hAnsi="宋体" w:eastAsia="宋体" w:cs="宋体"/>
          <w:sz w:val="28"/>
          <w:szCs w:val="28"/>
        </w:rPr>
      </w:pPr>
    </w:p>
    <w:p>
      <w:pPr>
        <w:ind w:left="420"/>
        <w:jc w:val="center"/>
        <w:rPr>
          <w:rFonts w:ascii="宋体" w:hAnsi="宋体" w:eastAsia="宋体" w:cs="宋体"/>
          <w:sz w:val="28"/>
          <w:szCs w:val="28"/>
        </w:rPr>
      </w:pPr>
    </w:p>
    <w:p>
      <w:pPr>
        <w:ind w:left="420"/>
        <w:jc w:val="center"/>
        <w:rPr>
          <w:rFonts w:ascii="宋体" w:hAnsi="宋体" w:eastAsia="宋体" w:cs="宋体"/>
          <w:sz w:val="28"/>
          <w:szCs w:val="28"/>
        </w:rPr>
      </w:pPr>
    </w:p>
    <w:p>
      <w:pPr>
        <w:widowControl/>
        <w:jc w:val="center"/>
        <w:rPr>
          <w:rFonts w:ascii="宋体" w:hAnsi="宋体" w:eastAsia="宋体" w:cs="宋体"/>
          <w:sz w:val="28"/>
          <w:szCs w:val="28"/>
        </w:rPr>
      </w:pPr>
      <w:r>
        <w:rPr>
          <w:rFonts w:hint="eastAsia" w:ascii="宋体" w:hAnsi="宋体" w:eastAsia="宋体" w:cs="宋体"/>
          <w:sz w:val="28"/>
          <w:szCs w:val="28"/>
        </w:rPr>
        <w:t>B、项目专用合同条款</w:t>
      </w:r>
    </w:p>
    <w:p>
      <w:pPr>
        <w:spacing w:line="400" w:lineRule="exact"/>
        <w:ind w:firstLine="482" w:firstLineChars="200"/>
        <w:rPr>
          <w:rFonts w:ascii="宋体" w:hAnsi="宋体" w:eastAsia="宋体" w:cs="宋体"/>
          <w:b/>
          <w:sz w:val="24"/>
        </w:rPr>
      </w:pPr>
      <w:r>
        <w:rPr>
          <w:rFonts w:hint="eastAsia" w:ascii="宋体" w:hAnsi="宋体" w:eastAsia="宋体" w:cs="宋体"/>
          <w:b/>
          <w:sz w:val="24"/>
        </w:rPr>
        <w:t>说明：</w:t>
      </w:r>
    </w:p>
    <w:p>
      <w:pPr>
        <w:rPr>
          <w:rFonts w:ascii="宋体" w:hAnsi="宋体" w:eastAsia="宋体" w:cs="宋体"/>
          <w:sz w:val="24"/>
        </w:rPr>
      </w:pPr>
    </w:p>
    <w:p>
      <w:pPr>
        <w:spacing w:line="480" w:lineRule="exact"/>
        <w:ind w:firstLine="420" w:firstLineChars="200"/>
        <w:rPr>
          <w:rFonts w:ascii="宋体" w:hAnsi="宋体" w:eastAsia="宋体" w:cs="宋体"/>
          <w:szCs w:val="21"/>
        </w:rPr>
      </w:pPr>
      <w:r>
        <w:rPr>
          <w:rFonts w:hint="eastAsia" w:ascii="宋体" w:hAnsi="宋体" w:eastAsia="宋体" w:cs="宋体"/>
          <w:szCs w:val="21"/>
        </w:rPr>
        <w:t>1. 发包人在根据《标准施工招标文件》、《公路工程标准施工招标文件》编制项目 施工招标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不同内容，不得违反法律、行政法规的强制性规定和平等、自愿、公平和诚实信用原则。</w:t>
      </w:r>
    </w:p>
    <w:p>
      <w:pPr>
        <w:spacing w:line="480" w:lineRule="exact"/>
        <w:ind w:firstLine="420" w:firstLineChars="200"/>
        <w:rPr>
          <w:rFonts w:ascii="宋体" w:hAnsi="宋体" w:eastAsia="宋体" w:cs="宋体"/>
          <w:szCs w:val="21"/>
        </w:rPr>
      </w:pPr>
      <w:r>
        <w:rPr>
          <w:rFonts w:hint="eastAsia" w:ascii="宋体" w:hAnsi="宋体" w:eastAsia="宋体" w:cs="宋体"/>
          <w:szCs w:val="21"/>
        </w:rPr>
        <w:t>2. 项目专用合同条款的序号应与通用合同条款和公路工程专用合同条款一致。</w:t>
      </w:r>
    </w:p>
    <w:p>
      <w:pPr>
        <w:spacing w:line="480" w:lineRule="exact"/>
        <w:ind w:firstLine="420" w:firstLineChars="200"/>
        <w:rPr>
          <w:rFonts w:ascii="宋体" w:hAnsi="宋体" w:eastAsia="宋体" w:cs="宋体"/>
          <w:szCs w:val="21"/>
        </w:rPr>
      </w:pPr>
      <w:r>
        <w:rPr>
          <w:rFonts w:hint="eastAsia" w:ascii="宋体" w:hAnsi="宋体" w:eastAsia="宋体" w:cs="宋体"/>
          <w:szCs w:val="21"/>
        </w:rPr>
        <w:t>3. 项目专用合同条款可对下列内容进行补充和细化：</w:t>
      </w:r>
    </w:p>
    <w:p>
      <w:pPr>
        <w:spacing w:line="480" w:lineRule="exact"/>
        <w:ind w:firstLine="420" w:firstLineChars="200"/>
        <w:rPr>
          <w:rFonts w:ascii="宋体" w:hAnsi="宋体" w:eastAsia="宋体" w:cs="宋体"/>
          <w:szCs w:val="21"/>
        </w:rPr>
      </w:pPr>
      <w:r>
        <w:rPr>
          <w:rFonts w:hint="eastAsia" w:ascii="宋体" w:hAnsi="宋体" w:eastAsia="宋体" w:cs="宋体"/>
          <w:szCs w:val="21"/>
        </w:rPr>
        <w:t>(1) “通用合同条款”中明确指出“专用合同条款”可对“通用合同条款”进行补充和细化的内容(在“通用合同条款”中用“应按合同约定”、“应按专用合同条款约定”“除合同另有约定外”、“除专用合同条款另有约定外”、“在专用合同条款中约定”等多种文字形式表达) ；</w:t>
      </w:r>
    </w:p>
    <w:p>
      <w:pPr>
        <w:spacing w:line="480" w:lineRule="exact"/>
        <w:ind w:firstLine="420" w:firstLineChars="200"/>
        <w:rPr>
          <w:rFonts w:ascii="宋体" w:hAnsi="宋体" w:eastAsia="宋体" w:cs="宋体"/>
          <w:szCs w:val="21"/>
        </w:rPr>
      </w:pPr>
      <w:r>
        <w:rPr>
          <w:rFonts w:hint="eastAsia" w:ascii="宋体" w:hAnsi="宋体" w:eastAsia="宋体" w:cs="宋体"/>
          <w:szCs w:val="21"/>
        </w:rPr>
        <w:t>(2)“公路工程专用合同条款”中明确指出“项目专用合同条款”可对“公路工程专用合同条款”进行补充和细化的内容(在“公路工程专用合同条款”中用“除项目专用合同条款另有约定外”，“项目专用合同条款可能约定的”，“项目专用合同条款约定的其他情形”等多种文字形式表达) ；</w:t>
      </w:r>
    </w:p>
    <w:p>
      <w:pPr>
        <w:spacing w:line="480" w:lineRule="exact"/>
        <w:ind w:firstLine="420" w:firstLineChars="200"/>
        <w:rPr>
          <w:rFonts w:ascii="宋体" w:hAnsi="宋体" w:eastAsia="宋体" w:cs="宋体"/>
          <w:szCs w:val="21"/>
        </w:rPr>
      </w:pPr>
      <w:r>
        <w:rPr>
          <w:rFonts w:hint="eastAsia" w:ascii="宋体" w:hAnsi="宋体" w:eastAsia="宋体" w:cs="宋体"/>
          <w:szCs w:val="21"/>
        </w:rPr>
        <w:t>(3) 其他需要补充、细化的内容。</w:t>
      </w:r>
    </w:p>
    <w:p>
      <w:pPr>
        <w:spacing w:line="480" w:lineRule="exact"/>
        <w:ind w:firstLine="420" w:firstLineChars="200"/>
        <w:rPr>
          <w:rFonts w:ascii="宋体" w:hAnsi="宋体" w:eastAsia="宋体" w:cs="宋体"/>
          <w:szCs w:val="21"/>
        </w:rPr>
      </w:pPr>
    </w:p>
    <w:p>
      <w:pPr>
        <w:spacing w:before="240" w:after="240"/>
        <w:jc w:val="center"/>
        <w:rPr>
          <w:rFonts w:ascii="宋体" w:hAnsi="宋体" w:eastAsia="宋体" w:cs="宋体"/>
          <w:b/>
          <w:sz w:val="28"/>
          <w:szCs w:val="28"/>
        </w:rPr>
      </w:pPr>
    </w:p>
    <w:p>
      <w:pPr>
        <w:spacing w:before="240" w:after="240"/>
        <w:jc w:val="center"/>
        <w:rPr>
          <w:rFonts w:ascii="宋体" w:hAnsi="宋体" w:eastAsia="宋体" w:cs="宋体"/>
          <w:b/>
          <w:sz w:val="28"/>
          <w:szCs w:val="28"/>
        </w:rPr>
      </w:pPr>
    </w:p>
    <w:p>
      <w:pPr>
        <w:spacing w:before="240" w:after="240"/>
        <w:jc w:val="center"/>
        <w:rPr>
          <w:rFonts w:ascii="宋体" w:hAnsi="宋体" w:eastAsia="宋体" w:cs="宋体"/>
          <w:b/>
          <w:sz w:val="28"/>
          <w:szCs w:val="28"/>
        </w:rPr>
      </w:pPr>
    </w:p>
    <w:p>
      <w:pPr>
        <w:spacing w:before="240" w:after="240"/>
        <w:jc w:val="center"/>
        <w:rPr>
          <w:rFonts w:ascii="宋体" w:hAnsi="宋体" w:eastAsia="宋体" w:cs="宋体"/>
          <w:b/>
          <w:sz w:val="28"/>
          <w:szCs w:val="28"/>
        </w:rPr>
      </w:pPr>
    </w:p>
    <w:p>
      <w:pPr>
        <w:spacing w:before="240" w:after="240"/>
        <w:jc w:val="center"/>
        <w:rPr>
          <w:rFonts w:ascii="宋体" w:hAnsi="宋体" w:eastAsia="宋体" w:cs="宋体"/>
          <w:b/>
          <w:sz w:val="28"/>
          <w:szCs w:val="28"/>
        </w:rPr>
      </w:pPr>
    </w:p>
    <w:p>
      <w:pPr>
        <w:spacing w:before="240" w:after="240"/>
        <w:jc w:val="center"/>
        <w:rPr>
          <w:rFonts w:ascii="宋体" w:hAnsi="宋体" w:eastAsia="宋体" w:cs="宋体"/>
          <w:b/>
          <w:sz w:val="28"/>
          <w:szCs w:val="28"/>
        </w:rPr>
      </w:pPr>
    </w:p>
    <w:p>
      <w:pPr>
        <w:spacing w:before="240" w:after="240"/>
        <w:jc w:val="center"/>
        <w:rPr>
          <w:rFonts w:ascii="宋体" w:hAnsi="宋体" w:eastAsia="宋体" w:cs="宋体"/>
          <w:b/>
          <w:sz w:val="28"/>
          <w:szCs w:val="28"/>
        </w:rPr>
      </w:pPr>
    </w:p>
    <w:p>
      <w:pPr>
        <w:spacing w:before="240" w:after="240"/>
        <w:jc w:val="center"/>
        <w:rPr>
          <w:rFonts w:ascii="宋体" w:hAnsi="宋体" w:eastAsia="宋体" w:cs="宋体"/>
          <w:b/>
          <w:sz w:val="28"/>
          <w:szCs w:val="28"/>
        </w:rPr>
      </w:pPr>
    </w:p>
    <w:p>
      <w:pPr>
        <w:spacing w:before="240" w:after="240"/>
        <w:rPr>
          <w:rFonts w:ascii="宋体" w:hAnsi="宋体" w:eastAsia="宋体" w:cs="宋体"/>
          <w:b/>
          <w:sz w:val="28"/>
          <w:szCs w:val="28"/>
        </w:rPr>
      </w:pPr>
    </w:p>
    <w:p>
      <w:pPr>
        <w:spacing w:before="240" w:after="240"/>
        <w:jc w:val="center"/>
        <w:rPr>
          <w:rFonts w:ascii="宋体" w:hAnsi="宋体" w:eastAsia="宋体" w:cs="宋体"/>
          <w:b/>
          <w:sz w:val="28"/>
          <w:szCs w:val="28"/>
        </w:rPr>
      </w:pPr>
      <w:r>
        <w:rPr>
          <w:rFonts w:hint="eastAsia" w:ascii="宋体" w:hAnsi="宋体" w:eastAsia="宋体" w:cs="宋体"/>
          <w:b/>
          <w:sz w:val="28"/>
          <w:szCs w:val="28"/>
        </w:rPr>
        <w:t>项目专用条款数据表</w:t>
      </w:r>
    </w:p>
    <w:p>
      <w:pPr>
        <w:rPr>
          <w:rFonts w:ascii="宋体" w:hAnsi="宋体" w:eastAsia="宋体" w:cs="宋体"/>
          <w:sz w:val="24"/>
        </w:rPr>
      </w:pPr>
      <w:r>
        <w:rPr>
          <w:rFonts w:hint="eastAsia" w:ascii="宋体" w:hAnsi="宋体" w:eastAsia="宋体" w:cs="宋体"/>
          <w:sz w:val="24"/>
        </w:rPr>
        <w:t>说明：本数据表是项目专用合同条款中适用于本项目的信息和数据的归纳与提示，是项目专用合同条款的组成部分。</w:t>
      </w:r>
    </w:p>
    <w:tbl>
      <w:tblPr>
        <w:tblStyle w:val="5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9"/>
        <w:gridCol w:w="1484"/>
        <w:gridCol w:w="74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12" w:space="0"/>
              <w:left w:val="single" w:color="auto" w:sz="12" w:space="0"/>
              <w:bottom w:val="single" w:color="auto" w:sz="6" w:space="0"/>
              <w:right w:val="single" w:color="auto" w:sz="6" w:space="0"/>
            </w:tcBorders>
            <w:vAlign w:val="center"/>
          </w:tcPr>
          <w:p>
            <w:pPr>
              <w:spacing w:line="440" w:lineRule="exact"/>
              <w:jc w:val="center"/>
              <w:rPr>
                <w:rFonts w:ascii="宋体" w:hAnsi="宋体" w:eastAsia="宋体" w:cs="宋体"/>
                <w:b/>
                <w:szCs w:val="21"/>
              </w:rPr>
            </w:pPr>
            <w:r>
              <w:rPr>
                <w:rFonts w:hint="eastAsia" w:ascii="宋体" w:hAnsi="宋体" w:eastAsia="宋体" w:cs="宋体"/>
                <w:b/>
                <w:szCs w:val="21"/>
              </w:rPr>
              <w:t>序号</w:t>
            </w:r>
          </w:p>
        </w:tc>
        <w:tc>
          <w:tcPr>
            <w:tcW w:w="1484" w:type="dxa"/>
            <w:tcBorders>
              <w:top w:val="single" w:color="auto" w:sz="12"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b/>
                <w:szCs w:val="21"/>
              </w:rPr>
            </w:pPr>
            <w:r>
              <w:rPr>
                <w:rFonts w:hint="eastAsia" w:ascii="宋体" w:hAnsi="宋体" w:eastAsia="宋体" w:cs="宋体"/>
                <w:b/>
                <w:szCs w:val="21"/>
              </w:rPr>
              <w:t>条款号</w:t>
            </w:r>
          </w:p>
        </w:tc>
        <w:tc>
          <w:tcPr>
            <w:tcW w:w="7426" w:type="dxa"/>
            <w:tcBorders>
              <w:top w:val="single" w:color="auto" w:sz="12" w:space="0"/>
              <w:left w:val="single" w:color="auto" w:sz="6" w:space="0"/>
              <w:bottom w:val="single" w:color="auto" w:sz="6" w:space="0"/>
              <w:right w:val="single" w:color="auto" w:sz="12" w:space="0"/>
            </w:tcBorders>
            <w:vAlign w:val="center"/>
          </w:tcPr>
          <w:p>
            <w:pPr>
              <w:spacing w:line="440" w:lineRule="exact"/>
              <w:jc w:val="center"/>
              <w:rPr>
                <w:rFonts w:ascii="宋体" w:hAnsi="宋体" w:eastAsia="宋体" w:cs="宋体"/>
                <w:b/>
                <w:szCs w:val="21"/>
              </w:rPr>
            </w:pPr>
            <w:r>
              <w:rPr>
                <w:rFonts w:hint="eastAsia" w:ascii="宋体" w:hAnsi="宋体" w:eastAsia="宋体" w:cs="宋体"/>
                <w:b/>
                <w:szCs w:val="21"/>
              </w:rPr>
              <w:t>信息或数据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eastAsia="宋体" w:cs="宋体"/>
                <w:szCs w:val="21"/>
              </w:rPr>
            </w:pPr>
            <w:r>
              <w:rPr>
                <w:rFonts w:hint="eastAsia" w:ascii="宋体" w:hAnsi="宋体" w:eastAsia="宋体" w:cs="宋体"/>
                <w:szCs w:val="21"/>
              </w:rPr>
              <w:t>1</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szCs w:val="21"/>
              </w:rPr>
            </w:pPr>
            <w:r>
              <w:rPr>
                <w:rFonts w:hint="eastAsia" w:ascii="宋体" w:hAnsi="宋体" w:eastAsia="宋体" w:cs="宋体"/>
                <w:szCs w:val="21"/>
              </w:rPr>
              <w:t>1.1.2.2</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40" w:lineRule="exact"/>
              <w:rPr>
                <w:rFonts w:ascii="宋体" w:hAnsi="宋体" w:eastAsia="宋体" w:cs="宋体"/>
                <w:szCs w:val="21"/>
              </w:rPr>
            </w:pPr>
            <w:r>
              <w:rPr>
                <w:rFonts w:hint="eastAsia" w:ascii="宋体" w:hAnsi="宋体" w:eastAsia="宋体" w:cs="宋体"/>
                <w:szCs w:val="21"/>
              </w:rPr>
              <w:t>发 包 人：三门县公路与运输管理中心</w:t>
            </w:r>
          </w:p>
          <w:p>
            <w:pPr>
              <w:spacing w:line="360" w:lineRule="exact"/>
              <w:rPr>
                <w:rFonts w:ascii="宋体" w:hAnsi="宋体" w:eastAsia="宋体" w:cs="宋体"/>
                <w:szCs w:val="21"/>
              </w:rPr>
            </w:pPr>
            <w:r>
              <w:rPr>
                <w:rFonts w:hint="eastAsia" w:ascii="宋体" w:hAnsi="宋体" w:eastAsia="宋体" w:cs="宋体"/>
                <w:szCs w:val="21"/>
              </w:rPr>
              <w:t>地    址：三门县广场路交通大楼</w:t>
            </w:r>
          </w:p>
          <w:p>
            <w:pPr>
              <w:spacing w:line="440" w:lineRule="exact"/>
              <w:rPr>
                <w:rFonts w:ascii="宋体" w:hAnsi="宋体" w:eastAsia="宋体" w:cs="宋体"/>
                <w:szCs w:val="21"/>
              </w:rPr>
            </w:pPr>
            <w:r>
              <w:rPr>
                <w:rFonts w:hint="eastAsia" w:ascii="宋体" w:hAnsi="宋体" w:eastAsia="宋体" w:cs="宋体"/>
                <w:szCs w:val="21"/>
              </w:rPr>
              <w:t>邮政编码：317100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eastAsia="宋体" w:cs="宋体"/>
                <w:szCs w:val="21"/>
              </w:rPr>
            </w:pPr>
            <w:r>
              <w:rPr>
                <w:rFonts w:hint="eastAsia" w:ascii="宋体" w:hAnsi="宋体" w:eastAsia="宋体" w:cs="宋体"/>
                <w:szCs w:val="21"/>
              </w:rPr>
              <w:t>2</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szCs w:val="21"/>
              </w:rPr>
            </w:pPr>
            <w:r>
              <w:rPr>
                <w:rFonts w:hint="eastAsia" w:ascii="宋体" w:hAnsi="宋体" w:eastAsia="宋体" w:cs="宋体"/>
                <w:szCs w:val="21"/>
              </w:rPr>
              <w:t>1.1.2.6</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40" w:lineRule="exact"/>
              <w:rPr>
                <w:rFonts w:ascii="宋体" w:hAnsi="宋体" w:eastAsia="宋体" w:cs="宋体"/>
                <w:szCs w:val="21"/>
              </w:rPr>
            </w:pPr>
            <w:r>
              <w:rPr>
                <w:rFonts w:hint="eastAsia" w:ascii="宋体" w:hAnsi="宋体" w:eastAsia="宋体" w:cs="宋体"/>
                <w:szCs w:val="21"/>
              </w:rPr>
              <w:t>监 理 人：</w:t>
            </w:r>
          </w:p>
          <w:p>
            <w:pPr>
              <w:spacing w:line="440" w:lineRule="exact"/>
              <w:rPr>
                <w:rFonts w:ascii="宋体" w:hAnsi="宋体" w:eastAsia="宋体" w:cs="宋体"/>
                <w:szCs w:val="21"/>
              </w:rPr>
            </w:pPr>
            <w:r>
              <w:rPr>
                <w:rFonts w:hint="eastAsia" w:ascii="宋体" w:hAnsi="宋体" w:eastAsia="宋体" w:cs="宋体"/>
                <w:szCs w:val="21"/>
              </w:rPr>
              <w:t xml:space="preserve">地    址：                        </w:t>
            </w:r>
          </w:p>
          <w:p>
            <w:pPr>
              <w:spacing w:line="440" w:lineRule="exact"/>
              <w:rPr>
                <w:rFonts w:ascii="宋体" w:hAnsi="宋体" w:eastAsia="宋体" w:cs="宋体"/>
                <w:szCs w:val="21"/>
              </w:rPr>
            </w:pPr>
            <w:r>
              <w:rPr>
                <w:rFonts w:hint="eastAsia" w:ascii="宋体" w:hAnsi="宋体" w:eastAsia="宋体" w:cs="宋体"/>
                <w:szCs w:val="21"/>
              </w:rPr>
              <w:t>(监理人将在签订合同协议书后，由发包人书面通知承包人)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eastAsia="宋体" w:cs="宋体"/>
                <w:szCs w:val="21"/>
              </w:rPr>
            </w:pPr>
            <w:r>
              <w:rPr>
                <w:rFonts w:hint="eastAsia" w:ascii="宋体" w:hAnsi="宋体" w:eastAsia="宋体" w:cs="宋体"/>
                <w:szCs w:val="21"/>
              </w:rPr>
              <w:t>3</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szCs w:val="21"/>
              </w:rPr>
            </w:pPr>
            <w:r>
              <w:rPr>
                <w:rFonts w:hint="eastAsia" w:ascii="宋体" w:hAnsi="宋体" w:eastAsia="宋体" w:cs="宋体"/>
                <w:szCs w:val="21"/>
              </w:rPr>
              <w:t>1.1.4.5</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40" w:lineRule="exact"/>
              <w:rPr>
                <w:rFonts w:ascii="宋体" w:hAnsi="宋体" w:eastAsia="宋体" w:cs="宋体"/>
                <w:szCs w:val="21"/>
              </w:rPr>
            </w:pPr>
            <w:r>
              <w:rPr>
                <w:rFonts w:hint="eastAsia" w:ascii="宋体" w:hAnsi="宋体" w:eastAsia="宋体" w:cs="宋体"/>
                <w:szCs w:val="21"/>
              </w:rPr>
              <w:t>缺陷责任期：自实际交工日期起计算</w:t>
            </w:r>
            <w:r>
              <w:rPr>
                <w:rFonts w:hint="eastAsia" w:ascii="宋体" w:hAnsi="宋体" w:eastAsia="宋体" w:cs="宋体"/>
                <w:b/>
                <w:i/>
                <w:szCs w:val="21"/>
                <w:u w:val="single"/>
              </w:rPr>
              <w:t xml:space="preserve"> 1 </w:t>
            </w:r>
            <w:r>
              <w:rPr>
                <w:rFonts w:hint="eastAsia" w:ascii="宋体" w:hAnsi="宋体" w:eastAsia="宋体" w:cs="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eastAsia="宋体" w:cs="宋体"/>
                <w:szCs w:val="21"/>
              </w:rPr>
            </w:pPr>
            <w:r>
              <w:rPr>
                <w:rFonts w:hint="eastAsia" w:ascii="宋体" w:hAnsi="宋体" w:eastAsia="宋体" w:cs="宋体"/>
                <w:szCs w:val="21"/>
              </w:rPr>
              <w:t>4</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szCs w:val="21"/>
              </w:rPr>
            </w:pPr>
            <w:r>
              <w:rPr>
                <w:rFonts w:hint="eastAsia" w:ascii="宋体" w:hAnsi="宋体" w:eastAsia="宋体" w:cs="宋体"/>
                <w:szCs w:val="21"/>
              </w:rPr>
              <w:t>1.6.3</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40" w:lineRule="exact"/>
              <w:rPr>
                <w:rFonts w:ascii="宋体" w:hAnsi="宋体" w:eastAsia="宋体" w:cs="宋体"/>
                <w:szCs w:val="21"/>
              </w:rPr>
            </w:pPr>
            <w:r>
              <w:rPr>
                <w:rFonts w:hint="eastAsia" w:ascii="宋体" w:hAnsi="宋体" w:eastAsia="宋体" w:cs="宋体"/>
                <w:szCs w:val="21"/>
              </w:rPr>
              <w:t>图纸需要修改和补充的，应由监理人取得发包人同意后，在该项工程或工程相应部位施工前</w:t>
            </w:r>
            <w:r>
              <w:rPr>
                <w:rFonts w:hint="eastAsia" w:ascii="宋体" w:hAnsi="宋体" w:eastAsia="宋体" w:cs="宋体"/>
                <w:b/>
                <w:i/>
                <w:szCs w:val="21"/>
                <w:u w:val="single"/>
              </w:rPr>
              <w:t xml:space="preserve"> 7 </w:t>
            </w:r>
            <w:r>
              <w:rPr>
                <w:rFonts w:hint="eastAsia" w:ascii="宋体" w:hAnsi="宋体" w:eastAsia="宋体" w:cs="宋体"/>
                <w:szCs w:val="21"/>
              </w:rPr>
              <w:t>天签发图纸修改图给承包人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eastAsia="宋体" w:cs="宋体"/>
                <w:szCs w:val="21"/>
              </w:rPr>
            </w:pPr>
            <w:r>
              <w:rPr>
                <w:rFonts w:hint="eastAsia" w:ascii="宋体" w:hAnsi="宋体" w:eastAsia="宋体" w:cs="宋体"/>
                <w:szCs w:val="21"/>
              </w:rPr>
              <w:t>5</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szCs w:val="21"/>
              </w:rPr>
            </w:pPr>
            <w:r>
              <w:rPr>
                <w:rFonts w:hint="eastAsia" w:ascii="宋体" w:hAnsi="宋体" w:eastAsia="宋体" w:cs="宋体"/>
                <w:szCs w:val="21"/>
              </w:rPr>
              <w:t>3.1.1</w:t>
            </w:r>
          </w:p>
        </w:tc>
        <w:tc>
          <w:tcPr>
            <w:tcW w:w="7426" w:type="dxa"/>
            <w:tcBorders>
              <w:top w:val="single" w:color="auto" w:sz="6" w:space="0"/>
              <w:left w:val="single" w:color="auto" w:sz="6" w:space="0"/>
              <w:bottom w:val="single" w:color="auto" w:sz="6" w:space="0"/>
              <w:right w:val="single" w:color="auto" w:sz="12" w:space="0"/>
            </w:tcBorders>
            <w:vAlign w:val="center"/>
          </w:tcPr>
          <w:p>
            <w:pPr>
              <w:rPr>
                <w:rFonts w:ascii="宋体" w:hAnsi="宋体" w:eastAsia="宋体" w:cs="宋体"/>
                <w:szCs w:val="21"/>
              </w:rPr>
            </w:pPr>
            <w:r>
              <w:rPr>
                <w:rFonts w:hint="eastAsia" w:ascii="宋体" w:hAnsi="宋体" w:eastAsia="宋体" w:cs="宋体"/>
                <w:szCs w:val="21"/>
              </w:rPr>
              <w:t>监理人在行使下列权力前需要经发包人事先批准：</w:t>
            </w:r>
          </w:p>
          <w:p>
            <w:pPr>
              <w:spacing w:line="440" w:lineRule="exact"/>
              <w:rPr>
                <w:rFonts w:ascii="宋体" w:hAnsi="宋体" w:eastAsia="宋体" w:cs="宋体"/>
                <w:szCs w:val="21"/>
              </w:rPr>
            </w:pPr>
            <w:r>
              <w:rPr>
                <w:rFonts w:hint="eastAsia" w:ascii="宋体" w:hAnsi="宋体" w:eastAsia="宋体" w:cs="宋体"/>
                <w:szCs w:val="21"/>
              </w:rPr>
              <w:t>(6)根据第15.3款发出的所有变更指示，需要经发包人事先批准。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eastAsia="宋体" w:cs="宋体"/>
                <w:szCs w:val="21"/>
              </w:rPr>
            </w:pPr>
            <w:r>
              <w:rPr>
                <w:rFonts w:hint="eastAsia" w:ascii="宋体" w:hAnsi="宋体" w:eastAsia="宋体" w:cs="宋体"/>
                <w:szCs w:val="21"/>
              </w:rPr>
              <w:t>6</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szCs w:val="21"/>
              </w:rPr>
            </w:pPr>
            <w:r>
              <w:rPr>
                <w:rFonts w:hint="eastAsia" w:ascii="宋体" w:hAnsi="宋体" w:eastAsia="宋体" w:cs="宋体"/>
                <w:szCs w:val="21"/>
              </w:rPr>
              <w:t>5.2.4</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40" w:lineRule="exact"/>
              <w:rPr>
                <w:rFonts w:ascii="宋体" w:hAnsi="宋体" w:eastAsia="宋体" w:cs="宋体"/>
                <w:szCs w:val="21"/>
              </w:rPr>
            </w:pPr>
            <w:r>
              <w:rPr>
                <w:rFonts w:hint="eastAsia" w:ascii="宋体" w:hAnsi="宋体" w:eastAsia="宋体" w:cs="宋体"/>
                <w:szCs w:val="21"/>
              </w:rPr>
              <w:t>发包人是否提供材料或工程设备：</w:t>
            </w:r>
            <w:r>
              <w:rPr>
                <w:rFonts w:hint="eastAsia" w:ascii="宋体" w:hAnsi="宋体" w:eastAsia="宋体" w:cs="宋体"/>
                <w:b/>
                <w:szCs w:val="21"/>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eastAsia="宋体" w:cs="宋体"/>
                <w:szCs w:val="21"/>
              </w:rPr>
            </w:pPr>
            <w:r>
              <w:rPr>
                <w:rFonts w:hint="eastAsia" w:ascii="宋体" w:hAnsi="宋体" w:eastAsia="宋体" w:cs="宋体"/>
                <w:szCs w:val="21"/>
              </w:rPr>
              <w:t>7</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szCs w:val="21"/>
              </w:rPr>
            </w:pPr>
            <w:r>
              <w:rPr>
                <w:rFonts w:hint="eastAsia" w:ascii="宋体" w:hAnsi="宋体" w:eastAsia="宋体" w:cs="宋体"/>
                <w:szCs w:val="21"/>
              </w:rPr>
              <w:t>6.2</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40" w:lineRule="exact"/>
              <w:rPr>
                <w:rFonts w:ascii="宋体" w:hAnsi="宋体" w:eastAsia="宋体" w:cs="宋体"/>
                <w:szCs w:val="21"/>
              </w:rPr>
            </w:pPr>
            <w:r>
              <w:rPr>
                <w:rFonts w:hint="eastAsia" w:ascii="宋体" w:hAnsi="宋体" w:eastAsia="宋体" w:cs="宋体"/>
                <w:szCs w:val="21"/>
              </w:rPr>
              <w:t>发包人是否提供施工设备和临时设施：</w:t>
            </w:r>
            <w:r>
              <w:rPr>
                <w:rFonts w:hint="eastAsia" w:ascii="宋体" w:hAnsi="宋体" w:eastAsia="宋体" w:cs="宋体"/>
                <w:b/>
                <w:szCs w:val="21"/>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eastAsia="宋体" w:cs="宋体"/>
                <w:szCs w:val="21"/>
              </w:rPr>
            </w:pPr>
            <w:r>
              <w:rPr>
                <w:rFonts w:hint="eastAsia" w:ascii="宋体" w:hAnsi="宋体" w:eastAsia="宋体" w:cs="宋体"/>
                <w:szCs w:val="21"/>
              </w:rPr>
              <w:t>8</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szCs w:val="21"/>
              </w:rPr>
            </w:pPr>
            <w:r>
              <w:rPr>
                <w:rFonts w:hint="eastAsia" w:ascii="宋体" w:hAnsi="宋体" w:eastAsia="宋体" w:cs="宋体"/>
                <w:szCs w:val="21"/>
              </w:rPr>
              <w:t>8.1.1</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40" w:lineRule="exact"/>
              <w:rPr>
                <w:rFonts w:ascii="宋体" w:hAnsi="宋体" w:eastAsia="宋体" w:cs="宋体"/>
                <w:szCs w:val="21"/>
              </w:rPr>
            </w:pPr>
            <w:r>
              <w:rPr>
                <w:rFonts w:hint="eastAsia" w:ascii="宋体" w:hAnsi="宋体" w:eastAsia="宋体" w:cs="宋体"/>
                <w:szCs w:val="21"/>
              </w:rPr>
              <w:t>发包人提供测量基准点、基准先和水准点及其书面资料的期限：</w:t>
            </w:r>
            <w:r>
              <w:rPr>
                <w:rFonts w:hint="eastAsia" w:ascii="宋体" w:hAnsi="宋体" w:eastAsia="宋体" w:cs="宋体"/>
                <w:b/>
                <w:szCs w:val="21"/>
                <w:u w:val="single"/>
              </w:rPr>
              <w:t>在签订本合同后7天内</w:t>
            </w:r>
          </w:p>
          <w:p>
            <w:pPr>
              <w:spacing w:line="440" w:lineRule="exact"/>
              <w:rPr>
                <w:rFonts w:ascii="宋体" w:hAnsi="宋体" w:eastAsia="宋体" w:cs="宋体"/>
                <w:szCs w:val="21"/>
              </w:rPr>
            </w:pPr>
            <w:r>
              <w:rPr>
                <w:rFonts w:hint="eastAsia" w:ascii="宋体" w:hAnsi="宋体" w:eastAsia="宋体" w:cs="宋体"/>
                <w:szCs w:val="21"/>
              </w:rPr>
              <w:t>承包人将施工控制网资料报送监理人审批的期限：</w:t>
            </w:r>
            <w:r>
              <w:rPr>
                <w:rFonts w:hint="eastAsia" w:ascii="宋体" w:hAnsi="宋体" w:eastAsia="宋体" w:cs="宋体"/>
                <w:b/>
                <w:szCs w:val="21"/>
                <w:u w:val="single"/>
              </w:rPr>
              <w:t xml:space="preserve">在收到发包人提供的上述资料后7天内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eastAsia="宋体" w:cs="宋体"/>
                <w:szCs w:val="21"/>
              </w:rPr>
            </w:pPr>
            <w:r>
              <w:rPr>
                <w:rFonts w:hint="eastAsia" w:ascii="宋体" w:hAnsi="宋体" w:eastAsia="宋体" w:cs="宋体"/>
                <w:szCs w:val="21"/>
              </w:rPr>
              <w:t>9</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szCs w:val="21"/>
              </w:rPr>
            </w:pPr>
            <w:r>
              <w:rPr>
                <w:rFonts w:hint="eastAsia" w:ascii="宋体" w:hAnsi="宋体" w:eastAsia="宋体" w:cs="宋体"/>
                <w:szCs w:val="21"/>
              </w:rPr>
              <w:t>11.5</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40" w:lineRule="exact"/>
              <w:rPr>
                <w:rFonts w:ascii="宋体" w:hAnsi="宋体" w:eastAsia="宋体" w:cs="宋体"/>
                <w:szCs w:val="21"/>
              </w:rPr>
            </w:pPr>
            <w:r>
              <w:rPr>
                <w:rFonts w:hint="eastAsia" w:ascii="宋体" w:hAnsi="宋体" w:eastAsia="宋体" w:cs="宋体"/>
                <w:szCs w:val="21"/>
              </w:rPr>
              <w:t>逾期交工违约金：</w:t>
            </w:r>
            <w:r>
              <w:rPr>
                <w:rFonts w:hint="eastAsia" w:ascii="宋体" w:hAnsi="宋体" w:eastAsia="宋体" w:cs="宋体"/>
                <w:b/>
                <w:bCs/>
                <w:szCs w:val="21"/>
                <w:u w:val="single"/>
              </w:rPr>
              <w:t>1000</w:t>
            </w:r>
            <w:r>
              <w:rPr>
                <w:rFonts w:hint="eastAsia" w:ascii="宋体" w:hAnsi="宋体" w:eastAsia="宋体" w:cs="宋体"/>
                <w:szCs w:val="21"/>
              </w:rPr>
              <w:t>元/天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eastAsia="宋体" w:cs="宋体"/>
                <w:szCs w:val="21"/>
              </w:rPr>
            </w:pPr>
            <w:r>
              <w:rPr>
                <w:rFonts w:hint="eastAsia" w:ascii="宋体" w:hAnsi="宋体" w:eastAsia="宋体" w:cs="宋体"/>
                <w:szCs w:val="21"/>
              </w:rPr>
              <w:t>10</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szCs w:val="21"/>
              </w:rPr>
            </w:pPr>
            <w:r>
              <w:rPr>
                <w:rFonts w:hint="eastAsia" w:ascii="宋体" w:hAnsi="宋体" w:eastAsia="宋体" w:cs="宋体"/>
                <w:szCs w:val="21"/>
              </w:rPr>
              <w:t>11.5</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40" w:lineRule="exact"/>
              <w:rPr>
                <w:rFonts w:ascii="宋体" w:hAnsi="宋体" w:eastAsia="宋体" w:cs="宋体"/>
                <w:szCs w:val="21"/>
              </w:rPr>
            </w:pPr>
            <w:r>
              <w:rPr>
                <w:rFonts w:hint="eastAsia" w:ascii="宋体" w:hAnsi="宋体" w:eastAsia="宋体" w:cs="宋体"/>
                <w:szCs w:val="21"/>
              </w:rPr>
              <w:t>逾期交工违约金限额：</w:t>
            </w:r>
            <w:r>
              <w:rPr>
                <w:rFonts w:hint="eastAsia" w:ascii="宋体" w:hAnsi="宋体" w:eastAsia="宋体" w:cs="宋体"/>
                <w:b/>
                <w:szCs w:val="21"/>
                <w:u w:val="single"/>
              </w:rPr>
              <w:t xml:space="preserve">10 </w:t>
            </w:r>
            <w:r>
              <w:rPr>
                <w:rFonts w:hint="eastAsia" w:ascii="宋体" w:hAnsi="宋体" w:eastAsia="宋体" w:cs="宋体"/>
                <w:szCs w:val="21"/>
              </w:rPr>
              <w:t>%签约合同价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eastAsia="宋体" w:cs="宋体"/>
                <w:szCs w:val="21"/>
              </w:rPr>
            </w:pPr>
            <w:r>
              <w:rPr>
                <w:rFonts w:hint="eastAsia" w:ascii="宋体" w:hAnsi="宋体" w:eastAsia="宋体" w:cs="宋体"/>
                <w:szCs w:val="21"/>
              </w:rPr>
              <w:t>11</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szCs w:val="21"/>
              </w:rPr>
            </w:pPr>
            <w:r>
              <w:rPr>
                <w:rFonts w:hint="eastAsia" w:ascii="宋体" w:hAnsi="宋体" w:eastAsia="宋体" w:cs="宋体"/>
                <w:szCs w:val="21"/>
              </w:rPr>
              <w:t>11.6</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40" w:lineRule="exact"/>
              <w:rPr>
                <w:rFonts w:ascii="宋体" w:hAnsi="宋体" w:eastAsia="宋体" w:cs="宋体"/>
                <w:szCs w:val="21"/>
              </w:rPr>
            </w:pPr>
            <w:r>
              <w:rPr>
                <w:rFonts w:hint="eastAsia" w:ascii="宋体" w:hAnsi="宋体" w:eastAsia="宋体" w:cs="宋体"/>
                <w:szCs w:val="21"/>
              </w:rPr>
              <w:t>提前交工的奖金：</w:t>
            </w:r>
            <w:r>
              <w:rPr>
                <w:rFonts w:hint="eastAsia" w:ascii="宋体" w:hAnsi="宋体" w:eastAsia="宋体" w:cs="宋体"/>
                <w:b/>
                <w:szCs w:val="21"/>
                <w:u w:val="single"/>
              </w:rPr>
              <w:t xml:space="preserve"> / </w:t>
            </w:r>
            <w:r>
              <w:rPr>
                <w:rFonts w:hint="eastAsia" w:ascii="宋体" w:hAnsi="宋体" w:eastAsia="宋体" w:cs="宋体"/>
                <w:szCs w:val="21"/>
              </w:rPr>
              <w:t>元/天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eastAsia="宋体" w:cs="宋体"/>
                <w:szCs w:val="21"/>
              </w:rPr>
            </w:pPr>
            <w:r>
              <w:rPr>
                <w:rFonts w:hint="eastAsia" w:ascii="宋体" w:hAnsi="宋体" w:eastAsia="宋体" w:cs="宋体"/>
                <w:szCs w:val="21"/>
              </w:rPr>
              <w:t>12</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szCs w:val="21"/>
              </w:rPr>
            </w:pPr>
            <w:r>
              <w:rPr>
                <w:rFonts w:hint="eastAsia" w:ascii="宋体" w:hAnsi="宋体" w:eastAsia="宋体" w:cs="宋体"/>
                <w:szCs w:val="21"/>
              </w:rPr>
              <w:t>11.6</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40" w:lineRule="exact"/>
              <w:rPr>
                <w:rFonts w:ascii="宋体" w:hAnsi="宋体" w:eastAsia="宋体" w:cs="宋体"/>
                <w:szCs w:val="21"/>
              </w:rPr>
            </w:pPr>
            <w:r>
              <w:rPr>
                <w:rFonts w:hint="eastAsia" w:ascii="宋体" w:hAnsi="宋体" w:eastAsia="宋体" w:cs="宋体"/>
                <w:szCs w:val="21"/>
              </w:rPr>
              <w:t>提前交工的奖金限额：</w:t>
            </w:r>
            <w:r>
              <w:rPr>
                <w:rFonts w:hint="eastAsia" w:ascii="宋体" w:hAnsi="宋体" w:eastAsia="宋体" w:cs="宋体"/>
                <w:b/>
                <w:szCs w:val="21"/>
                <w:u w:val="single"/>
              </w:rPr>
              <w:t xml:space="preserve"> /  </w:t>
            </w:r>
            <w:r>
              <w:rPr>
                <w:rFonts w:hint="eastAsia" w:ascii="宋体" w:hAnsi="宋体" w:eastAsia="宋体" w:cs="宋体"/>
                <w:szCs w:val="21"/>
              </w:rPr>
              <w:t>%签约合同价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eastAsia="宋体" w:cs="宋体"/>
                <w:szCs w:val="21"/>
              </w:rPr>
            </w:pPr>
            <w:r>
              <w:rPr>
                <w:rFonts w:hint="eastAsia" w:ascii="宋体" w:hAnsi="宋体" w:eastAsia="宋体" w:cs="宋体"/>
                <w:szCs w:val="21"/>
              </w:rPr>
              <w:t>13</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szCs w:val="21"/>
              </w:rPr>
            </w:pPr>
            <w:r>
              <w:rPr>
                <w:rFonts w:hint="eastAsia" w:ascii="宋体" w:hAnsi="宋体" w:eastAsia="宋体" w:cs="宋体"/>
                <w:szCs w:val="21"/>
              </w:rPr>
              <w:t>15.2.2</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40" w:lineRule="exact"/>
              <w:ind w:firstLine="420" w:firstLineChars="200"/>
              <w:rPr>
                <w:rFonts w:ascii="宋体" w:hAnsi="宋体" w:eastAsia="宋体" w:cs="宋体"/>
                <w:szCs w:val="21"/>
              </w:rPr>
            </w:pPr>
            <w:r>
              <w:rPr>
                <w:rFonts w:hint="eastAsia" w:ascii="宋体" w:hAnsi="宋体" w:eastAsia="宋体" w:cs="宋体"/>
                <w:szCs w:val="21"/>
              </w:rPr>
              <w:t>承包人提出的合理化建议降低了合同价格或者提高了工程经济效益的，发包人按所节约成本的</w:t>
            </w:r>
            <w:r>
              <w:rPr>
                <w:rFonts w:hint="eastAsia" w:ascii="宋体" w:hAnsi="宋体" w:eastAsia="宋体" w:cs="宋体"/>
                <w:b/>
                <w:szCs w:val="21"/>
                <w:u w:val="single"/>
              </w:rPr>
              <w:t xml:space="preserve"> / </w:t>
            </w:r>
            <w:r>
              <w:rPr>
                <w:rFonts w:hint="eastAsia" w:ascii="宋体" w:hAnsi="宋体" w:eastAsia="宋体" w:cs="宋体"/>
                <w:szCs w:val="21"/>
              </w:rPr>
              <w:t>%或增加收益的</w:t>
            </w:r>
            <w:r>
              <w:rPr>
                <w:rFonts w:hint="eastAsia" w:ascii="宋体" w:hAnsi="宋体" w:eastAsia="宋体" w:cs="宋体"/>
                <w:b/>
                <w:szCs w:val="21"/>
                <w:u w:val="single"/>
              </w:rPr>
              <w:t xml:space="preserve"> / </w:t>
            </w:r>
            <w:r>
              <w:rPr>
                <w:rFonts w:hint="eastAsia" w:ascii="宋体" w:hAnsi="宋体" w:eastAsia="宋体" w:cs="宋体"/>
                <w:szCs w:val="21"/>
              </w:rPr>
              <w:t>%给予奖励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12" w:space="0"/>
              <w:right w:val="single" w:color="auto" w:sz="6"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14</w:t>
            </w:r>
          </w:p>
        </w:tc>
        <w:tc>
          <w:tcPr>
            <w:tcW w:w="1484" w:type="dxa"/>
            <w:tcBorders>
              <w:top w:val="single" w:color="auto" w:sz="6" w:space="0"/>
              <w:left w:val="single" w:color="auto" w:sz="6" w:space="0"/>
              <w:bottom w:val="single" w:color="auto" w:sz="12" w:space="0"/>
              <w:right w:val="single" w:color="auto" w:sz="6"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16.1</w:t>
            </w:r>
          </w:p>
        </w:tc>
        <w:tc>
          <w:tcPr>
            <w:tcW w:w="7426" w:type="dxa"/>
            <w:tcBorders>
              <w:top w:val="single" w:color="auto" w:sz="6" w:space="0"/>
              <w:left w:val="single" w:color="auto" w:sz="6" w:space="0"/>
              <w:bottom w:val="single" w:color="auto" w:sz="12" w:space="0"/>
              <w:right w:val="single" w:color="auto" w:sz="12" w:space="0"/>
            </w:tcBorders>
            <w:vAlign w:val="center"/>
          </w:tcPr>
          <w:p>
            <w:pPr>
              <w:spacing w:line="400" w:lineRule="exact"/>
              <w:rPr>
                <w:rFonts w:ascii="宋体" w:hAnsi="宋体" w:eastAsia="宋体" w:cs="宋体"/>
                <w:szCs w:val="21"/>
              </w:rPr>
            </w:pPr>
            <w:r>
              <w:rPr>
                <w:rFonts w:hint="eastAsia" w:ascii="宋体" w:hAnsi="宋体" w:eastAsia="宋体" w:cs="宋体"/>
                <w:szCs w:val="21"/>
              </w:rPr>
              <w:t>因物价波动引起的价格不调整</w:t>
            </w:r>
          </w:p>
        </w:tc>
      </w:tr>
    </w:tbl>
    <w:p>
      <w:pPr>
        <w:jc w:val="right"/>
        <w:rPr>
          <w:rFonts w:ascii="宋体" w:hAnsi="宋体" w:eastAsia="宋体" w:cs="宋体"/>
          <w:sz w:val="24"/>
        </w:rPr>
      </w:pPr>
    </w:p>
    <w:p>
      <w:pPr>
        <w:jc w:val="right"/>
        <w:rPr>
          <w:rFonts w:ascii="宋体" w:hAnsi="宋体" w:eastAsia="宋体" w:cs="宋体"/>
          <w:sz w:val="24"/>
        </w:rPr>
      </w:pPr>
      <w:r>
        <w:rPr>
          <w:rFonts w:hint="eastAsia" w:ascii="宋体" w:hAnsi="宋体" w:eastAsia="宋体" w:cs="宋体"/>
          <w:sz w:val="24"/>
        </w:rPr>
        <w:br w:type="page"/>
      </w:r>
      <w:r>
        <w:rPr>
          <w:rFonts w:hint="eastAsia" w:ascii="宋体" w:hAnsi="宋体" w:eastAsia="宋体" w:cs="宋体"/>
          <w:sz w:val="24"/>
        </w:rPr>
        <w:t>续上表</w:t>
      </w:r>
    </w:p>
    <w:tbl>
      <w:tblPr>
        <w:tblStyle w:val="52"/>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9"/>
        <w:gridCol w:w="1484"/>
        <w:gridCol w:w="74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12" w:space="0"/>
              <w:left w:val="single" w:color="auto" w:sz="12" w:space="0"/>
              <w:bottom w:val="single" w:color="auto" w:sz="6" w:space="0"/>
              <w:right w:val="single" w:color="auto" w:sz="6" w:space="0"/>
            </w:tcBorders>
            <w:vAlign w:val="center"/>
          </w:tcPr>
          <w:p>
            <w:pPr>
              <w:spacing w:line="400" w:lineRule="exact"/>
              <w:rPr>
                <w:rFonts w:ascii="宋体" w:hAnsi="宋体" w:eastAsia="宋体" w:cs="宋体"/>
                <w:b/>
                <w:szCs w:val="21"/>
              </w:rPr>
            </w:pPr>
            <w:r>
              <w:rPr>
                <w:rFonts w:hint="eastAsia" w:ascii="宋体" w:hAnsi="宋体" w:eastAsia="宋体" w:cs="宋体"/>
                <w:b/>
                <w:szCs w:val="21"/>
              </w:rPr>
              <w:t>序号</w:t>
            </w:r>
          </w:p>
        </w:tc>
        <w:tc>
          <w:tcPr>
            <w:tcW w:w="1484" w:type="dxa"/>
            <w:tcBorders>
              <w:top w:val="single" w:color="auto" w:sz="12"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b/>
                <w:szCs w:val="21"/>
              </w:rPr>
            </w:pPr>
            <w:r>
              <w:rPr>
                <w:rFonts w:hint="eastAsia" w:ascii="宋体" w:hAnsi="宋体" w:eastAsia="宋体" w:cs="宋体"/>
                <w:b/>
                <w:szCs w:val="21"/>
              </w:rPr>
              <w:t>条款号</w:t>
            </w:r>
          </w:p>
        </w:tc>
        <w:tc>
          <w:tcPr>
            <w:tcW w:w="7426" w:type="dxa"/>
            <w:tcBorders>
              <w:top w:val="single" w:color="auto" w:sz="12" w:space="0"/>
              <w:left w:val="single" w:color="auto" w:sz="6" w:space="0"/>
              <w:bottom w:val="single" w:color="auto" w:sz="6" w:space="0"/>
              <w:right w:val="single" w:color="auto" w:sz="12" w:space="0"/>
            </w:tcBorders>
            <w:vAlign w:val="center"/>
          </w:tcPr>
          <w:p>
            <w:pPr>
              <w:spacing w:line="400" w:lineRule="exact"/>
              <w:jc w:val="center"/>
              <w:rPr>
                <w:rFonts w:ascii="宋体" w:hAnsi="宋体" w:eastAsia="宋体" w:cs="宋体"/>
                <w:b/>
                <w:szCs w:val="21"/>
              </w:rPr>
            </w:pPr>
            <w:r>
              <w:rPr>
                <w:rFonts w:hint="eastAsia" w:ascii="宋体" w:hAnsi="宋体" w:eastAsia="宋体" w:cs="宋体"/>
                <w:b/>
                <w:szCs w:val="21"/>
              </w:rPr>
              <w:t>信息或数据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15</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17.2.1</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00" w:lineRule="exact"/>
              <w:rPr>
                <w:rFonts w:ascii="宋体" w:hAnsi="宋体" w:eastAsia="宋体" w:cs="宋体"/>
                <w:szCs w:val="21"/>
              </w:rPr>
            </w:pPr>
            <w:r>
              <w:rPr>
                <w:rFonts w:hint="eastAsia" w:ascii="宋体" w:hAnsi="宋体" w:eastAsia="宋体" w:cs="宋体"/>
                <w:szCs w:val="21"/>
              </w:rPr>
              <w:t>开工预付款金额：</w:t>
            </w:r>
            <w:r>
              <w:rPr>
                <w:rFonts w:hint="eastAsia" w:ascii="宋体" w:hAnsi="宋体" w:eastAsia="宋体" w:cs="宋体"/>
                <w:b/>
                <w:szCs w:val="21"/>
                <w:u w:val="single"/>
              </w:rPr>
              <w:t>签约合同价的</w:t>
            </w:r>
            <w:r>
              <w:rPr>
                <w:rFonts w:ascii="宋体" w:hAnsi="宋体" w:eastAsia="宋体" w:cs="宋体"/>
                <w:b/>
                <w:szCs w:val="21"/>
                <w:u w:val="single"/>
              </w:rPr>
              <w:t>10</w:t>
            </w:r>
            <w:r>
              <w:rPr>
                <w:rFonts w:hint="eastAsia" w:ascii="宋体" w:hAnsi="宋体" w:eastAsia="宋体" w:cs="宋体"/>
                <w:b/>
                <w:szCs w:val="21"/>
                <w:u w:val="single"/>
              </w:rPr>
              <w:t>%</w:t>
            </w:r>
            <w:r>
              <w:rPr>
                <w:rFonts w:hint="eastAsia"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16</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17.2.1</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00" w:lineRule="exact"/>
              <w:rPr>
                <w:rFonts w:ascii="宋体" w:hAnsi="宋体" w:eastAsia="宋体" w:cs="宋体"/>
                <w:szCs w:val="21"/>
              </w:rPr>
            </w:pPr>
            <w:r>
              <w:rPr>
                <w:rFonts w:hint="eastAsia" w:ascii="宋体" w:hAnsi="宋体" w:eastAsia="宋体" w:cs="宋体"/>
                <w:szCs w:val="21"/>
              </w:rPr>
              <w:t>材料、设备预付款比例：</w:t>
            </w:r>
            <w:r>
              <w:rPr>
                <w:rFonts w:hint="eastAsia" w:ascii="宋体" w:hAnsi="宋体" w:eastAsia="宋体" w:cs="宋体"/>
                <w:b/>
                <w:szCs w:val="21"/>
                <w:u w:val="single"/>
              </w:rPr>
              <w:t xml:space="preserve"> / </w:t>
            </w:r>
            <w:r>
              <w:rPr>
                <w:rFonts w:hint="eastAsia" w:ascii="宋体" w:hAnsi="宋体" w:eastAsia="宋体" w:cs="宋体"/>
                <w:szCs w:val="21"/>
              </w:rPr>
              <w:t>等主要材料、设备单据所列费用的</w:t>
            </w:r>
            <w:r>
              <w:rPr>
                <w:rFonts w:hint="eastAsia" w:ascii="宋体" w:hAnsi="宋体" w:eastAsia="宋体" w:cs="宋体"/>
                <w:b/>
                <w:szCs w:val="21"/>
                <w:u w:val="single"/>
              </w:rPr>
              <w:t xml:space="preserve"> /  </w:t>
            </w:r>
            <w:r>
              <w:rPr>
                <w:rFonts w:hint="eastAsia" w:ascii="宋体" w:hAnsi="宋体" w:eastAsia="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17</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17.3.2</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00" w:lineRule="exact"/>
              <w:rPr>
                <w:rFonts w:ascii="宋体" w:hAnsi="宋体" w:eastAsia="宋体" w:cs="宋体"/>
                <w:szCs w:val="21"/>
              </w:rPr>
            </w:pPr>
            <w:r>
              <w:rPr>
                <w:rFonts w:hint="eastAsia" w:ascii="宋体" w:hAnsi="宋体" w:eastAsia="宋体" w:cs="宋体"/>
                <w:szCs w:val="21"/>
              </w:rPr>
              <w:t>承包人在每个付款周期末向监理人提交进度付款申请单的份数：</w:t>
            </w:r>
            <w:r>
              <w:rPr>
                <w:rFonts w:hint="eastAsia" w:ascii="宋体" w:hAnsi="宋体" w:eastAsia="宋体" w:cs="宋体"/>
                <w:b/>
                <w:szCs w:val="21"/>
                <w:u w:val="single"/>
              </w:rPr>
              <w:t>6</w:t>
            </w:r>
            <w:r>
              <w:rPr>
                <w:rFonts w:hint="eastAsia" w:ascii="宋体" w:hAnsi="宋体" w:eastAsia="宋体" w:cs="宋体"/>
                <w:szCs w:val="21"/>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18</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17.3.3（1）</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00" w:lineRule="exact"/>
              <w:rPr>
                <w:rFonts w:ascii="宋体" w:hAnsi="宋体" w:eastAsia="宋体" w:cs="宋体"/>
                <w:szCs w:val="21"/>
              </w:rPr>
            </w:pPr>
            <w:r>
              <w:rPr>
                <w:rFonts w:hint="eastAsia" w:ascii="宋体" w:hAnsi="宋体" w:eastAsia="宋体" w:cs="宋体"/>
                <w:szCs w:val="21"/>
              </w:rPr>
              <w:t xml:space="preserve">进度付款证书最低限额的 </w:t>
            </w:r>
            <w:r>
              <w:rPr>
                <w:rFonts w:hint="eastAsia" w:ascii="宋体" w:hAnsi="宋体" w:eastAsia="宋体" w:cs="宋体"/>
                <w:szCs w:val="21"/>
                <w:u w:val="single"/>
              </w:rPr>
              <w:t>/</w:t>
            </w:r>
            <w:r>
              <w:rPr>
                <w:rFonts w:hint="eastAsia" w:ascii="宋体" w:hAnsi="宋体" w:eastAsia="宋体" w:cs="宋体"/>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19</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17.3.3（2）</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00" w:lineRule="exact"/>
              <w:rPr>
                <w:rFonts w:ascii="宋体" w:hAnsi="宋体" w:eastAsia="宋体" w:cs="宋体"/>
                <w:szCs w:val="21"/>
              </w:rPr>
            </w:pPr>
            <w:r>
              <w:rPr>
                <w:rFonts w:hint="eastAsia" w:ascii="宋体" w:hAnsi="宋体" w:eastAsia="宋体" w:cs="宋体"/>
                <w:szCs w:val="21"/>
              </w:rPr>
              <w:t>逾期付款违约金的利率：</w:t>
            </w:r>
            <w:r>
              <w:rPr>
                <w:rFonts w:hint="eastAsia" w:ascii="宋体" w:hAnsi="宋体" w:eastAsia="宋体" w:cs="宋体"/>
                <w:bCs/>
                <w:szCs w:val="21"/>
              </w:rPr>
              <w:t>中国人民银行发布的同期六个月以内（含六个月）短期贷款基准利率（不计复利），另加手续费。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eastAsia="宋体" w:cs="宋体"/>
                <w:szCs w:val="21"/>
              </w:rPr>
            </w:pPr>
            <w:r>
              <w:rPr>
                <w:rFonts w:ascii="宋体" w:hAnsi="宋体" w:eastAsia="宋体" w:cs="宋体"/>
                <w:szCs w:val="21"/>
              </w:rPr>
              <w:t>20</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17.4.1</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00" w:lineRule="exact"/>
              <w:rPr>
                <w:rFonts w:ascii="宋体" w:hAnsi="宋体" w:eastAsia="宋体" w:cs="宋体"/>
                <w:szCs w:val="21"/>
              </w:rPr>
            </w:pPr>
            <w:r>
              <w:rPr>
                <w:rFonts w:hint="eastAsia" w:ascii="宋体" w:hAnsi="宋体" w:eastAsia="宋体" w:cs="宋体"/>
                <w:szCs w:val="21"/>
              </w:rPr>
              <w:t>质量保证金限额：</w:t>
            </w:r>
            <w:r>
              <w:rPr>
                <w:rFonts w:hint="eastAsia" w:ascii="宋体" w:hAnsi="宋体" w:eastAsia="宋体" w:cs="宋体"/>
                <w:szCs w:val="21"/>
                <w:u w:val="single"/>
              </w:rPr>
              <w:t>1.5%</w:t>
            </w:r>
            <w:r>
              <w:rPr>
                <w:rFonts w:hint="eastAsia" w:ascii="宋体" w:hAnsi="宋体" w:eastAsia="宋体" w:cs="宋体"/>
                <w:szCs w:val="21"/>
              </w:rPr>
              <w:t>的结算价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21</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17.5.1</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00" w:lineRule="exact"/>
              <w:rPr>
                <w:rFonts w:ascii="宋体" w:hAnsi="宋体" w:eastAsia="宋体" w:cs="宋体"/>
                <w:szCs w:val="21"/>
              </w:rPr>
            </w:pPr>
            <w:r>
              <w:rPr>
                <w:rFonts w:hint="eastAsia" w:ascii="宋体" w:hAnsi="宋体" w:eastAsia="宋体" w:cs="宋体"/>
                <w:szCs w:val="21"/>
              </w:rPr>
              <w:t>承包人向监理人提交交工付款申请单（包括相关证明材料）的份数：</w:t>
            </w:r>
            <w:r>
              <w:rPr>
                <w:rFonts w:hint="eastAsia" w:ascii="宋体" w:hAnsi="宋体" w:eastAsia="宋体" w:cs="宋体"/>
                <w:b/>
                <w:szCs w:val="21"/>
                <w:u w:val="single"/>
              </w:rPr>
              <w:t>4</w:t>
            </w:r>
            <w:r>
              <w:rPr>
                <w:rFonts w:hint="eastAsia" w:ascii="宋体" w:hAnsi="宋体" w:eastAsia="宋体" w:cs="宋体"/>
                <w:szCs w:val="21"/>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2</w:t>
            </w:r>
            <w:r>
              <w:rPr>
                <w:rFonts w:ascii="宋体" w:hAnsi="宋体" w:eastAsia="宋体" w:cs="宋体"/>
                <w:szCs w:val="21"/>
              </w:rPr>
              <w:t>2</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17.6.1</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00" w:lineRule="exact"/>
              <w:rPr>
                <w:rFonts w:ascii="宋体" w:hAnsi="宋体" w:eastAsia="宋体" w:cs="宋体"/>
                <w:szCs w:val="21"/>
              </w:rPr>
            </w:pPr>
            <w:r>
              <w:rPr>
                <w:rFonts w:hint="eastAsia" w:ascii="宋体" w:hAnsi="宋体" w:eastAsia="宋体" w:cs="宋体"/>
                <w:szCs w:val="21"/>
              </w:rPr>
              <w:t>承包人向监理人提交最终结清申请单（包括相关证明材料）的份数：</w:t>
            </w:r>
            <w:r>
              <w:rPr>
                <w:rFonts w:hint="eastAsia" w:ascii="宋体" w:hAnsi="宋体" w:eastAsia="宋体" w:cs="宋体"/>
                <w:b/>
                <w:szCs w:val="21"/>
                <w:u w:val="single"/>
              </w:rPr>
              <w:t>4</w:t>
            </w:r>
            <w:r>
              <w:rPr>
                <w:rFonts w:hint="eastAsia" w:ascii="宋体" w:hAnsi="宋体" w:eastAsia="宋体" w:cs="宋体"/>
                <w:szCs w:val="21"/>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23</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18.2</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00" w:lineRule="exact"/>
              <w:rPr>
                <w:rFonts w:ascii="宋体" w:hAnsi="宋体" w:eastAsia="宋体" w:cs="宋体"/>
                <w:szCs w:val="21"/>
              </w:rPr>
            </w:pPr>
            <w:r>
              <w:rPr>
                <w:rFonts w:hint="eastAsia" w:ascii="宋体" w:hAnsi="宋体" w:eastAsia="宋体" w:cs="宋体"/>
                <w:szCs w:val="21"/>
              </w:rPr>
              <w:t>竣工资料的份数：</w:t>
            </w:r>
            <w:r>
              <w:rPr>
                <w:rFonts w:hint="eastAsia" w:ascii="宋体" w:hAnsi="宋体" w:eastAsia="宋体" w:cs="宋体"/>
                <w:b/>
                <w:szCs w:val="21"/>
                <w:u w:val="single"/>
              </w:rPr>
              <w:t>6</w:t>
            </w:r>
            <w:r>
              <w:rPr>
                <w:rFonts w:hint="eastAsia" w:ascii="宋体" w:hAnsi="宋体" w:eastAsia="宋体" w:cs="宋体"/>
                <w:szCs w:val="21"/>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24</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18.5.1</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00" w:lineRule="exact"/>
              <w:rPr>
                <w:rFonts w:ascii="宋体" w:hAnsi="宋体" w:eastAsia="宋体" w:cs="宋体"/>
                <w:szCs w:val="21"/>
                <w:u w:val="single"/>
              </w:rPr>
            </w:pPr>
            <w:r>
              <w:rPr>
                <w:rFonts w:hint="eastAsia" w:ascii="宋体" w:hAnsi="宋体" w:eastAsia="宋体" w:cs="宋体"/>
                <w:szCs w:val="21"/>
              </w:rPr>
              <w:t>单位工程或工程设备是否需投入施工期运行：</w:t>
            </w:r>
            <w:r>
              <w:rPr>
                <w:rFonts w:hint="eastAsia" w:ascii="宋体" w:hAnsi="宋体" w:eastAsia="宋体" w:cs="宋体"/>
                <w:b/>
                <w:szCs w:val="21"/>
                <w:u w:val="single"/>
              </w:rPr>
              <w:t>否</w:t>
            </w:r>
          </w:p>
          <w:p>
            <w:pPr>
              <w:spacing w:line="400" w:lineRule="exact"/>
              <w:rPr>
                <w:rFonts w:ascii="宋体" w:hAnsi="宋体" w:eastAsia="宋体" w:cs="宋体"/>
                <w:szCs w:val="21"/>
              </w:rPr>
            </w:pPr>
            <w:r>
              <w:rPr>
                <w:rFonts w:hint="eastAsia" w:ascii="宋体" w:hAnsi="宋体" w:eastAsia="宋体" w:cs="宋体"/>
                <w:szCs w:val="21"/>
              </w:rPr>
              <w:t>如单位工程或工程设备需要进行施工期运行，需要施工期运行的单位工程或工程设备规定如下：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25</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18.6.1</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00" w:lineRule="exact"/>
              <w:rPr>
                <w:rFonts w:ascii="宋体" w:hAnsi="宋体" w:eastAsia="宋体" w:cs="宋体"/>
                <w:szCs w:val="21"/>
                <w:u w:val="single"/>
              </w:rPr>
            </w:pPr>
            <w:r>
              <w:rPr>
                <w:rFonts w:hint="eastAsia" w:ascii="宋体" w:hAnsi="宋体" w:eastAsia="宋体" w:cs="宋体"/>
                <w:szCs w:val="21"/>
              </w:rPr>
              <w:t>本工程及工程设备是否进行试运行：</w:t>
            </w:r>
            <w:r>
              <w:rPr>
                <w:rFonts w:hint="eastAsia" w:ascii="宋体" w:hAnsi="宋体" w:eastAsia="宋体" w:cs="宋体"/>
                <w:b/>
                <w:szCs w:val="21"/>
                <w:u w:val="single"/>
              </w:rPr>
              <w:t>否</w:t>
            </w:r>
          </w:p>
          <w:p>
            <w:pPr>
              <w:spacing w:line="400" w:lineRule="exact"/>
              <w:rPr>
                <w:rFonts w:ascii="宋体" w:hAnsi="宋体" w:eastAsia="宋体" w:cs="宋体"/>
                <w:szCs w:val="21"/>
                <w:u w:val="single"/>
              </w:rPr>
            </w:pPr>
            <w:r>
              <w:rPr>
                <w:rFonts w:hint="eastAsia" w:ascii="宋体" w:hAnsi="宋体" w:eastAsia="宋体" w:cs="宋体"/>
                <w:szCs w:val="21"/>
              </w:rPr>
              <w:t>如本工程及工程设备需要进行试运行，试运行的具体规定如下：</w:t>
            </w:r>
            <w:r>
              <w:rPr>
                <w:rFonts w:hint="eastAsia" w:ascii="宋体" w:hAnsi="宋体" w:eastAsia="宋体" w:cs="宋体"/>
                <w:szCs w:val="21"/>
                <w:u w:val="single"/>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26</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19.7</w:t>
            </w:r>
          </w:p>
        </w:tc>
        <w:tc>
          <w:tcPr>
            <w:tcW w:w="7426" w:type="dxa"/>
            <w:tcBorders>
              <w:top w:val="single" w:color="auto" w:sz="6" w:space="0"/>
              <w:left w:val="single" w:color="auto" w:sz="6" w:space="0"/>
              <w:bottom w:val="single" w:color="auto" w:sz="6" w:space="0"/>
              <w:right w:val="single" w:color="auto" w:sz="12" w:space="0"/>
            </w:tcBorders>
          </w:tcPr>
          <w:p>
            <w:pPr>
              <w:spacing w:line="400" w:lineRule="exact"/>
              <w:rPr>
                <w:rFonts w:ascii="宋体" w:hAnsi="宋体" w:eastAsia="宋体" w:cs="宋体"/>
                <w:szCs w:val="21"/>
              </w:rPr>
            </w:pPr>
            <w:r>
              <w:rPr>
                <w:rFonts w:hint="eastAsia" w:ascii="宋体" w:hAnsi="宋体" w:eastAsia="宋体" w:cs="宋体"/>
                <w:szCs w:val="21"/>
              </w:rPr>
              <w:t>保修期：自实际交工日期起计算</w:t>
            </w:r>
            <w:r>
              <w:rPr>
                <w:rFonts w:hint="eastAsia" w:ascii="宋体" w:hAnsi="宋体" w:eastAsia="宋体" w:cs="宋体"/>
                <w:szCs w:val="21"/>
                <w:u w:val="single"/>
              </w:rPr>
              <w:t xml:space="preserve"> </w:t>
            </w:r>
            <w:r>
              <w:rPr>
                <w:rFonts w:hint="eastAsia" w:ascii="宋体" w:hAnsi="宋体" w:eastAsia="宋体" w:cs="宋体"/>
                <w:b/>
                <w:szCs w:val="21"/>
                <w:u w:val="single"/>
              </w:rPr>
              <w:t>1</w:t>
            </w:r>
            <w:r>
              <w:rPr>
                <w:rFonts w:hint="eastAsia" w:ascii="宋体" w:hAnsi="宋体" w:eastAsia="宋体" w:cs="宋体"/>
                <w:szCs w:val="21"/>
              </w:rPr>
              <w:t>年（同缺陷责任期）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27</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20.1</w:t>
            </w:r>
          </w:p>
        </w:tc>
        <w:tc>
          <w:tcPr>
            <w:tcW w:w="7426" w:type="dxa"/>
            <w:tcBorders>
              <w:top w:val="single" w:color="auto" w:sz="6" w:space="0"/>
              <w:left w:val="single" w:color="auto" w:sz="6" w:space="0"/>
              <w:bottom w:val="single" w:color="auto" w:sz="6" w:space="0"/>
              <w:right w:val="single" w:color="auto" w:sz="12" w:space="0"/>
            </w:tcBorders>
          </w:tcPr>
          <w:p>
            <w:pPr>
              <w:spacing w:line="400" w:lineRule="exact"/>
              <w:rPr>
                <w:rFonts w:ascii="宋体" w:hAnsi="宋体" w:eastAsia="宋体" w:cs="宋体"/>
                <w:szCs w:val="21"/>
              </w:rPr>
            </w:pPr>
            <w:r>
              <w:rPr>
                <w:rFonts w:hint="eastAsia" w:ascii="宋体" w:hAnsi="宋体" w:eastAsia="宋体" w:cs="宋体"/>
                <w:szCs w:val="21"/>
              </w:rPr>
              <w:t>建筑工程一切险的保险费率：</w:t>
            </w:r>
            <w:r>
              <w:rPr>
                <w:rFonts w:hint="eastAsia" w:ascii="宋体" w:hAnsi="宋体" w:eastAsia="宋体" w:cs="宋体"/>
                <w:b/>
                <w:szCs w:val="21"/>
                <w:u w:val="single"/>
              </w:rPr>
              <w:t>3</w:t>
            </w:r>
            <w:r>
              <w:rPr>
                <w:rFonts w:hint="eastAsia" w:ascii="宋体" w:hAnsi="宋体" w:eastAsia="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28</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20.4.2</w:t>
            </w:r>
          </w:p>
        </w:tc>
        <w:tc>
          <w:tcPr>
            <w:tcW w:w="7426" w:type="dxa"/>
            <w:tcBorders>
              <w:top w:val="single" w:color="auto" w:sz="6" w:space="0"/>
              <w:left w:val="single" w:color="auto" w:sz="6" w:space="0"/>
              <w:bottom w:val="single" w:color="auto" w:sz="6" w:space="0"/>
              <w:right w:val="single" w:color="auto" w:sz="12" w:space="0"/>
            </w:tcBorders>
          </w:tcPr>
          <w:p>
            <w:pPr>
              <w:spacing w:line="400" w:lineRule="exact"/>
              <w:rPr>
                <w:rFonts w:ascii="宋体" w:hAnsi="宋体" w:eastAsia="宋体" w:cs="宋体"/>
                <w:szCs w:val="21"/>
              </w:rPr>
            </w:pPr>
            <w:r>
              <w:rPr>
                <w:rFonts w:hint="eastAsia" w:ascii="宋体" w:hAnsi="宋体" w:eastAsia="宋体" w:cs="宋体"/>
                <w:szCs w:val="21"/>
              </w:rPr>
              <w:t>第三者责任险的最低投保金额：</w:t>
            </w:r>
            <w:r>
              <w:rPr>
                <w:rFonts w:ascii="宋体" w:hAnsi="宋体" w:eastAsia="宋体" w:cs="宋体"/>
                <w:b/>
                <w:szCs w:val="21"/>
                <w:u w:val="single"/>
              </w:rPr>
              <w:t>100</w:t>
            </w:r>
            <w:r>
              <w:rPr>
                <w:rFonts w:hint="eastAsia" w:ascii="宋体" w:hAnsi="宋体" w:eastAsia="宋体" w:cs="宋体"/>
                <w:szCs w:val="21"/>
              </w:rPr>
              <w:t>万元，事故次数不限(不计免赔额)</w:t>
            </w:r>
          </w:p>
          <w:p>
            <w:pPr>
              <w:spacing w:line="400" w:lineRule="exact"/>
              <w:rPr>
                <w:rFonts w:ascii="宋体" w:hAnsi="宋体" w:eastAsia="宋体" w:cs="宋体"/>
                <w:szCs w:val="21"/>
              </w:rPr>
            </w:pPr>
            <w:r>
              <w:rPr>
                <w:rFonts w:hint="eastAsia" w:ascii="宋体" w:hAnsi="宋体" w:eastAsia="宋体" w:cs="宋体"/>
                <w:szCs w:val="21"/>
              </w:rPr>
              <w:t>保险费率：</w:t>
            </w:r>
            <w:r>
              <w:rPr>
                <w:rFonts w:hint="eastAsia" w:ascii="宋体" w:hAnsi="宋体" w:eastAsia="宋体" w:cs="宋体"/>
                <w:b/>
                <w:szCs w:val="21"/>
                <w:u w:val="single"/>
              </w:rPr>
              <w:t>5</w:t>
            </w:r>
            <w:r>
              <w:rPr>
                <w:rFonts w:hint="eastAsia" w:ascii="宋体" w:hAnsi="宋体" w:eastAsia="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12" w:space="0"/>
              <w:right w:val="single" w:color="auto" w:sz="6"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29</w:t>
            </w:r>
          </w:p>
        </w:tc>
        <w:tc>
          <w:tcPr>
            <w:tcW w:w="1484" w:type="dxa"/>
            <w:tcBorders>
              <w:top w:val="single" w:color="auto" w:sz="6" w:space="0"/>
              <w:left w:val="single" w:color="auto" w:sz="6" w:space="0"/>
              <w:bottom w:val="single" w:color="auto" w:sz="12" w:space="0"/>
              <w:right w:val="single" w:color="auto" w:sz="6"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24.1</w:t>
            </w:r>
          </w:p>
        </w:tc>
        <w:tc>
          <w:tcPr>
            <w:tcW w:w="7426" w:type="dxa"/>
            <w:tcBorders>
              <w:top w:val="single" w:color="auto" w:sz="6" w:space="0"/>
              <w:left w:val="single" w:color="auto" w:sz="6" w:space="0"/>
              <w:bottom w:val="single" w:color="auto" w:sz="12" w:space="0"/>
              <w:right w:val="single" w:color="auto" w:sz="12" w:space="0"/>
            </w:tcBorders>
          </w:tcPr>
          <w:p>
            <w:pPr>
              <w:spacing w:line="400" w:lineRule="exact"/>
              <w:rPr>
                <w:rFonts w:ascii="宋体" w:hAnsi="宋体" w:eastAsia="宋体" w:cs="宋体"/>
                <w:szCs w:val="21"/>
              </w:rPr>
            </w:pPr>
            <w:r>
              <w:rPr>
                <w:rFonts w:hint="eastAsia" w:ascii="宋体" w:hAnsi="宋体" w:eastAsia="宋体" w:cs="宋体"/>
                <w:szCs w:val="21"/>
              </w:rPr>
              <w:t>争议的最终解决方式：</w:t>
            </w:r>
            <w:r>
              <w:rPr>
                <w:rFonts w:hint="eastAsia" w:ascii="宋体" w:hAnsi="宋体" w:eastAsia="宋体" w:cs="宋体"/>
                <w:b/>
                <w:bCs/>
                <w:szCs w:val="21"/>
                <w:u w:val="single"/>
              </w:rPr>
              <w:t>向工程所在地三门县人民法院起诉</w:t>
            </w:r>
            <w:r>
              <w:rPr>
                <w:rFonts w:hint="eastAsia" w:ascii="宋体" w:hAnsi="宋体" w:eastAsia="宋体" w:cs="宋体"/>
                <w:szCs w:val="21"/>
              </w:rPr>
              <w:t>。</w:t>
            </w:r>
          </w:p>
        </w:tc>
      </w:tr>
    </w:tbl>
    <w:p>
      <w:pPr>
        <w:rPr>
          <w:rFonts w:ascii="宋体" w:hAnsi="宋体" w:eastAsia="宋体" w:cs="宋体"/>
          <w:sz w:val="24"/>
        </w:rPr>
      </w:pPr>
    </w:p>
    <w:p>
      <w:pPr>
        <w:spacing w:before="240" w:after="240"/>
        <w:jc w:val="center"/>
        <w:rPr>
          <w:rFonts w:ascii="宋体" w:hAnsi="宋体" w:eastAsia="宋体" w:cs="宋体"/>
          <w:b/>
          <w:sz w:val="28"/>
          <w:szCs w:val="28"/>
        </w:rPr>
      </w:pPr>
      <w:r>
        <w:rPr>
          <w:rFonts w:hint="eastAsia" w:ascii="宋体" w:hAnsi="宋体" w:eastAsia="宋体" w:cs="宋体"/>
          <w:b/>
          <w:sz w:val="30"/>
          <w:szCs w:val="30"/>
        </w:rPr>
        <w:br w:type="page"/>
      </w:r>
      <w:r>
        <w:rPr>
          <w:rFonts w:hint="eastAsia" w:ascii="宋体" w:hAnsi="宋体" w:eastAsia="宋体" w:cs="宋体"/>
          <w:b/>
          <w:sz w:val="28"/>
          <w:szCs w:val="28"/>
        </w:rPr>
        <w:t>项目专用合同条款</w:t>
      </w:r>
    </w:p>
    <w:p>
      <w:pPr>
        <w:spacing w:line="400" w:lineRule="exact"/>
        <w:ind w:firstLine="420" w:firstLineChars="200"/>
        <w:rPr>
          <w:rFonts w:ascii="宋体" w:hAnsi="宋体" w:eastAsia="宋体" w:cs="宋体"/>
          <w:szCs w:val="21"/>
        </w:rPr>
      </w:pPr>
      <w:r>
        <w:rPr>
          <w:rFonts w:hint="eastAsia" w:ascii="宋体" w:hAnsi="宋体" w:eastAsia="宋体" w:cs="宋体"/>
          <w:szCs w:val="21"/>
        </w:rPr>
        <w:t>说明：本“项目专用合同条款”根据本项目的特点和实际需要，是对“通用合同条款”、“公路工程专用合同条款”的补充、细化或约定，应对照“通用合同条款”、“公路工程专用 合同条款”中同一编号的条款一起阅读和理解。</w:t>
      </w:r>
    </w:p>
    <w:p>
      <w:pPr>
        <w:pStyle w:val="3"/>
        <w:snapToGrid w:val="0"/>
        <w:spacing w:before="0" w:after="0" w:line="360" w:lineRule="auto"/>
        <w:rPr>
          <w:rFonts w:ascii="宋体" w:hAnsi="宋体"/>
          <w:sz w:val="28"/>
          <w:szCs w:val="28"/>
        </w:rPr>
      </w:pPr>
      <w:bookmarkStart w:id="338" w:name="_Toc173246200"/>
      <w:bookmarkStart w:id="339" w:name="_Toc173244813"/>
      <w:r>
        <w:rPr>
          <w:rFonts w:hint="eastAsia" w:ascii="宋体" w:hAnsi="宋体"/>
          <w:sz w:val="28"/>
          <w:szCs w:val="28"/>
        </w:rPr>
        <w:t>1. 一般约定</w:t>
      </w:r>
      <w:bookmarkEnd w:id="338"/>
      <w:bookmarkEnd w:id="339"/>
    </w:p>
    <w:p>
      <w:pPr>
        <w:pStyle w:val="3"/>
        <w:spacing w:before="0" w:after="0" w:line="400" w:lineRule="exact"/>
        <w:rPr>
          <w:rFonts w:ascii="宋体" w:hAnsi="宋体"/>
          <w:b w:val="0"/>
          <w:sz w:val="21"/>
          <w:szCs w:val="21"/>
        </w:rPr>
      </w:pPr>
      <w:bookmarkStart w:id="340" w:name="_Toc173246201"/>
      <w:bookmarkStart w:id="341" w:name="_Toc173244814"/>
      <w:r>
        <w:rPr>
          <w:rFonts w:hint="eastAsia" w:ascii="宋体" w:hAnsi="宋体"/>
          <w:b w:val="0"/>
          <w:sz w:val="21"/>
          <w:szCs w:val="21"/>
        </w:rPr>
        <w:t>1.1 词语定义</w:t>
      </w:r>
      <w:bookmarkEnd w:id="340"/>
      <w:bookmarkEnd w:id="341"/>
    </w:p>
    <w:p>
      <w:pPr>
        <w:spacing w:line="400" w:lineRule="exact"/>
        <w:ind w:firstLine="420" w:firstLineChars="200"/>
        <w:rPr>
          <w:rFonts w:ascii="宋体" w:hAnsi="宋体" w:eastAsia="宋体" w:cs="宋体"/>
          <w:szCs w:val="21"/>
        </w:rPr>
      </w:pPr>
      <w:r>
        <w:rPr>
          <w:rFonts w:hint="eastAsia" w:ascii="宋体" w:hAnsi="宋体" w:eastAsia="宋体" w:cs="宋体"/>
          <w:szCs w:val="21"/>
        </w:rPr>
        <w:t>1.1.1 合同</w:t>
      </w:r>
    </w:p>
    <w:p>
      <w:pPr>
        <w:spacing w:line="400" w:lineRule="exact"/>
        <w:ind w:firstLine="420" w:firstLineChars="200"/>
        <w:rPr>
          <w:rFonts w:ascii="宋体" w:hAnsi="宋体" w:eastAsia="宋体" w:cs="宋体"/>
        </w:rPr>
      </w:pPr>
      <w:r>
        <w:rPr>
          <w:rFonts w:hint="eastAsia" w:ascii="宋体" w:hAnsi="宋体" w:eastAsia="宋体" w:cs="宋体"/>
        </w:rPr>
        <w:t>公路工程专用合同条款第 1.1.1.8 目细化为：</w:t>
      </w:r>
    </w:p>
    <w:p>
      <w:pPr>
        <w:spacing w:line="400" w:lineRule="exact"/>
        <w:ind w:firstLine="420" w:firstLineChars="200"/>
        <w:rPr>
          <w:rFonts w:ascii="宋体" w:hAnsi="宋体" w:eastAsia="宋体" w:cs="宋体"/>
        </w:rPr>
      </w:pPr>
      <w:r>
        <w:rPr>
          <w:rFonts w:hint="eastAsia" w:ascii="宋体" w:hAnsi="宋体" w:eastAsia="宋体" w:cs="宋体"/>
          <w:szCs w:val="21"/>
        </w:rPr>
        <w:t>1.1.1.8 已标价工程量清单：指构成合同文件组成部分的已标明价格、经算术性错误修正及其他</w:t>
      </w:r>
      <w:r>
        <w:rPr>
          <w:rFonts w:hint="eastAsia" w:ascii="宋体" w:hAnsi="宋体" w:eastAsia="宋体" w:cs="宋体"/>
        </w:rPr>
        <w:t>错误修正(如有)且承包人已确认的最终的工程量清单，包括工程量清单说明、投标报价说明、其他说明及工程量清单预算审核书中各项表格。</w:t>
      </w:r>
    </w:p>
    <w:p>
      <w:pPr>
        <w:spacing w:line="400" w:lineRule="exact"/>
        <w:ind w:firstLine="420" w:firstLineChars="200"/>
        <w:rPr>
          <w:rFonts w:ascii="宋体" w:hAnsi="宋体" w:eastAsia="宋体" w:cs="宋体"/>
          <w:szCs w:val="21"/>
        </w:rPr>
      </w:pPr>
      <w:r>
        <w:rPr>
          <w:rFonts w:hint="eastAsia" w:ascii="宋体" w:hAnsi="宋体" w:eastAsia="宋体" w:cs="宋体"/>
          <w:szCs w:val="21"/>
        </w:rPr>
        <w:t>1.1.2 合同当事人和人员</w:t>
      </w:r>
    </w:p>
    <w:p>
      <w:pPr>
        <w:spacing w:line="400" w:lineRule="exact"/>
        <w:ind w:firstLine="420" w:firstLineChars="200"/>
        <w:rPr>
          <w:rFonts w:ascii="宋体" w:hAnsi="宋体" w:eastAsia="宋体" w:cs="宋体"/>
        </w:rPr>
      </w:pPr>
      <w:r>
        <w:rPr>
          <w:rFonts w:hint="eastAsia" w:ascii="宋体" w:hAnsi="宋体" w:eastAsia="宋体" w:cs="宋体"/>
        </w:rPr>
        <w:t>通用合同条款 1.1.2 项细化为：</w:t>
      </w:r>
    </w:p>
    <w:p>
      <w:pPr>
        <w:spacing w:line="400" w:lineRule="exact"/>
        <w:ind w:firstLine="420" w:firstLineChars="200"/>
        <w:rPr>
          <w:rFonts w:ascii="宋体" w:hAnsi="宋体" w:eastAsia="宋体" w:cs="宋体"/>
        </w:rPr>
      </w:pPr>
      <w:r>
        <w:rPr>
          <w:rFonts w:hint="eastAsia" w:ascii="宋体" w:hAnsi="宋体" w:eastAsia="宋体" w:cs="宋体"/>
        </w:rPr>
        <w:t>本项目的发包人为：</w:t>
      </w:r>
      <w:r>
        <w:rPr>
          <w:rFonts w:hint="eastAsia" w:ascii="宋体" w:hAnsi="宋体" w:eastAsia="宋体" w:cs="宋体"/>
          <w:szCs w:val="21"/>
          <w:u w:val="single"/>
        </w:rPr>
        <w:t xml:space="preserve">三门县公路与运输管理中心   </w:t>
      </w:r>
    </w:p>
    <w:p>
      <w:pPr>
        <w:pStyle w:val="3"/>
        <w:spacing w:before="0" w:after="0" w:line="400" w:lineRule="exact"/>
        <w:rPr>
          <w:rFonts w:ascii="宋体" w:hAnsi="宋体"/>
          <w:b w:val="0"/>
          <w:sz w:val="21"/>
          <w:szCs w:val="21"/>
        </w:rPr>
      </w:pPr>
      <w:bookmarkStart w:id="342" w:name="_Toc173246202"/>
      <w:bookmarkStart w:id="343" w:name="_Toc173244815"/>
      <w:r>
        <w:rPr>
          <w:rFonts w:hint="eastAsia" w:ascii="宋体" w:hAnsi="宋体"/>
          <w:b w:val="0"/>
          <w:sz w:val="21"/>
          <w:szCs w:val="21"/>
        </w:rPr>
        <w:t>1.4 合同文件的优先顺序</w:t>
      </w:r>
      <w:bookmarkEnd w:id="342"/>
      <w:bookmarkEnd w:id="343"/>
    </w:p>
    <w:p>
      <w:pPr>
        <w:spacing w:line="400" w:lineRule="exact"/>
        <w:ind w:firstLine="420" w:firstLineChars="200"/>
        <w:rPr>
          <w:rFonts w:ascii="宋体" w:hAnsi="宋体" w:eastAsia="宋体" w:cs="宋体"/>
        </w:rPr>
      </w:pPr>
      <w:r>
        <w:rPr>
          <w:rFonts w:hint="eastAsia" w:ascii="宋体" w:hAnsi="宋体" w:eastAsia="宋体" w:cs="宋体"/>
        </w:rPr>
        <w:t>公路工程专用合同条款 1.4 款约定为：</w:t>
      </w:r>
    </w:p>
    <w:p>
      <w:pPr>
        <w:spacing w:line="400" w:lineRule="exact"/>
        <w:ind w:firstLine="420" w:firstLineChars="200"/>
        <w:rPr>
          <w:rFonts w:ascii="宋体" w:hAnsi="宋体" w:eastAsia="宋体" w:cs="宋体"/>
        </w:rPr>
      </w:pPr>
      <w:r>
        <w:rPr>
          <w:rFonts w:hint="eastAsia" w:ascii="宋体" w:hAnsi="宋体" w:eastAsia="宋体" w:cs="宋体"/>
        </w:rPr>
        <w:t>组成合同的各项文件应互相解释，互为说明。解释合同文件的优先顺序如下：</w:t>
      </w:r>
    </w:p>
    <w:p>
      <w:pPr>
        <w:spacing w:line="400" w:lineRule="exact"/>
        <w:ind w:firstLine="420" w:firstLineChars="200"/>
        <w:rPr>
          <w:rFonts w:ascii="宋体" w:hAnsi="宋体" w:eastAsia="宋体" w:cs="宋体"/>
        </w:rPr>
      </w:pPr>
      <w:r>
        <w:rPr>
          <w:rFonts w:hint="eastAsia" w:ascii="宋体" w:hAnsi="宋体" w:eastAsia="宋体" w:cs="宋体"/>
        </w:rPr>
        <w:t>(1)合同协议书及各种合同附件(含廉政合同、安全生产合同、工程质量责任合同、工程资金监管协议及评标期间和合同谈判过程中的澄清文件和补充资料)；</w:t>
      </w:r>
    </w:p>
    <w:p>
      <w:pPr>
        <w:spacing w:line="400" w:lineRule="exact"/>
        <w:ind w:firstLine="420" w:firstLineChars="200"/>
        <w:rPr>
          <w:rFonts w:ascii="宋体" w:hAnsi="宋体" w:eastAsia="宋体" w:cs="宋体"/>
        </w:rPr>
      </w:pPr>
      <w:r>
        <w:rPr>
          <w:rFonts w:hint="eastAsia" w:ascii="宋体" w:hAnsi="宋体" w:eastAsia="宋体" w:cs="宋体"/>
        </w:rPr>
        <w:t>(2)中标通知书；</w:t>
      </w:r>
    </w:p>
    <w:p>
      <w:pPr>
        <w:spacing w:line="400" w:lineRule="exact"/>
        <w:ind w:firstLine="420" w:firstLineChars="200"/>
        <w:rPr>
          <w:rFonts w:ascii="宋体" w:hAnsi="宋体" w:eastAsia="宋体" w:cs="宋体"/>
        </w:rPr>
      </w:pPr>
      <w:r>
        <w:rPr>
          <w:rFonts w:hint="eastAsia" w:ascii="宋体" w:hAnsi="宋体" w:eastAsia="宋体" w:cs="宋体"/>
        </w:rPr>
        <w:t>(3)投标函及投标函附录；</w:t>
      </w:r>
    </w:p>
    <w:p>
      <w:pPr>
        <w:spacing w:line="400" w:lineRule="exact"/>
        <w:ind w:firstLine="420" w:firstLineChars="200"/>
        <w:rPr>
          <w:rFonts w:ascii="宋体" w:hAnsi="宋体" w:eastAsia="宋体" w:cs="宋体"/>
        </w:rPr>
      </w:pPr>
      <w:r>
        <w:rPr>
          <w:rFonts w:hint="eastAsia" w:ascii="宋体" w:hAnsi="宋体" w:eastAsia="宋体" w:cs="宋体"/>
        </w:rPr>
        <w:t>(4)项目专用合同条款（含招标文件补遗书中与此有关的部分）；</w:t>
      </w:r>
    </w:p>
    <w:p>
      <w:pPr>
        <w:spacing w:line="400" w:lineRule="exact"/>
        <w:ind w:firstLine="420" w:firstLineChars="200"/>
        <w:rPr>
          <w:rFonts w:ascii="宋体" w:hAnsi="宋体" w:eastAsia="宋体" w:cs="宋体"/>
        </w:rPr>
      </w:pPr>
      <w:r>
        <w:rPr>
          <w:rFonts w:hint="eastAsia" w:ascii="宋体" w:hAnsi="宋体" w:eastAsia="宋体" w:cs="宋体"/>
        </w:rPr>
        <w:t>(5)公路工程专用合同条款；</w:t>
      </w:r>
    </w:p>
    <w:p>
      <w:pPr>
        <w:spacing w:line="400" w:lineRule="exact"/>
        <w:ind w:firstLine="420" w:firstLineChars="200"/>
        <w:rPr>
          <w:rFonts w:ascii="宋体" w:hAnsi="宋体" w:eastAsia="宋体" w:cs="宋体"/>
        </w:rPr>
      </w:pPr>
      <w:r>
        <w:rPr>
          <w:rFonts w:hint="eastAsia" w:ascii="宋体" w:hAnsi="宋体" w:eastAsia="宋体" w:cs="宋体"/>
        </w:rPr>
        <w:t>(6)通用合同条款；</w:t>
      </w:r>
    </w:p>
    <w:p>
      <w:pPr>
        <w:spacing w:line="400" w:lineRule="exact"/>
        <w:ind w:firstLine="420" w:firstLineChars="200"/>
        <w:rPr>
          <w:rFonts w:ascii="宋体" w:hAnsi="宋体" w:eastAsia="宋体" w:cs="宋体"/>
        </w:rPr>
      </w:pPr>
      <w:r>
        <w:rPr>
          <w:rFonts w:hint="eastAsia" w:ascii="宋体" w:hAnsi="宋体" w:eastAsia="宋体" w:cs="宋体"/>
        </w:rPr>
        <w:t>(7)项目专用技术规范（含招标文件补遗书中与此有关的部分）；</w:t>
      </w:r>
    </w:p>
    <w:p>
      <w:pPr>
        <w:spacing w:line="400" w:lineRule="exact"/>
        <w:ind w:firstLine="420" w:firstLineChars="200"/>
        <w:rPr>
          <w:rFonts w:ascii="宋体" w:hAnsi="宋体" w:eastAsia="宋体" w:cs="宋体"/>
        </w:rPr>
      </w:pPr>
      <w:r>
        <w:rPr>
          <w:rFonts w:hint="eastAsia" w:ascii="宋体" w:hAnsi="宋体" w:eastAsia="宋体" w:cs="宋体"/>
        </w:rPr>
        <w:t>(8)通用技术规范；</w:t>
      </w:r>
    </w:p>
    <w:p>
      <w:pPr>
        <w:spacing w:line="400" w:lineRule="exact"/>
        <w:ind w:firstLine="420" w:firstLineChars="200"/>
        <w:rPr>
          <w:rFonts w:ascii="宋体" w:hAnsi="宋体" w:eastAsia="宋体" w:cs="宋体"/>
        </w:rPr>
      </w:pPr>
      <w:r>
        <w:rPr>
          <w:rFonts w:hint="eastAsia" w:ascii="宋体" w:hAnsi="宋体" w:eastAsia="宋体" w:cs="宋体"/>
        </w:rPr>
        <w:t>(9)图纸（含招标文件补遗书中与此有关的部分）；</w:t>
      </w:r>
    </w:p>
    <w:p>
      <w:pPr>
        <w:spacing w:line="400" w:lineRule="exact"/>
        <w:ind w:firstLine="420" w:firstLineChars="200"/>
        <w:rPr>
          <w:rFonts w:ascii="宋体" w:hAnsi="宋体" w:eastAsia="宋体" w:cs="宋体"/>
        </w:rPr>
      </w:pPr>
      <w:r>
        <w:rPr>
          <w:rFonts w:hint="eastAsia" w:ascii="宋体" w:hAnsi="宋体" w:eastAsia="宋体" w:cs="宋体"/>
        </w:rPr>
        <w:t>(10)已标价工程量清单（预算审核书）；</w:t>
      </w:r>
    </w:p>
    <w:p>
      <w:pPr>
        <w:spacing w:line="400" w:lineRule="exact"/>
        <w:ind w:firstLine="420" w:firstLineChars="200"/>
        <w:rPr>
          <w:rFonts w:ascii="宋体" w:hAnsi="宋体" w:eastAsia="宋体" w:cs="宋体"/>
        </w:rPr>
      </w:pPr>
      <w:r>
        <w:rPr>
          <w:rFonts w:hint="eastAsia" w:ascii="宋体" w:hAnsi="宋体" w:eastAsia="宋体" w:cs="宋体"/>
        </w:rPr>
        <w:t>(11)承包人有关人员、设备投入、财务能力的承诺及投标文件中的施工组织设计；</w:t>
      </w:r>
    </w:p>
    <w:p>
      <w:pPr>
        <w:spacing w:line="400" w:lineRule="exact"/>
        <w:ind w:firstLine="420" w:firstLineChars="200"/>
        <w:rPr>
          <w:rFonts w:ascii="宋体" w:hAnsi="宋体" w:eastAsia="宋体" w:cs="宋体"/>
        </w:rPr>
      </w:pPr>
      <w:r>
        <w:rPr>
          <w:rFonts w:hint="eastAsia" w:ascii="宋体" w:hAnsi="宋体" w:eastAsia="宋体" w:cs="宋体"/>
        </w:rPr>
        <w:t>(12)其他合同文件。</w:t>
      </w:r>
    </w:p>
    <w:p>
      <w:pPr>
        <w:pStyle w:val="3"/>
        <w:spacing w:before="0" w:after="0" w:line="400" w:lineRule="exact"/>
        <w:rPr>
          <w:rFonts w:ascii="宋体" w:hAnsi="宋体"/>
          <w:b w:val="0"/>
          <w:sz w:val="21"/>
          <w:szCs w:val="21"/>
        </w:rPr>
      </w:pPr>
      <w:bookmarkStart w:id="344" w:name="_Toc173246203"/>
      <w:bookmarkStart w:id="345" w:name="_Toc173244816"/>
      <w:r>
        <w:rPr>
          <w:rFonts w:hint="eastAsia" w:ascii="宋体" w:hAnsi="宋体"/>
          <w:b w:val="0"/>
          <w:sz w:val="21"/>
          <w:szCs w:val="21"/>
        </w:rPr>
        <w:t>1.6 图纸和承包人文件</w:t>
      </w:r>
      <w:bookmarkEnd w:id="344"/>
      <w:bookmarkEnd w:id="345"/>
    </w:p>
    <w:p>
      <w:pPr>
        <w:spacing w:line="400" w:lineRule="exact"/>
        <w:ind w:firstLine="420" w:firstLineChars="200"/>
        <w:rPr>
          <w:rFonts w:ascii="宋体" w:hAnsi="宋体" w:eastAsia="宋体" w:cs="宋体"/>
        </w:rPr>
      </w:pPr>
      <w:r>
        <w:rPr>
          <w:rFonts w:hint="eastAsia" w:ascii="宋体" w:hAnsi="宋体" w:eastAsia="宋体" w:cs="宋体"/>
        </w:rPr>
        <w:t>1.6.3 图纸的修改</w:t>
      </w:r>
    </w:p>
    <w:p>
      <w:pPr>
        <w:spacing w:line="400" w:lineRule="exact"/>
        <w:ind w:firstLine="420" w:firstLineChars="200"/>
        <w:rPr>
          <w:rFonts w:ascii="宋体" w:hAnsi="宋体" w:eastAsia="宋体" w:cs="宋体"/>
        </w:rPr>
      </w:pPr>
      <w:r>
        <w:rPr>
          <w:rFonts w:hint="eastAsia" w:ascii="宋体" w:hAnsi="宋体" w:eastAsia="宋体" w:cs="宋体"/>
        </w:rPr>
        <w:t>通用合同条款 1.6.3 项细化为：</w:t>
      </w:r>
    </w:p>
    <w:p>
      <w:pPr>
        <w:spacing w:line="400" w:lineRule="exact"/>
        <w:ind w:firstLine="420" w:firstLineChars="200"/>
        <w:rPr>
          <w:rFonts w:ascii="宋体" w:hAnsi="宋体" w:eastAsia="宋体" w:cs="宋体"/>
        </w:rPr>
      </w:pPr>
      <w:r>
        <w:rPr>
          <w:rFonts w:hint="eastAsia" w:ascii="宋体" w:hAnsi="宋体" w:eastAsia="宋体" w:cs="宋体"/>
        </w:rPr>
        <w:t>图纸需要修改和补充的，应由监理人取得发包人同意后，在该工程或工程相应部位施工前的 7 天内签发图纸修改图和补充图给承包人。承包人应按修改和补充后的图纸施工。没有监理人的批准，承包人不得对施工图的任何部分进行修改。工程实施中应以批准的施工图为准，招标阶段采用图纸与施工图的变化和差异，不应免除承包人为实施本合同工程所应承担的任何责任和义务。</w:t>
      </w:r>
    </w:p>
    <w:p>
      <w:pPr>
        <w:pStyle w:val="3"/>
        <w:spacing w:before="0" w:after="0" w:line="400" w:lineRule="exact"/>
        <w:rPr>
          <w:rFonts w:ascii="宋体" w:hAnsi="宋体"/>
          <w:b w:val="0"/>
          <w:sz w:val="21"/>
          <w:szCs w:val="21"/>
        </w:rPr>
      </w:pPr>
      <w:bookmarkStart w:id="346" w:name="_Toc173246204"/>
      <w:bookmarkStart w:id="347" w:name="_Toc173244817"/>
      <w:r>
        <w:rPr>
          <w:rFonts w:hint="eastAsia" w:ascii="宋体" w:hAnsi="宋体"/>
          <w:b w:val="0"/>
          <w:sz w:val="21"/>
          <w:szCs w:val="21"/>
        </w:rPr>
        <w:t>1.7 联络</w:t>
      </w:r>
      <w:bookmarkEnd w:id="346"/>
      <w:bookmarkEnd w:id="347"/>
    </w:p>
    <w:p>
      <w:pPr>
        <w:spacing w:line="400" w:lineRule="exact"/>
        <w:ind w:firstLine="420" w:firstLineChars="200"/>
        <w:rPr>
          <w:rFonts w:ascii="宋体" w:hAnsi="宋体" w:eastAsia="宋体" w:cs="宋体"/>
        </w:rPr>
      </w:pPr>
      <w:r>
        <w:rPr>
          <w:rFonts w:hint="eastAsia" w:ascii="宋体" w:hAnsi="宋体" w:eastAsia="宋体" w:cs="宋体"/>
        </w:rPr>
        <w:t>通用合同条款第 1.7.2 项约定为：</w:t>
      </w:r>
    </w:p>
    <w:p>
      <w:pPr>
        <w:adjustRightInd w:val="0"/>
        <w:snapToGrid w:val="0"/>
        <w:rPr>
          <w:rFonts w:ascii="宋体" w:hAnsi="宋体" w:eastAsia="宋体" w:cs="宋体"/>
        </w:rPr>
      </w:pPr>
      <w:r>
        <w:rPr>
          <w:rFonts w:hint="eastAsia" w:ascii="宋体" w:hAnsi="宋体" w:eastAsia="宋体" w:cs="宋体"/>
        </w:rPr>
        <w:t>1.7.2 第 1.7.1 项中的通知、批准、证明、证书、指示、要求、请求、同意、意见、确定和决定等来往函件，均应在函件发出 24 小时内送达指定地点和接收人，并办理签收手续。</w:t>
      </w:r>
    </w:p>
    <w:p>
      <w:pPr>
        <w:pStyle w:val="3"/>
        <w:snapToGrid w:val="0"/>
        <w:spacing w:before="0" w:after="0" w:line="360" w:lineRule="auto"/>
        <w:rPr>
          <w:rFonts w:ascii="宋体" w:hAnsi="宋体"/>
          <w:sz w:val="28"/>
          <w:szCs w:val="28"/>
        </w:rPr>
      </w:pPr>
      <w:bookmarkStart w:id="348" w:name="_Toc526794396"/>
      <w:bookmarkStart w:id="349" w:name="_Toc173244818"/>
      <w:bookmarkStart w:id="350" w:name="_Toc173246205"/>
      <w:r>
        <w:rPr>
          <w:rFonts w:hint="eastAsia" w:ascii="宋体" w:hAnsi="宋体"/>
          <w:sz w:val="28"/>
          <w:szCs w:val="28"/>
        </w:rPr>
        <w:t>2. 发包人义务</w:t>
      </w:r>
      <w:bookmarkEnd w:id="348"/>
      <w:bookmarkEnd w:id="349"/>
      <w:bookmarkEnd w:id="350"/>
    </w:p>
    <w:p>
      <w:pPr>
        <w:adjustRightInd w:val="0"/>
        <w:snapToGrid w:val="0"/>
        <w:rPr>
          <w:color w:val="000000"/>
        </w:rPr>
      </w:pPr>
      <w:bookmarkStart w:id="351" w:name="_Toc247643366"/>
      <w:bookmarkStart w:id="352" w:name="_Toc13841"/>
      <w:bookmarkStart w:id="353" w:name="_Toc19985"/>
      <w:bookmarkStart w:id="354" w:name="_Toc2053"/>
      <w:bookmarkStart w:id="355" w:name="_Toc179632648"/>
      <w:bookmarkStart w:id="356" w:name="_Toc152045630"/>
      <w:bookmarkStart w:id="357" w:name="_Toc152042408"/>
      <w:bookmarkStart w:id="358" w:name="_Toc144974598"/>
      <w:bookmarkStart w:id="359" w:name="_Toc458406030"/>
      <w:r>
        <w:rPr>
          <w:rFonts w:hint="eastAsia"/>
          <w:color w:val="000000"/>
        </w:rPr>
        <w:t>2.6 支付合同价款</w:t>
      </w:r>
      <w:bookmarkEnd w:id="351"/>
      <w:bookmarkEnd w:id="352"/>
      <w:bookmarkEnd w:id="353"/>
      <w:bookmarkEnd w:id="354"/>
      <w:bookmarkEnd w:id="355"/>
      <w:bookmarkEnd w:id="356"/>
      <w:bookmarkEnd w:id="357"/>
      <w:bookmarkEnd w:id="358"/>
      <w:bookmarkEnd w:id="359"/>
    </w:p>
    <w:p>
      <w:pPr>
        <w:adjustRightInd w:val="0"/>
        <w:snapToGrid w:val="0"/>
        <w:rPr>
          <w:color w:val="000000"/>
        </w:rPr>
      </w:pPr>
      <w:r>
        <w:rPr>
          <w:rFonts w:hint="eastAsia"/>
          <w:color w:val="000000"/>
        </w:rPr>
        <w:t>本款</w:t>
      </w:r>
      <w:r>
        <w:rPr>
          <w:color w:val="000000"/>
        </w:rPr>
        <w:t>补充：</w:t>
      </w:r>
    </w:p>
    <w:p>
      <w:pPr>
        <w:adjustRightInd w:val="0"/>
        <w:snapToGrid w:val="0"/>
        <w:rPr>
          <w:color w:val="000000"/>
        </w:rPr>
      </w:pPr>
      <w:r>
        <w:rPr>
          <w:rFonts w:hint="eastAsia"/>
          <w:color w:val="000000"/>
        </w:rPr>
        <w:t>发</w:t>
      </w:r>
      <w:r>
        <w:rPr>
          <w:color w:val="000000"/>
        </w:rPr>
        <w:t>包人应按照承包人提供的人工费用数额，将应支付工程款中的人工费单独拨付到承包人在项目所</w:t>
      </w:r>
      <w:r>
        <w:rPr>
          <w:rFonts w:hint="eastAsia"/>
          <w:color w:val="000000"/>
        </w:rPr>
        <w:t>在</w:t>
      </w:r>
      <w:r>
        <w:rPr>
          <w:color w:val="000000"/>
        </w:rPr>
        <w:t>地开设的农民工工</w:t>
      </w:r>
      <w:r>
        <w:rPr>
          <w:rFonts w:hint="eastAsia"/>
          <w:color w:val="000000"/>
        </w:rPr>
        <w:t>资</w:t>
      </w:r>
      <w:r>
        <w:rPr>
          <w:color w:val="000000"/>
        </w:rPr>
        <w:t>（劳务费）专用帐户。</w:t>
      </w:r>
    </w:p>
    <w:p>
      <w:pPr>
        <w:pStyle w:val="2"/>
        <w:snapToGrid w:val="0"/>
        <w:spacing w:before="0" w:after="0" w:line="240" w:lineRule="auto"/>
      </w:pPr>
    </w:p>
    <w:p>
      <w:pPr>
        <w:pStyle w:val="3"/>
        <w:snapToGrid w:val="0"/>
        <w:spacing w:before="0" w:after="0" w:line="360" w:lineRule="auto"/>
        <w:rPr>
          <w:rFonts w:ascii="宋体" w:hAnsi="宋体"/>
          <w:sz w:val="28"/>
          <w:szCs w:val="28"/>
        </w:rPr>
      </w:pPr>
      <w:bookmarkStart w:id="360" w:name="_Toc173244819"/>
      <w:bookmarkStart w:id="361" w:name="_Toc173246206"/>
      <w:r>
        <w:rPr>
          <w:rFonts w:hint="eastAsia" w:ascii="宋体" w:hAnsi="宋体"/>
          <w:sz w:val="28"/>
          <w:szCs w:val="28"/>
        </w:rPr>
        <w:t>4. 承包人</w:t>
      </w:r>
      <w:bookmarkEnd w:id="360"/>
      <w:bookmarkEnd w:id="361"/>
    </w:p>
    <w:p>
      <w:pPr>
        <w:pStyle w:val="3"/>
        <w:spacing w:before="0" w:after="0" w:line="400" w:lineRule="exact"/>
        <w:rPr>
          <w:b w:val="0"/>
          <w:color w:val="000000"/>
          <w:sz w:val="21"/>
          <w:szCs w:val="21"/>
        </w:rPr>
      </w:pPr>
      <w:bookmarkStart w:id="362" w:name="_Toc452301300"/>
      <w:bookmarkStart w:id="363" w:name="_Toc173244820"/>
      <w:bookmarkStart w:id="364" w:name="_Toc173246207"/>
      <w:r>
        <w:rPr>
          <w:b w:val="0"/>
          <w:color w:val="000000"/>
          <w:sz w:val="21"/>
          <w:szCs w:val="21"/>
        </w:rPr>
        <w:t>4.1 承包人的一般义务</w:t>
      </w:r>
      <w:bookmarkEnd w:id="362"/>
      <w:bookmarkEnd w:id="363"/>
      <w:bookmarkEnd w:id="364"/>
    </w:p>
    <w:p>
      <w:pPr>
        <w:spacing w:line="400" w:lineRule="exact"/>
        <w:ind w:firstLine="420" w:firstLineChars="200"/>
        <w:rPr>
          <w:color w:val="000000"/>
        </w:rPr>
      </w:pPr>
      <w:r>
        <w:rPr>
          <w:color w:val="000000"/>
        </w:rPr>
        <w:t>4.1.3 完成各项承包工作</w:t>
      </w:r>
    </w:p>
    <w:p>
      <w:pPr>
        <w:spacing w:line="400" w:lineRule="exact"/>
        <w:ind w:firstLine="420" w:firstLineChars="200"/>
        <w:rPr>
          <w:color w:val="000000"/>
        </w:rPr>
      </w:pPr>
      <w:r>
        <w:rPr>
          <w:color w:val="000000"/>
        </w:rPr>
        <w:t>通用合同条款 4.1.3 项细化为：</w:t>
      </w:r>
    </w:p>
    <w:p>
      <w:pPr>
        <w:spacing w:line="400" w:lineRule="exact"/>
        <w:ind w:firstLine="420" w:firstLineChars="200"/>
      </w:pPr>
      <w:r>
        <w:rPr>
          <w:rFonts w:hint="eastAsia"/>
        </w:rPr>
        <w:t>（1）</w:t>
      </w:r>
      <w:r>
        <w:t>承包人应按合同约定以及监理人根据第 3.4 款作出的指示，实施、完成全部工程，并修补工程中的任何缺陷。承包人应提供为完成合同工作所需的劳务、材料、施工设备、工程设备和其他物品，并按合同约定负责临时设施的设计、建造、运行、维护、管理和拆除。</w:t>
      </w:r>
    </w:p>
    <w:p>
      <w:pPr>
        <w:spacing w:line="400" w:lineRule="exact"/>
        <w:ind w:firstLine="420" w:firstLineChars="200"/>
      </w:pPr>
      <w:r>
        <w:t>承包人应在签订合同协议书后 14 天内为本合同实施设立现场项目经理部，该项目经理部应成为承包人授权的代理人或代表的合法机构，承包人应保证该项目经理部履行职责直至合同期满为止。</w:t>
      </w:r>
    </w:p>
    <w:p>
      <w:pPr>
        <w:spacing w:line="400" w:lineRule="exact"/>
        <w:ind w:firstLine="420" w:firstLineChars="200"/>
        <w:rPr>
          <w:rFonts w:hAnsi="宋体"/>
          <w:szCs w:val="21"/>
        </w:rPr>
      </w:pPr>
      <w:r>
        <w:rPr>
          <w:rFonts w:hint="eastAsia" w:hAnsi="宋体"/>
          <w:szCs w:val="21"/>
        </w:rPr>
        <w:t>(2) 针对本项目施工地点的水文、地质、气象等情况。承包人应针对各种可能出现的情况制定预案并采取相应措施，这些预案包括但不限于：抗台、防汛、地质灾害、工程防护等，该预案应符合有关部门的规定，并在执行前取得有关部门的同意。承包人在合同履行期间执行此预案所发生的费用认为已包含在工程量清单的报价中。未执行预案和措施或执行不当而造成的一切损失或后果由承包人承担全部责任，发包人将不承担任何责任。</w:t>
      </w:r>
    </w:p>
    <w:p>
      <w:pPr>
        <w:spacing w:line="400" w:lineRule="exact"/>
        <w:ind w:firstLine="420" w:firstLineChars="200"/>
        <w:rPr>
          <w:rFonts w:hAnsi="宋体"/>
          <w:szCs w:val="21"/>
        </w:rPr>
      </w:pPr>
      <w:r>
        <w:rPr>
          <w:rFonts w:hint="eastAsia" w:hAnsi="宋体"/>
          <w:szCs w:val="21"/>
        </w:rPr>
        <w:t xml:space="preserve"> (3)承包人用电、用水、进场道路应由承包人自行调查解决；为避免用电发生维修性或故障性中断，承包人应自备发电机，保证工程实施中的需要。承包人用电应根据国家电力部门的相关规定，保证足够的安全用电距离。自备发动机相关费用已含入清单报价之中，不单独另行计量、支付。</w:t>
      </w:r>
    </w:p>
    <w:p>
      <w:pPr>
        <w:spacing w:line="400" w:lineRule="exact"/>
        <w:ind w:firstLine="420" w:firstLineChars="200"/>
        <w:rPr>
          <w:color w:val="000000"/>
        </w:rPr>
      </w:pPr>
      <w:r>
        <w:rPr>
          <w:color w:val="000000"/>
        </w:rPr>
        <w:t>4.1.10 其他义务</w:t>
      </w:r>
    </w:p>
    <w:p>
      <w:pPr>
        <w:spacing w:line="400" w:lineRule="exact"/>
        <w:ind w:firstLine="420" w:firstLineChars="200"/>
        <w:rPr>
          <w:color w:val="000000"/>
        </w:rPr>
      </w:pPr>
      <w:r>
        <w:rPr>
          <w:color w:val="000000"/>
        </w:rPr>
        <w:t>公路工程专用合同条款 4.1.10 第(2) 目细化为：</w:t>
      </w:r>
    </w:p>
    <w:p>
      <w:pPr>
        <w:spacing w:line="400" w:lineRule="exact"/>
        <w:ind w:firstLine="420" w:firstLineChars="200"/>
        <w:rPr>
          <w:color w:val="000000"/>
        </w:rPr>
      </w:pPr>
      <w:r>
        <w:rPr>
          <w:color w:val="000000"/>
        </w:rPr>
        <w:t>(2) 承包人应承担并支付为获得本合同工程所需的石料、砂、砾石、黏土或其他当地材料等所发生的料场使用费及其他开支或补偿费。发包人应尽可能协助承包人办理料场租用手续及解决使用过程中的有关问题。发包人协助办理的成功与否，不免除根据合同文件规定的承包人的一切责任。</w:t>
      </w:r>
    </w:p>
    <w:p>
      <w:pPr>
        <w:spacing w:line="400" w:lineRule="exact"/>
        <w:ind w:firstLine="420" w:firstLineChars="200"/>
        <w:rPr>
          <w:color w:val="000000"/>
        </w:rPr>
      </w:pPr>
      <w:r>
        <w:rPr>
          <w:color w:val="000000"/>
        </w:rPr>
        <w:t>公路工程专用合同条款 4.1.10 第(3) 目细化为：</w:t>
      </w:r>
    </w:p>
    <w:p>
      <w:pPr>
        <w:spacing w:line="400" w:lineRule="exact"/>
        <w:ind w:firstLine="420" w:firstLineChars="200"/>
        <w:rPr>
          <w:color w:val="000000"/>
        </w:rPr>
      </w:pPr>
      <w:r>
        <w:rPr>
          <w:rFonts w:hint="eastAsia"/>
          <w:color w:val="000000"/>
        </w:rPr>
        <w:t>（</w:t>
      </w:r>
      <w:r>
        <w:rPr>
          <w:color w:val="000000"/>
        </w:rPr>
        <w:t>3</w:t>
      </w:r>
      <w:r>
        <w:rPr>
          <w:rFonts w:hint="eastAsia"/>
          <w:color w:val="000000"/>
        </w:rPr>
        <w:t>）承包人在本工程中，应严格执行国家、浙江省及项目所在地政府有关拖欠工程款和农民工工资相关法律法规及规定，及时支付工程中的材料、设备货款及民工工资等费用。承包人应在项目所在地开设农民工工资（劳务费）专用账户，专项用于支付农民工工资。农民工工资（劳务费）专用账户应向项目所在地人力资源社会保障部门和交通运输行政主管部门备案，并委托银行负责日常监管，确保专款专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浙江省交通运输信用综合管理服务系统”。</w:t>
      </w:r>
    </w:p>
    <w:p>
      <w:pPr>
        <w:spacing w:line="400" w:lineRule="exact"/>
        <w:ind w:firstLine="420" w:firstLineChars="200"/>
        <w:rPr>
          <w:color w:val="000000"/>
        </w:rPr>
      </w:pPr>
      <w:r>
        <w:rPr>
          <w:rFonts w:hint="eastAsia"/>
          <w:color w:val="000000"/>
        </w:rPr>
        <w:t>承包人的项目经理部是农民工工资支付行为的主体，承包人的项目经理是农民工工资支付的责任人。项目经理部要建立全体民工花名册和工资支付表（包含分包单位），确保将工资直接发放给民工本人，或委托银行发放民工工资，严禁发放给“包工头”或其他不具备用工主体资格的组织和个人。工资支付表应如实记录支付单位、支付时间、支付对象、支付数额、支付对象的身份证号和签字等信息。民工花名册和工资支付表应报监理人备查。</w:t>
      </w:r>
    </w:p>
    <w:p>
      <w:pPr>
        <w:spacing w:line="400" w:lineRule="exact"/>
        <w:ind w:firstLine="420" w:firstLineChars="200"/>
        <w:rPr>
          <w:color w:val="000000"/>
        </w:rPr>
      </w:pPr>
      <w:r>
        <w:rPr>
          <w:rFonts w:hint="eastAsia"/>
          <w:color w:val="000000"/>
        </w:rPr>
        <w:t>承包人应按规定缴纳农民工工资保证金。具体按关于印发《工程建设领域农民工工资保证金规定》的通知（人社部发〔2021〕65号）和浙江省人力资源和社会保障厅等8部门关于印发《浙江省工程建设领域农民工工资保证金管理实施细则》（浙人社发〔2022〕13号）的通知等相关规定执行。</w:t>
      </w:r>
    </w:p>
    <w:p>
      <w:pPr>
        <w:spacing w:line="400" w:lineRule="exact"/>
        <w:ind w:firstLine="420" w:firstLineChars="200"/>
        <w:rPr>
          <w:color w:val="000000"/>
        </w:rPr>
      </w:pPr>
      <w:r>
        <w:rPr>
          <w:rFonts w:hint="eastAsia"/>
          <w:color w:val="000000"/>
        </w:rPr>
        <w:t>承包人应在用工后 15 天内与农民工签订劳动合同，根据劳动合同签订情况，统计农民工人数，按照实际人数办理记工考勤卡。项目完工后或农民工提前离开工地，承包人应在合同约定期限之内对农民工工资进行结算，并一次性付清所有应发放的工资。同时承包人应在项目经理部和新闻媒介上分阶段公示民工工资支付情况，并公开2个监督电话（电话为当地交通运输主管部门和劳动保障部门等第三方单位可打通的号码），公示期符合相关规定。承包人应加强劳动合同管理，规范公路建设用工行为。不拖欠农民工工资，及时、足额发放农民工工资。</w:t>
      </w:r>
    </w:p>
    <w:p>
      <w:pPr>
        <w:spacing w:line="400" w:lineRule="exact"/>
        <w:ind w:firstLine="420" w:firstLineChars="200"/>
        <w:rPr>
          <w:color w:val="000000"/>
        </w:rPr>
      </w:pPr>
      <w:r>
        <w:rPr>
          <w:rFonts w:hint="eastAsia"/>
          <w:color w:val="000000"/>
        </w:rPr>
        <w:t>本款约定的内容如相关部门有最新规定的，按相关部门最新文件执行</w:t>
      </w:r>
      <w:r>
        <w:rPr>
          <w:color w:val="000000"/>
        </w:rPr>
        <w:t>。</w:t>
      </w:r>
    </w:p>
    <w:p>
      <w:pPr>
        <w:spacing w:line="400" w:lineRule="exact"/>
        <w:ind w:firstLine="420" w:firstLineChars="200"/>
        <w:rPr>
          <w:color w:val="000000"/>
        </w:rPr>
      </w:pPr>
      <w:r>
        <w:rPr>
          <w:color w:val="000000"/>
        </w:rPr>
        <w:t>公路工程专用合同条款 4.1.10 第(4) 目细化为：</w:t>
      </w:r>
    </w:p>
    <w:p>
      <w:pPr>
        <w:spacing w:line="400" w:lineRule="exact"/>
        <w:ind w:firstLine="420" w:firstLineChars="200"/>
        <w:rPr>
          <w:color w:val="000000"/>
        </w:rPr>
      </w:pPr>
      <w:r>
        <w:rPr>
          <w:rFonts w:hint="eastAsia"/>
          <w:color w:val="000000"/>
        </w:rPr>
        <w:t>（4）发包人应将工资性工程进度款拨付到承包人开设的农民工工资专用账户，专项用于支付民工工资。根据《关于在全省工程建设领域改革保证金制度的通知》（浙建【2020】7号）的规定，工资性工程款为每月计量工程款的15%，具体操作办法详见《台州市交通建设领域农民工工资支付监督管理暂行办法》和《台州市交通建设领域农民工工资支付分账管理实施细则》的通知（台交〔2018〕210号），承包人还应严格执行《保障农民工工资支付条例》（国务院令第724号</w:t>
      </w:r>
      <w:r>
        <w:rPr>
          <w:color w:val="000000"/>
        </w:rPr>
        <w:t>）</w:t>
      </w:r>
      <w:r>
        <w:rPr>
          <w:rFonts w:hint="eastAsia"/>
          <w:color w:val="000000"/>
        </w:rPr>
        <w:t>、《国务院办公厅关于全面治理拖欠农民工工资问题的意见》（国办发〔2016〕1号）、《浙江省企业工资支付管理办法》（浙江省人民政府令第353号）、《关于加强工程建设领域农民工工资支付监督管理的通知》（浙防欠薪发［2017］4号）、《关于进一步完善建筑业企业农民工工资支付保证金制度意见的通知》（浙政发〔2012〕100号）、《浙江省人力资源和社会保障厅等6部门关于加强工程建设市场管理有效治理拖欠农民工工资问题的意见》（浙人社发〔2015〕148号）、关于印发《浙江省交通建设领域“浙江无欠薪”行动专项治理方案》的通知（浙交［2017］145号）、关于印发《台州市交通建设领域“台州无欠薪”行动专项治理方案》的通知（台交［2017］210号）、《交通运输部关于公路水运工程建设领域保障农民工工资支付的意见</w:t>
      </w:r>
      <w:r>
        <w:rPr>
          <w:color w:val="000000"/>
        </w:rPr>
        <w:t>》</w:t>
      </w:r>
      <w:r>
        <w:rPr>
          <w:rFonts w:hint="eastAsia"/>
          <w:color w:val="000000"/>
        </w:rPr>
        <w:t>（交公路规[</w:t>
      </w:r>
      <w:r>
        <w:rPr>
          <w:color w:val="000000"/>
        </w:rPr>
        <w:t>2020</w:t>
      </w:r>
      <w:r>
        <w:rPr>
          <w:rFonts w:hint="eastAsia"/>
          <w:color w:val="000000"/>
        </w:rPr>
        <w:t>]</w:t>
      </w:r>
      <w:r>
        <w:rPr>
          <w:color w:val="000000"/>
        </w:rPr>
        <w:t>5</w:t>
      </w:r>
      <w:r>
        <w:rPr>
          <w:rFonts w:hint="eastAsia"/>
          <w:color w:val="000000"/>
        </w:rPr>
        <w:t>号</w:t>
      </w:r>
      <w:r>
        <w:rPr>
          <w:color w:val="000000"/>
        </w:rPr>
        <w:t>）</w:t>
      </w:r>
      <w:r>
        <w:rPr>
          <w:rFonts w:hint="eastAsia"/>
          <w:color w:val="000000"/>
        </w:rPr>
        <w:t>文。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pPr>
        <w:spacing w:line="400" w:lineRule="exact"/>
        <w:ind w:firstLine="420" w:firstLineChars="200"/>
        <w:rPr>
          <w:rFonts w:ascii="宋体" w:hAnsi="宋体"/>
          <w:color w:val="000000"/>
          <w:szCs w:val="21"/>
        </w:rPr>
      </w:pPr>
      <w:r>
        <w:rPr>
          <w:rFonts w:hint="eastAsia"/>
          <w:color w:val="000000"/>
        </w:rPr>
        <w:t>本款约定的内容如相关部门有最新规定的，按相关部门最新文件执行。</w:t>
      </w:r>
    </w:p>
    <w:p>
      <w:pPr>
        <w:spacing w:line="400" w:lineRule="exact"/>
        <w:ind w:firstLine="420" w:firstLineChars="200"/>
        <w:rPr>
          <w:rFonts w:ascii="宋体" w:hAnsi="宋体"/>
          <w:color w:val="000000"/>
          <w:szCs w:val="21"/>
        </w:rPr>
      </w:pPr>
      <w:r>
        <w:rPr>
          <w:color w:val="000000"/>
        </w:rPr>
        <w:t>公路工程专用合同条款 4.1.10 第(6) 目细化为：</w:t>
      </w:r>
    </w:p>
    <w:p>
      <w:pPr>
        <w:spacing w:line="400" w:lineRule="exact"/>
        <w:ind w:firstLine="420" w:firstLineChars="200"/>
        <w:rPr>
          <w:color w:val="000000"/>
        </w:rPr>
      </w:pPr>
      <w:r>
        <w:rPr>
          <w:rFonts w:hint="eastAsia"/>
          <w:color w:val="000000"/>
        </w:rPr>
        <w:t>（6）承包人应按照浙江省交通运输厅《关于印发浙江省普通国省道公路建设工程标准化工地建设管理和考核办法（试行）的通知》、《浙江省交通建设工程平安工地建设管理实施办法》和交通运输部关于印发公路水运工程平安工地建设管理办法的通知（交安监发〔2018〕43号）等相关部门的要求进行工地标准化、施工标准化和管理标准化建设和安全、文明施工。</w:t>
      </w:r>
    </w:p>
    <w:p>
      <w:pPr>
        <w:spacing w:line="400" w:lineRule="exact"/>
        <w:ind w:firstLine="420" w:firstLineChars="200"/>
        <w:rPr>
          <w:color w:val="000000"/>
        </w:rPr>
      </w:pPr>
      <w:r>
        <w:rPr>
          <w:rFonts w:hint="eastAsia"/>
          <w:color w:val="000000"/>
        </w:rPr>
        <w:t>公路工程专用合同条款第4.1.10项补充第（7）~（</w:t>
      </w:r>
      <w:r>
        <w:rPr>
          <w:color w:val="000000"/>
        </w:rPr>
        <w:t>19</w:t>
      </w:r>
      <w:r>
        <w:rPr>
          <w:rFonts w:hint="eastAsia"/>
          <w:color w:val="000000"/>
        </w:rPr>
        <w:t>）目：</w:t>
      </w:r>
    </w:p>
    <w:p>
      <w:pPr>
        <w:spacing w:line="400" w:lineRule="exact"/>
        <w:ind w:firstLine="420" w:firstLineChars="200"/>
        <w:rPr>
          <w:color w:val="000000"/>
        </w:rPr>
      </w:pPr>
      <w:r>
        <w:rPr>
          <w:rFonts w:hint="eastAsia"/>
          <w:color w:val="000000"/>
        </w:rPr>
        <w:t>（7）项目审计（含跟踪审计）、稽查和检查等的配合</w:t>
      </w:r>
    </w:p>
    <w:p>
      <w:pPr>
        <w:spacing w:line="400" w:lineRule="exact"/>
        <w:ind w:firstLine="420" w:firstLineChars="200"/>
        <w:rPr>
          <w:color w:val="000000"/>
        </w:rPr>
      </w:pPr>
      <w:r>
        <w:rPr>
          <w:rFonts w:hint="eastAsia"/>
          <w:color w:val="000000"/>
        </w:rPr>
        <w:t>a.与本工程项目相关的审计和稽查，承包人应高度重视并委派专人积极予以配合；</w:t>
      </w:r>
    </w:p>
    <w:p>
      <w:pPr>
        <w:spacing w:line="400" w:lineRule="exact"/>
        <w:ind w:firstLine="420" w:firstLineChars="200"/>
        <w:rPr>
          <w:color w:val="000000"/>
        </w:rPr>
      </w:pPr>
      <w:r>
        <w:rPr>
          <w:rFonts w:hint="eastAsia"/>
          <w:color w:val="000000"/>
        </w:rPr>
        <w:t>b.有关单位对本项目的各种检查等活动，承包人有义务予以积极配合开展各项工作；</w:t>
      </w:r>
    </w:p>
    <w:p>
      <w:pPr>
        <w:spacing w:line="400" w:lineRule="exact"/>
        <w:ind w:firstLine="420" w:firstLineChars="200"/>
        <w:rPr>
          <w:color w:val="000000"/>
        </w:rPr>
      </w:pPr>
      <w:r>
        <w:rPr>
          <w:rFonts w:hint="eastAsia"/>
          <w:color w:val="000000"/>
        </w:rPr>
        <w:t>c.本工程项目有关的各类统计报表、汇报材料包括交（竣）工验收和项目后评价报告等，承包人有义务配合发包人做好编制工作并提供相应的资料；</w:t>
      </w:r>
    </w:p>
    <w:p>
      <w:pPr>
        <w:spacing w:line="400" w:lineRule="exact"/>
        <w:ind w:firstLine="420" w:firstLineChars="200"/>
        <w:rPr>
          <w:color w:val="000000"/>
        </w:rPr>
      </w:pPr>
      <w:r>
        <w:rPr>
          <w:rFonts w:hint="eastAsia"/>
          <w:color w:val="000000"/>
        </w:rPr>
        <w:t>d.承包人应按发包人、监理人和有关文件要求，建立相应的计量、支付和变更台帐，同时承包人应配合发包人、监理人建立相应的台帐，并保持其持续有效直至工程决算完成。</w:t>
      </w:r>
    </w:p>
    <w:p>
      <w:pPr>
        <w:spacing w:line="400" w:lineRule="exact"/>
        <w:ind w:firstLine="420" w:firstLineChars="200"/>
        <w:rPr>
          <w:color w:val="000000"/>
        </w:rPr>
      </w:pPr>
      <w:r>
        <w:rPr>
          <w:rFonts w:hint="eastAsia"/>
          <w:color w:val="000000"/>
        </w:rPr>
        <w:t>（8）做好与第三方检测、监控、技术咨询、科研（课题）等单位的配合工作，本项目内容涉及的费用包含在投标报价中，发包人不另行支付。</w:t>
      </w:r>
    </w:p>
    <w:p>
      <w:pPr>
        <w:spacing w:line="400" w:lineRule="exact"/>
        <w:ind w:firstLine="420" w:firstLineChars="200"/>
        <w:rPr>
          <w:color w:val="000000"/>
        </w:rPr>
      </w:pPr>
      <w:r>
        <w:rPr>
          <w:rFonts w:hint="eastAsia"/>
          <w:color w:val="000000"/>
        </w:rPr>
        <w:t>a.承包人必须积极配合、协助第三方检测、监控、科研等单位的工作，委派专人做好配合工作。</w:t>
      </w:r>
    </w:p>
    <w:p>
      <w:pPr>
        <w:spacing w:line="400" w:lineRule="exact"/>
        <w:ind w:firstLine="420" w:firstLineChars="200"/>
        <w:rPr>
          <w:color w:val="000000"/>
        </w:rPr>
      </w:pPr>
      <w:r>
        <w:rPr>
          <w:rFonts w:hint="eastAsia"/>
          <w:color w:val="000000"/>
        </w:rPr>
        <w:t>b.承包人应熟悉第三方检测、监控、科研等单位的检测、监控、科研实施方案和流程，配合工作也应有相应的方案，该方案须经监理人审批同意；</w:t>
      </w:r>
    </w:p>
    <w:p>
      <w:pPr>
        <w:spacing w:line="400" w:lineRule="exact"/>
        <w:ind w:firstLine="420" w:firstLineChars="200"/>
        <w:rPr>
          <w:color w:val="000000"/>
        </w:rPr>
      </w:pPr>
      <w:r>
        <w:rPr>
          <w:rFonts w:hint="eastAsia"/>
          <w:color w:val="000000"/>
        </w:rPr>
        <w:t>c.施工检测、监控、科研过程中，应在监理人的统一调配下，承包人应尽可能地提供人员、材料、设备的便利，以便施工检测、监控、科研工作顺利的进行；</w:t>
      </w:r>
    </w:p>
    <w:p>
      <w:pPr>
        <w:spacing w:line="400" w:lineRule="exact"/>
        <w:ind w:firstLine="420" w:firstLineChars="200"/>
        <w:rPr>
          <w:color w:val="000000"/>
        </w:rPr>
      </w:pPr>
      <w:r>
        <w:rPr>
          <w:rFonts w:hint="eastAsia"/>
          <w:color w:val="000000"/>
        </w:rPr>
        <w:t>d.承包人应参与检测、监控、科研资料的总结与分析工作。</w:t>
      </w:r>
    </w:p>
    <w:p>
      <w:pPr>
        <w:spacing w:line="400" w:lineRule="exact"/>
        <w:ind w:firstLine="420" w:firstLineChars="200"/>
        <w:rPr>
          <w:color w:val="000000"/>
        </w:rPr>
      </w:pPr>
      <w:r>
        <w:rPr>
          <w:rFonts w:hint="eastAsia"/>
          <w:color w:val="000000"/>
        </w:rPr>
        <w:t>（</w:t>
      </w:r>
      <w:r>
        <w:rPr>
          <w:color w:val="000000"/>
        </w:rPr>
        <w:t>9</w:t>
      </w:r>
      <w:r>
        <w:rPr>
          <w:rFonts w:hint="eastAsia"/>
          <w:color w:val="000000"/>
        </w:rPr>
        <w:t>）地方道路的维护和管理</w:t>
      </w:r>
    </w:p>
    <w:p>
      <w:pPr>
        <w:spacing w:line="400" w:lineRule="exact"/>
        <w:ind w:firstLine="420" w:firstLineChars="200"/>
        <w:rPr>
          <w:color w:val="000000"/>
        </w:rPr>
      </w:pPr>
      <w:r>
        <w:rPr>
          <w:rFonts w:hint="eastAsia"/>
          <w:color w:val="000000"/>
        </w:rPr>
        <w:t>承包人在使用现有地方道路过程中，必须采取一切措施确保车辆正常通行，做到施工、通车两不误，方便车辆通行，同时道路维护管理考虑限制超载情况。承包人应针对通车路段的施工特点，提出通车路段的专项施工方案，报监理人及相关职能部门批准，并认真组织实施。专项施工方案应包括：</w:t>
      </w:r>
    </w:p>
    <w:p>
      <w:pPr>
        <w:spacing w:line="400" w:lineRule="exact"/>
        <w:ind w:firstLine="420" w:firstLineChars="200"/>
        <w:rPr>
          <w:color w:val="000000"/>
        </w:rPr>
      </w:pPr>
      <w:r>
        <w:rPr>
          <w:rFonts w:hint="eastAsia"/>
          <w:color w:val="000000"/>
        </w:rPr>
        <w:t>a. 成立维护、管理组织，负责正常道路维护和交通管理工作；</w:t>
      </w:r>
    </w:p>
    <w:p>
      <w:pPr>
        <w:spacing w:line="400" w:lineRule="exact"/>
        <w:ind w:firstLine="420" w:firstLineChars="200"/>
        <w:rPr>
          <w:color w:val="000000"/>
        </w:rPr>
      </w:pPr>
      <w:r>
        <w:rPr>
          <w:rFonts w:hint="eastAsia"/>
          <w:color w:val="000000"/>
        </w:rPr>
        <w:t>b. 落实施工措施，根据实际情况合理分段、分幅安排施工，要控制施工长度，维持足够宽度，保持良好平整度，做到排水顺畅，路面无低洼积水，确保车辆能顺利交会，车辆平稳通过；</w:t>
      </w:r>
    </w:p>
    <w:p>
      <w:pPr>
        <w:spacing w:line="400" w:lineRule="exact"/>
        <w:ind w:firstLine="420" w:firstLineChars="200"/>
        <w:rPr>
          <w:color w:val="000000"/>
        </w:rPr>
      </w:pPr>
      <w:r>
        <w:rPr>
          <w:rFonts w:hint="eastAsia"/>
          <w:color w:val="000000"/>
        </w:rPr>
        <w:t>c. 配备交通管理标志，指定专人维护交通秩序；</w:t>
      </w:r>
    </w:p>
    <w:p>
      <w:pPr>
        <w:spacing w:line="400" w:lineRule="exact"/>
        <w:ind w:firstLine="420" w:firstLineChars="200"/>
        <w:rPr>
          <w:color w:val="000000"/>
        </w:rPr>
      </w:pPr>
      <w:r>
        <w:rPr>
          <w:rFonts w:hint="eastAsia"/>
          <w:color w:val="000000"/>
        </w:rPr>
        <w:t>d. 承包人应按要求做好交通组织安全评审工作并取得相关部门的批文；</w:t>
      </w:r>
    </w:p>
    <w:p>
      <w:pPr>
        <w:spacing w:line="400" w:lineRule="exact"/>
        <w:ind w:firstLine="420" w:firstLineChars="200"/>
        <w:rPr>
          <w:color w:val="000000"/>
        </w:rPr>
      </w:pPr>
      <w:r>
        <w:rPr>
          <w:rFonts w:hint="eastAsia"/>
          <w:color w:val="000000"/>
        </w:rPr>
        <w:t>e.</w:t>
      </w:r>
      <w:r>
        <w:rPr>
          <w:color w:val="000000"/>
        </w:rPr>
        <w:t xml:space="preserve"> </w:t>
      </w:r>
      <w:r>
        <w:rPr>
          <w:rFonts w:hint="eastAsia"/>
          <w:color w:val="000000"/>
        </w:rPr>
        <w:t>加强与交警、交通执法队等职能部门联系，争取交警、交通执法队等的参与，建立切实可行的交通管理制度。</w:t>
      </w:r>
    </w:p>
    <w:p>
      <w:pPr>
        <w:spacing w:line="400" w:lineRule="exact"/>
        <w:ind w:firstLine="420" w:firstLineChars="200"/>
        <w:rPr>
          <w:color w:val="000000"/>
        </w:rPr>
      </w:pPr>
      <w:r>
        <w:rPr>
          <w:color w:val="000000"/>
        </w:rPr>
        <w:t xml:space="preserve">f. </w:t>
      </w:r>
      <w:r>
        <w:rPr>
          <w:rFonts w:hint="eastAsia"/>
          <w:color w:val="000000"/>
        </w:rPr>
        <w:t>承包人应充分考虑与地方各部门的协商沟通，并签订相关协议，同时做好超载超限、修建养护或合理补偿、损坏修复、交通管制维护、防尘降噪、排灌系统的维持恢复和施工安全措施等各种工作。</w:t>
      </w:r>
    </w:p>
    <w:p>
      <w:pPr>
        <w:spacing w:line="400" w:lineRule="exact"/>
        <w:ind w:firstLine="420" w:firstLineChars="200"/>
        <w:rPr>
          <w:color w:val="000000"/>
        </w:rPr>
      </w:pPr>
      <w:r>
        <w:rPr>
          <w:rFonts w:hint="eastAsia"/>
          <w:color w:val="000000"/>
        </w:rPr>
        <w:t>g</w:t>
      </w:r>
      <w:r>
        <w:rPr>
          <w:color w:val="000000"/>
        </w:rPr>
        <w:t xml:space="preserve">. </w:t>
      </w:r>
      <w:r>
        <w:rPr>
          <w:rFonts w:hint="eastAsia"/>
          <w:color w:val="000000"/>
        </w:rPr>
        <w:t>承包人应充分考虑对地方道路的使用所产生的破坏和修复工作。按当地交通主管部门要求统一进行修复，费用由承包人承担。</w:t>
      </w:r>
    </w:p>
    <w:p>
      <w:pPr>
        <w:spacing w:line="400" w:lineRule="exact"/>
        <w:ind w:firstLine="420" w:firstLineChars="200"/>
        <w:rPr>
          <w:color w:val="000000"/>
        </w:rPr>
      </w:pPr>
      <w:r>
        <w:rPr>
          <w:rFonts w:hint="eastAsia"/>
          <w:color w:val="000000"/>
        </w:rPr>
        <w:t>由于承包人措施不力，导致阻车和事故频发或损坏现有地方道路，影响交通安全和正常运行，并造成较大或重大影响，引起的索赔，赔偿、诉讼费用及工程拖延或施工费用增加时，应由承包人承担一切责任和费用。</w:t>
      </w:r>
    </w:p>
    <w:p>
      <w:pPr>
        <w:spacing w:line="400" w:lineRule="exact"/>
        <w:ind w:firstLine="420" w:firstLineChars="200"/>
        <w:rPr>
          <w:color w:val="000000"/>
        </w:rPr>
      </w:pPr>
      <w:r>
        <w:rPr>
          <w:rFonts w:hint="eastAsia"/>
          <w:color w:val="000000"/>
        </w:rPr>
        <w:t>同时承包人在使用地方道路、桥梁等公共设施时，必须严格按照限高、限宽、限载等要求，并对其进行及时、必要的维护，相关费用包含在投标报价中，发包人不另行支付。由于工程施工原因造成沿线原有道路、桥梁、建筑物、排灌系统及其他设施遭受破坏（或损坏）的，承包人应负责对受损部位修复（或赔偿）；并免除发包人因此可能发生的任何索赔和诉讼。</w:t>
      </w:r>
    </w:p>
    <w:p>
      <w:pPr>
        <w:spacing w:line="400" w:lineRule="exact"/>
        <w:ind w:firstLine="420" w:firstLineChars="200"/>
        <w:rPr>
          <w:color w:val="000000"/>
        </w:rPr>
      </w:pPr>
      <w:bookmarkStart w:id="365" w:name="_Hlk112245144"/>
      <w:r>
        <w:rPr>
          <w:rFonts w:hint="eastAsia"/>
          <w:color w:val="000000"/>
        </w:rPr>
        <w:t>违反本款规定，则按第22.1款承包人违约处理。</w:t>
      </w:r>
    </w:p>
    <w:p>
      <w:pPr>
        <w:spacing w:line="400" w:lineRule="exact"/>
        <w:ind w:firstLine="420" w:firstLineChars="200"/>
        <w:rPr>
          <w:color w:val="000000"/>
        </w:rPr>
      </w:pPr>
      <w:r>
        <w:rPr>
          <w:rFonts w:hint="eastAsia"/>
          <w:color w:val="000000"/>
        </w:rPr>
        <w:t>（1</w:t>
      </w:r>
      <w:r>
        <w:rPr>
          <w:color w:val="000000"/>
        </w:rPr>
        <w:t>0</w:t>
      </w:r>
      <w:r>
        <w:rPr>
          <w:rFonts w:hint="eastAsia"/>
          <w:color w:val="000000"/>
        </w:rPr>
        <w:t>）凡标段内与现有相关道路有交叉干扰的地段，承包人应在不干扰正常交通运行的前提下，因地制宜编制完备的施工方案和文明施工措施，按照相关部门的规定要求，制定完善的洒水防尘、清扫、防震、防噪措施，减少对施工周边地区的干扰，承包人为完成上述工作而可能发生的全部费用计入投标报价中，发包人将不另行支付。如因承包人采取措施不力，给周边社区或个人造成的一切损失或由于上述原因造成工期的拖延或施工费用的增加，均由承包人自行承担。</w:t>
      </w:r>
    </w:p>
    <w:bookmarkEnd w:id="365"/>
    <w:p>
      <w:pPr>
        <w:spacing w:line="400" w:lineRule="exact"/>
        <w:ind w:firstLine="420" w:firstLineChars="200"/>
        <w:rPr>
          <w:color w:val="000000"/>
        </w:rPr>
      </w:pPr>
      <w:r>
        <w:rPr>
          <w:rFonts w:hint="eastAsia"/>
          <w:color w:val="000000"/>
        </w:rPr>
        <w:t>（1</w:t>
      </w:r>
      <w:r>
        <w:rPr>
          <w:color w:val="000000"/>
        </w:rPr>
        <w:t>1</w:t>
      </w:r>
      <w:r>
        <w:rPr>
          <w:rFonts w:hint="eastAsia"/>
          <w:color w:val="000000"/>
        </w:rPr>
        <w:t>）承包人应配合发包人做好征地拆迁的配合工作，必要时应无偿提供人力、设备以及材料等方面的支持配合，承包人因此增加的费用应认为已包括在投标报价中，发包人不另行支付。</w:t>
      </w:r>
    </w:p>
    <w:p>
      <w:pPr>
        <w:spacing w:line="400" w:lineRule="exact"/>
        <w:ind w:firstLine="420" w:firstLineChars="200"/>
        <w:rPr>
          <w:color w:val="000000"/>
        </w:rPr>
      </w:pPr>
      <w:r>
        <w:rPr>
          <w:rFonts w:hint="eastAsia"/>
          <w:color w:val="000000"/>
        </w:rPr>
        <w:t>（1</w:t>
      </w:r>
      <w:r>
        <w:rPr>
          <w:color w:val="000000"/>
        </w:rPr>
        <w:t>2</w:t>
      </w:r>
      <w:r>
        <w:rPr>
          <w:rFonts w:hint="eastAsia"/>
          <w:color w:val="000000"/>
        </w:rPr>
        <w:t>）承包人要配合发包人或发包人委托的第三方做好工程信息宣传，包括大型活动、媒体、摄影视频等，承包人因此增加的费用已包括在投标报价中，发包人不另行支付。未经发包人事先批准，承包人不得在任何报纸、商业或技术文献上刊登或披露任何与本合同或与本工程有关的详细资料。承包人不应在现场或施工设施上展示或允许展示任何贸易和商业性广告。在工地现场张贴布告，应事先得到监理人的批准，当监理人指示撤除时，应立即执行。</w:t>
      </w:r>
    </w:p>
    <w:p>
      <w:pPr>
        <w:spacing w:line="400" w:lineRule="exact"/>
        <w:ind w:firstLine="420" w:firstLineChars="200"/>
        <w:rPr>
          <w:color w:val="000000"/>
        </w:rPr>
      </w:pPr>
      <w:r>
        <w:rPr>
          <w:rFonts w:hint="eastAsia"/>
          <w:color w:val="000000"/>
        </w:rPr>
        <w:t>（13）工程完工后，承包人所在标段的遗留问题，如（不限于）：河道清理、建筑垃圾和渣土解体清运、临时用地【含取土（料）场、弃土（渣）场】的排水、防护及复耕复绿；项目部驻地、拌合站、梁板预制场、临时工棚、钢筋加工场、便道便桥等临时工程的建筑垃圾（生活垃圾、渣土）解体清运、复耕复绿及赔偿；因承包人施工原因造成的受损地方道路、桥梁或其他公共设施等，承包人应积极主动进行处理、解决、修复和恢复等，并承担所有费用。如果上述问题在发包人规定的期限内不能解决，发包人有权单独或委托其他单位进行处理，发生的全部费用从承包人工程款或保留金中抵扣，承包人应无条件接受。</w:t>
      </w:r>
    </w:p>
    <w:p>
      <w:pPr>
        <w:spacing w:line="400" w:lineRule="exact"/>
        <w:ind w:firstLine="420" w:firstLineChars="200"/>
        <w:rPr>
          <w:color w:val="000000"/>
        </w:rPr>
      </w:pPr>
      <w:r>
        <w:rPr>
          <w:rFonts w:hint="eastAsia"/>
          <w:color w:val="000000"/>
        </w:rPr>
        <w:t>（14）承包人应按照浙江省交通运输厅《关于在我省政府投资公路水运建设工程中推行安全质量远程视频监控系统的通知》、《关于进一步加强我省公路水运建设工程安全质量远程视频监控系统建设和管理的通知》、《关于扎实做好在建项目安全质量远程视频监控系统资源整合接入工作的通知》、《浙江省公路水运工程项目智慧建设三年专项行动实施意见》和《台州市交通工程远程视频监控和质监信息化系统管理办法（试行）的通知》做好相关工作。</w:t>
      </w:r>
    </w:p>
    <w:p>
      <w:pPr>
        <w:spacing w:line="400" w:lineRule="exact"/>
        <w:ind w:firstLine="420" w:firstLineChars="200"/>
        <w:rPr>
          <w:color w:val="000000"/>
        </w:rPr>
      </w:pPr>
      <w:r>
        <w:rPr>
          <w:rFonts w:hint="eastAsia"/>
          <w:color w:val="000000"/>
        </w:rPr>
        <w:t>（15）承包人应参加发包人组织召开的各种生产协调会议，或按照发包人的指示承包人组织召开各种专题会议或讨论会议。承包人因组织召开会议发生的各项费用包含在投标报价中，发包人不另行支付。</w:t>
      </w:r>
    </w:p>
    <w:p>
      <w:pPr>
        <w:spacing w:line="400" w:lineRule="exact"/>
        <w:ind w:firstLine="420" w:firstLineChars="200"/>
        <w:rPr>
          <w:color w:val="000000"/>
        </w:rPr>
      </w:pPr>
      <w:r>
        <w:rPr>
          <w:rFonts w:hint="eastAsia"/>
          <w:color w:val="000000"/>
        </w:rPr>
        <w:t>（16）政府部门因举行大型活动而要求项目暂时停工的，承包人应及时作出响应并配合政府部门做好相应工作，由此增加的相关费用视作已包含在投标报价中，发包人不另行支付。行业管理部门因规划调整等原因而导致合同内容发生变化，承包人应与发包人双方协商解决。</w:t>
      </w:r>
    </w:p>
    <w:p>
      <w:pPr>
        <w:spacing w:line="400" w:lineRule="exact"/>
        <w:ind w:firstLine="420" w:firstLineChars="200"/>
        <w:rPr>
          <w:color w:val="000000"/>
        </w:rPr>
      </w:pPr>
      <w:r>
        <w:rPr>
          <w:rFonts w:hint="eastAsia"/>
          <w:color w:val="000000"/>
        </w:rPr>
        <w:t>（17）开挖的土石方归发包人所有。开挖的土石方只能用于本项目，路基开挖的土石方必须优先满足本项目内路基填方、防护工程砌筑、绿化填方等本项目的需要，其次按照发包人的要求运输至认可的位置堆放，承包人不得擅自处置，同时弃方不得随意废弃，按国家法律法规及有关政策处理。承包人对弃渣要进行妥善保管，不得随意弃置、买卖、转让，否则按第22.1款承包人违约处理。在此期间所采取的所有措施以及因此增加的费用应认为已包括在投标报价中，发包人不另行支付。</w:t>
      </w:r>
    </w:p>
    <w:p>
      <w:pPr>
        <w:spacing w:line="400" w:lineRule="exact"/>
        <w:ind w:firstLine="420" w:firstLineChars="200"/>
        <w:rPr>
          <w:color w:val="000000"/>
        </w:rPr>
      </w:pPr>
      <w:r>
        <w:rPr>
          <w:rFonts w:hint="eastAsia"/>
          <w:color w:val="000000"/>
        </w:rPr>
        <w:t>路基填方、混凝土石料和砂的要求见专用技术规范和施工图要求，其技术指标应符合有关技术规范和设计要求。</w:t>
      </w:r>
    </w:p>
    <w:p>
      <w:pPr>
        <w:spacing w:line="400" w:lineRule="exact"/>
        <w:ind w:firstLine="420" w:firstLineChars="200"/>
        <w:rPr>
          <w:color w:val="000000"/>
        </w:rPr>
      </w:pPr>
      <w:r>
        <w:rPr>
          <w:rFonts w:hint="eastAsia"/>
          <w:color w:val="000000"/>
        </w:rPr>
        <w:t>（18）项目施工（含调试）所发生的施工用电及其费用均由承包人承担，承包人因此增加的费用应认为已包括在投标价之中，发包人不另行支付。</w:t>
      </w:r>
    </w:p>
    <w:p>
      <w:pPr>
        <w:spacing w:line="400" w:lineRule="exact"/>
        <w:ind w:firstLine="420" w:firstLineChars="200"/>
        <w:rPr>
          <w:color w:val="000000"/>
        </w:rPr>
      </w:pPr>
      <w:r>
        <w:rPr>
          <w:rFonts w:hint="eastAsia"/>
          <w:color w:val="000000"/>
        </w:rPr>
        <w:t>（19）交通事故、台风等致使交通标志需应急抢修时，承包人应当按《浙江省公路路政管理条例》的规定，在接到维护管理单位的通知后4小时内需作出反应，对损坏的公路标志，在发现后24小时内予以修复、更换；因技术等原因无法按时修复、更换的，应当设置临时公路标志。</w:t>
      </w:r>
    </w:p>
    <w:p>
      <w:pPr>
        <w:pStyle w:val="3"/>
        <w:spacing w:before="0" w:after="0" w:line="400" w:lineRule="exact"/>
        <w:rPr>
          <w:b w:val="0"/>
          <w:color w:val="000000"/>
          <w:sz w:val="21"/>
          <w:szCs w:val="21"/>
        </w:rPr>
      </w:pPr>
      <w:bookmarkStart w:id="366" w:name="_Toc452301301"/>
      <w:bookmarkStart w:id="367" w:name="_Toc173244821"/>
      <w:bookmarkStart w:id="368" w:name="_Toc173246208"/>
      <w:r>
        <w:rPr>
          <w:b w:val="0"/>
          <w:color w:val="000000"/>
          <w:sz w:val="21"/>
          <w:szCs w:val="21"/>
        </w:rPr>
        <w:t>4.3 分包</w:t>
      </w:r>
      <w:bookmarkEnd w:id="366"/>
      <w:bookmarkEnd w:id="367"/>
      <w:bookmarkEnd w:id="368"/>
    </w:p>
    <w:p>
      <w:pPr>
        <w:spacing w:line="400" w:lineRule="exact"/>
        <w:ind w:firstLine="420" w:firstLineChars="200"/>
        <w:rPr>
          <w:color w:val="000000"/>
        </w:rPr>
      </w:pPr>
      <w:r>
        <w:rPr>
          <w:rFonts w:hint="eastAsia"/>
        </w:rPr>
        <w:t>本项目不允许分包。</w:t>
      </w:r>
    </w:p>
    <w:p>
      <w:pPr>
        <w:pStyle w:val="3"/>
        <w:spacing w:before="0" w:after="0" w:line="400" w:lineRule="exact"/>
        <w:rPr>
          <w:sz w:val="24"/>
        </w:rPr>
      </w:pPr>
      <w:bookmarkStart w:id="369" w:name="_Toc173244822"/>
      <w:bookmarkStart w:id="370" w:name="_Toc173246209"/>
      <w:bookmarkStart w:id="371" w:name="_Toc452301302"/>
      <w:r>
        <w:rPr>
          <w:rFonts w:hint="eastAsia"/>
          <w:b w:val="0"/>
          <w:color w:val="000000"/>
          <w:sz w:val="21"/>
          <w:szCs w:val="21"/>
        </w:rPr>
        <w:t>4.5承包人项目经理</w:t>
      </w:r>
      <w:bookmarkEnd w:id="369"/>
      <w:bookmarkEnd w:id="370"/>
    </w:p>
    <w:p>
      <w:pPr>
        <w:spacing w:line="400" w:lineRule="exact"/>
        <w:ind w:firstLine="420" w:firstLineChars="200"/>
      </w:pPr>
      <w:r>
        <w:rPr>
          <w:rFonts w:hint="eastAsia"/>
        </w:rPr>
        <w:t>通用合同条款第4.5.</w:t>
      </w:r>
      <w:r>
        <w:t>1</w:t>
      </w:r>
      <w:r>
        <w:rPr>
          <w:rFonts w:hint="eastAsia"/>
        </w:rPr>
        <w:t>项细化：</w:t>
      </w:r>
    </w:p>
    <w:p>
      <w:pPr>
        <w:spacing w:line="400" w:lineRule="exact"/>
        <w:ind w:firstLine="420" w:firstLineChars="200"/>
        <w:rPr>
          <w:b/>
          <w:color w:val="000000"/>
          <w:szCs w:val="21"/>
        </w:rPr>
      </w:pPr>
      <w:r>
        <w:rPr>
          <w:rFonts w:hint="eastAsia" w:ascii="宋体" w:hAnsi="宋体"/>
          <w:color w:val="000000"/>
          <w:szCs w:val="21"/>
        </w:rPr>
        <w:t>4.5.1承包人应按合同约定指派项目经理，并在约定的期限内到职。承包人更换项目经理应事先征得发包人同意，并应在更换14天前通知发包人和监理人。承包人项目经理短期离开施工场地，应事先征得监理人、发包人同意，并委派人员代行其职责。</w:t>
      </w:r>
    </w:p>
    <w:p>
      <w:pPr>
        <w:pStyle w:val="3"/>
        <w:spacing w:before="0" w:after="0" w:line="400" w:lineRule="exact"/>
        <w:rPr>
          <w:b w:val="0"/>
          <w:color w:val="000000"/>
          <w:sz w:val="21"/>
          <w:szCs w:val="21"/>
        </w:rPr>
      </w:pPr>
      <w:bookmarkStart w:id="372" w:name="_Toc173244823"/>
      <w:bookmarkStart w:id="373" w:name="_Toc173246210"/>
      <w:r>
        <w:rPr>
          <w:b w:val="0"/>
          <w:color w:val="000000"/>
          <w:sz w:val="21"/>
          <w:szCs w:val="21"/>
        </w:rPr>
        <w:t>4.6 承包人人员的管理</w:t>
      </w:r>
      <w:bookmarkEnd w:id="371"/>
      <w:bookmarkEnd w:id="372"/>
      <w:bookmarkEnd w:id="373"/>
    </w:p>
    <w:p>
      <w:pPr>
        <w:spacing w:line="400" w:lineRule="exact"/>
        <w:ind w:firstLine="420" w:firstLineChars="200"/>
        <w:rPr>
          <w:rFonts w:ascii="宋体" w:hAnsi="宋体"/>
          <w:color w:val="000000"/>
          <w:szCs w:val="21"/>
        </w:rPr>
      </w:pPr>
      <w:r>
        <w:rPr>
          <w:rFonts w:hint="eastAsia" w:ascii="宋体" w:hAnsi="宋体"/>
          <w:color w:val="000000"/>
          <w:szCs w:val="21"/>
        </w:rPr>
        <w:t>公路工程专用合同条款第4.6.3项细化为：</w:t>
      </w:r>
    </w:p>
    <w:p>
      <w:pPr>
        <w:spacing w:line="400" w:lineRule="exact"/>
        <w:ind w:firstLine="420" w:firstLineChars="200"/>
        <w:rPr>
          <w:rFonts w:ascii="宋体" w:hAnsi="宋体"/>
          <w:color w:val="000000"/>
          <w:szCs w:val="21"/>
        </w:rPr>
      </w:pPr>
      <w:r>
        <w:rPr>
          <w:rFonts w:ascii="宋体" w:hAnsi="宋体"/>
          <w:color w:val="000000"/>
          <w:szCs w:val="21"/>
        </w:rPr>
        <w:t>承包人项目经理、项目技术负责人及安全负责人应签署承诺书，承诺按招标文件规定到位，若有更换，同意按浙江省信用评价管理实施细则扣分或纳入负面清单管理</w:t>
      </w:r>
      <w:r>
        <w:rPr>
          <w:rFonts w:hint="eastAsia" w:ascii="宋体" w:hAnsi="宋体"/>
          <w:color w:val="000000"/>
          <w:szCs w:val="21"/>
        </w:rPr>
        <w:t>。</w:t>
      </w:r>
    </w:p>
    <w:p>
      <w:pPr>
        <w:spacing w:line="400" w:lineRule="exact"/>
        <w:ind w:firstLine="420" w:firstLineChars="200"/>
        <w:rPr>
          <w:color w:val="000000"/>
        </w:rPr>
      </w:pPr>
      <w:r>
        <w:rPr>
          <w:color w:val="000000"/>
        </w:rPr>
        <w:t>公路工程专用合同条款 4.6 款补充第 4.6.6 项～第 4.6.8 项：</w:t>
      </w:r>
    </w:p>
    <w:p>
      <w:pPr>
        <w:spacing w:line="400" w:lineRule="exact"/>
        <w:ind w:firstLine="420" w:firstLineChars="200"/>
        <w:rPr>
          <w:color w:val="000000"/>
        </w:rPr>
      </w:pPr>
      <w:r>
        <w:rPr>
          <w:color w:val="000000"/>
        </w:rPr>
        <w:t>4.6.6</w:t>
      </w:r>
      <w:r>
        <w:rPr>
          <w:rFonts w:hint="eastAsia"/>
          <w:color w:val="000000"/>
        </w:rPr>
        <w:t>承包人的所有管理、施工人员（包括分包队伍）需着统一的明显标志服,夜间须为反光标志服,同时须符合相关安全管理的规定,并按不同岗位佩证上岗。其中，安全生产管理人员所着统一服装与其他人员应有明显区别，样式报发包人审核同意，承包人自行采购，相关费用包含在相关子目中，发包人不另行支付。</w:t>
      </w:r>
    </w:p>
    <w:p>
      <w:pPr>
        <w:spacing w:line="400" w:lineRule="exact"/>
        <w:ind w:firstLine="420" w:firstLineChars="200"/>
        <w:rPr>
          <w:color w:val="000000"/>
        </w:rPr>
      </w:pPr>
      <w:r>
        <w:rPr>
          <w:rFonts w:hint="eastAsia"/>
          <w:color w:val="000000"/>
        </w:rPr>
        <w:t>4.6.7承包人项目经理及主要管理人员的出勤需进行考勤。项目经理离开工地必须向监理人书面请假，并经发包人书面同意后才能离开；每月在工地天数应大于20天（特殊情况经监理人批准报发包人同意例外）。</w:t>
      </w:r>
    </w:p>
    <w:p>
      <w:pPr>
        <w:spacing w:line="400" w:lineRule="exact"/>
        <w:ind w:firstLine="420" w:firstLineChars="200"/>
        <w:rPr>
          <w:color w:val="000000"/>
        </w:rPr>
      </w:pPr>
      <w:r>
        <w:rPr>
          <w:rFonts w:hint="eastAsia"/>
          <w:color w:val="000000"/>
        </w:rPr>
        <w:t>4.6.8 除因管理原因发生重大质量安全事故不适合再任，因生病住院、终止劳动合同关系（需提供相关部门或单位的证明材料）等无法继续履行合同责任和义务，被责令停止执业、羁押或判刑外，承包人不得提出更换项目经理。符合上述要求规定确需更换的，应征得发包人同意，并经有关行业行政主管部门备案，且更换后的人员不得低于原投标承诺人员具有的资格和业绩条件。</w:t>
      </w:r>
    </w:p>
    <w:p>
      <w:pPr>
        <w:pStyle w:val="3"/>
        <w:spacing w:before="0" w:after="0" w:line="400" w:lineRule="exact"/>
        <w:rPr>
          <w:b w:val="0"/>
          <w:color w:val="000000"/>
          <w:sz w:val="21"/>
          <w:szCs w:val="21"/>
        </w:rPr>
      </w:pPr>
      <w:bookmarkStart w:id="374" w:name="_Toc173244824"/>
      <w:bookmarkStart w:id="375" w:name="_Toc173246211"/>
      <w:r>
        <w:rPr>
          <w:rFonts w:hint="eastAsia"/>
          <w:b w:val="0"/>
          <w:color w:val="000000"/>
          <w:sz w:val="21"/>
          <w:szCs w:val="21"/>
        </w:rPr>
        <w:t>4.7 撤换承包人项目经理和其他人员</w:t>
      </w:r>
      <w:bookmarkEnd w:id="374"/>
      <w:bookmarkEnd w:id="375"/>
    </w:p>
    <w:p>
      <w:pPr>
        <w:spacing w:line="400" w:lineRule="exact"/>
        <w:ind w:firstLine="420" w:firstLineChars="200"/>
        <w:rPr>
          <w:color w:val="000000"/>
        </w:rPr>
      </w:pPr>
      <w:r>
        <w:rPr>
          <w:rFonts w:hint="eastAsia"/>
          <w:color w:val="000000"/>
        </w:rPr>
        <w:t>本款细化为：</w:t>
      </w:r>
    </w:p>
    <w:p>
      <w:pPr>
        <w:spacing w:line="400" w:lineRule="exact"/>
        <w:ind w:firstLine="420" w:firstLineChars="200"/>
        <w:rPr>
          <w:color w:val="000000"/>
        </w:rPr>
      </w:pPr>
      <w:r>
        <w:rPr>
          <w:rFonts w:hint="eastAsia" w:ascii="宋体" w:hAnsi="宋体"/>
          <w:color w:val="000000"/>
          <w:szCs w:val="21"/>
        </w:rPr>
        <w:t>承包人应对其项目经理</w:t>
      </w:r>
      <w:bookmarkStart w:id="376" w:name="_Hlk117263124"/>
      <w:r>
        <w:rPr>
          <w:rFonts w:hint="eastAsia" w:ascii="宋体" w:hAnsi="宋体"/>
          <w:color w:val="000000"/>
          <w:szCs w:val="21"/>
        </w:rPr>
        <w:t>、项目技术负责人、安全负责人</w:t>
      </w:r>
      <w:bookmarkEnd w:id="376"/>
      <w:r>
        <w:rPr>
          <w:rFonts w:hint="eastAsia" w:ascii="宋体" w:hAnsi="宋体"/>
          <w:color w:val="000000"/>
          <w:szCs w:val="21"/>
        </w:rPr>
        <w:t>和其他管理人员进行有效管理。发包人或监理人要求撤换不能胜任本职工作、行为不端或玩忽职守、不能满足发包人工作要求的承包人项目经理或项目技术负责人或安全负责人或其他管理人员的，发包人有权书面通知承包人更换其认为不称职的项目经理、项目技术负责人、安全负责人和其他管理人员，通知中应当载明要求更换的理由。承包人应在接到更换通知后14天内向发包人提出书面的改进报告。发包人收到改进报告后仍要求更换的，承包人应在接到第二次更换通知的28天内进行更换，并将新任命的项目经理、项目技术负责人、安全负责人和其他管理人员资格、管理经验等资料书面通知发包人，且更换后的人员不得低于原投标承诺人员具有的资格和业绩条件。承包人无正当理由拒绝更换项目经理、项目技术负责人、安全负责人和其他管理人员的，应按照专用合同条款的约定承担违约责任。</w:t>
      </w:r>
    </w:p>
    <w:p>
      <w:pPr>
        <w:pStyle w:val="3"/>
        <w:spacing w:before="0" w:after="0" w:line="400" w:lineRule="exact"/>
        <w:rPr>
          <w:b w:val="0"/>
          <w:color w:val="000000"/>
          <w:sz w:val="21"/>
          <w:szCs w:val="21"/>
        </w:rPr>
      </w:pPr>
      <w:bookmarkStart w:id="377" w:name="_Toc452301303"/>
      <w:bookmarkStart w:id="378" w:name="_Toc173244825"/>
      <w:bookmarkStart w:id="379" w:name="_Toc173246212"/>
      <w:r>
        <w:rPr>
          <w:b w:val="0"/>
          <w:color w:val="000000"/>
          <w:sz w:val="21"/>
          <w:szCs w:val="21"/>
        </w:rPr>
        <w:t>4.8 保障承包人人员的合法权益</w:t>
      </w:r>
      <w:bookmarkEnd w:id="377"/>
      <w:bookmarkEnd w:id="378"/>
      <w:bookmarkEnd w:id="379"/>
    </w:p>
    <w:p>
      <w:pPr>
        <w:spacing w:line="400" w:lineRule="exact"/>
        <w:ind w:firstLine="420" w:firstLineChars="200"/>
        <w:rPr>
          <w:color w:val="000000"/>
        </w:rPr>
      </w:pPr>
      <w:r>
        <w:rPr>
          <w:color w:val="000000"/>
        </w:rPr>
        <w:t>通用合同条款 4.8.3 项补充：</w:t>
      </w:r>
    </w:p>
    <w:p>
      <w:pPr>
        <w:spacing w:line="400" w:lineRule="exact"/>
        <w:ind w:firstLine="420" w:firstLineChars="200"/>
        <w:rPr>
          <w:color w:val="000000"/>
        </w:rPr>
      </w:pPr>
      <w:r>
        <w:rPr>
          <w:rFonts w:hint="eastAsia"/>
          <w:color w:val="000000"/>
        </w:rPr>
        <w:t>承包人在施工现场应至少设一名具有一定卫生常识及传染病防治知识的卫生督查员，负责承包人所在施工现场的传染病检查、控制、报告。</w:t>
      </w:r>
    </w:p>
    <w:p>
      <w:pPr>
        <w:spacing w:line="400" w:lineRule="exact"/>
        <w:ind w:firstLine="420" w:firstLineChars="200"/>
        <w:rPr>
          <w:color w:val="000000"/>
        </w:rPr>
      </w:pPr>
      <w:r>
        <w:rPr>
          <w:rFonts w:hint="eastAsia"/>
          <w:color w:val="000000"/>
        </w:rPr>
        <w:t>一旦爆发任何具有传染性的疾病时， 承包人应遵守并执行当地政府或卫生防疫部门为防治和消灭上述传染病蔓延而制订的规章、命令和要求。建立人员流动登记制度、信息报告制度，与当地卫生防疫部门积极合作，做好各项防范措施的落实工作。涉及相关费用视为已包含在投标报价中，发包人不另行支付。</w:t>
      </w:r>
    </w:p>
    <w:p>
      <w:pPr>
        <w:spacing w:line="400" w:lineRule="exact"/>
        <w:ind w:firstLine="420" w:firstLineChars="200"/>
        <w:rPr>
          <w:rFonts w:ascii="宋体" w:hAnsi="宋体"/>
          <w:b/>
          <w:bCs/>
          <w:color w:val="000000"/>
          <w:szCs w:val="21"/>
        </w:rPr>
      </w:pPr>
      <w:r>
        <w:rPr>
          <w:rFonts w:hint="eastAsia"/>
          <w:color w:val="000000"/>
        </w:rPr>
        <w:t>补充第4</w:t>
      </w:r>
      <w:r>
        <w:rPr>
          <w:color w:val="000000"/>
        </w:rPr>
        <w:t>.8.7</w:t>
      </w:r>
      <w:r>
        <w:rPr>
          <w:rFonts w:hint="eastAsia"/>
          <w:color w:val="000000"/>
        </w:rPr>
        <w:t>项：</w:t>
      </w:r>
    </w:p>
    <w:p>
      <w:pPr>
        <w:pStyle w:val="228"/>
        <w:tabs>
          <w:tab w:val="left" w:pos="2790"/>
        </w:tabs>
        <w:spacing w:line="400" w:lineRule="exact"/>
        <w:ind w:firstLine="420" w:firstLineChars="200"/>
        <w:rPr>
          <w:rFonts w:ascii="宋体" w:hAnsi="宋体"/>
          <w:color w:val="000000"/>
          <w:szCs w:val="21"/>
        </w:rPr>
      </w:pPr>
      <w:r>
        <w:rPr>
          <w:rFonts w:hint="eastAsia" w:ascii="宋体" w:hAnsi="宋体"/>
          <w:color w:val="000000"/>
          <w:szCs w:val="21"/>
        </w:rPr>
        <w:t>4</w:t>
      </w:r>
      <w:r>
        <w:rPr>
          <w:rFonts w:ascii="宋体" w:hAnsi="宋体"/>
          <w:color w:val="000000"/>
          <w:szCs w:val="21"/>
        </w:rPr>
        <w:t>.8.7</w:t>
      </w:r>
      <w:r>
        <w:rPr>
          <w:rFonts w:hint="eastAsia" w:ascii="宋体" w:hAnsi="宋体"/>
          <w:color w:val="000000"/>
          <w:szCs w:val="21"/>
        </w:rPr>
        <w:t>职业健康管理</w:t>
      </w:r>
    </w:p>
    <w:p>
      <w:pPr>
        <w:spacing w:line="400" w:lineRule="exact"/>
        <w:ind w:firstLine="420" w:firstLineChars="200"/>
        <w:rPr>
          <w:color w:val="000000"/>
        </w:rPr>
      </w:pPr>
      <w:r>
        <w:rPr>
          <w:rFonts w:hint="eastAsia"/>
          <w:color w:val="000000"/>
        </w:rPr>
        <w:t>承包人应开展职业健康管理工作，设立组织机构和专门人员负责承包人所在施工现场的职业病危害因素辨识、申报、监控等职业健康管理工作。职业病危害因素辨识、申报、监控等工作产生的咨询费用、专家评审费用、会议费用、健康检查费用、及采取的一切职业健康管理措施费等相关费用，由承包人承担。</w:t>
      </w:r>
    </w:p>
    <w:p>
      <w:pPr>
        <w:pStyle w:val="3"/>
        <w:spacing w:before="0" w:after="0" w:line="400" w:lineRule="exact"/>
        <w:rPr>
          <w:b w:val="0"/>
          <w:color w:val="000000"/>
          <w:sz w:val="21"/>
          <w:szCs w:val="21"/>
        </w:rPr>
      </w:pPr>
      <w:bookmarkStart w:id="380" w:name="_Toc28640"/>
      <w:bookmarkStart w:id="381" w:name="_Toc22758"/>
      <w:bookmarkStart w:id="382" w:name="_Toc173244826"/>
      <w:bookmarkStart w:id="383" w:name="_Toc173246213"/>
      <w:r>
        <w:rPr>
          <w:rFonts w:hint="eastAsia"/>
          <w:b w:val="0"/>
          <w:color w:val="000000"/>
          <w:sz w:val="21"/>
          <w:szCs w:val="21"/>
        </w:rPr>
        <w:t>4.9工程价款应专款专用</w:t>
      </w:r>
      <w:bookmarkEnd w:id="380"/>
      <w:bookmarkEnd w:id="381"/>
      <w:bookmarkEnd w:id="382"/>
      <w:bookmarkEnd w:id="383"/>
    </w:p>
    <w:p>
      <w:pPr>
        <w:pStyle w:val="228"/>
        <w:tabs>
          <w:tab w:val="left" w:pos="2790"/>
        </w:tabs>
        <w:spacing w:line="400" w:lineRule="exact"/>
        <w:ind w:firstLine="420" w:firstLineChars="200"/>
        <w:rPr>
          <w:rFonts w:ascii="宋体" w:hAnsi="宋体"/>
          <w:color w:val="000000"/>
          <w:szCs w:val="21"/>
        </w:rPr>
      </w:pPr>
      <w:r>
        <w:rPr>
          <w:rFonts w:hint="eastAsia" w:ascii="宋体" w:hAnsi="宋体"/>
          <w:color w:val="000000"/>
          <w:szCs w:val="21"/>
        </w:rPr>
        <w:t>公路工程专用合同条款第4.9款约定为：</w:t>
      </w:r>
    </w:p>
    <w:p>
      <w:pPr>
        <w:pStyle w:val="228"/>
        <w:tabs>
          <w:tab w:val="left" w:pos="2790"/>
        </w:tabs>
        <w:spacing w:line="400" w:lineRule="exact"/>
        <w:ind w:firstLine="420" w:firstLineChars="200"/>
        <w:rPr>
          <w:rFonts w:ascii="宋体" w:hAnsi="宋体"/>
          <w:color w:val="000000"/>
          <w:szCs w:val="21"/>
        </w:rPr>
      </w:pPr>
      <w:r>
        <w:rPr>
          <w:rFonts w:hint="eastAsia" w:ascii="宋体" w:hAnsi="宋体"/>
          <w:color w:val="000000"/>
          <w:szCs w:val="21"/>
        </w:rPr>
        <w:t>发包人按合同约定支付给承包人的各项价款应专用于合同工程。发包人支付的工程进度款应为本工程的专款专用资金。</w:t>
      </w:r>
    </w:p>
    <w:p>
      <w:pPr>
        <w:pStyle w:val="3"/>
        <w:spacing w:before="0" w:after="0" w:line="400" w:lineRule="exact"/>
        <w:rPr>
          <w:b w:val="0"/>
          <w:color w:val="000000"/>
          <w:sz w:val="21"/>
          <w:szCs w:val="21"/>
        </w:rPr>
      </w:pPr>
      <w:bookmarkStart w:id="384" w:name="_Toc452301304"/>
      <w:bookmarkStart w:id="385" w:name="_Toc173244827"/>
      <w:bookmarkStart w:id="386" w:name="_Toc173246214"/>
      <w:r>
        <w:rPr>
          <w:b w:val="0"/>
          <w:color w:val="000000"/>
          <w:sz w:val="21"/>
          <w:szCs w:val="21"/>
        </w:rPr>
        <w:t>4.11 不利物质条件</w:t>
      </w:r>
      <w:bookmarkEnd w:id="384"/>
      <w:bookmarkEnd w:id="385"/>
      <w:bookmarkEnd w:id="386"/>
    </w:p>
    <w:p>
      <w:pPr>
        <w:spacing w:line="400" w:lineRule="exact"/>
        <w:ind w:firstLine="420" w:firstLineChars="200"/>
        <w:rPr>
          <w:lang w:val="zh-CN" w:eastAsia="zh-CN"/>
        </w:rPr>
      </w:pPr>
      <w:r>
        <w:rPr>
          <w:color w:val="000000"/>
        </w:rPr>
        <w:t>通用合同条款4.11.1项约定：</w:t>
      </w:r>
    </w:p>
    <w:p>
      <w:pPr>
        <w:spacing w:line="400" w:lineRule="exact"/>
        <w:ind w:firstLine="420" w:firstLineChars="200"/>
        <w:rPr>
          <w:color w:val="000000"/>
          <w:u w:val="single"/>
        </w:rPr>
      </w:pPr>
      <w:r>
        <w:rPr>
          <w:color w:val="000000"/>
        </w:rPr>
        <w:t>4.11.1 不利物质条件的范围：</w:t>
      </w:r>
      <w:r>
        <w:rPr>
          <w:color w:val="000000"/>
          <w:u w:val="single"/>
        </w:rPr>
        <w:t xml:space="preserve">  </w:t>
      </w:r>
      <w:r>
        <w:rPr>
          <w:rFonts w:hint="eastAsia"/>
          <w:b/>
          <w:i/>
          <w:color w:val="000000"/>
          <w:u w:val="single"/>
        </w:rPr>
        <w:t xml:space="preserve">无 </w:t>
      </w:r>
      <w:r>
        <w:rPr>
          <w:color w:val="000000"/>
          <w:u w:val="single"/>
        </w:rPr>
        <w:t xml:space="preserve">  </w:t>
      </w:r>
    </w:p>
    <w:p>
      <w:pPr>
        <w:pStyle w:val="3"/>
        <w:snapToGrid w:val="0"/>
        <w:spacing w:before="0" w:after="0" w:line="360" w:lineRule="auto"/>
        <w:rPr>
          <w:rFonts w:ascii="宋体" w:hAnsi="宋体"/>
          <w:sz w:val="28"/>
          <w:szCs w:val="28"/>
        </w:rPr>
      </w:pPr>
      <w:bookmarkStart w:id="387" w:name="_Toc173246215"/>
      <w:bookmarkStart w:id="388" w:name="_Toc173244828"/>
      <w:r>
        <w:rPr>
          <w:rFonts w:hint="eastAsia" w:ascii="宋体" w:hAnsi="宋体"/>
          <w:sz w:val="28"/>
          <w:szCs w:val="28"/>
        </w:rPr>
        <w:t>6. 施工设备和临时设施</w:t>
      </w:r>
      <w:bookmarkEnd w:id="387"/>
      <w:bookmarkEnd w:id="388"/>
    </w:p>
    <w:p>
      <w:pPr>
        <w:pStyle w:val="3"/>
        <w:spacing w:before="0" w:after="0" w:line="400" w:lineRule="exact"/>
        <w:rPr>
          <w:rFonts w:ascii="宋体" w:hAnsi="宋体"/>
          <w:b w:val="0"/>
          <w:sz w:val="21"/>
          <w:szCs w:val="21"/>
        </w:rPr>
      </w:pPr>
      <w:bookmarkStart w:id="389" w:name="_Toc173244829"/>
      <w:bookmarkStart w:id="390" w:name="_Toc173246216"/>
      <w:r>
        <w:rPr>
          <w:rFonts w:hint="eastAsia" w:ascii="宋体" w:hAnsi="宋体"/>
          <w:b w:val="0"/>
          <w:sz w:val="21"/>
          <w:szCs w:val="21"/>
        </w:rPr>
        <w:t>6.3 要求承包人增加或更换施工设备</w:t>
      </w:r>
      <w:bookmarkEnd w:id="389"/>
      <w:bookmarkEnd w:id="390"/>
    </w:p>
    <w:p>
      <w:pPr>
        <w:spacing w:line="400" w:lineRule="exact"/>
        <w:ind w:firstLine="420" w:firstLineChars="200"/>
        <w:rPr>
          <w:color w:val="000000"/>
        </w:rPr>
      </w:pPr>
      <w:r>
        <w:rPr>
          <w:color w:val="000000"/>
        </w:rPr>
        <w:t>公路工程专用合同条款 6.3 款细化为：</w:t>
      </w:r>
    </w:p>
    <w:p>
      <w:pPr>
        <w:spacing w:line="400" w:lineRule="exact"/>
        <w:ind w:firstLine="420" w:firstLineChars="200"/>
        <w:rPr>
          <w:color w:val="000000"/>
        </w:rPr>
      </w:pPr>
      <w:r>
        <w:rPr>
          <w:color w:val="000000"/>
        </w:rPr>
        <w:t>承包人承诺的施工设备必须按时到达现场，不得拖延、缺少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pPr>
        <w:spacing w:line="400" w:lineRule="exact"/>
        <w:ind w:firstLine="420" w:firstLineChars="200"/>
        <w:rPr>
          <w:color w:val="000000"/>
        </w:rPr>
      </w:pPr>
      <w:r>
        <w:rPr>
          <w:color w:val="000000"/>
        </w:rPr>
        <w:t>承包人应综合考虑本项目特点、现场情况的特殊性，根据项目总体进度计划和阶段性计划以及发包人的要求合理安排好施工设备进场，必要时应切实加大施工设备、人力、物力的投入并经监理人、发包人审批认可，由此增加的费用认为已包括在投标价之中，发包人不另行支付。</w:t>
      </w:r>
    </w:p>
    <w:p>
      <w:pPr>
        <w:spacing w:line="400" w:lineRule="exact"/>
        <w:ind w:firstLine="420" w:firstLineChars="200"/>
        <w:rPr>
          <w:color w:val="000000"/>
        </w:rPr>
      </w:pPr>
      <w:r>
        <w:rPr>
          <w:color w:val="000000"/>
        </w:rPr>
        <w:t>承包人的机械、车辆必须证（照）齐全，三无车辆</w:t>
      </w:r>
      <w:r>
        <w:rPr>
          <w:rFonts w:hint="eastAsia"/>
          <w:color w:val="000000"/>
        </w:rPr>
        <w:t>（包括黄标车）</w:t>
      </w:r>
      <w:r>
        <w:rPr>
          <w:color w:val="000000"/>
        </w:rPr>
        <w:t>不得进场。</w:t>
      </w:r>
    </w:p>
    <w:p>
      <w:pPr>
        <w:spacing w:line="400" w:lineRule="exact"/>
        <w:ind w:firstLine="420" w:firstLineChars="200"/>
        <w:rPr>
          <w:color w:val="000000"/>
        </w:rPr>
      </w:pPr>
      <w:r>
        <w:rPr>
          <w:color w:val="000000"/>
        </w:rPr>
        <w:t>违反本款规定，则按第22.1款承包人违约处理。</w:t>
      </w:r>
    </w:p>
    <w:p>
      <w:pPr>
        <w:pStyle w:val="3"/>
        <w:snapToGrid w:val="0"/>
        <w:spacing w:before="0" w:after="0" w:line="360" w:lineRule="auto"/>
        <w:rPr>
          <w:rFonts w:ascii="宋体" w:hAnsi="宋体"/>
          <w:sz w:val="28"/>
          <w:szCs w:val="28"/>
        </w:rPr>
      </w:pPr>
      <w:bookmarkStart w:id="391" w:name="_Toc173244830"/>
      <w:bookmarkStart w:id="392" w:name="_Toc173246217"/>
      <w:r>
        <w:rPr>
          <w:rFonts w:hint="eastAsia" w:ascii="宋体" w:hAnsi="宋体"/>
          <w:sz w:val="28"/>
          <w:szCs w:val="28"/>
        </w:rPr>
        <w:t>7. 交通运输</w:t>
      </w:r>
      <w:bookmarkEnd w:id="391"/>
      <w:bookmarkEnd w:id="392"/>
    </w:p>
    <w:p>
      <w:pPr>
        <w:pStyle w:val="3"/>
        <w:spacing w:before="0" w:after="0" w:line="400" w:lineRule="exact"/>
        <w:rPr>
          <w:rFonts w:ascii="宋体" w:hAnsi="宋体"/>
          <w:b w:val="0"/>
          <w:sz w:val="21"/>
          <w:szCs w:val="21"/>
        </w:rPr>
      </w:pPr>
      <w:bookmarkStart w:id="393" w:name="_Toc173244831"/>
      <w:bookmarkStart w:id="394" w:name="_Toc173246218"/>
      <w:r>
        <w:rPr>
          <w:rFonts w:hint="eastAsia" w:ascii="宋体" w:hAnsi="宋体"/>
          <w:b w:val="0"/>
          <w:sz w:val="21"/>
          <w:szCs w:val="21"/>
        </w:rPr>
        <w:t>7.2 场内施工道路</w:t>
      </w:r>
      <w:bookmarkEnd w:id="393"/>
      <w:bookmarkEnd w:id="394"/>
    </w:p>
    <w:p>
      <w:pPr>
        <w:spacing w:line="400" w:lineRule="exact"/>
        <w:ind w:firstLine="420" w:firstLineChars="200"/>
        <w:rPr>
          <w:rFonts w:ascii="宋体" w:hAnsi="宋体" w:eastAsia="宋体" w:cs="宋体"/>
        </w:rPr>
      </w:pPr>
      <w:r>
        <w:rPr>
          <w:rFonts w:hint="eastAsia" w:ascii="宋体" w:hAnsi="宋体" w:eastAsia="宋体" w:cs="宋体"/>
        </w:rPr>
        <w:t>通用合同条款第 7.2.2 项约定为：</w:t>
      </w:r>
    </w:p>
    <w:p>
      <w:pPr>
        <w:spacing w:line="400" w:lineRule="exact"/>
        <w:ind w:firstLine="420" w:firstLineChars="200"/>
        <w:rPr>
          <w:rFonts w:ascii="宋体" w:hAnsi="宋体" w:eastAsia="宋体" w:cs="宋体"/>
        </w:rPr>
      </w:pPr>
      <w:r>
        <w:rPr>
          <w:rFonts w:hint="eastAsia" w:ascii="宋体" w:hAnsi="宋体" w:eastAsia="宋体" w:cs="宋体"/>
        </w:rPr>
        <w:t>7.2.2 承包人应允许发包人、监理人及发包人安排的其他相关人员无偿使用由承包人修建和维护的临时道路、桥梁等设施。承包人应允许与发包人签订有承包合同的其他承包人或其工作人员使用由承包人修建和维护的临时道路、桥梁等设施；如其他承包人或其工作人员在使用中对临时设施有损坏时，承包人可通过监理人指出由其他承包人给予修复或赔偿的要求。</w:t>
      </w:r>
    </w:p>
    <w:p>
      <w:pPr>
        <w:pStyle w:val="3"/>
        <w:snapToGrid w:val="0"/>
        <w:spacing w:before="0" w:after="0" w:line="360" w:lineRule="auto"/>
        <w:rPr>
          <w:rFonts w:ascii="宋体" w:hAnsi="宋体"/>
          <w:sz w:val="28"/>
          <w:szCs w:val="28"/>
        </w:rPr>
      </w:pPr>
      <w:bookmarkStart w:id="395" w:name="_Toc173244832"/>
      <w:bookmarkStart w:id="396" w:name="_Toc173246219"/>
      <w:r>
        <w:rPr>
          <w:rFonts w:hint="eastAsia" w:ascii="宋体" w:hAnsi="宋体"/>
          <w:sz w:val="28"/>
          <w:szCs w:val="28"/>
        </w:rPr>
        <w:t>9. 施工安全、治安保卫和环境保护</w:t>
      </w:r>
      <w:bookmarkEnd w:id="395"/>
      <w:bookmarkEnd w:id="396"/>
    </w:p>
    <w:p>
      <w:pPr>
        <w:pStyle w:val="3"/>
        <w:spacing w:before="0" w:after="0" w:line="400" w:lineRule="exact"/>
        <w:rPr>
          <w:rFonts w:ascii="宋体" w:hAnsi="宋体"/>
          <w:b w:val="0"/>
          <w:sz w:val="21"/>
          <w:szCs w:val="21"/>
        </w:rPr>
      </w:pPr>
      <w:bookmarkStart w:id="397" w:name="_Toc173244833"/>
      <w:bookmarkStart w:id="398" w:name="_Toc173246220"/>
      <w:r>
        <w:rPr>
          <w:rFonts w:hint="eastAsia" w:ascii="宋体" w:hAnsi="宋体"/>
          <w:b w:val="0"/>
          <w:sz w:val="21"/>
          <w:szCs w:val="21"/>
        </w:rPr>
        <w:t>9.2 承包人的施工安全责任</w:t>
      </w:r>
      <w:bookmarkEnd w:id="397"/>
      <w:bookmarkEnd w:id="398"/>
    </w:p>
    <w:p>
      <w:pPr>
        <w:spacing w:line="400" w:lineRule="exact"/>
        <w:ind w:firstLine="420" w:firstLineChars="200"/>
        <w:rPr>
          <w:rFonts w:ascii="宋体" w:hAnsi="宋体" w:eastAsia="宋体" w:cs="宋体"/>
        </w:rPr>
      </w:pPr>
      <w:r>
        <w:rPr>
          <w:rFonts w:hint="eastAsia" w:ascii="宋体" w:hAnsi="宋体" w:eastAsia="宋体" w:cs="宋体"/>
        </w:rPr>
        <w:t>公路工程专用合同条款第 9.2.5 项约定为：</w:t>
      </w:r>
    </w:p>
    <w:p>
      <w:pPr>
        <w:spacing w:line="400" w:lineRule="exact"/>
        <w:ind w:firstLine="420" w:firstLineChars="200"/>
        <w:rPr>
          <w:rFonts w:ascii="宋体" w:hAnsi="宋体" w:eastAsia="宋体" w:cs="宋体"/>
        </w:rPr>
      </w:pPr>
      <w:r>
        <w:rPr>
          <w:rFonts w:hint="eastAsia" w:ascii="宋体" w:hAnsi="宋体" w:eastAsia="宋体" w:cs="宋体"/>
        </w:rPr>
        <w:t xml:space="preserve">9.2.5 安全生产费用，不低于投标价（不含安全生产费、建筑工程一切险及第三者责任的保险费）的 </w:t>
      </w:r>
      <w:r>
        <w:rPr>
          <w:rFonts w:ascii="宋体" w:hAnsi="宋体" w:eastAsia="宋体" w:cs="宋体"/>
        </w:rPr>
        <w:t>2</w:t>
      </w:r>
      <w:r>
        <w:rPr>
          <w:rFonts w:hint="eastAsia" w:ascii="宋体" w:hAnsi="宋体" w:eastAsia="宋体" w:cs="宋体"/>
        </w:rPr>
        <w:t>%，且不得作为竞争性报价(关于印发《企业安全生产费用提取和使用管理办法》的通知财企〔2012〕16号)。安全生产费用应用于施工安全防护用具及设施的采购和更新、安全施工措施的落实、安全生产条件的改善，不得挪作他用。承包人还应执行浙江省人民政府浙政令〔2012〕300号《浙江省交通建设工程质量和安全生产管理办法》的相关规定和要求。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 款商定或确定。安全生产费的使用和支付按浙交〔2009〕228 号关于印发《浙江省公路水运建设工程安全生产费用管理暂行规定》、浙交监〔2013〕43号《关于进一步加强我省交通建设工程施工安全生产费用管理的通知》的相关要求以及相关最新规定办理。</w:t>
      </w:r>
    </w:p>
    <w:p>
      <w:pPr>
        <w:spacing w:line="400" w:lineRule="exact"/>
        <w:ind w:firstLine="420" w:firstLineChars="200"/>
        <w:rPr>
          <w:rFonts w:ascii="宋体" w:hAnsi="宋体" w:eastAsia="宋体" w:cs="宋体"/>
        </w:rPr>
      </w:pPr>
      <w:r>
        <w:rPr>
          <w:rFonts w:hint="eastAsia" w:ascii="宋体" w:hAnsi="宋体" w:eastAsia="宋体" w:cs="宋体"/>
        </w:rPr>
        <w:t>公路工程专用合同条款第 9.2.8（1）目细化为：</w:t>
      </w:r>
    </w:p>
    <w:p>
      <w:pPr>
        <w:spacing w:line="400" w:lineRule="exact"/>
        <w:ind w:firstLine="420" w:firstLineChars="200"/>
        <w:rPr>
          <w:rFonts w:ascii="宋体" w:hAnsi="宋体" w:eastAsia="宋体" w:cs="宋体"/>
        </w:rPr>
      </w:pPr>
      <w:r>
        <w:rPr>
          <w:rFonts w:hint="eastAsia" w:ascii="宋体" w:hAnsi="宋体" w:eastAsia="宋体" w:cs="宋体"/>
        </w:rPr>
        <w:t>（1）按《公路水运工程安全生产监督管理办法》、《浙江省交通建设工程质量和安全生产管理办法》、《浙江省交通建设工程安全生产监督管理实施细则》配备固定专职安全生产管理人员，并履行安全生产管理人员职责。</w:t>
      </w:r>
    </w:p>
    <w:p>
      <w:pPr>
        <w:spacing w:line="400" w:lineRule="exact"/>
        <w:ind w:firstLine="420" w:firstLineChars="200"/>
        <w:rPr>
          <w:rFonts w:ascii="宋体" w:hAnsi="宋体" w:eastAsia="宋体" w:cs="宋体"/>
        </w:rPr>
      </w:pPr>
      <w:r>
        <w:rPr>
          <w:rFonts w:hint="eastAsia" w:ascii="宋体" w:hAnsi="宋体" w:eastAsia="宋体" w:cs="宋体"/>
        </w:rPr>
        <w:t>公路工程专用合同条款第 9.2.8 项补充第（5）目：</w:t>
      </w:r>
    </w:p>
    <w:p>
      <w:pPr>
        <w:spacing w:line="400" w:lineRule="exact"/>
        <w:ind w:firstLine="420" w:firstLineChars="200"/>
        <w:rPr>
          <w:rFonts w:ascii="宋体" w:hAnsi="宋体" w:eastAsia="宋体" w:cs="宋体"/>
        </w:rPr>
      </w:pPr>
      <w:r>
        <w:rPr>
          <w:rFonts w:hint="eastAsia" w:ascii="宋体" w:hAnsi="宋体" w:eastAsia="宋体" w:cs="宋体"/>
        </w:rPr>
        <w:t>（5）严格按批准的实施性交通安全组织方案做好施工安全相关组织管理工作。</w:t>
      </w:r>
    </w:p>
    <w:p>
      <w:pPr>
        <w:spacing w:line="400" w:lineRule="exact"/>
        <w:ind w:firstLine="420" w:firstLineChars="200"/>
        <w:rPr>
          <w:color w:val="000000"/>
        </w:rPr>
      </w:pPr>
      <w:r>
        <w:rPr>
          <w:rFonts w:hint="eastAsia"/>
          <w:color w:val="000000"/>
        </w:rPr>
        <w:t>公路工程专用合同条款补充第9.2.12~9.2.18 项：</w:t>
      </w:r>
    </w:p>
    <w:p>
      <w:pPr>
        <w:spacing w:line="400" w:lineRule="exact"/>
        <w:ind w:firstLine="420" w:firstLineChars="200"/>
        <w:rPr>
          <w:rFonts w:ascii="宋体" w:hAnsi="宋体" w:eastAsia="宋体" w:cs="宋体"/>
        </w:rPr>
      </w:pPr>
    </w:p>
    <w:p>
      <w:pPr>
        <w:spacing w:line="400" w:lineRule="exact"/>
        <w:ind w:firstLine="420" w:firstLineChars="200"/>
        <w:rPr>
          <w:color w:val="000000"/>
        </w:rPr>
      </w:pPr>
      <w:r>
        <w:rPr>
          <w:rFonts w:hint="eastAsia"/>
          <w:color w:val="000000"/>
        </w:rPr>
        <w:t>9.2.12 承包人应按照《浙江省交通建设工程施工安全风险管理办法》，在施工标段开工前负责组织开展专项风险评估工作，承包人因此增加的费用认为已包括在合同价中，发包人不另行支付。</w:t>
      </w:r>
    </w:p>
    <w:p>
      <w:pPr>
        <w:spacing w:line="400" w:lineRule="exact"/>
        <w:ind w:firstLine="420" w:firstLineChars="200"/>
        <w:rPr>
          <w:color w:val="000000"/>
        </w:rPr>
      </w:pPr>
      <w:r>
        <w:rPr>
          <w:rFonts w:hint="eastAsia"/>
          <w:color w:val="000000"/>
        </w:rPr>
        <w:t>9.2.13 承包人应对危险性较大的分部分项工程按照《浙江省交通建设危险性较大的分部分项工程专项施工方案管理办法》要求做好专项施工方案编制、审查等工作。由施工引起涉及各类管线的，由承包人负责安全评估等相关工作，以保证施工安全。由施工引起的涉河、涉水等审批应由承包人负责。承包人所采取的所有措施以及因此增加的费用（含技术、安全论证专题费、风险评估费用、聘请专家的会务费、安评、审批等）应认为已包括在合同价中，发包人不另行支付。危大工程、关键工序施工时，施工单位项目负责人必须现场带班作业，并指定专业技术人员现场落实方案实施。</w:t>
      </w:r>
    </w:p>
    <w:p>
      <w:pPr>
        <w:spacing w:line="400" w:lineRule="exact"/>
        <w:ind w:firstLine="420" w:firstLineChars="200"/>
        <w:rPr>
          <w:color w:val="000000"/>
        </w:rPr>
      </w:pPr>
      <w:r>
        <w:rPr>
          <w:rFonts w:hint="eastAsia"/>
          <w:color w:val="000000"/>
        </w:rPr>
        <w:t>9.2.14在合同执行期间，承包人应执行发包人和行业主管部门下发的安全生产管理的相关规定和文件。</w:t>
      </w:r>
    </w:p>
    <w:p>
      <w:pPr>
        <w:spacing w:line="400" w:lineRule="exact"/>
        <w:ind w:firstLine="420" w:firstLineChars="200"/>
        <w:rPr>
          <w:color w:val="000000"/>
        </w:rPr>
      </w:pPr>
      <w:r>
        <w:rPr>
          <w:rFonts w:hint="eastAsia"/>
          <w:color w:val="000000"/>
        </w:rPr>
        <w:t>9.2.15在合同执行期间，因承包人原因引起的交通事故，其所涉及的停工、索赔、赔偿、诉讼费用及工程拖延或施工费用增加时，应由承包人承担一切责任和费用。</w:t>
      </w:r>
    </w:p>
    <w:p>
      <w:pPr>
        <w:spacing w:line="400" w:lineRule="exact"/>
        <w:ind w:firstLine="420" w:firstLineChars="200"/>
        <w:rPr>
          <w:color w:val="000000"/>
        </w:rPr>
      </w:pPr>
      <w:r>
        <w:rPr>
          <w:rFonts w:hint="eastAsia"/>
          <w:color w:val="000000"/>
        </w:rPr>
        <w:t>9.2.16承包人要加强源头控制，落实安全管理责任，切实做好施工车辆、施工路段管理。一是强化源头管理，对施工车辆上路条件、安全技术状况和资质进行严格把关。二是加强检查力度，严禁施工车辆超载、违法载人以及遮挡号牌、无牌上路等违法行为。三是做好施工路段管控，严格按照有关标准设置明显的安全警示标志，采取安全防护措施，引导施工路段车辆安全通行，严禁非施工作业车辆进入施工区域。</w:t>
      </w:r>
    </w:p>
    <w:p>
      <w:pPr>
        <w:spacing w:line="400" w:lineRule="exact"/>
        <w:ind w:firstLine="420" w:firstLineChars="200"/>
        <w:rPr>
          <w:color w:val="000000"/>
        </w:rPr>
      </w:pPr>
      <w:r>
        <w:rPr>
          <w:rFonts w:hint="eastAsia"/>
          <w:color w:val="000000"/>
        </w:rPr>
        <w:t>9.2.17 承包人原则上不得安排夜间施工，确需施工的，必须制定专项方案，报发包人批准。夜间施工时，承包人项目负责人必须现场带班作业，并指定工程管理人员和专职安全生产管理人员监督现场施工。</w:t>
      </w:r>
    </w:p>
    <w:p>
      <w:pPr>
        <w:spacing w:line="400" w:lineRule="exact"/>
        <w:ind w:firstLine="420" w:firstLineChars="200"/>
        <w:rPr>
          <w:color w:val="000000"/>
        </w:rPr>
      </w:pPr>
      <w:r>
        <w:rPr>
          <w:rFonts w:hint="eastAsia"/>
          <w:color w:val="000000"/>
        </w:rPr>
        <w:t>9.2.18 承包人应按照《交通运输部 应急管理部关于发布&lt;公路水运工程淘汰危及生产安全施工工艺、设备和材料目录&gt;的公告》、《浙江省交通运输厅关于发布&lt;浙江省公路水运工程落后施工工艺、设备和材料的淘汰目录（第一批）&gt;的通知》等规定，严格淘汰危及生产安全和落后的施工工艺、设备和材料。</w:t>
      </w:r>
    </w:p>
    <w:p>
      <w:pPr>
        <w:spacing w:line="400" w:lineRule="exact"/>
        <w:ind w:firstLine="420" w:firstLineChars="200"/>
        <w:rPr>
          <w:color w:val="000000"/>
        </w:rPr>
      </w:pPr>
      <w:r>
        <w:rPr>
          <w:rFonts w:hint="eastAsia"/>
          <w:color w:val="000000"/>
        </w:rPr>
        <w:t>违反本款规定，则按第22.1款承包人违约处理。</w:t>
      </w:r>
    </w:p>
    <w:p>
      <w:pPr>
        <w:pStyle w:val="3"/>
        <w:spacing w:before="0" w:after="0" w:line="400" w:lineRule="exact"/>
        <w:rPr>
          <w:rFonts w:ascii="宋体" w:hAnsi="宋体"/>
          <w:b w:val="0"/>
          <w:sz w:val="21"/>
          <w:szCs w:val="21"/>
        </w:rPr>
      </w:pPr>
      <w:bookmarkStart w:id="399" w:name="_Toc173244834"/>
      <w:bookmarkStart w:id="400" w:name="_Toc173246221"/>
      <w:r>
        <w:rPr>
          <w:rFonts w:hint="eastAsia" w:ascii="宋体" w:hAnsi="宋体"/>
          <w:b w:val="0"/>
          <w:sz w:val="21"/>
          <w:szCs w:val="21"/>
        </w:rPr>
        <w:t>9.4 环境保护</w:t>
      </w:r>
      <w:bookmarkEnd w:id="399"/>
      <w:bookmarkEnd w:id="400"/>
    </w:p>
    <w:p>
      <w:pPr>
        <w:spacing w:line="400" w:lineRule="exact"/>
        <w:ind w:firstLine="420" w:firstLineChars="200"/>
        <w:rPr>
          <w:rFonts w:ascii="宋体" w:hAnsi="宋体" w:eastAsia="宋体" w:cs="宋体"/>
        </w:rPr>
      </w:pPr>
      <w:r>
        <w:rPr>
          <w:rFonts w:hint="eastAsia" w:ascii="宋体" w:hAnsi="宋体" w:eastAsia="宋体" w:cs="宋体"/>
        </w:rPr>
        <w:t>公路工程专用合同条款补充第 9.4.12 项：</w:t>
      </w:r>
    </w:p>
    <w:p>
      <w:pPr>
        <w:spacing w:line="400" w:lineRule="exact"/>
        <w:ind w:firstLine="420" w:firstLineChars="200"/>
        <w:rPr>
          <w:rFonts w:ascii="宋体" w:hAnsi="宋体" w:eastAsia="宋体" w:cs="宋体"/>
        </w:rPr>
      </w:pPr>
      <w:r>
        <w:rPr>
          <w:rFonts w:hint="eastAsia" w:ascii="宋体" w:hAnsi="宋体" w:eastAsia="宋体" w:cs="宋体"/>
        </w:rPr>
        <w:t>9.4.12 承包人在施工中应当贯彻“不破坏就是最大的保护”思想，尊重自然植被地貌，原则上不准在主线视线范围内设置借土场（取土坑）、弃土场（弃渣场），确需要的，承包人须采取复绿、 排水及防护等措施，保证公路沿线美观、和谐、环保。</w:t>
      </w:r>
    </w:p>
    <w:p>
      <w:pPr>
        <w:spacing w:line="400" w:lineRule="exact"/>
        <w:ind w:firstLine="420" w:firstLineChars="200"/>
        <w:rPr>
          <w:rFonts w:ascii="宋体" w:hAnsi="宋体" w:eastAsia="宋体" w:cs="宋体"/>
        </w:rPr>
      </w:pPr>
      <w:r>
        <w:rPr>
          <w:rFonts w:hint="eastAsia" w:ascii="宋体" w:hAnsi="宋体" w:eastAsia="宋体" w:cs="宋体"/>
        </w:rPr>
        <w:t xml:space="preserve"> 承包人对借土场（取土坑）、弃土场（弃渣场）以及其他临时用地须按照设计图纸或承包人自行调查确定，选取工作须报监理人审批、发包人同意，并履行相关职能部门的报批程序后，方可开展施工，所采取的复绿、复耕、排水及防护等措施须通过相关部门的环评、水保、土地等验收，承包人所采取的所有措施以及因此增加的费用应认为已包括在投标价之中，发包人不另行支付。若承包人无视借、弃土场的环保、水保等的处理要求，发包人有权指定第三方专业施工队伍履行承包人的上述义务，因此所发生的所有费用将在承包人的计量款中直接扣除。</w:t>
      </w:r>
    </w:p>
    <w:p>
      <w:pPr>
        <w:pStyle w:val="3"/>
        <w:snapToGrid w:val="0"/>
        <w:spacing w:before="0" w:after="0" w:line="360" w:lineRule="auto"/>
        <w:rPr>
          <w:rFonts w:ascii="宋体" w:hAnsi="宋体"/>
          <w:sz w:val="28"/>
          <w:szCs w:val="28"/>
        </w:rPr>
      </w:pPr>
      <w:bookmarkStart w:id="401" w:name="_Toc173246222"/>
      <w:bookmarkStart w:id="402" w:name="_Toc173244835"/>
      <w:r>
        <w:rPr>
          <w:rFonts w:hint="eastAsia" w:ascii="宋体" w:hAnsi="宋体"/>
          <w:sz w:val="28"/>
          <w:szCs w:val="28"/>
        </w:rPr>
        <w:t>10. 进度计划</w:t>
      </w:r>
      <w:bookmarkEnd w:id="401"/>
      <w:bookmarkEnd w:id="402"/>
    </w:p>
    <w:p>
      <w:pPr>
        <w:pStyle w:val="3"/>
        <w:spacing w:before="0" w:after="0" w:line="400" w:lineRule="exact"/>
        <w:rPr>
          <w:rFonts w:ascii="宋体" w:hAnsi="宋体"/>
          <w:b w:val="0"/>
          <w:sz w:val="21"/>
          <w:szCs w:val="21"/>
        </w:rPr>
      </w:pPr>
      <w:bookmarkStart w:id="403" w:name="_Toc173244836"/>
      <w:bookmarkStart w:id="404" w:name="_Toc173246223"/>
      <w:r>
        <w:rPr>
          <w:rFonts w:hint="eastAsia" w:ascii="宋体" w:hAnsi="宋体"/>
          <w:b w:val="0"/>
          <w:sz w:val="21"/>
          <w:szCs w:val="21"/>
        </w:rPr>
        <w:t>10.1 合同进度计划</w:t>
      </w:r>
      <w:bookmarkEnd w:id="403"/>
      <w:bookmarkEnd w:id="404"/>
    </w:p>
    <w:p>
      <w:pPr>
        <w:spacing w:line="400" w:lineRule="exact"/>
        <w:ind w:firstLine="420" w:firstLineChars="200"/>
        <w:rPr>
          <w:rFonts w:ascii="宋体" w:hAnsi="宋体" w:eastAsia="宋体" w:cs="宋体"/>
        </w:rPr>
      </w:pPr>
      <w:r>
        <w:rPr>
          <w:rFonts w:hint="eastAsia" w:ascii="宋体" w:hAnsi="宋体" w:eastAsia="宋体" w:cs="宋体"/>
        </w:rPr>
        <w:t>公路工程专用合同条款 10.1 款中</w:t>
      </w:r>
    </w:p>
    <w:p>
      <w:pPr>
        <w:spacing w:line="400" w:lineRule="exact"/>
        <w:ind w:firstLine="420" w:firstLineChars="200"/>
        <w:rPr>
          <w:rFonts w:ascii="宋体" w:hAnsi="宋体" w:eastAsia="宋体" w:cs="宋体"/>
        </w:rPr>
      </w:pPr>
      <w:r>
        <w:rPr>
          <w:rFonts w:hint="eastAsia" w:ascii="宋体" w:hAnsi="宋体" w:eastAsia="宋体" w:cs="宋体"/>
        </w:rPr>
        <w:t>承包人编制施工方案的内容应包括（但不限于）：</w:t>
      </w:r>
    </w:p>
    <w:p>
      <w:pPr>
        <w:spacing w:line="400" w:lineRule="exact"/>
        <w:ind w:firstLine="420" w:firstLineChars="200"/>
        <w:rPr>
          <w:rFonts w:ascii="宋体" w:hAnsi="宋体" w:eastAsia="宋体" w:cs="宋体"/>
        </w:rPr>
      </w:pPr>
      <w:r>
        <w:rPr>
          <w:rFonts w:hint="eastAsia" w:ascii="宋体" w:hAnsi="宋体" w:eastAsia="宋体" w:cs="宋体"/>
        </w:rPr>
        <w:t>(1) 总体施工组织布置及规划</w:t>
      </w:r>
    </w:p>
    <w:p>
      <w:pPr>
        <w:spacing w:line="400" w:lineRule="exact"/>
        <w:ind w:firstLine="420" w:firstLineChars="200"/>
        <w:rPr>
          <w:rFonts w:ascii="宋体" w:hAnsi="宋体" w:eastAsia="宋体" w:cs="宋体"/>
        </w:rPr>
      </w:pPr>
      <w:r>
        <w:rPr>
          <w:rFonts w:hint="eastAsia" w:ascii="宋体" w:hAnsi="宋体" w:eastAsia="宋体" w:cs="宋体"/>
        </w:rPr>
        <w:t>(2) 主要工程项目的施工方案、方法与技术措施（尤其对重点、关键和难点工程的施工方案、方法及其措施）</w:t>
      </w:r>
    </w:p>
    <w:p>
      <w:pPr>
        <w:spacing w:line="400" w:lineRule="exact"/>
        <w:ind w:firstLine="420" w:firstLineChars="200"/>
        <w:rPr>
          <w:rFonts w:ascii="宋体" w:hAnsi="宋体" w:eastAsia="宋体" w:cs="宋体"/>
        </w:rPr>
      </w:pPr>
      <w:r>
        <w:rPr>
          <w:rFonts w:hint="eastAsia" w:ascii="宋体" w:hAnsi="宋体" w:eastAsia="宋体" w:cs="宋体"/>
        </w:rPr>
        <w:t>(3) 工期保证体系及保证措施</w:t>
      </w:r>
    </w:p>
    <w:p>
      <w:pPr>
        <w:spacing w:line="400" w:lineRule="exact"/>
        <w:ind w:firstLine="420" w:firstLineChars="200"/>
        <w:rPr>
          <w:rFonts w:ascii="宋体" w:hAnsi="宋体" w:eastAsia="宋体" w:cs="宋体"/>
        </w:rPr>
      </w:pPr>
      <w:r>
        <w:rPr>
          <w:rFonts w:hint="eastAsia" w:ascii="宋体" w:hAnsi="宋体" w:eastAsia="宋体" w:cs="宋体"/>
        </w:rPr>
        <w:t>(4) 工程质量管理体系及保证措施</w:t>
      </w:r>
    </w:p>
    <w:p>
      <w:pPr>
        <w:spacing w:line="400" w:lineRule="exact"/>
        <w:ind w:firstLine="420" w:firstLineChars="200"/>
        <w:rPr>
          <w:rFonts w:ascii="宋体" w:hAnsi="宋体" w:eastAsia="宋体" w:cs="宋体"/>
        </w:rPr>
      </w:pPr>
      <w:r>
        <w:rPr>
          <w:rFonts w:hint="eastAsia" w:ascii="宋体" w:hAnsi="宋体" w:eastAsia="宋体" w:cs="宋体"/>
        </w:rPr>
        <w:t>(5) 安全生产管理体系及保证措施</w:t>
      </w:r>
    </w:p>
    <w:p>
      <w:pPr>
        <w:spacing w:line="400" w:lineRule="exact"/>
        <w:ind w:firstLine="420" w:firstLineChars="200"/>
        <w:rPr>
          <w:rFonts w:ascii="宋体" w:hAnsi="宋体" w:eastAsia="宋体" w:cs="宋体"/>
        </w:rPr>
      </w:pPr>
      <w:r>
        <w:rPr>
          <w:rFonts w:hint="eastAsia" w:ascii="宋体" w:hAnsi="宋体" w:eastAsia="宋体" w:cs="宋体"/>
        </w:rPr>
        <w:t>(6) 环境保护、水土保持保证体系及保证措施</w:t>
      </w:r>
    </w:p>
    <w:p>
      <w:pPr>
        <w:spacing w:line="400" w:lineRule="exact"/>
        <w:ind w:firstLine="420" w:firstLineChars="200"/>
        <w:rPr>
          <w:rFonts w:ascii="宋体" w:hAnsi="宋体" w:eastAsia="宋体" w:cs="宋体"/>
        </w:rPr>
      </w:pPr>
      <w:r>
        <w:rPr>
          <w:rFonts w:hint="eastAsia" w:ascii="宋体" w:hAnsi="宋体" w:eastAsia="宋体" w:cs="宋体"/>
        </w:rPr>
        <w:t>(7) 文明施工、文物保护保证体系及保证措施</w:t>
      </w:r>
    </w:p>
    <w:p>
      <w:pPr>
        <w:spacing w:line="400" w:lineRule="exact"/>
        <w:ind w:firstLine="420" w:firstLineChars="200"/>
        <w:rPr>
          <w:rFonts w:ascii="宋体" w:hAnsi="宋体" w:eastAsia="宋体" w:cs="宋体"/>
        </w:rPr>
      </w:pPr>
      <w:r>
        <w:rPr>
          <w:rFonts w:hint="eastAsia" w:ascii="宋体" w:hAnsi="宋体" w:eastAsia="宋体" w:cs="宋体"/>
        </w:rPr>
        <w:t>(8) 项目风险预测与防范，事故应急预案</w:t>
      </w:r>
    </w:p>
    <w:p>
      <w:pPr>
        <w:spacing w:line="400" w:lineRule="exact"/>
        <w:ind w:firstLine="420" w:firstLineChars="200"/>
        <w:rPr>
          <w:rFonts w:ascii="宋体" w:hAnsi="宋体" w:eastAsia="宋体" w:cs="宋体"/>
        </w:rPr>
      </w:pPr>
      <w:r>
        <w:rPr>
          <w:rFonts w:hint="eastAsia" w:ascii="宋体" w:hAnsi="宋体" w:eastAsia="宋体" w:cs="宋体"/>
        </w:rPr>
        <w:t>(9) 其他应说明的事项以及相应的图表。</w:t>
      </w:r>
    </w:p>
    <w:p>
      <w:pPr>
        <w:spacing w:line="400" w:lineRule="exact"/>
        <w:ind w:firstLine="420" w:firstLineChars="200"/>
        <w:rPr>
          <w:rFonts w:ascii="宋体" w:hAnsi="宋体" w:eastAsia="宋体" w:cs="宋体"/>
        </w:rPr>
      </w:pPr>
      <w:r>
        <w:rPr>
          <w:rFonts w:hint="eastAsia" w:ascii="宋体" w:hAnsi="宋体" w:eastAsia="宋体" w:cs="宋体"/>
        </w:rPr>
        <w:t>公路工程专用合同条款补充第 10.5 款：</w:t>
      </w:r>
    </w:p>
    <w:p>
      <w:pPr>
        <w:pStyle w:val="3"/>
        <w:spacing w:before="0" w:after="0" w:line="400" w:lineRule="exact"/>
        <w:rPr>
          <w:rFonts w:ascii="宋体" w:hAnsi="宋体"/>
          <w:b w:val="0"/>
          <w:sz w:val="21"/>
          <w:szCs w:val="21"/>
        </w:rPr>
      </w:pPr>
      <w:bookmarkStart w:id="405" w:name="_Toc173244837"/>
      <w:bookmarkStart w:id="406" w:name="_Toc173246224"/>
      <w:r>
        <w:rPr>
          <w:rFonts w:hint="eastAsia" w:ascii="宋体" w:hAnsi="宋体"/>
          <w:b w:val="0"/>
          <w:sz w:val="21"/>
          <w:szCs w:val="21"/>
        </w:rPr>
        <w:t>10.5 季度计划、月度计划、旬计划</w:t>
      </w:r>
      <w:bookmarkEnd w:id="405"/>
      <w:bookmarkEnd w:id="406"/>
    </w:p>
    <w:p>
      <w:pPr>
        <w:spacing w:line="400" w:lineRule="exact"/>
        <w:ind w:firstLine="420" w:firstLineChars="200"/>
        <w:rPr>
          <w:rFonts w:ascii="宋体" w:hAnsi="宋体" w:eastAsia="宋体" w:cs="宋体"/>
        </w:rPr>
      </w:pPr>
      <w:r>
        <w:rPr>
          <w:rFonts w:hint="eastAsia" w:ascii="宋体" w:hAnsi="宋体" w:eastAsia="宋体" w:cs="宋体"/>
        </w:rPr>
        <w:t>(1) 季度计划</w:t>
      </w:r>
    </w:p>
    <w:p>
      <w:pPr>
        <w:spacing w:line="400" w:lineRule="exact"/>
        <w:ind w:firstLine="420" w:firstLineChars="200"/>
        <w:rPr>
          <w:rFonts w:ascii="宋体" w:hAnsi="宋体" w:eastAsia="宋体" w:cs="宋体"/>
        </w:rPr>
      </w:pPr>
      <w:r>
        <w:rPr>
          <w:rFonts w:hint="eastAsia" w:ascii="宋体" w:hAnsi="宋体" w:eastAsia="宋体" w:cs="宋体"/>
        </w:rPr>
        <w:t>承包人在总体计划（年度计划） 总体要求下编制季度计划，其格式统一按发包人批准后下发的填报要求执行。季度计划必须保持总体计划（年度计划） 的实现。季度计划应在上一个季度的最后一个月的 25 日前提交给监理人。</w:t>
      </w:r>
    </w:p>
    <w:p>
      <w:pPr>
        <w:spacing w:line="400" w:lineRule="exact"/>
        <w:ind w:firstLine="420" w:firstLineChars="200"/>
        <w:rPr>
          <w:rFonts w:ascii="宋体" w:hAnsi="宋体" w:eastAsia="宋体" w:cs="宋体"/>
        </w:rPr>
      </w:pPr>
      <w:r>
        <w:rPr>
          <w:rFonts w:hint="eastAsia" w:ascii="宋体" w:hAnsi="宋体" w:eastAsia="宋体" w:cs="宋体"/>
        </w:rPr>
        <w:t>(2) 月度计划</w:t>
      </w:r>
    </w:p>
    <w:p>
      <w:pPr>
        <w:spacing w:line="400" w:lineRule="exact"/>
        <w:ind w:firstLine="420" w:firstLineChars="200"/>
        <w:rPr>
          <w:rFonts w:ascii="宋体" w:hAnsi="宋体" w:eastAsia="宋体" w:cs="宋体"/>
        </w:rPr>
      </w:pPr>
      <w:r>
        <w:rPr>
          <w:rFonts w:hint="eastAsia" w:ascii="宋体" w:hAnsi="宋体" w:eastAsia="宋体" w:cs="宋体"/>
        </w:rPr>
        <w:t>承包人在季度计划的要求下编制月度计划，其格式统一按发包人批准后下发的填报要求执行。月度计划必须保持季度计划的实现。月度计划如未能完成，应在文字介绍里详述原因，并在剩余工期中的下一阶段进度试刊中补回来，且详述补救措施。</w:t>
      </w:r>
    </w:p>
    <w:p>
      <w:pPr>
        <w:spacing w:line="400" w:lineRule="exact"/>
        <w:ind w:firstLine="420" w:firstLineChars="200"/>
        <w:rPr>
          <w:rFonts w:ascii="宋体" w:hAnsi="宋体" w:eastAsia="宋体" w:cs="宋体"/>
        </w:rPr>
      </w:pPr>
      <w:r>
        <w:rPr>
          <w:rFonts w:hint="eastAsia" w:ascii="宋体" w:hAnsi="宋体" w:eastAsia="宋体" w:cs="宋体"/>
        </w:rPr>
        <w:t>(3) 旬计划</w:t>
      </w:r>
    </w:p>
    <w:p>
      <w:pPr>
        <w:spacing w:line="400" w:lineRule="exact"/>
        <w:ind w:firstLine="420" w:firstLineChars="200"/>
        <w:rPr>
          <w:rFonts w:ascii="宋体" w:hAnsi="宋体" w:eastAsia="宋体" w:cs="宋体"/>
        </w:rPr>
      </w:pPr>
      <w:r>
        <w:rPr>
          <w:rFonts w:hint="eastAsia" w:ascii="宋体" w:hAnsi="宋体" w:eastAsia="宋体" w:cs="宋体"/>
        </w:rPr>
        <w:t>承包人应根据批复的月底计划编制旬计划，并按要求定期向发包人上报旬计划及完成情况汇报资料。</w:t>
      </w:r>
    </w:p>
    <w:p>
      <w:pPr>
        <w:pStyle w:val="3"/>
        <w:snapToGrid w:val="0"/>
        <w:spacing w:before="0" w:after="0" w:line="360" w:lineRule="auto"/>
        <w:rPr>
          <w:rFonts w:ascii="宋体" w:hAnsi="宋体"/>
          <w:sz w:val="28"/>
          <w:szCs w:val="28"/>
        </w:rPr>
      </w:pPr>
      <w:bookmarkStart w:id="407" w:name="_Toc173244838"/>
      <w:bookmarkStart w:id="408" w:name="_Toc173246225"/>
      <w:r>
        <w:rPr>
          <w:rFonts w:hint="eastAsia" w:ascii="宋体" w:hAnsi="宋体"/>
          <w:sz w:val="28"/>
          <w:szCs w:val="28"/>
        </w:rPr>
        <w:t>11. 开工和交工</w:t>
      </w:r>
      <w:bookmarkEnd w:id="407"/>
      <w:bookmarkEnd w:id="408"/>
    </w:p>
    <w:p>
      <w:pPr>
        <w:pStyle w:val="3"/>
        <w:spacing w:before="0" w:after="0" w:line="400" w:lineRule="exact"/>
        <w:rPr>
          <w:rFonts w:ascii="宋体" w:hAnsi="宋体"/>
          <w:b w:val="0"/>
          <w:sz w:val="21"/>
          <w:szCs w:val="21"/>
        </w:rPr>
      </w:pPr>
      <w:bookmarkStart w:id="409" w:name="_Toc173244839"/>
      <w:bookmarkStart w:id="410" w:name="_Toc173246226"/>
      <w:r>
        <w:rPr>
          <w:rFonts w:hint="eastAsia" w:ascii="宋体" w:hAnsi="宋体"/>
          <w:b w:val="0"/>
          <w:sz w:val="21"/>
          <w:szCs w:val="21"/>
        </w:rPr>
        <w:t>11.4 异常恶劣的气候条件</w:t>
      </w:r>
      <w:bookmarkEnd w:id="409"/>
      <w:bookmarkEnd w:id="410"/>
    </w:p>
    <w:p>
      <w:pPr>
        <w:spacing w:line="400" w:lineRule="exact"/>
        <w:ind w:firstLine="420" w:firstLineChars="200"/>
        <w:rPr>
          <w:rFonts w:ascii="宋体" w:hAnsi="宋体" w:eastAsia="宋体" w:cs="宋体"/>
        </w:rPr>
      </w:pPr>
      <w:r>
        <w:rPr>
          <w:rFonts w:hint="eastAsia" w:ascii="宋体" w:hAnsi="宋体" w:eastAsia="宋体" w:cs="宋体"/>
        </w:rPr>
        <w:t>公路工程专用合同条款 11.4 款约定为：</w:t>
      </w:r>
    </w:p>
    <w:p>
      <w:pPr>
        <w:spacing w:line="400" w:lineRule="exact"/>
        <w:ind w:firstLine="420" w:firstLineChars="200"/>
        <w:rPr>
          <w:rFonts w:ascii="宋体" w:hAnsi="宋体" w:eastAsia="宋体" w:cs="宋体"/>
        </w:rPr>
      </w:pPr>
      <w:r>
        <w:rPr>
          <w:rFonts w:hint="eastAsia" w:ascii="宋体" w:hAnsi="宋体" w:eastAsia="宋体" w:cs="宋体"/>
        </w:rPr>
        <w:t>(1) 异常恶劣的气候条件，对本项目而言，是指发生龙卷风、工地受淹、超过桥梁设计洪水位以及不利降水等引起延误的情况。</w:t>
      </w:r>
    </w:p>
    <w:p>
      <w:pPr>
        <w:spacing w:line="400" w:lineRule="exact"/>
        <w:ind w:firstLine="420" w:firstLineChars="200"/>
        <w:rPr>
          <w:rFonts w:ascii="宋体" w:hAnsi="宋体" w:eastAsia="宋体" w:cs="宋体"/>
        </w:rPr>
      </w:pPr>
      <w:r>
        <w:rPr>
          <w:rFonts w:hint="eastAsia" w:ascii="宋体" w:hAnsi="宋体" w:eastAsia="宋体" w:cs="宋体"/>
        </w:rPr>
        <w:t>(2) 不利降水的衡量标准为：</w:t>
      </w:r>
    </w:p>
    <w:p>
      <w:pPr>
        <w:spacing w:line="400" w:lineRule="exact"/>
        <w:ind w:firstLine="420" w:firstLineChars="200"/>
        <w:rPr>
          <w:rFonts w:ascii="宋体" w:hAnsi="宋体" w:eastAsia="宋体" w:cs="宋体"/>
        </w:rPr>
      </w:pPr>
      <w:r>
        <w:rPr>
          <w:rFonts w:hint="eastAsia" w:ascii="宋体" w:hAnsi="宋体" w:eastAsia="宋体" w:cs="宋体"/>
        </w:rPr>
        <w:t>a. 按本省气象部门统计的项目所在地降水资料，取最近二十年的平均降水天数为标准；</w:t>
      </w:r>
    </w:p>
    <w:p>
      <w:pPr>
        <w:spacing w:line="400" w:lineRule="exact"/>
        <w:ind w:firstLine="420" w:firstLineChars="200"/>
        <w:rPr>
          <w:rFonts w:ascii="宋体" w:hAnsi="宋体" w:eastAsia="宋体" w:cs="宋体"/>
        </w:rPr>
      </w:pPr>
      <w:r>
        <w:rPr>
          <w:rFonts w:hint="eastAsia" w:ascii="宋体" w:hAnsi="宋体" w:eastAsia="宋体" w:cs="宋体"/>
        </w:rPr>
        <w:t>b. 按项目所在地实际统计的年降水天数与 a 所指的年降水天数之差，每年计算一次。</w:t>
      </w:r>
    </w:p>
    <w:p>
      <w:pPr>
        <w:spacing w:line="400" w:lineRule="exact"/>
        <w:ind w:firstLine="420" w:firstLineChars="200"/>
        <w:rPr>
          <w:rFonts w:ascii="宋体" w:hAnsi="宋体" w:eastAsia="宋体" w:cs="宋体"/>
        </w:rPr>
      </w:pPr>
      <w:r>
        <w:rPr>
          <w:rFonts w:hint="eastAsia" w:ascii="宋体" w:hAnsi="宋体" w:eastAsia="宋体" w:cs="宋体"/>
        </w:rPr>
        <w:t>(3) 异常恶劣气候的时间，监理人将根据承包人的申请和提交的证明予以评定，但在评定时还将考虑按同等标准，用施工期限内其它月份良好的气候的时间予以抵补。恶劣气候在每个月对工程进度影响的评定，应在整个合同期内予以累计。</w:t>
      </w:r>
    </w:p>
    <w:p>
      <w:pPr>
        <w:spacing w:line="400" w:lineRule="exact"/>
        <w:ind w:firstLine="420" w:firstLineChars="200"/>
        <w:rPr>
          <w:rFonts w:ascii="宋体" w:hAnsi="宋体" w:eastAsia="宋体" w:cs="宋体"/>
        </w:rPr>
      </w:pPr>
      <w:r>
        <w:rPr>
          <w:rFonts w:hint="eastAsia" w:ascii="宋体" w:hAnsi="宋体" w:eastAsia="宋体" w:cs="宋体"/>
        </w:rPr>
        <w:t>(4) 若恶劣气候只是对局部工程有影响，承包人应采取合同措施予以弥补，而不能推迟工程的总工期。</w:t>
      </w:r>
    </w:p>
    <w:p>
      <w:pPr>
        <w:spacing w:line="400" w:lineRule="exact"/>
        <w:ind w:firstLine="420" w:firstLineChars="200"/>
        <w:rPr>
          <w:rFonts w:ascii="宋体" w:hAnsi="宋体" w:eastAsia="宋体" w:cs="宋体"/>
        </w:rPr>
      </w:pPr>
      <w:r>
        <w:rPr>
          <w:rFonts w:hint="eastAsia" w:ascii="宋体" w:hAnsi="宋体" w:eastAsia="宋体" w:cs="宋体"/>
        </w:rPr>
        <w:t>(5) 受本款所述的恶劣气候影响的分项工程，必须在工程施工进度网络计划的关键线路上，监理人方能考虑延长工程总工期。</w:t>
      </w:r>
    </w:p>
    <w:p>
      <w:pPr>
        <w:pStyle w:val="3"/>
        <w:snapToGrid w:val="0"/>
        <w:spacing w:before="0" w:after="0" w:line="360" w:lineRule="auto"/>
        <w:rPr>
          <w:rFonts w:ascii="宋体" w:hAnsi="宋体"/>
          <w:sz w:val="28"/>
          <w:szCs w:val="28"/>
        </w:rPr>
      </w:pPr>
      <w:bookmarkStart w:id="411" w:name="_Toc173244840"/>
      <w:bookmarkStart w:id="412" w:name="_Toc173246227"/>
      <w:r>
        <w:rPr>
          <w:rFonts w:hint="eastAsia" w:ascii="宋体" w:hAnsi="宋体"/>
          <w:sz w:val="28"/>
          <w:szCs w:val="28"/>
        </w:rPr>
        <w:t>12. 暂停施工</w:t>
      </w:r>
      <w:bookmarkEnd w:id="411"/>
      <w:bookmarkEnd w:id="412"/>
    </w:p>
    <w:p>
      <w:pPr>
        <w:pStyle w:val="3"/>
        <w:spacing w:before="0" w:after="0" w:line="400" w:lineRule="exact"/>
        <w:rPr>
          <w:rFonts w:ascii="宋体" w:hAnsi="宋体"/>
          <w:b w:val="0"/>
          <w:sz w:val="21"/>
          <w:szCs w:val="21"/>
        </w:rPr>
      </w:pPr>
      <w:bookmarkStart w:id="413" w:name="_Toc173244841"/>
      <w:bookmarkStart w:id="414" w:name="_Toc173246228"/>
      <w:r>
        <w:rPr>
          <w:rFonts w:hint="eastAsia" w:ascii="宋体" w:hAnsi="宋体"/>
          <w:b w:val="0"/>
          <w:sz w:val="21"/>
          <w:szCs w:val="21"/>
        </w:rPr>
        <w:t>12.1 承包人暂停施工的责任</w:t>
      </w:r>
      <w:bookmarkEnd w:id="413"/>
      <w:bookmarkEnd w:id="414"/>
    </w:p>
    <w:p>
      <w:pPr>
        <w:spacing w:line="400" w:lineRule="exact"/>
        <w:ind w:firstLine="420" w:firstLineChars="200"/>
        <w:rPr>
          <w:rFonts w:ascii="宋体" w:hAnsi="宋体" w:eastAsia="宋体" w:cs="宋体"/>
        </w:rPr>
      </w:pPr>
      <w:r>
        <w:rPr>
          <w:rFonts w:hint="eastAsia" w:ascii="宋体" w:hAnsi="宋体" w:eastAsia="宋体" w:cs="宋体"/>
        </w:rPr>
        <w:t>公路工程专用合同条款 12.1 款（6）项约定：</w:t>
      </w:r>
    </w:p>
    <w:p>
      <w:pPr>
        <w:spacing w:line="400" w:lineRule="exact"/>
        <w:ind w:firstLine="420" w:firstLineChars="200"/>
        <w:rPr>
          <w:rFonts w:ascii="宋体" w:hAnsi="宋体" w:eastAsia="宋体" w:cs="宋体"/>
        </w:rPr>
      </w:pPr>
      <w:r>
        <w:rPr>
          <w:rFonts w:hint="eastAsia" w:ascii="宋体" w:hAnsi="宋体" w:eastAsia="宋体" w:cs="宋体"/>
        </w:rPr>
        <w:t>(6) 由承包人承担的其他暂停施工：</w:t>
      </w:r>
      <w:r>
        <w:rPr>
          <w:rFonts w:hint="eastAsia" w:ascii="宋体" w:hAnsi="宋体" w:eastAsia="宋体" w:cs="宋体"/>
          <w:u w:val="single"/>
        </w:rPr>
        <w:t xml:space="preserve">     无    </w:t>
      </w:r>
    </w:p>
    <w:p>
      <w:pPr>
        <w:pStyle w:val="3"/>
        <w:snapToGrid w:val="0"/>
        <w:spacing w:before="0" w:after="0" w:line="360" w:lineRule="auto"/>
        <w:rPr>
          <w:rFonts w:ascii="宋体" w:hAnsi="宋体"/>
          <w:sz w:val="28"/>
          <w:szCs w:val="28"/>
        </w:rPr>
      </w:pPr>
      <w:bookmarkStart w:id="415" w:name="_Toc173244842"/>
      <w:bookmarkStart w:id="416" w:name="_Toc173246229"/>
      <w:r>
        <w:rPr>
          <w:rFonts w:hint="eastAsia" w:ascii="宋体" w:hAnsi="宋体"/>
          <w:sz w:val="28"/>
          <w:szCs w:val="28"/>
        </w:rPr>
        <w:t>13. 工程质量</w:t>
      </w:r>
      <w:bookmarkEnd w:id="415"/>
      <w:bookmarkEnd w:id="416"/>
    </w:p>
    <w:p>
      <w:pPr>
        <w:pStyle w:val="3"/>
        <w:spacing w:before="0" w:after="0" w:line="400" w:lineRule="exact"/>
        <w:rPr>
          <w:rFonts w:ascii="宋体" w:hAnsi="宋体"/>
          <w:b w:val="0"/>
          <w:sz w:val="21"/>
          <w:szCs w:val="21"/>
        </w:rPr>
      </w:pPr>
      <w:bookmarkStart w:id="417" w:name="_Toc173244843"/>
      <w:bookmarkStart w:id="418" w:name="_Toc173246230"/>
      <w:r>
        <w:rPr>
          <w:rFonts w:hint="eastAsia" w:ascii="宋体" w:hAnsi="宋体"/>
          <w:b w:val="0"/>
          <w:sz w:val="21"/>
          <w:szCs w:val="21"/>
        </w:rPr>
        <w:t>13.1 工程质量要求</w:t>
      </w:r>
      <w:bookmarkEnd w:id="417"/>
      <w:bookmarkEnd w:id="418"/>
    </w:p>
    <w:p>
      <w:pPr>
        <w:spacing w:line="400" w:lineRule="exact"/>
        <w:ind w:firstLine="420" w:firstLineChars="200"/>
        <w:rPr>
          <w:rFonts w:ascii="宋体" w:hAnsi="宋体" w:eastAsia="宋体" w:cs="宋体"/>
        </w:rPr>
      </w:pPr>
      <w:r>
        <w:rPr>
          <w:rFonts w:hint="eastAsia" w:ascii="宋体" w:hAnsi="宋体" w:eastAsia="宋体" w:cs="宋体"/>
        </w:rPr>
        <w:t>公路工程专用合同条款第 13.1.1 项约定为：</w:t>
      </w:r>
    </w:p>
    <w:p>
      <w:pPr>
        <w:spacing w:line="400" w:lineRule="exact"/>
        <w:ind w:firstLine="420" w:firstLineChars="200"/>
        <w:rPr>
          <w:rFonts w:ascii="宋体" w:hAnsi="宋体" w:eastAsia="宋体" w:cs="宋体"/>
        </w:rPr>
      </w:pPr>
      <w:r>
        <w:rPr>
          <w:rFonts w:hint="eastAsia" w:ascii="宋体" w:hAnsi="宋体" w:eastAsia="宋体" w:cs="宋体"/>
        </w:rPr>
        <w:t>工程质量验收按技术规范及《公路工程质量检验评定标准》执行。本工程的质量目标为：标段工程交（竣）工验收的质量评定：</w:t>
      </w:r>
      <w:r>
        <w:rPr>
          <w:rFonts w:hint="eastAsia" w:ascii="宋体" w:hAnsi="宋体" w:eastAsia="宋体" w:cs="宋体"/>
          <w:szCs w:val="21"/>
          <w:u w:val="single"/>
        </w:rPr>
        <w:t xml:space="preserve"> 合格  </w:t>
      </w:r>
      <w:r>
        <w:rPr>
          <w:rFonts w:hint="eastAsia" w:ascii="宋体" w:hAnsi="宋体" w:eastAsia="宋体" w:cs="宋体"/>
        </w:rPr>
        <w:t xml:space="preserve">。 </w:t>
      </w:r>
    </w:p>
    <w:p>
      <w:pPr>
        <w:pStyle w:val="3"/>
        <w:spacing w:before="0" w:after="0" w:line="400" w:lineRule="exact"/>
        <w:rPr>
          <w:rFonts w:ascii="宋体" w:hAnsi="宋体"/>
          <w:b w:val="0"/>
          <w:sz w:val="21"/>
          <w:szCs w:val="21"/>
        </w:rPr>
      </w:pPr>
      <w:bookmarkStart w:id="419" w:name="_Toc173244844"/>
      <w:bookmarkStart w:id="420" w:name="_Toc173246231"/>
      <w:r>
        <w:rPr>
          <w:rFonts w:hint="eastAsia" w:ascii="宋体" w:hAnsi="宋体"/>
          <w:b w:val="0"/>
          <w:sz w:val="21"/>
          <w:szCs w:val="21"/>
        </w:rPr>
        <w:t>13.2 承包人的质量管理</w:t>
      </w:r>
      <w:bookmarkEnd w:id="419"/>
      <w:bookmarkEnd w:id="420"/>
    </w:p>
    <w:p>
      <w:pPr>
        <w:spacing w:line="400" w:lineRule="exact"/>
        <w:ind w:firstLine="420" w:firstLineChars="200"/>
        <w:rPr>
          <w:rFonts w:ascii="宋体" w:hAnsi="宋体" w:eastAsia="宋体" w:cs="宋体"/>
        </w:rPr>
      </w:pPr>
      <w:r>
        <w:rPr>
          <w:rFonts w:hint="eastAsia" w:ascii="宋体" w:hAnsi="宋体" w:eastAsia="宋体" w:cs="宋体"/>
        </w:rPr>
        <w:t>公路工程专用合同条款第 13. 2. 3 项细化为：</w:t>
      </w:r>
    </w:p>
    <w:p>
      <w:pPr>
        <w:spacing w:line="400" w:lineRule="exact"/>
        <w:ind w:firstLine="420" w:firstLineChars="200"/>
        <w:rPr>
          <w:rFonts w:ascii="宋体" w:hAnsi="宋体" w:eastAsia="宋体" w:cs="宋体"/>
        </w:rPr>
      </w:pPr>
      <w:r>
        <w:rPr>
          <w:rFonts w:hint="eastAsia" w:ascii="宋体" w:hAnsi="宋体" w:eastAsia="宋体" w:cs="宋体"/>
        </w:rPr>
        <w:t>13.2.3 承包人必须遵守有关法律、法规、 规章和办法，严格执行公路工程强制性技术标准、各类技术规范及浙政令[2012]300 号《浙江省交通建设工程质量和安全生产管理办法》，全面履行工程合同义务，依法对公路工程质量负责。</w:t>
      </w:r>
    </w:p>
    <w:p>
      <w:pPr>
        <w:pStyle w:val="3"/>
        <w:spacing w:before="0" w:after="0" w:line="400" w:lineRule="exact"/>
        <w:rPr>
          <w:rFonts w:ascii="宋体" w:hAnsi="宋体"/>
          <w:b w:val="0"/>
          <w:sz w:val="21"/>
          <w:szCs w:val="21"/>
        </w:rPr>
      </w:pPr>
      <w:bookmarkStart w:id="421" w:name="_Toc173244845"/>
      <w:bookmarkStart w:id="422" w:name="_Toc173246232"/>
      <w:r>
        <w:rPr>
          <w:rFonts w:hint="eastAsia" w:ascii="宋体" w:hAnsi="宋体"/>
          <w:b w:val="0"/>
          <w:sz w:val="21"/>
          <w:szCs w:val="21"/>
        </w:rPr>
        <w:t>13.5 工程隐蔽部位覆盖前的检查</w:t>
      </w:r>
      <w:bookmarkEnd w:id="421"/>
      <w:bookmarkEnd w:id="422"/>
    </w:p>
    <w:p>
      <w:pPr>
        <w:spacing w:line="400" w:lineRule="exact"/>
        <w:ind w:firstLine="420" w:firstLineChars="200"/>
        <w:rPr>
          <w:rFonts w:ascii="宋体" w:hAnsi="宋体" w:eastAsia="宋体" w:cs="宋体"/>
        </w:rPr>
      </w:pPr>
      <w:r>
        <w:rPr>
          <w:rFonts w:hint="eastAsia" w:ascii="宋体" w:hAnsi="宋体" w:eastAsia="宋体" w:cs="宋体"/>
        </w:rPr>
        <w:t>公路工程专用合同条款第 13.5.1 项补充：</w:t>
      </w:r>
    </w:p>
    <w:p>
      <w:pPr>
        <w:spacing w:line="400" w:lineRule="exact"/>
        <w:ind w:firstLine="420" w:firstLineChars="200"/>
        <w:rPr>
          <w:rFonts w:ascii="宋体" w:hAnsi="宋体" w:eastAsia="宋体" w:cs="宋体"/>
        </w:rPr>
      </w:pPr>
      <w:r>
        <w:rPr>
          <w:rFonts w:hint="eastAsia" w:ascii="宋体" w:hAnsi="宋体" w:eastAsia="宋体" w:cs="宋体"/>
        </w:rPr>
        <w:t>隐蔽工程覆盖前应经监理人检查签认，分阶段（工序）进行摄像或照相，并向监理人提供相关资料作为计量支付的依据。</w:t>
      </w:r>
    </w:p>
    <w:p>
      <w:pPr>
        <w:spacing w:line="400" w:lineRule="exact"/>
        <w:ind w:firstLine="420" w:firstLineChars="200"/>
        <w:rPr>
          <w:rFonts w:ascii="宋体" w:hAnsi="宋体" w:eastAsia="宋体" w:cs="宋体"/>
        </w:rPr>
      </w:pPr>
      <w:r>
        <w:rPr>
          <w:rFonts w:hint="eastAsia" w:ascii="宋体" w:hAnsi="宋体" w:eastAsia="宋体" w:cs="宋体"/>
        </w:rPr>
        <w:t>公路工程专用合同条款补充第 13.7 款：</w:t>
      </w:r>
    </w:p>
    <w:p>
      <w:pPr>
        <w:pStyle w:val="3"/>
        <w:spacing w:before="0" w:after="0" w:line="400" w:lineRule="exact"/>
        <w:rPr>
          <w:rFonts w:ascii="宋体" w:hAnsi="宋体"/>
          <w:b w:val="0"/>
          <w:sz w:val="21"/>
          <w:szCs w:val="21"/>
        </w:rPr>
      </w:pPr>
      <w:bookmarkStart w:id="423" w:name="_Toc173244846"/>
      <w:bookmarkStart w:id="424" w:name="_Toc173246233"/>
      <w:r>
        <w:rPr>
          <w:rFonts w:hint="eastAsia" w:ascii="宋体" w:hAnsi="宋体"/>
          <w:b w:val="0"/>
          <w:sz w:val="21"/>
          <w:szCs w:val="21"/>
        </w:rPr>
        <w:t>13.7 质量抽检</w:t>
      </w:r>
      <w:bookmarkEnd w:id="423"/>
      <w:bookmarkEnd w:id="424"/>
    </w:p>
    <w:p>
      <w:pPr>
        <w:spacing w:line="400" w:lineRule="exact"/>
        <w:ind w:firstLine="420" w:firstLineChars="200"/>
        <w:rPr>
          <w:rFonts w:ascii="宋体" w:hAnsi="宋体" w:eastAsia="宋体" w:cs="宋体"/>
        </w:rPr>
      </w:pPr>
      <w:r>
        <w:rPr>
          <w:rFonts w:hint="eastAsia" w:ascii="宋体" w:hAnsi="宋体" w:eastAsia="宋体" w:cs="宋体"/>
        </w:rPr>
        <w:t>主管交通工程质量监督机构有权对承包人施工质量随时进行抽检，并通过监理人对工程质量实施否决，承包人应积极配合并免费提供试验用的试件。承包人为配合上述工作发生的材料、机械、人员及试验和检验等费用不另行支付。</w:t>
      </w:r>
    </w:p>
    <w:p>
      <w:pPr>
        <w:pStyle w:val="3"/>
        <w:snapToGrid w:val="0"/>
        <w:spacing w:before="0" w:after="0" w:line="360" w:lineRule="auto"/>
        <w:rPr>
          <w:rFonts w:ascii="宋体" w:hAnsi="宋体"/>
          <w:sz w:val="28"/>
          <w:szCs w:val="28"/>
        </w:rPr>
      </w:pPr>
      <w:bookmarkStart w:id="425" w:name="_Toc173244847"/>
      <w:bookmarkStart w:id="426" w:name="_Toc173246234"/>
      <w:r>
        <w:rPr>
          <w:rFonts w:hint="eastAsia" w:ascii="宋体" w:hAnsi="宋体"/>
          <w:sz w:val="28"/>
          <w:szCs w:val="28"/>
        </w:rPr>
        <w:t>14. 试验和检验</w:t>
      </w:r>
      <w:bookmarkEnd w:id="425"/>
      <w:bookmarkEnd w:id="426"/>
    </w:p>
    <w:p>
      <w:pPr>
        <w:pStyle w:val="3"/>
        <w:spacing w:before="0" w:after="0" w:line="400" w:lineRule="exact"/>
        <w:rPr>
          <w:rFonts w:ascii="宋体" w:hAnsi="宋体"/>
          <w:b w:val="0"/>
          <w:sz w:val="21"/>
          <w:szCs w:val="21"/>
        </w:rPr>
      </w:pPr>
      <w:bookmarkStart w:id="427" w:name="_Toc173244848"/>
      <w:bookmarkStart w:id="428" w:name="_Toc173246235"/>
      <w:r>
        <w:rPr>
          <w:rFonts w:hint="eastAsia" w:ascii="宋体" w:hAnsi="宋体"/>
          <w:b w:val="0"/>
          <w:sz w:val="21"/>
          <w:szCs w:val="21"/>
        </w:rPr>
        <w:t>14.1 材料、工程设备和工程的试验和检验</w:t>
      </w:r>
      <w:bookmarkEnd w:id="427"/>
      <w:bookmarkEnd w:id="428"/>
    </w:p>
    <w:p>
      <w:pPr>
        <w:spacing w:line="400" w:lineRule="exact"/>
        <w:ind w:firstLine="420" w:firstLineChars="200"/>
        <w:rPr>
          <w:rFonts w:ascii="宋体" w:hAnsi="宋体" w:eastAsia="宋体" w:cs="宋体"/>
        </w:rPr>
      </w:pPr>
      <w:r>
        <w:rPr>
          <w:rFonts w:hint="eastAsia" w:ascii="宋体" w:hAnsi="宋体" w:eastAsia="宋体" w:cs="宋体"/>
        </w:rPr>
        <w:t>通用合同条款第 14.1.3 项细化为：</w:t>
      </w:r>
    </w:p>
    <w:p>
      <w:pPr>
        <w:spacing w:line="400" w:lineRule="exact"/>
        <w:ind w:firstLine="420" w:firstLineChars="200"/>
        <w:rPr>
          <w:rFonts w:ascii="宋体" w:hAnsi="宋体" w:eastAsia="宋体" w:cs="宋体"/>
        </w:rPr>
      </w:pPr>
      <w:r>
        <w:rPr>
          <w:rFonts w:hint="eastAsia" w:ascii="宋体" w:hAnsi="宋体" w:eastAsia="宋体" w:cs="宋体"/>
        </w:rPr>
        <w:t>14.1.3 监理人对承包人的试验和检验结果有疑问的，或为查清承包人试验和检验成果的可靠性要求承包人重新试验和检验的，可按合同约定由监理人与承包人共同进行，或由监理人委托给第三方独立的检验单位，该检验单位必须具有国家技术监督局或专业机构的认证资格。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3"/>
        <w:snapToGrid w:val="0"/>
        <w:spacing w:before="0" w:after="0" w:line="360" w:lineRule="auto"/>
        <w:rPr>
          <w:rFonts w:ascii="宋体" w:hAnsi="宋体"/>
          <w:sz w:val="28"/>
          <w:szCs w:val="28"/>
        </w:rPr>
      </w:pPr>
      <w:bookmarkStart w:id="429" w:name="_Toc173244849"/>
      <w:bookmarkStart w:id="430" w:name="_Toc173246236"/>
      <w:r>
        <w:rPr>
          <w:rFonts w:hint="eastAsia" w:ascii="宋体" w:hAnsi="宋体"/>
          <w:sz w:val="28"/>
          <w:szCs w:val="28"/>
        </w:rPr>
        <w:t>15. 变更</w:t>
      </w:r>
      <w:bookmarkEnd w:id="429"/>
      <w:bookmarkEnd w:id="430"/>
    </w:p>
    <w:p>
      <w:pPr>
        <w:pStyle w:val="3"/>
        <w:spacing w:before="0" w:after="0" w:line="400" w:lineRule="exact"/>
        <w:rPr>
          <w:rFonts w:ascii="宋体" w:hAnsi="宋体"/>
          <w:b w:val="0"/>
          <w:sz w:val="21"/>
          <w:szCs w:val="21"/>
        </w:rPr>
      </w:pPr>
      <w:bookmarkStart w:id="431" w:name="_Toc173244850"/>
      <w:bookmarkStart w:id="432" w:name="_Toc173246237"/>
      <w:r>
        <w:rPr>
          <w:rFonts w:hint="eastAsia" w:ascii="宋体" w:hAnsi="宋体"/>
          <w:b w:val="0"/>
          <w:sz w:val="21"/>
          <w:szCs w:val="21"/>
        </w:rPr>
        <w:t>15.3 变更程序</w:t>
      </w:r>
      <w:bookmarkEnd w:id="431"/>
      <w:bookmarkEnd w:id="432"/>
    </w:p>
    <w:p>
      <w:pPr>
        <w:spacing w:line="400" w:lineRule="exact"/>
        <w:ind w:firstLine="420" w:firstLineChars="200"/>
        <w:rPr>
          <w:rFonts w:ascii="宋体" w:hAnsi="宋体" w:eastAsia="宋体" w:cs="宋体"/>
        </w:rPr>
      </w:pPr>
      <w:r>
        <w:rPr>
          <w:rFonts w:hint="eastAsia" w:ascii="宋体" w:hAnsi="宋体" w:eastAsia="宋体" w:cs="宋体"/>
        </w:rPr>
        <w:t>公路工程专用合同条款第 15.3.4 项细化为：</w:t>
      </w:r>
    </w:p>
    <w:p>
      <w:pPr>
        <w:spacing w:line="360" w:lineRule="exact"/>
        <w:ind w:firstLine="420" w:firstLineChars="200"/>
        <w:rPr>
          <w:color w:val="000000"/>
        </w:rPr>
      </w:pPr>
      <w:r>
        <w:rPr>
          <w:color w:val="000000"/>
        </w:rPr>
        <w:t>15.3.4</w:t>
      </w:r>
      <w:r>
        <w:rPr>
          <w:rFonts w:hint="eastAsia"/>
          <w:color w:val="000000"/>
        </w:rPr>
        <w:t>本项目所有工程内容的设计变更程序、方法均执行交通运输部《公路工程设计变更管理办法》（交通运输部令2005年第5号）、浙江省交通运输厅关于印发《浙江省普通国省道干线公路工程设计变更管理实施细则》的通知（浙交[2017]34号）及</w:t>
      </w:r>
      <w:r>
        <w:rPr>
          <w:b/>
          <w:i/>
          <w:color w:val="000000"/>
        </w:rPr>
        <w:t>三门县人民政府文件三政</w:t>
      </w:r>
      <w:r>
        <w:rPr>
          <w:rFonts w:hint="eastAsia"/>
          <w:b/>
          <w:i/>
          <w:color w:val="000000"/>
        </w:rPr>
        <w:t>办规</w:t>
      </w:r>
      <w:r>
        <w:rPr>
          <w:b/>
          <w:i/>
          <w:color w:val="000000"/>
        </w:rPr>
        <w:t>〔20</w:t>
      </w:r>
      <w:r>
        <w:rPr>
          <w:rFonts w:hint="eastAsia"/>
          <w:b/>
          <w:i/>
          <w:color w:val="000000"/>
        </w:rPr>
        <w:t>23</w:t>
      </w:r>
      <w:r>
        <w:rPr>
          <w:b/>
          <w:i/>
          <w:color w:val="000000"/>
        </w:rPr>
        <w:t>〕4号</w:t>
      </w:r>
      <w:r>
        <w:rPr>
          <w:rFonts w:hint="eastAsia"/>
          <w:b/>
          <w:i/>
          <w:color w:val="000000"/>
        </w:rPr>
        <w:t>（</w:t>
      </w:r>
      <w:r>
        <w:rPr>
          <w:b/>
          <w:i/>
          <w:color w:val="000000"/>
        </w:rPr>
        <w:t>具体详见三门县政府性投资项目工程变更操作手册</w:t>
      </w:r>
      <w:r>
        <w:rPr>
          <w:rFonts w:hint="eastAsia"/>
          <w:b/>
          <w:i/>
          <w:color w:val="000000"/>
        </w:rPr>
        <w:t>）</w:t>
      </w:r>
      <w:r>
        <w:rPr>
          <w:rFonts w:hint="eastAsia"/>
          <w:color w:val="000000"/>
        </w:rPr>
        <w:t>等地方政府的相关规定和要求。</w:t>
      </w:r>
    </w:p>
    <w:p>
      <w:pPr>
        <w:pStyle w:val="3"/>
        <w:spacing w:before="0" w:after="0" w:line="400" w:lineRule="exact"/>
        <w:rPr>
          <w:rFonts w:ascii="宋体" w:hAnsi="宋体"/>
          <w:b w:val="0"/>
          <w:sz w:val="21"/>
          <w:szCs w:val="21"/>
        </w:rPr>
      </w:pPr>
      <w:bookmarkStart w:id="433" w:name="_Toc173244851"/>
      <w:bookmarkStart w:id="434" w:name="_Toc173246238"/>
      <w:r>
        <w:rPr>
          <w:rFonts w:hint="eastAsia" w:ascii="宋体" w:hAnsi="宋体"/>
          <w:b w:val="0"/>
          <w:sz w:val="21"/>
          <w:szCs w:val="21"/>
        </w:rPr>
        <w:t>15.4 变更的估价原则</w:t>
      </w:r>
      <w:bookmarkEnd w:id="433"/>
      <w:bookmarkEnd w:id="434"/>
    </w:p>
    <w:p>
      <w:pPr>
        <w:spacing w:line="400" w:lineRule="exact"/>
        <w:ind w:firstLine="420" w:firstLineChars="200"/>
        <w:rPr>
          <w:rFonts w:ascii="宋体" w:hAnsi="宋体" w:eastAsia="宋体" w:cs="宋体"/>
        </w:rPr>
      </w:pPr>
      <w:r>
        <w:rPr>
          <w:rFonts w:hint="eastAsia" w:ascii="宋体" w:hAnsi="宋体" w:eastAsia="宋体" w:cs="宋体"/>
        </w:rPr>
        <w:t>公路工程专用合同条款第 15.4.2 项约定为：</w:t>
      </w:r>
    </w:p>
    <w:p>
      <w:pPr>
        <w:spacing w:line="400" w:lineRule="exact"/>
        <w:ind w:firstLine="420" w:firstLineChars="200"/>
        <w:rPr>
          <w:rFonts w:ascii="宋体" w:hAnsi="宋体" w:eastAsia="宋体" w:cs="宋体"/>
        </w:rPr>
      </w:pPr>
      <w:r>
        <w:rPr>
          <w:rFonts w:hint="eastAsia" w:ascii="宋体" w:hAnsi="宋体" w:eastAsia="宋体" w:cs="宋体"/>
        </w:rPr>
        <w:t>15.4.2 已标价的工程量清单预算审核书中有适用于变更工作的子目的，采用该子目的单价。但是，如果合同的工程量清单中某一个支付子目所列的“合价”（含变更后的“合价”）超过签约合同价的2%，而且该支付子目变更后的工程实际数量超过或少于工程量清单中所列数量的25%，则该支付子目的单价应予以调整，新单价的确定原则适用 15.4.4 项的规定。当支付子目变更后的工程实际数量超过工程量清单中所列数量的 25%的，调整后的新单价适用于该支付子目超过工程量清单中所列数量的工程数量；当支付子目变更后的工程实际数量少于工程量清单中所列数量的 25%的，调整后的新单价适用于该支付子目全部工程数量。</w:t>
      </w:r>
    </w:p>
    <w:p>
      <w:pPr>
        <w:spacing w:line="400" w:lineRule="exact"/>
        <w:ind w:firstLine="420" w:firstLineChars="200"/>
        <w:rPr>
          <w:rFonts w:ascii="宋体" w:hAnsi="宋体" w:eastAsia="宋体" w:cs="宋体"/>
        </w:rPr>
      </w:pPr>
      <w:r>
        <w:rPr>
          <w:rFonts w:hint="eastAsia" w:ascii="宋体" w:hAnsi="宋体" w:eastAsia="宋体" w:cs="宋体"/>
        </w:rPr>
        <w:t>公路工程专用合同条款 15.4.4 项细化为：</w:t>
      </w:r>
    </w:p>
    <w:p>
      <w:pPr>
        <w:spacing w:line="400" w:lineRule="exact"/>
        <w:ind w:firstLine="420" w:firstLineChars="200"/>
        <w:rPr>
          <w:rFonts w:ascii="宋体" w:hAnsi="宋体" w:eastAsia="宋体" w:cs="宋体"/>
        </w:rPr>
      </w:pPr>
      <w:r>
        <w:rPr>
          <w:rFonts w:hint="eastAsia" w:ascii="宋体" w:hAnsi="宋体" w:eastAsia="宋体" w:cs="宋体"/>
        </w:rPr>
        <w:t>15.4.4 已标价工程量清单中无适用或类似子目的单价，按以下原则进行组价：</w:t>
      </w:r>
    </w:p>
    <w:p>
      <w:pPr>
        <w:spacing w:line="400" w:lineRule="exact"/>
        <w:ind w:firstLine="420" w:firstLineChars="200"/>
        <w:rPr>
          <w:color w:val="000000"/>
        </w:rPr>
      </w:pPr>
      <w:r>
        <w:rPr>
          <w:rFonts w:hint="eastAsia" w:ascii="宋体" w:hAnsi="宋体" w:eastAsia="宋体" w:cs="宋体"/>
        </w:rPr>
        <w:t>（1）按交通部《公路工程基本建设项目概算预算编制办法》（JTG3830-2018） 、交通部《公路工程预算定额》（JTG/T 3832-2018））、交通部《公路工程机械台班费用定额》（JTG/T 3833-2018）、《公路工程工程量清单计价规范》（2018版）、</w:t>
      </w:r>
      <w:r>
        <w:rPr>
          <w:rFonts w:hint="eastAsia"/>
          <w:color w:val="000000"/>
        </w:rPr>
        <w:t>浙江省交通运输厅《转发交通部2018年第86号公告的通知》、《财政部税务总局海关总署关于深化增值税改革有关政策的公告》等有关文件及浙江省补充定额进行组价；取费时施工场地建设费和安全生产费不得计取。</w:t>
      </w:r>
    </w:p>
    <w:p>
      <w:pPr>
        <w:spacing w:line="360" w:lineRule="exact"/>
        <w:ind w:firstLine="420" w:firstLineChars="200"/>
        <w:rPr>
          <w:color w:val="000000"/>
        </w:rPr>
      </w:pPr>
      <w:r>
        <w:rPr>
          <w:rFonts w:hint="eastAsia"/>
          <w:color w:val="000000"/>
        </w:rPr>
        <w:t>（2）无法套用上述定额和取费标准的，借用水运、市政、水利、铁路、建筑定额消耗，参照公路组价办法进行组价。上述定额有区域性的，优先适用浙江定额与取费标准。若仍难以确定变更单价，可按照实际的施工工艺经测算后合理确定工料机消耗量进行组价。</w:t>
      </w:r>
    </w:p>
    <w:p>
      <w:pPr>
        <w:spacing w:line="360" w:lineRule="exact"/>
        <w:ind w:firstLine="420" w:firstLineChars="200"/>
        <w:rPr>
          <w:color w:val="000000"/>
        </w:rPr>
      </w:pPr>
      <w:r>
        <w:rPr>
          <w:rFonts w:hint="eastAsia"/>
          <w:color w:val="000000"/>
        </w:rPr>
        <w:t>（3）组价时，材料、机械台班单价按投标截止日前28天所在月份浙江省交通工程管理中心发布的《质监与造价》上的信息价计算（该期《质监与造价》无材料价格但前两期《质监与造价》有材料价格的，可按最新期材料价格计算。采用台州市除税信息价，如《质监与造价》中也无信息价的，参考同期项目所在地《建设工程造价信息》中的台州市除税信息价；《建设工程造价信息》中也无信息价的，参考承包人单价分析表中载明的合理的材料和机械台班单价，若仍无法确定单价的，由监理人询价确定。</w:t>
      </w:r>
    </w:p>
    <w:p>
      <w:pPr>
        <w:spacing w:line="400" w:lineRule="exact"/>
        <w:ind w:firstLine="420" w:firstLineChars="200"/>
        <w:rPr>
          <w:rFonts w:ascii="宋体" w:hAnsi="宋体" w:eastAsia="宋体" w:cs="宋体"/>
        </w:rPr>
      </w:pPr>
      <w:r>
        <w:rPr>
          <w:rFonts w:hint="eastAsia" w:ascii="宋体" w:hAnsi="宋体" w:eastAsia="宋体" w:cs="宋体"/>
        </w:rPr>
        <w:t>（4）根据上述原则组价的综合单价，计算工程总价，结算时统一按评标标底下浮率实行总价下浮。</w:t>
      </w:r>
    </w:p>
    <w:p>
      <w:pPr>
        <w:spacing w:line="400" w:lineRule="exact"/>
        <w:ind w:firstLine="420" w:firstLineChars="200"/>
        <w:rPr>
          <w:rFonts w:ascii="宋体" w:hAnsi="宋体" w:eastAsia="宋体" w:cs="宋体"/>
        </w:rPr>
      </w:pPr>
      <w:r>
        <w:rPr>
          <w:rFonts w:hint="eastAsia" w:ascii="宋体" w:hAnsi="宋体" w:eastAsia="宋体" w:cs="宋体"/>
        </w:rPr>
        <w:t>补充15.4.6：招标人提供预算审核书中定额子目套用错误，结算时按公路工程相关规定按实结算，其中人工、材料、机械单价及取费标准等参照预算审核书，预算审核书中没有的由招标人（监理工程师）签证后纳入总造价进行结算，合同文件规定可以调整按相关进行调整。</w:t>
      </w:r>
    </w:p>
    <w:p>
      <w:pPr>
        <w:pStyle w:val="3"/>
        <w:snapToGrid w:val="0"/>
        <w:spacing w:before="0" w:after="0" w:line="360" w:lineRule="auto"/>
        <w:rPr>
          <w:rFonts w:ascii="宋体" w:hAnsi="宋体"/>
          <w:sz w:val="28"/>
          <w:szCs w:val="28"/>
        </w:rPr>
      </w:pPr>
      <w:bookmarkStart w:id="435" w:name="_Toc173246239"/>
      <w:bookmarkStart w:id="436" w:name="_Toc173244852"/>
      <w:r>
        <w:rPr>
          <w:rFonts w:hint="eastAsia" w:ascii="宋体" w:hAnsi="宋体"/>
          <w:sz w:val="28"/>
          <w:szCs w:val="28"/>
        </w:rPr>
        <w:t>16. 价格调整</w:t>
      </w:r>
      <w:bookmarkEnd w:id="435"/>
      <w:bookmarkEnd w:id="436"/>
    </w:p>
    <w:p>
      <w:pPr>
        <w:pStyle w:val="3"/>
        <w:spacing w:before="0" w:after="0" w:line="400" w:lineRule="exact"/>
        <w:rPr>
          <w:rFonts w:ascii="宋体" w:hAnsi="宋体"/>
          <w:b w:val="0"/>
          <w:sz w:val="21"/>
          <w:szCs w:val="21"/>
        </w:rPr>
      </w:pPr>
      <w:bookmarkStart w:id="437" w:name="_Toc173244853"/>
      <w:bookmarkStart w:id="438" w:name="_Toc173246240"/>
      <w:r>
        <w:rPr>
          <w:rFonts w:hint="eastAsia" w:ascii="宋体" w:hAnsi="宋体"/>
          <w:b w:val="0"/>
          <w:sz w:val="21"/>
          <w:szCs w:val="21"/>
        </w:rPr>
        <w:t>16.1 物价波动引起的价格调整</w:t>
      </w:r>
      <w:bookmarkEnd w:id="437"/>
      <w:bookmarkEnd w:id="438"/>
    </w:p>
    <w:p>
      <w:pPr>
        <w:spacing w:line="276" w:lineRule="auto"/>
        <w:ind w:firstLine="420" w:firstLineChars="200"/>
        <w:rPr>
          <w:rFonts w:ascii="宋体" w:hAnsi="宋体" w:eastAsia="宋体" w:cs="宋体"/>
          <w:szCs w:val="21"/>
        </w:rPr>
      </w:pPr>
      <w:r>
        <w:rPr>
          <w:rFonts w:hint="eastAsia" w:ascii="宋体" w:hAnsi="宋体" w:eastAsia="宋体" w:cs="宋体"/>
          <w:szCs w:val="21"/>
        </w:rPr>
        <w:t>通用合同条款16.1.2项约定为：</w:t>
      </w:r>
    </w:p>
    <w:p>
      <w:pPr>
        <w:spacing w:line="400" w:lineRule="exact"/>
        <w:ind w:firstLine="420" w:firstLineChars="200"/>
        <w:rPr>
          <w:rFonts w:ascii="宋体" w:hAnsi="宋体" w:eastAsia="宋体" w:cs="宋体"/>
          <w:szCs w:val="21"/>
        </w:rPr>
      </w:pPr>
      <w:r>
        <w:rPr>
          <w:rFonts w:hint="eastAsia" w:ascii="宋体" w:hAnsi="宋体" w:eastAsia="宋体" w:cs="宋体"/>
          <w:szCs w:val="21"/>
        </w:rPr>
        <w:t xml:space="preserve">    16.1.2本项目物价波动引起的价格不调整。</w:t>
      </w:r>
    </w:p>
    <w:p>
      <w:pPr>
        <w:spacing w:line="276" w:lineRule="auto"/>
        <w:rPr>
          <w:rFonts w:ascii="宋体" w:hAnsi="宋体" w:eastAsia="宋体" w:cs="宋体"/>
          <w:szCs w:val="21"/>
        </w:rPr>
      </w:pPr>
      <w:bookmarkStart w:id="439" w:name="_Toc422814743"/>
      <w:bookmarkStart w:id="440" w:name="_Toc249418757"/>
      <w:bookmarkStart w:id="441" w:name="_Toc246867760"/>
      <w:bookmarkStart w:id="442" w:name="_Toc246699775"/>
      <w:r>
        <w:rPr>
          <w:rFonts w:hint="eastAsia" w:ascii="宋体" w:hAnsi="宋体" w:eastAsia="宋体" w:cs="宋体"/>
          <w:szCs w:val="21"/>
        </w:rPr>
        <w:t>16.2法律变化引起的价格调整</w:t>
      </w:r>
      <w:bookmarkEnd w:id="439"/>
      <w:bookmarkEnd w:id="440"/>
      <w:bookmarkEnd w:id="441"/>
      <w:bookmarkEnd w:id="442"/>
    </w:p>
    <w:p>
      <w:pPr>
        <w:spacing w:line="400" w:lineRule="exact"/>
        <w:ind w:firstLine="420" w:firstLineChars="200"/>
        <w:rPr>
          <w:rFonts w:ascii="宋体" w:hAnsi="宋体" w:eastAsia="宋体" w:cs="宋体"/>
        </w:rPr>
      </w:pPr>
      <w:r>
        <w:rPr>
          <w:rFonts w:hint="eastAsia" w:ascii="宋体" w:hAnsi="宋体" w:eastAsia="宋体" w:cs="宋体"/>
        </w:rPr>
        <w:t>通用合同条款第16.2款细化为：</w:t>
      </w:r>
    </w:p>
    <w:p>
      <w:pPr>
        <w:spacing w:line="400" w:lineRule="exact"/>
        <w:ind w:firstLine="420" w:firstLineChars="200"/>
        <w:rPr>
          <w:rFonts w:ascii="宋体" w:hAnsi="宋体" w:eastAsia="宋体" w:cs="宋体"/>
        </w:rPr>
      </w:pPr>
      <w:r>
        <w:rPr>
          <w:rFonts w:hint="eastAsia" w:ascii="宋体" w:hAnsi="宋体" w:eastAsia="宋体" w:cs="宋体"/>
        </w:rPr>
        <w:t>在基准日后，因法律、标准、规范变化导致承包人在合同履行中所需要的工程费用发生除第16.1款约定以外的增减时，合同价格不予调整。</w:t>
      </w:r>
    </w:p>
    <w:p>
      <w:pPr>
        <w:pStyle w:val="3"/>
        <w:snapToGrid w:val="0"/>
        <w:spacing w:before="0" w:after="0" w:line="360" w:lineRule="auto"/>
        <w:rPr>
          <w:rFonts w:ascii="宋体" w:hAnsi="宋体"/>
          <w:sz w:val="28"/>
          <w:szCs w:val="28"/>
        </w:rPr>
      </w:pPr>
      <w:bookmarkStart w:id="443" w:name="_Toc173244854"/>
      <w:bookmarkStart w:id="444" w:name="_Toc173246241"/>
      <w:r>
        <w:rPr>
          <w:rFonts w:hint="eastAsia" w:ascii="宋体" w:hAnsi="宋体"/>
          <w:sz w:val="28"/>
          <w:szCs w:val="28"/>
        </w:rPr>
        <w:t>17. 计量与支付</w:t>
      </w:r>
      <w:bookmarkEnd w:id="443"/>
      <w:bookmarkEnd w:id="444"/>
    </w:p>
    <w:p>
      <w:pPr>
        <w:rPr>
          <w:rFonts w:ascii="宋体" w:hAnsi="宋体"/>
          <w:sz w:val="24"/>
        </w:rPr>
      </w:pPr>
      <w:r>
        <w:rPr>
          <w:rFonts w:hint="eastAsia"/>
          <w:lang w:val="zh-CN"/>
        </w:rPr>
        <w:t>17.1.4</w:t>
      </w:r>
      <w:r>
        <w:rPr>
          <w:rFonts w:hint="eastAsia" w:ascii="宋体" w:hAnsi="宋体"/>
          <w:sz w:val="24"/>
        </w:rPr>
        <w:t>单价子目的计量</w:t>
      </w:r>
    </w:p>
    <w:p>
      <w:pPr>
        <w:rPr>
          <w:lang w:val="zh-CN"/>
        </w:rPr>
      </w:pPr>
      <w:r>
        <w:rPr>
          <w:rFonts w:hint="eastAsia"/>
          <w:lang w:val="zh-CN"/>
        </w:rPr>
        <w:t>修改补充（7）为承包人计量单价按预算审核书中单价（暂估价除外）进行计量，汇总后按招标文件规定评标标底下浮率下浮后作为结算价。</w:t>
      </w:r>
    </w:p>
    <w:p>
      <w:pPr>
        <w:rPr>
          <w:lang w:val="zh-CN"/>
        </w:rPr>
      </w:pPr>
      <w:r>
        <w:rPr>
          <w:rFonts w:hint="eastAsia"/>
          <w:lang w:val="zh-CN"/>
        </w:rPr>
        <w:t>17.1.5总价子目的计量</w:t>
      </w:r>
    </w:p>
    <w:p>
      <w:pPr>
        <w:rPr>
          <w:lang w:val="zh-CN"/>
        </w:rPr>
      </w:pPr>
      <w:r>
        <w:rPr>
          <w:rFonts w:hint="eastAsia"/>
          <w:lang w:val="zh-CN"/>
        </w:rPr>
        <w:t>本项补充：</w:t>
      </w:r>
    </w:p>
    <w:p>
      <w:pPr>
        <w:rPr>
          <w:lang w:val="zh-CN"/>
        </w:rPr>
      </w:pPr>
      <w:r>
        <w:rPr>
          <w:rFonts w:hint="eastAsia"/>
          <w:lang w:val="zh-CN"/>
        </w:rPr>
        <w:t>（5）总价子目计量的单价按招标人提供预算审核书中的单价（暂估价除外）进行计量，汇总后按招标文件规定评标标底下浮率下浮后作为结算价。</w:t>
      </w:r>
    </w:p>
    <w:p>
      <w:pPr>
        <w:pStyle w:val="3"/>
        <w:spacing w:before="0" w:after="0" w:line="400" w:lineRule="exact"/>
        <w:rPr>
          <w:rFonts w:ascii="宋体" w:hAnsi="宋体"/>
          <w:b w:val="0"/>
          <w:sz w:val="21"/>
          <w:szCs w:val="21"/>
        </w:rPr>
      </w:pPr>
      <w:bookmarkStart w:id="445" w:name="_Toc173244855"/>
      <w:bookmarkStart w:id="446" w:name="_Toc173246242"/>
      <w:r>
        <w:rPr>
          <w:rFonts w:hint="eastAsia" w:ascii="宋体" w:hAnsi="宋体"/>
          <w:b w:val="0"/>
          <w:sz w:val="21"/>
          <w:szCs w:val="21"/>
        </w:rPr>
        <w:t>17.2 预付款：</w:t>
      </w:r>
      <w:bookmarkEnd w:id="445"/>
      <w:bookmarkEnd w:id="446"/>
    </w:p>
    <w:p>
      <w:pPr>
        <w:spacing w:line="400" w:lineRule="exact"/>
        <w:rPr>
          <w:rFonts w:ascii="宋体" w:hAnsi="宋体" w:eastAsia="宋体" w:cs="宋体"/>
          <w:b/>
          <w:szCs w:val="21"/>
        </w:rPr>
      </w:pPr>
      <w:r>
        <w:rPr>
          <w:rFonts w:hint="eastAsia" w:ascii="宋体" w:hAnsi="宋体" w:eastAsia="宋体" w:cs="宋体"/>
          <w:b/>
          <w:szCs w:val="21"/>
        </w:rPr>
        <w:t xml:space="preserve">     将公路工程专用合同条款第17.2.1 (1)、（2）目细化为：</w:t>
      </w:r>
    </w:p>
    <w:p>
      <w:pPr>
        <w:spacing w:line="400" w:lineRule="exact"/>
        <w:ind w:firstLine="422" w:firstLineChars="200"/>
        <w:rPr>
          <w:rFonts w:ascii="宋体" w:hAnsi="宋体" w:eastAsia="宋体" w:cs="宋体"/>
          <w:b/>
        </w:rPr>
      </w:pPr>
      <w:r>
        <w:rPr>
          <w:rFonts w:hint="eastAsia" w:ascii="宋体" w:hAnsi="宋体" w:eastAsia="宋体" w:cs="宋体"/>
          <w:b/>
        </w:rPr>
        <w:t>（1）开工预付款的金额为签约合同价的10%</w:t>
      </w:r>
      <w:r>
        <w:rPr>
          <w:rFonts w:hint="eastAsia" w:ascii="宋体" w:hAnsi="宋体"/>
          <w:szCs w:val="21"/>
        </w:rPr>
        <w:t>（含农民工工资预付款）</w:t>
      </w:r>
      <w:r>
        <w:rPr>
          <w:rFonts w:hint="eastAsia" w:ascii="宋体" w:hAnsi="宋体" w:eastAsia="宋体" w:cs="宋体"/>
          <w:b/>
        </w:rPr>
        <w:t>。在承包人签订了合同协议书并提交了开工预付款保函后且在承包人承诺的主要人员、设备进场后，一次性支付预付款10%。</w:t>
      </w:r>
    </w:p>
    <w:p>
      <w:pPr>
        <w:spacing w:line="400" w:lineRule="exact"/>
        <w:ind w:firstLine="422" w:firstLineChars="200"/>
        <w:rPr>
          <w:rFonts w:ascii="宋体" w:hAnsi="宋体" w:eastAsia="宋体" w:cs="宋体"/>
          <w:b/>
        </w:rPr>
      </w:pPr>
      <w:r>
        <w:rPr>
          <w:rFonts w:hint="eastAsia" w:ascii="宋体" w:hAnsi="宋体" w:eastAsia="宋体" w:cs="宋体"/>
          <w:b/>
        </w:rPr>
        <w:t>承包人不得将该项预付款用于与本工程无关的支出，监理人有权监督承包人对该项费用的使用，如经查实承包人滥用开工预付款，发包人有权立即通过向银行发出通知收回开工预付款保函的方式，将该款收回。</w:t>
      </w:r>
    </w:p>
    <w:p>
      <w:pPr>
        <w:spacing w:line="400" w:lineRule="exact"/>
        <w:ind w:firstLine="422" w:firstLineChars="200"/>
        <w:rPr>
          <w:rFonts w:ascii="宋体" w:hAnsi="宋体" w:eastAsia="宋体" w:cs="宋体"/>
          <w:b/>
          <w:szCs w:val="21"/>
        </w:rPr>
      </w:pPr>
      <w:r>
        <w:rPr>
          <w:rFonts w:hint="eastAsia" w:ascii="宋体" w:hAnsi="宋体" w:eastAsia="宋体" w:cs="宋体"/>
          <w:b/>
        </w:rPr>
        <w:t>（2）本项目材料、设备预付款比例：无</w:t>
      </w:r>
      <w:r>
        <w:rPr>
          <w:rFonts w:hint="eastAsia" w:ascii="宋体" w:hAnsi="宋体" w:eastAsia="宋体" w:cs="宋体"/>
          <w:b/>
          <w:szCs w:val="21"/>
        </w:rPr>
        <w:t>。</w:t>
      </w:r>
    </w:p>
    <w:p>
      <w:pPr>
        <w:spacing w:line="400" w:lineRule="exact"/>
        <w:ind w:firstLine="422" w:firstLineChars="200"/>
        <w:rPr>
          <w:rFonts w:ascii="宋体" w:hAnsi="宋体" w:eastAsia="宋体" w:cs="宋体"/>
          <w:b/>
          <w:bCs/>
        </w:rPr>
      </w:pPr>
      <w:r>
        <w:rPr>
          <w:rFonts w:hint="eastAsia" w:ascii="宋体" w:hAnsi="宋体" w:eastAsia="宋体" w:cs="宋体"/>
          <w:b/>
          <w:bCs/>
        </w:rPr>
        <w:t>通用合同条款 17.3.3（4）目补充：</w:t>
      </w:r>
    </w:p>
    <w:p>
      <w:pPr>
        <w:spacing w:line="340" w:lineRule="exact"/>
        <w:ind w:firstLine="422" w:firstLineChars="200"/>
        <w:rPr>
          <w:b/>
        </w:rPr>
      </w:pPr>
      <w:r>
        <w:rPr>
          <w:rFonts w:hint="eastAsia"/>
          <w:b/>
        </w:rPr>
        <w:t>工程完工后工程款累计支付不超过合同价的85%，待工程交工验收合格并经审计</w:t>
      </w:r>
      <w:r>
        <w:rPr>
          <w:b/>
        </w:rPr>
        <w:t>（</w:t>
      </w:r>
      <w:r>
        <w:rPr>
          <w:rFonts w:hint="eastAsia"/>
          <w:b/>
        </w:rPr>
        <w:t>由发包人委托第三方审核确定，工程款以第三方审定结论为依据</w:t>
      </w:r>
      <w:r>
        <w:rPr>
          <w:b/>
        </w:rPr>
        <w:t>）</w:t>
      </w:r>
      <w:r>
        <w:rPr>
          <w:rFonts w:hint="eastAsia"/>
          <w:b/>
        </w:rPr>
        <w:t>后付至审定结算价的98.5%，承包人提供质量保证金后支付至结算审定价的100%。承包人收取备料款及每期工程款时应开具符合税务部门规定的有效发票，其余按合同通用条款。款项支付在发包人确认计量结果后14天内完成支付，每次付款前，承包人应先按发包人要求提供增值税发票。</w:t>
      </w:r>
    </w:p>
    <w:p>
      <w:pPr>
        <w:spacing w:line="340" w:lineRule="exact"/>
        <w:ind w:firstLine="420" w:firstLineChars="200"/>
        <w:rPr>
          <w:color w:val="000000"/>
        </w:rPr>
      </w:pPr>
      <w:r>
        <w:rPr>
          <w:rFonts w:hint="eastAsia"/>
          <w:color w:val="000000"/>
        </w:rPr>
        <w:t>17.3.5农民工工资保证金</w:t>
      </w:r>
    </w:p>
    <w:p>
      <w:pPr>
        <w:spacing w:line="340" w:lineRule="exact"/>
        <w:ind w:firstLine="420" w:firstLineChars="200"/>
        <w:rPr>
          <w:color w:val="000000"/>
        </w:rPr>
      </w:pPr>
      <w:r>
        <w:rPr>
          <w:rFonts w:hint="eastAsia"/>
          <w:color w:val="000000"/>
        </w:rPr>
        <w:t>通用合同条款补充第17.3.</w:t>
      </w:r>
      <w:r>
        <w:rPr>
          <w:color w:val="000000"/>
        </w:rPr>
        <w:t>5</w:t>
      </w:r>
      <w:r>
        <w:rPr>
          <w:rFonts w:hint="eastAsia"/>
          <w:color w:val="000000"/>
        </w:rPr>
        <w:t>项为：</w:t>
      </w:r>
    </w:p>
    <w:p>
      <w:pPr>
        <w:spacing w:line="340" w:lineRule="exact"/>
        <w:ind w:firstLine="420" w:firstLineChars="200"/>
        <w:rPr>
          <w:color w:val="000000"/>
        </w:rPr>
      </w:pPr>
      <w:r>
        <w:rPr>
          <w:rFonts w:hint="eastAsia"/>
          <w:color w:val="000000"/>
        </w:rPr>
        <w:t>农民工工资保证金的缴存时间：按《浙江省工程建设领域农名工工资保证金管理实施细则》浙人社发〔2022〕13 号、《浙江省工程建设领域农民工工资专用账户管理实施细则》浙人社发〔2022〕14 号及相关规定执行（如有最新规定，从其规定）。</w:t>
      </w:r>
    </w:p>
    <w:p>
      <w:pPr>
        <w:spacing w:line="340" w:lineRule="exact"/>
        <w:ind w:firstLine="420" w:firstLineChars="200"/>
        <w:rPr>
          <w:color w:val="000000"/>
        </w:rPr>
      </w:pPr>
      <w:r>
        <w:rPr>
          <w:rFonts w:hint="eastAsia"/>
          <w:color w:val="000000"/>
        </w:rPr>
        <w:t>农民工工资保证金的缴存金额：按《浙江省工程建设领域农名工工资保证金管理实施细则》浙人社发〔2022〕13 号、《浙江省工程建设领域农民工工资专用账户管理实施细则》浙人社发〔2022〕14号及相关规定执行（如有最新规定，从其规定）。</w:t>
      </w:r>
    </w:p>
    <w:p>
      <w:pPr>
        <w:spacing w:line="340" w:lineRule="exact"/>
        <w:ind w:firstLine="420" w:firstLineChars="200"/>
        <w:rPr>
          <w:color w:val="000000"/>
        </w:rPr>
      </w:pPr>
      <w:r>
        <w:rPr>
          <w:rFonts w:hint="eastAsia"/>
          <w:color w:val="000000"/>
        </w:rPr>
        <w:t>农民工工资保证金的扣留条件：按《浙江省工程建设领域农名工工资保证金管理实施细则》浙人社发〔2022〕13 号、《浙江省工程建设领域农民工工资专用账户管理实施细则》浙人社发〔2022〕14 号及相关规定执行（如有最新规定，从其规定）。</w:t>
      </w:r>
    </w:p>
    <w:p>
      <w:pPr>
        <w:spacing w:line="340" w:lineRule="exact"/>
        <w:ind w:firstLine="420" w:firstLineChars="200"/>
        <w:rPr>
          <w:b/>
        </w:rPr>
      </w:pPr>
      <w:r>
        <w:rPr>
          <w:rFonts w:hint="eastAsia"/>
          <w:color w:val="000000"/>
        </w:rPr>
        <w:t>农民工工资保证金的返还时间：按《浙江省工程建设领域农名工工资保证金管理实施细则》浙人社发〔2022〕13 号、《浙江省工程建设领域农民工工资专用账户管理实施细则》浙人社发〔2022〕14 号及相关规定执行（如有最新规定，从其规定）。</w:t>
      </w:r>
    </w:p>
    <w:p>
      <w:pPr>
        <w:pStyle w:val="3"/>
        <w:spacing w:before="0" w:after="0" w:line="340" w:lineRule="exact"/>
        <w:rPr>
          <w:b w:val="0"/>
          <w:color w:val="000000"/>
          <w:sz w:val="21"/>
          <w:szCs w:val="21"/>
        </w:rPr>
      </w:pPr>
      <w:bookmarkStart w:id="447" w:name="_Toc173244856"/>
      <w:bookmarkStart w:id="448" w:name="_Toc173246243"/>
      <w:r>
        <w:rPr>
          <w:rFonts w:hint="eastAsia"/>
          <w:b w:val="0"/>
          <w:color w:val="000000"/>
          <w:sz w:val="21"/>
          <w:szCs w:val="21"/>
        </w:rPr>
        <w:t>17.4 质量保证金</w:t>
      </w:r>
      <w:bookmarkEnd w:id="447"/>
      <w:bookmarkEnd w:id="448"/>
    </w:p>
    <w:p>
      <w:pPr>
        <w:spacing w:line="400" w:lineRule="exact"/>
        <w:ind w:firstLine="420" w:firstLineChars="200"/>
        <w:rPr>
          <w:rFonts w:ascii="宋体" w:hAnsi="宋体"/>
          <w:szCs w:val="21"/>
        </w:rPr>
      </w:pPr>
      <w:r>
        <w:rPr>
          <w:rFonts w:hint="eastAsia" w:ascii="宋体" w:hAnsi="宋体"/>
          <w:szCs w:val="21"/>
        </w:rPr>
        <w:t>通用合同条款及公路工程专用合同条款第17.4.1项细化为：</w:t>
      </w:r>
    </w:p>
    <w:p>
      <w:pPr>
        <w:spacing w:line="400" w:lineRule="exact"/>
        <w:ind w:firstLine="420" w:firstLineChars="200"/>
        <w:rPr>
          <w:rFonts w:ascii="宋体" w:hAnsi="宋体"/>
          <w:szCs w:val="21"/>
        </w:rPr>
      </w:pPr>
      <w:r>
        <w:rPr>
          <w:rFonts w:hint="eastAsia" w:ascii="宋体" w:hAnsi="宋体"/>
          <w:szCs w:val="21"/>
        </w:rPr>
        <w:t>17.4.1 交工验收证书签发后14天内，承包人应向发包人缴纳质量保证金。质量保证金可采用现金（电汇或银行汇票形式）或银行保函或保险机构保证保险保单或融资担保公司保函等形式，金额见项目专用合同条款数据表。采用银行保函或保险机构保证保险保单或融资担保公司保函的，应符合发包人的要求。</w:t>
      </w:r>
    </w:p>
    <w:p>
      <w:pPr>
        <w:spacing w:line="400" w:lineRule="exact"/>
        <w:ind w:firstLine="420" w:firstLineChars="200"/>
        <w:rPr>
          <w:rFonts w:ascii="宋体" w:hAnsi="宋体"/>
          <w:szCs w:val="21"/>
        </w:rPr>
      </w:pPr>
      <w:r>
        <w:rPr>
          <w:rFonts w:hint="eastAsia" w:ascii="宋体" w:hAnsi="宋体"/>
          <w:szCs w:val="21"/>
        </w:rPr>
        <w:t>通用合同条款第17.4.2项细化为：</w:t>
      </w:r>
    </w:p>
    <w:p>
      <w:pPr>
        <w:spacing w:line="340" w:lineRule="exact"/>
        <w:ind w:firstLine="420" w:firstLineChars="200"/>
        <w:rPr>
          <w:rFonts w:ascii="宋体" w:hAnsi="宋体"/>
          <w:szCs w:val="21"/>
        </w:rPr>
      </w:pPr>
      <w:r>
        <w:rPr>
          <w:rFonts w:hint="eastAsia" w:ascii="宋体" w:hAnsi="宋体"/>
          <w:szCs w:val="21"/>
        </w:rPr>
        <w:t>17.4.2 在第 1.1.4.5 目约定的缺陷责任期满，且已按规定完成竣工质量验收或已完成质量专项验收，承包人向发包人申请到期应返还承包人剩余的质量保证金金额，发包人应在 14 天内会同承包人按照合同约定的内容核实承包人是否完成缺陷责任。如无异议，发包人应当在核实后将剩余保证金返还承包人。</w:t>
      </w:r>
    </w:p>
    <w:p>
      <w:pPr>
        <w:pStyle w:val="3"/>
        <w:adjustRightInd w:val="0"/>
        <w:snapToGrid w:val="0"/>
        <w:spacing w:before="0" w:after="0" w:line="340" w:lineRule="exact"/>
        <w:rPr>
          <w:b w:val="0"/>
          <w:color w:val="000000"/>
          <w:sz w:val="21"/>
          <w:szCs w:val="21"/>
        </w:rPr>
      </w:pPr>
      <w:bookmarkStart w:id="449" w:name="_Toc333848071"/>
      <w:bookmarkStart w:id="450" w:name="_Toc482283885"/>
      <w:bookmarkStart w:id="451" w:name="_Toc338772133"/>
      <w:bookmarkStart w:id="452" w:name="_Toc173244857"/>
      <w:bookmarkStart w:id="453" w:name="_Toc173246244"/>
      <w:r>
        <w:rPr>
          <w:rFonts w:hint="eastAsia"/>
          <w:b w:val="0"/>
          <w:color w:val="000000"/>
          <w:sz w:val="21"/>
          <w:szCs w:val="21"/>
        </w:rPr>
        <w:t>17.6  最终结清</w:t>
      </w:r>
      <w:bookmarkEnd w:id="449"/>
      <w:bookmarkEnd w:id="450"/>
      <w:bookmarkEnd w:id="451"/>
      <w:bookmarkEnd w:id="452"/>
      <w:bookmarkEnd w:id="453"/>
    </w:p>
    <w:p>
      <w:pPr>
        <w:adjustRightInd w:val="0"/>
        <w:snapToGrid w:val="0"/>
        <w:spacing w:line="340" w:lineRule="exact"/>
        <w:ind w:firstLine="420" w:firstLineChars="200"/>
        <w:rPr>
          <w:color w:val="000000"/>
        </w:rPr>
      </w:pPr>
      <w:r>
        <w:rPr>
          <w:rFonts w:hint="eastAsia"/>
          <w:color w:val="000000"/>
        </w:rPr>
        <w:t>17.6.2  最终结清证书和支付时间</w:t>
      </w:r>
    </w:p>
    <w:p>
      <w:pPr>
        <w:adjustRightInd w:val="0"/>
        <w:snapToGrid w:val="0"/>
        <w:spacing w:line="340" w:lineRule="exact"/>
        <w:ind w:firstLine="420" w:firstLineChars="200"/>
        <w:rPr>
          <w:kern w:val="0"/>
          <w:szCs w:val="21"/>
        </w:rPr>
      </w:pPr>
      <w:r>
        <w:rPr>
          <w:color w:val="000000"/>
        </w:rPr>
        <w:t>通用合同条款第17.6.2项补充(5)：</w:t>
      </w:r>
    </w:p>
    <w:p>
      <w:pPr>
        <w:adjustRightInd w:val="0"/>
        <w:snapToGrid w:val="0"/>
        <w:spacing w:line="340" w:lineRule="exact"/>
        <w:ind w:firstLine="420" w:firstLineChars="200"/>
        <w:rPr>
          <w:color w:val="000000"/>
        </w:rPr>
      </w:pPr>
      <w:r>
        <w:rPr>
          <w:color w:val="000000"/>
        </w:rPr>
        <w:t>(5)工程价款的最终结清以审计部门的审定数为准</w:t>
      </w:r>
      <w:r>
        <w:rPr>
          <w:rFonts w:hint="eastAsia"/>
          <w:color w:val="000000"/>
        </w:rPr>
        <w:t>。</w:t>
      </w:r>
    </w:p>
    <w:p>
      <w:pPr>
        <w:pStyle w:val="3"/>
        <w:adjustRightInd w:val="0"/>
        <w:snapToGrid w:val="0"/>
        <w:spacing w:before="0" w:after="0" w:line="360" w:lineRule="auto"/>
        <w:rPr>
          <w:rFonts w:ascii="宋体" w:hAnsi="宋体"/>
          <w:sz w:val="28"/>
          <w:szCs w:val="28"/>
        </w:rPr>
      </w:pPr>
      <w:bookmarkStart w:id="454" w:name="_Toc173244858"/>
      <w:bookmarkStart w:id="455" w:name="_Toc173246245"/>
      <w:r>
        <w:rPr>
          <w:rFonts w:hint="eastAsia" w:ascii="宋体" w:hAnsi="宋体"/>
          <w:sz w:val="28"/>
          <w:szCs w:val="28"/>
        </w:rPr>
        <w:t>18. 交工验收</w:t>
      </w:r>
      <w:bookmarkEnd w:id="454"/>
      <w:bookmarkEnd w:id="455"/>
    </w:p>
    <w:p>
      <w:pPr>
        <w:pStyle w:val="3"/>
        <w:adjustRightInd w:val="0"/>
        <w:snapToGrid w:val="0"/>
        <w:spacing w:before="0" w:after="0" w:line="240" w:lineRule="auto"/>
        <w:rPr>
          <w:rFonts w:ascii="宋体" w:hAnsi="宋体"/>
          <w:b w:val="0"/>
          <w:sz w:val="21"/>
          <w:szCs w:val="21"/>
        </w:rPr>
      </w:pPr>
      <w:bookmarkStart w:id="456" w:name="_Toc173244859"/>
      <w:bookmarkStart w:id="457" w:name="_Toc173246246"/>
      <w:r>
        <w:rPr>
          <w:rFonts w:hint="eastAsia" w:ascii="宋体" w:hAnsi="宋体"/>
          <w:b w:val="0"/>
          <w:sz w:val="21"/>
          <w:szCs w:val="21"/>
        </w:rPr>
        <w:t>18.9 竣工文件</w:t>
      </w:r>
      <w:bookmarkEnd w:id="456"/>
      <w:bookmarkEnd w:id="457"/>
    </w:p>
    <w:p>
      <w:pPr>
        <w:spacing w:line="360" w:lineRule="exact"/>
        <w:ind w:firstLine="420" w:firstLineChars="200"/>
        <w:rPr>
          <w:color w:val="000000"/>
        </w:rPr>
      </w:pPr>
      <w:r>
        <w:rPr>
          <w:color w:val="000000"/>
        </w:rPr>
        <w:t>公路工程专用合同条款 18.9 款细化为：</w:t>
      </w:r>
    </w:p>
    <w:p>
      <w:pPr>
        <w:spacing w:line="360" w:lineRule="exact"/>
        <w:ind w:firstLine="420" w:firstLineChars="200"/>
        <w:rPr>
          <w:color w:val="000000"/>
        </w:rPr>
      </w:pPr>
      <w:r>
        <w:rPr>
          <w:rFonts w:hint="eastAsia"/>
          <w:color w:val="000000"/>
        </w:rPr>
        <w:t>竣工文件应按交通运输部2004年第3号令《公路工程竣（交）工验收办法》、交通运输部交公路发（2010）65号《公路工程竣（交）工验收办法实施细则》和浙江省交通运输厅《浙江省公路工程竣工文件编制办法》、浙江省交通运输厅浙交〔2019〕184号《浙江省公路工程竣（交）工验收办法》等编制。在缺陷责任期内应为竣工验收补充竣工资料，并在缺陷责任期满45天前提交。承包人还应按交通运输部交财发〔2000〕207号《交通基本建设项目竣工决算报告编制办法》的规定和要求编制（由承包人实施的部分）竣工决算一式六套，提交监理人审核，同时应提交全套竣工资料的电子文档刻录光盘或其他电子存储介质，费用由承包人承担。</w:t>
      </w:r>
    </w:p>
    <w:p>
      <w:pPr>
        <w:spacing w:line="360" w:lineRule="exact"/>
        <w:ind w:firstLine="420" w:firstLineChars="200"/>
        <w:rPr>
          <w:color w:val="000000"/>
        </w:rPr>
      </w:pPr>
      <w:r>
        <w:rPr>
          <w:rFonts w:hint="eastAsia"/>
          <w:color w:val="000000"/>
        </w:rPr>
        <w:t>竣工文件中涉及施工及监理文件的有关表式，应按最新版《浙江省公路建设项目施工统一用表管理系统》（光盘）和浙江省交通运输厅工程质量监督局检测中心规定的统一试验用表（光盘）选用。光盘由承包人自备。</w:t>
      </w:r>
    </w:p>
    <w:p>
      <w:pPr>
        <w:spacing w:line="360" w:lineRule="exact"/>
        <w:ind w:firstLine="420" w:firstLineChars="200"/>
        <w:rPr>
          <w:color w:val="000000"/>
        </w:rPr>
      </w:pPr>
      <w:r>
        <w:rPr>
          <w:rFonts w:hint="eastAsia"/>
          <w:color w:val="000000"/>
        </w:rPr>
        <w:t>违反本款规定，则按第22.1款承包人违约处理。</w:t>
      </w:r>
    </w:p>
    <w:p>
      <w:pPr>
        <w:spacing w:line="360" w:lineRule="exact"/>
        <w:ind w:firstLine="420" w:firstLineChars="200"/>
        <w:rPr>
          <w:color w:val="000000"/>
        </w:rPr>
      </w:pPr>
      <w:r>
        <w:rPr>
          <w:color w:val="000000"/>
        </w:rPr>
        <w:t>公路工程专用合同条款补充第 18. 10 款：</w:t>
      </w:r>
    </w:p>
    <w:p>
      <w:pPr>
        <w:pStyle w:val="3"/>
        <w:spacing w:before="0" w:after="0" w:line="360" w:lineRule="exact"/>
        <w:rPr>
          <w:b w:val="0"/>
          <w:color w:val="000000"/>
          <w:sz w:val="21"/>
          <w:szCs w:val="21"/>
        </w:rPr>
      </w:pPr>
      <w:bookmarkStart w:id="458" w:name="_Toc173246247"/>
      <w:bookmarkStart w:id="459" w:name="_Toc452301335"/>
      <w:bookmarkStart w:id="460" w:name="_Toc173244860"/>
      <w:r>
        <w:rPr>
          <w:b w:val="0"/>
          <w:color w:val="000000"/>
          <w:sz w:val="21"/>
          <w:szCs w:val="21"/>
        </w:rPr>
        <w:t>18. 10 工程档案管理</w:t>
      </w:r>
      <w:bookmarkEnd w:id="458"/>
      <w:bookmarkEnd w:id="459"/>
      <w:bookmarkEnd w:id="460"/>
    </w:p>
    <w:p>
      <w:pPr>
        <w:spacing w:line="360" w:lineRule="exact"/>
        <w:ind w:firstLine="420" w:firstLineChars="200"/>
        <w:rPr>
          <w:color w:val="000000"/>
        </w:rPr>
      </w:pPr>
      <w:r>
        <w:rPr>
          <w:rFonts w:hint="eastAsia"/>
          <w:color w:val="000000"/>
        </w:rPr>
        <w:t>承包人必须确保工程施工原始资料与工程进度同步完成，并由专人负责档案管理工作，同时按照交通运输部《关于印发公路建设项目文件材料立卷归档管理办法的通知》（交办发〔2010〕382号）、《浙江省公路工程竣工文件编制办法》（浙交〔2002〕138号）、《重大建设项目档案验收办法》（档发〔2006〕2号）以及交通运输部《公路工程竣（交）工验收办法》（2004年第3号令）等有关规定做好工程竣工资料的编制，必须配备具有档案资质的专职人员负责竣工档案编制，且人员应稳定，未经发包人同意不得变更，同时设置专门档案室。承包人在工程施工结束并在发包人要求的规定时间内，通过档案专项验收，并移交所有工程档案资料、工程竣工结算报告给发包人。</w:t>
      </w:r>
    </w:p>
    <w:p>
      <w:pPr>
        <w:pStyle w:val="3"/>
        <w:spacing w:before="360" w:beforeLines="150" w:after="480" w:line="360" w:lineRule="exact"/>
        <w:rPr>
          <w:color w:val="000000"/>
          <w:sz w:val="28"/>
          <w:szCs w:val="28"/>
        </w:rPr>
      </w:pPr>
      <w:bookmarkStart w:id="461" w:name="_Toc249418765"/>
      <w:bookmarkStart w:id="462" w:name="_Toc452301336"/>
      <w:bookmarkStart w:id="463" w:name="_Toc25107"/>
      <w:bookmarkStart w:id="464" w:name="_Toc246699782"/>
      <w:bookmarkStart w:id="465" w:name="_Toc246867767"/>
      <w:bookmarkStart w:id="466" w:name="_Toc173244861"/>
      <w:bookmarkStart w:id="467" w:name="_Toc173246248"/>
      <w:r>
        <w:rPr>
          <w:rFonts w:hint="eastAsia"/>
          <w:color w:val="000000"/>
          <w:sz w:val="28"/>
          <w:szCs w:val="28"/>
        </w:rPr>
        <w:t>19.缺陷责任与保修责任</w:t>
      </w:r>
      <w:bookmarkEnd w:id="461"/>
      <w:bookmarkEnd w:id="462"/>
      <w:bookmarkEnd w:id="463"/>
      <w:bookmarkEnd w:id="464"/>
      <w:bookmarkEnd w:id="465"/>
      <w:bookmarkEnd w:id="466"/>
      <w:bookmarkEnd w:id="467"/>
    </w:p>
    <w:p>
      <w:pPr>
        <w:pStyle w:val="104"/>
        <w:spacing w:before="240" w:line="360" w:lineRule="exact"/>
        <w:rPr>
          <w:rFonts w:hAnsi="宋体" w:eastAsia="宋体"/>
          <w:color w:val="000000"/>
          <w:sz w:val="21"/>
          <w:szCs w:val="21"/>
        </w:rPr>
      </w:pPr>
      <w:bookmarkStart w:id="468" w:name="_Toc246867768"/>
      <w:bookmarkStart w:id="469" w:name="_Toc246699783"/>
      <w:bookmarkStart w:id="470" w:name="_Toc249418766"/>
      <w:bookmarkStart w:id="471" w:name="_Toc9698"/>
      <w:r>
        <w:rPr>
          <w:rFonts w:hint="eastAsia" w:hAnsi="宋体" w:eastAsia="宋体"/>
          <w:color w:val="000000"/>
          <w:sz w:val="21"/>
          <w:szCs w:val="21"/>
        </w:rPr>
        <w:t>19.2缺陷责任</w:t>
      </w:r>
      <w:bookmarkEnd w:id="468"/>
      <w:bookmarkEnd w:id="469"/>
      <w:bookmarkEnd w:id="470"/>
      <w:bookmarkEnd w:id="471"/>
    </w:p>
    <w:p>
      <w:pPr>
        <w:spacing w:line="360" w:lineRule="exact"/>
        <w:ind w:firstLine="420" w:firstLineChars="200"/>
        <w:rPr>
          <w:rFonts w:hAnsi="宋体"/>
          <w:color w:val="000000"/>
          <w:szCs w:val="21"/>
        </w:rPr>
      </w:pPr>
      <w:r>
        <w:rPr>
          <w:rFonts w:hint="eastAsia" w:hAnsi="宋体"/>
          <w:color w:val="000000"/>
          <w:szCs w:val="21"/>
        </w:rPr>
        <w:t>通用合同条款和公路工程专用合同条款第19.2.2项细化：</w:t>
      </w:r>
    </w:p>
    <w:p>
      <w:pPr>
        <w:spacing w:line="360" w:lineRule="exact"/>
        <w:ind w:firstLine="420" w:firstLineChars="200"/>
        <w:rPr>
          <w:rFonts w:hAnsi="宋体"/>
          <w:color w:val="000000"/>
          <w:szCs w:val="21"/>
        </w:rPr>
      </w:pPr>
      <w:r>
        <w:rPr>
          <w:rFonts w:hAnsi="宋体"/>
          <w:color w:val="000000"/>
          <w:szCs w:val="21"/>
        </w:rPr>
        <w:t>19.2.2缺陷责任期内，发包人对已接收使用的工程负责日常维护工作。发包人在使用过程中，发现已接收的工程存在新的缺陷或已修复的缺陷部位或部件又遭损坏的，承包人应负责修复，直至检验合格为止。在缺陷责任期内，承包人应尽快完成在交工验收证书中写明的未完成工作，并完成对本工程缺陷的修复或监理人指令的修补工作。承包人不修复缺陷病害或不合格，发包人会同监理人延长相应缺陷责任期，直至完全检验合格为止。</w:t>
      </w:r>
    </w:p>
    <w:p>
      <w:pPr>
        <w:pStyle w:val="3"/>
        <w:spacing w:before="0" w:after="0" w:line="360" w:lineRule="exact"/>
        <w:rPr>
          <w:b w:val="0"/>
          <w:color w:val="000000"/>
          <w:sz w:val="21"/>
          <w:szCs w:val="21"/>
        </w:rPr>
      </w:pPr>
      <w:bookmarkStart w:id="472" w:name="_Toc173244862"/>
      <w:bookmarkStart w:id="473" w:name="_Toc173246249"/>
      <w:r>
        <w:rPr>
          <w:rFonts w:hint="eastAsia"/>
          <w:b w:val="0"/>
          <w:color w:val="000000"/>
          <w:sz w:val="21"/>
          <w:szCs w:val="21"/>
        </w:rPr>
        <w:t>19.7 保修责任</w:t>
      </w:r>
      <w:bookmarkEnd w:id="472"/>
      <w:bookmarkEnd w:id="473"/>
    </w:p>
    <w:p>
      <w:pPr>
        <w:spacing w:line="360" w:lineRule="exact"/>
        <w:ind w:firstLine="420" w:firstLineChars="200"/>
        <w:rPr>
          <w:rFonts w:hAnsi="宋体"/>
          <w:color w:val="000000"/>
          <w:szCs w:val="21"/>
        </w:rPr>
      </w:pPr>
      <w:r>
        <w:rPr>
          <w:rFonts w:hint="eastAsia" w:hAnsi="宋体"/>
          <w:color w:val="000000"/>
          <w:szCs w:val="21"/>
        </w:rPr>
        <w:t>通用合同条款和公路工程专用合同条款第19.7（1）</w:t>
      </w:r>
      <w:r>
        <w:rPr>
          <w:rFonts w:hAnsi="宋体"/>
          <w:color w:val="000000"/>
          <w:szCs w:val="21"/>
        </w:rPr>
        <w:t>目</w:t>
      </w:r>
      <w:r>
        <w:rPr>
          <w:rFonts w:hint="eastAsia" w:hAnsi="宋体"/>
          <w:color w:val="000000"/>
          <w:szCs w:val="21"/>
        </w:rPr>
        <w:t>细化：</w:t>
      </w:r>
    </w:p>
    <w:p>
      <w:pPr>
        <w:spacing w:line="360" w:lineRule="exact"/>
        <w:ind w:firstLine="420" w:firstLineChars="200"/>
        <w:rPr>
          <w:rFonts w:hAnsi="宋体"/>
          <w:color w:val="000000"/>
          <w:szCs w:val="21"/>
        </w:rPr>
      </w:pPr>
      <w:r>
        <w:rPr>
          <w:rFonts w:hint="eastAsia" w:hAnsi="宋体"/>
          <w:color w:val="000000"/>
          <w:szCs w:val="21"/>
        </w:rPr>
        <w:t>（1）保修期自实际交工日期起计算，具体期限在项目专用合同条款数据表中约定。保修期与缺陷责任期重叠的期间，承包人的保修责任同缺陷责任。在缺陷责任期满后的保修期内的工程保修工作可以由发包人（或运行管理机构）与承包人签订工程保修协议，工程保修义务、责任和费用由工程保修协议规定。但在保修期内承包人应对由于施工质量或产品质量原因造成的损坏进行自费修复，并更换所有已损坏的设备，以保证设备的正常使用。</w:t>
      </w:r>
    </w:p>
    <w:p>
      <w:pPr>
        <w:pStyle w:val="3"/>
        <w:spacing w:before="360" w:beforeLines="150" w:after="480" w:line="360" w:lineRule="exact"/>
        <w:rPr>
          <w:color w:val="000000"/>
          <w:sz w:val="28"/>
          <w:szCs w:val="28"/>
        </w:rPr>
      </w:pPr>
      <w:bookmarkStart w:id="474" w:name="_Toc452301337"/>
      <w:bookmarkStart w:id="475" w:name="_Toc173244863"/>
      <w:bookmarkStart w:id="476" w:name="_Toc173246250"/>
      <w:r>
        <w:rPr>
          <w:color w:val="000000"/>
          <w:sz w:val="28"/>
          <w:szCs w:val="28"/>
        </w:rPr>
        <w:t>20. 保险</w:t>
      </w:r>
      <w:bookmarkEnd w:id="474"/>
      <w:bookmarkEnd w:id="475"/>
      <w:bookmarkEnd w:id="476"/>
    </w:p>
    <w:p>
      <w:pPr>
        <w:pStyle w:val="104"/>
        <w:spacing w:before="240" w:line="360" w:lineRule="exact"/>
        <w:rPr>
          <w:rFonts w:ascii="宋体" w:hAnsi="宋体"/>
          <w:b/>
        </w:rPr>
      </w:pPr>
      <w:bookmarkStart w:id="477" w:name="_Toc257912376"/>
      <w:bookmarkStart w:id="478" w:name="_Toc338323331"/>
      <w:bookmarkStart w:id="479" w:name="_Toc257226285"/>
      <w:bookmarkStart w:id="480" w:name="_Toc256891001"/>
      <w:bookmarkStart w:id="481" w:name="_Toc257913691"/>
      <w:bookmarkStart w:id="482" w:name="_Toc482283890"/>
      <w:bookmarkStart w:id="483" w:name="_Toc473117150"/>
      <w:bookmarkStart w:id="484" w:name="_Toc256923801"/>
      <w:bookmarkStart w:id="485" w:name="_Toc334712274"/>
      <w:bookmarkStart w:id="486" w:name="_Toc452301338"/>
      <w:r>
        <w:rPr>
          <w:rFonts w:hint="eastAsia" w:hAnsi="宋体" w:eastAsia="宋体"/>
          <w:color w:val="000000"/>
          <w:sz w:val="21"/>
          <w:szCs w:val="21"/>
        </w:rPr>
        <w:t>20.1 工程保险</w:t>
      </w:r>
      <w:bookmarkEnd w:id="477"/>
      <w:bookmarkEnd w:id="478"/>
      <w:bookmarkEnd w:id="479"/>
      <w:bookmarkEnd w:id="480"/>
      <w:bookmarkEnd w:id="481"/>
      <w:bookmarkEnd w:id="482"/>
      <w:bookmarkEnd w:id="483"/>
      <w:bookmarkEnd w:id="484"/>
      <w:bookmarkEnd w:id="485"/>
    </w:p>
    <w:p>
      <w:pPr>
        <w:spacing w:line="360" w:lineRule="exact"/>
        <w:ind w:firstLine="420" w:firstLineChars="200"/>
        <w:rPr>
          <w:rFonts w:hAnsi="宋体"/>
          <w:color w:val="000000"/>
          <w:szCs w:val="21"/>
        </w:rPr>
      </w:pPr>
      <w:r>
        <w:rPr>
          <w:rFonts w:hint="eastAsia" w:hAnsi="宋体"/>
          <w:color w:val="000000"/>
          <w:szCs w:val="21"/>
        </w:rPr>
        <w:t>公路工程专用合同条款第20.1款约定为：</w:t>
      </w:r>
    </w:p>
    <w:p>
      <w:pPr>
        <w:spacing w:line="360" w:lineRule="exact"/>
        <w:ind w:firstLine="420" w:firstLineChars="200"/>
        <w:rPr>
          <w:rFonts w:hAnsi="宋体"/>
          <w:color w:val="000000"/>
          <w:szCs w:val="21"/>
        </w:rPr>
      </w:pPr>
      <w:r>
        <w:rPr>
          <w:rFonts w:hint="eastAsia" w:hAnsi="宋体"/>
          <w:color w:val="000000"/>
          <w:szCs w:val="21"/>
        </w:rPr>
        <w:t>建筑工程—切险的投保内容：为本合同工程的永久工程、临时工程和设备及已运至施工工地用于永久工程的材料和设备所投的保险。</w:t>
      </w:r>
    </w:p>
    <w:p>
      <w:pPr>
        <w:spacing w:line="360" w:lineRule="exact"/>
        <w:ind w:firstLine="420" w:firstLineChars="200"/>
        <w:rPr>
          <w:rFonts w:hAnsi="宋体"/>
          <w:color w:val="000000"/>
          <w:szCs w:val="21"/>
        </w:rPr>
      </w:pPr>
      <w:r>
        <w:rPr>
          <w:rFonts w:hint="eastAsia" w:hAnsi="宋体"/>
          <w:color w:val="000000"/>
          <w:szCs w:val="21"/>
        </w:rPr>
        <w:t>保险金额：保险金额修改为工程量清单第100章（不含建筑工程一切险和安全生产费）至</w:t>
      </w:r>
      <w:r>
        <w:rPr>
          <w:rFonts w:hAnsi="宋体"/>
          <w:color w:val="000000"/>
          <w:szCs w:val="21"/>
        </w:rPr>
        <w:t>8</w:t>
      </w:r>
      <w:r>
        <w:rPr>
          <w:rFonts w:hint="eastAsia" w:hAnsi="宋体"/>
          <w:color w:val="000000"/>
          <w:szCs w:val="21"/>
        </w:rPr>
        <w:t>00章的合计金额。</w:t>
      </w:r>
    </w:p>
    <w:p>
      <w:pPr>
        <w:spacing w:line="360" w:lineRule="exact"/>
        <w:ind w:firstLine="420" w:firstLineChars="200"/>
        <w:rPr>
          <w:rFonts w:hAnsi="宋体"/>
          <w:color w:val="000000"/>
          <w:szCs w:val="21"/>
        </w:rPr>
      </w:pPr>
      <w:r>
        <w:rPr>
          <w:rFonts w:hint="eastAsia" w:hAnsi="宋体"/>
          <w:color w:val="000000"/>
          <w:szCs w:val="21"/>
        </w:rPr>
        <w:t>保险费率：在项目专用合同条款数据表中约定。</w:t>
      </w:r>
    </w:p>
    <w:p>
      <w:pPr>
        <w:spacing w:line="360" w:lineRule="exact"/>
        <w:ind w:firstLine="420" w:firstLineChars="200"/>
        <w:rPr>
          <w:rFonts w:hAnsi="宋体"/>
          <w:color w:val="000000"/>
          <w:szCs w:val="21"/>
        </w:rPr>
      </w:pPr>
      <w:r>
        <w:rPr>
          <w:rFonts w:hint="eastAsia" w:hAnsi="宋体"/>
          <w:color w:val="000000"/>
          <w:szCs w:val="21"/>
        </w:rPr>
        <w:t>保险期限：开工日起直至本合同工程签发缺陷责任期终止证书止（即合同工期＋缺陷责任期）</w:t>
      </w:r>
    </w:p>
    <w:p>
      <w:pPr>
        <w:spacing w:line="360" w:lineRule="exact"/>
        <w:ind w:firstLine="420" w:firstLineChars="200"/>
        <w:rPr>
          <w:rFonts w:hAnsi="宋体"/>
          <w:color w:val="000000"/>
          <w:szCs w:val="21"/>
        </w:rPr>
      </w:pPr>
      <w:r>
        <w:rPr>
          <w:rFonts w:hint="eastAsia" w:hAnsi="宋体"/>
          <w:color w:val="000000"/>
          <w:szCs w:val="21"/>
        </w:rPr>
        <w:t>承包人应以发包人和承包人的共同名义投保建筑工程一切险。</w:t>
      </w:r>
    </w:p>
    <w:p>
      <w:pPr>
        <w:pStyle w:val="3"/>
        <w:spacing w:before="0" w:after="0" w:line="360" w:lineRule="exact"/>
        <w:rPr>
          <w:rFonts w:hAnsi="宋体"/>
          <w:color w:val="000000"/>
          <w:szCs w:val="21"/>
        </w:rPr>
      </w:pPr>
      <w:bookmarkStart w:id="487" w:name="_Toc179632762"/>
      <w:bookmarkStart w:id="488" w:name="_Toc152042523"/>
      <w:bookmarkStart w:id="489" w:name="_Toc152045744"/>
      <w:bookmarkStart w:id="490" w:name="_Toc144974715"/>
      <w:bookmarkStart w:id="491" w:name="_Toc234382818"/>
      <w:bookmarkStart w:id="492" w:name="_Toc173244864"/>
      <w:bookmarkStart w:id="493" w:name="_Toc173246251"/>
      <w:r>
        <w:rPr>
          <w:rFonts w:hint="eastAsia"/>
          <w:b w:val="0"/>
          <w:color w:val="000000"/>
          <w:sz w:val="21"/>
          <w:szCs w:val="21"/>
        </w:rPr>
        <w:t>20.2 人员工伤事故的保险</w:t>
      </w:r>
      <w:bookmarkEnd w:id="487"/>
      <w:bookmarkEnd w:id="488"/>
      <w:bookmarkEnd w:id="489"/>
      <w:bookmarkEnd w:id="490"/>
      <w:bookmarkEnd w:id="491"/>
      <w:bookmarkEnd w:id="492"/>
      <w:bookmarkEnd w:id="493"/>
    </w:p>
    <w:p>
      <w:pPr>
        <w:spacing w:line="360" w:lineRule="exact"/>
        <w:ind w:firstLine="420" w:firstLineChars="200"/>
        <w:rPr>
          <w:rFonts w:hAnsi="宋体"/>
          <w:color w:val="000000"/>
          <w:szCs w:val="21"/>
        </w:rPr>
      </w:pPr>
      <w:r>
        <w:rPr>
          <w:rFonts w:hint="eastAsia" w:hAnsi="宋体"/>
          <w:color w:val="000000"/>
          <w:szCs w:val="21"/>
        </w:rPr>
        <w:t>通用合同条款 20.2.1 项补充：</w:t>
      </w:r>
    </w:p>
    <w:p>
      <w:pPr>
        <w:spacing w:line="360" w:lineRule="exact"/>
        <w:ind w:firstLine="420" w:firstLineChars="200"/>
        <w:rPr>
          <w:rFonts w:hAnsi="宋体"/>
          <w:color w:val="000000"/>
          <w:szCs w:val="21"/>
        </w:rPr>
      </w:pPr>
      <w:r>
        <w:rPr>
          <w:rFonts w:hint="eastAsia" w:hAnsi="宋体"/>
          <w:color w:val="000000"/>
          <w:szCs w:val="21"/>
        </w:rPr>
        <w:t>其中农民工工伤保险按 《浙江省人力资源和社会保障厅等六部门转发人力资源社会保障部等六部门关于铁路、公路、水运、水利、能源、机场工程建设项目参加工伤保险工作的通知》（浙人社发〔 2018〕29 号）规定办理。</w:t>
      </w:r>
    </w:p>
    <w:p>
      <w:pPr>
        <w:pStyle w:val="3"/>
        <w:spacing w:before="0" w:after="0" w:line="360" w:lineRule="exact"/>
        <w:rPr>
          <w:rFonts w:ascii="宋体" w:hAnsi="宋体"/>
          <w:sz w:val="24"/>
        </w:rPr>
      </w:pPr>
      <w:bookmarkStart w:id="494" w:name="_Toc13375"/>
      <w:bookmarkStart w:id="495" w:name="_Toc340490825"/>
      <w:bookmarkStart w:id="496" w:name="_Toc456198654"/>
      <w:bookmarkStart w:id="497" w:name="_Toc173244865"/>
      <w:bookmarkStart w:id="498" w:name="_Toc173246252"/>
      <w:r>
        <w:rPr>
          <w:rFonts w:hint="eastAsia"/>
          <w:b w:val="0"/>
          <w:color w:val="000000"/>
          <w:sz w:val="21"/>
          <w:szCs w:val="21"/>
        </w:rPr>
        <w:t>20.4 第三方责任险</w:t>
      </w:r>
      <w:bookmarkEnd w:id="494"/>
      <w:bookmarkEnd w:id="495"/>
      <w:bookmarkEnd w:id="496"/>
      <w:bookmarkEnd w:id="497"/>
      <w:bookmarkEnd w:id="498"/>
    </w:p>
    <w:p>
      <w:pPr>
        <w:spacing w:line="360" w:lineRule="exact"/>
        <w:ind w:firstLine="420" w:firstLineChars="200"/>
        <w:rPr>
          <w:rFonts w:hAnsi="宋体"/>
          <w:color w:val="000000"/>
          <w:szCs w:val="21"/>
        </w:rPr>
      </w:pPr>
      <w:r>
        <w:rPr>
          <w:rFonts w:hint="eastAsia" w:hAnsi="宋体"/>
          <w:color w:val="000000"/>
          <w:szCs w:val="21"/>
        </w:rPr>
        <w:t>通用合同条款和公路工程专用合同条款20.4.2项细化为：</w:t>
      </w:r>
    </w:p>
    <w:p>
      <w:pPr>
        <w:spacing w:line="360" w:lineRule="exact"/>
        <w:ind w:firstLine="420" w:firstLineChars="200"/>
        <w:rPr>
          <w:rFonts w:hAnsi="宋体"/>
          <w:color w:val="000000"/>
          <w:szCs w:val="21"/>
        </w:rPr>
      </w:pPr>
      <w:r>
        <w:rPr>
          <w:rFonts w:hint="eastAsia" w:hAnsi="宋体"/>
          <w:color w:val="000000"/>
          <w:szCs w:val="21"/>
        </w:rPr>
        <w:t>在缺陷责任期终止证书颁发前，承包人应以承包人和发包人的共同名义，投保第</w:t>
      </w:r>
      <w:r>
        <w:rPr>
          <w:rFonts w:hAnsi="宋体"/>
          <w:color w:val="000000"/>
          <w:szCs w:val="21"/>
        </w:rPr>
        <w:t>20.4.1</w:t>
      </w:r>
      <w:r>
        <w:rPr>
          <w:rFonts w:hint="eastAsia" w:hAnsi="宋体"/>
          <w:color w:val="000000"/>
          <w:szCs w:val="21"/>
        </w:rPr>
        <w:t>项约定的第三者责任险，其保险费率、保险金额等有关内容投标人在报价时暂按项目专用合同条款数据表中约定的费率报价，列入工程量清单</w:t>
      </w:r>
      <w:r>
        <w:rPr>
          <w:rFonts w:hAnsi="宋体"/>
          <w:color w:val="000000"/>
          <w:szCs w:val="21"/>
        </w:rPr>
        <w:t>100</w:t>
      </w:r>
      <w:r>
        <w:rPr>
          <w:rFonts w:hint="eastAsia" w:hAnsi="宋体"/>
          <w:color w:val="000000"/>
          <w:szCs w:val="21"/>
        </w:rPr>
        <w:t>章内，实际保险费率按发包人按有关规定确定的保险公司约定的保险费率办理。发包人在接到保险单后，将按照实际保险单的费用直接向承包人支付。</w:t>
      </w:r>
    </w:p>
    <w:p>
      <w:pPr>
        <w:pStyle w:val="3"/>
        <w:spacing w:before="0" w:after="0" w:line="360" w:lineRule="exact"/>
        <w:rPr>
          <w:rFonts w:ascii="宋体" w:hAnsi="宋体"/>
          <w:sz w:val="24"/>
        </w:rPr>
      </w:pPr>
      <w:bookmarkStart w:id="499" w:name="_Toc1141"/>
      <w:bookmarkStart w:id="500" w:name="_Toc173244866"/>
      <w:bookmarkStart w:id="501" w:name="_Toc173246253"/>
      <w:r>
        <w:rPr>
          <w:b w:val="0"/>
          <w:color w:val="000000"/>
          <w:sz w:val="21"/>
          <w:szCs w:val="21"/>
        </w:rPr>
        <w:t xml:space="preserve">20.5 </w:t>
      </w:r>
      <w:r>
        <w:rPr>
          <w:rFonts w:hint="eastAsia"/>
          <w:b w:val="0"/>
          <w:color w:val="000000"/>
          <w:sz w:val="21"/>
          <w:szCs w:val="21"/>
        </w:rPr>
        <w:t>其他保险</w:t>
      </w:r>
      <w:bookmarkEnd w:id="499"/>
      <w:bookmarkEnd w:id="500"/>
      <w:bookmarkEnd w:id="501"/>
    </w:p>
    <w:p>
      <w:pPr>
        <w:spacing w:line="360" w:lineRule="exact"/>
        <w:ind w:firstLine="420" w:firstLineChars="200"/>
        <w:rPr>
          <w:rFonts w:hAnsi="宋体"/>
          <w:color w:val="000000"/>
          <w:szCs w:val="21"/>
        </w:rPr>
      </w:pPr>
      <w:r>
        <w:rPr>
          <w:rFonts w:hint="eastAsia" w:hAnsi="宋体"/>
          <w:color w:val="000000"/>
          <w:szCs w:val="21"/>
        </w:rPr>
        <w:t>本款约定为：</w:t>
      </w:r>
    </w:p>
    <w:p>
      <w:pPr>
        <w:spacing w:line="360" w:lineRule="exact"/>
        <w:ind w:firstLine="420" w:firstLineChars="200"/>
        <w:rPr>
          <w:b/>
          <w:color w:val="000000"/>
          <w:szCs w:val="21"/>
        </w:rPr>
      </w:pPr>
      <w:r>
        <w:rPr>
          <w:rFonts w:hint="eastAsia" w:hAnsi="宋体"/>
          <w:color w:val="000000"/>
          <w:szCs w:val="21"/>
        </w:rPr>
        <w:t>承包人应为其施工设备等办理保险，其投保金额应足以现场重量。办理本款保险的一切费用均由承包人承担，并包括在工程量清单的单价及总额价中，发包人不单独支付。</w:t>
      </w:r>
    </w:p>
    <w:p>
      <w:pPr>
        <w:pStyle w:val="3"/>
        <w:spacing w:before="0" w:after="0" w:line="360" w:lineRule="exact"/>
        <w:rPr>
          <w:b w:val="0"/>
          <w:color w:val="000000"/>
          <w:sz w:val="21"/>
          <w:szCs w:val="21"/>
        </w:rPr>
      </w:pPr>
      <w:bookmarkStart w:id="502" w:name="_Toc173244867"/>
      <w:bookmarkStart w:id="503" w:name="_Toc173246254"/>
      <w:r>
        <w:rPr>
          <w:b w:val="0"/>
          <w:color w:val="000000"/>
          <w:sz w:val="21"/>
          <w:szCs w:val="21"/>
        </w:rPr>
        <w:t>20.6 对各项保险的一般要求</w:t>
      </w:r>
      <w:bookmarkEnd w:id="486"/>
      <w:bookmarkEnd w:id="502"/>
      <w:bookmarkEnd w:id="503"/>
    </w:p>
    <w:p>
      <w:pPr>
        <w:spacing w:line="360" w:lineRule="exact"/>
        <w:ind w:firstLine="420" w:firstLineChars="200"/>
        <w:rPr>
          <w:color w:val="000000"/>
        </w:rPr>
      </w:pPr>
      <w:r>
        <w:rPr>
          <w:color w:val="000000"/>
        </w:rPr>
        <w:t>20.6.4 保险金不足的补偿</w:t>
      </w:r>
    </w:p>
    <w:p>
      <w:pPr>
        <w:spacing w:line="360" w:lineRule="exact"/>
        <w:ind w:firstLine="420" w:firstLineChars="200"/>
        <w:rPr>
          <w:color w:val="000000"/>
        </w:rPr>
      </w:pPr>
      <w:r>
        <w:rPr>
          <w:color w:val="000000"/>
        </w:rPr>
        <w:t>公路工程专用合同条款 20.6.4 款细化为：</w:t>
      </w:r>
    </w:p>
    <w:p>
      <w:pPr>
        <w:spacing w:line="360" w:lineRule="exact"/>
        <w:ind w:firstLine="420" w:firstLineChars="200"/>
        <w:rPr>
          <w:color w:val="000000"/>
        </w:rPr>
      </w:pPr>
      <w:r>
        <w:rPr>
          <w:color w:val="000000"/>
        </w:rPr>
        <w:t>保险金的赔偿金额以有资质的公估单位确定的金额为准，免赔额和超过赔偿限额的部分由承包人承担。</w:t>
      </w:r>
    </w:p>
    <w:p>
      <w:pPr>
        <w:pStyle w:val="3"/>
        <w:spacing w:before="360" w:beforeLines="150" w:after="480" w:line="360" w:lineRule="exact"/>
        <w:rPr>
          <w:color w:val="000000"/>
          <w:sz w:val="28"/>
          <w:szCs w:val="28"/>
        </w:rPr>
      </w:pPr>
      <w:bookmarkStart w:id="504" w:name="_Toc452301339"/>
      <w:bookmarkStart w:id="505" w:name="_Toc173244868"/>
      <w:bookmarkStart w:id="506" w:name="_Toc173246255"/>
      <w:r>
        <w:rPr>
          <w:color w:val="000000"/>
          <w:sz w:val="28"/>
          <w:szCs w:val="28"/>
        </w:rPr>
        <w:t>21. 不可抗力</w:t>
      </w:r>
      <w:bookmarkEnd w:id="504"/>
      <w:bookmarkEnd w:id="505"/>
      <w:bookmarkEnd w:id="506"/>
    </w:p>
    <w:p>
      <w:pPr>
        <w:pStyle w:val="3"/>
        <w:spacing w:before="0" w:after="0" w:line="360" w:lineRule="exact"/>
        <w:rPr>
          <w:b w:val="0"/>
          <w:color w:val="000000"/>
          <w:sz w:val="21"/>
          <w:szCs w:val="21"/>
        </w:rPr>
      </w:pPr>
      <w:bookmarkStart w:id="507" w:name="_Toc452301340"/>
      <w:bookmarkStart w:id="508" w:name="_Toc173244869"/>
      <w:bookmarkStart w:id="509" w:name="_Toc173246256"/>
      <w:r>
        <w:rPr>
          <w:b w:val="0"/>
          <w:color w:val="000000"/>
          <w:sz w:val="21"/>
          <w:szCs w:val="21"/>
        </w:rPr>
        <w:t>21.1 不可抗力的确认</w:t>
      </w:r>
      <w:bookmarkEnd w:id="507"/>
      <w:bookmarkEnd w:id="508"/>
      <w:bookmarkEnd w:id="509"/>
    </w:p>
    <w:p>
      <w:pPr>
        <w:spacing w:line="360" w:lineRule="exact"/>
        <w:ind w:firstLine="420" w:firstLineChars="200"/>
        <w:rPr>
          <w:color w:val="000000"/>
        </w:rPr>
      </w:pPr>
      <w:r>
        <w:rPr>
          <w:color w:val="000000"/>
        </w:rPr>
        <w:t>公路工程专用合同条款 21.1.1 项(6)目约定为：</w:t>
      </w:r>
    </w:p>
    <w:p>
      <w:pPr>
        <w:spacing w:line="360" w:lineRule="exact"/>
        <w:ind w:firstLine="420" w:firstLineChars="200"/>
        <w:rPr>
          <w:color w:val="000000"/>
        </w:rPr>
      </w:pPr>
      <w:r>
        <w:rPr>
          <w:color w:val="000000"/>
        </w:rPr>
        <w:t>21.1.1 (6)不可抗力的其他情形：</w:t>
      </w:r>
      <w:r>
        <w:rPr>
          <w:color w:val="000000"/>
          <w:u w:val="single"/>
        </w:rPr>
        <w:t xml:space="preserve">      /     </w:t>
      </w:r>
    </w:p>
    <w:p>
      <w:pPr>
        <w:pStyle w:val="3"/>
        <w:spacing w:before="360" w:beforeLines="150" w:after="480" w:line="360" w:lineRule="exact"/>
        <w:rPr>
          <w:color w:val="000000"/>
          <w:sz w:val="28"/>
          <w:szCs w:val="28"/>
        </w:rPr>
      </w:pPr>
      <w:bookmarkStart w:id="510" w:name="_Toc452301341"/>
      <w:bookmarkStart w:id="511" w:name="_Toc173244870"/>
      <w:bookmarkStart w:id="512" w:name="_Toc173246257"/>
      <w:r>
        <w:rPr>
          <w:color w:val="000000"/>
          <w:sz w:val="28"/>
          <w:szCs w:val="28"/>
        </w:rPr>
        <w:t>22. 违约</w:t>
      </w:r>
      <w:bookmarkEnd w:id="510"/>
      <w:bookmarkEnd w:id="511"/>
      <w:bookmarkEnd w:id="512"/>
    </w:p>
    <w:p>
      <w:pPr>
        <w:pStyle w:val="3"/>
        <w:spacing w:before="0" w:after="0" w:line="360" w:lineRule="exact"/>
        <w:rPr>
          <w:b w:val="0"/>
          <w:color w:val="000000"/>
          <w:sz w:val="21"/>
          <w:szCs w:val="21"/>
        </w:rPr>
      </w:pPr>
      <w:bookmarkStart w:id="513" w:name="_Toc452301342"/>
      <w:bookmarkStart w:id="514" w:name="_Toc173244871"/>
      <w:bookmarkStart w:id="515" w:name="_Toc173246258"/>
      <w:r>
        <w:rPr>
          <w:b w:val="0"/>
          <w:color w:val="000000"/>
          <w:sz w:val="21"/>
          <w:szCs w:val="21"/>
        </w:rPr>
        <w:t>22.1 承包人违约</w:t>
      </w:r>
      <w:bookmarkEnd w:id="513"/>
      <w:bookmarkEnd w:id="514"/>
      <w:bookmarkEnd w:id="515"/>
    </w:p>
    <w:p>
      <w:pPr>
        <w:spacing w:line="360" w:lineRule="exact"/>
        <w:ind w:firstLine="420" w:firstLineChars="200"/>
        <w:rPr>
          <w:color w:val="000000"/>
        </w:rPr>
      </w:pPr>
      <w:r>
        <w:rPr>
          <w:color w:val="000000"/>
        </w:rPr>
        <w:t>22.1.1 承包人违约的情形</w:t>
      </w:r>
    </w:p>
    <w:p>
      <w:pPr>
        <w:spacing w:line="360" w:lineRule="exact"/>
        <w:ind w:firstLine="420" w:firstLineChars="200"/>
        <w:rPr>
          <w:color w:val="000000"/>
        </w:rPr>
      </w:pPr>
      <w:r>
        <w:rPr>
          <w:color w:val="000000"/>
        </w:rPr>
        <w:t>通用合同条款及公路工程专用合同条款 22.1.1 项细化为：</w:t>
      </w:r>
    </w:p>
    <w:p>
      <w:pPr>
        <w:spacing w:line="360" w:lineRule="exact"/>
        <w:ind w:firstLine="420" w:firstLineChars="200"/>
        <w:rPr>
          <w:color w:val="000000"/>
        </w:rPr>
      </w:pPr>
      <w:r>
        <w:rPr>
          <w:rFonts w:hint="eastAsia"/>
          <w:color w:val="000000"/>
        </w:rPr>
        <w:t>(1)承包人违反第1.8款或第4.3款的约定，私自将合同的全部或部分权利转让给其他人，或私自将合同的全部或部分义务转移给其他人；</w:t>
      </w:r>
    </w:p>
    <w:p>
      <w:pPr>
        <w:spacing w:line="360" w:lineRule="exact"/>
        <w:ind w:firstLine="420" w:firstLineChars="200"/>
        <w:rPr>
          <w:color w:val="000000"/>
        </w:rPr>
      </w:pPr>
      <w:r>
        <w:rPr>
          <w:rFonts w:hint="eastAsia"/>
          <w:color w:val="000000"/>
        </w:rPr>
        <w:t>(2)承包人违反第5.3款或第6.4款的约定，未经监理人批准，私自将已按合同约定进入施工场地的施工设备、临时设施、材料或工程设备撤离施工场地；</w:t>
      </w:r>
    </w:p>
    <w:p>
      <w:pPr>
        <w:spacing w:line="360" w:lineRule="exact"/>
        <w:ind w:firstLine="420" w:firstLineChars="200"/>
        <w:rPr>
          <w:color w:val="000000"/>
        </w:rPr>
      </w:pPr>
      <w:r>
        <w:rPr>
          <w:rFonts w:hint="eastAsia"/>
          <w:color w:val="000000"/>
        </w:rPr>
        <w:t>(3)承包人违反第5.4款的约定使用了不合格材料或工程设备，工程质量达不到标准要求，又拒绝清除不合格工程；</w:t>
      </w:r>
    </w:p>
    <w:p>
      <w:pPr>
        <w:spacing w:line="360" w:lineRule="exact"/>
        <w:ind w:firstLine="420" w:firstLineChars="200"/>
        <w:rPr>
          <w:color w:val="000000"/>
        </w:rPr>
      </w:pPr>
      <w:r>
        <w:rPr>
          <w:rFonts w:hint="eastAsia"/>
          <w:color w:val="000000"/>
        </w:rPr>
        <w:t>(4)承包人未能按合同进度计划及时完成合同约定的工作，已造成或预期造成工期延误；</w:t>
      </w:r>
    </w:p>
    <w:p>
      <w:pPr>
        <w:spacing w:line="360" w:lineRule="exact"/>
        <w:ind w:firstLine="420" w:firstLineChars="200"/>
        <w:rPr>
          <w:color w:val="000000"/>
        </w:rPr>
      </w:pPr>
      <w:r>
        <w:rPr>
          <w:rFonts w:hint="eastAsia"/>
          <w:color w:val="000000"/>
        </w:rPr>
        <w:t>(5)承包人在缺陷责任期内，未能对工程接收证书所列的缺陷清单的内容或缺陷责任期内发生的缺陷进行修复，而又拒绝按监理人指示再进行修补；</w:t>
      </w:r>
    </w:p>
    <w:p>
      <w:pPr>
        <w:spacing w:line="360" w:lineRule="exact"/>
        <w:ind w:firstLine="420" w:firstLineChars="200"/>
        <w:rPr>
          <w:color w:val="000000"/>
        </w:rPr>
      </w:pPr>
      <w:r>
        <w:rPr>
          <w:rFonts w:hint="eastAsia"/>
          <w:color w:val="000000"/>
        </w:rPr>
        <w:t>(6)承包人无法继续履行或明确表示不履行或实质上已停止履行合同；</w:t>
      </w:r>
    </w:p>
    <w:p>
      <w:pPr>
        <w:spacing w:line="360" w:lineRule="exact"/>
        <w:ind w:firstLine="420" w:firstLineChars="200"/>
        <w:rPr>
          <w:color w:val="000000"/>
        </w:rPr>
      </w:pPr>
      <w:r>
        <w:rPr>
          <w:rFonts w:hint="eastAsia"/>
          <w:color w:val="000000"/>
        </w:rPr>
        <w:t>(7)项目已具备开工条件，因承包人原因，承包人未能按期开工；</w:t>
      </w:r>
    </w:p>
    <w:p>
      <w:pPr>
        <w:spacing w:line="360" w:lineRule="exact"/>
        <w:ind w:firstLine="420" w:firstLineChars="200"/>
        <w:rPr>
          <w:color w:val="000000"/>
        </w:rPr>
      </w:pPr>
      <w:r>
        <w:rPr>
          <w:rFonts w:hint="eastAsia"/>
          <w:color w:val="000000"/>
        </w:rPr>
        <w:t>(8)承包人违反第6.1款或第6.3款或合同条款附件5的规定，未按承诺或未按监理人的要求及时配备合同约定的关键施工设备；</w:t>
      </w:r>
    </w:p>
    <w:p>
      <w:pPr>
        <w:spacing w:line="360" w:lineRule="exact"/>
        <w:ind w:firstLine="420" w:firstLineChars="200"/>
        <w:rPr>
          <w:color w:val="000000"/>
        </w:rPr>
      </w:pPr>
      <w:r>
        <w:rPr>
          <w:rFonts w:hint="eastAsia"/>
          <w:color w:val="000000"/>
        </w:rPr>
        <w:t>(9)经监理人和发包人检查，发现承包人违反第9.2款约定有安全问题或有违反安全管理规章制度的情形；</w:t>
      </w:r>
    </w:p>
    <w:p>
      <w:pPr>
        <w:spacing w:line="360" w:lineRule="exact"/>
        <w:ind w:firstLine="420" w:firstLineChars="200"/>
        <w:rPr>
          <w:color w:val="000000"/>
        </w:rPr>
      </w:pPr>
      <w:r>
        <w:rPr>
          <w:rFonts w:hint="eastAsia"/>
          <w:color w:val="000000"/>
        </w:rPr>
        <w:t>(10)承包人违反第13.1.1项的约定，工程质量未达到标段竣工验收的质量评定要求的；</w:t>
      </w:r>
    </w:p>
    <w:p>
      <w:pPr>
        <w:spacing w:line="360" w:lineRule="exact"/>
        <w:ind w:firstLine="420" w:firstLineChars="200"/>
        <w:rPr>
          <w:color w:val="000000"/>
        </w:rPr>
      </w:pPr>
      <w:r>
        <w:rPr>
          <w:rFonts w:hint="eastAsia"/>
          <w:color w:val="000000"/>
        </w:rPr>
        <w:t>(11)承包人违反第4.9款及17.2款的约定，将发包人支付给承包人的各项价款转移或用于其他工程；</w:t>
      </w:r>
    </w:p>
    <w:p>
      <w:pPr>
        <w:spacing w:line="360" w:lineRule="exact"/>
        <w:ind w:firstLine="420" w:firstLineChars="200"/>
        <w:rPr>
          <w:color w:val="000000"/>
        </w:rPr>
      </w:pPr>
      <w:r>
        <w:rPr>
          <w:rFonts w:hint="eastAsia"/>
          <w:color w:val="000000"/>
        </w:rPr>
        <w:t>(12)承包人违反第4.6款的规定，未按承诺或未按监理人的要求及时配备称职的主要管理人员、技术骨干，或未按规定替换，或擅离职守的；或违反第4.7款规定未及时撤换项目经理、项目总工和其他管理人员的；</w:t>
      </w:r>
    </w:p>
    <w:p>
      <w:pPr>
        <w:spacing w:line="360" w:lineRule="exact"/>
        <w:ind w:firstLine="420" w:firstLineChars="200"/>
        <w:rPr>
          <w:color w:val="000000"/>
        </w:rPr>
      </w:pPr>
      <w:r>
        <w:rPr>
          <w:rFonts w:hint="eastAsia"/>
          <w:color w:val="000000"/>
        </w:rPr>
        <w:t>(13)承包人违反投标人须知3.5款的规定，在合同实施期间发现承包人在投标时提供了虚假资料的。</w:t>
      </w:r>
    </w:p>
    <w:p>
      <w:pPr>
        <w:spacing w:line="360" w:lineRule="exact"/>
        <w:ind w:firstLine="420" w:firstLineChars="200"/>
        <w:rPr>
          <w:color w:val="000000"/>
        </w:rPr>
      </w:pPr>
      <w:r>
        <w:rPr>
          <w:rFonts w:hint="eastAsia"/>
          <w:color w:val="000000"/>
        </w:rPr>
        <w:t>(14)安全目标未达到招标文件规定要求的；</w:t>
      </w:r>
    </w:p>
    <w:p>
      <w:pPr>
        <w:spacing w:line="360" w:lineRule="exact"/>
        <w:ind w:firstLine="420" w:firstLineChars="200"/>
        <w:rPr>
          <w:color w:val="000000"/>
        </w:rPr>
      </w:pPr>
      <w:r>
        <w:rPr>
          <w:rFonts w:hint="eastAsia"/>
          <w:color w:val="000000"/>
        </w:rPr>
        <w:t>(15)</w:t>
      </w:r>
      <w:r>
        <w:rPr>
          <w:color w:val="000000"/>
        </w:rPr>
        <w:t>因承包人原因导致群体性上访等较大事件发生的；</w:t>
      </w:r>
    </w:p>
    <w:p>
      <w:pPr>
        <w:spacing w:line="360" w:lineRule="exact"/>
        <w:ind w:firstLine="420" w:firstLineChars="200"/>
        <w:rPr>
          <w:color w:val="000000"/>
        </w:rPr>
      </w:pPr>
      <w:r>
        <w:rPr>
          <w:rFonts w:hint="eastAsia"/>
          <w:color w:val="000000"/>
        </w:rPr>
        <w:t>(16)</w:t>
      </w:r>
      <w:r>
        <w:rPr>
          <w:color w:val="000000"/>
        </w:rPr>
        <w:t>经具有管辖权限的质量监督管理机构（部门）、监理人或发包人检查，发现承包人违反13.2款的规定，存在质量问题的情况</w:t>
      </w:r>
      <w:r>
        <w:rPr>
          <w:rFonts w:hint="eastAsia"/>
          <w:color w:val="000000"/>
        </w:rPr>
        <w:t>。</w:t>
      </w:r>
    </w:p>
    <w:p>
      <w:pPr>
        <w:spacing w:line="360" w:lineRule="exact"/>
        <w:ind w:firstLine="420" w:firstLineChars="200"/>
        <w:rPr>
          <w:color w:val="000000"/>
        </w:rPr>
      </w:pPr>
      <w:r>
        <w:rPr>
          <w:color w:val="000000"/>
        </w:rPr>
        <w:t>22.1.2 对承包人违约的处理</w:t>
      </w:r>
    </w:p>
    <w:p>
      <w:pPr>
        <w:spacing w:line="360" w:lineRule="exact"/>
        <w:ind w:firstLine="420" w:firstLineChars="200"/>
        <w:rPr>
          <w:color w:val="000000"/>
        </w:rPr>
      </w:pPr>
      <w:r>
        <w:rPr>
          <w:color w:val="000000"/>
        </w:rPr>
        <w:t>通用合同条款及公路工程专用合同条款 22.1.2 项细化为：</w:t>
      </w:r>
    </w:p>
    <w:p>
      <w:pPr>
        <w:spacing w:line="360" w:lineRule="exact"/>
        <w:ind w:firstLine="420" w:firstLineChars="200"/>
        <w:rPr>
          <w:color w:val="000000"/>
        </w:rPr>
      </w:pPr>
      <w:r>
        <w:rPr>
          <w:color w:val="000000"/>
        </w:rPr>
        <w:t>（1）承包人发生第22.1.1（6）目约定的违约情形时，发包人</w:t>
      </w:r>
      <w:r>
        <w:rPr>
          <w:rFonts w:hint="eastAsia"/>
          <w:color w:val="000000"/>
        </w:rPr>
        <w:t>可通知</w:t>
      </w:r>
      <w:r>
        <w:rPr>
          <w:color w:val="000000"/>
        </w:rPr>
        <w:t>承包人立即解除合同，并按有关法律处理。</w:t>
      </w:r>
    </w:p>
    <w:p>
      <w:pPr>
        <w:spacing w:line="360" w:lineRule="exact"/>
        <w:ind w:firstLine="420" w:firstLineChars="200"/>
        <w:rPr>
          <w:color w:val="000000"/>
        </w:rPr>
      </w:pPr>
      <w:r>
        <w:rPr>
          <w:color w:val="000000"/>
        </w:rPr>
        <w:t>（2）承包人发生除第22.1.1（6）目约定以外的其他违约情形时，监理人可向承包人发出整改通知，要求其在指定的期限内改正。承包人应承担其违约所引起的费用增加和（或）工期延误。</w:t>
      </w:r>
    </w:p>
    <w:p>
      <w:pPr>
        <w:spacing w:line="360" w:lineRule="exact"/>
        <w:ind w:firstLine="420" w:firstLineChars="200"/>
        <w:rPr>
          <w:color w:val="000000"/>
        </w:rPr>
      </w:pPr>
      <w:r>
        <w:rPr>
          <w:color w:val="000000"/>
        </w:rPr>
        <w:t>（3）经检查证明承包人已采取了有效措施纠正违约行为，具备复工条件的，可由监理人签发复工通知复工。</w:t>
      </w:r>
    </w:p>
    <w:p>
      <w:pPr>
        <w:spacing w:line="360" w:lineRule="exact"/>
        <w:ind w:firstLine="420" w:firstLineChars="200"/>
        <w:rPr>
          <w:color w:val="000000"/>
        </w:rPr>
      </w:pPr>
      <w:r>
        <w:rPr>
          <w:color w:val="000000"/>
        </w:rPr>
        <w:t>（4）承包人发生第22.1.1项约定的违约情形时，无论发包人是否解除合同，发包人均有权向承包人课以违约金，并由发包人将其违约行为上报省级交通主管部门，作为不良记录纳入</w:t>
      </w:r>
      <w:r>
        <w:rPr>
          <w:rFonts w:hint="eastAsia"/>
          <w:color w:val="000000"/>
        </w:rPr>
        <w:t>浙江省交通运输信用综合管理服务系统</w:t>
      </w:r>
      <w:r>
        <w:rPr>
          <w:color w:val="000000"/>
        </w:rPr>
        <w:t>。</w:t>
      </w:r>
    </w:p>
    <w:p>
      <w:pPr>
        <w:spacing w:line="360" w:lineRule="exact"/>
        <w:ind w:firstLine="420" w:firstLineChars="200"/>
        <w:rPr>
          <w:color w:val="000000"/>
        </w:rPr>
      </w:pPr>
      <w:r>
        <w:rPr>
          <w:color w:val="000000"/>
        </w:rPr>
        <w:t>当承包人发生第22.1.1项约定的违约情</w:t>
      </w:r>
      <w:r>
        <w:rPr>
          <w:rFonts w:hint="eastAsia"/>
          <w:color w:val="000000"/>
        </w:rPr>
        <w:t>形</w:t>
      </w:r>
      <w:r>
        <w:rPr>
          <w:color w:val="000000"/>
        </w:rPr>
        <w:t>时，发包人有权向承包人课以违约金，具体约定如下：</w:t>
      </w:r>
    </w:p>
    <w:p>
      <w:pPr>
        <w:spacing w:line="360" w:lineRule="exact"/>
        <w:ind w:firstLine="420" w:firstLineChars="200"/>
        <w:rPr>
          <w:color w:val="000000"/>
        </w:rPr>
      </w:pPr>
      <w:r>
        <w:rPr>
          <w:color w:val="000000"/>
        </w:rPr>
        <w:t>a.承包人发生第22.1.1项（1）目中违反第1.8款约定的情形，除责令立即纠正外，并课以不超过1%签约合同价的违约金；发生第22.1.1项（1）目中违反第4.3款约定的情形，在发包人向承包人发出书面通知的14天内未见纠正后，发包人将酌情向承包人课以不超过1%签约合同价的违约金。即使缴纳了违约金，承包人仍应按合同规定继续实施和完成本合同工程及其缺陷修复。</w:t>
      </w:r>
    </w:p>
    <w:p>
      <w:pPr>
        <w:spacing w:line="360" w:lineRule="exact"/>
        <w:ind w:firstLine="420" w:firstLineChars="200"/>
        <w:rPr>
          <w:color w:val="000000"/>
        </w:rPr>
      </w:pPr>
      <w:r>
        <w:rPr>
          <w:color w:val="000000"/>
        </w:rPr>
        <w:t>b.承包人发生第22.1.1项（2）目中违反第5.3款约定的情形，在发包人向承包人发出书面通知的14天内未见纠正后，发包人将向承包人课以不超过材料和工程设备价值两倍的违约金；发生第22.1.1项（2）目中违反第6.4款约定的情形，在发包人向承包人发出书面通知的14天内未见纠正后，发包人将向承包人课以不超过其台班费两倍的违约金；</w:t>
      </w:r>
    </w:p>
    <w:p>
      <w:pPr>
        <w:spacing w:line="360" w:lineRule="exact"/>
        <w:ind w:firstLine="420" w:firstLineChars="200"/>
        <w:rPr>
          <w:color w:val="000000"/>
        </w:rPr>
      </w:pPr>
      <w:r>
        <w:rPr>
          <w:color w:val="000000"/>
        </w:rPr>
        <w:t>c. 承包人发生第22.1.1项（3）、（1</w:t>
      </w:r>
      <w:r>
        <w:rPr>
          <w:rFonts w:hint="eastAsia"/>
          <w:color w:val="000000"/>
        </w:rPr>
        <w:t>6</w:t>
      </w:r>
      <w:r>
        <w:rPr>
          <w:color w:val="000000"/>
        </w:rPr>
        <w:t>）目情形，在发包人向承包人发出书面通知的14天内未见纠正后，发包人将按每一情形酌情向承包人课以不超过0.5%签约合同价的违约金。即使缴纳了违约金，承包人仍应按合同规定继续实施和完成本合同工程及其缺陷修复</w:t>
      </w:r>
      <w:r>
        <w:rPr>
          <w:rFonts w:hint="eastAsia"/>
          <w:color w:val="000000"/>
        </w:rPr>
        <w:t>；</w:t>
      </w:r>
    </w:p>
    <w:p>
      <w:pPr>
        <w:spacing w:line="360" w:lineRule="exact"/>
        <w:ind w:firstLine="420" w:firstLineChars="200"/>
        <w:rPr>
          <w:color w:val="000000"/>
        </w:rPr>
      </w:pPr>
      <w:r>
        <w:rPr>
          <w:color w:val="000000"/>
        </w:rPr>
        <w:t>d.承包人发生第22.1.1项（4）目情形，则按第11.5款规定处理；</w:t>
      </w:r>
    </w:p>
    <w:p>
      <w:pPr>
        <w:spacing w:line="360" w:lineRule="exact"/>
        <w:ind w:firstLine="420" w:firstLineChars="200"/>
        <w:rPr>
          <w:color w:val="000000"/>
        </w:rPr>
      </w:pPr>
      <w:r>
        <w:rPr>
          <w:color w:val="000000"/>
        </w:rPr>
        <w:t>e.承包人发生第22.1.1项（5）目情形，则按第19.2.4项规定处理；</w:t>
      </w:r>
    </w:p>
    <w:p>
      <w:pPr>
        <w:spacing w:line="360" w:lineRule="exact"/>
        <w:ind w:firstLine="420" w:firstLineChars="200"/>
        <w:rPr>
          <w:color w:val="000000"/>
        </w:rPr>
      </w:pPr>
      <w:r>
        <w:rPr>
          <w:color w:val="000000"/>
        </w:rPr>
        <w:t>f.承包人发生第22.1.1项（7）目情形,发包人有权按第11.5款规定的逾期交工违约金金额的二分之一乘以未按期开工天数处以违约金；</w:t>
      </w:r>
    </w:p>
    <w:p>
      <w:pPr>
        <w:spacing w:line="360" w:lineRule="exact"/>
        <w:ind w:firstLine="420" w:firstLineChars="200"/>
        <w:rPr>
          <w:color w:val="000000"/>
        </w:rPr>
      </w:pPr>
      <w:r>
        <w:rPr>
          <w:color w:val="000000"/>
        </w:rPr>
        <w:t>g</w:t>
      </w:r>
      <w:bookmarkStart w:id="516" w:name="OLE_LINK5"/>
      <w:r>
        <w:rPr>
          <w:color w:val="000000"/>
        </w:rPr>
        <w:t>.</w:t>
      </w:r>
      <w:bookmarkEnd w:id="516"/>
      <w:r>
        <w:rPr>
          <w:color w:val="000000"/>
        </w:rPr>
        <w:t>承包人发生第22.1.1项（8）目情形, 在发包人向承包人发出书面通知的14天内未见纠正后，发包人将向承包人课以不超过0.5%签约合同价的违约金；</w:t>
      </w:r>
    </w:p>
    <w:p>
      <w:pPr>
        <w:spacing w:line="360" w:lineRule="exact"/>
        <w:ind w:firstLine="420" w:firstLineChars="200"/>
        <w:rPr>
          <w:color w:val="000000"/>
        </w:rPr>
      </w:pPr>
      <w:r>
        <w:rPr>
          <w:color w:val="000000"/>
        </w:rPr>
        <w:t>h. 承包人发生第22.1.1项（9）目情</w:t>
      </w:r>
      <w:r>
        <w:rPr>
          <w:rFonts w:hint="eastAsia"/>
          <w:color w:val="000000"/>
        </w:rPr>
        <w:t>形</w:t>
      </w:r>
      <w:r>
        <w:rPr>
          <w:color w:val="000000"/>
        </w:rPr>
        <w:t>，发包人将责令整改；情节严重的，将停工整顿，并酌情扣除安全生产费；</w:t>
      </w:r>
    </w:p>
    <w:p>
      <w:pPr>
        <w:spacing w:line="360" w:lineRule="exact"/>
        <w:ind w:firstLine="420" w:firstLineChars="200"/>
        <w:rPr>
          <w:color w:val="000000"/>
        </w:rPr>
      </w:pPr>
      <w:r>
        <w:rPr>
          <w:color w:val="000000"/>
        </w:rPr>
        <w:t>i.承包人发生第22.1.1项（10）目情</w:t>
      </w:r>
      <w:r>
        <w:rPr>
          <w:rFonts w:hint="eastAsia"/>
          <w:color w:val="000000"/>
        </w:rPr>
        <w:t>形</w:t>
      </w:r>
      <w:r>
        <w:rPr>
          <w:color w:val="000000"/>
        </w:rPr>
        <w:t>，则课以不超过1%签约合同价的违约金；</w:t>
      </w:r>
    </w:p>
    <w:p>
      <w:pPr>
        <w:spacing w:line="360" w:lineRule="exact"/>
        <w:ind w:firstLine="420" w:firstLineChars="200"/>
        <w:rPr>
          <w:color w:val="000000"/>
        </w:rPr>
      </w:pPr>
      <w:r>
        <w:rPr>
          <w:color w:val="000000"/>
        </w:rPr>
        <w:t>j.承包人发生第22.1.1项（11）目情形，则课以与转移（挪用）资金等额的违约金；</w:t>
      </w:r>
    </w:p>
    <w:p>
      <w:pPr>
        <w:spacing w:line="360" w:lineRule="exact"/>
        <w:ind w:firstLine="420" w:firstLineChars="200"/>
        <w:rPr>
          <w:color w:val="000000"/>
        </w:rPr>
      </w:pPr>
      <w:r>
        <w:rPr>
          <w:color w:val="000000"/>
        </w:rPr>
        <w:t>k.承包人发生第22.1.1项（12）目情</w:t>
      </w:r>
      <w:r>
        <w:rPr>
          <w:rFonts w:hint="eastAsia"/>
          <w:color w:val="000000"/>
        </w:rPr>
        <w:t>形</w:t>
      </w:r>
      <w:r>
        <w:rPr>
          <w:color w:val="000000"/>
        </w:rPr>
        <w:t>，项目经理或项目</w:t>
      </w:r>
      <w:r>
        <w:rPr>
          <w:rFonts w:hint="eastAsia"/>
          <w:color w:val="000000"/>
        </w:rPr>
        <w:t>技术负责人</w:t>
      </w:r>
      <w:r>
        <w:rPr>
          <w:color w:val="000000"/>
        </w:rPr>
        <w:t>未经发包人同意擅自离开工地，每天课以违约金</w:t>
      </w:r>
      <w:r>
        <w:rPr>
          <w:rFonts w:hint="eastAsia"/>
          <w:color w:val="000000"/>
        </w:rPr>
        <w:t>3</w:t>
      </w:r>
      <w:r>
        <w:rPr>
          <w:color w:val="000000"/>
        </w:rPr>
        <w:t>000元</w:t>
      </w:r>
      <w:r>
        <w:rPr>
          <w:rFonts w:hint="eastAsia"/>
          <w:color w:val="000000"/>
        </w:rPr>
        <w:t>/</w:t>
      </w:r>
      <w:r>
        <w:rPr>
          <w:color w:val="000000"/>
        </w:rPr>
        <w:t>人；若每月在工地天数不足</w:t>
      </w:r>
      <w:r>
        <w:rPr>
          <w:rFonts w:hint="eastAsia"/>
          <w:color w:val="000000"/>
        </w:rPr>
        <w:t>24</w:t>
      </w:r>
      <w:r>
        <w:rPr>
          <w:color w:val="000000"/>
        </w:rPr>
        <w:t>天（特殊情</w:t>
      </w:r>
      <w:r>
        <w:rPr>
          <w:rFonts w:hint="eastAsia"/>
          <w:color w:val="000000"/>
        </w:rPr>
        <w:t>形</w:t>
      </w:r>
      <w:r>
        <w:rPr>
          <w:color w:val="000000"/>
        </w:rPr>
        <w:t>经监理人批准报发包人同意例外）者，每不足一天</w:t>
      </w:r>
      <w:r>
        <w:rPr>
          <w:rFonts w:hint="eastAsia"/>
          <w:color w:val="000000"/>
        </w:rPr>
        <w:t>额外</w:t>
      </w:r>
      <w:r>
        <w:rPr>
          <w:color w:val="000000"/>
        </w:rPr>
        <w:t>课以违约金</w:t>
      </w:r>
      <w:r>
        <w:rPr>
          <w:rFonts w:hint="eastAsia"/>
          <w:color w:val="000000"/>
        </w:rPr>
        <w:t>1</w:t>
      </w:r>
      <w:r>
        <w:rPr>
          <w:color w:val="000000"/>
        </w:rPr>
        <w:t>000元</w:t>
      </w:r>
      <w:r>
        <w:rPr>
          <w:rFonts w:hint="eastAsia"/>
          <w:color w:val="000000"/>
        </w:rPr>
        <w:t>/</w:t>
      </w:r>
      <w:r>
        <w:rPr>
          <w:color w:val="000000"/>
        </w:rPr>
        <w:t>人；承包人未经发包人书面同意更换项目经理课以</w:t>
      </w:r>
      <w:r>
        <w:rPr>
          <w:rFonts w:hint="eastAsia"/>
          <w:color w:val="000000"/>
        </w:rPr>
        <w:t>10</w:t>
      </w:r>
      <w:r>
        <w:rPr>
          <w:color w:val="000000"/>
        </w:rPr>
        <w:t>万元的违约金，更换项目</w:t>
      </w:r>
      <w:r>
        <w:rPr>
          <w:rFonts w:hint="eastAsia"/>
          <w:color w:val="000000"/>
        </w:rPr>
        <w:t>技术负责人</w:t>
      </w:r>
      <w:r>
        <w:rPr>
          <w:color w:val="000000"/>
        </w:rPr>
        <w:t>课以</w:t>
      </w:r>
      <w:r>
        <w:rPr>
          <w:rFonts w:hint="eastAsia"/>
          <w:color w:val="000000"/>
        </w:rPr>
        <w:t>10</w:t>
      </w:r>
      <w:r>
        <w:rPr>
          <w:color w:val="000000"/>
        </w:rPr>
        <w:t>万元的违约金，更换其他主要管理人员</w:t>
      </w:r>
      <w:r>
        <w:rPr>
          <w:rFonts w:hint="eastAsia"/>
          <w:color w:val="000000"/>
        </w:rPr>
        <w:t>、技术骨干</w:t>
      </w:r>
      <w:r>
        <w:rPr>
          <w:color w:val="000000"/>
        </w:rPr>
        <w:t>课以每人次</w:t>
      </w:r>
      <w:r>
        <w:rPr>
          <w:rFonts w:hint="eastAsia"/>
          <w:color w:val="000000"/>
        </w:rPr>
        <w:t>5</w:t>
      </w:r>
      <w:r>
        <w:rPr>
          <w:color w:val="000000"/>
        </w:rPr>
        <w:t xml:space="preserve">万元的违约金； </w:t>
      </w:r>
    </w:p>
    <w:p>
      <w:pPr>
        <w:spacing w:line="360" w:lineRule="exact"/>
        <w:ind w:firstLine="420" w:firstLineChars="200"/>
        <w:rPr>
          <w:color w:val="000000"/>
        </w:rPr>
      </w:pPr>
      <w:r>
        <w:rPr>
          <w:color w:val="000000"/>
        </w:rPr>
        <w:t>l.承包人发生第22.1.1项（13）目情形，在合同实施期间发现承包人在投标时提供了虚假材料的，课以不超过5％签约合同价的违约金。</w:t>
      </w:r>
    </w:p>
    <w:p>
      <w:pPr>
        <w:spacing w:line="360" w:lineRule="exact"/>
        <w:ind w:firstLine="420" w:firstLineChars="200"/>
        <w:rPr>
          <w:color w:val="000000"/>
        </w:rPr>
      </w:pPr>
      <w:r>
        <w:rPr>
          <w:color w:val="000000"/>
        </w:rPr>
        <w:t>m.</w:t>
      </w:r>
      <w:r>
        <w:rPr>
          <w:rFonts w:hint="eastAsia"/>
          <w:color w:val="000000"/>
        </w:rPr>
        <w:t>承包人发生第22.1.1 项（14）目情形，则课以不超过1%签约合同价的违约金；</w:t>
      </w:r>
    </w:p>
    <w:p>
      <w:pPr>
        <w:spacing w:line="360" w:lineRule="exact"/>
        <w:ind w:firstLine="420" w:firstLineChars="200"/>
        <w:rPr>
          <w:color w:val="000000"/>
        </w:rPr>
      </w:pPr>
      <w:r>
        <w:rPr>
          <w:rFonts w:hint="eastAsia"/>
          <w:color w:val="000000"/>
        </w:rPr>
        <w:t>n.</w:t>
      </w:r>
      <w:r>
        <w:rPr>
          <w:color w:val="000000"/>
        </w:rPr>
        <w:t>承包人发生第22.1.1项（1</w:t>
      </w:r>
      <w:r>
        <w:rPr>
          <w:rFonts w:hint="eastAsia"/>
          <w:color w:val="000000"/>
        </w:rPr>
        <w:t>5</w:t>
      </w:r>
      <w:r>
        <w:rPr>
          <w:color w:val="000000"/>
        </w:rPr>
        <w:t xml:space="preserve">）目情况，造成社会恶劣影响的，承包人承担由此造成的损失并视情课以不超过1%签约合同价的违约金。 </w:t>
      </w:r>
    </w:p>
    <w:p>
      <w:pPr>
        <w:spacing w:line="360" w:lineRule="exact"/>
        <w:ind w:firstLine="420" w:firstLineChars="200"/>
        <w:rPr>
          <w:color w:val="000000"/>
        </w:rPr>
      </w:pPr>
      <w:r>
        <w:rPr>
          <w:rFonts w:hint="eastAsia"/>
          <w:color w:val="000000"/>
        </w:rPr>
        <w:t>o.</w:t>
      </w:r>
      <w:r>
        <w:rPr>
          <w:color w:val="000000"/>
        </w:rPr>
        <w:t>承包人发生第22.1.1项（1</w:t>
      </w:r>
      <w:r>
        <w:rPr>
          <w:rFonts w:hint="eastAsia"/>
          <w:color w:val="000000"/>
        </w:rPr>
        <w:t>6</w:t>
      </w:r>
      <w:r>
        <w:rPr>
          <w:color w:val="000000"/>
        </w:rPr>
        <w:t>）目情况</w:t>
      </w:r>
      <w:r>
        <w:rPr>
          <w:rFonts w:hint="eastAsia"/>
          <w:color w:val="000000"/>
        </w:rPr>
        <w:t>，</w:t>
      </w:r>
      <w:r>
        <w:rPr>
          <w:color w:val="000000"/>
        </w:rPr>
        <w:t>存在质量问题的</w:t>
      </w:r>
      <w:r>
        <w:rPr>
          <w:rFonts w:hint="eastAsia"/>
          <w:color w:val="000000"/>
        </w:rPr>
        <w:t>，</w:t>
      </w:r>
      <w:r>
        <w:rPr>
          <w:color w:val="000000"/>
        </w:rPr>
        <w:t>承包人承担由此</w:t>
      </w:r>
      <w:r>
        <w:rPr>
          <w:rFonts w:hint="eastAsia"/>
          <w:color w:val="000000"/>
        </w:rPr>
        <w:t>返工的全部责任</w:t>
      </w:r>
      <w:r>
        <w:rPr>
          <w:color w:val="000000"/>
        </w:rPr>
        <w:t>并视情课以不超过</w:t>
      </w:r>
      <w:r>
        <w:rPr>
          <w:rFonts w:hint="eastAsia"/>
          <w:color w:val="000000"/>
        </w:rPr>
        <w:t>2</w:t>
      </w:r>
      <w:r>
        <w:rPr>
          <w:color w:val="000000"/>
        </w:rPr>
        <w:t>%签约合同价的违约金。</w:t>
      </w:r>
    </w:p>
    <w:p>
      <w:pPr>
        <w:spacing w:line="360" w:lineRule="exact"/>
        <w:ind w:firstLine="420" w:firstLineChars="200"/>
        <w:rPr>
          <w:color w:val="000000"/>
        </w:rPr>
      </w:pPr>
      <w:r>
        <w:rPr>
          <w:color w:val="000000"/>
        </w:rPr>
        <w:t>上述违约金将在工程进度支付款、履约担保中索扣。即使缴纳了违约金，承包人仍应按合同规定继续实施和完成本合同工程及其缺陷修复。</w:t>
      </w:r>
    </w:p>
    <w:p>
      <w:pPr>
        <w:pStyle w:val="3"/>
        <w:spacing w:before="0" w:after="0" w:line="360" w:lineRule="exact"/>
        <w:rPr>
          <w:b w:val="0"/>
          <w:color w:val="000000"/>
          <w:sz w:val="21"/>
          <w:szCs w:val="21"/>
        </w:rPr>
      </w:pPr>
      <w:bookmarkStart w:id="517" w:name="_Toc452301343"/>
      <w:bookmarkStart w:id="518" w:name="_Toc173244872"/>
      <w:bookmarkStart w:id="519" w:name="_Toc173246259"/>
      <w:r>
        <w:rPr>
          <w:b w:val="0"/>
          <w:color w:val="000000"/>
          <w:sz w:val="21"/>
          <w:szCs w:val="21"/>
        </w:rPr>
        <w:t>22.2 发包人违约</w:t>
      </w:r>
      <w:bookmarkEnd w:id="517"/>
      <w:bookmarkEnd w:id="518"/>
      <w:bookmarkEnd w:id="519"/>
    </w:p>
    <w:p>
      <w:pPr>
        <w:spacing w:line="360" w:lineRule="exact"/>
        <w:ind w:firstLine="420" w:firstLineChars="200"/>
        <w:rPr>
          <w:color w:val="000000"/>
        </w:rPr>
      </w:pPr>
      <w:r>
        <w:rPr>
          <w:color w:val="000000"/>
        </w:rPr>
        <w:t>22.2.1 发包人违约的情形</w:t>
      </w:r>
    </w:p>
    <w:p>
      <w:pPr>
        <w:spacing w:line="360" w:lineRule="exact"/>
        <w:ind w:firstLine="420" w:firstLineChars="200"/>
        <w:rPr>
          <w:color w:val="000000"/>
        </w:rPr>
      </w:pPr>
      <w:r>
        <w:rPr>
          <w:color w:val="000000"/>
        </w:rPr>
        <w:t>通用合同条款 22.1.1 项细化为：</w:t>
      </w:r>
    </w:p>
    <w:p>
      <w:pPr>
        <w:spacing w:line="360" w:lineRule="exact"/>
        <w:ind w:firstLine="420" w:firstLineChars="200"/>
        <w:rPr>
          <w:color w:val="000000"/>
        </w:rPr>
      </w:pPr>
      <w:r>
        <w:rPr>
          <w:rFonts w:hint="eastAsia"/>
          <w:color w:val="000000"/>
        </w:rPr>
        <w:t>在履行合同过程中发生的下列情形，属发包人违约：</w:t>
      </w:r>
    </w:p>
    <w:p>
      <w:pPr>
        <w:spacing w:line="360" w:lineRule="exact"/>
        <w:ind w:firstLine="420" w:firstLineChars="200"/>
        <w:rPr>
          <w:color w:val="000000"/>
        </w:rPr>
      </w:pPr>
      <w:r>
        <w:rPr>
          <w:rFonts w:hint="eastAsia"/>
          <w:color w:val="000000"/>
        </w:rPr>
        <w:t>（1）发包人未能按合同约定支付预付款或合同价款，或拖延、拒绝批准付款申请和支付凭证，导致付款延误的（包括未按照第17.4.2项规定及时退还质量保证金的）；</w:t>
      </w:r>
    </w:p>
    <w:p>
      <w:pPr>
        <w:spacing w:line="360" w:lineRule="exact"/>
        <w:ind w:firstLine="420" w:firstLineChars="200"/>
        <w:rPr>
          <w:color w:val="000000"/>
        </w:rPr>
      </w:pPr>
      <w:r>
        <w:rPr>
          <w:rFonts w:hint="eastAsia"/>
          <w:color w:val="000000"/>
        </w:rPr>
        <w:t>（2）由于发包人征地拆迁不到位、开工的正常条件不具备（合同另行约定的除外），导致承包人无法按合同约定如期开工的；</w:t>
      </w:r>
    </w:p>
    <w:p>
      <w:pPr>
        <w:spacing w:line="360" w:lineRule="exact"/>
        <w:ind w:firstLine="420" w:firstLineChars="200"/>
        <w:rPr>
          <w:color w:val="000000"/>
        </w:rPr>
      </w:pPr>
      <w:r>
        <w:rPr>
          <w:rFonts w:hint="eastAsia"/>
          <w:color w:val="000000"/>
        </w:rPr>
        <w:t>（3）由于发包人下列原因造成停工的：</w:t>
      </w:r>
    </w:p>
    <w:p>
      <w:pPr>
        <w:spacing w:line="360" w:lineRule="exact"/>
        <w:ind w:firstLine="420" w:firstLineChars="200"/>
        <w:rPr>
          <w:color w:val="000000"/>
        </w:rPr>
      </w:pPr>
      <w:r>
        <w:rPr>
          <w:rFonts w:hint="eastAsia"/>
          <w:color w:val="000000"/>
        </w:rPr>
        <w:t>a. 合同约定应由发包人提供的材料、设备未能按时交货或质量不符合要求或变更交货地点导致承包人停工的；</w:t>
      </w:r>
    </w:p>
    <w:p>
      <w:pPr>
        <w:spacing w:line="360" w:lineRule="exact"/>
        <w:ind w:firstLine="420" w:firstLineChars="200"/>
        <w:rPr>
          <w:color w:val="000000"/>
        </w:rPr>
      </w:pPr>
      <w:r>
        <w:rPr>
          <w:rFonts w:hint="eastAsia"/>
          <w:color w:val="000000"/>
        </w:rPr>
        <w:t>b. 发包人提供的施工图纸延误或施工图存在差错影响施工，工程变更通知未及时下达导致承包人停工的；</w:t>
      </w:r>
    </w:p>
    <w:p>
      <w:pPr>
        <w:spacing w:line="360" w:lineRule="exact"/>
        <w:ind w:firstLine="420" w:firstLineChars="200"/>
        <w:rPr>
          <w:color w:val="000000"/>
        </w:rPr>
      </w:pPr>
      <w:r>
        <w:rPr>
          <w:rFonts w:hint="eastAsia"/>
          <w:color w:val="000000"/>
        </w:rPr>
        <w:t>c. 非承包人原因发生第三方阻工，而发包人未及时协调处理导致承包人停工的；</w:t>
      </w:r>
    </w:p>
    <w:p>
      <w:pPr>
        <w:spacing w:line="360" w:lineRule="exact"/>
        <w:ind w:firstLine="420" w:firstLineChars="200"/>
        <w:rPr>
          <w:color w:val="000000"/>
        </w:rPr>
      </w:pPr>
      <w:r>
        <w:rPr>
          <w:rFonts w:hint="eastAsia"/>
          <w:color w:val="000000"/>
        </w:rPr>
        <w:t>d. 监理人无正当理由没有在约定期限内发出复工指示，导致承包人无法复工的；</w:t>
      </w:r>
    </w:p>
    <w:p>
      <w:pPr>
        <w:spacing w:line="360" w:lineRule="exact"/>
        <w:ind w:firstLine="420" w:firstLineChars="200"/>
        <w:rPr>
          <w:color w:val="000000"/>
        </w:rPr>
      </w:pPr>
      <w:r>
        <w:rPr>
          <w:rFonts w:hint="eastAsia"/>
          <w:color w:val="000000"/>
        </w:rPr>
        <w:t>（4）发包人无法继续履行或明确表示不履行或实质上已停止履行合同的；</w:t>
      </w:r>
    </w:p>
    <w:p>
      <w:pPr>
        <w:spacing w:line="360" w:lineRule="exact"/>
        <w:ind w:firstLine="420" w:firstLineChars="200"/>
        <w:rPr>
          <w:color w:val="000000"/>
        </w:rPr>
      </w:pPr>
      <w:r>
        <w:rPr>
          <w:rFonts w:hint="eastAsia"/>
          <w:color w:val="000000"/>
        </w:rPr>
        <w:t>（5）发包人不履行合同约定其他义务的。</w:t>
      </w:r>
    </w:p>
    <w:p>
      <w:pPr>
        <w:spacing w:line="360" w:lineRule="exact"/>
        <w:ind w:firstLine="420" w:firstLineChars="200"/>
        <w:rPr>
          <w:color w:val="000000"/>
        </w:rPr>
      </w:pPr>
      <w:r>
        <w:rPr>
          <w:rFonts w:hint="eastAsia"/>
          <w:color w:val="000000"/>
        </w:rPr>
        <w:t>22.2.2  发包人无正当理由不按时返还履约保证金、质量保证金或农民工工资保证金的，发包人应向承包人支付的违约金如下：</w:t>
      </w:r>
      <w:r>
        <w:rPr>
          <w:rFonts w:hint="eastAsia"/>
          <w:color w:val="000000"/>
          <w:u w:val="single"/>
        </w:rPr>
        <w:t>采用银行保函或保证保险保单或融资担保公司保函形式缴纳的，不予支付；采用现金缴纳的，按逾期支付约定执行。</w:t>
      </w:r>
    </w:p>
    <w:p>
      <w:pPr>
        <w:pStyle w:val="3"/>
        <w:spacing w:before="360" w:beforeLines="150" w:after="480" w:line="360" w:lineRule="exact"/>
        <w:rPr>
          <w:rFonts w:ascii="宋体" w:hAnsi="宋体"/>
          <w:szCs w:val="21"/>
        </w:rPr>
      </w:pPr>
      <w:bookmarkStart w:id="520" w:name="_Toc398890237"/>
      <w:bookmarkStart w:id="521" w:name="_Toc469484835"/>
      <w:bookmarkStart w:id="522" w:name="_Toc276542591"/>
      <w:bookmarkStart w:id="523" w:name="_Toc1207"/>
      <w:bookmarkStart w:id="524" w:name="_Toc12869320"/>
      <w:bookmarkStart w:id="525" w:name="_Toc173244873"/>
      <w:bookmarkStart w:id="526" w:name="_Toc173246260"/>
      <w:r>
        <w:rPr>
          <w:rFonts w:hint="eastAsia"/>
          <w:color w:val="000000"/>
          <w:sz w:val="28"/>
          <w:szCs w:val="28"/>
        </w:rPr>
        <w:t>24.争议的解决</w:t>
      </w:r>
      <w:bookmarkEnd w:id="520"/>
      <w:bookmarkEnd w:id="521"/>
      <w:bookmarkEnd w:id="522"/>
      <w:bookmarkEnd w:id="523"/>
      <w:bookmarkEnd w:id="524"/>
      <w:bookmarkEnd w:id="525"/>
      <w:bookmarkEnd w:id="526"/>
    </w:p>
    <w:p>
      <w:pPr>
        <w:pStyle w:val="3"/>
        <w:spacing w:before="0" w:after="0" w:line="360" w:lineRule="exact"/>
        <w:rPr>
          <w:color w:val="000000"/>
          <w:sz w:val="24"/>
        </w:rPr>
      </w:pPr>
      <w:bookmarkStart w:id="527" w:name="_Toc27237"/>
      <w:bookmarkStart w:id="528" w:name="_Toc31328"/>
      <w:bookmarkStart w:id="529" w:name="_Toc173244874"/>
      <w:bookmarkStart w:id="530" w:name="_Toc173246261"/>
      <w:r>
        <w:rPr>
          <w:b w:val="0"/>
          <w:color w:val="000000"/>
          <w:sz w:val="21"/>
          <w:szCs w:val="21"/>
        </w:rPr>
        <w:t xml:space="preserve">24.3 </w:t>
      </w:r>
      <w:r>
        <w:rPr>
          <w:rFonts w:hint="eastAsia"/>
          <w:b w:val="0"/>
          <w:color w:val="000000"/>
          <w:sz w:val="21"/>
          <w:szCs w:val="21"/>
        </w:rPr>
        <w:t>争议评审</w:t>
      </w:r>
      <w:bookmarkEnd w:id="527"/>
      <w:bookmarkEnd w:id="528"/>
      <w:bookmarkEnd w:id="529"/>
      <w:bookmarkEnd w:id="530"/>
    </w:p>
    <w:p>
      <w:pPr>
        <w:pStyle w:val="158"/>
        <w:spacing w:line="380" w:lineRule="exact"/>
        <w:ind w:firstLine="420" w:firstLineChars="200"/>
        <w:rPr>
          <w:sz w:val="21"/>
          <w:szCs w:val="21"/>
        </w:rPr>
      </w:pPr>
      <w:r>
        <w:rPr>
          <w:rFonts w:hint="eastAsia"/>
          <w:sz w:val="21"/>
          <w:szCs w:val="21"/>
        </w:rPr>
        <w:t>第</w:t>
      </w:r>
      <w:r>
        <w:rPr>
          <w:sz w:val="21"/>
          <w:szCs w:val="21"/>
        </w:rPr>
        <w:t>24.3.1</w:t>
      </w:r>
      <w:r>
        <w:rPr>
          <w:rFonts w:hint="eastAsia"/>
          <w:sz w:val="21"/>
          <w:szCs w:val="21"/>
        </w:rPr>
        <w:t>项补充：</w:t>
      </w:r>
    </w:p>
    <w:p>
      <w:pPr>
        <w:spacing w:line="380" w:lineRule="exact"/>
        <w:ind w:firstLine="420" w:firstLineChars="200"/>
        <w:rPr>
          <w:rFonts w:ascii="宋体" w:hAnsi="宋体" w:cs="宋体"/>
          <w:color w:val="000000"/>
          <w:szCs w:val="21"/>
        </w:rPr>
      </w:pPr>
      <w:r>
        <w:rPr>
          <w:rFonts w:hint="eastAsia" w:ascii="宋体" w:hAnsi="宋体" w:cs="宋体"/>
          <w:color w:val="000000"/>
          <w:szCs w:val="21"/>
        </w:rPr>
        <w:t>因合同及合同有关事项发生的争议，按下列第</w:t>
      </w:r>
      <w:r>
        <w:rPr>
          <w:rFonts w:hint="eastAsia" w:ascii="宋体" w:hAnsi="宋体" w:cs="宋体"/>
          <w:color w:val="000000"/>
          <w:szCs w:val="21"/>
          <w:u w:val="single"/>
        </w:rPr>
        <w:t xml:space="preserve"> (2) </w:t>
      </w:r>
      <w:r>
        <w:rPr>
          <w:rFonts w:hint="eastAsia" w:ascii="宋体" w:hAnsi="宋体" w:cs="宋体"/>
          <w:color w:val="000000"/>
          <w:szCs w:val="21"/>
        </w:rPr>
        <w:t>种方式解决：</w:t>
      </w:r>
    </w:p>
    <w:p>
      <w:pPr>
        <w:spacing w:line="380" w:lineRule="exact"/>
        <w:ind w:firstLine="420" w:firstLineChars="200"/>
        <w:rPr>
          <w:rFonts w:ascii="宋体" w:hAnsi="宋体" w:cs="宋体"/>
          <w:color w:val="000000"/>
          <w:szCs w:val="21"/>
        </w:rPr>
      </w:pPr>
      <w:r>
        <w:rPr>
          <w:rFonts w:hint="eastAsia" w:ascii="宋体" w:hAnsi="宋体" w:cs="宋体"/>
          <w:color w:val="000000"/>
          <w:szCs w:val="21"/>
        </w:rPr>
        <w:t>（1）向</w:t>
      </w:r>
      <w:r>
        <w:rPr>
          <w:rFonts w:hint="eastAsia" w:ascii="宋体" w:hAnsi="宋体" w:cs="宋体"/>
          <w:color w:val="000000"/>
          <w:szCs w:val="21"/>
          <w:u w:val="single"/>
        </w:rPr>
        <w:t>台州</w:t>
      </w:r>
      <w:r>
        <w:rPr>
          <w:rFonts w:hint="eastAsia" w:ascii="宋体" w:hAnsi="宋体" w:cs="宋体"/>
          <w:color w:val="000000"/>
          <w:szCs w:val="21"/>
        </w:rPr>
        <w:t>仲裁委员会申请仲裁；</w:t>
      </w:r>
    </w:p>
    <w:p>
      <w:pPr>
        <w:spacing w:line="380" w:lineRule="exact"/>
        <w:ind w:firstLine="420" w:firstLineChars="200"/>
        <w:rPr>
          <w:rFonts w:ascii="宋体" w:hAnsi="宋体" w:eastAsia="宋体" w:cs="宋体"/>
        </w:rPr>
      </w:pPr>
      <w:r>
        <w:rPr>
          <w:rFonts w:hint="eastAsia" w:ascii="宋体" w:hAnsi="宋体" w:cs="宋体"/>
          <w:color w:val="000000"/>
          <w:szCs w:val="21"/>
        </w:rPr>
        <w:t>（2）向</w:t>
      </w:r>
      <w:r>
        <w:rPr>
          <w:rFonts w:hint="eastAsia" w:ascii="宋体" w:hAnsi="宋体" w:cs="宋体"/>
          <w:color w:val="000000"/>
          <w:szCs w:val="21"/>
          <w:u w:val="single"/>
        </w:rPr>
        <w:t xml:space="preserve"> 工程所在地 </w:t>
      </w:r>
      <w:r>
        <w:rPr>
          <w:rFonts w:hint="eastAsia" w:ascii="宋体" w:hAnsi="宋体" w:cs="宋体"/>
          <w:color w:val="000000"/>
          <w:szCs w:val="21"/>
        </w:rPr>
        <w:t>人民法院起诉。</w:t>
      </w:r>
    </w:p>
    <w:p>
      <w:pPr>
        <w:rPr>
          <w:rFonts w:ascii="宋体" w:hAnsi="宋体" w:eastAsia="宋体" w:cs="宋体"/>
          <w:sz w:val="24"/>
        </w:rPr>
      </w:pPr>
      <w:r>
        <w:rPr>
          <w:rFonts w:hint="eastAsia" w:ascii="宋体" w:hAnsi="宋体" w:eastAsia="宋体" w:cs="宋体"/>
          <w:sz w:val="24"/>
        </w:rPr>
        <w:br w:type="page"/>
      </w:r>
    </w:p>
    <w:p>
      <w:pPr>
        <w:pStyle w:val="3"/>
        <w:spacing w:after="120" w:line="240" w:lineRule="auto"/>
        <w:jc w:val="center"/>
        <w:rPr>
          <w:rFonts w:ascii="宋体" w:hAnsi="宋体"/>
          <w:sz w:val="28"/>
          <w:szCs w:val="28"/>
        </w:rPr>
      </w:pPr>
      <w:bookmarkStart w:id="531" w:name="_Toc173244875"/>
      <w:bookmarkStart w:id="532" w:name="_Toc173246262"/>
      <w:r>
        <w:rPr>
          <w:rFonts w:hint="eastAsia" w:ascii="宋体" w:hAnsi="宋体"/>
          <w:sz w:val="28"/>
          <w:szCs w:val="28"/>
        </w:rPr>
        <w:t>第三节</w:t>
      </w:r>
      <w:r>
        <w:rPr>
          <w:rFonts w:hint="eastAsia" w:ascii="宋体" w:hAnsi="宋体"/>
          <w:sz w:val="28"/>
          <w:szCs w:val="28"/>
        </w:rPr>
        <w:tab/>
      </w:r>
      <w:r>
        <w:rPr>
          <w:rFonts w:hint="eastAsia" w:ascii="宋体" w:hAnsi="宋体"/>
          <w:sz w:val="28"/>
          <w:szCs w:val="28"/>
        </w:rPr>
        <w:t>合同附件格式</w:t>
      </w:r>
      <w:bookmarkEnd w:id="531"/>
      <w:bookmarkEnd w:id="532"/>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r>
        <w:rPr>
          <w:rFonts w:hint="eastAsia" w:ascii="宋体" w:hAnsi="宋体" w:eastAsia="宋体" w:cs="宋体"/>
          <w:sz w:val="24"/>
        </w:rPr>
        <w:br w:type="page"/>
      </w:r>
    </w:p>
    <w:p>
      <w:pPr>
        <w:rPr>
          <w:rFonts w:ascii="宋体" w:hAnsi="宋体" w:eastAsia="宋体" w:cs="宋体"/>
          <w:sz w:val="28"/>
          <w:szCs w:val="28"/>
        </w:rPr>
      </w:pPr>
      <w:r>
        <w:rPr>
          <w:rFonts w:hint="eastAsia" w:ascii="宋体" w:hAnsi="宋体" w:eastAsia="宋体" w:cs="宋体"/>
          <w:sz w:val="28"/>
          <w:szCs w:val="28"/>
        </w:rPr>
        <w:t>附件一   合同协议书</w:t>
      </w:r>
    </w:p>
    <w:p>
      <w:pPr>
        <w:rPr>
          <w:rFonts w:ascii="宋体" w:hAnsi="宋体" w:eastAsia="宋体" w:cs="宋体"/>
          <w:sz w:val="24"/>
        </w:rPr>
      </w:pPr>
    </w:p>
    <w:p>
      <w:pPr>
        <w:jc w:val="center"/>
        <w:rPr>
          <w:rFonts w:ascii="宋体" w:hAnsi="宋体" w:eastAsia="宋体" w:cs="宋体"/>
          <w:sz w:val="28"/>
          <w:szCs w:val="28"/>
        </w:rPr>
      </w:pPr>
      <w:r>
        <w:rPr>
          <w:rFonts w:hint="eastAsia" w:ascii="宋体" w:hAnsi="宋体" w:eastAsia="宋体" w:cs="宋体"/>
          <w:sz w:val="28"/>
          <w:szCs w:val="28"/>
        </w:rPr>
        <w:t>合同协议书</w:t>
      </w:r>
    </w:p>
    <w:p>
      <w:pPr>
        <w:rPr>
          <w:rFonts w:ascii="宋体" w:hAnsi="宋体" w:eastAsia="宋体" w:cs="宋体"/>
          <w:sz w:val="24"/>
        </w:rPr>
      </w:pPr>
    </w:p>
    <w:p>
      <w:pPr>
        <w:spacing w:line="440" w:lineRule="exact"/>
        <w:ind w:firstLine="420" w:firstLineChars="200"/>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（发包人名称，以下简称“发包人”）为实施</w:t>
      </w:r>
      <w:r>
        <w:rPr>
          <w:rFonts w:hint="eastAsia" w:ascii="宋体" w:hAnsi="宋体" w:eastAsia="宋体" w:cs="宋体"/>
          <w:szCs w:val="21"/>
          <w:u w:val="single"/>
        </w:rPr>
        <w:t xml:space="preserve">                </w:t>
      </w:r>
      <w:r>
        <w:rPr>
          <w:rFonts w:hint="eastAsia" w:ascii="宋体" w:hAnsi="宋体" w:eastAsia="宋体" w:cs="宋体"/>
          <w:szCs w:val="21"/>
        </w:rPr>
        <w:t>（项目名称），已接受</w:t>
      </w:r>
      <w:r>
        <w:rPr>
          <w:rFonts w:hint="eastAsia" w:ascii="宋体" w:hAnsi="宋体" w:eastAsia="宋体" w:cs="宋体"/>
          <w:szCs w:val="21"/>
          <w:u w:val="single"/>
        </w:rPr>
        <w:t xml:space="preserve">        </w:t>
      </w:r>
      <w:r>
        <w:rPr>
          <w:rFonts w:hint="eastAsia" w:ascii="宋体" w:hAnsi="宋体" w:eastAsia="宋体" w:cs="宋体"/>
          <w:szCs w:val="21"/>
        </w:rPr>
        <w:t>（承包人名称，以下简称“承包人”）对该项目</w:t>
      </w:r>
      <w:r>
        <w:rPr>
          <w:rFonts w:hint="eastAsia" w:ascii="宋体" w:hAnsi="宋体" w:eastAsia="宋体" w:cs="宋体"/>
          <w:szCs w:val="21"/>
          <w:u w:val="single"/>
        </w:rPr>
        <w:t xml:space="preserve">    </w:t>
      </w:r>
      <w:r>
        <w:rPr>
          <w:rFonts w:hint="eastAsia" w:ascii="宋体" w:hAnsi="宋体" w:eastAsia="宋体" w:cs="宋体"/>
          <w:szCs w:val="21"/>
        </w:rPr>
        <w:t>标段施工的投标。 发包人和承包人共同达成如下协议。</w:t>
      </w:r>
    </w:p>
    <w:p>
      <w:pPr>
        <w:spacing w:line="440" w:lineRule="exact"/>
        <w:ind w:firstLine="420" w:firstLineChars="200"/>
        <w:rPr>
          <w:rFonts w:ascii="宋体" w:hAnsi="宋体" w:eastAsia="宋体" w:cs="宋体"/>
          <w:szCs w:val="21"/>
        </w:rPr>
      </w:pPr>
      <w:r>
        <w:rPr>
          <w:rFonts w:hint="eastAsia" w:ascii="宋体" w:hAnsi="宋体" w:eastAsia="宋体" w:cs="宋体"/>
          <w:szCs w:val="21"/>
        </w:rPr>
        <w:t>1．第</w:t>
      </w:r>
      <w:r>
        <w:rPr>
          <w:rFonts w:hint="eastAsia" w:ascii="宋体" w:hAnsi="宋体" w:eastAsia="宋体" w:cs="宋体"/>
          <w:szCs w:val="21"/>
          <w:u w:val="single"/>
        </w:rPr>
        <w:t xml:space="preserve">    </w:t>
      </w:r>
      <w:r>
        <w:rPr>
          <w:rFonts w:hint="eastAsia" w:ascii="宋体" w:hAnsi="宋体" w:eastAsia="宋体" w:cs="宋体"/>
          <w:szCs w:val="21"/>
        </w:rPr>
        <w:t>标段由K</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至K</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，长约</w:t>
      </w:r>
      <w:r>
        <w:rPr>
          <w:rFonts w:hint="eastAsia" w:ascii="宋体" w:hAnsi="宋体" w:eastAsia="宋体" w:cs="宋体"/>
          <w:szCs w:val="21"/>
          <w:u w:val="single"/>
        </w:rPr>
        <w:t xml:space="preserve">    </w:t>
      </w:r>
      <w:r>
        <w:rPr>
          <w:rFonts w:hint="eastAsia" w:ascii="宋体" w:hAnsi="宋体" w:eastAsia="宋体" w:cs="宋体"/>
          <w:szCs w:val="21"/>
        </w:rPr>
        <w:t>km，公路等级为</w:t>
      </w:r>
      <w:r>
        <w:rPr>
          <w:rFonts w:hint="eastAsia" w:ascii="宋体" w:hAnsi="宋体" w:eastAsia="宋体" w:cs="宋体"/>
          <w:szCs w:val="21"/>
          <w:u w:val="single"/>
        </w:rPr>
        <w:t xml:space="preserve">     </w:t>
      </w:r>
      <w:r>
        <w:rPr>
          <w:rFonts w:hint="eastAsia" w:ascii="宋体" w:hAnsi="宋体" w:eastAsia="宋体" w:cs="宋体"/>
          <w:szCs w:val="21"/>
        </w:rPr>
        <w:t>，设计时速为</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路面，有</w:t>
      </w:r>
      <w:r>
        <w:rPr>
          <w:rFonts w:hint="eastAsia" w:ascii="宋体" w:hAnsi="宋体" w:eastAsia="宋体" w:cs="宋体"/>
          <w:szCs w:val="21"/>
          <w:u w:val="single"/>
        </w:rPr>
        <w:t xml:space="preserve">    </w:t>
      </w:r>
      <w:r>
        <w:rPr>
          <w:rFonts w:hint="eastAsia" w:ascii="宋体" w:hAnsi="宋体" w:eastAsia="宋体" w:cs="宋体"/>
          <w:szCs w:val="21"/>
        </w:rPr>
        <w:t>立交</w:t>
      </w:r>
      <w:r>
        <w:rPr>
          <w:rFonts w:hint="eastAsia" w:ascii="宋体" w:hAnsi="宋体" w:eastAsia="宋体" w:cs="宋体"/>
          <w:szCs w:val="21"/>
          <w:u w:val="single"/>
        </w:rPr>
        <w:t xml:space="preserve">    </w:t>
      </w:r>
      <w:r>
        <w:rPr>
          <w:rFonts w:hint="eastAsia" w:ascii="宋体" w:hAnsi="宋体" w:eastAsia="宋体" w:cs="宋体"/>
          <w:szCs w:val="21"/>
        </w:rPr>
        <w:t>处；特大桥</w:t>
      </w:r>
      <w:r>
        <w:rPr>
          <w:rFonts w:hint="eastAsia" w:ascii="宋体" w:hAnsi="宋体" w:eastAsia="宋体" w:cs="宋体"/>
          <w:szCs w:val="21"/>
          <w:u w:val="single"/>
        </w:rPr>
        <w:t xml:space="preserve">     </w:t>
      </w:r>
      <w:r>
        <w:rPr>
          <w:rFonts w:hint="eastAsia" w:ascii="宋体" w:hAnsi="宋体" w:eastAsia="宋体" w:cs="宋体"/>
          <w:szCs w:val="21"/>
        </w:rPr>
        <w:t>座，计长</w:t>
      </w:r>
      <w:r>
        <w:rPr>
          <w:rFonts w:hint="eastAsia" w:ascii="宋体" w:hAnsi="宋体" w:eastAsia="宋体" w:cs="宋体"/>
          <w:szCs w:val="21"/>
          <w:u w:val="single"/>
        </w:rPr>
        <w:t xml:space="preserve">    </w:t>
      </w:r>
      <w:r>
        <w:rPr>
          <w:rFonts w:hint="eastAsia" w:ascii="宋体" w:hAnsi="宋体" w:eastAsia="宋体" w:cs="宋体"/>
          <w:szCs w:val="21"/>
        </w:rPr>
        <w:t>m；大中桥</w:t>
      </w:r>
      <w:r>
        <w:rPr>
          <w:rFonts w:hint="eastAsia" w:ascii="宋体" w:hAnsi="宋体" w:eastAsia="宋体" w:cs="宋体"/>
          <w:szCs w:val="21"/>
          <w:u w:val="single"/>
        </w:rPr>
        <w:t xml:space="preserve">  </w:t>
      </w:r>
      <w:r>
        <w:rPr>
          <w:rFonts w:hint="eastAsia" w:ascii="宋体" w:hAnsi="宋体" w:eastAsia="宋体" w:cs="宋体"/>
          <w:szCs w:val="21"/>
        </w:rPr>
        <w:t>座，计长</w:t>
      </w:r>
      <w:r>
        <w:rPr>
          <w:rFonts w:hint="eastAsia" w:ascii="宋体" w:hAnsi="宋体" w:eastAsia="宋体" w:cs="宋体"/>
          <w:szCs w:val="21"/>
          <w:u w:val="single"/>
        </w:rPr>
        <w:t xml:space="preserve">    </w:t>
      </w:r>
      <w:r>
        <w:rPr>
          <w:rFonts w:hint="eastAsia" w:ascii="宋体" w:hAnsi="宋体" w:eastAsia="宋体" w:cs="宋体"/>
          <w:szCs w:val="21"/>
        </w:rPr>
        <w:t>m；隧道</w:t>
      </w:r>
      <w:r>
        <w:rPr>
          <w:rFonts w:hint="eastAsia" w:ascii="宋体" w:hAnsi="宋体" w:eastAsia="宋体" w:cs="宋体"/>
          <w:szCs w:val="21"/>
          <w:u w:val="single"/>
        </w:rPr>
        <w:t xml:space="preserve">    </w:t>
      </w:r>
      <w:r>
        <w:rPr>
          <w:rFonts w:hint="eastAsia" w:ascii="宋体" w:hAnsi="宋体" w:eastAsia="宋体" w:cs="宋体"/>
          <w:szCs w:val="21"/>
        </w:rPr>
        <w:t>座，计长</w:t>
      </w:r>
      <w:r>
        <w:rPr>
          <w:rFonts w:hint="eastAsia" w:ascii="宋体" w:hAnsi="宋体" w:eastAsia="宋体" w:cs="宋体"/>
          <w:szCs w:val="21"/>
          <w:u w:val="single"/>
        </w:rPr>
        <w:t xml:space="preserve">    </w:t>
      </w:r>
      <w:r>
        <w:rPr>
          <w:rFonts w:hint="eastAsia" w:ascii="宋体" w:hAnsi="宋体" w:eastAsia="宋体" w:cs="宋体"/>
          <w:szCs w:val="21"/>
        </w:rPr>
        <w:t>m以及其他构造物工程等。</w:t>
      </w:r>
    </w:p>
    <w:p>
      <w:pPr>
        <w:spacing w:line="440" w:lineRule="exact"/>
        <w:ind w:firstLine="420" w:firstLineChars="200"/>
        <w:rPr>
          <w:rFonts w:ascii="宋体" w:hAnsi="宋体" w:eastAsia="宋体" w:cs="宋体"/>
          <w:szCs w:val="21"/>
        </w:rPr>
      </w:pPr>
      <w:r>
        <w:rPr>
          <w:rFonts w:hint="eastAsia" w:ascii="宋体" w:hAnsi="宋体" w:eastAsia="宋体" w:cs="宋体"/>
          <w:szCs w:val="21"/>
        </w:rPr>
        <w:t>2. 下列文件应视为构成合同文件的组成部分：</w:t>
      </w:r>
    </w:p>
    <w:p>
      <w:pPr>
        <w:spacing w:line="440" w:lineRule="exact"/>
        <w:ind w:firstLine="420" w:firstLineChars="200"/>
        <w:rPr>
          <w:rFonts w:ascii="宋体" w:hAnsi="宋体" w:eastAsia="宋体" w:cs="宋体"/>
          <w:szCs w:val="21"/>
        </w:rPr>
      </w:pPr>
      <w:r>
        <w:rPr>
          <w:rFonts w:hint="eastAsia" w:ascii="宋体" w:hAnsi="宋体" w:eastAsia="宋体" w:cs="宋体"/>
          <w:szCs w:val="21"/>
        </w:rPr>
        <w:t>(1) 合同协议书及各种合同附件(含廉政合同、安全生产合同、工程质量责任合同、工程资金监管协议及评标期间和合同谈判过程中的澄清文件和补充资料) ；</w:t>
      </w:r>
    </w:p>
    <w:p>
      <w:pPr>
        <w:spacing w:line="440" w:lineRule="exact"/>
        <w:ind w:firstLine="420" w:firstLineChars="200"/>
        <w:rPr>
          <w:rFonts w:ascii="宋体" w:hAnsi="宋体" w:eastAsia="宋体" w:cs="宋体"/>
          <w:szCs w:val="21"/>
        </w:rPr>
      </w:pPr>
      <w:r>
        <w:rPr>
          <w:rFonts w:hint="eastAsia" w:ascii="宋体" w:hAnsi="宋体" w:eastAsia="宋体" w:cs="宋体"/>
          <w:szCs w:val="21"/>
        </w:rPr>
        <w:t>(2) 中标通知书；</w:t>
      </w:r>
    </w:p>
    <w:p>
      <w:pPr>
        <w:spacing w:line="440" w:lineRule="exact"/>
        <w:ind w:firstLine="420" w:firstLineChars="200"/>
        <w:rPr>
          <w:rFonts w:ascii="宋体" w:hAnsi="宋体" w:eastAsia="宋体" w:cs="宋体"/>
          <w:szCs w:val="21"/>
        </w:rPr>
      </w:pPr>
      <w:r>
        <w:rPr>
          <w:rFonts w:hint="eastAsia" w:ascii="宋体" w:hAnsi="宋体" w:eastAsia="宋体" w:cs="宋体"/>
          <w:szCs w:val="21"/>
        </w:rPr>
        <w:t>(3) 投标函及投标函附录；</w:t>
      </w:r>
    </w:p>
    <w:p>
      <w:pPr>
        <w:spacing w:line="440" w:lineRule="exact"/>
        <w:ind w:firstLine="420" w:firstLineChars="200"/>
        <w:rPr>
          <w:rFonts w:ascii="宋体" w:hAnsi="宋体" w:eastAsia="宋体" w:cs="宋体"/>
          <w:szCs w:val="21"/>
        </w:rPr>
      </w:pPr>
      <w:r>
        <w:rPr>
          <w:rFonts w:hint="eastAsia" w:ascii="宋体" w:hAnsi="宋体" w:eastAsia="宋体" w:cs="宋体"/>
          <w:szCs w:val="21"/>
        </w:rPr>
        <w:t>(4) 项目专用合同条款（含招标文件补遗书中与此有关的部分）；</w:t>
      </w:r>
    </w:p>
    <w:p>
      <w:pPr>
        <w:spacing w:line="440" w:lineRule="exact"/>
        <w:ind w:firstLine="420" w:firstLineChars="200"/>
        <w:rPr>
          <w:rFonts w:ascii="宋体" w:hAnsi="宋体" w:eastAsia="宋体" w:cs="宋体"/>
          <w:szCs w:val="21"/>
        </w:rPr>
      </w:pPr>
      <w:r>
        <w:rPr>
          <w:rFonts w:hint="eastAsia" w:ascii="宋体" w:hAnsi="宋体" w:eastAsia="宋体" w:cs="宋体"/>
          <w:szCs w:val="21"/>
        </w:rPr>
        <w:t>(5) 公路工程专用合同条款；</w:t>
      </w:r>
    </w:p>
    <w:p>
      <w:pPr>
        <w:spacing w:line="440" w:lineRule="exact"/>
        <w:ind w:firstLine="420" w:firstLineChars="200"/>
        <w:rPr>
          <w:rFonts w:ascii="宋体" w:hAnsi="宋体" w:eastAsia="宋体" w:cs="宋体"/>
          <w:szCs w:val="21"/>
        </w:rPr>
      </w:pPr>
      <w:r>
        <w:rPr>
          <w:rFonts w:hint="eastAsia" w:ascii="宋体" w:hAnsi="宋体" w:eastAsia="宋体" w:cs="宋体"/>
          <w:szCs w:val="21"/>
        </w:rPr>
        <w:t>(6) 通用合同条款；</w:t>
      </w:r>
    </w:p>
    <w:p>
      <w:pPr>
        <w:spacing w:line="440" w:lineRule="exact"/>
        <w:ind w:firstLine="420" w:firstLineChars="200"/>
        <w:rPr>
          <w:rFonts w:ascii="宋体" w:hAnsi="宋体" w:eastAsia="宋体" w:cs="宋体"/>
          <w:szCs w:val="21"/>
        </w:rPr>
      </w:pPr>
      <w:r>
        <w:rPr>
          <w:rFonts w:hint="eastAsia" w:ascii="宋体" w:hAnsi="宋体" w:eastAsia="宋体" w:cs="宋体"/>
          <w:szCs w:val="21"/>
        </w:rPr>
        <w:t>(7) 项目专用技术规范（含招标文件补遗书中与此有关的部分）；</w:t>
      </w:r>
    </w:p>
    <w:p>
      <w:pPr>
        <w:spacing w:line="440" w:lineRule="exact"/>
        <w:ind w:firstLine="420" w:firstLineChars="200"/>
        <w:rPr>
          <w:rFonts w:ascii="宋体" w:hAnsi="宋体" w:eastAsia="宋体" w:cs="宋体"/>
          <w:szCs w:val="21"/>
        </w:rPr>
      </w:pPr>
      <w:r>
        <w:rPr>
          <w:rFonts w:hint="eastAsia" w:ascii="宋体" w:hAnsi="宋体" w:eastAsia="宋体" w:cs="宋体"/>
          <w:szCs w:val="21"/>
        </w:rPr>
        <w:t>(8) 通用技术规范；</w:t>
      </w:r>
    </w:p>
    <w:p>
      <w:pPr>
        <w:spacing w:line="440" w:lineRule="exact"/>
        <w:ind w:firstLine="420" w:firstLineChars="200"/>
        <w:rPr>
          <w:rFonts w:ascii="宋体" w:hAnsi="宋体" w:eastAsia="宋体" w:cs="宋体"/>
          <w:szCs w:val="21"/>
        </w:rPr>
      </w:pPr>
      <w:r>
        <w:rPr>
          <w:rFonts w:hint="eastAsia" w:ascii="宋体" w:hAnsi="宋体" w:eastAsia="宋体" w:cs="宋体"/>
          <w:szCs w:val="21"/>
        </w:rPr>
        <w:t>(9) 图纸（含招标文件补遗书中与此有关的部分）；</w:t>
      </w:r>
    </w:p>
    <w:p>
      <w:pPr>
        <w:spacing w:line="440" w:lineRule="exact"/>
        <w:ind w:firstLine="420" w:firstLineChars="200"/>
        <w:rPr>
          <w:rFonts w:ascii="宋体" w:hAnsi="宋体" w:eastAsia="宋体" w:cs="宋体"/>
          <w:szCs w:val="21"/>
        </w:rPr>
      </w:pPr>
      <w:r>
        <w:rPr>
          <w:rFonts w:hint="eastAsia" w:ascii="宋体" w:hAnsi="宋体" w:eastAsia="宋体" w:cs="宋体"/>
          <w:szCs w:val="21"/>
        </w:rPr>
        <w:t>(10) 已标价工程量清单（预算审核书）；</w:t>
      </w:r>
    </w:p>
    <w:p>
      <w:pPr>
        <w:spacing w:line="440" w:lineRule="exact"/>
        <w:ind w:firstLine="420" w:firstLineChars="200"/>
        <w:rPr>
          <w:rFonts w:ascii="宋体" w:hAnsi="宋体" w:eastAsia="宋体" w:cs="宋体"/>
          <w:szCs w:val="21"/>
        </w:rPr>
      </w:pPr>
      <w:r>
        <w:rPr>
          <w:rFonts w:hint="eastAsia" w:ascii="宋体" w:hAnsi="宋体" w:eastAsia="宋体" w:cs="宋体"/>
          <w:szCs w:val="21"/>
        </w:rPr>
        <w:t>(11) 承包人有关人员、设备投入的承诺及投标文件中的施工组织设计；</w:t>
      </w:r>
    </w:p>
    <w:p>
      <w:pPr>
        <w:spacing w:line="440" w:lineRule="exact"/>
        <w:ind w:firstLine="420" w:firstLineChars="200"/>
        <w:rPr>
          <w:rFonts w:ascii="宋体" w:hAnsi="宋体" w:eastAsia="宋体" w:cs="宋体"/>
          <w:szCs w:val="21"/>
        </w:rPr>
      </w:pPr>
      <w:r>
        <w:rPr>
          <w:rFonts w:hint="eastAsia" w:ascii="宋体" w:hAnsi="宋体" w:eastAsia="宋体" w:cs="宋体"/>
          <w:szCs w:val="21"/>
        </w:rPr>
        <w:t>(12) 其他合同文件。</w:t>
      </w:r>
    </w:p>
    <w:p>
      <w:pPr>
        <w:spacing w:line="440" w:lineRule="exact"/>
        <w:ind w:firstLine="420" w:firstLineChars="200"/>
        <w:rPr>
          <w:rFonts w:ascii="宋体" w:hAnsi="宋体" w:eastAsia="宋体" w:cs="宋体"/>
          <w:szCs w:val="21"/>
        </w:rPr>
      </w:pPr>
      <w:r>
        <w:rPr>
          <w:rFonts w:hint="eastAsia" w:ascii="宋体" w:hAnsi="宋体" w:eastAsia="宋体" w:cs="宋体"/>
          <w:szCs w:val="21"/>
        </w:rPr>
        <w:t>3. 上述文件互相补充和解释，如有不明确或不一致之处，以合同约定次序在先者为准。</w:t>
      </w:r>
    </w:p>
    <w:p>
      <w:pPr>
        <w:spacing w:line="440" w:lineRule="exact"/>
        <w:ind w:firstLine="420" w:firstLineChars="200"/>
        <w:rPr>
          <w:rFonts w:ascii="宋体" w:hAnsi="宋体" w:eastAsia="宋体" w:cs="宋体"/>
          <w:szCs w:val="21"/>
        </w:rPr>
      </w:pPr>
      <w:r>
        <w:rPr>
          <w:rFonts w:hint="eastAsia" w:ascii="宋体" w:hAnsi="宋体" w:eastAsia="宋体" w:cs="宋体"/>
          <w:szCs w:val="21"/>
        </w:rPr>
        <w:t>4. 根据招标人提供预算审核书和招标文件规定计算规则计算的签约合同价：人民币（大写）</w:t>
      </w:r>
      <w:r>
        <w:rPr>
          <w:rFonts w:hint="eastAsia" w:ascii="宋体" w:hAnsi="宋体" w:eastAsia="宋体" w:cs="宋体"/>
          <w:szCs w:val="21"/>
          <w:u w:val="single"/>
        </w:rPr>
        <w:t xml:space="preserve">        </w:t>
      </w:r>
      <w:r>
        <w:rPr>
          <w:rFonts w:hint="eastAsia" w:ascii="宋体" w:hAnsi="宋体" w:eastAsia="宋体" w:cs="宋体"/>
          <w:szCs w:val="21"/>
        </w:rPr>
        <w:t>元（¥</w:t>
      </w:r>
      <w:r>
        <w:rPr>
          <w:rFonts w:hint="eastAsia" w:ascii="宋体" w:hAnsi="宋体" w:eastAsia="宋体" w:cs="宋体"/>
          <w:szCs w:val="21"/>
          <w:u w:val="single"/>
        </w:rPr>
        <w:t xml:space="preserve">        </w:t>
      </w:r>
      <w:r>
        <w:rPr>
          <w:rFonts w:hint="eastAsia" w:ascii="宋体" w:hAnsi="宋体" w:eastAsia="宋体" w:cs="宋体"/>
          <w:szCs w:val="21"/>
        </w:rPr>
        <w:t>）。总价下浮数值为：</w:t>
      </w:r>
      <w:r>
        <w:rPr>
          <w:rFonts w:hint="eastAsia" w:ascii="宋体" w:hAnsi="宋体" w:eastAsia="宋体" w:cs="宋体"/>
          <w:szCs w:val="21"/>
          <w:u w:val="single"/>
        </w:rPr>
        <w:t xml:space="preserve">        </w:t>
      </w:r>
      <w:r>
        <w:rPr>
          <w:rFonts w:hint="eastAsia" w:ascii="宋体" w:hAnsi="宋体" w:eastAsia="宋体" w:cs="宋体"/>
          <w:szCs w:val="21"/>
        </w:rPr>
        <w:t>。（作为工程变更、结算下浮依据）</w:t>
      </w:r>
    </w:p>
    <w:p>
      <w:pPr>
        <w:spacing w:line="440" w:lineRule="exact"/>
        <w:ind w:firstLine="420" w:firstLineChars="200"/>
        <w:rPr>
          <w:rFonts w:ascii="宋体" w:hAnsi="宋体" w:eastAsia="宋体" w:cs="宋体"/>
          <w:szCs w:val="21"/>
        </w:rPr>
      </w:pPr>
      <w:r>
        <w:rPr>
          <w:rFonts w:hint="eastAsia" w:ascii="宋体" w:hAnsi="宋体" w:eastAsia="宋体" w:cs="宋体"/>
          <w:szCs w:val="21"/>
        </w:rPr>
        <w:t>5. 承包人项目经理：</w:t>
      </w:r>
      <w:r>
        <w:rPr>
          <w:rFonts w:hint="eastAsia" w:ascii="宋体" w:hAnsi="宋体" w:eastAsia="宋体" w:cs="宋体"/>
          <w:szCs w:val="21"/>
          <w:u w:val="single"/>
        </w:rPr>
        <w:t xml:space="preserve">        </w:t>
      </w:r>
      <w:r>
        <w:rPr>
          <w:rFonts w:hint="eastAsia" w:ascii="宋体" w:hAnsi="宋体" w:eastAsia="宋体" w:cs="宋体"/>
          <w:szCs w:val="21"/>
        </w:rPr>
        <w:t>。承包人项目技术负责人：</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color w:val="000000"/>
        </w:rPr>
        <w:t>安全负责人</w:t>
      </w:r>
      <w:r>
        <w:rPr>
          <w:color w:val="000000"/>
        </w:rPr>
        <w:t>：</w:t>
      </w:r>
      <w:r>
        <w:rPr>
          <w:color w:val="000000"/>
          <w:u w:val="single"/>
        </w:rPr>
        <w:t xml:space="preserve">  </w:t>
      </w:r>
      <w:r>
        <w:rPr>
          <w:rFonts w:hint="eastAsia"/>
          <w:color w:val="000000"/>
          <w:u w:val="single"/>
        </w:rPr>
        <w:t xml:space="preserve">  </w:t>
      </w:r>
      <w:r>
        <w:rPr>
          <w:color w:val="000000"/>
          <w:u w:val="single"/>
        </w:rPr>
        <w:t xml:space="preserve"> </w:t>
      </w:r>
      <w:r>
        <w:rPr>
          <w:color w:val="000000"/>
        </w:rPr>
        <w:t>。</w:t>
      </w:r>
    </w:p>
    <w:p>
      <w:pPr>
        <w:spacing w:line="440" w:lineRule="exact"/>
        <w:ind w:firstLine="420" w:firstLineChars="200"/>
        <w:rPr>
          <w:rFonts w:ascii="宋体" w:hAnsi="宋体" w:eastAsia="宋体" w:cs="宋体"/>
          <w:szCs w:val="21"/>
        </w:rPr>
      </w:pPr>
      <w:r>
        <w:rPr>
          <w:rFonts w:hint="eastAsia" w:ascii="宋体" w:hAnsi="宋体" w:eastAsia="宋体" w:cs="宋体"/>
          <w:szCs w:val="21"/>
        </w:rPr>
        <w:t>6. 工程质量符合</w:t>
      </w:r>
      <w:r>
        <w:rPr>
          <w:rFonts w:hint="eastAsia" w:ascii="宋体" w:hAnsi="宋体" w:eastAsia="宋体" w:cs="宋体"/>
          <w:szCs w:val="21"/>
          <w:u w:val="single"/>
        </w:rPr>
        <w:t xml:space="preserve">        </w:t>
      </w:r>
      <w:r>
        <w:rPr>
          <w:rFonts w:hint="eastAsia" w:ascii="宋体" w:hAnsi="宋体" w:eastAsia="宋体" w:cs="宋体"/>
          <w:szCs w:val="21"/>
        </w:rPr>
        <w:t>标准，工程安全目标</w:t>
      </w:r>
      <w:r>
        <w:rPr>
          <w:rFonts w:hint="eastAsia" w:ascii="宋体" w:hAnsi="宋体" w:eastAsia="宋体" w:cs="宋体"/>
          <w:szCs w:val="21"/>
          <w:u w:val="single"/>
        </w:rPr>
        <w:t xml:space="preserve">          </w:t>
      </w:r>
      <w:r>
        <w:rPr>
          <w:rFonts w:hint="eastAsia" w:ascii="宋体" w:hAnsi="宋体" w:eastAsia="宋体" w:cs="宋体"/>
          <w:szCs w:val="21"/>
        </w:rPr>
        <w:t>。</w:t>
      </w:r>
    </w:p>
    <w:p>
      <w:pPr>
        <w:spacing w:line="440" w:lineRule="exact"/>
        <w:ind w:firstLine="420" w:firstLineChars="200"/>
        <w:rPr>
          <w:rFonts w:ascii="宋体" w:hAnsi="宋体" w:eastAsia="宋体" w:cs="宋体"/>
          <w:szCs w:val="21"/>
        </w:rPr>
      </w:pPr>
      <w:r>
        <w:rPr>
          <w:rFonts w:hint="eastAsia" w:ascii="宋体" w:hAnsi="宋体" w:eastAsia="宋体" w:cs="宋体"/>
          <w:szCs w:val="21"/>
        </w:rPr>
        <w:t>7. 承包人承诺按合同约定承担工程的实施、完成及缺陷修复。</w:t>
      </w:r>
    </w:p>
    <w:p>
      <w:pPr>
        <w:spacing w:line="440" w:lineRule="exact"/>
        <w:ind w:firstLine="420" w:firstLineChars="200"/>
        <w:rPr>
          <w:rFonts w:ascii="宋体" w:hAnsi="宋体" w:eastAsia="宋体" w:cs="宋体"/>
          <w:szCs w:val="21"/>
        </w:rPr>
      </w:pPr>
      <w:r>
        <w:rPr>
          <w:rFonts w:hint="eastAsia" w:ascii="宋体" w:hAnsi="宋体" w:eastAsia="宋体" w:cs="宋体"/>
          <w:szCs w:val="21"/>
        </w:rPr>
        <w:t>8. 发包人承诺按合同约定的条件、时间和方式向承包人支付合同价款。</w:t>
      </w:r>
    </w:p>
    <w:p>
      <w:pPr>
        <w:spacing w:line="440" w:lineRule="exact"/>
        <w:ind w:firstLine="420" w:firstLineChars="200"/>
        <w:rPr>
          <w:rFonts w:ascii="宋体" w:hAnsi="宋体" w:eastAsia="宋体" w:cs="宋体"/>
          <w:szCs w:val="21"/>
        </w:rPr>
      </w:pPr>
      <w:r>
        <w:rPr>
          <w:rFonts w:hint="eastAsia" w:ascii="宋体" w:hAnsi="宋体" w:eastAsia="宋体" w:cs="宋体"/>
          <w:szCs w:val="21"/>
        </w:rPr>
        <w:t>9. 承包人应按照监理人指示开工，工期为</w:t>
      </w:r>
      <w:r>
        <w:rPr>
          <w:rFonts w:hint="eastAsia" w:ascii="宋体" w:hAnsi="宋体" w:eastAsia="宋体" w:cs="宋体"/>
          <w:szCs w:val="21"/>
          <w:u w:val="single"/>
        </w:rPr>
        <w:t xml:space="preserve">      </w:t>
      </w:r>
      <w:r>
        <w:rPr>
          <w:rFonts w:hint="eastAsia" w:ascii="宋体" w:hAnsi="宋体" w:eastAsia="宋体" w:cs="宋体"/>
          <w:szCs w:val="21"/>
        </w:rPr>
        <w:t>日历天。</w:t>
      </w:r>
    </w:p>
    <w:p>
      <w:pPr>
        <w:spacing w:line="440" w:lineRule="exact"/>
        <w:ind w:firstLine="420" w:firstLineChars="200"/>
        <w:rPr>
          <w:rFonts w:ascii="宋体" w:hAnsi="宋体" w:eastAsia="宋体" w:cs="宋体"/>
          <w:szCs w:val="21"/>
        </w:rPr>
      </w:pPr>
      <w:r>
        <w:rPr>
          <w:rFonts w:hint="eastAsia" w:ascii="宋体" w:hAnsi="宋体" w:eastAsia="宋体" w:cs="宋体"/>
          <w:szCs w:val="21"/>
        </w:rPr>
        <w:t>10. 本协议书在承包人提供履约担保后，由双方法定代表人或其委托代理人签署并加盖单位章后生效。全部工程完工后经竣交工验收合格、缺陷责任期满签发缺陷责任终止证书后生效。</w:t>
      </w:r>
    </w:p>
    <w:p>
      <w:pPr>
        <w:spacing w:line="440" w:lineRule="exact"/>
        <w:ind w:firstLine="420" w:firstLineChars="200"/>
        <w:rPr>
          <w:rFonts w:ascii="宋体" w:hAnsi="宋体" w:eastAsia="宋体" w:cs="宋体"/>
          <w:szCs w:val="21"/>
        </w:rPr>
      </w:pPr>
      <w:r>
        <w:rPr>
          <w:rFonts w:hint="eastAsia" w:ascii="宋体" w:hAnsi="宋体" w:eastAsia="宋体" w:cs="宋体"/>
          <w:szCs w:val="21"/>
        </w:rPr>
        <w:t>11．本协议书正本二份、副本</w:t>
      </w:r>
      <w:r>
        <w:rPr>
          <w:rFonts w:hint="eastAsia" w:ascii="宋体" w:hAnsi="宋体" w:eastAsia="宋体" w:cs="宋体"/>
          <w:szCs w:val="21"/>
          <w:u w:val="single"/>
        </w:rPr>
        <w:t xml:space="preserve">   </w:t>
      </w:r>
      <w:r>
        <w:rPr>
          <w:rFonts w:hint="eastAsia" w:ascii="宋体" w:hAnsi="宋体" w:eastAsia="宋体" w:cs="宋体"/>
          <w:szCs w:val="21"/>
        </w:rPr>
        <w:t>份，合同双方各执正本一份，副本</w:t>
      </w:r>
      <w:r>
        <w:rPr>
          <w:rFonts w:hint="eastAsia" w:ascii="宋体" w:hAnsi="宋体" w:eastAsia="宋体" w:cs="宋体"/>
          <w:szCs w:val="21"/>
          <w:u w:val="single"/>
        </w:rPr>
        <w:t xml:space="preserve">   </w:t>
      </w:r>
      <w:r>
        <w:rPr>
          <w:rFonts w:hint="eastAsia" w:ascii="宋体" w:hAnsi="宋体" w:eastAsia="宋体" w:cs="宋体"/>
          <w:szCs w:val="21"/>
        </w:rPr>
        <w:t>份，当正本与副本的内容不一致时，以正本为准。</w:t>
      </w:r>
    </w:p>
    <w:p>
      <w:pPr>
        <w:spacing w:line="440" w:lineRule="exact"/>
        <w:ind w:firstLine="420" w:firstLineChars="200"/>
        <w:rPr>
          <w:rFonts w:ascii="宋体" w:hAnsi="宋体" w:eastAsia="宋体" w:cs="宋体"/>
          <w:szCs w:val="21"/>
        </w:rPr>
      </w:pPr>
      <w:r>
        <w:rPr>
          <w:rFonts w:hint="eastAsia" w:ascii="宋体" w:hAnsi="宋体" w:eastAsia="宋体" w:cs="宋体"/>
          <w:szCs w:val="21"/>
        </w:rPr>
        <w:t>12.合同未尽事宜，双方另行签订补充协议。补充协议是合同的组成部分。</w:t>
      </w:r>
    </w:p>
    <w:p>
      <w:pPr>
        <w:spacing w:line="400" w:lineRule="exact"/>
        <w:rPr>
          <w:rFonts w:ascii="宋体" w:hAnsi="宋体" w:eastAsia="宋体" w:cs="宋体"/>
          <w:szCs w:val="21"/>
        </w:rPr>
      </w:pPr>
    </w:p>
    <w:p>
      <w:pPr>
        <w:spacing w:line="400" w:lineRule="exact"/>
        <w:rPr>
          <w:rFonts w:ascii="宋体" w:hAnsi="宋体" w:eastAsia="宋体" w:cs="宋体"/>
          <w:szCs w:val="21"/>
        </w:rPr>
      </w:pPr>
    </w:p>
    <w:p>
      <w:pPr>
        <w:spacing w:line="400" w:lineRule="exact"/>
        <w:rPr>
          <w:rFonts w:ascii="宋体" w:hAnsi="宋体" w:eastAsia="宋体" w:cs="宋体"/>
          <w:szCs w:val="21"/>
        </w:rPr>
      </w:pPr>
    </w:p>
    <w:p>
      <w:pPr>
        <w:spacing w:line="400" w:lineRule="exact"/>
        <w:rPr>
          <w:rFonts w:ascii="宋体" w:hAnsi="宋体" w:eastAsia="宋体" w:cs="宋体"/>
          <w:szCs w:val="21"/>
        </w:rPr>
      </w:pPr>
      <w:r>
        <w:rPr>
          <w:rFonts w:hint="eastAsia" w:ascii="宋体" w:hAnsi="宋体" w:eastAsia="宋体" w:cs="宋体"/>
          <w:szCs w:val="21"/>
        </w:rPr>
        <w:t>发包人：</w:t>
      </w:r>
      <w:r>
        <w:rPr>
          <w:rFonts w:hint="eastAsia" w:ascii="宋体" w:hAnsi="宋体" w:eastAsia="宋体" w:cs="宋体"/>
          <w:szCs w:val="21"/>
          <w:u w:val="single"/>
        </w:rPr>
        <w:t xml:space="preserve">                   </w:t>
      </w:r>
      <w:r>
        <w:rPr>
          <w:rFonts w:hint="eastAsia" w:ascii="宋体" w:hAnsi="宋体" w:eastAsia="宋体" w:cs="宋体"/>
          <w:szCs w:val="21"/>
        </w:rPr>
        <w:t>（盖单位章）           承包人：</w:t>
      </w:r>
      <w:r>
        <w:rPr>
          <w:rFonts w:hint="eastAsia" w:ascii="宋体" w:hAnsi="宋体" w:eastAsia="宋体" w:cs="宋体"/>
          <w:szCs w:val="21"/>
          <w:u w:val="single"/>
        </w:rPr>
        <w:t xml:space="preserve">               </w:t>
      </w:r>
      <w:r>
        <w:rPr>
          <w:rFonts w:hint="eastAsia" w:ascii="宋体" w:hAnsi="宋体" w:eastAsia="宋体" w:cs="宋体"/>
          <w:szCs w:val="21"/>
        </w:rPr>
        <w:t xml:space="preserve">（盖单位章） </w:t>
      </w:r>
    </w:p>
    <w:p>
      <w:pPr>
        <w:spacing w:line="400" w:lineRule="exact"/>
        <w:rPr>
          <w:rFonts w:ascii="宋体" w:hAnsi="宋体" w:eastAsia="宋体" w:cs="宋体"/>
          <w:szCs w:val="21"/>
        </w:rPr>
      </w:pPr>
    </w:p>
    <w:p>
      <w:pPr>
        <w:spacing w:line="400" w:lineRule="exact"/>
        <w:rPr>
          <w:rFonts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    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pPr>
        <w:spacing w:line="400" w:lineRule="exact"/>
        <w:ind w:firstLine="1470" w:firstLineChars="700"/>
        <w:rPr>
          <w:rFonts w:ascii="宋体" w:hAnsi="宋体" w:eastAsia="宋体" w:cs="宋体"/>
          <w:szCs w:val="21"/>
        </w:rPr>
      </w:pPr>
      <w:r>
        <w:rPr>
          <w:rFonts w:hint="eastAsia" w:ascii="宋体" w:hAnsi="宋体" w:eastAsia="宋体" w:cs="宋体"/>
          <w:szCs w:val="21"/>
        </w:rPr>
        <w:t xml:space="preserve"> </w:t>
      </w:r>
    </w:p>
    <w:p>
      <w:pPr>
        <w:spacing w:line="400" w:lineRule="exact"/>
        <w:ind w:firstLine="1470" w:firstLineChars="700"/>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 xml:space="preserve">日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400" w:lineRule="exact"/>
        <w:rPr>
          <w:rFonts w:ascii="宋体" w:hAnsi="宋体" w:eastAsia="宋体" w:cs="宋体"/>
          <w:szCs w:val="21"/>
        </w:rPr>
      </w:pPr>
    </w:p>
    <w:p>
      <w:pPr>
        <w:spacing w:line="400" w:lineRule="exact"/>
        <w:rPr>
          <w:rFonts w:ascii="宋体" w:hAnsi="宋体" w:eastAsia="宋体" w:cs="宋体"/>
          <w:szCs w:val="21"/>
        </w:rPr>
      </w:pPr>
    </w:p>
    <w:p>
      <w:pPr>
        <w:spacing w:line="400" w:lineRule="exact"/>
        <w:rPr>
          <w:rFonts w:ascii="宋体" w:hAnsi="宋体" w:eastAsia="宋体" w:cs="宋体"/>
          <w:szCs w:val="21"/>
        </w:rPr>
      </w:pPr>
    </w:p>
    <w:p>
      <w:pPr>
        <w:spacing w:line="400" w:lineRule="exact"/>
        <w:rPr>
          <w:rFonts w:ascii="宋体" w:hAnsi="宋体" w:eastAsia="宋体" w:cs="宋体"/>
          <w:szCs w:val="21"/>
        </w:rPr>
      </w:pPr>
    </w:p>
    <w:p>
      <w:pPr>
        <w:spacing w:line="400" w:lineRule="exact"/>
        <w:rPr>
          <w:rFonts w:ascii="宋体" w:hAnsi="宋体" w:eastAsia="宋体" w:cs="宋体"/>
          <w:szCs w:val="21"/>
        </w:rPr>
      </w:pPr>
    </w:p>
    <w:p>
      <w:pPr>
        <w:spacing w:line="400" w:lineRule="exact"/>
        <w:rPr>
          <w:rFonts w:ascii="宋体" w:hAnsi="宋体" w:eastAsia="宋体" w:cs="宋体"/>
          <w:szCs w:val="21"/>
        </w:rPr>
      </w:pPr>
    </w:p>
    <w:p>
      <w:pPr>
        <w:rPr>
          <w:rFonts w:ascii="宋体" w:hAnsi="宋体" w:eastAsia="宋体" w:cs="宋体"/>
          <w:sz w:val="24"/>
        </w:rPr>
      </w:pPr>
      <w:r>
        <w:rPr>
          <w:rFonts w:hint="eastAsia" w:ascii="宋体" w:hAnsi="宋体" w:eastAsia="宋体" w:cs="宋体"/>
          <w:sz w:val="24"/>
        </w:rPr>
        <w:br w:type="page"/>
      </w:r>
    </w:p>
    <w:p>
      <w:pPr>
        <w:rPr>
          <w:rFonts w:ascii="宋体" w:hAnsi="宋体" w:eastAsia="宋体" w:cs="宋体"/>
          <w:sz w:val="28"/>
          <w:szCs w:val="28"/>
        </w:rPr>
      </w:pPr>
      <w:r>
        <w:rPr>
          <w:rFonts w:hint="eastAsia" w:ascii="宋体" w:hAnsi="宋体" w:eastAsia="宋体" w:cs="宋体"/>
          <w:sz w:val="28"/>
          <w:szCs w:val="28"/>
        </w:rPr>
        <w:t>附件二   廉政合同</w:t>
      </w:r>
    </w:p>
    <w:p>
      <w:pPr>
        <w:spacing w:before="120" w:after="120"/>
        <w:jc w:val="center"/>
        <w:rPr>
          <w:rFonts w:ascii="宋体" w:hAnsi="宋体" w:eastAsia="宋体" w:cs="宋体"/>
          <w:sz w:val="28"/>
          <w:szCs w:val="28"/>
        </w:rPr>
      </w:pPr>
      <w:r>
        <w:rPr>
          <w:rFonts w:hint="eastAsia" w:ascii="宋体" w:hAnsi="宋体" w:eastAsia="宋体" w:cs="宋体"/>
          <w:sz w:val="28"/>
          <w:szCs w:val="28"/>
        </w:rPr>
        <w:t>廉政合同</w:t>
      </w:r>
    </w:p>
    <w:p>
      <w:pPr>
        <w:spacing w:line="400" w:lineRule="exact"/>
        <w:ind w:firstLine="420" w:firstLineChars="200"/>
        <w:rPr>
          <w:rFonts w:ascii="宋体" w:hAnsi="宋体" w:eastAsia="宋体" w:cs="宋体"/>
          <w:szCs w:val="21"/>
        </w:rPr>
      </w:pPr>
      <w:r>
        <w:rPr>
          <w:rFonts w:hint="eastAsia" w:ascii="宋体" w:hAnsi="宋体" w:eastAsia="宋体" w:cs="宋体"/>
          <w:szCs w:val="21"/>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eastAsia="宋体" w:cs="宋体"/>
          <w:szCs w:val="21"/>
          <w:u w:val="single"/>
        </w:rPr>
        <w:t xml:space="preserve">     </w:t>
      </w:r>
      <w:r>
        <w:rPr>
          <w:rFonts w:hint="eastAsia" w:ascii="宋体" w:hAnsi="宋体" w:eastAsia="宋体" w:cs="宋体"/>
          <w:szCs w:val="21"/>
        </w:rPr>
        <w:t>（项目名称）项目法人</w:t>
      </w:r>
      <w:r>
        <w:rPr>
          <w:rFonts w:hint="eastAsia" w:ascii="宋体" w:hAnsi="宋体" w:eastAsia="宋体" w:cs="宋体"/>
          <w:szCs w:val="21"/>
          <w:u w:val="single"/>
        </w:rPr>
        <w:t xml:space="preserve">          </w:t>
      </w:r>
      <w:r>
        <w:rPr>
          <w:rFonts w:hint="eastAsia" w:ascii="宋体" w:hAnsi="宋体" w:eastAsia="宋体" w:cs="宋体"/>
          <w:szCs w:val="21"/>
        </w:rPr>
        <w:t xml:space="preserve"> （项目法人名称，以下简称“发包人”）与该项目</w:t>
      </w:r>
      <w:r>
        <w:rPr>
          <w:rFonts w:hint="eastAsia" w:ascii="宋体" w:hAnsi="宋体" w:eastAsia="宋体" w:cs="宋体"/>
          <w:szCs w:val="21"/>
          <w:u w:val="single"/>
        </w:rPr>
        <w:t xml:space="preserve">    </w:t>
      </w:r>
      <w:r>
        <w:rPr>
          <w:rFonts w:hint="eastAsia" w:ascii="宋体" w:hAnsi="宋体" w:eastAsia="宋体" w:cs="宋体"/>
          <w:szCs w:val="21"/>
        </w:rPr>
        <w:t>标段的施工单位</w:t>
      </w:r>
      <w:r>
        <w:rPr>
          <w:rFonts w:hint="eastAsia" w:ascii="宋体" w:hAnsi="宋体" w:eastAsia="宋体" w:cs="宋体"/>
          <w:szCs w:val="21"/>
          <w:u w:val="single"/>
        </w:rPr>
        <w:t xml:space="preserve">      </w:t>
      </w:r>
      <w:r>
        <w:rPr>
          <w:rFonts w:hint="eastAsia" w:ascii="宋体" w:hAnsi="宋体" w:eastAsia="宋体" w:cs="宋体"/>
          <w:szCs w:val="21"/>
        </w:rPr>
        <w:t>（施工单位名称，以下简称“承包人”），特订立如下合同。</w:t>
      </w:r>
    </w:p>
    <w:p>
      <w:pPr>
        <w:spacing w:line="400" w:lineRule="exact"/>
        <w:ind w:firstLine="420" w:firstLineChars="200"/>
        <w:rPr>
          <w:rFonts w:ascii="宋体" w:hAnsi="宋体" w:eastAsia="宋体" w:cs="宋体"/>
          <w:szCs w:val="21"/>
        </w:rPr>
      </w:pPr>
      <w:r>
        <w:rPr>
          <w:rFonts w:hint="eastAsia" w:ascii="宋体" w:hAnsi="宋体" w:eastAsia="宋体" w:cs="宋体"/>
          <w:szCs w:val="21"/>
        </w:rPr>
        <w:t>1．发包人和承包人双方的权利和义务</w:t>
      </w:r>
    </w:p>
    <w:p>
      <w:pPr>
        <w:spacing w:line="400" w:lineRule="exact"/>
        <w:ind w:firstLine="420" w:firstLineChars="200"/>
        <w:rPr>
          <w:rFonts w:ascii="宋体" w:hAnsi="宋体" w:eastAsia="宋体" w:cs="宋体"/>
          <w:szCs w:val="21"/>
        </w:rPr>
      </w:pPr>
      <w:r>
        <w:rPr>
          <w:rFonts w:hint="eastAsia" w:ascii="宋体" w:hAnsi="宋体" w:eastAsia="宋体" w:cs="宋体"/>
          <w:szCs w:val="21"/>
        </w:rPr>
        <w:t>（1）严格遵守党的政策规定和国家有关法律法规及交通运输部和浙江省交通运输厅的有关规定。</w:t>
      </w:r>
    </w:p>
    <w:p>
      <w:pPr>
        <w:spacing w:line="400" w:lineRule="exact"/>
        <w:ind w:firstLine="420" w:firstLineChars="200"/>
        <w:rPr>
          <w:rFonts w:ascii="宋体" w:hAnsi="宋体" w:eastAsia="宋体" w:cs="宋体"/>
          <w:szCs w:val="21"/>
        </w:rPr>
      </w:pPr>
      <w:r>
        <w:rPr>
          <w:rFonts w:hint="eastAsia" w:ascii="宋体" w:hAnsi="宋体" w:eastAsia="宋体" w:cs="宋体"/>
          <w:szCs w:val="21"/>
        </w:rPr>
        <w:t>（2）严格执行</w:t>
      </w:r>
      <w:r>
        <w:rPr>
          <w:rFonts w:hint="eastAsia" w:ascii="宋体" w:hAnsi="宋体" w:eastAsia="宋体" w:cs="宋体"/>
          <w:szCs w:val="21"/>
          <w:u w:val="single"/>
        </w:rPr>
        <w:t xml:space="preserve">     </w:t>
      </w:r>
      <w:r>
        <w:rPr>
          <w:rFonts w:hint="eastAsia" w:ascii="宋体" w:hAnsi="宋体" w:eastAsia="宋体" w:cs="宋体"/>
          <w:szCs w:val="21"/>
        </w:rPr>
        <w:t>（项目名称）</w:t>
      </w:r>
      <w:r>
        <w:rPr>
          <w:rFonts w:hint="eastAsia" w:ascii="宋体" w:hAnsi="宋体" w:eastAsia="宋体" w:cs="宋体"/>
          <w:szCs w:val="21"/>
          <w:u w:val="single"/>
        </w:rPr>
        <w:t xml:space="preserve">      </w:t>
      </w:r>
      <w:r>
        <w:rPr>
          <w:rFonts w:hint="eastAsia" w:ascii="宋体" w:hAnsi="宋体" w:eastAsia="宋体" w:cs="宋体"/>
          <w:szCs w:val="21"/>
        </w:rPr>
        <w:t>标段施工合同文件，自觉按合同办事。</w:t>
      </w:r>
    </w:p>
    <w:p>
      <w:pPr>
        <w:spacing w:line="400" w:lineRule="exact"/>
        <w:ind w:firstLine="420" w:firstLineChars="200"/>
        <w:rPr>
          <w:rFonts w:ascii="宋体" w:hAnsi="宋体" w:eastAsia="宋体" w:cs="宋体"/>
          <w:szCs w:val="21"/>
        </w:rPr>
      </w:pPr>
      <w:r>
        <w:rPr>
          <w:rFonts w:hint="eastAsia" w:ascii="宋体" w:hAnsi="宋体" w:eastAsia="宋体" w:cs="宋体"/>
          <w:szCs w:val="21"/>
        </w:rPr>
        <w:t>（3）双方的业务活动坚持公开、公正、诚信、透明的原则（法律认定的商业秘密和合同文件另有规定除外），不得损害国家和集体利益，不得违反工程建设管理规章制度。</w:t>
      </w:r>
    </w:p>
    <w:p>
      <w:pPr>
        <w:spacing w:line="400" w:lineRule="exact"/>
        <w:ind w:firstLine="420" w:firstLineChars="200"/>
        <w:rPr>
          <w:rFonts w:ascii="宋体" w:hAnsi="宋体" w:eastAsia="宋体" w:cs="宋体"/>
          <w:szCs w:val="21"/>
        </w:rPr>
      </w:pPr>
      <w:r>
        <w:rPr>
          <w:rFonts w:hint="eastAsia" w:ascii="宋体" w:hAnsi="宋体" w:eastAsia="宋体" w:cs="宋体"/>
          <w:szCs w:val="21"/>
        </w:rPr>
        <w:t>（4）建立健全廉政制度，开展廉政教育，设立廉政告示牌，公布举报电话，监督并认真查处违法违纪行为。</w:t>
      </w:r>
    </w:p>
    <w:p>
      <w:pPr>
        <w:spacing w:line="400" w:lineRule="exact"/>
        <w:ind w:firstLine="420" w:firstLineChars="200"/>
        <w:rPr>
          <w:rFonts w:ascii="宋体" w:hAnsi="宋体" w:eastAsia="宋体" w:cs="宋体"/>
          <w:szCs w:val="21"/>
        </w:rPr>
      </w:pPr>
      <w:r>
        <w:rPr>
          <w:rFonts w:hint="eastAsia" w:ascii="宋体" w:hAnsi="宋体" w:eastAsia="宋体" w:cs="宋体"/>
          <w:szCs w:val="21"/>
        </w:rPr>
        <w:t>（5）发现对方在业务活动中有违反廉政规定的行为，有及时提醒对方纠正的权利和义务。</w:t>
      </w:r>
    </w:p>
    <w:p>
      <w:pPr>
        <w:spacing w:line="400" w:lineRule="exact"/>
        <w:ind w:firstLine="420" w:firstLineChars="200"/>
        <w:rPr>
          <w:rFonts w:ascii="宋体" w:hAnsi="宋体" w:eastAsia="宋体" w:cs="宋体"/>
          <w:szCs w:val="21"/>
        </w:rPr>
      </w:pPr>
      <w:r>
        <w:rPr>
          <w:rFonts w:hint="eastAsia" w:ascii="宋体" w:hAnsi="宋体" w:eastAsia="宋体" w:cs="宋体"/>
          <w:szCs w:val="21"/>
        </w:rPr>
        <w:t>（6）发现对方严重违反本合同义务条款的行为，有向其上级有关部门举报、建议给予处理并要求告知处理结果的权利。</w:t>
      </w:r>
    </w:p>
    <w:p>
      <w:pPr>
        <w:spacing w:line="400" w:lineRule="exact"/>
        <w:ind w:firstLine="420" w:firstLineChars="200"/>
        <w:rPr>
          <w:rFonts w:ascii="宋体" w:hAnsi="宋体" w:eastAsia="宋体" w:cs="宋体"/>
          <w:szCs w:val="21"/>
        </w:rPr>
      </w:pPr>
      <w:r>
        <w:rPr>
          <w:rFonts w:hint="eastAsia" w:ascii="宋体" w:hAnsi="宋体" w:eastAsia="宋体" w:cs="宋体"/>
          <w:szCs w:val="21"/>
        </w:rPr>
        <w:t>2．发包人的义务</w:t>
      </w:r>
    </w:p>
    <w:p>
      <w:pPr>
        <w:spacing w:line="400" w:lineRule="exact"/>
        <w:ind w:firstLine="420" w:firstLineChars="200"/>
        <w:rPr>
          <w:rFonts w:ascii="宋体" w:hAnsi="宋体" w:eastAsia="宋体" w:cs="宋体"/>
          <w:szCs w:val="21"/>
        </w:rPr>
      </w:pPr>
      <w:r>
        <w:rPr>
          <w:rFonts w:hint="eastAsia" w:ascii="宋体" w:hAnsi="宋体" w:eastAsia="宋体" w:cs="宋体"/>
          <w:szCs w:val="21"/>
        </w:rPr>
        <w:t>（1）发包人及其工作人员不得索要或接受承包人的礼金、有价证券和贵重物品，不得让承包人报销任何应由发包人或发包人工作人员个人支付的费用等。</w:t>
      </w:r>
    </w:p>
    <w:p>
      <w:pPr>
        <w:spacing w:line="400" w:lineRule="exact"/>
        <w:ind w:firstLine="420" w:firstLineChars="200"/>
        <w:rPr>
          <w:rFonts w:ascii="宋体" w:hAnsi="宋体" w:eastAsia="宋体" w:cs="宋体"/>
          <w:szCs w:val="21"/>
        </w:rPr>
      </w:pPr>
      <w:r>
        <w:rPr>
          <w:rFonts w:hint="eastAsia" w:ascii="宋体" w:hAnsi="宋体" w:eastAsia="宋体" w:cs="宋体"/>
          <w:szCs w:val="21"/>
        </w:rPr>
        <w:t>（2）发包人工作人员不得参加承包人安排的超标准宴请和娱乐活动；不得接受承包人提供的通讯工具、交通工具和高档办公用品等。</w:t>
      </w:r>
    </w:p>
    <w:p>
      <w:pPr>
        <w:spacing w:line="400" w:lineRule="exact"/>
        <w:ind w:firstLine="420" w:firstLineChars="200"/>
        <w:rPr>
          <w:rFonts w:ascii="宋体" w:hAnsi="宋体" w:eastAsia="宋体" w:cs="宋体"/>
          <w:szCs w:val="21"/>
        </w:rPr>
      </w:pPr>
      <w:r>
        <w:rPr>
          <w:rFonts w:hint="eastAsia" w:ascii="宋体" w:hAnsi="宋体" w:eastAsia="宋体" w:cs="宋体"/>
          <w:szCs w:val="21"/>
        </w:rPr>
        <w:t>（3）发包人及其工作人员不利要求或者接受承包人为其住房装修、婚丧嫁娶活动、配偶子女的工作安排以及出国出境、旅游等提供方便等。</w:t>
      </w:r>
    </w:p>
    <w:p>
      <w:pPr>
        <w:spacing w:line="400" w:lineRule="exact"/>
        <w:ind w:firstLine="420" w:firstLineChars="200"/>
        <w:rPr>
          <w:rFonts w:ascii="宋体" w:hAnsi="宋体" w:eastAsia="宋体" w:cs="宋体"/>
          <w:szCs w:val="21"/>
        </w:rPr>
      </w:pPr>
      <w:r>
        <w:rPr>
          <w:rFonts w:hint="eastAsia" w:ascii="宋体" w:hAnsi="宋体" w:eastAsia="宋体" w:cs="宋体"/>
          <w:szCs w:val="21"/>
        </w:rPr>
        <w:t>（4）发包人工作人员及其配偶、子女不得从事与发包人工作有关的材料设备供应、工程分包、劳务等经济活动等。</w:t>
      </w:r>
    </w:p>
    <w:p>
      <w:pPr>
        <w:spacing w:line="400" w:lineRule="exact"/>
        <w:ind w:firstLine="420" w:firstLineChars="200"/>
        <w:rPr>
          <w:rFonts w:ascii="宋体" w:hAnsi="宋体" w:eastAsia="宋体" w:cs="宋体"/>
          <w:szCs w:val="21"/>
        </w:rPr>
      </w:pPr>
      <w:r>
        <w:rPr>
          <w:rFonts w:hint="eastAsia" w:ascii="宋体" w:hAnsi="宋体" w:eastAsia="宋体" w:cs="宋体"/>
          <w:szCs w:val="21"/>
        </w:rPr>
        <w:t>（5）发包人及期工作人员不得以任何理由向承包人推荐分包单位或推销材料，不得要求承包人购买合同规定外的材料和设备。</w:t>
      </w:r>
    </w:p>
    <w:p>
      <w:pPr>
        <w:spacing w:line="400" w:lineRule="exact"/>
        <w:ind w:firstLine="420" w:firstLineChars="200"/>
        <w:rPr>
          <w:rFonts w:ascii="宋体" w:hAnsi="宋体" w:eastAsia="宋体" w:cs="宋体"/>
          <w:szCs w:val="21"/>
        </w:rPr>
      </w:pPr>
      <w:r>
        <w:rPr>
          <w:rFonts w:hint="eastAsia" w:ascii="宋体" w:hAnsi="宋体" w:eastAsia="宋体" w:cs="宋体"/>
          <w:szCs w:val="21"/>
        </w:rPr>
        <w:t>（6）发包人工作人员要秉公办事，不准营私舞弊，不准利用职权从事各种个人有偿中介活动和安排个人施工队伍。</w:t>
      </w:r>
    </w:p>
    <w:p>
      <w:pPr>
        <w:spacing w:line="400" w:lineRule="exact"/>
        <w:ind w:firstLine="420" w:firstLineChars="200"/>
        <w:rPr>
          <w:rFonts w:ascii="宋体" w:hAnsi="宋体" w:eastAsia="宋体" w:cs="宋体"/>
          <w:szCs w:val="21"/>
        </w:rPr>
      </w:pPr>
      <w:r>
        <w:rPr>
          <w:rFonts w:hint="eastAsia" w:ascii="宋体" w:hAnsi="宋体" w:eastAsia="宋体" w:cs="宋体"/>
          <w:szCs w:val="21"/>
        </w:rPr>
        <w:t>3．承包人的义务</w:t>
      </w:r>
    </w:p>
    <w:p>
      <w:pPr>
        <w:spacing w:line="400" w:lineRule="exact"/>
        <w:ind w:firstLine="420" w:firstLineChars="200"/>
        <w:rPr>
          <w:rFonts w:ascii="宋体" w:hAnsi="宋体" w:eastAsia="宋体" w:cs="宋体"/>
          <w:szCs w:val="21"/>
        </w:rPr>
      </w:pPr>
      <w:r>
        <w:rPr>
          <w:rFonts w:hint="eastAsia" w:ascii="宋体" w:hAnsi="宋体" w:eastAsia="宋体" w:cs="宋体"/>
          <w:szCs w:val="21"/>
        </w:rPr>
        <w:t>（1）承包人不得以任何理由向发包人及其工作人员行贿或馈赠礼金、有价证券、贵重礼品。</w:t>
      </w:r>
    </w:p>
    <w:p>
      <w:pPr>
        <w:spacing w:line="400" w:lineRule="exact"/>
        <w:ind w:firstLine="420" w:firstLineChars="200"/>
        <w:rPr>
          <w:rFonts w:ascii="宋体" w:hAnsi="宋体" w:eastAsia="宋体" w:cs="宋体"/>
          <w:szCs w:val="21"/>
        </w:rPr>
      </w:pPr>
      <w:r>
        <w:rPr>
          <w:rFonts w:hint="eastAsia" w:ascii="宋体" w:hAnsi="宋体" w:eastAsia="宋体" w:cs="宋体"/>
          <w:szCs w:val="21"/>
        </w:rPr>
        <w:t>（2）承包人不得以任何名义为发包人及其工作人员报销应由发包人单位或个人支付的任何费用。</w:t>
      </w:r>
    </w:p>
    <w:p>
      <w:pPr>
        <w:spacing w:line="400" w:lineRule="exact"/>
        <w:ind w:firstLine="420" w:firstLineChars="200"/>
        <w:rPr>
          <w:rFonts w:ascii="宋体" w:hAnsi="宋体" w:eastAsia="宋体" w:cs="宋体"/>
          <w:szCs w:val="21"/>
        </w:rPr>
      </w:pPr>
      <w:r>
        <w:rPr>
          <w:rFonts w:hint="eastAsia" w:ascii="宋体" w:hAnsi="宋体" w:eastAsia="宋体" w:cs="宋体"/>
          <w:szCs w:val="21"/>
        </w:rPr>
        <w:t>（3）承包人不得以任何理由安排发包人工作人员参加超标准宴请及娱乐活动。</w:t>
      </w:r>
    </w:p>
    <w:p>
      <w:pPr>
        <w:spacing w:line="400" w:lineRule="exact"/>
        <w:ind w:firstLine="420" w:firstLineChars="200"/>
        <w:rPr>
          <w:rFonts w:ascii="宋体" w:hAnsi="宋体" w:eastAsia="宋体" w:cs="宋体"/>
          <w:szCs w:val="21"/>
        </w:rPr>
      </w:pPr>
      <w:r>
        <w:rPr>
          <w:rFonts w:hint="eastAsia" w:ascii="宋体" w:hAnsi="宋体" w:eastAsia="宋体" w:cs="宋体"/>
          <w:szCs w:val="21"/>
        </w:rPr>
        <w:t>（4）承包人不得为发包人单位和个人购置或提供通讯工具、交通工具和高档办公用品等。</w:t>
      </w:r>
    </w:p>
    <w:p>
      <w:pPr>
        <w:spacing w:line="400" w:lineRule="exact"/>
        <w:ind w:firstLine="420" w:firstLineChars="200"/>
        <w:rPr>
          <w:rFonts w:ascii="宋体" w:hAnsi="宋体" w:eastAsia="宋体" w:cs="宋体"/>
          <w:szCs w:val="21"/>
        </w:rPr>
      </w:pPr>
      <w:r>
        <w:rPr>
          <w:rFonts w:hint="eastAsia" w:ascii="宋体" w:hAnsi="宋体" w:eastAsia="宋体" w:cs="宋体"/>
          <w:szCs w:val="21"/>
        </w:rPr>
        <w:t>4．违约责任</w:t>
      </w:r>
    </w:p>
    <w:p>
      <w:pPr>
        <w:spacing w:line="400" w:lineRule="exact"/>
        <w:ind w:firstLine="420" w:firstLineChars="200"/>
        <w:rPr>
          <w:rFonts w:ascii="宋体" w:hAnsi="宋体" w:eastAsia="宋体" w:cs="宋体"/>
          <w:szCs w:val="21"/>
        </w:rPr>
      </w:pPr>
      <w:r>
        <w:rPr>
          <w:rFonts w:hint="eastAsia" w:ascii="宋体" w:hAnsi="宋体" w:eastAsia="宋体" w:cs="宋体"/>
          <w:szCs w:val="21"/>
        </w:rPr>
        <w:t>（1）发包人及其工作人员违反本合同第1、2条，按管理权限，依据有关规定给予党纪、政纪或组织处理；涉嫌犯罪的，移交司法机关追究刑事责任；给承包人单位造成经济损失的，应予以赔偿。</w:t>
      </w:r>
    </w:p>
    <w:p>
      <w:pPr>
        <w:spacing w:line="400" w:lineRule="exact"/>
        <w:ind w:firstLine="420" w:firstLineChars="200"/>
        <w:rPr>
          <w:rFonts w:ascii="宋体" w:hAnsi="宋体" w:eastAsia="宋体" w:cs="宋体"/>
          <w:szCs w:val="21"/>
        </w:rPr>
      </w:pPr>
      <w:r>
        <w:rPr>
          <w:rFonts w:hint="eastAsia" w:ascii="宋体" w:hAnsi="宋体" w:eastAsia="宋体" w:cs="宋体"/>
          <w:szCs w:val="21"/>
        </w:rPr>
        <w:t>（2）承包人及其工作人员违反本合同第1、3条，按管理权限，依据有关规定给予党纪、政纪或组织处理；给发包人单位造成经济损失的，应予以赔偿；情节严重的，发包人建议交通主管部门给予承包人一至三年内不得进入其主管的公路建设市场的处罚。</w:t>
      </w:r>
    </w:p>
    <w:p>
      <w:pPr>
        <w:spacing w:line="400" w:lineRule="exact"/>
        <w:ind w:firstLine="420" w:firstLineChars="200"/>
        <w:rPr>
          <w:rFonts w:ascii="宋体" w:hAnsi="宋体" w:eastAsia="宋体" w:cs="宋体"/>
          <w:szCs w:val="21"/>
        </w:rPr>
      </w:pPr>
      <w:r>
        <w:rPr>
          <w:rFonts w:hint="eastAsia" w:ascii="宋体" w:hAnsi="宋体" w:eastAsia="宋体" w:cs="宋体"/>
          <w:szCs w:val="21"/>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spacing w:line="400" w:lineRule="exact"/>
        <w:ind w:firstLine="420" w:firstLineChars="200"/>
        <w:rPr>
          <w:rFonts w:ascii="宋体" w:hAnsi="宋体" w:eastAsia="宋体" w:cs="宋体"/>
          <w:szCs w:val="21"/>
        </w:rPr>
      </w:pPr>
      <w:r>
        <w:rPr>
          <w:rFonts w:hint="eastAsia" w:ascii="宋体" w:hAnsi="宋体" w:eastAsia="宋体" w:cs="宋体"/>
          <w:szCs w:val="21"/>
        </w:rPr>
        <w:t>6.本合同有效期为发包人和承包人签署之日起至该工程项目竣工验收后止。</w:t>
      </w:r>
    </w:p>
    <w:p>
      <w:pPr>
        <w:spacing w:line="400" w:lineRule="exact"/>
        <w:ind w:firstLine="420" w:firstLineChars="200"/>
        <w:rPr>
          <w:rFonts w:ascii="宋体" w:hAnsi="宋体" w:eastAsia="宋体" w:cs="宋体"/>
          <w:szCs w:val="21"/>
        </w:rPr>
      </w:pPr>
      <w:r>
        <w:rPr>
          <w:rFonts w:hint="eastAsia" w:ascii="宋体" w:hAnsi="宋体" w:eastAsia="宋体" w:cs="宋体"/>
          <w:szCs w:val="21"/>
        </w:rPr>
        <w:t>7．本合同作为</w:t>
      </w:r>
      <w:r>
        <w:rPr>
          <w:rFonts w:hint="eastAsia" w:ascii="宋体" w:hAnsi="宋体" w:eastAsia="宋体" w:cs="宋体"/>
          <w:szCs w:val="21"/>
          <w:u w:val="single"/>
        </w:rPr>
        <w:t xml:space="preserve">   </w:t>
      </w:r>
      <w:r>
        <w:rPr>
          <w:rFonts w:hint="eastAsia" w:ascii="宋体" w:hAnsi="宋体" w:eastAsia="宋体" w:cs="宋体"/>
          <w:szCs w:val="21"/>
        </w:rPr>
        <w:t>（项目名称）</w:t>
      </w:r>
      <w:r>
        <w:rPr>
          <w:rFonts w:hint="eastAsia" w:ascii="宋体" w:hAnsi="宋体" w:eastAsia="宋体" w:cs="宋体"/>
          <w:szCs w:val="21"/>
          <w:u w:val="single"/>
        </w:rPr>
        <w:t xml:space="preserve">    </w:t>
      </w:r>
      <w:r>
        <w:rPr>
          <w:rFonts w:hint="eastAsia" w:ascii="宋体" w:hAnsi="宋体" w:eastAsia="宋体" w:cs="宋体"/>
          <w:szCs w:val="21"/>
        </w:rPr>
        <w:t>标段施工合同的附件，与工程施工合同具有同等的法律效力，经合同双方签署后立即生效。</w:t>
      </w:r>
    </w:p>
    <w:p>
      <w:pPr>
        <w:spacing w:line="400" w:lineRule="exact"/>
        <w:ind w:firstLine="420" w:firstLineChars="200"/>
        <w:rPr>
          <w:rFonts w:ascii="宋体" w:hAnsi="宋体" w:eastAsia="宋体" w:cs="宋体"/>
          <w:szCs w:val="21"/>
        </w:rPr>
      </w:pPr>
      <w:r>
        <w:rPr>
          <w:rFonts w:hint="eastAsia" w:ascii="宋体" w:hAnsi="宋体" w:eastAsia="宋体" w:cs="宋体"/>
          <w:szCs w:val="21"/>
        </w:rPr>
        <w:t>8．本合同一式四份，由发包人和承包人各执—份，送交发包人和承包人的监督单位各一份</w:t>
      </w:r>
    </w:p>
    <w:p>
      <w:pPr>
        <w:spacing w:line="400" w:lineRule="exact"/>
        <w:rPr>
          <w:rFonts w:ascii="宋体" w:hAnsi="宋体" w:eastAsia="宋体" w:cs="宋体"/>
          <w:szCs w:val="21"/>
        </w:rPr>
      </w:pPr>
    </w:p>
    <w:p>
      <w:pPr>
        <w:spacing w:line="400" w:lineRule="exact"/>
        <w:rPr>
          <w:rFonts w:ascii="宋体" w:hAnsi="宋体" w:eastAsia="宋体" w:cs="宋体"/>
          <w:szCs w:val="21"/>
        </w:rPr>
      </w:pPr>
    </w:p>
    <w:p>
      <w:pPr>
        <w:spacing w:line="400" w:lineRule="exact"/>
        <w:rPr>
          <w:rFonts w:ascii="宋体" w:hAnsi="宋体" w:eastAsia="宋体" w:cs="宋体"/>
          <w:szCs w:val="21"/>
        </w:rPr>
      </w:pPr>
    </w:p>
    <w:p>
      <w:pPr>
        <w:spacing w:line="400" w:lineRule="exact"/>
        <w:rPr>
          <w:rFonts w:ascii="宋体" w:hAnsi="宋体" w:eastAsia="宋体" w:cs="宋体"/>
          <w:szCs w:val="21"/>
        </w:rPr>
      </w:pPr>
      <w:r>
        <w:rPr>
          <w:rFonts w:hint="eastAsia" w:ascii="宋体" w:hAnsi="宋体" w:eastAsia="宋体" w:cs="宋体"/>
          <w:szCs w:val="21"/>
        </w:rPr>
        <w:t>发包人：</w:t>
      </w:r>
      <w:r>
        <w:rPr>
          <w:rFonts w:hint="eastAsia" w:ascii="宋体" w:hAnsi="宋体" w:eastAsia="宋体" w:cs="宋体"/>
          <w:szCs w:val="21"/>
          <w:u w:val="single"/>
        </w:rPr>
        <w:t xml:space="preserve">                </w:t>
      </w:r>
      <w:r>
        <w:rPr>
          <w:rFonts w:hint="eastAsia" w:ascii="宋体" w:hAnsi="宋体" w:eastAsia="宋体" w:cs="宋体"/>
          <w:szCs w:val="21"/>
        </w:rPr>
        <w:t>（盖单位章）     承包人：</w:t>
      </w:r>
      <w:r>
        <w:rPr>
          <w:rFonts w:hint="eastAsia" w:ascii="宋体" w:hAnsi="宋体" w:eastAsia="宋体" w:cs="宋体"/>
          <w:szCs w:val="21"/>
          <w:u w:val="single"/>
        </w:rPr>
        <w:t xml:space="preserve">                </w:t>
      </w:r>
      <w:r>
        <w:rPr>
          <w:rFonts w:hint="eastAsia" w:ascii="宋体" w:hAnsi="宋体" w:eastAsia="宋体" w:cs="宋体"/>
          <w:szCs w:val="21"/>
        </w:rPr>
        <w:t xml:space="preserve">（盖单位章） </w:t>
      </w:r>
    </w:p>
    <w:p>
      <w:pPr>
        <w:spacing w:line="400" w:lineRule="exact"/>
        <w:rPr>
          <w:rFonts w:ascii="宋体" w:hAnsi="宋体" w:eastAsia="宋体" w:cs="宋体"/>
          <w:szCs w:val="21"/>
        </w:rPr>
      </w:pPr>
    </w:p>
    <w:p>
      <w:pPr>
        <w:spacing w:line="400" w:lineRule="exact"/>
        <w:rPr>
          <w:rFonts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     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pPr>
        <w:spacing w:line="400" w:lineRule="exact"/>
        <w:ind w:firstLine="840"/>
        <w:rPr>
          <w:rFonts w:ascii="宋体" w:hAnsi="宋体" w:eastAsia="宋体" w:cs="宋体"/>
          <w:szCs w:val="21"/>
        </w:rPr>
      </w:pPr>
    </w:p>
    <w:p>
      <w:pPr>
        <w:spacing w:line="400" w:lineRule="exact"/>
        <w:ind w:firstLine="840"/>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 xml:space="preserve">日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400" w:lineRule="exact"/>
        <w:rPr>
          <w:rFonts w:ascii="宋体" w:hAnsi="宋体" w:eastAsia="宋体" w:cs="宋体"/>
          <w:szCs w:val="21"/>
        </w:rPr>
      </w:pPr>
    </w:p>
    <w:p>
      <w:pPr>
        <w:spacing w:line="400" w:lineRule="exact"/>
        <w:rPr>
          <w:rFonts w:ascii="宋体" w:hAnsi="宋体" w:eastAsia="宋体" w:cs="宋体"/>
          <w:szCs w:val="21"/>
        </w:rPr>
      </w:pPr>
      <w:r>
        <w:rPr>
          <w:rFonts w:hint="eastAsia" w:ascii="宋体" w:hAnsi="宋体" w:eastAsia="宋体" w:cs="宋体"/>
          <w:szCs w:val="21"/>
        </w:rPr>
        <w:t>发包人监督单位：</w:t>
      </w:r>
      <w:r>
        <w:rPr>
          <w:rFonts w:hint="eastAsia" w:ascii="宋体" w:hAnsi="宋体" w:eastAsia="宋体" w:cs="宋体"/>
          <w:szCs w:val="21"/>
          <w:u w:val="single"/>
        </w:rPr>
        <w:t>（全称） （盖单位章）</w:t>
      </w:r>
      <w:r>
        <w:rPr>
          <w:rFonts w:hint="eastAsia" w:ascii="宋体" w:hAnsi="宋体" w:eastAsia="宋体" w:cs="宋体"/>
          <w:szCs w:val="21"/>
        </w:rPr>
        <w:t xml:space="preserve">     承包人监督单位：</w:t>
      </w:r>
      <w:r>
        <w:rPr>
          <w:rFonts w:hint="eastAsia" w:ascii="宋体" w:hAnsi="宋体" w:eastAsia="宋体" w:cs="宋体"/>
          <w:szCs w:val="21"/>
          <w:u w:val="single"/>
        </w:rPr>
        <w:t>（全称） （盖单位章）</w:t>
      </w:r>
    </w:p>
    <w:p>
      <w:pPr>
        <w:spacing w:line="400" w:lineRule="exact"/>
        <w:rPr>
          <w:rFonts w:ascii="宋体" w:hAnsi="宋体" w:eastAsia="宋体" w:cs="宋体"/>
          <w:szCs w:val="21"/>
        </w:rPr>
      </w:pPr>
    </w:p>
    <w:p>
      <w:pPr>
        <w:spacing w:line="400" w:lineRule="exact"/>
        <w:rPr>
          <w:rFonts w:ascii="宋体" w:hAnsi="宋体" w:eastAsia="宋体" w:cs="宋体"/>
          <w:szCs w:val="21"/>
        </w:rPr>
      </w:pPr>
    </w:p>
    <w:p>
      <w:pPr>
        <w:spacing w:line="400" w:lineRule="exact"/>
        <w:rPr>
          <w:rFonts w:ascii="宋体" w:hAnsi="宋体" w:eastAsia="宋体" w:cs="宋体"/>
          <w:szCs w:val="21"/>
        </w:rPr>
      </w:pPr>
    </w:p>
    <w:p>
      <w:pPr>
        <w:spacing w:line="400" w:lineRule="exact"/>
        <w:rPr>
          <w:rFonts w:ascii="宋体" w:hAnsi="宋体" w:eastAsia="宋体" w:cs="宋体"/>
          <w:szCs w:val="21"/>
        </w:rPr>
      </w:pPr>
    </w:p>
    <w:p>
      <w:pPr>
        <w:spacing w:line="400" w:lineRule="exact"/>
        <w:rPr>
          <w:rFonts w:ascii="宋体" w:hAnsi="宋体" w:eastAsia="宋体" w:cs="宋体"/>
          <w:szCs w:val="21"/>
        </w:rPr>
      </w:pPr>
    </w:p>
    <w:p>
      <w:pPr>
        <w:spacing w:line="400" w:lineRule="exact"/>
        <w:rPr>
          <w:rFonts w:ascii="宋体" w:hAnsi="宋体" w:eastAsia="宋体" w:cs="宋体"/>
          <w:szCs w:val="21"/>
        </w:rPr>
      </w:pPr>
    </w:p>
    <w:p>
      <w:pPr>
        <w:rPr>
          <w:rFonts w:ascii="宋体" w:hAnsi="宋体" w:eastAsia="宋体" w:cs="宋体"/>
          <w:sz w:val="24"/>
        </w:rPr>
      </w:pPr>
      <w:r>
        <w:rPr>
          <w:rFonts w:hint="eastAsia" w:ascii="宋体" w:hAnsi="宋体" w:eastAsia="宋体" w:cs="宋体"/>
          <w:sz w:val="24"/>
        </w:rPr>
        <w:br w:type="page"/>
      </w:r>
    </w:p>
    <w:p>
      <w:pPr>
        <w:rPr>
          <w:rFonts w:ascii="宋体" w:hAnsi="宋体" w:eastAsia="宋体" w:cs="宋体"/>
          <w:sz w:val="28"/>
          <w:szCs w:val="28"/>
        </w:rPr>
      </w:pPr>
      <w:r>
        <w:rPr>
          <w:rFonts w:hint="eastAsia" w:ascii="宋体" w:hAnsi="宋体" w:eastAsia="宋体" w:cs="宋体"/>
          <w:sz w:val="28"/>
          <w:szCs w:val="28"/>
        </w:rPr>
        <w:t>附件三   安全生产合同</w:t>
      </w:r>
    </w:p>
    <w:p>
      <w:pPr>
        <w:spacing w:before="120" w:after="120"/>
        <w:jc w:val="center"/>
        <w:rPr>
          <w:rFonts w:ascii="宋体" w:hAnsi="宋体" w:eastAsia="宋体" w:cs="宋体"/>
          <w:sz w:val="28"/>
          <w:szCs w:val="28"/>
        </w:rPr>
      </w:pPr>
      <w:r>
        <w:rPr>
          <w:rFonts w:hint="eastAsia" w:ascii="宋体" w:hAnsi="宋体" w:eastAsia="宋体" w:cs="宋体"/>
          <w:sz w:val="28"/>
          <w:szCs w:val="28"/>
        </w:rPr>
        <w:t>安全生产合同</w:t>
      </w:r>
    </w:p>
    <w:p>
      <w:pPr>
        <w:spacing w:line="400" w:lineRule="exact"/>
        <w:ind w:firstLine="420" w:firstLineChars="200"/>
        <w:rPr>
          <w:rFonts w:ascii="宋体" w:hAnsi="宋体" w:eastAsia="宋体" w:cs="宋体"/>
          <w:szCs w:val="21"/>
        </w:rPr>
      </w:pPr>
      <w:r>
        <w:rPr>
          <w:rFonts w:hint="eastAsia" w:ascii="宋体" w:hAnsi="宋体" w:eastAsia="宋体" w:cs="宋体"/>
          <w:szCs w:val="21"/>
        </w:rPr>
        <w:t>为在</w:t>
      </w:r>
      <w:r>
        <w:rPr>
          <w:rFonts w:hint="eastAsia" w:ascii="宋体" w:hAnsi="宋体" w:eastAsia="宋体" w:cs="宋体"/>
          <w:szCs w:val="21"/>
          <w:u w:val="single"/>
        </w:rPr>
        <w:t xml:space="preserve">      </w:t>
      </w:r>
      <w:r>
        <w:rPr>
          <w:rFonts w:hint="eastAsia" w:ascii="宋体" w:hAnsi="宋体" w:eastAsia="宋体" w:cs="宋体"/>
          <w:szCs w:val="21"/>
        </w:rPr>
        <w:t>（项目名称）</w:t>
      </w:r>
      <w:r>
        <w:rPr>
          <w:rFonts w:hint="eastAsia" w:ascii="宋体" w:hAnsi="宋体" w:eastAsia="宋体" w:cs="宋体"/>
          <w:szCs w:val="21"/>
          <w:u w:val="single"/>
        </w:rPr>
        <w:t xml:space="preserve">    </w:t>
      </w:r>
      <w:r>
        <w:rPr>
          <w:rFonts w:hint="eastAsia" w:ascii="宋体" w:hAnsi="宋体" w:eastAsia="宋体" w:cs="宋体"/>
          <w:szCs w:val="21"/>
        </w:rPr>
        <w:t>（标段）施工合同的实施过程中创造安全、高效的施工环境，切实搞好本项目的安全管理工作，本项目发包人</w:t>
      </w:r>
      <w:r>
        <w:rPr>
          <w:rFonts w:hint="eastAsia" w:ascii="宋体" w:hAnsi="宋体" w:eastAsia="宋体" w:cs="宋体"/>
          <w:szCs w:val="21"/>
          <w:u w:val="single"/>
        </w:rPr>
        <w:t xml:space="preserve">       </w:t>
      </w:r>
      <w:r>
        <w:rPr>
          <w:rFonts w:hint="eastAsia" w:ascii="宋体" w:hAnsi="宋体" w:eastAsia="宋体" w:cs="宋体"/>
          <w:szCs w:val="21"/>
        </w:rPr>
        <w:t>（发包人名称，以下简称“发包人”）与承包人</w:t>
      </w:r>
    </w:p>
    <w:p>
      <w:pPr>
        <w:spacing w:line="40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（承包人名称，以下简称“承包人”）特此签订安全生产合同：</w:t>
      </w:r>
    </w:p>
    <w:p>
      <w:pPr>
        <w:spacing w:line="400" w:lineRule="exact"/>
        <w:ind w:firstLine="420" w:firstLineChars="200"/>
        <w:rPr>
          <w:rFonts w:ascii="宋体" w:hAnsi="宋体" w:eastAsia="宋体" w:cs="宋体"/>
          <w:szCs w:val="21"/>
        </w:rPr>
      </w:pPr>
      <w:r>
        <w:rPr>
          <w:rFonts w:hint="eastAsia" w:ascii="宋体" w:hAnsi="宋体" w:eastAsia="宋体" w:cs="宋体"/>
          <w:szCs w:val="21"/>
        </w:rPr>
        <w:t>1.发包人职责</w:t>
      </w:r>
    </w:p>
    <w:p>
      <w:pPr>
        <w:spacing w:line="400" w:lineRule="exact"/>
        <w:ind w:firstLine="420" w:firstLineChars="200"/>
        <w:rPr>
          <w:rFonts w:ascii="宋体" w:hAnsi="宋体" w:eastAsia="宋体" w:cs="宋体"/>
          <w:szCs w:val="21"/>
        </w:rPr>
      </w:pPr>
      <w:r>
        <w:rPr>
          <w:rFonts w:hint="eastAsia" w:ascii="宋体" w:hAnsi="宋体" w:eastAsia="宋体" w:cs="宋体"/>
          <w:szCs w:val="21"/>
        </w:rPr>
        <w:t>（1）严格遵守国家有关安全生产的法律法规，认真执行工程承包合同中的有关安全要求。</w:t>
      </w:r>
    </w:p>
    <w:p>
      <w:pPr>
        <w:spacing w:line="400" w:lineRule="exact"/>
        <w:ind w:firstLine="420" w:firstLineChars="200"/>
        <w:rPr>
          <w:rFonts w:ascii="宋体" w:hAnsi="宋体" w:eastAsia="宋体" w:cs="宋体"/>
          <w:szCs w:val="21"/>
        </w:rPr>
      </w:pPr>
      <w:r>
        <w:rPr>
          <w:rFonts w:hint="eastAsia" w:ascii="宋体" w:hAnsi="宋体" w:eastAsia="宋体" w:cs="宋体"/>
          <w:szCs w:val="21"/>
        </w:rPr>
        <w:t>（2）按照“安全第一、预防为主、综合治理”和坚持“管生产必须管安全”的原则进行安全生 产管理，做到生产与安全工作同时计划、布置、检查、总结和评比。</w:t>
      </w:r>
    </w:p>
    <w:p>
      <w:pPr>
        <w:spacing w:line="400" w:lineRule="exact"/>
        <w:ind w:firstLine="420" w:firstLineChars="200"/>
        <w:rPr>
          <w:rFonts w:ascii="宋体" w:hAnsi="宋体" w:eastAsia="宋体" w:cs="宋体"/>
          <w:szCs w:val="21"/>
        </w:rPr>
      </w:pPr>
      <w:r>
        <w:rPr>
          <w:rFonts w:hint="eastAsia" w:ascii="宋体" w:hAnsi="宋体" w:eastAsia="宋体" w:cs="宋体"/>
          <w:szCs w:val="21"/>
        </w:rPr>
        <w:t>（3）重要的安全设施必须坚持与主体工程“三同时”的原则，即：同时设计、审批，同时施工，同时验收，投入使用。</w:t>
      </w:r>
    </w:p>
    <w:p>
      <w:pPr>
        <w:spacing w:line="400" w:lineRule="exact"/>
        <w:ind w:firstLine="420" w:firstLineChars="200"/>
        <w:rPr>
          <w:rFonts w:ascii="宋体" w:hAnsi="宋体" w:eastAsia="宋体" w:cs="宋体"/>
          <w:szCs w:val="21"/>
        </w:rPr>
      </w:pPr>
      <w:r>
        <w:rPr>
          <w:rFonts w:hint="eastAsia" w:ascii="宋体" w:hAnsi="宋体" w:eastAsia="宋体" w:cs="宋体"/>
          <w:szCs w:val="21"/>
        </w:rPr>
        <w:t>（4）定期召开安全生产调度会，及时传达中央及地方有关安全生产的精神。</w:t>
      </w:r>
    </w:p>
    <w:p>
      <w:pPr>
        <w:spacing w:line="400" w:lineRule="exact"/>
        <w:ind w:firstLine="420" w:firstLineChars="200"/>
        <w:rPr>
          <w:rFonts w:ascii="宋体" w:hAnsi="宋体" w:eastAsia="宋体" w:cs="宋体"/>
          <w:szCs w:val="21"/>
        </w:rPr>
      </w:pPr>
      <w:r>
        <w:rPr>
          <w:rFonts w:hint="eastAsia" w:ascii="宋体" w:hAnsi="宋体" w:eastAsia="宋体" w:cs="宋体"/>
          <w:szCs w:val="21"/>
        </w:rPr>
        <w:t>（5）组织对承包人施工现场安全生产检查，监督承包人及时处理发现的各种安全隐患。</w:t>
      </w:r>
    </w:p>
    <w:p>
      <w:pPr>
        <w:spacing w:line="400" w:lineRule="exact"/>
        <w:ind w:firstLine="420" w:firstLineChars="200"/>
        <w:rPr>
          <w:rFonts w:ascii="宋体" w:hAnsi="宋体" w:eastAsia="宋体" w:cs="宋体"/>
          <w:szCs w:val="21"/>
        </w:rPr>
      </w:pPr>
      <w:r>
        <w:rPr>
          <w:rFonts w:hint="eastAsia" w:ascii="宋体" w:hAnsi="宋体" w:eastAsia="宋体" w:cs="宋体"/>
          <w:szCs w:val="21"/>
        </w:rPr>
        <w:t>2.承包人职责</w:t>
      </w:r>
    </w:p>
    <w:p>
      <w:pPr>
        <w:spacing w:line="400" w:lineRule="exact"/>
        <w:ind w:firstLine="420" w:firstLineChars="200"/>
        <w:rPr>
          <w:rFonts w:ascii="宋体" w:hAnsi="宋体" w:eastAsia="宋体" w:cs="宋体"/>
          <w:szCs w:val="21"/>
        </w:rPr>
      </w:pPr>
      <w:r>
        <w:rPr>
          <w:rFonts w:hint="eastAsia" w:ascii="宋体" w:hAnsi="宋体" w:eastAsia="宋体" w:cs="宋体"/>
          <w:szCs w:val="21"/>
        </w:rPr>
        <w:t>（1）严格遵守《中华人民共和国安全生产法》、《建设工程安全生产管理条例》等国家有关安全生产的法律法规、《公路水运工程安全生产监督管理办法》、《公路工程施工安全技术规程》、《公路筑养路机械操作规程》</w:t>
      </w:r>
      <w:r>
        <w:rPr>
          <w:color w:val="000000"/>
          <w:szCs w:val="21"/>
        </w:rPr>
        <w:t>和浙江省人民政府浙政令〔2012〕300号《浙江省交通建设工程质量和安全生产管理办法》</w:t>
      </w:r>
      <w:r>
        <w:rPr>
          <w:rFonts w:hint="eastAsia" w:ascii="宋体" w:hAnsi="宋体" w:eastAsia="宋体" w:cs="宋体"/>
          <w:szCs w:val="21"/>
        </w:rPr>
        <w:t>等有关安全生产的规定。认真执行工程承包合同中的有关安全要求。</w:t>
      </w:r>
    </w:p>
    <w:p>
      <w:pPr>
        <w:spacing w:line="400" w:lineRule="exact"/>
        <w:ind w:firstLine="420" w:firstLineChars="200"/>
        <w:rPr>
          <w:rFonts w:ascii="宋体" w:hAnsi="宋体" w:eastAsia="宋体" w:cs="宋体"/>
          <w:szCs w:val="21"/>
        </w:rPr>
      </w:pPr>
      <w:r>
        <w:rPr>
          <w:rFonts w:hint="eastAsia" w:ascii="宋体" w:hAnsi="宋体" w:eastAsia="宋体" w:cs="宋体"/>
          <w:szCs w:val="21"/>
        </w:rPr>
        <w:t>（2）坚持“安全第一、预防为主、综合治理”和“管生产必须管安全”的原则，加强安全生产 宣传教育，增强全员安全生产意识，建立健全各项安全生产的管理机构和安全生产管理制度，配备专 职及兼职安全检查人员，有组织有领导地开展安全生产活动。各级领导、工程技术人员、生产管理人 员和具体操作人员，必须熟悉和遵守本合同的各项规定，做到生产与安全工作同时计划、布置、检查、 总结和评比。</w:t>
      </w:r>
    </w:p>
    <w:p>
      <w:pPr>
        <w:spacing w:line="400" w:lineRule="exact"/>
        <w:ind w:firstLine="420" w:firstLineChars="200"/>
        <w:rPr>
          <w:rFonts w:ascii="宋体" w:hAnsi="宋体" w:eastAsia="宋体" w:cs="宋体"/>
          <w:szCs w:val="21"/>
        </w:rPr>
      </w:pPr>
      <w:r>
        <w:rPr>
          <w:rFonts w:hint="eastAsia" w:ascii="宋体" w:hAnsi="宋体" w:eastAsia="宋体" w:cs="宋体"/>
          <w:szCs w:val="21"/>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spacing w:line="400" w:lineRule="exact"/>
        <w:ind w:firstLine="420" w:firstLineChars="200"/>
        <w:rPr>
          <w:rFonts w:ascii="宋体" w:hAnsi="宋体" w:eastAsia="宋体" w:cs="宋体"/>
          <w:szCs w:val="21"/>
        </w:rPr>
      </w:pPr>
      <w:r>
        <w:rPr>
          <w:rFonts w:hint="eastAsia" w:ascii="宋体" w:hAnsi="宋体" w:eastAsia="宋体" w:cs="宋体"/>
          <w:szCs w:val="21"/>
        </w:rPr>
        <w:t>（4）承包人在任何时候都应采取各种合理的预防措施，防止其员工发生任何违法、违禁、暴力或妨碍治安的行为。</w:t>
      </w:r>
    </w:p>
    <w:p>
      <w:pPr>
        <w:spacing w:line="400" w:lineRule="exact"/>
        <w:ind w:firstLine="420" w:firstLineChars="200"/>
        <w:rPr>
          <w:rFonts w:ascii="宋体" w:hAnsi="宋体" w:eastAsia="宋体" w:cs="宋体"/>
          <w:szCs w:val="21"/>
        </w:rPr>
      </w:pPr>
      <w:r>
        <w:rPr>
          <w:rFonts w:hint="eastAsia" w:ascii="宋体" w:hAnsi="宋体" w:eastAsia="宋体" w:cs="宋体"/>
          <w:szCs w:val="21"/>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400" w:lineRule="exact"/>
        <w:ind w:firstLine="420" w:firstLineChars="200"/>
        <w:rPr>
          <w:rFonts w:ascii="宋体" w:hAnsi="宋体" w:eastAsia="宋体" w:cs="宋体"/>
          <w:szCs w:val="21"/>
        </w:rPr>
      </w:pPr>
      <w:r>
        <w:rPr>
          <w:rFonts w:hint="eastAsia" w:ascii="宋体" w:hAnsi="宋体" w:eastAsia="宋体" w:cs="宋体"/>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400" w:lineRule="exact"/>
        <w:ind w:firstLine="420" w:firstLineChars="200"/>
        <w:rPr>
          <w:rFonts w:ascii="宋体" w:hAnsi="宋体" w:eastAsia="宋体" w:cs="宋体"/>
          <w:szCs w:val="21"/>
        </w:rPr>
      </w:pPr>
      <w:r>
        <w:rPr>
          <w:rFonts w:hint="eastAsia" w:ascii="宋体" w:hAnsi="宋体" w:eastAsia="宋体" w:cs="宋体"/>
          <w:szCs w:val="21"/>
        </w:rPr>
        <w:t>（7）操作人员上岗，必须按规定穿戴防护用品。施工负责人和安全检查员应随时检查劳动防护用品的穿戴情况，不按规定穿戴防护用品的人员不得上岗。</w:t>
      </w:r>
    </w:p>
    <w:p>
      <w:pPr>
        <w:spacing w:line="400" w:lineRule="exact"/>
        <w:ind w:firstLine="420" w:firstLineChars="200"/>
        <w:rPr>
          <w:rFonts w:ascii="宋体" w:hAnsi="宋体" w:eastAsia="宋体" w:cs="宋体"/>
          <w:szCs w:val="21"/>
        </w:rPr>
      </w:pPr>
      <w:r>
        <w:rPr>
          <w:rFonts w:hint="eastAsia" w:ascii="宋体" w:hAnsi="宋体" w:eastAsia="宋体" w:cs="宋体"/>
          <w:szCs w:val="21"/>
        </w:rPr>
        <w:t>（8）所有施工机具设备和高空作业的设备均应定期检查，并有安全员的签字记录，保证其经常处于完好状态；不合格的机具、设备和劳动保护用品严禁使用：</w:t>
      </w:r>
    </w:p>
    <w:p>
      <w:pPr>
        <w:spacing w:line="400" w:lineRule="exact"/>
        <w:ind w:firstLine="420" w:firstLineChars="200"/>
        <w:rPr>
          <w:rFonts w:ascii="宋体" w:hAnsi="宋体" w:eastAsia="宋体" w:cs="宋体"/>
          <w:szCs w:val="21"/>
        </w:rPr>
      </w:pPr>
      <w:r>
        <w:rPr>
          <w:rFonts w:hint="eastAsia" w:ascii="宋体" w:hAnsi="宋体" w:eastAsia="宋体" w:cs="宋体"/>
          <w:szCs w:val="21"/>
        </w:rPr>
        <w:t>（9）施工中采用新技术、新工艺、新设备、新材料时，必须制定相应的安全技术措施，施工现场必须具有相关的安全标志牌。</w:t>
      </w:r>
    </w:p>
    <w:p>
      <w:pPr>
        <w:spacing w:line="400" w:lineRule="exact"/>
        <w:ind w:firstLine="420" w:firstLineChars="200"/>
        <w:rPr>
          <w:rFonts w:ascii="宋体" w:hAnsi="宋体" w:eastAsia="宋体" w:cs="宋体"/>
          <w:szCs w:val="21"/>
        </w:rPr>
      </w:pPr>
      <w:r>
        <w:rPr>
          <w:rFonts w:hint="eastAsia" w:ascii="宋体" w:hAnsi="宋体" w:eastAsia="宋体" w:cs="宋体"/>
          <w:szCs w:val="21"/>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400" w:lineRule="exact"/>
        <w:ind w:firstLine="420" w:firstLineChars="200"/>
        <w:rPr>
          <w:rFonts w:ascii="宋体" w:hAnsi="宋体" w:eastAsia="宋体" w:cs="宋体"/>
          <w:szCs w:val="21"/>
        </w:rPr>
      </w:pPr>
      <w:r>
        <w:rPr>
          <w:rFonts w:hint="eastAsia" w:ascii="宋体" w:hAnsi="宋体" w:eastAsia="宋体" w:cs="宋体"/>
          <w:szCs w:val="21"/>
        </w:rPr>
        <w:t>（11）安全生产费用按照浙交〔2009〕228号关于印发《浙江省公路水运建设工程安全生产费用管理暂行规定》、浙交监〔2013〕43号《关于进一步加强我省交通建设工程施工安全生产费用管理的通知》的相关要求以及相关最新规定使用和管理。</w:t>
      </w:r>
    </w:p>
    <w:p>
      <w:pPr>
        <w:spacing w:line="400" w:lineRule="exact"/>
        <w:ind w:firstLine="420" w:firstLineChars="200"/>
        <w:rPr>
          <w:rFonts w:ascii="宋体" w:hAnsi="宋体" w:eastAsia="宋体" w:cs="宋体"/>
          <w:szCs w:val="21"/>
        </w:rPr>
      </w:pPr>
      <w:r>
        <w:rPr>
          <w:rFonts w:hint="eastAsia" w:ascii="宋体" w:hAnsi="宋体" w:eastAsia="宋体" w:cs="宋体"/>
          <w:szCs w:val="21"/>
        </w:rPr>
        <w:t>（12）承包人在施工期间应当服从发包人及交通等行业主管部门的监督、检查、指令，并积极做好相关配合工作。</w:t>
      </w:r>
    </w:p>
    <w:p>
      <w:pPr>
        <w:spacing w:line="400" w:lineRule="exact"/>
        <w:ind w:firstLine="420" w:firstLineChars="200"/>
        <w:rPr>
          <w:rFonts w:ascii="宋体" w:hAnsi="宋体" w:eastAsia="宋体" w:cs="宋体"/>
          <w:szCs w:val="21"/>
        </w:rPr>
      </w:pPr>
      <w:r>
        <w:rPr>
          <w:rFonts w:hint="eastAsia" w:ascii="宋体" w:hAnsi="宋体" w:eastAsia="宋体" w:cs="宋体"/>
          <w:szCs w:val="21"/>
        </w:rPr>
        <w:t>3.违约责任</w:t>
      </w:r>
    </w:p>
    <w:p>
      <w:pPr>
        <w:spacing w:line="400" w:lineRule="exact"/>
        <w:ind w:firstLine="420" w:firstLineChars="200"/>
        <w:rPr>
          <w:rFonts w:ascii="宋体" w:hAnsi="宋体" w:eastAsia="宋体" w:cs="宋体"/>
          <w:szCs w:val="21"/>
        </w:rPr>
      </w:pPr>
      <w:r>
        <w:rPr>
          <w:rFonts w:hint="eastAsia" w:ascii="宋体" w:hAnsi="宋体" w:eastAsia="宋体" w:cs="宋体"/>
          <w:szCs w:val="21"/>
        </w:rPr>
        <w:t>如因发包人或承包人违约造成安全事故，将依法追究责任。</w:t>
      </w:r>
    </w:p>
    <w:p>
      <w:pPr>
        <w:spacing w:line="400" w:lineRule="exact"/>
        <w:ind w:firstLine="420" w:firstLineChars="200"/>
        <w:rPr>
          <w:rFonts w:ascii="宋体" w:hAnsi="宋体" w:eastAsia="宋体" w:cs="宋体"/>
          <w:szCs w:val="21"/>
        </w:rPr>
      </w:pPr>
      <w:r>
        <w:rPr>
          <w:rFonts w:hint="eastAsia" w:ascii="宋体" w:hAnsi="宋体" w:eastAsia="宋体" w:cs="宋体"/>
          <w:szCs w:val="21"/>
        </w:rPr>
        <w:t>4.本合同由双方法定代表人或其授权的代理人签署并加盖单位章后生效，全部工程竣工验收后失效。</w:t>
      </w:r>
    </w:p>
    <w:p>
      <w:pPr>
        <w:spacing w:line="400" w:lineRule="exact"/>
        <w:ind w:firstLine="420" w:firstLineChars="200"/>
        <w:rPr>
          <w:rFonts w:ascii="宋体" w:hAnsi="宋体" w:eastAsia="宋体" w:cs="宋体"/>
          <w:szCs w:val="21"/>
        </w:rPr>
      </w:pPr>
      <w:r>
        <w:rPr>
          <w:rFonts w:hint="eastAsia" w:ascii="宋体" w:hAnsi="宋体" w:eastAsia="宋体" w:cs="宋体"/>
          <w:szCs w:val="21"/>
        </w:rPr>
        <w:t>5.本合同正本—式二份，副本</w:t>
      </w:r>
      <w:r>
        <w:rPr>
          <w:rFonts w:hint="eastAsia" w:ascii="宋体" w:hAnsi="宋体" w:eastAsia="宋体" w:cs="宋体"/>
          <w:szCs w:val="21"/>
          <w:u w:val="single"/>
        </w:rPr>
        <w:t xml:space="preserve">  </w:t>
      </w:r>
      <w:r>
        <w:rPr>
          <w:rFonts w:hint="eastAsia" w:ascii="宋体" w:hAnsi="宋体" w:eastAsia="宋体" w:cs="宋体"/>
          <w:szCs w:val="21"/>
        </w:rPr>
        <w:t>份，合同双方各执正本—份，副本</w:t>
      </w:r>
      <w:r>
        <w:rPr>
          <w:rFonts w:hint="eastAsia" w:ascii="宋体" w:hAnsi="宋体" w:eastAsia="宋体" w:cs="宋体"/>
          <w:szCs w:val="21"/>
          <w:u w:val="single"/>
        </w:rPr>
        <w:t xml:space="preserve">  </w:t>
      </w:r>
      <w:r>
        <w:rPr>
          <w:rFonts w:hint="eastAsia" w:ascii="宋体" w:hAnsi="宋体" w:eastAsia="宋体" w:cs="宋体"/>
          <w:szCs w:val="21"/>
        </w:rPr>
        <w:t>份，当正本与副本的内容不一致时，以正本为准。</w:t>
      </w: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spacing w:line="400" w:lineRule="exact"/>
        <w:rPr>
          <w:rFonts w:ascii="宋体" w:hAnsi="宋体" w:eastAsia="宋体" w:cs="宋体"/>
          <w:szCs w:val="21"/>
        </w:rPr>
      </w:pPr>
      <w:r>
        <w:rPr>
          <w:rFonts w:hint="eastAsia" w:ascii="宋体" w:hAnsi="宋体" w:eastAsia="宋体" w:cs="宋体"/>
          <w:szCs w:val="21"/>
        </w:rPr>
        <w:t>发包人：</w:t>
      </w:r>
      <w:r>
        <w:rPr>
          <w:rFonts w:hint="eastAsia" w:ascii="宋体" w:hAnsi="宋体" w:eastAsia="宋体" w:cs="宋体"/>
          <w:szCs w:val="21"/>
          <w:u w:val="single"/>
        </w:rPr>
        <w:t xml:space="preserve">                </w:t>
      </w:r>
      <w:r>
        <w:rPr>
          <w:rFonts w:hint="eastAsia" w:ascii="宋体" w:hAnsi="宋体" w:eastAsia="宋体" w:cs="宋体"/>
          <w:szCs w:val="21"/>
        </w:rPr>
        <w:t>（盖单位章）      承包人：</w:t>
      </w:r>
      <w:r>
        <w:rPr>
          <w:rFonts w:hint="eastAsia" w:ascii="宋体" w:hAnsi="宋体" w:eastAsia="宋体" w:cs="宋体"/>
          <w:szCs w:val="21"/>
          <w:u w:val="single"/>
        </w:rPr>
        <w:t xml:space="preserve">                </w:t>
      </w:r>
      <w:r>
        <w:rPr>
          <w:rFonts w:hint="eastAsia" w:ascii="宋体" w:hAnsi="宋体" w:eastAsia="宋体" w:cs="宋体"/>
          <w:szCs w:val="21"/>
        </w:rPr>
        <w:t xml:space="preserve">（盖单位章） </w:t>
      </w:r>
    </w:p>
    <w:p>
      <w:pPr>
        <w:spacing w:line="400" w:lineRule="exact"/>
        <w:rPr>
          <w:rFonts w:ascii="宋体" w:hAnsi="宋体" w:eastAsia="宋体" w:cs="宋体"/>
          <w:szCs w:val="21"/>
        </w:rPr>
      </w:pPr>
    </w:p>
    <w:p>
      <w:pPr>
        <w:spacing w:line="400" w:lineRule="exact"/>
        <w:rPr>
          <w:rFonts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       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pPr>
        <w:spacing w:line="400" w:lineRule="exact"/>
        <w:ind w:firstLine="840"/>
        <w:rPr>
          <w:rFonts w:ascii="宋体" w:hAnsi="宋体" w:eastAsia="宋体" w:cs="宋体"/>
          <w:szCs w:val="21"/>
        </w:rPr>
      </w:pPr>
      <w:r>
        <w:rPr>
          <w:rFonts w:hint="eastAsia" w:ascii="宋体" w:hAnsi="宋体" w:eastAsia="宋体" w:cs="宋体"/>
          <w:szCs w:val="21"/>
        </w:rPr>
        <w:t xml:space="preserve">  </w:t>
      </w:r>
    </w:p>
    <w:p>
      <w:pPr>
        <w:spacing w:line="400" w:lineRule="exact"/>
        <w:ind w:firstLine="840"/>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 xml:space="preserve">日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400" w:lineRule="exact"/>
        <w:ind w:firstLine="420" w:firstLineChars="200"/>
        <w:rPr>
          <w:rFonts w:ascii="宋体" w:hAnsi="宋体" w:eastAsia="宋体" w:cs="宋体"/>
          <w:szCs w:val="21"/>
        </w:rPr>
      </w:pPr>
    </w:p>
    <w:p>
      <w:pPr>
        <w:spacing w:line="400" w:lineRule="exact"/>
        <w:ind w:firstLine="420" w:firstLineChars="200"/>
        <w:rPr>
          <w:rFonts w:ascii="宋体" w:hAnsi="宋体" w:eastAsia="宋体" w:cs="宋体"/>
          <w:szCs w:val="21"/>
        </w:rPr>
      </w:pPr>
    </w:p>
    <w:p>
      <w:pPr>
        <w:widowControl/>
        <w:jc w:val="left"/>
        <w:rPr>
          <w:rFonts w:ascii="宋体" w:hAnsi="宋体" w:eastAsia="宋体" w:cs="宋体"/>
          <w:szCs w:val="21"/>
        </w:rPr>
        <w:sectPr>
          <w:footerReference r:id="rId3" w:type="default"/>
          <w:footnotePr>
            <w:numFmt w:val="decimalEnclosedCircleChinese"/>
            <w:numRestart w:val="eachPage"/>
          </w:footnotePr>
          <w:pgSz w:w="11906" w:h="16838"/>
          <w:pgMar w:top="993" w:right="1134" w:bottom="1276" w:left="1361" w:header="851" w:footer="992" w:gutter="0"/>
          <w:cols w:space="720" w:num="1"/>
        </w:sectPr>
      </w:pPr>
    </w:p>
    <w:p>
      <w:pPr>
        <w:spacing w:after="120" w:afterLines="50"/>
        <w:rPr>
          <w:rFonts w:ascii="宋体" w:hAnsi="宋体" w:eastAsia="宋体" w:cs="宋体"/>
          <w:sz w:val="28"/>
          <w:szCs w:val="28"/>
        </w:rPr>
      </w:pPr>
    </w:p>
    <w:p>
      <w:pPr>
        <w:spacing w:after="120" w:afterLines="50"/>
        <w:rPr>
          <w:rFonts w:ascii="宋体" w:hAnsi="宋体" w:eastAsia="宋体" w:cs="宋体"/>
          <w:sz w:val="28"/>
          <w:szCs w:val="28"/>
        </w:rPr>
      </w:pPr>
      <w:r>
        <w:rPr>
          <w:rFonts w:hint="eastAsia" w:ascii="宋体" w:hAnsi="宋体" w:eastAsia="宋体" w:cs="宋体"/>
          <w:sz w:val="28"/>
          <w:szCs w:val="28"/>
        </w:rPr>
        <w:t>附件四   项目经理委托书</w:t>
      </w:r>
    </w:p>
    <w:p>
      <w:pPr>
        <w:spacing w:line="400" w:lineRule="exact"/>
        <w:rPr>
          <w:rFonts w:ascii="宋体" w:hAnsi="宋体" w:eastAsia="宋体" w:cs="宋体"/>
          <w:sz w:val="24"/>
        </w:rPr>
      </w:pPr>
    </w:p>
    <w:p>
      <w:pPr>
        <w:spacing w:line="400" w:lineRule="exact"/>
        <w:jc w:val="center"/>
        <w:rPr>
          <w:rFonts w:ascii="宋体" w:hAnsi="宋体" w:eastAsia="宋体" w:cs="宋体"/>
          <w:sz w:val="28"/>
          <w:szCs w:val="28"/>
          <w:u w:val="single"/>
        </w:rPr>
      </w:pPr>
      <w:r>
        <w:rPr>
          <w:rFonts w:hint="eastAsia" w:ascii="宋体" w:hAnsi="宋体" w:eastAsia="宋体" w:cs="宋体"/>
          <w:sz w:val="28"/>
          <w:szCs w:val="28"/>
          <w:u w:val="single"/>
        </w:rPr>
        <w:t>（承包人全称）</w:t>
      </w:r>
    </w:p>
    <w:p>
      <w:pPr>
        <w:spacing w:line="400" w:lineRule="exact"/>
        <w:jc w:val="center"/>
        <w:rPr>
          <w:rFonts w:ascii="宋体" w:hAnsi="宋体" w:eastAsia="宋体" w:cs="宋体"/>
          <w:sz w:val="28"/>
          <w:szCs w:val="28"/>
          <w:u w:val="single"/>
        </w:rPr>
      </w:pPr>
      <w:r>
        <w:rPr>
          <w:rFonts w:hint="eastAsia" w:ascii="宋体" w:hAnsi="宋体" w:eastAsia="宋体" w:cs="宋体"/>
          <w:sz w:val="28"/>
          <w:szCs w:val="28"/>
          <w:u w:val="single"/>
        </w:rPr>
        <w:t>（合同工程名称）项目经理委任书</w:t>
      </w:r>
    </w:p>
    <w:p>
      <w:pPr>
        <w:spacing w:line="400" w:lineRule="exact"/>
        <w:rPr>
          <w:rFonts w:ascii="宋体" w:hAnsi="宋体" w:eastAsia="宋体" w:cs="宋体"/>
          <w:szCs w:val="21"/>
        </w:rPr>
      </w:pPr>
    </w:p>
    <w:p>
      <w:pPr>
        <w:spacing w:line="560" w:lineRule="exact"/>
        <w:rPr>
          <w:rFonts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（发包人全称</w:t>
      </w:r>
      <w:r>
        <w:rPr>
          <w:rFonts w:hint="eastAsia" w:ascii="宋体" w:hAnsi="宋体" w:eastAsia="宋体" w:cs="宋体"/>
          <w:szCs w:val="21"/>
        </w:rPr>
        <w:t>）</w:t>
      </w:r>
    </w:p>
    <w:p>
      <w:pPr>
        <w:spacing w:line="560" w:lineRule="exact"/>
        <w:ind w:firstLine="420" w:firstLineChars="200"/>
        <w:rPr>
          <w:rFonts w:ascii="宋体" w:hAnsi="宋体" w:eastAsia="宋体" w:cs="宋体"/>
          <w:szCs w:val="21"/>
        </w:rPr>
      </w:pPr>
      <w:r>
        <w:rPr>
          <w:rFonts w:hint="eastAsia" w:ascii="宋体" w:hAnsi="宋体" w:eastAsia="宋体" w:cs="宋体"/>
          <w:szCs w:val="21"/>
          <w:u w:val="single"/>
        </w:rPr>
        <w:t>（承包人全称）</w:t>
      </w:r>
      <w:r>
        <w:rPr>
          <w:rFonts w:hint="eastAsia" w:ascii="宋体" w:hAnsi="宋体" w:eastAsia="宋体" w:cs="宋体"/>
          <w:szCs w:val="21"/>
        </w:rPr>
        <w:t xml:space="preserve"> 法定代表人</w:t>
      </w:r>
      <w:r>
        <w:rPr>
          <w:rFonts w:hint="eastAsia" w:ascii="宋体" w:hAnsi="宋体" w:eastAsia="宋体" w:cs="宋体"/>
          <w:szCs w:val="21"/>
          <w:u w:val="single"/>
        </w:rPr>
        <w:t xml:space="preserve"> （职务、姓名）</w:t>
      </w:r>
      <w:r>
        <w:rPr>
          <w:rFonts w:hint="eastAsia" w:ascii="宋体" w:hAnsi="宋体" w:eastAsia="宋体" w:cs="宋体"/>
          <w:szCs w:val="21"/>
        </w:rPr>
        <w:t xml:space="preserve"> 代表本单位委任 </w:t>
      </w:r>
      <w:r>
        <w:rPr>
          <w:rFonts w:hint="eastAsia" w:ascii="宋体" w:hAnsi="宋体" w:eastAsia="宋体" w:cs="宋体"/>
          <w:szCs w:val="21"/>
          <w:u w:val="single"/>
        </w:rPr>
        <w:t>（职务、姓名）</w:t>
      </w:r>
      <w:r>
        <w:rPr>
          <w:rFonts w:hint="eastAsia" w:ascii="宋体" w:hAnsi="宋体" w:eastAsia="宋体" w:cs="宋体"/>
          <w:szCs w:val="21"/>
        </w:rPr>
        <w:t xml:space="preserve"> 为</w:t>
      </w:r>
      <w:r>
        <w:rPr>
          <w:rFonts w:hint="eastAsia" w:ascii="宋体" w:hAnsi="宋体" w:eastAsia="宋体" w:cs="宋体"/>
          <w:szCs w:val="21"/>
          <w:u w:val="single"/>
        </w:rPr>
        <w:t>（合同工程名称）</w:t>
      </w:r>
      <w:r>
        <w:rPr>
          <w:rFonts w:hint="eastAsia" w:ascii="宋体" w:hAnsi="宋体" w:eastAsia="宋体" w:cs="宋体"/>
          <w:szCs w:val="21"/>
        </w:rPr>
        <w:t>的项目经理。凡本合同执行中的有关技术、工程进度、现场管理、质量检验、结算与支付等方面工作，由</w:t>
      </w:r>
      <w:r>
        <w:rPr>
          <w:rFonts w:hint="eastAsia" w:ascii="宋体" w:hAnsi="宋体" w:eastAsia="宋体" w:cs="宋体"/>
          <w:szCs w:val="21"/>
          <w:u w:val="single"/>
        </w:rPr>
        <w:t xml:space="preserve"> （姓名） </w:t>
      </w:r>
      <w:r>
        <w:rPr>
          <w:rFonts w:hint="eastAsia" w:ascii="宋体" w:hAnsi="宋体" w:eastAsia="宋体" w:cs="宋体"/>
          <w:szCs w:val="21"/>
        </w:rPr>
        <w:t>代表本单位全面负责。</w:t>
      </w:r>
    </w:p>
    <w:p>
      <w:pPr>
        <w:spacing w:line="400" w:lineRule="exact"/>
        <w:rPr>
          <w:rFonts w:ascii="宋体" w:hAnsi="宋体" w:eastAsia="宋体" w:cs="宋体"/>
          <w:szCs w:val="21"/>
        </w:rPr>
      </w:pPr>
    </w:p>
    <w:p>
      <w:pPr>
        <w:spacing w:line="400" w:lineRule="exact"/>
        <w:rPr>
          <w:rFonts w:ascii="宋体" w:hAnsi="宋体" w:eastAsia="宋体" w:cs="宋体"/>
          <w:szCs w:val="21"/>
        </w:rPr>
      </w:pPr>
    </w:p>
    <w:p>
      <w:pPr>
        <w:spacing w:line="400" w:lineRule="exact"/>
        <w:rPr>
          <w:rFonts w:ascii="宋体" w:hAnsi="宋体" w:eastAsia="宋体" w:cs="宋体"/>
          <w:szCs w:val="21"/>
        </w:rPr>
      </w:pPr>
    </w:p>
    <w:p>
      <w:pPr>
        <w:wordWrap w:val="0"/>
        <w:spacing w:line="400" w:lineRule="exact"/>
        <w:jc w:val="right"/>
        <w:rPr>
          <w:rFonts w:ascii="宋体" w:hAnsi="宋体" w:eastAsia="宋体" w:cs="宋体"/>
          <w:szCs w:val="21"/>
        </w:rPr>
      </w:pPr>
      <w:r>
        <w:rPr>
          <w:rFonts w:hint="eastAsia" w:ascii="宋体" w:hAnsi="宋体" w:eastAsia="宋体" w:cs="宋体"/>
          <w:szCs w:val="21"/>
        </w:rPr>
        <w:t>承包人：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wordWrap w:val="0"/>
        <w:spacing w:line="400" w:lineRule="exact"/>
        <w:jc w:val="right"/>
        <w:rPr>
          <w:rFonts w:ascii="宋体" w:hAnsi="宋体" w:eastAsia="宋体" w:cs="宋体"/>
          <w:szCs w:val="21"/>
          <w:u w:val="single"/>
        </w:rPr>
      </w:pPr>
      <w:r>
        <w:rPr>
          <w:rFonts w:hint="eastAsia" w:ascii="宋体" w:hAnsi="宋体" w:eastAsia="宋体" w:cs="宋体"/>
          <w:szCs w:val="21"/>
        </w:rPr>
        <w:t>法定代表人：</w:t>
      </w:r>
      <w:r>
        <w:rPr>
          <w:rFonts w:hint="eastAsia" w:ascii="宋体" w:hAnsi="宋体" w:eastAsia="宋体" w:cs="宋体"/>
          <w:szCs w:val="21"/>
          <w:u w:val="single"/>
        </w:rPr>
        <w:t xml:space="preserve">  （职务） </w:t>
      </w:r>
    </w:p>
    <w:p>
      <w:pPr>
        <w:wordWrap w:val="0"/>
        <w:spacing w:line="400" w:lineRule="exact"/>
        <w:ind w:firstLine="1575" w:firstLineChars="750"/>
        <w:jc w:val="right"/>
        <w:rPr>
          <w:rFonts w:ascii="宋体" w:hAnsi="宋体" w:eastAsia="宋体" w:cs="宋体"/>
          <w:szCs w:val="21"/>
          <w:u w:val="single"/>
        </w:rPr>
      </w:pPr>
      <w:r>
        <w:rPr>
          <w:rFonts w:hint="eastAsia" w:ascii="宋体" w:hAnsi="宋体" w:eastAsia="宋体" w:cs="宋体"/>
          <w:szCs w:val="21"/>
          <w:u w:val="single"/>
        </w:rPr>
        <w:t xml:space="preserve">  （姓名） </w:t>
      </w:r>
    </w:p>
    <w:p>
      <w:pPr>
        <w:wordWrap w:val="0"/>
        <w:spacing w:line="400" w:lineRule="exact"/>
        <w:ind w:firstLine="1575" w:firstLineChars="750"/>
        <w:jc w:val="right"/>
        <w:rPr>
          <w:rFonts w:ascii="宋体" w:hAnsi="宋体" w:eastAsia="宋体" w:cs="宋体"/>
          <w:szCs w:val="21"/>
          <w:u w:val="single"/>
        </w:rPr>
      </w:pPr>
      <w:r>
        <w:rPr>
          <w:rFonts w:hint="eastAsia" w:ascii="宋体" w:hAnsi="宋体" w:eastAsia="宋体" w:cs="宋体"/>
          <w:szCs w:val="21"/>
          <w:u w:val="single"/>
        </w:rPr>
        <w:t xml:space="preserve">  （签字） </w:t>
      </w:r>
    </w:p>
    <w:p>
      <w:pPr>
        <w:spacing w:line="400" w:lineRule="exact"/>
        <w:rPr>
          <w:rFonts w:ascii="宋体" w:hAnsi="宋体" w:eastAsia="宋体" w:cs="宋体"/>
          <w:szCs w:val="21"/>
        </w:rPr>
      </w:pPr>
    </w:p>
    <w:p>
      <w:pPr>
        <w:wordWrap w:val="0"/>
        <w:spacing w:line="400" w:lineRule="exact"/>
        <w:jc w:val="righ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pPr>
        <w:spacing w:line="400" w:lineRule="exact"/>
        <w:rPr>
          <w:rFonts w:ascii="宋体" w:hAnsi="宋体" w:eastAsia="宋体" w:cs="宋体"/>
          <w:szCs w:val="21"/>
        </w:rPr>
      </w:pPr>
    </w:p>
    <w:p>
      <w:pPr>
        <w:spacing w:line="400" w:lineRule="exact"/>
        <w:rPr>
          <w:rFonts w:ascii="宋体" w:hAnsi="宋体" w:eastAsia="宋体" w:cs="宋体"/>
          <w:szCs w:val="21"/>
        </w:rPr>
      </w:pPr>
    </w:p>
    <w:p>
      <w:pPr>
        <w:spacing w:line="400" w:lineRule="exact"/>
        <w:rPr>
          <w:rFonts w:ascii="宋体" w:hAnsi="宋体" w:eastAsia="宋体" w:cs="宋体"/>
          <w:szCs w:val="21"/>
        </w:rPr>
      </w:pPr>
      <w:r>
        <w:rPr>
          <w:rFonts w:hint="eastAsia" w:ascii="宋体" w:hAnsi="宋体" w:eastAsia="宋体" w:cs="宋体"/>
          <w:szCs w:val="21"/>
        </w:rPr>
        <w:t>抄送：</w:t>
      </w:r>
      <w:r>
        <w:rPr>
          <w:rFonts w:hint="eastAsia" w:ascii="宋体" w:hAnsi="宋体" w:eastAsia="宋体" w:cs="宋体"/>
          <w:szCs w:val="21"/>
          <w:u w:val="single"/>
        </w:rPr>
        <w:t xml:space="preserve">  （监理人）</w:t>
      </w:r>
    </w:p>
    <w:p>
      <w:pPr>
        <w:spacing w:line="400" w:lineRule="exact"/>
        <w:rPr>
          <w:rFonts w:ascii="宋体" w:hAnsi="宋体" w:eastAsia="宋体" w:cs="宋体"/>
          <w:szCs w:val="21"/>
        </w:rPr>
      </w:pPr>
    </w:p>
    <w:p>
      <w:pPr>
        <w:spacing w:line="400" w:lineRule="exact"/>
        <w:rPr>
          <w:rFonts w:ascii="宋体" w:hAnsi="宋体" w:eastAsia="宋体" w:cs="宋体"/>
          <w:szCs w:val="21"/>
        </w:rPr>
      </w:pPr>
    </w:p>
    <w:p>
      <w:pPr>
        <w:spacing w:line="400" w:lineRule="exact"/>
        <w:rPr>
          <w:rFonts w:ascii="宋体" w:hAnsi="宋体" w:eastAsia="宋体" w:cs="宋体"/>
          <w:szCs w:val="21"/>
        </w:rPr>
      </w:pPr>
    </w:p>
    <w:p>
      <w:pPr>
        <w:spacing w:line="400" w:lineRule="exact"/>
        <w:rPr>
          <w:rFonts w:ascii="宋体" w:hAnsi="宋体" w:eastAsia="宋体" w:cs="宋体"/>
          <w:szCs w:val="21"/>
        </w:rPr>
      </w:pPr>
    </w:p>
    <w:p>
      <w:pPr>
        <w:spacing w:line="400" w:lineRule="exact"/>
        <w:rPr>
          <w:rFonts w:ascii="宋体" w:hAnsi="宋体" w:eastAsia="宋体" w:cs="宋体"/>
          <w:szCs w:val="21"/>
        </w:rPr>
      </w:pPr>
    </w:p>
    <w:p>
      <w:pPr>
        <w:spacing w:after="120" w:afterLines="50"/>
        <w:rPr>
          <w:rFonts w:ascii="宋体" w:hAnsi="宋体" w:eastAsia="宋体" w:cs="宋体"/>
          <w:sz w:val="24"/>
        </w:rPr>
      </w:pPr>
      <w:r>
        <w:rPr>
          <w:rFonts w:hint="eastAsia" w:ascii="宋体" w:hAnsi="宋体" w:eastAsia="宋体" w:cs="宋体"/>
          <w:sz w:val="24"/>
        </w:rPr>
        <w:br w:type="page"/>
      </w:r>
    </w:p>
    <w:p>
      <w:pPr>
        <w:spacing w:after="120" w:afterLines="50"/>
        <w:rPr>
          <w:rFonts w:ascii="宋体" w:hAnsi="宋体" w:eastAsia="宋体" w:cs="宋体"/>
          <w:sz w:val="28"/>
          <w:szCs w:val="28"/>
        </w:rPr>
      </w:pPr>
      <w:r>
        <w:rPr>
          <w:rFonts w:hint="eastAsia" w:ascii="宋体" w:hAnsi="宋体" w:eastAsia="宋体" w:cs="宋体"/>
          <w:sz w:val="28"/>
          <w:szCs w:val="28"/>
        </w:rPr>
        <w:t>附件五   履约担保格式</w:t>
      </w:r>
    </w:p>
    <w:p>
      <w:pPr>
        <w:jc w:val="center"/>
        <w:rPr>
          <w:rFonts w:ascii="宋体" w:hAnsi="宋体" w:eastAsia="宋体" w:cs="宋体"/>
          <w:b/>
          <w:sz w:val="28"/>
          <w:szCs w:val="28"/>
        </w:rPr>
      </w:pPr>
      <w:r>
        <w:rPr>
          <w:rFonts w:hint="eastAsia" w:ascii="宋体" w:hAnsi="宋体" w:eastAsia="宋体" w:cs="宋体"/>
          <w:b/>
          <w:sz w:val="28"/>
          <w:szCs w:val="28"/>
        </w:rPr>
        <w:t>履 约 担 保</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（发包人名称）：</w:t>
      </w:r>
    </w:p>
    <w:p>
      <w:pPr>
        <w:rPr>
          <w:rFonts w:ascii="宋体" w:hAnsi="宋体" w:eastAsia="宋体" w:cs="宋体"/>
          <w:szCs w:val="21"/>
        </w:rPr>
      </w:pPr>
    </w:p>
    <w:p>
      <w:pPr>
        <w:spacing w:line="400" w:lineRule="exact"/>
        <w:ind w:firstLine="420" w:firstLineChars="200"/>
        <w:rPr>
          <w:rFonts w:ascii="宋体" w:hAnsi="宋体" w:eastAsia="宋体" w:cs="宋体"/>
          <w:szCs w:val="21"/>
        </w:rPr>
      </w:pPr>
      <w:r>
        <w:rPr>
          <w:rFonts w:hint="eastAsia" w:ascii="宋体" w:hAnsi="宋体" w:eastAsia="宋体" w:cs="宋体"/>
          <w:szCs w:val="21"/>
        </w:rPr>
        <w:t>鉴于</w:t>
      </w:r>
      <w:r>
        <w:rPr>
          <w:rFonts w:hint="eastAsia" w:ascii="宋体" w:hAnsi="宋体" w:eastAsia="宋体" w:cs="宋体"/>
          <w:szCs w:val="21"/>
          <w:u w:val="single"/>
        </w:rPr>
        <w:t xml:space="preserve">        </w:t>
      </w:r>
      <w:r>
        <w:rPr>
          <w:rFonts w:hint="eastAsia" w:ascii="宋体" w:hAnsi="宋体" w:eastAsia="宋体" w:cs="宋体"/>
          <w:szCs w:val="21"/>
        </w:rPr>
        <w:t>（发包人名称，以下简称“发包人”）接受</w:t>
      </w:r>
      <w:r>
        <w:rPr>
          <w:rFonts w:hint="eastAsia" w:ascii="宋体" w:hAnsi="宋体" w:eastAsia="宋体" w:cs="宋体"/>
          <w:szCs w:val="21"/>
          <w:u w:val="single"/>
        </w:rPr>
        <w:t xml:space="preserve">        </w:t>
      </w:r>
      <w:r>
        <w:rPr>
          <w:rFonts w:hint="eastAsia" w:ascii="宋体" w:hAnsi="宋体" w:eastAsia="宋体" w:cs="宋体"/>
          <w:szCs w:val="21"/>
        </w:rPr>
        <w:t>（承包人名称）（以下称“承包人”）于</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日参加</w:t>
      </w:r>
      <w:r>
        <w:rPr>
          <w:rFonts w:hint="eastAsia" w:ascii="宋体" w:hAnsi="宋体" w:eastAsia="宋体" w:cs="宋体"/>
          <w:szCs w:val="21"/>
          <w:u w:val="single"/>
        </w:rPr>
        <w:t xml:space="preserve">      </w:t>
      </w:r>
      <w:r>
        <w:rPr>
          <w:rFonts w:hint="eastAsia" w:ascii="宋体" w:hAnsi="宋体" w:eastAsia="宋体" w:cs="宋体"/>
          <w:szCs w:val="21"/>
        </w:rPr>
        <w:t>（项目名称）</w:t>
      </w:r>
      <w:r>
        <w:rPr>
          <w:rFonts w:hint="eastAsia" w:ascii="宋体" w:hAnsi="宋体" w:eastAsia="宋体" w:cs="宋体"/>
          <w:szCs w:val="21"/>
          <w:u w:val="single"/>
        </w:rPr>
        <w:t xml:space="preserve">    </w:t>
      </w:r>
      <w:r>
        <w:rPr>
          <w:rFonts w:hint="eastAsia" w:ascii="宋体" w:hAnsi="宋体" w:eastAsia="宋体" w:cs="宋体"/>
          <w:szCs w:val="21"/>
        </w:rPr>
        <w:t>标段施工的投标。我方愿意无条件地、不可撤销地就承包人履行与你方订立的合同，向你方提供担保。</w:t>
      </w:r>
    </w:p>
    <w:p>
      <w:pPr>
        <w:spacing w:line="400" w:lineRule="exact"/>
        <w:ind w:firstLine="420" w:firstLineChars="200"/>
        <w:rPr>
          <w:rFonts w:ascii="宋体" w:hAnsi="宋体" w:eastAsia="宋体" w:cs="宋体"/>
          <w:szCs w:val="21"/>
        </w:rPr>
      </w:pPr>
      <w:r>
        <w:rPr>
          <w:rFonts w:hint="eastAsia" w:ascii="宋体" w:hAnsi="宋体" w:eastAsia="宋体" w:cs="宋体"/>
          <w:szCs w:val="21"/>
        </w:rPr>
        <w:t>1.担保金额人民币（大写）</w:t>
      </w:r>
      <w:r>
        <w:rPr>
          <w:rFonts w:hint="eastAsia" w:ascii="宋体" w:hAnsi="宋体" w:eastAsia="宋体" w:cs="宋体"/>
          <w:szCs w:val="21"/>
          <w:u w:val="single"/>
        </w:rPr>
        <w:t xml:space="preserve">        </w:t>
      </w:r>
      <w:r>
        <w:rPr>
          <w:rFonts w:hint="eastAsia" w:ascii="宋体" w:hAnsi="宋体" w:eastAsia="宋体" w:cs="宋体"/>
          <w:szCs w:val="21"/>
        </w:rPr>
        <w:t>元（¥</w:t>
      </w:r>
      <w:r>
        <w:rPr>
          <w:rFonts w:hint="eastAsia" w:ascii="宋体" w:hAnsi="宋体" w:eastAsia="宋体" w:cs="宋体"/>
          <w:szCs w:val="21"/>
          <w:u w:val="single"/>
        </w:rPr>
        <w:t xml:space="preserve">        </w:t>
      </w:r>
      <w:r>
        <w:rPr>
          <w:rFonts w:hint="eastAsia" w:ascii="宋体" w:hAnsi="宋体" w:eastAsia="宋体" w:cs="宋体"/>
          <w:szCs w:val="21"/>
        </w:rPr>
        <w:t>）。</w:t>
      </w:r>
    </w:p>
    <w:p>
      <w:pPr>
        <w:spacing w:line="400" w:lineRule="exact"/>
        <w:ind w:firstLine="420" w:firstLineChars="200"/>
        <w:rPr>
          <w:rFonts w:ascii="宋体" w:hAnsi="宋体" w:eastAsia="宋体" w:cs="宋体"/>
          <w:szCs w:val="21"/>
        </w:rPr>
      </w:pPr>
      <w:r>
        <w:rPr>
          <w:rFonts w:hint="eastAsia" w:ascii="宋体" w:hAnsi="宋体" w:eastAsia="宋体" w:cs="宋体"/>
          <w:szCs w:val="21"/>
        </w:rPr>
        <w:t>2.担保有效期自发包人与承包人签订的合同生效之日起至发包人签发工程接收交工验收证书之日止。</w:t>
      </w:r>
    </w:p>
    <w:p>
      <w:pPr>
        <w:spacing w:line="400" w:lineRule="exact"/>
        <w:ind w:firstLine="420" w:firstLineChars="200"/>
        <w:rPr>
          <w:rFonts w:ascii="宋体" w:hAnsi="宋体" w:eastAsia="宋体" w:cs="宋体"/>
          <w:szCs w:val="21"/>
        </w:rPr>
      </w:pPr>
      <w:r>
        <w:rPr>
          <w:rFonts w:hint="eastAsia" w:ascii="宋体" w:hAnsi="宋体" w:eastAsia="宋体" w:cs="宋体"/>
          <w:szCs w:val="21"/>
        </w:rPr>
        <w:t>3.在本担保有效期内，因承包人违反合同约定的义务给你方造成经济损失时，我方在收到你方以书面形式提出的在担保金额内的赔偿要求后，在7天内无条件支付，无须你方出具证明或陈述理由。</w:t>
      </w:r>
    </w:p>
    <w:p>
      <w:pPr>
        <w:spacing w:line="400" w:lineRule="exact"/>
        <w:ind w:firstLine="420" w:firstLineChars="200"/>
        <w:rPr>
          <w:rFonts w:ascii="宋体" w:hAnsi="宋体" w:eastAsia="宋体" w:cs="宋体"/>
          <w:szCs w:val="21"/>
        </w:rPr>
      </w:pPr>
      <w:r>
        <w:rPr>
          <w:rFonts w:hint="eastAsia" w:ascii="宋体" w:hAnsi="宋体" w:eastAsia="宋体" w:cs="宋体"/>
          <w:szCs w:val="21"/>
        </w:rPr>
        <w:t>4.发包人和承包人按合同条款第15条变更合同时，我方承担本担保规定的义务不变。</w:t>
      </w: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spacing w:line="440" w:lineRule="exact"/>
        <w:rPr>
          <w:rFonts w:ascii="宋体" w:hAnsi="宋体" w:eastAsia="宋体" w:cs="宋体"/>
          <w:szCs w:val="21"/>
        </w:rPr>
      </w:pPr>
      <w:r>
        <w:rPr>
          <w:rFonts w:hint="eastAsia" w:ascii="宋体" w:hAnsi="宋体" w:eastAsia="宋体" w:cs="宋体"/>
          <w:szCs w:val="21"/>
        </w:rPr>
        <w:t xml:space="preserve">                                 担 保 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440" w:lineRule="exact"/>
        <w:rPr>
          <w:rFonts w:ascii="宋体" w:hAnsi="宋体" w:eastAsia="宋体" w:cs="宋体"/>
          <w:szCs w:val="21"/>
        </w:rPr>
      </w:pPr>
      <w:r>
        <w:rPr>
          <w:rFonts w:hint="eastAsia" w:ascii="宋体" w:hAnsi="宋体" w:eastAsia="宋体" w:cs="宋体"/>
          <w:szCs w:val="21"/>
        </w:rPr>
        <w:t xml:space="preserve">                                 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pPr>
        <w:spacing w:line="440" w:lineRule="exact"/>
        <w:rPr>
          <w:rFonts w:ascii="宋体" w:hAnsi="宋体" w:eastAsia="宋体" w:cs="宋体"/>
          <w:szCs w:val="21"/>
        </w:rPr>
      </w:pPr>
      <w:r>
        <w:rPr>
          <w:rFonts w:hint="eastAsia" w:ascii="宋体" w:hAnsi="宋体" w:eastAsia="宋体" w:cs="宋体"/>
          <w:szCs w:val="21"/>
        </w:rPr>
        <w:t xml:space="preserve">                                 地    址：</w:t>
      </w:r>
      <w:r>
        <w:rPr>
          <w:rFonts w:hint="eastAsia" w:ascii="宋体" w:hAnsi="宋体" w:eastAsia="宋体" w:cs="宋体"/>
          <w:szCs w:val="21"/>
          <w:u w:val="single"/>
        </w:rPr>
        <w:t xml:space="preserve">                              </w:t>
      </w:r>
    </w:p>
    <w:p>
      <w:pPr>
        <w:spacing w:line="440" w:lineRule="exact"/>
        <w:rPr>
          <w:rFonts w:ascii="宋体" w:hAnsi="宋体" w:eastAsia="宋体" w:cs="宋体"/>
          <w:szCs w:val="21"/>
        </w:rPr>
      </w:pPr>
      <w:r>
        <w:rPr>
          <w:rFonts w:hint="eastAsia" w:ascii="宋体" w:hAnsi="宋体" w:eastAsia="宋体" w:cs="宋体"/>
          <w:szCs w:val="21"/>
        </w:rPr>
        <w:t xml:space="preserve">                                 邮政编码：</w:t>
      </w:r>
      <w:r>
        <w:rPr>
          <w:rFonts w:hint="eastAsia" w:ascii="宋体" w:hAnsi="宋体" w:eastAsia="宋体" w:cs="宋体"/>
          <w:szCs w:val="21"/>
          <w:u w:val="single"/>
        </w:rPr>
        <w:t xml:space="preserve">                              </w:t>
      </w:r>
    </w:p>
    <w:p>
      <w:pPr>
        <w:spacing w:line="440" w:lineRule="exact"/>
        <w:rPr>
          <w:rFonts w:ascii="宋体" w:hAnsi="宋体" w:eastAsia="宋体" w:cs="宋体"/>
          <w:szCs w:val="21"/>
        </w:rPr>
      </w:pPr>
      <w:r>
        <w:rPr>
          <w:rFonts w:hint="eastAsia" w:ascii="宋体" w:hAnsi="宋体" w:eastAsia="宋体" w:cs="宋体"/>
          <w:szCs w:val="21"/>
        </w:rPr>
        <w:t xml:space="preserve">                                 电    话：</w:t>
      </w:r>
      <w:r>
        <w:rPr>
          <w:rFonts w:hint="eastAsia" w:ascii="宋体" w:hAnsi="宋体" w:eastAsia="宋体" w:cs="宋体"/>
          <w:szCs w:val="21"/>
          <w:u w:val="single"/>
        </w:rPr>
        <w:t xml:space="preserve">                              </w:t>
      </w:r>
    </w:p>
    <w:p>
      <w:pPr>
        <w:spacing w:line="440" w:lineRule="exact"/>
        <w:rPr>
          <w:rFonts w:ascii="宋体" w:hAnsi="宋体" w:eastAsia="宋体" w:cs="宋体"/>
          <w:szCs w:val="21"/>
        </w:rPr>
      </w:pPr>
      <w:r>
        <w:rPr>
          <w:rFonts w:hint="eastAsia" w:ascii="宋体" w:hAnsi="宋体" w:eastAsia="宋体" w:cs="宋体"/>
          <w:szCs w:val="21"/>
        </w:rPr>
        <w:t xml:space="preserve">                                 传    真：</w:t>
      </w:r>
      <w:r>
        <w:rPr>
          <w:rFonts w:hint="eastAsia" w:ascii="宋体" w:hAnsi="宋体" w:eastAsia="宋体" w:cs="宋体"/>
          <w:szCs w:val="21"/>
          <w:u w:val="single"/>
        </w:rPr>
        <w:t xml:space="preserve">                              </w:t>
      </w: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400" w:lineRule="exact"/>
        <w:ind w:firstLine="420" w:firstLineChars="200"/>
        <w:rPr>
          <w:rFonts w:ascii="宋体" w:hAnsi="宋体" w:eastAsia="宋体" w:cs="宋体"/>
          <w:szCs w:val="21"/>
        </w:rPr>
      </w:pPr>
    </w:p>
    <w:p>
      <w:pPr>
        <w:spacing w:line="400" w:lineRule="exact"/>
        <w:ind w:firstLine="420" w:firstLineChars="200"/>
        <w:rPr>
          <w:rFonts w:ascii="宋体" w:hAnsi="宋体" w:eastAsia="宋体" w:cs="宋体"/>
          <w:szCs w:val="21"/>
        </w:rPr>
      </w:pPr>
    </w:p>
    <w:p>
      <w:pPr>
        <w:spacing w:line="400" w:lineRule="exact"/>
        <w:ind w:firstLine="420" w:firstLineChars="200"/>
        <w:rPr>
          <w:rFonts w:ascii="宋体" w:hAnsi="宋体" w:eastAsia="宋体" w:cs="宋体"/>
          <w:szCs w:val="21"/>
        </w:rPr>
      </w:pPr>
    </w:p>
    <w:p>
      <w:pPr>
        <w:spacing w:line="400" w:lineRule="exact"/>
        <w:ind w:firstLine="420" w:firstLineChars="200"/>
        <w:rPr>
          <w:rFonts w:ascii="宋体" w:hAnsi="宋体" w:eastAsia="宋体" w:cs="宋体"/>
          <w:szCs w:val="21"/>
        </w:rPr>
      </w:pPr>
    </w:p>
    <w:p>
      <w:pPr>
        <w:spacing w:line="400" w:lineRule="exact"/>
        <w:ind w:firstLine="420" w:firstLineChars="200"/>
        <w:rPr>
          <w:rFonts w:ascii="宋体" w:hAnsi="宋体" w:eastAsia="宋体" w:cs="宋体"/>
          <w:szCs w:val="21"/>
        </w:rPr>
      </w:pPr>
    </w:p>
    <w:p>
      <w:pPr>
        <w:spacing w:line="400" w:lineRule="exact"/>
        <w:ind w:firstLine="420" w:firstLineChars="200"/>
        <w:rPr>
          <w:rFonts w:ascii="宋体" w:hAnsi="宋体" w:eastAsia="宋体" w:cs="宋体"/>
          <w:szCs w:val="21"/>
        </w:rPr>
      </w:pPr>
    </w:p>
    <w:p>
      <w:pPr>
        <w:spacing w:line="400" w:lineRule="exact"/>
        <w:ind w:firstLine="420" w:firstLineChars="200"/>
        <w:rPr>
          <w:rFonts w:ascii="宋体" w:hAnsi="宋体" w:eastAsia="宋体" w:cs="宋体"/>
          <w:szCs w:val="21"/>
        </w:rPr>
      </w:pPr>
    </w:p>
    <w:p>
      <w:pPr>
        <w:spacing w:after="120" w:afterLines="50"/>
        <w:rPr>
          <w:rFonts w:ascii="宋体" w:hAnsi="宋体" w:eastAsia="宋体" w:cs="宋体"/>
          <w:szCs w:val="21"/>
        </w:rPr>
      </w:pPr>
      <w:r>
        <w:rPr>
          <w:rFonts w:ascii="宋体" w:hAnsi="宋体" w:eastAsia="宋体" w:cs="宋体"/>
          <w:szCs w:val="21"/>
        </w:rPr>
        <w:t xml:space="preserve"> </w:t>
      </w:r>
    </w:p>
    <w:p>
      <w:pPr>
        <w:pStyle w:val="2"/>
      </w:pPr>
      <w:r>
        <w:br w:type="page"/>
      </w:r>
    </w:p>
    <w:p>
      <w:pPr>
        <w:spacing w:after="120" w:afterLines="50"/>
        <w:rPr>
          <w:rFonts w:ascii="宋体" w:hAnsi="宋体" w:eastAsia="宋体" w:cs="宋体"/>
          <w:szCs w:val="21"/>
        </w:rPr>
      </w:pPr>
    </w:p>
    <w:p>
      <w:pPr>
        <w:spacing w:after="120" w:afterLines="50"/>
        <w:rPr>
          <w:rFonts w:ascii="宋体" w:hAnsi="宋体" w:eastAsia="宋体" w:cs="宋体"/>
          <w:sz w:val="28"/>
          <w:szCs w:val="28"/>
        </w:rPr>
      </w:pPr>
      <w:bookmarkStart w:id="533" w:name="_Toc27909"/>
      <w:bookmarkStart w:id="534" w:name="_Toc466207320"/>
      <w:r>
        <w:rPr>
          <w:rFonts w:hint="eastAsia" w:ascii="宋体" w:hAnsi="宋体" w:eastAsia="宋体" w:cs="宋体"/>
          <w:sz w:val="28"/>
          <w:szCs w:val="28"/>
        </w:rPr>
        <w:t>附件六  工程质量责任合同格式</w:t>
      </w:r>
      <w:bookmarkEnd w:id="533"/>
      <w:bookmarkEnd w:id="534"/>
    </w:p>
    <w:p>
      <w:pPr>
        <w:pStyle w:val="104"/>
        <w:keepNext w:val="0"/>
        <w:keepLines w:val="0"/>
        <w:spacing w:line="240" w:lineRule="auto"/>
        <w:outlineLvl w:val="9"/>
        <w:rPr>
          <w:rFonts w:ascii="宋体" w:hAnsi="宋体" w:eastAsia="宋体"/>
          <w:sz w:val="21"/>
          <w:szCs w:val="21"/>
        </w:rPr>
      </w:pPr>
    </w:p>
    <w:p>
      <w:pPr>
        <w:spacing w:line="500" w:lineRule="exact"/>
        <w:jc w:val="center"/>
        <w:rPr>
          <w:rFonts w:ascii="宋体" w:hAnsi="宋体" w:eastAsia="宋体" w:cs="宋体"/>
          <w:b/>
          <w:bCs/>
          <w:sz w:val="30"/>
          <w:szCs w:val="30"/>
        </w:rPr>
      </w:pPr>
      <w:r>
        <w:rPr>
          <w:rFonts w:hint="eastAsia" w:ascii="宋体" w:hAnsi="宋体" w:eastAsia="宋体" w:cs="宋体"/>
          <w:b/>
          <w:bCs/>
          <w:sz w:val="30"/>
          <w:szCs w:val="30"/>
        </w:rPr>
        <w:t>工程质量责任合同</w:t>
      </w:r>
    </w:p>
    <w:p>
      <w:pPr>
        <w:spacing w:line="500" w:lineRule="exact"/>
        <w:jc w:val="center"/>
        <w:rPr>
          <w:rFonts w:ascii="宋体" w:hAnsi="宋体" w:eastAsia="宋体" w:cs="宋体"/>
          <w:b/>
          <w:szCs w:val="21"/>
        </w:rPr>
      </w:pPr>
    </w:p>
    <w:p>
      <w:pPr>
        <w:spacing w:line="300" w:lineRule="auto"/>
        <w:rPr>
          <w:rFonts w:ascii="宋体" w:hAnsi="宋体" w:eastAsia="宋体" w:cs="宋体"/>
          <w:szCs w:val="21"/>
        </w:rPr>
      </w:pPr>
      <w:r>
        <w:rPr>
          <w:rFonts w:hint="eastAsia" w:ascii="宋体" w:hAnsi="宋体" w:eastAsia="宋体" w:cs="宋体"/>
          <w:szCs w:val="21"/>
        </w:rPr>
        <w:t xml:space="preserve">   根据国务院《建设工程质量管理条例》，为保证设计使用年限内建设工程质量，</w:t>
      </w:r>
      <w:r>
        <w:rPr>
          <w:rFonts w:hint="eastAsia" w:ascii="宋体" w:hAnsi="宋体" w:eastAsia="宋体" w:cs="宋体"/>
          <w:b/>
          <w:bCs/>
          <w:szCs w:val="21"/>
          <w:u w:val="single"/>
        </w:rPr>
        <w:t xml:space="preserve">   </w:t>
      </w:r>
      <w:r>
        <w:rPr>
          <w:rFonts w:hint="eastAsia" w:ascii="宋体" w:hAnsi="宋体" w:eastAsia="宋体" w:cs="宋体"/>
          <w:szCs w:val="21"/>
          <w:u w:val="single"/>
        </w:rPr>
        <w:t>（项目名称）</w:t>
      </w:r>
      <w:r>
        <w:rPr>
          <w:rFonts w:hint="eastAsia" w:ascii="宋体" w:hAnsi="宋体" w:eastAsia="宋体" w:cs="宋体"/>
          <w:szCs w:val="21"/>
        </w:rPr>
        <w:t>的发包人</w:t>
      </w:r>
      <w:r>
        <w:rPr>
          <w:rFonts w:hint="eastAsia" w:ascii="宋体" w:hAnsi="宋体" w:eastAsia="宋体" w:cs="宋体"/>
          <w:b/>
          <w:bCs/>
          <w:szCs w:val="21"/>
          <w:u w:val="single"/>
        </w:rPr>
        <w:t xml:space="preserve">      （以下称甲方）</w:t>
      </w:r>
      <w:r>
        <w:rPr>
          <w:rFonts w:hint="eastAsia" w:ascii="宋体" w:hAnsi="宋体" w:eastAsia="宋体" w:cs="宋体"/>
          <w:szCs w:val="21"/>
        </w:rPr>
        <w:t>与承包人</w:t>
      </w:r>
      <w:r>
        <w:rPr>
          <w:rFonts w:hint="eastAsia" w:ascii="宋体" w:hAnsi="宋体" w:eastAsia="宋体" w:cs="宋体"/>
          <w:szCs w:val="21"/>
          <w:u w:val="single"/>
        </w:rPr>
        <w:t xml:space="preserve"> </w:t>
      </w:r>
      <w:r>
        <w:rPr>
          <w:rFonts w:hint="eastAsia" w:ascii="宋体" w:hAnsi="宋体" w:eastAsia="宋体" w:cs="宋体"/>
          <w:b/>
          <w:bCs/>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（以下称乙方），特订立如下质量责任合同。</w:t>
      </w:r>
    </w:p>
    <w:p>
      <w:pPr>
        <w:spacing w:line="300" w:lineRule="auto"/>
        <w:rPr>
          <w:rFonts w:ascii="宋体" w:hAnsi="宋体" w:eastAsia="宋体" w:cs="宋体"/>
          <w:szCs w:val="21"/>
          <w:u w:val="single"/>
        </w:rPr>
      </w:pPr>
      <w:r>
        <w:rPr>
          <w:rFonts w:hint="eastAsia" w:ascii="宋体" w:hAnsi="宋体" w:eastAsia="宋体" w:cs="宋体"/>
          <w:szCs w:val="21"/>
        </w:rPr>
        <w:t xml:space="preserve">    第一条  本建设工程项目的质量目标为</w:t>
      </w:r>
      <w:r>
        <w:rPr>
          <w:rFonts w:hint="eastAsia" w:ascii="宋体" w:hAnsi="宋体" w:eastAsia="宋体" w:cs="宋体"/>
          <w:szCs w:val="21"/>
          <w:u w:val="single"/>
        </w:rPr>
        <w:t xml:space="preserve">     </w:t>
      </w:r>
      <w:r>
        <w:rPr>
          <w:rFonts w:hint="eastAsia" w:ascii="宋体" w:hAnsi="宋体" w:eastAsia="宋体" w:cs="宋体"/>
          <w:szCs w:val="21"/>
        </w:rPr>
        <w:t>，乙方对本建设工程的施工质量在设计使用年限内依法终身负责。施工质量责任人</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00" w:lineRule="auto"/>
        <w:rPr>
          <w:rFonts w:ascii="宋体" w:hAnsi="宋体" w:eastAsia="宋体" w:cs="宋体"/>
          <w:szCs w:val="21"/>
        </w:rPr>
      </w:pPr>
      <w:r>
        <w:rPr>
          <w:rFonts w:hint="eastAsia" w:ascii="宋体" w:hAnsi="宋体" w:eastAsia="宋体" w:cs="宋体"/>
          <w:szCs w:val="21"/>
        </w:rPr>
        <w:t xml:space="preserve">    第二条  甲乙双方的权利与义务</w:t>
      </w:r>
    </w:p>
    <w:p>
      <w:pPr>
        <w:spacing w:line="300" w:lineRule="auto"/>
        <w:rPr>
          <w:rFonts w:ascii="宋体" w:hAnsi="宋体" w:eastAsia="宋体" w:cs="宋体"/>
          <w:szCs w:val="21"/>
        </w:rPr>
      </w:pPr>
      <w:r>
        <w:rPr>
          <w:rFonts w:hint="eastAsia" w:ascii="宋体" w:hAnsi="宋体" w:eastAsia="宋体" w:cs="宋体"/>
          <w:szCs w:val="21"/>
        </w:rPr>
        <w:t xml:space="preserve">    （一）严格遵守国家有关法律法规及交通运输部和浙江省交通运输厅的有关规定。</w:t>
      </w:r>
    </w:p>
    <w:p>
      <w:pPr>
        <w:spacing w:line="300" w:lineRule="auto"/>
        <w:rPr>
          <w:rFonts w:ascii="宋体" w:hAnsi="宋体" w:eastAsia="宋体" w:cs="宋体"/>
          <w:szCs w:val="21"/>
        </w:rPr>
      </w:pPr>
      <w:r>
        <w:rPr>
          <w:rFonts w:hint="eastAsia" w:ascii="宋体" w:hAnsi="宋体" w:eastAsia="宋体" w:cs="宋体"/>
          <w:szCs w:val="21"/>
        </w:rPr>
        <w:t xml:space="preserve">    （二）严格执行</w:t>
      </w:r>
      <w:r>
        <w:rPr>
          <w:rFonts w:hint="eastAsia" w:ascii="宋体" w:hAnsi="宋体" w:eastAsia="宋体" w:cs="宋体"/>
          <w:b/>
          <w:bCs/>
          <w:szCs w:val="21"/>
          <w:u w:val="single"/>
        </w:rPr>
        <w:t xml:space="preserve">    </w:t>
      </w:r>
      <w:r>
        <w:rPr>
          <w:rFonts w:hint="eastAsia" w:ascii="宋体" w:hAnsi="宋体" w:eastAsia="宋体" w:cs="宋体"/>
          <w:szCs w:val="21"/>
          <w:u w:val="single"/>
        </w:rPr>
        <w:t>（项目名称）</w:t>
      </w:r>
      <w:r>
        <w:rPr>
          <w:rFonts w:hint="eastAsia" w:ascii="宋体" w:hAnsi="宋体" w:eastAsia="宋体" w:cs="宋体"/>
          <w:szCs w:val="21"/>
        </w:rPr>
        <w:t>施工合同文件，自觉按合同办事。</w:t>
      </w:r>
    </w:p>
    <w:p>
      <w:pPr>
        <w:spacing w:line="300" w:lineRule="auto"/>
        <w:rPr>
          <w:rFonts w:ascii="宋体" w:hAnsi="宋体" w:eastAsia="宋体" w:cs="宋体"/>
          <w:szCs w:val="21"/>
        </w:rPr>
      </w:pPr>
      <w:r>
        <w:rPr>
          <w:rFonts w:hint="eastAsia" w:ascii="宋体" w:hAnsi="宋体" w:eastAsia="宋体" w:cs="宋体"/>
          <w:szCs w:val="21"/>
        </w:rPr>
        <w:t xml:space="preserve">    （三）双方的施工业务活动必须坚持科学、公正、诚信、平等的原则，不得损害国家、集体的利益，不得违反工程建设管理规章制度。</w:t>
      </w:r>
    </w:p>
    <w:p>
      <w:pPr>
        <w:spacing w:line="300" w:lineRule="auto"/>
        <w:ind w:firstLine="420"/>
        <w:rPr>
          <w:rFonts w:ascii="宋体" w:hAnsi="宋体" w:eastAsia="宋体" w:cs="宋体"/>
          <w:szCs w:val="21"/>
        </w:rPr>
      </w:pPr>
      <w:r>
        <w:rPr>
          <w:rFonts w:hint="eastAsia" w:ascii="宋体" w:hAnsi="宋体" w:eastAsia="宋体" w:cs="宋体"/>
          <w:szCs w:val="21"/>
        </w:rPr>
        <w:t>（四）发现对方在施工业务活动中，有违反有关规定的行为，有及时提醒对方纠正的权利和义务。</w:t>
      </w:r>
    </w:p>
    <w:p>
      <w:pPr>
        <w:spacing w:line="300" w:lineRule="auto"/>
        <w:ind w:firstLine="420"/>
        <w:rPr>
          <w:rFonts w:ascii="宋体" w:hAnsi="宋体" w:eastAsia="宋体" w:cs="宋体"/>
          <w:szCs w:val="21"/>
        </w:rPr>
      </w:pPr>
      <w:r>
        <w:rPr>
          <w:rFonts w:hint="eastAsia" w:ascii="宋体" w:hAnsi="宋体" w:eastAsia="宋体" w:cs="宋体"/>
          <w:szCs w:val="21"/>
        </w:rPr>
        <w:t>（五）发现对方严重违反施工合同文件的行为，有向其上级有关部门举报，建议给予处理并要求告知处理结果的权利。</w:t>
      </w:r>
    </w:p>
    <w:p>
      <w:pPr>
        <w:spacing w:line="300" w:lineRule="auto"/>
        <w:ind w:firstLine="420"/>
        <w:rPr>
          <w:rFonts w:ascii="宋体" w:hAnsi="宋体" w:eastAsia="宋体" w:cs="宋体"/>
          <w:szCs w:val="21"/>
        </w:rPr>
      </w:pPr>
      <w:r>
        <w:rPr>
          <w:rFonts w:hint="eastAsia" w:ascii="宋体" w:hAnsi="宋体" w:eastAsia="宋体" w:cs="宋体"/>
          <w:szCs w:val="21"/>
        </w:rPr>
        <w:t>第三条  甲方的义务</w:t>
      </w:r>
    </w:p>
    <w:p>
      <w:pPr>
        <w:spacing w:line="300" w:lineRule="auto"/>
        <w:ind w:firstLine="420"/>
        <w:rPr>
          <w:rFonts w:ascii="宋体" w:hAnsi="宋体" w:eastAsia="宋体" w:cs="宋体"/>
          <w:szCs w:val="21"/>
        </w:rPr>
      </w:pPr>
      <w:r>
        <w:rPr>
          <w:rFonts w:hint="eastAsia" w:ascii="宋体" w:hAnsi="宋体" w:eastAsia="宋体" w:cs="宋体"/>
          <w:szCs w:val="21"/>
        </w:rPr>
        <w:t>（一）甲方向乙方及时提供有关资料（包括技术规范、工程量清单、施工图等）。</w:t>
      </w:r>
    </w:p>
    <w:p>
      <w:pPr>
        <w:spacing w:line="300" w:lineRule="auto"/>
        <w:ind w:firstLine="420"/>
        <w:rPr>
          <w:rFonts w:ascii="宋体" w:hAnsi="宋体" w:eastAsia="宋体" w:cs="宋体"/>
          <w:szCs w:val="21"/>
        </w:rPr>
      </w:pPr>
      <w:r>
        <w:rPr>
          <w:rFonts w:hint="eastAsia" w:ascii="宋体" w:hAnsi="宋体" w:eastAsia="宋体" w:cs="宋体"/>
          <w:szCs w:val="21"/>
        </w:rPr>
        <w:t>（二）甲方向乙方及时提供建设用地，及时解决对工程占地范围以内尚未拆迁的建筑物及其他障碍物。</w:t>
      </w:r>
    </w:p>
    <w:p>
      <w:pPr>
        <w:spacing w:line="300" w:lineRule="auto"/>
        <w:ind w:firstLine="420"/>
        <w:rPr>
          <w:rFonts w:ascii="宋体" w:hAnsi="宋体" w:eastAsia="宋体" w:cs="宋体"/>
          <w:szCs w:val="21"/>
        </w:rPr>
      </w:pPr>
      <w:r>
        <w:rPr>
          <w:rFonts w:hint="eastAsia" w:ascii="宋体" w:hAnsi="宋体" w:eastAsia="宋体" w:cs="宋体"/>
          <w:szCs w:val="21"/>
        </w:rPr>
        <w:t>（三）甲方不得指使乙方不按法律、法规、工程建设强制性标准和施工规范进行工程的施工活动。</w:t>
      </w:r>
    </w:p>
    <w:p>
      <w:pPr>
        <w:spacing w:line="300" w:lineRule="auto"/>
        <w:ind w:firstLine="420"/>
        <w:rPr>
          <w:rFonts w:ascii="宋体" w:hAnsi="宋体" w:eastAsia="宋体" w:cs="宋体"/>
          <w:szCs w:val="21"/>
        </w:rPr>
      </w:pPr>
      <w:r>
        <w:rPr>
          <w:rFonts w:hint="eastAsia" w:ascii="宋体" w:hAnsi="宋体" w:eastAsia="宋体" w:cs="宋体"/>
          <w:szCs w:val="21"/>
        </w:rPr>
        <w:t>（四）甲方须按施工合同的约定支付工程款，除施工合同的约定外，甲方不得以任何借口克扣工程款或拖延工程款的支付。</w:t>
      </w:r>
    </w:p>
    <w:p>
      <w:pPr>
        <w:spacing w:line="300" w:lineRule="auto"/>
        <w:ind w:firstLine="420"/>
        <w:rPr>
          <w:rFonts w:ascii="宋体" w:hAnsi="宋体" w:eastAsia="宋体" w:cs="宋体"/>
          <w:szCs w:val="21"/>
        </w:rPr>
      </w:pPr>
      <w:r>
        <w:rPr>
          <w:rFonts w:hint="eastAsia" w:ascii="宋体" w:hAnsi="宋体" w:eastAsia="宋体" w:cs="宋体"/>
          <w:szCs w:val="21"/>
        </w:rPr>
        <w:t>（五）甲方不得明示或暗示向乙方推荐单位或个人承包或分包本工程项目的施工任务。</w:t>
      </w:r>
    </w:p>
    <w:p>
      <w:pPr>
        <w:spacing w:line="300" w:lineRule="auto"/>
        <w:ind w:firstLine="420"/>
        <w:rPr>
          <w:rFonts w:ascii="宋体" w:hAnsi="宋体" w:eastAsia="宋体" w:cs="宋体"/>
          <w:szCs w:val="21"/>
        </w:rPr>
      </w:pPr>
      <w:r>
        <w:rPr>
          <w:rFonts w:hint="eastAsia" w:ascii="宋体" w:hAnsi="宋体" w:eastAsia="宋体" w:cs="宋体"/>
          <w:szCs w:val="21"/>
        </w:rPr>
        <w:t>（六）甲方不得以任何理由索取回扣或其它好处。</w:t>
      </w:r>
    </w:p>
    <w:p>
      <w:pPr>
        <w:spacing w:line="300" w:lineRule="auto"/>
        <w:ind w:firstLine="420"/>
        <w:rPr>
          <w:rFonts w:ascii="宋体" w:hAnsi="宋体" w:eastAsia="宋体" w:cs="宋体"/>
          <w:szCs w:val="21"/>
        </w:rPr>
      </w:pPr>
      <w:r>
        <w:rPr>
          <w:rFonts w:hint="eastAsia" w:ascii="宋体" w:hAnsi="宋体" w:eastAsia="宋体" w:cs="宋体"/>
          <w:szCs w:val="21"/>
        </w:rPr>
        <w:t>第四条  乙方的义务</w:t>
      </w:r>
    </w:p>
    <w:p>
      <w:pPr>
        <w:spacing w:line="300" w:lineRule="auto"/>
        <w:ind w:firstLine="420"/>
        <w:rPr>
          <w:rFonts w:ascii="宋体" w:hAnsi="宋体" w:eastAsia="宋体" w:cs="宋体"/>
          <w:szCs w:val="21"/>
        </w:rPr>
      </w:pPr>
      <w:r>
        <w:rPr>
          <w:rFonts w:hint="eastAsia" w:ascii="宋体" w:hAnsi="宋体" w:eastAsia="宋体" w:cs="宋体"/>
          <w:szCs w:val="21"/>
        </w:rPr>
        <w:t>（一）乙方应具备与本工程项目相应等级的施工资质证书。</w:t>
      </w:r>
    </w:p>
    <w:p>
      <w:pPr>
        <w:spacing w:line="300" w:lineRule="auto"/>
        <w:ind w:firstLine="420"/>
        <w:rPr>
          <w:rFonts w:ascii="宋体" w:hAnsi="宋体" w:eastAsia="宋体" w:cs="宋体"/>
          <w:szCs w:val="21"/>
        </w:rPr>
      </w:pPr>
      <w:r>
        <w:rPr>
          <w:rFonts w:hint="eastAsia" w:ascii="宋体" w:hAnsi="宋体" w:eastAsia="宋体" w:cs="宋体"/>
          <w:szCs w:val="21"/>
        </w:rPr>
        <w:t>（二）乙方不得允许其它单位或个人以乙方的名义承揽本工程项目的施工任务，不得转包或违法分包所承揽的本工程的项目施工任务。</w:t>
      </w:r>
    </w:p>
    <w:p>
      <w:pPr>
        <w:spacing w:line="300" w:lineRule="auto"/>
        <w:ind w:firstLine="420"/>
        <w:rPr>
          <w:rFonts w:ascii="宋体" w:hAnsi="宋体" w:eastAsia="宋体" w:cs="宋体"/>
          <w:szCs w:val="21"/>
        </w:rPr>
      </w:pPr>
      <w:r>
        <w:rPr>
          <w:rFonts w:hint="eastAsia" w:ascii="宋体" w:hAnsi="宋体" w:eastAsia="宋体" w:cs="宋体"/>
          <w:szCs w:val="21"/>
        </w:rPr>
        <w:t>（三）乙方必须严格履行施工合同，按投标承诺的施工技术人员及时到位。施工技术人员原则上不得擅自调换，如有特殊原因确需调换的，须经业主书面同意方能换人。</w:t>
      </w:r>
    </w:p>
    <w:p>
      <w:pPr>
        <w:spacing w:line="300" w:lineRule="auto"/>
        <w:ind w:firstLine="420"/>
        <w:rPr>
          <w:rFonts w:ascii="宋体" w:hAnsi="宋体" w:eastAsia="宋体" w:cs="宋体"/>
          <w:szCs w:val="21"/>
        </w:rPr>
      </w:pPr>
      <w:r>
        <w:rPr>
          <w:rFonts w:hint="eastAsia" w:ascii="宋体" w:hAnsi="宋体" w:eastAsia="宋体" w:cs="宋体"/>
          <w:szCs w:val="21"/>
        </w:rPr>
        <w:t>（四）乙方必须建立工地临时试验室，按要求配合相应的试验检测人员和设备，并取得工地临时试验室资质证书。按有关规定做好各类试验，试验资料应真实、完整，统一归档。</w:t>
      </w:r>
    </w:p>
    <w:p>
      <w:pPr>
        <w:spacing w:line="300" w:lineRule="auto"/>
        <w:ind w:firstLine="420"/>
        <w:rPr>
          <w:rFonts w:ascii="宋体" w:hAnsi="宋体" w:eastAsia="宋体" w:cs="宋体"/>
          <w:szCs w:val="21"/>
        </w:rPr>
      </w:pPr>
      <w:r>
        <w:rPr>
          <w:rFonts w:hint="eastAsia" w:ascii="宋体" w:hAnsi="宋体" w:eastAsia="宋体" w:cs="宋体"/>
          <w:szCs w:val="21"/>
        </w:rPr>
        <w:t>（五）乙方必须按照工程设计图纸和施工技术规范施工，不得擅自修改工程设计，不得偷工减料。</w:t>
      </w:r>
    </w:p>
    <w:p>
      <w:pPr>
        <w:spacing w:line="300" w:lineRule="auto"/>
        <w:ind w:firstLine="420"/>
        <w:rPr>
          <w:rFonts w:ascii="宋体" w:hAnsi="宋体" w:eastAsia="宋体" w:cs="宋体"/>
          <w:szCs w:val="21"/>
        </w:rPr>
      </w:pPr>
      <w:r>
        <w:rPr>
          <w:rFonts w:hint="eastAsia" w:ascii="宋体" w:hAnsi="宋体" w:eastAsia="宋体" w:cs="宋体"/>
          <w:szCs w:val="21"/>
        </w:rPr>
        <w:t>（六）乙方在施工过程中发现设计文件和图纸有差错的，应当及时提出意见和建议。</w:t>
      </w:r>
    </w:p>
    <w:p>
      <w:pPr>
        <w:spacing w:line="300" w:lineRule="auto"/>
        <w:ind w:firstLine="420"/>
        <w:rPr>
          <w:rFonts w:ascii="宋体" w:hAnsi="宋体" w:eastAsia="宋体" w:cs="宋体"/>
          <w:szCs w:val="21"/>
        </w:rPr>
      </w:pPr>
      <w:r>
        <w:rPr>
          <w:rFonts w:hint="eastAsia" w:ascii="宋体" w:hAnsi="宋体" w:eastAsia="宋体" w:cs="宋体"/>
          <w:szCs w:val="21"/>
        </w:rPr>
        <w:t>（七）乙方与甲方、乙方与指定分包人之间有关工程质量、进度和费用的一切往来函件、报表均应分类编号归档保存；施工技术资料应真实、完整。</w:t>
      </w:r>
    </w:p>
    <w:p>
      <w:pPr>
        <w:spacing w:line="300" w:lineRule="auto"/>
        <w:ind w:firstLine="420"/>
        <w:rPr>
          <w:rFonts w:ascii="宋体" w:hAnsi="宋体" w:eastAsia="宋体" w:cs="宋体"/>
          <w:szCs w:val="21"/>
        </w:rPr>
      </w:pPr>
      <w:r>
        <w:rPr>
          <w:rFonts w:hint="eastAsia" w:ascii="宋体" w:hAnsi="宋体" w:eastAsia="宋体" w:cs="宋体"/>
          <w:szCs w:val="21"/>
        </w:rPr>
        <w:t>（八）乙方应加强对甲方按合同规定采购的材料设备的检验，对检验不合格的产品，乙方应拒绝使用。</w:t>
      </w:r>
    </w:p>
    <w:p>
      <w:pPr>
        <w:spacing w:line="300" w:lineRule="auto"/>
        <w:ind w:firstLine="420"/>
        <w:rPr>
          <w:rFonts w:ascii="宋体" w:hAnsi="宋体" w:eastAsia="宋体" w:cs="宋体"/>
          <w:szCs w:val="21"/>
        </w:rPr>
      </w:pPr>
      <w:r>
        <w:rPr>
          <w:rFonts w:hint="eastAsia" w:ascii="宋体" w:hAnsi="宋体" w:eastAsia="宋体" w:cs="宋体"/>
          <w:szCs w:val="21"/>
        </w:rPr>
        <w:t>（九）乙方不得暗示材料、设备供应单位提供使用不合格或质量低劣的材料、设备。</w:t>
      </w:r>
    </w:p>
    <w:p>
      <w:pPr>
        <w:spacing w:line="300" w:lineRule="auto"/>
        <w:ind w:firstLine="420"/>
        <w:rPr>
          <w:rFonts w:ascii="宋体" w:hAnsi="宋体" w:eastAsia="宋体" w:cs="宋体"/>
          <w:szCs w:val="21"/>
        </w:rPr>
      </w:pPr>
      <w:r>
        <w:rPr>
          <w:rFonts w:hint="eastAsia" w:ascii="宋体" w:hAnsi="宋体" w:eastAsia="宋体" w:cs="宋体"/>
          <w:szCs w:val="21"/>
        </w:rPr>
        <w:t>第五条  违约责任</w:t>
      </w:r>
    </w:p>
    <w:p>
      <w:pPr>
        <w:spacing w:line="300" w:lineRule="auto"/>
        <w:ind w:left="420"/>
        <w:rPr>
          <w:rFonts w:ascii="宋体" w:hAnsi="宋体" w:eastAsia="宋体" w:cs="宋体"/>
          <w:szCs w:val="21"/>
        </w:rPr>
      </w:pPr>
      <w:r>
        <w:rPr>
          <w:rFonts w:hint="eastAsia" w:ascii="宋体" w:hAnsi="宋体" w:eastAsia="宋体" w:cs="宋体"/>
          <w:szCs w:val="21"/>
        </w:rPr>
        <w:t>（一）甲方及其工作人员违反本合同第二、三条，按管理权限，依据国务院《建设工程质量管</w:t>
      </w:r>
    </w:p>
    <w:p>
      <w:pPr>
        <w:spacing w:line="300" w:lineRule="auto"/>
        <w:rPr>
          <w:rFonts w:ascii="宋体" w:hAnsi="宋体" w:eastAsia="宋体" w:cs="宋体"/>
          <w:szCs w:val="21"/>
        </w:rPr>
      </w:pPr>
      <w:r>
        <w:rPr>
          <w:rFonts w:hint="eastAsia" w:ascii="宋体" w:hAnsi="宋体" w:eastAsia="宋体" w:cs="宋体"/>
          <w:szCs w:val="21"/>
        </w:rPr>
        <w:t>理条例》有关规定给予相应的处罚；涉嫌犯罪的，依法追究刑事责任；给乙方单位造成经济损失的，应予以赔偿。</w:t>
      </w:r>
    </w:p>
    <w:p>
      <w:pPr>
        <w:spacing w:line="300" w:lineRule="auto"/>
        <w:ind w:left="420"/>
        <w:rPr>
          <w:rFonts w:ascii="宋体" w:hAnsi="宋体" w:eastAsia="宋体" w:cs="宋体"/>
          <w:szCs w:val="21"/>
        </w:rPr>
      </w:pPr>
      <w:r>
        <w:rPr>
          <w:rFonts w:hint="eastAsia" w:ascii="宋体" w:hAnsi="宋体" w:eastAsia="宋体" w:cs="宋体"/>
          <w:szCs w:val="21"/>
        </w:rPr>
        <w:t>（二）乙方及其工作人员违反本合同第二、四条，按管理权限，依据国务院《建设工程质量管</w:t>
      </w:r>
    </w:p>
    <w:p>
      <w:pPr>
        <w:spacing w:line="300" w:lineRule="auto"/>
        <w:rPr>
          <w:rFonts w:ascii="宋体" w:hAnsi="宋体" w:eastAsia="宋体" w:cs="宋体"/>
          <w:szCs w:val="21"/>
        </w:rPr>
      </w:pPr>
      <w:r>
        <w:rPr>
          <w:rFonts w:hint="eastAsia" w:ascii="宋体" w:hAnsi="宋体" w:eastAsia="宋体" w:cs="宋体"/>
          <w:szCs w:val="21"/>
        </w:rPr>
        <w:t>理条例》有关规定给予相应的处罚；涉嫌犯罪的，依法追究刑事责任；给甲方单位造成经济损失的，应予以赔偿。</w:t>
      </w:r>
    </w:p>
    <w:p>
      <w:pPr>
        <w:spacing w:line="300" w:lineRule="auto"/>
        <w:ind w:firstLine="420"/>
        <w:rPr>
          <w:rFonts w:ascii="宋体" w:hAnsi="宋体" w:eastAsia="宋体" w:cs="宋体"/>
          <w:szCs w:val="21"/>
        </w:rPr>
      </w:pPr>
      <w:r>
        <w:rPr>
          <w:rFonts w:hint="eastAsia" w:ascii="宋体" w:hAnsi="宋体" w:eastAsia="宋体" w:cs="宋体"/>
          <w:szCs w:val="21"/>
        </w:rPr>
        <w:t>第六条  本合同有效期为甲乙双方自签署之日起至该工程项目设计使用年限之日止。</w:t>
      </w:r>
    </w:p>
    <w:p>
      <w:pPr>
        <w:spacing w:line="300" w:lineRule="auto"/>
        <w:ind w:firstLine="420"/>
        <w:rPr>
          <w:rFonts w:ascii="宋体" w:hAnsi="宋体" w:eastAsia="宋体" w:cs="宋体"/>
          <w:szCs w:val="21"/>
        </w:rPr>
      </w:pPr>
      <w:r>
        <w:rPr>
          <w:rFonts w:hint="eastAsia" w:ascii="宋体" w:hAnsi="宋体" w:eastAsia="宋体" w:cs="宋体"/>
          <w:szCs w:val="21"/>
        </w:rPr>
        <w:t>第七条  本合同作为</w:t>
      </w:r>
      <w:r>
        <w:rPr>
          <w:rFonts w:hint="eastAsia" w:ascii="宋体" w:hAnsi="宋体" w:eastAsia="宋体" w:cs="宋体"/>
          <w:b/>
          <w:bCs/>
          <w:szCs w:val="21"/>
          <w:u w:val="single"/>
        </w:rPr>
        <w:t xml:space="preserve">     </w:t>
      </w:r>
      <w:r>
        <w:rPr>
          <w:rFonts w:hint="eastAsia" w:ascii="宋体" w:hAnsi="宋体" w:eastAsia="宋体" w:cs="宋体"/>
          <w:szCs w:val="21"/>
          <w:u w:val="single"/>
        </w:rPr>
        <w:t xml:space="preserve">（项目名称） </w:t>
      </w:r>
      <w:r>
        <w:rPr>
          <w:rFonts w:hint="eastAsia" w:ascii="宋体" w:hAnsi="宋体" w:eastAsia="宋体" w:cs="宋体"/>
          <w:szCs w:val="21"/>
        </w:rPr>
        <w:t>施工合同附件，与工程施工合同具有同等的法律效力，经合同双方签署后立即生效。</w:t>
      </w:r>
    </w:p>
    <w:p>
      <w:pPr>
        <w:spacing w:line="300" w:lineRule="auto"/>
        <w:ind w:firstLine="420"/>
        <w:rPr>
          <w:rFonts w:ascii="宋体" w:hAnsi="宋体" w:eastAsia="宋体" w:cs="宋体"/>
          <w:szCs w:val="21"/>
          <w:u w:val="single"/>
        </w:rPr>
      </w:pPr>
      <w:r>
        <w:rPr>
          <w:rFonts w:hint="eastAsia" w:ascii="宋体" w:hAnsi="宋体" w:eastAsia="宋体" w:cs="宋体"/>
          <w:szCs w:val="21"/>
        </w:rPr>
        <w:t>第八条  本合同正本二份、副本</w:t>
      </w:r>
      <w:r>
        <w:rPr>
          <w:rFonts w:hint="eastAsia" w:ascii="宋体" w:hAnsi="宋体" w:eastAsia="宋体" w:cs="宋体"/>
          <w:szCs w:val="21"/>
          <w:u w:val="single"/>
        </w:rPr>
        <w:t xml:space="preserve">   6  </w:t>
      </w:r>
      <w:r>
        <w:rPr>
          <w:rFonts w:hint="eastAsia" w:ascii="宋体" w:hAnsi="宋体" w:eastAsia="宋体" w:cs="宋体"/>
          <w:szCs w:val="21"/>
        </w:rPr>
        <w:t>份，合同双方各执正本一份，副本</w:t>
      </w:r>
      <w:r>
        <w:rPr>
          <w:rFonts w:hint="eastAsia" w:ascii="宋体" w:hAnsi="宋体" w:eastAsia="宋体" w:cs="宋体"/>
          <w:szCs w:val="21"/>
          <w:u w:val="single"/>
        </w:rPr>
        <w:t xml:space="preserve">   6  </w:t>
      </w:r>
      <w:r>
        <w:rPr>
          <w:rFonts w:hint="eastAsia" w:ascii="宋体" w:hAnsi="宋体" w:eastAsia="宋体" w:cs="宋体"/>
          <w:szCs w:val="21"/>
        </w:rPr>
        <w:t>份，当正本与副本的内容不一致时，以正本为准。</w:t>
      </w:r>
    </w:p>
    <w:p>
      <w:pPr>
        <w:spacing w:line="300" w:lineRule="auto"/>
        <w:ind w:firstLine="420"/>
        <w:rPr>
          <w:rFonts w:ascii="宋体" w:hAnsi="宋体" w:eastAsia="宋体" w:cs="宋体"/>
          <w:szCs w:val="21"/>
        </w:rPr>
      </w:pPr>
    </w:p>
    <w:p>
      <w:pPr>
        <w:spacing w:line="300" w:lineRule="auto"/>
        <w:ind w:firstLine="420"/>
        <w:rPr>
          <w:rFonts w:ascii="宋体" w:hAnsi="宋体" w:eastAsia="宋体" w:cs="宋体"/>
          <w:szCs w:val="21"/>
        </w:rPr>
      </w:pPr>
    </w:p>
    <w:p>
      <w:pPr>
        <w:spacing w:line="300" w:lineRule="auto"/>
        <w:rPr>
          <w:rFonts w:ascii="宋体" w:hAnsi="宋体" w:eastAsia="宋体" w:cs="宋体"/>
          <w:szCs w:val="21"/>
        </w:rPr>
      </w:pPr>
      <w:r>
        <w:rPr>
          <w:rFonts w:hint="eastAsia" w:ascii="宋体" w:hAnsi="宋体" w:eastAsia="宋体" w:cs="宋体"/>
          <w:szCs w:val="21"/>
        </w:rPr>
        <w:t>发包人：</w:t>
      </w:r>
      <w:r>
        <w:rPr>
          <w:rFonts w:hint="eastAsia" w:ascii="宋体" w:hAnsi="宋体" w:eastAsia="宋体" w:cs="宋体"/>
          <w:szCs w:val="21"/>
          <w:u w:val="single"/>
        </w:rPr>
        <w:t xml:space="preserve">                      </w:t>
      </w:r>
      <w:r>
        <w:rPr>
          <w:rFonts w:hint="eastAsia" w:ascii="宋体" w:hAnsi="宋体" w:eastAsia="宋体" w:cs="宋体"/>
          <w:szCs w:val="21"/>
        </w:rPr>
        <w:t>（盖单位章） 承包人：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300" w:lineRule="auto"/>
        <w:rPr>
          <w:rFonts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 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pPr>
        <w:spacing w:line="320" w:lineRule="exact"/>
        <w:rPr>
          <w:rFonts w:ascii="宋体" w:hAnsi="宋体" w:eastAsia="宋体" w:cs="宋体"/>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 xml:space="preserve">日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400" w:lineRule="exact"/>
        <w:ind w:firstLine="3686"/>
        <w:rPr>
          <w:rFonts w:ascii="宋体" w:hAnsi="宋体" w:eastAsia="宋体" w:cs="宋体"/>
          <w:szCs w:val="21"/>
        </w:rPr>
      </w:pPr>
    </w:p>
    <w:p>
      <w:pPr>
        <w:rPr>
          <w:rFonts w:ascii="宋体" w:hAnsi="宋体" w:eastAsia="宋体" w:cs="宋体"/>
          <w:sz w:val="24"/>
        </w:rPr>
      </w:pPr>
    </w:p>
    <w:p>
      <w:pPr>
        <w:jc w:val="center"/>
        <w:rPr>
          <w:rFonts w:ascii="宋体" w:hAnsi="宋体" w:eastAsia="宋体" w:cs="宋体"/>
          <w:sz w:val="52"/>
          <w:szCs w:val="52"/>
        </w:rPr>
      </w:pPr>
      <w:r>
        <w:rPr>
          <w:rFonts w:hint="eastAsia" w:ascii="宋体" w:hAnsi="宋体" w:eastAsia="宋体" w:cs="宋体"/>
          <w:sz w:val="52"/>
          <w:szCs w:val="52"/>
        </w:rPr>
        <w:br w:type="page"/>
      </w:r>
    </w:p>
    <w:p>
      <w:pPr>
        <w:jc w:val="center"/>
        <w:rPr>
          <w:rFonts w:ascii="宋体" w:hAnsi="宋体" w:eastAsia="宋体" w:cs="宋体"/>
          <w:sz w:val="52"/>
          <w:szCs w:val="52"/>
        </w:rPr>
      </w:pPr>
    </w:p>
    <w:p>
      <w:pPr>
        <w:jc w:val="center"/>
        <w:rPr>
          <w:rFonts w:ascii="宋体" w:hAnsi="宋体" w:eastAsia="宋体" w:cs="宋体"/>
          <w:sz w:val="52"/>
          <w:szCs w:val="52"/>
        </w:rPr>
      </w:pPr>
    </w:p>
    <w:p>
      <w:pPr>
        <w:jc w:val="center"/>
        <w:rPr>
          <w:rFonts w:ascii="宋体" w:hAnsi="宋体" w:eastAsia="宋体" w:cs="宋体"/>
          <w:sz w:val="52"/>
          <w:szCs w:val="52"/>
        </w:rPr>
      </w:pPr>
    </w:p>
    <w:p>
      <w:pPr>
        <w:jc w:val="center"/>
        <w:rPr>
          <w:rFonts w:ascii="宋体" w:hAnsi="宋体" w:eastAsia="宋体" w:cs="宋体"/>
          <w:sz w:val="52"/>
          <w:szCs w:val="52"/>
        </w:rPr>
      </w:pPr>
    </w:p>
    <w:p>
      <w:pPr>
        <w:jc w:val="center"/>
        <w:rPr>
          <w:rFonts w:ascii="宋体" w:hAnsi="宋体" w:eastAsia="宋体" w:cs="宋体"/>
          <w:b/>
          <w:sz w:val="48"/>
          <w:szCs w:val="48"/>
        </w:rPr>
      </w:pPr>
      <w:r>
        <w:rPr>
          <w:rFonts w:hint="eastAsia" w:ascii="宋体" w:hAnsi="宋体" w:eastAsia="宋体" w:cs="宋体"/>
          <w:b/>
          <w:sz w:val="48"/>
          <w:szCs w:val="48"/>
        </w:rPr>
        <w:t>第五章  工程量清单</w:t>
      </w: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pStyle w:val="3"/>
        <w:spacing w:line="240" w:lineRule="auto"/>
        <w:jc w:val="center"/>
        <w:rPr>
          <w:rFonts w:ascii="宋体" w:hAnsi="宋体"/>
          <w:sz w:val="30"/>
          <w:szCs w:val="30"/>
        </w:rPr>
      </w:pPr>
      <w:r>
        <w:rPr>
          <w:rFonts w:hint="eastAsia" w:ascii="宋体" w:hAnsi="宋体"/>
          <w:b w:val="0"/>
          <w:bCs w:val="0"/>
          <w:sz w:val="36"/>
          <w:szCs w:val="36"/>
        </w:rPr>
        <w:br w:type="page"/>
      </w:r>
    </w:p>
    <w:p>
      <w:pPr>
        <w:spacing w:before="120" w:after="120"/>
        <w:ind w:left="-141" w:leftChars="-67" w:right="-27" w:rightChars="-13"/>
        <w:rPr>
          <w:rFonts w:eastAsia="黑体"/>
          <w:color w:val="000000"/>
          <w:sz w:val="24"/>
        </w:rPr>
      </w:pPr>
      <w:r>
        <w:rPr>
          <w:rFonts w:eastAsia="黑体"/>
          <w:color w:val="000000"/>
          <w:sz w:val="24"/>
        </w:rPr>
        <w:t>1.工程量清单说明</w:t>
      </w:r>
    </w:p>
    <w:p>
      <w:pPr>
        <w:spacing w:line="400" w:lineRule="exact"/>
        <w:ind w:left="-141" w:leftChars="-67" w:right="-27" w:rightChars="-13" w:firstLine="420" w:firstLineChars="200"/>
        <w:rPr>
          <w:color w:val="000000"/>
          <w:szCs w:val="21"/>
        </w:rPr>
      </w:pPr>
      <w:r>
        <w:rPr>
          <w:color w:val="000000"/>
          <w:szCs w:val="21"/>
        </w:rPr>
        <w:t>1.1本工程量清单是根据招标文件中包括的有合同约束力的</w:t>
      </w:r>
      <w:r>
        <w:rPr>
          <w:rFonts w:hint="eastAsia"/>
          <w:color w:val="000000"/>
          <w:szCs w:val="21"/>
        </w:rPr>
        <w:t>工程量清单计量规则、</w:t>
      </w:r>
      <w:r>
        <w:rPr>
          <w:color w:val="000000"/>
          <w:szCs w:val="21"/>
        </w:rPr>
        <w:t>图纸以及有关工程量清单的国家标准、行业标准、</w:t>
      </w:r>
      <w:r>
        <w:rPr>
          <w:rFonts w:hint="eastAsia"/>
          <w:color w:val="000000"/>
          <w:szCs w:val="21"/>
        </w:rPr>
        <w:t>地方标准、</w:t>
      </w:r>
      <w:r>
        <w:rPr>
          <w:color w:val="000000"/>
          <w:szCs w:val="21"/>
        </w:rPr>
        <w:t>合同条款中约定的</w:t>
      </w:r>
      <w:r>
        <w:rPr>
          <w:rFonts w:hint="eastAsia"/>
          <w:color w:val="000000"/>
          <w:szCs w:val="21"/>
        </w:rPr>
        <w:t>其他</w:t>
      </w:r>
      <w:r>
        <w:rPr>
          <w:color w:val="000000"/>
          <w:szCs w:val="21"/>
        </w:rPr>
        <w:t>规则编制。约定计量规则中没有的子目，其工程量按照有合同约束力的图纸所标示尺寸的理论净量计算。计量采用中华人民共和国法定计量单位。</w:t>
      </w:r>
    </w:p>
    <w:p>
      <w:pPr>
        <w:spacing w:line="400" w:lineRule="exact"/>
        <w:ind w:left="-141" w:leftChars="-67" w:right="-27" w:rightChars="-13" w:firstLine="420" w:firstLineChars="200"/>
        <w:rPr>
          <w:color w:val="000000"/>
          <w:szCs w:val="21"/>
        </w:rPr>
      </w:pPr>
      <w:r>
        <w:rPr>
          <w:color w:val="000000"/>
          <w:szCs w:val="21"/>
        </w:rPr>
        <w:t>1.2本工程量清单应与</w:t>
      </w:r>
      <w:r>
        <w:rPr>
          <w:rFonts w:hint="eastAsia"/>
          <w:color w:val="000000"/>
          <w:szCs w:val="21"/>
        </w:rPr>
        <w:t>DB33/T 628.1-2021《交通建设工程工程量清单计价规范 第1部分：公路工程》（下称《地方标准》）、</w:t>
      </w:r>
      <w:r>
        <w:rPr>
          <w:color w:val="000000"/>
          <w:szCs w:val="21"/>
        </w:rPr>
        <w:t>招标文件中的投标人须知、通用合同条款、专用合同条款、技术规范</w:t>
      </w:r>
      <w:r>
        <w:rPr>
          <w:rFonts w:hint="eastAsia"/>
          <w:color w:val="000000"/>
          <w:szCs w:val="21"/>
        </w:rPr>
        <w:t>、</w:t>
      </w:r>
      <w:r>
        <w:rPr>
          <w:color w:val="000000"/>
          <w:szCs w:val="21"/>
        </w:rPr>
        <w:t>图纸等一起阅读和理解。</w:t>
      </w:r>
    </w:p>
    <w:p>
      <w:pPr>
        <w:spacing w:line="400" w:lineRule="exact"/>
        <w:ind w:left="-141" w:leftChars="-67" w:right="-27" w:rightChars="-13" w:firstLine="420" w:firstLineChars="200"/>
        <w:rPr>
          <w:color w:val="000000"/>
          <w:szCs w:val="21"/>
        </w:rPr>
      </w:pPr>
      <w:r>
        <w:rPr>
          <w:color w:val="000000"/>
          <w:szCs w:val="21"/>
        </w:rPr>
        <w:t>1.3 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 15.4 款的规定，由监理人确定的单价或总额价计算支付额。</w:t>
      </w:r>
    </w:p>
    <w:p>
      <w:pPr>
        <w:spacing w:line="400" w:lineRule="exact"/>
        <w:ind w:left="-141" w:leftChars="-67" w:right="-27" w:rightChars="-13" w:firstLine="420" w:firstLineChars="200"/>
        <w:rPr>
          <w:color w:val="000000"/>
          <w:szCs w:val="21"/>
        </w:rPr>
      </w:pPr>
      <w:r>
        <w:rPr>
          <w:color w:val="000000"/>
          <w:szCs w:val="21"/>
        </w:rPr>
        <w:t>1.4工程量清单各章是按</w:t>
      </w:r>
      <w:r>
        <w:rPr>
          <w:rFonts w:hint="eastAsia"/>
          <w:color w:val="000000"/>
          <w:szCs w:val="21"/>
        </w:rPr>
        <w:t>《地方标准》</w:t>
      </w:r>
      <w:r>
        <w:rPr>
          <w:color w:val="000000"/>
          <w:szCs w:val="21"/>
        </w:rPr>
        <w:t>的相应章次编号的，因此，工程量清单中各章</w:t>
      </w:r>
      <w:r>
        <w:rPr>
          <w:rFonts w:hint="eastAsia"/>
          <w:color w:val="000000"/>
          <w:szCs w:val="21"/>
        </w:rPr>
        <w:t>子目</w:t>
      </w:r>
      <w:r>
        <w:rPr>
          <w:color w:val="000000"/>
          <w:szCs w:val="21"/>
        </w:rPr>
        <w:t>的工程</w:t>
      </w:r>
      <w:r>
        <w:rPr>
          <w:rFonts w:hint="eastAsia"/>
          <w:color w:val="000000"/>
          <w:szCs w:val="21"/>
        </w:rPr>
        <w:t>量</w:t>
      </w:r>
      <w:r>
        <w:rPr>
          <w:color w:val="000000"/>
          <w:szCs w:val="21"/>
        </w:rPr>
        <w:t>计量</w:t>
      </w:r>
      <w:r>
        <w:rPr>
          <w:rFonts w:hint="eastAsia"/>
          <w:color w:val="000000"/>
          <w:szCs w:val="21"/>
        </w:rPr>
        <w:t>、工程内容</w:t>
      </w:r>
      <w:r>
        <w:rPr>
          <w:color w:val="000000"/>
          <w:szCs w:val="21"/>
        </w:rPr>
        <w:t>等应与</w:t>
      </w:r>
      <w:r>
        <w:rPr>
          <w:rFonts w:hint="eastAsia"/>
          <w:color w:val="000000"/>
          <w:szCs w:val="21"/>
        </w:rPr>
        <w:t>《地方标准》</w:t>
      </w:r>
      <w:r>
        <w:rPr>
          <w:color w:val="000000"/>
          <w:szCs w:val="21"/>
        </w:rPr>
        <w:t>相应章节的工程</w:t>
      </w:r>
      <w:r>
        <w:rPr>
          <w:rFonts w:hint="eastAsia"/>
          <w:color w:val="000000"/>
          <w:szCs w:val="21"/>
        </w:rPr>
        <w:t>量</w:t>
      </w:r>
      <w:r>
        <w:rPr>
          <w:color w:val="000000"/>
          <w:szCs w:val="21"/>
        </w:rPr>
        <w:t>计量</w:t>
      </w:r>
      <w:r>
        <w:rPr>
          <w:rFonts w:hint="eastAsia"/>
          <w:color w:val="000000"/>
          <w:szCs w:val="21"/>
        </w:rPr>
        <w:t>、工程内容</w:t>
      </w:r>
      <w:r>
        <w:rPr>
          <w:color w:val="000000"/>
          <w:szCs w:val="21"/>
        </w:rPr>
        <w:t>结合起来理解或解释。</w:t>
      </w:r>
    </w:p>
    <w:p>
      <w:pPr>
        <w:spacing w:line="400" w:lineRule="exact"/>
        <w:ind w:left="-141" w:leftChars="-67" w:right="-27" w:rightChars="-13" w:firstLine="420" w:firstLineChars="200"/>
        <w:rPr>
          <w:color w:val="000000"/>
          <w:szCs w:val="21"/>
        </w:rPr>
      </w:pPr>
      <w:r>
        <w:rPr>
          <w:color w:val="000000"/>
          <w:szCs w:val="21"/>
        </w:rPr>
        <w:t>1.5 对作业和材料的一般说明或规定，未重复写入工程量清单内，在给工程量清单各子目标价前，应参阅第七章“技术规范”的有关内容。</w:t>
      </w:r>
    </w:p>
    <w:p>
      <w:pPr>
        <w:spacing w:line="400" w:lineRule="exact"/>
        <w:ind w:left="-141" w:leftChars="-67" w:right="-27" w:rightChars="-13" w:firstLine="420" w:firstLineChars="200"/>
        <w:rPr>
          <w:color w:val="000000"/>
          <w:szCs w:val="21"/>
        </w:rPr>
      </w:pPr>
      <w:r>
        <w:rPr>
          <w:color w:val="000000"/>
          <w:szCs w:val="21"/>
        </w:rPr>
        <w:t>1.6 工程量清单中所列工程量的变动，丝毫不会降低或影响合同条款的效力，也不免除承包人按规定的标准进行施工和修复缺陷的责任。</w:t>
      </w:r>
    </w:p>
    <w:p>
      <w:pPr>
        <w:spacing w:line="400" w:lineRule="exact"/>
        <w:ind w:left="-141" w:leftChars="-67" w:right="-27" w:rightChars="-13" w:firstLine="420" w:firstLineChars="200"/>
        <w:rPr>
          <w:color w:val="000000"/>
          <w:szCs w:val="21"/>
        </w:rPr>
      </w:pPr>
      <w:r>
        <w:rPr>
          <w:color w:val="000000"/>
          <w:szCs w:val="21"/>
        </w:rPr>
        <w:t>1.7 图纸中所列的工程数量表及数量汇总表仅是提供资料，不是工程量清单的外延。当图纸与工程量清单所列数量不一致时，以工程量清单所列数量作为报价的依据。</w:t>
      </w:r>
    </w:p>
    <w:p>
      <w:pPr>
        <w:spacing w:line="400" w:lineRule="exact"/>
        <w:ind w:left="-141" w:leftChars="-67" w:right="-27" w:rightChars="-13" w:firstLine="422" w:firstLineChars="200"/>
        <w:rPr>
          <w:b/>
          <w:color w:val="000000"/>
          <w:szCs w:val="21"/>
        </w:rPr>
      </w:pPr>
      <w:r>
        <w:rPr>
          <w:rFonts w:hint="eastAsia"/>
          <w:b/>
          <w:color w:val="000000"/>
          <w:szCs w:val="21"/>
        </w:rPr>
        <w:t>1.8工程量清单项目中所描述工作内容与施工图设计中工作内容不一致的，投标单位在报价时，应综合考虑，结算时不再另行单独计量，视为包含在清单项目计价中。</w:t>
      </w:r>
    </w:p>
    <w:p>
      <w:pPr>
        <w:spacing w:before="120" w:after="120"/>
        <w:ind w:left="-141" w:leftChars="-67" w:right="-27" w:rightChars="-13"/>
        <w:rPr>
          <w:rFonts w:eastAsia="黑体"/>
          <w:color w:val="000000"/>
          <w:sz w:val="24"/>
        </w:rPr>
      </w:pPr>
      <w:r>
        <w:rPr>
          <w:rFonts w:eastAsia="黑体"/>
          <w:color w:val="000000"/>
          <w:sz w:val="24"/>
        </w:rPr>
        <w:t>2．投标报价说明</w:t>
      </w:r>
    </w:p>
    <w:p>
      <w:pPr>
        <w:spacing w:line="400" w:lineRule="exact"/>
        <w:ind w:left="-141" w:leftChars="-67" w:right="-27" w:rightChars="-13" w:firstLine="420" w:firstLineChars="200"/>
        <w:rPr>
          <w:color w:val="000000"/>
          <w:szCs w:val="21"/>
        </w:rPr>
      </w:pPr>
      <w:r>
        <w:rPr>
          <w:color w:val="000000"/>
          <w:szCs w:val="21"/>
        </w:rPr>
        <w:t>2.1除非合同另有规定，工程量清单中有标价的单价和总额价均已包括了为实施和完成合同工程所需的劳务、材料、机械、质检（自检）、安装、</w:t>
      </w:r>
      <w:r>
        <w:rPr>
          <w:rFonts w:hint="eastAsia"/>
          <w:color w:val="000000"/>
          <w:szCs w:val="21"/>
        </w:rPr>
        <w:t>调试、</w:t>
      </w:r>
      <w:r>
        <w:rPr>
          <w:color w:val="000000"/>
          <w:szCs w:val="21"/>
        </w:rPr>
        <w:t>缺陷修复、管理、保险</w:t>
      </w:r>
      <w:r>
        <w:rPr>
          <w:rFonts w:hint="eastAsia"/>
          <w:color w:val="000000"/>
          <w:szCs w:val="21"/>
        </w:rPr>
        <w:t>（工程一切险和第三方责任险除外）</w:t>
      </w:r>
      <w:r>
        <w:rPr>
          <w:color w:val="000000"/>
          <w:szCs w:val="21"/>
        </w:rPr>
        <w:t>、税费、利润等费用，以及合同明示或暗示的所有责任、义务和一般风险。</w:t>
      </w:r>
    </w:p>
    <w:p>
      <w:pPr>
        <w:spacing w:line="400" w:lineRule="exact"/>
        <w:ind w:left="-141" w:leftChars="-67" w:right="-27" w:rightChars="-13" w:firstLine="420" w:firstLineChars="200"/>
        <w:rPr>
          <w:color w:val="000000"/>
          <w:szCs w:val="21"/>
        </w:rPr>
      </w:pPr>
      <w:r>
        <w:rPr>
          <w:color w:val="000000"/>
          <w:szCs w:val="21"/>
        </w:rPr>
        <w:t>2.2</w:t>
      </w:r>
      <w:r>
        <w:rPr>
          <w:rFonts w:hint="eastAsia"/>
          <w:color w:val="000000"/>
          <w:szCs w:val="21"/>
        </w:rPr>
        <w:t>除工程量清单漏项或设计变更引起新的工程量清单项（子）目外，符合合同条款、计价规范、技术规范规定的全部费用（包括暂估价等的管理费、税金）应认为已被计入有标价的工程量清单所列各项（子）目之中，未列项（子）目不予计量的工作，其费用应视为已分摊在本合同工程的有关项（子）目的单价或总额价之中。</w:t>
      </w:r>
    </w:p>
    <w:p>
      <w:pPr>
        <w:spacing w:line="400" w:lineRule="exact"/>
        <w:ind w:left="-141" w:leftChars="-67" w:right="-27" w:rightChars="-13" w:firstLine="420" w:firstLineChars="200"/>
        <w:rPr>
          <w:color w:val="000000"/>
          <w:szCs w:val="21"/>
        </w:rPr>
      </w:pPr>
      <w:r>
        <w:rPr>
          <w:color w:val="000000"/>
          <w:szCs w:val="21"/>
        </w:rPr>
        <w:t xml:space="preserve">2.3 </w:t>
      </w:r>
      <w:r>
        <w:rPr>
          <w:rFonts w:hint="eastAsia"/>
          <w:color w:val="000000"/>
          <w:szCs w:val="21"/>
        </w:rPr>
        <w:t>对于符合要求的投标文件，在签订合同协议书前，如发现工程量清单中有计算方面的算术性差错，应按投标人须知规定予以处理。</w:t>
      </w:r>
    </w:p>
    <w:p>
      <w:pPr>
        <w:spacing w:line="400" w:lineRule="exact"/>
        <w:ind w:left="-141" w:leftChars="-67" w:right="-27" w:rightChars="-13" w:firstLine="420" w:firstLineChars="200"/>
        <w:rPr>
          <w:color w:val="000000"/>
          <w:szCs w:val="21"/>
        </w:rPr>
      </w:pPr>
      <w:r>
        <w:rPr>
          <w:color w:val="000000"/>
          <w:szCs w:val="21"/>
        </w:rPr>
        <w:t>2.4</w:t>
      </w:r>
      <w:r>
        <w:rPr>
          <w:rFonts w:hint="eastAsia"/>
          <w:color w:val="000000"/>
          <w:szCs w:val="21"/>
        </w:rPr>
        <w:t>承包人用于本合同工程的各类装备的提供、运输、维护、拆卸、拼装等支付的费用，已包含在工程量清单的单价与总额价之中。</w:t>
      </w:r>
    </w:p>
    <w:p>
      <w:pPr>
        <w:spacing w:line="400" w:lineRule="exact"/>
        <w:ind w:left="-141" w:leftChars="-67" w:right="-27" w:rightChars="-13" w:firstLine="420" w:firstLineChars="200"/>
        <w:rPr>
          <w:color w:val="000000"/>
          <w:szCs w:val="21"/>
        </w:rPr>
      </w:pPr>
      <w:r>
        <w:rPr>
          <w:rFonts w:hint="eastAsia"/>
          <w:color w:val="000000"/>
          <w:szCs w:val="21"/>
        </w:rPr>
        <w:t>2.5 工程量清单中各项金额均以人民币（元）结算，有特殊规定的从其规定。</w:t>
      </w:r>
    </w:p>
    <w:p>
      <w:pPr>
        <w:spacing w:line="400" w:lineRule="exact"/>
        <w:ind w:left="-141" w:leftChars="-67" w:right="-27" w:rightChars="-13" w:firstLine="420" w:firstLineChars="200"/>
        <w:rPr>
          <w:color w:val="000000"/>
        </w:rPr>
      </w:pPr>
      <w:r>
        <w:rPr>
          <w:color w:val="000000"/>
          <w:szCs w:val="21"/>
        </w:rPr>
        <w:t>2.</w:t>
      </w:r>
      <w:r>
        <w:rPr>
          <w:rFonts w:hint="eastAsia"/>
          <w:color w:val="000000"/>
          <w:szCs w:val="21"/>
        </w:rPr>
        <w:t>6 在工程量清单中标明的暂列金额，除合同另有规定外，应由监理人按相应合同条款的规定，结合工程具体情况，报发包人批准后指令全部或部分地使用，或者根本不予动用</w:t>
      </w:r>
      <w:r>
        <w:rPr>
          <w:rFonts w:hint="eastAsia"/>
          <w:color w:val="000000"/>
        </w:rPr>
        <w:t>。</w:t>
      </w:r>
      <w:r>
        <w:rPr>
          <w:color w:val="000000"/>
        </w:rPr>
        <w:t>暂列金额</w:t>
      </w:r>
      <w:r>
        <w:rPr>
          <w:rFonts w:hint="eastAsia"/>
          <w:color w:val="000000"/>
        </w:rPr>
        <w:t>的</w:t>
      </w:r>
      <w:r>
        <w:rPr>
          <w:color w:val="000000"/>
        </w:rPr>
        <w:t>数量及拟用子目的说明：</w:t>
      </w:r>
      <w:r>
        <w:rPr>
          <w:rFonts w:hint="eastAsia"/>
          <w:color w:val="000000"/>
          <w:u w:val="single"/>
        </w:rPr>
        <w:t xml:space="preserve">    /    </w:t>
      </w:r>
      <w:r>
        <w:rPr>
          <w:rFonts w:hint="eastAsia"/>
          <w:color w:val="000000"/>
        </w:rPr>
        <w:t>。</w:t>
      </w:r>
    </w:p>
    <w:p>
      <w:pPr>
        <w:spacing w:before="120" w:after="120"/>
        <w:ind w:left="-141" w:leftChars="-67" w:right="-27" w:rightChars="-13"/>
        <w:rPr>
          <w:rFonts w:eastAsia="黑体"/>
          <w:color w:val="000000"/>
          <w:sz w:val="24"/>
        </w:rPr>
      </w:pPr>
      <w:bookmarkStart w:id="535" w:name="_Toc1769"/>
      <w:bookmarkStart w:id="536" w:name="_Toc12575"/>
      <w:bookmarkStart w:id="537" w:name="_Toc17824"/>
      <w:bookmarkStart w:id="538" w:name="_Toc13197"/>
      <w:bookmarkStart w:id="539" w:name="_Toc30764"/>
      <w:bookmarkStart w:id="540" w:name="_Toc5500"/>
      <w:bookmarkStart w:id="541" w:name="_Toc25456"/>
      <w:bookmarkStart w:id="542" w:name="_Toc15724"/>
      <w:r>
        <w:rPr>
          <w:rFonts w:hint="eastAsia" w:eastAsia="黑体"/>
          <w:color w:val="000000"/>
          <w:sz w:val="24"/>
        </w:rPr>
        <w:t>3.工程量计价规则（修改或增列）</w:t>
      </w:r>
      <w:bookmarkEnd w:id="535"/>
      <w:bookmarkEnd w:id="536"/>
      <w:bookmarkEnd w:id="537"/>
      <w:bookmarkEnd w:id="538"/>
      <w:bookmarkEnd w:id="539"/>
      <w:bookmarkEnd w:id="540"/>
      <w:bookmarkEnd w:id="541"/>
      <w:bookmarkEnd w:id="542"/>
      <w:r>
        <w:rPr>
          <w:rFonts w:hint="eastAsia" w:eastAsia="黑体"/>
          <w:color w:val="000000"/>
          <w:sz w:val="24"/>
        </w:rPr>
        <w:t xml:space="preserve"> </w:t>
      </w:r>
    </w:p>
    <w:p>
      <w:pPr>
        <w:autoSpaceDE w:val="0"/>
        <w:autoSpaceDN w:val="0"/>
        <w:adjustRightInd w:val="0"/>
        <w:spacing w:line="360" w:lineRule="auto"/>
        <w:ind w:firstLine="420" w:firstLineChars="200"/>
        <w:rPr>
          <w:color w:val="000000"/>
          <w:szCs w:val="21"/>
        </w:rPr>
      </w:pPr>
      <w:bookmarkStart w:id="543" w:name="_Toc15715"/>
      <w:bookmarkStart w:id="544" w:name="_Toc107779835"/>
      <w:bookmarkStart w:id="545" w:name="_Toc3670"/>
      <w:bookmarkStart w:id="546" w:name="_Toc1942"/>
      <w:bookmarkStart w:id="547" w:name="_Toc11146"/>
      <w:bookmarkStart w:id="548" w:name="_Toc3625"/>
      <w:bookmarkStart w:id="549" w:name="_Toc24565"/>
      <w:bookmarkStart w:id="550" w:name="_Toc12347"/>
      <w:bookmarkStart w:id="551" w:name="_Toc1908"/>
      <w:r>
        <w:rPr>
          <w:color w:val="000000"/>
          <w:szCs w:val="21"/>
        </w:rPr>
        <w:t>按照浙江省地方标准《交通建设工程工程量清单计价规范 第1 部分：公路工程》（DB 33/T628.1—2021）编制。</w:t>
      </w:r>
    </w:p>
    <w:p>
      <w:pPr>
        <w:spacing w:before="120" w:after="120"/>
        <w:ind w:left="-141" w:leftChars="-67" w:right="-27" w:rightChars="-13"/>
        <w:rPr>
          <w:rFonts w:eastAsia="黑体"/>
          <w:color w:val="000000"/>
          <w:sz w:val="24"/>
        </w:rPr>
      </w:pPr>
      <w:r>
        <w:rPr>
          <w:rFonts w:hint="eastAsia" w:eastAsia="黑体"/>
          <w:color w:val="000000"/>
          <w:sz w:val="24"/>
        </w:rPr>
        <w:t>4.计日工说明</w:t>
      </w:r>
      <w:bookmarkEnd w:id="543"/>
      <w:bookmarkEnd w:id="544"/>
      <w:bookmarkEnd w:id="545"/>
      <w:bookmarkEnd w:id="546"/>
      <w:bookmarkEnd w:id="547"/>
      <w:bookmarkEnd w:id="548"/>
      <w:bookmarkEnd w:id="549"/>
      <w:bookmarkEnd w:id="550"/>
      <w:bookmarkEnd w:id="551"/>
    </w:p>
    <w:p>
      <w:pPr>
        <w:spacing w:line="380" w:lineRule="exact"/>
        <w:ind w:left="-141" w:leftChars="-67" w:right="-27" w:rightChars="-13" w:firstLine="420" w:firstLineChars="200"/>
        <w:rPr>
          <w:color w:val="000000"/>
          <w:szCs w:val="21"/>
        </w:rPr>
      </w:pPr>
      <w:r>
        <w:rPr>
          <w:rFonts w:ascii="宋体" w:hAnsi="宋体"/>
          <w:color w:val="000000"/>
          <w:szCs w:val="21"/>
        </w:rPr>
        <w:t>本项目不适用。</w:t>
      </w:r>
    </w:p>
    <w:p>
      <w:pPr>
        <w:spacing w:before="120" w:after="120"/>
        <w:ind w:left="-141" w:leftChars="-67" w:right="-27" w:rightChars="-13"/>
        <w:rPr>
          <w:rFonts w:eastAsia="黑体"/>
          <w:color w:val="000000"/>
          <w:sz w:val="24"/>
        </w:rPr>
      </w:pPr>
      <w:r>
        <w:rPr>
          <w:rFonts w:eastAsia="黑体"/>
          <w:color w:val="000000"/>
          <w:sz w:val="24"/>
        </w:rPr>
        <w:t>5．其他说明</w:t>
      </w:r>
    </w:p>
    <w:p>
      <w:pPr>
        <w:spacing w:line="380" w:lineRule="exact"/>
        <w:ind w:left="-141" w:leftChars="-67" w:right="-27" w:rightChars="-13" w:firstLine="420" w:firstLineChars="200"/>
        <w:rPr>
          <w:rFonts w:ascii="宋体" w:hAnsi="宋体"/>
          <w:color w:val="000000"/>
          <w:szCs w:val="21"/>
        </w:rPr>
      </w:pPr>
      <w:r>
        <w:rPr>
          <w:rFonts w:ascii="宋体" w:hAnsi="宋体"/>
          <w:color w:val="000000"/>
          <w:szCs w:val="21"/>
        </w:rPr>
        <w:t>5</w:t>
      </w:r>
      <w:r>
        <w:rPr>
          <w:rFonts w:hint="eastAsia" w:ascii="宋体" w:hAnsi="宋体"/>
          <w:color w:val="000000"/>
          <w:szCs w:val="21"/>
        </w:rPr>
        <w:t>.1建筑</w:t>
      </w:r>
      <w:r>
        <w:rPr>
          <w:rFonts w:ascii="宋体" w:hAnsi="宋体"/>
          <w:color w:val="000000"/>
          <w:szCs w:val="21"/>
        </w:rPr>
        <w:t>工程一切险：</w:t>
      </w:r>
      <w:r>
        <w:rPr>
          <w:rFonts w:hint="eastAsia" w:ascii="宋体" w:hAnsi="宋体"/>
          <w:color w:val="000000"/>
          <w:szCs w:val="21"/>
        </w:rPr>
        <w:t>按规定100章</w:t>
      </w:r>
      <w:r>
        <w:rPr>
          <w:rFonts w:ascii="宋体" w:hAnsi="宋体"/>
          <w:color w:val="000000"/>
          <w:szCs w:val="21"/>
        </w:rPr>
        <w:t>至</w:t>
      </w:r>
      <w:r>
        <w:rPr>
          <w:rFonts w:hint="eastAsia" w:ascii="宋体" w:hAnsi="宋体"/>
          <w:color w:val="000000"/>
          <w:szCs w:val="21"/>
        </w:rPr>
        <w:t>600章</w:t>
      </w:r>
      <w:r>
        <w:rPr>
          <w:rFonts w:ascii="宋体" w:hAnsi="宋体"/>
          <w:color w:val="000000"/>
          <w:szCs w:val="21"/>
        </w:rPr>
        <w:t>总额（</w:t>
      </w:r>
      <w:r>
        <w:rPr>
          <w:rFonts w:hint="eastAsia" w:ascii="宋体" w:hAnsi="宋体"/>
          <w:color w:val="000000"/>
          <w:szCs w:val="21"/>
        </w:rPr>
        <w:t>不</w:t>
      </w:r>
      <w:r>
        <w:rPr>
          <w:rFonts w:ascii="宋体" w:hAnsi="宋体"/>
          <w:color w:val="000000"/>
          <w:szCs w:val="21"/>
        </w:rPr>
        <w:t>包括</w:t>
      </w:r>
      <w:r>
        <w:rPr>
          <w:rFonts w:hint="eastAsia" w:ascii="宋体" w:hAnsi="宋体"/>
          <w:color w:val="000000"/>
          <w:szCs w:val="21"/>
        </w:rPr>
        <w:t>建筑</w:t>
      </w:r>
      <w:r>
        <w:rPr>
          <w:rFonts w:ascii="宋体" w:hAnsi="宋体"/>
          <w:color w:val="000000"/>
          <w:szCs w:val="21"/>
        </w:rPr>
        <w:t>工程一切险</w:t>
      </w:r>
      <w:r>
        <w:rPr>
          <w:rFonts w:hint="eastAsia" w:ascii="宋体" w:hAnsi="宋体"/>
          <w:color w:val="000000"/>
          <w:szCs w:val="21"/>
        </w:rPr>
        <w:t>、</w:t>
      </w:r>
      <w:r>
        <w:rPr>
          <w:rFonts w:ascii="宋体" w:hAnsi="宋体"/>
          <w:color w:val="000000"/>
          <w:szCs w:val="21"/>
        </w:rPr>
        <w:t>第三者责任险）的</w:t>
      </w:r>
      <w:r>
        <w:rPr>
          <w:rFonts w:hint="eastAsia" w:ascii="宋体" w:hAnsi="宋体"/>
          <w:color w:val="000000"/>
          <w:szCs w:val="21"/>
        </w:rPr>
        <w:t>0.3</w:t>
      </w:r>
      <w:r>
        <w:rPr>
          <w:rFonts w:ascii="宋体" w:hAnsi="宋体"/>
          <w:color w:val="000000"/>
          <w:szCs w:val="21"/>
        </w:rPr>
        <w:t>%计取</w:t>
      </w:r>
      <w:r>
        <w:rPr>
          <w:rFonts w:hint="eastAsia" w:ascii="宋体" w:hAnsi="宋体"/>
          <w:color w:val="000000"/>
          <w:szCs w:val="21"/>
        </w:rPr>
        <w:t>。</w:t>
      </w:r>
    </w:p>
    <w:p>
      <w:pPr>
        <w:spacing w:line="380" w:lineRule="exact"/>
        <w:ind w:left="-141" w:leftChars="-67" w:right="-27" w:rightChars="-13" w:firstLine="420" w:firstLineChars="200"/>
        <w:rPr>
          <w:rFonts w:ascii="宋体" w:hAnsi="宋体"/>
          <w:color w:val="000000"/>
          <w:szCs w:val="21"/>
        </w:rPr>
      </w:pPr>
      <w:r>
        <w:rPr>
          <w:rFonts w:ascii="宋体" w:hAnsi="宋体"/>
          <w:color w:val="000000"/>
          <w:szCs w:val="21"/>
        </w:rPr>
        <w:t>5.2</w:t>
      </w:r>
      <w:r>
        <w:rPr>
          <w:rFonts w:hint="eastAsia" w:ascii="宋体" w:hAnsi="宋体" w:eastAsia="宋体" w:cs="宋体"/>
          <w:szCs w:val="21"/>
        </w:rPr>
        <w:t>第三者责任险的最低投保金额100万元，事故次数不限(不计免赔金额以内的损失，由承包人承担) 保险费率：5‰。</w:t>
      </w:r>
    </w:p>
    <w:p>
      <w:pPr>
        <w:spacing w:line="380" w:lineRule="exact"/>
        <w:ind w:left="-141" w:leftChars="-67" w:right="-27" w:rightChars="-13" w:firstLine="422" w:firstLineChars="200"/>
        <w:rPr>
          <w:rFonts w:ascii="宋体" w:hAnsi="宋体"/>
          <w:color w:val="000000"/>
          <w:szCs w:val="21"/>
        </w:rPr>
      </w:pPr>
      <w:r>
        <w:rPr>
          <w:rFonts w:ascii="宋体" w:hAnsi="宋体"/>
          <w:b/>
          <w:color w:val="000000"/>
          <w:szCs w:val="21"/>
        </w:rPr>
        <w:t>5.3</w:t>
      </w:r>
      <w:r>
        <w:rPr>
          <w:rFonts w:hint="eastAsia" w:ascii="宋体" w:hAnsi="宋体"/>
          <w:b/>
          <w:color w:val="000000"/>
          <w:szCs w:val="21"/>
        </w:rPr>
        <w:t>承包人在施工过程中采取安全保护措施的安全生产费不低于投标报价（不含安全生产费、建筑工程一切险和安全生产责任险的保险费）的2%。</w:t>
      </w:r>
      <w:r>
        <w:rPr>
          <w:rFonts w:hint="eastAsia" w:ascii="宋体" w:hAnsi="宋体"/>
          <w:color w:val="000000"/>
          <w:szCs w:val="21"/>
        </w:rPr>
        <w:t>安全生产费用应用于施工安全防护设施设备、防护用品，落实风险管控、隐患排查治理、应急管理、安全教育、特种设备检验等施工安全保障措施的采购和更新、安全施工措施的落实、安全生产条件的改善，不得挪作他用（含安全生产责任险或第三方责任险、高空作业等临空临边防护费用、施工作业区域安全警示及警告标志标牌、各种消防设备及器材、施工现场作业人员安全防护用品等）、施工期间保证通行的陆上交通管制（含沿线施工围挡，施工围挡样式需满足业主及相关部门要求，各投标单位投标时需综合考虑）；涉及到需要现场交通维护、交通指挥、交通组织设计等交通管理，由投标单位一并在安全生产费用内综合考虑，不单独列项计算。</w:t>
      </w:r>
    </w:p>
    <w:p>
      <w:pPr>
        <w:spacing w:line="380" w:lineRule="exact"/>
        <w:ind w:left="-141" w:leftChars="-67" w:right="-27" w:rightChars="-13" w:firstLine="422" w:firstLineChars="200"/>
        <w:rPr>
          <w:rFonts w:ascii="宋体" w:hAnsi="宋体"/>
          <w:szCs w:val="21"/>
        </w:rPr>
      </w:pPr>
      <w:r>
        <w:rPr>
          <w:rFonts w:ascii="宋体" w:hAnsi="宋体"/>
          <w:b/>
          <w:szCs w:val="21"/>
        </w:rPr>
        <w:t>5.4</w:t>
      </w:r>
      <w:r>
        <w:rPr>
          <w:rFonts w:ascii="宋体" w:hAnsi="宋体"/>
          <w:szCs w:val="21"/>
        </w:rPr>
        <w:t xml:space="preserve"> </w:t>
      </w:r>
      <w:r>
        <w:rPr>
          <w:rFonts w:hint="eastAsia" w:ascii="宋体" w:hAnsi="宋体"/>
          <w:szCs w:val="21"/>
        </w:rPr>
        <w:t>100章总则：提供建筑一切险按0.3%，第三者责任险按保额100万*0.5%计入，安全生产费按2%，竣工文件按3000元，临时供电设施架设、维护与拆除按3000元，承包人驻地建设按5000元；</w:t>
      </w:r>
    </w:p>
    <w:p>
      <w:pPr>
        <w:spacing w:line="380" w:lineRule="exact"/>
        <w:ind w:left="-141" w:leftChars="-67" w:right="-27" w:rightChars="-13" w:firstLine="420" w:firstLineChars="200"/>
        <w:rPr>
          <w:rFonts w:ascii="宋体" w:hAnsi="宋体"/>
          <w:szCs w:val="21"/>
        </w:rPr>
      </w:pPr>
      <w:r>
        <w:rPr>
          <w:rFonts w:ascii="宋体" w:hAnsi="宋体"/>
          <w:szCs w:val="21"/>
        </w:rPr>
        <w:t>5.5</w:t>
      </w:r>
      <w:r>
        <w:rPr>
          <w:rFonts w:hint="eastAsia" w:ascii="宋体" w:hAnsi="宋体"/>
          <w:szCs w:val="21"/>
        </w:rPr>
        <w:t>本预算审核旧版面的拆除、版面贴膜的版面拆除安装等费用都已包含在相应单价内，投标人投标时请综合考虑；</w:t>
      </w:r>
    </w:p>
    <w:p>
      <w:pPr>
        <w:spacing w:line="380" w:lineRule="exact"/>
        <w:ind w:left="-141" w:leftChars="-67" w:right="-27" w:rightChars="-13" w:firstLine="420" w:firstLineChars="200"/>
        <w:rPr>
          <w:rFonts w:ascii="宋体" w:hAnsi="宋体"/>
          <w:color w:val="000000"/>
          <w:szCs w:val="21"/>
        </w:rPr>
      </w:pPr>
      <w:r>
        <w:rPr>
          <w:rFonts w:ascii="宋体" w:hAnsi="宋体"/>
          <w:color w:val="000000"/>
          <w:szCs w:val="21"/>
        </w:rPr>
        <w:t>5.6</w:t>
      </w:r>
      <w:r>
        <w:rPr>
          <w:rFonts w:hint="eastAsia" w:ascii="宋体" w:hAnsi="宋体"/>
          <w:color w:val="000000"/>
          <w:szCs w:val="21"/>
        </w:rPr>
        <w:t>暂列金额(预备金)本次预算审核未计入。</w:t>
      </w:r>
    </w:p>
    <w:p>
      <w:pPr>
        <w:spacing w:line="380" w:lineRule="exact"/>
        <w:ind w:left="-141" w:leftChars="-67" w:right="-27" w:rightChars="-13" w:firstLine="420" w:firstLineChars="200"/>
        <w:rPr>
          <w:rFonts w:ascii="宋体" w:hAnsi="宋体"/>
          <w:color w:val="000000"/>
          <w:szCs w:val="21"/>
        </w:rPr>
      </w:pPr>
      <w:r>
        <w:rPr>
          <w:rFonts w:ascii="宋体" w:hAnsi="宋体"/>
          <w:color w:val="000000"/>
          <w:szCs w:val="21"/>
        </w:rPr>
        <w:t>5.7综合单价中的风险因素、风险范围（幅度）由投标方自行考虑，控制价中不考虑</w:t>
      </w:r>
      <w:r>
        <w:rPr>
          <w:rFonts w:hint="eastAsia" w:ascii="宋体" w:hAnsi="宋体"/>
          <w:color w:val="000000"/>
          <w:szCs w:val="21"/>
        </w:rPr>
        <w:t>。</w:t>
      </w:r>
    </w:p>
    <w:p>
      <w:pPr>
        <w:spacing w:line="380" w:lineRule="exact"/>
        <w:ind w:left="-141" w:leftChars="-67" w:right="-27" w:rightChars="-13" w:firstLine="422" w:firstLineChars="200"/>
        <w:rPr>
          <w:rFonts w:ascii="宋体" w:hAnsi="宋体"/>
          <w:b/>
          <w:color w:val="000000"/>
          <w:szCs w:val="21"/>
        </w:rPr>
      </w:pPr>
      <w:r>
        <w:rPr>
          <w:rFonts w:ascii="宋体" w:hAnsi="宋体"/>
          <w:b/>
          <w:color w:val="000000"/>
          <w:szCs w:val="21"/>
        </w:rPr>
        <w:t>5.8</w:t>
      </w:r>
      <w:r>
        <w:rPr>
          <w:rFonts w:hint="eastAsia" w:ascii="宋体" w:hAnsi="宋体"/>
          <w:b/>
          <w:color w:val="000000"/>
          <w:szCs w:val="21"/>
        </w:rPr>
        <w:t>投标人未按招标文件规定下浮区间内报价的，作无效标处理。</w:t>
      </w:r>
    </w:p>
    <w:p>
      <w:pPr>
        <w:spacing w:line="380" w:lineRule="exact"/>
        <w:ind w:left="-141" w:leftChars="-67" w:right="-27" w:rightChars="-13" w:firstLine="422" w:firstLineChars="200"/>
        <w:rPr>
          <w:rFonts w:ascii="宋体" w:hAnsi="宋体"/>
          <w:b/>
          <w:color w:val="000000"/>
          <w:szCs w:val="21"/>
        </w:rPr>
      </w:pPr>
      <w:r>
        <w:rPr>
          <w:rFonts w:hint="eastAsia" w:ascii="宋体" w:hAnsi="宋体"/>
          <w:b/>
          <w:color w:val="000000"/>
          <w:szCs w:val="21"/>
        </w:rPr>
        <w:t>5.</w:t>
      </w:r>
      <w:r>
        <w:rPr>
          <w:rFonts w:ascii="宋体" w:hAnsi="宋体"/>
          <w:b/>
          <w:color w:val="000000"/>
          <w:szCs w:val="21"/>
        </w:rPr>
        <w:t>9</w:t>
      </w:r>
      <w:r>
        <w:rPr>
          <w:rFonts w:hint="eastAsia" w:ascii="宋体" w:hAnsi="宋体"/>
          <w:b/>
          <w:color w:val="000000"/>
          <w:szCs w:val="21"/>
        </w:rPr>
        <w:t>工程量清单审核书（详见</w:t>
      </w:r>
      <w:r>
        <w:rPr>
          <w:rFonts w:hint="eastAsia"/>
          <w:sz w:val="22"/>
        </w:rPr>
        <w:t>http://www.sanmen.gov.cn/col/col1229610743/index.html</w:t>
      </w:r>
      <w:r>
        <w:rPr>
          <w:rFonts w:hint="eastAsia" w:ascii="宋体" w:hAnsi="宋体"/>
          <w:b/>
          <w:color w:val="000000"/>
          <w:szCs w:val="21"/>
        </w:rPr>
        <w:t>）</w:t>
      </w:r>
    </w:p>
    <w:p>
      <w:pPr>
        <w:rPr>
          <w:rFonts w:ascii="宋体" w:hAnsi="宋体" w:eastAsia="宋体" w:cs="宋体"/>
          <w:sz w:val="24"/>
        </w:rPr>
      </w:pPr>
      <w:r>
        <w:rPr>
          <w:rFonts w:hint="eastAsia" w:ascii="宋体" w:hAnsi="宋体" w:eastAsia="宋体" w:cs="宋体"/>
          <w:sz w:val="24"/>
        </w:rPr>
        <w:br w:type="page"/>
      </w:r>
    </w:p>
    <w:p>
      <w:pPr>
        <w:pStyle w:val="3"/>
        <w:keepNext w:val="0"/>
        <w:keepLines w:val="0"/>
        <w:spacing w:before="0" w:after="0" w:line="240" w:lineRule="auto"/>
        <w:jc w:val="center"/>
        <w:rPr>
          <w:rFonts w:ascii="宋体" w:hAnsi="宋体"/>
          <w:sz w:val="72"/>
          <w:szCs w:val="72"/>
        </w:rPr>
      </w:pPr>
    </w:p>
    <w:p>
      <w:pPr>
        <w:pStyle w:val="3"/>
        <w:keepNext w:val="0"/>
        <w:keepLines w:val="0"/>
        <w:spacing w:before="0" w:after="0" w:line="240" w:lineRule="auto"/>
        <w:jc w:val="center"/>
        <w:rPr>
          <w:rFonts w:ascii="宋体" w:hAnsi="宋体"/>
          <w:sz w:val="72"/>
          <w:szCs w:val="72"/>
        </w:rPr>
      </w:pPr>
      <w:bookmarkStart w:id="552" w:name="_Toc173244876"/>
      <w:bookmarkStart w:id="553" w:name="_Toc173246263"/>
      <w:r>
        <w:rPr>
          <w:rFonts w:hint="eastAsia" w:ascii="宋体" w:hAnsi="宋体"/>
          <w:sz w:val="72"/>
          <w:szCs w:val="72"/>
        </w:rPr>
        <w:t>第  二  卷</w:t>
      </w:r>
      <w:bookmarkEnd w:id="552"/>
      <w:bookmarkEnd w:id="553"/>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jc w:val="center"/>
        <w:rPr>
          <w:rFonts w:ascii="宋体" w:hAnsi="宋体" w:eastAsia="宋体" w:cs="宋体"/>
          <w:b/>
          <w:sz w:val="48"/>
          <w:szCs w:val="48"/>
        </w:rPr>
      </w:pPr>
    </w:p>
    <w:p>
      <w:pPr>
        <w:jc w:val="center"/>
        <w:rPr>
          <w:rFonts w:ascii="宋体" w:hAnsi="宋体" w:eastAsia="宋体" w:cs="宋体"/>
          <w:b/>
          <w:sz w:val="48"/>
          <w:szCs w:val="48"/>
        </w:rPr>
      </w:pPr>
    </w:p>
    <w:p>
      <w:pPr>
        <w:jc w:val="center"/>
        <w:rPr>
          <w:rFonts w:ascii="宋体" w:hAnsi="宋体" w:eastAsia="宋体" w:cs="宋体"/>
          <w:b/>
          <w:sz w:val="48"/>
          <w:szCs w:val="48"/>
        </w:rPr>
      </w:pPr>
    </w:p>
    <w:p>
      <w:pPr>
        <w:jc w:val="center"/>
        <w:rPr>
          <w:rFonts w:ascii="宋体" w:hAnsi="宋体" w:eastAsia="宋体" w:cs="宋体"/>
          <w:b/>
          <w:sz w:val="48"/>
          <w:szCs w:val="48"/>
        </w:rPr>
      </w:pPr>
    </w:p>
    <w:p>
      <w:pPr>
        <w:jc w:val="center"/>
        <w:rPr>
          <w:rFonts w:ascii="宋体" w:hAnsi="宋体" w:eastAsia="宋体" w:cs="宋体"/>
          <w:b/>
          <w:sz w:val="48"/>
          <w:szCs w:val="48"/>
        </w:rPr>
      </w:pPr>
    </w:p>
    <w:p>
      <w:pPr>
        <w:jc w:val="center"/>
        <w:rPr>
          <w:rFonts w:ascii="宋体" w:hAnsi="宋体" w:eastAsia="宋体" w:cs="宋体"/>
          <w:b/>
          <w:sz w:val="48"/>
          <w:szCs w:val="48"/>
        </w:rPr>
      </w:pPr>
    </w:p>
    <w:p>
      <w:pPr>
        <w:jc w:val="center"/>
        <w:rPr>
          <w:rFonts w:ascii="宋体" w:hAnsi="宋体" w:eastAsia="宋体" w:cs="宋体"/>
          <w:b/>
          <w:sz w:val="48"/>
          <w:szCs w:val="48"/>
        </w:rPr>
      </w:pPr>
    </w:p>
    <w:p>
      <w:pPr>
        <w:jc w:val="center"/>
        <w:rPr>
          <w:rFonts w:ascii="宋体" w:hAnsi="宋体" w:eastAsia="宋体" w:cs="宋体"/>
          <w:b/>
          <w:sz w:val="48"/>
          <w:szCs w:val="48"/>
        </w:rPr>
      </w:pPr>
    </w:p>
    <w:p>
      <w:pPr>
        <w:jc w:val="center"/>
        <w:rPr>
          <w:rFonts w:ascii="宋体" w:hAnsi="宋体" w:eastAsia="宋体" w:cs="宋体"/>
          <w:b/>
          <w:sz w:val="48"/>
          <w:szCs w:val="48"/>
        </w:rPr>
      </w:pPr>
    </w:p>
    <w:p>
      <w:pPr>
        <w:jc w:val="center"/>
        <w:rPr>
          <w:rFonts w:ascii="宋体" w:hAnsi="宋体" w:eastAsia="宋体" w:cs="宋体"/>
          <w:b/>
          <w:sz w:val="48"/>
          <w:szCs w:val="48"/>
        </w:rPr>
      </w:pPr>
    </w:p>
    <w:p>
      <w:pPr>
        <w:jc w:val="center"/>
        <w:rPr>
          <w:rFonts w:ascii="宋体" w:hAnsi="宋体" w:eastAsia="宋体" w:cs="宋体"/>
          <w:b/>
          <w:sz w:val="48"/>
          <w:szCs w:val="48"/>
        </w:rPr>
      </w:pPr>
    </w:p>
    <w:p>
      <w:pPr>
        <w:jc w:val="center"/>
        <w:rPr>
          <w:rFonts w:ascii="宋体" w:hAnsi="宋体" w:eastAsia="宋体" w:cs="宋体"/>
          <w:b/>
          <w:sz w:val="48"/>
          <w:szCs w:val="48"/>
        </w:rPr>
      </w:pPr>
    </w:p>
    <w:p>
      <w:pPr>
        <w:jc w:val="center"/>
        <w:rPr>
          <w:rFonts w:ascii="宋体" w:hAnsi="宋体" w:eastAsia="宋体" w:cs="宋体"/>
          <w:b/>
          <w:sz w:val="48"/>
          <w:szCs w:val="48"/>
        </w:rPr>
      </w:pPr>
    </w:p>
    <w:p>
      <w:pPr>
        <w:jc w:val="center"/>
        <w:rPr>
          <w:rFonts w:ascii="宋体" w:hAnsi="宋体" w:eastAsia="宋体" w:cs="宋体"/>
          <w:b/>
          <w:sz w:val="48"/>
          <w:szCs w:val="48"/>
        </w:rPr>
      </w:pPr>
    </w:p>
    <w:p>
      <w:pPr>
        <w:jc w:val="center"/>
        <w:rPr>
          <w:rFonts w:ascii="宋体" w:hAnsi="宋体" w:eastAsia="宋体" w:cs="宋体"/>
          <w:b/>
          <w:sz w:val="48"/>
          <w:szCs w:val="48"/>
        </w:rPr>
      </w:pPr>
    </w:p>
    <w:p>
      <w:pPr>
        <w:jc w:val="center"/>
        <w:rPr>
          <w:rFonts w:ascii="宋体" w:hAnsi="宋体" w:eastAsia="宋体" w:cs="宋体"/>
          <w:b/>
          <w:sz w:val="48"/>
          <w:szCs w:val="48"/>
        </w:rPr>
      </w:pPr>
    </w:p>
    <w:p>
      <w:pPr>
        <w:jc w:val="center"/>
        <w:rPr>
          <w:rFonts w:ascii="宋体" w:hAnsi="宋体" w:eastAsia="宋体" w:cs="宋体"/>
          <w:b/>
          <w:sz w:val="48"/>
          <w:szCs w:val="48"/>
        </w:rPr>
      </w:pPr>
    </w:p>
    <w:p>
      <w:pPr>
        <w:jc w:val="center"/>
        <w:rPr>
          <w:rFonts w:ascii="宋体" w:hAnsi="宋体" w:eastAsia="宋体" w:cs="宋体"/>
          <w:b/>
          <w:sz w:val="48"/>
          <w:szCs w:val="48"/>
        </w:rPr>
      </w:pPr>
    </w:p>
    <w:p>
      <w:pPr>
        <w:jc w:val="center"/>
        <w:rPr>
          <w:rFonts w:ascii="宋体" w:hAnsi="宋体" w:eastAsia="宋体" w:cs="宋体"/>
          <w:b/>
          <w:sz w:val="48"/>
          <w:szCs w:val="48"/>
        </w:rPr>
      </w:pPr>
    </w:p>
    <w:p>
      <w:pPr>
        <w:jc w:val="center"/>
        <w:rPr>
          <w:rFonts w:ascii="宋体" w:hAnsi="宋体" w:eastAsia="宋体" w:cs="宋体"/>
          <w:b/>
          <w:sz w:val="48"/>
          <w:szCs w:val="48"/>
        </w:rPr>
      </w:pPr>
    </w:p>
    <w:p>
      <w:pPr>
        <w:jc w:val="center"/>
        <w:rPr>
          <w:rFonts w:ascii="宋体" w:hAnsi="宋体" w:eastAsia="宋体" w:cs="宋体"/>
          <w:b/>
          <w:sz w:val="48"/>
          <w:szCs w:val="48"/>
        </w:rPr>
      </w:pPr>
    </w:p>
    <w:p>
      <w:pPr>
        <w:jc w:val="center"/>
        <w:rPr>
          <w:rFonts w:ascii="宋体" w:hAnsi="宋体" w:eastAsia="宋体" w:cs="宋体"/>
          <w:b/>
          <w:sz w:val="48"/>
          <w:szCs w:val="48"/>
        </w:rPr>
      </w:pPr>
    </w:p>
    <w:p>
      <w:pPr>
        <w:jc w:val="center"/>
        <w:rPr>
          <w:rFonts w:ascii="宋体" w:hAnsi="宋体" w:eastAsia="宋体" w:cs="宋体"/>
          <w:b/>
          <w:sz w:val="48"/>
          <w:szCs w:val="48"/>
        </w:rPr>
      </w:pPr>
    </w:p>
    <w:p>
      <w:pPr>
        <w:jc w:val="center"/>
        <w:rPr>
          <w:rFonts w:ascii="宋体" w:hAnsi="宋体" w:eastAsia="宋体" w:cs="宋体"/>
          <w:b/>
          <w:sz w:val="48"/>
          <w:szCs w:val="48"/>
        </w:rPr>
      </w:pPr>
    </w:p>
    <w:p>
      <w:pPr>
        <w:jc w:val="center"/>
        <w:rPr>
          <w:rFonts w:ascii="宋体" w:hAnsi="宋体" w:eastAsia="宋体" w:cs="宋体"/>
          <w:b/>
          <w:sz w:val="48"/>
          <w:szCs w:val="48"/>
        </w:rPr>
      </w:pPr>
      <w:r>
        <w:rPr>
          <w:rFonts w:hint="eastAsia" w:ascii="宋体" w:hAnsi="宋体" w:eastAsia="宋体" w:cs="宋体"/>
          <w:b/>
          <w:sz w:val="48"/>
          <w:szCs w:val="48"/>
        </w:rPr>
        <w:t>第六章</w:t>
      </w:r>
      <w:r>
        <w:rPr>
          <w:rFonts w:hint="eastAsia" w:ascii="宋体" w:hAnsi="宋体" w:eastAsia="宋体" w:cs="宋体"/>
          <w:b/>
          <w:sz w:val="48"/>
          <w:szCs w:val="48"/>
        </w:rPr>
        <w:tab/>
      </w:r>
      <w:r>
        <w:rPr>
          <w:rFonts w:hint="eastAsia" w:ascii="宋体" w:hAnsi="宋体" w:eastAsia="宋体" w:cs="宋体"/>
          <w:b/>
          <w:sz w:val="48"/>
          <w:szCs w:val="48"/>
        </w:rPr>
        <w:t>图</w:t>
      </w:r>
      <w:r>
        <w:rPr>
          <w:rFonts w:hint="eastAsia" w:ascii="宋体" w:hAnsi="宋体" w:eastAsia="宋体" w:cs="宋体"/>
          <w:b/>
          <w:sz w:val="48"/>
          <w:szCs w:val="48"/>
        </w:rPr>
        <w:tab/>
      </w:r>
      <w:r>
        <w:rPr>
          <w:rFonts w:hint="eastAsia" w:ascii="宋体" w:hAnsi="宋体" w:eastAsia="宋体" w:cs="宋体"/>
          <w:b/>
          <w:sz w:val="48"/>
          <w:szCs w:val="48"/>
        </w:rPr>
        <w:t>纸（另册）</w:t>
      </w:r>
    </w:p>
    <w:p>
      <w:pPr>
        <w:rPr>
          <w:rFonts w:ascii="宋体" w:hAnsi="宋体" w:eastAsia="宋体" w:cs="宋体"/>
          <w:sz w:val="24"/>
        </w:rPr>
      </w:pPr>
    </w:p>
    <w:p>
      <w:pPr>
        <w:rPr>
          <w:rFonts w:ascii="宋体" w:hAnsi="宋体" w:eastAsia="宋体" w:cs="宋体"/>
          <w:sz w:val="24"/>
        </w:rPr>
      </w:pPr>
    </w:p>
    <w:p>
      <w:pPr>
        <w:pStyle w:val="3"/>
        <w:keepNext w:val="0"/>
        <w:keepLines w:val="0"/>
        <w:spacing w:before="0" w:after="0" w:line="240" w:lineRule="auto"/>
        <w:jc w:val="center"/>
        <w:rPr>
          <w:rFonts w:ascii="宋体" w:hAnsi="宋体"/>
          <w:sz w:val="72"/>
          <w:szCs w:val="72"/>
        </w:rPr>
      </w:pPr>
    </w:p>
    <w:p>
      <w:pPr>
        <w:pStyle w:val="3"/>
        <w:keepNext w:val="0"/>
        <w:keepLines w:val="0"/>
        <w:spacing w:before="0" w:after="0" w:line="240" w:lineRule="auto"/>
        <w:jc w:val="center"/>
        <w:rPr>
          <w:rFonts w:ascii="宋体" w:hAnsi="宋体"/>
          <w:sz w:val="72"/>
          <w:szCs w:val="72"/>
        </w:rPr>
      </w:pPr>
    </w:p>
    <w:p>
      <w:pPr>
        <w:pStyle w:val="3"/>
        <w:keepNext w:val="0"/>
        <w:keepLines w:val="0"/>
        <w:spacing w:before="0" w:after="0" w:line="240" w:lineRule="auto"/>
        <w:jc w:val="center"/>
        <w:rPr>
          <w:rFonts w:ascii="宋体" w:hAnsi="宋体"/>
          <w:sz w:val="72"/>
          <w:szCs w:val="72"/>
        </w:rPr>
      </w:pPr>
    </w:p>
    <w:p>
      <w:pPr>
        <w:pStyle w:val="3"/>
        <w:keepNext w:val="0"/>
        <w:keepLines w:val="0"/>
        <w:spacing w:before="0" w:after="0" w:line="240" w:lineRule="auto"/>
        <w:jc w:val="center"/>
        <w:rPr>
          <w:rFonts w:ascii="宋体" w:hAnsi="宋体"/>
          <w:sz w:val="72"/>
          <w:szCs w:val="72"/>
        </w:rPr>
      </w:pPr>
    </w:p>
    <w:p>
      <w:pPr>
        <w:pStyle w:val="3"/>
        <w:keepNext w:val="0"/>
        <w:keepLines w:val="0"/>
        <w:spacing w:before="0" w:after="0" w:line="240" w:lineRule="auto"/>
        <w:jc w:val="center"/>
        <w:rPr>
          <w:rFonts w:ascii="宋体" w:hAnsi="宋体"/>
          <w:sz w:val="72"/>
          <w:szCs w:val="72"/>
        </w:rPr>
      </w:pPr>
    </w:p>
    <w:p>
      <w:pPr>
        <w:pStyle w:val="3"/>
        <w:keepNext w:val="0"/>
        <w:keepLines w:val="0"/>
        <w:spacing w:before="0" w:after="0" w:line="240" w:lineRule="auto"/>
        <w:jc w:val="center"/>
        <w:rPr>
          <w:rFonts w:ascii="宋体" w:hAnsi="宋体"/>
          <w:sz w:val="72"/>
          <w:szCs w:val="72"/>
        </w:rPr>
      </w:pPr>
    </w:p>
    <w:p>
      <w:pPr>
        <w:pStyle w:val="3"/>
        <w:keepNext w:val="0"/>
        <w:keepLines w:val="0"/>
        <w:spacing w:before="0" w:after="0" w:line="240" w:lineRule="auto"/>
        <w:jc w:val="center"/>
        <w:rPr>
          <w:rFonts w:ascii="宋体" w:hAnsi="宋体"/>
          <w:sz w:val="72"/>
          <w:szCs w:val="72"/>
        </w:rPr>
      </w:pPr>
    </w:p>
    <w:p>
      <w:pPr>
        <w:pStyle w:val="3"/>
        <w:keepNext w:val="0"/>
        <w:keepLines w:val="0"/>
        <w:spacing w:before="0" w:after="0" w:line="240" w:lineRule="auto"/>
        <w:jc w:val="center"/>
        <w:rPr>
          <w:rFonts w:ascii="宋体" w:hAnsi="宋体"/>
          <w:sz w:val="72"/>
          <w:szCs w:val="72"/>
        </w:rPr>
      </w:pPr>
    </w:p>
    <w:p>
      <w:pPr>
        <w:pStyle w:val="3"/>
        <w:keepNext w:val="0"/>
        <w:keepLines w:val="0"/>
        <w:spacing w:before="0" w:after="0" w:line="240" w:lineRule="auto"/>
        <w:jc w:val="center"/>
        <w:rPr>
          <w:rFonts w:ascii="宋体" w:hAnsi="宋体"/>
          <w:sz w:val="72"/>
          <w:szCs w:val="72"/>
        </w:rPr>
      </w:pPr>
    </w:p>
    <w:p>
      <w:pPr>
        <w:pStyle w:val="3"/>
        <w:keepNext w:val="0"/>
        <w:keepLines w:val="0"/>
        <w:spacing w:before="0" w:after="0" w:line="240" w:lineRule="auto"/>
        <w:jc w:val="center"/>
        <w:rPr>
          <w:rFonts w:ascii="宋体" w:hAnsi="宋体"/>
          <w:sz w:val="72"/>
          <w:szCs w:val="72"/>
        </w:rPr>
      </w:pPr>
    </w:p>
    <w:p>
      <w:pPr>
        <w:pStyle w:val="3"/>
        <w:keepNext w:val="0"/>
        <w:keepLines w:val="0"/>
        <w:spacing w:before="0" w:after="0" w:line="240" w:lineRule="auto"/>
        <w:jc w:val="center"/>
        <w:rPr>
          <w:rFonts w:ascii="宋体" w:hAnsi="宋体"/>
          <w:sz w:val="72"/>
          <w:szCs w:val="72"/>
        </w:rPr>
      </w:pPr>
    </w:p>
    <w:p>
      <w:pPr>
        <w:pStyle w:val="3"/>
        <w:keepNext w:val="0"/>
        <w:keepLines w:val="0"/>
        <w:spacing w:before="0" w:after="0" w:line="240" w:lineRule="auto"/>
        <w:jc w:val="center"/>
        <w:rPr>
          <w:rFonts w:ascii="宋体" w:hAnsi="宋体"/>
          <w:sz w:val="72"/>
          <w:szCs w:val="72"/>
        </w:rPr>
      </w:pPr>
      <w:bookmarkStart w:id="554" w:name="_Toc173244877"/>
      <w:bookmarkStart w:id="555" w:name="_Toc173246264"/>
      <w:r>
        <w:rPr>
          <w:rFonts w:hint="eastAsia" w:ascii="宋体" w:hAnsi="宋体"/>
          <w:sz w:val="72"/>
          <w:szCs w:val="72"/>
        </w:rPr>
        <w:t>第  三  卷</w:t>
      </w:r>
      <w:bookmarkEnd w:id="554"/>
      <w:bookmarkEnd w:id="555"/>
    </w:p>
    <w:p>
      <w:pPr>
        <w:rPr>
          <w:rFonts w:ascii="宋体" w:hAnsi="宋体" w:eastAsia="宋体" w:cs="宋体"/>
          <w:sz w:val="24"/>
        </w:rPr>
      </w:pPr>
    </w:p>
    <w:p>
      <w:pPr>
        <w:jc w:val="center"/>
        <w:rPr>
          <w:rFonts w:ascii="宋体" w:hAnsi="宋体" w:eastAsia="宋体" w:cs="宋体"/>
          <w:b/>
          <w:sz w:val="48"/>
          <w:szCs w:val="48"/>
        </w:rPr>
      </w:pPr>
    </w:p>
    <w:p>
      <w:pPr>
        <w:jc w:val="center"/>
        <w:rPr>
          <w:rFonts w:ascii="宋体" w:hAnsi="宋体" w:eastAsia="宋体" w:cs="宋体"/>
          <w:b/>
          <w:sz w:val="48"/>
          <w:szCs w:val="48"/>
        </w:rPr>
      </w:pPr>
    </w:p>
    <w:p>
      <w:pPr>
        <w:jc w:val="center"/>
        <w:rPr>
          <w:rFonts w:ascii="宋体" w:hAnsi="宋体" w:eastAsia="宋体" w:cs="宋体"/>
          <w:b/>
          <w:sz w:val="48"/>
          <w:szCs w:val="48"/>
        </w:rPr>
      </w:pPr>
    </w:p>
    <w:p>
      <w:pPr>
        <w:jc w:val="center"/>
        <w:rPr>
          <w:rFonts w:ascii="宋体" w:hAnsi="宋体" w:eastAsia="宋体" w:cs="宋体"/>
          <w:b/>
          <w:sz w:val="48"/>
          <w:szCs w:val="48"/>
        </w:rPr>
      </w:pPr>
    </w:p>
    <w:p>
      <w:pPr>
        <w:jc w:val="center"/>
        <w:rPr>
          <w:rFonts w:ascii="宋体" w:hAnsi="宋体" w:eastAsia="宋体" w:cs="宋体"/>
          <w:b/>
          <w:sz w:val="48"/>
          <w:szCs w:val="48"/>
        </w:rPr>
      </w:pPr>
    </w:p>
    <w:p>
      <w:pPr>
        <w:jc w:val="center"/>
        <w:rPr>
          <w:rFonts w:ascii="宋体" w:hAnsi="宋体" w:eastAsia="宋体" w:cs="宋体"/>
          <w:b/>
          <w:sz w:val="48"/>
          <w:szCs w:val="48"/>
        </w:rPr>
      </w:pPr>
    </w:p>
    <w:p>
      <w:pPr>
        <w:jc w:val="center"/>
        <w:rPr>
          <w:rFonts w:ascii="宋体" w:hAnsi="宋体" w:eastAsia="宋体" w:cs="宋体"/>
          <w:b/>
          <w:sz w:val="48"/>
          <w:szCs w:val="48"/>
        </w:rPr>
      </w:pPr>
    </w:p>
    <w:p>
      <w:pPr>
        <w:jc w:val="center"/>
        <w:rPr>
          <w:rFonts w:ascii="宋体" w:hAnsi="宋体" w:eastAsia="宋体" w:cs="宋体"/>
          <w:b/>
          <w:sz w:val="48"/>
          <w:szCs w:val="48"/>
        </w:rPr>
      </w:pPr>
    </w:p>
    <w:p>
      <w:pPr>
        <w:jc w:val="center"/>
        <w:rPr>
          <w:rFonts w:ascii="宋体" w:hAnsi="宋体" w:eastAsia="宋体" w:cs="宋体"/>
          <w:b/>
          <w:sz w:val="48"/>
          <w:szCs w:val="48"/>
        </w:rPr>
      </w:pPr>
    </w:p>
    <w:p>
      <w:pPr>
        <w:jc w:val="center"/>
        <w:rPr>
          <w:rFonts w:ascii="宋体" w:hAnsi="宋体" w:eastAsia="宋体" w:cs="宋体"/>
          <w:b/>
          <w:sz w:val="48"/>
          <w:szCs w:val="48"/>
        </w:rPr>
      </w:pPr>
    </w:p>
    <w:p>
      <w:pPr>
        <w:jc w:val="center"/>
        <w:rPr>
          <w:rFonts w:ascii="宋体" w:hAnsi="宋体" w:eastAsia="宋体" w:cs="宋体"/>
          <w:b/>
          <w:sz w:val="48"/>
          <w:szCs w:val="48"/>
        </w:rPr>
      </w:pPr>
    </w:p>
    <w:p>
      <w:pPr>
        <w:jc w:val="center"/>
        <w:rPr>
          <w:rFonts w:ascii="宋体" w:hAnsi="宋体" w:eastAsia="宋体" w:cs="宋体"/>
          <w:b/>
          <w:sz w:val="48"/>
          <w:szCs w:val="48"/>
        </w:rPr>
      </w:pPr>
    </w:p>
    <w:p>
      <w:pPr>
        <w:jc w:val="center"/>
        <w:rPr>
          <w:rFonts w:ascii="宋体" w:hAnsi="宋体" w:eastAsia="宋体" w:cs="宋体"/>
          <w:b/>
          <w:sz w:val="48"/>
          <w:szCs w:val="48"/>
        </w:rPr>
      </w:pPr>
    </w:p>
    <w:p>
      <w:pPr>
        <w:jc w:val="center"/>
        <w:rPr>
          <w:rFonts w:ascii="宋体" w:hAnsi="宋体" w:eastAsia="宋体" w:cs="宋体"/>
          <w:b/>
          <w:sz w:val="48"/>
          <w:szCs w:val="48"/>
        </w:rPr>
      </w:pPr>
    </w:p>
    <w:p>
      <w:pPr>
        <w:jc w:val="center"/>
        <w:rPr>
          <w:rFonts w:ascii="宋体" w:hAnsi="宋体" w:eastAsia="宋体" w:cs="宋体"/>
          <w:b/>
          <w:sz w:val="48"/>
          <w:szCs w:val="48"/>
        </w:rPr>
      </w:pPr>
    </w:p>
    <w:p>
      <w:pPr>
        <w:jc w:val="center"/>
        <w:rPr>
          <w:rFonts w:ascii="宋体" w:hAnsi="宋体" w:eastAsia="宋体" w:cs="宋体"/>
          <w:b/>
          <w:sz w:val="48"/>
          <w:szCs w:val="48"/>
        </w:rPr>
      </w:pPr>
    </w:p>
    <w:p>
      <w:pPr>
        <w:jc w:val="center"/>
        <w:rPr>
          <w:rFonts w:ascii="宋体" w:hAnsi="宋体" w:eastAsia="宋体" w:cs="宋体"/>
          <w:b/>
          <w:sz w:val="48"/>
          <w:szCs w:val="48"/>
        </w:rPr>
      </w:pPr>
    </w:p>
    <w:p>
      <w:pPr>
        <w:jc w:val="center"/>
        <w:rPr>
          <w:rFonts w:ascii="宋体" w:hAnsi="宋体" w:eastAsia="宋体" w:cs="宋体"/>
          <w:b/>
          <w:sz w:val="48"/>
          <w:szCs w:val="48"/>
        </w:rPr>
      </w:pPr>
    </w:p>
    <w:p>
      <w:pPr>
        <w:jc w:val="center"/>
        <w:rPr>
          <w:rFonts w:ascii="宋体" w:hAnsi="宋体" w:eastAsia="宋体" w:cs="宋体"/>
          <w:b/>
          <w:sz w:val="48"/>
          <w:szCs w:val="48"/>
        </w:rPr>
      </w:pPr>
      <w:r>
        <w:rPr>
          <w:rFonts w:hint="eastAsia" w:ascii="宋体" w:hAnsi="宋体" w:eastAsia="宋体" w:cs="宋体"/>
          <w:b/>
          <w:sz w:val="48"/>
          <w:szCs w:val="48"/>
        </w:rPr>
        <w:t>第七章</w:t>
      </w:r>
      <w:r>
        <w:rPr>
          <w:rFonts w:hint="eastAsia" w:ascii="宋体" w:hAnsi="宋体" w:eastAsia="宋体" w:cs="宋体"/>
          <w:b/>
          <w:sz w:val="48"/>
          <w:szCs w:val="48"/>
        </w:rPr>
        <w:tab/>
      </w:r>
      <w:r>
        <w:rPr>
          <w:rFonts w:hint="eastAsia" w:ascii="宋体" w:hAnsi="宋体" w:eastAsia="宋体" w:cs="宋体"/>
          <w:b/>
          <w:sz w:val="48"/>
          <w:szCs w:val="48"/>
        </w:rPr>
        <w:t>技术规范</w:t>
      </w:r>
    </w:p>
    <w:p>
      <w:pPr>
        <w:rPr>
          <w:rFonts w:ascii="宋体" w:hAnsi="宋体" w:eastAsia="宋体" w:cs="宋体"/>
          <w:sz w:val="24"/>
        </w:rPr>
      </w:pPr>
    </w:p>
    <w:p>
      <w:pPr>
        <w:rPr>
          <w:rFonts w:ascii="宋体" w:hAnsi="宋体" w:eastAsia="宋体" w:cs="宋体"/>
          <w:sz w:val="24"/>
        </w:rPr>
      </w:pPr>
    </w:p>
    <w:p>
      <w:pPr>
        <w:jc w:val="center"/>
        <w:rPr>
          <w:rFonts w:ascii="宋体" w:hAnsi="宋体" w:eastAsia="宋体" w:cs="宋体"/>
          <w:sz w:val="36"/>
          <w:szCs w:val="36"/>
        </w:rPr>
      </w:pPr>
    </w:p>
    <w:p>
      <w:pPr>
        <w:jc w:val="center"/>
        <w:rPr>
          <w:rFonts w:ascii="宋体" w:hAnsi="宋体" w:eastAsia="宋体" w:cs="宋体"/>
          <w:sz w:val="36"/>
          <w:szCs w:val="36"/>
        </w:rPr>
      </w:pPr>
    </w:p>
    <w:p>
      <w:pPr>
        <w:jc w:val="center"/>
        <w:rPr>
          <w:rFonts w:ascii="宋体" w:hAnsi="宋体" w:eastAsia="宋体" w:cs="宋体"/>
          <w:sz w:val="36"/>
          <w:szCs w:val="36"/>
        </w:rPr>
      </w:pPr>
    </w:p>
    <w:p>
      <w:pPr>
        <w:jc w:val="center"/>
        <w:rPr>
          <w:rFonts w:ascii="宋体" w:hAnsi="宋体" w:eastAsia="宋体" w:cs="宋体"/>
          <w:sz w:val="36"/>
          <w:szCs w:val="36"/>
        </w:rPr>
      </w:pPr>
    </w:p>
    <w:p>
      <w:pPr>
        <w:jc w:val="center"/>
        <w:rPr>
          <w:rFonts w:ascii="宋体" w:hAnsi="宋体" w:eastAsia="宋体" w:cs="宋体"/>
          <w:sz w:val="36"/>
          <w:szCs w:val="36"/>
        </w:rPr>
      </w:pPr>
    </w:p>
    <w:p>
      <w:pPr>
        <w:jc w:val="center"/>
        <w:rPr>
          <w:rFonts w:ascii="宋体" w:hAnsi="宋体" w:eastAsia="宋体" w:cs="宋体"/>
          <w:sz w:val="36"/>
          <w:szCs w:val="36"/>
        </w:rPr>
      </w:pPr>
    </w:p>
    <w:p>
      <w:pPr>
        <w:jc w:val="center"/>
        <w:rPr>
          <w:rFonts w:ascii="宋体" w:hAnsi="宋体" w:eastAsia="宋体" w:cs="宋体"/>
          <w:sz w:val="36"/>
          <w:szCs w:val="36"/>
        </w:rPr>
      </w:pPr>
    </w:p>
    <w:p>
      <w:pPr>
        <w:jc w:val="center"/>
        <w:rPr>
          <w:rFonts w:ascii="宋体" w:hAnsi="宋体" w:eastAsia="宋体" w:cs="宋体"/>
          <w:sz w:val="36"/>
          <w:szCs w:val="36"/>
        </w:rPr>
      </w:pPr>
    </w:p>
    <w:p>
      <w:pPr>
        <w:jc w:val="center"/>
        <w:rPr>
          <w:rFonts w:ascii="宋体" w:hAnsi="宋体" w:eastAsia="宋体" w:cs="宋体"/>
          <w:sz w:val="36"/>
          <w:szCs w:val="36"/>
        </w:rPr>
      </w:pPr>
    </w:p>
    <w:p>
      <w:pPr>
        <w:jc w:val="center"/>
        <w:rPr>
          <w:rFonts w:ascii="宋体" w:hAnsi="宋体" w:eastAsia="宋体" w:cs="宋体"/>
          <w:sz w:val="36"/>
          <w:szCs w:val="36"/>
        </w:rPr>
      </w:pPr>
    </w:p>
    <w:p>
      <w:pPr>
        <w:jc w:val="center"/>
        <w:rPr>
          <w:rFonts w:ascii="宋体" w:hAnsi="宋体" w:eastAsia="宋体" w:cs="宋体"/>
          <w:sz w:val="36"/>
          <w:szCs w:val="36"/>
        </w:rPr>
      </w:pPr>
    </w:p>
    <w:p>
      <w:pPr>
        <w:jc w:val="center"/>
        <w:rPr>
          <w:rFonts w:ascii="宋体" w:hAnsi="宋体" w:eastAsia="宋体" w:cs="宋体"/>
          <w:sz w:val="36"/>
          <w:szCs w:val="36"/>
        </w:rPr>
      </w:pPr>
    </w:p>
    <w:p>
      <w:pPr>
        <w:jc w:val="center"/>
        <w:rPr>
          <w:rFonts w:ascii="宋体" w:hAnsi="宋体" w:eastAsia="宋体" w:cs="宋体"/>
          <w:sz w:val="36"/>
          <w:szCs w:val="36"/>
        </w:rPr>
      </w:pPr>
    </w:p>
    <w:p>
      <w:pPr>
        <w:jc w:val="center"/>
        <w:rPr>
          <w:rFonts w:ascii="宋体" w:hAnsi="宋体" w:eastAsia="宋体" w:cs="宋体"/>
          <w:sz w:val="36"/>
          <w:szCs w:val="36"/>
        </w:rPr>
      </w:pPr>
    </w:p>
    <w:p>
      <w:pPr>
        <w:jc w:val="center"/>
        <w:rPr>
          <w:rFonts w:ascii="宋体" w:hAnsi="宋体" w:eastAsia="宋体" w:cs="宋体"/>
          <w:sz w:val="36"/>
          <w:szCs w:val="36"/>
        </w:rPr>
      </w:pPr>
    </w:p>
    <w:p>
      <w:pPr>
        <w:jc w:val="center"/>
        <w:rPr>
          <w:rFonts w:ascii="宋体" w:hAnsi="宋体" w:eastAsia="宋体" w:cs="宋体"/>
          <w:sz w:val="36"/>
          <w:szCs w:val="36"/>
        </w:rPr>
      </w:pPr>
    </w:p>
    <w:p>
      <w:pPr>
        <w:jc w:val="center"/>
        <w:rPr>
          <w:rFonts w:ascii="宋体" w:hAnsi="宋体" w:eastAsia="宋体" w:cs="宋体"/>
          <w:sz w:val="36"/>
          <w:szCs w:val="36"/>
        </w:rPr>
      </w:pPr>
    </w:p>
    <w:p>
      <w:pPr>
        <w:jc w:val="center"/>
        <w:rPr>
          <w:rFonts w:ascii="宋体" w:hAnsi="宋体" w:eastAsia="宋体" w:cs="宋体"/>
          <w:sz w:val="36"/>
          <w:szCs w:val="36"/>
        </w:rPr>
      </w:pPr>
    </w:p>
    <w:p>
      <w:pPr>
        <w:jc w:val="center"/>
        <w:rPr>
          <w:rFonts w:ascii="宋体" w:hAnsi="宋体" w:eastAsia="宋体" w:cs="宋体"/>
          <w:sz w:val="36"/>
          <w:szCs w:val="36"/>
        </w:rPr>
      </w:pPr>
    </w:p>
    <w:p>
      <w:pPr>
        <w:jc w:val="center"/>
        <w:rPr>
          <w:rFonts w:ascii="宋体" w:hAnsi="宋体" w:eastAsia="宋体" w:cs="宋体"/>
          <w:sz w:val="36"/>
          <w:szCs w:val="36"/>
        </w:rPr>
      </w:pPr>
    </w:p>
    <w:p>
      <w:pPr>
        <w:jc w:val="center"/>
        <w:rPr>
          <w:rFonts w:ascii="宋体" w:hAnsi="宋体" w:eastAsia="宋体" w:cs="宋体"/>
          <w:sz w:val="36"/>
          <w:szCs w:val="36"/>
        </w:rPr>
      </w:pPr>
    </w:p>
    <w:p>
      <w:pPr>
        <w:jc w:val="center"/>
        <w:rPr>
          <w:rFonts w:ascii="宋体" w:hAnsi="宋体" w:eastAsia="宋体" w:cs="宋体"/>
          <w:sz w:val="36"/>
          <w:szCs w:val="36"/>
        </w:rPr>
      </w:pPr>
    </w:p>
    <w:p>
      <w:pPr>
        <w:jc w:val="center"/>
        <w:rPr>
          <w:rFonts w:ascii="宋体" w:hAnsi="宋体" w:eastAsia="宋体" w:cs="宋体"/>
          <w:sz w:val="36"/>
          <w:szCs w:val="36"/>
        </w:rPr>
      </w:pPr>
    </w:p>
    <w:p>
      <w:pPr>
        <w:jc w:val="center"/>
        <w:rPr>
          <w:rFonts w:ascii="宋体" w:hAnsi="宋体" w:eastAsia="宋体" w:cs="宋体"/>
          <w:sz w:val="36"/>
          <w:szCs w:val="36"/>
        </w:rPr>
      </w:pPr>
    </w:p>
    <w:p>
      <w:pPr>
        <w:jc w:val="center"/>
        <w:rPr>
          <w:rFonts w:ascii="宋体" w:hAnsi="宋体" w:eastAsia="宋体" w:cs="宋体"/>
          <w:sz w:val="30"/>
          <w:szCs w:val="30"/>
        </w:rPr>
      </w:pPr>
    </w:p>
    <w:p>
      <w:pPr>
        <w:jc w:val="center"/>
        <w:rPr>
          <w:rFonts w:ascii="宋体" w:hAnsi="宋体" w:eastAsia="宋体" w:cs="宋体"/>
          <w:sz w:val="30"/>
          <w:szCs w:val="30"/>
        </w:rPr>
      </w:pPr>
    </w:p>
    <w:p>
      <w:pPr>
        <w:jc w:val="center"/>
        <w:rPr>
          <w:rFonts w:ascii="宋体" w:hAnsi="宋体" w:eastAsia="宋体" w:cs="宋体"/>
          <w:sz w:val="30"/>
          <w:szCs w:val="30"/>
        </w:rPr>
      </w:pPr>
      <w:r>
        <w:rPr>
          <w:rFonts w:hint="eastAsia" w:ascii="宋体" w:hAnsi="宋体" w:eastAsia="宋体" w:cs="宋体"/>
          <w:sz w:val="30"/>
          <w:szCs w:val="30"/>
        </w:rPr>
        <w:t>（一） 通用技术规范</w:t>
      </w: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r>
        <w:rPr>
          <w:rFonts w:hint="eastAsia"/>
          <w:color w:val="000000"/>
          <w:szCs w:val="21"/>
        </w:rPr>
        <w:t>“通用技术规范”采用《公路工程标准施工招标文件》（2018年版•第二册）《技术规范》。</w:t>
      </w:r>
    </w:p>
    <w:p>
      <w:pPr>
        <w:rPr>
          <w:rFonts w:ascii="宋体" w:hAnsi="宋体" w:eastAsia="宋体" w:cs="宋体"/>
          <w:szCs w:val="21"/>
        </w:rPr>
      </w:pPr>
    </w:p>
    <w:p>
      <w:pPr>
        <w:jc w:val="center"/>
        <w:rPr>
          <w:rFonts w:ascii="宋体" w:hAnsi="宋体" w:eastAsia="宋体" w:cs="宋体"/>
          <w:sz w:val="30"/>
          <w:szCs w:val="30"/>
        </w:rPr>
      </w:pPr>
    </w:p>
    <w:p>
      <w:pPr>
        <w:jc w:val="center"/>
        <w:rPr>
          <w:rFonts w:ascii="宋体" w:hAnsi="宋体" w:eastAsia="宋体" w:cs="宋体"/>
          <w:sz w:val="30"/>
          <w:szCs w:val="30"/>
        </w:rPr>
      </w:pPr>
    </w:p>
    <w:p>
      <w:pPr>
        <w:jc w:val="center"/>
        <w:rPr>
          <w:rFonts w:ascii="宋体" w:hAnsi="宋体" w:eastAsia="宋体" w:cs="宋体"/>
          <w:sz w:val="30"/>
          <w:szCs w:val="30"/>
        </w:rPr>
      </w:pPr>
    </w:p>
    <w:p>
      <w:pPr>
        <w:jc w:val="center"/>
        <w:rPr>
          <w:rFonts w:ascii="宋体" w:hAnsi="宋体" w:eastAsia="宋体" w:cs="宋体"/>
          <w:sz w:val="30"/>
          <w:szCs w:val="30"/>
        </w:rPr>
      </w:pPr>
    </w:p>
    <w:p>
      <w:pPr>
        <w:jc w:val="center"/>
        <w:rPr>
          <w:rFonts w:ascii="宋体" w:hAnsi="宋体" w:eastAsia="宋体" w:cs="宋体"/>
          <w:sz w:val="30"/>
          <w:szCs w:val="30"/>
        </w:rPr>
      </w:pPr>
    </w:p>
    <w:p>
      <w:pPr>
        <w:jc w:val="center"/>
        <w:rPr>
          <w:rFonts w:ascii="宋体" w:hAnsi="宋体" w:eastAsia="宋体" w:cs="宋体"/>
          <w:sz w:val="30"/>
          <w:szCs w:val="30"/>
        </w:rPr>
      </w:pPr>
    </w:p>
    <w:p>
      <w:pPr>
        <w:jc w:val="center"/>
        <w:rPr>
          <w:rFonts w:ascii="宋体" w:hAnsi="宋体" w:eastAsia="宋体" w:cs="宋体"/>
          <w:sz w:val="30"/>
          <w:szCs w:val="30"/>
        </w:rPr>
      </w:pPr>
    </w:p>
    <w:p>
      <w:pPr>
        <w:jc w:val="center"/>
        <w:rPr>
          <w:rFonts w:ascii="宋体" w:hAnsi="宋体" w:eastAsia="宋体" w:cs="宋体"/>
          <w:sz w:val="30"/>
          <w:szCs w:val="30"/>
        </w:rPr>
      </w:pPr>
    </w:p>
    <w:p>
      <w:pPr>
        <w:jc w:val="center"/>
        <w:rPr>
          <w:rFonts w:ascii="宋体" w:hAnsi="宋体" w:eastAsia="宋体" w:cs="宋体"/>
          <w:sz w:val="30"/>
          <w:szCs w:val="30"/>
        </w:rPr>
      </w:pPr>
    </w:p>
    <w:p>
      <w:pPr>
        <w:jc w:val="center"/>
        <w:rPr>
          <w:rFonts w:ascii="宋体" w:hAnsi="宋体" w:eastAsia="宋体" w:cs="宋体"/>
          <w:sz w:val="30"/>
          <w:szCs w:val="30"/>
        </w:rPr>
      </w:pPr>
    </w:p>
    <w:p>
      <w:pPr>
        <w:jc w:val="center"/>
        <w:rPr>
          <w:rFonts w:ascii="宋体" w:hAnsi="宋体" w:eastAsia="宋体" w:cs="宋体"/>
          <w:sz w:val="30"/>
          <w:szCs w:val="30"/>
        </w:rPr>
      </w:pPr>
    </w:p>
    <w:p>
      <w:pPr>
        <w:jc w:val="center"/>
        <w:rPr>
          <w:rFonts w:ascii="宋体" w:hAnsi="宋体" w:eastAsia="宋体" w:cs="宋体"/>
          <w:sz w:val="30"/>
          <w:szCs w:val="30"/>
        </w:rPr>
      </w:pPr>
    </w:p>
    <w:p>
      <w:pPr>
        <w:jc w:val="center"/>
        <w:rPr>
          <w:rFonts w:ascii="宋体" w:hAnsi="宋体" w:eastAsia="宋体" w:cs="宋体"/>
          <w:sz w:val="30"/>
          <w:szCs w:val="30"/>
        </w:rPr>
      </w:pPr>
    </w:p>
    <w:p>
      <w:pPr>
        <w:jc w:val="center"/>
        <w:rPr>
          <w:rFonts w:ascii="宋体" w:hAnsi="宋体" w:eastAsia="宋体" w:cs="宋体"/>
          <w:sz w:val="30"/>
          <w:szCs w:val="30"/>
        </w:rPr>
      </w:pPr>
    </w:p>
    <w:p>
      <w:pPr>
        <w:jc w:val="center"/>
        <w:rPr>
          <w:rFonts w:ascii="宋体" w:hAnsi="宋体" w:eastAsia="宋体" w:cs="宋体"/>
          <w:sz w:val="30"/>
          <w:szCs w:val="30"/>
        </w:rPr>
      </w:pPr>
    </w:p>
    <w:p>
      <w:pPr>
        <w:jc w:val="center"/>
        <w:rPr>
          <w:rFonts w:ascii="宋体" w:hAnsi="宋体" w:eastAsia="宋体" w:cs="宋体"/>
          <w:sz w:val="30"/>
          <w:szCs w:val="30"/>
        </w:rPr>
      </w:pPr>
    </w:p>
    <w:p>
      <w:pPr>
        <w:jc w:val="center"/>
        <w:rPr>
          <w:rFonts w:ascii="宋体" w:hAnsi="宋体" w:eastAsia="宋体" w:cs="宋体"/>
          <w:sz w:val="30"/>
          <w:szCs w:val="30"/>
        </w:rPr>
      </w:pPr>
    </w:p>
    <w:p>
      <w:pPr>
        <w:jc w:val="center"/>
        <w:rPr>
          <w:rFonts w:ascii="宋体" w:hAnsi="宋体" w:eastAsia="宋体" w:cs="宋体"/>
          <w:sz w:val="30"/>
          <w:szCs w:val="30"/>
        </w:rPr>
      </w:pPr>
    </w:p>
    <w:p>
      <w:pPr>
        <w:jc w:val="center"/>
        <w:rPr>
          <w:rFonts w:ascii="宋体" w:hAnsi="宋体" w:eastAsia="宋体" w:cs="宋体"/>
          <w:sz w:val="30"/>
          <w:szCs w:val="30"/>
        </w:rPr>
      </w:pPr>
    </w:p>
    <w:p>
      <w:pPr>
        <w:jc w:val="center"/>
        <w:rPr>
          <w:rFonts w:ascii="宋体" w:hAnsi="宋体" w:eastAsia="宋体" w:cs="宋体"/>
          <w:sz w:val="30"/>
          <w:szCs w:val="30"/>
        </w:rPr>
      </w:pPr>
    </w:p>
    <w:p>
      <w:pPr>
        <w:jc w:val="center"/>
        <w:rPr>
          <w:rFonts w:ascii="宋体" w:hAnsi="宋体" w:eastAsia="宋体" w:cs="宋体"/>
          <w:sz w:val="30"/>
          <w:szCs w:val="30"/>
        </w:rPr>
      </w:pPr>
    </w:p>
    <w:p>
      <w:pPr>
        <w:jc w:val="center"/>
        <w:rPr>
          <w:rFonts w:ascii="宋体" w:hAnsi="宋体" w:eastAsia="宋体" w:cs="宋体"/>
          <w:sz w:val="30"/>
          <w:szCs w:val="30"/>
        </w:rPr>
      </w:pPr>
    </w:p>
    <w:p>
      <w:pPr>
        <w:jc w:val="center"/>
        <w:rPr>
          <w:rFonts w:ascii="宋体" w:hAnsi="宋体" w:eastAsia="宋体" w:cs="宋体"/>
          <w:sz w:val="30"/>
          <w:szCs w:val="30"/>
        </w:rPr>
      </w:pPr>
    </w:p>
    <w:p>
      <w:pPr>
        <w:jc w:val="center"/>
        <w:rPr>
          <w:rFonts w:ascii="宋体" w:hAnsi="宋体" w:eastAsia="宋体" w:cs="宋体"/>
          <w:sz w:val="30"/>
          <w:szCs w:val="30"/>
        </w:rPr>
      </w:pPr>
    </w:p>
    <w:p>
      <w:pPr>
        <w:jc w:val="center"/>
        <w:rPr>
          <w:rFonts w:ascii="宋体" w:hAnsi="宋体" w:eastAsia="宋体" w:cs="宋体"/>
          <w:sz w:val="30"/>
          <w:szCs w:val="30"/>
        </w:rPr>
      </w:pPr>
    </w:p>
    <w:p>
      <w:pPr>
        <w:jc w:val="center"/>
        <w:rPr>
          <w:rFonts w:ascii="宋体" w:hAnsi="宋体" w:eastAsia="宋体" w:cs="宋体"/>
          <w:sz w:val="30"/>
          <w:szCs w:val="30"/>
        </w:rPr>
      </w:pPr>
    </w:p>
    <w:p>
      <w:pPr>
        <w:jc w:val="center"/>
        <w:rPr>
          <w:rFonts w:ascii="宋体" w:hAnsi="宋体" w:eastAsia="宋体" w:cs="宋体"/>
          <w:sz w:val="30"/>
          <w:szCs w:val="30"/>
        </w:rPr>
      </w:pPr>
    </w:p>
    <w:p>
      <w:pPr>
        <w:jc w:val="center"/>
        <w:rPr>
          <w:rFonts w:ascii="宋体" w:hAnsi="宋体" w:eastAsia="宋体" w:cs="宋体"/>
          <w:sz w:val="30"/>
          <w:szCs w:val="30"/>
        </w:rPr>
      </w:pPr>
    </w:p>
    <w:p>
      <w:pPr>
        <w:jc w:val="center"/>
        <w:rPr>
          <w:rFonts w:ascii="宋体" w:hAnsi="宋体" w:eastAsia="宋体" w:cs="宋体"/>
          <w:sz w:val="30"/>
          <w:szCs w:val="30"/>
        </w:rPr>
      </w:pPr>
      <w:r>
        <w:rPr>
          <w:rFonts w:hint="eastAsia" w:ascii="宋体" w:hAnsi="宋体" w:eastAsia="宋体" w:cs="宋体"/>
          <w:sz w:val="30"/>
          <w:szCs w:val="30"/>
        </w:rPr>
        <w:t>（二） 项目专用技术规范</w:t>
      </w:r>
    </w:p>
    <w:p>
      <w:pPr>
        <w:rPr>
          <w:rFonts w:ascii="宋体" w:hAnsi="宋体" w:eastAsia="宋体" w:cs="宋体"/>
          <w:szCs w:val="21"/>
        </w:rPr>
      </w:pPr>
    </w:p>
    <w:p>
      <w:pPr>
        <w:rPr>
          <w:rFonts w:ascii="宋体" w:hAnsi="宋体" w:eastAsia="宋体" w:cs="宋体"/>
          <w:szCs w:val="21"/>
        </w:rPr>
      </w:pPr>
    </w:p>
    <w:p>
      <w:pPr>
        <w:spacing w:line="380" w:lineRule="exact"/>
        <w:ind w:left="-141" w:leftChars="-67" w:right="-27" w:rightChars="-13" w:firstLine="420" w:firstLineChars="200"/>
        <w:rPr>
          <w:rFonts w:ascii="宋体" w:hAnsi="宋体"/>
          <w:color w:val="000000"/>
          <w:szCs w:val="21"/>
        </w:rPr>
      </w:pPr>
      <w:r>
        <w:rPr>
          <w:rFonts w:hint="eastAsia" w:ascii="宋体" w:hAnsi="宋体"/>
          <w:color w:val="000000"/>
          <w:szCs w:val="21"/>
        </w:rPr>
        <w:t>1.</w:t>
      </w:r>
      <w:r>
        <w:rPr>
          <w:rFonts w:ascii="宋体" w:hAnsi="宋体"/>
          <w:color w:val="000000"/>
          <w:szCs w:val="21"/>
        </w:rPr>
        <w:t>“项目专用技术规范” 是对“通用技术规范”的补充、修改, 应对照“通用技术规范”中同一编号的章、节、条、款、项、目一起阅读和理解。本“项目专用技术规范”与“通用技术规范”有矛盾时，以本“项目专用技术规范” 的规定为准。</w:t>
      </w:r>
    </w:p>
    <w:p>
      <w:pPr>
        <w:spacing w:line="380" w:lineRule="exact"/>
        <w:ind w:left="-141" w:leftChars="-67" w:right="-27" w:rightChars="-13" w:firstLine="420" w:firstLineChars="200"/>
        <w:rPr>
          <w:rFonts w:ascii="宋体" w:hAnsi="宋体"/>
          <w:color w:val="000000"/>
          <w:szCs w:val="21"/>
        </w:rPr>
      </w:pPr>
      <w:r>
        <w:rPr>
          <w:rFonts w:hint="eastAsia" w:ascii="宋体" w:hAnsi="宋体"/>
          <w:color w:val="000000"/>
          <w:szCs w:val="21"/>
        </w:rPr>
        <w:t>2.</w:t>
      </w:r>
      <w:r>
        <w:rPr>
          <w:rFonts w:ascii="宋体" w:hAnsi="宋体"/>
          <w:color w:val="000000"/>
          <w:szCs w:val="21"/>
        </w:rPr>
        <w:t>“通用技术规范”中标准与规范更新如下：</w:t>
      </w:r>
    </w:p>
    <w:p>
      <w:pPr>
        <w:spacing w:before="10"/>
        <w:rPr>
          <w:rFonts w:ascii="宋体" w:hAnsi="宋体" w:cs="宋体"/>
          <w:sz w:val="11"/>
          <w:szCs w:val="11"/>
        </w:rPr>
      </w:pPr>
    </w:p>
    <w:tbl>
      <w:tblPr>
        <w:tblStyle w:val="52"/>
        <w:tblW w:w="8822" w:type="dxa"/>
        <w:tblInd w:w="303" w:type="dxa"/>
        <w:tblLayout w:type="fixed"/>
        <w:tblCellMar>
          <w:top w:w="0" w:type="dxa"/>
          <w:left w:w="0" w:type="dxa"/>
          <w:bottom w:w="0" w:type="dxa"/>
          <w:right w:w="0" w:type="dxa"/>
        </w:tblCellMar>
      </w:tblPr>
      <w:tblGrid>
        <w:gridCol w:w="1133"/>
        <w:gridCol w:w="3686"/>
        <w:gridCol w:w="4003"/>
      </w:tblGrid>
      <w:tr>
        <w:tblPrEx>
          <w:tblCellMar>
            <w:top w:w="0" w:type="dxa"/>
            <w:left w:w="0" w:type="dxa"/>
            <w:bottom w:w="0" w:type="dxa"/>
            <w:right w:w="0" w:type="dxa"/>
          </w:tblCellMar>
        </w:tblPrEx>
        <w:trPr>
          <w:trHeight w:val="604" w:hRule="exact"/>
        </w:trPr>
        <w:tc>
          <w:tcPr>
            <w:tcW w:w="1133" w:type="dxa"/>
            <w:tcBorders>
              <w:top w:val="single" w:color="000000" w:sz="12" w:space="0"/>
              <w:left w:val="single" w:color="000000" w:sz="12" w:space="0"/>
              <w:bottom w:val="single" w:color="000000" w:sz="6" w:space="0"/>
              <w:right w:val="single" w:color="000000" w:sz="6" w:space="0"/>
            </w:tcBorders>
          </w:tcPr>
          <w:p>
            <w:pPr>
              <w:pStyle w:val="143"/>
              <w:spacing w:before="167"/>
              <w:ind w:left="340"/>
              <w:rPr>
                <w:rFonts w:ascii="宋体" w:hAnsi="宋体" w:cs="宋体"/>
                <w:sz w:val="21"/>
                <w:szCs w:val="21"/>
              </w:rPr>
            </w:pPr>
            <w:r>
              <w:rPr>
                <w:rFonts w:ascii="宋体" w:hAnsi="宋体" w:cs="宋体"/>
                <w:sz w:val="21"/>
                <w:szCs w:val="21"/>
              </w:rPr>
              <w:t>序号</w:t>
            </w:r>
          </w:p>
        </w:tc>
        <w:tc>
          <w:tcPr>
            <w:tcW w:w="3686" w:type="dxa"/>
            <w:tcBorders>
              <w:top w:val="single" w:color="000000" w:sz="12" w:space="0"/>
              <w:left w:val="single" w:color="000000" w:sz="6" w:space="0"/>
              <w:bottom w:val="single" w:color="000000" w:sz="6" w:space="0"/>
              <w:right w:val="single" w:color="000000" w:sz="6" w:space="0"/>
            </w:tcBorders>
          </w:tcPr>
          <w:p>
            <w:pPr>
              <w:pStyle w:val="143"/>
              <w:spacing w:before="167"/>
              <w:ind w:left="1204"/>
              <w:rPr>
                <w:rFonts w:ascii="宋体" w:hAnsi="宋体" w:cs="宋体"/>
                <w:sz w:val="21"/>
                <w:szCs w:val="21"/>
              </w:rPr>
            </w:pPr>
            <w:r>
              <w:rPr>
                <w:rFonts w:ascii="宋体" w:hAnsi="宋体" w:cs="宋体"/>
                <w:sz w:val="21"/>
                <w:szCs w:val="21"/>
              </w:rPr>
              <w:t>原标准与规范</w:t>
            </w:r>
          </w:p>
        </w:tc>
        <w:tc>
          <w:tcPr>
            <w:tcW w:w="4003" w:type="dxa"/>
            <w:tcBorders>
              <w:top w:val="single" w:color="000000" w:sz="12" w:space="0"/>
              <w:left w:val="single" w:color="000000" w:sz="6" w:space="0"/>
              <w:bottom w:val="single" w:color="000000" w:sz="6" w:space="0"/>
              <w:right w:val="single" w:color="000000" w:sz="12" w:space="0"/>
            </w:tcBorders>
          </w:tcPr>
          <w:p>
            <w:pPr>
              <w:pStyle w:val="143"/>
              <w:spacing w:before="167"/>
              <w:ind w:left="1048"/>
              <w:rPr>
                <w:rFonts w:ascii="宋体" w:hAnsi="宋体" w:cs="宋体"/>
                <w:sz w:val="21"/>
                <w:szCs w:val="21"/>
              </w:rPr>
            </w:pPr>
            <w:r>
              <w:rPr>
                <w:rFonts w:ascii="宋体" w:hAnsi="宋体" w:cs="宋体"/>
                <w:spacing w:val="1"/>
                <w:sz w:val="21"/>
                <w:szCs w:val="21"/>
              </w:rPr>
              <w:t>更新后的标准与规范</w:t>
            </w:r>
          </w:p>
        </w:tc>
      </w:tr>
      <w:tr>
        <w:tblPrEx>
          <w:tblCellMar>
            <w:top w:w="0" w:type="dxa"/>
            <w:left w:w="0" w:type="dxa"/>
            <w:bottom w:w="0" w:type="dxa"/>
            <w:right w:w="0" w:type="dxa"/>
          </w:tblCellMar>
        </w:tblPrEx>
        <w:trPr>
          <w:trHeight w:val="694" w:hRule="exact"/>
        </w:trPr>
        <w:tc>
          <w:tcPr>
            <w:tcW w:w="1133" w:type="dxa"/>
            <w:tcBorders>
              <w:top w:val="single" w:color="000000" w:sz="6" w:space="0"/>
              <w:left w:val="single" w:color="000000" w:sz="12" w:space="0"/>
              <w:bottom w:val="single" w:color="000000" w:sz="6" w:space="0"/>
              <w:right w:val="single" w:color="000000" w:sz="6" w:space="0"/>
            </w:tcBorders>
          </w:tcPr>
          <w:p>
            <w:pPr>
              <w:pStyle w:val="143"/>
              <w:spacing w:before="7"/>
              <w:rPr>
                <w:rFonts w:ascii="宋体" w:hAnsi="宋体" w:cs="宋体"/>
                <w:sz w:val="16"/>
                <w:szCs w:val="16"/>
              </w:rPr>
            </w:pPr>
          </w:p>
          <w:p>
            <w:pPr>
              <w:pStyle w:val="143"/>
              <w:ind w:right="6"/>
              <w:jc w:val="center"/>
              <w:rPr>
                <w:rFonts w:eastAsia="Times New Roman"/>
                <w:sz w:val="21"/>
                <w:szCs w:val="21"/>
              </w:rPr>
            </w:pPr>
            <w:r>
              <w:rPr>
                <w:sz w:val="21"/>
              </w:rPr>
              <w:t>1</w:t>
            </w:r>
          </w:p>
        </w:tc>
        <w:tc>
          <w:tcPr>
            <w:tcW w:w="3686" w:type="dxa"/>
            <w:tcBorders>
              <w:top w:val="single" w:color="000000" w:sz="6" w:space="0"/>
              <w:left w:val="single" w:color="000000" w:sz="6" w:space="0"/>
              <w:bottom w:val="single" w:color="000000" w:sz="6" w:space="0"/>
              <w:right w:val="single" w:color="000000" w:sz="6" w:space="0"/>
            </w:tcBorders>
          </w:tcPr>
          <w:p>
            <w:pPr>
              <w:pStyle w:val="143"/>
              <w:spacing w:before="58" w:line="272" w:lineRule="exact"/>
              <w:ind w:left="1113" w:right="96" w:hanging="1011"/>
              <w:rPr>
                <w:rFonts w:ascii="宋体" w:hAnsi="宋体" w:cs="宋体"/>
                <w:sz w:val="21"/>
                <w:szCs w:val="21"/>
              </w:rPr>
            </w:pPr>
            <w:r>
              <w:rPr>
                <w:rFonts w:ascii="宋体" w:hAnsi="宋体" w:cs="宋体"/>
                <w:spacing w:val="-1"/>
                <w:w w:val="95"/>
                <w:sz w:val="21"/>
                <w:szCs w:val="21"/>
              </w:rPr>
              <w:t>公路工程基桩动测技术规程》（</w:t>
            </w:r>
            <w:r>
              <w:rPr>
                <w:rFonts w:eastAsia="Times New Roman"/>
                <w:spacing w:val="-1"/>
                <w:w w:val="95"/>
                <w:sz w:val="21"/>
                <w:szCs w:val="21"/>
              </w:rPr>
              <w:t>JTG/T</w:t>
            </w:r>
            <w:r>
              <w:rPr>
                <w:rFonts w:eastAsia="Times New Roman"/>
                <w:sz w:val="21"/>
                <w:szCs w:val="21"/>
              </w:rPr>
              <w:t>F81-01—2004</w:t>
            </w:r>
            <w:r>
              <w:rPr>
                <w:rFonts w:ascii="宋体" w:hAnsi="宋体" w:cs="宋体"/>
                <w:sz w:val="21"/>
                <w:szCs w:val="21"/>
              </w:rPr>
              <w:t>）</w:t>
            </w:r>
          </w:p>
        </w:tc>
        <w:tc>
          <w:tcPr>
            <w:tcW w:w="4003" w:type="dxa"/>
            <w:tcBorders>
              <w:top w:val="single" w:color="000000" w:sz="6" w:space="0"/>
              <w:left w:val="single" w:color="000000" w:sz="6" w:space="0"/>
              <w:bottom w:val="single" w:color="000000" w:sz="6" w:space="0"/>
              <w:right w:val="single" w:color="000000" w:sz="12" w:space="0"/>
            </w:tcBorders>
          </w:tcPr>
          <w:p>
            <w:pPr>
              <w:pStyle w:val="143"/>
              <w:spacing w:before="58" w:line="272" w:lineRule="exact"/>
              <w:ind w:left="1363" w:right="137" w:hanging="1217"/>
              <w:rPr>
                <w:rFonts w:ascii="宋体" w:hAnsi="宋体" w:cs="宋体"/>
                <w:sz w:val="21"/>
                <w:szCs w:val="21"/>
              </w:rPr>
            </w:pPr>
            <w:r>
              <w:rPr>
                <w:rFonts w:ascii="宋体" w:hAnsi="宋体" w:cs="宋体"/>
                <w:w w:val="95"/>
                <w:sz w:val="21"/>
                <w:szCs w:val="21"/>
              </w:rPr>
              <w:t>《公路工程基桩检测技术规程》（</w:t>
            </w:r>
            <w:r>
              <w:rPr>
                <w:rFonts w:eastAsia="Times New Roman"/>
                <w:w w:val="95"/>
                <w:sz w:val="21"/>
                <w:szCs w:val="21"/>
              </w:rPr>
              <w:t>JTG/T</w:t>
            </w:r>
            <w:r>
              <w:rPr>
                <w:rFonts w:eastAsia="Times New Roman"/>
                <w:sz w:val="21"/>
                <w:szCs w:val="21"/>
              </w:rPr>
              <w:t>3512—2020</w:t>
            </w:r>
            <w:r>
              <w:rPr>
                <w:rFonts w:ascii="宋体" w:hAnsi="宋体" w:cs="宋体"/>
                <w:sz w:val="21"/>
                <w:szCs w:val="21"/>
              </w:rPr>
              <w:t>）</w:t>
            </w:r>
          </w:p>
        </w:tc>
      </w:tr>
      <w:tr>
        <w:tblPrEx>
          <w:tblCellMar>
            <w:top w:w="0" w:type="dxa"/>
            <w:left w:w="0" w:type="dxa"/>
            <w:bottom w:w="0" w:type="dxa"/>
            <w:right w:w="0" w:type="dxa"/>
          </w:tblCellMar>
        </w:tblPrEx>
        <w:trPr>
          <w:trHeight w:val="696" w:hRule="exact"/>
        </w:trPr>
        <w:tc>
          <w:tcPr>
            <w:tcW w:w="1133" w:type="dxa"/>
            <w:tcBorders>
              <w:top w:val="single" w:color="000000" w:sz="6" w:space="0"/>
              <w:left w:val="single" w:color="000000" w:sz="12" w:space="0"/>
              <w:bottom w:val="single" w:color="000000" w:sz="6" w:space="0"/>
              <w:right w:val="single" w:color="000000" w:sz="6" w:space="0"/>
            </w:tcBorders>
          </w:tcPr>
          <w:p>
            <w:pPr>
              <w:pStyle w:val="143"/>
              <w:spacing w:before="10"/>
              <w:rPr>
                <w:rFonts w:ascii="宋体" w:hAnsi="宋体" w:cs="宋体"/>
                <w:sz w:val="16"/>
                <w:szCs w:val="16"/>
              </w:rPr>
            </w:pPr>
          </w:p>
          <w:p>
            <w:pPr>
              <w:pStyle w:val="143"/>
              <w:ind w:right="6"/>
              <w:jc w:val="center"/>
              <w:rPr>
                <w:rFonts w:eastAsia="Times New Roman"/>
                <w:sz w:val="21"/>
                <w:szCs w:val="21"/>
              </w:rPr>
            </w:pPr>
            <w:r>
              <w:rPr>
                <w:sz w:val="21"/>
              </w:rPr>
              <w:t>2</w:t>
            </w:r>
          </w:p>
        </w:tc>
        <w:tc>
          <w:tcPr>
            <w:tcW w:w="3686" w:type="dxa"/>
            <w:tcBorders>
              <w:top w:val="single" w:color="000000" w:sz="6" w:space="0"/>
              <w:left w:val="single" w:color="000000" w:sz="6" w:space="0"/>
              <w:bottom w:val="single" w:color="000000" w:sz="6" w:space="0"/>
              <w:right w:val="single" w:color="000000" w:sz="6" w:space="0"/>
            </w:tcBorders>
          </w:tcPr>
          <w:p>
            <w:pPr>
              <w:pStyle w:val="143"/>
              <w:spacing w:before="61" w:line="272" w:lineRule="exact"/>
              <w:ind w:left="1257" w:right="194" w:hanging="1059"/>
              <w:rPr>
                <w:rFonts w:ascii="宋体" w:hAnsi="宋体" w:cs="宋体"/>
                <w:sz w:val="21"/>
                <w:szCs w:val="21"/>
              </w:rPr>
            </w:pPr>
            <w:r>
              <w:rPr>
                <w:rFonts w:ascii="宋体" w:hAnsi="宋体" w:cs="宋体"/>
                <w:w w:val="95"/>
                <w:sz w:val="21"/>
                <w:szCs w:val="21"/>
              </w:rPr>
              <w:t>《公路桥涵施工技术规范》（</w:t>
            </w:r>
            <w:r>
              <w:rPr>
                <w:rFonts w:eastAsia="Times New Roman"/>
                <w:w w:val="95"/>
                <w:sz w:val="21"/>
                <w:szCs w:val="21"/>
              </w:rPr>
              <w:t>JTG/T</w:t>
            </w:r>
            <w:r>
              <w:rPr>
                <w:rFonts w:eastAsia="Times New Roman"/>
                <w:spacing w:val="-1"/>
                <w:sz w:val="21"/>
                <w:szCs w:val="21"/>
              </w:rPr>
              <w:t>F50—2011</w:t>
            </w:r>
            <w:r>
              <w:rPr>
                <w:rFonts w:ascii="宋体" w:hAnsi="宋体" w:cs="宋体"/>
                <w:spacing w:val="-1"/>
                <w:sz w:val="21"/>
                <w:szCs w:val="21"/>
              </w:rPr>
              <w:t>）</w:t>
            </w:r>
          </w:p>
        </w:tc>
        <w:tc>
          <w:tcPr>
            <w:tcW w:w="4003" w:type="dxa"/>
            <w:tcBorders>
              <w:top w:val="single" w:color="000000" w:sz="6" w:space="0"/>
              <w:left w:val="single" w:color="000000" w:sz="6" w:space="0"/>
              <w:bottom w:val="single" w:color="000000" w:sz="6" w:space="0"/>
              <w:right w:val="single" w:color="000000" w:sz="12" w:space="0"/>
            </w:tcBorders>
          </w:tcPr>
          <w:p>
            <w:pPr>
              <w:pStyle w:val="143"/>
              <w:spacing w:before="61" w:line="272" w:lineRule="exact"/>
              <w:ind w:left="1363" w:right="348" w:hanging="1006"/>
              <w:rPr>
                <w:rFonts w:ascii="宋体" w:hAnsi="宋体" w:cs="宋体"/>
                <w:sz w:val="21"/>
                <w:szCs w:val="21"/>
              </w:rPr>
            </w:pPr>
            <w:r>
              <w:rPr>
                <w:rFonts w:ascii="宋体" w:hAnsi="宋体" w:cs="宋体"/>
                <w:w w:val="95"/>
                <w:sz w:val="21"/>
                <w:szCs w:val="21"/>
              </w:rPr>
              <w:t>《公路桥涵施工技术规范》（</w:t>
            </w:r>
            <w:r>
              <w:rPr>
                <w:rFonts w:eastAsia="Times New Roman"/>
                <w:w w:val="95"/>
                <w:sz w:val="21"/>
                <w:szCs w:val="21"/>
              </w:rPr>
              <w:t>JTG/T</w:t>
            </w:r>
            <w:r>
              <w:rPr>
                <w:rFonts w:eastAsia="Times New Roman"/>
                <w:sz w:val="21"/>
                <w:szCs w:val="21"/>
              </w:rPr>
              <w:t>3650—2020</w:t>
            </w:r>
            <w:r>
              <w:rPr>
                <w:rFonts w:ascii="宋体" w:hAnsi="宋体" w:cs="宋体"/>
                <w:sz w:val="21"/>
                <w:szCs w:val="21"/>
              </w:rPr>
              <w:t>）</w:t>
            </w:r>
          </w:p>
        </w:tc>
      </w:tr>
      <w:tr>
        <w:tblPrEx>
          <w:tblCellMar>
            <w:top w:w="0" w:type="dxa"/>
            <w:left w:w="0" w:type="dxa"/>
            <w:bottom w:w="0" w:type="dxa"/>
            <w:right w:w="0" w:type="dxa"/>
          </w:tblCellMar>
        </w:tblPrEx>
        <w:trPr>
          <w:trHeight w:val="696" w:hRule="exact"/>
        </w:trPr>
        <w:tc>
          <w:tcPr>
            <w:tcW w:w="1133" w:type="dxa"/>
            <w:tcBorders>
              <w:top w:val="single" w:color="000000" w:sz="6" w:space="0"/>
              <w:left w:val="single" w:color="000000" w:sz="12" w:space="0"/>
              <w:bottom w:val="single" w:color="000000" w:sz="6" w:space="0"/>
              <w:right w:val="single" w:color="000000" w:sz="6" w:space="0"/>
            </w:tcBorders>
          </w:tcPr>
          <w:p>
            <w:pPr>
              <w:pStyle w:val="143"/>
              <w:spacing w:before="7"/>
              <w:rPr>
                <w:rFonts w:ascii="宋体" w:hAnsi="宋体" w:cs="宋体"/>
                <w:sz w:val="16"/>
                <w:szCs w:val="16"/>
              </w:rPr>
            </w:pPr>
          </w:p>
          <w:p>
            <w:pPr>
              <w:pStyle w:val="143"/>
              <w:ind w:right="6"/>
              <w:jc w:val="center"/>
              <w:rPr>
                <w:rFonts w:eastAsia="Times New Roman"/>
                <w:sz w:val="21"/>
                <w:szCs w:val="21"/>
              </w:rPr>
            </w:pPr>
            <w:r>
              <w:rPr>
                <w:sz w:val="21"/>
              </w:rPr>
              <w:t>3</w:t>
            </w:r>
          </w:p>
        </w:tc>
        <w:tc>
          <w:tcPr>
            <w:tcW w:w="3686" w:type="dxa"/>
            <w:tcBorders>
              <w:top w:val="single" w:color="000000" w:sz="6" w:space="0"/>
              <w:left w:val="single" w:color="000000" w:sz="6" w:space="0"/>
              <w:bottom w:val="single" w:color="000000" w:sz="6" w:space="0"/>
              <w:right w:val="single" w:color="000000" w:sz="6" w:space="0"/>
            </w:tcBorders>
          </w:tcPr>
          <w:p>
            <w:pPr>
              <w:pStyle w:val="143"/>
              <w:spacing w:before="58" w:line="272" w:lineRule="exact"/>
              <w:ind w:left="1245" w:right="500" w:hanging="744"/>
              <w:rPr>
                <w:rFonts w:ascii="宋体" w:hAnsi="宋体" w:cs="宋体"/>
                <w:sz w:val="21"/>
                <w:szCs w:val="21"/>
              </w:rPr>
            </w:pPr>
            <w:r>
              <w:rPr>
                <w:rFonts w:ascii="宋体" w:hAnsi="宋体" w:cs="宋体"/>
                <w:w w:val="95"/>
                <w:sz w:val="21"/>
                <w:szCs w:val="21"/>
              </w:rPr>
              <w:t>《公路土工试验规程》（</w:t>
            </w:r>
            <w:r>
              <w:rPr>
                <w:rFonts w:eastAsia="Times New Roman"/>
                <w:w w:val="95"/>
                <w:sz w:val="21"/>
                <w:szCs w:val="21"/>
              </w:rPr>
              <w:t>JTG</w:t>
            </w:r>
            <w:r>
              <w:rPr>
                <w:rFonts w:eastAsia="Times New Roman"/>
                <w:sz w:val="21"/>
                <w:szCs w:val="21"/>
              </w:rPr>
              <w:t>E40—2007</w:t>
            </w:r>
            <w:r>
              <w:rPr>
                <w:rFonts w:ascii="宋体" w:hAnsi="宋体" w:cs="宋体"/>
                <w:sz w:val="21"/>
                <w:szCs w:val="21"/>
              </w:rPr>
              <w:t>）</w:t>
            </w:r>
          </w:p>
        </w:tc>
        <w:tc>
          <w:tcPr>
            <w:tcW w:w="4003" w:type="dxa"/>
            <w:tcBorders>
              <w:top w:val="single" w:color="000000" w:sz="6" w:space="0"/>
              <w:left w:val="single" w:color="000000" w:sz="6" w:space="0"/>
              <w:bottom w:val="single" w:color="000000" w:sz="6" w:space="0"/>
              <w:right w:val="single" w:color="000000" w:sz="12" w:space="0"/>
            </w:tcBorders>
          </w:tcPr>
          <w:p>
            <w:pPr>
              <w:pStyle w:val="143"/>
              <w:spacing w:before="167"/>
              <w:ind w:left="100" w:right="-10"/>
              <w:rPr>
                <w:rFonts w:ascii="宋体" w:hAnsi="宋体" w:cs="宋体"/>
                <w:sz w:val="21"/>
                <w:szCs w:val="21"/>
              </w:rPr>
            </w:pPr>
            <w:r>
              <w:rPr>
                <w:rFonts w:ascii="宋体" w:hAnsi="宋体" w:cs="宋体"/>
                <w:w w:val="95"/>
                <w:sz w:val="21"/>
                <w:szCs w:val="21"/>
              </w:rPr>
              <w:t>《</w:t>
            </w:r>
            <w:r>
              <w:rPr>
                <w:rFonts w:ascii="宋体" w:hAnsi="宋体" w:cs="宋体"/>
                <w:spacing w:val="1"/>
                <w:w w:val="95"/>
                <w:sz w:val="21"/>
                <w:szCs w:val="21"/>
              </w:rPr>
              <w:t>公</w:t>
            </w:r>
            <w:r>
              <w:rPr>
                <w:rFonts w:ascii="宋体" w:hAnsi="宋体" w:cs="宋体"/>
                <w:w w:val="95"/>
                <w:sz w:val="21"/>
                <w:szCs w:val="21"/>
              </w:rPr>
              <w:t>路</w:t>
            </w:r>
            <w:r>
              <w:rPr>
                <w:rFonts w:ascii="宋体" w:hAnsi="宋体" w:cs="宋体"/>
                <w:spacing w:val="1"/>
                <w:w w:val="95"/>
                <w:sz w:val="21"/>
                <w:szCs w:val="21"/>
              </w:rPr>
              <w:t>土</w:t>
            </w:r>
            <w:r>
              <w:rPr>
                <w:rFonts w:ascii="宋体" w:hAnsi="宋体" w:cs="宋体"/>
                <w:w w:val="95"/>
                <w:sz w:val="21"/>
                <w:szCs w:val="21"/>
              </w:rPr>
              <w:t>工</w:t>
            </w:r>
            <w:r>
              <w:rPr>
                <w:rFonts w:ascii="宋体" w:hAnsi="宋体" w:cs="宋体"/>
                <w:spacing w:val="1"/>
                <w:w w:val="95"/>
                <w:sz w:val="21"/>
                <w:szCs w:val="21"/>
              </w:rPr>
              <w:t>试</w:t>
            </w:r>
            <w:r>
              <w:rPr>
                <w:rFonts w:ascii="宋体" w:hAnsi="宋体" w:cs="宋体"/>
                <w:w w:val="95"/>
                <w:sz w:val="21"/>
                <w:szCs w:val="21"/>
              </w:rPr>
              <w:t>验</w:t>
            </w:r>
            <w:r>
              <w:rPr>
                <w:rFonts w:ascii="宋体" w:hAnsi="宋体" w:cs="宋体"/>
                <w:spacing w:val="1"/>
                <w:w w:val="95"/>
                <w:sz w:val="21"/>
                <w:szCs w:val="21"/>
              </w:rPr>
              <w:t>规程</w:t>
            </w:r>
            <w:r>
              <w:rPr>
                <w:rFonts w:ascii="宋体" w:hAnsi="宋体" w:cs="宋体"/>
                <w:spacing w:val="-91"/>
                <w:w w:val="95"/>
                <w:sz w:val="21"/>
                <w:szCs w:val="21"/>
              </w:rPr>
              <w:t>》</w:t>
            </w:r>
            <w:r>
              <w:rPr>
                <w:rFonts w:ascii="宋体" w:hAnsi="宋体" w:cs="宋体"/>
                <w:spacing w:val="1"/>
                <w:w w:val="95"/>
                <w:sz w:val="21"/>
                <w:szCs w:val="21"/>
              </w:rPr>
              <w:t>（</w:t>
            </w:r>
            <w:r>
              <w:rPr>
                <w:rFonts w:eastAsia="Times New Roman"/>
                <w:w w:val="95"/>
                <w:sz w:val="21"/>
                <w:szCs w:val="21"/>
              </w:rPr>
              <w:t>JTG   34</w:t>
            </w:r>
            <w:r>
              <w:rPr>
                <w:rFonts w:eastAsia="Times New Roman"/>
                <w:spacing w:val="2"/>
                <w:w w:val="95"/>
                <w:sz w:val="21"/>
                <w:szCs w:val="21"/>
              </w:rPr>
              <w:t>3</w:t>
            </w:r>
            <w:r>
              <w:rPr>
                <w:rFonts w:eastAsia="Times New Roman"/>
                <w:spacing w:val="-4"/>
                <w:w w:val="95"/>
                <w:sz w:val="21"/>
                <w:szCs w:val="21"/>
              </w:rPr>
              <w:t>0</w:t>
            </w:r>
            <w:r>
              <w:rPr>
                <w:rFonts w:eastAsia="Times New Roman"/>
                <w:spacing w:val="1"/>
                <w:w w:val="95"/>
                <w:sz w:val="21"/>
                <w:szCs w:val="21"/>
              </w:rPr>
              <w:t>—</w:t>
            </w:r>
            <w:r>
              <w:rPr>
                <w:rFonts w:eastAsia="Times New Roman"/>
                <w:w w:val="95"/>
                <w:sz w:val="21"/>
                <w:szCs w:val="21"/>
              </w:rPr>
              <w:t>20</w:t>
            </w:r>
            <w:r>
              <w:rPr>
                <w:rFonts w:eastAsia="Times New Roman"/>
                <w:spacing w:val="-2"/>
                <w:w w:val="95"/>
                <w:sz w:val="21"/>
                <w:szCs w:val="21"/>
              </w:rPr>
              <w:t>2</w:t>
            </w:r>
            <w:r>
              <w:rPr>
                <w:rFonts w:eastAsia="Times New Roman"/>
                <w:w w:val="95"/>
                <w:sz w:val="21"/>
                <w:szCs w:val="21"/>
              </w:rPr>
              <w:t>0</w:t>
            </w:r>
            <w:r>
              <w:rPr>
                <w:rFonts w:ascii="宋体" w:hAnsi="宋体" w:cs="宋体"/>
                <w:w w:val="95"/>
                <w:sz w:val="21"/>
                <w:szCs w:val="21"/>
              </w:rPr>
              <w:t>）</w:t>
            </w:r>
          </w:p>
        </w:tc>
      </w:tr>
      <w:tr>
        <w:tblPrEx>
          <w:tblCellMar>
            <w:top w:w="0" w:type="dxa"/>
            <w:left w:w="0" w:type="dxa"/>
            <w:bottom w:w="0" w:type="dxa"/>
            <w:right w:w="0" w:type="dxa"/>
          </w:tblCellMar>
        </w:tblPrEx>
        <w:trPr>
          <w:trHeight w:val="694" w:hRule="exact"/>
        </w:trPr>
        <w:tc>
          <w:tcPr>
            <w:tcW w:w="1133" w:type="dxa"/>
            <w:tcBorders>
              <w:top w:val="single" w:color="000000" w:sz="6" w:space="0"/>
              <w:left w:val="single" w:color="000000" w:sz="12" w:space="0"/>
              <w:bottom w:val="single" w:color="000000" w:sz="6" w:space="0"/>
              <w:right w:val="single" w:color="000000" w:sz="6" w:space="0"/>
            </w:tcBorders>
          </w:tcPr>
          <w:p>
            <w:pPr>
              <w:pStyle w:val="143"/>
              <w:spacing w:before="7"/>
              <w:rPr>
                <w:rFonts w:ascii="宋体" w:hAnsi="宋体" w:cs="宋体"/>
                <w:sz w:val="16"/>
                <w:szCs w:val="16"/>
              </w:rPr>
            </w:pPr>
          </w:p>
          <w:p>
            <w:pPr>
              <w:pStyle w:val="143"/>
              <w:ind w:right="6"/>
              <w:jc w:val="center"/>
              <w:rPr>
                <w:rFonts w:eastAsia="Times New Roman"/>
                <w:sz w:val="21"/>
                <w:szCs w:val="21"/>
              </w:rPr>
            </w:pPr>
            <w:r>
              <w:rPr>
                <w:sz w:val="21"/>
              </w:rPr>
              <w:t>4</w:t>
            </w:r>
          </w:p>
        </w:tc>
        <w:tc>
          <w:tcPr>
            <w:tcW w:w="3686" w:type="dxa"/>
            <w:tcBorders>
              <w:top w:val="single" w:color="000000" w:sz="6" w:space="0"/>
              <w:left w:val="single" w:color="000000" w:sz="6" w:space="0"/>
              <w:bottom w:val="single" w:color="000000" w:sz="6" w:space="0"/>
              <w:right w:val="single" w:color="000000" w:sz="6" w:space="0"/>
            </w:tcBorders>
          </w:tcPr>
          <w:p>
            <w:pPr>
              <w:pStyle w:val="143"/>
              <w:spacing w:before="45" w:line="252" w:lineRule="auto"/>
              <w:ind w:left="1310" w:right="470" w:hanging="831"/>
              <w:rPr>
                <w:rFonts w:eastAsia="Times New Roman"/>
                <w:sz w:val="21"/>
                <w:szCs w:val="21"/>
              </w:rPr>
            </w:pPr>
            <w:r>
              <w:rPr>
                <w:rFonts w:ascii="宋体" w:hAnsi="宋体" w:cs="宋体"/>
                <w:w w:val="95"/>
                <w:sz w:val="21"/>
                <w:szCs w:val="21"/>
              </w:rPr>
              <w:t>《公路工程物探规程》</w:t>
            </w:r>
            <w:r>
              <w:rPr>
                <w:rFonts w:eastAsia="Times New Roman"/>
                <w:w w:val="95"/>
                <w:sz w:val="21"/>
                <w:szCs w:val="21"/>
              </w:rPr>
              <w:t>(JTG/T</w:t>
            </w:r>
            <w:r>
              <w:rPr>
                <w:rFonts w:eastAsia="Times New Roman"/>
                <w:sz w:val="21"/>
                <w:szCs w:val="21"/>
              </w:rPr>
              <w:t>C22—2009)</w:t>
            </w:r>
          </w:p>
        </w:tc>
        <w:tc>
          <w:tcPr>
            <w:tcW w:w="4003" w:type="dxa"/>
            <w:tcBorders>
              <w:top w:val="single" w:color="000000" w:sz="6" w:space="0"/>
              <w:left w:val="single" w:color="000000" w:sz="6" w:space="0"/>
              <w:bottom w:val="single" w:color="000000" w:sz="6" w:space="0"/>
              <w:right w:val="single" w:color="000000" w:sz="12" w:space="0"/>
            </w:tcBorders>
          </w:tcPr>
          <w:p>
            <w:pPr>
              <w:pStyle w:val="143"/>
              <w:spacing w:before="165"/>
              <w:ind w:left="103"/>
              <w:rPr>
                <w:rFonts w:eastAsia="Times New Roman"/>
                <w:sz w:val="21"/>
                <w:szCs w:val="21"/>
              </w:rPr>
            </w:pPr>
            <w:r>
              <w:rPr>
                <w:rFonts w:ascii="宋体" w:hAnsi="宋体" w:cs="宋体"/>
                <w:w w:val="95"/>
                <w:sz w:val="21"/>
                <w:szCs w:val="21"/>
              </w:rPr>
              <w:t>《</w:t>
            </w:r>
            <w:r>
              <w:rPr>
                <w:rFonts w:ascii="宋体" w:hAnsi="宋体" w:cs="宋体"/>
                <w:spacing w:val="1"/>
                <w:w w:val="95"/>
                <w:sz w:val="21"/>
                <w:szCs w:val="21"/>
              </w:rPr>
              <w:t>公</w:t>
            </w:r>
            <w:r>
              <w:rPr>
                <w:rFonts w:ascii="宋体" w:hAnsi="宋体" w:cs="宋体"/>
                <w:w w:val="95"/>
                <w:sz w:val="21"/>
                <w:szCs w:val="21"/>
              </w:rPr>
              <w:t>路</w:t>
            </w:r>
            <w:r>
              <w:rPr>
                <w:rFonts w:ascii="宋体" w:hAnsi="宋体" w:cs="宋体"/>
                <w:spacing w:val="1"/>
                <w:w w:val="95"/>
                <w:sz w:val="21"/>
                <w:szCs w:val="21"/>
              </w:rPr>
              <w:t>工</w:t>
            </w:r>
            <w:r>
              <w:rPr>
                <w:rFonts w:ascii="宋体" w:hAnsi="宋体" w:cs="宋体"/>
                <w:w w:val="95"/>
                <w:sz w:val="21"/>
                <w:szCs w:val="21"/>
              </w:rPr>
              <w:t>程</w:t>
            </w:r>
            <w:r>
              <w:rPr>
                <w:rFonts w:ascii="宋体" w:hAnsi="宋体" w:cs="宋体"/>
                <w:spacing w:val="1"/>
                <w:w w:val="95"/>
                <w:sz w:val="21"/>
                <w:szCs w:val="21"/>
              </w:rPr>
              <w:t>物</w:t>
            </w:r>
            <w:r>
              <w:rPr>
                <w:rFonts w:ascii="宋体" w:hAnsi="宋体" w:cs="宋体"/>
                <w:w w:val="95"/>
                <w:sz w:val="21"/>
                <w:szCs w:val="21"/>
              </w:rPr>
              <w:t>探</w:t>
            </w:r>
            <w:r>
              <w:rPr>
                <w:rFonts w:ascii="宋体" w:hAnsi="宋体" w:cs="宋体"/>
                <w:spacing w:val="1"/>
                <w:w w:val="95"/>
                <w:sz w:val="21"/>
                <w:szCs w:val="21"/>
              </w:rPr>
              <w:t>规</w:t>
            </w:r>
            <w:r>
              <w:rPr>
                <w:rFonts w:ascii="宋体" w:hAnsi="宋体" w:cs="宋体"/>
                <w:w w:val="95"/>
                <w:sz w:val="21"/>
                <w:szCs w:val="21"/>
              </w:rPr>
              <w:t>程</w:t>
            </w:r>
            <w:r>
              <w:rPr>
                <w:rFonts w:ascii="宋体" w:hAnsi="宋体" w:cs="宋体"/>
                <w:spacing w:val="-95"/>
                <w:w w:val="95"/>
                <w:sz w:val="21"/>
                <w:szCs w:val="21"/>
              </w:rPr>
              <w:t>》</w:t>
            </w:r>
            <w:r>
              <w:rPr>
                <w:rFonts w:eastAsia="Times New Roman"/>
                <w:w w:val="95"/>
                <w:sz w:val="21"/>
                <w:szCs w:val="21"/>
              </w:rPr>
              <w:t>(JTG</w:t>
            </w:r>
            <w:r>
              <w:rPr>
                <w:rFonts w:eastAsia="Times New Roman"/>
                <w:spacing w:val="-1"/>
                <w:w w:val="95"/>
                <w:sz w:val="21"/>
                <w:szCs w:val="21"/>
              </w:rPr>
              <w:t>/</w:t>
            </w:r>
            <w:r>
              <w:rPr>
                <w:rFonts w:eastAsia="Times New Roman"/>
                <w:w w:val="95"/>
                <w:sz w:val="21"/>
                <w:szCs w:val="21"/>
              </w:rPr>
              <w:t>T   32</w:t>
            </w:r>
            <w:r>
              <w:rPr>
                <w:rFonts w:eastAsia="Times New Roman"/>
                <w:spacing w:val="2"/>
                <w:w w:val="95"/>
                <w:sz w:val="21"/>
                <w:szCs w:val="21"/>
              </w:rPr>
              <w:t>2</w:t>
            </w:r>
            <w:r>
              <w:rPr>
                <w:rFonts w:eastAsia="Times New Roman"/>
                <w:spacing w:val="-4"/>
                <w:w w:val="95"/>
                <w:sz w:val="21"/>
                <w:szCs w:val="21"/>
              </w:rPr>
              <w:t>2</w:t>
            </w:r>
            <w:r>
              <w:rPr>
                <w:rFonts w:eastAsia="Times New Roman"/>
                <w:spacing w:val="1"/>
                <w:w w:val="95"/>
                <w:sz w:val="21"/>
                <w:szCs w:val="21"/>
              </w:rPr>
              <w:t>—</w:t>
            </w:r>
            <w:r>
              <w:rPr>
                <w:rFonts w:eastAsia="Times New Roman"/>
                <w:w w:val="95"/>
                <w:sz w:val="21"/>
                <w:szCs w:val="21"/>
              </w:rPr>
              <w:t>20</w:t>
            </w:r>
            <w:r>
              <w:rPr>
                <w:rFonts w:eastAsia="Times New Roman"/>
                <w:spacing w:val="2"/>
                <w:w w:val="95"/>
                <w:sz w:val="21"/>
                <w:szCs w:val="21"/>
              </w:rPr>
              <w:t>2</w:t>
            </w:r>
            <w:r>
              <w:rPr>
                <w:rFonts w:eastAsia="Times New Roman"/>
                <w:spacing w:val="-4"/>
                <w:w w:val="95"/>
                <w:sz w:val="21"/>
                <w:szCs w:val="21"/>
              </w:rPr>
              <w:t>0)</w:t>
            </w:r>
          </w:p>
        </w:tc>
      </w:tr>
      <w:tr>
        <w:tblPrEx>
          <w:tblCellMar>
            <w:top w:w="0" w:type="dxa"/>
            <w:left w:w="0" w:type="dxa"/>
            <w:bottom w:w="0" w:type="dxa"/>
            <w:right w:w="0" w:type="dxa"/>
          </w:tblCellMar>
        </w:tblPrEx>
        <w:trPr>
          <w:trHeight w:val="696" w:hRule="exact"/>
        </w:trPr>
        <w:tc>
          <w:tcPr>
            <w:tcW w:w="1133" w:type="dxa"/>
            <w:tcBorders>
              <w:top w:val="single" w:color="000000" w:sz="6" w:space="0"/>
              <w:left w:val="single" w:color="000000" w:sz="12" w:space="0"/>
              <w:bottom w:val="single" w:color="000000" w:sz="6" w:space="0"/>
              <w:right w:val="single" w:color="000000" w:sz="6" w:space="0"/>
            </w:tcBorders>
          </w:tcPr>
          <w:p>
            <w:pPr>
              <w:pStyle w:val="143"/>
              <w:spacing w:before="7"/>
              <w:rPr>
                <w:rFonts w:ascii="宋体" w:hAnsi="宋体" w:cs="宋体"/>
                <w:sz w:val="16"/>
                <w:szCs w:val="16"/>
              </w:rPr>
            </w:pPr>
          </w:p>
          <w:p>
            <w:pPr>
              <w:pStyle w:val="143"/>
              <w:ind w:right="6"/>
              <w:jc w:val="center"/>
              <w:rPr>
                <w:rFonts w:eastAsia="Times New Roman"/>
                <w:sz w:val="21"/>
                <w:szCs w:val="21"/>
              </w:rPr>
            </w:pPr>
            <w:r>
              <w:rPr>
                <w:sz w:val="21"/>
              </w:rPr>
              <w:t>5</w:t>
            </w:r>
          </w:p>
        </w:tc>
        <w:tc>
          <w:tcPr>
            <w:tcW w:w="3686" w:type="dxa"/>
            <w:tcBorders>
              <w:top w:val="single" w:color="000000" w:sz="6" w:space="0"/>
              <w:left w:val="single" w:color="000000" w:sz="6" w:space="0"/>
              <w:bottom w:val="single" w:color="000000" w:sz="6" w:space="0"/>
              <w:right w:val="single" w:color="000000" w:sz="6" w:space="0"/>
            </w:tcBorders>
          </w:tcPr>
          <w:p>
            <w:pPr>
              <w:pStyle w:val="143"/>
              <w:spacing w:before="30"/>
              <w:ind w:left="866" w:right="156" w:hanging="711"/>
              <w:rPr>
                <w:rFonts w:eastAsia="Times New Roman"/>
                <w:sz w:val="21"/>
                <w:szCs w:val="21"/>
              </w:rPr>
            </w:pPr>
            <w:r>
              <w:rPr>
                <w:rFonts w:ascii="宋体" w:hAnsi="宋体" w:cs="宋体"/>
                <w:w w:val="95"/>
                <w:sz w:val="21"/>
                <w:szCs w:val="21"/>
              </w:rPr>
              <w:t>《公路工程水泥及水泥混凝土试验规</w:t>
            </w:r>
            <w:r>
              <w:rPr>
                <w:rFonts w:ascii="宋体" w:hAnsi="宋体" w:cs="宋体"/>
                <w:sz w:val="21"/>
                <w:szCs w:val="21"/>
              </w:rPr>
              <w:t>程》</w:t>
            </w:r>
            <w:r>
              <w:rPr>
                <w:rFonts w:eastAsia="Times New Roman"/>
                <w:sz w:val="21"/>
                <w:szCs w:val="21"/>
              </w:rPr>
              <w:t>(JTGE30—2005)</w:t>
            </w:r>
          </w:p>
        </w:tc>
        <w:tc>
          <w:tcPr>
            <w:tcW w:w="4003" w:type="dxa"/>
            <w:tcBorders>
              <w:top w:val="single" w:color="000000" w:sz="6" w:space="0"/>
              <w:left w:val="single" w:color="000000" w:sz="6" w:space="0"/>
              <w:bottom w:val="single" w:color="000000" w:sz="6" w:space="0"/>
              <w:right w:val="single" w:color="000000" w:sz="12" w:space="0"/>
            </w:tcBorders>
          </w:tcPr>
          <w:p>
            <w:pPr>
              <w:pStyle w:val="143"/>
              <w:spacing w:before="30" w:line="274" w:lineRule="exact"/>
              <w:ind w:left="2"/>
              <w:jc w:val="center"/>
              <w:rPr>
                <w:rFonts w:ascii="宋体" w:hAnsi="宋体" w:cs="宋体"/>
                <w:sz w:val="21"/>
                <w:szCs w:val="21"/>
              </w:rPr>
            </w:pPr>
            <w:r>
              <w:rPr>
                <w:rFonts w:ascii="宋体" w:hAnsi="宋体" w:cs="宋体"/>
                <w:sz w:val="21"/>
                <w:szCs w:val="21"/>
              </w:rPr>
              <w:t>《公路工程水泥及水泥混凝土试验规程》</w:t>
            </w:r>
          </w:p>
          <w:p>
            <w:pPr>
              <w:pStyle w:val="143"/>
              <w:spacing w:line="290" w:lineRule="exact"/>
              <w:ind w:left="8"/>
              <w:jc w:val="center"/>
              <w:rPr>
                <w:rFonts w:eastAsia="Times New Roman"/>
                <w:sz w:val="21"/>
                <w:szCs w:val="21"/>
              </w:rPr>
            </w:pPr>
            <w:r>
              <w:rPr>
                <w:rFonts w:ascii="宋体" w:hAnsi="宋体" w:cs="宋体"/>
                <w:sz w:val="21"/>
                <w:szCs w:val="21"/>
              </w:rPr>
              <w:t>（</w:t>
            </w:r>
            <w:r>
              <w:rPr>
                <w:rFonts w:eastAsia="Times New Roman"/>
                <w:sz w:val="21"/>
                <w:szCs w:val="21"/>
              </w:rPr>
              <w:t>JTG3420—2020)</w:t>
            </w:r>
          </w:p>
        </w:tc>
      </w:tr>
      <w:tr>
        <w:tblPrEx>
          <w:tblCellMar>
            <w:top w:w="0" w:type="dxa"/>
            <w:left w:w="0" w:type="dxa"/>
            <w:bottom w:w="0" w:type="dxa"/>
            <w:right w:w="0" w:type="dxa"/>
          </w:tblCellMar>
        </w:tblPrEx>
        <w:trPr>
          <w:trHeight w:val="694" w:hRule="exact"/>
        </w:trPr>
        <w:tc>
          <w:tcPr>
            <w:tcW w:w="1133" w:type="dxa"/>
            <w:tcBorders>
              <w:top w:val="single" w:color="000000" w:sz="6" w:space="0"/>
              <w:left w:val="single" w:color="000000" w:sz="12" w:space="0"/>
              <w:bottom w:val="single" w:color="000000" w:sz="6" w:space="0"/>
              <w:right w:val="single" w:color="000000" w:sz="6" w:space="0"/>
            </w:tcBorders>
          </w:tcPr>
          <w:p>
            <w:pPr>
              <w:pStyle w:val="143"/>
              <w:spacing w:before="7"/>
              <w:rPr>
                <w:rFonts w:ascii="宋体" w:hAnsi="宋体" w:cs="宋体"/>
                <w:sz w:val="16"/>
                <w:szCs w:val="16"/>
              </w:rPr>
            </w:pPr>
          </w:p>
          <w:p>
            <w:pPr>
              <w:pStyle w:val="143"/>
              <w:ind w:right="6"/>
              <w:jc w:val="center"/>
              <w:rPr>
                <w:rFonts w:eastAsia="Times New Roman"/>
                <w:sz w:val="21"/>
                <w:szCs w:val="21"/>
              </w:rPr>
            </w:pPr>
            <w:r>
              <w:rPr>
                <w:sz w:val="21"/>
              </w:rPr>
              <w:t>6</w:t>
            </w:r>
          </w:p>
        </w:tc>
        <w:tc>
          <w:tcPr>
            <w:tcW w:w="3686" w:type="dxa"/>
            <w:tcBorders>
              <w:top w:val="single" w:color="000000" w:sz="6" w:space="0"/>
              <w:left w:val="single" w:color="000000" w:sz="6" w:space="0"/>
              <w:bottom w:val="single" w:color="000000" w:sz="6" w:space="0"/>
              <w:right w:val="single" w:color="000000" w:sz="6" w:space="0"/>
            </w:tcBorders>
          </w:tcPr>
          <w:p>
            <w:pPr>
              <w:pStyle w:val="143"/>
              <w:spacing w:before="30" w:line="273" w:lineRule="exact"/>
              <w:jc w:val="center"/>
              <w:rPr>
                <w:rFonts w:ascii="宋体" w:hAnsi="宋体" w:cs="宋体"/>
                <w:sz w:val="21"/>
                <w:szCs w:val="21"/>
              </w:rPr>
            </w:pPr>
            <w:r>
              <w:rPr>
                <w:rFonts w:ascii="宋体" w:hAnsi="宋体" w:cs="宋体"/>
                <w:sz w:val="21"/>
                <w:szCs w:val="21"/>
              </w:rPr>
              <w:t>《公路工程质量检验评定标准第二册</w:t>
            </w:r>
          </w:p>
          <w:p>
            <w:pPr>
              <w:pStyle w:val="143"/>
              <w:spacing w:line="289" w:lineRule="exact"/>
              <w:ind w:left="3"/>
              <w:jc w:val="center"/>
              <w:rPr>
                <w:rFonts w:eastAsia="Times New Roman"/>
                <w:sz w:val="21"/>
                <w:szCs w:val="21"/>
              </w:rPr>
            </w:pPr>
            <w:r>
              <w:rPr>
                <w:rFonts w:ascii="宋体" w:hAnsi="宋体" w:cs="宋体"/>
                <w:sz w:val="21"/>
                <w:szCs w:val="21"/>
              </w:rPr>
              <w:t>机电工程》</w:t>
            </w:r>
            <w:r>
              <w:rPr>
                <w:rFonts w:eastAsia="Times New Roman"/>
                <w:sz w:val="21"/>
                <w:szCs w:val="21"/>
              </w:rPr>
              <w:t>(JTGF80/2—2004)</w:t>
            </w:r>
          </w:p>
        </w:tc>
        <w:tc>
          <w:tcPr>
            <w:tcW w:w="4003" w:type="dxa"/>
            <w:tcBorders>
              <w:top w:val="single" w:color="000000" w:sz="6" w:space="0"/>
              <w:left w:val="single" w:color="000000" w:sz="6" w:space="0"/>
              <w:bottom w:val="single" w:color="000000" w:sz="6" w:space="0"/>
              <w:right w:val="single" w:color="000000" w:sz="12" w:space="0"/>
            </w:tcBorders>
          </w:tcPr>
          <w:p>
            <w:pPr>
              <w:pStyle w:val="143"/>
              <w:spacing w:before="30" w:line="273" w:lineRule="exact"/>
              <w:ind w:left="4"/>
              <w:jc w:val="center"/>
              <w:rPr>
                <w:rFonts w:ascii="宋体" w:hAnsi="宋体" w:cs="宋体"/>
                <w:sz w:val="21"/>
                <w:szCs w:val="21"/>
              </w:rPr>
            </w:pPr>
            <w:r>
              <w:rPr>
                <w:rFonts w:ascii="宋体" w:hAnsi="宋体" w:cs="宋体"/>
                <w:sz w:val="21"/>
                <w:szCs w:val="21"/>
              </w:rPr>
              <w:t>《公路工程质量检验评定标准第二册机</w:t>
            </w:r>
          </w:p>
          <w:p>
            <w:pPr>
              <w:pStyle w:val="143"/>
              <w:spacing w:line="289" w:lineRule="exact"/>
              <w:ind w:left="8"/>
              <w:jc w:val="center"/>
              <w:rPr>
                <w:rFonts w:eastAsia="Times New Roman"/>
                <w:sz w:val="21"/>
                <w:szCs w:val="21"/>
              </w:rPr>
            </w:pPr>
            <w:r>
              <w:rPr>
                <w:rFonts w:ascii="宋体" w:hAnsi="宋体" w:cs="宋体"/>
                <w:sz w:val="21"/>
                <w:szCs w:val="21"/>
              </w:rPr>
              <w:t>电工程》（</w:t>
            </w:r>
            <w:r>
              <w:rPr>
                <w:rFonts w:eastAsia="Times New Roman"/>
                <w:sz w:val="21"/>
                <w:szCs w:val="21"/>
              </w:rPr>
              <w:t>JTG2182—2020)</w:t>
            </w:r>
          </w:p>
        </w:tc>
      </w:tr>
      <w:tr>
        <w:tblPrEx>
          <w:tblCellMar>
            <w:top w:w="0" w:type="dxa"/>
            <w:left w:w="0" w:type="dxa"/>
            <w:bottom w:w="0" w:type="dxa"/>
            <w:right w:w="0" w:type="dxa"/>
          </w:tblCellMar>
        </w:tblPrEx>
        <w:trPr>
          <w:trHeight w:val="833" w:hRule="exact"/>
        </w:trPr>
        <w:tc>
          <w:tcPr>
            <w:tcW w:w="1133" w:type="dxa"/>
            <w:tcBorders>
              <w:top w:val="single" w:color="000000" w:sz="6" w:space="0"/>
              <w:left w:val="single" w:color="000000" w:sz="12" w:space="0"/>
              <w:bottom w:val="single" w:color="000000" w:sz="6" w:space="0"/>
              <w:right w:val="single" w:color="000000" w:sz="6" w:space="0"/>
            </w:tcBorders>
          </w:tcPr>
          <w:p>
            <w:pPr>
              <w:pStyle w:val="143"/>
              <w:spacing w:before="12"/>
              <w:rPr>
                <w:rFonts w:ascii="宋体" w:hAnsi="宋体" w:cs="宋体"/>
                <w:sz w:val="21"/>
                <w:szCs w:val="21"/>
              </w:rPr>
            </w:pPr>
          </w:p>
          <w:p>
            <w:pPr>
              <w:pStyle w:val="143"/>
              <w:ind w:right="6"/>
              <w:jc w:val="center"/>
              <w:rPr>
                <w:rFonts w:eastAsia="Times New Roman"/>
                <w:sz w:val="21"/>
                <w:szCs w:val="21"/>
              </w:rPr>
            </w:pPr>
            <w:r>
              <w:rPr>
                <w:sz w:val="21"/>
              </w:rPr>
              <w:t>7</w:t>
            </w:r>
          </w:p>
        </w:tc>
        <w:tc>
          <w:tcPr>
            <w:tcW w:w="3686" w:type="dxa"/>
            <w:tcBorders>
              <w:top w:val="single" w:color="000000" w:sz="6" w:space="0"/>
              <w:left w:val="single" w:color="000000" w:sz="6" w:space="0"/>
              <w:bottom w:val="single" w:color="000000" w:sz="6" w:space="0"/>
              <w:right w:val="single" w:color="000000" w:sz="6" w:space="0"/>
            </w:tcBorders>
          </w:tcPr>
          <w:p>
            <w:pPr>
              <w:pStyle w:val="143"/>
              <w:spacing w:line="247" w:lineRule="exact"/>
              <w:jc w:val="center"/>
              <w:rPr>
                <w:rFonts w:eastAsia="Times New Roman"/>
                <w:sz w:val="21"/>
                <w:szCs w:val="21"/>
              </w:rPr>
            </w:pPr>
            <w:r>
              <w:rPr>
                <w:rFonts w:ascii="宋体" w:hAnsi="宋体" w:cs="宋体"/>
                <w:sz w:val="21"/>
                <w:szCs w:val="21"/>
              </w:rPr>
              <w:t>《公路隧道施工技术规范》（</w:t>
            </w:r>
            <w:r>
              <w:rPr>
                <w:rFonts w:eastAsia="Times New Roman"/>
                <w:sz w:val="21"/>
                <w:szCs w:val="21"/>
              </w:rPr>
              <w:t>JTG</w:t>
            </w:r>
          </w:p>
          <w:p>
            <w:pPr>
              <w:pStyle w:val="143"/>
              <w:spacing w:before="18" w:line="272" w:lineRule="exact"/>
              <w:ind w:left="100" w:right="96"/>
              <w:jc w:val="center"/>
              <w:rPr>
                <w:rFonts w:ascii="宋体" w:hAnsi="宋体" w:cs="宋体"/>
                <w:sz w:val="21"/>
                <w:szCs w:val="21"/>
              </w:rPr>
            </w:pPr>
            <w:r>
              <w:rPr>
                <w:rFonts w:eastAsia="Times New Roman"/>
                <w:w w:val="95"/>
                <w:sz w:val="21"/>
                <w:szCs w:val="21"/>
              </w:rPr>
              <w:t>F60—2009</w:t>
            </w:r>
            <w:r>
              <w:rPr>
                <w:rFonts w:ascii="宋体" w:hAnsi="宋体" w:cs="宋体"/>
                <w:w w:val="95"/>
                <w:sz w:val="21"/>
                <w:szCs w:val="21"/>
              </w:rPr>
              <w:t>）和《公路隧道施工技术细</w:t>
            </w:r>
            <w:r>
              <w:rPr>
                <w:rFonts w:ascii="宋体" w:hAnsi="宋体" w:cs="宋体"/>
                <w:sz w:val="21"/>
                <w:szCs w:val="21"/>
              </w:rPr>
              <w:t>则》（</w:t>
            </w:r>
            <w:r>
              <w:rPr>
                <w:rFonts w:eastAsia="Times New Roman"/>
                <w:sz w:val="21"/>
                <w:szCs w:val="21"/>
              </w:rPr>
              <w:t>JTG/TF60—2009</w:t>
            </w:r>
            <w:r>
              <w:rPr>
                <w:rFonts w:ascii="宋体" w:hAnsi="宋体" w:cs="宋体"/>
                <w:sz w:val="21"/>
                <w:szCs w:val="21"/>
              </w:rPr>
              <w:t>）</w:t>
            </w:r>
          </w:p>
        </w:tc>
        <w:tc>
          <w:tcPr>
            <w:tcW w:w="4003" w:type="dxa"/>
            <w:tcBorders>
              <w:top w:val="single" w:color="000000" w:sz="6" w:space="0"/>
              <w:left w:val="single" w:color="000000" w:sz="6" w:space="0"/>
              <w:bottom w:val="single" w:color="000000" w:sz="6" w:space="0"/>
              <w:right w:val="single" w:color="000000" w:sz="12" w:space="0"/>
            </w:tcBorders>
          </w:tcPr>
          <w:p>
            <w:pPr>
              <w:pStyle w:val="143"/>
              <w:spacing w:before="126" w:line="274" w:lineRule="exact"/>
              <w:ind w:left="1363" w:right="348" w:hanging="1006"/>
              <w:rPr>
                <w:rFonts w:ascii="宋体" w:hAnsi="宋体" w:cs="宋体"/>
                <w:sz w:val="21"/>
                <w:szCs w:val="21"/>
              </w:rPr>
            </w:pPr>
            <w:r>
              <w:rPr>
                <w:rFonts w:ascii="宋体" w:hAnsi="宋体" w:cs="宋体"/>
                <w:w w:val="95"/>
                <w:sz w:val="21"/>
                <w:szCs w:val="21"/>
              </w:rPr>
              <w:t>《公路隧道施工技术规范》（</w:t>
            </w:r>
            <w:r>
              <w:rPr>
                <w:rFonts w:eastAsia="Times New Roman"/>
                <w:w w:val="95"/>
                <w:sz w:val="21"/>
                <w:szCs w:val="21"/>
              </w:rPr>
              <w:t>JTG/T</w:t>
            </w:r>
            <w:r>
              <w:rPr>
                <w:rFonts w:eastAsia="Times New Roman"/>
                <w:sz w:val="21"/>
                <w:szCs w:val="21"/>
              </w:rPr>
              <w:t>3660—2020</w:t>
            </w:r>
            <w:r>
              <w:rPr>
                <w:rFonts w:ascii="宋体" w:hAnsi="宋体" w:cs="宋体"/>
                <w:sz w:val="21"/>
                <w:szCs w:val="21"/>
              </w:rPr>
              <w:t>）</w:t>
            </w:r>
          </w:p>
        </w:tc>
      </w:tr>
      <w:tr>
        <w:tblPrEx>
          <w:tblCellMar>
            <w:top w:w="0" w:type="dxa"/>
            <w:left w:w="0" w:type="dxa"/>
            <w:bottom w:w="0" w:type="dxa"/>
            <w:right w:w="0" w:type="dxa"/>
          </w:tblCellMar>
        </w:tblPrEx>
        <w:trPr>
          <w:trHeight w:val="696" w:hRule="exact"/>
        </w:trPr>
        <w:tc>
          <w:tcPr>
            <w:tcW w:w="1133" w:type="dxa"/>
            <w:tcBorders>
              <w:top w:val="single" w:color="000000" w:sz="6" w:space="0"/>
              <w:left w:val="single" w:color="000000" w:sz="12" w:space="0"/>
              <w:bottom w:val="single" w:color="000000" w:sz="6" w:space="0"/>
              <w:right w:val="single" w:color="000000" w:sz="6" w:space="0"/>
            </w:tcBorders>
          </w:tcPr>
          <w:p>
            <w:pPr>
              <w:pStyle w:val="143"/>
              <w:spacing w:before="7"/>
              <w:rPr>
                <w:rFonts w:ascii="宋体" w:hAnsi="宋体" w:cs="宋体"/>
                <w:sz w:val="16"/>
                <w:szCs w:val="16"/>
              </w:rPr>
            </w:pPr>
          </w:p>
          <w:p>
            <w:pPr>
              <w:pStyle w:val="143"/>
              <w:ind w:right="6"/>
              <w:jc w:val="center"/>
              <w:rPr>
                <w:rFonts w:eastAsia="Times New Roman"/>
                <w:sz w:val="21"/>
                <w:szCs w:val="21"/>
              </w:rPr>
            </w:pPr>
            <w:r>
              <w:rPr>
                <w:sz w:val="21"/>
              </w:rPr>
              <w:t>8</w:t>
            </w:r>
          </w:p>
        </w:tc>
        <w:tc>
          <w:tcPr>
            <w:tcW w:w="3686" w:type="dxa"/>
            <w:tcBorders>
              <w:top w:val="single" w:color="000000" w:sz="6" w:space="0"/>
              <w:left w:val="single" w:color="000000" w:sz="6" w:space="0"/>
              <w:bottom w:val="single" w:color="000000" w:sz="6" w:space="0"/>
              <w:right w:val="single" w:color="000000" w:sz="6" w:space="0"/>
            </w:tcBorders>
          </w:tcPr>
          <w:p>
            <w:pPr>
              <w:pStyle w:val="143"/>
              <w:spacing w:before="58" w:line="272" w:lineRule="exact"/>
              <w:ind w:left="559" w:right="156" w:hanging="404"/>
              <w:rPr>
                <w:rFonts w:ascii="宋体" w:hAnsi="宋体" w:cs="宋体"/>
                <w:sz w:val="21"/>
                <w:szCs w:val="21"/>
              </w:rPr>
            </w:pPr>
            <w:r>
              <w:rPr>
                <w:rFonts w:ascii="宋体" w:hAnsi="宋体" w:cs="宋体"/>
                <w:w w:val="95"/>
                <w:sz w:val="21"/>
                <w:szCs w:val="21"/>
              </w:rPr>
              <w:t>《公路工程混凝土结构耐久性技术规</w:t>
            </w:r>
            <w:r>
              <w:rPr>
                <w:rFonts w:ascii="宋体" w:hAnsi="宋体" w:cs="宋体"/>
                <w:sz w:val="21"/>
                <w:szCs w:val="21"/>
              </w:rPr>
              <w:t>范》（</w:t>
            </w:r>
            <w:r>
              <w:rPr>
                <w:rFonts w:eastAsia="Times New Roman"/>
                <w:sz w:val="21"/>
                <w:szCs w:val="21"/>
              </w:rPr>
              <w:t>JTG/TB07-01-2006</w:t>
            </w:r>
            <w:r>
              <w:rPr>
                <w:rFonts w:ascii="宋体" w:hAnsi="宋体" w:cs="宋体"/>
                <w:sz w:val="21"/>
                <w:szCs w:val="21"/>
              </w:rPr>
              <w:t>）</w:t>
            </w:r>
          </w:p>
        </w:tc>
        <w:tc>
          <w:tcPr>
            <w:tcW w:w="4003" w:type="dxa"/>
            <w:tcBorders>
              <w:top w:val="single" w:color="000000" w:sz="6" w:space="0"/>
              <w:left w:val="single" w:color="000000" w:sz="6" w:space="0"/>
              <w:bottom w:val="single" w:color="000000" w:sz="6" w:space="0"/>
              <w:right w:val="single" w:color="000000" w:sz="12" w:space="0"/>
            </w:tcBorders>
          </w:tcPr>
          <w:p>
            <w:pPr>
              <w:pStyle w:val="143"/>
              <w:spacing w:before="30" w:line="273" w:lineRule="exact"/>
              <w:ind w:left="2"/>
              <w:jc w:val="center"/>
              <w:rPr>
                <w:rFonts w:ascii="宋体" w:hAnsi="宋体" w:cs="宋体"/>
                <w:sz w:val="21"/>
                <w:szCs w:val="21"/>
              </w:rPr>
            </w:pPr>
            <w:r>
              <w:rPr>
                <w:rFonts w:ascii="宋体" w:hAnsi="宋体" w:cs="宋体"/>
                <w:sz w:val="21"/>
                <w:szCs w:val="21"/>
              </w:rPr>
              <w:t>《公路工程混凝土结构耐久性技术规范》</w:t>
            </w:r>
          </w:p>
          <w:p>
            <w:pPr>
              <w:pStyle w:val="143"/>
              <w:spacing w:line="289" w:lineRule="exact"/>
              <w:ind w:left="7"/>
              <w:jc w:val="center"/>
              <w:rPr>
                <w:rFonts w:ascii="宋体" w:hAnsi="宋体" w:cs="宋体"/>
                <w:sz w:val="21"/>
                <w:szCs w:val="21"/>
              </w:rPr>
            </w:pPr>
            <w:r>
              <w:rPr>
                <w:rFonts w:ascii="宋体" w:hAnsi="宋体" w:cs="宋体"/>
                <w:spacing w:val="-1"/>
                <w:sz w:val="21"/>
                <w:szCs w:val="21"/>
              </w:rPr>
              <w:t>（</w:t>
            </w:r>
            <w:r>
              <w:rPr>
                <w:rFonts w:eastAsia="Times New Roman"/>
                <w:spacing w:val="-1"/>
                <w:sz w:val="21"/>
                <w:szCs w:val="21"/>
              </w:rPr>
              <w:t>JTG/T</w:t>
            </w:r>
            <w:r>
              <w:rPr>
                <w:rFonts w:eastAsia="Times New Roman"/>
                <w:sz w:val="21"/>
                <w:szCs w:val="21"/>
              </w:rPr>
              <w:t>3310-2019</w:t>
            </w:r>
            <w:r>
              <w:rPr>
                <w:rFonts w:ascii="宋体" w:hAnsi="宋体" w:cs="宋体"/>
                <w:sz w:val="21"/>
                <w:szCs w:val="21"/>
              </w:rPr>
              <w:t>）</w:t>
            </w:r>
          </w:p>
        </w:tc>
      </w:tr>
      <w:tr>
        <w:tblPrEx>
          <w:tblCellMar>
            <w:top w:w="0" w:type="dxa"/>
            <w:left w:w="0" w:type="dxa"/>
            <w:bottom w:w="0" w:type="dxa"/>
            <w:right w:w="0" w:type="dxa"/>
          </w:tblCellMar>
        </w:tblPrEx>
        <w:trPr>
          <w:trHeight w:val="696" w:hRule="exact"/>
        </w:trPr>
        <w:tc>
          <w:tcPr>
            <w:tcW w:w="1133" w:type="dxa"/>
            <w:tcBorders>
              <w:top w:val="single" w:color="000000" w:sz="6" w:space="0"/>
              <w:left w:val="single" w:color="000000" w:sz="12" w:space="0"/>
              <w:bottom w:val="single" w:color="000000" w:sz="6" w:space="0"/>
              <w:right w:val="single" w:color="000000" w:sz="6" w:space="0"/>
            </w:tcBorders>
          </w:tcPr>
          <w:p>
            <w:pPr>
              <w:pStyle w:val="143"/>
              <w:spacing w:before="7"/>
              <w:rPr>
                <w:rFonts w:ascii="宋体" w:hAnsi="宋体" w:cs="宋体"/>
                <w:sz w:val="16"/>
                <w:szCs w:val="16"/>
              </w:rPr>
            </w:pPr>
          </w:p>
          <w:p>
            <w:pPr>
              <w:pStyle w:val="143"/>
              <w:ind w:right="6"/>
              <w:jc w:val="center"/>
              <w:rPr>
                <w:rFonts w:eastAsia="Times New Roman"/>
                <w:sz w:val="21"/>
                <w:szCs w:val="21"/>
              </w:rPr>
            </w:pPr>
            <w:r>
              <w:rPr>
                <w:sz w:val="21"/>
              </w:rPr>
              <w:t>9</w:t>
            </w:r>
          </w:p>
        </w:tc>
        <w:tc>
          <w:tcPr>
            <w:tcW w:w="3686" w:type="dxa"/>
            <w:tcBorders>
              <w:top w:val="single" w:color="000000" w:sz="6" w:space="0"/>
              <w:left w:val="single" w:color="000000" w:sz="6" w:space="0"/>
              <w:bottom w:val="single" w:color="000000" w:sz="6" w:space="0"/>
              <w:right w:val="single" w:color="000000" w:sz="6" w:space="0"/>
            </w:tcBorders>
          </w:tcPr>
          <w:p>
            <w:pPr>
              <w:pStyle w:val="143"/>
              <w:spacing w:before="58" w:line="272" w:lineRule="exact"/>
              <w:ind w:left="612" w:right="127" w:hanging="485"/>
              <w:rPr>
                <w:rFonts w:eastAsia="Times New Roman"/>
                <w:sz w:val="21"/>
                <w:szCs w:val="21"/>
              </w:rPr>
            </w:pPr>
            <w:r>
              <w:rPr>
                <w:rFonts w:ascii="宋体" w:hAnsi="宋体" w:cs="宋体"/>
                <w:sz w:val="21"/>
                <w:szCs w:val="21"/>
              </w:rPr>
              <w:t>《钢筋混凝土用钢第</w:t>
            </w:r>
            <w:r>
              <w:rPr>
                <w:rFonts w:eastAsia="Times New Roman"/>
                <w:sz w:val="21"/>
                <w:szCs w:val="21"/>
              </w:rPr>
              <w:t>2</w:t>
            </w:r>
            <w:r>
              <w:rPr>
                <w:rFonts w:ascii="宋体" w:hAnsi="宋体" w:cs="宋体"/>
                <w:sz w:val="21"/>
                <w:szCs w:val="21"/>
              </w:rPr>
              <w:t>部分</w:t>
            </w:r>
            <w:r>
              <w:rPr>
                <w:rFonts w:eastAsia="Times New Roman"/>
                <w:sz w:val="21"/>
                <w:szCs w:val="21"/>
              </w:rPr>
              <w:t>:</w:t>
            </w:r>
            <w:r>
              <w:rPr>
                <w:rFonts w:ascii="宋体" w:hAnsi="宋体" w:cs="宋体"/>
                <w:sz w:val="21"/>
                <w:szCs w:val="21"/>
              </w:rPr>
              <w:t>热轧带肋钢筋》</w:t>
            </w:r>
            <w:r>
              <w:rPr>
                <w:rFonts w:eastAsia="Times New Roman"/>
                <w:sz w:val="21"/>
                <w:szCs w:val="21"/>
              </w:rPr>
              <w:t>(GB1499.2-2007);</w:t>
            </w:r>
          </w:p>
        </w:tc>
        <w:tc>
          <w:tcPr>
            <w:tcW w:w="4003" w:type="dxa"/>
            <w:tcBorders>
              <w:top w:val="single" w:color="000000" w:sz="6" w:space="0"/>
              <w:left w:val="single" w:color="000000" w:sz="6" w:space="0"/>
              <w:bottom w:val="single" w:color="000000" w:sz="6" w:space="0"/>
              <w:right w:val="single" w:color="000000" w:sz="12" w:space="0"/>
            </w:tcBorders>
          </w:tcPr>
          <w:p>
            <w:pPr>
              <w:pStyle w:val="143"/>
              <w:spacing w:before="30" w:line="281" w:lineRule="exact"/>
              <w:ind w:left="4"/>
              <w:jc w:val="center"/>
              <w:rPr>
                <w:rFonts w:ascii="宋体" w:hAnsi="宋体" w:cs="宋体"/>
                <w:sz w:val="21"/>
                <w:szCs w:val="21"/>
              </w:rPr>
            </w:pPr>
            <w:r>
              <w:rPr>
                <w:rFonts w:ascii="宋体" w:hAnsi="宋体" w:cs="宋体"/>
                <w:sz w:val="21"/>
                <w:szCs w:val="21"/>
              </w:rPr>
              <w:t>《钢筋混凝土用钢第</w:t>
            </w:r>
            <w:r>
              <w:rPr>
                <w:rFonts w:eastAsia="Times New Roman"/>
                <w:sz w:val="21"/>
                <w:szCs w:val="21"/>
              </w:rPr>
              <w:t>2</w:t>
            </w:r>
            <w:r>
              <w:rPr>
                <w:rFonts w:ascii="宋体" w:hAnsi="宋体" w:cs="宋体"/>
                <w:sz w:val="21"/>
                <w:szCs w:val="21"/>
              </w:rPr>
              <w:t>部分</w:t>
            </w:r>
            <w:r>
              <w:rPr>
                <w:rFonts w:eastAsia="Times New Roman"/>
                <w:sz w:val="21"/>
                <w:szCs w:val="21"/>
              </w:rPr>
              <w:t>:</w:t>
            </w:r>
            <w:r>
              <w:rPr>
                <w:rFonts w:ascii="宋体" w:hAnsi="宋体" w:cs="宋体"/>
                <w:sz w:val="21"/>
                <w:szCs w:val="21"/>
              </w:rPr>
              <w:t>热轧带肋钢</w:t>
            </w:r>
          </w:p>
          <w:p>
            <w:pPr>
              <w:pStyle w:val="143"/>
              <w:spacing w:line="281" w:lineRule="exact"/>
              <w:ind w:left="9"/>
              <w:jc w:val="center"/>
              <w:rPr>
                <w:rFonts w:eastAsia="Times New Roman"/>
                <w:sz w:val="21"/>
                <w:szCs w:val="21"/>
              </w:rPr>
            </w:pPr>
            <w:r>
              <w:rPr>
                <w:rFonts w:ascii="宋体" w:hAnsi="宋体" w:cs="宋体"/>
                <w:sz w:val="21"/>
                <w:szCs w:val="21"/>
              </w:rPr>
              <w:t>筋》</w:t>
            </w:r>
            <w:r>
              <w:rPr>
                <w:rFonts w:eastAsia="Times New Roman"/>
                <w:sz w:val="21"/>
                <w:szCs w:val="21"/>
              </w:rPr>
              <w:t>(GB1499.2-2017);</w:t>
            </w:r>
          </w:p>
        </w:tc>
      </w:tr>
      <w:tr>
        <w:tblPrEx>
          <w:tblCellMar>
            <w:top w:w="0" w:type="dxa"/>
            <w:left w:w="0" w:type="dxa"/>
            <w:bottom w:w="0" w:type="dxa"/>
            <w:right w:w="0" w:type="dxa"/>
          </w:tblCellMar>
        </w:tblPrEx>
        <w:trPr>
          <w:trHeight w:val="694" w:hRule="exact"/>
        </w:trPr>
        <w:tc>
          <w:tcPr>
            <w:tcW w:w="1133" w:type="dxa"/>
            <w:tcBorders>
              <w:top w:val="single" w:color="000000" w:sz="6" w:space="0"/>
              <w:left w:val="single" w:color="000000" w:sz="12" w:space="0"/>
              <w:bottom w:val="single" w:color="000000" w:sz="6" w:space="0"/>
              <w:right w:val="single" w:color="000000" w:sz="6" w:space="0"/>
            </w:tcBorders>
          </w:tcPr>
          <w:p>
            <w:pPr>
              <w:pStyle w:val="143"/>
              <w:spacing w:before="5"/>
              <w:rPr>
                <w:rFonts w:ascii="宋体" w:hAnsi="宋体" w:cs="宋体"/>
                <w:sz w:val="16"/>
                <w:szCs w:val="16"/>
              </w:rPr>
            </w:pPr>
          </w:p>
          <w:p>
            <w:pPr>
              <w:pStyle w:val="143"/>
              <w:ind w:right="5"/>
              <w:jc w:val="center"/>
              <w:rPr>
                <w:rFonts w:eastAsia="Times New Roman"/>
                <w:sz w:val="21"/>
                <w:szCs w:val="21"/>
              </w:rPr>
            </w:pPr>
            <w:r>
              <w:rPr>
                <w:spacing w:val="1"/>
                <w:sz w:val="21"/>
              </w:rPr>
              <w:t>10</w:t>
            </w:r>
          </w:p>
        </w:tc>
        <w:tc>
          <w:tcPr>
            <w:tcW w:w="3686" w:type="dxa"/>
            <w:tcBorders>
              <w:top w:val="single" w:color="000000" w:sz="6" w:space="0"/>
              <w:left w:val="single" w:color="000000" w:sz="6" w:space="0"/>
              <w:bottom w:val="single" w:color="000000" w:sz="6" w:space="0"/>
              <w:right w:val="single" w:color="000000" w:sz="6" w:space="0"/>
            </w:tcBorders>
          </w:tcPr>
          <w:p>
            <w:pPr>
              <w:pStyle w:val="143"/>
              <w:spacing w:before="45"/>
              <w:jc w:val="center"/>
              <w:rPr>
                <w:rFonts w:ascii="宋体" w:hAnsi="宋体" w:cs="宋体"/>
                <w:sz w:val="21"/>
                <w:szCs w:val="21"/>
              </w:rPr>
            </w:pPr>
            <w:r>
              <w:rPr>
                <w:rFonts w:ascii="宋体" w:hAnsi="宋体" w:cs="宋体"/>
                <w:sz w:val="21"/>
                <w:szCs w:val="21"/>
              </w:rPr>
              <w:t>《预应力混凝土用螺纹钢筋》</w:t>
            </w:r>
          </w:p>
          <w:p>
            <w:pPr>
              <w:pStyle w:val="143"/>
              <w:spacing w:before="31"/>
              <w:ind w:left="8"/>
              <w:jc w:val="center"/>
              <w:rPr>
                <w:rFonts w:eastAsia="Times New Roman"/>
                <w:sz w:val="21"/>
                <w:szCs w:val="21"/>
              </w:rPr>
            </w:pPr>
            <w:r>
              <w:rPr>
                <w:sz w:val="21"/>
              </w:rPr>
              <w:t>(GB/T20065-2006)</w:t>
            </w:r>
          </w:p>
        </w:tc>
        <w:tc>
          <w:tcPr>
            <w:tcW w:w="4003" w:type="dxa"/>
            <w:tcBorders>
              <w:top w:val="single" w:color="000000" w:sz="6" w:space="0"/>
              <w:left w:val="single" w:color="000000" w:sz="6" w:space="0"/>
              <w:bottom w:val="single" w:color="000000" w:sz="6" w:space="0"/>
              <w:right w:val="single" w:color="000000" w:sz="12" w:space="0"/>
            </w:tcBorders>
          </w:tcPr>
          <w:p>
            <w:pPr>
              <w:pStyle w:val="143"/>
              <w:spacing w:before="45"/>
              <w:ind w:left="4"/>
              <w:jc w:val="center"/>
              <w:rPr>
                <w:rFonts w:ascii="宋体" w:hAnsi="宋体" w:cs="宋体"/>
                <w:sz w:val="21"/>
                <w:szCs w:val="21"/>
              </w:rPr>
            </w:pPr>
            <w:r>
              <w:rPr>
                <w:rFonts w:ascii="宋体" w:hAnsi="宋体" w:cs="宋体"/>
                <w:sz w:val="21"/>
                <w:szCs w:val="21"/>
              </w:rPr>
              <w:t>《预应力混凝土用螺纹钢筋》</w:t>
            </w:r>
          </w:p>
          <w:p>
            <w:pPr>
              <w:pStyle w:val="143"/>
              <w:spacing w:before="31"/>
              <w:ind w:left="15"/>
              <w:jc w:val="center"/>
              <w:rPr>
                <w:rFonts w:eastAsia="Times New Roman"/>
                <w:sz w:val="21"/>
                <w:szCs w:val="21"/>
              </w:rPr>
            </w:pPr>
            <w:r>
              <w:rPr>
                <w:sz w:val="21"/>
              </w:rPr>
              <w:t>(GB/T20065-2016)</w:t>
            </w:r>
          </w:p>
        </w:tc>
      </w:tr>
      <w:tr>
        <w:tblPrEx>
          <w:tblCellMar>
            <w:top w:w="0" w:type="dxa"/>
            <w:left w:w="0" w:type="dxa"/>
            <w:bottom w:w="0" w:type="dxa"/>
            <w:right w:w="0" w:type="dxa"/>
          </w:tblCellMar>
        </w:tblPrEx>
        <w:trPr>
          <w:trHeight w:val="696" w:hRule="exact"/>
        </w:trPr>
        <w:tc>
          <w:tcPr>
            <w:tcW w:w="1133" w:type="dxa"/>
            <w:tcBorders>
              <w:top w:val="single" w:color="000000" w:sz="6" w:space="0"/>
              <w:left w:val="single" w:color="000000" w:sz="12" w:space="0"/>
              <w:bottom w:val="single" w:color="000000" w:sz="6" w:space="0"/>
              <w:right w:val="single" w:color="000000" w:sz="6" w:space="0"/>
            </w:tcBorders>
          </w:tcPr>
          <w:p>
            <w:pPr>
              <w:pStyle w:val="143"/>
              <w:spacing w:before="7"/>
              <w:rPr>
                <w:rFonts w:ascii="宋体" w:hAnsi="宋体" w:cs="宋体"/>
                <w:sz w:val="16"/>
                <w:szCs w:val="16"/>
              </w:rPr>
            </w:pPr>
          </w:p>
          <w:p>
            <w:pPr>
              <w:pStyle w:val="143"/>
              <w:ind w:right="5"/>
              <w:jc w:val="center"/>
              <w:rPr>
                <w:rFonts w:eastAsia="Times New Roman"/>
                <w:sz w:val="21"/>
                <w:szCs w:val="21"/>
              </w:rPr>
            </w:pPr>
            <w:r>
              <w:rPr>
                <w:spacing w:val="-5"/>
                <w:sz w:val="21"/>
              </w:rPr>
              <w:t>11</w:t>
            </w:r>
          </w:p>
        </w:tc>
        <w:tc>
          <w:tcPr>
            <w:tcW w:w="3686" w:type="dxa"/>
            <w:tcBorders>
              <w:top w:val="single" w:color="000000" w:sz="6" w:space="0"/>
              <w:left w:val="single" w:color="000000" w:sz="6" w:space="0"/>
              <w:bottom w:val="single" w:color="000000" w:sz="6" w:space="0"/>
              <w:right w:val="single" w:color="000000" w:sz="6" w:space="0"/>
            </w:tcBorders>
          </w:tcPr>
          <w:p>
            <w:pPr>
              <w:pStyle w:val="143"/>
              <w:spacing w:before="167"/>
              <w:ind w:left="180"/>
              <w:rPr>
                <w:rFonts w:eastAsia="Times New Roman"/>
                <w:sz w:val="21"/>
                <w:szCs w:val="21"/>
              </w:rPr>
            </w:pPr>
            <w:r>
              <w:rPr>
                <w:rFonts w:ascii="宋体" w:hAnsi="宋体" w:cs="宋体"/>
                <w:sz w:val="21"/>
                <w:szCs w:val="21"/>
              </w:rPr>
              <w:t>《优质碳索结构钢》</w:t>
            </w:r>
            <w:r>
              <w:rPr>
                <w:rFonts w:eastAsia="Times New Roman"/>
                <w:sz w:val="21"/>
                <w:szCs w:val="21"/>
              </w:rPr>
              <w:t>(GB/T699-1999)</w:t>
            </w:r>
          </w:p>
        </w:tc>
        <w:tc>
          <w:tcPr>
            <w:tcW w:w="4003" w:type="dxa"/>
            <w:tcBorders>
              <w:top w:val="single" w:color="000000" w:sz="6" w:space="0"/>
              <w:left w:val="single" w:color="000000" w:sz="6" w:space="0"/>
              <w:bottom w:val="single" w:color="000000" w:sz="6" w:space="0"/>
              <w:right w:val="single" w:color="000000" w:sz="12" w:space="0"/>
            </w:tcBorders>
          </w:tcPr>
          <w:p>
            <w:pPr>
              <w:pStyle w:val="143"/>
              <w:spacing w:before="167"/>
              <w:ind w:left="338"/>
              <w:rPr>
                <w:rFonts w:eastAsia="Times New Roman"/>
                <w:sz w:val="21"/>
                <w:szCs w:val="21"/>
              </w:rPr>
            </w:pPr>
            <w:r>
              <w:rPr>
                <w:rFonts w:ascii="宋体" w:hAnsi="宋体" w:cs="宋体"/>
                <w:sz w:val="21"/>
                <w:szCs w:val="21"/>
              </w:rPr>
              <w:t>《优质碳索结构钢》</w:t>
            </w:r>
            <w:r>
              <w:rPr>
                <w:rFonts w:eastAsia="Times New Roman"/>
                <w:sz w:val="21"/>
                <w:szCs w:val="21"/>
              </w:rPr>
              <w:t>(GB/T699-2015)</w:t>
            </w:r>
          </w:p>
        </w:tc>
      </w:tr>
      <w:tr>
        <w:tblPrEx>
          <w:tblCellMar>
            <w:top w:w="0" w:type="dxa"/>
            <w:left w:w="0" w:type="dxa"/>
            <w:bottom w:w="0" w:type="dxa"/>
            <w:right w:w="0" w:type="dxa"/>
          </w:tblCellMar>
        </w:tblPrEx>
        <w:trPr>
          <w:trHeight w:val="701" w:hRule="exact"/>
        </w:trPr>
        <w:tc>
          <w:tcPr>
            <w:tcW w:w="1133" w:type="dxa"/>
            <w:tcBorders>
              <w:top w:val="single" w:color="000000" w:sz="6" w:space="0"/>
              <w:left w:val="single" w:color="000000" w:sz="12" w:space="0"/>
              <w:bottom w:val="single" w:color="000000" w:sz="12" w:space="0"/>
              <w:right w:val="single" w:color="000000" w:sz="6" w:space="0"/>
            </w:tcBorders>
          </w:tcPr>
          <w:p>
            <w:pPr>
              <w:pStyle w:val="143"/>
              <w:spacing w:before="7"/>
              <w:rPr>
                <w:rFonts w:ascii="宋体" w:hAnsi="宋体" w:cs="宋体"/>
                <w:sz w:val="16"/>
                <w:szCs w:val="16"/>
              </w:rPr>
            </w:pPr>
          </w:p>
          <w:p>
            <w:pPr>
              <w:pStyle w:val="143"/>
              <w:ind w:right="5"/>
              <w:jc w:val="center"/>
              <w:rPr>
                <w:rFonts w:eastAsia="Times New Roman"/>
                <w:sz w:val="21"/>
                <w:szCs w:val="21"/>
              </w:rPr>
            </w:pPr>
            <w:r>
              <w:rPr>
                <w:spacing w:val="1"/>
                <w:sz w:val="21"/>
              </w:rPr>
              <w:t>12</w:t>
            </w:r>
          </w:p>
        </w:tc>
        <w:tc>
          <w:tcPr>
            <w:tcW w:w="3686" w:type="dxa"/>
            <w:tcBorders>
              <w:top w:val="single" w:color="000000" w:sz="6" w:space="0"/>
              <w:left w:val="single" w:color="000000" w:sz="6" w:space="0"/>
              <w:bottom w:val="single" w:color="000000" w:sz="12" w:space="0"/>
              <w:right w:val="single" w:color="000000" w:sz="6" w:space="0"/>
            </w:tcBorders>
          </w:tcPr>
          <w:p>
            <w:pPr>
              <w:pStyle w:val="143"/>
              <w:spacing w:before="45"/>
              <w:ind w:right="2"/>
              <w:jc w:val="center"/>
              <w:rPr>
                <w:rFonts w:ascii="宋体" w:hAnsi="宋体" w:cs="宋体"/>
                <w:sz w:val="21"/>
                <w:szCs w:val="21"/>
              </w:rPr>
            </w:pPr>
            <w:r>
              <w:rPr>
                <w:rFonts w:ascii="宋体" w:hAnsi="宋体" w:cs="宋体"/>
                <w:sz w:val="21"/>
                <w:szCs w:val="21"/>
              </w:rPr>
              <w:t>《预应力混凝土用金属波纹管》</w:t>
            </w:r>
          </w:p>
          <w:p>
            <w:pPr>
              <w:pStyle w:val="143"/>
              <w:spacing w:before="31"/>
              <w:ind w:left="5"/>
              <w:jc w:val="center"/>
              <w:rPr>
                <w:rFonts w:eastAsia="Times New Roman"/>
                <w:sz w:val="21"/>
                <w:szCs w:val="21"/>
              </w:rPr>
            </w:pPr>
            <w:r>
              <w:rPr>
                <w:sz w:val="21"/>
              </w:rPr>
              <w:t>(JG225-2007)</w:t>
            </w:r>
          </w:p>
        </w:tc>
        <w:tc>
          <w:tcPr>
            <w:tcW w:w="4003" w:type="dxa"/>
            <w:tcBorders>
              <w:top w:val="single" w:color="000000" w:sz="6" w:space="0"/>
              <w:left w:val="single" w:color="000000" w:sz="6" w:space="0"/>
              <w:bottom w:val="single" w:color="000000" w:sz="12" w:space="0"/>
              <w:right w:val="single" w:color="000000" w:sz="12" w:space="0"/>
            </w:tcBorders>
          </w:tcPr>
          <w:p>
            <w:pPr>
              <w:pStyle w:val="143"/>
              <w:spacing w:before="45"/>
              <w:ind w:left="2"/>
              <w:jc w:val="center"/>
              <w:rPr>
                <w:rFonts w:ascii="宋体" w:hAnsi="宋体" w:cs="宋体"/>
                <w:sz w:val="21"/>
                <w:szCs w:val="21"/>
              </w:rPr>
            </w:pPr>
            <w:r>
              <w:rPr>
                <w:rFonts w:ascii="宋体" w:hAnsi="宋体" w:cs="宋体"/>
                <w:sz w:val="21"/>
                <w:szCs w:val="21"/>
              </w:rPr>
              <w:t>《预应力混凝土用金属波纹管》</w:t>
            </w:r>
          </w:p>
          <w:p>
            <w:pPr>
              <w:pStyle w:val="143"/>
              <w:spacing w:before="31"/>
              <w:ind w:left="12"/>
              <w:jc w:val="center"/>
              <w:rPr>
                <w:rFonts w:eastAsia="Times New Roman"/>
                <w:sz w:val="21"/>
                <w:szCs w:val="21"/>
              </w:rPr>
            </w:pPr>
            <w:r>
              <w:rPr>
                <w:sz w:val="21"/>
              </w:rPr>
              <w:t>(JG225-2020)</w:t>
            </w:r>
          </w:p>
        </w:tc>
      </w:tr>
    </w:tbl>
    <w:p>
      <w:pPr>
        <w:spacing w:line="380" w:lineRule="exact"/>
        <w:ind w:left="-141" w:leftChars="-67" w:right="-27" w:rightChars="-13" w:firstLine="420" w:firstLineChars="200"/>
        <w:rPr>
          <w:rFonts w:ascii="宋体" w:hAnsi="宋体"/>
          <w:color w:val="000000"/>
          <w:szCs w:val="21"/>
        </w:rPr>
      </w:pPr>
      <w:r>
        <w:rPr>
          <w:rFonts w:hint="eastAsia" w:ascii="宋体" w:hAnsi="宋体"/>
          <w:color w:val="000000"/>
          <w:szCs w:val="21"/>
        </w:rPr>
        <w:t xml:space="preserve"> “通用技术规范”中规定与上述更新后的标准与规范不一致的，以更新后的标准与规范为准。</w:t>
      </w:r>
    </w:p>
    <w:p>
      <w:pPr>
        <w:spacing w:line="380" w:lineRule="exact"/>
        <w:ind w:left="-141" w:leftChars="-67" w:right="-27" w:rightChars="-13" w:firstLine="420" w:firstLineChars="200"/>
        <w:rPr>
          <w:rFonts w:ascii="宋体" w:hAnsi="宋体"/>
          <w:color w:val="000000"/>
          <w:szCs w:val="21"/>
        </w:rPr>
      </w:pPr>
    </w:p>
    <w:p>
      <w:pPr>
        <w:spacing w:line="380" w:lineRule="exact"/>
        <w:ind w:left="-141" w:leftChars="-67" w:right="-27" w:rightChars="-13" w:firstLine="420" w:firstLineChars="200"/>
        <w:rPr>
          <w:rFonts w:ascii="宋体" w:hAnsi="宋体"/>
          <w:color w:val="000000"/>
          <w:szCs w:val="21"/>
        </w:rPr>
      </w:pPr>
    </w:p>
    <w:p>
      <w:pPr>
        <w:spacing w:line="380" w:lineRule="exact"/>
        <w:ind w:left="-141" w:leftChars="-67" w:right="-27" w:rightChars="-13" w:firstLine="420" w:firstLineChars="200"/>
        <w:rPr>
          <w:rFonts w:ascii="宋体" w:hAnsi="宋体"/>
          <w:color w:val="000000"/>
          <w:szCs w:val="21"/>
        </w:rPr>
      </w:pPr>
    </w:p>
    <w:p>
      <w:pPr>
        <w:spacing w:line="380" w:lineRule="exact"/>
        <w:ind w:left="-141" w:leftChars="-67" w:right="-27" w:rightChars="-13" w:firstLine="420" w:firstLineChars="200"/>
        <w:rPr>
          <w:rFonts w:ascii="宋体" w:hAnsi="宋体"/>
          <w:color w:val="000000"/>
          <w:szCs w:val="21"/>
        </w:rPr>
      </w:pPr>
    </w:p>
    <w:p>
      <w:pPr>
        <w:spacing w:line="380" w:lineRule="exact"/>
        <w:ind w:left="-141" w:leftChars="-67" w:right="-27" w:rightChars="-13" w:firstLine="420" w:firstLineChars="200"/>
        <w:rPr>
          <w:rFonts w:ascii="宋体" w:hAnsi="宋体"/>
          <w:color w:val="000000"/>
          <w:szCs w:val="21"/>
        </w:rPr>
      </w:pPr>
      <w:r>
        <w:rPr>
          <w:rFonts w:hint="eastAsia" w:ascii="宋体" w:hAnsi="宋体"/>
          <w:color w:val="000000"/>
          <w:szCs w:val="21"/>
        </w:rPr>
        <w:t>3. 本“项目专用技术规范”，在下列章、节对“通用技术规范”进行了补充、删除和修改：</w:t>
      </w:r>
    </w:p>
    <w:p>
      <w:pPr>
        <w:spacing w:line="380" w:lineRule="exact"/>
        <w:ind w:left="-141" w:leftChars="-67" w:right="-27" w:rightChars="-13" w:firstLine="420" w:firstLineChars="200"/>
        <w:rPr>
          <w:rFonts w:ascii="宋体" w:hAnsi="宋体"/>
          <w:b/>
          <w:szCs w:val="21"/>
        </w:rPr>
      </w:pPr>
      <w:r>
        <w:fldChar w:fldCharType="begin"/>
      </w:r>
      <w:r>
        <w:instrText xml:space="preserve"> HYPERLINK "file:///C:\\Users\\Administrator.PC-201711211054\\Documents\\WeChat%20Files\\wxid_rc4hgpunqcpt21\\FileStorage\\File\\2024-07\\其他\\2020年椒江区公路标志标线增设和维护工程招标文件（下载）修改.docx" \l "_Toc26063" </w:instrText>
      </w:r>
      <w:r>
        <w:fldChar w:fldCharType="separate"/>
      </w:r>
      <w:r>
        <w:rPr>
          <w:rFonts w:hint="eastAsia" w:ascii="宋体" w:hAnsi="宋体"/>
          <w:b/>
          <w:szCs w:val="21"/>
        </w:rPr>
        <w:t>第100章  总 则</w:t>
      </w:r>
      <w:r>
        <w:rPr>
          <w:rFonts w:hint="eastAsia" w:ascii="宋体" w:hAnsi="宋体"/>
          <w:b/>
          <w:szCs w:val="21"/>
        </w:rPr>
        <w:fldChar w:fldCharType="end"/>
      </w:r>
    </w:p>
    <w:p>
      <w:pPr>
        <w:spacing w:line="380" w:lineRule="exact"/>
        <w:ind w:left="-141" w:leftChars="-67" w:right="-27" w:rightChars="-13" w:firstLine="420" w:firstLineChars="200"/>
        <w:rPr>
          <w:rFonts w:ascii="宋体" w:hAnsi="宋体"/>
          <w:szCs w:val="21"/>
        </w:rPr>
      </w:pPr>
      <w:r>
        <w:fldChar w:fldCharType="begin"/>
      </w:r>
      <w:r>
        <w:instrText xml:space="preserve"> HYPERLINK "file:///C:\\Users\\Administrator.PC-201711211054\\Documents\\WeChat%20Files\\wxid_rc4hgpunqcpt21\\FileStorage\\File\\2024-07\\其他\\2020年椒江区公路标志标线增设和维护工程招标文件（下载）修改.docx" \l "_Toc22096" </w:instrText>
      </w:r>
      <w:r>
        <w:fldChar w:fldCharType="separate"/>
      </w:r>
      <w:r>
        <w:rPr>
          <w:rFonts w:hint="eastAsia" w:ascii="宋体" w:hAnsi="宋体"/>
          <w:szCs w:val="21"/>
        </w:rPr>
        <w:t>第101节  通 则</w:t>
      </w:r>
      <w:r>
        <w:rPr>
          <w:rFonts w:hint="eastAsia" w:ascii="宋体" w:hAnsi="宋体"/>
          <w:szCs w:val="21"/>
        </w:rPr>
        <w:fldChar w:fldCharType="end"/>
      </w:r>
    </w:p>
    <w:p>
      <w:pPr>
        <w:spacing w:line="380" w:lineRule="exact"/>
        <w:ind w:left="-141" w:leftChars="-67" w:right="-27" w:rightChars="-13" w:firstLine="420" w:firstLineChars="200"/>
        <w:rPr>
          <w:rFonts w:ascii="宋体" w:hAnsi="宋体"/>
          <w:szCs w:val="21"/>
        </w:rPr>
      </w:pPr>
      <w:r>
        <w:fldChar w:fldCharType="begin"/>
      </w:r>
      <w:r>
        <w:instrText xml:space="preserve"> HYPERLINK "file:///C:\\Users\\Administrator.PC-201711211054\\Documents\\WeChat%20Files\\wxid_rc4hgpunqcpt21\\FileStorage\\File\\2024-07\\其他\\2020年椒江区公路标志标线增设和维护工程招标文件（下载）修改.docx" \l "_Toc1745" </w:instrText>
      </w:r>
      <w:r>
        <w:fldChar w:fldCharType="separate"/>
      </w:r>
      <w:r>
        <w:rPr>
          <w:rFonts w:hint="eastAsia" w:ascii="宋体" w:hAnsi="宋体"/>
          <w:szCs w:val="21"/>
        </w:rPr>
        <w:t>第102节  工程管理</w:t>
      </w:r>
      <w:r>
        <w:rPr>
          <w:rFonts w:hint="eastAsia" w:ascii="宋体" w:hAnsi="宋体"/>
          <w:szCs w:val="21"/>
        </w:rPr>
        <w:fldChar w:fldCharType="end"/>
      </w:r>
    </w:p>
    <w:p>
      <w:pPr>
        <w:spacing w:line="380" w:lineRule="exact"/>
        <w:ind w:left="-141" w:leftChars="-67" w:right="-27" w:rightChars="-13" w:firstLine="420" w:firstLineChars="200"/>
        <w:rPr>
          <w:rFonts w:ascii="宋体" w:hAnsi="宋体"/>
          <w:szCs w:val="21"/>
        </w:rPr>
      </w:pPr>
      <w:r>
        <w:rPr>
          <w:rFonts w:hint="eastAsia" w:ascii="宋体" w:hAnsi="宋体"/>
          <w:szCs w:val="21"/>
        </w:rPr>
        <w:t>第 103 节</w:t>
      </w:r>
      <w:r>
        <w:rPr>
          <w:rFonts w:hint="eastAsia" w:ascii="宋体" w:hAnsi="宋体"/>
          <w:szCs w:val="21"/>
        </w:rPr>
        <w:tab/>
      </w:r>
      <w:r>
        <w:rPr>
          <w:rFonts w:hint="eastAsia" w:ascii="宋体" w:hAnsi="宋体"/>
          <w:szCs w:val="21"/>
        </w:rPr>
        <w:t>临时工程与设施</w:t>
      </w:r>
    </w:p>
    <w:p>
      <w:pPr>
        <w:spacing w:line="380" w:lineRule="exact"/>
        <w:ind w:left="-141" w:leftChars="-67" w:right="-27" w:rightChars="-13" w:firstLine="422" w:firstLineChars="200"/>
        <w:rPr>
          <w:rFonts w:ascii="宋体" w:hAnsi="宋体"/>
          <w:szCs w:val="21"/>
        </w:rPr>
      </w:pPr>
      <w:r>
        <w:rPr>
          <w:rFonts w:hint="eastAsia" w:ascii="宋体" w:hAnsi="宋体"/>
          <w:b/>
          <w:szCs w:val="21"/>
        </w:rPr>
        <w:t>第 600 章</w:t>
      </w:r>
      <w:r>
        <w:rPr>
          <w:rFonts w:hint="eastAsia" w:ascii="宋体" w:hAnsi="宋体"/>
          <w:b/>
          <w:szCs w:val="21"/>
        </w:rPr>
        <w:tab/>
      </w:r>
      <w:r>
        <w:rPr>
          <w:rFonts w:hint="eastAsia" w:ascii="宋体" w:hAnsi="宋体"/>
          <w:b/>
          <w:szCs w:val="21"/>
        </w:rPr>
        <w:t>安全设施及预埋管线</w:t>
      </w:r>
    </w:p>
    <w:p>
      <w:pPr>
        <w:spacing w:line="380" w:lineRule="exact"/>
        <w:ind w:left="-141" w:leftChars="-67" w:right="-27" w:rightChars="-13" w:firstLine="420" w:firstLineChars="200"/>
        <w:rPr>
          <w:rFonts w:ascii="宋体" w:hAnsi="宋体"/>
          <w:szCs w:val="21"/>
        </w:rPr>
      </w:pPr>
      <w:r>
        <w:rPr>
          <w:rFonts w:hint="eastAsia" w:ascii="宋体" w:hAnsi="宋体"/>
          <w:szCs w:val="21"/>
        </w:rPr>
        <w:t>第</w:t>
      </w:r>
      <w:r>
        <w:rPr>
          <w:rFonts w:ascii="宋体" w:hAnsi="宋体"/>
          <w:szCs w:val="21"/>
        </w:rPr>
        <w:t>6</w:t>
      </w:r>
      <w:r>
        <w:rPr>
          <w:rFonts w:hint="eastAsia" w:ascii="宋体" w:hAnsi="宋体"/>
          <w:szCs w:val="21"/>
        </w:rPr>
        <w:t>01节 通则</w:t>
      </w:r>
    </w:p>
    <w:p>
      <w:pPr>
        <w:spacing w:line="380" w:lineRule="exact"/>
        <w:ind w:left="-141" w:leftChars="-67" w:right="-27" w:rightChars="-13" w:firstLine="420" w:firstLineChars="200"/>
        <w:rPr>
          <w:rFonts w:ascii="宋体" w:hAnsi="宋体"/>
          <w:szCs w:val="21"/>
        </w:rPr>
      </w:pPr>
      <w:r>
        <w:rPr>
          <w:rFonts w:hint="eastAsia" w:ascii="宋体" w:hAnsi="宋体"/>
          <w:szCs w:val="21"/>
        </w:rPr>
        <w:t>第602节 护栏</w:t>
      </w:r>
    </w:p>
    <w:p>
      <w:pPr>
        <w:widowControl/>
        <w:jc w:val="left"/>
      </w:pPr>
      <w:r>
        <w:br w:type="page"/>
      </w:r>
    </w:p>
    <w:p>
      <w:pPr>
        <w:jc w:val="center"/>
        <w:textAlignment w:val="baseline"/>
        <w:rPr>
          <w:rFonts w:ascii="宋体" w:hAnsi="宋体" w:cs="宋体"/>
          <w:b/>
          <w:bCs/>
          <w:color w:val="000000"/>
          <w:sz w:val="32"/>
          <w:szCs w:val="32"/>
        </w:rPr>
      </w:pPr>
      <w:r>
        <w:rPr>
          <w:rFonts w:hint="eastAsia" w:ascii="宋体" w:hAnsi="宋体" w:cs="宋体"/>
          <w:b/>
          <w:bCs/>
          <w:color w:val="000000"/>
          <w:sz w:val="32"/>
          <w:szCs w:val="32"/>
        </w:rPr>
        <w:t>第 100 章</w:t>
      </w:r>
      <w:r>
        <w:rPr>
          <w:rFonts w:hint="eastAsia" w:ascii="宋体" w:hAnsi="宋体" w:cs="宋体"/>
          <w:b/>
          <w:bCs/>
          <w:color w:val="000000"/>
          <w:sz w:val="32"/>
          <w:szCs w:val="32"/>
        </w:rPr>
        <w:tab/>
      </w:r>
      <w:r>
        <w:rPr>
          <w:rFonts w:hint="eastAsia" w:ascii="宋体" w:hAnsi="宋体" w:cs="宋体"/>
          <w:b/>
          <w:bCs/>
          <w:color w:val="000000"/>
          <w:sz w:val="32"/>
          <w:szCs w:val="32"/>
        </w:rPr>
        <w:t>总</w:t>
      </w:r>
      <w:r>
        <w:rPr>
          <w:rFonts w:hint="eastAsia" w:ascii="宋体" w:hAnsi="宋体" w:cs="宋体"/>
          <w:b/>
          <w:bCs/>
          <w:color w:val="000000"/>
          <w:sz w:val="32"/>
          <w:szCs w:val="32"/>
        </w:rPr>
        <w:tab/>
      </w:r>
      <w:r>
        <w:rPr>
          <w:rFonts w:hint="eastAsia" w:ascii="宋体" w:hAnsi="宋体" w:cs="宋体"/>
          <w:b/>
          <w:bCs/>
          <w:color w:val="000000"/>
          <w:sz w:val="32"/>
          <w:szCs w:val="32"/>
        </w:rPr>
        <w:t>则</w:t>
      </w:r>
    </w:p>
    <w:p>
      <w:pPr>
        <w:autoSpaceDE w:val="0"/>
        <w:autoSpaceDN w:val="0"/>
        <w:adjustRightInd w:val="0"/>
        <w:spacing w:line="360" w:lineRule="auto"/>
        <w:jc w:val="center"/>
        <w:rPr>
          <w:color w:val="000000"/>
          <w:szCs w:val="21"/>
        </w:rPr>
      </w:pPr>
      <w:r>
        <w:rPr>
          <w:rFonts w:hint="eastAsia" w:ascii="宋体" w:hAnsi="宋体" w:cs="宋体"/>
          <w:b/>
          <w:bCs/>
          <w:color w:val="000000"/>
          <w:sz w:val="32"/>
          <w:szCs w:val="32"/>
        </w:rPr>
        <w:t>第 101 节</w:t>
      </w:r>
      <w:r>
        <w:rPr>
          <w:rFonts w:hint="eastAsia" w:ascii="宋体" w:hAnsi="宋体" w:cs="宋体"/>
          <w:b/>
          <w:bCs/>
          <w:color w:val="000000"/>
          <w:sz w:val="32"/>
          <w:szCs w:val="32"/>
        </w:rPr>
        <w:tab/>
      </w:r>
      <w:r>
        <w:rPr>
          <w:rFonts w:hint="eastAsia" w:ascii="宋体" w:hAnsi="宋体" w:cs="宋体"/>
          <w:b/>
          <w:bCs/>
          <w:color w:val="000000"/>
          <w:sz w:val="32"/>
          <w:szCs w:val="32"/>
        </w:rPr>
        <w:t>通 则</w:t>
      </w:r>
    </w:p>
    <w:p>
      <w:pPr>
        <w:autoSpaceDE w:val="0"/>
        <w:autoSpaceDN w:val="0"/>
        <w:adjustRightInd w:val="0"/>
        <w:spacing w:line="360" w:lineRule="auto"/>
        <w:rPr>
          <w:color w:val="000000"/>
          <w:szCs w:val="21"/>
        </w:rPr>
      </w:pPr>
      <w:r>
        <w:rPr>
          <w:b/>
          <w:bCs/>
          <w:color w:val="000000"/>
          <w:sz w:val="24"/>
        </w:rPr>
        <w:t>101.01</w:t>
      </w:r>
      <w:r>
        <w:rPr>
          <w:b/>
          <w:bCs/>
          <w:color w:val="000000"/>
          <w:sz w:val="24"/>
        </w:rPr>
        <w:tab/>
      </w:r>
      <w:r>
        <w:rPr>
          <w:rFonts w:hint="eastAsia"/>
          <w:b/>
          <w:bCs/>
          <w:color w:val="000000"/>
          <w:sz w:val="24"/>
        </w:rPr>
        <w:t>范围</w:t>
      </w:r>
    </w:p>
    <w:p>
      <w:pPr>
        <w:autoSpaceDE w:val="0"/>
        <w:autoSpaceDN w:val="0"/>
        <w:adjustRightInd w:val="0"/>
        <w:spacing w:line="360" w:lineRule="auto"/>
        <w:ind w:firstLine="420" w:firstLineChars="200"/>
        <w:rPr>
          <w:color w:val="000000"/>
          <w:szCs w:val="21"/>
        </w:rPr>
      </w:pPr>
      <w:r>
        <w:rPr>
          <w:rFonts w:hint="eastAsia"/>
          <w:color w:val="000000"/>
          <w:szCs w:val="21"/>
        </w:rPr>
        <w:t xml:space="preserve">第 </w:t>
      </w:r>
      <w:r>
        <w:rPr>
          <w:color w:val="000000"/>
          <w:szCs w:val="21"/>
        </w:rPr>
        <w:t xml:space="preserve">1 </w:t>
      </w:r>
      <w:r>
        <w:rPr>
          <w:rFonts w:hint="eastAsia"/>
          <w:color w:val="000000"/>
          <w:szCs w:val="21"/>
        </w:rPr>
        <w:t>条修改为：</w:t>
      </w:r>
    </w:p>
    <w:p>
      <w:pPr>
        <w:autoSpaceDE w:val="0"/>
        <w:autoSpaceDN w:val="0"/>
        <w:adjustRightInd w:val="0"/>
        <w:spacing w:line="360" w:lineRule="auto"/>
        <w:ind w:firstLine="420" w:firstLineChars="200"/>
        <w:rPr>
          <w:color w:val="000000"/>
          <w:szCs w:val="21"/>
        </w:rPr>
      </w:pPr>
      <w:r>
        <w:rPr>
          <w:color w:val="000000"/>
          <w:szCs w:val="21"/>
        </w:rPr>
        <w:t>1</w:t>
      </w:r>
      <w:r>
        <w:rPr>
          <w:rFonts w:hint="eastAsia"/>
          <w:color w:val="000000"/>
          <w:szCs w:val="21"/>
        </w:rPr>
        <w:t>．本</w:t>
      </w:r>
      <w:r>
        <w:rPr>
          <w:color w:val="000000"/>
          <w:szCs w:val="21"/>
        </w:rPr>
        <w:t>“</w:t>
      </w:r>
      <w:r>
        <w:rPr>
          <w:rFonts w:hint="eastAsia"/>
          <w:color w:val="000000"/>
          <w:szCs w:val="21"/>
        </w:rPr>
        <w:t>项目专用技术规范</w:t>
      </w:r>
      <w:r>
        <w:rPr>
          <w:color w:val="000000"/>
          <w:szCs w:val="21"/>
        </w:rPr>
        <w:t>”</w:t>
      </w:r>
      <w:r>
        <w:rPr>
          <w:rFonts w:hint="eastAsia"/>
          <w:color w:val="000000"/>
          <w:szCs w:val="21"/>
        </w:rPr>
        <w:t>结合本工程特点编写，连同</w:t>
      </w:r>
      <w:r>
        <w:rPr>
          <w:color w:val="000000"/>
          <w:szCs w:val="21"/>
        </w:rPr>
        <w:t>“</w:t>
      </w:r>
      <w:r>
        <w:rPr>
          <w:rFonts w:hint="eastAsia"/>
          <w:color w:val="000000"/>
          <w:szCs w:val="21"/>
        </w:rPr>
        <w:t>通用技术规范</w:t>
      </w:r>
      <w:r>
        <w:rPr>
          <w:color w:val="000000"/>
          <w:szCs w:val="21"/>
        </w:rPr>
        <w:t>”</w:t>
      </w:r>
      <w:r>
        <w:rPr>
          <w:rFonts w:hint="eastAsia"/>
          <w:color w:val="000000"/>
          <w:szCs w:val="21"/>
        </w:rPr>
        <w:t>，统称</w:t>
      </w:r>
      <w:r>
        <w:rPr>
          <w:color w:val="000000"/>
          <w:szCs w:val="21"/>
        </w:rPr>
        <w:t>“</w:t>
      </w:r>
      <w:r>
        <w:rPr>
          <w:rFonts w:hint="eastAsia"/>
          <w:color w:val="000000"/>
          <w:szCs w:val="21"/>
        </w:rPr>
        <w:t>本规范</w:t>
      </w:r>
      <w:r>
        <w:rPr>
          <w:color w:val="000000"/>
          <w:szCs w:val="21"/>
        </w:rPr>
        <w:t>”</w:t>
      </w:r>
      <w:r>
        <w:rPr>
          <w:rFonts w:hint="eastAsia"/>
          <w:color w:val="000000"/>
          <w:szCs w:val="21"/>
        </w:rPr>
        <w:t>，适用于</w:t>
      </w:r>
      <w:r>
        <w:rPr>
          <w:rFonts w:hint="eastAsia"/>
          <w:color w:val="000000"/>
          <w:szCs w:val="21"/>
          <w:u w:val="single"/>
        </w:rPr>
        <w:t xml:space="preserve">2024年三门县国省道公路标志标线及安全设施增设和维护工程  </w:t>
      </w:r>
      <w:r>
        <w:rPr>
          <w:rFonts w:hint="eastAsia"/>
          <w:color w:val="000000"/>
          <w:szCs w:val="21"/>
        </w:rPr>
        <w:t>施工与管理。</w:t>
      </w:r>
    </w:p>
    <w:p>
      <w:pPr>
        <w:autoSpaceDE w:val="0"/>
        <w:autoSpaceDN w:val="0"/>
        <w:adjustRightInd w:val="0"/>
        <w:spacing w:line="360" w:lineRule="auto"/>
        <w:rPr>
          <w:color w:val="000000"/>
          <w:szCs w:val="21"/>
        </w:rPr>
      </w:pPr>
      <w:r>
        <w:rPr>
          <w:b/>
          <w:bCs/>
          <w:color w:val="000000"/>
          <w:sz w:val="24"/>
        </w:rPr>
        <w:t>101.04</w:t>
      </w:r>
      <w:r>
        <w:rPr>
          <w:b/>
          <w:bCs/>
          <w:color w:val="000000"/>
          <w:sz w:val="24"/>
        </w:rPr>
        <w:tab/>
      </w:r>
      <w:r>
        <w:rPr>
          <w:rFonts w:hint="eastAsia"/>
          <w:b/>
          <w:bCs/>
          <w:color w:val="000000"/>
          <w:sz w:val="24"/>
        </w:rPr>
        <w:t>标准与规范</w:t>
      </w:r>
    </w:p>
    <w:p>
      <w:pPr>
        <w:autoSpaceDE w:val="0"/>
        <w:autoSpaceDN w:val="0"/>
        <w:adjustRightInd w:val="0"/>
        <w:spacing w:line="360" w:lineRule="auto"/>
        <w:ind w:firstLine="420" w:firstLineChars="200"/>
        <w:rPr>
          <w:color w:val="000000"/>
          <w:szCs w:val="21"/>
        </w:rPr>
      </w:pPr>
      <w:r>
        <w:rPr>
          <w:rFonts w:hint="eastAsia"/>
          <w:color w:val="000000"/>
          <w:szCs w:val="21"/>
        </w:rPr>
        <w:t xml:space="preserve">第 </w:t>
      </w:r>
      <w:r>
        <w:rPr>
          <w:color w:val="000000"/>
          <w:szCs w:val="21"/>
        </w:rPr>
        <w:t xml:space="preserve">4 </w:t>
      </w:r>
      <w:r>
        <w:rPr>
          <w:rFonts w:hint="eastAsia"/>
          <w:color w:val="000000"/>
          <w:szCs w:val="21"/>
        </w:rPr>
        <w:t>条修改为：</w:t>
      </w:r>
    </w:p>
    <w:p>
      <w:pPr>
        <w:autoSpaceDE w:val="0"/>
        <w:autoSpaceDN w:val="0"/>
        <w:adjustRightInd w:val="0"/>
        <w:spacing w:line="360" w:lineRule="auto"/>
        <w:ind w:firstLine="420" w:firstLineChars="200"/>
        <w:rPr>
          <w:color w:val="000000"/>
          <w:szCs w:val="21"/>
        </w:rPr>
      </w:pPr>
      <w:r>
        <w:rPr>
          <w:color w:val="000000"/>
          <w:szCs w:val="21"/>
        </w:rPr>
        <w:t>4</w:t>
      </w:r>
      <w:r>
        <w:rPr>
          <w:rFonts w:hint="eastAsia"/>
          <w:color w:val="000000"/>
          <w:szCs w:val="21"/>
        </w:rPr>
        <w:t>．当适用于工程的几种标准与规范出现意义不明或不一致时，应由监理人作出解释和校正，并就此向承包人发出指令。若在引用的标准或规范发生分歧时，除非本规范另有规定，应按以下顺序优先考虑：</w:t>
      </w:r>
    </w:p>
    <w:p>
      <w:pPr>
        <w:autoSpaceDE w:val="0"/>
        <w:autoSpaceDN w:val="0"/>
        <w:adjustRightInd w:val="0"/>
        <w:spacing w:line="360" w:lineRule="auto"/>
        <w:ind w:firstLine="420" w:firstLineChars="200"/>
        <w:rPr>
          <w:color w:val="000000"/>
          <w:szCs w:val="21"/>
        </w:rPr>
      </w:pPr>
      <w:r>
        <w:rPr>
          <w:color w:val="000000"/>
          <w:szCs w:val="21"/>
        </w:rPr>
        <w:t>a</w:t>
      </w:r>
      <w:r>
        <w:rPr>
          <w:rFonts w:hint="eastAsia"/>
          <w:color w:val="000000"/>
          <w:szCs w:val="21"/>
        </w:rPr>
        <w:t>．本</w:t>
      </w:r>
      <w:r>
        <w:rPr>
          <w:color w:val="000000"/>
          <w:szCs w:val="21"/>
        </w:rPr>
        <w:t>“</w:t>
      </w:r>
      <w:r>
        <w:rPr>
          <w:rFonts w:hint="eastAsia"/>
          <w:color w:val="000000"/>
          <w:szCs w:val="21"/>
        </w:rPr>
        <w:t>项目专用技术规范</w:t>
      </w:r>
      <w:r>
        <w:rPr>
          <w:color w:val="000000"/>
          <w:szCs w:val="21"/>
        </w:rPr>
        <w:t>”</w:t>
      </w:r>
      <w:r>
        <w:rPr>
          <w:rFonts w:hint="eastAsia"/>
          <w:color w:val="000000"/>
          <w:szCs w:val="21"/>
        </w:rPr>
        <w:t>。</w:t>
      </w:r>
    </w:p>
    <w:p>
      <w:pPr>
        <w:autoSpaceDE w:val="0"/>
        <w:autoSpaceDN w:val="0"/>
        <w:adjustRightInd w:val="0"/>
        <w:spacing w:line="360" w:lineRule="auto"/>
        <w:ind w:firstLine="420" w:firstLineChars="200"/>
        <w:rPr>
          <w:color w:val="000000"/>
          <w:szCs w:val="21"/>
        </w:rPr>
      </w:pPr>
      <w:r>
        <w:rPr>
          <w:color w:val="000000"/>
          <w:szCs w:val="21"/>
        </w:rPr>
        <w:t>b</w:t>
      </w:r>
      <w:r>
        <w:rPr>
          <w:rFonts w:hint="eastAsia"/>
          <w:color w:val="000000"/>
          <w:szCs w:val="21"/>
        </w:rPr>
        <w:t>．</w:t>
      </w:r>
      <w:r>
        <w:rPr>
          <w:color w:val="000000"/>
          <w:szCs w:val="21"/>
        </w:rPr>
        <w:t>“</w:t>
      </w:r>
      <w:r>
        <w:rPr>
          <w:rFonts w:hint="eastAsia"/>
          <w:color w:val="000000"/>
          <w:szCs w:val="21"/>
        </w:rPr>
        <w:t>通用技术规范</w:t>
      </w:r>
      <w:r>
        <w:rPr>
          <w:color w:val="000000"/>
          <w:szCs w:val="21"/>
        </w:rPr>
        <w:t>”</w:t>
      </w:r>
      <w:r>
        <w:rPr>
          <w:rFonts w:hint="eastAsia"/>
          <w:color w:val="000000"/>
          <w:szCs w:val="21"/>
        </w:rPr>
        <w:t>（《公路工程标准施工招标文件》（</w:t>
      </w:r>
      <w:r>
        <w:rPr>
          <w:color w:val="000000"/>
          <w:szCs w:val="21"/>
        </w:rPr>
        <w:t xml:space="preserve">2018 </w:t>
      </w:r>
      <w:r>
        <w:rPr>
          <w:rFonts w:hint="eastAsia"/>
          <w:color w:val="000000"/>
          <w:szCs w:val="21"/>
        </w:rPr>
        <w:t>年版</w:t>
      </w:r>
      <w:r>
        <w:rPr>
          <w:color w:val="000000"/>
          <w:szCs w:val="21"/>
        </w:rPr>
        <w:t>·</w:t>
      </w:r>
      <w:r>
        <w:rPr>
          <w:rFonts w:hint="eastAsia"/>
          <w:color w:val="000000"/>
          <w:szCs w:val="21"/>
        </w:rPr>
        <w:t>第二册）中的《技术规范》）。</w:t>
      </w:r>
    </w:p>
    <w:p>
      <w:pPr>
        <w:autoSpaceDE w:val="0"/>
        <w:autoSpaceDN w:val="0"/>
        <w:adjustRightInd w:val="0"/>
        <w:spacing w:line="360" w:lineRule="auto"/>
        <w:ind w:firstLine="420" w:firstLineChars="200"/>
        <w:rPr>
          <w:color w:val="000000"/>
          <w:szCs w:val="21"/>
        </w:rPr>
      </w:pPr>
      <w:r>
        <w:rPr>
          <w:color w:val="000000"/>
          <w:szCs w:val="21"/>
        </w:rPr>
        <w:t>c</w:t>
      </w:r>
      <w:r>
        <w:rPr>
          <w:rFonts w:hint="eastAsia"/>
          <w:color w:val="000000"/>
          <w:szCs w:val="21"/>
        </w:rPr>
        <w:t>．中华人民共和国国家标准。</w:t>
      </w:r>
    </w:p>
    <w:p>
      <w:pPr>
        <w:autoSpaceDE w:val="0"/>
        <w:autoSpaceDN w:val="0"/>
        <w:adjustRightInd w:val="0"/>
        <w:spacing w:line="360" w:lineRule="auto"/>
        <w:ind w:firstLine="420" w:firstLineChars="200"/>
        <w:rPr>
          <w:color w:val="000000"/>
          <w:szCs w:val="21"/>
        </w:rPr>
      </w:pPr>
      <w:r>
        <w:rPr>
          <w:color w:val="000000"/>
          <w:szCs w:val="21"/>
        </w:rPr>
        <w:t>d</w:t>
      </w:r>
      <w:r>
        <w:rPr>
          <w:rFonts w:hint="eastAsia"/>
          <w:color w:val="000000"/>
          <w:szCs w:val="21"/>
        </w:rPr>
        <w:t>．有关部门标准与规范。</w:t>
      </w:r>
    </w:p>
    <w:p>
      <w:pPr>
        <w:autoSpaceDE w:val="0"/>
        <w:autoSpaceDN w:val="0"/>
        <w:adjustRightInd w:val="0"/>
        <w:spacing w:line="360" w:lineRule="auto"/>
        <w:rPr>
          <w:color w:val="000000"/>
          <w:szCs w:val="21"/>
        </w:rPr>
      </w:pPr>
      <w:r>
        <w:rPr>
          <w:b/>
          <w:bCs/>
          <w:color w:val="000000"/>
          <w:sz w:val="24"/>
        </w:rPr>
        <w:t>101.08</w:t>
      </w:r>
      <w:r>
        <w:rPr>
          <w:b/>
          <w:bCs/>
          <w:color w:val="000000"/>
          <w:sz w:val="24"/>
        </w:rPr>
        <w:tab/>
      </w:r>
      <w:r>
        <w:rPr>
          <w:rFonts w:hint="eastAsia"/>
          <w:b/>
          <w:bCs/>
          <w:color w:val="000000"/>
          <w:sz w:val="24"/>
        </w:rPr>
        <w:t>税金和保险</w:t>
      </w:r>
    </w:p>
    <w:p>
      <w:pPr>
        <w:autoSpaceDE w:val="0"/>
        <w:autoSpaceDN w:val="0"/>
        <w:adjustRightInd w:val="0"/>
        <w:spacing w:line="360" w:lineRule="auto"/>
        <w:ind w:firstLine="420" w:firstLineChars="200"/>
        <w:rPr>
          <w:color w:val="000000"/>
          <w:szCs w:val="21"/>
        </w:rPr>
      </w:pPr>
      <w:r>
        <w:rPr>
          <w:rFonts w:hint="eastAsia"/>
          <w:color w:val="000000"/>
          <w:szCs w:val="21"/>
        </w:rPr>
        <w:t>本小节补充：</w:t>
      </w:r>
    </w:p>
    <w:p>
      <w:pPr>
        <w:autoSpaceDE w:val="0"/>
        <w:autoSpaceDN w:val="0"/>
        <w:adjustRightInd w:val="0"/>
        <w:spacing w:line="360" w:lineRule="auto"/>
        <w:ind w:firstLine="420" w:firstLineChars="200"/>
        <w:rPr>
          <w:color w:val="000000"/>
          <w:szCs w:val="21"/>
        </w:rPr>
      </w:pPr>
      <w:r>
        <w:rPr>
          <w:color w:val="000000"/>
          <w:szCs w:val="21"/>
        </w:rPr>
        <w:t>4.</w:t>
      </w:r>
      <w:r>
        <w:rPr>
          <w:rFonts w:hint="eastAsia"/>
          <w:color w:val="000000"/>
          <w:szCs w:val="21"/>
        </w:rPr>
        <w:t>保险替代不了承包人的管理责任，如发生工程事故造成损失，即便发包人为此获得保险赔付，根据事故性质，承包人责任大小，发包人仍有权要求承包人承担部分损失。</w:t>
      </w:r>
    </w:p>
    <w:p>
      <w:pPr>
        <w:autoSpaceDE w:val="0"/>
        <w:autoSpaceDN w:val="0"/>
        <w:adjustRightInd w:val="0"/>
        <w:spacing w:line="360" w:lineRule="auto"/>
        <w:jc w:val="center"/>
        <w:rPr>
          <w:color w:val="000000"/>
          <w:szCs w:val="21"/>
        </w:rPr>
      </w:pPr>
      <w:r>
        <w:rPr>
          <w:rFonts w:hint="eastAsia" w:ascii="宋体" w:hAnsi="宋体" w:cs="宋体"/>
          <w:b/>
          <w:bCs/>
          <w:color w:val="000000"/>
          <w:sz w:val="32"/>
          <w:szCs w:val="32"/>
        </w:rPr>
        <w:t xml:space="preserve">第 </w:t>
      </w:r>
      <w:r>
        <w:rPr>
          <w:rFonts w:ascii="宋体" w:hAnsi="宋体" w:cs="宋体"/>
          <w:b/>
          <w:bCs/>
          <w:color w:val="000000"/>
          <w:sz w:val="32"/>
          <w:szCs w:val="32"/>
        </w:rPr>
        <w:t xml:space="preserve">102 </w:t>
      </w:r>
      <w:r>
        <w:rPr>
          <w:rFonts w:hint="eastAsia" w:ascii="宋体" w:hAnsi="宋体" w:cs="宋体"/>
          <w:b/>
          <w:bCs/>
          <w:color w:val="000000"/>
          <w:sz w:val="32"/>
          <w:szCs w:val="32"/>
        </w:rPr>
        <w:t>节</w:t>
      </w:r>
      <w:r>
        <w:rPr>
          <w:rFonts w:hint="eastAsia" w:ascii="宋体" w:hAnsi="宋体" w:cs="宋体"/>
          <w:b/>
          <w:bCs/>
          <w:color w:val="000000"/>
          <w:sz w:val="32"/>
          <w:szCs w:val="32"/>
        </w:rPr>
        <w:tab/>
      </w:r>
      <w:r>
        <w:rPr>
          <w:rFonts w:hint="eastAsia" w:ascii="宋体" w:hAnsi="宋体" w:cs="宋体"/>
          <w:b/>
          <w:bCs/>
          <w:color w:val="000000"/>
          <w:sz w:val="32"/>
          <w:szCs w:val="32"/>
        </w:rPr>
        <w:t>工程管理</w:t>
      </w:r>
    </w:p>
    <w:p>
      <w:pPr>
        <w:autoSpaceDE w:val="0"/>
        <w:autoSpaceDN w:val="0"/>
        <w:adjustRightInd w:val="0"/>
        <w:spacing w:line="360" w:lineRule="auto"/>
        <w:rPr>
          <w:color w:val="000000"/>
          <w:szCs w:val="21"/>
        </w:rPr>
      </w:pPr>
      <w:r>
        <w:rPr>
          <w:b/>
          <w:bCs/>
          <w:color w:val="000000"/>
          <w:sz w:val="24"/>
        </w:rPr>
        <w:t>102.01</w:t>
      </w:r>
      <w:r>
        <w:rPr>
          <w:b/>
          <w:bCs/>
          <w:color w:val="000000"/>
          <w:sz w:val="24"/>
        </w:rPr>
        <w:tab/>
      </w:r>
      <w:r>
        <w:rPr>
          <w:rFonts w:hint="eastAsia"/>
          <w:b/>
          <w:bCs/>
          <w:color w:val="000000"/>
          <w:sz w:val="24"/>
        </w:rPr>
        <w:t>一般要求</w:t>
      </w:r>
    </w:p>
    <w:p>
      <w:pPr>
        <w:autoSpaceDE w:val="0"/>
        <w:autoSpaceDN w:val="0"/>
        <w:adjustRightInd w:val="0"/>
        <w:spacing w:line="360" w:lineRule="auto"/>
        <w:ind w:firstLine="420" w:firstLineChars="200"/>
        <w:rPr>
          <w:color w:val="000000"/>
          <w:szCs w:val="21"/>
        </w:rPr>
      </w:pPr>
      <w:r>
        <w:rPr>
          <w:color w:val="000000"/>
          <w:szCs w:val="21"/>
        </w:rPr>
        <w:t>2</w:t>
      </w:r>
      <w:r>
        <w:rPr>
          <w:rFonts w:hint="eastAsia"/>
          <w:color w:val="000000"/>
          <w:szCs w:val="21"/>
        </w:rPr>
        <w:t>．工程报告单</w:t>
      </w:r>
    </w:p>
    <w:p>
      <w:pPr>
        <w:autoSpaceDE w:val="0"/>
        <w:autoSpaceDN w:val="0"/>
        <w:adjustRightInd w:val="0"/>
        <w:spacing w:line="360" w:lineRule="auto"/>
        <w:ind w:firstLine="420" w:firstLineChars="200"/>
        <w:rPr>
          <w:color w:val="000000"/>
          <w:szCs w:val="21"/>
        </w:rPr>
      </w:pPr>
      <w:r>
        <w:rPr>
          <w:rFonts w:hint="eastAsia"/>
          <w:color w:val="000000"/>
          <w:szCs w:val="21"/>
        </w:rPr>
        <w:t>本条原内容后补充：</w:t>
      </w:r>
    </w:p>
    <w:p>
      <w:pPr>
        <w:autoSpaceDE w:val="0"/>
        <w:autoSpaceDN w:val="0"/>
        <w:adjustRightInd w:val="0"/>
        <w:spacing w:line="360" w:lineRule="auto"/>
        <w:ind w:firstLine="420" w:firstLineChars="200"/>
        <w:rPr>
          <w:color w:val="000000"/>
          <w:szCs w:val="21"/>
        </w:rPr>
      </w:pPr>
      <w:r>
        <w:rPr>
          <w:rFonts w:hint="eastAsia"/>
          <w:color w:val="000000"/>
          <w:szCs w:val="21"/>
        </w:rPr>
        <w:t>提交的各种工程报告单除纸件外还需提供内容相同的电子文件，文件格式须采用发包人指定的格式，并按发包人规定的方式进行编码，文件传送方式应符合发包人建立的信息管理系统的要求。</w:t>
      </w:r>
    </w:p>
    <w:p>
      <w:pPr>
        <w:autoSpaceDE w:val="0"/>
        <w:autoSpaceDN w:val="0"/>
        <w:adjustRightInd w:val="0"/>
        <w:spacing w:line="360" w:lineRule="auto"/>
        <w:ind w:firstLine="420" w:firstLineChars="200"/>
        <w:rPr>
          <w:color w:val="000000"/>
          <w:szCs w:val="21"/>
        </w:rPr>
      </w:pPr>
      <w:r>
        <w:rPr>
          <w:color w:val="000000"/>
          <w:szCs w:val="21"/>
        </w:rPr>
        <w:t>3</w:t>
      </w:r>
      <w:r>
        <w:rPr>
          <w:rFonts w:hint="eastAsia"/>
          <w:color w:val="000000"/>
          <w:szCs w:val="21"/>
        </w:rPr>
        <w:t>．制定施工进度计划和施工方案说明</w:t>
      </w:r>
    </w:p>
    <w:p>
      <w:pPr>
        <w:autoSpaceDE w:val="0"/>
        <w:autoSpaceDN w:val="0"/>
        <w:adjustRightInd w:val="0"/>
        <w:spacing w:line="360" w:lineRule="auto"/>
        <w:ind w:firstLine="420" w:firstLineChars="200"/>
        <w:rPr>
          <w:color w:val="000000"/>
          <w:szCs w:val="21"/>
        </w:rPr>
      </w:pPr>
      <w:r>
        <w:rPr>
          <w:rFonts w:hint="eastAsia"/>
          <w:color w:val="000000"/>
          <w:szCs w:val="21"/>
        </w:rPr>
        <w:t>本条第（</w:t>
      </w:r>
      <w:r>
        <w:rPr>
          <w:color w:val="000000"/>
          <w:szCs w:val="21"/>
        </w:rPr>
        <w:t>1</w:t>
      </w:r>
      <w:r>
        <w:rPr>
          <w:rFonts w:hint="eastAsia"/>
          <w:color w:val="000000"/>
          <w:szCs w:val="21"/>
        </w:rPr>
        <w:t>）款原内容后补充：</w:t>
      </w:r>
    </w:p>
    <w:p>
      <w:pPr>
        <w:autoSpaceDE w:val="0"/>
        <w:autoSpaceDN w:val="0"/>
        <w:adjustRightInd w:val="0"/>
        <w:spacing w:line="360" w:lineRule="auto"/>
        <w:ind w:firstLine="420" w:firstLineChars="200"/>
        <w:rPr>
          <w:color w:val="000000"/>
          <w:szCs w:val="21"/>
        </w:rPr>
      </w:pPr>
      <w:r>
        <w:rPr>
          <w:rFonts w:hint="eastAsia"/>
          <w:color w:val="000000"/>
          <w:szCs w:val="21"/>
        </w:rPr>
        <w:t>其内容应包括详细的施工组织、现场布置、施工方案、工程进度计划、资源（劳工、机械设备、原材料）供应计划、资金流量计划、质检体系与质保措施、安全体系与安全保证措施、信息管理体系等等，经监理人批准后实施。重大施工方案和施工组织设计要报发包人批准，如承包人提交的施工组织计划不符合要求，应退回承包人修改完善，直至符合要求为止。</w:t>
      </w:r>
    </w:p>
    <w:p>
      <w:pPr>
        <w:autoSpaceDE w:val="0"/>
        <w:autoSpaceDN w:val="0"/>
        <w:adjustRightInd w:val="0"/>
        <w:spacing w:line="360" w:lineRule="auto"/>
        <w:ind w:firstLine="420" w:firstLineChars="200"/>
        <w:rPr>
          <w:color w:val="000000"/>
          <w:szCs w:val="21"/>
        </w:rPr>
      </w:pPr>
      <w:r>
        <w:rPr>
          <w:rFonts w:hint="eastAsia"/>
          <w:color w:val="000000"/>
          <w:szCs w:val="21"/>
        </w:rPr>
        <w:t>补充第（</w:t>
      </w:r>
      <w:r>
        <w:rPr>
          <w:color w:val="000000"/>
          <w:szCs w:val="21"/>
        </w:rPr>
        <w:t>9</w:t>
      </w:r>
      <w:r>
        <w:rPr>
          <w:rFonts w:hint="eastAsia"/>
          <w:color w:val="000000"/>
          <w:szCs w:val="21"/>
        </w:rPr>
        <w:t>）、（</w:t>
      </w:r>
      <w:r>
        <w:rPr>
          <w:color w:val="000000"/>
          <w:szCs w:val="21"/>
        </w:rPr>
        <w:t>10</w:t>
      </w:r>
      <w:r>
        <w:rPr>
          <w:rFonts w:hint="eastAsia"/>
          <w:color w:val="000000"/>
          <w:szCs w:val="21"/>
        </w:rPr>
        <w:t>）、（</w:t>
      </w:r>
      <w:r>
        <w:rPr>
          <w:color w:val="000000"/>
          <w:szCs w:val="21"/>
        </w:rPr>
        <w:t>11</w:t>
      </w:r>
      <w:r>
        <w:rPr>
          <w:rFonts w:hint="eastAsia"/>
          <w:color w:val="000000"/>
          <w:szCs w:val="21"/>
        </w:rPr>
        <w:t>）、（</w:t>
      </w:r>
      <w:r>
        <w:rPr>
          <w:color w:val="000000"/>
          <w:szCs w:val="21"/>
        </w:rPr>
        <w:t>12</w:t>
      </w:r>
      <w:r>
        <w:rPr>
          <w:rFonts w:hint="eastAsia"/>
          <w:color w:val="000000"/>
          <w:szCs w:val="21"/>
        </w:rPr>
        <w:t>）款：</w:t>
      </w:r>
    </w:p>
    <w:p>
      <w:pPr>
        <w:autoSpaceDE w:val="0"/>
        <w:autoSpaceDN w:val="0"/>
        <w:adjustRightInd w:val="0"/>
        <w:spacing w:line="360" w:lineRule="auto"/>
        <w:ind w:firstLine="420" w:firstLineChars="200"/>
        <w:rPr>
          <w:color w:val="000000"/>
          <w:szCs w:val="21"/>
        </w:rPr>
      </w:pPr>
      <w:r>
        <w:rPr>
          <w:rFonts w:hint="eastAsia"/>
          <w:color w:val="000000"/>
          <w:szCs w:val="21"/>
        </w:rPr>
        <w:t>（</w:t>
      </w:r>
      <w:r>
        <w:rPr>
          <w:color w:val="000000"/>
          <w:szCs w:val="21"/>
        </w:rPr>
        <w:t>9</w:t>
      </w:r>
      <w:r>
        <w:rPr>
          <w:rFonts w:hint="eastAsia"/>
          <w:color w:val="000000"/>
          <w:szCs w:val="21"/>
        </w:rPr>
        <w:t>）承包人必须按照施工组织设计的要求确保投入及时到位，监理人应依据合同条款督促其实施。</w:t>
      </w:r>
    </w:p>
    <w:p>
      <w:pPr>
        <w:autoSpaceDE w:val="0"/>
        <w:autoSpaceDN w:val="0"/>
        <w:adjustRightInd w:val="0"/>
        <w:spacing w:line="360" w:lineRule="auto"/>
        <w:ind w:firstLine="420" w:firstLineChars="200"/>
        <w:rPr>
          <w:color w:val="000000"/>
          <w:szCs w:val="21"/>
        </w:rPr>
      </w:pPr>
      <w:r>
        <w:rPr>
          <w:rFonts w:hint="eastAsia"/>
          <w:color w:val="000000"/>
          <w:szCs w:val="21"/>
        </w:rPr>
        <w:t>（</w:t>
      </w:r>
      <w:r>
        <w:rPr>
          <w:color w:val="000000"/>
          <w:szCs w:val="21"/>
        </w:rPr>
        <w:t>10</w:t>
      </w:r>
      <w:r>
        <w:rPr>
          <w:rFonts w:hint="eastAsia"/>
          <w:color w:val="000000"/>
          <w:szCs w:val="21"/>
        </w:rPr>
        <w:t>）承包人应在施工组织设计中阐明防灾防损防疫及事故紧急处理的预案措施。其主要内容包括：</w:t>
      </w:r>
    </w:p>
    <w:p>
      <w:pPr>
        <w:autoSpaceDE w:val="0"/>
        <w:autoSpaceDN w:val="0"/>
        <w:adjustRightInd w:val="0"/>
        <w:spacing w:line="360" w:lineRule="auto"/>
        <w:ind w:firstLine="420" w:firstLineChars="200"/>
        <w:rPr>
          <w:color w:val="000000"/>
          <w:szCs w:val="21"/>
        </w:rPr>
      </w:pPr>
      <w:r>
        <w:rPr>
          <w:color w:val="000000"/>
          <w:szCs w:val="21"/>
        </w:rPr>
        <w:t>a.</w:t>
      </w:r>
      <w:r>
        <w:rPr>
          <w:rFonts w:hint="eastAsia"/>
          <w:color w:val="000000"/>
          <w:szCs w:val="21"/>
        </w:rPr>
        <w:t>承包人应明确制定施工中风险管理的技术要求。</w:t>
      </w:r>
    </w:p>
    <w:p>
      <w:pPr>
        <w:autoSpaceDE w:val="0"/>
        <w:autoSpaceDN w:val="0"/>
        <w:adjustRightInd w:val="0"/>
        <w:spacing w:line="360" w:lineRule="auto"/>
        <w:ind w:firstLine="420" w:firstLineChars="200"/>
        <w:rPr>
          <w:color w:val="000000"/>
          <w:szCs w:val="21"/>
        </w:rPr>
      </w:pPr>
      <w:r>
        <w:rPr>
          <w:color w:val="000000"/>
          <w:szCs w:val="21"/>
        </w:rPr>
        <w:t>b.</w:t>
      </w:r>
      <w:r>
        <w:rPr>
          <w:rFonts w:hint="eastAsia"/>
          <w:color w:val="000000"/>
          <w:szCs w:val="21"/>
        </w:rPr>
        <w:t>承包人应对施工中的大型施工机械的施工安全制定严格的安全保障措施。</w:t>
      </w:r>
    </w:p>
    <w:p>
      <w:pPr>
        <w:autoSpaceDE w:val="0"/>
        <w:autoSpaceDN w:val="0"/>
        <w:adjustRightInd w:val="0"/>
        <w:spacing w:line="360" w:lineRule="auto"/>
        <w:ind w:firstLine="420" w:firstLineChars="200"/>
        <w:rPr>
          <w:color w:val="000000"/>
          <w:szCs w:val="21"/>
        </w:rPr>
      </w:pPr>
      <w:r>
        <w:rPr>
          <w:color w:val="000000"/>
          <w:szCs w:val="21"/>
        </w:rPr>
        <w:t>c.</w:t>
      </w:r>
      <w:r>
        <w:rPr>
          <w:rFonts w:hint="eastAsia"/>
          <w:color w:val="000000"/>
          <w:szCs w:val="21"/>
        </w:rPr>
        <w:t>承包人应对施工中的大型施工机械制定一机一用的技术操作手册及安全手册，上岗人员为经过专业培训同时具备相应的操作资格的人员。</w:t>
      </w:r>
    </w:p>
    <w:p>
      <w:pPr>
        <w:autoSpaceDE w:val="0"/>
        <w:autoSpaceDN w:val="0"/>
        <w:adjustRightInd w:val="0"/>
        <w:spacing w:line="360" w:lineRule="auto"/>
        <w:ind w:firstLine="420" w:firstLineChars="200"/>
        <w:rPr>
          <w:color w:val="000000"/>
          <w:szCs w:val="21"/>
        </w:rPr>
      </w:pPr>
      <w:r>
        <w:rPr>
          <w:color w:val="000000"/>
          <w:szCs w:val="21"/>
        </w:rPr>
        <w:t>d.</w:t>
      </w:r>
      <w:r>
        <w:rPr>
          <w:rFonts w:hint="eastAsia"/>
          <w:color w:val="000000"/>
          <w:szCs w:val="21"/>
        </w:rPr>
        <w:t>承包人对突发性自然灾害，在发生前应作好预报、预警的防范措施及灾后抢险的应急措施（包括组织落实措施、物资设备落实措施，抢险技术措施及技术防范改进措施）。</w:t>
      </w:r>
    </w:p>
    <w:p>
      <w:pPr>
        <w:autoSpaceDE w:val="0"/>
        <w:autoSpaceDN w:val="0"/>
        <w:adjustRightInd w:val="0"/>
        <w:spacing w:line="360" w:lineRule="auto"/>
        <w:ind w:firstLine="420" w:firstLineChars="200"/>
        <w:rPr>
          <w:color w:val="000000"/>
          <w:szCs w:val="21"/>
        </w:rPr>
      </w:pPr>
      <w:r>
        <w:rPr>
          <w:rFonts w:hint="eastAsia"/>
          <w:color w:val="000000"/>
          <w:szCs w:val="21"/>
        </w:rPr>
        <w:t>（</w:t>
      </w:r>
      <w:r>
        <w:rPr>
          <w:color w:val="000000"/>
          <w:szCs w:val="21"/>
        </w:rPr>
        <w:t>11</w:t>
      </w:r>
      <w:r>
        <w:rPr>
          <w:rFonts w:hint="eastAsia"/>
          <w:color w:val="000000"/>
          <w:szCs w:val="21"/>
        </w:rPr>
        <w:t>）承包人编制的施工方案应充分考虑台风、季风、涌潮等不良气候对工程施工的影响。</w:t>
      </w:r>
    </w:p>
    <w:p>
      <w:pPr>
        <w:autoSpaceDE w:val="0"/>
        <w:autoSpaceDN w:val="0"/>
        <w:adjustRightInd w:val="0"/>
        <w:spacing w:line="360" w:lineRule="auto"/>
        <w:ind w:firstLine="420" w:firstLineChars="200"/>
        <w:rPr>
          <w:color w:val="000000"/>
          <w:szCs w:val="21"/>
        </w:rPr>
      </w:pPr>
      <w:r>
        <w:rPr>
          <w:rFonts w:hint="eastAsia"/>
          <w:color w:val="000000"/>
          <w:szCs w:val="21"/>
        </w:rPr>
        <w:t>（</w:t>
      </w:r>
      <w:r>
        <w:rPr>
          <w:color w:val="000000"/>
          <w:szCs w:val="21"/>
        </w:rPr>
        <w:t>12</w:t>
      </w:r>
      <w:r>
        <w:rPr>
          <w:rFonts w:hint="eastAsia"/>
          <w:color w:val="000000"/>
          <w:szCs w:val="21"/>
        </w:rPr>
        <w:t>）承包人编制的本项目的特殊技术、工艺方案需经监理人及发包人批准，一般方案由监理人批准；技术、工艺方案批准前是否需要专家论证，由发包人决定。同时承包人的施工方案管理应按照发包人下发的相关规定执行。对于技术难度大，存在重大技术风险的技术、工艺方案，若需进行专家论证，由承包人组织召开专家评审会。</w:t>
      </w:r>
    </w:p>
    <w:p>
      <w:pPr>
        <w:autoSpaceDE w:val="0"/>
        <w:autoSpaceDN w:val="0"/>
        <w:adjustRightInd w:val="0"/>
        <w:spacing w:line="360" w:lineRule="auto"/>
        <w:rPr>
          <w:color w:val="000000"/>
          <w:szCs w:val="21"/>
        </w:rPr>
      </w:pPr>
      <w:r>
        <w:rPr>
          <w:b/>
          <w:bCs/>
          <w:color w:val="000000"/>
          <w:sz w:val="24"/>
        </w:rPr>
        <w:t>102.05</w:t>
      </w:r>
      <w:r>
        <w:rPr>
          <w:b/>
          <w:bCs/>
          <w:color w:val="000000"/>
          <w:sz w:val="24"/>
        </w:rPr>
        <w:tab/>
      </w:r>
      <w:r>
        <w:rPr>
          <w:rFonts w:hint="eastAsia"/>
          <w:b/>
          <w:bCs/>
          <w:color w:val="000000"/>
          <w:sz w:val="24"/>
        </w:rPr>
        <w:t>施工方法与质量控制</w:t>
      </w:r>
    </w:p>
    <w:p>
      <w:pPr>
        <w:autoSpaceDE w:val="0"/>
        <w:autoSpaceDN w:val="0"/>
        <w:adjustRightInd w:val="0"/>
        <w:spacing w:line="360" w:lineRule="auto"/>
        <w:ind w:firstLine="420" w:firstLineChars="200"/>
        <w:rPr>
          <w:color w:val="000000"/>
          <w:szCs w:val="21"/>
        </w:rPr>
      </w:pPr>
      <w:r>
        <w:rPr>
          <w:rFonts w:hint="eastAsia"/>
          <w:color w:val="000000"/>
          <w:szCs w:val="21"/>
        </w:rPr>
        <w:t xml:space="preserve">补充第 </w:t>
      </w:r>
      <w:r>
        <w:rPr>
          <w:color w:val="000000"/>
          <w:szCs w:val="21"/>
        </w:rPr>
        <w:t xml:space="preserve">1 </w:t>
      </w:r>
      <w:r>
        <w:rPr>
          <w:rFonts w:hint="eastAsia"/>
          <w:color w:val="000000"/>
          <w:szCs w:val="21"/>
        </w:rPr>
        <w:t xml:space="preserve">条，原第 </w:t>
      </w:r>
      <w:r>
        <w:rPr>
          <w:color w:val="000000"/>
          <w:szCs w:val="21"/>
        </w:rPr>
        <w:t>1</w:t>
      </w:r>
      <w:r>
        <w:rPr>
          <w:rFonts w:hint="eastAsia"/>
          <w:color w:val="000000"/>
          <w:szCs w:val="21"/>
        </w:rPr>
        <w:t>、</w:t>
      </w:r>
      <w:r>
        <w:rPr>
          <w:color w:val="000000"/>
          <w:szCs w:val="21"/>
        </w:rPr>
        <w:t>2</w:t>
      </w:r>
      <w:r>
        <w:rPr>
          <w:rFonts w:hint="eastAsia"/>
          <w:color w:val="000000"/>
          <w:szCs w:val="21"/>
        </w:rPr>
        <w:t>、</w:t>
      </w:r>
      <w:r>
        <w:rPr>
          <w:color w:val="000000"/>
          <w:szCs w:val="21"/>
        </w:rPr>
        <w:t>3</w:t>
      </w:r>
      <w:r>
        <w:rPr>
          <w:rFonts w:hint="eastAsia"/>
          <w:color w:val="000000"/>
          <w:szCs w:val="21"/>
        </w:rPr>
        <w:t>、</w:t>
      </w:r>
      <w:r>
        <w:rPr>
          <w:color w:val="000000"/>
          <w:szCs w:val="21"/>
        </w:rPr>
        <w:t xml:space="preserve">4 </w:t>
      </w:r>
      <w:r>
        <w:rPr>
          <w:rFonts w:hint="eastAsia"/>
          <w:color w:val="000000"/>
          <w:szCs w:val="21"/>
        </w:rPr>
        <w:t xml:space="preserve">条改为第 </w:t>
      </w:r>
      <w:r>
        <w:rPr>
          <w:color w:val="000000"/>
          <w:szCs w:val="21"/>
        </w:rPr>
        <w:t>2</w:t>
      </w:r>
      <w:r>
        <w:rPr>
          <w:rFonts w:hint="eastAsia"/>
          <w:color w:val="000000"/>
          <w:szCs w:val="21"/>
        </w:rPr>
        <w:t>、</w:t>
      </w:r>
      <w:r>
        <w:rPr>
          <w:color w:val="000000"/>
          <w:szCs w:val="21"/>
        </w:rPr>
        <w:t>3</w:t>
      </w:r>
      <w:r>
        <w:rPr>
          <w:rFonts w:hint="eastAsia"/>
          <w:color w:val="000000"/>
          <w:szCs w:val="21"/>
        </w:rPr>
        <w:t>、</w:t>
      </w:r>
      <w:r>
        <w:rPr>
          <w:color w:val="000000"/>
          <w:szCs w:val="21"/>
        </w:rPr>
        <w:t>4</w:t>
      </w:r>
      <w:r>
        <w:rPr>
          <w:rFonts w:hint="eastAsia"/>
          <w:color w:val="000000"/>
          <w:szCs w:val="21"/>
        </w:rPr>
        <w:t>、</w:t>
      </w:r>
      <w:r>
        <w:rPr>
          <w:color w:val="000000"/>
          <w:szCs w:val="21"/>
        </w:rPr>
        <w:t xml:space="preserve">5 </w:t>
      </w:r>
      <w:r>
        <w:rPr>
          <w:rFonts w:hint="eastAsia"/>
          <w:color w:val="000000"/>
          <w:szCs w:val="21"/>
        </w:rPr>
        <w:t>条：</w:t>
      </w:r>
    </w:p>
    <w:p>
      <w:pPr>
        <w:autoSpaceDE w:val="0"/>
        <w:autoSpaceDN w:val="0"/>
        <w:adjustRightInd w:val="0"/>
        <w:spacing w:line="360" w:lineRule="auto"/>
        <w:ind w:firstLine="420" w:firstLineChars="200"/>
        <w:rPr>
          <w:color w:val="000000"/>
          <w:szCs w:val="21"/>
        </w:rPr>
      </w:pPr>
      <w:r>
        <w:rPr>
          <w:color w:val="000000"/>
          <w:szCs w:val="21"/>
        </w:rPr>
        <w:t>1</w:t>
      </w:r>
      <w:r>
        <w:rPr>
          <w:rFonts w:hint="eastAsia"/>
          <w:color w:val="000000"/>
          <w:szCs w:val="21"/>
        </w:rPr>
        <w:t>．承包人是工程质量责任的主体，应按照规定落实质量岗位责任制，建立健全施工质量保证体系，实行质量责任登记制度。开工前，项目经理部必须建立</w:t>
      </w:r>
      <w:r>
        <w:rPr>
          <w:color w:val="000000"/>
          <w:szCs w:val="21"/>
        </w:rPr>
        <w:t>“</w:t>
      </w:r>
      <w:r>
        <w:rPr>
          <w:rFonts w:hint="eastAsia"/>
          <w:color w:val="000000"/>
          <w:szCs w:val="21"/>
        </w:rPr>
        <w:t>横向到边，纵向到底，控制有效</w:t>
      </w:r>
      <w:r>
        <w:rPr>
          <w:color w:val="000000"/>
          <w:szCs w:val="21"/>
        </w:rPr>
        <w:t>”</w:t>
      </w:r>
      <w:r>
        <w:rPr>
          <w:rFonts w:hint="eastAsia"/>
          <w:color w:val="000000"/>
          <w:szCs w:val="21"/>
        </w:rPr>
        <w:t>的质量自检体系</w:t>
      </w:r>
      <w:r>
        <w:rPr>
          <w:color w:val="000000"/>
          <w:szCs w:val="21"/>
        </w:rPr>
        <w:t xml:space="preserve">, </w:t>
      </w:r>
      <w:r>
        <w:rPr>
          <w:rFonts w:hint="eastAsia"/>
          <w:color w:val="000000"/>
          <w:szCs w:val="21"/>
        </w:rPr>
        <w:t>严格执行</w:t>
      </w:r>
      <w:r>
        <w:rPr>
          <w:color w:val="000000"/>
          <w:szCs w:val="21"/>
        </w:rPr>
        <w:t>“</w:t>
      </w:r>
      <w:r>
        <w:rPr>
          <w:rFonts w:hint="eastAsia"/>
          <w:color w:val="000000"/>
          <w:szCs w:val="21"/>
        </w:rPr>
        <w:t>三检</w:t>
      </w:r>
      <w:r>
        <w:rPr>
          <w:color w:val="000000"/>
          <w:szCs w:val="21"/>
        </w:rPr>
        <w:t>”</w:t>
      </w:r>
      <w:r>
        <w:rPr>
          <w:rFonts w:hint="eastAsia"/>
          <w:color w:val="000000"/>
          <w:szCs w:val="21"/>
        </w:rPr>
        <w:t>（自检、互检、交接检）制度。</w:t>
      </w:r>
    </w:p>
    <w:p>
      <w:pPr>
        <w:autoSpaceDE w:val="0"/>
        <w:autoSpaceDN w:val="0"/>
        <w:adjustRightInd w:val="0"/>
        <w:spacing w:line="360" w:lineRule="auto"/>
        <w:ind w:firstLine="420" w:firstLineChars="200"/>
        <w:rPr>
          <w:color w:val="000000"/>
          <w:szCs w:val="21"/>
        </w:rPr>
      </w:pPr>
      <w:r>
        <w:rPr>
          <w:rFonts w:hint="eastAsia"/>
          <w:color w:val="000000"/>
          <w:szCs w:val="21"/>
        </w:rPr>
        <w:t xml:space="preserve">补充第 </w:t>
      </w:r>
      <w:r>
        <w:rPr>
          <w:color w:val="000000"/>
          <w:szCs w:val="21"/>
        </w:rPr>
        <w:t>6</w:t>
      </w:r>
      <w:r>
        <w:rPr>
          <w:rFonts w:hint="eastAsia"/>
          <w:color w:val="000000"/>
          <w:szCs w:val="21"/>
        </w:rPr>
        <w:t>、</w:t>
      </w:r>
      <w:r>
        <w:rPr>
          <w:color w:val="000000"/>
          <w:szCs w:val="21"/>
        </w:rPr>
        <w:t>7</w:t>
      </w:r>
      <w:r>
        <w:rPr>
          <w:rFonts w:hint="eastAsia"/>
          <w:color w:val="000000"/>
          <w:szCs w:val="21"/>
        </w:rPr>
        <w:t>、</w:t>
      </w:r>
      <w:r>
        <w:rPr>
          <w:color w:val="000000"/>
          <w:szCs w:val="21"/>
        </w:rPr>
        <w:t xml:space="preserve">8 </w:t>
      </w:r>
      <w:r>
        <w:rPr>
          <w:rFonts w:hint="eastAsia"/>
          <w:color w:val="000000"/>
          <w:szCs w:val="21"/>
        </w:rPr>
        <w:t>条：</w:t>
      </w:r>
    </w:p>
    <w:p>
      <w:pPr>
        <w:autoSpaceDE w:val="0"/>
        <w:autoSpaceDN w:val="0"/>
        <w:adjustRightInd w:val="0"/>
        <w:spacing w:line="360" w:lineRule="auto"/>
        <w:ind w:firstLine="420" w:firstLineChars="200"/>
        <w:rPr>
          <w:color w:val="000000"/>
          <w:szCs w:val="21"/>
        </w:rPr>
      </w:pPr>
      <w:r>
        <w:rPr>
          <w:color w:val="000000"/>
          <w:szCs w:val="21"/>
        </w:rPr>
        <w:t>6</w:t>
      </w:r>
      <w:r>
        <w:rPr>
          <w:rFonts w:hint="eastAsia"/>
          <w:color w:val="000000"/>
          <w:szCs w:val="21"/>
        </w:rPr>
        <w:t>．承包人应重视质量通病的防治，对高填土不实、软土地基超限沉降、沥青路面早期破损、水泥路面断板开裂、路面不平、隧道渗漏水、桥面铺装层碎裂、桥梁伸缩缝松动、桥头跳车、防护工程和结构物表面粗糙、预应力结构管道压浆不饱满等质量通病必须根据技术规范要求制定预控措施。</w:t>
      </w:r>
    </w:p>
    <w:p>
      <w:pPr>
        <w:autoSpaceDE w:val="0"/>
        <w:autoSpaceDN w:val="0"/>
        <w:adjustRightInd w:val="0"/>
        <w:spacing w:line="360" w:lineRule="auto"/>
        <w:ind w:firstLine="420" w:firstLineChars="200"/>
        <w:rPr>
          <w:color w:val="000000"/>
          <w:szCs w:val="21"/>
        </w:rPr>
      </w:pPr>
      <w:r>
        <w:rPr>
          <w:color w:val="000000"/>
          <w:szCs w:val="21"/>
        </w:rPr>
        <w:t>7</w:t>
      </w:r>
      <w:r>
        <w:rPr>
          <w:rFonts w:hint="eastAsia"/>
          <w:color w:val="000000"/>
          <w:szCs w:val="21"/>
        </w:rPr>
        <w:t>．所有水泥混凝土结构采用的混合料，均应使用混凝土拌和楼拌和、混凝土搅拌运输车运送。对于混凝土搅拌运输车确实无法到达的涵洞工程、</w:t>
      </w:r>
      <w:r>
        <w:rPr>
          <w:color w:val="000000"/>
          <w:szCs w:val="21"/>
        </w:rPr>
        <w:t>5m3</w:t>
      </w:r>
      <w:r>
        <w:rPr>
          <w:rFonts w:hint="eastAsia"/>
          <w:color w:val="000000"/>
          <w:szCs w:val="21"/>
        </w:rPr>
        <w:t>以下的零星混凝土工程需要采用混凝土搅拌机就地拌和的，应事先做好试验、明确质量保证措施并报监理人批准后方可实施。所有浆砌工程的水泥砂浆均采用机拌，严格按批准配合比进行控制。</w:t>
      </w:r>
    </w:p>
    <w:p>
      <w:pPr>
        <w:autoSpaceDE w:val="0"/>
        <w:autoSpaceDN w:val="0"/>
        <w:adjustRightInd w:val="0"/>
        <w:spacing w:line="360" w:lineRule="auto"/>
        <w:ind w:firstLine="420" w:firstLineChars="200"/>
        <w:rPr>
          <w:color w:val="000000"/>
          <w:szCs w:val="21"/>
        </w:rPr>
      </w:pPr>
      <w:r>
        <w:rPr>
          <w:color w:val="000000"/>
          <w:szCs w:val="21"/>
        </w:rPr>
        <w:t xml:space="preserve">8. </w:t>
      </w:r>
      <w:r>
        <w:rPr>
          <w:rFonts w:hint="eastAsia"/>
          <w:color w:val="000000"/>
          <w:szCs w:val="21"/>
        </w:rPr>
        <w:t>承包人应当保证施工原材料和产品符合设计文件和合同要求，建立原材料和产品使用追溯机制，应当采购质量合格且无安全隐患的施工原材料和产品，应当立即将不合格情况报送监理单位和发包人。</w:t>
      </w:r>
    </w:p>
    <w:p>
      <w:pPr>
        <w:autoSpaceDE w:val="0"/>
        <w:autoSpaceDN w:val="0"/>
        <w:adjustRightInd w:val="0"/>
        <w:spacing w:line="360" w:lineRule="auto"/>
        <w:rPr>
          <w:color w:val="000000"/>
          <w:szCs w:val="21"/>
        </w:rPr>
      </w:pPr>
      <w:r>
        <w:rPr>
          <w:b/>
          <w:bCs/>
          <w:color w:val="000000"/>
          <w:sz w:val="24"/>
        </w:rPr>
        <w:t>102.08</w:t>
      </w:r>
      <w:r>
        <w:rPr>
          <w:b/>
          <w:bCs/>
          <w:color w:val="000000"/>
          <w:sz w:val="24"/>
        </w:rPr>
        <w:tab/>
      </w:r>
      <w:r>
        <w:rPr>
          <w:rFonts w:hint="eastAsia"/>
          <w:b/>
          <w:bCs/>
          <w:color w:val="000000"/>
          <w:sz w:val="24"/>
        </w:rPr>
        <w:t>工程记录与竣工文件</w:t>
      </w:r>
    </w:p>
    <w:p>
      <w:pPr>
        <w:autoSpaceDE w:val="0"/>
        <w:autoSpaceDN w:val="0"/>
        <w:adjustRightInd w:val="0"/>
        <w:spacing w:line="360" w:lineRule="auto"/>
        <w:ind w:firstLine="420" w:firstLineChars="200"/>
        <w:rPr>
          <w:color w:val="000000"/>
          <w:szCs w:val="21"/>
        </w:rPr>
      </w:pPr>
      <w:r>
        <w:rPr>
          <w:rFonts w:hint="eastAsia"/>
          <w:color w:val="000000"/>
          <w:szCs w:val="21"/>
        </w:rPr>
        <w:t xml:space="preserve">第 </w:t>
      </w:r>
      <w:r>
        <w:rPr>
          <w:color w:val="000000"/>
          <w:szCs w:val="21"/>
        </w:rPr>
        <w:t xml:space="preserve">3 </w:t>
      </w:r>
      <w:r>
        <w:rPr>
          <w:rFonts w:hint="eastAsia"/>
          <w:color w:val="000000"/>
          <w:szCs w:val="21"/>
        </w:rPr>
        <w:t>条修改为：</w:t>
      </w:r>
    </w:p>
    <w:p>
      <w:pPr>
        <w:autoSpaceDE w:val="0"/>
        <w:autoSpaceDN w:val="0"/>
        <w:adjustRightInd w:val="0"/>
        <w:spacing w:line="360" w:lineRule="auto"/>
        <w:ind w:firstLine="420" w:firstLineChars="200"/>
        <w:rPr>
          <w:color w:val="000000"/>
          <w:szCs w:val="21"/>
        </w:rPr>
      </w:pPr>
      <w:r>
        <w:rPr>
          <w:color w:val="000000"/>
          <w:szCs w:val="21"/>
        </w:rPr>
        <w:t>3.</w:t>
      </w:r>
      <w:r>
        <w:rPr>
          <w:rFonts w:hint="eastAsia"/>
          <w:color w:val="000000"/>
          <w:szCs w:val="21"/>
        </w:rPr>
        <w:t>承包人应按照交通运输部《公路工程竣（交）工验收办法》、《公路工程竣（交）工验收办法实施细则》和浙江省交通运输厅交竣工验收相关办法及其他相关规定编制竣工资料。全部工程完工后，在全部工程的交工验收证书签发之前，承包人须按合同条款规定向发包人提交监理人确认完整、合格的竣工文件。在缺陷责任期内，承包人应补充竣工资料，并在缺陷责任期满</w:t>
      </w:r>
      <w:r>
        <w:rPr>
          <w:color w:val="000000"/>
          <w:szCs w:val="21"/>
        </w:rPr>
        <w:t>45</w:t>
      </w:r>
      <w:r>
        <w:rPr>
          <w:rFonts w:hint="eastAsia"/>
          <w:color w:val="000000"/>
          <w:szCs w:val="21"/>
        </w:rPr>
        <w:t>天之前提交。</w:t>
      </w:r>
    </w:p>
    <w:p>
      <w:pPr>
        <w:autoSpaceDE w:val="0"/>
        <w:autoSpaceDN w:val="0"/>
        <w:adjustRightInd w:val="0"/>
        <w:spacing w:line="360" w:lineRule="auto"/>
        <w:ind w:firstLine="420" w:firstLineChars="200"/>
        <w:rPr>
          <w:color w:val="000000"/>
          <w:szCs w:val="21"/>
        </w:rPr>
      </w:pPr>
      <w:r>
        <w:rPr>
          <w:rFonts w:hint="eastAsia"/>
          <w:color w:val="000000"/>
          <w:szCs w:val="21"/>
        </w:rPr>
        <w:t>补充第</w:t>
      </w:r>
      <w:r>
        <w:rPr>
          <w:color w:val="000000"/>
          <w:szCs w:val="21"/>
        </w:rPr>
        <w:t>4</w:t>
      </w:r>
      <w:r>
        <w:rPr>
          <w:rFonts w:hint="eastAsia"/>
          <w:color w:val="000000"/>
          <w:szCs w:val="21"/>
        </w:rPr>
        <w:t>、</w:t>
      </w:r>
      <w:r>
        <w:rPr>
          <w:color w:val="000000"/>
          <w:szCs w:val="21"/>
        </w:rPr>
        <w:t>5</w:t>
      </w:r>
      <w:r>
        <w:rPr>
          <w:rFonts w:hint="eastAsia"/>
          <w:color w:val="000000"/>
          <w:szCs w:val="21"/>
        </w:rPr>
        <w:t>、</w:t>
      </w:r>
      <w:r>
        <w:rPr>
          <w:color w:val="000000"/>
          <w:szCs w:val="21"/>
        </w:rPr>
        <w:t>6</w:t>
      </w:r>
      <w:r>
        <w:rPr>
          <w:rFonts w:hint="eastAsia"/>
          <w:color w:val="000000"/>
          <w:szCs w:val="21"/>
        </w:rPr>
        <w:t>、</w:t>
      </w:r>
      <w:r>
        <w:rPr>
          <w:color w:val="000000"/>
          <w:szCs w:val="21"/>
        </w:rPr>
        <w:t>7</w:t>
      </w:r>
      <w:r>
        <w:rPr>
          <w:rFonts w:hint="eastAsia"/>
          <w:color w:val="000000"/>
          <w:szCs w:val="21"/>
        </w:rPr>
        <w:t>条：</w:t>
      </w:r>
    </w:p>
    <w:p>
      <w:pPr>
        <w:autoSpaceDE w:val="0"/>
        <w:autoSpaceDN w:val="0"/>
        <w:adjustRightInd w:val="0"/>
        <w:spacing w:line="360" w:lineRule="auto"/>
        <w:ind w:firstLine="420" w:firstLineChars="200"/>
        <w:rPr>
          <w:color w:val="000000"/>
          <w:szCs w:val="21"/>
        </w:rPr>
      </w:pPr>
      <w:r>
        <w:rPr>
          <w:color w:val="000000"/>
          <w:szCs w:val="21"/>
        </w:rPr>
        <w:t>4</w:t>
      </w:r>
      <w:r>
        <w:rPr>
          <w:rFonts w:hint="eastAsia"/>
          <w:color w:val="000000"/>
          <w:szCs w:val="21"/>
        </w:rPr>
        <w:t>．本工程的信息发布应按照施工合同文件约定及发包人制定的相关信息发布管理办法规定执行。有关本工程的情况，承包人不能以任何手段出版任何资料和刊物。承包人应将合同的所有细节作为保密资料对待，未经发包人的事先批准，合同的任何部分或与本工程有关的详细资料不应在任何报纸、商业或技术文献上刊登或披露，包括工程技术详图。承包人不得用工程照片作宣传，除非事先得到发包人书面同意。</w:t>
      </w:r>
    </w:p>
    <w:p>
      <w:pPr>
        <w:autoSpaceDE w:val="0"/>
        <w:autoSpaceDN w:val="0"/>
        <w:adjustRightInd w:val="0"/>
        <w:spacing w:line="360" w:lineRule="auto"/>
        <w:ind w:firstLine="420" w:firstLineChars="200"/>
        <w:rPr>
          <w:color w:val="000000"/>
          <w:szCs w:val="21"/>
        </w:rPr>
      </w:pPr>
      <w:r>
        <w:rPr>
          <w:rFonts w:hint="eastAsia"/>
          <w:color w:val="000000"/>
          <w:szCs w:val="21"/>
        </w:rPr>
        <w:t>承包人也不应在现场或施工设施上展示或允许展示任何贸易和商业性广告。在工地现场张贴布告，应事先得到监理人的批准，必要时应得到发包人批准，当监理人或发包人指示撤除时，应立即执行。</w:t>
      </w:r>
    </w:p>
    <w:p>
      <w:pPr>
        <w:autoSpaceDE w:val="0"/>
        <w:autoSpaceDN w:val="0"/>
        <w:adjustRightInd w:val="0"/>
        <w:spacing w:line="360" w:lineRule="auto"/>
        <w:ind w:firstLine="420" w:firstLineChars="200"/>
        <w:rPr>
          <w:color w:val="000000"/>
          <w:szCs w:val="21"/>
        </w:rPr>
      </w:pPr>
      <w:r>
        <w:rPr>
          <w:color w:val="000000"/>
          <w:szCs w:val="21"/>
        </w:rPr>
        <w:t>5</w:t>
      </w:r>
      <w:r>
        <w:rPr>
          <w:rFonts w:hint="eastAsia"/>
          <w:color w:val="000000"/>
          <w:szCs w:val="21"/>
        </w:rPr>
        <w:t>．交工所需文件应组卷成册，如档案部门另有规定的，除内容按上述文件要求编制外，还应符合档案部门的要求。</w:t>
      </w:r>
    </w:p>
    <w:p>
      <w:pPr>
        <w:autoSpaceDE w:val="0"/>
        <w:autoSpaceDN w:val="0"/>
        <w:adjustRightInd w:val="0"/>
        <w:spacing w:line="360" w:lineRule="auto"/>
        <w:ind w:firstLine="420" w:firstLineChars="200"/>
        <w:rPr>
          <w:color w:val="000000"/>
          <w:szCs w:val="21"/>
        </w:rPr>
      </w:pPr>
      <w:r>
        <w:rPr>
          <w:color w:val="000000"/>
          <w:szCs w:val="21"/>
        </w:rPr>
        <w:t>6</w:t>
      </w:r>
      <w:r>
        <w:rPr>
          <w:rFonts w:hint="eastAsia"/>
          <w:color w:val="000000"/>
          <w:szCs w:val="21"/>
        </w:rPr>
        <w:t>．竣工文件的原始件应单独集中编订在一套内，归发包人所有（留存）。</w:t>
      </w:r>
    </w:p>
    <w:p>
      <w:pPr>
        <w:autoSpaceDE w:val="0"/>
        <w:autoSpaceDN w:val="0"/>
        <w:adjustRightInd w:val="0"/>
        <w:spacing w:line="360" w:lineRule="auto"/>
        <w:ind w:firstLine="420" w:firstLineChars="200"/>
        <w:rPr>
          <w:color w:val="000000"/>
          <w:szCs w:val="21"/>
        </w:rPr>
      </w:pPr>
      <w:r>
        <w:rPr>
          <w:color w:val="000000"/>
          <w:szCs w:val="21"/>
        </w:rPr>
        <w:t>7</w:t>
      </w:r>
      <w:r>
        <w:rPr>
          <w:rFonts w:hint="eastAsia"/>
          <w:color w:val="000000"/>
          <w:szCs w:val="21"/>
        </w:rPr>
        <w:t>．当工程通过缺陷责任期评估后，承包人应提供缺陷责任期的竣工文件资料</w:t>
      </w:r>
      <w:r>
        <w:rPr>
          <w:color w:val="000000"/>
          <w:szCs w:val="21"/>
        </w:rPr>
        <w:t>6</w:t>
      </w:r>
      <w:r>
        <w:rPr>
          <w:rFonts w:hint="eastAsia"/>
          <w:color w:val="000000"/>
          <w:szCs w:val="21"/>
        </w:rPr>
        <w:t>套。其内容包括缺陷责任期内所进行的修复、返工或新增的工程项目应具备的资料。该文件资料应在竣工验收。</w:t>
      </w:r>
    </w:p>
    <w:p>
      <w:pPr>
        <w:autoSpaceDE w:val="0"/>
        <w:autoSpaceDN w:val="0"/>
        <w:adjustRightInd w:val="0"/>
        <w:spacing w:line="360" w:lineRule="auto"/>
        <w:rPr>
          <w:color w:val="000000"/>
          <w:szCs w:val="21"/>
        </w:rPr>
      </w:pPr>
      <w:r>
        <w:rPr>
          <w:b/>
          <w:bCs/>
          <w:color w:val="000000"/>
          <w:sz w:val="24"/>
        </w:rPr>
        <w:t>102.13</w:t>
      </w:r>
      <w:r>
        <w:rPr>
          <w:b/>
          <w:bCs/>
          <w:color w:val="000000"/>
          <w:sz w:val="24"/>
        </w:rPr>
        <w:tab/>
      </w:r>
      <w:r>
        <w:rPr>
          <w:rFonts w:hint="eastAsia"/>
          <w:b/>
          <w:bCs/>
          <w:color w:val="000000"/>
          <w:sz w:val="24"/>
        </w:rPr>
        <w:t>安全保护与事故报告</w:t>
      </w:r>
    </w:p>
    <w:p>
      <w:pPr>
        <w:autoSpaceDE w:val="0"/>
        <w:autoSpaceDN w:val="0"/>
        <w:adjustRightInd w:val="0"/>
        <w:spacing w:line="360" w:lineRule="auto"/>
        <w:ind w:firstLine="420" w:firstLineChars="200"/>
        <w:rPr>
          <w:color w:val="000000"/>
          <w:szCs w:val="21"/>
        </w:rPr>
      </w:pPr>
      <w:r>
        <w:rPr>
          <w:color w:val="000000"/>
          <w:szCs w:val="21"/>
        </w:rPr>
        <w:t>3</w:t>
      </w:r>
      <w:r>
        <w:rPr>
          <w:rFonts w:hint="eastAsia"/>
          <w:color w:val="000000"/>
          <w:szCs w:val="21"/>
        </w:rPr>
        <w:t>．安全标志</w:t>
      </w:r>
    </w:p>
    <w:p>
      <w:pPr>
        <w:autoSpaceDE w:val="0"/>
        <w:autoSpaceDN w:val="0"/>
        <w:adjustRightInd w:val="0"/>
        <w:spacing w:line="360" w:lineRule="auto"/>
        <w:ind w:firstLine="420" w:firstLineChars="200"/>
        <w:rPr>
          <w:color w:val="000000"/>
          <w:szCs w:val="21"/>
        </w:rPr>
      </w:pPr>
      <w:r>
        <w:rPr>
          <w:rFonts w:hint="eastAsia"/>
          <w:color w:val="000000"/>
          <w:szCs w:val="21"/>
        </w:rPr>
        <w:t>补充第（</w:t>
      </w:r>
      <w:r>
        <w:rPr>
          <w:color w:val="000000"/>
          <w:szCs w:val="21"/>
        </w:rPr>
        <w:t>4</w:t>
      </w:r>
      <w:r>
        <w:rPr>
          <w:rFonts w:hint="eastAsia"/>
          <w:color w:val="000000"/>
          <w:szCs w:val="21"/>
        </w:rPr>
        <w:t>）款：</w:t>
      </w:r>
    </w:p>
    <w:p>
      <w:pPr>
        <w:autoSpaceDE w:val="0"/>
        <w:autoSpaceDN w:val="0"/>
        <w:adjustRightInd w:val="0"/>
        <w:spacing w:line="360" w:lineRule="auto"/>
        <w:ind w:firstLine="420" w:firstLineChars="200"/>
        <w:rPr>
          <w:color w:val="000000"/>
          <w:szCs w:val="21"/>
        </w:rPr>
      </w:pPr>
      <w:r>
        <w:rPr>
          <w:rFonts w:hint="eastAsia"/>
          <w:color w:val="000000"/>
          <w:szCs w:val="21"/>
        </w:rPr>
        <w:t>（</w:t>
      </w:r>
      <w:r>
        <w:rPr>
          <w:color w:val="000000"/>
          <w:szCs w:val="21"/>
        </w:rPr>
        <w:t>4</w:t>
      </w:r>
      <w:r>
        <w:rPr>
          <w:rFonts w:hint="eastAsia"/>
          <w:color w:val="000000"/>
          <w:szCs w:val="21"/>
        </w:rPr>
        <w:t>）承包人应根据《关于在我省政府投资公路水运建设工程中推行安全质量远程视频监控系统的通知》（浙交〔</w:t>
      </w:r>
      <w:r>
        <w:rPr>
          <w:color w:val="000000"/>
          <w:szCs w:val="21"/>
        </w:rPr>
        <w:t>2013</w:t>
      </w:r>
      <w:r>
        <w:rPr>
          <w:rFonts w:hint="eastAsia"/>
          <w:color w:val="000000"/>
          <w:szCs w:val="21"/>
        </w:rPr>
        <w:t>〕</w:t>
      </w:r>
      <w:r>
        <w:rPr>
          <w:color w:val="000000"/>
          <w:szCs w:val="21"/>
        </w:rPr>
        <w:t xml:space="preserve">120 </w:t>
      </w:r>
      <w:r>
        <w:rPr>
          <w:rFonts w:hint="eastAsia"/>
          <w:color w:val="000000"/>
          <w:szCs w:val="21"/>
        </w:rPr>
        <w:t>号）要求对全线配置安全生产所需的施工安全视频监控系统，并应做到施工现场监控无盲点，包括设备的配置、安装、维护、储存、备份管理及网络构筑等一切与此相关的作业，发包人不另行计量与支付。</w:t>
      </w:r>
    </w:p>
    <w:p>
      <w:pPr>
        <w:autoSpaceDE w:val="0"/>
        <w:autoSpaceDN w:val="0"/>
        <w:adjustRightInd w:val="0"/>
        <w:spacing w:line="360" w:lineRule="auto"/>
        <w:jc w:val="center"/>
        <w:rPr>
          <w:color w:val="000000"/>
          <w:szCs w:val="21"/>
        </w:rPr>
      </w:pPr>
      <w:r>
        <w:rPr>
          <w:rFonts w:hint="eastAsia" w:ascii="宋体" w:hAnsi="宋体" w:cs="宋体"/>
          <w:b/>
          <w:bCs/>
          <w:color w:val="000000"/>
          <w:sz w:val="32"/>
          <w:szCs w:val="32"/>
        </w:rPr>
        <w:t xml:space="preserve">第 </w:t>
      </w:r>
      <w:r>
        <w:rPr>
          <w:rFonts w:ascii="宋体" w:hAnsi="宋体" w:cs="宋体"/>
          <w:b/>
          <w:bCs/>
          <w:color w:val="000000"/>
          <w:sz w:val="32"/>
          <w:szCs w:val="32"/>
        </w:rPr>
        <w:t xml:space="preserve">103 </w:t>
      </w:r>
      <w:r>
        <w:rPr>
          <w:rFonts w:hint="eastAsia" w:ascii="宋体" w:hAnsi="宋体" w:cs="宋体"/>
          <w:b/>
          <w:bCs/>
          <w:color w:val="000000"/>
          <w:sz w:val="32"/>
          <w:szCs w:val="32"/>
        </w:rPr>
        <w:t>节</w:t>
      </w:r>
      <w:r>
        <w:rPr>
          <w:rFonts w:hint="eastAsia" w:ascii="宋体" w:hAnsi="宋体" w:cs="宋体"/>
          <w:b/>
          <w:bCs/>
          <w:color w:val="000000"/>
          <w:sz w:val="32"/>
          <w:szCs w:val="32"/>
        </w:rPr>
        <w:tab/>
      </w:r>
      <w:r>
        <w:rPr>
          <w:rFonts w:hint="eastAsia" w:ascii="宋体" w:hAnsi="宋体" w:cs="宋体"/>
          <w:b/>
          <w:bCs/>
          <w:color w:val="000000"/>
          <w:sz w:val="32"/>
          <w:szCs w:val="32"/>
        </w:rPr>
        <w:t>临时工程与设施</w:t>
      </w:r>
    </w:p>
    <w:p>
      <w:pPr>
        <w:autoSpaceDE w:val="0"/>
        <w:autoSpaceDN w:val="0"/>
        <w:adjustRightInd w:val="0"/>
        <w:spacing w:line="360" w:lineRule="auto"/>
        <w:rPr>
          <w:color w:val="000000"/>
          <w:szCs w:val="21"/>
        </w:rPr>
      </w:pPr>
      <w:r>
        <w:rPr>
          <w:b/>
          <w:bCs/>
          <w:color w:val="000000"/>
          <w:sz w:val="24"/>
        </w:rPr>
        <w:t>103.04</w:t>
      </w:r>
      <w:r>
        <w:rPr>
          <w:b/>
          <w:bCs/>
          <w:color w:val="000000"/>
          <w:sz w:val="24"/>
        </w:rPr>
        <w:tab/>
      </w:r>
      <w:r>
        <w:rPr>
          <w:rFonts w:hint="eastAsia"/>
          <w:b/>
          <w:bCs/>
          <w:color w:val="000000"/>
          <w:sz w:val="24"/>
        </w:rPr>
        <w:t>临时占地</w:t>
      </w:r>
    </w:p>
    <w:p>
      <w:pPr>
        <w:autoSpaceDE w:val="0"/>
        <w:autoSpaceDN w:val="0"/>
        <w:adjustRightInd w:val="0"/>
        <w:spacing w:line="360" w:lineRule="auto"/>
        <w:ind w:firstLine="420" w:firstLineChars="200"/>
        <w:rPr>
          <w:color w:val="000000"/>
          <w:szCs w:val="21"/>
        </w:rPr>
      </w:pPr>
      <w:r>
        <w:rPr>
          <w:rFonts w:hint="eastAsia"/>
          <w:color w:val="000000"/>
          <w:szCs w:val="21"/>
        </w:rPr>
        <w:t xml:space="preserve">补充第 </w:t>
      </w:r>
      <w:r>
        <w:rPr>
          <w:color w:val="000000"/>
          <w:szCs w:val="21"/>
        </w:rPr>
        <w:t xml:space="preserve">3 </w:t>
      </w:r>
      <w:r>
        <w:rPr>
          <w:rFonts w:hint="eastAsia"/>
          <w:color w:val="000000"/>
          <w:szCs w:val="21"/>
        </w:rPr>
        <w:t>条：</w:t>
      </w:r>
    </w:p>
    <w:p>
      <w:pPr>
        <w:autoSpaceDE w:val="0"/>
        <w:autoSpaceDN w:val="0"/>
        <w:adjustRightInd w:val="0"/>
        <w:spacing w:line="360" w:lineRule="auto"/>
        <w:ind w:firstLine="420" w:firstLineChars="200"/>
        <w:rPr>
          <w:rFonts w:ascii="黑体" w:hAnsi="黑体" w:eastAsia="黑体" w:cs="黑体"/>
          <w:w w:val="95"/>
          <w:sz w:val="48"/>
          <w:szCs w:val="48"/>
        </w:rPr>
      </w:pPr>
      <w:r>
        <w:rPr>
          <w:color w:val="000000"/>
          <w:szCs w:val="21"/>
        </w:rPr>
        <w:t>3</w:t>
      </w:r>
      <w:r>
        <w:rPr>
          <w:rFonts w:hint="eastAsia"/>
          <w:color w:val="000000"/>
          <w:szCs w:val="21"/>
        </w:rPr>
        <w:t>．如因承包人撤离后未按要求对临时占地进行恢复或虽进行了恢复但未达到使用标准而与当地发生纠纷，导致发包人发生额外支出时，发包人将从应付给承包人的任何款项内扣除所支出费用。</w:t>
      </w:r>
    </w:p>
    <w:p>
      <w:pPr>
        <w:widowControl/>
        <w:jc w:val="left"/>
        <w:rPr>
          <w:rFonts w:ascii="黑体" w:hAnsi="黑体" w:eastAsia="黑体"/>
          <w:sz w:val="44"/>
          <w:szCs w:val="44"/>
        </w:rPr>
      </w:pPr>
      <w:bookmarkStart w:id="556" w:name="_TOC_250046"/>
      <w:r>
        <w:rPr>
          <w:rFonts w:ascii="黑体" w:hAnsi="黑体" w:eastAsia="黑体"/>
          <w:sz w:val="44"/>
          <w:szCs w:val="44"/>
        </w:rPr>
        <w:br w:type="page"/>
      </w:r>
    </w:p>
    <w:p>
      <w:pPr>
        <w:tabs>
          <w:tab w:val="left" w:pos="4932"/>
          <w:tab w:val="left" w:pos="6252"/>
        </w:tabs>
        <w:spacing w:line="640" w:lineRule="exact"/>
        <w:jc w:val="center"/>
        <w:rPr>
          <w:rFonts w:ascii="黑体" w:hAnsi="黑体" w:eastAsia="黑体" w:cs="黑体"/>
          <w:b/>
          <w:bCs/>
          <w:sz w:val="36"/>
          <w:szCs w:val="36"/>
        </w:rPr>
      </w:pPr>
      <w:r>
        <w:rPr>
          <w:rFonts w:ascii="黑体" w:hAnsi="黑体" w:eastAsia="黑体"/>
          <w:sz w:val="36"/>
          <w:szCs w:val="36"/>
        </w:rPr>
        <w:t>第600章  安全设施及预埋管线</w:t>
      </w:r>
      <w:bookmarkEnd w:id="556"/>
    </w:p>
    <w:p>
      <w:pPr>
        <w:tabs>
          <w:tab w:val="left" w:pos="1721"/>
        </w:tabs>
        <w:spacing w:line="640" w:lineRule="exact"/>
        <w:ind w:left="120"/>
        <w:jc w:val="center"/>
        <w:rPr>
          <w:rFonts w:ascii="宋体" w:hAnsi="宋体" w:cs="宋体"/>
          <w:b/>
          <w:bCs/>
          <w:sz w:val="47"/>
          <w:szCs w:val="47"/>
        </w:rPr>
      </w:pPr>
      <w:r>
        <w:rPr>
          <w:rFonts w:ascii="宋体" w:hAnsi="宋体" w:cs="宋体"/>
          <w:b/>
          <w:bCs/>
          <w:sz w:val="32"/>
          <w:szCs w:val="32"/>
        </w:rPr>
        <w:t>第601节</w:t>
      </w:r>
      <w:r>
        <w:rPr>
          <w:rFonts w:ascii="宋体" w:hAnsi="宋体" w:cs="宋体"/>
          <w:b/>
          <w:bCs/>
          <w:sz w:val="32"/>
          <w:szCs w:val="32"/>
        </w:rPr>
        <w:tab/>
      </w:r>
      <w:r>
        <w:rPr>
          <w:rFonts w:ascii="宋体" w:hAnsi="宋体" w:cs="宋体"/>
          <w:b/>
          <w:bCs/>
          <w:sz w:val="32"/>
          <w:szCs w:val="32"/>
        </w:rPr>
        <w:t>通则</w:t>
      </w:r>
    </w:p>
    <w:p>
      <w:pPr>
        <w:autoSpaceDE w:val="0"/>
        <w:autoSpaceDN w:val="0"/>
        <w:adjustRightInd w:val="0"/>
        <w:spacing w:line="360" w:lineRule="auto"/>
        <w:ind w:firstLine="560" w:firstLineChars="200"/>
        <w:rPr>
          <w:rFonts w:ascii="黑体" w:hAnsi="黑体" w:eastAsia="黑体" w:cs="黑体"/>
          <w:sz w:val="28"/>
          <w:szCs w:val="28"/>
        </w:rPr>
      </w:pPr>
      <w:r>
        <w:rPr>
          <w:rFonts w:ascii="黑体" w:hAnsi="黑体" w:eastAsia="黑体" w:cs="黑体"/>
          <w:sz w:val="28"/>
          <w:szCs w:val="28"/>
        </w:rPr>
        <w:t>601.02</w:t>
      </w:r>
      <w:r>
        <w:rPr>
          <w:rFonts w:ascii="黑体" w:hAnsi="黑体" w:eastAsia="黑体" w:cs="黑体"/>
          <w:sz w:val="28"/>
          <w:szCs w:val="28"/>
        </w:rPr>
        <w:tab/>
      </w:r>
      <w:r>
        <w:rPr>
          <w:rFonts w:ascii="黑体" w:hAnsi="黑体" w:eastAsia="黑体" w:cs="黑体"/>
          <w:sz w:val="28"/>
          <w:szCs w:val="28"/>
        </w:rPr>
        <w:t>一般要求</w:t>
      </w:r>
    </w:p>
    <w:p>
      <w:pPr>
        <w:autoSpaceDE w:val="0"/>
        <w:autoSpaceDN w:val="0"/>
        <w:adjustRightInd w:val="0"/>
        <w:spacing w:line="380" w:lineRule="exact"/>
        <w:ind w:firstLine="420" w:firstLineChars="200"/>
        <w:rPr>
          <w:rFonts w:ascii="宋体" w:hAnsi="宋体" w:cs="宋体"/>
          <w:color w:val="000000"/>
          <w:szCs w:val="21"/>
        </w:rPr>
      </w:pPr>
      <w:r>
        <w:rPr>
          <w:rFonts w:ascii="宋体" w:hAnsi="宋体" w:cs="宋体"/>
          <w:color w:val="000000"/>
          <w:szCs w:val="21"/>
        </w:rPr>
        <w:t>2.道路交通标志</w:t>
      </w:r>
    </w:p>
    <w:p>
      <w:pPr>
        <w:autoSpaceDE w:val="0"/>
        <w:autoSpaceDN w:val="0"/>
        <w:adjustRightInd w:val="0"/>
        <w:spacing w:line="380" w:lineRule="exact"/>
        <w:ind w:firstLine="420" w:firstLineChars="200"/>
        <w:rPr>
          <w:rFonts w:ascii="宋体" w:hAnsi="宋体" w:cs="宋体"/>
          <w:color w:val="000000"/>
          <w:szCs w:val="21"/>
        </w:rPr>
      </w:pPr>
      <w:r>
        <w:rPr>
          <w:rFonts w:ascii="宋体" w:hAnsi="宋体" w:cs="宋体"/>
          <w:color w:val="000000"/>
          <w:szCs w:val="21"/>
        </w:rPr>
        <w:t>第（1）款、（2）款修改为：</w:t>
      </w:r>
    </w:p>
    <w:p>
      <w:pPr>
        <w:autoSpaceDE w:val="0"/>
        <w:autoSpaceDN w:val="0"/>
        <w:adjustRightInd w:val="0"/>
        <w:spacing w:line="380" w:lineRule="exact"/>
        <w:ind w:firstLine="420" w:firstLineChars="200"/>
        <w:rPr>
          <w:rFonts w:ascii="宋体" w:hAnsi="宋体" w:cs="宋体"/>
          <w:color w:val="000000"/>
          <w:szCs w:val="21"/>
        </w:rPr>
      </w:pPr>
      <w:r>
        <w:rPr>
          <w:rFonts w:ascii="宋体" w:hAnsi="宋体" w:cs="宋体"/>
          <w:color w:val="000000"/>
          <w:szCs w:val="21"/>
        </w:rPr>
        <w:t>（1）道路交通标志按《道路交通标志和标线》（GB5768-2009）和《道路交通标志板及支撑件》（GB/T23827-2009）的规定进行。</w:t>
      </w:r>
    </w:p>
    <w:p>
      <w:pPr>
        <w:autoSpaceDE w:val="0"/>
        <w:autoSpaceDN w:val="0"/>
        <w:adjustRightInd w:val="0"/>
        <w:spacing w:line="380" w:lineRule="exact"/>
        <w:ind w:firstLine="420" w:firstLineChars="200"/>
        <w:rPr>
          <w:rFonts w:ascii="宋体" w:hAnsi="宋体" w:cs="宋体"/>
          <w:color w:val="000000"/>
          <w:szCs w:val="21"/>
        </w:rPr>
      </w:pPr>
      <w:r>
        <w:rPr>
          <w:rFonts w:ascii="宋体" w:hAnsi="宋体" w:cs="宋体"/>
          <w:color w:val="000000"/>
          <w:szCs w:val="21"/>
        </w:rPr>
        <w:t>（2）道路交通标志的反光方法及反光膜级别，应符合图纸规定，如无规定时，应根据不同道路等级和标志类型，按《道路交通标志和标线》（GB5768-2009）及《道路交通标志板及支撑件》（GB/T23827-2009）的规定办理。</w:t>
      </w:r>
    </w:p>
    <w:p>
      <w:pPr>
        <w:autoSpaceDE w:val="0"/>
        <w:autoSpaceDN w:val="0"/>
        <w:adjustRightInd w:val="0"/>
        <w:spacing w:line="380" w:lineRule="exact"/>
        <w:ind w:firstLine="420" w:firstLineChars="200"/>
        <w:rPr>
          <w:rFonts w:ascii="宋体" w:hAnsi="宋体" w:cs="宋体"/>
          <w:color w:val="000000"/>
          <w:szCs w:val="21"/>
        </w:rPr>
      </w:pPr>
      <w:r>
        <w:rPr>
          <w:rFonts w:ascii="宋体" w:hAnsi="宋体" w:cs="宋体"/>
          <w:color w:val="000000"/>
          <w:szCs w:val="21"/>
        </w:rPr>
        <w:t>3.道路交通标线</w:t>
      </w:r>
    </w:p>
    <w:p>
      <w:pPr>
        <w:autoSpaceDE w:val="0"/>
        <w:autoSpaceDN w:val="0"/>
        <w:adjustRightInd w:val="0"/>
        <w:spacing w:line="380" w:lineRule="exact"/>
        <w:ind w:firstLine="420" w:firstLineChars="200"/>
        <w:rPr>
          <w:rFonts w:ascii="宋体" w:hAnsi="宋体" w:cs="宋体"/>
          <w:color w:val="000000"/>
          <w:szCs w:val="21"/>
        </w:rPr>
      </w:pPr>
      <w:r>
        <w:rPr>
          <w:rFonts w:ascii="宋体" w:hAnsi="宋体" w:cs="宋体"/>
          <w:color w:val="000000"/>
          <w:szCs w:val="21"/>
        </w:rPr>
        <w:t>修改为：</w:t>
      </w:r>
    </w:p>
    <w:p>
      <w:pPr>
        <w:autoSpaceDE w:val="0"/>
        <w:autoSpaceDN w:val="0"/>
        <w:adjustRightInd w:val="0"/>
        <w:spacing w:line="380" w:lineRule="exact"/>
        <w:ind w:firstLine="420" w:firstLineChars="200"/>
        <w:rPr>
          <w:rFonts w:ascii="宋体" w:hAnsi="宋体" w:cs="宋体"/>
          <w:color w:val="000000"/>
          <w:szCs w:val="21"/>
        </w:rPr>
      </w:pPr>
      <w:r>
        <w:rPr>
          <w:rFonts w:ascii="宋体" w:hAnsi="宋体" w:cs="宋体"/>
          <w:color w:val="000000"/>
          <w:szCs w:val="21"/>
        </w:rPr>
        <w:t>道路交通标线包括各种路面标线、箭头、文字、立面标记、突出路标和轮廓标等，应按图纸及《道路交通标志和标线》（GB5768-2009）的规定设置。</w:t>
      </w:r>
    </w:p>
    <w:p>
      <w:pPr>
        <w:autoSpaceDE w:val="0"/>
        <w:autoSpaceDN w:val="0"/>
        <w:adjustRightInd w:val="0"/>
        <w:spacing w:line="380" w:lineRule="exact"/>
        <w:ind w:firstLine="420" w:firstLineChars="200"/>
        <w:rPr>
          <w:rFonts w:ascii="宋体" w:hAnsi="宋体" w:cs="宋体"/>
          <w:color w:val="000000"/>
          <w:szCs w:val="21"/>
        </w:rPr>
      </w:pPr>
      <w:r>
        <w:rPr>
          <w:rFonts w:ascii="宋体" w:hAnsi="宋体" w:cs="宋体"/>
          <w:color w:val="000000"/>
          <w:szCs w:val="21"/>
        </w:rPr>
        <w:t>补充第5～9条：</w:t>
      </w:r>
    </w:p>
    <w:p>
      <w:pPr>
        <w:autoSpaceDE w:val="0"/>
        <w:autoSpaceDN w:val="0"/>
        <w:adjustRightInd w:val="0"/>
        <w:spacing w:line="380" w:lineRule="exact"/>
        <w:ind w:firstLine="420" w:firstLineChars="200"/>
        <w:rPr>
          <w:rFonts w:ascii="宋体" w:hAnsi="宋体" w:cs="宋体"/>
          <w:color w:val="000000"/>
          <w:szCs w:val="21"/>
        </w:rPr>
      </w:pPr>
      <w:r>
        <w:rPr>
          <w:rFonts w:ascii="宋体" w:hAnsi="宋体" w:cs="宋体"/>
          <w:color w:val="000000"/>
          <w:szCs w:val="21"/>
        </w:rPr>
        <w:t>5.本章未包括的其它安全设施工程项目，可根据设计文件和其它相关规范由监理人另行制定验收评定标准。</w:t>
      </w:r>
    </w:p>
    <w:p>
      <w:pPr>
        <w:autoSpaceDE w:val="0"/>
        <w:autoSpaceDN w:val="0"/>
        <w:adjustRightInd w:val="0"/>
        <w:spacing w:line="380" w:lineRule="exact"/>
        <w:ind w:firstLine="420" w:firstLineChars="200"/>
        <w:rPr>
          <w:rFonts w:ascii="宋体" w:hAnsi="宋体" w:cs="宋体"/>
          <w:color w:val="000000"/>
          <w:szCs w:val="21"/>
        </w:rPr>
      </w:pPr>
      <w:r>
        <w:rPr>
          <w:rFonts w:ascii="宋体" w:hAnsi="宋体" w:cs="宋体"/>
          <w:color w:val="000000"/>
          <w:szCs w:val="21"/>
        </w:rPr>
        <w:t>6.交通工程设施产品必须经监理人检验合格后，方可使用。</w:t>
      </w:r>
    </w:p>
    <w:p>
      <w:pPr>
        <w:autoSpaceDE w:val="0"/>
        <w:autoSpaceDN w:val="0"/>
        <w:adjustRightInd w:val="0"/>
        <w:spacing w:line="380" w:lineRule="exact"/>
        <w:ind w:firstLine="420" w:firstLineChars="200"/>
        <w:rPr>
          <w:rFonts w:ascii="宋体" w:hAnsi="宋体" w:cs="宋体"/>
          <w:color w:val="000000"/>
          <w:szCs w:val="21"/>
        </w:rPr>
      </w:pPr>
      <w:r>
        <w:rPr>
          <w:rFonts w:ascii="宋体" w:hAnsi="宋体" w:cs="宋体"/>
          <w:color w:val="000000"/>
          <w:szCs w:val="21"/>
        </w:rPr>
        <w:t>7.外购产品必须满足规范要求，具有产品合格证，并经承包人检验、监理人确认，满足设计要求后方可使用。</w:t>
      </w:r>
    </w:p>
    <w:p>
      <w:pPr>
        <w:autoSpaceDE w:val="0"/>
        <w:autoSpaceDN w:val="0"/>
        <w:adjustRightInd w:val="0"/>
        <w:spacing w:line="380" w:lineRule="exact"/>
        <w:ind w:firstLine="420" w:firstLineChars="200"/>
        <w:rPr>
          <w:rFonts w:ascii="宋体" w:hAnsi="宋体" w:cs="宋体"/>
          <w:color w:val="000000"/>
          <w:szCs w:val="21"/>
        </w:rPr>
      </w:pPr>
      <w:r>
        <w:rPr>
          <w:rFonts w:ascii="宋体" w:hAnsi="宋体" w:cs="宋体"/>
          <w:color w:val="000000"/>
          <w:szCs w:val="21"/>
        </w:rPr>
        <w:t>8.安全设施采用钢质材料时，必须按图纸要求及相关规范规定进行防腐处理。</w:t>
      </w:r>
    </w:p>
    <w:p>
      <w:pPr>
        <w:autoSpaceDE w:val="0"/>
        <w:autoSpaceDN w:val="0"/>
        <w:adjustRightInd w:val="0"/>
        <w:spacing w:line="380" w:lineRule="exact"/>
        <w:ind w:firstLine="420" w:firstLineChars="200"/>
        <w:rPr>
          <w:rFonts w:ascii="宋体" w:hAnsi="宋体" w:cs="宋体"/>
          <w:color w:val="000000"/>
          <w:szCs w:val="21"/>
        </w:rPr>
      </w:pPr>
      <w:r>
        <w:rPr>
          <w:rFonts w:ascii="宋体" w:hAnsi="宋体" w:cs="宋体"/>
          <w:color w:val="000000"/>
          <w:szCs w:val="21"/>
        </w:rPr>
        <w:t>9.构件用螺栓组合时，螺栓、垫圈的用量应满足设计要求，具有防盗结构并须拧紧。</w:t>
      </w:r>
    </w:p>
    <w:p>
      <w:pPr>
        <w:tabs>
          <w:tab w:val="left" w:pos="1721"/>
        </w:tabs>
        <w:spacing w:line="640" w:lineRule="exact"/>
        <w:ind w:left="120"/>
        <w:jc w:val="center"/>
        <w:rPr>
          <w:rFonts w:ascii="宋体" w:hAnsi="宋体" w:cs="宋体"/>
          <w:sz w:val="32"/>
          <w:szCs w:val="32"/>
        </w:rPr>
      </w:pPr>
      <w:r>
        <w:rPr>
          <w:rFonts w:ascii="宋体" w:hAnsi="宋体" w:cs="宋体"/>
          <w:b/>
          <w:bCs/>
          <w:sz w:val="32"/>
          <w:szCs w:val="32"/>
        </w:rPr>
        <w:t>第602节</w:t>
      </w:r>
      <w:r>
        <w:rPr>
          <w:rFonts w:ascii="宋体" w:hAnsi="宋体" w:cs="宋体"/>
          <w:b/>
          <w:bCs/>
          <w:sz w:val="32"/>
          <w:szCs w:val="32"/>
        </w:rPr>
        <w:tab/>
      </w:r>
      <w:r>
        <w:rPr>
          <w:rFonts w:ascii="宋体" w:hAnsi="宋体" w:cs="宋体"/>
          <w:b/>
          <w:bCs/>
          <w:sz w:val="32"/>
          <w:szCs w:val="32"/>
        </w:rPr>
        <w:t>护栏</w:t>
      </w:r>
    </w:p>
    <w:p>
      <w:pPr>
        <w:autoSpaceDE w:val="0"/>
        <w:autoSpaceDN w:val="0"/>
        <w:adjustRightInd w:val="0"/>
        <w:spacing w:line="360" w:lineRule="auto"/>
        <w:ind w:firstLine="560" w:firstLineChars="200"/>
        <w:rPr>
          <w:rFonts w:ascii="黑体" w:hAnsi="黑体" w:eastAsia="黑体" w:cs="黑体"/>
          <w:sz w:val="28"/>
          <w:szCs w:val="28"/>
        </w:rPr>
      </w:pPr>
      <w:r>
        <w:rPr>
          <w:rFonts w:ascii="黑体" w:hAnsi="黑体" w:eastAsia="黑体" w:cs="黑体"/>
          <w:sz w:val="28"/>
          <w:szCs w:val="28"/>
        </w:rPr>
        <w:t>602.02</w:t>
      </w:r>
      <w:r>
        <w:rPr>
          <w:rFonts w:ascii="黑体" w:hAnsi="黑体" w:eastAsia="黑体" w:cs="黑体"/>
          <w:sz w:val="28"/>
          <w:szCs w:val="28"/>
        </w:rPr>
        <w:tab/>
      </w:r>
      <w:r>
        <w:rPr>
          <w:rFonts w:ascii="黑体" w:hAnsi="黑体" w:eastAsia="黑体" w:cs="黑体"/>
          <w:sz w:val="28"/>
          <w:szCs w:val="28"/>
        </w:rPr>
        <w:t>材料</w:t>
      </w:r>
    </w:p>
    <w:p>
      <w:pPr>
        <w:autoSpaceDE w:val="0"/>
        <w:autoSpaceDN w:val="0"/>
        <w:adjustRightInd w:val="0"/>
        <w:spacing w:line="380" w:lineRule="exact"/>
        <w:ind w:firstLine="420" w:firstLineChars="200"/>
        <w:rPr>
          <w:rFonts w:ascii="宋体" w:hAnsi="宋体" w:cs="宋体"/>
          <w:color w:val="000000"/>
          <w:szCs w:val="21"/>
        </w:rPr>
      </w:pPr>
      <w:r>
        <w:rPr>
          <w:rFonts w:ascii="宋体" w:hAnsi="宋体" w:cs="宋体"/>
          <w:color w:val="000000"/>
          <w:szCs w:val="21"/>
        </w:rPr>
        <w:t>3.波形梁钢护栏产品质量要求</w:t>
      </w:r>
    </w:p>
    <w:p>
      <w:pPr>
        <w:autoSpaceDE w:val="0"/>
        <w:autoSpaceDN w:val="0"/>
        <w:adjustRightInd w:val="0"/>
        <w:spacing w:line="380" w:lineRule="exact"/>
        <w:ind w:firstLine="420" w:firstLineChars="200"/>
        <w:rPr>
          <w:rFonts w:ascii="宋体" w:hAnsi="宋体" w:cs="宋体"/>
          <w:color w:val="000000"/>
          <w:szCs w:val="21"/>
        </w:rPr>
      </w:pPr>
      <w:r>
        <w:rPr>
          <w:rFonts w:ascii="宋体" w:hAnsi="宋体" w:cs="宋体"/>
          <w:color w:val="000000"/>
          <w:szCs w:val="21"/>
        </w:rPr>
        <w:t>第（9）款后补充：</w:t>
      </w:r>
    </w:p>
    <w:p>
      <w:pPr>
        <w:autoSpaceDE w:val="0"/>
        <w:autoSpaceDN w:val="0"/>
        <w:adjustRightInd w:val="0"/>
        <w:spacing w:line="380" w:lineRule="exact"/>
        <w:ind w:firstLine="420" w:firstLineChars="200"/>
        <w:rPr>
          <w:rFonts w:ascii="宋体" w:hAnsi="宋体" w:cs="宋体"/>
          <w:color w:val="000000"/>
          <w:szCs w:val="21"/>
        </w:rPr>
      </w:pPr>
      <w:r>
        <w:rPr>
          <w:rFonts w:ascii="宋体" w:hAnsi="宋体" w:cs="宋体"/>
          <w:color w:val="000000"/>
          <w:szCs w:val="21"/>
        </w:rPr>
        <w:t>螺栓、螺母等紧固件和连接件在防腐处理后，必须清理螺纹或进行离心分离处理。</w:t>
      </w:r>
    </w:p>
    <w:p>
      <w:pPr>
        <w:autoSpaceDE w:val="0"/>
        <w:autoSpaceDN w:val="0"/>
        <w:adjustRightInd w:val="0"/>
        <w:spacing w:line="380" w:lineRule="exact"/>
        <w:ind w:firstLine="420" w:firstLineChars="200"/>
        <w:rPr>
          <w:rFonts w:ascii="宋体" w:hAnsi="宋体" w:cs="宋体"/>
          <w:color w:val="000000"/>
          <w:szCs w:val="21"/>
        </w:rPr>
      </w:pPr>
      <w:r>
        <w:rPr>
          <w:rFonts w:ascii="宋体" w:hAnsi="宋体" w:cs="宋体"/>
          <w:color w:val="000000"/>
          <w:szCs w:val="21"/>
        </w:rPr>
        <w:t>补充第9条：</w:t>
      </w:r>
    </w:p>
    <w:p>
      <w:pPr>
        <w:autoSpaceDE w:val="0"/>
        <w:autoSpaceDN w:val="0"/>
        <w:adjustRightInd w:val="0"/>
        <w:spacing w:line="360" w:lineRule="auto"/>
        <w:ind w:firstLine="420" w:firstLineChars="200"/>
        <w:rPr>
          <w:rFonts w:ascii="宋体" w:hAnsi="宋体"/>
          <w:sz w:val="72"/>
          <w:szCs w:val="72"/>
        </w:rPr>
      </w:pPr>
      <w:r>
        <w:rPr>
          <w:rFonts w:ascii="宋体" w:hAnsi="宋体" w:cs="宋体"/>
          <w:color w:val="000000"/>
          <w:szCs w:val="21"/>
        </w:rPr>
        <w:t>9.活动护栏应选用防撞等级达到Am级、同时要求整体打开时间快捷方便不宜大于30分钟且施工时不应在中分带路面取芯、钻孔、开挖等从而损坏路面的产品，采购前应向监理人、设计人、发包人提供厂家检测资料、实车碰撞报告后方可实施。 本章未包括的其它安全设施工程项目，可根据设计文件和其它相关规范由监理人另行制定验收评定标准。</w:t>
      </w:r>
    </w:p>
    <w:p>
      <w:pPr>
        <w:pStyle w:val="3"/>
        <w:keepNext w:val="0"/>
        <w:keepLines w:val="0"/>
        <w:spacing w:before="0" w:after="0" w:line="240" w:lineRule="auto"/>
        <w:jc w:val="center"/>
        <w:rPr>
          <w:rFonts w:ascii="宋体" w:hAnsi="宋体"/>
          <w:sz w:val="72"/>
          <w:szCs w:val="72"/>
        </w:rPr>
      </w:pPr>
    </w:p>
    <w:p>
      <w:pPr>
        <w:pStyle w:val="3"/>
        <w:keepNext w:val="0"/>
        <w:keepLines w:val="0"/>
        <w:spacing w:before="0" w:after="0" w:line="240" w:lineRule="auto"/>
        <w:jc w:val="center"/>
        <w:rPr>
          <w:rFonts w:ascii="宋体" w:hAnsi="宋体"/>
          <w:sz w:val="72"/>
          <w:szCs w:val="72"/>
        </w:rPr>
      </w:pPr>
      <w:bookmarkStart w:id="557" w:name="_Toc173244878"/>
      <w:bookmarkStart w:id="558" w:name="_Toc173246265"/>
      <w:r>
        <w:rPr>
          <w:rFonts w:hint="eastAsia" w:ascii="宋体" w:hAnsi="宋体"/>
          <w:sz w:val="72"/>
          <w:szCs w:val="72"/>
        </w:rPr>
        <w:t>第  四  卷</w:t>
      </w:r>
      <w:bookmarkEnd w:id="557"/>
      <w:bookmarkEnd w:id="558"/>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jc w:val="center"/>
        <w:rPr>
          <w:rFonts w:ascii="宋体" w:hAnsi="宋体" w:eastAsia="宋体" w:cs="宋体"/>
          <w:sz w:val="52"/>
          <w:szCs w:val="52"/>
        </w:rPr>
      </w:pPr>
    </w:p>
    <w:p>
      <w:pPr>
        <w:jc w:val="center"/>
        <w:rPr>
          <w:rFonts w:ascii="宋体" w:hAnsi="宋体" w:eastAsia="宋体" w:cs="宋体"/>
          <w:b/>
          <w:sz w:val="36"/>
          <w:szCs w:val="36"/>
        </w:rPr>
      </w:pPr>
    </w:p>
    <w:p>
      <w:pPr>
        <w:jc w:val="center"/>
        <w:rPr>
          <w:rFonts w:ascii="宋体" w:hAnsi="宋体" w:eastAsia="宋体" w:cs="宋体"/>
          <w:b/>
          <w:sz w:val="36"/>
          <w:szCs w:val="36"/>
        </w:rPr>
      </w:pPr>
    </w:p>
    <w:p>
      <w:pPr>
        <w:jc w:val="center"/>
        <w:rPr>
          <w:rFonts w:ascii="宋体" w:hAnsi="宋体" w:eastAsia="宋体" w:cs="宋体"/>
          <w:b/>
          <w:sz w:val="36"/>
          <w:szCs w:val="36"/>
        </w:rPr>
      </w:pPr>
    </w:p>
    <w:p>
      <w:pPr>
        <w:jc w:val="center"/>
        <w:rPr>
          <w:rFonts w:ascii="宋体" w:hAnsi="宋体" w:eastAsia="宋体" w:cs="宋体"/>
          <w:b/>
          <w:sz w:val="36"/>
          <w:szCs w:val="36"/>
        </w:rPr>
      </w:pPr>
    </w:p>
    <w:p>
      <w:pPr>
        <w:jc w:val="center"/>
        <w:rPr>
          <w:rFonts w:ascii="宋体" w:hAnsi="宋体" w:eastAsia="宋体" w:cs="宋体"/>
          <w:b/>
          <w:sz w:val="36"/>
          <w:szCs w:val="36"/>
        </w:rPr>
      </w:pPr>
    </w:p>
    <w:p>
      <w:pPr>
        <w:jc w:val="center"/>
        <w:rPr>
          <w:rFonts w:ascii="宋体" w:hAnsi="宋体" w:eastAsia="宋体" w:cs="宋体"/>
          <w:b/>
          <w:sz w:val="36"/>
          <w:szCs w:val="36"/>
        </w:rPr>
      </w:pPr>
    </w:p>
    <w:p>
      <w:pPr>
        <w:jc w:val="center"/>
        <w:rPr>
          <w:rFonts w:ascii="宋体" w:hAnsi="宋体" w:eastAsia="宋体" w:cs="宋体"/>
          <w:b/>
          <w:sz w:val="36"/>
          <w:szCs w:val="36"/>
        </w:rPr>
      </w:pPr>
    </w:p>
    <w:p>
      <w:pPr>
        <w:jc w:val="center"/>
        <w:rPr>
          <w:rFonts w:ascii="宋体" w:hAnsi="宋体" w:eastAsia="宋体" w:cs="宋体"/>
          <w:b/>
          <w:sz w:val="36"/>
          <w:szCs w:val="36"/>
        </w:rPr>
      </w:pPr>
    </w:p>
    <w:p>
      <w:pPr>
        <w:jc w:val="center"/>
        <w:rPr>
          <w:rFonts w:ascii="宋体" w:hAnsi="宋体" w:eastAsia="宋体" w:cs="宋体"/>
          <w:b/>
          <w:sz w:val="36"/>
          <w:szCs w:val="36"/>
        </w:rPr>
      </w:pPr>
    </w:p>
    <w:p>
      <w:pPr>
        <w:jc w:val="center"/>
        <w:rPr>
          <w:rFonts w:ascii="宋体" w:hAnsi="宋体" w:eastAsia="宋体" w:cs="宋体"/>
          <w:b/>
          <w:sz w:val="36"/>
          <w:szCs w:val="36"/>
        </w:rPr>
      </w:pPr>
    </w:p>
    <w:p>
      <w:pPr>
        <w:jc w:val="center"/>
        <w:rPr>
          <w:rFonts w:ascii="宋体" w:hAnsi="宋体" w:eastAsia="宋体" w:cs="宋体"/>
          <w:b/>
          <w:sz w:val="36"/>
          <w:szCs w:val="36"/>
        </w:rPr>
      </w:pPr>
    </w:p>
    <w:p>
      <w:pPr>
        <w:jc w:val="center"/>
        <w:rPr>
          <w:rFonts w:ascii="宋体" w:hAnsi="宋体" w:eastAsia="宋体" w:cs="宋体"/>
          <w:b/>
          <w:sz w:val="36"/>
          <w:szCs w:val="36"/>
        </w:rPr>
      </w:pPr>
    </w:p>
    <w:p>
      <w:pPr>
        <w:jc w:val="center"/>
        <w:rPr>
          <w:rFonts w:ascii="宋体" w:hAnsi="宋体" w:eastAsia="宋体" w:cs="宋体"/>
          <w:b/>
          <w:sz w:val="36"/>
          <w:szCs w:val="36"/>
        </w:rPr>
      </w:pPr>
    </w:p>
    <w:p>
      <w:pPr>
        <w:jc w:val="center"/>
        <w:rPr>
          <w:rFonts w:ascii="宋体" w:hAnsi="宋体" w:eastAsia="宋体" w:cs="宋体"/>
          <w:b/>
          <w:sz w:val="36"/>
          <w:szCs w:val="36"/>
        </w:rPr>
      </w:pPr>
    </w:p>
    <w:p>
      <w:pPr>
        <w:jc w:val="center"/>
        <w:rPr>
          <w:rFonts w:ascii="宋体" w:hAnsi="宋体" w:eastAsia="宋体" w:cs="宋体"/>
          <w:b/>
          <w:sz w:val="36"/>
          <w:szCs w:val="36"/>
        </w:rPr>
      </w:pPr>
    </w:p>
    <w:p>
      <w:pPr>
        <w:jc w:val="center"/>
        <w:rPr>
          <w:rFonts w:ascii="宋体" w:hAnsi="宋体" w:eastAsia="宋体" w:cs="宋体"/>
          <w:b/>
          <w:sz w:val="36"/>
          <w:szCs w:val="36"/>
        </w:rPr>
      </w:pPr>
    </w:p>
    <w:p>
      <w:pPr>
        <w:jc w:val="center"/>
        <w:rPr>
          <w:rFonts w:ascii="宋体" w:hAnsi="宋体" w:eastAsia="宋体" w:cs="宋体"/>
          <w:b/>
          <w:sz w:val="36"/>
          <w:szCs w:val="36"/>
        </w:rPr>
      </w:pPr>
    </w:p>
    <w:p>
      <w:pPr>
        <w:jc w:val="center"/>
        <w:rPr>
          <w:rFonts w:ascii="宋体" w:hAnsi="宋体" w:eastAsia="宋体" w:cs="宋体"/>
          <w:b/>
          <w:sz w:val="36"/>
          <w:szCs w:val="36"/>
        </w:rPr>
      </w:pPr>
    </w:p>
    <w:p>
      <w:pPr>
        <w:jc w:val="center"/>
        <w:rPr>
          <w:rFonts w:ascii="宋体" w:hAnsi="宋体" w:eastAsia="宋体" w:cs="宋体"/>
          <w:b/>
          <w:sz w:val="36"/>
          <w:szCs w:val="36"/>
        </w:rPr>
      </w:pPr>
    </w:p>
    <w:p>
      <w:pPr>
        <w:jc w:val="center"/>
        <w:rPr>
          <w:rFonts w:ascii="宋体" w:hAnsi="宋体" w:eastAsia="宋体" w:cs="宋体"/>
          <w:b/>
          <w:sz w:val="36"/>
          <w:szCs w:val="36"/>
        </w:rPr>
      </w:pPr>
    </w:p>
    <w:p>
      <w:pPr>
        <w:jc w:val="center"/>
        <w:rPr>
          <w:rFonts w:ascii="宋体" w:hAnsi="宋体" w:eastAsia="宋体" w:cs="宋体"/>
          <w:b/>
          <w:sz w:val="36"/>
          <w:szCs w:val="36"/>
        </w:rPr>
      </w:pPr>
    </w:p>
    <w:p>
      <w:pPr>
        <w:jc w:val="center"/>
        <w:rPr>
          <w:rFonts w:ascii="宋体" w:hAnsi="宋体" w:eastAsia="宋体" w:cs="宋体"/>
          <w:b/>
          <w:sz w:val="36"/>
          <w:szCs w:val="36"/>
        </w:rPr>
      </w:pPr>
    </w:p>
    <w:p>
      <w:pPr>
        <w:jc w:val="center"/>
        <w:rPr>
          <w:rFonts w:ascii="宋体" w:hAnsi="宋体" w:eastAsia="宋体" w:cs="宋体"/>
          <w:b/>
          <w:sz w:val="36"/>
          <w:szCs w:val="36"/>
        </w:rPr>
      </w:pPr>
      <w:r>
        <w:rPr>
          <w:rFonts w:hint="eastAsia" w:ascii="宋体" w:hAnsi="宋体" w:eastAsia="宋体" w:cs="宋体"/>
          <w:b/>
          <w:sz w:val="36"/>
          <w:szCs w:val="36"/>
        </w:rPr>
        <w:t>第八章 工程量清单计量规则</w:t>
      </w:r>
    </w:p>
    <w:p>
      <w:pPr>
        <w:pStyle w:val="2"/>
      </w:pPr>
    </w:p>
    <w:p>
      <w:pPr>
        <w:autoSpaceDE w:val="0"/>
        <w:autoSpaceDN w:val="0"/>
        <w:adjustRightInd w:val="0"/>
        <w:spacing w:line="360" w:lineRule="auto"/>
        <w:ind w:firstLine="420" w:firstLineChars="200"/>
        <w:rPr>
          <w:color w:val="000000"/>
          <w:szCs w:val="21"/>
        </w:rPr>
      </w:pPr>
      <w:r>
        <w:rPr>
          <w:color w:val="000000"/>
          <w:szCs w:val="21"/>
        </w:rPr>
        <w:t>按照浙江省地方标准《交通建设工程工程量清单计价规范 第1 部分：公路工程》（DB 33/T628.1—2021）编制。</w:t>
      </w:r>
    </w:p>
    <w:p/>
    <w:p>
      <w:pPr>
        <w:pStyle w:val="2"/>
      </w:pPr>
      <w:r>
        <w:br w:type="page"/>
      </w:r>
    </w:p>
    <w:p/>
    <w:p>
      <w:pPr>
        <w:jc w:val="center"/>
        <w:rPr>
          <w:rFonts w:ascii="宋体" w:hAnsi="宋体" w:eastAsia="宋体" w:cs="宋体"/>
          <w:b/>
          <w:sz w:val="36"/>
          <w:szCs w:val="36"/>
        </w:rPr>
      </w:pPr>
      <w:r>
        <w:rPr>
          <w:rFonts w:hint="eastAsia" w:ascii="宋体" w:hAnsi="宋体" w:eastAsia="宋体" w:cs="宋体"/>
          <w:b/>
          <w:sz w:val="36"/>
          <w:szCs w:val="36"/>
        </w:rPr>
        <w:tab/>
      </w:r>
      <w:r>
        <w:rPr>
          <w:rFonts w:hint="eastAsia" w:ascii="宋体" w:hAnsi="宋体" w:eastAsia="宋体" w:cs="宋体"/>
          <w:b/>
          <w:sz w:val="36"/>
          <w:szCs w:val="36"/>
        </w:rPr>
        <w:t>第九章  投标文件格式</w:t>
      </w: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r>
        <w:rPr>
          <w:rFonts w:hint="eastAsia" w:ascii="宋体" w:hAnsi="宋体" w:eastAsia="宋体" w:cs="宋体"/>
          <w:sz w:val="24"/>
        </w:rPr>
        <w:br w:type="page"/>
      </w:r>
    </w:p>
    <w:p>
      <w:pPr>
        <w:spacing w:line="720" w:lineRule="auto"/>
        <w:jc w:val="center"/>
        <w:rPr>
          <w:rFonts w:ascii="宋体" w:hAnsi="宋体" w:eastAsia="宋体" w:cs="宋体"/>
          <w:sz w:val="36"/>
          <w:szCs w:val="36"/>
        </w:rPr>
      </w:pPr>
      <w:r>
        <w:rPr>
          <w:rFonts w:hint="eastAsia" w:ascii="宋体" w:hAnsi="宋体" w:eastAsia="宋体" w:cs="宋体"/>
          <w:sz w:val="36"/>
          <w:szCs w:val="36"/>
        </w:rPr>
        <w:t>浙江省</w:t>
      </w:r>
    </w:p>
    <w:p>
      <w:pPr>
        <w:spacing w:line="720" w:lineRule="auto"/>
        <w:jc w:val="center"/>
        <w:rPr>
          <w:rFonts w:ascii="宋体" w:hAnsi="宋体" w:eastAsia="宋体" w:cs="宋体"/>
          <w:sz w:val="36"/>
          <w:szCs w:val="36"/>
        </w:rPr>
      </w:pPr>
      <w:r>
        <w:rPr>
          <w:rFonts w:hint="eastAsia" w:ascii="宋体" w:hAnsi="宋体" w:eastAsia="宋体" w:cs="宋体"/>
          <w:sz w:val="36"/>
          <w:szCs w:val="36"/>
          <w:u w:val="single"/>
        </w:rPr>
        <w:t xml:space="preserve">       </w:t>
      </w:r>
      <w:r>
        <w:rPr>
          <w:rFonts w:hint="eastAsia" w:ascii="宋体" w:hAnsi="宋体" w:eastAsia="宋体" w:cs="宋体"/>
          <w:sz w:val="36"/>
          <w:szCs w:val="36"/>
        </w:rPr>
        <w:t>（项目名称）</w:t>
      </w:r>
      <w:r>
        <w:rPr>
          <w:rFonts w:hint="eastAsia" w:ascii="宋体" w:hAnsi="宋体" w:eastAsia="宋体" w:cs="宋体"/>
          <w:sz w:val="36"/>
          <w:szCs w:val="36"/>
          <w:u w:val="single"/>
        </w:rPr>
        <w:t xml:space="preserve">      </w:t>
      </w:r>
      <w:r>
        <w:rPr>
          <w:rFonts w:hint="eastAsia" w:ascii="宋体" w:hAnsi="宋体" w:eastAsia="宋体" w:cs="宋体"/>
          <w:sz w:val="36"/>
          <w:szCs w:val="36"/>
        </w:rPr>
        <w:t>标段施工招标</w:t>
      </w: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jc w:val="center"/>
        <w:rPr>
          <w:rFonts w:ascii="宋体" w:hAnsi="宋体" w:eastAsia="宋体" w:cs="宋体"/>
          <w:b/>
          <w:sz w:val="52"/>
          <w:szCs w:val="52"/>
        </w:rPr>
      </w:pPr>
    </w:p>
    <w:p>
      <w:pPr>
        <w:spacing w:line="360" w:lineRule="auto"/>
        <w:jc w:val="center"/>
        <w:rPr>
          <w:rFonts w:ascii="宋体" w:hAnsi="宋体" w:eastAsia="宋体" w:cs="宋体"/>
          <w:b/>
          <w:sz w:val="52"/>
          <w:szCs w:val="52"/>
        </w:rPr>
      </w:pPr>
    </w:p>
    <w:p>
      <w:pPr>
        <w:spacing w:line="360" w:lineRule="auto"/>
        <w:jc w:val="center"/>
        <w:rPr>
          <w:rFonts w:ascii="宋体" w:hAnsi="宋体" w:eastAsia="宋体" w:cs="宋体"/>
          <w:b/>
          <w:sz w:val="84"/>
          <w:szCs w:val="84"/>
        </w:rPr>
      </w:pPr>
      <w:r>
        <w:rPr>
          <w:rFonts w:hint="eastAsia" w:ascii="宋体" w:hAnsi="宋体" w:eastAsia="宋体" w:cs="宋体"/>
          <w:b/>
          <w:sz w:val="84"/>
          <w:szCs w:val="84"/>
        </w:rPr>
        <w:t>投 标 文 件</w:t>
      </w:r>
    </w:p>
    <w:p>
      <w:pPr>
        <w:spacing w:line="360" w:lineRule="auto"/>
        <w:rPr>
          <w:rFonts w:ascii="宋体" w:hAnsi="宋体" w:eastAsia="宋体" w:cs="宋体"/>
          <w:b/>
          <w:sz w:val="32"/>
          <w:szCs w:val="32"/>
        </w:rPr>
      </w:pPr>
    </w:p>
    <w:p>
      <w:pPr>
        <w:spacing w:line="360" w:lineRule="auto"/>
        <w:rPr>
          <w:rFonts w:ascii="宋体" w:hAnsi="宋体" w:eastAsia="宋体" w:cs="宋体"/>
          <w:b/>
          <w:sz w:val="32"/>
          <w:szCs w:val="32"/>
        </w:rPr>
      </w:pPr>
    </w:p>
    <w:p>
      <w:pPr>
        <w:pStyle w:val="2"/>
      </w:pPr>
    </w:p>
    <w:p/>
    <w:p>
      <w:pPr>
        <w:pStyle w:val="2"/>
      </w:pPr>
    </w:p>
    <w:p>
      <w:pPr>
        <w:spacing w:line="720" w:lineRule="auto"/>
        <w:ind w:firstLine="1960" w:firstLineChars="700"/>
        <w:rPr>
          <w:rFonts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（盖单位章）</w:t>
      </w:r>
    </w:p>
    <w:p>
      <w:pPr>
        <w:spacing w:line="400" w:lineRule="exact"/>
        <w:ind w:firstLine="1260" w:firstLineChars="450"/>
        <w:rPr>
          <w:color w:val="000000"/>
          <w:sz w:val="28"/>
          <w:szCs w:val="28"/>
        </w:rPr>
      </w:pPr>
    </w:p>
    <w:p>
      <w:pPr>
        <w:spacing w:line="400" w:lineRule="exact"/>
        <w:ind w:firstLine="1680" w:firstLineChars="600"/>
        <w:rPr>
          <w:color w:val="000000"/>
          <w:sz w:val="28"/>
          <w:szCs w:val="28"/>
        </w:rPr>
      </w:pPr>
      <w:r>
        <w:rPr>
          <w:color w:val="000000"/>
          <w:sz w:val="28"/>
          <w:szCs w:val="28"/>
        </w:rPr>
        <w:t>法定代表人：</w:t>
      </w:r>
      <w:r>
        <w:rPr>
          <w:rFonts w:ascii="宋体" w:hAnsi="宋体" w:eastAsia="宋体" w:cs="宋体"/>
          <w:sz w:val="28"/>
          <w:szCs w:val="28"/>
          <w:u w:val="single"/>
        </w:rPr>
        <w:t xml:space="preserve">         </w:t>
      </w:r>
      <w:r>
        <w:rPr>
          <w:rFonts w:hint="eastAsia" w:ascii="宋体" w:hAnsi="宋体" w:eastAsia="宋体" w:cs="宋体"/>
          <w:sz w:val="28"/>
          <w:szCs w:val="28"/>
          <w:u w:val="single"/>
        </w:rPr>
        <w:t xml:space="preserve">      </w:t>
      </w:r>
      <w:r>
        <w:rPr>
          <w:rFonts w:ascii="宋体" w:hAnsi="宋体" w:eastAsia="宋体" w:cs="宋体"/>
          <w:sz w:val="28"/>
          <w:szCs w:val="28"/>
          <w:u w:val="single"/>
        </w:rPr>
        <w:t xml:space="preserve">      </w:t>
      </w:r>
      <w:r>
        <w:rPr>
          <w:color w:val="000000"/>
          <w:sz w:val="28"/>
          <w:szCs w:val="28"/>
        </w:rPr>
        <w:t>（签字</w:t>
      </w:r>
      <w:r>
        <w:rPr>
          <w:rFonts w:hint="eastAsia"/>
          <w:sz w:val="28"/>
          <w:szCs w:val="28"/>
        </w:rPr>
        <w:t>或盖章</w:t>
      </w:r>
      <w:r>
        <w:rPr>
          <w:color w:val="000000"/>
          <w:sz w:val="28"/>
          <w:szCs w:val="28"/>
        </w:rPr>
        <w:t>）</w:t>
      </w:r>
    </w:p>
    <w:p>
      <w:pPr>
        <w:pStyle w:val="2"/>
      </w:pPr>
    </w:p>
    <w:p/>
    <w:p>
      <w:pPr>
        <w:spacing w:line="720" w:lineRule="auto"/>
        <w:ind w:firstLine="2940" w:firstLineChars="1050"/>
        <w:rPr>
          <w:rFonts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jc w:val="center"/>
        <w:rPr>
          <w:rFonts w:ascii="宋体" w:hAnsi="宋体" w:eastAsia="宋体" w:cs="宋体"/>
          <w:b/>
          <w:sz w:val="36"/>
          <w:szCs w:val="36"/>
        </w:rPr>
      </w:pPr>
      <w:r>
        <w:rPr>
          <w:rFonts w:hint="eastAsia" w:ascii="宋体" w:hAnsi="宋体" w:eastAsia="宋体" w:cs="宋体"/>
          <w:b/>
          <w:sz w:val="36"/>
          <w:szCs w:val="36"/>
        </w:rPr>
        <w:t>目</w:t>
      </w:r>
      <w:r>
        <w:rPr>
          <w:rFonts w:hint="eastAsia" w:ascii="宋体" w:hAnsi="宋体" w:eastAsia="宋体" w:cs="宋体"/>
          <w:b/>
          <w:sz w:val="36"/>
          <w:szCs w:val="36"/>
        </w:rPr>
        <w:tab/>
      </w:r>
      <w:r>
        <w:rPr>
          <w:rFonts w:hint="eastAsia" w:ascii="宋体" w:hAnsi="宋体" w:eastAsia="宋体" w:cs="宋体"/>
          <w:b/>
          <w:sz w:val="36"/>
          <w:szCs w:val="36"/>
        </w:rPr>
        <w:t>录</w:t>
      </w:r>
    </w:p>
    <w:p>
      <w:pPr>
        <w:rPr>
          <w:rFonts w:ascii="宋体" w:hAnsi="宋体" w:eastAsia="宋体" w:cs="宋体"/>
          <w:szCs w:val="21"/>
        </w:rPr>
      </w:pPr>
    </w:p>
    <w:p>
      <w:pPr>
        <w:numPr>
          <w:ilvl w:val="0"/>
          <w:numId w:val="10"/>
        </w:numPr>
        <w:spacing w:line="520" w:lineRule="exact"/>
        <w:rPr>
          <w:rFonts w:ascii="宋体" w:hAnsi="宋体" w:eastAsia="宋体" w:cs="宋体"/>
          <w:szCs w:val="21"/>
        </w:rPr>
      </w:pPr>
      <w:r>
        <w:rPr>
          <w:rFonts w:hint="eastAsia" w:ascii="宋体" w:hAnsi="宋体" w:eastAsia="宋体" w:cs="宋体"/>
          <w:szCs w:val="21"/>
        </w:rPr>
        <w:t>投标函</w:t>
      </w:r>
    </w:p>
    <w:p>
      <w:pPr>
        <w:numPr>
          <w:ilvl w:val="0"/>
          <w:numId w:val="10"/>
        </w:numPr>
        <w:spacing w:line="520" w:lineRule="exact"/>
        <w:rPr>
          <w:rFonts w:ascii="宋体" w:hAnsi="宋体" w:eastAsia="宋体" w:cs="宋体"/>
          <w:szCs w:val="21"/>
        </w:rPr>
      </w:pPr>
      <w:r>
        <w:rPr>
          <w:rFonts w:hint="eastAsia" w:ascii="宋体" w:hAnsi="宋体" w:eastAsia="宋体" w:cs="宋体"/>
          <w:szCs w:val="21"/>
        </w:rPr>
        <w:t>投标函附录</w:t>
      </w:r>
    </w:p>
    <w:p>
      <w:pPr>
        <w:spacing w:line="520" w:lineRule="exact"/>
        <w:rPr>
          <w:rFonts w:ascii="宋体" w:hAnsi="宋体" w:eastAsia="宋体" w:cs="宋体"/>
          <w:szCs w:val="21"/>
        </w:rPr>
      </w:pPr>
      <w:r>
        <w:rPr>
          <w:rFonts w:hint="eastAsia" w:ascii="宋体" w:hAnsi="宋体" w:eastAsia="宋体" w:cs="宋体"/>
          <w:szCs w:val="21"/>
        </w:rPr>
        <w:t>三、法定代表人身份证明及附有法定代表人身份证明的授权委托书</w:t>
      </w:r>
    </w:p>
    <w:p>
      <w:pPr>
        <w:spacing w:line="520" w:lineRule="exact"/>
        <w:rPr>
          <w:rFonts w:ascii="宋体" w:hAnsi="宋体" w:eastAsia="宋体" w:cs="宋体"/>
          <w:szCs w:val="21"/>
        </w:rPr>
      </w:pPr>
      <w:r>
        <w:rPr>
          <w:rFonts w:hint="eastAsia" w:ascii="宋体" w:hAnsi="宋体" w:eastAsia="宋体" w:cs="宋体"/>
          <w:szCs w:val="21"/>
        </w:rPr>
        <w:t>四、项目管理机构</w:t>
      </w:r>
    </w:p>
    <w:p>
      <w:pPr>
        <w:spacing w:line="520" w:lineRule="exact"/>
        <w:rPr>
          <w:rFonts w:ascii="宋体" w:hAnsi="宋体" w:eastAsia="宋体" w:cs="宋体"/>
          <w:szCs w:val="21"/>
        </w:rPr>
      </w:pPr>
      <w:r>
        <w:rPr>
          <w:rFonts w:hint="eastAsia" w:ascii="宋体" w:hAnsi="宋体" w:eastAsia="宋体" w:cs="宋体"/>
          <w:szCs w:val="21"/>
        </w:rPr>
        <w:t>五、资格审查资料（适用于未进行资格预审的）</w:t>
      </w:r>
    </w:p>
    <w:p>
      <w:pPr>
        <w:spacing w:line="520" w:lineRule="exact"/>
        <w:rPr>
          <w:rFonts w:ascii="宋体" w:hAnsi="宋体" w:eastAsia="宋体" w:cs="宋体"/>
          <w:szCs w:val="21"/>
        </w:rPr>
      </w:pPr>
      <w:r>
        <w:rPr>
          <w:rFonts w:hint="eastAsia" w:ascii="宋体" w:hAnsi="宋体" w:eastAsia="宋体" w:cs="宋体"/>
          <w:szCs w:val="21"/>
        </w:rPr>
        <w:t>六、承诺函</w:t>
      </w:r>
    </w:p>
    <w:p>
      <w:pPr>
        <w:spacing w:line="520" w:lineRule="exact"/>
        <w:rPr>
          <w:rFonts w:ascii="宋体" w:hAnsi="宋体" w:eastAsia="宋体" w:cs="宋体"/>
          <w:szCs w:val="21"/>
        </w:rPr>
      </w:pPr>
      <w:r>
        <w:rPr>
          <w:rFonts w:hint="eastAsia" w:ascii="宋体" w:hAnsi="宋体" w:eastAsia="宋体" w:cs="宋体"/>
          <w:szCs w:val="21"/>
        </w:rPr>
        <w:t>七、投标人须知前附表规定的其他材料</w:t>
      </w:r>
    </w:p>
    <w:p>
      <w:pPr>
        <w:spacing w:line="520" w:lineRule="exact"/>
        <w:rPr>
          <w:rFonts w:ascii="宋体" w:hAnsi="宋体" w:eastAsia="宋体" w:cs="宋体"/>
          <w:szCs w:val="21"/>
        </w:rPr>
      </w:pPr>
    </w:p>
    <w:p>
      <w:pPr>
        <w:spacing w:line="520" w:lineRule="exact"/>
        <w:rPr>
          <w:rFonts w:ascii="宋体" w:hAnsi="宋体" w:eastAsia="宋体" w:cs="宋体"/>
          <w:szCs w:val="21"/>
        </w:rPr>
      </w:pPr>
    </w:p>
    <w:p>
      <w:pPr>
        <w:spacing w:line="520" w:lineRule="exact"/>
        <w:rPr>
          <w:rFonts w:ascii="宋体" w:hAnsi="宋体" w:eastAsia="宋体" w:cs="宋体"/>
          <w:szCs w:val="21"/>
        </w:rPr>
      </w:pPr>
    </w:p>
    <w:p>
      <w:pPr>
        <w:spacing w:line="520" w:lineRule="exact"/>
        <w:rPr>
          <w:rFonts w:ascii="宋体" w:hAnsi="宋体" w:eastAsia="宋体" w:cs="宋体"/>
          <w:szCs w:val="21"/>
        </w:rPr>
      </w:pPr>
    </w:p>
    <w:p>
      <w:pPr>
        <w:widowControl/>
        <w:jc w:val="left"/>
        <w:rPr>
          <w:rFonts w:ascii="宋体" w:hAnsi="宋体" w:eastAsia="宋体" w:cs="宋体"/>
          <w:szCs w:val="21"/>
        </w:rPr>
        <w:sectPr>
          <w:footnotePr>
            <w:numFmt w:val="decimalEnclosedCircleChinese"/>
            <w:numRestart w:val="eachPage"/>
          </w:footnotePr>
          <w:pgSz w:w="11907" w:h="16840"/>
          <w:pgMar w:top="1440" w:right="1361" w:bottom="1440" w:left="1361" w:header="720" w:footer="907" w:gutter="0"/>
          <w:cols w:space="720" w:num="1"/>
        </w:sectPr>
      </w:pPr>
      <w:r>
        <w:rPr>
          <w:rFonts w:hint="eastAsia" w:ascii="宋体" w:hAnsi="宋体" w:eastAsia="宋体" w:cs="宋体"/>
          <w:szCs w:val="21"/>
        </w:rPr>
        <w:br w:type="page"/>
      </w:r>
    </w:p>
    <w:p>
      <w:pPr>
        <w:pStyle w:val="3"/>
        <w:numPr>
          <w:ilvl w:val="0"/>
          <w:numId w:val="11"/>
        </w:numPr>
        <w:spacing w:before="156" w:beforeLines="50" w:after="312" w:afterLines="100" w:line="360" w:lineRule="exact"/>
        <w:jc w:val="left"/>
        <w:rPr>
          <w:rFonts w:ascii="宋体" w:hAnsi="宋体"/>
          <w:b w:val="0"/>
          <w:sz w:val="30"/>
          <w:szCs w:val="30"/>
        </w:rPr>
      </w:pPr>
      <w:bookmarkStart w:id="559" w:name="_Toc173244879"/>
      <w:bookmarkStart w:id="560" w:name="_Toc173246266"/>
      <w:r>
        <w:rPr>
          <w:rFonts w:hint="eastAsia" w:ascii="宋体" w:hAnsi="宋体"/>
          <w:b w:val="0"/>
          <w:sz w:val="30"/>
          <w:szCs w:val="30"/>
        </w:rPr>
        <w:t>投标函</w:t>
      </w:r>
      <w:bookmarkEnd w:id="559"/>
      <w:bookmarkEnd w:id="560"/>
    </w:p>
    <w:p>
      <w:pPr>
        <w:jc w:val="center"/>
        <w:rPr>
          <w:b/>
          <w:sz w:val="30"/>
          <w:szCs w:val="30"/>
        </w:rPr>
      </w:pPr>
      <w:bookmarkStart w:id="561" w:name="_Toc169487826"/>
      <w:bookmarkStart w:id="562" w:name="_Toc155342576"/>
      <w:bookmarkStart w:id="563" w:name="_Toc106012815"/>
      <w:r>
        <w:rPr>
          <w:rFonts w:hint="eastAsia"/>
          <w:b/>
          <w:sz w:val="30"/>
          <w:szCs w:val="30"/>
        </w:rPr>
        <w:t xml:space="preserve">2024年三门县国省道公路标志标线及安全设施增设和维护工程   </w:t>
      </w:r>
    </w:p>
    <w:p>
      <w:pPr>
        <w:pStyle w:val="42"/>
        <w:spacing w:line="560" w:lineRule="exact"/>
        <w:ind w:left="0" w:leftChars="0"/>
        <w:jc w:val="center"/>
        <w:rPr>
          <w:b/>
          <w:sz w:val="36"/>
          <w:szCs w:val="36"/>
        </w:rPr>
      </w:pPr>
      <w:r>
        <w:rPr>
          <w:rFonts w:hint="eastAsia"/>
          <w:b/>
          <w:sz w:val="36"/>
          <w:szCs w:val="36"/>
        </w:rPr>
        <w:t>投 标 函</w:t>
      </w:r>
    </w:p>
    <w:p>
      <w:pPr>
        <w:pStyle w:val="42"/>
        <w:spacing w:line="560" w:lineRule="exact"/>
        <w:ind w:left="0" w:leftChars="0"/>
        <w:rPr>
          <w:b/>
          <w:sz w:val="24"/>
        </w:rPr>
      </w:pPr>
      <w:r>
        <w:rPr>
          <w:rFonts w:hint="eastAsia"/>
          <w:sz w:val="24"/>
          <w:u w:val="single"/>
        </w:rPr>
        <w:t xml:space="preserve">                     </w:t>
      </w:r>
      <w:r>
        <w:rPr>
          <w:rFonts w:hint="eastAsia"/>
          <w:sz w:val="24"/>
        </w:rPr>
        <w:t>（招标人）：</w:t>
      </w:r>
    </w:p>
    <w:p>
      <w:pPr>
        <w:spacing w:line="560" w:lineRule="exact"/>
        <w:rPr>
          <w:sz w:val="24"/>
          <w:u w:val="single"/>
        </w:rPr>
      </w:pPr>
      <w:r>
        <w:rPr>
          <w:rFonts w:hint="eastAsia"/>
          <w:sz w:val="24"/>
        </w:rPr>
        <w:t>一、根据你方的</w:t>
      </w:r>
      <w:r>
        <w:rPr>
          <w:rFonts w:hint="eastAsia"/>
          <w:sz w:val="24"/>
          <w:u w:val="single"/>
        </w:rPr>
        <w:t>2024年三门县国省道公路标志标线及安全设施增设和维护工程</w:t>
      </w:r>
      <w:r>
        <w:rPr>
          <w:rFonts w:hint="eastAsia"/>
          <w:sz w:val="24"/>
        </w:rPr>
        <w:t>招标文件，经考察现</w:t>
      </w:r>
      <w:r>
        <w:rPr>
          <w:rFonts w:hint="eastAsia"/>
          <w:w w:val="107"/>
          <w:sz w:val="24"/>
        </w:rPr>
        <w:t>场和研究上述招标文件后，</w:t>
      </w:r>
      <w:r>
        <w:rPr>
          <w:rFonts w:hint="eastAsia"/>
          <w:sz w:val="24"/>
        </w:rPr>
        <w:t>在全部同意招标文件内容前提下，我方保证：</w:t>
      </w:r>
    </w:p>
    <w:p>
      <w:pPr>
        <w:spacing w:line="560" w:lineRule="exact"/>
        <w:ind w:firstLine="360" w:firstLineChars="150"/>
        <w:rPr>
          <w:sz w:val="24"/>
        </w:rPr>
      </w:pPr>
      <w:r>
        <w:rPr>
          <w:rFonts w:hint="eastAsia"/>
          <w:sz w:val="24"/>
        </w:rPr>
        <w:t>1、</w:t>
      </w:r>
      <w:r>
        <w:rPr>
          <w:rFonts w:hint="eastAsia"/>
          <w:w w:val="107"/>
          <w:sz w:val="24"/>
        </w:rPr>
        <w:t>愿以</w:t>
      </w:r>
      <w:r>
        <w:rPr>
          <w:rFonts w:hint="eastAsia"/>
          <w:sz w:val="24"/>
        </w:rPr>
        <w:t>本工程预算审核价</w:t>
      </w:r>
      <w:r>
        <w:rPr>
          <w:sz w:val="24"/>
          <w:u w:val="single"/>
        </w:rPr>
        <w:t>575318</w:t>
      </w:r>
      <w:r>
        <w:rPr>
          <w:rFonts w:hint="eastAsia"/>
          <w:sz w:val="24"/>
        </w:rPr>
        <w:t>元，下浮</w:t>
      </w:r>
      <w:r>
        <w:rPr>
          <w:rFonts w:hint="eastAsia"/>
          <w:sz w:val="24"/>
          <w:u w:val="single"/>
        </w:rPr>
        <w:t xml:space="preserve">        </w:t>
      </w:r>
      <w:r>
        <w:rPr>
          <w:rFonts w:hint="eastAsia"/>
          <w:sz w:val="24"/>
        </w:rPr>
        <w:t>%（百分号前保留二位小数，第三位四舍五入），并同意以招标文件规定计算造价，承包上述工程的施工、竣工和保修。</w:t>
      </w:r>
    </w:p>
    <w:p>
      <w:pPr>
        <w:spacing w:line="560" w:lineRule="exact"/>
        <w:ind w:firstLine="360" w:firstLineChars="150"/>
        <w:rPr>
          <w:sz w:val="24"/>
        </w:rPr>
      </w:pPr>
      <w:r>
        <w:rPr>
          <w:rFonts w:hint="eastAsia"/>
          <w:sz w:val="24"/>
        </w:rPr>
        <w:t>2、工期：</w:t>
      </w:r>
      <w:r>
        <w:rPr>
          <w:rFonts w:hint="eastAsia"/>
          <w:sz w:val="24"/>
          <w:u w:val="single"/>
        </w:rPr>
        <w:t xml:space="preserve">  　 　</w:t>
      </w:r>
      <w:r>
        <w:rPr>
          <w:rFonts w:hint="eastAsia"/>
          <w:sz w:val="24"/>
        </w:rPr>
        <w:t>日历天；</w:t>
      </w:r>
    </w:p>
    <w:p>
      <w:pPr>
        <w:spacing w:line="560" w:lineRule="exact"/>
        <w:ind w:firstLine="360" w:firstLineChars="150"/>
        <w:rPr>
          <w:sz w:val="24"/>
        </w:rPr>
      </w:pPr>
      <w:r>
        <w:rPr>
          <w:rFonts w:hint="eastAsia"/>
          <w:sz w:val="24"/>
        </w:rPr>
        <w:t>3、工程质量等级：</w:t>
      </w:r>
      <w:r>
        <w:rPr>
          <w:rFonts w:hint="eastAsia"/>
          <w:sz w:val="24"/>
          <w:u w:val="single"/>
        </w:rPr>
        <w:t>合格</w:t>
      </w:r>
      <w:r>
        <w:rPr>
          <w:rFonts w:hint="eastAsia"/>
          <w:sz w:val="24"/>
        </w:rPr>
        <w:t>；</w:t>
      </w:r>
    </w:p>
    <w:p>
      <w:pPr>
        <w:adjustRightInd w:val="0"/>
        <w:snapToGrid w:val="0"/>
        <w:spacing w:line="560" w:lineRule="exact"/>
        <w:ind w:firstLine="360" w:firstLineChars="150"/>
        <w:rPr>
          <w:sz w:val="24"/>
        </w:rPr>
      </w:pPr>
      <w:r>
        <w:rPr>
          <w:rFonts w:hint="eastAsia"/>
          <w:sz w:val="24"/>
        </w:rPr>
        <w:t>4、安全生产和文明施工：</w:t>
      </w:r>
      <w:r>
        <w:rPr>
          <w:rFonts w:hint="eastAsia"/>
          <w:sz w:val="24"/>
          <w:u w:val="single"/>
        </w:rPr>
        <w:t>合格</w:t>
      </w:r>
      <w:r>
        <w:rPr>
          <w:rFonts w:hint="eastAsia"/>
          <w:sz w:val="24"/>
        </w:rPr>
        <w:t>；</w:t>
      </w:r>
    </w:p>
    <w:p>
      <w:pPr>
        <w:spacing w:line="560" w:lineRule="exact"/>
        <w:ind w:firstLine="360" w:firstLineChars="150"/>
        <w:rPr>
          <w:sz w:val="24"/>
        </w:rPr>
      </w:pPr>
      <w:r>
        <w:rPr>
          <w:rFonts w:hint="eastAsia"/>
          <w:sz w:val="24"/>
        </w:rPr>
        <w:t>5、项目负责人：</w:t>
      </w:r>
      <w:r>
        <w:rPr>
          <w:rFonts w:hint="eastAsia" w:asciiTheme="minorEastAsia" w:hAnsiTheme="minorEastAsia"/>
          <w:sz w:val="24"/>
          <w:u w:val="single"/>
        </w:rPr>
        <w:t xml:space="preserve">              </w:t>
      </w:r>
      <w:r>
        <w:rPr>
          <w:rFonts w:hint="eastAsia"/>
          <w:sz w:val="24"/>
        </w:rPr>
        <w:t>。</w:t>
      </w:r>
    </w:p>
    <w:p>
      <w:pPr>
        <w:spacing w:line="560" w:lineRule="exact"/>
        <w:ind w:firstLine="360" w:firstLineChars="150"/>
        <w:rPr>
          <w:sz w:val="24"/>
        </w:rPr>
      </w:pPr>
      <w:r>
        <w:rPr>
          <w:rFonts w:hint="eastAsia"/>
          <w:sz w:val="24"/>
        </w:rPr>
        <w:t>6、人员设备按本投标文件的部署及时到位。</w:t>
      </w:r>
    </w:p>
    <w:p>
      <w:pPr>
        <w:spacing w:line="560" w:lineRule="exact"/>
        <w:rPr>
          <w:sz w:val="24"/>
        </w:rPr>
      </w:pPr>
      <w:r>
        <w:rPr>
          <w:rFonts w:hint="eastAsia"/>
          <w:sz w:val="24"/>
        </w:rPr>
        <w:t>二、如果我方中标，我方将按照招标文件规定提交履约担保，共同地和分别地承担责任。</w:t>
      </w:r>
    </w:p>
    <w:p>
      <w:pPr>
        <w:spacing w:line="560" w:lineRule="exact"/>
        <w:rPr>
          <w:sz w:val="24"/>
        </w:rPr>
      </w:pPr>
      <w:r>
        <w:rPr>
          <w:rFonts w:hint="eastAsia"/>
          <w:sz w:val="24"/>
        </w:rPr>
        <w:t>三、除非另外达成协议并生效，你方的中标通知书和本投标文件将构成约束我们双方的合同。</w:t>
      </w:r>
    </w:p>
    <w:p>
      <w:pPr>
        <w:spacing w:line="560" w:lineRule="exact"/>
        <w:rPr>
          <w:sz w:val="24"/>
        </w:rPr>
      </w:pPr>
      <w:r>
        <w:rPr>
          <w:rFonts w:hint="eastAsia"/>
          <w:sz w:val="24"/>
        </w:rPr>
        <w:t>四、我方的投标担保已按招标文件的要求递交。</w:t>
      </w:r>
    </w:p>
    <w:p>
      <w:pPr>
        <w:jc w:val="right"/>
        <w:rPr>
          <w:sz w:val="24"/>
        </w:rPr>
      </w:pPr>
      <w:r>
        <w:rPr>
          <w:rFonts w:hint="eastAsia"/>
          <w:sz w:val="24"/>
        </w:rPr>
        <w:t xml:space="preserve">                                               </w:t>
      </w:r>
    </w:p>
    <w:p>
      <w:pPr>
        <w:rPr>
          <w:sz w:val="24"/>
        </w:rPr>
      </w:pPr>
    </w:p>
    <w:p>
      <w:pPr>
        <w:rPr>
          <w:sz w:val="24"/>
        </w:rPr>
      </w:pPr>
      <w:r>
        <w:rPr>
          <w:rFonts w:hint="eastAsia"/>
          <w:sz w:val="24"/>
        </w:rPr>
        <w:t xml:space="preserve"> 法定代表人（签字或盖章）：         </w:t>
      </w:r>
      <w:bookmarkStart w:id="564" w:name="_Hlt465761988"/>
      <w:bookmarkEnd w:id="564"/>
      <w:bookmarkStart w:id="565" w:name="_Hlk465759066"/>
      <w:r>
        <w:rPr>
          <w:rFonts w:hint="eastAsia"/>
          <w:sz w:val="24"/>
        </w:rPr>
        <w:t xml:space="preserve">          </w:t>
      </w:r>
      <w:bookmarkEnd w:id="565"/>
      <w:r>
        <w:rPr>
          <w:rFonts w:hint="eastAsia"/>
          <w:sz w:val="24"/>
        </w:rPr>
        <w:t>投标人（盖章）：</w:t>
      </w:r>
    </w:p>
    <w:p>
      <w:pPr>
        <w:jc w:val="right"/>
        <w:rPr>
          <w:sz w:val="24"/>
        </w:rPr>
      </w:pPr>
    </w:p>
    <w:p>
      <w:pPr>
        <w:rPr>
          <w:sz w:val="24"/>
        </w:rPr>
      </w:pPr>
      <w:r>
        <w:rPr>
          <w:rFonts w:hint="eastAsia"/>
          <w:sz w:val="24"/>
        </w:rPr>
        <w:t xml:space="preserve">                                             日期：   年    月   日</w:t>
      </w:r>
    </w:p>
    <w:bookmarkEnd w:id="561"/>
    <w:bookmarkEnd w:id="562"/>
    <w:bookmarkEnd w:id="563"/>
    <w:p>
      <w:pPr>
        <w:rPr>
          <w:rFonts w:ascii="宋体" w:hAnsi="宋体"/>
          <w:sz w:val="24"/>
        </w:rPr>
      </w:pPr>
    </w:p>
    <w:p>
      <w:pPr>
        <w:pStyle w:val="2"/>
      </w:pPr>
      <w:r>
        <w:br w:type="page"/>
      </w:r>
    </w:p>
    <w:p>
      <w:pPr>
        <w:rPr>
          <w:rFonts w:ascii="宋体" w:hAnsi="宋体"/>
          <w:sz w:val="24"/>
        </w:rPr>
      </w:pPr>
    </w:p>
    <w:p>
      <w:pPr>
        <w:pStyle w:val="3"/>
        <w:snapToGrid w:val="0"/>
        <w:spacing w:before="60" w:after="60" w:line="360" w:lineRule="auto"/>
        <w:jc w:val="center"/>
        <w:rPr>
          <w:rFonts w:ascii="宋体" w:hAnsi="宋体"/>
          <w:b w:val="0"/>
          <w:sz w:val="30"/>
          <w:szCs w:val="30"/>
        </w:rPr>
      </w:pPr>
      <w:bookmarkStart w:id="566" w:name="_Toc173244880"/>
      <w:bookmarkStart w:id="567" w:name="_Toc173246267"/>
      <w:bookmarkStart w:id="568" w:name="_Toc240217887"/>
      <w:bookmarkStart w:id="569" w:name="_Toc422814791"/>
      <w:bookmarkStart w:id="570" w:name="_Toc240330706"/>
      <w:bookmarkStart w:id="571" w:name="_Toc240381432"/>
      <w:r>
        <w:rPr>
          <w:rFonts w:hint="eastAsia" w:ascii="宋体" w:hAnsi="宋体"/>
          <w:b w:val="0"/>
          <w:bCs w:val="0"/>
          <w:sz w:val="24"/>
        </w:rPr>
        <w:t>二、</w:t>
      </w:r>
      <w:r>
        <w:rPr>
          <w:rFonts w:hint="eastAsia" w:ascii="宋体" w:hAnsi="宋体"/>
          <w:b w:val="0"/>
          <w:sz w:val="30"/>
          <w:szCs w:val="30"/>
        </w:rPr>
        <w:t>投标函附录</w:t>
      </w:r>
      <w:bookmarkEnd w:id="566"/>
      <w:bookmarkEnd w:id="567"/>
    </w:p>
    <w:bookmarkEnd w:id="568"/>
    <w:bookmarkEnd w:id="569"/>
    <w:bookmarkEnd w:id="570"/>
    <w:bookmarkEnd w:id="571"/>
    <w:p>
      <w:pPr>
        <w:rPr>
          <w:rFonts w:ascii="宋体" w:hAnsi="宋体" w:eastAsia="宋体" w:cs="宋体"/>
        </w:rPr>
      </w:pPr>
    </w:p>
    <w:tbl>
      <w:tblPr>
        <w:tblStyle w:val="52"/>
        <w:tblW w:w="97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9"/>
        <w:gridCol w:w="2721"/>
        <w:gridCol w:w="1432"/>
        <w:gridCol w:w="4112"/>
        <w:gridCol w:w="8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59"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序号</w:t>
            </w:r>
          </w:p>
        </w:tc>
        <w:tc>
          <w:tcPr>
            <w:tcW w:w="2721"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条款名称</w:t>
            </w:r>
          </w:p>
        </w:tc>
        <w:tc>
          <w:tcPr>
            <w:tcW w:w="1432"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合同条目号</w:t>
            </w:r>
          </w:p>
        </w:tc>
        <w:tc>
          <w:tcPr>
            <w:tcW w:w="4112"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约定内容</w:t>
            </w:r>
          </w:p>
        </w:tc>
        <w:tc>
          <w:tcPr>
            <w:tcW w:w="815"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eastAsia="宋体" w:cs="宋体"/>
                <w:szCs w:val="21"/>
              </w:rPr>
            </w:pPr>
            <w:r>
              <w:rPr>
                <w:rFonts w:hint="eastAsia" w:ascii="宋体" w:hAnsi="宋体" w:eastAsia="宋体" w:cs="宋体"/>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exact"/>
          <w:jc w:val="center"/>
        </w:trPr>
        <w:tc>
          <w:tcPr>
            <w:tcW w:w="65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1</w:t>
            </w:r>
          </w:p>
        </w:tc>
        <w:tc>
          <w:tcPr>
            <w:tcW w:w="272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缺陷责任期</w:t>
            </w:r>
          </w:p>
        </w:tc>
        <w:tc>
          <w:tcPr>
            <w:tcW w:w="143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1.1.4.5</w:t>
            </w:r>
          </w:p>
        </w:tc>
        <w:tc>
          <w:tcPr>
            <w:tcW w:w="4112" w:type="dxa"/>
            <w:tcBorders>
              <w:top w:val="single" w:color="auto" w:sz="6" w:space="0"/>
              <w:left w:val="single" w:color="auto" w:sz="6" w:space="0"/>
              <w:bottom w:val="single" w:color="auto" w:sz="6" w:space="0"/>
              <w:right w:val="single" w:color="auto" w:sz="6" w:space="0"/>
            </w:tcBorders>
            <w:vAlign w:val="center"/>
          </w:tcPr>
          <w:p>
            <w:pPr>
              <w:ind w:firstLine="210" w:firstLineChars="100"/>
              <w:rPr>
                <w:rFonts w:ascii="宋体" w:hAnsi="宋体" w:eastAsia="宋体" w:cs="宋体"/>
                <w:szCs w:val="21"/>
              </w:rPr>
            </w:pPr>
            <w:r>
              <w:rPr>
                <w:rFonts w:hint="eastAsia" w:ascii="宋体" w:hAnsi="宋体" w:eastAsia="宋体" w:cs="宋体"/>
                <w:szCs w:val="21"/>
              </w:rPr>
              <w:t>自实际交工日期起计算</w:t>
            </w:r>
            <w:r>
              <w:rPr>
                <w:rFonts w:hint="eastAsia" w:ascii="宋体" w:hAnsi="宋体" w:eastAsia="宋体" w:cs="宋体"/>
                <w:szCs w:val="21"/>
                <w:u w:val="single"/>
              </w:rPr>
              <w:t>1</w:t>
            </w:r>
            <w:r>
              <w:rPr>
                <w:rFonts w:hint="eastAsia" w:ascii="宋体" w:hAnsi="宋体" w:eastAsia="宋体" w:cs="宋体"/>
                <w:szCs w:val="21"/>
              </w:rPr>
              <w:t>年</w:t>
            </w:r>
          </w:p>
        </w:tc>
        <w:tc>
          <w:tcPr>
            <w:tcW w:w="81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exact"/>
          <w:jc w:val="center"/>
        </w:trPr>
        <w:tc>
          <w:tcPr>
            <w:tcW w:w="65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2</w:t>
            </w:r>
          </w:p>
        </w:tc>
        <w:tc>
          <w:tcPr>
            <w:tcW w:w="272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逾期交工违约金</w:t>
            </w:r>
          </w:p>
        </w:tc>
        <w:tc>
          <w:tcPr>
            <w:tcW w:w="143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11.5</w:t>
            </w:r>
          </w:p>
        </w:tc>
        <w:tc>
          <w:tcPr>
            <w:tcW w:w="4112" w:type="dxa"/>
            <w:tcBorders>
              <w:top w:val="single" w:color="auto" w:sz="6" w:space="0"/>
              <w:left w:val="single" w:color="auto" w:sz="6" w:space="0"/>
              <w:bottom w:val="single" w:color="auto" w:sz="6" w:space="0"/>
              <w:right w:val="single" w:color="auto" w:sz="6" w:space="0"/>
            </w:tcBorders>
            <w:vAlign w:val="center"/>
          </w:tcPr>
          <w:p>
            <w:pPr>
              <w:ind w:firstLine="210" w:firstLineChars="100"/>
              <w:rPr>
                <w:rFonts w:ascii="宋体" w:hAnsi="宋体" w:eastAsia="宋体" w:cs="宋体"/>
                <w:szCs w:val="21"/>
              </w:rPr>
            </w:pPr>
            <w:r>
              <w:rPr>
                <w:rFonts w:hint="eastAsia" w:ascii="宋体" w:hAnsi="宋体" w:eastAsia="宋体" w:cs="宋体"/>
                <w:szCs w:val="21"/>
                <w:u w:val="single"/>
              </w:rPr>
              <w:t>1000</w:t>
            </w:r>
            <w:r>
              <w:rPr>
                <w:rFonts w:hint="eastAsia" w:ascii="宋体" w:hAnsi="宋体" w:eastAsia="宋体" w:cs="宋体"/>
                <w:szCs w:val="21"/>
              </w:rPr>
              <w:t>元/天</w:t>
            </w:r>
          </w:p>
        </w:tc>
        <w:tc>
          <w:tcPr>
            <w:tcW w:w="81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exact"/>
          <w:jc w:val="center"/>
        </w:trPr>
        <w:tc>
          <w:tcPr>
            <w:tcW w:w="65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3</w:t>
            </w:r>
          </w:p>
        </w:tc>
        <w:tc>
          <w:tcPr>
            <w:tcW w:w="272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逾期交工违约金限额</w:t>
            </w:r>
          </w:p>
        </w:tc>
        <w:tc>
          <w:tcPr>
            <w:tcW w:w="143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11.5</w:t>
            </w:r>
          </w:p>
        </w:tc>
        <w:tc>
          <w:tcPr>
            <w:tcW w:w="4112" w:type="dxa"/>
            <w:tcBorders>
              <w:top w:val="single" w:color="auto" w:sz="6" w:space="0"/>
              <w:left w:val="single" w:color="auto" w:sz="6" w:space="0"/>
              <w:bottom w:val="single" w:color="auto" w:sz="6" w:space="0"/>
              <w:right w:val="single" w:color="auto" w:sz="6" w:space="0"/>
            </w:tcBorders>
            <w:vAlign w:val="center"/>
          </w:tcPr>
          <w:p>
            <w:pPr>
              <w:ind w:firstLine="210" w:firstLineChars="100"/>
              <w:rPr>
                <w:rFonts w:ascii="宋体" w:hAnsi="宋体" w:eastAsia="宋体" w:cs="宋体"/>
                <w:szCs w:val="21"/>
              </w:rPr>
            </w:pPr>
            <w:r>
              <w:rPr>
                <w:rFonts w:hint="eastAsia" w:ascii="宋体" w:hAnsi="宋体" w:eastAsia="宋体" w:cs="宋体"/>
                <w:szCs w:val="21"/>
                <w:u w:val="single"/>
              </w:rPr>
              <w:t xml:space="preserve"> 10 </w:t>
            </w:r>
            <w:r>
              <w:rPr>
                <w:rFonts w:hint="eastAsia" w:ascii="宋体" w:hAnsi="宋体" w:eastAsia="宋体" w:cs="宋体"/>
                <w:szCs w:val="21"/>
              </w:rPr>
              <w:t>%签约合同价</w:t>
            </w:r>
          </w:p>
        </w:tc>
        <w:tc>
          <w:tcPr>
            <w:tcW w:w="81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exact"/>
          <w:jc w:val="center"/>
        </w:trPr>
        <w:tc>
          <w:tcPr>
            <w:tcW w:w="65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4</w:t>
            </w:r>
          </w:p>
        </w:tc>
        <w:tc>
          <w:tcPr>
            <w:tcW w:w="272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提前交工的奖金</w:t>
            </w:r>
          </w:p>
        </w:tc>
        <w:tc>
          <w:tcPr>
            <w:tcW w:w="143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11.6</w:t>
            </w:r>
          </w:p>
        </w:tc>
        <w:tc>
          <w:tcPr>
            <w:tcW w:w="4112" w:type="dxa"/>
            <w:tcBorders>
              <w:top w:val="single" w:color="auto" w:sz="6" w:space="0"/>
              <w:left w:val="single" w:color="auto" w:sz="6" w:space="0"/>
              <w:bottom w:val="single" w:color="auto" w:sz="6" w:space="0"/>
              <w:right w:val="single" w:color="auto" w:sz="6" w:space="0"/>
            </w:tcBorders>
            <w:vAlign w:val="center"/>
          </w:tcPr>
          <w:p>
            <w:pPr>
              <w:ind w:firstLine="210" w:firstLineChars="100"/>
              <w:rPr>
                <w:rFonts w:ascii="宋体" w:hAnsi="宋体" w:eastAsia="宋体" w:cs="宋体"/>
                <w:szCs w:val="21"/>
              </w:rPr>
            </w:pPr>
            <w:r>
              <w:rPr>
                <w:rFonts w:hint="eastAsia" w:ascii="宋体" w:hAnsi="宋体" w:eastAsia="宋体" w:cs="宋体"/>
                <w:szCs w:val="21"/>
              </w:rPr>
              <w:t>无</w:t>
            </w:r>
          </w:p>
        </w:tc>
        <w:tc>
          <w:tcPr>
            <w:tcW w:w="81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exact"/>
          <w:jc w:val="center"/>
        </w:trPr>
        <w:tc>
          <w:tcPr>
            <w:tcW w:w="65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5</w:t>
            </w:r>
          </w:p>
        </w:tc>
        <w:tc>
          <w:tcPr>
            <w:tcW w:w="272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提前交工的奖金限额</w:t>
            </w:r>
          </w:p>
        </w:tc>
        <w:tc>
          <w:tcPr>
            <w:tcW w:w="143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11.6</w:t>
            </w:r>
          </w:p>
        </w:tc>
        <w:tc>
          <w:tcPr>
            <w:tcW w:w="4112" w:type="dxa"/>
            <w:tcBorders>
              <w:top w:val="single" w:color="auto" w:sz="6" w:space="0"/>
              <w:left w:val="single" w:color="auto" w:sz="6" w:space="0"/>
              <w:bottom w:val="single" w:color="auto" w:sz="6" w:space="0"/>
              <w:right w:val="single" w:color="auto" w:sz="6" w:space="0"/>
            </w:tcBorders>
            <w:vAlign w:val="center"/>
          </w:tcPr>
          <w:p>
            <w:pPr>
              <w:ind w:firstLine="210" w:firstLineChars="100"/>
              <w:rPr>
                <w:rFonts w:ascii="宋体" w:hAnsi="宋体" w:eastAsia="宋体" w:cs="宋体"/>
                <w:szCs w:val="21"/>
              </w:rPr>
            </w:pPr>
            <w:r>
              <w:rPr>
                <w:rFonts w:hint="eastAsia" w:ascii="宋体" w:hAnsi="宋体" w:eastAsia="宋体" w:cs="宋体"/>
                <w:szCs w:val="21"/>
              </w:rPr>
              <w:t>无</w:t>
            </w:r>
          </w:p>
        </w:tc>
        <w:tc>
          <w:tcPr>
            <w:tcW w:w="81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9" w:hRule="exact"/>
          <w:jc w:val="center"/>
        </w:trPr>
        <w:tc>
          <w:tcPr>
            <w:tcW w:w="65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6</w:t>
            </w:r>
          </w:p>
        </w:tc>
        <w:tc>
          <w:tcPr>
            <w:tcW w:w="2721" w:type="dxa"/>
            <w:tcBorders>
              <w:top w:val="single" w:color="auto" w:sz="6" w:space="0"/>
              <w:left w:val="single" w:color="auto" w:sz="6" w:space="0"/>
              <w:bottom w:val="single" w:color="auto" w:sz="6" w:space="0"/>
              <w:right w:val="single" w:color="auto" w:sz="6" w:space="0"/>
            </w:tcBorders>
            <w:vAlign w:val="center"/>
          </w:tcPr>
          <w:p>
            <w:pPr>
              <w:pStyle w:val="104"/>
              <w:spacing w:before="240" w:line="360" w:lineRule="exact"/>
              <w:rPr>
                <w:rFonts w:ascii="宋体" w:hAnsi="宋体" w:eastAsia="宋体"/>
                <w:sz w:val="21"/>
                <w:szCs w:val="21"/>
              </w:rPr>
            </w:pPr>
            <w:bookmarkStart w:id="572" w:name="_Toc422814792"/>
            <w:r>
              <w:rPr>
                <w:rFonts w:hint="eastAsia" w:ascii="宋体" w:hAnsi="宋体" w:eastAsia="宋体"/>
                <w:sz w:val="21"/>
                <w:szCs w:val="21"/>
              </w:rPr>
              <w:t>物价波动引起的价格调整</w:t>
            </w:r>
            <w:bookmarkEnd w:id="572"/>
          </w:p>
          <w:p>
            <w:pPr>
              <w:jc w:val="center"/>
              <w:rPr>
                <w:rFonts w:ascii="宋体" w:hAnsi="宋体" w:eastAsia="宋体" w:cs="宋体"/>
                <w:szCs w:val="21"/>
              </w:rPr>
            </w:pPr>
          </w:p>
        </w:tc>
        <w:tc>
          <w:tcPr>
            <w:tcW w:w="143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16.1</w:t>
            </w:r>
          </w:p>
        </w:tc>
        <w:tc>
          <w:tcPr>
            <w:tcW w:w="4112"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szCs w:val="21"/>
                <w:u w:val="single"/>
              </w:rPr>
            </w:pPr>
            <w:r>
              <w:rPr>
                <w:rFonts w:hint="eastAsia" w:ascii="宋体" w:hAnsi="宋体" w:eastAsia="宋体" w:cs="宋体"/>
                <w:szCs w:val="21"/>
              </w:rPr>
              <w:t>因物价波动引起的价格不调整</w:t>
            </w:r>
          </w:p>
        </w:tc>
        <w:tc>
          <w:tcPr>
            <w:tcW w:w="81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1" w:hRule="exact"/>
          <w:jc w:val="center"/>
        </w:trPr>
        <w:tc>
          <w:tcPr>
            <w:tcW w:w="65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7</w:t>
            </w:r>
          </w:p>
        </w:tc>
        <w:tc>
          <w:tcPr>
            <w:tcW w:w="272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开工预付款金额</w:t>
            </w:r>
          </w:p>
        </w:tc>
        <w:tc>
          <w:tcPr>
            <w:tcW w:w="143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17.2.1</w:t>
            </w:r>
          </w:p>
        </w:tc>
        <w:tc>
          <w:tcPr>
            <w:tcW w:w="4112" w:type="dxa"/>
            <w:tcBorders>
              <w:top w:val="single" w:color="auto" w:sz="6" w:space="0"/>
              <w:left w:val="single" w:color="auto" w:sz="6" w:space="0"/>
              <w:bottom w:val="single" w:color="auto" w:sz="6" w:space="0"/>
              <w:right w:val="single" w:color="auto" w:sz="6" w:space="0"/>
            </w:tcBorders>
            <w:vAlign w:val="center"/>
          </w:tcPr>
          <w:p>
            <w:pPr>
              <w:ind w:firstLine="210" w:firstLineChars="100"/>
              <w:rPr>
                <w:rFonts w:ascii="宋体" w:hAnsi="宋体" w:eastAsia="宋体" w:cs="宋体"/>
                <w:szCs w:val="21"/>
              </w:rPr>
            </w:pPr>
            <w:r>
              <w:rPr>
                <w:rFonts w:hint="eastAsia" w:hAnsi="宋体"/>
                <w:color w:val="000000"/>
                <w:szCs w:val="21"/>
                <w:u w:val="single"/>
              </w:rPr>
              <w:t>10</w:t>
            </w:r>
            <w:r>
              <w:rPr>
                <w:rFonts w:hint="eastAsia" w:hAnsi="宋体"/>
                <w:color w:val="000000"/>
                <w:szCs w:val="21"/>
              </w:rPr>
              <w:t>%签约合同价。</w:t>
            </w:r>
          </w:p>
        </w:tc>
        <w:tc>
          <w:tcPr>
            <w:tcW w:w="81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exact"/>
          <w:jc w:val="center"/>
        </w:trPr>
        <w:tc>
          <w:tcPr>
            <w:tcW w:w="65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8</w:t>
            </w:r>
          </w:p>
        </w:tc>
        <w:tc>
          <w:tcPr>
            <w:tcW w:w="272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材料、设备预付款</w:t>
            </w:r>
          </w:p>
        </w:tc>
        <w:tc>
          <w:tcPr>
            <w:tcW w:w="143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17.2.1</w:t>
            </w:r>
          </w:p>
        </w:tc>
        <w:tc>
          <w:tcPr>
            <w:tcW w:w="4112" w:type="dxa"/>
            <w:tcBorders>
              <w:top w:val="single" w:color="auto" w:sz="6" w:space="0"/>
              <w:left w:val="single" w:color="auto" w:sz="6" w:space="0"/>
              <w:bottom w:val="single" w:color="auto" w:sz="6" w:space="0"/>
              <w:right w:val="single" w:color="auto" w:sz="6" w:space="0"/>
            </w:tcBorders>
            <w:vAlign w:val="center"/>
          </w:tcPr>
          <w:p>
            <w:pPr>
              <w:ind w:firstLine="211" w:firstLineChars="100"/>
              <w:rPr>
                <w:rFonts w:ascii="宋体" w:hAnsi="宋体" w:eastAsia="宋体" w:cs="宋体"/>
                <w:szCs w:val="21"/>
              </w:rPr>
            </w:pPr>
            <w:r>
              <w:rPr>
                <w:rFonts w:hint="eastAsia"/>
                <w:b/>
                <w:i/>
                <w:color w:val="000000"/>
                <w:szCs w:val="21"/>
                <w:u w:val="single"/>
              </w:rPr>
              <w:t>/</w:t>
            </w:r>
            <w:r>
              <w:rPr>
                <w:b/>
                <w:i/>
                <w:color w:val="000000"/>
                <w:szCs w:val="21"/>
                <w:u w:val="single"/>
              </w:rPr>
              <w:t xml:space="preserve"> </w:t>
            </w:r>
            <w:r>
              <w:rPr>
                <w:color w:val="000000"/>
                <w:szCs w:val="21"/>
              </w:rPr>
              <w:t>等主要材料、设备单据所列费用的</w:t>
            </w:r>
            <w:r>
              <w:rPr>
                <w:b/>
                <w:i/>
                <w:color w:val="000000"/>
                <w:szCs w:val="21"/>
                <w:u w:val="single"/>
              </w:rPr>
              <w:t xml:space="preserve"> </w:t>
            </w:r>
            <w:r>
              <w:rPr>
                <w:rFonts w:hint="eastAsia"/>
                <w:b/>
                <w:i/>
                <w:color w:val="000000"/>
                <w:szCs w:val="21"/>
                <w:u w:val="single"/>
              </w:rPr>
              <w:t xml:space="preserve">/ </w:t>
            </w:r>
            <w:r>
              <w:rPr>
                <w:color w:val="000000"/>
                <w:szCs w:val="21"/>
              </w:rPr>
              <w:t>%</w:t>
            </w:r>
          </w:p>
        </w:tc>
        <w:tc>
          <w:tcPr>
            <w:tcW w:w="81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exact"/>
          <w:jc w:val="center"/>
        </w:trPr>
        <w:tc>
          <w:tcPr>
            <w:tcW w:w="65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9</w:t>
            </w:r>
          </w:p>
        </w:tc>
        <w:tc>
          <w:tcPr>
            <w:tcW w:w="272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进度付款证书最低限额</w:t>
            </w:r>
          </w:p>
        </w:tc>
        <w:tc>
          <w:tcPr>
            <w:tcW w:w="143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17.3.3(1)</w:t>
            </w:r>
          </w:p>
        </w:tc>
        <w:tc>
          <w:tcPr>
            <w:tcW w:w="4112" w:type="dxa"/>
            <w:tcBorders>
              <w:top w:val="single" w:color="auto" w:sz="6" w:space="0"/>
              <w:left w:val="single" w:color="auto" w:sz="6" w:space="0"/>
              <w:bottom w:val="single" w:color="auto" w:sz="6" w:space="0"/>
              <w:right w:val="single" w:color="auto" w:sz="6" w:space="0"/>
            </w:tcBorders>
            <w:vAlign w:val="center"/>
          </w:tcPr>
          <w:p>
            <w:pPr>
              <w:ind w:firstLine="210" w:firstLineChars="100"/>
              <w:rPr>
                <w:rFonts w:ascii="宋体" w:hAnsi="宋体" w:eastAsia="宋体" w:cs="宋体"/>
                <w:szCs w:val="21"/>
              </w:rPr>
            </w:pPr>
            <w:r>
              <w:rPr>
                <w:rFonts w:ascii="宋体" w:hAnsi="宋体"/>
                <w:szCs w:val="21"/>
                <w:u w:val="single"/>
              </w:rPr>
              <w:t>/</w:t>
            </w:r>
            <w:r>
              <w:rPr>
                <w:rFonts w:hint="eastAsia" w:ascii="宋体" w:hAnsi="宋体"/>
                <w:szCs w:val="21"/>
                <w:u w:val="single"/>
              </w:rPr>
              <w:t>万元</w:t>
            </w:r>
          </w:p>
        </w:tc>
        <w:tc>
          <w:tcPr>
            <w:tcW w:w="81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exact"/>
          <w:jc w:val="center"/>
        </w:trPr>
        <w:tc>
          <w:tcPr>
            <w:tcW w:w="65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10</w:t>
            </w:r>
          </w:p>
        </w:tc>
        <w:tc>
          <w:tcPr>
            <w:tcW w:w="272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逾期付款违约金的利率</w:t>
            </w:r>
          </w:p>
        </w:tc>
        <w:tc>
          <w:tcPr>
            <w:tcW w:w="143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17.3.3(2)</w:t>
            </w:r>
          </w:p>
        </w:tc>
        <w:tc>
          <w:tcPr>
            <w:tcW w:w="4112" w:type="dxa"/>
            <w:tcBorders>
              <w:top w:val="single" w:color="auto" w:sz="6" w:space="0"/>
              <w:left w:val="single" w:color="auto" w:sz="6" w:space="0"/>
              <w:bottom w:val="single" w:color="auto" w:sz="6" w:space="0"/>
              <w:right w:val="single" w:color="auto" w:sz="6" w:space="0"/>
            </w:tcBorders>
            <w:vAlign w:val="center"/>
          </w:tcPr>
          <w:p>
            <w:pPr>
              <w:ind w:firstLine="210" w:firstLineChars="100"/>
              <w:rPr>
                <w:rFonts w:ascii="宋体" w:hAnsi="宋体" w:eastAsia="宋体" w:cs="宋体"/>
                <w:szCs w:val="21"/>
              </w:rPr>
            </w:pPr>
            <w:r>
              <w:rPr>
                <w:rFonts w:hint="eastAsia" w:ascii="宋体" w:hAnsi="宋体" w:eastAsia="宋体" w:cs="宋体"/>
                <w:szCs w:val="21"/>
              </w:rPr>
              <w:t>中国人民银行发布的同期六个月以内（含六个月）短期贷款基准利率（不计复利），另加手续费。</w:t>
            </w:r>
          </w:p>
        </w:tc>
        <w:tc>
          <w:tcPr>
            <w:tcW w:w="81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3" w:hRule="exact"/>
          <w:jc w:val="center"/>
        </w:trPr>
        <w:tc>
          <w:tcPr>
            <w:tcW w:w="65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szCs w:val="21"/>
              </w:rPr>
            </w:pPr>
            <w:r>
              <w:rPr>
                <w:rFonts w:ascii="宋体" w:hAnsi="宋体" w:eastAsia="宋体" w:cs="宋体"/>
                <w:szCs w:val="21"/>
              </w:rPr>
              <w:t>11</w:t>
            </w:r>
          </w:p>
        </w:tc>
        <w:tc>
          <w:tcPr>
            <w:tcW w:w="272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质量保证金限额</w:t>
            </w:r>
          </w:p>
        </w:tc>
        <w:tc>
          <w:tcPr>
            <w:tcW w:w="143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17.4.1</w:t>
            </w:r>
          </w:p>
        </w:tc>
        <w:tc>
          <w:tcPr>
            <w:tcW w:w="4112" w:type="dxa"/>
            <w:tcBorders>
              <w:top w:val="single" w:color="auto" w:sz="6" w:space="0"/>
              <w:left w:val="single" w:color="auto" w:sz="6" w:space="0"/>
              <w:bottom w:val="single" w:color="auto" w:sz="6" w:space="0"/>
              <w:right w:val="single" w:color="auto" w:sz="6" w:space="0"/>
            </w:tcBorders>
            <w:vAlign w:val="center"/>
          </w:tcPr>
          <w:p>
            <w:pPr>
              <w:ind w:firstLine="210" w:firstLineChars="100"/>
              <w:rPr>
                <w:rFonts w:ascii="宋体" w:hAnsi="宋体" w:eastAsia="宋体" w:cs="宋体"/>
                <w:szCs w:val="21"/>
              </w:rPr>
            </w:pPr>
            <w:r>
              <w:rPr>
                <w:rFonts w:hint="eastAsia" w:ascii="宋体" w:hAnsi="宋体" w:eastAsia="宋体" w:cs="宋体"/>
                <w:szCs w:val="21"/>
              </w:rPr>
              <w:t>1.5%的结算价</w:t>
            </w:r>
          </w:p>
        </w:tc>
        <w:tc>
          <w:tcPr>
            <w:tcW w:w="81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9"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eastAsia="宋体" w:cs="宋体"/>
                <w:szCs w:val="21"/>
              </w:rPr>
            </w:pPr>
            <w:r>
              <w:rPr>
                <w:rFonts w:ascii="宋体" w:hAnsi="宋体" w:eastAsia="宋体" w:cs="宋体"/>
                <w:szCs w:val="21"/>
              </w:rPr>
              <w:t>12</w:t>
            </w:r>
          </w:p>
        </w:tc>
        <w:tc>
          <w:tcPr>
            <w:tcW w:w="2721"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保修期</w:t>
            </w:r>
          </w:p>
        </w:tc>
        <w:tc>
          <w:tcPr>
            <w:tcW w:w="1432"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19.7</w:t>
            </w:r>
          </w:p>
        </w:tc>
        <w:tc>
          <w:tcPr>
            <w:tcW w:w="4112" w:type="dxa"/>
            <w:tcBorders>
              <w:top w:val="single" w:color="auto" w:sz="6" w:space="0"/>
              <w:left w:val="single" w:color="auto" w:sz="6" w:space="0"/>
              <w:bottom w:val="single" w:color="auto" w:sz="12" w:space="0"/>
              <w:right w:val="single" w:color="auto" w:sz="6" w:space="0"/>
            </w:tcBorders>
            <w:vAlign w:val="center"/>
          </w:tcPr>
          <w:p>
            <w:pPr>
              <w:ind w:firstLine="210" w:firstLineChars="100"/>
              <w:rPr>
                <w:rFonts w:ascii="宋体" w:hAnsi="宋体" w:eastAsia="宋体" w:cs="宋体"/>
                <w:szCs w:val="21"/>
              </w:rPr>
            </w:pPr>
            <w:r>
              <w:rPr>
                <w:rFonts w:hint="eastAsia" w:ascii="宋体" w:hAnsi="宋体" w:eastAsia="宋体" w:cs="宋体"/>
                <w:szCs w:val="21"/>
              </w:rPr>
              <w:t>自实际交工日期起计算</w:t>
            </w:r>
            <w:r>
              <w:rPr>
                <w:rFonts w:hint="eastAsia" w:ascii="宋体" w:hAnsi="宋体" w:eastAsia="宋体" w:cs="宋体"/>
                <w:szCs w:val="21"/>
                <w:u w:val="single"/>
              </w:rPr>
              <w:t xml:space="preserve"> </w:t>
            </w:r>
            <w:r>
              <w:rPr>
                <w:rFonts w:hint="eastAsia" w:ascii="宋体" w:hAnsi="宋体" w:eastAsia="宋体" w:cs="宋体"/>
                <w:b/>
                <w:szCs w:val="21"/>
                <w:u w:val="single"/>
              </w:rPr>
              <w:t>1</w:t>
            </w:r>
            <w:r>
              <w:rPr>
                <w:rFonts w:hint="eastAsia" w:ascii="宋体" w:hAnsi="宋体" w:eastAsia="宋体" w:cs="宋体"/>
                <w:szCs w:val="21"/>
              </w:rPr>
              <w:t>年</w:t>
            </w:r>
          </w:p>
        </w:tc>
        <w:tc>
          <w:tcPr>
            <w:tcW w:w="815" w:type="dxa"/>
            <w:tcBorders>
              <w:top w:val="single" w:color="auto" w:sz="6" w:space="0"/>
              <w:left w:val="single" w:color="auto" w:sz="6" w:space="0"/>
              <w:bottom w:val="single" w:color="auto" w:sz="12" w:space="0"/>
              <w:right w:val="single" w:color="auto" w:sz="12" w:space="0"/>
            </w:tcBorders>
            <w:vAlign w:val="center"/>
          </w:tcPr>
          <w:p>
            <w:pPr>
              <w:jc w:val="center"/>
              <w:rPr>
                <w:rFonts w:ascii="宋体" w:hAnsi="宋体" w:eastAsia="宋体" w:cs="宋体"/>
                <w:szCs w:val="21"/>
              </w:rPr>
            </w:pPr>
          </w:p>
        </w:tc>
      </w:tr>
    </w:tbl>
    <w:p>
      <w:pPr>
        <w:spacing w:before="312" w:beforeLines="100" w:line="500" w:lineRule="exact"/>
        <w:rPr>
          <w:rFonts w:ascii="宋体" w:hAnsi="宋体" w:eastAsia="宋体" w:cs="宋体"/>
          <w:sz w:val="24"/>
        </w:rPr>
      </w:pPr>
      <w:r>
        <w:rPr>
          <w:rFonts w:hint="eastAsia" w:ascii="宋体" w:hAnsi="宋体" w:eastAsia="宋体" w:cs="宋体"/>
          <w:sz w:val="24"/>
        </w:rPr>
        <w:t xml:space="preserve"> </w:t>
      </w:r>
    </w:p>
    <w:p>
      <w:pPr>
        <w:spacing w:before="312" w:beforeLines="100" w:line="500" w:lineRule="exact"/>
        <w:rPr>
          <w:rFonts w:ascii="宋体" w:hAnsi="宋体" w:eastAsia="宋体" w:cs="宋体"/>
          <w:sz w:val="24"/>
        </w:rPr>
      </w:pPr>
      <w:r>
        <w:rPr>
          <w:rFonts w:hint="eastAsia" w:ascii="宋体" w:hAnsi="宋体" w:eastAsia="宋体" w:cs="宋体"/>
          <w:sz w:val="24"/>
        </w:rPr>
        <w:t xml:space="preserve">法定代表人（签字或盖章）：             </w:t>
      </w:r>
      <w:r>
        <w:rPr>
          <w:rFonts w:ascii="宋体" w:hAnsi="宋体" w:eastAsia="宋体" w:cs="宋体"/>
          <w:sz w:val="24"/>
        </w:rPr>
        <w:t xml:space="preserve">   </w:t>
      </w:r>
      <w:r>
        <w:rPr>
          <w:rFonts w:hint="eastAsia" w:ascii="宋体" w:hAnsi="宋体" w:eastAsia="宋体" w:cs="宋体"/>
          <w:sz w:val="24"/>
        </w:rPr>
        <w:t xml:space="preserve">    </w:t>
      </w:r>
      <w:r>
        <w:rPr>
          <w:rFonts w:ascii="宋体" w:hAnsi="宋体" w:eastAsia="宋体" w:cs="宋体"/>
          <w:sz w:val="24"/>
        </w:rPr>
        <w:t xml:space="preserve">     </w:t>
      </w:r>
      <w:r>
        <w:rPr>
          <w:rFonts w:hint="eastAsia" w:ascii="宋体" w:hAnsi="宋体" w:eastAsia="宋体" w:cs="宋体"/>
          <w:sz w:val="24"/>
        </w:rPr>
        <w:t xml:space="preserve">  投标人（盖章）：</w:t>
      </w:r>
    </w:p>
    <w:p>
      <w:pPr>
        <w:spacing w:before="312" w:beforeLines="100" w:line="500" w:lineRule="exact"/>
        <w:rPr>
          <w:rFonts w:ascii="Arial" w:hAnsi="Arial"/>
          <w:b/>
          <w:kern w:val="0"/>
          <w:sz w:val="32"/>
          <w:szCs w:val="20"/>
        </w:rPr>
      </w:pPr>
      <w:r>
        <w:rPr>
          <w:rFonts w:hint="eastAsia" w:ascii="宋体" w:hAnsi="宋体" w:eastAsia="宋体" w:cs="宋体"/>
          <w:sz w:val="24"/>
        </w:rPr>
        <w:t xml:space="preserve">                                            </w:t>
      </w:r>
      <w:r>
        <w:rPr>
          <w:rFonts w:ascii="宋体" w:hAnsi="宋体" w:eastAsia="宋体" w:cs="宋体"/>
          <w:sz w:val="24"/>
        </w:rPr>
        <w:t xml:space="preserve">   </w:t>
      </w:r>
      <w:r>
        <w:rPr>
          <w:rFonts w:hint="eastAsia" w:ascii="宋体" w:hAnsi="宋体" w:eastAsia="宋体" w:cs="宋体"/>
          <w:sz w:val="24"/>
        </w:rPr>
        <w:t xml:space="preserve"> 日期：   年    月   日</w:t>
      </w:r>
      <w:r>
        <w:br w:type="page"/>
      </w:r>
    </w:p>
    <w:p>
      <w:pPr>
        <w:pStyle w:val="2"/>
      </w:pPr>
    </w:p>
    <w:p>
      <w:pPr>
        <w:pStyle w:val="3"/>
        <w:snapToGrid w:val="0"/>
        <w:spacing w:before="60" w:after="60" w:line="360" w:lineRule="auto"/>
        <w:jc w:val="center"/>
        <w:rPr>
          <w:rFonts w:ascii="宋体" w:hAnsi="宋体"/>
          <w:b w:val="0"/>
          <w:bCs w:val="0"/>
          <w:sz w:val="24"/>
        </w:rPr>
      </w:pPr>
      <w:bookmarkStart w:id="573" w:name="_Toc173246268"/>
      <w:bookmarkStart w:id="574" w:name="_Toc173244881"/>
      <w:r>
        <w:rPr>
          <w:rFonts w:hint="eastAsia" w:ascii="宋体" w:hAnsi="宋体"/>
          <w:b w:val="0"/>
          <w:bCs w:val="0"/>
          <w:sz w:val="24"/>
        </w:rPr>
        <w:t>三、法定代表人身份证明及附有法定代表人身份证明的授权委托书</w:t>
      </w:r>
      <w:bookmarkEnd w:id="573"/>
      <w:bookmarkEnd w:id="574"/>
    </w:p>
    <w:p>
      <w:pPr>
        <w:jc w:val="center"/>
        <w:rPr>
          <w:rFonts w:ascii="宋体" w:hAnsi="宋体" w:eastAsia="宋体" w:cs="宋体"/>
          <w:bCs/>
          <w:kern w:val="44"/>
          <w:sz w:val="30"/>
          <w:szCs w:val="30"/>
        </w:rPr>
      </w:pPr>
      <w:r>
        <w:rPr>
          <w:rFonts w:hint="eastAsia" w:ascii="宋体" w:hAnsi="宋体" w:eastAsia="宋体" w:cs="宋体"/>
          <w:bCs/>
          <w:kern w:val="44"/>
          <w:sz w:val="30"/>
          <w:szCs w:val="30"/>
        </w:rPr>
        <w:t>（一）法定代表人身份证明</w:t>
      </w:r>
    </w:p>
    <w:p>
      <w:pPr>
        <w:rPr>
          <w:rFonts w:ascii="宋体" w:hAnsi="宋体" w:eastAsia="宋体" w:cs="宋体"/>
          <w:sz w:val="24"/>
        </w:rPr>
      </w:pPr>
    </w:p>
    <w:p>
      <w:pPr>
        <w:rPr>
          <w:rFonts w:ascii="宋体" w:hAnsi="宋体" w:eastAsia="宋体" w:cs="宋体"/>
          <w:sz w:val="24"/>
        </w:rPr>
      </w:pPr>
    </w:p>
    <w:p>
      <w:pPr>
        <w:spacing w:line="500" w:lineRule="exact"/>
        <w:rPr>
          <w:rFonts w:ascii="宋体" w:hAnsi="宋体" w:eastAsia="宋体" w:cs="宋体"/>
          <w:szCs w:val="21"/>
          <w:u w:val="single"/>
        </w:rPr>
      </w:pPr>
      <w:r>
        <w:rPr>
          <w:rFonts w:hint="eastAsia" w:ascii="宋体" w:hAnsi="宋体" w:eastAsia="宋体" w:cs="宋体"/>
          <w:szCs w:val="21"/>
        </w:rPr>
        <w:t>投标人名称：</w:t>
      </w:r>
      <w:r>
        <w:rPr>
          <w:rFonts w:hint="eastAsia" w:ascii="宋体" w:hAnsi="宋体" w:eastAsia="宋体" w:cs="宋体"/>
          <w:szCs w:val="21"/>
          <w:u w:val="single"/>
        </w:rPr>
        <w:t xml:space="preserve">                         </w:t>
      </w:r>
    </w:p>
    <w:p>
      <w:pPr>
        <w:spacing w:line="500" w:lineRule="exact"/>
        <w:rPr>
          <w:rFonts w:ascii="宋体" w:hAnsi="宋体" w:eastAsia="宋体" w:cs="宋体"/>
          <w:szCs w:val="21"/>
          <w:u w:val="single"/>
        </w:rPr>
      </w:pPr>
      <w:r>
        <w:rPr>
          <w:rFonts w:hint="eastAsia" w:ascii="宋体" w:hAnsi="宋体" w:eastAsia="宋体" w:cs="宋体"/>
          <w:spacing w:val="60"/>
          <w:kern w:val="0"/>
          <w:szCs w:val="21"/>
        </w:rPr>
        <w:t>单位性</w:t>
      </w:r>
      <w:r>
        <w:rPr>
          <w:rFonts w:hint="eastAsia" w:ascii="宋体" w:hAnsi="宋体" w:eastAsia="宋体" w:cs="宋体"/>
          <w:kern w:val="0"/>
          <w:szCs w:val="21"/>
        </w:rPr>
        <w:t>质</w:t>
      </w:r>
      <w:r>
        <w:rPr>
          <w:rFonts w:hint="eastAsia" w:ascii="宋体" w:hAnsi="宋体" w:eastAsia="宋体" w:cs="宋体"/>
          <w:szCs w:val="21"/>
        </w:rPr>
        <w:t>：</w:t>
      </w:r>
      <w:r>
        <w:rPr>
          <w:rFonts w:hint="eastAsia" w:ascii="宋体" w:hAnsi="宋体" w:eastAsia="宋体" w:cs="宋体"/>
          <w:szCs w:val="21"/>
          <w:u w:val="single"/>
        </w:rPr>
        <w:t xml:space="preserve">                        </w:t>
      </w:r>
    </w:p>
    <w:p>
      <w:pPr>
        <w:spacing w:line="500" w:lineRule="exact"/>
        <w:rPr>
          <w:rFonts w:ascii="宋体" w:hAnsi="宋体" w:eastAsia="宋体" w:cs="宋体"/>
          <w:szCs w:val="21"/>
        </w:rPr>
      </w:pPr>
      <w:r>
        <w:rPr>
          <w:rFonts w:hint="eastAsia" w:ascii="宋体" w:hAnsi="宋体" w:eastAsia="宋体" w:cs="宋体"/>
          <w:spacing w:val="390"/>
          <w:kern w:val="0"/>
          <w:szCs w:val="21"/>
        </w:rPr>
        <w:t>地</w:t>
      </w:r>
      <w:r>
        <w:rPr>
          <w:rFonts w:hint="eastAsia" w:ascii="宋体" w:hAnsi="宋体" w:eastAsia="宋体" w:cs="宋体"/>
          <w:kern w:val="0"/>
          <w:szCs w:val="21"/>
        </w:rPr>
        <w:t>址</w:t>
      </w:r>
      <w:r>
        <w:rPr>
          <w:rFonts w:hint="eastAsia" w:ascii="宋体" w:hAnsi="宋体" w:eastAsia="宋体" w:cs="宋体"/>
          <w:szCs w:val="21"/>
        </w:rPr>
        <w:t>：</w:t>
      </w:r>
      <w:r>
        <w:rPr>
          <w:rFonts w:hint="eastAsia" w:ascii="宋体" w:hAnsi="宋体" w:eastAsia="宋体" w:cs="宋体"/>
          <w:szCs w:val="21"/>
          <w:u w:val="single"/>
        </w:rPr>
        <w:t xml:space="preserve">                        </w:t>
      </w:r>
    </w:p>
    <w:p>
      <w:pPr>
        <w:spacing w:line="500" w:lineRule="exact"/>
        <w:rPr>
          <w:rFonts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00" w:lineRule="exact"/>
        <w:rPr>
          <w:rFonts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line="500" w:lineRule="exact"/>
        <w:rPr>
          <w:rFonts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 xml:space="preserve"> 职务：</w:t>
      </w:r>
      <w:r>
        <w:rPr>
          <w:rFonts w:hint="eastAsia" w:ascii="宋体" w:hAnsi="宋体" w:eastAsia="宋体" w:cs="宋体"/>
          <w:szCs w:val="21"/>
          <w:u w:val="single"/>
        </w:rPr>
        <w:t xml:space="preserve">    </w:t>
      </w:r>
      <w:r>
        <w:rPr>
          <w:rFonts w:hint="eastAsia" w:ascii="宋体" w:hAnsi="宋体" w:eastAsia="宋体" w:cs="宋体"/>
          <w:szCs w:val="21"/>
        </w:rPr>
        <w:t>系</w:t>
      </w:r>
      <w:r>
        <w:rPr>
          <w:rFonts w:hint="eastAsia" w:ascii="宋体" w:hAnsi="宋体" w:eastAsia="宋体" w:cs="宋体"/>
          <w:szCs w:val="21"/>
          <w:u w:val="single"/>
        </w:rPr>
        <w:t xml:space="preserve">  （投标人名称）</w:t>
      </w:r>
      <w:r>
        <w:rPr>
          <w:rFonts w:hint="eastAsia" w:ascii="宋体" w:hAnsi="宋体" w:eastAsia="宋体" w:cs="宋体"/>
          <w:szCs w:val="21"/>
        </w:rPr>
        <w:t>的法定代表人。</w:t>
      </w:r>
    </w:p>
    <w:p>
      <w:pPr>
        <w:spacing w:line="500" w:lineRule="exact"/>
        <w:ind w:firstLine="420" w:firstLineChars="200"/>
        <w:rPr>
          <w:rFonts w:ascii="宋体" w:hAnsi="宋体" w:eastAsia="宋体" w:cs="宋体"/>
          <w:szCs w:val="21"/>
        </w:rPr>
      </w:pPr>
      <w:r>
        <w:rPr>
          <w:rFonts w:hint="eastAsia" w:ascii="宋体" w:hAnsi="宋体" w:eastAsia="宋体" w:cs="宋体"/>
          <w:szCs w:val="21"/>
        </w:rPr>
        <w:t>特此证明。</w:t>
      </w:r>
    </w:p>
    <w:p>
      <w:pPr>
        <w:spacing w:line="500" w:lineRule="exact"/>
        <w:rPr>
          <w:rFonts w:ascii="宋体" w:hAnsi="宋体" w:eastAsia="宋体" w:cs="宋体"/>
          <w:szCs w:val="21"/>
        </w:rPr>
      </w:pPr>
    </w:p>
    <w:p>
      <w:pPr>
        <w:spacing w:line="500" w:lineRule="exact"/>
        <w:rPr>
          <w:rFonts w:ascii="宋体" w:hAnsi="宋体" w:eastAsia="宋体" w:cs="宋体"/>
          <w:szCs w:val="21"/>
        </w:rPr>
      </w:pPr>
    </w:p>
    <w:p>
      <w:pPr>
        <w:spacing w:line="500" w:lineRule="exact"/>
        <w:rPr>
          <w:rFonts w:ascii="宋体" w:hAnsi="宋体" w:eastAsia="宋体" w:cs="宋体"/>
          <w:szCs w:val="21"/>
        </w:rPr>
      </w:pPr>
      <w:r>
        <w:rPr>
          <w:rFonts w:hint="eastAsia" w:ascii="宋体" w:hAnsi="宋体" w:eastAsia="宋体" w:cs="宋体"/>
          <w:szCs w:val="21"/>
        </w:rPr>
        <w:t xml:space="preserve">                             </w:t>
      </w:r>
      <w:r>
        <w:rPr>
          <w:rFonts w:ascii="宋体" w:hAnsi="宋体" w:eastAsia="宋体" w:cs="宋体"/>
          <w:szCs w:val="21"/>
        </w:rPr>
        <w:t xml:space="preserve">            </w:t>
      </w:r>
      <w:r>
        <w:rPr>
          <w:rFonts w:hint="eastAsia" w:ascii="宋体" w:hAnsi="宋体" w:eastAsia="宋体" w:cs="宋体"/>
          <w:szCs w:val="21"/>
        </w:rPr>
        <w:t xml:space="preserve"> 投标人（盖章）：</w:t>
      </w:r>
    </w:p>
    <w:p>
      <w:pPr>
        <w:spacing w:line="500" w:lineRule="exact"/>
        <w:rPr>
          <w:rFonts w:ascii="宋体" w:hAnsi="宋体" w:eastAsia="宋体" w:cs="宋体"/>
          <w:szCs w:val="21"/>
        </w:rPr>
      </w:pPr>
    </w:p>
    <w:p>
      <w:pPr>
        <w:spacing w:line="400" w:lineRule="exact"/>
        <w:rPr>
          <w:rFonts w:ascii="宋体" w:hAnsi="宋体" w:eastAsia="宋体" w:cs="宋体"/>
          <w:szCs w:val="21"/>
        </w:rPr>
      </w:pPr>
      <w:r>
        <w:rPr>
          <w:rFonts w:hint="eastAsia" w:ascii="宋体" w:hAnsi="宋体" w:eastAsia="宋体" w:cs="宋体"/>
          <w:szCs w:val="21"/>
        </w:rPr>
        <w:t xml:space="preserve">                                     </w:t>
      </w:r>
      <w:r>
        <w:rPr>
          <w:rFonts w:ascii="宋体" w:hAnsi="宋体" w:eastAsia="宋体" w:cs="宋体"/>
          <w:szCs w:val="21"/>
        </w:rPr>
        <w:t xml:space="preserve">    </w:t>
      </w:r>
      <w:r>
        <w:rPr>
          <w:rFonts w:hint="eastAsia" w:ascii="宋体" w:hAnsi="宋体" w:eastAsia="宋体" w:cs="宋体"/>
          <w:szCs w:val="21"/>
        </w:rPr>
        <w:t xml:space="preserve"> </w:t>
      </w:r>
      <w:r>
        <w:rPr>
          <w:rFonts w:hint="eastAsia" w:ascii="宋体" w:hAnsi="宋体" w:eastAsia="宋体" w:cs="宋体"/>
          <w:sz w:val="24"/>
        </w:rPr>
        <w:t>日期：   年    月   日</w:t>
      </w:r>
    </w:p>
    <w:p>
      <w:pPr>
        <w:spacing w:line="400" w:lineRule="exact"/>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 w:val="24"/>
        </w:rPr>
      </w:pPr>
    </w:p>
    <w:p>
      <w:pPr>
        <w:jc w:val="center"/>
        <w:rPr>
          <w:rFonts w:ascii="宋体" w:hAnsi="宋体" w:eastAsia="宋体" w:cs="宋体"/>
          <w:sz w:val="30"/>
          <w:szCs w:val="30"/>
        </w:rPr>
      </w:pPr>
      <w:r>
        <w:rPr>
          <w:rFonts w:hint="eastAsia" w:ascii="宋体" w:hAnsi="宋体" w:eastAsia="宋体" w:cs="宋体"/>
          <w:sz w:val="24"/>
        </w:rPr>
        <w:br w:type="page"/>
      </w:r>
      <w:r>
        <w:rPr>
          <w:rFonts w:hint="eastAsia" w:ascii="宋体" w:hAnsi="宋体" w:eastAsia="宋体" w:cs="宋体"/>
          <w:bCs/>
          <w:kern w:val="44"/>
          <w:sz w:val="30"/>
          <w:szCs w:val="30"/>
        </w:rPr>
        <w:t>（二）授权委托书</w:t>
      </w:r>
    </w:p>
    <w:p>
      <w:pPr>
        <w:spacing w:line="500" w:lineRule="exact"/>
        <w:rPr>
          <w:rFonts w:ascii="宋体" w:hAnsi="宋体" w:eastAsia="宋体" w:cs="宋体"/>
          <w:sz w:val="24"/>
        </w:rPr>
      </w:pPr>
    </w:p>
    <w:p>
      <w:pPr>
        <w:spacing w:line="500" w:lineRule="exact"/>
        <w:ind w:firstLine="420" w:firstLineChars="200"/>
        <w:rPr>
          <w:rFonts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（投标人名称）的法定代表人，现委托</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（姓名）为我方代理人。代理人根据授权，以我方名义签署、澄清、说明、补正、递交、撤回、修改</w:t>
      </w:r>
      <w:r>
        <w:rPr>
          <w:rFonts w:hint="eastAsia" w:ascii="宋体" w:hAnsi="宋体" w:eastAsia="宋体" w:cs="宋体"/>
          <w:szCs w:val="21"/>
          <w:u w:val="single"/>
        </w:rPr>
        <w:t xml:space="preserve">     </w:t>
      </w:r>
      <w:r>
        <w:rPr>
          <w:rFonts w:hint="eastAsia" w:ascii="宋体" w:hAnsi="宋体" w:eastAsia="宋体" w:cs="宋体"/>
          <w:szCs w:val="21"/>
        </w:rPr>
        <w:t>（项目名称）</w:t>
      </w:r>
      <w:r>
        <w:rPr>
          <w:rFonts w:hint="eastAsia" w:ascii="宋体" w:hAnsi="宋体" w:eastAsia="宋体" w:cs="宋体"/>
          <w:szCs w:val="21"/>
          <w:u w:val="single"/>
        </w:rPr>
        <w:t xml:space="preserve">     </w:t>
      </w:r>
      <w:r>
        <w:rPr>
          <w:rFonts w:hint="eastAsia" w:ascii="宋体" w:hAnsi="宋体" w:eastAsia="宋体" w:cs="宋体"/>
          <w:szCs w:val="21"/>
        </w:rPr>
        <w:t>标段施工投标文件、签订合同和处理有关事宜，其法律后果由我方承担。</w:t>
      </w:r>
    </w:p>
    <w:p>
      <w:pPr>
        <w:spacing w:line="500" w:lineRule="exact"/>
        <w:ind w:firstLine="420" w:firstLineChars="200"/>
        <w:rPr>
          <w:rFonts w:ascii="宋体" w:hAnsi="宋体" w:eastAsia="宋体" w:cs="宋体"/>
          <w:szCs w:val="21"/>
        </w:rPr>
      </w:pPr>
      <w:r>
        <w:rPr>
          <w:rFonts w:hint="eastAsia" w:ascii="宋体" w:hAnsi="宋体" w:eastAsia="宋体" w:cs="宋体"/>
          <w:szCs w:val="21"/>
        </w:rPr>
        <w:t>委托期限：</w:t>
      </w:r>
      <w:r>
        <w:rPr>
          <w:rFonts w:hint="eastAsia" w:ascii="宋体" w:hAnsi="宋体" w:eastAsia="宋体" w:cs="宋体"/>
          <w:szCs w:val="21"/>
          <w:u w:val="single"/>
        </w:rPr>
        <w:t xml:space="preserve">          </w:t>
      </w:r>
      <w:r>
        <w:rPr>
          <w:rFonts w:hint="eastAsia" w:ascii="宋体" w:hAnsi="宋体" w:eastAsia="宋体" w:cs="宋体"/>
          <w:szCs w:val="21"/>
        </w:rPr>
        <w:t>。</w:t>
      </w:r>
    </w:p>
    <w:p>
      <w:pPr>
        <w:spacing w:line="500" w:lineRule="exact"/>
        <w:ind w:firstLine="420" w:firstLineChars="200"/>
        <w:rPr>
          <w:rFonts w:ascii="宋体" w:hAnsi="宋体" w:eastAsia="宋体" w:cs="宋体"/>
          <w:szCs w:val="21"/>
        </w:rPr>
      </w:pPr>
      <w:r>
        <w:rPr>
          <w:rFonts w:hint="eastAsia" w:ascii="宋体" w:hAnsi="宋体" w:eastAsia="宋体" w:cs="宋体"/>
          <w:szCs w:val="21"/>
        </w:rPr>
        <w:t xml:space="preserve">代理人无转委托权。 </w:t>
      </w:r>
    </w:p>
    <w:p>
      <w:pPr>
        <w:spacing w:line="500" w:lineRule="exact"/>
        <w:ind w:firstLine="420" w:firstLineChars="200"/>
        <w:rPr>
          <w:rFonts w:ascii="宋体" w:hAnsi="宋体" w:eastAsia="宋体" w:cs="宋体"/>
          <w:szCs w:val="21"/>
        </w:rPr>
      </w:pPr>
      <w:r>
        <w:rPr>
          <w:rFonts w:hint="eastAsia" w:ascii="宋体" w:hAnsi="宋体" w:eastAsia="宋体" w:cs="宋体"/>
          <w:szCs w:val="21"/>
        </w:rPr>
        <w:t>附：法定代表人身份证明</w:t>
      </w:r>
    </w:p>
    <w:p>
      <w:pPr>
        <w:spacing w:line="500" w:lineRule="exact"/>
        <w:rPr>
          <w:rFonts w:ascii="宋体" w:hAnsi="宋体" w:eastAsia="宋体" w:cs="宋体"/>
          <w:szCs w:val="21"/>
        </w:rPr>
      </w:pPr>
    </w:p>
    <w:p>
      <w:pPr>
        <w:spacing w:line="500" w:lineRule="exact"/>
        <w:rPr>
          <w:rFonts w:ascii="宋体" w:hAnsi="宋体" w:eastAsia="宋体" w:cs="宋体"/>
          <w:szCs w:val="21"/>
        </w:rPr>
      </w:pPr>
    </w:p>
    <w:p>
      <w:pPr>
        <w:spacing w:line="500" w:lineRule="exact"/>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kern w:val="0"/>
          <w:szCs w:val="21"/>
        </w:rPr>
        <w:t>投标人</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（盖章）</w:t>
      </w:r>
    </w:p>
    <w:p>
      <w:pPr>
        <w:spacing w:line="500" w:lineRule="exact"/>
        <w:rPr>
          <w:rFonts w:ascii="宋体" w:hAnsi="宋体" w:eastAsia="宋体" w:cs="宋体"/>
          <w:szCs w:val="21"/>
        </w:rPr>
      </w:pPr>
      <w:r>
        <w:rPr>
          <w:rFonts w:hint="eastAsia" w:ascii="宋体" w:hAnsi="宋体" w:eastAsia="宋体" w:cs="宋体"/>
          <w:szCs w:val="21"/>
        </w:rPr>
        <w:t xml:space="preserve">                            法定代表人：</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szCs w:val="21"/>
        </w:rPr>
        <w:t>签字或盖章</w:t>
      </w:r>
      <w:r>
        <w:rPr>
          <w:rFonts w:hint="eastAsia" w:ascii="宋体" w:hAnsi="宋体" w:eastAsia="宋体" w:cs="宋体"/>
          <w:szCs w:val="21"/>
        </w:rPr>
        <w:t>）</w:t>
      </w:r>
    </w:p>
    <w:p>
      <w:pPr>
        <w:spacing w:line="500" w:lineRule="exact"/>
        <w:rPr>
          <w:rFonts w:ascii="宋体" w:hAnsi="宋体" w:eastAsia="宋体" w:cs="宋体"/>
          <w:szCs w:val="21"/>
        </w:rPr>
      </w:pPr>
      <w:r>
        <w:rPr>
          <w:rFonts w:hint="eastAsia" w:ascii="宋体" w:hAnsi="宋体" w:eastAsia="宋体" w:cs="宋体"/>
          <w:szCs w:val="21"/>
        </w:rPr>
        <w:t xml:space="preserve">                            身份证号码：</w:t>
      </w:r>
      <w:r>
        <w:rPr>
          <w:rFonts w:hint="eastAsia" w:ascii="宋体" w:hAnsi="宋体" w:eastAsia="宋体" w:cs="宋体"/>
          <w:szCs w:val="21"/>
          <w:u w:val="single"/>
        </w:rPr>
        <w:t xml:space="preserve">                           </w:t>
      </w:r>
    </w:p>
    <w:p>
      <w:pPr>
        <w:spacing w:line="500" w:lineRule="exact"/>
        <w:rPr>
          <w:rFonts w:ascii="宋体" w:hAnsi="宋体" w:eastAsia="宋体" w:cs="宋体"/>
          <w:szCs w:val="21"/>
        </w:rPr>
      </w:pPr>
      <w:r>
        <w:rPr>
          <w:rFonts w:hint="eastAsia" w:ascii="宋体" w:hAnsi="宋体" w:eastAsia="宋体" w:cs="宋体"/>
          <w:szCs w:val="21"/>
        </w:rPr>
        <w:t xml:space="preserve">                            委托代理人：</w:t>
      </w:r>
      <w:r>
        <w:rPr>
          <w:rFonts w:hint="eastAsia" w:ascii="宋体" w:hAnsi="宋体" w:eastAsia="宋体" w:cs="宋体"/>
          <w:szCs w:val="21"/>
          <w:u w:val="single"/>
        </w:rPr>
        <w:t xml:space="preserve">                    </w:t>
      </w:r>
    </w:p>
    <w:p>
      <w:pPr>
        <w:spacing w:line="500" w:lineRule="exact"/>
        <w:rPr>
          <w:rFonts w:ascii="宋体" w:hAnsi="宋体" w:eastAsia="宋体" w:cs="宋体"/>
          <w:szCs w:val="21"/>
        </w:rPr>
      </w:pPr>
      <w:r>
        <w:rPr>
          <w:rFonts w:hint="eastAsia" w:ascii="宋体" w:hAnsi="宋体" w:eastAsia="宋体" w:cs="宋体"/>
          <w:szCs w:val="21"/>
        </w:rPr>
        <w:t xml:space="preserve">                            身份证号码：</w:t>
      </w:r>
      <w:r>
        <w:rPr>
          <w:rFonts w:hint="eastAsia" w:ascii="宋体" w:hAnsi="宋体" w:eastAsia="宋体" w:cs="宋体"/>
          <w:szCs w:val="21"/>
          <w:u w:val="single"/>
        </w:rPr>
        <w:t xml:space="preserve">                           </w:t>
      </w:r>
    </w:p>
    <w:p>
      <w:pPr>
        <w:spacing w:line="500" w:lineRule="exact"/>
        <w:rPr>
          <w:rFonts w:ascii="宋体" w:hAnsi="宋体" w:eastAsia="宋体" w:cs="宋体"/>
          <w:szCs w:val="21"/>
        </w:rPr>
      </w:pPr>
      <w:r>
        <w:rPr>
          <w:rFonts w:hint="eastAsia" w:ascii="宋体" w:hAnsi="宋体" w:eastAsia="宋体" w:cs="宋体"/>
          <w:szCs w:val="21"/>
        </w:rPr>
        <w:t xml:space="preserve">                                                </w:t>
      </w:r>
    </w:p>
    <w:p>
      <w:pPr>
        <w:spacing w:line="500" w:lineRule="exact"/>
        <w:ind w:firstLine="5145" w:firstLineChars="2450"/>
        <w:rPr>
          <w:rFonts w:ascii="宋体" w:hAnsi="宋体" w:eastAsia="宋体" w:cs="宋体"/>
          <w:szCs w:val="21"/>
        </w:rPr>
      </w:pPr>
      <w:r>
        <w:rPr>
          <w:rFonts w:hint="eastAsia" w:ascii="宋体" w:hAnsi="宋体" w:eastAsia="宋体" w:cs="宋体"/>
          <w:szCs w:val="21"/>
        </w:rPr>
        <w:t xml:space="preserve">   日期：   年    月   日</w:t>
      </w:r>
    </w:p>
    <w:p>
      <w:pPr>
        <w:rPr>
          <w:rFonts w:ascii="宋体" w:hAnsi="宋体" w:eastAsia="宋体" w:cs="宋体"/>
          <w:szCs w:val="21"/>
        </w:rPr>
      </w:pPr>
    </w:p>
    <w:p>
      <w:pPr>
        <w:rPr>
          <w:rFonts w:ascii="宋体" w:hAnsi="宋体" w:eastAsia="宋体" w:cs="宋体"/>
          <w:szCs w:val="21"/>
        </w:rPr>
      </w:pPr>
    </w:p>
    <w:p>
      <w:pPr>
        <w:spacing w:line="400" w:lineRule="exact"/>
        <w:ind w:firstLine="420" w:firstLineChars="200"/>
        <w:rPr>
          <w:rFonts w:ascii="宋体" w:hAnsi="宋体" w:eastAsia="宋体" w:cs="宋体"/>
          <w:szCs w:val="21"/>
        </w:rPr>
      </w:pPr>
      <w:r>
        <w:rPr>
          <w:rFonts w:hint="eastAsia" w:ascii="宋体" w:hAnsi="宋体" w:eastAsia="宋体" w:cs="宋体"/>
          <w:szCs w:val="21"/>
        </w:rPr>
        <w:t>注：</w:t>
      </w:r>
    </w:p>
    <w:p>
      <w:pPr>
        <w:spacing w:line="400" w:lineRule="exact"/>
        <w:ind w:firstLine="420" w:firstLineChars="200"/>
        <w:rPr>
          <w:rFonts w:ascii="宋体" w:hAnsi="宋体" w:eastAsia="宋体" w:cs="宋体"/>
          <w:sz w:val="28"/>
          <w:szCs w:val="28"/>
        </w:rPr>
      </w:pPr>
      <w:r>
        <w:rPr>
          <w:rFonts w:hint="eastAsia" w:ascii="宋体" w:hAnsi="宋体" w:eastAsia="宋体" w:cs="宋体"/>
          <w:szCs w:val="21"/>
        </w:rPr>
        <w:t>1.委托期限在满足开标评标所需合理时间前提下由投标人自行确定，建议不少于投标有效期。</w:t>
      </w:r>
      <w:bookmarkStart w:id="575" w:name="_Toc193904174"/>
      <w:bookmarkStart w:id="576" w:name="_Toc234242178"/>
      <w:r>
        <w:rPr>
          <w:rFonts w:hint="eastAsia" w:ascii="宋体" w:hAnsi="宋体" w:eastAsia="宋体" w:cs="宋体"/>
          <w:b/>
          <w:sz w:val="36"/>
          <w:szCs w:val="36"/>
        </w:rPr>
        <w:br w:type="page"/>
      </w:r>
      <w:bookmarkEnd w:id="575"/>
      <w:bookmarkEnd w:id="576"/>
    </w:p>
    <w:p>
      <w:pPr>
        <w:pStyle w:val="3"/>
        <w:snapToGrid w:val="0"/>
        <w:spacing w:before="60" w:after="60" w:line="360" w:lineRule="auto"/>
        <w:jc w:val="center"/>
        <w:rPr>
          <w:rFonts w:ascii="宋体" w:hAnsi="宋体"/>
          <w:b w:val="0"/>
          <w:bCs w:val="0"/>
          <w:sz w:val="24"/>
        </w:rPr>
      </w:pPr>
      <w:bookmarkStart w:id="577" w:name="_Toc173246269"/>
      <w:bookmarkStart w:id="578" w:name="_Toc173244882"/>
      <w:r>
        <w:rPr>
          <w:rFonts w:hint="eastAsia" w:ascii="宋体" w:hAnsi="宋体"/>
          <w:b w:val="0"/>
          <w:bCs w:val="0"/>
          <w:sz w:val="24"/>
        </w:rPr>
        <w:t>四、项目管理机构</w:t>
      </w:r>
      <w:bookmarkEnd w:id="577"/>
      <w:bookmarkEnd w:id="578"/>
    </w:p>
    <w:tbl>
      <w:tblPr>
        <w:tblStyle w:val="5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88" w:hRule="atLeast"/>
          <w:jc w:val="center"/>
        </w:trPr>
        <w:tc>
          <w:tcPr>
            <w:tcW w:w="9639" w:type="dxa"/>
            <w:tcBorders>
              <w:top w:val="single" w:color="auto" w:sz="12" w:space="0"/>
              <w:left w:val="single" w:color="auto" w:sz="12" w:space="0"/>
              <w:bottom w:val="single" w:color="auto" w:sz="6" w:space="0"/>
              <w:right w:val="single" w:color="auto" w:sz="12" w:space="0"/>
            </w:tcBorders>
          </w:tcPr>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拟为承包本标段工程设立的组织机构以框图方式表示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8" w:hRule="atLeast"/>
          <w:jc w:val="center"/>
        </w:trPr>
        <w:tc>
          <w:tcPr>
            <w:tcW w:w="9639" w:type="dxa"/>
            <w:tcBorders>
              <w:top w:val="single" w:color="auto" w:sz="6" w:space="0"/>
              <w:left w:val="single" w:color="auto" w:sz="12" w:space="0"/>
              <w:bottom w:val="single" w:color="auto" w:sz="12" w:space="0"/>
              <w:right w:val="single" w:color="auto" w:sz="12" w:space="0"/>
            </w:tcBorders>
          </w:tcPr>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说明</w:t>
            </w:r>
          </w:p>
        </w:tc>
      </w:tr>
    </w:tbl>
    <w:p>
      <w:pPr>
        <w:rPr>
          <w:rFonts w:ascii="宋体" w:hAnsi="宋体" w:eastAsia="宋体" w:cs="宋体"/>
          <w:sz w:val="24"/>
        </w:rPr>
      </w:pPr>
    </w:p>
    <w:p>
      <w:pPr>
        <w:rPr>
          <w:rFonts w:ascii="宋体" w:hAnsi="宋体" w:eastAsia="宋体" w:cs="宋体"/>
        </w:rPr>
      </w:pPr>
    </w:p>
    <w:p>
      <w:pPr>
        <w:rPr>
          <w:rFonts w:ascii="宋体" w:hAnsi="宋体" w:eastAsia="宋体" w:cs="宋体"/>
        </w:rPr>
      </w:pPr>
    </w:p>
    <w:p>
      <w:pPr>
        <w:pStyle w:val="3"/>
        <w:snapToGrid w:val="0"/>
        <w:spacing w:before="60" w:after="60" w:line="360" w:lineRule="auto"/>
        <w:jc w:val="center"/>
        <w:rPr>
          <w:rFonts w:ascii="宋体" w:hAnsi="宋体"/>
          <w:b w:val="0"/>
          <w:bCs w:val="0"/>
          <w:sz w:val="24"/>
        </w:rPr>
      </w:pPr>
      <w:bookmarkStart w:id="579" w:name="_Toc173246270"/>
      <w:bookmarkStart w:id="580" w:name="_Toc173244883"/>
      <w:r>
        <w:rPr>
          <w:rFonts w:hint="eastAsia" w:ascii="宋体" w:hAnsi="宋体"/>
          <w:b w:val="0"/>
          <w:bCs w:val="0"/>
          <w:sz w:val="24"/>
        </w:rPr>
        <w:t>五、资格审查资料</w:t>
      </w:r>
      <w:bookmarkEnd w:id="579"/>
      <w:bookmarkEnd w:id="580"/>
    </w:p>
    <w:p>
      <w:pPr>
        <w:pStyle w:val="3"/>
        <w:keepNext w:val="0"/>
        <w:keepLines w:val="0"/>
        <w:spacing w:before="312" w:beforeLines="100" w:after="468" w:afterLines="150" w:line="360" w:lineRule="exact"/>
        <w:jc w:val="center"/>
        <w:rPr>
          <w:rFonts w:ascii="宋体" w:hAnsi="宋体"/>
          <w:b w:val="0"/>
          <w:sz w:val="30"/>
          <w:szCs w:val="30"/>
        </w:rPr>
      </w:pPr>
      <w:bookmarkStart w:id="581" w:name="_Toc173244884"/>
      <w:bookmarkStart w:id="582" w:name="_Toc173246271"/>
      <w:r>
        <w:rPr>
          <w:rFonts w:hint="eastAsia" w:ascii="宋体" w:hAnsi="宋体"/>
          <w:b w:val="0"/>
          <w:sz w:val="30"/>
          <w:szCs w:val="30"/>
        </w:rPr>
        <w:t>（一）投标人基本情况表</w:t>
      </w:r>
      <w:bookmarkEnd w:id="581"/>
      <w:bookmarkEnd w:id="582"/>
    </w:p>
    <w:tbl>
      <w:tblPr>
        <w:tblStyle w:val="52"/>
        <w:tblW w:w="96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42"/>
        <w:gridCol w:w="1010"/>
        <w:gridCol w:w="1070"/>
        <w:gridCol w:w="1416"/>
        <w:gridCol w:w="350"/>
        <w:gridCol w:w="1212"/>
        <w:gridCol w:w="557"/>
        <w:gridCol w:w="966"/>
        <w:gridCol w:w="111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tcBorders>
              <w:top w:val="single" w:color="000000" w:sz="12" w:space="0"/>
              <w:left w:val="single" w:color="000000" w:sz="12"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投标人名称</w:t>
            </w:r>
          </w:p>
        </w:tc>
        <w:tc>
          <w:tcPr>
            <w:tcW w:w="7697" w:type="dxa"/>
            <w:gridSpan w:val="8"/>
            <w:tcBorders>
              <w:top w:val="single" w:color="000000" w:sz="12" w:space="0"/>
              <w:left w:val="single" w:color="000000" w:sz="6" w:space="0"/>
              <w:bottom w:val="single" w:color="000000" w:sz="6" w:space="0"/>
              <w:right w:val="single" w:color="000000" w:sz="12" w:space="0"/>
            </w:tcBorders>
            <w:vAlign w:val="center"/>
          </w:tcPr>
          <w:p>
            <w:pPr>
              <w:autoSpaceDE w:val="0"/>
              <w:autoSpaceDN w:val="0"/>
              <w:adjustRightInd w:val="0"/>
              <w:jc w:val="center"/>
              <w:rPr>
                <w:rFonts w:ascii="宋体" w:hAnsi="宋体" w:eastAsia="宋体" w:cs="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tcBorders>
              <w:top w:val="single" w:color="000000" w:sz="6" w:space="0"/>
              <w:left w:val="single" w:color="000000" w:sz="12"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注册地址</w:t>
            </w:r>
          </w:p>
        </w:tc>
        <w:tc>
          <w:tcPr>
            <w:tcW w:w="3846" w:type="dxa"/>
            <w:gridSpan w:val="4"/>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kern w:val="0"/>
                <w:szCs w:val="21"/>
              </w:rPr>
            </w:pPr>
          </w:p>
        </w:tc>
        <w:tc>
          <w:tcPr>
            <w:tcW w:w="121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邮政编码</w:t>
            </w:r>
          </w:p>
        </w:tc>
        <w:tc>
          <w:tcPr>
            <w:tcW w:w="2639" w:type="dxa"/>
            <w:gridSpan w:val="3"/>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jc w:val="center"/>
              <w:rPr>
                <w:rFonts w:ascii="宋体" w:hAnsi="宋体" w:eastAsia="宋体" w:cs="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Merge w:val="restart"/>
            <w:tcBorders>
              <w:top w:val="single" w:color="000000" w:sz="6" w:space="0"/>
              <w:left w:val="single" w:color="000000" w:sz="12"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联系方式</w:t>
            </w:r>
          </w:p>
        </w:tc>
        <w:tc>
          <w:tcPr>
            <w:tcW w:w="101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联系人</w:t>
            </w:r>
          </w:p>
        </w:tc>
        <w:tc>
          <w:tcPr>
            <w:tcW w:w="2836" w:type="dxa"/>
            <w:gridSpan w:val="3"/>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kern w:val="0"/>
                <w:szCs w:val="21"/>
              </w:rPr>
            </w:pPr>
          </w:p>
        </w:tc>
        <w:tc>
          <w:tcPr>
            <w:tcW w:w="121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电 话</w:t>
            </w:r>
          </w:p>
        </w:tc>
        <w:tc>
          <w:tcPr>
            <w:tcW w:w="2639" w:type="dxa"/>
            <w:gridSpan w:val="3"/>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jc w:val="center"/>
              <w:rPr>
                <w:rFonts w:ascii="宋体" w:hAnsi="宋体" w:eastAsia="宋体" w:cs="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Merge w:val="continue"/>
            <w:tcBorders>
              <w:top w:val="single" w:color="000000" w:sz="6" w:space="0"/>
              <w:left w:val="single" w:color="000000" w:sz="12"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1010" w:type="dxa"/>
            <w:tcBorders>
              <w:top w:val="single" w:color="000000" w:sz="6" w:space="0"/>
              <w:left w:val="single" w:color="000000" w:sz="6" w:space="0"/>
              <w:bottom w:val="single" w:color="000000" w:sz="6" w:space="0"/>
              <w:right w:val="single" w:color="000000" w:sz="6" w:space="0"/>
            </w:tcBorders>
            <w:vAlign w:val="center"/>
          </w:tcPr>
          <w:p>
            <w:pPr>
              <w:tabs>
                <w:tab w:val="left" w:pos="540"/>
              </w:tabs>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传 真</w:t>
            </w:r>
          </w:p>
        </w:tc>
        <w:tc>
          <w:tcPr>
            <w:tcW w:w="2836" w:type="dxa"/>
            <w:gridSpan w:val="3"/>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kern w:val="0"/>
                <w:szCs w:val="21"/>
              </w:rPr>
            </w:pPr>
          </w:p>
        </w:tc>
        <w:tc>
          <w:tcPr>
            <w:tcW w:w="121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电子邮件</w:t>
            </w:r>
          </w:p>
        </w:tc>
        <w:tc>
          <w:tcPr>
            <w:tcW w:w="2639" w:type="dxa"/>
            <w:gridSpan w:val="3"/>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jc w:val="center"/>
              <w:rPr>
                <w:rFonts w:ascii="宋体" w:hAnsi="宋体" w:eastAsia="宋体" w:cs="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tcBorders>
              <w:top w:val="single" w:color="000000" w:sz="6" w:space="0"/>
              <w:left w:val="single" w:color="000000" w:sz="12"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法定代表人</w:t>
            </w:r>
          </w:p>
        </w:tc>
        <w:tc>
          <w:tcPr>
            <w:tcW w:w="101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姓名</w:t>
            </w:r>
          </w:p>
        </w:tc>
        <w:tc>
          <w:tcPr>
            <w:tcW w:w="10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kern w:val="0"/>
                <w:szCs w:val="21"/>
              </w:rPr>
            </w:pPr>
          </w:p>
        </w:tc>
        <w:tc>
          <w:tcPr>
            <w:tcW w:w="14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技术职称</w:t>
            </w:r>
          </w:p>
        </w:tc>
        <w:tc>
          <w:tcPr>
            <w:tcW w:w="2119" w:type="dxa"/>
            <w:gridSpan w:val="3"/>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kern w:val="0"/>
                <w:szCs w:val="21"/>
              </w:rPr>
            </w:pPr>
          </w:p>
        </w:tc>
        <w:tc>
          <w:tcPr>
            <w:tcW w:w="96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电话</w:t>
            </w:r>
          </w:p>
        </w:tc>
        <w:tc>
          <w:tcPr>
            <w:tcW w:w="1116" w:type="dxa"/>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jc w:val="center"/>
              <w:rPr>
                <w:rFonts w:ascii="宋体" w:hAnsi="宋体" w:eastAsia="宋体" w:cs="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tcBorders>
              <w:top w:val="single" w:color="000000" w:sz="6" w:space="0"/>
              <w:left w:val="single" w:color="000000" w:sz="12"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技术负责人</w:t>
            </w:r>
          </w:p>
        </w:tc>
        <w:tc>
          <w:tcPr>
            <w:tcW w:w="101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姓名</w:t>
            </w:r>
          </w:p>
        </w:tc>
        <w:tc>
          <w:tcPr>
            <w:tcW w:w="10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kern w:val="0"/>
                <w:szCs w:val="21"/>
              </w:rPr>
            </w:pPr>
          </w:p>
        </w:tc>
        <w:tc>
          <w:tcPr>
            <w:tcW w:w="14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技术职称</w:t>
            </w:r>
          </w:p>
        </w:tc>
        <w:tc>
          <w:tcPr>
            <w:tcW w:w="2119" w:type="dxa"/>
            <w:gridSpan w:val="3"/>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kern w:val="0"/>
                <w:szCs w:val="21"/>
              </w:rPr>
            </w:pPr>
          </w:p>
        </w:tc>
        <w:tc>
          <w:tcPr>
            <w:tcW w:w="96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电话</w:t>
            </w:r>
          </w:p>
        </w:tc>
        <w:tc>
          <w:tcPr>
            <w:tcW w:w="1116" w:type="dxa"/>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jc w:val="center"/>
              <w:rPr>
                <w:rFonts w:ascii="宋体" w:hAnsi="宋体" w:eastAsia="宋体" w:cs="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tcBorders>
              <w:top w:val="single" w:color="000000" w:sz="6" w:space="0"/>
              <w:left w:val="single" w:color="000000" w:sz="12"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成立时间</w:t>
            </w:r>
          </w:p>
        </w:tc>
        <w:tc>
          <w:tcPr>
            <w:tcW w:w="2080"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kern w:val="0"/>
                <w:szCs w:val="21"/>
              </w:rPr>
            </w:pPr>
          </w:p>
        </w:tc>
        <w:tc>
          <w:tcPr>
            <w:tcW w:w="5617" w:type="dxa"/>
            <w:gridSpan w:val="6"/>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ind w:left="105" w:leftChars="50"/>
              <w:jc w:val="center"/>
              <w:rPr>
                <w:rFonts w:ascii="宋体" w:hAnsi="宋体" w:eastAsia="宋体" w:cs="宋体"/>
                <w:kern w:val="0"/>
                <w:szCs w:val="21"/>
                <w:u w:val="single"/>
              </w:rPr>
            </w:pPr>
            <w:r>
              <w:rPr>
                <w:rFonts w:hint="eastAsia" w:ascii="宋体" w:hAnsi="宋体" w:eastAsia="宋体" w:cs="宋体"/>
                <w:kern w:val="0"/>
                <w:szCs w:val="21"/>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tcBorders>
              <w:top w:val="single" w:color="000000" w:sz="6" w:space="0"/>
              <w:left w:val="single" w:color="000000" w:sz="12"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企业资质等级</w:t>
            </w:r>
          </w:p>
        </w:tc>
        <w:tc>
          <w:tcPr>
            <w:tcW w:w="2080"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kern w:val="0"/>
                <w:szCs w:val="21"/>
              </w:rPr>
            </w:pPr>
          </w:p>
        </w:tc>
        <w:tc>
          <w:tcPr>
            <w:tcW w:w="1416" w:type="dxa"/>
            <w:vMerge w:val="restar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其中</w:t>
            </w:r>
          </w:p>
        </w:tc>
        <w:tc>
          <w:tcPr>
            <w:tcW w:w="2119" w:type="dxa"/>
            <w:gridSpan w:val="3"/>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项目经理</w:t>
            </w:r>
          </w:p>
        </w:tc>
        <w:tc>
          <w:tcPr>
            <w:tcW w:w="2082" w:type="dxa"/>
            <w:gridSpan w:val="2"/>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jc w:val="center"/>
              <w:rPr>
                <w:rFonts w:ascii="宋体" w:hAnsi="宋体" w:eastAsia="宋体" w:cs="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tcBorders>
              <w:top w:val="single" w:color="000000" w:sz="6" w:space="0"/>
              <w:left w:val="single" w:color="000000" w:sz="12"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营业执照号</w:t>
            </w:r>
          </w:p>
        </w:tc>
        <w:tc>
          <w:tcPr>
            <w:tcW w:w="2080"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kern w:val="0"/>
                <w:szCs w:val="21"/>
              </w:rPr>
            </w:pPr>
          </w:p>
        </w:tc>
        <w:tc>
          <w:tcPr>
            <w:tcW w:w="141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2119" w:type="dxa"/>
            <w:gridSpan w:val="3"/>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高级职称人员</w:t>
            </w:r>
          </w:p>
        </w:tc>
        <w:tc>
          <w:tcPr>
            <w:tcW w:w="2082" w:type="dxa"/>
            <w:gridSpan w:val="2"/>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jc w:val="center"/>
              <w:rPr>
                <w:rFonts w:ascii="宋体" w:hAnsi="宋体" w:eastAsia="宋体" w:cs="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tcBorders>
              <w:top w:val="single" w:color="000000" w:sz="6" w:space="0"/>
              <w:left w:val="single" w:color="000000" w:sz="12"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注册资金</w:t>
            </w:r>
          </w:p>
        </w:tc>
        <w:tc>
          <w:tcPr>
            <w:tcW w:w="2080"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kern w:val="0"/>
                <w:szCs w:val="21"/>
              </w:rPr>
            </w:pPr>
          </w:p>
        </w:tc>
        <w:tc>
          <w:tcPr>
            <w:tcW w:w="141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2119" w:type="dxa"/>
            <w:gridSpan w:val="3"/>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中级职称人员</w:t>
            </w:r>
          </w:p>
        </w:tc>
        <w:tc>
          <w:tcPr>
            <w:tcW w:w="2082" w:type="dxa"/>
            <w:gridSpan w:val="2"/>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jc w:val="center"/>
              <w:rPr>
                <w:rFonts w:ascii="宋体" w:hAnsi="宋体" w:eastAsia="宋体" w:cs="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tcBorders>
              <w:top w:val="single" w:color="000000" w:sz="6" w:space="0"/>
              <w:left w:val="single" w:color="000000" w:sz="12"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基本账户开户银行</w:t>
            </w:r>
          </w:p>
        </w:tc>
        <w:tc>
          <w:tcPr>
            <w:tcW w:w="2080"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kern w:val="0"/>
                <w:szCs w:val="21"/>
              </w:rPr>
            </w:pPr>
          </w:p>
        </w:tc>
        <w:tc>
          <w:tcPr>
            <w:tcW w:w="141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2119" w:type="dxa"/>
            <w:gridSpan w:val="3"/>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初级职称人员</w:t>
            </w:r>
          </w:p>
        </w:tc>
        <w:tc>
          <w:tcPr>
            <w:tcW w:w="2082" w:type="dxa"/>
            <w:gridSpan w:val="2"/>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jc w:val="center"/>
              <w:rPr>
                <w:rFonts w:ascii="宋体" w:hAnsi="宋体" w:eastAsia="宋体" w:cs="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tcBorders>
              <w:top w:val="single" w:color="000000" w:sz="6" w:space="0"/>
              <w:left w:val="single" w:color="000000" w:sz="12"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基本账户账号</w:t>
            </w:r>
          </w:p>
        </w:tc>
        <w:tc>
          <w:tcPr>
            <w:tcW w:w="2080"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kern w:val="0"/>
                <w:szCs w:val="21"/>
              </w:rPr>
            </w:pPr>
          </w:p>
        </w:tc>
        <w:tc>
          <w:tcPr>
            <w:tcW w:w="141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2119" w:type="dxa"/>
            <w:gridSpan w:val="3"/>
            <w:tcBorders>
              <w:top w:val="single" w:color="000000" w:sz="6" w:space="0"/>
              <w:left w:val="single" w:color="000000" w:sz="6" w:space="0"/>
              <w:bottom w:val="single" w:color="000000" w:sz="6" w:space="0"/>
              <w:right w:val="single" w:color="000000" w:sz="6" w:space="0"/>
            </w:tcBorders>
            <w:vAlign w:val="center"/>
          </w:tcPr>
          <w:p>
            <w:pPr>
              <w:tabs>
                <w:tab w:val="left" w:pos="1240"/>
              </w:tabs>
              <w:autoSpaceDE w:val="0"/>
              <w:autoSpaceDN w:val="0"/>
              <w:adjustRightInd w:val="0"/>
              <w:spacing w:before="98"/>
              <w:jc w:val="center"/>
              <w:rPr>
                <w:rFonts w:ascii="宋体" w:hAnsi="宋体" w:eastAsia="宋体" w:cs="宋体"/>
                <w:kern w:val="0"/>
                <w:szCs w:val="21"/>
              </w:rPr>
            </w:pPr>
            <w:r>
              <w:rPr>
                <w:rFonts w:hint="eastAsia" w:ascii="宋体" w:hAnsi="宋体" w:eastAsia="宋体" w:cs="宋体"/>
                <w:kern w:val="0"/>
                <w:szCs w:val="21"/>
              </w:rPr>
              <w:t>技工</w:t>
            </w:r>
          </w:p>
        </w:tc>
        <w:tc>
          <w:tcPr>
            <w:tcW w:w="2082" w:type="dxa"/>
            <w:gridSpan w:val="2"/>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jc w:val="center"/>
              <w:rPr>
                <w:rFonts w:ascii="宋体" w:hAnsi="宋体" w:eastAsia="宋体" w:cs="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58" w:hRule="exact"/>
          <w:jc w:val="center"/>
        </w:trPr>
        <w:tc>
          <w:tcPr>
            <w:tcW w:w="1942" w:type="dxa"/>
            <w:tcBorders>
              <w:top w:val="single" w:color="000000" w:sz="6" w:space="0"/>
              <w:left w:val="single" w:color="000000" w:sz="12"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经营范围</w:t>
            </w:r>
          </w:p>
        </w:tc>
        <w:tc>
          <w:tcPr>
            <w:tcW w:w="7697" w:type="dxa"/>
            <w:gridSpan w:val="8"/>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jc w:val="center"/>
              <w:rPr>
                <w:rFonts w:ascii="宋体" w:hAnsi="宋体" w:eastAsia="宋体" w:cs="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23" w:hRule="exact"/>
          <w:jc w:val="center"/>
        </w:trPr>
        <w:tc>
          <w:tcPr>
            <w:tcW w:w="1942" w:type="dxa"/>
            <w:tcBorders>
              <w:top w:val="single" w:color="000000" w:sz="6" w:space="0"/>
              <w:left w:val="single" w:color="000000" w:sz="12" w:space="0"/>
              <w:bottom w:val="single" w:color="000000" w:sz="6" w:space="0"/>
              <w:right w:val="single" w:color="000000" w:sz="6" w:space="0"/>
            </w:tcBorders>
            <w:vAlign w:val="center"/>
          </w:tcPr>
          <w:p>
            <w:pPr>
              <w:autoSpaceDE w:val="0"/>
              <w:autoSpaceDN w:val="0"/>
              <w:adjustRightInd w:val="0"/>
              <w:snapToGrid w:val="0"/>
              <w:jc w:val="center"/>
              <w:rPr>
                <w:rFonts w:ascii="宋体" w:hAnsi="宋体" w:eastAsia="宋体" w:cs="宋体"/>
                <w:kern w:val="0"/>
                <w:szCs w:val="21"/>
              </w:rPr>
            </w:pPr>
            <w:r>
              <w:rPr>
                <w:color w:val="000000"/>
              </w:rPr>
              <w:t>投标人关联企业情况</w:t>
            </w:r>
          </w:p>
        </w:tc>
        <w:tc>
          <w:tcPr>
            <w:tcW w:w="7697" w:type="dxa"/>
            <w:gridSpan w:val="8"/>
            <w:tcBorders>
              <w:top w:val="single" w:color="000000" w:sz="6" w:space="0"/>
              <w:left w:val="single" w:color="000000" w:sz="6" w:space="0"/>
              <w:bottom w:val="single" w:color="000000" w:sz="6" w:space="0"/>
              <w:right w:val="single" w:color="000000" w:sz="12" w:space="0"/>
            </w:tcBorders>
            <w:vAlign w:val="center"/>
          </w:tcPr>
          <w:p>
            <w:pPr>
              <w:pStyle w:val="227"/>
              <w:snapToGrid w:val="0"/>
              <w:rPr>
                <w:color w:val="000000"/>
                <w:szCs w:val="24"/>
              </w:rPr>
            </w:pPr>
            <w:r>
              <w:rPr>
                <w:color w:val="000000"/>
                <w:szCs w:val="24"/>
              </w:rPr>
              <w:t>投标人应提供关联企业情况，包括：</w:t>
            </w:r>
          </w:p>
          <w:p>
            <w:pPr>
              <w:pStyle w:val="227"/>
              <w:snapToGrid w:val="0"/>
              <w:rPr>
                <w:color w:val="000000"/>
                <w:szCs w:val="24"/>
              </w:rPr>
            </w:pPr>
            <w:r>
              <w:rPr>
                <w:color w:val="000000"/>
                <w:szCs w:val="24"/>
              </w:rPr>
              <w:t>（1）投标人的所有股东名称及相应股权（出资额）比例；如投标人为上市公司，投标人应提供股权占公司股份总数10 %以上的所有股东名称及相应股权比例；</w:t>
            </w:r>
          </w:p>
          <w:p>
            <w:pPr>
              <w:pStyle w:val="227"/>
              <w:snapToGrid w:val="0"/>
              <w:rPr>
                <w:color w:val="000000"/>
                <w:szCs w:val="24"/>
              </w:rPr>
            </w:pPr>
            <w:r>
              <w:rPr>
                <w:color w:val="000000"/>
                <w:szCs w:val="24"/>
              </w:rPr>
              <w:t>（2）投标人投资（控股）或管理的下属企业名称、持有股权（出资额）比例；</w:t>
            </w:r>
          </w:p>
          <w:p>
            <w:pPr>
              <w:autoSpaceDE w:val="0"/>
              <w:autoSpaceDN w:val="0"/>
              <w:adjustRightInd w:val="0"/>
              <w:snapToGrid w:val="0"/>
              <w:rPr>
                <w:rFonts w:ascii="宋体" w:hAnsi="宋体" w:eastAsia="宋体" w:cs="宋体"/>
                <w:kern w:val="0"/>
                <w:szCs w:val="21"/>
              </w:rPr>
            </w:pPr>
            <w:r>
              <w:rPr>
                <w:color w:val="000000"/>
              </w:rPr>
              <w:t>（3）与投标人单位负责人（即法定代表人）为同一人的其他单位名称。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tcBorders>
              <w:top w:val="single" w:color="000000" w:sz="6" w:space="0"/>
              <w:left w:val="single" w:color="000000" w:sz="12" w:space="0"/>
              <w:bottom w:val="single" w:color="000000" w:sz="12" w:space="0"/>
              <w:right w:val="single" w:color="000000" w:sz="6" w:space="0"/>
            </w:tcBorders>
            <w:vAlign w:val="center"/>
          </w:tcPr>
          <w:p>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备    注</w:t>
            </w:r>
          </w:p>
        </w:tc>
        <w:tc>
          <w:tcPr>
            <w:tcW w:w="7697" w:type="dxa"/>
            <w:gridSpan w:val="8"/>
            <w:tcBorders>
              <w:top w:val="single" w:color="000000" w:sz="6" w:space="0"/>
              <w:left w:val="single" w:color="000000" w:sz="6" w:space="0"/>
              <w:bottom w:val="single" w:color="000000" w:sz="12" w:space="0"/>
              <w:right w:val="single" w:color="000000" w:sz="12" w:space="0"/>
            </w:tcBorders>
            <w:vAlign w:val="center"/>
          </w:tcPr>
          <w:p>
            <w:pPr>
              <w:autoSpaceDE w:val="0"/>
              <w:autoSpaceDN w:val="0"/>
              <w:adjustRightInd w:val="0"/>
              <w:jc w:val="center"/>
              <w:rPr>
                <w:rFonts w:ascii="宋体" w:hAnsi="宋体" w:eastAsia="宋体" w:cs="宋体"/>
                <w:kern w:val="0"/>
                <w:szCs w:val="21"/>
              </w:rPr>
            </w:pPr>
          </w:p>
        </w:tc>
      </w:tr>
    </w:tbl>
    <w:p>
      <w:pPr>
        <w:spacing w:line="360" w:lineRule="exact"/>
        <w:rPr>
          <w:color w:val="000000"/>
        </w:rPr>
      </w:pPr>
      <w:r>
        <w:rPr>
          <w:color w:val="000000"/>
        </w:rPr>
        <w:t>注：</w:t>
      </w:r>
      <w:r>
        <w:rPr>
          <w:rFonts w:hint="eastAsia"/>
          <w:color w:val="000000"/>
        </w:rPr>
        <w:t>投标人应根据招标文件第二章“投标人须知”第3.5.1项的要求在本表后附相关证明材料。</w:t>
      </w:r>
    </w:p>
    <w:p>
      <w:pPr>
        <w:pStyle w:val="2"/>
      </w:pPr>
      <w:r>
        <w:br w:type="page"/>
      </w:r>
    </w:p>
    <w:p>
      <w:pPr>
        <w:spacing w:line="360" w:lineRule="exact"/>
        <w:rPr>
          <w:color w:val="000000"/>
        </w:rPr>
      </w:pPr>
    </w:p>
    <w:p>
      <w:pPr>
        <w:pStyle w:val="3"/>
        <w:spacing w:before="312" w:beforeLines="100" w:after="312" w:afterLines="100" w:line="360" w:lineRule="exact"/>
        <w:jc w:val="center"/>
        <w:rPr>
          <w:rFonts w:eastAsia="黑体"/>
          <w:b w:val="0"/>
          <w:sz w:val="30"/>
          <w:szCs w:val="30"/>
        </w:rPr>
      </w:pPr>
      <w:bookmarkStart w:id="583" w:name="_Toc98785431"/>
      <w:bookmarkStart w:id="584" w:name="_Toc173244885"/>
      <w:bookmarkStart w:id="585" w:name="_Toc173246272"/>
      <w:r>
        <w:rPr>
          <w:rFonts w:hint="eastAsia" w:eastAsia="黑体"/>
          <w:b w:val="0"/>
          <w:sz w:val="30"/>
          <w:szCs w:val="30"/>
        </w:rPr>
        <w:t>（二）投标人的信誉情况</w:t>
      </w:r>
      <w:bookmarkEnd w:id="583"/>
      <w:bookmarkEnd w:id="584"/>
      <w:bookmarkEnd w:id="585"/>
    </w:p>
    <w:tbl>
      <w:tblPr>
        <w:tblStyle w:val="52"/>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6" w:type="dxa"/>
            <w:tcBorders>
              <w:top w:val="single" w:color="auto" w:sz="12" w:space="0"/>
              <w:left w:val="single" w:color="auto" w:sz="12" w:space="0"/>
            </w:tcBorders>
            <w:vAlign w:val="center"/>
          </w:tcPr>
          <w:p>
            <w:pPr>
              <w:pStyle w:val="226"/>
              <w:spacing w:line="360" w:lineRule="auto"/>
              <w:jc w:val="center"/>
              <w:rPr>
                <w:szCs w:val="24"/>
              </w:rPr>
            </w:pPr>
            <w:r>
              <w:rPr>
                <w:szCs w:val="24"/>
              </w:rPr>
              <w:t>项目</w:t>
            </w:r>
          </w:p>
        </w:tc>
        <w:tc>
          <w:tcPr>
            <w:tcW w:w="4644" w:type="dxa"/>
            <w:tcBorders>
              <w:top w:val="single" w:color="auto" w:sz="12" w:space="0"/>
              <w:right w:val="single" w:color="auto" w:sz="12" w:space="0"/>
            </w:tcBorders>
            <w:vAlign w:val="center"/>
          </w:tcPr>
          <w:p>
            <w:pPr>
              <w:pStyle w:val="226"/>
              <w:spacing w:line="360" w:lineRule="auto"/>
              <w:jc w:val="center"/>
              <w:rPr>
                <w:szCs w:val="24"/>
              </w:rPr>
            </w:pPr>
            <w:r>
              <w:rPr>
                <w:szCs w:val="24"/>
              </w:rPr>
              <w:t>投标人情况说明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6" w:type="dxa"/>
            <w:tcBorders>
              <w:left w:val="single" w:color="auto" w:sz="12" w:space="0"/>
            </w:tcBorders>
            <w:vAlign w:val="center"/>
          </w:tcPr>
          <w:p>
            <w:pPr>
              <w:pStyle w:val="226"/>
              <w:spacing w:line="360" w:lineRule="auto"/>
              <w:jc w:val="center"/>
              <w:rPr>
                <w:szCs w:val="24"/>
              </w:rPr>
            </w:pPr>
          </w:p>
        </w:tc>
        <w:tc>
          <w:tcPr>
            <w:tcW w:w="4644" w:type="dxa"/>
            <w:tcBorders>
              <w:right w:val="single" w:color="auto" w:sz="12" w:space="0"/>
            </w:tcBorders>
            <w:vAlign w:val="center"/>
          </w:tcPr>
          <w:p>
            <w:pPr>
              <w:pStyle w:val="226"/>
              <w:spacing w:line="360" w:lineRule="auto"/>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6" w:type="dxa"/>
            <w:tcBorders>
              <w:left w:val="single" w:color="auto" w:sz="12" w:space="0"/>
            </w:tcBorders>
            <w:vAlign w:val="center"/>
          </w:tcPr>
          <w:p>
            <w:pPr>
              <w:pStyle w:val="226"/>
              <w:spacing w:line="360" w:lineRule="auto"/>
              <w:jc w:val="center"/>
              <w:rPr>
                <w:szCs w:val="24"/>
              </w:rPr>
            </w:pPr>
          </w:p>
        </w:tc>
        <w:tc>
          <w:tcPr>
            <w:tcW w:w="4644" w:type="dxa"/>
            <w:tcBorders>
              <w:right w:val="single" w:color="auto" w:sz="12" w:space="0"/>
            </w:tcBorders>
            <w:vAlign w:val="center"/>
          </w:tcPr>
          <w:p>
            <w:pPr>
              <w:pStyle w:val="226"/>
              <w:spacing w:line="360" w:lineRule="auto"/>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6" w:type="dxa"/>
            <w:tcBorders>
              <w:left w:val="single" w:color="auto" w:sz="12" w:space="0"/>
            </w:tcBorders>
            <w:vAlign w:val="center"/>
          </w:tcPr>
          <w:p>
            <w:pPr>
              <w:pStyle w:val="226"/>
              <w:spacing w:line="360" w:lineRule="auto"/>
              <w:jc w:val="center"/>
              <w:rPr>
                <w:szCs w:val="24"/>
              </w:rPr>
            </w:pPr>
          </w:p>
        </w:tc>
        <w:tc>
          <w:tcPr>
            <w:tcW w:w="4644" w:type="dxa"/>
            <w:tcBorders>
              <w:right w:val="single" w:color="auto" w:sz="12" w:space="0"/>
            </w:tcBorders>
            <w:vAlign w:val="center"/>
          </w:tcPr>
          <w:p>
            <w:pPr>
              <w:pStyle w:val="226"/>
              <w:spacing w:line="360" w:lineRule="auto"/>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6" w:type="dxa"/>
            <w:tcBorders>
              <w:left w:val="single" w:color="auto" w:sz="12" w:space="0"/>
            </w:tcBorders>
            <w:vAlign w:val="center"/>
          </w:tcPr>
          <w:p>
            <w:pPr>
              <w:pStyle w:val="226"/>
              <w:spacing w:line="360" w:lineRule="auto"/>
              <w:jc w:val="center"/>
              <w:rPr>
                <w:szCs w:val="24"/>
              </w:rPr>
            </w:pPr>
          </w:p>
        </w:tc>
        <w:tc>
          <w:tcPr>
            <w:tcW w:w="4644" w:type="dxa"/>
            <w:tcBorders>
              <w:right w:val="single" w:color="auto" w:sz="12" w:space="0"/>
            </w:tcBorders>
            <w:vAlign w:val="center"/>
          </w:tcPr>
          <w:p>
            <w:pPr>
              <w:pStyle w:val="226"/>
              <w:spacing w:line="360" w:lineRule="auto"/>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6" w:type="dxa"/>
            <w:tcBorders>
              <w:left w:val="single" w:color="auto" w:sz="12" w:space="0"/>
            </w:tcBorders>
            <w:vAlign w:val="center"/>
          </w:tcPr>
          <w:p>
            <w:pPr>
              <w:pStyle w:val="226"/>
              <w:spacing w:line="360" w:lineRule="auto"/>
              <w:jc w:val="center"/>
              <w:rPr>
                <w:szCs w:val="24"/>
              </w:rPr>
            </w:pPr>
          </w:p>
        </w:tc>
        <w:tc>
          <w:tcPr>
            <w:tcW w:w="4644" w:type="dxa"/>
            <w:tcBorders>
              <w:right w:val="single" w:color="auto" w:sz="12" w:space="0"/>
            </w:tcBorders>
            <w:vAlign w:val="center"/>
          </w:tcPr>
          <w:p>
            <w:pPr>
              <w:pStyle w:val="226"/>
              <w:spacing w:line="360" w:lineRule="auto"/>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6" w:type="dxa"/>
            <w:tcBorders>
              <w:left w:val="single" w:color="auto" w:sz="12" w:space="0"/>
            </w:tcBorders>
            <w:vAlign w:val="center"/>
          </w:tcPr>
          <w:p>
            <w:pPr>
              <w:pStyle w:val="226"/>
              <w:spacing w:line="360" w:lineRule="auto"/>
              <w:jc w:val="center"/>
              <w:rPr>
                <w:szCs w:val="24"/>
              </w:rPr>
            </w:pPr>
          </w:p>
        </w:tc>
        <w:tc>
          <w:tcPr>
            <w:tcW w:w="4644" w:type="dxa"/>
            <w:tcBorders>
              <w:right w:val="single" w:color="auto" w:sz="12" w:space="0"/>
            </w:tcBorders>
            <w:vAlign w:val="center"/>
          </w:tcPr>
          <w:p>
            <w:pPr>
              <w:pStyle w:val="226"/>
              <w:spacing w:line="360" w:lineRule="auto"/>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6" w:type="dxa"/>
            <w:tcBorders>
              <w:left w:val="single" w:color="auto" w:sz="12" w:space="0"/>
            </w:tcBorders>
            <w:vAlign w:val="center"/>
          </w:tcPr>
          <w:p>
            <w:pPr>
              <w:pStyle w:val="226"/>
              <w:spacing w:line="360" w:lineRule="auto"/>
              <w:jc w:val="center"/>
              <w:rPr>
                <w:szCs w:val="24"/>
              </w:rPr>
            </w:pPr>
          </w:p>
        </w:tc>
        <w:tc>
          <w:tcPr>
            <w:tcW w:w="4644" w:type="dxa"/>
            <w:tcBorders>
              <w:right w:val="single" w:color="auto" w:sz="12" w:space="0"/>
            </w:tcBorders>
            <w:vAlign w:val="center"/>
          </w:tcPr>
          <w:p>
            <w:pPr>
              <w:pStyle w:val="226"/>
              <w:spacing w:line="360" w:lineRule="auto"/>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6" w:type="dxa"/>
            <w:tcBorders>
              <w:left w:val="single" w:color="auto" w:sz="12" w:space="0"/>
            </w:tcBorders>
            <w:vAlign w:val="center"/>
          </w:tcPr>
          <w:p>
            <w:pPr>
              <w:pStyle w:val="226"/>
              <w:spacing w:line="360" w:lineRule="auto"/>
              <w:jc w:val="center"/>
              <w:rPr>
                <w:szCs w:val="24"/>
              </w:rPr>
            </w:pPr>
          </w:p>
        </w:tc>
        <w:tc>
          <w:tcPr>
            <w:tcW w:w="4644" w:type="dxa"/>
            <w:tcBorders>
              <w:right w:val="single" w:color="auto" w:sz="12" w:space="0"/>
            </w:tcBorders>
            <w:vAlign w:val="center"/>
          </w:tcPr>
          <w:p>
            <w:pPr>
              <w:pStyle w:val="226"/>
              <w:spacing w:line="360" w:lineRule="auto"/>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6" w:type="dxa"/>
            <w:tcBorders>
              <w:left w:val="single" w:color="auto" w:sz="12" w:space="0"/>
            </w:tcBorders>
            <w:vAlign w:val="center"/>
          </w:tcPr>
          <w:p>
            <w:pPr>
              <w:pStyle w:val="226"/>
              <w:spacing w:line="360" w:lineRule="auto"/>
              <w:jc w:val="center"/>
              <w:rPr>
                <w:szCs w:val="24"/>
              </w:rPr>
            </w:pPr>
          </w:p>
        </w:tc>
        <w:tc>
          <w:tcPr>
            <w:tcW w:w="4644" w:type="dxa"/>
            <w:tcBorders>
              <w:right w:val="single" w:color="auto" w:sz="12" w:space="0"/>
            </w:tcBorders>
            <w:vAlign w:val="center"/>
          </w:tcPr>
          <w:p>
            <w:pPr>
              <w:pStyle w:val="226"/>
              <w:spacing w:line="360" w:lineRule="auto"/>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6" w:type="dxa"/>
            <w:tcBorders>
              <w:left w:val="single" w:color="auto" w:sz="12" w:space="0"/>
            </w:tcBorders>
            <w:vAlign w:val="center"/>
          </w:tcPr>
          <w:p>
            <w:pPr>
              <w:pStyle w:val="226"/>
              <w:spacing w:line="360" w:lineRule="auto"/>
              <w:jc w:val="center"/>
              <w:rPr>
                <w:szCs w:val="24"/>
              </w:rPr>
            </w:pPr>
          </w:p>
        </w:tc>
        <w:tc>
          <w:tcPr>
            <w:tcW w:w="4644" w:type="dxa"/>
            <w:tcBorders>
              <w:right w:val="single" w:color="auto" w:sz="12" w:space="0"/>
            </w:tcBorders>
            <w:vAlign w:val="center"/>
          </w:tcPr>
          <w:p>
            <w:pPr>
              <w:pStyle w:val="226"/>
              <w:spacing w:line="360" w:lineRule="auto"/>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6" w:type="dxa"/>
            <w:tcBorders>
              <w:left w:val="single" w:color="auto" w:sz="12" w:space="0"/>
            </w:tcBorders>
            <w:vAlign w:val="center"/>
          </w:tcPr>
          <w:p>
            <w:pPr>
              <w:pStyle w:val="226"/>
              <w:spacing w:line="360" w:lineRule="auto"/>
              <w:jc w:val="center"/>
              <w:rPr>
                <w:szCs w:val="24"/>
              </w:rPr>
            </w:pPr>
          </w:p>
        </w:tc>
        <w:tc>
          <w:tcPr>
            <w:tcW w:w="4644" w:type="dxa"/>
            <w:tcBorders>
              <w:right w:val="single" w:color="auto" w:sz="12" w:space="0"/>
            </w:tcBorders>
            <w:vAlign w:val="center"/>
          </w:tcPr>
          <w:p>
            <w:pPr>
              <w:pStyle w:val="226"/>
              <w:spacing w:line="360" w:lineRule="auto"/>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6" w:type="dxa"/>
            <w:tcBorders>
              <w:left w:val="single" w:color="auto" w:sz="12" w:space="0"/>
            </w:tcBorders>
            <w:vAlign w:val="center"/>
          </w:tcPr>
          <w:p>
            <w:pPr>
              <w:pStyle w:val="226"/>
              <w:spacing w:line="360" w:lineRule="auto"/>
              <w:jc w:val="center"/>
              <w:rPr>
                <w:szCs w:val="24"/>
              </w:rPr>
            </w:pPr>
          </w:p>
        </w:tc>
        <w:tc>
          <w:tcPr>
            <w:tcW w:w="4644" w:type="dxa"/>
            <w:tcBorders>
              <w:right w:val="single" w:color="auto" w:sz="12" w:space="0"/>
            </w:tcBorders>
            <w:vAlign w:val="center"/>
          </w:tcPr>
          <w:p>
            <w:pPr>
              <w:pStyle w:val="226"/>
              <w:spacing w:line="360" w:lineRule="auto"/>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6" w:type="dxa"/>
            <w:tcBorders>
              <w:left w:val="single" w:color="auto" w:sz="12" w:space="0"/>
            </w:tcBorders>
            <w:vAlign w:val="center"/>
          </w:tcPr>
          <w:p>
            <w:pPr>
              <w:pStyle w:val="226"/>
              <w:spacing w:line="360" w:lineRule="auto"/>
              <w:jc w:val="center"/>
              <w:rPr>
                <w:szCs w:val="24"/>
              </w:rPr>
            </w:pPr>
          </w:p>
        </w:tc>
        <w:tc>
          <w:tcPr>
            <w:tcW w:w="4644" w:type="dxa"/>
            <w:tcBorders>
              <w:right w:val="single" w:color="auto" w:sz="12" w:space="0"/>
            </w:tcBorders>
            <w:vAlign w:val="center"/>
          </w:tcPr>
          <w:p>
            <w:pPr>
              <w:pStyle w:val="226"/>
              <w:spacing w:line="360" w:lineRule="auto"/>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6" w:type="dxa"/>
            <w:tcBorders>
              <w:left w:val="single" w:color="auto" w:sz="12" w:space="0"/>
            </w:tcBorders>
            <w:vAlign w:val="center"/>
          </w:tcPr>
          <w:p>
            <w:pPr>
              <w:pStyle w:val="226"/>
              <w:spacing w:line="360" w:lineRule="auto"/>
              <w:jc w:val="center"/>
              <w:rPr>
                <w:szCs w:val="24"/>
              </w:rPr>
            </w:pPr>
          </w:p>
        </w:tc>
        <w:tc>
          <w:tcPr>
            <w:tcW w:w="4644" w:type="dxa"/>
            <w:tcBorders>
              <w:right w:val="single" w:color="auto" w:sz="12" w:space="0"/>
            </w:tcBorders>
            <w:vAlign w:val="center"/>
          </w:tcPr>
          <w:p>
            <w:pPr>
              <w:pStyle w:val="226"/>
              <w:spacing w:line="360" w:lineRule="auto"/>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6" w:type="dxa"/>
            <w:tcBorders>
              <w:left w:val="single" w:color="auto" w:sz="12" w:space="0"/>
            </w:tcBorders>
            <w:vAlign w:val="center"/>
          </w:tcPr>
          <w:p>
            <w:pPr>
              <w:pStyle w:val="226"/>
              <w:spacing w:line="360" w:lineRule="auto"/>
              <w:jc w:val="center"/>
              <w:rPr>
                <w:szCs w:val="24"/>
              </w:rPr>
            </w:pPr>
          </w:p>
        </w:tc>
        <w:tc>
          <w:tcPr>
            <w:tcW w:w="4644" w:type="dxa"/>
            <w:tcBorders>
              <w:right w:val="single" w:color="auto" w:sz="12" w:space="0"/>
            </w:tcBorders>
            <w:vAlign w:val="center"/>
          </w:tcPr>
          <w:p>
            <w:pPr>
              <w:pStyle w:val="226"/>
              <w:spacing w:line="360" w:lineRule="auto"/>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6" w:type="dxa"/>
            <w:tcBorders>
              <w:left w:val="single" w:color="auto" w:sz="12" w:space="0"/>
              <w:bottom w:val="single" w:color="auto" w:sz="12" w:space="0"/>
            </w:tcBorders>
            <w:vAlign w:val="center"/>
          </w:tcPr>
          <w:p>
            <w:pPr>
              <w:pStyle w:val="226"/>
              <w:spacing w:line="360" w:lineRule="auto"/>
              <w:jc w:val="center"/>
              <w:rPr>
                <w:szCs w:val="24"/>
              </w:rPr>
            </w:pPr>
          </w:p>
        </w:tc>
        <w:tc>
          <w:tcPr>
            <w:tcW w:w="4644" w:type="dxa"/>
            <w:tcBorders>
              <w:bottom w:val="single" w:color="auto" w:sz="12" w:space="0"/>
              <w:right w:val="single" w:color="auto" w:sz="12" w:space="0"/>
            </w:tcBorders>
            <w:vAlign w:val="center"/>
          </w:tcPr>
          <w:p>
            <w:pPr>
              <w:pStyle w:val="226"/>
              <w:spacing w:line="360" w:lineRule="auto"/>
              <w:jc w:val="center"/>
              <w:rPr>
                <w:szCs w:val="24"/>
              </w:rPr>
            </w:pPr>
          </w:p>
        </w:tc>
      </w:tr>
    </w:tbl>
    <w:p>
      <w:pPr>
        <w:pStyle w:val="226"/>
        <w:spacing w:line="360" w:lineRule="auto"/>
        <w:ind w:left="1352" w:leftChars="200" w:hanging="932" w:hangingChars="444"/>
        <w:rPr>
          <w:szCs w:val="24"/>
        </w:rPr>
      </w:pPr>
    </w:p>
    <w:p>
      <w:pPr>
        <w:pStyle w:val="226"/>
        <w:spacing w:line="360" w:lineRule="auto"/>
        <w:ind w:left="405" w:hanging="420"/>
        <w:rPr>
          <w:szCs w:val="24"/>
        </w:rPr>
      </w:pPr>
      <w:r>
        <w:rPr>
          <w:szCs w:val="24"/>
        </w:rPr>
        <w:t xml:space="preserve">注：1.投标人应按照招标文件第二章“投标人须知”前附表附录4和“投标人须知”正文第1.4.4项规定，逐条说明其信誉情况。 </w:t>
      </w:r>
    </w:p>
    <w:p>
      <w:pPr>
        <w:pStyle w:val="226"/>
        <w:spacing w:line="360" w:lineRule="auto"/>
        <w:ind w:left="105" w:leftChars="50" w:firstLine="315" w:firstLineChars="150"/>
        <w:rPr>
          <w:szCs w:val="24"/>
        </w:rPr>
      </w:pPr>
      <w:r>
        <w:rPr>
          <w:szCs w:val="24"/>
        </w:rPr>
        <w:t>2.投标人应根据招标文件第二章“投标人须知”第3.5.4项的要求在本表后附相关证明材料。</w:t>
      </w:r>
    </w:p>
    <w:p>
      <w:pPr>
        <w:pStyle w:val="3"/>
        <w:spacing w:before="312" w:beforeLines="100" w:after="468" w:afterLines="150" w:line="360" w:lineRule="exact"/>
        <w:jc w:val="center"/>
        <w:rPr>
          <w:rFonts w:ascii="宋体" w:hAnsi="宋体"/>
          <w:b w:val="0"/>
          <w:sz w:val="30"/>
          <w:szCs w:val="30"/>
        </w:rPr>
      </w:pPr>
      <w:bookmarkStart w:id="586" w:name="_Toc173244886"/>
      <w:bookmarkStart w:id="587" w:name="_Toc173246273"/>
      <w:r>
        <w:rPr>
          <w:rFonts w:hint="eastAsia" w:ascii="宋体" w:hAnsi="宋体"/>
          <w:b w:val="0"/>
          <w:sz w:val="30"/>
          <w:szCs w:val="30"/>
        </w:rPr>
        <w:t>（三）拟委任的项目经理、项目技术负责人和安全负责人资历表</w:t>
      </w:r>
      <w:bookmarkEnd w:id="586"/>
      <w:bookmarkEnd w:id="587"/>
    </w:p>
    <w:tbl>
      <w:tblPr>
        <w:tblStyle w:val="5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4"/>
        <w:gridCol w:w="1645"/>
        <w:gridCol w:w="1516"/>
        <w:gridCol w:w="862"/>
        <w:gridCol w:w="616"/>
        <w:gridCol w:w="776"/>
        <w:gridCol w:w="1393"/>
        <w:gridCol w:w="14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tcBorders>
              <w:top w:val="single" w:color="auto" w:sz="12" w:space="0"/>
              <w:left w:val="single" w:color="auto" w:sz="12" w:space="0"/>
              <w:bottom w:val="single" w:color="auto" w:sz="6" w:space="0"/>
              <w:right w:val="single" w:color="auto" w:sz="6" w:space="0"/>
            </w:tcBorders>
            <w:vAlign w:val="center"/>
          </w:tcPr>
          <w:p>
            <w:pPr>
              <w:tabs>
                <w:tab w:val="left" w:pos="680"/>
              </w:tabs>
              <w:autoSpaceDE w:val="0"/>
              <w:autoSpaceDN w:val="0"/>
              <w:adjustRightInd w:val="0"/>
              <w:spacing w:before="73"/>
              <w:jc w:val="center"/>
              <w:rPr>
                <w:rFonts w:ascii="宋体" w:hAnsi="宋体" w:eastAsia="宋体" w:cs="宋体"/>
                <w:kern w:val="0"/>
                <w:szCs w:val="21"/>
              </w:rPr>
            </w:pPr>
            <w:r>
              <w:rPr>
                <w:rFonts w:hint="eastAsia" w:ascii="宋体" w:hAnsi="宋体" w:eastAsia="宋体" w:cs="宋体"/>
                <w:kern w:val="0"/>
                <w:szCs w:val="21"/>
              </w:rPr>
              <w:t>姓</w:t>
            </w:r>
            <w:r>
              <w:rPr>
                <w:rFonts w:hint="eastAsia" w:ascii="宋体" w:hAnsi="宋体" w:eastAsia="宋体" w:cs="宋体"/>
                <w:kern w:val="0"/>
                <w:szCs w:val="21"/>
              </w:rPr>
              <w:tab/>
            </w:r>
            <w:r>
              <w:rPr>
                <w:rFonts w:hint="eastAsia" w:ascii="宋体" w:hAnsi="宋体" w:eastAsia="宋体" w:cs="宋体"/>
                <w:kern w:val="0"/>
                <w:szCs w:val="21"/>
              </w:rPr>
              <w:t>名</w:t>
            </w:r>
          </w:p>
        </w:tc>
        <w:tc>
          <w:tcPr>
            <w:tcW w:w="1645"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kern w:val="0"/>
                <w:szCs w:val="21"/>
              </w:rPr>
            </w:pPr>
          </w:p>
        </w:tc>
        <w:tc>
          <w:tcPr>
            <w:tcW w:w="1516"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spacing w:before="73"/>
              <w:jc w:val="center"/>
              <w:rPr>
                <w:rFonts w:ascii="宋体" w:hAnsi="宋体" w:eastAsia="宋体" w:cs="宋体"/>
                <w:kern w:val="0"/>
                <w:szCs w:val="21"/>
              </w:rPr>
            </w:pPr>
            <w:r>
              <w:rPr>
                <w:rFonts w:hint="eastAsia" w:ascii="宋体" w:hAnsi="宋体" w:eastAsia="宋体" w:cs="宋体"/>
                <w:kern w:val="0"/>
                <w:szCs w:val="21"/>
              </w:rPr>
              <w:t>年  龄</w:t>
            </w:r>
          </w:p>
        </w:tc>
        <w:tc>
          <w:tcPr>
            <w:tcW w:w="1478" w:type="dxa"/>
            <w:gridSpan w:val="2"/>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kern w:val="0"/>
                <w:szCs w:val="21"/>
              </w:rPr>
            </w:pPr>
          </w:p>
        </w:tc>
        <w:tc>
          <w:tcPr>
            <w:tcW w:w="2169" w:type="dxa"/>
            <w:gridSpan w:val="2"/>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spacing w:before="73"/>
              <w:jc w:val="center"/>
              <w:rPr>
                <w:rFonts w:ascii="宋体" w:hAnsi="宋体" w:eastAsia="宋体" w:cs="宋体"/>
                <w:kern w:val="0"/>
                <w:szCs w:val="21"/>
              </w:rPr>
            </w:pPr>
            <w:r>
              <w:rPr>
                <w:rFonts w:hint="eastAsia" w:ascii="宋体" w:hAnsi="宋体" w:eastAsia="宋体" w:cs="宋体"/>
                <w:kern w:val="0"/>
                <w:szCs w:val="21"/>
              </w:rPr>
              <w:t>专  业</w:t>
            </w:r>
          </w:p>
        </w:tc>
        <w:tc>
          <w:tcPr>
            <w:tcW w:w="1477"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tcBorders>
              <w:top w:val="single" w:color="auto" w:sz="6" w:space="0"/>
              <w:left w:val="single" w:color="auto" w:sz="12" w:space="0"/>
              <w:bottom w:val="single" w:color="auto" w:sz="6" w:space="0"/>
              <w:right w:val="single" w:color="auto" w:sz="6" w:space="0"/>
            </w:tcBorders>
            <w:vAlign w:val="center"/>
          </w:tcPr>
          <w:p>
            <w:pPr>
              <w:tabs>
                <w:tab w:val="left" w:pos="680"/>
              </w:tabs>
              <w:autoSpaceDE w:val="0"/>
              <w:autoSpaceDN w:val="0"/>
              <w:adjustRightInd w:val="0"/>
              <w:spacing w:before="73"/>
              <w:jc w:val="center"/>
              <w:rPr>
                <w:rFonts w:ascii="宋体" w:hAnsi="宋体" w:eastAsia="宋体" w:cs="宋体"/>
                <w:kern w:val="0"/>
                <w:szCs w:val="21"/>
              </w:rPr>
            </w:pPr>
            <w:r>
              <w:rPr>
                <w:rFonts w:hint="eastAsia" w:ascii="宋体" w:hAnsi="宋体" w:eastAsia="宋体" w:cs="宋体"/>
                <w:kern w:val="0"/>
                <w:szCs w:val="21"/>
              </w:rPr>
              <w:t>职</w:t>
            </w:r>
            <w:r>
              <w:rPr>
                <w:rFonts w:hint="eastAsia" w:ascii="宋体" w:hAnsi="宋体" w:eastAsia="宋体" w:cs="宋体"/>
                <w:kern w:val="0"/>
                <w:szCs w:val="21"/>
              </w:rPr>
              <w:tab/>
            </w:r>
            <w:r>
              <w:rPr>
                <w:rFonts w:hint="eastAsia" w:ascii="宋体" w:hAnsi="宋体" w:eastAsia="宋体" w:cs="宋体"/>
                <w:kern w:val="0"/>
                <w:szCs w:val="21"/>
              </w:rPr>
              <w:t>称</w:t>
            </w:r>
          </w:p>
        </w:tc>
        <w:tc>
          <w:tcPr>
            <w:tcW w:w="16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kern w:val="0"/>
                <w:szCs w:val="21"/>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73"/>
              <w:jc w:val="center"/>
              <w:rPr>
                <w:rFonts w:ascii="宋体" w:hAnsi="宋体" w:eastAsia="宋体" w:cs="宋体"/>
                <w:kern w:val="0"/>
                <w:szCs w:val="21"/>
              </w:rPr>
            </w:pPr>
            <w:r>
              <w:rPr>
                <w:rFonts w:hint="eastAsia" w:ascii="宋体" w:hAnsi="宋体" w:eastAsia="宋体" w:cs="宋体"/>
                <w:kern w:val="0"/>
                <w:szCs w:val="21"/>
              </w:rPr>
              <w:t>公司单位</w:t>
            </w:r>
          </w:p>
          <w:p>
            <w:pPr>
              <w:autoSpaceDE w:val="0"/>
              <w:autoSpaceDN w:val="0"/>
              <w:adjustRightInd w:val="0"/>
              <w:spacing w:before="73"/>
              <w:jc w:val="center"/>
              <w:rPr>
                <w:rFonts w:ascii="宋体" w:hAnsi="宋体" w:eastAsia="宋体" w:cs="宋体"/>
                <w:kern w:val="0"/>
                <w:szCs w:val="21"/>
              </w:rPr>
            </w:pPr>
            <w:r>
              <w:rPr>
                <w:rFonts w:hint="eastAsia" w:ascii="宋体" w:hAnsi="宋体" w:eastAsia="宋体" w:cs="宋体"/>
                <w:kern w:val="0"/>
                <w:szCs w:val="21"/>
              </w:rPr>
              <w:t>职    务</w:t>
            </w:r>
          </w:p>
        </w:tc>
        <w:tc>
          <w:tcPr>
            <w:tcW w:w="147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kern w:val="0"/>
                <w:szCs w:val="21"/>
              </w:rPr>
            </w:pPr>
          </w:p>
        </w:tc>
        <w:tc>
          <w:tcPr>
            <w:tcW w:w="216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73"/>
              <w:jc w:val="center"/>
              <w:rPr>
                <w:rFonts w:ascii="宋体" w:hAnsi="宋体" w:eastAsia="宋体" w:cs="宋体"/>
                <w:kern w:val="0"/>
                <w:szCs w:val="21"/>
              </w:rPr>
            </w:pPr>
            <w:r>
              <w:rPr>
                <w:rFonts w:hint="eastAsia" w:ascii="宋体" w:hAnsi="宋体" w:eastAsia="宋体" w:cs="宋体"/>
                <w:kern w:val="0"/>
                <w:szCs w:val="21"/>
              </w:rPr>
              <w:t>拟在本标段</w:t>
            </w:r>
          </w:p>
          <w:p>
            <w:pPr>
              <w:autoSpaceDE w:val="0"/>
              <w:autoSpaceDN w:val="0"/>
              <w:adjustRightInd w:val="0"/>
              <w:spacing w:before="73"/>
              <w:jc w:val="center"/>
              <w:rPr>
                <w:rFonts w:ascii="宋体" w:hAnsi="宋体" w:eastAsia="宋体" w:cs="宋体"/>
                <w:kern w:val="0"/>
                <w:szCs w:val="21"/>
              </w:rPr>
            </w:pPr>
            <w:r>
              <w:rPr>
                <w:rFonts w:hint="eastAsia" w:ascii="宋体" w:hAnsi="宋体" w:eastAsia="宋体" w:cs="宋体"/>
                <w:kern w:val="0"/>
                <w:szCs w:val="21"/>
              </w:rPr>
              <w:t>工程担任职务</w:t>
            </w:r>
          </w:p>
        </w:tc>
        <w:tc>
          <w:tcPr>
            <w:tcW w:w="1477"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before="73"/>
              <w:jc w:val="center"/>
              <w:rPr>
                <w:rFonts w:ascii="宋体" w:hAnsi="宋体" w:eastAsia="宋体" w:cs="宋体"/>
                <w:kern w:val="0"/>
                <w:szCs w:val="21"/>
              </w:rPr>
            </w:pPr>
            <w:r>
              <w:rPr>
                <w:rFonts w:hint="eastAsia" w:ascii="宋体" w:hAnsi="宋体" w:eastAsia="宋体" w:cs="宋体"/>
                <w:kern w:val="0"/>
                <w:szCs w:val="21"/>
              </w:rPr>
              <w:t>毕业学校</w:t>
            </w:r>
          </w:p>
        </w:tc>
        <w:tc>
          <w:tcPr>
            <w:tcW w:w="8285" w:type="dxa"/>
            <w:gridSpan w:val="7"/>
            <w:tcBorders>
              <w:top w:val="single" w:color="auto" w:sz="6" w:space="0"/>
              <w:left w:val="single" w:color="auto" w:sz="6" w:space="0"/>
              <w:bottom w:val="single" w:color="auto" w:sz="6" w:space="0"/>
              <w:right w:val="single" w:color="auto" w:sz="12" w:space="0"/>
            </w:tcBorders>
            <w:vAlign w:val="center"/>
          </w:tcPr>
          <w:p>
            <w:pPr>
              <w:tabs>
                <w:tab w:val="left" w:pos="2820"/>
                <w:tab w:val="left" w:pos="4080"/>
              </w:tabs>
              <w:autoSpaceDE w:val="0"/>
              <w:autoSpaceDN w:val="0"/>
              <w:adjustRightInd w:val="0"/>
              <w:spacing w:before="73"/>
              <w:ind w:left="-1291" w:leftChars="-615" w:firstLine="1260" w:firstLineChars="600"/>
              <w:rPr>
                <w:rFonts w:ascii="宋体" w:hAnsi="宋体" w:eastAsia="宋体" w:cs="宋体"/>
                <w:kern w:val="0"/>
                <w:szCs w:val="21"/>
              </w:rPr>
            </w:pPr>
            <w:r>
              <w:rPr>
                <w:rFonts w:hint="eastAsia" w:ascii="宋体" w:hAnsi="宋体" w:eastAsia="宋体" w:cs="宋体"/>
                <w:kern w:val="0"/>
                <w:szCs w:val="21"/>
                <w:u w:val="single"/>
              </w:rPr>
              <w:t xml:space="preserve">    </w:t>
            </w:r>
            <w:r>
              <w:rPr>
                <w:rFonts w:hint="eastAsia" w:ascii="宋体" w:hAnsi="宋体" w:eastAsia="宋体" w:cs="宋体"/>
                <w:kern w:val="0"/>
                <w:szCs w:val="21"/>
              </w:rPr>
              <w:t>年</w:t>
            </w:r>
            <w:r>
              <w:rPr>
                <w:rFonts w:hint="eastAsia" w:ascii="宋体" w:hAnsi="宋体" w:eastAsia="宋体" w:cs="宋体"/>
                <w:kern w:val="0"/>
                <w:szCs w:val="21"/>
                <w:u w:val="single"/>
              </w:rPr>
              <w:t xml:space="preserve">   </w:t>
            </w:r>
            <w:r>
              <w:rPr>
                <w:rFonts w:hint="eastAsia" w:ascii="宋体" w:hAnsi="宋体" w:eastAsia="宋体" w:cs="宋体"/>
                <w:kern w:val="0"/>
                <w:szCs w:val="21"/>
              </w:rPr>
              <w:t>月毕业于</w:t>
            </w:r>
            <w:r>
              <w:rPr>
                <w:rFonts w:hint="eastAsia" w:ascii="宋体" w:hAnsi="宋体" w:eastAsia="宋体" w:cs="宋体"/>
                <w:kern w:val="0"/>
                <w:szCs w:val="21"/>
                <w:u w:val="single"/>
              </w:rPr>
              <w:t xml:space="preserve">                 </w:t>
            </w:r>
            <w:r>
              <w:rPr>
                <w:rFonts w:hint="eastAsia" w:ascii="宋体" w:hAnsi="宋体" w:eastAsia="宋体" w:cs="宋体"/>
                <w:kern w:val="0"/>
                <w:szCs w:val="21"/>
              </w:rPr>
              <w:t>学校</w:t>
            </w:r>
            <w:r>
              <w:rPr>
                <w:rFonts w:hint="eastAsia" w:ascii="宋体" w:hAnsi="宋体" w:eastAsia="宋体" w:cs="宋体"/>
                <w:kern w:val="0"/>
                <w:szCs w:val="21"/>
                <w:u w:val="single"/>
              </w:rPr>
              <w:t xml:space="preserve">       </w:t>
            </w:r>
            <w:r>
              <w:rPr>
                <w:rFonts w:hint="eastAsia" w:ascii="宋体" w:hAnsi="宋体" w:eastAsia="宋体" w:cs="宋体"/>
                <w:kern w:val="0"/>
                <w:szCs w:val="21"/>
              </w:rPr>
              <w:t>专业，学制</w:t>
            </w:r>
            <w:r>
              <w:rPr>
                <w:rFonts w:hint="eastAsia" w:ascii="宋体" w:hAnsi="宋体" w:eastAsia="宋体" w:cs="宋体"/>
                <w:kern w:val="0"/>
                <w:szCs w:val="21"/>
                <w:u w:val="single"/>
              </w:rPr>
              <w:t xml:space="preserve">      </w:t>
            </w:r>
            <w:r>
              <w:rPr>
                <w:rFonts w:hint="eastAsia" w:ascii="宋体" w:hAnsi="宋体" w:eastAsia="宋体" w:cs="宋体"/>
                <w:kern w:val="0"/>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9639" w:type="dxa"/>
            <w:gridSpan w:val="8"/>
            <w:tcBorders>
              <w:top w:val="single" w:color="auto" w:sz="6" w:space="0"/>
              <w:left w:val="single" w:color="auto" w:sz="12" w:space="0"/>
              <w:bottom w:val="single" w:color="auto" w:sz="6" w:space="0"/>
              <w:right w:val="single" w:color="auto" w:sz="12" w:space="0"/>
            </w:tcBorders>
            <w:vAlign w:val="center"/>
          </w:tcPr>
          <w:p>
            <w:pPr>
              <w:jc w:val="center"/>
              <w:rPr>
                <w:rFonts w:ascii="宋体" w:hAnsi="宋体" w:eastAsia="宋体" w:cs="宋体"/>
                <w:szCs w:val="21"/>
              </w:rPr>
            </w:pPr>
            <w:r>
              <w:rPr>
                <w:rFonts w:hint="eastAsia" w:ascii="宋体" w:hAnsi="宋体" w:eastAsia="宋体" w:cs="宋体"/>
                <w:kern w:val="0"/>
                <w:szCs w:val="21"/>
              </w:rPr>
              <w:t>经     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p>
          <w:p>
            <w:pPr>
              <w:jc w:val="center"/>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p>
        </w:tc>
        <w:tc>
          <w:tcPr>
            <w:tcW w:w="4023"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kern w:val="0"/>
                <w:szCs w:val="21"/>
              </w:rPr>
              <w:t>参加过的工程项目名称</w:t>
            </w:r>
          </w:p>
        </w:tc>
        <w:tc>
          <w:tcPr>
            <w:tcW w:w="139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kern w:val="0"/>
                <w:szCs w:val="21"/>
              </w:rPr>
              <w:t>担任何职</w:t>
            </w:r>
          </w:p>
        </w:tc>
        <w:tc>
          <w:tcPr>
            <w:tcW w:w="2870"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发包人及</w:t>
            </w:r>
          </w:p>
          <w:p>
            <w:pPr>
              <w:jc w:val="center"/>
              <w:rPr>
                <w:rFonts w:ascii="宋体" w:hAnsi="宋体" w:eastAsia="宋体" w:cs="宋体"/>
                <w:szCs w:val="21"/>
              </w:rPr>
            </w:pPr>
            <w:r>
              <w:rPr>
                <w:rFonts w:hint="eastAsia" w:ascii="宋体" w:hAnsi="宋体" w:eastAsia="宋体" w:cs="宋体"/>
                <w:kern w:val="0"/>
                <w:szCs w:val="21"/>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szCs w:val="21"/>
              </w:rPr>
            </w:pPr>
          </w:p>
        </w:tc>
        <w:tc>
          <w:tcPr>
            <w:tcW w:w="4023"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Cs w:val="21"/>
              </w:rPr>
            </w:pPr>
          </w:p>
        </w:tc>
        <w:tc>
          <w:tcPr>
            <w:tcW w:w="139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Cs w:val="21"/>
              </w:rPr>
            </w:pPr>
          </w:p>
        </w:tc>
        <w:tc>
          <w:tcPr>
            <w:tcW w:w="2870"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szCs w:val="21"/>
              </w:rPr>
            </w:pPr>
          </w:p>
        </w:tc>
        <w:tc>
          <w:tcPr>
            <w:tcW w:w="4023"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Cs w:val="21"/>
              </w:rPr>
            </w:pPr>
          </w:p>
        </w:tc>
        <w:tc>
          <w:tcPr>
            <w:tcW w:w="139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Cs w:val="21"/>
              </w:rPr>
            </w:pPr>
          </w:p>
        </w:tc>
        <w:tc>
          <w:tcPr>
            <w:tcW w:w="2870"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szCs w:val="21"/>
              </w:rPr>
            </w:pPr>
          </w:p>
        </w:tc>
        <w:tc>
          <w:tcPr>
            <w:tcW w:w="4023"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Cs w:val="21"/>
              </w:rPr>
            </w:pPr>
          </w:p>
        </w:tc>
        <w:tc>
          <w:tcPr>
            <w:tcW w:w="139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Cs w:val="21"/>
              </w:rPr>
            </w:pPr>
          </w:p>
        </w:tc>
        <w:tc>
          <w:tcPr>
            <w:tcW w:w="2870"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szCs w:val="21"/>
              </w:rPr>
            </w:pPr>
          </w:p>
        </w:tc>
        <w:tc>
          <w:tcPr>
            <w:tcW w:w="4023"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Cs w:val="21"/>
              </w:rPr>
            </w:pPr>
          </w:p>
        </w:tc>
        <w:tc>
          <w:tcPr>
            <w:tcW w:w="139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Cs w:val="21"/>
              </w:rPr>
            </w:pPr>
          </w:p>
        </w:tc>
        <w:tc>
          <w:tcPr>
            <w:tcW w:w="2870"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szCs w:val="21"/>
              </w:rPr>
            </w:pPr>
          </w:p>
        </w:tc>
        <w:tc>
          <w:tcPr>
            <w:tcW w:w="4023"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Cs w:val="21"/>
              </w:rPr>
            </w:pPr>
          </w:p>
        </w:tc>
        <w:tc>
          <w:tcPr>
            <w:tcW w:w="139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Cs w:val="21"/>
              </w:rPr>
            </w:pPr>
          </w:p>
        </w:tc>
        <w:tc>
          <w:tcPr>
            <w:tcW w:w="2870"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szCs w:val="21"/>
              </w:rPr>
            </w:pPr>
          </w:p>
        </w:tc>
        <w:tc>
          <w:tcPr>
            <w:tcW w:w="4023"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Cs w:val="21"/>
              </w:rPr>
            </w:pPr>
          </w:p>
        </w:tc>
        <w:tc>
          <w:tcPr>
            <w:tcW w:w="139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Cs w:val="21"/>
              </w:rPr>
            </w:pPr>
          </w:p>
        </w:tc>
        <w:tc>
          <w:tcPr>
            <w:tcW w:w="2870"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szCs w:val="21"/>
              </w:rPr>
            </w:pPr>
          </w:p>
        </w:tc>
        <w:tc>
          <w:tcPr>
            <w:tcW w:w="4023"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Cs w:val="21"/>
              </w:rPr>
            </w:pPr>
          </w:p>
        </w:tc>
        <w:tc>
          <w:tcPr>
            <w:tcW w:w="139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Cs w:val="21"/>
              </w:rPr>
            </w:pPr>
          </w:p>
        </w:tc>
        <w:tc>
          <w:tcPr>
            <w:tcW w:w="2870"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5377" w:type="dxa"/>
            <w:gridSpan w:val="4"/>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获奖情况</w:t>
            </w:r>
          </w:p>
        </w:tc>
        <w:tc>
          <w:tcPr>
            <w:tcW w:w="139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Cs w:val="21"/>
              </w:rPr>
            </w:pPr>
          </w:p>
        </w:tc>
        <w:tc>
          <w:tcPr>
            <w:tcW w:w="2870"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Merge w:val="restart"/>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目前任职</w:t>
            </w:r>
          </w:p>
          <w:p>
            <w:pPr>
              <w:jc w:val="center"/>
              <w:rPr>
                <w:rFonts w:ascii="宋体" w:hAnsi="宋体" w:eastAsia="宋体" w:cs="宋体"/>
                <w:szCs w:val="21"/>
              </w:rPr>
            </w:pPr>
            <w:r>
              <w:rPr>
                <w:rFonts w:hint="eastAsia" w:ascii="宋体" w:hAnsi="宋体" w:eastAsia="宋体" w:cs="宋体"/>
                <w:szCs w:val="21"/>
              </w:rPr>
              <w:t>项目状况</w:t>
            </w:r>
          </w:p>
        </w:tc>
        <w:tc>
          <w:tcPr>
            <w:tcW w:w="4023"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项目名称</w:t>
            </w:r>
          </w:p>
        </w:tc>
        <w:tc>
          <w:tcPr>
            <w:tcW w:w="4262" w:type="dxa"/>
            <w:gridSpan w:val="4"/>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300"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eastAsia="宋体" w:cs="宋体"/>
                <w:szCs w:val="21"/>
              </w:rPr>
            </w:pPr>
          </w:p>
        </w:tc>
        <w:tc>
          <w:tcPr>
            <w:tcW w:w="4023"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担任职位</w:t>
            </w:r>
          </w:p>
        </w:tc>
        <w:tc>
          <w:tcPr>
            <w:tcW w:w="4262" w:type="dxa"/>
            <w:gridSpan w:val="4"/>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300"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eastAsia="宋体" w:cs="宋体"/>
                <w:szCs w:val="21"/>
              </w:rPr>
            </w:pPr>
          </w:p>
        </w:tc>
        <w:tc>
          <w:tcPr>
            <w:tcW w:w="4023"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可以调离日期</w:t>
            </w:r>
          </w:p>
        </w:tc>
        <w:tc>
          <w:tcPr>
            <w:tcW w:w="4262" w:type="dxa"/>
            <w:gridSpan w:val="4"/>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1354"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备注</w:t>
            </w:r>
          </w:p>
        </w:tc>
        <w:tc>
          <w:tcPr>
            <w:tcW w:w="8285" w:type="dxa"/>
            <w:gridSpan w:val="7"/>
            <w:tcBorders>
              <w:top w:val="single" w:color="auto" w:sz="6" w:space="0"/>
              <w:left w:val="single" w:color="auto" w:sz="6" w:space="0"/>
              <w:bottom w:val="single" w:color="auto" w:sz="12" w:space="0"/>
              <w:right w:val="single" w:color="auto" w:sz="12" w:space="0"/>
            </w:tcBorders>
            <w:vAlign w:val="center"/>
          </w:tcPr>
          <w:p>
            <w:pPr>
              <w:jc w:val="center"/>
              <w:rPr>
                <w:rFonts w:ascii="宋体" w:hAnsi="宋体" w:eastAsia="宋体" w:cs="宋体"/>
                <w:szCs w:val="21"/>
              </w:rPr>
            </w:pPr>
          </w:p>
        </w:tc>
      </w:tr>
    </w:tbl>
    <w:p>
      <w:pPr>
        <w:pStyle w:val="226"/>
        <w:spacing w:line="360" w:lineRule="auto"/>
        <w:ind w:left="405" w:hanging="420"/>
        <w:rPr>
          <w:szCs w:val="24"/>
        </w:rPr>
      </w:pPr>
      <w:r>
        <w:rPr>
          <w:rFonts w:hint="eastAsia" w:ascii="宋体" w:hAnsi="宋体" w:cs="宋体"/>
          <w:szCs w:val="21"/>
        </w:rPr>
        <w:t>注：</w:t>
      </w:r>
      <w:r>
        <w:rPr>
          <w:szCs w:val="24"/>
        </w:rPr>
        <w:t xml:space="preserve">1.本表应填写项目经理、项目技术负责人和安全负责人相关情况。 </w:t>
      </w:r>
    </w:p>
    <w:p>
      <w:pPr>
        <w:pStyle w:val="226"/>
        <w:spacing w:line="360" w:lineRule="auto"/>
        <w:ind w:left="105" w:leftChars="50" w:firstLine="315" w:firstLineChars="150"/>
        <w:rPr>
          <w:szCs w:val="24"/>
        </w:rPr>
      </w:pPr>
      <w:r>
        <w:rPr>
          <w:szCs w:val="24"/>
        </w:rPr>
        <w:t>2.投标人应根据招标文件第二章“投标人须知”第 3.5</w:t>
      </w:r>
      <w:r>
        <w:rPr>
          <w:rFonts w:hint="eastAsia"/>
          <w:szCs w:val="24"/>
        </w:rPr>
        <w:t>.5</w:t>
      </w:r>
      <w:r>
        <w:rPr>
          <w:szCs w:val="24"/>
        </w:rPr>
        <w:t xml:space="preserve"> 项的要求在本表后附相关证明材料。</w:t>
      </w:r>
    </w:p>
    <w:p>
      <w:pPr>
        <w:pStyle w:val="226"/>
        <w:spacing w:line="360" w:lineRule="auto"/>
        <w:ind w:left="-15" w:firstLine="420" w:firstLineChars="200"/>
        <w:rPr>
          <w:szCs w:val="24"/>
        </w:rPr>
      </w:pPr>
      <w:r>
        <w:rPr>
          <w:szCs w:val="24"/>
        </w:rPr>
        <w:t>3.项目经理若曾在其他在建合同工程中担任项目经理</w:t>
      </w:r>
      <w:r>
        <w:rPr>
          <w:rFonts w:hint="eastAsia"/>
          <w:szCs w:val="24"/>
        </w:rPr>
        <w:t>（包括设计施工总承包项目中的施工负责人）</w:t>
      </w:r>
      <w:r>
        <w:rPr>
          <w:szCs w:val="24"/>
        </w:rPr>
        <w:t>但已进行更换的，应附项目发包人的同意更换证明材料，否则更换前后的项目经理均视为有“在建合同工程”。</w:t>
      </w:r>
    </w:p>
    <w:p>
      <w:pPr>
        <w:widowControl/>
        <w:jc w:val="left"/>
        <w:rPr>
          <w:rFonts w:ascii="宋体" w:hAnsi="宋体" w:eastAsia="宋体" w:cs="宋体"/>
          <w:szCs w:val="21"/>
        </w:rPr>
      </w:pPr>
      <w:r>
        <w:rPr>
          <w:rFonts w:ascii="宋体" w:hAnsi="宋体" w:eastAsia="宋体" w:cs="宋体"/>
          <w:szCs w:val="21"/>
        </w:rPr>
        <w:br w:type="page"/>
      </w:r>
    </w:p>
    <w:p>
      <w:pPr>
        <w:spacing w:line="320" w:lineRule="exact"/>
        <w:ind w:left="108"/>
        <w:rPr>
          <w:rFonts w:ascii="宋体" w:hAnsi="宋体" w:eastAsia="宋体" w:cs="宋体"/>
          <w:szCs w:val="21"/>
        </w:rPr>
      </w:pPr>
    </w:p>
    <w:p>
      <w:pPr>
        <w:pStyle w:val="3"/>
        <w:spacing w:before="312" w:beforeLines="100" w:after="312" w:afterLines="100" w:line="360" w:lineRule="exact"/>
        <w:jc w:val="center"/>
        <w:rPr>
          <w:rFonts w:ascii="宋体" w:hAnsi="宋体"/>
          <w:b w:val="0"/>
          <w:sz w:val="30"/>
          <w:szCs w:val="30"/>
        </w:rPr>
      </w:pPr>
      <w:bookmarkStart w:id="588" w:name="_Toc193904176"/>
      <w:bookmarkStart w:id="589" w:name="_Toc234242180"/>
      <w:bookmarkStart w:id="590" w:name="_Toc173244887"/>
      <w:bookmarkStart w:id="591" w:name="_Toc173246274"/>
      <w:r>
        <w:rPr>
          <w:rFonts w:hint="eastAsia" w:ascii="宋体" w:hAnsi="宋体"/>
          <w:b w:val="0"/>
          <w:sz w:val="30"/>
          <w:szCs w:val="30"/>
        </w:rPr>
        <w:t>（四）财务</w:t>
      </w:r>
      <w:bookmarkEnd w:id="588"/>
      <w:bookmarkEnd w:id="589"/>
      <w:r>
        <w:rPr>
          <w:rFonts w:hint="eastAsia" w:ascii="宋体" w:hAnsi="宋体"/>
          <w:b w:val="0"/>
          <w:sz w:val="30"/>
          <w:szCs w:val="30"/>
        </w:rPr>
        <w:t>要求</w:t>
      </w:r>
      <w:bookmarkEnd w:id="590"/>
      <w:bookmarkEnd w:id="591"/>
    </w:p>
    <w:p>
      <w:pPr>
        <w:jc w:val="center"/>
        <w:rPr>
          <w:rFonts w:ascii="宋体" w:hAnsi="宋体" w:eastAsia="宋体" w:cs="宋体"/>
          <w:b/>
          <w:sz w:val="30"/>
          <w:szCs w:val="30"/>
        </w:rPr>
      </w:pPr>
      <w:r>
        <w:rPr>
          <w:rFonts w:hint="eastAsia" w:ascii="宋体" w:hAnsi="宋体" w:eastAsia="宋体" w:cs="宋体"/>
          <w:b/>
          <w:sz w:val="30"/>
          <w:szCs w:val="30"/>
        </w:rPr>
        <w:t>银行信贷证明</w:t>
      </w:r>
    </w:p>
    <w:p>
      <w:pPr>
        <w:spacing w:line="500" w:lineRule="exact"/>
        <w:jc w:val="center"/>
        <w:rPr>
          <w:rFonts w:ascii="宋体" w:hAnsi="宋体" w:eastAsia="宋体" w:cs="宋体"/>
          <w:sz w:val="24"/>
        </w:rPr>
      </w:pPr>
    </w:p>
    <w:p>
      <w:pPr>
        <w:spacing w:line="500" w:lineRule="exact"/>
        <w:jc w:val="left"/>
        <w:rPr>
          <w:rFonts w:ascii="宋体" w:hAnsi="宋体" w:eastAsia="宋体" w:cs="宋体"/>
          <w:szCs w:val="21"/>
          <w:u w:val="single"/>
        </w:rPr>
      </w:pPr>
      <w:r>
        <w:rPr>
          <w:rFonts w:hint="eastAsia" w:ascii="宋体" w:hAnsi="宋体" w:eastAsia="宋体" w:cs="宋体"/>
          <w:szCs w:val="21"/>
        </w:rPr>
        <w:t>银行名称：</w:t>
      </w:r>
      <w:r>
        <w:rPr>
          <w:rFonts w:hint="eastAsia" w:ascii="宋体" w:hAnsi="宋体" w:eastAsia="宋体" w:cs="宋体"/>
          <w:szCs w:val="21"/>
          <w:u w:val="single"/>
        </w:rPr>
        <w:t xml:space="preserve">                     </w:t>
      </w:r>
    </w:p>
    <w:p>
      <w:pPr>
        <w:spacing w:line="500" w:lineRule="exact"/>
        <w:rPr>
          <w:rFonts w:ascii="宋体" w:hAnsi="宋体" w:eastAsia="宋体" w:cs="宋体"/>
          <w:szCs w:val="21"/>
        </w:rPr>
      </w:pPr>
      <w:r>
        <w:rPr>
          <w:rFonts w:hint="eastAsia" w:ascii="宋体" w:hAnsi="宋体" w:eastAsia="宋体" w:cs="宋体"/>
          <w:szCs w:val="21"/>
        </w:rPr>
        <w:t>地    址：</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00" w:lineRule="exact"/>
        <w:ind w:firstLine="6240"/>
        <w:rPr>
          <w:rFonts w:ascii="宋体" w:hAnsi="宋体" w:eastAsia="宋体" w:cs="宋体"/>
          <w:szCs w:val="21"/>
          <w:u w:val="single"/>
        </w:rPr>
      </w:pPr>
      <w:r>
        <w:rPr>
          <w:rFonts w:hint="eastAsia" w:ascii="宋体" w:hAnsi="宋体" w:eastAsia="宋体" w:cs="宋体"/>
          <w:szCs w:val="21"/>
        </w:rPr>
        <w:t xml:space="preserve">  日期：</w:t>
      </w:r>
      <w:r>
        <w:rPr>
          <w:rFonts w:hint="eastAsia" w:ascii="宋体" w:hAnsi="宋体" w:eastAsia="宋体" w:cs="宋体"/>
          <w:szCs w:val="21"/>
          <w:u w:val="single"/>
        </w:rPr>
        <w:t xml:space="preserve">            </w:t>
      </w:r>
    </w:p>
    <w:p>
      <w:pPr>
        <w:spacing w:line="500" w:lineRule="exact"/>
        <w:rPr>
          <w:rFonts w:ascii="宋体" w:hAnsi="宋体" w:eastAsia="宋体" w:cs="宋体"/>
          <w:szCs w:val="21"/>
          <w:u w:val="single"/>
        </w:rPr>
      </w:pPr>
      <w:r>
        <w:rPr>
          <w:rFonts w:hint="eastAsia" w:ascii="宋体" w:hAnsi="宋体" w:eastAsia="宋体" w:cs="宋体"/>
          <w:szCs w:val="21"/>
        </w:rPr>
        <w:t>致：</w:t>
      </w:r>
      <w:r>
        <w:rPr>
          <w:rFonts w:hint="eastAsia" w:ascii="宋体" w:hAnsi="宋体" w:eastAsia="宋体" w:cs="宋体"/>
          <w:szCs w:val="21"/>
          <w:u w:val="single"/>
        </w:rPr>
        <w:t xml:space="preserve">  （发包人全称）  </w:t>
      </w:r>
    </w:p>
    <w:p>
      <w:pPr>
        <w:spacing w:line="500" w:lineRule="exact"/>
        <w:ind w:firstLine="420" w:firstLineChars="200"/>
        <w:rPr>
          <w:rFonts w:ascii="宋体" w:hAnsi="宋体" w:eastAsia="宋体" w:cs="宋体"/>
          <w:szCs w:val="21"/>
        </w:rPr>
      </w:pPr>
      <w:r>
        <w:rPr>
          <w:rFonts w:hint="eastAsia" w:ascii="宋体" w:hAnsi="宋体" w:eastAsia="宋体" w:cs="宋体"/>
          <w:szCs w:val="21"/>
        </w:rPr>
        <w:t>兹开具最高限额为人民币</w:t>
      </w:r>
      <w:r>
        <w:rPr>
          <w:rFonts w:hint="eastAsia" w:ascii="宋体" w:hAnsi="宋体" w:eastAsia="宋体" w:cs="宋体"/>
          <w:szCs w:val="21"/>
          <w:u w:val="single"/>
        </w:rPr>
        <w:t xml:space="preserve">   </w:t>
      </w:r>
      <w:r>
        <w:rPr>
          <w:rFonts w:hint="eastAsia" w:ascii="宋体" w:hAnsi="宋体" w:eastAsia="宋体" w:cs="宋体"/>
          <w:szCs w:val="21"/>
        </w:rPr>
        <w:t xml:space="preserve">万元的银行信贷，供 </w:t>
      </w:r>
      <w:r>
        <w:rPr>
          <w:rFonts w:hint="eastAsia" w:ascii="宋体" w:hAnsi="宋体" w:eastAsia="宋体" w:cs="宋体"/>
          <w:szCs w:val="21"/>
          <w:u w:val="single"/>
        </w:rPr>
        <w:t xml:space="preserve">           </w:t>
      </w:r>
      <w:r>
        <w:rPr>
          <w:rFonts w:hint="eastAsia" w:ascii="宋体" w:hAnsi="宋体" w:eastAsia="宋体" w:cs="宋体"/>
          <w:szCs w:val="21"/>
        </w:rPr>
        <w:t>（投标人注册地点）</w:t>
      </w:r>
      <w:r>
        <w:rPr>
          <w:rFonts w:hint="eastAsia" w:ascii="宋体" w:hAnsi="宋体" w:eastAsia="宋体" w:cs="宋体"/>
          <w:szCs w:val="21"/>
          <w:u w:val="single"/>
        </w:rPr>
        <w:t xml:space="preserve">           </w:t>
      </w:r>
      <w:r>
        <w:rPr>
          <w:rFonts w:hint="eastAsia" w:ascii="宋体" w:hAnsi="宋体" w:eastAsia="宋体" w:cs="宋体"/>
          <w:szCs w:val="21"/>
        </w:rPr>
        <w:t>（投标人名称）于</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日之前，在</w:t>
      </w:r>
      <w:r>
        <w:rPr>
          <w:rFonts w:hint="eastAsia" w:ascii="宋体" w:hAnsi="宋体" w:eastAsia="宋体" w:cs="宋体"/>
          <w:szCs w:val="21"/>
          <w:u w:val="single"/>
        </w:rPr>
        <w:t xml:space="preserve">    </w:t>
      </w:r>
      <w:r>
        <w:rPr>
          <w:rFonts w:hint="eastAsia" w:ascii="宋体" w:hAnsi="宋体" w:eastAsia="宋体" w:cs="宋体"/>
          <w:szCs w:val="21"/>
        </w:rPr>
        <w:t>（项目名称）需要时使用。我行保证由</w:t>
      </w:r>
      <w:r>
        <w:rPr>
          <w:rFonts w:hint="eastAsia" w:ascii="宋体" w:hAnsi="宋体" w:eastAsia="宋体" w:cs="宋体"/>
          <w:szCs w:val="21"/>
          <w:u w:val="single"/>
        </w:rPr>
        <w:t xml:space="preserve">             </w:t>
      </w:r>
      <w:r>
        <w:rPr>
          <w:rFonts w:hint="eastAsia" w:ascii="宋体" w:hAnsi="宋体" w:eastAsia="宋体" w:cs="宋体"/>
          <w:szCs w:val="21"/>
        </w:rPr>
        <w:t>（投标人名称）提供的财务报表中所开列的作为流动资产的各项中无一项包含在上述提到的银行信贷中。</w:t>
      </w:r>
    </w:p>
    <w:p>
      <w:pPr>
        <w:spacing w:line="500" w:lineRule="exact"/>
        <w:ind w:firstLine="420" w:firstLineChars="200"/>
        <w:rPr>
          <w:rFonts w:ascii="宋体" w:hAnsi="宋体" w:eastAsia="宋体" w:cs="宋体"/>
          <w:szCs w:val="21"/>
        </w:rPr>
      </w:pPr>
      <w:r>
        <w:rPr>
          <w:rFonts w:hint="eastAsia" w:ascii="宋体" w:hAnsi="宋体" w:eastAsia="宋体" w:cs="宋体"/>
          <w:szCs w:val="21"/>
        </w:rPr>
        <w:t>此项目若未中标，该信贷证明自动失效，无需退回我行。</w:t>
      </w:r>
    </w:p>
    <w:p>
      <w:pPr>
        <w:spacing w:line="500" w:lineRule="exact"/>
        <w:rPr>
          <w:rFonts w:ascii="宋体" w:hAnsi="宋体" w:eastAsia="宋体" w:cs="宋体"/>
          <w:szCs w:val="21"/>
        </w:rPr>
      </w:pPr>
    </w:p>
    <w:p>
      <w:pPr>
        <w:spacing w:line="500" w:lineRule="exact"/>
        <w:rPr>
          <w:rFonts w:ascii="宋体" w:hAnsi="宋体" w:eastAsia="宋体" w:cs="宋体"/>
          <w:szCs w:val="21"/>
        </w:rPr>
      </w:pPr>
    </w:p>
    <w:p>
      <w:pPr>
        <w:spacing w:line="500" w:lineRule="exact"/>
        <w:rPr>
          <w:rFonts w:ascii="宋体" w:hAnsi="宋体" w:eastAsia="宋体" w:cs="宋体"/>
          <w:szCs w:val="21"/>
        </w:rPr>
      </w:pPr>
    </w:p>
    <w:p>
      <w:pPr>
        <w:spacing w:line="500" w:lineRule="exact"/>
        <w:ind w:firstLine="3480"/>
        <w:rPr>
          <w:rFonts w:ascii="宋体" w:hAnsi="宋体" w:eastAsia="宋体" w:cs="宋体"/>
          <w:szCs w:val="21"/>
          <w:u w:val="single"/>
        </w:rPr>
      </w:pPr>
      <w:r>
        <w:rPr>
          <w:rFonts w:hint="eastAsia" w:ascii="宋体" w:hAnsi="宋体" w:eastAsia="宋体" w:cs="宋体"/>
          <w:spacing w:val="186"/>
          <w:kern w:val="0"/>
          <w:szCs w:val="21"/>
        </w:rPr>
        <w:t>银行（盖章</w:t>
      </w:r>
      <w:r>
        <w:rPr>
          <w:rFonts w:hint="eastAsia" w:ascii="宋体" w:hAnsi="宋体" w:eastAsia="宋体" w:cs="宋体"/>
          <w:kern w:val="0"/>
          <w:szCs w:val="21"/>
        </w:rPr>
        <w:t>）</w:t>
      </w:r>
      <w:r>
        <w:rPr>
          <w:rFonts w:hint="eastAsia" w:ascii="宋体" w:hAnsi="宋体" w:eastAsia="宋体" w:cs="宋体"/>
          <w:szCs w:val="21"/>
        </w:rPr>
        <w:t>：</w:t>
      </w:r>
      <w:r>
        <w:rPr>
          <w:rFonts w:hint="eastAsia" w:ascii="宋体" w:hAnsi="宋体" w:eastAsia="宋体" w:cs="宋体"/>
          <w:szCs w:val="21"/>
          <w:u w:val="single"/>
        </w:rPr>
        <w:t xml:space="preserve">                  </w:t>
      </w:r>
    </w:p>
    <w:p>
      <w:pPr>
        <w:spacing w:line="500" w:lineRule="exact"/>
        <w:ind w:firstLine="3480"/>
        <w:rPr>
          <w:rFonts w:ascii="宋体" w:hAnsi="宋体" w:eastAsia="宋体" w:cs="宋体"/>
          <w:szCs w:val="21"/>
          <w:u w:val="single"/>
        </w:rPr>
      </w:pPr>
      <w:r>
        <w:rPr>
          <w:rFonts w:hint="eastAsia" w:ascii="宋体" w:hAnsi="宋体" w:eastAsia="宋体" w:cs="宋体"/>
          <w:spacing w:val="40"/>
          <w:kern w:val="0"/>
          <w:szCs w:val="21"/>
        </w:rPr>
        <w:t>银行主要负责人（盖章</w:t>
      </w:r>
      <w:r>
        <w:rPr>
          <w:rFonts w:hint="eastAsia" w:ascii="宋体" w:hAnsi="宋体" w:eastAsia="宋体" w:cs="宋体"/>
          <w:spacing w:val="4"/>
          <w:kern w:val="0"/>
          <w:szCs w:val="21"/>
        </w:rPr>
        <w:t>）</w:t>
      </w:r>
      <w:r>
        <w:rPr>
          <w:rFonts w:hint="eastAsia" w:ascii="宋体" w:hAnsi="宋体" w:eastAsia="宋体" w:cs="宋体"/>
          <w:szCs w:val="21"/>
        </w:rPr>
        <w:t>：</w:t>
      </w:r>
      <w:r>
        <w:rPr>
          <w:rFonts w:hint="eastAsia" w:ascii="宋体" w:hAnsi="宋体" w:eastAsia="宋体" w:cs="宋体"/>
          <w:szCs w:val="21"/>
          <w:u w:val="single"/>
        </w:rPr>
        <w:t xml:space="preserve">                  </w:t>
      </w:r>
    </w:p>
    <w:p>
      <w:pPr>
        <w:spacing w:line="500" w:lineRule="exact"/>
        <w:ind w:firstLine="3480"/>
        <w:rPr>
          <w:rFonts w:ascii="宋体" w:hAnsi="宋体" w:eastAsia="宋体" w:cs="宋体"/>
          <w:szCs w:val="21"/>
          <w:u w:val="single"/>
        </w:rPr>
      </w:pPr>
      <w:r>
        <w:rPr>
          <w:rFonts w:hint="eastAsia" w:ascii="宋体" w:hAnsi="宋体" w:eastAsia="宋体" w:cs="宋体"/>
          <w:szCs w:val="21"/>
        </w:rPr>
        <w:t>银行主要负责人的姓名、职务：</w:t>
      </w:r>
      <w:r>
        <w:rPr>
          <w:rFonts w:hint="eastAsia" w:ascii="宋体" w:hAnsi="宋体" w:eastAsia="宋体" w:cs="宋体"/>
          <w:szCs w:val="21"/>
          <w:u w:val="single"/>
        </w:rPr>
        <w:t xml:space="preserve">                </w:t>
      </w:r>
    </w:p>
    <w:p>
      <w:pPr>
        <w:spacing w:line="500" w:lineRule="exact"/>
        <w:ind w:firstLine="3480"/>
        <w:rPr>
          <w:rFonts w:ascii="宋体" w:hAnsi="宋体" w:eastAsia="宋体" w:cs="宋体"/>
          <w:szCs w:val="21"/>
          <w:u w:val="single"/>
        </w:rPr>
      </w:pPr>
      <w:r>
        <w:rPr>
          <w:rFonts w:hint="eastAsia" w:ascii="宋体" w:hAnsi="宋体" w:eastAsia="宋体" w:cs="宋体"/>
          <w:spacing w:val="380"/>
          <w:kern w:val="0"/>
          <w:szCs w:val="21"/>
        </w:rPr>
        <w:t>银行电</w:t>
      </w:r>
      <w:r>
        <w:rPr>
          <w:rFonts w:hint="eastAsia" w:ascii="宋体" w:hAnsi="宋体" w:eastAsia="宋体" w:cs="宋体"/>
          <w:kern w:val="0"/>
          <w:szCs w:val="21"/>
        </w:rPr>
        <w:t>话</w:t>
      </w:r>
      <w:r>
        <w:rPr>
          <w:rFonts w:hint="eastAsia" w:ascii="宋体" w:hAnsi="宋体" w:eastAsia="宋体" w:cs="宋体"/>
          <w:szCs w:val="21"/>
        </w:rPr>
        <w:t>：</w:t>
      </w:r>
      <w:r>
        <w:rPr>
          <w:rFonts w:hint="eastAsia" w:ascii="宋体" w:hAnsi="宋体" w:eastAsia="宋体" w:cs="宋体"/>
          <w:szCs w:val="21"/>
          <w:u w:val="single"/>
        </w:rPr>
        <w:t xml:space="preserve">                  </w:t>
      </w:r>
    </w:p>
    <w:p>
      <w:pPr>
        <w:spacing w:line="500" w:lineRule="exact"/>
        <w:ind w:firstLine="3480"/>
        <w:rPr>
          <w:rFonts w:ascii="宋体" w:hAnsi="宋体" w:eastAsia="宋体" w:cs="宋体"/>
          <w:szCs w:val="21"/>
          <w:u w:val="single"/>
        </w:rPr>
      </w:pPr>
      <w:r>
        <w:rPr>
          <w:rFonts w:hint="eastAsia" w:ascii="宋体" w:hAnsi="宋体" w:eastAsia="宋体" w:cs="宋体"/>
          <w:spacing w:val="380"/>
          <w:kern w:val="0"/>
          <w:szCs w:val="21"/>
        </w:rPr>
        <w:t>银行传</w:t>
      </w:r>
      <w:r>
        <w:rPr>
          <w:rFonts w:hint="eastAsia" w:ascii="宋体" w:hAnsi="宋体" w:eastAsia="宋体" w:cs="宋体"/>
          <w:kern w:val="0"/>
          <w:szCs w:val="21"/>
        </w:rPr>
        <w:t>真</w:t>
      </w:r>
      <w:r>
        <w:rPr>
          <w:rFonts w:hint="eastAsia" w:ascii="宋体" w:hAnsi="宋体" w:eastAsia="宋体" w:cs="宋体"/>
          <w:szCs w:val="21"/>
        </w:rPr>
        <w:t>：</w:t>
      </w:r>
      <w:r>
        <w:rPr>
          <w:rFonts w:hint="eastAsia" w:ascii="宋体" w:hAnsi="宋体" w:eastAsia="宋体" w:cs="宋体"/>
          <w:szCs w:val="21"/>
          <w:u w:val="single"/>
        </w:rPr>
        <w:t xml:space="preserve">                  </w:t>
      </w:r>
    </w:p>
    <w:p>
      <w:pPr>
        <w:spacing w:line="500" w:lineRule="exact"/>
        <w:rPr>
          <w:rFonts w:ascii="宋体" w:hAnsi="宋体" w:eastAsia="宋体" w:cs="宋体"/>
          <w:szCs w:val="21"/>
        </w:rPr>
      </w:pPr>
    </w:p>
    <w:p>
      <w:pPr>
        <w:spacing w:line="360" w:lineRule="exact"/>
        <w:rPr>
          <w:rFonts w:ascii="宋体" w:hAnsi="宋体" w:eastAsia="宋体" w:cs="宋体"/>
          <w:szCs w:val="21"/>
        </w:rPr>
      </w:pPr>
      <w:r>
        <w:rPr>
          <w:rFonts w:hint="eastAsia" w:ascii="宋体" w:hAnsi="宋体" w:eastAsia="宋体" w:cs="宋体"/>
          <w:szCs w:val="21"/>
        </w:rPr>
        <w:t>注：</w:t>
      </w:r>
    </w:p>
    <w:p>
      <w:pPr>
        <w:spacing w:line="360" w:lineRule="exact"/>
        <w:ind w:firstLine="420"/>
        <w:rPr>
          <w:rFonts w:ascii="宋体" w:hAnsi="宋体" w:eastAsia="宋体" w:cs="宋体"/>
          <w:szCs w:val="21"/>
        </w:rPr>
      </w:pPr>
      <w:r>
        <w:rPr>
          <w:rFonts w:hint="eastAsia" w:ascii="宋体" w:hAnsi="宋体" w:eastAsia="宋体" w:cs="宋体"/>
          <w:szCs w:val="21"/>
        </w:rPr>
        <w:t>1.允许投标人实际开具的银行信贷证明的格式与本表格式有所不同，但不得更改本信贷证明格式中的实质性内容。</w:t>
      </w:r>
    </w:p>
    <w:p>
      <w:pPr>
        <w:spacing w:line="360" w:lineRule="exact"/>
        <w:ind w:firstLine="420"/>
        <w:rPr>
          <w:rFonts w:ascii="宋体" w:hAnsi="宋体" w:eastAsia="宋体" w:cs="宋体"/>
          <w:szCs w:val="21"/>
        </w:rPr>
      </w:pPr>
      <w:r>
        <w:rPr>
          <w:rFonts w:hint="eastAsia" w:ascii="宋体" w:hAnsi="宋体" w:eastAsia="宋体" w:cs="宋体"/>
          <w:szCs w:val="21"/>
        </w:rPr>
        <w:t>2.银行主要负责人应亲笔签名，不得使用印章、签名章或其他电子制版签名，否则，视为无效。</w:t>
      </w:r>
    </w:p>
    <w:p>
      <w:pPr>
        <w:jc w:val="center"/>
        <w:rPr>
          <w:rFonts w:ascii="宋体" w:hAnsi="宋体" w:eastAsia="宋体" w:cs="宋体"/>
          <w:b/>
          <w:sz w:val="30"/>
          <w:szCs w:val="30"/>
        </w:rPr>
      </w:pPr>
      <w:r>
        <w:rPr>
          <w:rFonts w:hint="eastAsia" w:ascii="宋体" w:hAnsi="宋体" w:eastAsia="宋体" w:cs="宋体"/>
          <w:b/>
          <w:sz w:val="30"/>
          <w:szCs w:val="30"/>
        </w:rPr>
        <w:br w:type="page"/>
      </w:r>
      <w:r>
        <w:rPr>
          <w:rFonts w:hint="eastAsia" w:ascii="宋体" w:hAnsi="宋体" w:eastAsia="宋体" w:cs="宋体"/>
          <w:b/>
          <w:sz w:val="30"/>
          <w:szCs w:val="30"/>
        </w:rPr>
        <w:t>财务能力承诺书</w:t>
      </w:r>
    </w:p>
    <w:p>
      <w:pPr>
        <w:spacing w:line="480" w:lineRule="exact"/>
        <w:ind w:right="480"/>
        <w:rPr>
          <w:rFonts w:ascii="宋体" w:hAnsi="宋体" w:eastAsia="宋体" w:cs="宋体"/>
          <w:szCs w:val="21"/>
        </w:rPr>
      </w:pPr>
    </w:p>
    <w:p>
      <w:pPr>
        <w:spacing w:line="480" w:lineRule="exact"/>
        <w:ind w:right="480"/>
        <w:rPr>
          <w:rFonts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（发包人全称）     </w:t>
      </w:r>
    </w:p>
    <w:p>
      <w:pPr>
        <w:spacing w:line="480" w:lineRule="exact"/>
        <w:ind w:right="482" w:firstLine="420" w:firstLineChars="200"/>
        <w:rPr>
          <w:rFonts w:ascii="宋体" w:hAnsi="宋体" w:eastAsia="宋体" w:cs="宋体"/>
          <w:szCs w:val="21"/>
        </w:rPr>
      </w:pPr>
      <w:r>
        <w:rPr>
          <w:rFonts w:hint="eastAsia" w:ascii="宋体" w:hAnsi="宋体" w:eastAsia="宋体" w:cs="宋体"/>
          <w:szCs w:val="21"/>
        </w:rPr>
        <w:t>我谨代表</w:t>
      </w:r>
      <w:r>
        <w:rPr>
          <w:rFonts w:hint="eastAsia" w:ascii="宋体" w:hAnsi="宋体" w:eastAsia="宋体" w:cs="宋体"/>
          <w:szCs w:val="21"/>
          <w:u w:val="single"/>
        </w:rPr>
        <w:t xml:space="preserve"> （投标人全称）  </w:t>
      </w:r>
      <w:r>
        <w:rPr>
          <w:rFonts w:hint="eastAsia" w:ascii="宋体" w:hAnsi="宋体" w:eastAsia="宋体" w:cs="宋体"/>
          <w:szCs w:val="21"/>
        </w:rPr>
        <w:t>郑重承诺：若我单位有幸在</w:t>
      </w:r>
      <w:r>
        <w:rPr>
          <w:rFonts w:hint="eastAsia" w:ascii="宋体" w:hAnsi="宋体" w:eastAsia="宋体" w:cs="宋体"/>
          <w:szCs w:val="21"/>
          <w:u w:val="single"/>
        </w:rPr>
        <w:t xml:space="preserve"> （项目名称）  </w:t>
      </w:r>
      <w:r>
        <w:rPr>
          <w:rFonts w:hint="eastAsia" w:ascii="宋体" w:hAnsi="宋体" w:eastAsia="宋体" w:cs="宋体"/>
          <w:szCs w:val="21"/>
        </w:rPr>
        <w:t>工程投标活动中中标，将提供人民币（大写） ______________元（￥________）的流动资金，供本工程在施工需要时使用。</w:t>
      </w:r>
    </w:p>
    <w:p>
      <w:pPr>
        <w:spacing w:line="480" w:lineRule="exact"/>
        <w:ind w:right="482" w:firstLine="420" w:firstLineChars="200"/>
        <w:rPr>
          <w:rFonts w:ascii="宋体" w:hAnsi="宋体" w:eastAsia="宋体" w:cs="宋体"/>
          <w:szCs w:val="21"/>
        </w:rPr>
      </w:pPr>
      <w:r>
        <w:rPr>
          <w:rFonts w:hint="eastAsia" w:ascii="宋体" w:hAnsi="宋体" w:eastAsia="宋体" w:cs="宋体"/>
          <w:szCs w:val="21"/>
        </w:rPr>
        <w:t>特此承诺。</w:t>
      </w:r>
    </w:p>
    <w:p>
      <w:pPr>
        <w:spacing w:line="480" w:lineRule="exact"/>
        <w:ind w:right="480"/>
        <w:rPr>
          <w:rFonts w:ascii="宋体" w:hAnsi="宋体" w:eastAsia="宋体" w:cs="宋体"/>
          <w:szCs w:val="21"/>
        </w:rPr>
      </w:pPr>
    </w:p>
    <w:p>
      <w:pPr>
        <w:wordWrap w:val="0"/>
        <w:spacing w:line="480" w:lineRule="exact"/>
        <w:ind w:right="60"/>
        <w:jc w:val="right"/>
        <w:rPr>
          <w:szCs w:val="21"/>
        </w:rPr>
      </w:pPr>
      <w:r>
        <w:rPr>
          <w:rFonts w:hint="eastAsia"/>
          <w:szCs w:val="21"/>
        </w:rPr>
        <w:t xml:space="preserve">  </w:t>
      </w:r>
      <w:r>
        <w:rPr>
          <w:szCs w:val="21"/>
        </w:rPr>
        <w:t xml:space="preserve">  投标人：</w:t>
      </w:r>
      <w:r>
        <w:rPr>
          <w:szCs w:val="21"/>
          <w:u w:val="single"/>
        </w:rPr>
        <w:t xml:space="preserve">                              </w:t>
      </w:r>
      <w:r>
        <w:rPr>
          <w:szCs w:val="21"/>
        </w:rPr>
        <w:t>（盖章）</w:t>
      </w:r>
    </w:p>
    <w:p>
      <w:pPr>
        <w:spacing w:line="480" w:lineRule="exact"/>
        <w:ind w:right="60"/>
        <w:jc w:val="right"/>
        <w:rPr>
          <w:szCs w:val="21"/>
        </w:rPr>
      </w:pPr>
      <w:r>
        <w:rPr>
          <w:szCs w:val="21"/>
        </w:rPr>
        <w:t xml:space="preserve"> 法定代表人：</w:t>
      </w:r>
      <w:r>
        <w:rPr>
          <w:szCs w:val="21"/>
          <w:u w:val="single"/>
        </w:rPr>
        <w:t xml:space="preserve">        </w:t>
      </w:r>
      <w:r>
        <w:rPr>
          <w:rFonts w:hint="eastAsia"/>
          <w:szCs w:val="21"/>
          <w:u w:val="single"/>
        </w:rPr>
        <w:t xml:space="preserve">          </w:t>
      </w:r>
      <w:r>
        <w:rPr>
          <w:szCs w:val="21"/>
          <w:u w:val="single"/>
        </w:rPr>
        <w:t xml:space="preserve">    </w:t>
      </w:r>
      <w:r>
        <w:rPr>
          <w:szCs w:val="21"/>
        </w:rPr>
        <w:t>（</w:t>
      </w:r>
      <w:r>
        <w:rPr>
          <w:rFonts w:hint="eastAsia"/>
          <w:szCs w:val="21"/>
        </w:rPr>
        <w:t>签字或</w:t>
      </w:r>
      <w:r>
        <w:rPr>
          <w:szCs w:val="21"/>
        </w:rPr>
        <w:t>盖章）</w:t>
      </w:r>
    </w:p>
    <w:p>
      <w:pPr>
        <w:spacing w:line="400" w:lineRule="exact"/>
        <w:ind w:right="480"/>
        <w:jc w:val="right"/>
        <w:rPr>
          <w:rFonts w:ascii="宋体" w:hAnsi="宋体" w:eastAsia="宋体" w:cs="宋体"/>
          <w:szCs w:val="21"/>
        </w:rPr>
      </w:pPr>
      <w:r>
        <w:rPr>
          <w:rFonts w:hint="eastAsia" w:ascii="宋体" w:hAnsi="宋体" w:eastAsia="宋体" w:cs="宋体"/>
          <w:szCs w:val="21"/>
        </w:rPr>
        <w:t>日  期：     年     月    日</w:t>
      </w:r>
    </w:p>
    <w:p>
      <w:pPr>
        <w:spacing w:line="400" w:lineRule="exact"/>
        <w:ind w:right="480"/>
        <w:rPr>
          <w:rFonts w:ascii="宋体" w:hAnsi="宋体" w:eastAsia="宋体" w:cs="宋体"/>
          <w:szCs w:val="21"/>
        </w:rPr>
      </w:pPr>
    </w:p>
    <w:p>
      <w:pPr>
        <w:spacing w:line="400" w:lineRule="exact"/>
        <w:ind w:right="480"/>
        <w:rPr>
          <w:rFonts w:ascii="宋体" w:hAnsi="宋体" w:eastAsia="宋体" w:cs="宋体"/>
          <w:szCs w:val="21"/>
        </w:rPr>
      </w:pPr>
    </w:p>
    <w:p>
      <w:pPr>
        <w:spacing w:line="400" w:lineRule="exact"/>
        <w:ind w:right="480"/>
        <w:rPr>
          <w:rFonts w:ascii="宋体" w:hAnsi="宋体" w:eastAsia="宋体" w:cs="宋体"/>
          <w:szCs w:val="21"/>
        </w:rPr>
      </w:pPr>
    </w:p>
    <w:p>
      <w:pPr>
        <w:widowControl/>
        <w:jc w:val="left"/>
        <w:rPr>
          <w:rFonts w:ascii="宋体" w:hAnsi="宋体" w:eastAsia="宋体" w:cs="宋体"/>
          <w:spacing w:val="-6"/>
          <w:szCs w:val="21"/>
        </w:rPr>
      </w:pPr>
      <w:r>
        <w:rPr>
          <w:rFonts w:ascii="宋体" w:hAnsi="宋体" w:eastAsia="宋体" w:cs="宋体"/>
          <w:spacing w:val="-6"/>
          <w:szCs w:val="21"/>
        </w:rPr>
        <w:br w:type="page"/>
      </w:r>
    </w:p>
    <w:p>
      <w:pPr>
        <w:spacing w:line="360" w:lineRule="auto"/>
        <w:jc w:val="left"/>
        <w:rPr>
          <w:rFonts w:ascii="宋体" w:hAnsi="宋体" w:eastAsia="宋体" w:cs="宋体"/>
          <w:spacing w:val="-6"/>
          <w:szCs w:val="21"/>
        </w:rPr>
      </w:pPr>
    </w:p>
    <w:p>
      <w:pPr>
        <w:pStyle w:val="3"/>
        <w:spacing w:before="312" w:beforeLines="100" w:after="312" w:afterLines="100" w:line="360" w:lineRule="exact"/>
        <w:jc w:val="center"/>
        <w:rPr>
          <w:rFonts w:ascii="宋体" w:hAnsi="宋体"/>
          <w:b w:val="0"/>
          <w:sz w:val="30"/>
          <w:szCs w:val="30"/>
        </w:rPr>
      </w:pPr>
      <w:bookmarkStart w:id="592" w:name="_Toc173244888"/>
      <w:bookmarkStart w:id="593" w:name="_Toc173246275"/>
      <w:r>
        <w:rPr>
          <w:rFonts w:hint="eastAsia" w:ascii="宋体" w:hAnsi="宋体"/>
          <w:b w:val="0"/>
          <w:sz w:val="30"/>
          <w:szCs w:val="30"/>
        </w:rPr>
        <w:t>（五）履约行为表</w:t>
      </w:r>
      <w:bookmarkEnd w:id="592"/>
      <w:bookmarkEnd w:id="593"/>
    </w:p>
    <w:tbl>
      <w:tblPr>
        <w:tblStyle w:val="5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19"/>
        <w:gridCol w:w="48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5" w:hRule="atLeast"/>
          <w:jc w:val="center"/>
        </w:trPr>
        <w:tc>
          <w:tcPr>
            <w:tcW w:w="9639" w:type="dxa"/>
            <w:gridSpan w:val="2"/>
            <w:tcBorders>
              <w:top w:val="single" w:color="auto" w:sz="12" w:space="0"/>
              <w:left w:val="single" w:color="auto" w:sz="12" w:space="0"/>
              <w:bottom w:val="single" w:color="auto" w:sz="6" w:space="0"/>
              <w:right w:val="single" w:color="auto" w:sz="12" w:space="0"/>
            </w:tcBorders>
            <w:vAlign w:val="center"/>
          </w:tcPr>
          <w:p>
            <w:pPr>
              <w:jc w:val="center"/>
              <w:rPr>
                <w:rFonts w:ascii="宋体" w:hAnsi="宋体" w:eastAsia="宋体" w:cs="宋体"/>
                <w:szCs w:val="21"/>
              </w:rPr>
            </w:pPr>
            <w:r>
              <w:rPr>
                <w:rFonts w:hint="eastAsia" w:ascii="宋体" w:hAnsi="宋体" w:eastAsia="宋体" w:cs="宋体"/>
                <w:szCs w:val="21"/>
              </w:rPr>
              <w:t>投 标 人 应 如 实 填 写 下 列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65" w:hRule="atLeast"/>
          <w:jc w:val="center"/>
        </w:trPr>
        <w:tc>
          <w:tcPr>
            <w:tcW w:w="4819" w:type="dxa"/>
            <w:tcBorders>
              <w:top w:val="single" w:color="auto" w:sz="6" w:space="0"/>
              <w:left w:val="single" w:color="auto" w:sz="12" w:space="0"/>
              <w:bottom w:val="single" w:color="auto" w:sz="12" w:space="0"/>
              <w:right w:val="single" w:color="auto" w:sz="6" w:space="0"/>
            </w:tcBorders>
          </w:tcPr>
          <w:p>
            <w:pPr>
              <w:spacing w:line="440" w:lineRule="exact"/>
              <w:ind w:firstLine="420" w:firstLineChars="200"/>
              <w:rPr>
                <w:color w:val="000000"/>
                <w:szCs w:val="21"/>
              </w:rPr>
            </w:pPr>
            <w:r>
              <w:rPr>
                <w:color w:val="000000"/>
                <w:szCs w:val="21"/>
              </w:rPr>
              <w:t>投标人应如实填写下列内容：</w:t>
            </w:r>
          </w:p>
          <w:p>
            <w:pPr>
              <w:spacing w:line="440" w:lineRule="exact"/>
              <w:ind w:firstLine="420" w:firstLineChars="200"/>
              <w:rPr>
                <w:color w:val="000000"/>
                <w:szCs w:val="21"/>
              </w:rPr>
            </w:pPr>
            <w:r>
              <w:rPr>
                <w:rFonts w:hint="eastAsia"/>
                <w:color w:val="000000"/>
                <w:szCs w:val="21"/>
              </w:rPr>
              <w:t>1、</w:t>
            </w:r>
            <w:r>
              <w:rPr>
                <w:color w:val="000000"/>
                <w:szCs w:val="21"/>
              </w:rPr>
              <w:t>近一年（_</w:t>
            </w:r>
            <w:r>
              <w:rPr>
                <w:rFonts w:hint="eastAsia"/>
                <w:color w:val="000000"/>
                <w:szCs w:val="21"/>
                <w:u w:val="single"/>
              </w:rPr>
              <w:t>20</w:t>
            </w:r>
            <w:r>
              <w:rPr>
                <w:color w:val="000000"/>
                <w:szCs w:val="21"/>
                <w:u w:val="single"/>
              </w:rPr>
              <w:t>23</w:t>
            </w:r>
            <w:r>
              <w:rPr>
                <w:color w:val="000000"/>
                <w:szCs w:val="21"/>
              </w:rPr>
              <w:t>_年</w:t>
            </w:r>
            <w:r>
              <w:rPr>
                <w:color w:val="000000"/>
                <w:szCs w:val="21"/>
                <w:u w:val="single"/>
              </w:rPr>
              <w:t>_</w:t>
            </w:r>
            <w:r>
              <w:rPr>
                <w:rFonts w:hint="eastAsia"/>
                <w:color w:val="000000"/>
                <w:szCs w:val="21"/>
                <w:u w:val="single"/>
              </w:rPr>
              <w:t>7</w:t>
            </w:r>
            <w:r>
              <w:rPr>
                <w:color w:val="000000"/>
                <w:szCs w:val="21"/>
                <w:u w:val="single"/>
              </w:rPr>
              <w:t>_</w:t>
            </w:r>
            <w:r>
              <w:rPr>
                <w:color w:val="000000"/>
                <w:szCs w:val="21"/>
              </w:rPr>
              <w:t xml:space="preserve">月 </w:t>
            </w:r>
            <w:r>
              <w:rPr>
                <w:color w:val="000000"/>
                <w:szCs w:val="21"/>
                <w:u w:val="single"/>
              </w:rPr>
              <w:t>_</w:t>
            </w:r>
            <w:r>
              <w:rPr>
                <w:rFonts w:hint="eastAsia"/>
                <w:color w:val="000000"/>
                <w:szCs w:val="21"/>
                <w:u w:val="single"/>
              </w:rPr>
              <w:t>1</w:t>
            </w:r>
            <w:r>
              <w:rPr>
                <w:color w:val="000000"/>
                <w:szCs w:val="21"/>
                <w:u w:val="single"/>
              </w:rPr>
              <w:t>_</w:t>
            </w:r>
            <w:r>
              <w:rPr>
                <w:color w:val="000000"/>
                <w:szCs w:val="21"/>
              </w:rPr>
              <w:t>日以来），</w:t>
            </w:r>
            <w:r>
              <w:rPr>
                <w:rFonts w:hint="eastAsia"/>
                <w:color w:val="000000"/>
                <w:szCs w:val="21"/>
              </w:rPr>
              <w:t>有无被交通运输部、浙江省交通运输厅、浙江省发展和改革委员会三部门以外的省级及以上单位（部门）书面通报，被限制投标，并在处罚期内的。</w:t>
            </w:r>
          </w:p>
          <w:p>
            <w:pPr>
              <w:spacing w:line="440" w:lineRule="exact"/>
              <w:ind w:firstLine="420" w:firstLineChars="200"/>
              <w:rPr>
                <w:szCs w:val="21"/>
              </w:rPr>
            </w:pPr>
            <w:r>
              <w:rPr>
                <w:rFonts w:hint="eastAsia"/>
                <w:color w:val="000000"/>
                <w:szCs w:val="21"/>
              </w:rPr>
              <w:t>2、</w:t>
            </w:r>
            <w:r>
              <w:rPr>
                <w:rFonts w:hint="eastAsia"/>
                <w:szCs w:val="21"/>
              </w:rPr>
              <w:t>近三年（202</w:t>
            </w:r>
            <w:r>
              <w:rPr>
                <w:szCs w:val="21"/>
              </w:rPr>
              <w:t>1</w:t>
            </w:r>
            <w:r>
              <w:rPr>
                <w:rFonts w:hint="eastAsia"/>
                <w:szCs w:val="21"/>
              </w:rPr>
              <w:t>年7月1日以来），投标人或其法定代表人、拟委任的项目经理在工程建设领域中，有无行贿行为构成或未构成犯罪的（以中国裁判文书网（</w:t>
            </w:r>
            <w:r>
              <w:rPr>
                <w:szCs w:val="21"/>
              </w:rPr>
              <w:t>http://wenshu.court.gov.cn/</w:t>
            </w:r>
            <w:r>
              <w:rPr>
                <w:rFonts w:hint="eastAsia"/>
                <w:szCs w:val="21"/>
              </w:rPr>
              <w:t>）网站页面显示内容为准，时间以法院判决书判决时间为准）。</w:t>
            </w:r>
          </w:p>
          <w:p>
            <w:pPr>
              <w:spacing w:line="440" w:lineRule="exact"/>
              <w:ind w:firstLine="420" w:firstLineChars="200"/>
              <w:rPr>
                <w:szCs w:val="21"/>
              </w:rPr>
            </w:pPr>
            <w:r>
              <w:rPr>
                <w:rFonts w:hint="eastAsia"/>
                <w:szCs w:val="21"/>
              </w:rPr>
              <w:t>3、</w:t>
            </w:r>
            <w:r>
              <w:rPr>
                <w:rFonts w:hint="eastAsia"/>
              </w:rPr>
              <w:t>近三年</w:t>
            </w:r>
            <w:r>
              <w:rPr>
                <w:rFonts w:hint="eastAsia"/>
                <w:szCs w:val="21"/>
              </w:rPr>
              <w:t>（202</w:t>
            </w:r>
            <w:r>
              <w:rPr>
                <w:szCs w:val="21"/>
              </w:rPr>
              <w:t>1</w:t>
            </w:r>
            <w:r>
              <w:rPr>
                <w:rFonts w:hint="eastAsia"/>
                <w:szCs w:val="21"/>
              </w:rPr>
              <w:t>年7月1日以来）</w:t>
            </w:r>
            <w:r>
              <w:rPr>
                <w:rFonts w:hint="eastAsia"/>
              </w:rPr>
              <w:t>，投标人有无因公路工程（含附属设施）质量、安全问题等原因被交通运输部、省交通运输厅挂牌督办的。</w:t>
            </w:r>
          </w:p>
          <w:p>
            <w:pPr>
              <w:spacing w:line="440" w:lineRule="exact"/>
              <w:ind w:firstLine="420" w:firstLineChars="200"/>
              <w:rPr>
                <w:rFonts w:ascii="宋体" w:hAnsi="宋体" w:eastAsia="宋体" w:cs="宋体"/>
                <w:szCs w:val="21"/>
              </w:rPr>
            </w:pPr>
            <w:r>
              <w:rPr>
                <w:szCs w:val="21"/>
              </w:rPr>
              <w:t>4</w:t>
            </w:r>
            <w:r>
              <w:rPr>
                <w:rFonts w:hint="eastAsia"/>
                <w:szCs w:val="21"/>
              </w:rPr>
              <w:t>、</w:t>
            </w:r>
            <w:r>
              <w:rPr>
                <w:rFonts w:hint="eastAsia"/>
                <w:color w:val="000000"/>
              </w:rPr>
              <w:t>有无存在投标人须知第1.4.3、1.4.4情形</w:t>
            </w:r>
            <w:r>
              <w:rPr>
                <w:color w:val="000000"/>
              </w:rPr>
              <w:t>。</w:t>
            </w:r>
          </w:p>
        </w:tc>
        <w:tc>
          <w:tcPr>
            <w:tcW w:w="4820" w:type="dxa"/>
            <w:tcBorders>
              <w:top w:val="single" w:color="auto" w:sz="6" w:space="0"/>
              <w:left w:val="single" w:color="auto" w:sz="6" w:space="0"/>
              <w:bottom w:val="single" w:color="auto" w:sz="12" w:space="0"/>
              <w:right w:val="single" w:color="auto" w:sz="12" w:space="0"/>
            </w:tcBorders>
          </w:tcPr>
          <w:p>
            <w:pPr>
              <w:spacing w:line="440" w:lineRule="exact"/>
              <w:ind w:firstLine="420" w:firstLineChars="200"/>
              <w:jc w:val="center"/>
              <w:rPr>
                <w:rFonts w:ascii="宋体" w:hAnsi="宋体" w:eastAsia="宋体" w:cs="宋体"/>
                <w:szCs w:val="21"/>
              </w:rPr>
            </w:pPr>
          </w:p>
        </w:tc>
      </w:tr>
    </w:tbl>
    <w:p>
      <w:pPr>
        <w:rPr>
          <w:rFonts w:ascii="宋体" w:hAnsi="宋体" w:eastAsia="宋体" w:cs="宋体"/>
        </w:rPr>
      </w:pPr>
    </w:p>
    <w:p>
      <w:pPr>
        <w:rPr>
          <w:rFonts w:ascii="宋体" w:hAnsi="宋体" w:eastAsia="宋体" w:cs="宋体"/>
        </w:rPr>
      </w:pPr>
      <w:r>
        <w:rPr>
          <w:rFonts w:hint="eastAsia" w:ascii="宋体" w:hAnsi="宋体" w:eastAsia="宋体" w:cs="宋体"/>
        </w:rPr>
        <w:br w:type="page"/>
      </w:r>
    </w:p>
    <w:p>
      <w:pPr>
        <w:pStyle w:val="3"/>
        <w:spacing w:before="312" w:beforeLines="100" w:after="468" w:afterLines="150" w:line="360" w:lineRule="exact"/>
        <w:jc w:val="center"/>
        <w:rPr>
          <w:rFonts w:ascii="宋体" w:hAnsi="宋体"/>
          <w:b w:val="0"/>
          <w:sz w:val="30"/>
          <w:szCs w:val="30"/>
        </w:rPr>
      </w:pPr>
      <w:bookmarkStart w:id="594" w:name="_Toc173244889"/>
      <w:bookmarkStart w:id="595" w:name="_Toc173246276"/>
      <w:r>
        <w:rPr>
          <w:rFonts w:hint="eastAsia" w:ascii="宋体" w:hAnsi="宋体"/>
          <w:b w:val="0"/>
          <w:sz w:val="30"/>
          <w:szCs w:val="30"/>
        </w:rPr>
        <w:t>六、承  诺  函</w:t>
      </w:r>
      <w:bookmarkEnd w:id="594"/>
      <w:bookmarkEnd w:id="595"/>
    </w:p>
    <w:p>
      <w:pPr>
        <w:spacing w:before="240" w:after="240" w:line="500" w:lineRule="exact"/>
        <w:rPr>
          <w:color w:val="000000"/>
          <w:szCs w:val="21"/>
        </w:rPr>
      </w:pPr>
      <w:r>
        <w:rPr>
          <w:color w:val="000000"/>
          <w:szCs w:val="21"/>
          <w:u w:val="single"/>
        </w:rPr>
        <w:t xml:space="preserve">             </w:t>
      </w:r>
      <w:r>
        <w:rPr>
          <w:color w:val="000000"/>
          <w:szCs w:val="21"/>
        </w:rPr>
        <w:t>（招标人名称）：</w:t>
      </w:r>
    </w:p>
    <w:p>
      <w:pPr>
        <w:spacing w:line="500" w:lineRule="exact"/>
        <w:ind w:firstLine="420" w:firstLineChars="200"/>
        <w:rPr>
          <w:color w:val="000000"/>
          <w:szCs w:val="21"/>
        </w:rPr>
      </w:pPr>
      <w:r>
        <w:rPr>
          <w:color w:val="000000"/>
          <w:szCs w:val="21"/>
        </w:rPr>
        <w:t>我方参加了</w:t>
      </w:r>
      <w:r>
        <w:rPr>
          <w:color w:val="000000"/>
          <w:szCs w:val="21"/>
          <w:u w:val="single"/>
        </w:rPr>
        <w:t xml:space="preserve">         </w:t>
      </w:r>
      <w:r>
        <w:rPr>
          <w:color w:val="000000"/>
          <w:szCs w:val="21"/>
        </w:rPr>
        <w:t>（项目名称）施工投标，若我方中标，我方在此承诺：</w:t>
      </w:r>
    </w:p>
    <w:p>
      <w:pPr>
        <w:spacing w:line="500" w:lineRule="exact"/>
        <w:ind w:firstLine="420" w:firstLineChars="200"/>
        <w:rPr>
          <w:color w:val="000000"/>
          <w:szCs w:val="21"/>
        </w:rPr>
      </w:pPr>
      <w:r>
        <w:rPr>
          <w:color w:val="000000"/>
          <w:szCs w:val="21"/>
        </w:rPr>
        <w:t>若本项目招标文件未要求我方在投标文件中填报派驻本标段的其他主要管理人员和技术人员及主要机械设备和试验检测设备，在招标人向我方发出中标通知书之前，我方将按照合同附件提出的最低要求填报派驻本标段的其他主要管理人员和技术人员</w:t>
      </w:r>
      <w:r>
        <w:rPr>
          <w:rFonts w:hint="eastAsia"/>
          <w:color w:val="000000"/>
          <w:szCs w:val="21"/>
        </w:rPr>
        <w:t>（并按要求提供社保证明）</w:t>
      </w:r>
      <w:r>
        <w:rPr>
          <w:color w:val="000000"/>
          <w:szCs w:val="21"/>
        </w:rPr>
        <w:t>及主要机械设备和试验检测设备，在经招标人审批后作为派驻本标段的项目管理机构主要人员和主要设备且不进行更换。</w:t>
      </w:r>
    </w:p>
    <w:p>
      <w:pPr>
        <w:spacing w:line="500" w:lineRule="exact"/>
        <w:ind w:firstLine="420" w:firstLineChars="200"/>
        <w:rPr>
          <w:color w:val="000000"/>
          <w:szCs w:val="21"/>
        </w:rPr>
      </w:pPr>
      <w:r>
        <w:rPr>
          <w:color w:val="000000"/>
          <w:szCs w:val="21"/>
        </w:rPr>
        <w:t>我方承诺：在招标人发出中标通知书前接受明显不平衡报价的修正。</w:t>
      </w:r>
    </w:p>
    <w:p>
      <w:pPr>
        <w:spacing w:line="500" w:lineRule="exact"/>
        <w:ind w:firstLine="420" w:firstLineChars="200"/>
        <w:rPr>
          <w:color w:val="000000"/>
          <w:szCs w:val="21"/>
        </w:rPr>
      </w:pPr>
      <w:r>
        <w:rPr>
          <w:color w:val="000000"/>
          <w:szCs w:val="21"/>
        </w:rPr>
        <w:t>如我方违背了上述承诺，本项目招标人有权取消我方的中标资格，并由招标人将我方的违约行为上报省级交通运输主管部门，作为不良记录纳入浙江省交通运输信用综合管理服务系统。</w:t>
      </w:r>
    </w:p>
    <w:p>
      <w:pPr>
        <w:spacing w:line="500" w:lineRule="exact"/>
        <w:ind w:firstLine="420" w:firstLineChars="200"/>
        <w:rPr>
          <w:color w:val="000000"/>
          <w:szCs w:val="21"/>
        </w:rPr>
      </w:pPr>
      <w:r>
        <w:rPr>
          <w:color w:val="000000"/>
          <w:szCs w:val="21"/>
        </w:rPr>
        <w:t>我方同时承诺，不通过互联网与任何单位和个人进行与本项目有关图纸资料交换传递，不通过任何途径向本项目无关方泄露和传播本项目有关图纸资料。</w:t>
      </w:r>
    </w:p>
    <w:p>
      <w:pPr>
        <w:spacing w:line="500" w:lineRule="exact"/>
        <w:ind w:firstLine="420" w:firstLineChars="200"/>
        <w:rPr>
          <w:color w:val="000000"/>
          <w:szCs w:val="21"/>
        </w:rPr>
      </w:pPr>
      <w:r>
        <w:rPr>
          <w:rFonts w:hint="eastAsia"/>
        </w:rPr>
        <w:t>我方承诺本项目拟任项目经理在投标截止时间无在其他任何在建合同工程上担任项目经理（包括设计施工总承包项目中的施工负责人）的情形。在建合同工程的开始时间为合同工程中标通知书发出日期（不通过招标方式的，开始时间为合同签订日期），结束时间为该合同通过合同验收或合同解除日期。</w:t>
      </w:r>
    </w:p>
    <w:p>
      <w:pPr>
        <w:spacing w:line="500" w:lineRule="exact"/>
        <w:ind w:firstLine="420" w:firstLineChars="200"/>
        <w:rPr>
          <w:color w:val="000000"/>
          <w:szCs w:val="21"/>
        </w:rPr>
      </w:pPr>
      <w:r>
        <w:rPr>
          <w:color w:val="000000"/>
          <w:szCs w:val="21"/>
        </w:rPr>
        <w:t>以上承诺如有虚假，愿意接受投标保证金不予退还的</w:t>
      </w:r>
      <w:r>
        <w:rPr>
          <w:rFonts w:hint="eastAsia"/>
          <w:color w:val="000000"/>
          <w:szCs w:val="21"/>
        </w:rPr>
        <w:t>处理</w:t>
      </w:r>
      <w:r>
        <w:rPr>
          <w:color w:val="000000"/>
          <w:szCs w:val="21"/>
        </w:rPr>
        <w:t>。给招标人造成损失的，愿意依法承担赔偿责任。如已中标，同意招标人取消我方中标资格的处理。</w:t>
      </w:r>
    </w:p>
    <w:p>
      <w:pPr>
        <w:spacing w:line="500" w:lineRule="exact"/>
        <w:rPr>
          <w:color w:val="000000"/>
          <w:szCs w:val="21"/>
        </w:rPr>
      </w:pPr>
    </w:p>
    <w:p>
      <w:pPr>
        <w:spacing w:line="500" w:lineRule="exact"/>
        <w:rPr>
          <w:color w:val="000000"/>
          <w:szCs w:val="21"/>
        </w:rPr>
      </w:pPr>
      <w:r>
        <w:rPr>
          <w:color w:val="000000"/>
          <w:szCs w:val="21"/>
        </w:rPr>
        <w:t xml:space="preserve">                           </w:t>
      </w:r>
      <w:r>
        <w:rPr>
          <w:color w:val="000000"/>
          <w:kern w:val="0"/>
          <w:szCs w:val="21"/>
        </w:rPr>
        <w:t>投  标  人：</w:t>
      </w:r>
      <w:r>
        <w:rPr>
          <w:color w:val="000000"/>
          <w:szCs w:val="21"/>
          <w:u w:val="single"/>
        </w:rPr>
        <w:t xml:space="preserve">                     </w:t>
      </w:r>
      <w:r>
        <w:rPr>
          <w:color w:val="000000"/>
          <w:szCs w:val="21"/>
        </w:rPr>
        <w:t>（盖章）</w:t>
      </w:r>
    </w:p>
    <w:p>
      <w:pPr>
        <w:spacing w:line="500" w:lineRule="exact"/>
        <w:rPr>
          <w:color w:val="000000"/>
          <w:szCs w:val="21"/>
        </w:rPr>
      </w:pPr>
      <w:r>
        <w:rPr>
          <w:color w:val="000000"/>
          <w:szCs w:val="21"/>
        </w:rPr>
        <w:t xml:space="preserve">                           法定代表人：</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w:t>
      </w:r>
      <w:r>
        <w:rPr>
          <w:rFonts w:hint="eastAsia"/>
          <w:color w:val="000000"/>
          <w:szCs w:val="21"/>
        </w:rPr>
        <w:t>签字或</w:t>
      </w:r>
      <w:r>
        <w:rPr>
          <w:color w:val="000000"/>
          <w:szCs w:val="21"/>
        </w:rPr>
        <w:t>盖章）</w:t>
      </w:r>
    </w:p>
    <w:p>
      <w:pPr>
        <w:spacing w:line="500" w:lineRule="exact"/>
        <w:rPr>
          <w:color w:val="000000"/>
          <w:szCs w:val="21"/>
        </w:rPr>
      </w:pPr>
      <w:r>
        <w:rPr>
          <w:color w:val="000000"/>
          <w:szCs w:val="21"/>
        </w:rPr>
        <w:t xml:space="preserve">                                          </w:t>
      </w:r>
      <w:r>
        <w:rPr>
          <w:rFonts w:hint="eastAsia"/>
          <w:color w:val="000000"/>
          <w:szCs w:val="21"/>
        </w:rPr>
        <w:t>日期</w:t>
      </w:r>
      <w:r>
        <w:rPr>
          <w:color w:val="000000"/>
          <w:szCs w:val="21"/>
        </w:rPr>
        <w:t>：    年    月    日</w:t>
      </w:r>
    </w:p>
    <w:p>
      <w:pPr>
        <w:spacing w:line="500" w:lineRule="exact"/>
        <w:jc w:val="center"/>
        <w:rPr>
          <w:rFonts w:eastAsia="黑体"/>
          <w:color w:val="000000"/>
          <w:sz w:val="28"/>
          <w:szCs w:val="28"/>
        </w:rPr>
      </w:pPr>
    </w:p>
    <w:p>
      <w:pPr>
        <w:spacing w:line="360" w:lineRule="auto"/>
        <w:jc w:val="center"/>
        <w:rPr>
          <w:rFonts w:eastAsia="黑体"/>
          <w:color w:val="000000"/>
          <w:sz w:val="28"/>
          <w:szCs w:val="28"/>
        </w:rPr>
      </w:pPr>
    </w:p>
    <w:p>
      <w:pPr>
        <w:pStyle w:val="2"/>
      </w:pPr>
    </w:p>
    <w:p>
      <w:pPr>
        <w:jc w:val="center"/>
        <w:rPr>
          <w:rFonts w:ascii="黑体" w:hAnsi="黑体" w:eastAsia="黑体"/>
          <w:sz w:val="36"/>
          <w:szCs w:val="36"/>
        </w:rPr>
      </w:pPr>
      <w:r>
        <w:rPr>
          <w:rFonts w:hint="eastAsia" w:ascii="黑体" w:hAnsi="黑体" w:eastAsia="黑体"/>
          <w:sz w:val="36"/>
          <w:szCs w:val="36"/>
        </w:rPr>
        <w:t>诚信投标承诺函</w:t>
      </w:r>
    </w:p>
    <w:p>
      <w:pPr>
        <w:spacing w:line="400" w:lineRule="exact"/>
      </w:pPr>
    </w:p>
    <w:p>
      <w:pPr>
        <w:spacing w:line="600" w:lineRule="exact"/>
      </w:pPr>
      <w:r>
        <w:t>_________________________</w:t>
      </w:r>
      <w:r>
        <w:rPr>
          <w:rFonts w:hint="eastAsia"/>
        </w:rPr>
        <w:t>（招标人名称）：</w:t>
      </w:r>
    </w:p>
    <w:p>
      <w:pPr>
        <w:spacing w:line="600" w:lineRule="exact"/>
        <w:ind w:firstLine="435"/>
      </w:pPr>
      <w:r>
        <w:rPr>
          <w:rFonts w:hint="eastAsia"/>
        </w:rPr>
        <w:t>我方参加了</w:t>
      </w:r>
      <w:r>
        <w:t>__________________</w:t>
      </w:r>
      <w:r>
        <w:rPr>
          <w:rFonts w:hint="eastAsia"/>
        </w:rPr>
        <w:t>（项目名称）</w:t>
      </w:r>
      <w:r>
        <w:t>_ ___</w:t>
      </w:r>
      <w:r>
        <w:rPr>
          <w:rFonts w:hint="eastAsia"/>
        </w:rPr>
        <w:t>标段施工投标，我方在此承诺：</w:t>
      </w:r>
    </w:p>
    <w:p>
      <w:pPr>
        <w:spacing w:line="600" w:lineRule="exact"/>
        <w:ind w:firstLine="435"/>
        <w:rPr>
          <w:rFonts w:ascii="宋体" w:hAnsi="宋体"/>
          <w:szCs w:val="21"/>
        </w:rPr>
      </w:pPr>
      <w:r>
        <w:rPr>
          <w:rFonts w:hint="eastAsia" w:ascii="宋体" w:hAnsi="宋体"/>
          <w:szCs w:val="21"/>
        </w:rPr>
        <w:t>我方法定代表人、拟派项目经理、委托代理人等主要责任人遵循公开、公平、公正和诚实信用的原则参与本次投标，没有弄虚作假、串通投标、行贿等行为。</w:t>
      </w:r>
    </w:p>
    <w:p>
      <w:pPr>
        <w:spacing w:line="600" w:lineRule="exact"/>
        <w:ind w:firstLine="435"/>
        <w:rPr>
          <w:rFonts w:ascii="宋体" w:hAnsi="宋体"/>
          <w:szCs w:val="21"/>
        </w:rPr>
      </w:pPr>
      <w:r>
        <w:rPr>
          <w:rFonts w:hint="eastAsia" w:ascii="宋体" w:hAnsi="宋体"/>
          <w:szCs w:val="21"/>
        </w:rPr>
        <w:t>我方同时承诺在本项目投标截止时间至中标候选人公示结束期间，本项目投标所需资质的动态核查结果为</w:t>
      </w:r>
      <w:r>
        <w:rPr>
          <w:rFonts w:ascii="宋体" w:hAnsi="宋体"/>
          <w:szCs w:val="21"/>
        </w:rPr>
        <w:t>“</w:t>
      </w:r>
      <w:r>
        <w:rPr>
          <w:rFonts w:hint="eastAsia" w:ascii="宋体" w:hAnsi="宋体"/>
          <w:szCs w:val="21"/>
        </w:rPr>
        <w:t>合格”状态。</w:t>
      </w:r>
    </w:p>
    <w:p>
      <w:pPr>
        <w:spacing w:line="600" w:lineRule="exact"/>
        <w:ind w:firstLine="435"/>
      </w:pPr>
      <w:r>
        <w:rPr>
          <w:rFonts w:hint="eastAsia"/>
        </w:rPr>
        <w:t>以上承诺如有虚假，愿意接受投标保证金不予退还的处理。如已中标，同意招标人取消我方中标资格，并按《浙江省公路水运建设工程从业主体信用评价管理细则》扣分或纳入负面清单管理。给招标人造成损失的，愿意依法承担赔偿责任。</w:t>
      </w:r>
    </w:p>
    <w:p>
      <w:pPr>
        <w:spacing w:line="600" w:lineRule="exact"/>
        <w:ind w:firstLine="435"/>
      </w:pPr>
    </w:p>
    <w:p>
      <w:pPr>
        <w:spacing w:line="600" w:lineRule="exact"/>
        <w:ind w:firstLine="435"/>
      </w:pPr>
    </w:p>
    <w:p>
      <w:pPr>
        <w:spacing w:line="600" w:lineRule="exact"/>
        <w:rPr>
          <w:color w:val="000000"/>
          <w:szCs w:val="21"/>
        </w:rPr>
      </w:pPr>
      <w:r>
        <w:t xml:space="preserve">                            </w:t>
      </w:r>
      <w:r>
        <w:rPr>
          <w:color w:val="000000"/>
          <w:kern w:val="0"/>
          <w:szCs w:val="21"/>
        </w:rPr>
        <w:t>投  标  人：</w:t>
      </w:r>
      <w:r>
        <w:rPr>
          <w:color w:val="000000"/>
          <w:szCs w:val="21"/>
          <w:u w:val="single"/>
        </w:rPr>
        <w:t xml:space="preserve">                     </w:t>
      </w:r>
      <w:r>
        <w:rPr>
          <w:color w:val="000000"/>
          <w:szCs w:val="21"/>
        </w:rPr>
        <w:t>（盖章）</w:t>
      </w:r>
    </w:p>
    <w:p>
      <w:pPr>
        <w:spacing w:line="600" w:lineRule="exact"/>
        <w:rPr>
          <w:color w:val="000000"/>
          <w:szCs w:val="21"/>
        </w:rPr>
      </w:pPr>
      <w:r>
        <w:rPr>
          <w:color w:val="000000"/>
          <w:szCs w:val="21"/>
        </w:rPr>
        <w:t xml:space="preserve">                           法定代表人：</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w:t>
      </w:r>
      <w:r>
        <w:rPr>
          <w:rFonts w:hint="eastAsia"/>
          <w:color w:val="000000"/>
          <w:szCs w:val="21"/>
        </w:rPr>
        <w:t>签字或</w:t>
      </w:r>
      <w:r>
        <w:rPr>
          <w:color w:val="000000"/>
          <w:szCs w:val="21"/>
        </w:rPr>
        <w:t>盖章）</w:t>
      </w:r>
    </w:p>
    <w:p>
      <w:pPr>
        <w:spacing w:line="600" w:lineRule="exact"/>
        <w:ind w:firstLine="525" w:firstLineChars="250"/>
        <w:rPr>
          <w:rFonts w:eastAsia="黑体"/>
          <w:color w:val="000000"/>
          <w:sz w:val="28"/>
          <w:szCs w:val="28"/>
        </w:rPr>
      </w:pPr>
      <w:r>
        <w:rPr>
          <w:color w:val="000000"/>
          <w:szCs w:val="21"/>
        </w:rPr>
        <w:t xml:space="preserve">                                               </w:t>
      </w:r>
      <w:r>
        <w:rPr>
          <w:rFonts w:hint="eastAsia"/>
          <w:color w:val="000000"/>
          <w:szCs w:val="21"/>
        </w:rPr>
        <w:t>日期</w:t>
      </w:r>
      <w:r>
        <w:rPr>
          <w:color w:val="000000"/>
          <w:szCs w:val="21"/>
        </w:rPr>
        <w:t>：      年    月    日</w:t>
      </w:r>
    </w:p>
    <w:p>
      <w:pPr>
        <w:widowControl/>
        <w:jc w:val="left"/>
        <w:rPr>
          <w:rFonts w:ascii="宋体" w:hAnsi="宋体" w:eastAsia="宋体" w:cs="宋体"/>
          <w:szCs w:val="21"/>
        </w:rPr>
      </w:pPr>
      <w:r>
        <w:rPr>
          <w:rFonts w:ascii="宋体" w:hAnsi="宋体" w:eastAsia="宋体" w:cs="宋体"/>
          <w:szCs w:val="21"/>
        </w:rPr>
        <w:br w:type="page"/>
      </w:r>
    </w:p>
    <w:p>
      <w:pPr>
        <w:spacing w:line="500" w:lineRule="exact"/>
        <w:rPr>
          <w:rFonts w:ascii="宋体" w:hAnsi="宋体" w:eastAsia="宋体" w:cs="宋体"/>
          <w:szCs w:val="21"/>
        </w:rPr>
      </w:pPr>
    </w:p>
    <w:p>
      <w:pPr>
        <w:pStyle w:val="3"/>
        <w:spacing w:before="312" w:beforeLines="100" w:after="468" w:afterLines="150" w:line="360" w:lineRule="exact"/>
        <w:jc w:val="center"/>
        <w:rPr>
          <w:rFonts w:ascii="宋体" w:hAnsi="宋体"/>
          <w:b w:val="0"/>
          <w:sz w:val="30"/>
          <w:szCs w:val="30"/>
        </w:rPr>
      </w:pPr>
      <w:bookmarkStart w:id="596" w:name="_Toc173244890"/>
      <w:bookmarkStart w:id="597" w:name="_Toc173246277"/>
      <w:r>
        <w:rPr>
          <w:rFonts w:hint="eastAsia" w:ascii="宋体" w:hAnsi="宋体"/>
          <w:b w:val="0"/>
          <w:sz w:val="30"/>
          <w:szCs w:val="30"/>
        </w:rPr>
        <w:t>七、其 他 材 料</w:t>
      </w:r>
      <w:bookmarkEnd w:id="596"/>
      <w:bookmarkEnd w:id="597"/>
    </w:p>
    <w:p>
      <w:pPr>
        <w:rPr>
          <w:rFonts w:ascii="宋体" w:hAnsi="宋体" w:eastAsia="宋体" w:cs="宋体"/>
        </w:rPr>
      </w:pPr>
      <w:r>
        <w:rPr>
          <w:rFonts w:ascii="宋体" w:hAnsi="宋体" w:eastAsia="宋体" w:cs="宋体"/>
        </w:rPr>
        <w:t>1</w:t>
      </w:r>
      <w:r>
        <w:rPr>
          <w:rFonts w:hint="eastAsia" w:ascii="宋体" w:hAnsi="宋体" w:eastAsia="宋体" w:cs="宋体"/>
        </w:rPr>
        <w:t>、投标人认为有必要提供的其他材料。</w:t>
      </w:r>
    </w:p>
    <w:p>
      <w:pPr>
        <w:rPr>
          <w:rFonts w:ascii="宋体" w:hAnsi="宋体" w:eastAsia="宋体" w:cs="宋体"/>
        </w:rPr>
      </w:pPr>
    </w:p>
    <w:p>
      <w:pPr>
        <w:rPr>
          <w:rFonts w:ascii="宋体" w:hAnsi="宋体" w:eastAsia="宋体" w:cs="宋体"/>
        </w:rPr>
      </w:pPr>
    </w:p>
    <w:p>
      <w:pPr>
        <w:rPr>
          <w:rFonts w:ascii="宋体" w:hAnsi="宋体" w:eastAsia="宋体" w:cs="宋体"/>
        </w:rPr>
      </w:pPr>
    </w:p>
    <w:sectPr>
      <w:footerReference r:id="rId4" w:type="default"/>
      <w:pgSz w:w="11906" w:h="16838"/>
      <w:pgMar w:top="1440" w:right="113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4990192"/>
      <w:docPartObj>
        <w:docPartGallery w:val="AutoText"/>
      </w:docPartObj>
    </w:sdtPr>
    <w:sdtContent>
      <w:p>
        <w:pPr>
          <w:pStyle w:val="35"/>
          <w:jc w:val="center"/>
        </w:pPr>
        <w:r>
          <w:fldChar w:fldCharType="begin"/>
        </w:r>
        <w:r>
          <w:instrText xml:space="preserve">PAGE   \* MERGEFORMAT</w:instrText>
        </w:r>
        <w:r>
          <w:fldChar w:fldCharType="separate"/>
        </w:r>
        <w:r>
          <w:rPr>
            <w:lang w:val="zh-CN"/>
          </w:rPr>
          <w:t>36</w:t>
        </w:r>
        <w:r>
          <w:fldChar w:fldCharType="end"/>
        </w:r>
      </w:p>
    </w:sdtContent>
  </w:sdt>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0243633"/>
      <w:docPartObj>
        <w:docPartGallery w:val="AutoText"/>
      </w:docPartObj>
    </w:sdtPr>
    <w:sdtContent>
      <w:p>
        <w:pPr>
          <w:pStyle w:val="35"/>
          <w:jc w:val="center"/>
        </w:pPr>
        <w:r>
          <w:fldChar w:fldCharType="begin"/>
        </w:r>
        <w:r>
          <w:instrText xml:space="preserve">PAGE   \* MERGEFORMAT</w:instrText>
        </w:r>
        <w:r>
          <w:fldChar w:fldCharType="separate"/>
        </w:r>
        <w:r>
          <w:rPr>
            <w:lang w:val="zh-CN"/>
          </w:rPr>
          <w:t>100</w:t>
        </w:r>
        <w:r>
          <w:fldChar w:fldCharType="end"/>
        </w:r>
      </w:p>
    </w:sdtContent>
  </w:sdt>
  <w:p>
    <w:pPr>
      <w:pStyle w:val="3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DA987A"/>
    <w:multiLevelType w:val="singleLevel"/>
    <w:tmpl w:val="DDDA987A"/>
    <w:lvl w:ilvl="0" w:tentative="0">
      <w:start w:val="1"/>
      <w:numFmt w:val="chineseCounting"/>
      <w:suff w:val="nothing"/>
      <w:lvlText w:val="%1、"/>
      <w:lvlJc w:val="left"/>
      <w:rPr>
        <w:rFonts w:hint="eastAsia"/>
      </w:rPr>
    </w:lvl>
  </w:abstractNum>
  <w:abstractNum w:abstractNumId="1">
    <w:nsid w:val="FFFFFF80"/>
    <w:multiLevelType w:val="singleLevel"/>
    <w:tmpl w:val="FFFFFF80"/>
    <w:lvl w:ilvl="0" w:tentative="0">
      <w:start w:val="1"/>
      <w:numFmt w:val="bullet"/>
      <w:pStyle w:val="29"/>
      <w:lvlText w:val=""/>
      <w:lvlJc w:val="left"/>
      <w:pPr>
        <w:tabs>
          <w:tab w:val="left" w:pos="2040"/>
        </w:tabs>
        <w:ind w:left="2040" w:hanging="360"/>
      </w:pPr>
      <w:rPr>
        <w:rFonts w:hint="default" w:ascii="Wingdings" w:hAnsi="Wingdings"/>
      </w:rPr>
    </w:lvl>
  </w:abstractNum>
  <w:abstractNum w:abstractNumId="2">
    <w:nsid w:val="FFFFFF81"/>
    <w:multiLevelType w:val="singleLevel"/>
    <w:tmpl w:val="FFFFFF81"/>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3">
    <w:nsid w:val="FFFFFF82"/>
    <w:multiLevelType w:val="singleLevel"/>
    <w:tmpl w:val="FFFFFF82"/>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FFFFFF83"/>
    <w:multiLevelType w:val="singleLevel"/>
    <w:tmpl w:val="FFFFFF83"/>
    <w:lvl w:ilvl="0" w:tentative="0">
      <w:start w:val="1"/>
      <w:numFmt w:val="bullet"/>
      <w:pStyle w:val="25"/>
      <w:lvlText w:val=""/>
      <w:lvlJc w:val="left"/>
      <w:pPr>
        <w:tabs>
          <w:tab w:val="left" w:pos="780"/>
        </w:tabs>
        <w:ind w:left="780" w:hanging="360"/>
      </w:pPr>
      <w:rPr>
        <w:rFonts w:hint="default" w:ascii="Wingdings" w:hAnsi="Wingdings"/>
      </w:r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Wingdings" w:hAnsi="Wingdings"/>
      </w:rPr>
    </w:lvl>
  </w:abstractNum>
  <w:abstractNum w:abstractNumId="6">
    <w:nsid w:val="00000026"/>
    <w:multiLevelType w:val="multilevel"/>
    <w:tmpl w:val="00000026"/>
    <w:lvl w:ilvl="0" w:tentative="0">
      <w:start w:val="1"/>
      <w:numFmt w:val="none"/>
      <w:pStyle w:val="160"/>
      <w:lvlText w:val="%1"/>
      <w:lvlJc w:val="left"/>
      <w:pPr>
        <w:tabs>
          <w:tab w:val="left" w:pos="360"/>
        </w:tabs>
        <w:ind w:left="0" w:firstLine="0"/>
      </w:pPr>
    </w:lvl>
    <w:lvl w:ilvl="1" w:tentative="0">
      <w:start w:val="1"/>
      <w:numFmt w:val="none"/>
      <w:lvlRestart w:val="0"/>
      <w:lvlText w:val="%1"/>
      <w:lvlJc w:val="left"/>
      <w:pPr>
        <w:tabs>
          <w:tab w:val="left" w:pos="360"/>
        </w:tabs>
        <w:ind w:left="0" w:firstLine="0"/>
      </w:pPr>
    </w:lvl>
    <w:lvl w:ilvl="2" w:tentative="0">
      <w:start w:val="1"/>
      <w:numFmt w:val="none"/>
      <w:lvlRestart w:val="0"/>
      <w:lvlText w:val="%1"/>
      <w:lvlJc w:val="left"/>
      <w:pPr>
        <w:tabs>
          <w:tab w:val="left" w:pos="360"/>
        </w:tabs>
        <w:ind w:left="0" w:firstLine="0"/>
      </w:pPr>
    </w:lvl>
    <w:lvl w:ilvl="3" w:tentative="0">
      <w:start w:val="1"/>
      <w:numFmt w:val="none"/>
      <w:lvlRestart w:val="0"/>
      <w:lvlText w:val="%1"/>
      <w:lvlJc w:val="left"/>
      <w:pPr>
        <w:tabs>
          <w:tab w:val="left" w:pos="360"/>
        </w:tabs>
        <w:ind w:left="0" w:firstLine="0"/>
      </w:pPr>
    </w:lvl>
    <w:lvl w:ilvl="4" w:tentative="0">
      <w:start w:val="1"/>
      <w:numFmt w:val="none"/>
      <w:lvlRestart w:val="0"/>
      <w:lvlText w:val="%1"/>
      <w:lvlJc w:val="left"/>
      <w:pPr>
        <w:tabs>
          <w:tab w:val="left" w:pos="360"/>
        </w:tabs>
        <w:ind w:left="0" w:firstLine="0"/>
      </w:pPr>
    </w:lvl>
    <w:lvl w:ilvl="5" w:tentative="0">
      <w:start w:val="1"/>
      <w:numFmt w:val="none"/>
      <w:lvlRestart w:val="0"/>
      <w:lvlText w:val="%1"/>
      <w:lvlJc w:val="left"/>
      <w:pPr>
        <w:tabs>
          <w:tab w:val="left" w:pos="360"/>
        </w:tabs>
        <w:ind w:left="0" w:firstLine="0"/>
      </w:pPr>
    </w:lvl>
    <w:lvl w:ilvl="6" w:tentative="0">
      <w:start w:val="1"/>
      <w:numFmt w:val="none"/>
      <w:lvlRestart w:val="0"/>
      <w:lvlText w:val="%1"/>
      <w:lvlJc w:val="left"/>
      <w:pPr>
        <w:tabs>
          <w:tab w:val="left" w:pos="360"/>
        </w:tabs>
        <w:ind w:left="0" w:firstLine="0"/>
      </w:pPr>
    </w:lvl>
    <w:lvl w:ilvl="7" w:tentative="0">
      <w:start w:val="1"/>
      <w:numFmt w:val="none"/>
      <w:lvlRestart w:val="0"/>
      <w:lvlText w:val="%1"/>
      <w:lvlJc w:val="left"/>
      <w:pPr>
        <w:tabs>
          <w:tab w:val="left" w:pos="360"/>
        </w:tabs>
        <w:ind w:left="0" w:firstLine="0"/>
      </w:pPr>
    </w:lvl>
    <w:lvl w:ilvl="8" w:tentative="0">
      <w:start w:val="1"/>
      <w:numFmt w:val="none"/>
      <w:lvlRestart w:val="0"/>
      <w:lvlText w:val="%1"/>
      <w:lvlJc w:val="left"/>
      <w:pPr>
        <w:tabs>
          <w:tab w:val="left" w:pos="360"/>
        </w:tabs>
        <w:ind w:left="0" w:firstLine="0"/>
      </w:pPr>
    </w:lvl>
  </w:abstractNum>
  <w:abstractNum w:abstractNumId="7">
    <w:nsid w:val="02F112FE"/>
    <w:multiLevelType w:val="multilevel"/>
    <w:tmpl w:val="02F112FE"/>
    <w:lvl w:ilvl="0" w:tentative="0">
      <w:start w:val="1"/>
      <w:numFmt w:val="decimal"/>
      <w:lvlText w:val="（%1）"/>
      <w:lvlJc w:val="left"/>
      <w:pPr>
        <w:tabs>
          <w:tab w:val="left" w:pos="1575"/>
        </w:tabs>
        <w:ind w:left="1575" w:hanging="720"/>
      </w:pPr>
    </w:lvl>
    <w:lvl w:ilvl="1" w:tentative="0">
      <w:start w:val="1"/>
      <w:numFmt w:val="lowerLetter"/>
      <w:pStyle w:val="111"/>
      <w:lvlText w:val="%2)"/>
      <w:lvlJc w:val="left"/>
      <w:pPr>
        <w:tabs>
          <w:tab w:val="left" w:pos="1695"/>
        </w:tabs>
        <w:ind w:left="1695" w:hanging="420"/>
      </w:pPr>
    </w:lvl>
    <w:lvl w:ilvl="2" w:tentative="0">
      <w:start w:val="1"/>
      <w:numFmt w:val="lowerRoman"/>
      <w:pStyle w:val="122"/>
      <w:lvlText w:val="%3."/>
      <w:lvlJc w:val="right"/>
      <w:pPr>
        <w:tabs>
          <w:tab w:val="left" w:pos="2115"/>
        </w:tabs>
        <w:ind w:left="2115" w:hanging="420"/>
      </w:pPr>
    </w:lvl>
    <w:lvl w:ilvl="3" w:tentative="0">
      <w:start w:val="1"/>
      <w:numFmt w:val="decimal"/>
      <w:pStyle w:val="131"/>
      <w:lvlText w:val="%4."/>
      <w:lvlJc w:val="left"/>
      <w:pPr>
        <w:tabs>
          <w:tab w:val="left" w:pos="2535"/>
        </w:tabs>
        <w:ind w:left="2535" w:hanging="420"/>
      </w:pPr>
    </w:lvl>
    <w:lvl w:ilvl="4" w:tentative="0">
      <w:start w:val="1"/>
      <w:numFmt w:val="lowerLetter"/>
      <w:pStyle w:val="225"/>
      <w:lvlText w:val="%5)"/>
      <w:lvlJc w:val="left"/>
      <w:pPr>
        <w:tabs>
          <w:tab w:val="left" w:pos="2955"/>
        </w:tabs>
        <w:ind w:left="2955" w:hanging="420"/>
      </w:pPr>
    </w:lvl>
    <w:lvl w:ilvl="5" w:tentative="0">
      <w:start w:val="1"/>
      <w:numFmt w:val="lowerRoman"/>
      <w:lvlText w:val="%6."/>
      <w:lvlJc w:val="right"/>
      <w:pPr>
        <w:tabs>
          <w:tab w:val="left" w:pos="3375"/>
        </w:tabs>
        <w:ind w:left="3375" w:hanging="420"/>
      </w:pPr>
    </w:lvl>
    <w:lvl w:ilvl="6" w:tentative="0">
      <w:start w:val="1"/>
      <w:numFmt w:val="decimal"/>
      <w:lvlText w:val="%7."/>
      <w:lvlJc w:val="left"/>
      <w:pPr>
        <w:tabs>
          <w:tab w:val="left" w:pos="3795"/>
        </w:tabs>
        <w:ind w:left="3795" w:hanging="420"/>
      </w:pPr>
    </w:lvl>
    <w:lvl w:ilvl="7" w:tentative="0">
      <w:start w:val="1"/>
      <w:numFmt w:val="lowerLetter"/>
      <w:lvlText w:val="%8)"/>
      <w:lvlJc w:val="left"/>
      <w:pPr>
        <w:tabs>
          <w:tab w:val="left" w:pos="4215"/>
        </w:tabs>
        <w:ind w:left="4215" w:hanging="420"/>
      </w:pPr>
    </w:lvl>
    <w:lvl w:ilvl="8" w:tentative="0">
      <w:start w:val="1"/>
      <w:numFmt w:val="lowerRoman"/>
      <w:lvlText w:val="%9."/>
      <w:lvlJc w:val="right"/>
      <w:pPr>
        <w:tabs>
          <w:tab w:val="left" w:pos="4635"/>
        </w:tabs>
        <w:ind w:left="4635" w:hanging="420"/>
      </w:pPr>
    </w:lvl>
  </w:abstractNum>
  <w:abstractNum w:abstractNumId="8">
    <w:nsid w:val="063B2C10"/>
    <w:multiLevelType w:val="multilevel"/>
    <w:tmpl w:val="063B2C10"/>
    <w:lvl w:ilvl="0" w:tentative="0">
      <w:start w:val="1"/>
      <w:numFmt w:val="decimal"/>
      <w:pStyle w:val="144"/>
      <w:lvlText w:val="（%1）"/>
      <w:lvlJc w:val="left"/>
      <w:pPr>
        <w:tabs>
          <w:tab w:val="left" w:pos="720"/>
        </w:tabs>
        <w:ind w:left="720" w:hanging="720"/>
      </w:pPr>
    </w:lvl>
    <w:lvl w:ilvl="1" w:tentative="0">
      <w:start w:val="1"/>
      <w:numFmt w:val="upperLetter"/>
      <w:lvlText w:val="%2．"/>
      <w:lvlJc w:val="left"/>
      <w:pPr>
        <w:tabs>
          <w:tab w:val="left" w:pos="780"/>
        </w:tabs>
        <w:ind w:left="780" w:hanging="36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04FE10D"/>
    <w:multiLevelType w:val="singleLevel"/>
    <w:tmpl w:val="104FE10D"/>
    <w:lvl w:ilvl="0" w:tentative="0">
      <w:start w:val="1"/>
      <w:numFmt w:val="chineseCounting"/>
      <w:suff w:val="nothing"/>
      <w:lvlText w:val="%1、"/>
      <w:lvlJc w:val="left"/>
      <w:rPr>
        <w:rFonts w:hint="eastAsia"/>
        <w:lang w:val="en-US"/>
      </w:rPr>
    </w:lvl>
  </w:abstractNum>
  <w:abstractNum w:abstractNumId="10">
    <w:nsid w:val="58DA5A1D"/>
    <w:multiLevelType w:val="multilevel"/>
    <w:tmpl w:val="58DA5A1D"/>
    <w:lvl w:ilvl="0" w:tentative="0">
      <w:start w:val="1"/>
      <w:numFmt w:val="decimal"/>
      <w:pStyle w:val="107"/>
      <w:lvlText w:val="（%1）"/>
      <w:lvlJc w:val="left"/>
      <w:pPr>
        <w:tabs>
          <w:tab w:val="left" w:pos="1575"/>
        </w:tabs>
        <w:ind w:left="1575" w:hanging="720"/>
      </w:pPr>
    </w:lvl>
    <w:lvl w:ilvl="1" w:tentative="0">
      <w:start w:val="1"/>
      <w:numFmt w:val="lowerLetter"/>
      <w:lvlText w:val="%2)"/>
      <w:lvlJc w:val="left"/>
      <w:pPr>
        <w:tabs>
          <w:tab w:val="left" w:pos="1695"/>
        </w:tabs>
        <w:ind w:left="1695" w:hanging="420"/>
      </w:pPr>
    </w:lvl>
    <w:lvl w:ilvl="2" w:tentative="0">
      <w:start w:val="1"/>
      <w:numFmt w:val="lowerRoman"/>
      <w:lvlText w:val="%3."/>
      <w:lvlJc w:val="right"/>
      <w:pPr>
        <w:tabs>
          <w:tab w:val="left" w:pos="2115"/>
        </w:tabs>
        <w:ind w:left="2115" w:hanging="420"/>
      </w:pPr>
    </w:lvl>
    <w:lvl w:ilvl="3" w:tentative="0">
      <w:start w:val="1"/>
      <w:numFmt w:val="decimal"/>
      <w:lvlText w:val="%4."/>
      <w:lvlJc w:val="left"/>
      <w:pPr>
        <w:tabs>
          <w:tab w:val="left" w:pos="2535"/>
        </w:tabs>
        <w:ind w:left="2535" w:hanging="420"/>
      </w:pPr>
    </w:lvl>
    <w:lvl w:ilvl="4" w:tentative="0">
      <w:start w:val="1"/>
      <w:numFmt w:val="lowerLetter"/>
      <w:lvlText w:val="%5)"/>
      <w:lvlJc w:val="left"/>
      <w:pPr>
        <w:tabs>
          <w:tab w:val="left" w:pos="2955"/>
        </w:tabs>
        <w:ind w:left="2955" w:hanging="420"/>
      </w:pPr>
    </w:lvl>
    <w:lvl w:ilvl="5" w:tentative="0">
      <w:start w:val="1"/>
      <w:numFmt w:val="lowerRoman"/>
      <w:lvlText w:val="%6."/>
      <w:lvlJc w:val="right"/>
      <w:pPr>
        <w:tabs>
          <w:tab w:val="left" w:pos="3375"/>
        </w:tabs>
        <w:ind w:left="3375" w:hanging="420"/>
      </w:pPr>
    </w:lvl>
    <w:lvl w:ilvl="6" w:tentative="0">
      <w:start w:val="1"/>
      <w:numFmt w:val="decimal"/>
      <w:lvlText w:val="%7."/>
      <w:lvlJc w:val="left"/>
      <w:pPr>
        <w:tabs>
          <w:tab w:val="left" w:pos="3795"/>
        </w:tabs>
        <w:ind w:left="3795" w:hanging="420"/>
      </w:pPr>
    </w:lvl>
    <w:lvl w:ilvl="7" w:tentative="0">
      <w:start w:val="1"/>
      <w:numFmt w:val="lowerLetter"/>
      <w:lvlText w:val="%8)"/>
      <w:lvlJc w:val="left"/>
      <w:pPr>
        <w:tabs>
          <w:tab w:val="left" w:pos="4215"/>
        </w:tabs>
        <w:ind w:left="4215" w:hanging="420"/>
      </w:pPr>
    </w:lvl>
    <w:lvl w:ilvl="8" w:tentative="0">
      <w:start w:val="1"/>
      <w:numFmt w:val="lowerRoman"/>
      <w:lvlText w:val="%9."/>
      <w:lvlJc w:val="right"/>
      <w:pPr>
        <w:tabs>
          <w:tab w:val="left" w:pos="4635"/>
        </w:tabs>
        <w:ind w:left="4635" w:hanging="420"/>
      </w:pPr>
    </w:lvl>
  </w:abstractNum>
  <w:num w:numId="1">
    <w:abstractNumId w:val="2"/>
  </w:num>
  <w:num w:numId="2">
    <w:abstractNumId w:val="5"/>
  </w:num>
  <w:num w:numId="3">
    <w:abstractNumId w:val="3"/>
  </w:num>
  <w:num w:numId="4">
    <w:abstractNumId w:val="4"/>
  </w:num>
  <w:num w:numId="5">
    <w:abstractNumId w:val="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zYzFlODdmZjEzMTQ5YjM0Yjc2ZWVmNzQ1MjlhMjUifQ=="/>
  </w:docVars>
  <w:rsids>
    <w:rsidRoot w:val="00E24ECB"/>
    <w:rsid w:val="0000509E"/>
    <w:rsid w:val="0002438F"/>
    <w:rsid w:val="00025361"/>
    <w:rsid w:val="000418E0"/>
    <w:rsid w:val="00051458"/>
    <w:rsid w:val="0008565B"/>
    <w:rsid w:val="000909FE"/>
    <w:rsid w:val="00094732"/>
    <w:rsid w:val="000A6492"/>
    <w:rsid w:val="000C3FDA"/>
    <w:rsid w:val="000C5AD5"/>
    <w:rsid w:val="000D36F3"/>
    <w:rsid w:val="000E2DED"/>
    <w:rsid w:val="00107E75"/>
    <w:rsid w:val="00123E38"/>
    <w:rsid w:val="00125E7C"/>
    <w:rsid w:val="001404EC"/>
    <w:rsid w:val="001517B5"/>
    <w:rsid w:val="00152062"/>
    <w:rsid w:val="00154F60"/>
    <w:rsid w:val="001C2E69"/>
    <w:rsid w:val="001D4CEA"/>
    <w:rsid w:val="00204EDF"/>
    <w:rsid w:val="002133AA"/>
    <w:rsid w:val="0022379D"/>
    <w:rsid w:val="00226E41"/>
    <w:rsid w:val="00237A63"/>
    <w:rsid w:val="002460E2"/>
    <w:rsid w:val="0024619F"/>
    <w:rsid w:val="00265573"/>
    <w:rsid w:val="00265CEC"/>
    <w:rsid w:val="00270236"/>
    <w:rsid w:val="002751C4"/>
    <w:rsid w:val="002A2BAF"/>
    <w:rsid w:val="002B73B5"/>
    <w:rsid w:val="00305C8D"/>
    <w:rsid w:val="00313FAC"/>
    <w:rsid w:val="00345E6F"/>
    <w:rsid w:val="0038044A"/>
    <w:rsid w:val="0039763C"/>
    <w:rsid w:val="003D1C06"/>
    <w:rsid w:val="003D7469"/>
    <w:rsid w:val="003F5B0B"/>
    <w:rsid w:val="003F6C27"/>
    <w:rsid w:val="00402370"/>
    <w:rsid w:val="00415CD7"/>
    <w:rsid w:val="00415DFF"/>
    <w:rsid w:val="00427F57"/>
    <w:rsid w:val="0043594A"/>
    <w:rsid w:val="004405D2"/>
    <w:rsid w:val="00465467"/>
    <w:rsid w:val="004801A9"/>
    <w:rsid w:val="00494755"/>
    <w:rsid w:val="00497E21"/>
    <w:rsid w:val="004C63A2"/>
    <w:rsid w:val="00513774"/>
    <w:rsid w:val="005235FA"/>
    <w:rsid w:val="00524433"/>
    <w:rsid w:val="00572216"/>
    <w:rsid w:val="005A0756"/>
    <w:rsid w:val="005B3D3C"/>
    <w:rsid w:val="005E4012"/>
    <w:rsid w:val="005E701D"/>
    <w:rsid w:val="005F48E1"/>
    <w:rsid w:val="00607712"/>
    <w:rsid w:val="00680F30"/>
    <w:rsid w:val="00690B94"/>
    <w:rsid w:val="006C7AB9"/>
    <w:rsid w:val="006F51CA"/>
    <w:rsid w:val="00701200"/>
    <w:rsid w:val="00705B16"/>
    <w:rsid w:val="00707493"/>
    <w:rsid w:val="00730087"/>
    <w:rsid w:val="00742EC8"/>
    <w:rsid w:val="00753B94"/>
    <w:rsid w:val="00780D67"/>
    <w:rsid w:val="007933B7"/>
    <w:rsid w:val="00793C9C"/>
    <w:rsid w:val="007A0529"/>
    <w:rsid w:val="007A1A06"/>
    <w:rsid w:val="007B347A"/>
    <w:rsid w:val="007D7CB3"/>
    <w:rsid w:val="007E6ADE"/>
    <w:rsid w:val="007E746A"/>
    <w:rsid w:val="007F7B6E"/>
    <w:rsid w:val="00805144"/>
    <w:rsid w:val="0084547C"/>
    <w:rsid w:val="00871BD2"/>
    <w:rsid w:val="00874CFE"/>
    <w:rsid w:val="008B0BE3"/>
    <w:rsid w:val="008C2765"/>
    <w:rsid w:val="008C46E7"/>
    <w:rsid w:val="008F7163"/>
    <w:rsid w:val="00905615"/>
    <w:rsid w:val="00931442"/>
    <w:rsid w:val="00945021"/>
    <w:rsid w:val="00950793"/>
    <w:rsid w:val="00967C26"/>
    <w:rsid w:val="00986614"/>
    <w:rsid w:val="009B539B"/>
    <w:rsid w:val="009B6D12"/>
    <w:rsid w:val="009D3282"/>
    <w:rsid w:val="009D3301"/>
    <w:rsid w:val="009E3702"/>
    <w:rsid w:val="009F0B4D"/>
    <w:rsid w:val="009F20B7"/>
    <w:rsid w:val="00A22C27"/>
    <w:rsid w:val="00A259F1"/>
    <w:rsid w:val="00A2781C"/>
    <w:rsid w:val="00A67D6C"/>
    <w:rsid w:val="00A7276D"/>
    <w:rsid w:val="00A86068"/>
    <w:rsid w:val="00A8689B"/>
    <w:rsid w:val="00A86D63"/>
    <w:rsid w:val="00AD3BED"/>
    <w:rsid w:val="00AD5DE9"/>
    <w:rsid w:val="00B015B8"/>
    <w:rsid w:val="00B60EE5"/>
    <w:rsid w:val="00B8275D"/>
    <w:rsid w:val="00B8392F"/>
    <w:rsid w:val="00B931E6"/>
    <w:rsid w:val="00BA7AEE"/>
    <w:rsid w:val="00C13B95"/>
    <w:rsid w:val="00C17B4C"/>
    <w:rsid w:val="00C82F99"/>
    <w:rsid w:val="00C85D51"/>
    <w:rsid w:val="00C91E36"/>
    <w:rsid w:val="00CC4CD5"/>
    <w:rsid w:val="00CD3D2A"/>
    <w:rsid w:val="00CD7AAE"/>
    <w:rsid w:val="00CE66D0"/>
    <w:rsid w:val="00CF377C"/>
    <w:rsid w:val="00D02A3D"/>
    <w:rsid w:val="00D123AC"/>
    <w:rsid w:val="00D15F37"/>
    <w:rsid w:val="00D2141E"/>
    <w:rsid w:val="00D3665F"/>
    <w:rsid w:val="00D54E70"/>
    <w:rsid w:val="00D5631E"/>
    <w:rsid w:val="00D57FDF"/>
    <w:rsid w:val="00D62936"/>
    <w:rsid w:val="00D72F72"/>
    <w:rsid w:val="00DA2BDC"/>
    <w:rsid w:val="00DD2458"/>
    <w:rsid w:val="00E15873"/>
    <w:rsid w:val="00E24ECB"/>
    <w:rsid w:val="00E4027E"/>
    <w:rsid w:val="00E8468D"/>
    <w:rsid w:val="00E93D88"/>
    <w:rsid w:val="00EA3AA1"/>
    <w:rsid w:val="00EB3EB3"/>
    <w:rsid w:val="00EC00EC"/>
    <w:rsid w:val="00EC5DE3"/>
    <w:rsid w:val="00EE7601"/>
    <w:rsid w:val="00F01BC6"/>
    <w:rsid w:val="00F064DD"/>
    <w:rsid w:val="00F118F6"/>
    <w:rsid w:val="00F474E3"/>
    <w:rsid w:val="00F74F2F"/>
    <w:rsid w:val="00FA05C1"/>
    <w:rsid w:val="00FC436A"/>
    <w:rsid w:val="02841E49"/>
    <w:rsid w:val="04092D23"/>
    <w:rsid w:val="042F258A"/>
    <w:rsid w:val="04EE160D"/>
    <w:rsid w:val="062C0CE5"/>
    <w:rsid w:val="073B269D"/>
    <w:rsid w:val="0AC15997"/>
    <w:rsid w:val="0B505CBD"/>
    <w:rsid w:val="0B506A66"/>
    <w:rsid w:val="0C866D6C"/>
    <w:rsid w:val="0CE04F1E"/>
    <w:rsid w:val="0D2B718A"/>
    <w:rsid w:val="0EDF507E"/>
    <w:rsid w:val="10920294"/>
    <w:rsid w:val="109A00C2"/>
    <w:rsid w:val="111827CC"/>
    <w:rsid w:val="114B2E7E"/>
    <w:rsid w:val="117F13DB"/>
    <w:rsid w:val="11B5138A"/>
    <w:rsid w:val="1328040A"/>
    <w:rsid w:val="132E69D5"/>
    <w:rsid w:val="16703B2C"/>
    <w:rsid w:val="169F0BEC"/>
    <w:rsid w:val="16EF2081"/>
    <w:rsid w:val="170362B8"/>
    <w:rsid w:val="185B76D2"/>
    <w:rsid w:val="19383080"/>
    <w:rsid w:val="19E12E65"/>
    <w:rsid w:val="1A087CD7"/>
    <w:rsid w:val="1B971B09"/>
    <w:rsid w:val="1BA5238A"/>
    <w:rsid w:val="1BB63D37"/>
    <w:rsid w:val="1DED1EA1"/>
    <w:rsid w:val="1E41538A"/>
    <w:rsid w:val="20467C8F"/>
    <w:rsid w:val="221E66B5"/>
    <w:rsid w:val="22B261D6"/>
    <w:rsid w:val="233537B7"/>
    <w:rsid w:val="236F6F26"/>
    <w:rsid w:val="23F16DBA"/>
    <w:rsid w:val="24D21499"/>
    <w:rsid w:val="2502045A"/>
    <w:rsid w:val="25A52A52"/>
    <w:rsid w:val="26E901A0"/>
    <w:rsid w:val="2E7C511F"/>
    <w:rsid w:val="2F5E475B"/>
    <w:rsid w:val="2F623F76"/>
    <w:rsid w:val="30277894"/>
    <w:rsid w:val="305B1D54"/>
    <w:rsid w:val="312F66E2"/>
    <w:rsid w:val="317E04A8"/>
    <w:rsid w:val="31E67EB2"/>
    <w:rsid w:val="32892BA9"/>
    <w:rsid w:val="35D62F0D"/>
    <w:rsid w:val="361D2143"/>
    <w:rsid w:val="37282991"/>
    <w:rsid w:val="373D7603"/>
    <w:rsid w:val="381C7965"/>
    <w:rsid w:val="38490C94"/>
    <w:rsid w:val="3AB42B18"/>
    <w:rsid w:val="3BE82818"/>
    <w:rsid w:val="3CAC35C8"/>
    <w:rsid w:val="40414974"/>
    <w:rsid w:val="40771DB5"/>
    <w:rsid w:val="45CA090D"/>
    <w:rsid w:val="46040F36"/>
    <w:rsid w:val="473544C1"/>
    <w:rsid w:val="47A279EA"/>
    <w:rsid w:val="486A551D"/>
    <w:rsid w:val="4910111C"/>
    <w:rsid w:val="49860435"/>
    <w:rsid w:val="49F17FF2"/>
    <w:rsid w:val="4A9918F4"/>
    <w:rsid w:val="4ADF7CBF"/>
    <w:rsid w:val="4B0C4E7C"/>
    <w:rsid w:val="4DA726B5"/>
    <w:rsid w:val="4E006BB3"/>
    <w:rsid w:val="4F7500FF"/>
    <w:rsid w:val="50030044"/>
    <w:rsid w:val="50650E08"/>
    <w:rsid w:val="507F41B7"/>
    <w:rsid w:val="52115F72"/>
    <w:rsid w:val="539B4F50"/>
    <w:rsid w:val="55F03676"/>
    <w:rsid w:val="588458CC"/>
    <w:rsid w:val="59BD0F46"/>
    <w:rsid w:val="5ADA2C2E"/>
    <w:rsid w:val="5C14054B"/>
    <w:rsid w:val="5C2C16BD"/>
    <w:rsid w:val="5EBA66ED"/>
    <w:rsid w:val="623C15F1"/>
    <w:rsid w:val="646E13F3"/>
    <w:rsid w:val="64BA11AA"/>
    <w:rsid w:val="6576626E"/>
    <w:rsid w:val="682C4D82"/>
    <w:rsid w:val="687C7085"/>
    <w:rsid w:val="68A20164"/>
    <w:rsid w:val="68BB3BAB"/>
    <w:rsid w:val="69142619"/>
    <w:rsid w:val="697A6C0A"/>
    <w:rsid w:val="6A625232"/>
    <w:rsid w:val="6B216B2F"/>
    <w:rsid w:val="6B830F30"/>
    <w:rsid w:val="6CF05404"/>
    <w:rsid w:val="6CFD0E3A"/>
    <w:rsid w:val="6DB32543"/>
    <w:rsid w:val="6E9633A5"/>
    <w:rsid w:val="6F504D5D"/>
    <w:rsid w:val="6FBD558F"/>
    <w:rsid w:val="71BF7024"/>
    <w:rsid w:val="74263DFA"/>
    <w:rsid w:val="74F24C32"/>
    <w:rsid w:val="751C2D78"/>
    <w:rsid w:val="76D32796"/>
    <w:rsid w:val="780F1EC7"/>
    <w:rsid w:val="78BF2E87"/>
    <w:rsid w:val="79D034E2"/>
    <w:rsid w:val="7AC04061"/>
    <w:rsid w:val="7C67124A"/>
    <w:rsid w:val="7D2B1120"/>
    <w:rsid w:val="7EDC6DAB"/>
    <w:rsid w:val="7FB62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iPriority="0" w:name="footnote text"/>
    <w:lsdException w:qFormat="1" w:uiPriority="0" w:name="annotation text"/>
    <w:lsdException w:qFormat="1" w:uiPriority="0"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qFormat="1" w:uiPriority="0" w:name="footnote reference"/>
    <w:lsdException w:qFormat="1" w:uiPriority="0" w:name="annotation reference"/>
    <w:lsdException w:uiPriority="99" w:name="line number"/>
    <w:lsdException w:uiPriority="99" w:name="page number"/>
    <w:lsdException w:qFormat="1" w:uiPriority="0" w:name="endnote reference"/>
    <w:lsdException w:qFormat="1" w:uiPriority="0" w:name="endnote text"/>
    <w:lsdException w:uiPriority="99" w:name="table of authorities"/>
    <w:lsdException w:uiPriority="99" w:name="macro"/>
    <w:lsdException w:uiPriority="99" w:name="toa heading"/>
    <w:lsdException w:qFormat="1" w:uiPriority="0" w:name="List"/>
    <w:lsdException w:qFormat="1" w:uiPriority="0" w:name="List Bullet"/>
    <w:lsdException w:uiPriority="99" w:name="List Number"/>
    <w:lsdException w:uiPriority="99" w:name="List 2"/>
    <w:lsdException w:uiPriority="99" w:name="List 3"/>
    <w:lsdException w:uiPriority="99" w:name="List 4"/>
    <w:lsdException w:uiPriority="99" w:name="List 5"/>
    <w:lsdException w:qFormat="1" w:uiPriority="0" w:name="List Bullet 2"/>
    <w:lsdException w:qFormat="1" w:uiPriority="0" w:name="List Bullet 3"/>
    <w:lsdException w:qFormat="1" w:uiPriority="0" w:name="List Bullet 4"/>
    <w:lsdException w:qFormat="1" w:uiPriority="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name="Salutation"/>
    <w:lsdException w:qFormat="1" w:uiPriority="0" w:name="Date"/>
    <w:lsdException w:qFormat="1" w:uiPriority="0" w:name="Body Text First Indent"/>
    <w:lsdException w:qFormat="1" w:uiPriority="0" w:name="Body Text First Indent 2"/>
    <w:lsdException w:uiPriority="99" w:name="Note Heading"/>
    <w:lsdException w:qFormat="1" w:uiPriority="0" w:name="Body Text 2"/>
    <w:lsdException w:qFormat="1" w:uiPriority="0" w:name="Body Text 3"/>
    <w:lsdException w:qFormat="1" w:uiPriority="0" w:name="Body Text Indent 2"/>
    <w:lsdException w:qFormat="1" w:uiPriority="0" w:name="Body Text Indent 3"/>
    <w:lsdException w:qFormat="1"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iPriority="0" w:name="Document Map"/>
    <w:lsdException w:qFormat="1" w:uiPriority="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cs="Times New Roman" w:eastAsiaTheme="minorEastAsia"/>
      <w:kern w:val="2"/>
      <w:sz w:val="21"/>
      <w:szCs w:val="24"/>
      <w:lang w:val="en-US" w:eastAsia="zh-CN" w:bidi="ar-SA"/>
    </w:rPr>
  </w:style>
  <w:style w:type="paragraph" w:styleId="3">
    <w:name w:val="heading 1"/>
    <w:basedOn w:val="1"/>
    <w:next w:val="1"/>
    <w:link w:val="66"/>
    <w:autoRedefine/>
    <w:qFormat/>
    <w:uiPriority w:val="0"/>
    <w:pPr>
      <w:keepNext/>
      <w:keepLines/>
      <w:spacing w:before="340" w:after="330" w:line="576" w:lineRule="auto"/>
      <w:outlineLvl w:val="0"/>
    </w:pPr>
    <w:rPr>
      <w:rFonts w:eastAsia="宋体" w:cs="宋体"/>
      <w:b/>
      <w:bCs/>
      <w:kern w:val="44"/>
      <w:sz w:val="44"/>
      <w:szCs w:val="44"/>
    </w:rPr>
  </w:style>
  <w:style w:type="paragraph" w:styleId="4">
    <w:name w:val="heading 2"/>
    <w:basedOn w:val="1"/>
    <w:next w:val="1"/>
    <w:link w:val="67"/>
    <w:autoRedefine/>
    <w:semiHidden/>
    <w:unhideWhenUsed/>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6"/>
    <w:link w:val="68"/>
    <w:autoRedefine/>
    <w:unhideWhenUsed/>
    <w:qFormat/>
    <w:uiPriority w:val="0"/>
    <w:pPr>
      <w:keepNext/>
      <w:keepLines/>
      <w:spacing w:before="260" w:after="260" w:line="415" w:lineRule="auto"/>
      <w:outlineLvl w:val="2"/>
    </w:pPr>
    <w:rPr>
      <w:rFonts w:eastAsia="宋体" w:cs="宋体"/>
      <w:b/>
      <w:bCs/>
      <w:sz w:val="32"/>
      <w:szCs w:val="32"/>
    </w:rPr>
  </w:style>
  <w:style w:type="paragraph" w:styleId="7">
    <w:name w:val="heading 4"/>
    <w:basedOn w:val="1"/>
    <w:next w:val="1"/>
    <w:link w:val="69"/>
    <w:autoRedefine/>
    <w:semiHidden/>
    <w:unhideWhenUsed/>
    <w:qFormat/>
    <w:uiPriority w:val="0"/>
    <w:pPr>
      <w:keepNext/>
      <w:keepLines/>
      <w:spacing w:before="280" w:after="290" w:line="374" w:lineRule="auto"/>
      <w:outlineLvl w:val="3"/>
    </w:pPr>
    <w:rPr>
      <w:rFonts w:ascii="Arial" w:hAnsi="Arial" w:eastAsia="黑体"/>
      <w:b/>
      <w:bCs/>
      <w:sz w:val="28"/>
      <w:szCs w:val="28"/>
    </w:rPr>
  </w:style>
  <w:style w:type="paragraph" w:styleId="8">
    <w:name w:val="heading 5"/>
    <w:basedOn w:val="1"/>
    <w:next w:val="1"/>
    <w:link w:val="70"/>
    <w:autoRedefine/>
    <w:semiHidden/>
    <w:unhideWhenUsed/>
    <w:qFormat/>
    <w:uiPriority w:val="0"/>
    <w:pPr>
      <w:keepNext/>
      <w:keepLines/>
      <w:spacing w:before="280" w:after="290" w:line="374" w:lineRule="auto"/>
      <w:outlineLvl w:val="4"/>
    </w:pPr>
    <w:rPr>
      <w:rFonts w:eastAsia="宋体" w:cs="宋体"/>
      <w:bCs/>
      <w:color w:val="000000"/>
      <w:sz w:val="32"/>
      <w:szCs w:val="28"/>
    </w:rPr>
  </w:style>
  <w:style w:type="paragraph" w:styleId="9">
    <w:name w:val="heading 6"/>
    <w:basedOn w:val="1"/>
    <w:next w:val="1"/>
    <w:link w:val="71"/>
    <w:autoRedefine/>
    <w:semiHidden/>
    <w:unhideWhenUsed/>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10">
    <w:name w:val="heading 7"/>
    <w:basedOn w:val="1"/>
    <w:next w:val="1"/>
    <w:link w:val="72"/>
    <w:autoRedefine/>
    <w:semiHidden/>
    <w:unhideWhenUsed/>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1">
    <w:name w:val="heading 8"/>
    <w:basedOn w:val="1"/>
    <w:next w:val="1"/>
    <w:link w:val="73"/>
    <w:autoRedefine/>
    <w:semiHidden/>
    <w:unhideWhenUsed/>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2">
    <w:name w:val="heading 9"/>
    <w:basedOn w:val="1"/>
    <w:next w:val="1"/>
    <w:link w:val="74"/>
    <w:autoRedefine/>
    <w:semiHidden/>
    <w:unhideWhenUsed/>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54">
    <w:name w:val="Default Paragraph Font"/>
    <w:autoRedefine/>
    <w:semiHidden/>
    <w:unhideWhenUsed/>
    <w:qFormat/>
    <w:uiPriority w:val="1"/>
  </w:style>
  <w:style w:type="table" w:default="1" w:styleId="52">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link w:val="80"/>
    <w:autoRedefine/>
    <w:qFormat/>
    <w:uiPriority w:val="0"/>
    <w:pPr>
      <w:adjustRightInd w:val="0"/>
      <w:spacing w:before="240" w:after="60" w:line="420" w:lineRule="atLeast"/>
      <w:jc w:val="center"/>
      <w:outlineLvl w:val="0"/>
    </w:pPr>
    <w:rPr>
      <w:rFonts w:ascii="Arial" w:hAnsi="Arial"/>
      <w:b/>
      <w:kern w:val="0"/>
      <w:sz w:val="32"/>
      <w:szCs w:val="20"/>
    </w:rPr>
  </w:style>
  <w:style w:type="paragraph" w:styleId="6">
    <w:name w:val="Normal Indent"/>
    <w:basedOn w:val="1"/>
    <w:link w:val="76"/>
    <w:autoRedefine/>
    <w:unhideWhenUsed/>
    <w:qFormat/>
    <w:uiPriority w:val="0"/>
    <w:pPr>
      <w:ind w:firstLine="420" w:firstLineChars="200"/>
    </w:pPr>
    <w:rPr>
      <w:rFonts w:asciiTheme="minorHAnsi" w:hAnsiTheme="minorHAnsi" w:cstheme="minorBidi"/>
    </w:rPr>
  </w:style>
  <w:style w:type="paragraph" w:styleId="13">
    <w:name w:val="toc 7"/>
    <w:basedOn w:val="1"/>
    <w:next w:val="1"/>
    <w:autoRedefine/>
    <w:unhideWhenUsed/>
    <w:qFormat/>
    <w:uiPriority w:val="39"/>
    <w:pPr>
      <w:ind w:left="1260"/>
      <w:jc w:val="left"/>
    </w:pPr>
    <w:rPr>
      <w:szCs w:val="21"/>
    </w:rPr>
  </w:style>
  <w:style w:type="paragraph" w:styleId="14">
    <w:name w:val="List Bullet 4"/>
    <w:basedOn w:val="1"/>
    <w:autoRedefine/>
    <w:semiHidden/>
    <w:unhideWhenUsed/>
    <w:qFormat/>
    <w:uiPriority w:val="0"/>
    <w:pPr>
      <w:numPr>
        <w:ilvl w:val="0"/>
        <w:numId w:val="1"/>
      </w:numPr>
    </w:pPr>
  </w:style>
  <w:style w:type="paragraph" w:styleId="15">
    <w:name w:val="caption"/>
    <w:basedOn w:val="1"/>
    <w:next w:val="1"/>
    <w:semiHidden/>
    <w:unhideWhenUsed/>
    <w:qFormat/>
    <w:uiPriority w:val="0"/>
    <w:rPr>
      <w:rFonts w:ascii="Arial" w:hAnsi="Arial" w:eastAsia="黑体" w:cs="Arial"/>
      <w:sz w:val="20"/>
      <w:szCs w:val="20"/>
    </w:rPr>
  </w:style>
  <w:style w:type="paragraph" w:styleId="16">
    <w:name w:val="List Bullet"/>
    <w:basedOn w:val="1"/>
    <w:autoRedefine/>
    <w:semiHidden/>
    <w:unhideWhenUsed/>
    <w:qFormat/>
    <w:uiPriority w:val="0"/>
    <w:pPr>
      <w:numPr>
        <w:ilvl w:val="0"/>
        <w:numId w:val="2"/>
      </w:numPr>
    </w:pPr>
  </w:style>
  <w:style w:type="paragraph" w:styleId="17">
    <w:name w:val="Document Map"/>
    <w:basedOn w:val="1"/>
    <w:link w:val="91"/>
    <w:semiHidden/>
    <w:unhideWhenUsed/>
    <w:qFormat/>
    <w:uiPriority w:val="0"/>
    <w:pPr>
      <w:shd w:val="clear" w:color="auto" w:fill="000080"/>
    </w:pPr>
  </w:style>
  <w:style w:type="paragraph" w:styleId="18">
    <w:name w:val="annotation text"/>
    <w:basedOn w:val="1"/>
    <w:link w:val="78"/>
    <w:autoRedefine/>
    <w:semiHidden/>
    <w:unhideWhenUsed/>
    <w:qFormat/>
    <w:uiPriority w:val="0"/>
    <w:pPr>
      <w:jc w:val="left"/>
    </w:pPr>
  </w:style>
  <w:style w:type="paragraph" w:styleId="19">
    <w:name w:val="Salutation"/>
    <w:basedOn w:val="1"/>
    <w:next w:val="1"/>
    <w:link w:val="83"/>
    <w:autoRedefine/>
    <w:semiHidden/>
    <w:unhideWhenUsed/>
    <w:qFormat/>
    <w:uiPriority w:val="0"/>
    <w:rPr>
      <w:rFonts w:ascii="宋体"/>
      <w:sz w:val="24"/>
      <w:szCs w:val="20"/>
    </w:rPr>
  </w:style>
  <w:style w:type="paragraph" w:styleId="20">
    <w:name w:val="Body Text 3"/>
    <w:basedOn w:val="1"/>
    <w:link w:val="88"/>
    <w:semiHidden/>
    <w:unhideWhenUsed/>
    <w:qFormat/>
    <w:uiPriority w:val="0"/>
    <w:rPr>
      <w:rFonts w:ascii="宋体"/>
      <w:sz w:val="24"/>
      <w:szCs w:val="20"/>
    </w:rPr>
  </w:style>
  <w:style w:type="paragraph" w:styleId="21">
    <w:name w:val="List Bullet 3"/>
    <w:basedOn w:val="1"/>
    <w:autoRedefine/>
    <w:semiHidden/>
    <w:unhideWhenUsed/>
    <w:qFormat/>
    <w:uiPriority w:val="0"/>
    <w:pPr>
      <w:numPr>
        <w:ilvl w:val="0"/>
        <w:numId w:val="3"/>
      </w:numPr>
    </w:pPr>
  </w:style>
  <w:style w:type="paragraph" w:styleId="22">
    <w:name w:val="Body Text"/>
    <w:basedOn w:val="1"/>
    <w:link w:val="215"/>
    <w:autoRedefine/>
    <w:unhideWhenUsed/>
    <w:qFormat/>
    <w:uiPriority w:val="0"/>
    <w:pPr>
      <w:spacing w:after="120"/>
    </w:pPr>
  </w:style>
  <w:style w:type="paragraph" w:styleId="23">
    <w:name w:val="Body Text Indent"/>
    <w:basedOn w:val="1"/>
    <w:link w:val="82"/>
    <w:semiHidden/>
    <w:unhideWhenUsed/>
    <w:qFormat/>
    <w:uiPriority w:val="0"/>
    <w:pPr>
      <w:spacing w:after="120"/>
      <w:ind w:left="420" w:leftChars="200"/>
    </w:pPr>
  </w:style>
  <w:style w:type="paragraph" w:styleId="24">
    <w:name w:val="Block Text"/>
    <w:basedOn w:val="1"/>
    <w:autoRedefine/>
    <w:semiHidden/>
    <w:unhideWhenUsed/>
    <w:qFormat/>
    <w:uiPriority w:val="0"/>
    <w:pPr>
      <w:spacing w:line="240" w:lineRule="exact"/>
      <w:ind w:left="240" w:leftChars="240" w:right="292" w:rightChars="292" w:firstLine="473"/>
    </w:pPr>
    <w:rPr>
      <w:rFonts w:ascii="宋体"/>
      <w:szCs w:val="20"/>
    </w:rPr>
  </w:style>
  <w:style w:type="paragraph" w:styleId="25">
    <w:name w:val="List Bullet 2"/>
    <w:basedOn w:val="1"/>
    <w:autoRedefine/>
    <w:semiHidden/>
    <w:unhideWhenUsed/>
    <w:qFormat/>
    <w:uiPriority w:val="0"/>
    <w:pPr>
      <w:numPr>
        <w:ilvl w:val="0"/>
        <w:numId w:val="4"/>
      </w:numPr>
    </w:pPr>
  </w:style>
  <w:style w:type="paragraph" w:styleId="26">
    <w:name w:val="toc 5"/>
    <w:basedOn w:val="1"/>
    <w:next w:val="1"/>
    <w:unhideWhenUsed/>
    <w:qFormat/>
    <w:uiPriority w:val="39"/>
    <w:pPr>
      <w:ind w:left="840"/>
      <w:jc w:val="left"/>
    </w:pPr>
    <w:rPr>
      <w:szCs w:val="21"/>
    </w:rPr>
  </w:style>
  <w:style w:type="paragraph" w:styleId="27">
    <w:name w:val="toc 3"/>
    <w:basedOn w:val="1"/>
    <w:next w:val="1"/>
    <w:autoRedefine/>
    <w:unhideWhenUsed/>
    <w:qFormat/>
    <w:uiPriority w:val="39"/>
    <w:pPr>
      <w:ind w:left="840" w:leftChars="400"/>
    </w:pPr>
  </w:style>
  <w:style w:type="paragraph" w:styleId="28">
    <w:name w:val="Plain Text"/>
    <w:basedOn w:val="1"/>
    <w:link w:val="92"/>
    <w:autoRedefine/>
    <w:semiHidden/>
    <w:unhideWhenUsed/>
    <w:qFormat/>
    <w:uiPriority w:val="0"/>
    <w:rPr>
      <w:rFonts w:ascii="宋体" w:hAnsi="Courier New"/>
      <w:color w:val="000000"/>
      <w:szCs w:val="20"/>
    </w:rPr>
  </w:style>
  <w:style w:type="paragraph" w:styleId="29">
    <w:name w:val="List Bullet 5"/>
    <w:basedOn w:val="1"/>
    <w:semiHidden/>
    <w:unhideWhenUsed/>
    <w:qFormat/>
    <w:uiPriority w:val="0"/>
    <w:pPr>
      <w:numPr>
        <w:ilvl w:val="0"/>
        <w:numId w:val="5"/>
      </w:numPr>
    </w:pPr>
  </w:style>
  <w:style w:type="paragraph" w:styleId="30">
    <w:name w:val="toc 8"/>
    <w:basedOn w:val="1"/>
    <w:next w:val="1"/>
    <w:autoRedefine/>
    <w:unhideWhenUsed/>
    <w:qFormat/>
    <w:uiPriority w:val="39"/>
    <w:pPr>
      <w:ind w:left="1470"/>
      <w:jc w:val="left"/>
    </w:pPr>
    <w:rPr>
      <w:szCs w:val="21"/>
    </w:rPr>
  </w:style>
  <w:style w:type="paragraph" w:styleId="31">
    <w:name w:val="Date"/>
    <w:basedOn w:val="1"/>
    <w:next w:val="1"/>
    <w:link w:val="84"/>
    <w:autoRedefine/>
    <w:semiHidden/>
    <w:unhideWhenUsed/>
    <w:qFormat/>
    <w:uiPriority w:val="0"/>
    <w:pPr>
      <w:ind w:left="100" w:leftChars="2500"/>
    </w:pPr>
  </w:style>
  <w:style w:type="paragraph" w:styleId="32">
    <w:name w:val="Body Text Indent 2"/>
    <w:basedOn w:val="1"/>
    <w:link w:val="89"/>
    <w:semiHidden/>
    <w:unhideWhenUsed/>
    <w:qFormat/>
    <w:uiPriority w:val="0"/>
    <w:pPr>
      <w:ind w:firstLine="624"/>
    </w:pPr>
    <w:rPr>
      <w:rFonts w:ascii="仿宋_GB2312" w:eastAsia="仿宋_GB2312"/>
      <w:sz w:val="28"/>
    </w:rPr>
  </w:style>
  <w:style w:type="paragraph" w:styleId="33">
    <w:name w:val="endnote text"/>
    <w:basedOn w:val="1"/>
    <w:link w:val="79"/>
    <w:autoRedefine/>
    <w:semiHidden/>
    <w:unhideWhenUsed/>
    <w:qFormat/>
    <w:uiPriority w:val="0"/>
    <w:pPr>
      <w:snapToGrid w:val="0"/>
      <w:jc w:val="left"/>
    </w:pPr>
  </w:style>
  <w:style w:type="paragraph" w:styleId="34">
    <w:name w:val="Balloon Text"/>
    <w:basedOn w:val="1"/>
    <w:link w:val="94"/>
    <w:semiHidden/>
    <w:unhideWhenUsed/>
    <w:qFormat/>
    <w:uiPriority w:val="0"/>
    <w:rPr>
      <w:sz w:val="18"/>
      <w:szCs w:val="18"/>
    </w:rPr>
  </w:style>
  <w:style w:type="paragraph" w:styleId="35">
    <w:name w:val="footer"/>
    <w:basedOn w:val="1"/>
    <w:link w:val="65"/>
    <w:autoRedefine/>
    <w:unhideWhenUsed/>
    <w:qFormat/>
    <w:uiPriority w:val="99"/>
    <w:pPr>
      <w:tabs>
        <w:tab w:val="center" w:pos="4513"/>
        <w:tab w:val="right" w:pos="9026"/>
      </w:tabs>
      <w:snapToGrid w:val="0"/>
      <w:jc w:val="left"/>
    </w:pPr>
    <w:rPr>
      <w:sz w:val="18"/>
      <w:szCs w:val="18"/>
    </w:rPr>
  </w:style>
  <w:style w:type="paragraph" w:styleId="36">
    <w:name w:val="header"/>
    <w:basedOn w:val="1"/>
    <w:link w:val="64"/>
    <w:autoRedefine/>
    <w:unhideWhenUsed/>
    <w:qFormat/>
    <w:uiPriority w:val="0"/>
    <w:pPr>
      <w:pBdr>
        <w:bottom w:val="single" w:color="auto" w:sz="6" w:space="1"/>
      </w:pBdr>
      <w:tabs>
        <w:tab w:val="center" w:pos="4513"/>
        <w:tab w:val="right" w:pos="9026"/>
      </w:tabs>
      <w:snapToGrid w:val="0"/>
      <w:jc w:val="center"/>
    </w:pPr>
    <w:rPr>
      <w:sz w:val="18"/>
      <w:szCs w:val="18"/>
    </w:rPr>
  </w:style>
  <w:style w:type="paragraph" w:styleId="37">
    <w:name w:val="toc 1"/>
    <w:basedOn w:val="1"/>
    <w:next w:val="1"/>
    <w:unhideWhenUsed/>
    <w:qFormat/>
    <w:uiPriority w:val="39"/>
  </w:style>
  <w:style w:type="paragraph" w:styleId="38">
    <w:name w:val="toc 4"/>
    <w:basedOn w:val="1"/>
    <w:next w:val="1"/>
    <w:autoRedefine/>
    <w:unhideWhenUsed/>
    <w:qFormat/>
    <w:uiPriority w:val="39"/>
    <w:pPr>
      <w:ind w:left="630"/>
      <w:jc w:val="left"/>
    </w:pPr>
    <w:rPr>
      <w:szCs w:val="21"/>
    </w:rPr>
  </w:style>
  <w:style w:type="paragraph" w:styleId="39">
    <w:name w:val="List"/>
    <w:basedOn w:val="1"/>
    <w:autoRedefine/>
    <w:semiHidden/>
    <w:unhideWhenUsed/>
    <w:qFormat/>
    <w:uiPriority w:val="0"/>
    <w:pPr>
      <w:spacing w:line="360" w:lineRule="auto"/>
      <w:ind w:left="-271" w:right="-108" w:firstLine="163"/>
      <w:jc w:val="center"/>
    </w:pPr>
    <w:rPr>
      <w:rFonts w:ascii="宋体"/>
      <w:kern w:val="28"/>
      <w:sz w:val="24"/>
      <w:szCs w:val="20"/>
    </w:rPr>
  </w:style>
  <w:style w:type="paragraph" w:styleId="40">
    <w:name w:val="footnote text"/>
    <w:basedOn w:val="1"/>
    <w:link w:val="77"/>
    <w:semiHidden/>
    <w:unhideWhenUsed/>
    <w:qFormat/>
    <w:uiPriority w:val="0"/>
    <w:pPr>
      <w:snapToGrid w:val="0"/>
      <w:jc w:val="left"/>
    </w:pPr>
    <w:rPr>
      <w:sz w:val="18"/>
      <w:szCs w:val="18"/>
    </w:rPr>
  </w:style>
  <w:style w:type="paragraph" w:styleId="41">
    <w:name w:val="toc 6"/>
    <w:basedOn w:val="1"/>
    <w:next w:val="1"/>
    <w:autoRedefine/>
    <w:unhideWhenUsed/>
    <w:qFormat/>
    <w:uiPriority w:val="39"/>
    <w:pPr>
      <w:ind w:left="1050"/>
      <w:jc w:val="left"/>
    </w:pPr>
    <w:rPr>
      <w:szCs w:val="21"/>
    </w:rPr>
  </w:style>
  <w:style w:type="paragraph" w:styleId="42">
    <w:name w:val="Body Text Indent 3"/>
    <w:basedOn w:val="1"/>
    <w:link w:val="90"/>
    <w:autoRedefine/>
    <w:semiHidden/>
    <w:unhideWhenUsed/>
    <w:qFormat/>
    <w:uiPriority w:val="0"/>
    <w:pPr>
      <w:spacing w:after="120"/>
      <w:ind w:left="420" w:leftChars="200"/>
    </w:pPr>
    <w:rPr>
      <w:sz w:val="16"/>
      <w:szCs w:val="16"/>
    </w:rPr>
  </w:style>
  <w:style w:type="paragraph" w:styleId="43">
    <w:name w:val="toc 2"/>
    <w:basedOn w:val="1"/>
    <w:next w:val="1"/>
    <w:unhideWhenUsed/>
    <w:qFormat/>
    <w:uiPriority w:val="39"/>
    <w:pPr>
      <w:ind w:left="420" w:leftChars="200"/>
    </w:pPr>
  </w:style>
  <w:style w:type="paragraph" w:styleId="44">
    <w:name w:val="toc 9"/>
    <w:basedOn w:val="1"/>
    <w:next w:val="1"/>
    <w:autoRedefine/>
    <w:unhideWhenUsed/>
    <w:qFormat/>
    <w:uiPriority w:val="39"/>
    <w:pPr>
      <w:ind w:left="1680"/>
      <w:jc w:val="left"/>
    </w:pPr>
    <w:rPr>
      <w:szCs w:val="21"/>
    </w:rPr>
  </w:style>
  <w:style w:type="paragraph" w:styleId="45">
    <w:name w:val="Body Text 2"/>
    <w:basedOn w:val="1"/>
    <w:link w:val="87"/>
    <w:autoRedefine/>
    <w:semiHidden/>
    <w:unhideWhenUsed/>
    <w:qFormat/>
    <w:uiPriority w:val="0"/>
    <w:rPr>
      <w:rFonts w:ascii="宋体" w:hAnsi="宋体"/>
      <w:sz w:val="28"/>
    </w:rPr>
  </w:style>
  <w:style w:type="paragraph" w:styleId="46">
    <w:name w:val="HTML Preformatted"/>
    <w:basedOn w:val="1"/>
    <w:link w:val="75"/>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47">
    <w:name w:val="Normal (Web)"/>
    <w:basedOn w:val="1"/>
    <w:autoRedefine/>
    <w:semiHidden/>
    <w:unhideWhenUsed/>
    <w:qFormat/>
    <w:uiPriority w:val="0"/>
    <w:pPr>
      <w:widowControl/>
      <w:spacing w:before="100" w:beforeAutospacing="1" w:after="100" w:afterAutospacing="1"/>
      <w:jc w:val="left"/>
    </w:pPr>
    <w:rPr>
      <w:rFonts w:ascii="ˎ̥" w:hAnsi="ˎ̥"/>
      <w:color w:val="000000"/>
      <w:kern w:val="0"/>
      <w:sz w:val="18"/>
      <w:szCs w:val="20"/>
    </w:rPr>
  </w:style>
  <w:style w:type="paragraph" w:styleId="48">
    <w:name w:val="index 1"/>
    <w:basedOn w:val="1"/>
    <w:next w:val="1"/>
    <w:autoRedefine/>
    <w:semiHidden/>
    <w:unhideWhenUsed/>
    <w:qFormat/>
    <w:uiPriority w:val="0"/>
    <w:pPr>
      <w:spacing w:line="220" w:lineRule="exact"/>
      <w:jc w:val="center"/>
    </w:pPr>
    <w:rPr>
      <w:rFonts w:ascii="仿宋_GB2312" w:eastAsia="仿宋_GB2312"/>
      <w:szCs w:val="21"/>
    </w:rPr>
  </w:style>
  <w:style w:type="paragraph" w:styleId="49">
    <w:name w:val="annotation subject"/>
    <w:basedOn w:val="18"/>
    <w:next w:val="18"/>
    <w:link w:val="93"/>
    <w:semiHidden/>
    <w:unhideWhenUsed/>
    <w:qFormat/>
    <w:uiPriority w:val="0"/>
    <w:rPr>
      <w:b/>
    </w:rPr>
  </w:style>
  <w:style w:type="paragraph" w:styleId="50">
    <w:name w:val="Body Text First Indent"/>
    <w:basedOn w:val="22"/>
    <w:link w:val="85"/>
    <w:autoRedefine/>
    <w:semiHidden/>
    <w:unhideWhenUsed/>
    <w:qFormat/>
    <w:uiPriority w:val="0"/>
    <w:pPr>
      <w:snapToGrid w:val="0"/>
      <w:ind w:firstLine="100" w:firstLineChars="100"/>
    </w:pPr>
    <w:rPr>
      <w:rFonts w:ascii="宋体"/>
      <w:spacing w:val="-6"/>
    </w:rPr>
  </w:style>
  <w:style w:type="paragraph" w:styleId="51">
    <w:name w:val="Body Text First Indent 2"/>
    <w:basedOn w:val="23"/>
    <w:link w:val="86"/>
    <w:autoRedefine/>
    <w:semiHidden/>
    <w:unhideWhenUsed/>
    <w:qFormat/>
    <w:uiPriority w:val="0"/>
    <w:pPr>
      <w:ind w:firstLine="420" w:firstLineChars="200"/>
    </w:pPr>
  </w:style>
  <w:style w:type="table" w:styleId="53">
    <w:name w:val="Table Grid"/>
    <w:basedOn w:val="52"/>
    <w:autoRedefine/>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qFormat/>
    <w:uiPriority w:val="0"/>
    <w:rPr>
      <w:b/>
    </w:rPr>
  </w:style>
  <w:style w:type="character" w:styleId="56">
    <w:name w:val="endnote reference"/>
    <w:autoRedefine/>
    <w:semiHidden/>
    <w:unhideWhenUsed/>
    <w:qFormat/>
    <w:uiPriority w:val="0"/>
    <w:rPr>
      <w:vertAlign w:val="superscript"/>
    </w:rPr>
  </w:style>
  <w:style w:type="character" w:styleId="57">
    <w:name w:val="FollowedHyperlink"/>
    <w:autoRedefine/>
    <w:semiHidden/>
    <w:unhideWhenUsed/>
    <w:qFormat/>
    <w:uiPriority w:val="0"/>
    <w:rPr>
      <w:color w:val="800080"/>
      <w:u w:val="single"/>
    </w:rPr>
  </w:style>
  <w:style w:type="character" w:styleId="58">
    <w:name w:val="Emphasis"/>
    <w:autoRedefine/>
    <w:qFormat/>
    <w:uiPriority w:val="0"/>
    <w:rPr>
      <w:color w:val="CC0033"/>
    </w:rPr>
  </w:style>
  <w:style w:type="character" w:styleId="59">
    <w:name w:val="Hyperlink"/>
    <w:basedOn w:val="54"/>
    <w:unhideWhenUsed/>
    <w:qFormat/>
    <w:uiPriority w:val="99"/>
    <w:rPr>
      <w:color w:val="0000FF"/>
      <w:u w:val="single"/>
    </w:rPr>
  </w:style>
  <w:style w:type="character" w:styleId="60">
    <w:name w:val="annotation reference"/>
    <w:autoRedefine/>
    <w:semiHidden/>
    <w:unhideWhenUsed/>
    <w:qFormat/>
    <w:uiPriority w:val="0"/>
    <w:rPr>
      <w:sz w:val="21"/>
      <w:szCs w:val="21"/>
    </w:rPr>
  </w:style>
  <w:style w:type="character" w:styleId="61">
    <w:name w:val="footnote reference"/>
    <w:autoRedefine/>
    <w:semiHidden/>
    <w:unhideWhenUsed/>
    <w:qFormat/>
    <w:uiPriority w:val="0"/>
    <w:rPr>
      <w:vertAlign w:val="superscript"/>
    </w:rPr>
  </w:style>
  <w:style w:type="paragraph" w:customStyle="1" w:styleId="62">
    <w:name w:val="p0"/>
    <w:basedOn w:val="1"/>
    <w:qFormat/>
    <w:uiPriority w:val="0"/>
    <w:pPr>
      <w:widowControl/>
    </w:pPr>
    <w:rPr>
      <w:kern w:val="0"/>
      <w:szCs w:val="21"/>
    </w:rPr>
  </w:style>
  <w:style w:type="paragraph" w:customStyle="1" w:styleId="63">
    <w:name w:val="[Normal]"/>
    <w:autoRedefine/>
    <w:unhideWhenUsed/>
    <w:qFormat/>
    <w:uiPriority w:val="0"/>
    <w:rPr>
      <w:rFonts w:hint="eastAsia" w:ascii="宋体" w:hAnsi="宋体" w:eastAsia="宋体" w:cs="Times New Roman"/>
      <w:sz w:val="24"/>
      <w:lang w:val="zh-CN" w:eastAsia="zh-CN" w:bidi="ar-SA"/>
    </w:rPr>
  </w:style>
  <w:style w:type="character" w:customStyle="1" w:styleId="64">
    <w:name w:val="页眉 Char"/>
    <w:basedOn w:val="54"/>
    <w:link w:val="36"/>
    <w:autoRedefine/>
    <w:qFormat/>
    <w:uiPriority w:val="0"/>
    <w:rPr>
      <w:sz w:val="18"/>
      <w:szCs w:val="18"/>
    </w:rPr>
  </w:style>
  <w:style w:type="character" w:customStyle="1" w:styleId="65">
    <w:name w:val="页脚 Char"/>
    <w:basedOn w:val="54"/>
    <w:link w:val="35"/>
    <w:qFormat/>
    <w:uiPriority w:val="99"/>
    <w:rPr>
      <w:sz w:val="18"/>
      <w:szCs w:val="18"/>
    </w:rPr>
  </w:style>
  <w:style w:type="character" w:customStyle="1" w:styleId="66">
    <w:name w:val="标题 1 Char"/>
    <w:basedOn w:val="54"/>
    <w:link w:val="3"/>
    <w:autoRedefine/>
    <w:qFormat/>
    <w:uiPriority w:val="0"/>
    <w:rPr>
      <w:rFonts w:ascii="Calibri" w:hAnsi="Calibri" w:eastAsia="宋体" w:cs="宋体"/>
      <w:b/>
      <w:bCs/>
      <w:kern w:val="44"/>
      <w:sz w:val="44"/>
      <w:szCs w:val="44"/>
    </w:rPr>
  </w:style>
  <w:style w:type="character" w:customStyle="1" w:styleId="67">
    <w:name w:val="标题 2 Char"/>
    <w:basedOn w:val="54"/>
    <w:link w:val="4"/>
    <w:autoRedefine/>
    <w:semiHidden/>
    <w:qFormat/>
    <w:uiPriority w:val="0"/>
    <w:rPr>
      <w:rFonts w:ascii="Arial" w:hAnsi="Arial" w:eastAsia="黑体" w:cs="Times New Roman"/>
      <w:b/>
      <w:bCs/>
      <w:sz w:val="32"/>
      <w:szCs w:val="32"/>
    </w:rPr>
  </w:style>
  <w:style w:type="character" w:customStyle="1" w:styleId="68">
    <w:name w:val="标题 3 Char"/>
    <w:basedOn w:val="54"/>
    <w:link w:val="5"/>
    <w:qFormat/>
    <w:uiPriority w:val="0"/>
    <w:rPr>
      <w:rFonts w:ascii="Calibri" w:hAnsi="Calibri" w:eastAsia="宋体" w:cs="宋体"/>
      <w:b/>
      <w:bCs/>
      <w:sz w:val="32"/>
      <w:szCs w:val="32"/>
    </w:rPr>
  </w:style>
  <w:style w:type="character" w:customStyle="1" w:styleId="69">
    <w:name w:val="标题 4 Char"/>
    <w:basedOn w:val="54"/>
    <w:link w:val="7"/>
    <w:autoRedefine/>
    <w:semiHidden/>
    <w:qFormat/>
    <w:uiPriority w:val="0"/>
    <w:rPr>
      <w:rFonts w:ascii="Arial" w:hAnsi="Arial" w:eastAsia="黑体" w:cs="Times New Roman"/>
      <w:b/>
      <w:bCs/>
      <w:sz w:val="28"/>
      <w:szCs w:val="28"/>
    </w:rPr>
  </w:style>
  <w:style w:type="character" w:customStyle="1" w:styleId="70">
    <w:name w:val="标题 5 Char"/>
    <w:basedOn w:val="54"/>
    <w:link w:val="8"/>
    <w:autoRedefine/>
    <w:semiHidden/>
    <w:qFormat/>
    <w:uiPriority w:val="0"/>
    <w:rPr>
      <w:rFonts w:ascii="Calibri" w:hAnsi="Calibri" w:eastAsia="宋体" w:cs="宋体"/>
      <w:bCs/>
      <w:color w:val="000000"/>
      <w:sz w:val="32"/>
      <w:szCs w:val="28"/>
    </w:rPr>
  </w:style>
  <w:style w:type="character" w:customStyle="1" w:styleId="71">
    <w:name w:val="标题 6 Char"/>
    <w:basedOn w:val="54"/>
    <w:link w:val="9"/>
    <w:semiHidden/>
    <w:qFormat/>
    <w:uiPriority w:val="0"/>
    <w:rPr>
      <w:rFonts w:ascii="Arial" w:hAnsi="Arial" w:eastAsia="黑体" w:cs="Times New Roman"/>
      <w:b/>
      <w:bCs/>
      <w:kern w:val="0"/>
      <w:sz w:val="24"/>
      <w:szCs w:val="24"/>
    </w:rPr>
  </w:style>
  <w:style w:type="character" w:customStyle="1" w:styleId="72">
    <w:name w:val="标题 7 Char"/>
    <w:basedOn w:val="54"/>
    <w:link w:val="10"/>
    <w:autoRedefine/>
    <w:semiHidden/>
    <w:qFormat/>
    <w:uiPriority w:val="0"/>
    <w:rPr>
      <w:rFonts w:ascii="Calibri" w:hAnsi="Calibri" w:cs="Times New Roman"/>
      <w:b/>
      <w:bCs/>
      <w:kern w:val="0"/>
      <w:sz w:val="24"/>
      <w:szCs w:val="24"/>
    </w:rPr>
  </w:style>
  <w:style w:type="character" w:customStyle="1" w:styleId="73">
    <w:name w:val="标题 8 Char"/>
    <w:basedOn w:val="54"/>
    <w:link w:val="11"/>
    <w:autoRedefine/>
    <w:semiHidden/>
    <w:qFormat/>
    <w:uiPriority w:val="0"/>
    <w:rPr>
      <w:rFonts w:ascii="Arial" w:hAnsi="Arial" w:eastAsia="黑体" w:cs="Times New Roman"/>
      <w:kern w:val="0"/>
      <w:sz w:val="24"/>
      <w:szCs w:val="24"/>
    </w:rPr>
  </w:style>
  <w:style w:type="character" w:customStyle="1" w:styleId="74">
    <w:name w:val="标题 9 Char"/>
    <w:basedOn w:val="54"/>
    <w:link w:val="12"/>
    <w:autoRedefine/>
    <w:semiHidden/>
    <w:qFormat/>
    <w:uiPriority w:val="0"/>
    <w:rPr>
      <w:rFonts w:ascii="Arial" w:hAnsi="Arial" w:eastAsia="黑体" w:cs="Times New Roman"/>
      <w:kern w:val="0"/>
      <w:szCs w:val="21"/>
    </w:rPr>
  </w:style>
  <w:style w:type="character" w:customStyle="1" w:styleId="75">
    <w:name w:val="HTML 预设格式 Char"/>
    <w:basedOn w:val="54"/>
    <w:link w:val="46"/>
    <w:autoRedefine/>
    <w:semiHidden/>
    <w:qFormat/>
    <w:uiPriority w:val="0"/>
    <w:rPr>
      <w:rFonts w:ascii="Courier New" w:hAnsi="Courier New" w:cs="Courier New"/>
      <w:sz w:val="20"/>
      <w:szCs w:val="20"/>
    </w:rPr>
  </w:style>
  <w:style w:type="character" w:customStyle="1" w:styleId="76">
    <w:name w:val="正文缩进 Char"/>
    <w:link w:val="6"/>
    <w:autoRedefine/>
    <w:qFormat/>
    <w:locked/>
    <w:uiPriority w:val="0"/>
    <w:rPr>
      <w:szCs w:val="24"/>
    </w:rPr>
  </w:style>
  <w:style w:type="character" w:customStyle="1" w:styleId="77">
    <w:name w:val="脚注文本 Char"/>
    <w:basedOn w:val="54"/>
    <w:link w:val="40"/>
    <w:autoRedefine/>
    <w:semiHidden/>
    <w:qFormat/>
    <w:uiPriority w:val="0"/>
    <w:rPr>
      <w:rFonts w:ascii="Calibri" w:hAnsi="Calibri" w:cs="Times New Roman"/>
      <w:sz w:val="18"/>
      <w:szCs w:val="18"/>
    </w:rPr>
  </w:style>
  <w:style w:type="character" w:customStyle="1" w:styleId="78">
    <w:name w:val="批注文字 Char"/>
    <w:basedOn w:val="54"/>
    <w:link w:val="18"/>
    <w:autoRedefine/>
    <w:semiHidden/>
    <w:qFormat/>
    <w:uiPriority w:val="0"/>
    <w:rPr>
      <w:rFonts w:ascii="Calibri" w:hAnsi="Calibri" w:cs="Times New Roman"/>
      <w:szCs w:val="24"/>
    </w:rPr>
  </w:style>
  <w:style w:type="character" w:customStyle="1" w:styleId="79">
    <w:name w:val="尾注文本 Char"/>
    <w:basedOn w:val="54"/>
    <w:link w:val="33"/>
    <w:autoRedefine/>
    <w:semiHidden/>
    <w:qFormat/>
    <w:uiPriority w:val="0"/>
    <w:rPr>
      <w:rFonts w:ascii="Calibri" w:hAnsi="Calibri" w:cs="Times New Roman"/>
      <w:szCs w:val="24"/>
    </w:rPr>
  </w:style>
  <w:style w:type="character" w:customStyle="1" w:styleId="80">
    <w:name w:val="标题 Char"/>
    <w:basedOn w:val="54"/>
    <w:link w:val="2"/>
    <w:qFormat/>
    <w:uiPriority w:val="0"/>
    <w:rPr>
      <w:rFonts w:ascii="Arial" w:hAnsi="Arial" w:cs="Times New Roman"/>
      <w:b/>
      <w:kern w:val="0"/>
      <w:sz w:val="32"/>
      <w:szCs w:val="20"/>
    </w:rPr>
  </w:style>
  <w:style w:type="character" w:customStyle="1" w:styleId="81">
    <w:name w:val="正文文本 Char"/>
    <w:basedOn w:val="54"/>
    <w:semiHidden/>
    <w:qFormat/>
    <w:uiPriority w:val="0"/>
    <w:rPr>
      <w:rFonts w:ascii="Calibri" w:hAnsi="Calibri" w:cs="Times New Roman"/>
      <w:szCs w:val="24"/>
    </w:rPr>
  </w:style>
  <w:style w:type="character" w:customStyle="1" w:styleId="82">
    <w:name w:val="正文文本缩进 Char"/>
    <w:basedOn w:val="54"/>
    <w:link w:val="23"/>
    <w:semiHidden/>
    <w:qFormat/>
    <w:uiPriority w:val="0"/>
    <w:rPr>
      <w:rFonts w:ascii="Calibri" w:hAnsi="Calibri" w:cs="Times New Roman"/>
      <w:szCs w:val="24"/>
    </w:rPr>
  </w:style>
  <w:style w:type="character" w:customStyle="1" w:styleId="83">
    <w:name w:val="称呼 Char"/>
    <w:basedOn w:val="54"/>
    <w:link w:val="19"/>
    <w:semiHidden/>
    <w:qFormat/>
    <w:uiPriority w:val="0"/>
    <w:rPr>
      <w:rFonts w:ascii="宋体" w:hAnsi="Calibri" w:cs="Times New Roman"/>
      <w:sz w:val="24"/>
      <w:szCs w:val="20"/>
    </w:rPr>
  </w:style>
  <w:style w:type="character" w:customStyle="1" w:styleId="84">
    <w:name w:val="日期 Char"/>
    <w:basedOn w:val="54"/>
    <w:link w:val="31"/>
    <w:semiHidden/>
    <w:qFormat/>
    <w:uiPriority w:val="0"/>
    <w:rPr>
      <w:rFonts w:ascii="Calibri" w:hAnsi="Calibri" w:cs="Times New Roman"/>
      <w:szCs w:val="24"/>
    </w:rPr>
  </w:style>
  <w:style w:type="character" w:customStyle="1" w:styleId="85">
    <w:name w:val="正文首行缩进 Char"/>
    <w:basedOn w:val="81"/>
    <w:link w:val="50"/>
    <w:autoRedefine/>
    <w:semiHidden/>
    <w:qFormat/>
    <w:uiPriority w:val="0"/>
    <w:rPr>
      <w:rFonts w:ascii="宋体" w:hAnsi="Calibri" w:cs="Times New Roman"/>
      <w:spacing w:val="-6"/>
      <w:szCs w:val="24"/>
    </w:rPr>
  </w:style>
  <w:style w:type="character" w:customStyle="1" w:styleId="86">
    <w:name w:val="正文首行缩进 2 Char"/>
    <w:basedOn w:val="82"/>
    <w:link w:val="51"/>
    <w:autoRedefine/>
    <w:semiHidden/>
    <w:qFormat/>
    <w:uiPriority w:val="0"/>
    <w:rPr>
      <w:rFonts w:ascii="Calibri" w:hAnsi="Calibri" w:cs="Times New Roman"/>
      <w:szCs w:val="24"/>
    </w:rPr>
  </w:style>
  <w:style w:type="character" w:customStyle="1" w:styleId="87">
    <w:name w:val="正文文本 2 Char"/>
    <w:basedOn w:val="54"/>
    <w:link w:val="45"/>
    <w:autoRedefine/>
    <w:semiHidden/>
    <w:qFormat/>
    <w:uiPriority w:val="0"/>
    <w:rPr>
      <w:rFonts w:ascii="宋体" w:hAnsi="宋体" w:cs="Times New Roman"/>
      <w:sz w:val="28"/>
      <w:szCs w:val="24"/>
    </w:rPr>
  </w:style>
  <w:style w:type="character" w:customStyle="1" w:styleId="88">
    <w:name w:val="正文文本 3 Char"/>
    <w:basedOn w:val="54"/>
    <w:link w:val="20"/>
    <w:autoRedefine/>
    <w:semiHidden/>
    <w:qFormat/>
    <w:uiPriority w:val="0"/>
    <w:rPr>
      <w:rFonts w:ascii="宋体" w:hAnsi="Calibri" w:cs="Times New Roman"/>
      <w:sz w:val="24"/>
      <w:szCs w:val="20"/>
    </w:rPr>
  </w:style>
  <w:style w:type="character" w:customStyle="1" w:styleId="89">
    <w:name w:val="正文文本缩进 2 Char"/>
    <w:basedOn w:val="54"/>
    <w:link w:val="32"/>
    <w:autoRedefine/>
    <w:semiHidden/>
    <w:qFormat/>
    <w:uiPriority w:val="0"/>
    <w:rPr>
      <w:rFonts w:ascii="仿宋_GB2312" w:hAnsi="Calibri" w:eastAsia="仿宋_GB2312" w:cs="Times New Roman"/>
      <w:sz w:val="28"/>
      <w:szCs w:val="24"/>
    </w:rPr>
  </w:style>
  <w:style w:type="character" w:customStyle="1" w:styleId="90">
    <w:name w:val="正文文本缩进 3 Char"/>
    <w:basedOn w:val="54"/>
    <w:link w:val="42"/>
    <w:autoRedefine/>
    <w:semiHidden/>
    <w:qFormat/>
    <w:uiPriority w:val="0"/>
    <w:rPr>
      <w:rFonts w:ascii="Calibri" w:hAnsi="Calibri" w:cs="Times New Roman"/>
      <w:sz w:val="16"/>
      <w:szCs w:val="16"/>
    </w:rPr>
  </w:style>
  <w:style w:type="character" w:customStyle="1" w:styleId="91">
    <w:name w:val="文档结构图 Char"/>
    <w:basedOn w:val="54"/>
    <w:link w:val="17"/>
    <w:semiHidden/>
    <w:qFormat/>
    <w:uiPriority w:val="0"/>
    <w:rPr>
      <w:rFonts w:ascii="Calibri" w:hAnsi="Calibri" w:cs="Times New Roman"/>
      <w:szCs w:val="24"/>
      <w:shd w:val="clear" w:color="auto" w:fill="000080"/>
    </w:rPr>
  </w:style>
  <w:style w:type="character" w:customStyle="1" w:styleId="92">
    <w:name w:val="纯文本 Char"/>
    <w:basedOn w:val="54"/>
    <w:link w:val="28"/>
    <w:semiHidden/>
    <w:qFormat/>
    <w:uiPriority w:val="0"/>
    <w:rPr>
      <w:rFonts w:ascii="宋体" w:hAnsi="Courier New" w:cs="Times New Roman"/>
      <w:color w:val="000000"/>
      <w:szCs w:val="20"/>
    </w:rPr>
  </w:style>
  <w:style w:type="character" w:customStyle="1" w:styleId="93">
    <w:name w:val="批注主题 Char"/>
    <w:basedOn w:val="78"/>
    <w:link w:val="49"/>
    <w:semiHidden/>
    <w:qFormat/>
    <w:uiPriority w:val="0"/>
    <w:rPr>
      <w:rFonts w:ascii="Calibri" w:hAnsi="Calibri" w:cs="Times New Roman"/>
      <w:b/>
      <w:szCs w:val="24"/>
    </w:rPr>
  </w:style>
  <w:style w:type="character" w:customStyle="1" w:styleId="94">
    <w:name w:val="批注框文本 Char"/>
    <w:basedOn w:val="54"/>
    <w:link w:val="34"/>
    <w:semiHidden/>
    <w:qFormat/>
    <w:uiPriority w:val="0"/>
    <w:rPr>
      <w:rFonts w:ascii="Calibri" w:hAnsi="Calibri" w:cs="Times New Roman"/>
      <w:sz w:val="18"/>
      <w:szCs w:val="18"/>
    </w:rPr>
  </w:style>
  <w:style w:type="character" w:customStyle="1" w:styleId="95">
    <w:name w:val="无间隔 Char"/>
    <w:link w:val="96"/>
    <w:qFormat/>
    <w:locked/>
    <w:uiPriority w:val="1"/>
    <w:rPr>
      <w:sz w:val="22"/>
    </w:rPr>
  </w:style>
  <w:style w:type="paragraph" w:styleId="96">
    <w:name w:val="No Spacing"/>
    <w:link w:val="95"/>
    <w:qFormat/>
    <w:uiPriority w:val="1"/>
    <w:rPr>
      <w:rFonts w:asciiTheme="minorHAnsi" w:hAnsiTheme="minorHAnsi" w:eastAsiaTheme="minorEastAsia" w:cstheme="minorBidi"/>
      <w:kern w:val="2"/>
      <w:sz w:val="22"/>
      <w:szCs w:val="22"/>
      <w:lang w:val="en-US" w:eastAsia="zh-CN" w:bidi="ar-SA"/>
    </w:rPr>
  </w:style>
  <w:style w:type="paragraph" w:styleId="97">
    <w:name w:val="List Paragraph"/>
    <w:basedOn w:val="1"/>
    <w:qFormat/>
    <w:uiPriority w:val="0"/>
    <w:pPr>
      <w:ind w:firstLine="200" w:firstLineChars="200"/>
    </w:pPr>
    <w:rPr>
      <w:szCs w:val="22"/>
    </w:rPr>
  </w:style>
  <w:style w:type="paragraph" w:customStyle="1" w:styleId="98">
    <w:name w:val="TOC 标题1"/>
    <w:basedOn w:val="3"/>
    <w:next w:val="1"/>
    <w:semiHidden/>
    <w:unhideWhenUsed/>
    <w:qFormat/>
    <w:uiPriority w:val="0"/>
    <w:pPr>
      <w:widowControl/>
      <w:spacing w:before="480" w:after="0" w:line="276" w:lineRule="auto"/>
      <w:jc w:val="left"/>
      <w:outlineLvl w:val="9"/>
    </w:pPr>
    <w:rPr>
      <w:rFonts w:ascii="Cambria" w:hAnsi="Cambria" w:cs="Times New Roman"/>
      <w:color w:val="365F91"/>
      <w:kern w:val="0"/>
      <w:sz w:val="28"/>
      <w:szCs w:val="28"/>
    </w:rPr>
  </w:style>
  <w:style w:type="paragraph" w:customStyle="1" w:styleId="99">
    <w:name w:val="目次、索引正文"/>
    <w:qFormat/>
    <w:uiPriority w:val="0"/>
    <w:pPr>
      <w:spacing w:line="320" w:lineRule="exact"/>
      <w:jc w:val="both"/>
    </w:pPr>
    <w:rPr>
      <w:rFonts w:ascii="宋体" w:hAnsi="Calibri" w:cs="Times New Roman" w:eastAsiaTheme="minorEastAsia"/>
      <w:sz w:val="21"/>
      <w:lang w:val="en-US" w:eastAsia="zh-CN" w:bidi="ar-SA"/>
    </w:rPr>
  </w:style>
  <w:style w:type="paragraph" w:customStyle="1" w:styleId="100">
    <w:name w:val="正文A"/>
    <w:qFormat/>
    <w:uiPriority w:val="0"/>
    <w:pPr>
      <w:tabs>
        <w:tab w:val="left" w:pos="0"/>
      </w:tabs>
      <w:adjustRightInd w:val="0"/>
      <w:snapToGrid w:val="0"/>
      <w:spacing w:line="360" w:lineRule="auto"/>
      <w:ind w:firstLine="200" w:firstLineChars="200"/>
      <w:jc w:val="both"/>
    </w:pPr>
    <w:rPr>
      <w:rFonts w:ascii="Calibri" w:hAnsi="Calibri" w:cs="Times New Roman" w:eastAsiaTheme="minorEastAsia"/>
      <w:sz w:val="24"/>
      <w:lang w:val="en-US" w:eastAsia="zh-CN" w:bidi="ar-SA"/>
    </w:rPr>
  </w:style>
  <w:style w:type="paragraph" w:customStyle="1" w:styleId="101">
    <w:name w:val="style1"/>
    <w:basedOn w:val="1"/>
    <w:qFormat/>
    <w:uiPriority w:val="0"/>
    <w:pPr>
      <w:widowControl/>
      <w:spacing w:before="100" w:beforeAutospacing="1" w:after="100" w:afterAutospacing="1" w:line="432" w:lineRule="auto"/>
      <w:jc w:val="left"/>
    </w:pPr>
    <w:rPr>
      <w:rFonts w:ascii="宋体" w:cs="宋体"/>
      <w:kern w:val="0"/>
      <w:sz w:val="27"/>
      <w:szCs w:val="27"/>
    </w:rPr>
  </w:style>
  <w:style w:type="paragraph" w:customStyle="1" w:styleId="102">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103">
    <w:name w:val="Char1 Char Char Char Char Char Char Char Char Char Char Char"/>
    <w:basedOn w:val="1"/>
    <w:qFormat/>
    <w:uiPriority w:val="0"/>
    <w:pPr>
      <w:pageBreakBefore/>
      <w:tabs>
        <w:tab w:val="left" w:pos="432"/>
      </w:tabs>
      <w:ind w:left="432" w:hanging="432"/>
    </w:pPr>
  </w:style>
  <w:style w:type="paragraph" w:customStyle="1" w:styleId="104">
    <w:name w:val="样式 标题 3 + (中文) 黑体 小四 非加粗 段前: 7.8 磅 段后: 0 磅 行距: 固定值 20 磅"/>
    <w:basedOn w:val="5"/>
    <w:qFormat/>
    <w:uiPriority w:val="0"/>
    <w:pPr>
      <w:spacing w:before="0" w:after="0" w:line="400" w:lineRule="exact"/>
    </w:pPr>
    <w:rPr>
      <w:rFonts w:eastAsia="黑体"/>
      <w:b w:val="0"/>
      <w:bCs w:val="0"/>
      <w:sz w:val="24"/>
      <w:szCs w:val="20"/>
    </w:rPr>
  </w:style>
  <w:style w:type="paragraph" w:customStyle="1" w:styleId="105">
    <w:name w:val="表格"/>
    <w:basedOn w:val="1"/>
    <w:qFormat/>
    <w:uiPriority w:val="0"/>
    <w:pPr>
      <w:jc w:val="center"/>
    </w:pPr>
    <w:rPr>
      <w:rFonts w:ascii="华文细黑" w:hAnsi="华文细黑"/>
      <w:kern w:val="0"/>
      <w:szCs w:val="20"/>
    </w:rPr>
  </w:style>
  <w:style w:type="paragraph" w:customStyle="1" w:styleId="106">
    <w:name w:val="段"/>
    <w:qFormat/>
    <w:uiPriority w:val="0"/>
    <w:pPr>
      <w:autoSpaceDE w:val="0"/>
      <w:autoSpaceDN w:val="0"/>
      <w:ind w:firstLine="200" w:firstLineChars="200"/>
      <w:jc w:val="both"/>
    </w:pPr>
    <w:rPr>
      <w:rFonts w:ascii="宋体" w:hAnsi="Calibri" w:cs="Times New Roman" w:eastAsiaTheme="minorEastAsia"/>
      <w:sz w:val="21"/>
      <w:lang w:val="en-US" w:eastAsia="zh-CN" w:bidi="ar-SA"/>
    </w:rPr>
  </w:style>
  <w:style w:type="paragraph" w:customStyle="1" w:styleId="107">
    <w:name w:val="附录图标题"/>
    <w:next w:val="106"/>
    <w:qFormat/>
    <w:uiPriority w:val="0"/>
    <w:pPr>
      <w:numPr>
        <w:ilvl w:val="0"/>
        <w:numId w:val="6"/>
      </w:numPr>
      <w:tabs>
        <w:tab w:val="left" w:pos="360"/>
      </w:tabs>
      <w:jc w:val="center"/>
    </w:pPr>
    <w:rPr>
      <w:rFonts w:ascii="黑体" w:hAnsi="Calibri" w:eastAsia="黑体" w:cs="Times New Roman"/>
      <w:sz w:val="21"/>
      <w:lang w:val="en-US" w:eastAsia="zh-CN" w:bidi="ar-SA"/>
    </w:rPr>
  </w:style>
  <w:style w:type="paragraph" w:customStyle="1" w:styleId="108">
    <w:name w:val="纯文本1"/>
    <w:basedOn w:val="1"/>
    <w:qFormat/>
    <w:uiPriority w:val="0"/>
    <w:pPr>
      <w:adjustRightInd w:val="0"/>
    </w:pPr>
    <w:rPr>
      <w:rFonts w:ascii="宋体"/>
      <w:szCs w:val="20"/>
    </w:rPr>
  </w:style>
  <w:style w:type="paragraph" w:customStyle="1" w:styleId="109">
    <w:name w:val="一级条标题"/>
    <w:next w:val="1"/>
    <w:qFormat/>
    <w:uiPriority w:val="0"/>
    <w:pPr>
      <w:tabs>
        <w:tab w:val="left" w:pos="0"/>
      </w:tabs>
      <w:ind w:left="420"/>
      <w:outlineLvl w:val="2"/>
    </w:pPr>
    <w:rPr>
      <w:rFonts w:ascii="Calibri" w:hAnsi="Calibri" w:eastAsia="黑体" w:cs="Times New Roman"/>
      <w:sz w:val="21"/>
      <w:lang w:val="en-US" w:eastAsia="zh-CN" w:bidi="ar-SA"/>
    </w:rPr>
  </w:style>
  <w:style w:type="paragraph" w:customStyle="1" w:styleId="110">
    <w:name w:val="样式 标题 2H2Title22级 + 居中"/>
    <w:basedOn w:val="4"/>
    <w:qFormat/>
    <w:uiPriority w:val="0"/>
    <w:pPr>
      <w:spacing w:line="412" w:lineRule="auto"/>
      <w:jc w:val="center"/>
    </w:pPr>
    <w:rPr>
      <w:rFonts w:cs="宋体"/>
      <w:sz w:val="36"/>
      <w:szCs w:val="20"/>
    </w:rPr>
  </w:style>
  <w:style w:type="paragraph" w:customStyle="1" w:styleId="111">
    <w:name w:val="附录一级条标题"/>
    <w:basedOn w:val="1"/>
    <w:next w:val="106"/>
    <w:autoRedefine/>
    <w:qFormat/>
    <w:uiPriority w:val="0"/>
    <w:pPr>
      <w:widowControl/>
      <w:numPr>
        <w:ilvl w:val="1"/>
        <w:numId w:val="7"/>
      </w:numPr>
      <w:wordWrap w:val="0"/>
      <w:overflowPunct w:val="0"/>
      <w:autoSpaceDE w:val="0"/>
      <w:autoSpaceDN w:val="0"/>
      <w:outlineLvl w:val="2"/>
    </w:pPr>
    <w:rPr>
      <w:rFonts w:ascii="黑体" w:eastAsia="黑体"/>
      <w:kern w:val="21"/>
      <w:szCs w:val="20"/>
    </w:rPr>
  </w:style>
  <w:style w:type="paragraph" w:customStyle="1" w:styleId="112">
    <w:name w:val="表中"/>
    <w:basedOn w:val="1"/>
    <w:autoRedefine/>
    <w:qFormat/>
    <w:uiPriority w:val="0"/>
    <w:pPr>
      <w:autoSpaceDE w:val="0"/>
      <w:autoSpaceDN w:val="0"/>
      <w:adjustRightInd w:val="0"/>
      <w:spacing w:line="360" w:lineRule="atLeast"/>
      <w:jc w:val="center"/>
    </w:pPr>
    <w:rPr>
      <w:rFonts w:ascii="宋体"/>
      <w:kern w:val="0"/>
      <w:szCs w:val="20"/>
    </w:rPr>
  </w:style>
  <w:style w:type="paragraph" w:customStyle="1" w:styleId="113">
    <w:name w:val="Char Char Char Char Char Char3 Char Char Char Char Char Char Char"/>
    <w:basedOn w:val="1"/>
    <w:next w:val="1"/>
    <w:autoRedefine/>
    <w:qFormat/>
    <w:uiPriority w:val="0"/>
    <w:rPr>
      <w:rFonts w:eastAsia="黑体"/>
      <w:sz w:val="28"/>
    </w:rPr>
  </w:style>
  <w:style w:type="paragraph" w:customStyle="1" w:styleId="114">
    <w:name w:val="Char3"/>
    <w:basedOn w:val="1"/>
    <w:qFormat/>
    <w:uiPriority w:val="0"/>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eastAsia="en-GB"/>
    </w:rPr>
  </w:style>
  <w:style w:type="paragraph" w:customStyle="1" w:styleId="115">
    <w:name w:val="样式2"/>
    <w:basedOn w:val="1"/>
    <w:qFormat/>
    <w:uiPriority w:val="0"/>
    <w:pPr>
      <w:spacing w:line="360" w:lineRule="auto"/>
      <w:jc w:val="center"/>
    </w:pPr>
    <w:rPr>
      <w:rFonts w:ascii="黑体" w:eastAsia="黑体"/>
      <w:emboss/>
      <w:color w:val="FFFFFF"/>
      <w:sz w:val="44"/>
      <w:szCs w:val="20"/>
    </w:rPr>
  </w:style>
  <w:style w:type="paragraph" w:customStyle="1" w:styleId="116">
    <w:name w:val="Char"/>
    <w:basedOn w:val="17"/>
    <w:qFormat/>
    <w:uiPriority w:val="0"/>
    <w:rPr>
      <w:rFonts w:ascii="Tahoma" w:hAnsi="Tahoma"/>
      <w:sz w:val="24"/>
    </w:rPr>
  </w:style>
  <w:style w:type="paragraph" w:customStyle="1" w:styleId="117">
    <w:name w:val="图表脚注"/>
    <w:next w:val="1"/>
    <w:qFormat/>
    <w:uiPriority w:val="0"/>
    <w:pPr>
      <w:ind w:left="300" w:leftChars="200" w:hanging="100" w:hangingChars="100"/>
      <w:jc w:val="both"/>
    </w:pPr>
    <w:rPr>
      <w:rFonts w:ascii="宋体" w:hAnsi="Calibri" w:cs="Times New Roman" w:eastAsiaTheme="minorEastAsia"/>
      <w:sz w:val="18"/>
      <w:lang w:val="en-US" w:eastAsia="zh-CN" w:bidi="ar-SA"/>
    </w:rPr>
  </w:style>
  <w:style w:type="paragraph" w:customStyle="1" w:styleId="118">
    <w:name w:val="标准书眉_偶数页"/>
    <w:basedOn w:val="1"/>
    <w:next w:val="1"/>
    <w:qFormat/>
    <w:uiPriority w:val="0"/>
    <w:pPr>
      <w:widowControl/>
      <w:tabs>
        <w:tab w:val="left" w:pos="0"/>
        <w:tab w:val="center" w:pos="4154"/>
        <w:tab w:val="right" w:pos="8306"/>
      </w:tabs>
      <w:spacing w:after="120"/>
      <w:jc w:val="left"/>
    </w:pPr>
    <w:rPr>
      <w:kern w:val="0"/>
      <w:szCs w:val="20"/>
    </w:rPr>
  </w:style>
  <w:style w:type="paragraph" w:customStyle="1" w:styleId="119">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20">
    <w:name w:val="前言、引言标题"/>
    <w:next w:val="1"/>
    <w:autoRedefine/>
    <w:qFormat/>
    <w:uiPriority w:val="0"/>
    <w:pPr>
      <w:shd w:val="clear" w:color="auto" w:fill="FFFFFF"/>
      <w:tabs>
        <w:tab w:val="left" w:pos="0"/>
      </w:tabs>
      <w:spacing w:before="640" w:after="560"/>
      <w:jc w:val="center"/>
      <w:outlineLvl w:val="0"/>
    </w:pPr>
    <w:rPr>
      <w:rFonts w:ascii="黑体" w:hAnsi="Calibri" w:eastAsia="黑体" w:cs="Times New Roman"/>
      <w:sz w:val="32"/>
      <w:lang w:val="en-US" w:eastAsia="zh-CN" w:bidi="ar-SA"/>
    </w:rPr>
  </w:style>
  <w:style w:type="paragraph" w:customStyle="1" w:styleId="121">
    <w:name w:val="封面标准文稿编辑信息"/>
    <w:autoRedefine/>
    <w:qFormat/>
    <w:uiPriority w:val="0"/>
    <w:pPr>
      <w:spacing w:before="180" w:line="180" w:lineRule="exact"/>
      <w:jc w:val="center"/>
    </w:pPr>
    <w:rPr>
      <w:rFonts w:ascii="宋体" w:hAnsi="Calibri" w:cs="Times New Roman" w:eastAsiaTheme="minorEastAsia"/>
      <w:sz w:val="21"/>
      <w:lang w:val="en-US" w:eastAsia="zh-CN" w:bidi="ar-SA"/>
    </w:rPr>
  </w:style>
  <w:style w:type="paragraph" w:customStyle="1" w:styleId="122">
    <w:name w:val="附录二级条标题"/>
    <w:basedOn w:val="111"/>
    <w:next w:val="106"/>
    <w:qFormat/>
    <w:uiPriority w:val="0"/>
    <w:pPr>
      <w:numPr>
        <w:ilvl w:val="2"/>
      </w:numPr>
      <w:outlineLvl w:val="3"/>
    </w:pPr>
  </w:style>
  <w:style w:type="paragraph" w:customStyle="1" w:styleId="123">
    <w:name w:val="样式3"/>
    <w:basedOn w:val="37"/>
    <w:qFormat/>
    <w:uiPriority w:val="0"/>
    <w:pPr>
      <w:tabs>
        <w:tab w:val="left" w:pos="480"/>
        <w:tab w:val="right" w:leader="dot" w:pos="9028"/>
      </w:tabs>
      <w:spacing w:before="120"/>
      <w:jc w:val="left"/>
    </w:pPr>
    <w:rPr>
      <w:rFonts w:ascii="宋体"/>
      <w:color w:val="FF0000"/>
      <w:spacing w:val="12"/>
      <w:sz w:val="32"/>
      <w:szCs w:val="20"/>
    </w:rPr>
  </w:style>
  <w:style w:type="paragraph" w:customStyle="1" w:styleId="124">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b w:val="0"/>
      <w:bCs w:val="0"/>
      <w:sz w:val="32"/>
      <w:szCs w:val="20"/>
    </w:rPr>
  </w:style>
  <w:style w:type="paragraph" w:customStyle="1" w:styleId="125">
    <w:name w:val="zbggmain"/>
    <w:basedOn w:val="1"/>
    <w:qFormat/>
    <w:uiPriority w:val="0"/>
    <w:pPr>
      <w:widowControl/>
      <w:spacing w:before="100" w:beforeAutospacing="1" w:after="100" w:afterAutospacing="1" w:line="360" w:lineRule="auto"/>
      <w:jc w:val="left"/>
    </w:pPr>
    <w:rPr>
      <w:rFonts w:ascii="ˎ̥" w:hAnsi="ˎ̥"/>
      <w:color w:val="000000"/>
      <w:kern w:val="0"/>
      <w:sz w:val="24"/>
      <w:szCs w:val="20"/>
    </w:rPr>
  </w:style>
  <w:style w:type="paragraph" w:customStyle="1" w:styleId="126">
    <w:name w:val="字元 字元 Char Char"/>
    <w:basedOn w:val="17"/>
    <w:autoRedefine/>
    <w:qFormat/>
    <w:uiPriority w:val="0"/>
    <w:pPr>
      <w:adjustRightInd w:val="0"/>
      <w:spacing w:line="436" w:lineRule="exact"/>
      <w:ind w:left="357"/>
      <w:jc w:val="left"/>
      <w:outlineLvl w:val="3"/>
    </w:pPr>
    <w:rPr>
      <w:rFonts w:ascii="Tahoma" w:hAnsi="Tahoma"/>
      <w:b/>
      <w:sz w:val="24"/>
    </w:rPr>
  </w:style>
  <w:style w:type="paragraph" w:customStyle="1" w:styleId="127">
    <w:name w:val="xl45"/>
    <w:basedOn w:val="1"/>
    <w:autoRedefine/>
    <w:qFormat/>
    <w:uiPriority w:val="0"/>
    <w:pPr>
      <w:widowControl/>
      <w:spacing w:before="100" w:beforeAutospacing="1" w:after="100" w:afterAutospacing="1"/>
      <w:jc w:val="center"/>
    </w:pPr>
    <w:rPr>
      <w:rFonts w:ascii="宋体"/>
      <w:kern w:val="0"/>
      <w:sz w:val="20"/>
      <w:szCs w:val="20"/>
    </w:rPr>
  </w:style>
  <w:style w:type="paragraph" w:customStyle="1" w:styleId="128">
    <w:name w:val="样式 四号 居中"/>
    <w:basedOn w:val="1"/>
    <w:autoRedefine/>
    <w:qFormat/>
    <w:uiPriority w:val="0"/>
    <w:rPr>
      <w:rFonts w:cs="宋体"/>
      <w:sz w:val="24"/>
    </w:rPr>
  </w:style>
  <w:style w:type="paragraph" w:customStyle="1" w:styleId="129">
    <w:name w:val="样式 (西文) 华文细黑 小四 左侧:  0.92 厘米 行距: 多倍行距 1.3 字行"/>
    <w:basedOn w:val="1"/>
    <w:autoRedefine/>
    <w:qFormat/>
    <w:uiPriority w:val="0"/>
    <w:pPr>
      <w:spacing w:line="312" w:lineRule="auto"/>
      <w:ind w:firstLine="200" w:firstLineChars="200"/>
    </w:pPr>
    <w:rPr>
      <w:rFonts w:ascii="华文细黑" w:hAnsi="华文细黑"/>
      <w:sz w:val="24"/>
      <w:szCs w:val="20"/>
    </w:rPr>
  </w:style>
  <w:style w:type="paragraph" w:customStyle="1" w:styleId="130">
    <w:name w:val="标准书眉_奇数页"/>
    <w:next w:val="1"/>
    <w:autoRedefine/>
    <w:qFormat/>
    <w:uiPriority w:val="0"/>
    <w:pPr>
      <w:tabs>
        <w:tab w:val="center" w:pos="4154"/>
        <w:tab w:val="right" w:pos="8306"/>
      </w:tabs>
      <w:spacing w:after="120"/>
      <w:jc w:val="right"/>
    </w:pPr>
    <w:rPr>
      <w:rFonts w:ascii="Calibri" w:hAnsi="Calibri" w:cs="Times New Roman" w:eastAsiaTheme="minorEastAsia"/>
      <w:sz w:val="21"/>
      <w:lang w:val="en-US" w:eastAsia="zh-CN" w:bidi="ar-SA"/>
    </w:rPr>
  </w:style>
  <w:style w:type="paragraph" w:customStyle="1" w:styleId="131">
    <w:name w:val="附录三级条标题"/>
    <w:basedOn w:val="122"/>
    <w:next w:val="106"/>
    <w:autoRedefine/>
    <w:qFormat/>
    <w:uiPriority w:val="0"/>
    <w:pPr>
      <w:numPr>
        <w:ilvl w:val="3"/>
      </w:numPr>
      <w:outlineLvl w:val="4"/>
    </w:pPr>
  </w:style>
  <w:style w:type="paragraph" w:customStyle="1" w:styleId="132">
    <w:name w:val="封面标准名称"/>
    <w:autoRedefine/>
    <w:qFormat/>
    <w:uiPriority w:val="0"/>
    <w:pPr>
      <w:framePr w:w="9638" w:h="6917" w:wrap="around" w:vAnchor="margin" w:hAnchor="margin" w:xAlign="center" w:y="5955" w:anchorLock="1"/>
      <w:widowControl w:val="0"/>
      <w:spacing w:line="680" w:lineRule="exact"/>
      <w:jc w:val="center"/>
    </w:pPr>
    <w:rPr>
      <w:rFonts w:ascii="黑体" w:hAnsi="Calibri" w:eastAsia="黑体" w:cs="Times New Roman"/>
      <w:sz w:val="52"/>
      <w:lang w:val="en-US" w:eastAsia="zh-CN" w:bidi="ar-SA"/>
    </w:rPr>
  </w:style>
  <w:style w:type="paragraph" w:customStyle="1" w:styleId="133">
    <w:name w:val="Char Char Char Char Char Char Char Char Char Char Char Char Char Char Char Char Char Char Char"/>
    <w:basedOn w:val="1"/>
    <w:autoRedefine/>
    <w:qFormat/>
    <w:uiPriority w:val="0"/>
    <w:pPr>
      <w:spacing w:line="360" w:lineRule="auto"/>
      <w:ind w:firstLine="200" w:firstLineChars="200"/>
    </w:pPr>
    <w:rPr>
      <w:rFonts w:ascii="宋体" w:cs="宋体"/>
      <w:sz w:val="24"/>
    </w:rPr>
  </w:style>
  <w:style w:type="paragraph" w:customStyle="1" w:styleId="134">
    <w:name w:val="6'"/>
    <w:basedOn w:val="1"/>
    <w:autoRedefine/>
    <w:qFormat/>
    <w:uiPriority w:val="0"/>
    <w:pPr>
      <w:autoSpaceDE w:val="0"/>
      <w:autoSpaceDN w:val="0"/>
      <w:adjustRightInd w:val="0"/>
      <w:snapToGrid w:val="0"/>
      <w:spacing w:line="320" w:lineRule="exact"/>
      <w:jc w:val="center"/>
    </w:pPr>
    <w:rPr>
      <w:spacing w:val="20"/>
      <w:kern w:val="28"/>
      <w:szCs w:val="20"/>
    </w:rPr>
  </w:style>
  <w:style w:type="paragraph" w:customStyle="1" w:styleId="135">
    <w:name w:val="Char Char"/>
    <w:basedOn w:val="1"/>
    <w:autoRedefine/>
    <w:qFormat/>
    <w:uiPriority w:val="0"/>
    <w:rPr>
      <w:rFonts w:ascii="Tahoma" w:hAnsi="Tahoma"/>
      <w:sz w:val="24"/>
      <w:szCs w:val="20"/>
    </w:rPr>
  </w:style>
  <w:style w:type="paragraph" w:customStyle="1" w:styleId="136">
    <w:name w:val="1.3"/>
    <w:basedOn w:val="1"/>
    <w:autoRedefine/>
    <w:qFormat/>
    <w:uiPriority w:val="0"/>
    <w:pPr>
      <w:spacing w:line="560" w:lineRule="exact"/>
      <w:ind w:firstLine="573"/>
    </w:pPr>
    <w:rPr>
      <w:rFonts w:ascii="仿宋_GB2312" w:eastAsia="仿宋_GB2312"/>
      <w:sz w:val="24"/>
      <w:szCs w:val="20"/>
    </w:rPr>
  </w:style>
  <w:style w:type="paragraph" w:customStyle="1" w:styleId="137">
    <w:name w:val="表文C"/>
    <w:basedOn w:val="1"/>
    <w:autoRedefine/>
    <w:qFormat/>
    <w:uiPriority w:val="0"/>
    <w:pPr>
      <w:widowControl/>
      <w:tabs>
        <w:tab w:val="left" w:pos="0"/>
      </w:tabs>
      <w:adjustRightInd w:val="0"/>
      <w:snapToGrid w:val="0"/>
      <w:jc w:val="center"/>
    </w:pPr>
    <w:rPr>
      <w:kern w:val="0"/>
      <w:szCs w:val="20"/>
    </w:rPr>
  </w:style>
  <w:style w:type="paragraph" w:customStyle="1" w:styleId="138">
    <w:name w:val="pa-1"/>
    <w:basedOn w:val="1"/>
    <w:autoRedefine/>
    <w:qFormat/>
    <w:uiPriority w:val="0"/>
    <w:pPr>
      <w:widowControl/>
      <w:spacing w:line="360" w:lineRule="atLeast"/>
      <w:ind w:firstLine="420"/>
    </w:pPr>
    <w:rPr>
      <w:rFonts w:ascii="宋体" w:cs="宋体"/>
      <w:kern w:val="0"/>
      <w:sz w:val="24"/>
    </w:rPr>
  </w:style>
  <w:style w:type="paragraph" w:customStyle="1" w:styleId="139">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kern w:val="0"/>
      <w:sz w:val="24"/>
    </w:rPr>
  </w:style>
  <w:style w:type="paragraph" w:customStyle="1" w:styleId="140">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paragraph" w:customStyle="1" w:styleId="141">
    <w:name w:val="正文文本 21"/>
    <w:basedOn w:val="1"/>
    <w:autoRedefine/>
    <w:qFormat/>
    <w:uiPriority w:val="0"/>
    <w:pPr>
      <w:autoSpaceDE w:val="0"/>
      <w:autoSpaceDN w:val="0"/>
      <w:adjustRightInd w:val="0"/>
      <w:spacing w:line="380" w:lineRule="atLeast"/>
    </w:pPr>
    <w:rPr>
      <w:spacing w:val="10"/>
      <w:kern w:val="0"/>
      <w:sz w:val="24"/>
      <w:szCs w:val="20"/>
    </w:rPr>
  </w:style>
  <w:style w:type="paragraph" w:customStyle="1" w:styleId="142">
    <w:name w:val="正文2"/>
    <w:basedOn w:val="1"/>
    <w:autoRedefine/>
    <w:qFormat/>
    <w:uiPriority w:val="0"/>
    <w:pPr>
      <w:widowControl/>
      <w:spacing w:after="160" w:line="360" w:lineRule="auto"/>
      <w:ind w:firstLine="200" w:firstLineChars="200"/>
      <w:jc w:val="left"/>
    </w:pPr>
    <w:rPr>
      <w:rFonts w:ascii="Verdana" w:hAnsi="Verdana" w:eastAsia="黑体"/>
      <w:kern w:val="0"/>
      <w:szCs w:val="20"/>
      <w:lang w:eastAsia="en-US"/>
    </w:rPr>
  </w:style>
  <w:style w:type="paragraph" w:customStyle="1" w:styleId="143">
    <w:name w:val="Table Paragraph"/>
    <w:basedOn w:val="1"/>
    <w:autoRedefine/>
    <w:qFormat/>
    <w:uiPriority w:val="1"/>
    <w:pPr>
      <w:autoSpaceDE w:val="0"/>
      <w:autoSpaceDN w:val="0"/>
      <w:adjustRightInd w:val="0"/>
      <w:jc w:val="left"/>
    </w:pPr>
    <w:rPr>
      <w:kern w:val="0"/>
      <w:sz w:val="24"/>
    </w:rPr>
  </w:style>
  <w:style w:type="paragraph" w:customStyle="1" w:styleId="144">
    <w:name w:val="附录表标题"/>
    <w:next w:val="106"/>
    <w:autoRedefine/>
    <w:qFormat/>
    <w:uiPriority w:val="0"/>
    <w:pPr>
      <w:numPr>
        <w:ilvl w:val="0"/>
        <w:numId w:val="8"/>
      </w:numPr>
      <w:tabs>
        <w:tab w:val="left" w:pos="360"/>
      </w:tabs>
      <w:jc w:val="center"/>
    </w:pPr>
    <w:rPr>
      <w:rFonts w:ascii="黑体" w:hAnsi="Calibri" w:eastAsia="黑体" w:cs="Times New Roman"/>
      <w:kern w:val="21"/>
      <w:sz w:val="21"/>
      <w:lang w:val="en-US" w:eastAsia="zh-CN" w:bidi="ar-SA"/>
    </w:rPr>
  </w:style>
  <w:style w:type="paragraph" w:customStyle="1" w:styleId="145">
    <w:name w:val="默认段落字体 Para Char Char Char Char"/>
    <w:basedOn w:val="1"/>
    <w:autoRedefine/>
    <w:qFormat/>
    <w:uiPriority w:val="0"/>
  </w:style>
  <w:style w:type="paragraph" w:customStyle="1" w:styleId="146">
    <w:name w:val="正文表标题"/>
    <w:next w:val="106"/>
    <w:autoRedefine/>
    <w:qFormat/>
    <w:uiPriority w:val="0"/>
    <w:pPr>
      <w:tabs>
        <w:tab w:val="left" w:pos="1575"/>
      </w:tabs>
      <w:ind w:left="1575" w:hanging="720"/>
      <w:jc w:val="center"/>
    </w:pPr>
    <w:rPr>
      <w:rFonts w:ascii="黑体" w:hAnsi="Calibri" w:eastAsia="黑体" w:cs="Times New Roman"/>
      <w:sz w:val="21"/>
      <w:lang w:val="en-US" w:eastAsia="zh-CN" w:bidi="ar-SA"/>
    </w:rPr>
  </w:style>
  <w:style w:type="paragraph" w:customStyle="1" w:styleId="147">
    <w:name w:val="样式1"/>
    <w:basedOn w:val="1"/>
    <w:autoRedefine/>
    <w:qFormat/>
    <w:uiPriority w:val="0"/>
    <w:pPr>
      <w:spacing w:line="600" w:lineRule="exact"/>
      <w:jc w:val="center"/>
    </w:pPr>
    <w:rPr>
      <w:rFonts w:eastAsia="黑体"/>
      <w:w w:val="150"/>
      <w:sz w:val="52"/>
    </w:rPr>
  </w:style>
  <w:style w:type="paragraph" w:customStyle="1" w:styleId="148">
    <w:name w:val="1"/>
    <w:basedOn w:val="1"/>
    <w:next w:val="1"/>
    <w:autoRedefine/>
    <w:qFormat/>
    <w:uiPriority w:val="0"/>
  </w:style>
  <w:style w:type="paragraph" w:customStyle="1" w:styleId="149">
    <w:name w:val="封面一致性程度标识"/>
    <w:autoRedefine/>
    <w:qFormat/>
    <w:uiPriority w:val="0"/>
    <w:pPr>
      <w:spacing w:before="440" w:line="400" w:lineRule="exact"/>
      <w:jc w:val="center"/>
    </w:pPr>
    <w:rPr>
      <w:rFonts w:ascii="宋体" w:hAnsi="Calibri" w:cs="Times New Roman" w:eastAsiaTheme="minorEastAsia"/>
      <w:sz w:val="28"/>
      <w:lang w:val="en-US" w:eastAsia="zh-CN" w:bidi="ar-SA"/>
    </w:rPr>
  </w:style>
  <w:style w:type="paragraph" w:customStyle="1" w:styleId="150">
    <w:name w:val="图表样式"/>
    <w:basedOn w:val="1"/>
    <w:autoRedefine/>
    <w:qFormat/>
    <w:uiPriority w:val="0"/>
    <w:pPr>
      <w:adjustRightInd w:val="0"/>
      <w:jc w:val="center"/>
    </w:pPr>
    <w:rPr>
      <w:kern w:val="0"/>
      <w:sz w:val="24"/>
      <w:szCs w:val="20"/>
    </w:rPr>
  </w:style>
  <w:style w:type="paragraph" w:customStyle="1" w:styleId="151">
    <w:name w:val="表标题1 Char Char"/>
    <w:basedOn w:val="1"/>
    <w:autoRedefine/>
    <w:qFormat/>
    <w:uiPriority w:val="0"/>
    <w:pPr>
      <w:adjustRightInd w:val="0"/>
      <w:snapToGrid w:val="0"/>
      <w:spacing w:line="240" w:lineRule="atLeast"/>
      <w:ind w:firstLine="942" w:firstLineChars="942"/>
    </w:pPr>
    <w:rPr>
      <w:rFonts w:ascii="宋体"/>
      <w:b/>
      <w:kern w:val="0"/>
      <w:sz w:val="28"/>
      <w:szCs w:val="20"/>
    </w:rPr>
  </w:style>
  <w:style w:type="paragraph" w:customStyle="1" w:styleId="152">
    <w:name w:val="封面标准英文名称"/>
    <w:autoRedefine/>
    <w:qFormat/>
    <w:uiPriority w:val="0"/>
    <w:pPr>
      <w:widowControl w:val="0"/>
      <w:spacing w:before="370" w:line="400" w:lineRule="exact"/>
      <w:jc w:val="center"/>
    </w:pPr>
    <w:rPr>
      <w:rFonts w:ascii="Calibri" w:hAnsi="Calibri" w:cs="Times New Roman" w:eastAsiaTheme="minorEastAsia"/>
      <w:sz w:val="28"/>
      <w:lang w:val="en-US" w:eastAsia="zh-CN" w:bidi="ar-SA"/>
    </w:rPr>
  </w:style>
  <w:style w:type="paragraph" w:customStyle="1" w:styleId="153">
    <w:name w:val="表名A"/>
    <w:basedOn w:val="1"/>
    <w:autoRedefine/>
    <w:qFormat/>
    <w:uiPriority w:val="0"/>
    <w:pPr>
      <w:widowControl/>
      <w:tabs>
        <w:tab w:val="left" w:pos="0"/>
      </w:tabs>
      <w:adjustRightInd w:val="0"/>
      <w:snapToGrid w:val="0"/>
      <w:spacing w:beforeLines="80"/>
      <w:jc w:val="center"/>
    </w:pPr>
    <w:rPr>
      <w:b/>
      <w:kern w:val="0"/>
      <w:szCs w:val="20"/>
    </w:rPr>
  </w:style>
  <w:style w:type="paragraph" w:customStyle="1" w:styleId="154">
    <w:name w:val="实施日期"/>
    <w:basedOn w:val="1"/>
    <w:autoRedefine/>
    <w:qFormat/>
    <w:uiPriority w:val="0"/>
    <w:pPr>
      <w:framePr w:w="4000" w:h="473" w:vSpace="180" w:wrap="around" w:vAnchor="margin" w:hAnchor="margin" w:xAlign="right" w:y="13511" w:anchorLock="1"/>
      <w:widowControl/>
      <w:jc w:val="right"/>
    </w:pPr>
    <w:rPr>
      <w:rFonts w:eastAsia="黑体"/>
      <w:kern w:val="0"/>
      <w:sz w:val="28"/>
      <w:szCs w:val="20"/>
    </w:rPr>
  </w:style>
  <w:style w:type="paragraph" w:customStyle="1" w:styleId="155">
    <w:name w:val="章标题"/>
    <w:next w:val="1"/>
    <w:autoRedefine/>
    <w:qFormat/>
    <w:uiPriority w:val="0"/>
    <w:pPr>
      <w:tabs>
        <w:tab w:val="left" w:pos="0"/>
      </w:tabs>
      <w:spacing w:beforeLines="50"/>
      <w:jc w:val="both"/>
      <w:outlineLvl w:val="1"/>
    </w:pPr>
    <w:rPr>
      <w:rFonts w:ascii="黑体" w:hAnsi="Calibri" w:eastAsia="黑体" w:cs="Times New Roman"/>
      <w:sz w:val="21"/>
      <w:lang w:val="en-US" w:eastAsia="zh-CN" w:bidi="ar-SA"/>
    </w:rPr>
  </w:style>
  <w:style w:type="paragraph" w:customStyle="1" w:styleId="156">
    <w:name w:val="表格文字"/>
    <w:basedOn w:val="1"/>
    <w:autoRedefine/>
    <w:qFormat/>
    <w:uiPriority w:val="0"/>
    <w:pPr>
      <w:adjustRightInd w:val="0"/>
      <w:spacing w:line="420" w:lineRule="atLeast"/>
      <w:jc w:val="left"/>
    </w:pPr>
    <w:rPr>
      <w:kern w:val="0"/>
      <w:szCs w:val="20"/>
    </w:rPr>
  </w:style>
  <w:style w:type="paragraph" w:customStyle="1" w:styleId="157">
    <w:name w:val="Char Char Char Char Char Char Char"/>
    <w:basedOn w:val="1"/>
    <w:autoRedefine/>
    <w:qFormat/>
    <w:uiPriority w:val="0"/>
    <w:rPr>
      <w:szCs w:val="20"/>
    </w:rPr>
  </w:style>
  <w:style w:type="paragraph" w:customStyle="1" w:styleId="158">
    <w:name w:val="Default"/>
    <w:autoRedefine/>
    <w:qFormat/>
    <w:uiPriority w:val="0"/>
    <w:pPr>
      <w:widowControl w:val="0"/>
      <w:autoSpaceDE w:val="0"/>
      <w:autoSpaceDN w:val="0"/>
      <w:adjustRightInd w:val="0"/>
    </w:pPr>
    <w:rPr>
      <w:rFonts w:ascii="宋体" w:hAnsi="Calibri" w:cs="宋体" w:eastAsiaTheme="minorEastAsia"/>
      <w:color w:val="000000"/>
      <w:sz w:val="24"/>
      <w:szCs w:val="24"/>
      <w:lang w:val="en-US" w:eastAsia="zh-CN" w:bidi="ar-SA"/>
    </w:rPr>
  </w:style>
  <w:style w:type="paragraph" w:customStyle="1" w:styleId="159">
    <w:name w:val="样式 标题 4 + 段前: 6 磅 段后: 0 磅 行距: 单倍行距"/>
    <w:basedOn w:val="7"/>
    <w:autoRedefine/>
    <w:qFormat/>
    <w:uiPriority w:val="0"/>
    <w:pPr>
      <w:spacing w:before="0" w:after="0" w:line="240" w:lineRule="auto"/>
    </w:pPr>
    <w:rPr>
      <w:rFonts w:ascii="宋体" w:hAnsi="宋体" w:cs="宋体"/>
      <w:sz w:val="21"/>
      <w:szCs w:val="21"/>
    </w:rPr>
  </w:style>
  <w:style w:type="paragraph" w:customStyle="1" w:styleId="160">
    <w:name w:val="目次、标准名称标题"/>
    <w:basedOn w:val="120"/>
    <w:next w:val="106"/>
    <w:autoRedefine/>
    <w:qFormat/>
    <w:uiPriority w:val="0"/>
    <w:pPr>
      <w:numPr>
        <w:ilvl w:val="0"/>
        <w:numId w:val="9"/>
      </w:numPr>
      <w:spacing w:line="460" w:lineRule="exact"/>
    </w:pPr>
  </w:style>
  <w:style w:type="paragraph" w:customStyle="1" w:styleId="161">
    <w:name w:val="正文1"/>
    <w:basedOn w:val="1"/>
    <w:autoRedefine/>
    <w:qFormat/>
    <w:uiPriority w:val="0"/>
    <w:pPr>
      <w:snapToGrid w:val="0"/>
      <w:spacing w:line="500" w:lineRule="atLeast"/>
      <w:ind w:firstLine="539"/>
    </w:pPr>
    <w:rPr>
      <w:rFonts w:ascii="宋体"/>
      <w:spacing w:val="14"/>
      <w:sz w:val="24"/>
      <w:szCs w:val="20"/>
    </w:rPr>
  </w:style>
  <w:style w:type="character" w:customStyle="1" w:styleId="162">
    <w:name w:val="Char Char22"/>
    <w:autoRedefine/>
    <w:qFormat/>
    <w:uiPriority w:val="0"/>
    <w:rPr>
      <w:rFonts w:hint="default" w:ascii="Arial" w:hAnsi="Arial" w:eastAsia="黑体" w:cs="Arial"/>
      <w:b/>
      <w:kern w:val="2"/>
      <w:sz w:val="24"/>
    </w:rPr>
  </w:style>
  <w:style w:type="character" w:customStyle="1" w:styleId="163">
    <w:name w:val="at_1"/>
    <w:basedOn w:val="54"/>
    <w:autoRedefine/>
    <w:qFormat/>
    <w:uiPriority w:val="0"/>
  </w:style>
  <w:style w:type="character" w:customStyle="1" w:styleId="164">
    <w:name w:val="脚注文本 Char1"/>
    <w:autoRedefine/>
    <w:qFormat/>
    <w:uiPriority w:val="0"/>
    <w:rPr>
      <w:kern w:val="2"/>
      <w:sz w:val="18"/>
      <w:szCs w:val="18"/>
    </w:rPr>
  </w:style>
  <w:style w:type="character" w:customStyle="1" w:styleId="165">
    <w:name w:val="u21"/>
    <w:autoRedefine/>
    <w:qFormat/>
    <w:uiPriority w:val="0"/>
    <w:rPr>
      <w:rFonts w:hint="default" w:ascii="ˎ̥" w:hAnsi="ˎ̥"/>
      <w:sz w:val="18"/>
      <w:szCs w:val="18"/>
    </w:rPr>
  </w:style>
  <w:style w:type="character" w:customStyle="1" w:styleId="166">
    <w:name w:val="正文缩进 字符"/>
    <w:autoRedefine/>
    <w:qFormat/>
    <w:uiPriority w:val="0"/>
    <w:rPr>
      <w:kern w:val="2"/>
      <w:sz w:val="21"/>
      <w:szCs w:val="24"/>
    </w:rPr>
  </w:style>
  <w:style w:type="character" w:customStyle="1" w:styleId="167">
    <w:name w:val="large1"/>
    <w:autoRedefine/>
    <w:qFormat/>
    <w:uiPriority w:val="0"/>
    <w:rPr>
      <w:rFonts w:hint="eastAsia" w:ascii="宋体" w:hAnsi="宋体" w:eastAsia="宋体"/>
      <w:sz w:val="21"/>
    </w:rPr>
  </w:style>
  <w:style w:type="character" w:customStyle="1" w:styleId="168">
    <w:name w:val="样式 (中文) 仿宋_GB2312 四号 下划线"/>
    <w:autoRedefine/>
    <w:qFormat/>
    <w:uiPriority w:val="0"/>
    <w:rPr>
      <w:rFonts w:hint="eastAsia" w:ascii="仿宋_GB2312" w:eastAsia="仿宋_GB2312"/>
      <w:sz w:val="28"/>
      <w:u w:val="single"/>
    </w:rPr>
  </w:style>
  <w:style w:type="character" w:customStyle="1" w:styleId="169">
    <w:name w:val="(C+F1) Char Char"/>
    <w:autoRedefine/>
    <w:qFormat/>
    <w:uiPriority w:val="0"/>
    <w:rPr>
      <w:b/>
      <w:kern w:val="44"/>
      <w:sz w:val="44"/>
    </w:rPr>
  </w:style>
  <w:style w:type="character" w:customStyle="1" w:styleId="170">
    <w:name w:val="t"/>
    <w:basedOn w:val="54"/>
    <w:autoRedefine/>
    <w:qFormat/>
    <w:uiPriority w:val="0"/>
  </w:style>
  <w:style w:type="character" w:customStyle="1" w:styleId="171">
    <w:name w:val="Char Char18"/>
    <w:autoRedefine/>
    <w:qFormat/>
    <w:uiPriority w:val="0"/>
    <w:rPr>
      <w:rFonts w:hint="default" w:ascii="Arial" w:hAnsi="Arial" w:eastAsia="黑体" w:cs="Arial"/>
      <w:b/>
      <w:bCs/>
      <w:kern w:val="2"/>
      <w:sz w:val="28"/>
      <w:szCs w:val="28"/>
      <w:lang w:val="en-US" w:eastAsia="zh-CN" w:bidi="ar-SA"/>
    </w:rPr>
  </w:style>
  <w:style w:type="character" w:customStyle="1" w:styleId="172">
    <w:name w:val="lawer1"/>
    <w:autoRedefine/>
    <w:qFormat/>
    <w:uiPriority w:val="0"/>
    <w:rPr>
      <w:rFonts w:hint="default" w:ascii="Verdana" w:hAnsi="Verdana"/>
      <w:color w:val="666666"/>
      <w:sz w:val="18"/>
      <w:szCs w:val="18"/>
      <w:u w:val="none"/>
    </w:rPr>
  </w:style>
  <w:style w:type="character" w:customStyle="1" w:styleId="173">
    <w:name w:val="ca-01"/>
    <w:autoRedefine/>
    <w:qFormat/>
    <w:uiPriority w:val="0"/>
    <w:rPr>
      <w:rFonts w:hint="eastAsia" w:ascii="楷体_GB2312" w:eastAsia="楷体_GB2312"/>
      <w:color w:val="000000"/>
      <w:sz w:val="21"/>
      <w:szCs w:val="21"/>
    </w:rPr>
  </w:style>
  <w:style w:type="character" w:customStyle="1" w:styleId="174">
    <w:name w:val="apple-converted-space"/>
    <w:basedOn w:val="54"/>
    <w:autoRedefine/>
    <w:qFormat/>
    <w:uiPriority w:val="0"/>
  </w:style>
  <w:style w:type="character" w:customStyle="1" w:styleId="175">
    <w:name w:val="123"/>
    <w:basedOn w:val="54"/>
    <w:autoRedefine/>
    <w:qFormat/>
    <w:uiPriority w:val="0"/>
  </w:style>
  <w:style w:type="character" w:customStyle="1" w:styleId="176">
    <w:name w:val="Char Char19"/>
    <w:autoRedefine/>
    <w:qFormat/>
    <w:uiPriority w:val="0"/>
    <w:rPr>
      <w:rFonts w:hint="eastAsia" w:ascii="宋体" w:hAnsi="宋体" w:eastAsia="宋体"/>
      <w:b/>
      <w:bCs/>
      <w:kern w:val="2"/>
      <w:sz w:val="32"/>
      <w:szCs w:val="32"/>
      <w:lang w:val="en-US" w:eastAsia="zh-CN" w:bidi="ar-SA"/>
    </w:rPr>
  </w:style>
  <w:style w:type="character" w:customStyle="1" w:styleId="177">
    <w:name w:val="EmailStyle67"/>
    <w:autoRedefine/>
    <w:qFormat/>
    <w:uiPriority w:val="0"/>
    <w:rPr>
      <w:rFonts w:hint="default" w:ascii="Arial" w:hAnsi="Arial" w:eastAsia="宋体" w:cs="Arial"/>
      <w:color w:val="auto"/>
      <w:sz w:val="20"/>
      <w:lang w:bidi="ar-SA"/>
    </w:rPr>
  </w:style>
  <w:style w:type="character" w:customStyle="1" w:styleId="178">
    <w:name w:val="Char Char20"/>
    <w:autoRedefine/>
    <w:qFormat/>
    <w:uiPriority w:val="0"/>
    <w:rPr>
      <w:rFonts w:hint="default" w:ascii="Arial" w:hAnsi="Arial" w:eastAsia="黑体" w:cs="Arial"/>
      <w:b/>
      <w:bCs/>
      <w:kern w:val="2"/>
      <w:sz w:val="32"/>
      <w:szCs w:val="32"/>
      <w:lang w:val="en-US" w:eastAsia="zh-CN" w:bidi="ar-SA"/>
    </w:rPr>
  </w:style>
  <w:style w:type="character" w:customStyle="1" w:styleId="179">
    <w:name w:val="标题 2 Char1"/>
    <w:autoRedefine/>
    <w:qFormat/>
    <w:uiPriority w:val="0"/>
    <w:rPr>
      <w:rFonts w:hint="default" w:ascii="Arial" w:hAnsi="Arial" w:eastAsia="黑体" w:cs="Times New Roman"/>
      <w:b/>
      <w:bCs/>
      <w:sz w:val="32"/>
      <w:szCs w:val="32"/>
    </w:rPr>
  </w:style>
  <w:style w:type="character" w:customStyle="1" w:styleId="180">
    <w:name w:val="table-xiayou"/>
    <w:basedOn w:val="54"/>
    <w:autoRedefine/>
    <w:qFormat/>
    <w:uiPriority w:val="0"/>
  </w:style>
  <w:style w:type="character" w:customStyle="1" w:styleId="181">
    <w:name w:val="px14"/>
    <w:basedOn w:val="54"/>
    <w:autoRedefine/>
    <w:qFormat/>
    <w:uiPriority w:val="0"/>
  </w:style>
  <w:style w:type="character" w:customStyle="1" w:styleId="182">
    <w:name w:val="个人答复风格"/>
    <w:autoRedefine/>
    <w:qFormat/>
    <w:uiPriority w:val="0"/>
    <w:rPr>
      <w:rFonts w:hint="default" w:ascii="Arial" w:hAnsi="Arial" w:eastAsia="宋体" w:cs="Arial"/>
      <w:color w:val="auto"/>
      <w:sz w:val="20"/>
    </w:rPr>
  </w:style>
  <w:style w:type="character" w:customStyle="1" w:styleId="183">
    <w:name w:val="at_0"/>
    <w:basedOn w:val="54"/>
    <w:autoRedefine/>
    <w:qFormat/>
    <w:uiPriority w:val="0"/>
  </w:style>
  <w:style w:type="character" w:customStyle="1" w:styleId="184">
    <w:name w:val="标题 Char1"/>
    <w:autoRedefine/>
    <w:qFormat/>
    <w:uiPriority w:val="0"/>
    <w:rPr>
      <w:rFonts w:hint="default" w:ascii="Cambria" w:hAnsi="Cambria" w:eastAsia="宋体" w:cs="Times New Roman"/>
      <w:b/>
      <w:bCs/>
      <w:sz w:val="32"/>
      <w:szCs w:val="32"/>
      <w:lang w:bidi="ar-SA"/>
    </w:rPr>
  </w:style>
  <w:style w:type="character" w:customStyle="1" w:styleId="185">
    <w:name w:val="样式 四号"/>
    <w:autoRedefine/>
    <w:qFormat/>
    <w:uiPriority w:val="0"/>
    <w:rPr>
      <w:sz w:val="24"/>
      <w:szCs w:val="24"/>
    </w:rPr>
  </w:style>
  <w:style w:type="character" w:customStyle="1" w:styleId="186">
    <w:name w:val="普通文字 Char1"/>
    <w:autoRedefine/>
    <w:qFormat/>
    <w:uiPriority w:val="0"/>
    <w:rPr>
      <w:rFonts w:hint="eastAsia" w:ascii="宋体" w:hAnsi="宋体" w:eastAsia="宋体"/>
      <w:kern w:val="2"/>
      <w:sz w:val="21"/>
    </w:rPr>
  </w:style>
  <w:style w:type="character" w:customStyle="1" w:styleId="187">
    <w:name w:val="style11"/>
    <w:autoRedefine/>
    <w:qFormat/>
    <w:uiPriority w:val="0"/>
    <w:rPr>
      <w:color w:val="003399"/>
      <w:sz w:val="20"/>
      <w:szCs w:val="20"/>
    </w:rPr>
  </w:style>
  <w:style w:type="character" w:customStyle="1" w:styleId="188">
    <w:name w:val="正文缩进 Char1"/>
    <w:autoRedefine/>
    <w:qFormat/>
    <w:uiPriority w:val="0"/>
    <w:rPr>
      <w:rFonts w:hint="eastAsia" w:ascii="宋体" w:hAnsi="宋体" w:eastAsia="宋体"/>
      <w:kern w:val="2"/>
      <w:sz w:val="21"/>
      <w:szCs w:val="24"/>
      <w:lang w:val="en-US" w:eastAsia="zh-CN" w:bidi="ar-SA"/>
    </w:rPr>
  </w:style>
  <w:style w:type="character" w:customStyle="1" w:styleId="189">
    <w:name w:val="Char Char24"/>
    <w:autoRedefine/>
    <w:qFormat/>
    <w:uiPriority w:val="0"/>
    <w:rPr>
      <w:rFonts w:hint="default" w:ascii="Arial" w:hAnsi="Arial" w:eastAsia="黑体" w:cs="Arial"/>
      <w:b/>
      <w:kern w:val="2"/>
      <w:sz w:val="28"/>
    </w:rPr>
  </w:style>
  <w:style w:type="character" w:customStyle="1" w:styleId="190">
    <w:name w:val="页眉 Char1"/>
    <w:autoRedefine/>
    <w:qFormat/>
    <w:uiPriority w:val="0"/>
    <w:rPr>
      <w:rFonts w:hint="default" w:ascii="Times New Roman" w:hAnsi="Times New Roman" w:eastAsia="宋体" w:cs="Times New Roman"/>
      <w:sz w:val="18"/>
      <w:szCs w:val="18"/>
    </w:rPr>
  </w:style>
  <w:style w:type="character" w:customStyle="1" w:styleId="191">
    <w:name w:val="个人撰写风格"/>
    <w:autoRedefine/>
    <w:qFormat/>
    <w:uiPriority w:val="0"/>
    <w:rPr>
      <w:rFonts w:hint="default" w:ascii="Arial" w:hAnsi="Arial" w:eastAsia="宋体" w:cs="Arial"/>
      <w:color w:val="auto"/>
      <w:sz w:val="20"/>
    </w:rPr>
  </w:style>
  <w:style w:type="character" w:customStyle="1" w:styleId="192">
    <w:name w:val="apple-style-span"/>
    <w:autoRedefine/>
    <w:qFormat/>
    <w:uiPriority w:val="0"/>
  </w:style>
  <w:style w:type="character" w:customStyle="1" w:styleId="193">
    <w:name w:val="font161"/>
    <w:autoRedefine/>
    <w:qFormat/>
    <w:uiPriority w:val="0"/>
    <w:rPr>
      <w:b/>
      <w:bCs/>
      <w:sz w:val="32"/>
      <w:szCs w:val="32"/>
    </w:rPr>
  </w:style>
  <w:style w:type="character" w:customStyle="1" w:styleId="194">
    <w:name w:val="zbggmain style9"/>
    <w:basedOn w:val="54"/>
    <w:autoRedefine/>
    <w:qFormat/>
    <w:uiPriority w:val="0"/>
  </w:style>
  <w:style w:type="character" w:customStyle="1" w:styleId="195">
    <w:name w:val="Plain Text Char"/>
    <w:autoRedefine/>
    <w:qFormat/>
    <w:uiPriority w:val="0"/>
    <w:rPr>
      <w:rFonts w:hint="eastAsia" w:ascii="宋体" w:hAnsi="宋体" w:eastAsia="宋体" w:cs="Times New Roman"/>
      <w:kern w:val="2"/>
      <w:sz w:val="21"/>
      <w:lang w:bidi="ar-SA"/>
    </w:rPr>
  </w:style>
  <w:style w:type="character" w:customStyle="1" w:styleId="196">
    <w:name w:val="intext1"/>
    <w:autoRedefine/>
    <w:qFormat/>
    <w:uiPriority w:val="0"/>
    <w:rPr>
      <w:rFonts w:hint="default" w:ascii="Verdana" w:hAnsi="Verdana"/>
      <w:color w:val="000000"/>
      <w:sz w:val="18"/>
      <w:szCs w:val="18"/>
    </w:rPr>
  </w:style>
  <w:style w:type="character" w:customStyle="1" w:styleId="197">
    <w:name w:val="c lh15"/>
    <w:basedOn w:val="54"/>
    <w:autoRedefine/>
    <w:qFormat/>
    <w:uiPriority w:val="0"/>
  </w:style>
  <w:style w:type="character" w:customStyle="1" w:styleId="198">
    <w:name w:val="EmailStyle65"/>
    <w:autoRedefine/>
    <w:qFormat/>
    <w:uiPriority w:val="0"/>
    <w:rPr>
      <w:rFonts w:hint="default" w:ascii="Arial" w:hAnsi="Arial" w:eastAsia="宋体" w:cs="Arial"/>
      <w:color w:val="auto"/>
      <w:sz w:val="20"/>
      <w:lang w:bidi="ar-SA"/>
    </w:rPr>
  </w:style>
  <w:style w:type="character" w:customStyle="1" w:styleId="199">
    <w:name w:val="(C+F3) Char"/>
    <w:autoRedefine/>
    <w:qFormat/>
    <w:uiPriority w:val="0"/>
    <w:rPr>
      <w:rFonts w:hint="eastAsia" w:ascii="黑体" w:hAnsi="黑体" w:eastAsia="黑体"/>
      <w:spacing w:val="8"/>
      <w:sz w:val="24"/>
    </w:rPr>
  </w:style>
  <w:style w:type="character" w:customStyle="1" w:styleId="200">
    <w:name w:val="content"/>
    <w:basedOn w:val="54"/>
    <w:autoRedefine/>
    <w:qFormat/>
    <w:uiPriority w:val="0"/>
  </w:style>
  <w:style w:type="character" w:customStyle="1" w:styleId="201">
    <w:name w:val="正文文本缩进 3 Char1"/>
    <w:basedOn w:val="54"/>
    <w:autoRedefine/>
    <w:semiHidden/>
    <w:qFormat/>
    <w:uiPriority w:val="0"/>
    <w:rPr>
      <w:kern w:val="2"/>
      <w:sz w:val="16"/>
      <w:szCs w:val="16"/>
    </w:rPr>
  </w:style>
  <w:style w:type="character" w:customStyle="1" w:styleId="202">
    <w:name w:val="页眉 Char2"/>
    <w:basedOn w:val="54"/>
    <w:autoRedefine/>
    <w:semiHidden/>
    <w:qFormat/>
    <w:uiPriority w:val="0"/>
    <w:rPr>
      <w:kern w:val="2"/>
      <w:sz w:val="18"/>
      <w:szCs w:val="18"/>
    </w:rPr>
  </w:style>
  <w:style w:type="character" w:customStyle="1" w:styleId="203">
    <w:name w:val="批注文字 Char1"/>
    <w:basedOn w:val="54"/>
    <w:autoRedefine/>
    <w:semiHidden/>
    <w:qFormat/>
    <w:uiPriority w:val="0"/>
    <w:rPr>
      <w:kern w:val="2"/>
      <w:sz w:val="21"/>
      <w:szCs w:val="24"/>
    </w:rPr>
  </w:style>
  <w:style w:type="character" w:customStyle="1" w:styleId="204">
    <w:name w:val="脚注文本 Char2"/>
    <w:basedOn w:val="54"/>
    <w:autoRedefine/>
    <w:semiHidden/>
    <w:qFormat/>
    <w:uiPriority w:val="0"/>
    <w:rPr>
      <w:kern w:val="2"/>
      <w:sz w:val="18"/>
      <w:szCs w:val="18"/>
    </w:rPr>
  </w:style>
  <w:style w:type="character" w:customStyle="1" w:styleId="205">
    <w:name w:val="日期 Char1"/>
    <w:basedOn w:val="54"/>
    <w:autoRedefine/>
    <w:semiHidden/>
    <w:qFormat/>
    <w:uiPriority w:val="0"/>
    <w:rPr>
      <w:kern w:val="2"/>
      <w:sz w:val="21"/>
      <w:szCs w:val="24"/>
    </w:rPr>
  </w:style>
  <w:style w:type="character" w:customStyle="1" w:styleId="206">
    <w:name w:val="正文文本 2 Char1"/>
    <w:basedOn w:val="54"/>
    <w:autoRedefine/>
    <w:semiHidden/>
    <w:qFormat/>
    <w:uiPriority w:val="0"/>
    <w:rPr>
      <w:kern w:val="2"/>
      <w:sz w:val="21"/>
      <w:szCs w:val="24"/>
    </w:rPr>
  </w:style>
  <w:style w:type="character" w:customStyle="1" w:styleId="207">
    <w:name w:val="尾注文本 Char1"/>
    <w:basedOn w:val="54"/>
    <w:autoRedefine/>
    <w:semiHidden/>
    <w:qFormat/>
    <w:uiPriority w:val="0"/>
    <w:rPr>
      <w:kern w:val="2"/>
      <w:sz w:val="21"/>
      <w:szCs w:val="24"/>
    </w:rPr>
  </w:style>
  <w:style w:type="character" w:customStyle="1" w:styleId="208">
    <w:name w:val="正文文本缩进 Char1"/>
    <w:basedOn w:val="54"/>
    <w:autoRedefine/>
    <w:semiHidden/>
    <w:qFormat/>
    <w:uiPriority w:val="0"/>
    <w:rPr>
      <w:kern w:val="2"/>
      <w:sz w:val="21"/>
      <w:szCs w:val="24"/>
    </w:rPr>
  </w:style>
  <w:style w:type="character" w:customStyle="1" w:styleId="209">
    <w:name w:val="正文文本 3 Char1"/>
    <w:basedOn w:val="54"/>
    <w:autoRedefine/>
    <w:semiHidden/>
    <w:qFormat/>
    <w:uiPriority w:val="0"/>
    <w:rPr>
      <w:kern w:val="2"/>
      <w:sz w:val="16"/>
      <w:szCs w:val="16"/>
    </w:rPr>
  </w:style>
  <w:style w:type="character" w:customStyle="1" w:styleId="210">
    <w:name w:val="批注主题 Char1"/>
    <w:basedOn w:val="203"/>
    <w:autoRedefine/>
    <w:semiHidden/>
    <w:qFormat/>
    <w:uiPriority w:val="0"/>
    <w:rPr>
      <w:b/>
      <w:bCs/>
      <w:kern w:val="2"/>
      <w:sz w:val="21"/>
      <w:szCs w:val="24"/>
    </w:rPr>
  </w:style>
  <w:style w:type="character" w:customStyle="1" w:styleId="211">
    <w:name w:val="正文文本缩进 2 Char1"/>
    <w:basedOn w:val="54"/>
    <w:autoRedefine/>
    <w:semiHidden/>
    <w:qFormat/>
    <w:uiPriority w:val="0"/>
    <w:rPr>
      <w:kern w:val="2"/>
      <w:sz w:val="21"/>
      <w:szCs w:val="24"/>
    </w:rPr>
  </w:style>
  <w:style w:type="character" w:customStyle="1" w:styleId="212">
    <w:name w:val="纯文本 Char1"/>
    <w:basedOn w:val="54"/>
    <w:autoRedefine/>
    <w:semiHidden/>
    <w:qFormat/>
    <w:uiPriority w:val="0"/>
    <w:rPr>
      <w:rFonts w:hint="eastAsia" w:ascii="宋体" w:hAnsi="Courier New" w:eastAsia="宋体" w:cs="Courier New"/>
      <w:kern w:val="2"/>
      <w:sz w:val="21"/>
      <w:szCs w:val="21"/>
    </w:rPr>
  </w:style>
  <w:style w:type="character" w:customStyle="1" w:styleId="213">
    <w:name w:val="文档结构图 Char1"/>
    <w:basedOn w:val="54"/>
    <w:autoRedefine/>
    <w:semiHidden/>
    <w:qFormat/>
    <w:uiPriority w:val="0"/>
    <w:rPr>
      <w:rFonts w:hint="eastAsia" w:ascii="宋体" w:hAnsi="宋体" w:eastAsia="宋体"/>
      <w:kern w:val="2"/>
      <w:sz w:val="18"/>
      <w:szCs w:val="18"/>
    </w:rPr>
  </w:style>
  <w:style w:type="character" w:customStyle="1" w:styleId="214">
    <w:name w:val="称呼 Char1"/>
    <w:basedOn w:val="54"/>
    <w:autoRedefine/>
    <w:semiHidden/>
    <w:qFormat/>
    <w:uiPriority w:val="0"/>
    <w:rPr>
      <w:kern w:val="2"/>
      <w:sz w:val="21"/>
      <w:szCs w:val="24"/>
    </w:rPr>
  </w:style>
  <w:style w:type="character" w:customStyle="1" w:styleId="215">
    <w:name w:val="正文文本 Char1"/>
    <w:basedOn w:val="54"/>
    <w:link w:val="22"/>
    <w:autoRedefine/>
    <w:qFormat/>
    <w:locked/>
    <w:uiPriority w:val="0"/>
    <w:rPr>
      <w:rFonts w:ascii="Calibri" w:hAnsi="Calibri" w:cs="Times New Roman"/>
      <w:szCs w:val="24"/>
    </w:rPr>
  </w:style>
  <w:style w:type="character" w:customStyle="1" w:styleId="216">
    <w:name w:val="正文首行缩进 Char1"/>
    <w:basedOn w:val="215"/>
    <w:autoRedefine/>
    <w:semiHidden/>
    <w:qFormat/>
    <w:uiPriority w:val="0"/>
    <w:rPr>
      <w:rFonts w:ascii="Calibri" w:hAnsi="Calibri" w:cs="Times New Roman"/>
      <w:szCs w:val="24"/>
    </w:rPr>
  </w:style>
  <w:style w:type="character" w:customStyle="1" w:styleId="217">
    <w:name w:val="页脚 Char1"/>
    <w:basedOn w:val="54"/>
    <w:autoRedefine/>
    <w:semiHidden/>
    <w:qFormat/>
    <w:uiPriority w:val="0"/>
    <w:rPr>
      <w:kern w:val="2"/>
      <w:sz w:val="18"/>
      <w:szCs w:val="18"/>
    </w:rPr>
  </w:style>
  <w:style w:type="character" w:customStyle="1" w:styleId="218">
    <w:name w:val="批注框文本 Char1"/>
    <w:basedOn w:val="54"/>
    <w:autoRedefine/>
    <w:semiHidden/>
    <w:qFormat/>
    <w:uiPriority w:val="0"/>
    <w:rPr>
      <w:kern w:val="2"/>
      <w:sz w:val="18"/>
      <w:szCs w:val="18"/>
    </w:rPr>
  </w:style>
  <w:style w:type="character" w:customStyle="1" w:styleId="219">
    <w:name w:val="HTML 预设格式 Char1"/>
    <w:basedOn w:val="54"/>
    <w:autoRedefine/>
    <w:semiHidden/>
    <w:qFormat/>
    <w:uiPriority w:val="0"/>
    <w:rPr>
      <w:rFonts w:hint="default" w:ascii="Courier New" w:hAnsi="Courier New" w:cs="Courier New"/>
      <w:kern w:val="2"/>
    </w:rPr>
  </w:style>
  <w:style w:type="character" w:customStyle="1" w:styleId="220">
    <w:name w:val="标题 Char2"/>
    <w:basedOn w:val="54"/>
    <w:autoRedefine/>
    <w:qFormat/>
    <w:uiPriority w:val="0"/>
    <w:rPr>
      <w:rFonts w:hint="default" w:eastAsia="宋体" w:asciiTheme="majorHAnsi" w:hAnsiTheme="majorHAnsi" w:cstheme="majorBidi"/>
      <w:b/>
      <w:bCs/>
      <w:kern w:val="2"/>
      <w:sz w:val="32"/>
      <w:szCs w:val="32"/>
    </w:rPr>
  </w:style>
  <w:style w:type="paragraph" w:customStyle="1" w:styleId="221">
    <w:name w:val="二级条标题"/>
    <w:basedOn w:val="109"/>
    <w:next w:val="1"/>
    <w:autoRedefine/>
    <w:qFormat/>
    <w:uiPriority w:val="0"/>
    <w:pPr>
      <w:outlineLvl w:val="3"/>
    </w:pPr>
  </w:style>
  <w:style w:type="paragraph" w:customStyle="1" w:styleId="222">
    <w:name w:val="三级条标题"/>
    <w:basedOn w:val="221"/>
    <w:next w:val="1"/>
    <w:autoRedefine/>
    <w:qFormat/>
    <w:uiPriority w:val="0"/>
    <w:pPr>
      <w:outlineLvl w:val="4"/>
    </w:pPr>
  </w:style>
  <w:style w:type="paragraph" w:customStyle="1" w:styleId="223">
    <w:name w:val="四级条标题"/>
    <w:basedOn w:val="222"/>
    <w:next w:val="1"/>
    <w:autoRedefine/>
    <w:qFormat/>
    <w:uiPriority w:val="0"/>
    <w:pPr>
      <w:outlineLvl w:val="5"/>
    </w:pPr>
  </w:style>
  <w:style w:type="paragraph" w:customStyle="1" w:styleId="224">
    <w:name w:val="五级条标题"/>
    <w:basedOn w:val="223"/>
    <w:next w:val="1"/>
    <w:autoRedefine/>
    <w:qFormat/>
    <w:uiPriority w:val="0"/>
    <w:pPr>
      <w:ind w:left="0"/>
      <w:outlineLvl w:val="6"/>
    </w:pPr>
  </w:style>
  <w:style w:type="paragraph" w:customStyle="1" w:styleId="225">
    <w:name w:val="附录四级条标题"/>
    <w:basedOn w:val="131"/>
    <w:next w:val="106"/>
    <w:autoRedefine/>
    <w:qFormat/>
    <w:uiPriority w:val="0"/>
    <w:pPr>
      <w:numPr>
        <w:ilvl w:val="4"/>
      </w:numPr>
      <w:ind w:left="374"/>
      <w:outlineLvl w:val="5"/>
    </w:pPr>
  </w:style>
  <w:style w:type="paragraph" w:customStyle="1" w:styleId="226">
    <w:name w:val="正文_1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7">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8">
    <w:name w:val="正文_0"/>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4FC42-ECF7-4C14-AA59-780815A7FA3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100</Pages>
  <Words>10407</Words>
  <Characters>59322</Characters>
  <Lines>494</Lines>
  <Paragraphs>139</Paragraphs>
  <TotalTime>73</TotalTime>
  <ScaleCrop>false</ScaleCrop>
  <LinksUpToDate>false</LinksUpToDate>
  <CharactersWithSpaces>69590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2024-07-30T08:19:00Z</dcterms:created>
  <dc:creator>Administrator</dc:creator>
  <cp:lastModifiedBy>Tina</cp:lastModifiedBy>
  <cp:lastPrinted>2024-07-31T06:40:00Z</cp:lastPrinted>
  <dcterms:modified xsi:type="dcterms:W3CDTF">2024-08-01T07:51:59Z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CA43638AF2964FA5A7596B0E81F6867A</vt:lpwstr>
  </property>
</Properties>
</file>