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ind w:firstLine="0" w:firstLineChars="0"/>
        <w:jc w:val="center"/>
        <w:rPr>
          <w:rFonts w:ascii="宋体" w:hAnsi="宋体" w:cs="宋体"/>
          <w:b/>
          <w:color w:val="auto"/>
          <w:sz w:val="48"/>
          <w:szCs w:val="48"/>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auto"/>
          <w:kern w:val="0"/>
          <w:sz w:val="44"/>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auto"/>
          <w:kern w:val="0"/>
          <w:sz w:val="44"/>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eastAsia="宋体"/>
          <w:b/>
          <w:color w:val="auto"/>
          <w:kern w:val="0"/>
          <w:sz w:val="44"/>
          <w:highlight w:val="none"/>
          <w:lang w:eastAsia="zh-CN"/>
        </w:rPr>
      </w:pPr>
      <w:r>
        <w:rPr>
          <w:rFonts w:hint="eastAsia" w:ascii="宋体"/>
          <w:b/>
          <w:color w:val="auto"/>
          <w:kern w:val="0"/>
          <w:sz w:val="44"/>
          <w:highlight w:val="none"/>
          <w:lang w:eastAsia="zh-CN"/>
        </w:rPr>
        <w:t>三门县2024学年学生监护人责任险保险服务入围项目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auto"/>
          <w:kern w:val="0"/>
          <w:sz w:val="48"/>
          <w:highlight w:val="none"/>
        </w:rPr>
      </w:pPr>
    </w:p>
    <w:p>
      <w:pPr>
        <w:pStyle w:val="11"/>
        <w:rPr>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auto"/>
          <w:kern w:val="0"/>
          <w:sz w:val="48"/>
          <w:highlight w:val="none"/>
        </w:rPr>
      </w:pPr>
      <w:r>
        <w:rPr>
          <w:rFonts w:ascii="宋体"/>
          <w:b/>
          <w:color w:val="auto"/>
          <w:kern w:val="0"/>
          <w:sz w:val="48"/>
          <w:highlight w:val="none"/>
        </w:rPr>
        <w:t>公开招标文件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bCs/>
          <w:color w:val="auto"/>
          <w:kern w:val="0"/>
          <w:sz w:val="28"/>
          <w:szCs w:val="28"/>
          <w:highlight w:val="none"/>
        </w:rPr>
      </w:pPr>
    </w:p>
    <w:p>
      <w:pPr>
        <w:widowControl/>
        <w:kinsoku w:val="0"/>
        <w:autoSpaceDE w:val="0"/>
        <w:autoSpaceDN w:val="0"/>
        <w:adjustRightInd w:val="0"/>
        <w:snapToGrid w:val="0"/>
        <w:spacing w:before="101" w:line="225" w:lineRule="auto"/>
        <w:ind w:firstLine="2112" w:firstLineChars="800"/>
        <w:textAlignment w:val="baseline"/>
        <w:rPr>
          <w:rFonts w:hint="eastAsia" w:ascii="宋体" w:hAnsi="宋体" w:eastAsia="宋体" w:cs="宋体"/>
          <w:snapToGrid w:val="0"/>
          <w:color w:val="auto"/>
          <w:spacing w:val="-8"/>
          <w:kern w:val="0"/>
          <w:sz w:val="28"/>
          <w:szCs w:val="28"/>
          <w:highlight w:val="none"/>
          <w:lang w:eastAsia="zh-CN"/>
        </w:rPr>
      </w:pPr>
      <w:r>
        <w:rPr>
          <w:rFonts w:hint="eastAsia" w:ascii="宋体" w:hAnsi="宋体" w:cs="宋体"/>
          <w:snapToGrid w:val="0"/>
          <w:color w:val="auto"/>
          <w:spacing w:val="-8"/>
          <w:kern w:val="0"/>
          <w:sz w:val="28"/>
          <w:szCs w:val="28"/>
          <w:highlight w:val="none"/>
        </w:rPr>
        <w:t>项目编号：</w:t>
      </w:r>
      <w:r>
        <w:rPr>
          <w:rFonts w:hint="eastAsia" w:ascii="宋体" w:hAnsi="宋体" w:cs="宋体"/>
          <w:snapToGrid w:val="0"/>
          <w:color w:val="auto"/>
          <w:spacing w:val="-8"/>
          <w:kern w:val="0"/>
          <w:sz w:val="28"/>
          <w:szCs w:val="28"/>
          <w:highlight w:val="none"/>
          <w:lang w:eastAsia="zh-CN"/>
        </w:rPr>
        <w:t>三拓展-2024-GK077号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5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pPr>
        <w:autoSpaceDE w:val="0"/>
        <w:autoSpaceDN w:val="0"/>
        <w:adjustRightInd w:val="0"/>
        <w:spacing w:line="360" w:lineRule="atLeast"/>
        <w:rPr>
          <w:rFonts w:ascii="宋体"/>
          <w:color w:val="auto"/>
          <w:kern w:val="0"/>
          <w:sz w:val="32"/>
          <w:highlight w:val="none"/>
        </w:rPr>
      </w:pPr>
      <w:r>
        <w:rPr>
          <w:rFonts w:hint="eastAsia" w:ascii="宋体"/>
          <w:color w:val="auto"/>
          <w:kern w:val="0"/>
          <w:sz w:val="36"/>
          <w:szCs w:val="36"/>
          <w:highlight w:val="none"/>
        </w:rPr>
        <w:t xml:space="preserve">   </w:t>
      </w:r>
      <w:r>
        <w:rPr>
          <w:rFonts w:hint="eastAsia" w:ascii="宋体"/>
          <w:b/>
          <w:color w:val="auto"/>
          <w:kern w:val="0"/>
          <w:sz w:val="36"/>
          <w:szCs w:val="36"/>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color w:val="auto"/>
          <w:kern w:val="0"/>
          <w:sz w:val="28"/>
          <w:szCs w:val="28"/>
          <w:highlight w:val="none"/>
        </w:rPr>
      </w:pPr>
      <w:r>
        <w:rPr>
          <w:rFonts w:hint="eastAsia" w:ascii="宋体"/>
          <w:color w:val="auto"/>
          <w:kern w:val="0"/>
          <w:sz w:val="28"/>
          <w:highlight w:val="none"/>
        </w:rPr>
        <w:t xml:space="preserve">   </w:t>
      </w:r>
      <w:r>
        <w:rPr>
          <w:rFonts w:hint="eastAsia" w:ascii="宋体"/>
          <w:color w:val="auto"/>
          <w:kern w:val="0"/>
          <w:sz w:val="28"/>
          <w:szCs w:val="28"/>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1120" w:firstLineChars="400"/>
        <w:rPr>
          <w:color w:val="auto"/>
          <w:sz w:val="28"/>
          <w:szCs w:val="28"/>
          <w:highlight w:val="none"/>
        </w:rPr>
      </w:pPr>
      <w:r>
        <w:rPr>
          <w:rFonts w:hint="eastAsia" w:ascii="宋体"/>
          <w:color w:val="auto"/>
          <w:kern w:val="0"/>
          <w:sz w:val="28"/>
          <w:szCs w:val="28"/>
          <w:highlight w:val="none"/>
        </w:rPr>
        <w:t>招标人：</w:t>
      </w:r>
      <w:r>
        <w:rPr>
          <w:rFonts w:hint="eastAsia"/>
          <w:color w:val="auto"/>
          <w:kern w:val="0"/>
          <w:sz w:val="28"/>
          <w:szCs w:val="28"/>
          <w:highlight w:val="none"/>
        </w:rPr>
        <w:t>三门县教育局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color w:val="auto"/>
          <w:kern w:val="0"/>
          <w:sz w:val="28"/>
          <w:szCs w:val="28"/>
          <w:highlight w:val="none"/>
        </w:rPr>
      </w:pPr>
      <w:r>
        <w:rPr>
          <w:rFonts w:hint="eastAsia"/>
          <w:color w:val="auto"/>
          <w:sz w:val="28"/>
          <w:szCs w:val="28"/>
          <w:highlight w:val="none"/>
        </w:rPr>
        <w:t xml:space="preserve">        </w:t>
      </w:r>
      <w:r>
        <w:rPr>
          <w:rFonts w:hint="eastAsia" w:ascii="宋体"/>
          <w:color w:val="auto"/>
          <w:kern w:val="0"/>
          <w:sz w:val="28"/>
          <w:szCs w:val="28"/>
          <w:highlight w:val="none"/>
        </w:rPr>
        <w:t>招标代理机构：欧邦工程管理集团有限公司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1120" w:firstLineChars="400"/>
        <w:rPr>
          <w:rFonts w:ascii="宋体"/>
          <w:color w:val="auto"/>
          <w:kern w:val="0"/>
          <w:sz w:val="28"/>
          <w:szCs w:val="28"/>
          <w:highlight w:val="none"/>
        </w:rPr>
      </w:pPr>
      <w:r>
        <w:rPr>
          <w:rFonts w:hint="eastAsia" w:ascii="宋体"/>
          <w:color w:val="auto"/>
          <w:kern w:val="0"/>
          <w:sz w:val="28"/>
          <w:szCs w:val="28"/>
          <w:highlight w:val="none"/>
        </w:rPr>
        <w:t>上级主管部门：三门县教育局</w:t>
      </w:r>
    </w:p>
    <w:p>
      <w:pPr>
        <w:widowControl/>
        <w:jc w:val="left"/>
        <w:rPr>
          <w:rFonts w:ascii="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color w:val="auto"/>
          <w:kern w:val="0"/>
          <w:sz w:val="30"/>
          <w:szCs w:val="30"/>
          <w:highlight w:val="none"/>
        </w:rPr>
      </w:pPr>
      <w:r>
        <w:rPr>
          <w:rFonts w:hint="eastAsia" w:ascii="宋体"/>
          <w:color w:val="auto"/>
          <w:kern w:val="0"/>
          <w:sz w:val="30"/>
          <w:szCs w:val="30"/>
          <w:highlight w:val="none"/>
        </w:rPr>
        <w:t xml:space="preserve">    202</w:t>
      </w:r>
      <w:r>
        <w:rPr>
          <w:rFonts w:hint="eastAsia" w:ascii="宋体"/>
          <w:color w:val="auto"/>
          <w:kern w:val="0"/>
          <w:sz w:val="30"/>
          <w:szCs w:val="30"/>
          <w:highlight w:val="none"/>
          <w:lang w:val="en-US" w:eastAsia="zh-CN"/>
        </w:rPr>
        <w:t>4</w:t>
      </w:r>
      <w:r>
        <w:rPr>
          <w:rFonts w:hint="eastAsia" w:ascii="宋体"/>
          <w:color w:val="auto"/>
          <w:kern w:val="0"/>
          <w:sz w:val="30"/>
          <w:szCs w:val="30"/>
          <w:highlight w:val="none"/>
        </w:rPr>
        <w:t>年7月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color w:val="auto"/>
          <w:kern w:val="0"/>
          <w:sz w:val="30"/>
          <w:szCs w:val="30"/>
          <w:highlight w:val="none"/>
        </w:rPr>
      </w:pPr>
    </w:p>
    <w:p>
      <w:pPr>
        <w:pStyle w:val="12"/>
        <w:ind w:left="0" w:leftChars="0" w:firstLine="0" w:firstLineChars="0"/>
        <w:rPr>
          <w:rFonts w:hint="eastAsia"/>
        </w:rPr>
      </w:pPr>
      <w:bookmarkStart w:id="15" w:name="_GoBack"/>
      <w:bookmarkEnd w:id="15"/>
    </w:p>
    <w:p>
      <w:pPr>
        <w:widowControl/>
        <w:jc w:val="center"/>
        <w:rPr>
          <w:rFonts w:ascii="宋体" w:hAnsi="宋体" w:cs="宋体"/>
          <w:color w:val="auto"/>
          <w:sz w:val="32"/>
          <w:szCs w:val="32"/>
          <w:highlight w:val="none"/>
        </w:rPr>
      </w:pPr>
      <w:r>
        <w:rPr>
          <w:rFonts w:ascii="宋体" w:hAnsi="宋体" w:cs="宋体"/>
          <w:color w:val="auto"/>
          <w:sz w:val="32"/>
          <w:szCs w:val="32"/>
          <w:highlight w:val="none"/>
        </w:rPr>
        <w:drawing>
          <wp:inline distT="0" distB="0" distL="114300" distR="114300">
            <wp:extent cx="5554345" cy="7565390"/>
            <wp:effectExtent l="0" t="0" r="8255" b="16510"/>
            <wp:docPr id="1" name="图片 1" descr="1721796675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1796675489"/>
                    <pic:cNvPicPr>
                      <a:picLocks noChangeAspect="1"/>
                    </pic:cNvPicPr>
                  </pic:nvPicPr>
                  <pic:blipFill>
                    <a:blip r:embed="rId7"/>
                    <a:stretch>
                      <a:fillRect/>
                    </a:stretch>
                  </pic:blipFill>
                  <pic:spPr>
                    <a:xfrm>
                      <a:off x="0" y="0"/>
                      <a:ext cx="5554345" cy="7565390"/>
                    </a:xfrm>
                    <a:prstGeom prst="rect">
                      <a:avLst/>
                    </a:prstGeom>
                  </pic:spPr>
                </pic:pic>
              </a:graphicData>
            </a:graphic>
          </wp:inline>
        </w:drawing>
      </w:r>
      <w:r>
        <w:rPr>
          <w:rFonts w:ascii="宋体" w:hAnsi="宋体" w:cs="宋体"/>
          <w:color w:val="auto"/>
          <w:sz w:val="32"/>
          <w:szCs w:val="32"/>
          <w:highlight w:val="none"/>
        </w:rPr>
        <w:br w:type="page"/>
      </w:r>
    </w:p>
    <w:p>
      <w:pPr>
        <w:jc w:val="center"/>
        <w:rPr>
          <w:b/>
          <w:bCs/>
          <w:color w:val="auto"/>
          <w:sz w:val="48"/>
          <w:szCs w:val="48"/>
          <w:highlight w:val="none"/>
        </w:rPr>
      </w:pPr>
    </w:p>
    <w:sdt>
      <w:sdtPr>
        <w:rPr>
          <w:rFonts w:ascii="Times New Roman" w:hAnsi="Times New Roman" w:eastAsia="宋体" w:cs="Times New Roman"/>
          <w:color w:val="auto"/>
          <w:kern w:val="2"/>
          <w:sz w:val="21"/>
          <w:szCs w:val="24"/>
          <w:highlight w:val="none"/>
          <w:lang w:val="zh-CN"/>
        </w:rPr>
        <w:id w:val="-919395729"/>
        <w:docPartObj>
          <w:docPartGallery w:val="Table of Contents"/>
          <w:docPartUnique/>
        </w:docPartObj>
      </w:sdtPr>
      <w:sdtEndPr>
        <w:rPr>
          <w:rFonts w:ascii="Times New Roman" w:hAnsi="Times New Roman" w:eastAsia="宋体" w:cs="Times New Roman"/>
          <w:b/>
          <w:bCs/>
          <w:color w:val="auto"/>
          <w:kern w:val="2"/>
          <w:sz w:val="21"/>
          <w:szCs w:val="24"/>
          <w:highlight w:val="none"/>
          <w:lang w:val="zh-CN"/>
        </w:rPr>
      </w:sdtEndPr>
      <w:sdtContent>
        <w:p>
          <w:pPr>
            <w:pStyle w:val="62"/>
            <w:jc w:val="center"/>
            <w:rPr>
              <w:color w:val="auto"/>
              <w:sz w:val="28"/>
              <w:szCs w:val="28"/>
              <w:highlight w:val="none"/>
            </w:rPr>
          </w:pPr>
          <w:r>
            <w:rPr>
              <w:color w:val="auto"/>
              <w:sz w:val="28"/>
              <w:szCs w:val="28"/>
              <w:highlight w:val="none"/>
              <w:lang w:val="zh-CN"/>
            </w:rPr>
            <w:t>目录</w:t>
          </w:r>
        </w:p>
        <w:p>
          <w:pPr>
            <w:pStyle w:val="19"/>
            <w:tabs>
              <w:tab w:val="right" w:leader="dot" w:pos="8296"/>
            </w:tabs>
            <w:rPr>
              <w:rFonts w:asciiTheme="minorHAnsi" w:hAnsiTheme="minorHAnsi" w:eastAsiaTheme="minorEastAsia" w:cstheme="minorBidi"/>
              <w:color w:val="auto"/>
              <w:sz w:val="21"/>
              <w:szCs w:val="22"/>
              <w:highlight w:val="none"/>
            </w:rPr>
          </w:pPr>
          <w:r>
            <w:rPr>
              <w:color w:val="auto"/>
              <w:szCs w:val="28"/>
              <w:highlight w:val="none"/>
            </w:rPr>
            <w:fldChar w:fldCharType="begin"/>
          </w:r>
          <w:r>
            <w:rPr>
              <w:color w:val="auto"/>
              <w:szCs w:val="28"/>
              <w:highlight w:val="none"/>
            </w:rPr>
            <w:instrText xml:space="preserve"> TOC \o "1-3" \h \z \u </w:instrText>
          </w:r>
          <w:r>
            <w:rPr>
              <w:color w:val="auto"/>
              <w:szCs w:val="28"/>
              <w:highlight w:val="none"/>
            </w:rPr>
            <w:fldChar w:fldCharType="separate"/>
          </w:r>
          <w:r>
            <w:rPr>
              <w:color w:val="auto"/>
              <w:highlight w:val="none"/>
            </w:rPr>
            <w:fldChar w:fldCharType="begin"/>
          </w:r>
          <w:r>
            <w:rPr>
              <w:color w:val="auto"/>
              <w:highlight w:val="none"/>
            </w:rPr>
            <w:instrText xml:space="preserve"> HYPERLINK \l "_Toc77876199" </w:instrText>
          </w:r>
          <w:r>
            <w:rPr>
              <w:color w:val="auto"/>
              <w:highlight w:val="none"/>
            </w:rPr>
            <w:fldChar w:fldCharType="separate"/>
          </w:r>
          <w:r>
            <w:rPr>
              <w:rStyle w:val="27"/>
              <w:rFonts w:hint="eastAsia"/>
              <w:color w:val="auto"/>
              <w:highlight w:val="none"/>
            </w:rPr>
            <w:t>第一章公开招标公告</w:t>
          </w:r>
          <w:r>
            <w:rPr>
              <w:color w:val="auto"/>
              <w:highlight w:val="none"/>
            </w:rPr>
            <w:tab/>
          </w:r>
          <w:r>
            <w:rPr>
              <w:color w:val="auto"/>
              <w:highlight w:val="none"/>
            </w:rPr>
            <w:fldChar w:fldCharType="begin"/>
          </w:r>
          <w:r>
            <w:rPr>
              <w:color w:val="auto"/>
              <w:highlight w:val="none"/>
            </w:rPr>
            <w:instrText xml:space="preserve"> PAGEREF _Toc77876199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"_Toc77876200" </w:instrText>
          </w:r>
          <w:r>
            <w:rPr>
              <w:color w:val="auto"/>
              <w:highlight w:val="none"/>
            </w:rPr>
            <w:fldChar w:fldCharType="separate"/>
          </w:r>
          <w:r>
            <w:rPr>
              <w:rStyle w:val="27"/>
              <w:rFonts w:hint="eastAsia"/>
              <w:color w:val="auto"/>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_Toc77876200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9"/>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"_Toc77876201" </w:instrText>
          </w:r>
          <w:r>
            <w:rPr>
              <w:color w:val="auto"/>
              <w:highlight w:val="none"/>
            </w:rPr>
            <w:fldChar w:fldCharType="separate"/>
          </w:r>
          <w:r>
            <w:rPr>
              <w:rStyle w:val="27"/>
              <w:rFonts w:hint="eastAsia"/>
              <w:color w:val="auto"/>
              <w:highlight w:val="none"/>
            </w:rPr>
            <w:t>第三章评标办法及评分标准</w:t>
          </w:r>
          <w:r>
            <w:rPr>
              <w:color w:val="auto"/>
              <w:highlight w:val="none"/>
            </w:rPr>
            <w:tab/>
          </w:r>
          <w:r>
            <w:rPr>
              <w:color w:val="auto"/>
              <w:highlight w:val="none"/>
            </w:rPr>
            <w:fldChar w:fldCharType="begin"/>
          </w:r>
          <w:r>
            <w:rPr>
              <w:color w:val="auto"/>
              <w:highlight w:val="none"/>
            </w:rPr>
            <w:instrText xml:space="preserve"> PAGEREF _Toc77876201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9"/>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"_Toc77876202" </w:instrText>
          </w:r>
          <w:r>
            <w:rPr>
              <w:color w:val="auto"/>
              <w:highlight w:val="none"/>
            </w:rPr>
            <w:fldChar w:fldCharType="separate"/>
          </w:r>
          <w:r>
            <w:rPr>
              <w:rStyle w:val="27"/>
              <w:rFonts w:hint="eastAsia"/>
              <w:color w:val="auto"/>
              <w:highlight w:val="none"/>
            </w:rPr>
            <w:t>第四章公开招标需求</w:t>
          </w:r>
          <w:r>
            <w:rPr>
              <w:color w:val="auto"/>
              <w:highlight w:val="none"/>
            </w:rPr>
            <w:tab/>
          </w:r>
          <w:r>
            <w:rPr>
              <w:color w:val="auto"/>
              <w:highlight w:val="none"/>
            </w:rPr>
            <w:fldChar w:fldCharType="begin"/>
          </w:r>
          <w:r>
            <w:rPr>
              <w:color w:val="auto"/>
              <w:highlight w:val="none"/>
            </w:rPr>
            <w:instrText xml:space="preserve"> PAGEREF _Toc77876202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"_Toc77876203" </w:instrText>
          </w:r>
          <w:r>
            <w:rPr>
              <w:color w:val="auto"/>
              <w:highlight w:val="none"/>
            </w:rPr>
            <w:fldChar w:fldCharType="separate"/>
          </w:r>
          <w:r>
            <w:rPr>
              <w:rStyle w:val="27"/>
              <w:rFonts w:hint="eastAsia"/>
              <w:color w:val="auto"/>
              <w:highlight w:val="none"/>
            </w:rPr>
            <w:t>第五部分合同主要协议条款</w:t>
          </w:r>
          <w:r>
            <w:rPr>
              <w:color w:val="auto"/>
              <w:highlight w:val="none"/>
            </w:rPr>
            <w:tab/>
          </w:r>
          <w:r>
            <w:rPr>
              <w:color w:val="auto"/>
              <w:highlight w:val="none"/>
            </w:rPr>
            <w:fldChar w:fldCharType="begin"/>
          </w:r>
          <w:r>
            <w:rPr>
              <w:color w:val="auto"/>
              <w:highlight w:val="none"/>
            </w:rPr>
            <w:instrText xml:space="preserve"> PAGEREF _Toc77876203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9"/>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"_Toc77876204" </w:instrText>
          </w:r>
          <w:r>
            <w:rPr>
              <w:color w:val="auto"/>
              <w:highlight w:val="none"/>
            </w:rPr>
            <w:fldChar w:fldCharType="separate"/>
          </w:r>
          <w:r>
            <w:rPr>
              <w:rStyle w:val="27"/>
              <w:rFonts w:hint="eastAsia"/>
              <w:color w:val="auto"/>
              <w:highlight w:val="none"/>
            </w:rPr>
            <w:t>第六部分投标文件格式</w:t>
          </w:r>
          <w:r>
            <w:rPr>
              <w:color w:val="auto"/>
              <w:highlight w:val="none"/>
            </w:rPr>
            <w:tab/>
          </w:r>
          <w:r>
            <w:rPr>
              <w:color w:val="auto"/>
              <w:highlight w:val="none"/>
            </w:rPr>
            <w:fldChar w:fldCharType="begin"/>
          </w:r>
          <w:r>
            <w:rPr>
              <w:color w:val="auto"/>
              <w:highlight w:val="none"/>
            </w:rPr>
            <w:instrText xml:space="preserve"> PAGEREF _Toc77876204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rPr>
              <w:color w:val="auto"/>
              <w:highlight w:val="none"/>
            </w:rPr>
          </w:pPr>
          <w:r>
            <w:rPr>
              <w:color w:val="auto"/>
              <w:sz w:val="28"/>
              <w:szCs w:val="28"/>
              <w:highlight w:val="none"/>
            </w:rPr>
            <w:fldChar w:fldCharType="end"/>
          </w:r>
        </w:p>
      </w:sdtContent>
    </w:sdt>
    <w:p>
      <w:pPr>
        <w:spacing w:line="360" w:lineRule="auto"/>
        <w:rPr>
          <w:rFonts w:ascii="新宋体" w:hAnsi="新宋体" w:eastAsia="新宋体"/>
          <w:color w:val="auto"/>
          <w:sz w:val="28"/>
          <w:szCs w:val="28"/>
          <w:highlight w:val="none"/>
        </w:rPr>
      </w:pPr>
    </w:p>
    <w:p>
      <w:pPr>
        <w:spacing w:line="360" w:lineRule="auto"/>
        <w:rPr>
          <w:color w:val="auto"/>
          <w:highlight w:val="none"/>
        </w:rPr>
      </w:pPr>
    </w:p>
    <w:p>
      <w:pPr>
        <w:spacing w:line="360" w:lineRule="auto"/>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center" w:pos="4153"/>
        </w:tabs>
        <w:rPr>
          <w:color w:val="auto"/>
          <w:highlight w:val="none"/>
        </w:rPr>
        <w:sectPr>
          <w:footerReference r:id="rId3" w:type="default"/>
          <w:pgSz w:w="11906" w:h="16838"/>
          <w:pgMar w:top="1440" w:right="1800" w:bottom="1440" w:left="1800" w:header="851" w:footer="992" w:gutter="0"/>
          <w:pgNumType w:start="1" w:chapStyle="1"/>
          <w:cols w:space="425" w:num="1"/>
          <w:docGrid w:type="lines" w:linePitch="312" w:charSpace="0"/>
        </w:sectPr>
      </w:pPr>
      <w:r>
        <w:rPr>
          <w:color w:val="auto"/>
          <w:highlight w:val="none"/>
        </w:rPr>
        <w:tab/>
      </w:r>
    </w:p>
    <w:p>
      <w:pPr>
        <w:pStyle w:val="2"/>
        <w:spacing w:before="0" w:after="0" w:line="360" w:lineRule="auto"/>
        <w:jc w:val="center"/>
        <w:rPr>
          <w:color w:val="auto"/>
          <w:sz w:val="30"/>
          <w:szCs w:val="30"/>
          <w:highlight w:val="none"/>
        </w:rPr>
      </w:pPr>
      <w:bookmarkStart w:id="0" w:name="_Toc77876199"/>
      <w:r>
        <w:rPr>
          <w:rFonts w:hint="eastAsia"/>
          <w:color w:val="auto"/>
          <w:sz w:val="30"/>
          <w:szCs w:val="30"/>
          <w:highlight w:val="none"/>
        </w:rPr>
        <w:t>第一章公开招标公告</w:t>
      </w:r>
      <w:bookmarkEnd w:id="0"/>
    </w:p>
    <w:p>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根据相关规定</w:t>
      </w: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受采购人委托，现就</w:t>
      </w:r>
      <w:r>
        <w:rPr>
          <w:rFonts w:hint="eastAsia" w:asciiTheme="minorEastAsia" w:hAnsiTheme="minorEastAsia" w:eastAsiaTheme="minorEastAsia"/>
          <w:color w:val="auto"/>
          <w:sz w:val="24"/>
          <w:highlight w:val="none"/>
          <w:u w:val="single"/>
        </w:rPr>
        <w:t>三门县教育局</w:t>
      </w:r>
      <w:r>
        <w:rPr>
          <w:rFonts w:hint="eastAsia" w:asciiTheme="minorEastAsia" w:hAnsiTheme="minorEastAsia" w:eastAsiaTheme="minorEastAsia"/>
          <w:color w:val="auto"/>
          <w:sz w:val="24"/>
          <w:highlight w:val="none"/>
        </w:rPr>
        <w:t>单位的</w:t>
      </w:r>
      <w:r>
        <w:rPr>
          <w:rFonts w:hint="eastAsia" w:ascii="宋体" w:hAnsi="宋体" w:cs="宋体" w:eastAsiaTheme="minorEastAsia"/>
          <w:b/>
          <w:color w:val="auto"/>
          <w:kern w:val="0"/>
          <w:sz w:val="24"/>
          <w:highlight w:val="none"/>
          <w:u w:val="single"/>
          <w:lang w:eastAsia="zh-CN"/>
        </w:rPr>
        <w:t>三门县2024学年学生监护人责任险保险服务入围项目</w:t>
      </w:r>
      <w:r>
        <w:rPr>
          <w:rFonts w:hint="eastAsia" w:asciiTheme="minorEastAsia" w:hAnsiTheme="minorEastAsia" w:eastAsiaTheme="minorEastAsia"/>
          <w:color w:val="auto"/>
          <w:kern w:val="0"/>
          <w:sz w:val="24"/>
          <w:highlight w:val="none"/>
        </w:rPr>
        <w:t>进行公开招标采购，欢迎合格供应商前来投标。</w:t>
      </w:r>
    </w:p>
    <w:p>
      <w:pPr>
        <w:tabs>
          <w:tab w:val="left" w:pos="180"/>
          <w:tab w:val="left" w:pos="360"/>
          <w:tab w:val="left" w:pos="540"/>
          <w:tab w:val="left" w:pos="8280"/>
        </w:tabs>
        <w:autoSpaceDE w:val="0"/>
        <w:autoSpaceDN w:val="0"/>
        <w:adjustRightInd w:val="0"/>
        <w:spacing w:before="100" w:line="276" w:lineRule="auto"/>
        <w:ind w:left="539" w:right="23"/>
        <w:jc w:val="left"/>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b/>
          <w:color w:val="auto"/>
          <w:kern w:val="0"/>
          <w:sz w:val="24"/>
          <w:highlight w:val="none"/>
        </w:rPr>
        <w:t>一、项目编号：</w:t>
      </w:r>
      <w:r>
        <w:rPr>
          <w:rFonts w:hint="eastAsia" w:asciiTheme="minorEastAsia" w:hAnsiTheme="minorEastAsia" w:eastAsiaTheme="minorEastAsia"/>
          <w:color w:val="auto"/>
          <w:sz w:val="24"/>
          <w:highlight w:val="none"/>
          <w:lang w:eastAsia="zh-CN"/>
        </w:rPr>
        <w:t>三拓展-2024-GK077号</w:t>
      </w:r>
    </w:p>
    <w:p>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二、招标项目概况（内容、用途、数量、简要技术要求等） :</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学生监护人责任险保费：50 元/人·学年。</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招标内容：三门县 202</w:t>
      </w:r>
      <w:r>
        <w:rPr>
          <w:rFonts w:hint="eastAsia" w:asciiTheme="minorEastAsia" w:hAnsiTheme="minorEastAsia" w:eastAsiaTheme="minorEastAsia"/>
          <w:color w:val="auto"/>
          <w:kern w:val="0"/>
          <w:sz w:val="24"/>
          <w:highlight w:val="none"/>
          <w:lang w:val="en-US" w:eastAsia="zh-CN"/>
        </w:rPr>
        <w:t>4</w:t>
      </w:r>
      <w:r>
        <w:rPr>
          <w:rFonts w:asciiTheme="minorEastAsia" w:hAnsiTheme="minorEastAsia" w:eastAsiaTheme="minorEastAsia"/>
          <w:color w:val="auto"/>
          <w:kern w:val="0"/>
          <w:sz w:val="24"/>
          <w:highlight w:val="none"/>
        </w:rPr>
        <w:t>学年学生监护人责任险保险服务入围项目采购。</w:t>
      </w:r>
    </w:p>
    <w:p>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三、合格投标人的资格条件：</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（一）</w:t>
      </w:r>
      <w:r>
        <w:rPr>
          <w:rFonts w:hint="eastAsia" w:asciiTheme="minorEastAsia" w:hAnsiTheme="minorEastAsia" w:eastAsiaTheme="minorEastAsia"/>
          <w:color w:val="auto"/>
          <w:kern w:val="0"/>
          <w:sz w:val="24"/>
          <w:highlight w:val="none"/>
        </w:rPr>
        <w:t>投标人的基本条件</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1）具有独立承担民事责任的能力；</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2）具有良好的商业信誉和健全的财务会计制度；</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3）有依法缴纳税收和社会保障资金的良好记录；</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4）法律、行政法规规定的其他条件；</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5</w:t>
      </w:r>
      <w:r>
        <w:rPr>
          <w:rFonts w:hint="eastAsia" w:asciiTheme="minorEastAsia" w:hAnsiTheme="minorEastAsia" w:eastAsiaTheme="minorEastAsia"/>
          <w:color w:val="auto"/>
          <w:kern w:val="0"/>
          <w:sz w:val="24"/>
          <w:highlight w:val="none"/>
        </w:rPr>
        <w:t>）投标人被列入失信被执行人名单，拒绝其参与本次采购活动（投标人信用信息以投标截止日信用中国网站（ www.creditchina.gov.cn）公布为准）；</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（二）投标供应商的特定条件：</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1.必须是经中国保险监督管理委员会批准设立的保险公司，取得经营保险业务许可证，具有开展本项目各项工作的商业保险机构；</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 如分、支公司参与投标的，必须具有省级或以上公司的合法授权。</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（三）其他要求：单位负责人为同一人或者存在直接控股、管理关系的不同供应商，不得参加同一合同项下的采购活动。</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（四）本项目不接受联合体投标。</w:t>
      </w:r>
    </w:p>
    <w:p>
      <w:pPr>
        <w:tabs>
          <w:tab w:val="left" w:pos="180"/>
          <w:tab w:val="left" w:pos="360"/>
          <w:tab w:val="left" w:pos="540"/>
          <w:tab w:val="left" w:pos="8280"/>
        </w:tabs>
        <w:autoSpaceDE w:val="0"/>
        <w:autoSpaceDN w:val="0"/>
        <w:adjustRightInd w:val="0"/>
        <w:spacing w:before="100" w:line="276"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四、招标文件获取的方式、时间：</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1．本工程实行资格后审，凡有意参加投标者，于公告发布之日起，可通过“三门县公共资源交易中心（拓展类）”（网址：</w:t>
      </w:r>
      <w:r>
        <w:rPr>
          <w:rFonts w:cs="Arial" w:asciiTheme="minorEastAsia" w:hAnsiTheme="minorEastAsia" w:eastAsiaTheme="minorEastAsia"/>
          <w:color w:val="auto"/>
          <w:sz w:val="24"/>
          <w:highlight w:val="none"/>
        </w:rPr>
        <w:t>http://www.sanmen.gov.cn/col/col1229610743/index.html</w:t>
      </w:r>
      <w:r>
        <w:rPr>
          <w:rFonts w:hint="eastAsia" w:cs="Arial" w:asciiTheme="minorEastAsia" w:hAnsiTheme="minorEastAsia" w:eastAsiaTheme="minorEastAsia"/>
          <w:color w:val="auto"/>
          <w:sz w:val="24"/>
          <w:highlight w:val="none"/>
        </w:rPr>
        <w:t>）自行下载招标文件等。</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2．投标人网上免费下载招标文件，不收取任何工本费。</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未在“三门县拓展类电子交易平台”注册的单位，请参照《三门县公共资源电子交易平台企业网上注册登记操作示意卡》自行网上注册并核验通过，见三门县公共资源交易网“下载中心”。操作流程请查阅：中心网站“下载中心—操作手册和软件下载”内的《三门县公共资源电子交易平台企业网上注册登记操作示意卡》，品茗联系人：章宏涛，联系电话： 13968512856。</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276" w:lineRule="auto"/>
        <w:ind w:right="23" w:firstLine="539"/>
        <w:jc w:val="left"/>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五、</w:t>
      </w:r>
      <w:r>
        <w:rPr>
          <w:rFonts w:hint="eastAsia" w:asciiTheme="minorEastAsia" w:hAnsiTheme="minorEastAsia" w:eastAsiaTheme="minorEastAsia"/>
          <w:b/>
          <w:color w:val="auto"/>
          <w:kern w:val="0"/>
          <w:sz w:val="24"/>
          <w:highlight w:val="none"/>
        </w:rPr>
        <w:t>投标截止及开标时间、地点：</w:t>
      </w:r>
    </w:p>
    <w:p>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1．投标文件递交的截止时间为202</w:t>
      </w:r>
      <w:r>
        <w:rPr>
          <w:rFonts w:hint="eastAsia" w:cs="Arial" w:asciiTheme="minorEastAsia" w:hAnsiTheme="minorEastAsia" w:eastAsiaTheme="minorEastAsia"/>
          <w:color w:val="auto"/>
          <w:sz w:val="24"/>
          <w:highlight w:val="none"/>
          <w:lang w:val="en-US" w:eastAsia="zh-CN"/>
        </w:rPr>
        <w:t>4</w:t>
      </w:r>
      <w:r>
        <w:rPr>
          <w:rFonts w:hint="eastAsia" w:cs="Arial" w:asciiTheme="minorEastAsia" w:hAnsiTheme="minorEastAsia" w:eastAsiaTheme="minorEastAsia"/>
          <w:color w:val="auto"/>
          <w:sz w:val="24"/>
          <w:highlight w:val="none"/>
        </w:rPr>
        <w:t>年</w:t>
      </w:r>
      <w:r>
        <w:rPr>
          <w:rFonts w:hint="eastAsia" w:cs="Arial" w:asciiTheme="minorEastAsia" w:hAnsiTheme="minorEastAsia" w:eastAsiaTheme="minorEastAsia"/>
          <w:color w:val="auto"/>
          <w:sz w:val="24"/>
          <w:highlight w:val="none"/>
          <w:lang w:eastAsia="zh-CN"/>
        </w:rPr>
        <w:t>8月15日</w:t>
      </w:r>
      <w:r>
        <w:rPr>
          <w:rFonts w:hint="eastAsia" w:cs="Arial" w:asciiTheme="minorEastAsia" w:hAnsiTheme="minorEastAsia" w:eastAsiaTheme="minorEastAsia"/>
          <w:color w:val="auto"/>
          <w:sz w:val="24"/>
          <w:highlight w:val="none"/>
        </w:rPr>
        <w:t>9时00分，地点为三门县公共资源交易中心交易大厅（具体开标室见四楼LED屏幕）。</w:t>
      </w:r>
    </w:p>
    <w:p>
      <w:pPr>
        <w:snapToGrid w:val="0"/>
        <w:spacing w:line="276" w:lineRule="auto"/>
        <w:ind w:firstLine="480" w:firstLineChars="200"/>
        <w:rPr>
          <w:rFonts w:ascii="仿宋_GB2312" w:hAnsi="仿宋_GB2312" w:eastAsia="仿宋_GB2312" w:cs="仿宋_GB2312"/>
          <w:bCs/>
          <w:color w:val="auto"/>
          <w:kern w:val="0"/>
          <w:sz w:val="24"/>
          <w:highlight w:val="none"/>
        </w:rPr>
      </w:pPr>
      <w:r>
        <w:rPr>
          <w:rFonts w:hint="eastAsia" w:cs="Arial" w:asciiTheme="minorEastAsia" w:hAnsiTheme="minorEastAsia" w:eastAsiaTheme="minorEastAsia"/>
          <w:color w:val="auto"/>
          <w:sz w:val="24"/>
          <w:highlight w:val="none"/>
        </w:rPr>
        <w:t>2．逾期送达的或者未送达指定地点的投标文件，招标人不予受理。</w:t>
      </w:r>
    </w:p>
    <w:p>
      <w:pPr>
        <w:tabs>
          <w:tab w:val="left" w:pos="180"/>
          <w:tab w:val="left" w:pos="360"/>
          <w:tab w:val="left" w:pos="540"/>
          <w:tab w:val="left" w:pos="8280"/>
        </w:tabs>
        <w:autoSpaceDE w:val="0"/>
        <w:autoSpaceDN w:val="0"/>
        <w:adjustRightInd w:val="0"/>
        <w:spacing w:before="100" w:line="276"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六、投标保证金：</w:t>
      </w:r>
    </w:p>
    <w:p>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w:t>
      </w:r>
      <w:r>
        <w:rPr>
          <w:rFonts w:hint="eastAsia" w:cs="Arial" w:asciiTheme="minorEastAsia" w:hAnsiTheme="minorEastAsia" w:eastAsiaTheme="minorEastAsia"/>
          <w:color w:val="auto"/>
          <w:sz w:val="24"/>
          <w:highlight w:val="none"/>
          <w:u w:val="single"/>
        </w:rPr>
        <w:t>壹万元</w:t>
      </w:r>
      <w:r>
        <w:rPr>
          <w:rFonts w:hint="eastAsia" w:cs="Arial" w:asciiTheme="minorEastAsia" w:hAnsiTheme="minorEastAsia" w:eastAsiaTheme="minorEastAsia"/>
          <w:color w:val="auto"/>
          <w:sz w:val="24"/>
          <w:highlight w:val="none"/>
        </w:rPr>
        <w:t>。</w:t>
      </w:r>
    </w:p>
    <w:p>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2、投标保证金缴纳方式：采用现金方式，须单独密封并标注公司名称，与投标文件一并提交否则概不接收。</w:t>
      </w:r>
    </w:p>
    <w:p>
      <w:pPr>
        <w:snapToGrid w:val="0"/>
        <w:spacing w:line="276" w:lineRule="auto"/>
        <w:ind w:firstLine="482" w:firstLineChars="200"/>
        <w:rPr>
          <w:rFonts w:ascii="宋体" w:hAnsi="宋体" w:cs="Arial"/>
          <w:color w:val="auto"/>
          <w:sz w:val="24"/>
          <w:highlight w:val="none"/>
        </w:rPr>
      </w:pPr>
      <w:r>
        <w:rPr>
          <w:rFonts w:cs="Arial" w:asciiTheme="minorEastAsia" w:hAnsiTheme="minorEastAsia" w:eastAsiaTheme="minorEastAsia"/>
          <w:b/>
          <w:bCs/>
          <w:color w:val="auto"/>
          <w:sz w:val="24"/>
          <w:highlight w:val="none"/>
        </w:rPr>
        <w:t>七、</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投标人认为招标文件使自己的权益受到损害的，可以在招标公告发布之日起3日内，以书面形式一次性向招标人和招标代理机构提出质疑。否则，被质疑人不予接受。质疑投标人对招标人、招标代理机构的答复不满意或者招标人、招标代理机构未在3日内作出答复的，可以在答复期满后5日内向监督管理部门投诉。（如遇法定节假日或休息日,则顺延至其后的第1个工作日）。</w:t>
      </w:r>
    </w:p>
    <w:p>
      <w:pPr>
        <w:tabs>
          <w:tab w:val="left" w:pos="180"/>
          <w:tab w:val="left" w:pos="360"/>
          <w:tab w:val="left" w:pos="540"/>
          <w:tab w:val="left" w:pos="8280"/>
        </w:tabs>
        <w:autoSpaceDE w:val="0"/>
        <w:autoSpaceDN w:val="0"/>
        <w:adjustRightInd w:val="0"/>
        <w:spacing w:before="100" w:line="276"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八、公告发布网址：</w:t>
      </w:r>
    </w:p>
    <w:p>
      <w:pPr>
        <w:pStyle w:val="20"/>
        <w:shd w:val="clear" w:color="auto" w:fill="FFFFFF"/>
        <w:spacing w:before="105" w:beforeAutospacing="0" w:after="0" w:afterAutospacing="0" w:line="360" w:lineRule="atLeast"/>
        <w:ind w:right="30" w:firstLine="480"/>
        <w:rPr>
          <w:rFonts w:hint="default" w:cs="宋体"/>
          <w:color w:val="auto"/>
          <w:highlight w:val="none"/>
        </w:rPr>
      </w:pPr>
      <w:r>
        <w:rPr>
          <w:rFonts w:cs="宋体"/>
          <w:color w:val="auto"/>
          <w:highlight w:val="none"/>
        </w:rPr>
        <w:t>三门县公共资源交易中心（</w:t>
      </w:r>
      <w:r>
        <w:rPr>
          <w:rFonts w:cs="宋体"/>
          <w:b/>
          <w:bCs/>
          <w:color w:val="auto"/>
          <w:szCs w:val="21"/>
          <w:highlight w:val="none"/>
        </w:rPr>
        <w:t>http://www.sanmen.gov.cn/col/col1229610743/index.html</w:t>
      </w:r>
      <w:r>
        <w:rPr>
          <w:rFonts w:cs="宋体"/>
          <w:color w:val="auto"/>
          <w:highlight w:val="none"/>
        </w:rPr>
        <w:t>）。</w:t>
      </w:r>
    </w:p>
    <w:p>
      <w:pPr>
        <w:spacing w:line="360" w:lineRule="auto"/>
        <w:ind w:firstLine="590" w:firstLineChars="24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九、联系方式：</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招标代理</w:t>
      </w:r>
      <w:r>
        <w:rPr>
          <w:rFonts w:cs="Arial" w:asciiTheme="minorEastAsia" w:hAnsiTheme="minorEastAsia" w:eastAsiaTheme="minorEastAsia"/>
          <w:color w:val="auto"/>
          <w:sz w:val="24"/>
          <w:highlight w:val="none"/>
        </w:rPr>
        <w:t>名称：欧邦工程管理集团有限公司</w:t>
      </w:r>
    </w:p>
    <w:p>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项目联系人：包巧玲</w:t>
      </w:r>
    </w:p>
    <w:p>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联系电话：</w:t>
      </w:r>
      <w:r>
        <w:rPr>
          <w:rFonts w:cs="Arial" w:asciiTheme="minorEastAsia" w:hAnsiTheme="minorEastAsia" w:eastAsiaTheme="minorEastAsia"/>
          <w:color w:val="auto"/>
          <w:sz w:val="24"/>
          <w:highlight w:val="none"/>
        </w:rPr>
        <w:t>0576-83321522</w:t>
      </w:r>
    </w:p>
    <w:p>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（受理招标文件相关质疑及答复） </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rPr>
        <w:t>三门县教育局</w:t>
      </w:r>
    </w:p>
    <w:p>
      <w:pPr>
        <w:snapToGrid w:val="0"/>
        <w:spacing w:line="360" w:lineRule="auto"/>
        <w:ind w:firstLine="600" w:firstLineChars="250"/>
        <w:rPr>
          <w:rFonts w:hint="eastAsia" w:ascii="宋体" w:hAnsi="宋体" w:cs="宋体"/>
          <w:color w:val="auto"/>
          <w:kern w:val="0"/>
          <w:sz w:val="24"/>
          <w:highlight w:val="none"/>
        </w:rPr>
      </w:pPr>
      <w:r>
        <w:rPr>
          <w:rFonts w:cs="Arial" w:asciiTheme="minorEastAsia" w:hAnsiTheme="minorEastAsia" w:eastAsiaTheme="minorEastAsia"/>
          <w:color w:val="auto"/>
          <w:sz w:val="24"/>
          <w:highlight w:val="none"/>
        </w:rPr>
        <w:t>联系人：杨斌</w:t>
      </w:r>
      <w:r>
        <w:rPr>
          <w:rFonts w:hint="eastAsia" w:cs="Arial" w:asciiTheme="minorEastAsia" w:hAnsiTheme="minorEastAsia" w:eastAsiaTheme="minorEastAsia"/>
          <w:color w:val="auto"/>
          <w:sz w:val="24"/>
          <w:highlight w:val="none"/>
        </w:rPr>
        <w:t xml:space="preserve">     联系电话：</w:t>
      </w:r>
      <w:r>
        <w:rPr>
          <w:rFonts w:ascii="宋体" w:hAnsi="宋体" w:cs="宋体"/>
          <w:color w:val="auto"/>
          <w:kern w:val="0"/>
          <w:sz w:val="24"/>
          <w:highlight w:val="none"/>
        </w:rPr>
        <w:t>13819691019</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（三）上级主管部门</w:t>
      </w:r>
    </w:p>
    <w:p>
      <w:pPr>
        <w:snapToGrid w:val="0"/>
        <w:spacing w:line="360" w:lineRule="auto"/>
        <w:ind w:firstLine="600" w:firstLineChars="25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名称：三门县教育局</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联系人：林相</w:t>
      </w:r>
      <w:r>
        <w:rPr>
          <w:rFonts w:hint="eastAsia" w:cs="Arial" w:asciiTheme="minorEastAsia" w:hAnsiTheme="minorEastAsia" w:eastAsiaTheme="minorEastAsia"/>
          <w:color w:val="auto"/>
          <w:sz w:val="24"/>
          <w:highlight w:val="none"/>
        </w:rPr>
        <w:t xml:space="preserve">      联系电话：13819631799</w:t>
      </w:r>
    </w:p>
    <w:p>
      <w:pPr>
        <w:pStyle w:val="29"/>
        <w:rPr>
          <w:rFonts w:hint="eastAsia"/>
          <w:color w:val="auto"/>
          <w:highlight w:val="none"/>
        </w:rPr>
      </w:pPr>
    </w:p>
    <w:p>
      <w:pPr>
        <w:pStyle w:val="11"/>
        <w:rPr>
          <w:color w:val="auto"/>
          <w:highlight w:val="none"/>
        </w:rPr>
      </w:pPr>
    </w:p>
    <w:p>
      <w:pPr>
        <w:snapToGrid w:val="0"/>
        <w:spacing w:line="360" w:lineRule="auto"/>
        <w:ind w:firstLine="600" w:firstLineChars="250"/>
        <w:jc w:val="righ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三门县教育局</w:t>
      </w:r>
    </w:p>
    <w:p>
      <w:pPr>
        <w:snapToGrid w:val="0"/>
        <w:spacing w:line="360" w:lineRule="auto"/>
        <w:ind w:firstLine="600" w:firstLineChars="250"/>
        <w:jc w:val="right"/>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欧邦工程管理集团有限公司</w:t>
      </w:r>
    </w:p>
    <w:p>
      <w:pPr>
        <w:snapToGrid w:val="0"/>
        <w:spacing w:line="360" w:lineRule="auto"/>
        <w:ind w:firstLine="600" w:firstLineChars="250"/>
        <w:jc w:val="righ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三门县教育局</w:t>
      </w:r>
    </w:p>
    <w:p>
      <w:pPr>
        <w:snapToGrid w:val="0"/>
        <w:spacing w:line="360" w:lineRule="auto"/>
        <w:ind w:firstLine="600" w:firstLineChars="250"/>
        <w:jc w:val="righ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w:t>
      </w:r>
      <w:r>
        <w:rPr>
          <w:rFonts w:cs="Arial" w:asciiTheme="minorEastAsia" w:hAnsiTheme="minorEastAsia" w:eastAsiaTheme="minorEastAsia"/>
          <w:color w:val="auto"/>
          <w:sz w:val="24"/>
          <w:highlight w:val="none"/>
        </w:rPr>
        <w:t>02</w:t>
      </w:r>
      <w:r>
        <w:rPr>
          <w:rFonts w:hint="eastAsia" w:cs="Arial" w:asciiTheme="minorEastAsia" w:hAnsiTheme="minorEastAsia" w:eastAsiaTheme="minorEastAsia"/>
          <w:color w:val="auto"/>
          <w:sz w:val="24"/>
          <w:highlight w:val="none"/>
          <w:lang w:val="en-US" w:eastAsia="zh-CN"/>
        </w:rPr>
        <w:t>4</w:t>
      </w:r>
      <w:r>
        <w:rPr>
          <w:rFonts w:hint="eastAsia" w:cs="Arial" w:asciiTheme="minorEastAsia" w:hAnsiTheme="minorEastAsia" w:eastAsiaTheme="minorEastAsia"/>
          <w:color w:val="auto"/>
          <w:sz w:val="24"/>
          <w:highlight w:val="none"/>
        </w:rPr>
        <w:t>年7月</w:t>
      </w:r>
      <w:r>
        <w:rPr>
          <w:rFonts w:hint="eastAsia" w:cs="Arial" w:asciiTheme="minorEastAsia" w:hAnsiTheme="minorEastAsia" w:eastAsiaTheme="minorEastAsia"/>
          <w:color w:val="auto"/>
          <w:sz w:val="24"/>
          <w:highlight w:val="none"/>
          <w:lang w:val="en-US" w:eastAsia="zh-CN"/>
        </w:rPr>
        <w:t>24</w:t>
      </w:r>
      <w:r>
        <w:rPr>
          <w:rFonts w:hint="eastAsia" w:cs="Arial" w:asciiTheme="minorEastAsia" w:hAnsiTheme="minorEastAsia" w:eastAsiaTheme="minorEastAsia"/>
          <w:color w:val="auto"/>
          <w:sz w:val="24"/>
          <w:highlight w:val="none"/>
        </w:rPr>
        <w:t>日</w:t>
      </w:r>
    </w:p>
    <w:p>
      <w:pPr>
        <w:snapToGrid w:val="0"/>
        <w:spacing w:line="360" w:lineRule="auto"/>
        <w:ind w:firstLine="600" w:firstLineChars="250"/>
        <w:jc w:val="right"/>
        <w:rPr>
          <w:rFonts w:cs="Arial" w:asciiTheme="minorEastAsia" w:hAnsiTheme="minorEastAsia" w:eastAsiaTheme="minorEastAsia"/>
          <w:color w:val="auto"/>
          <w:sz w:val="24"/>
          <w:highlight w:val="none"/>
        </w:rPr>
      </w:pPr>
      <w:bookmarkStart w:id="1" w:name="_Toc77876200"/>
      <w:r>
        <w:rPr>
          <w:rFonts w:cs="Arial" w:asciiTheme="minorEastAsia" w:hAnsiTheme="minorEastAsia" w:eastAsiaTheme="minorEastAsia"/>
          <w:color w:val="auto"/>
          <w:sz w:val="24"/>
          <w:highlight w:val="none"/>
        </w:rPr>
        <w:br w:type="page"/>
      </w:r>
    </w:p>
    <w:p>
      <w:pPr>
        <w:pStyle w:val="2"/>
        <w:spacing w:before="0" w:after="0" w:line="360" w:lineRule="auto"/>
        <w:jc w:val="center"/>
        <w:rPr>
          <w:color w:val="auto"/>
          <w:sz w:val="30"/>
          <w:szCs w:val="30"/>
          <w:highlight w:val="none"/>
        </w:rPr>
      </w:pPr>
      <w:r>
        <w:rPr>
          <w:rFonts w:hint="eastAsia"/>
          <w:color w:val="auto"/>
          <w:sz w:val="30"/>
          <w:szCs w:val="30"/>
          <w:highlight w:val="none"/>
        </w:rPr>
        <w:t>第二章投标人须知</w:t>
      </w:r>
      <w:bookmarkEnd w:id="1"/>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3"/>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cs="Arial" w:asciiTheme="minorEastAsia" w:hAnsiTheme="minorEastAsia" w:eastAsiaTheme="minorEastAsia"/>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color w:val="auto"/>
                <w:spacing w:val="-3"/>
                <w:sz w:val="24"/>
                <w:highlight w:val="none"/>
              </w:rPr>
              <w:t>资格证明文件共</w:t>
            </w:r>
            <w:r>
              <w:rPr>
                <w:color w:val="auto"/>
                <w:sz w:val="24"/>
                <w:highlight w:val="none"/>
                <w:u w:val="single" w:color="000000"/>
              </w:rPr>
              <w:t>5</w:t>
            </w:r>
            <w:r>
              <w:rPr>
                <w:rFonts w:hint="eastAsia"/>
                <w:color w:val="auto"/>
                <w:spacing w:val="5"/>
                <w:sz w:val="24"/>
                <w:highlight w:val="none"/>
              </w:rPr>
              <w:t>份</w:t>
            </w:r>
            <w:r>
              <w:rPr>
                <w:rFonts w:hint="eastAsia"/>
                <w:color w:val="auto"/>
                <w:spacing w:val="-3"/>
                <w:sz w:val="24"/>
                <w:highlight w:val="none"/>
              </w:rPr>
              <w:t>（1正本4副本，封装成一袋</w:t>
            </w:r>
            <w:r>
              <w:rPr>
                <w:rFonts w:hint="eastAsia"/>
                <w:color w:val="auto"/>
                <w:sz w:val="24"/>
                <w:highlight w:val="none"/>
              </w:rPr>
              <w:t>），</w:t>
            </w:r>
            <w:r>
              <w:rPr>
                <w:rFonts w:hint="eastAsia"/>
                <w:color w:val="auto"/>
                <w:spacing w:val="-3"/>
                <w:sz w:val="24"/>
                <w:highlight w:val="none"/>
              </w:rPr>
              <w:t>商务与技术文件共</w:t>
            </w:r>
            <w:r>
              <w:rPr>
                <w:color w:val="auto"/>
                <w:sz w:val="24"/>
                <w:highlight w:val="none"/>
                <w:u w:val="single" w:color="000000"/>
              </w:rPr>
              <w:t>5</w:t>
            </w:r>
            <w:r>
              <w:rPr>
                <w:rFonts w:hint="eastAsia"/>
                <w:color w:val="auto"/>
                <w:spacing w:val="-8"/>
                <w:sz w:val="24"/>
                <w:highlight w:val="none"/>
              </w:rPr>
              <w:t>份</w:t>
            </w:r>
            <w:r>
              <w:rPr>
                <w:rFonts w:hint="eastAsia"/>
                <w:color w:val="auto"/>
                <w:sz w:val="24"/>
                <w:highlight w:val="none"/>
              </w:rPr>
              <w:t>（</w:t>
            </w:r>
            <w:r>
              <w:rPr>
                <w:rFonts w:hint="eastAsia"/>
                <w:color w:val="auto"/>
                <w:spacing w:val="-6"/>
                <w:sz w:val="24"/>
                <w:highlight w:val="none"/>
              </w:rPr>
              <w:t>1正本4副本，封装成一袋</w:t>
            </w:r>
            <w:r>
              <w:rPr>
                <w:rFonts w:hint="eastAsia"/>
                <w:color w:val="auto"/>
                <w:spacing w:val="-2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w:t>
            </w:r>
            <w:r>
              <w:rPr>
                <w:rFonts w:hint="eastAsia" w:asciiTheme="majorEastAsia" w:hAnsiTheme="majorEastAsia" w:eastAsiaTheme="majorEastAsia" w:cstheme="majorEastAsia"/>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时间：202</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lang w:eastAsia="zh-CN"/>
              </w:rPr>
              <w:t>8月15日</w:t>
            </w:r>
            <w:r>
              <w:rPr>
                <w:rFonts w:hint="eastAsia" w:asciiTheme="majorEastAsia" w:hAnsiTheme="majorEastAsia" w:eastAsiaTheme="majorEastAsia" w:cstheme="majorEastAsia"/>
                <w:color w:val="auto"/>
                <w:sz w:val="24"/>
                <w:highlight w:val="none"/>
              </w:rPr>
              <w:t>9:</w:t>
            </w:r>
            <w:r>
              <w:rPr>
                <w:rFonts w:asciiTheme="majorEastAsia" w:hAnsiTheme="majorEastAsia" w:eastAsiaTheme="majorEastAsia" w:cstheme="majorEastAsia"/>
                <w:color w:val="auto"/>
                <w:sz w:val="24"/>
                <w:highlight w:val="none"/>
              </w:rPr>
              <w:t>00</w:t>
            </w:r>
            <w:r>
              <w:rPr>
                <w:rFonts w:hint="eastAsia" w:asciiTheme="majorEastAsia" w:hAnsiTheme="majorEastAsia" w:eastAsiaTheme="majorEastAsia" w:cstheme="majorEastAsia"/>
                <w:color w:val="auto"/>
                <w:sz w:val="24"/>
                <w:highlight w:val="none"/>
              </w:rPr>
              <w:t>时（北京时间）</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地点：三门县公共资源交易中心（具体开标室见四楼LED屏幕）</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递交投标文件及出席开标会议要求：</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法定代表人（或营业执照中明确的负责人）或委托代理人（必须出具本工程授权委托书原件，参考格式见附件）和本人有效身份证原件参加开标会议，再签名报到，以证明其出席开标会议。以上人员未能参加开标会议的，投标文件</w:t>
            </w:r>
            <w:r>
              <w:rPr>
                <w:rFonts w:hint="eastAsia" w:asciiTheme="majorEastAsia" w:hAnsiTheme="majorEastAsia" w:eastAsiaTheme="majorEastAsia" w:cstheme="majorEastAsia"/>
                <w:color w:val="auto"/>
                <w:sz w:val="24"/>
                <w:highlight w:val="none"/>
                <w:lang w:eastAsia="zh-CN"/>
              </w:rPr>
              <w:t>予以拒收</w:t>
            </w:r>
            <w:r>
              <w:rPr>
                <w:rFonts w:hint="eastAsia" w:asciiTheme="majorEastAsia" w:hAnsiTheme="majorEastAsia" w:eastAsiaTheme="majorEastAsia" w:cstheme="maj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时间：202</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lang w:eastAsia="zh-CN"/>
              </w:rPr>
              <w:t>8月15日</w:t>
            </w:r>
            <w:r>
              <w:rPr>
                <w:rFonts w:hint="eastAsia" w:asciiTheme="majorEastAsia" w:hAnsiTheme="majorEastAsia" w:eastAsiaTheme="majorEastAsia" w:cstheme="majorEastAsia"/>
                <w:color w:val="auto"/>
                <w:sz w:val="24"/>
                <w:highlight w:val="none"/>
              </w:rPr>
              <w:t>9:</w:t>
            </w:r>
            <w:r>
              <w:rPr>
                <w:rFonts w:asciiTheme="majorEastAsia" w:hAnsiTheme="majorEastAsia" w:eastAsiaTheme="majorEastAsia" w:cstheme="majorEastAsia"/>
                <w:color w:val="auto"/>
                <w:sz w:val="24"/>
                <w:highlight w:val="none"/>
              </w:rPr>
              <w:t>00</w:t>
            </w:r>
            <w:r>
              <w:rPr>
                <w:rFonts w:hint="eastAsia" w:asciiTheme="majorEastAsia" w:hAnsiTheme="majorEastAsia" w:eastAsiaTheme="majorEastAsia" w:cstheme="majorEastAsia"/>
                <w:color w:val="auto"/>
                <w:sz w:val="24"/>
                <w:highlight w:val="none"/>
              </w:rPr>
              <w:t>时（北京时间）</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地点：三门县公共资源交易中心（具体开标室见四楼LED屏幕）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投标保证金</w:t>
            </w:r>
          </w:p>
        </w:tc>
        <w:tc>
          <w:tcPr>
            <w:tcW w:w="620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w:t>
            </w:r>
            <w:r>
              <w:rPr>
                <w:rFonts w:hint="eastAsia" w:cs="Arial" w:asciiTheme="minorEastAsia" w:hAnsiTheme="minorEastAsia" w:eastAsiaTheme="minorEastAsia"/>
                <w:color w:val="auto"/>
                <w:sz w:val="24"/>
                <w:highlight w:val="none"/>
                <w:u w:val="single"/>
              </w:rPr>
              <w:t>壹万元</w:t>
            </w:r>
            <w:r>
              <w:rPr>
                <w:rFonts w:hint="eastAsia" w:cs="Arial" w:asciiTheme="minorEastAsia" w:hAnsiTheme="minorEastAsia" w:eastAsiaTheme="minorEastAsia"/>
                <w:color w:val="auto"/>
                <w:sz w:val="24"/>
                <w:highlight w:val="none"/>
              </w:rPr>
              <w:t>。</w:t>
            </w:r>
          </w:p>
          <w:p>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2、投标保证金缴纳方式：采用现金方式，须单独密封并标注公司名称，与投标文件一并提交否则概不接收。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left="0" w:leftChars="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left="0" w:leftChars="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asciiTheme="majorEastAsia" w:hAnsiTheme="majorEastAsia" w:eastAsiaTheme="majorEastAsia" w:cstheme="majorEastAsia"/>
                <w:color w:val="auto"/>
                <w:sz w:val="24"/>
                <w:highlight w:val="none"/>
              </w:rPr>
              <w:t>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开标程序</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直接开资格证明文件和商务与技术文件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本招标文件解释权属于采购人和</w:t>
            </w:r>
            <w:r>
              <w:rPr>
                <w:rFonts w:hint="eastAsia" w:cs="Arial" w:asciiTheme="minorEastAsia" w:hAnsiTheme="minorEastAsia" w:eastAsiaTheme="minorEastAsia"/>
                <w:color w:val="auto"/>
                <w:sz w:val="24"/>
                <w:highlight w:val="none"/>
              </w:rPr>
              <w:t>采购代理机构</w:t>
            </w:r>
          </w:p>
        </w:tc>
      </w:tr>
    </w:tbl>
    <w:p>
      <w:pPr>
        <w:pStyle w:val="14"/>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pPr>
        <w:pStyle w:val="14"/>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pPr>
        <w:snapToGrid w:val="0"/>
        <w:spacing w:line="360" w:lineRule="auto"/>
        <w:ind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w:t>
      </w:r>
      <w:r>
        <w:rPr>
          <w:rFonts w:asciiTheme="minorEastAsia" w:hAnsiTheme="minorEastAsia" w:eastAsiaTheme="minorEastAsia"/>
          <w:b/>
          <w:bCs/>
          <w:color w:val="auto"/>
          <w:sz w:val="24"/>
          <w:highlight w:val="none"/>
        </w:rPr>
        <w:t>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line="360" w:lineRule="auto"/>
        <w:ind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（二）定义</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2、采购人：三门县教育局</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采购组织机构</w:t>
      </w:r>
      <w:r>
        <w:rPr>
          <w:rFonts w:asciiTheme="minorEastAsia" w:hAnsiTheme="minorEastAsia" w:eastAsiaTheme="minorEastAsia"/>
          <w:color w:val="auto"/>
          <w:sz w:val="24"/>
          <w:highlight w:val="none"/>
        </w:rPr>
        <w:t>提交投标文件的单位或个人。</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是指除货物和工程以外的采购对象，包括各类专业服务、信息网络开发服务、金融保险服务、运输服务，以及维修与维护服务等。</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pPr>
        <w:snapToGrid w:val="0"/>
        <w:spacing w:line="360" w:lineRule="auto"/>
        <w:ind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（三）投标费用</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pPr>
        <w:pStyle w:val="14"/>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4"/>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w:t>
      </w:r>
      <w:r>
        <w:rPr>
          <w:rFonts w:hint="eastAsia" w:asciiTheme="minorEastAsia" w:hAnsiTheme="minorEastAsia" w:eastAsiaTheme="minorEastAsia" w:cstheme="minorBidi"/>
          <w:color w:val="auto"/>
          <w:sz w:val="24"/>
          <w:szCs w:val="24"/>
          <w:highlight w:val="none"/>
        </w:rPr>
        <w:t>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asciiTheme="minorEastAsia" w:hAnsiTheme="minorEastAsia" w:eastAsiaTheme="minorEastAsia" w:cstheme="minorBidi"/>
          <w:color w:val="auto"/>
          <w:sz w:val="24"/>
          <w:szCs w:val="24"/>
          <w:highlight w:val="none"/>
        </w:rPr>
        <w:t>5</w:t>
      </w:r>
      <w:r>
        <w:rPr>
          <w:rFonts w:hint="eastAsia" w:asciiTheme="minorEastAsia" w:hAnsiTheme="minorEastAsia" w:eastAsiaTheme="minorEastAsia" w:cstheme="minorBidi"/>
          <w:color w:val="auto"/>
          <w:sz w:val="24"/>
          <w:szCs w:val="24"/>
          <w:highlight w:val="none"/>
        </w:rPr>
        <w:t>、投标文件格式中的表格式样可以根据项目差别做适当调整,但应当保持表格样式基本形态不变。</w:t>
      </w:r>
    </w:p>
    <w:p>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asciiTheme="minorEastAsia" w:hAnsiTheme="minorEastAsia" w:eastAsiaTheme="minorEastAsia" w:cstheme="minorBidi"/>
          <w:color w:val="auto"/>
          <w:sz w:val="24"/>
          <w:szCs w:val="24"/>
          <w:highlight w:val="none"/>
        </w:rPr>
        <w:t>6</w:t>
      </w:r>
      <w:r>
        <w:rPr>
          <w:rFonts w:hint="eastAsia" w:asciiTheme="minorEastAsia" w:hAnsiTheme="minorEastAsia" w:eastAsiaTheme="minorEastAsia" w:cstheme="minorBidi"/>
          <w:color w:val="auto"/>
          <w:sz w:val="24"/>
          <w:szCs w:val="24"/>
          <w:highlight w:val="none"/>
        </w:rPr>
        <w:t>、单位负责人为同一人或者存在直接控股、管理关系的不同供应商，不得参加同一合同项下的采购活动。</w:t>
      </w:r>
    </w:p>
    <w:p>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asciiTheme="minorEastAsia" w:hAnsiTheme="minorEastAsia" w:eastAsiaTheme="minorEastAsia" w:cstheme="minorBidi"/>
          <w:color w:val="auto"/>
          <w:sz w:val="24"/>
          <w:szCs w:val="24"/>
          <w:highlight w:val="none"/>
        </w:rPr>
        <w:t>7</w:t>
      </w:r>
      <w:r>
        <w:rPr>
          <w:rFonts w:hint="eastAsia" w:asciiTheme="minorEastAsia" w:hAnsiTheme="minorEastAsia" w:eastAsiaTheme="minorEastAsia" w:cstheme="minorBidi"/>
          <w:color w:val="auto"/>
          <w:sz w:val="24"/>
          <w:szCs w:val="24"/>
          <w:highlight w:val="none"/>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pPr>
        <w:autoSpaceDE w:val="0"/>
        <w:autoSpaceDN w:val="0"/>
        <w:adjustRightInd w:val="0"/>
        <w:spacing w:line="360" w:lineRule="auto"/>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pPr>
        <w:pStyle w:val="51"/>
        <w:spacing w:line="360" w:lineRule="auto"/>
        <w:ind w:firstLine="0" w:firstLineChars="0"/>
        <w:rPr>
          <w:b/>
          <w:bCs/>
          <w:color w:val="auto"/>
          <w:sz w:val="24"/>
          <w:szCs w:val="24"/>
          <w:highlight w:val="none"/>
        </w:rPr>
      </w:pPr>
      <w:r>
        <w:rPr>
          <w:rFonts w:hint="eastAsia"/>
          <w:b/>
          <w:bCs/>
          <w:color w:val="auto"/>
          <w:sz w:val="24"/>
          <w:szCs w:val="24"/>
          <w:highlight w:val="none"/>
        </w:rPr>
        <w:t>注：投标文件由资格证明文件、商务与技术文件组成。</w:t>
      </w:r>
    </w:p>
    <w:p>
      <w:pPr>
        <w:pStyle w:val="11"/>
        <w:kinsoku w:val="0"/>
        <w:overflowPunct w:val="0"/>
        <w:spacing w:before="161" w:line="360" w:lineRule="auto"/>
        <w:rPr>
          <w:b/>
          <w:bCs/>
          <w:color w:val="auto"/>
          <w:highlight w:val="none"/>
        </w:rPr>
      </w:pPr>
      <w:r>
        <w:rPr>
          <w:rFonts w:hint="eastAsia" w:ascii="黑体" w:eastAsia="黑体" w:cs="黑体"/>
          <w:b/>
          <w:bCs/>
          <w:color w:val="auto"/>
          <w:highlight w:val="none"/>
        </w:rPr>
        <w:t>▲</w:t>
      </w:r>
      <w:r>
        <w:rPr>
          <w:b/>
          <w:bCs/>
          <w:color w:val="auto"/>
          <w:highlight w:val="none"/>
        </w:rPr>
        <w:t>1</w:t>
      </w:r>
      <w:r>
        <w:rPr>
          <w:rFonts w:hint="eastAsia"/>
          <w:b/>
          <w:bCs/>
          <w:color w:val="auto"/>
          <w:highlight w:val="none"/>
        </w:rPr>
        <w:t>、资格证明文件的组成：</w:t>
      </w:r>
    </w:p>
    <w:p>
      <w:pPr>
        <w:pStyle w:val="9"/>
        <w:widowControl/>
        <w:adjustRightInd w:val="0"/>
        <w:snapToGrid w:val="0"/>
        <w:spacing w:line="360" w:lineRule="auto"/>
        <w:ind w:firstLine="0"/>
        <w:rPr>
          <w:rFonts w:hAnsi="宋体" w:cs="宋体"/>
          <w:color w:val="auto"/>
          <w:sz w:val="24"/>
          <w:highlight w:val="none"/>
          <w:lang w:val="zh-CN"/>
        </w:rPr>
      </w:pPr>
      <w:bookmarkStart w:id="2" w:name="_Toc37343518"/>
      <w:bookmarkStart w:id="3" w:name="_Toc37343332"/>
      <w:r>
        <w:rPr>
          <w:rFonts w:hint="eastAsia" w:hAnsi="宋体" w:cs="宋体"/>
          <w:color w:val="auto"/>
          <w:sz w:val="24"/>
          <w:highlight w:val="none"/>
          <w:lang w:val="zh-CN"/>
        </w:rPr>
        <w:t>（1）投标声明书（见附件一）；</w:t>
      </w:r>
      <w:bookmarkEnd w:id="2"/>
      <w:bookmarkEnd w:id="3"/>
    </w:p>
    <w:p>
      <w:pPr>
        <w:pStyle w:val="9"/>
        <w:widowControl/>
        <w:adjustRightInd w:val="0"/>
        <w:snapToGrid w:val="0"/>
        <w:spacing w:line="360" w:lineRule="auto"/>
        <w:ind w:firstLine="0"/>
        <w:rPr>
          <w:rFonts w:hAnsi="宋体" w:cs="宋体"/>
          <w:color w:val="auto"/>
          <w:sz w:val="24"/>
          <w:highlight w:val="none"/>
          <w:lang w:val="zh-CN"/>
        </w:rPr>
      </w:pPr>
      <w:bookmarkStart w:id="4" w:name="_Toc37343333"/>
      <w:bookmarkStart w:id="5" w:name="_Toc37343519"/>
      <w:r>
        <w:rPr>
          <w:rFonts w:hint="eastAsia" w:hAnsi="宋体" w:cs="宋体"/>
          <w:color w:val="auto"/>
          <w:sz w:val="24"/>
          <w:highlight w:val="none"/>
          <w:lang w:val="zh-CN"/>
        </w:rPr>
        <w:t>（2）授权委托书（法定代表人亲自办理投标事宜的，则无需提交)（见附件二）；</w:t>
      </w:r>
      <w:bookmarkEnd w:id="4"/>
      <w:bookmarkEnd w:id="5"/>
    </w:p>
    <w:p>
      <w:pPr>
        <w:pStyle w:val="9"/>
        <w:widowControl/>
        <w:adjustRightInd w:val="0"/>
        <w:snapToGrid w:val="0"/>
        <w:spacing w:line="360" w:lineRule="auto"/>
        <w:ind w:firstLine="0"/>
        <w:rPr>
          <w:rFonts w:hAnsi="宋体" w:cs="宋体"/>
          <w:color w:val="auto"/>
          <w:sz w:val="24"/>
          <w:highlight w:val="none"/>
          <w:lang w:val="zh-CN"/>
        </w:rPr>
      </w:pPr>
      <w:bookmarkStart w:id="6" w:name="_Toc37343520"/>
      <w:bookmarkStart w:id="7" w:name="_Toc37343334"/>
      <w:r>
        <w:rPr>
          <w:rFonts w:hint="eastAsia" w:hAnsi="宋体" w:cs="宋体"/>
          <w:color w:val="auto"/>
          <w:sz w:val="24"/>
          <w:highlight w:val="none"/>
          <w:lang w:val="zh-CN"/>
        </w:rPr>
        <w:t>（3）提供有效的营业执照复印件；如事业单位参加投标的，则提供有效的《事业单位法人证书》复印件；</w:t>
      </w:r>
      <w:bookmarkEnd w:id="6"/>
      <w:bookmarkEnd w:id="7"/>
    </w:p>
    <w:p>
      <w:pPr>
        <w:pStyle w:val="9"/>
        <w:widowControl/>
        <w:adjustRightInd w:val="0"/>
        <w:snapToGrid w:val="0"/>
        <w:spacing w:line="360" w:lineRule="auto"/>
        <w:ind w:firstLine="0"/>
        <w:rPr>
          <w:rFonts w:hAnsi="宋体" w:cs="宋体"/>
          <w:color w:val="auto"/>
          <w:sz w:val="24"/>
          <w:highlight w:val="none"/>
          <w:lang w:val="zh-CN"/>
        </w:rPr>
      </w:pPr>
      <w:r>
        <w:rPr>
          <w:rFonts w:hint="eastAsia" w:hAnsi="宋体" w:cs="宋体"/>
          <w:color w:val="auto"/>
          <w:sz w:val="24"/>
          <w:highlight w:val="none"/>
          <w:lang w:val="zh-CN"/>
        </w:rPr>
        <w:t>（</w:t>
      </w:r>
      <w:r>
        <w:rPr>
          <w:rFonts w:hint="eastAsia" w:hAnsi="宋体" w:cs="宋体"/>
          <w:color w:val="auto"/>
          <w:sz w:val="24"/>
          <w:highlight w:val="none"/>
        </w:rPr>
        <w:t>4</w:t>
      </w:r>
      <w:r>
        <w:rPr>
          <w:rFonts w:hint="eastAsia" w:hAnsi="宋体" w:cs="宋体"/>
          <w:color w:val="auto"/>
          <w:sz w:val="24"/>
          <w:highlight w:val="none"/>
          <w:lang w:val="zh-CN"/>
        </w:rPr>
        <w:t>）</w:t>
      </w:r>
      <w:r>
        <w:rPr>
          <w:rFonts w:hint="eastAsia" w:hAnsi="宋体" w:cs="宋体"/>
          <w:color w:val="auto"/>
          <w:sz w:val="24"/>
          <w:highlight w:val="none"/>
        </w:rPr>
        <w:t>符合参加招标活动应当具备的一般条件的承诺函（见附件三）；</w:t>
      </w:r>
    </w:p>
    <w:p>
      <w:pPr>
        <w:pStyle w:val="14"/>
        <w:spacing w:line="360" w:lineRule="auto"/>
        <w:rPr>
          <w:rFonts w:hAnsi="宋体" w:cs="宋体"/>
          <w:color w:val="auto"/>
          <w:sz w:val="24"/>
          <w:highlight w:val="none"/>
        </w:rPr>
      </w:pPr>
      <w:r>
        <w:rPr>
          <w:rFonts w:hint="eastAsia" w:hAnsi="宋体" w:cs="宋体"/>
          <w:color w:val="auto"/>
          <w:kern w:val="21"/>
          <w:sz w:val="24"/>
          <w:highlight w:val="none"/>
        </w:rPr>
        <w:t>（5）</w:t>
      </w:r>
      <w:r>
        <w:rPr>
          <w:rFonts w:hint="eastAsia" w:hAnsi="宋体" w:cs="宋体"/>
          <w:color w:val="auto"/>
          <w:sz w:val="24"/>
          <w:highlight w:val="none"/>
        </w:rPr>
        <w:t>提供公告中符合供应商特定条件的有效资质证书复印件（特定条件中有要</w:t>
      </w:r>
    </w:p>
    <w:p>
      <w:pPr>
        <w:pStyle w:val="14"/>
        <w:spacing w:line="360" w:lineRule="auto"/>
        <w:rPr>
          <w:rFonts w:ascii="Times New Roman" w:hAnsi="Times New Roman"/>
          <w:color w:val="auto"/>
          <w:sz w:val="24"/>
          <w:highlight w:val="none"/>
        </w:rPr>
      </w:pPr>
      <w:r>
        <w:rPr>
          <w:rFonts w:hint="eastAsia" w:hAnsi="宋体" w:cs="宋体"/>
          <w:color w:val="auto"/>
          <w:sz w:val="24"/>
          <w:highlight w:val="none"/>
        </w:rPr>
        <w:t>求的必须提供）</w:t>
      </w:r>
      <w:r>
        <w:rPr>
          <w:rFonts w:hint="eastAsia" w:hAnsi="宋体" w:cs="宋体"/>
          <w:b/>
          <w:bCs/>
          <w:color w:val="auto"/>
          <w:sz w:val="24"/>
          <w:highlight w:val="none"/>
        </w:rPr>
        <w:t>，</w:t>
      </w:r>
      <w:r>
        <w:rPr>
          <w:rFonts w:hint="eastAsia" w:hAnsi="宋体" w:cs="宋体"/>
          <w:color w:val="auto"/>
          <w:sz w:val="24"/>
          <w:highlight w:val="none"/>
        </w:rPr>
        <w:t>以及需要说明的其他资料。</w:t>
      </w:r>
    </w:p>
    <w:p>
      <w:pPr>
        <w:snapToGrid w:val="0"/>
        <w:spacing w:line="360" w:lineRule="auto"/>
        <w:rPr>
          <w:rFonts w:ascii="宋体" w:hAnsi="宋体"/>
          <w:b/>
          <w:color w:val="auto"/>
          <w:sz w:val="24"/>
          <w:highlight w:val="none"/>
        </w:rPr>
      </w:pPr>
      <w:r>
        <w:rPr>
          <w:rFonts w:hint="eastAsia" w:ascii="宋体" w:hAnsi="宋体"/>
          <w:b/>
          <w:color w:val="auto"/>
          <w:sz w:val="24"/>
          <w:highlight w:val="none"/>
        </w:rPr>
        <w:t>2、商务与技术文件的组成：</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（1）投标人情况介绍（人员与技术力量、企业规模、经营业绩等，格式自拟） ；</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（2）类似项目业绩一览表（如有，见附件五） ；</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（3）商务响应表（见附件六）；</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（4）项目实施人员一览表（见附件七）；</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5</w:t>
      </w:r>
      <w:r>
        <w:rPr>
          <w:rFonts w:hint="eastAsia" w:ascii="宋体" w:hAnsi="宋体"/>
          <w:color w:val="auto"/>
          <w:sz w:val="24"/>
          <w:szCs w:val="20"/>
          <w:highlight w:val="none"/>
        </w:rPr>
        <w:t>）技术响应表 （见附件八） ；</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（6）技术部分资料（含工作方案、售后服务、服务承诺、服务响应、理赔时效、服务质量管控、合理化建议、保密措施等评标细则要求提交的相关资料）；</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7</w:t>
      </w:r>
      <w:r>
        <w:rPr>
          <w:rFonts w:hint="eastAsia" w:ascii="宋体" w:hAnsi="宋体"/>
          <w:color w:val="auto"/>
          <w:sz w:val="24"/>
          <w:szCs w:val="20"/>
          <w:highlight w:val="none"/>
        </w:rPr>
        <w:t>） 证书及业绩材料（提供与原件一致的复印件， 复印件要求加盖单位公章， 提供原件备查。如不按要求提供，相应类项不予评分。）：</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①营业执照；</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②保险业绩；</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③投标人总公司202</w:t>
      </w:r>
      <w:r>
        <w:rPr>
          <w:rFonts w:hint="eastAsia" w:ascii="宋体" w:hAnsi="宋体"/>
          <w:color w:val="auto"/>
          <w:sz w:val="24"/>
          <w:szCs w:val="20"/>
          <w:highlight w:val="none"/>
          <w:lang w:val="en-US" w:eastAsia="zh-CN"/>
        </w:rPr>
        <w:t>3</w:t>
      </w:r>
      <w:r>
        <w:rPr>
          <w:rFonts w:hint="eastAsia" w:ascii="宋体" w:hAnsi="宋体"/>
          <w:color w:val="auto"/>
          <w:sz w:val="24"/>
          <w:szCs w:val="20"/>
          <w:highlight w:val="none"/>
        </w:rPr>
        <w:t>年度偿付能力的审计报告</w:t>
      </w:r>
      <w:r>
        <w:rPr>
          <w:rFonts w:hint="eastAsia" w:ascii="宋体" w:hAnsi="宋体"/>
          <w:color w:val="auto"/>
          <w:sz w:val="24"/>
          <w:szCs w:val="20"/>
          <w:highlight w:val="none"/>
          <w:lang w:eastAsia="zh-CN"/>
        </w:rPr>
        <w:t>和</w:t>
      </w:r>
      <w:r>
        <w:rPr>
          <w:rFonts w:hint="eastAsia" w:ascii="宋体" w:hAnsi="宋体"/>
          <w:color w:val="auto"/>
          <w:sz w:val="24"/>
          <w:szCs w:val="20"/>
          <w:highlight w:val="none"/>
          <w:lang w:val="en-US" w:eastAsia="zh-CN"/>
        </w:rPr>
        <w:t>2023年第四季度监管风险综合评级情况</w:t>
      </w:r>
      <w:r>
        <w:rPr>
          <w:rFonts w:hint="eastAsia" w:ascii="宋体" w:hAnsi="宋体"/>
          <w:color w:val="auto"/>
          <w:sz w:val="24"/>
          <w:szCs w:val="20"/>
          <w:highlight w:val="none"/>
        </w:rPr>
        <w:t xml:space="preserve">；               </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④投标人总公司在中国保险行业协会网站发布的《关于202</w:t>
      </w:r>
      <w:r>
        <w:rPr>
          <w:rFonts w:hint="eastAsia" w:ascii="宋体" w:hAnsi="宋体"/>
          <w:color w:val="auto"/>
          <w:sz w:val="24"/>
          <w:szCs w:val="20"/>
          <w:highlight w:val="none"/>
          <w:lang w:val="en-US" w:eastAsia="zh-CN"/>
        </w:rPr>
        <w:t>1</w:t>
      </w:r>
      <w:r>
        <w:rPr>
          <w:rFonts w:hint="eastAsia" w:ascii="宋体" w:hAnsi="宋体"/>
          <w:color w:val="auto"/>
          <w:sz w:val="24"/>
          <w:szCs w:val="20"/>
          <w:highlight w:val="none"/>
        </w:rPr>
        <w:t xml:space="preserve">年度保险公司法人机构经营评价结果》 ；       </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⑤投标人总公司在中国银保监会网站公布的《中国银保监会消费者权益保护局关于202</w:t>
      </w:r>
      <w:r>
        <w:rPr>
          <w:rFonts w:hint="eastAsia" w:ascii="宋体" w:hAnsi="宋体"/>
          <w:color w:val="auto"/>
          <w:sz w:val="24"/>
          <w:szCs w:val="20"/>
          <w:highlight w:val="none"/>
          <w:lang w:val="en-US" w:eastAsia="zh-CN"/>
        </w:rPr>
        <w:t>3</w:t>
      </w:r>
      <w:r>
        <w:rPr>
          <w:rFonts w:hint="eastAsia" w:ascii="宋体" w:hAnsi="宋体"/>
          <w:color w:val="auto"/>
          <w:sz w:val="24"/>
          <w:szCs w:val="20"/>
          <w:highlight w:val="none"/>
        </w:rPr>
        <w:t>年第一季度保险消费投诉情况的通报》；</w:t>
      </w:r>
    </w:p>
    <w:p>
      <w:pPr>
        <w:snapToGrid w:val="0"/>
        <w:spacing w:line="360" w:lineRule="auto"/>
        <w:rPr>
          <w:rFonts w:hint="eastAsia" w:ascii="宋体" w:hAnsi="宋体" w:eastAsia="宋体"/>
          <w:color w:val="auto"/>
          <w:sz w:val="24"/>
          <w:szCs w:val="20"/>
          <w:highlight w:val="none"/>
          <w:lang w:eastAsia="zh-CN"/>
        </w:rPr>
      </w:pPr>
      <w:r>
        <w:rPr>
          <w:rFonts w:hint="eastAsia" w:ascii="宋体" w:hAnsi="宋体"/>
          <w:color w:val="auto"/>
          <w:sz w:val="24"/>
          <w:szCs w:val="20"/>
          <w:highlight w:val="none"/>
        </w:rPr>
        <w:t>⑥服务满意度</w:t>
      </w:r>
      <w:r>
        <w:rPr>
          <w:rFonts w:hint="eastAsia" w:ascii="宋体" w:hAnsi="宋体"/>
          <w:color w:val="auto"/>
          <w:sz w:val="24"/>
          <w:szCs w:val="20"/>
          <w:highlight w:val="none"/>
          <w:lang w:eastAsia="zh-CN"/>
        </w:rPr>
        <w:t>负面</w:t>
      </w:r>
      <w:r>
        <w:rPr>
          <w:rFonts w:hint="eastAsia" w:ascii="宋体" w:hAnsi="宋体"/>
          <w:color w:val="auto"/>
          <w:sz w:val="24"/>
          <w:szCs w:val="20"/>
          <w:highlight w:val="none"/>
        </w:rPr>
        <w:t>评价资料；</w:t>
      </w:r>
      <w:r>
        <w:rPr>
          <w:rFonts w:hint="eastAsia" w:ascii="宋体" w:hAnsi="宋体"/>
          <w:color w:val="auto"/>
          <w:sz w:val="24"/>
          <w:szCs w:val="20"/>
          <w:highlight w:val="none"/>
          <w:lang w:eastAsia="zh-CN"/>
        </w:rPr>
        <w:t>（如有）</w:t>
      </w:r>
    </w:p>
    <w:p>
      <w:pPr>
        <w:snapToGrid w:val="0"/>
        <w:spacing w:line="360" w:lineRule="auto"/>
        <w:rPr>
          <w:rFonts w:ascii="宋体" w:hAnsi="宋体"/>
          <w:color w:val="auto"/>
          <w:sz w:val="24"/>
          <w:szCs w:val="20"/>
          <w:highlight w:val="none"/>
        </w:rPr>
      </w:pPr>
      <w:r>
        <w:rPr>
          <w:rFonts w:ascii="宋体" w:hAnsi="宋体"/>
          <w:color w:val="auto"/>
          <w:sz w:val="24"/>
          <w:szCs w:val="20"/>
          <w:highlight w:val="none"/>
        </w:rPr>
        <w:fldChar w:fldCharType="begin"/>
      </w:r>
      <w:r>
        <w:rPr>
          <w:rFonts w:hint="eastAsia" w:ascii="宋体" w:hAnsi="宋体"/>
          <w:color w:val="auto"/>
          <w:sz w:val="24"/>
          <w:szCs w:val="20"/>
          <w:highlight w:val="none"/>
        </w:rPr>
        <w:instrText xml:space="preserve">= 7 \* GB3</w:instrText>
      </w:r>
      <w:r>
        <w:rPr>
          <w:rFonts w:ascii="宋体" w:hAnsi="宋体"/>
          <w:color w:val="auto"/>
          <w:sz w:val="24"/>
          <w:szCs w:val="20"/>
          <w:highlight w:val="none"/>
        </w:rPr>
        <w:fldChar w:fldCharType="separate"/>
      </w:r>
      <w:r>
        <w:rPr>
          <w:rFonts w:hint="eastAsia" w:ascii="宋体" w:hAnsi="宋体"/>
          <w:color w:val="auto"/>
          <w:sz w:val="24"/>
          <w:szCs w:val="20"/>
          <w:highlight w:val="none"/>
        </w:rPr>
        <w:t>⑦</w:t>
      </w:r>
      <w:r>
        <w:rPr>
          <w:rFonts w:ascii="宋体" w:hAnsi="宋体"/>
          <w:color w:val="auto"/>
          <w:sz w:val="24"/>
          <w:szCs w:val="20"/>
          <w:highlight w:val="none"/>
        </w:rPr>
        <w:fldChar w:fldCharType="end"/>
      </w:r>
      <w:r>
        <w:rPr>
          <w:rFonts w:hint="eastAsia" w:ascii="宋体" w:hAnsi="宋体"/>
          <w:color w:val="auto"/>
          <w:sz w:val="24"/>
          <w:szCs w:val="20"/>
          <w:highlight w:val="none"/>
        </w:rPr>
        <w:t>投标人在项目组成员情况中要求提交的资料。</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8</w:t>
      </w:r>
      <w:r>
        <w:rPr>
          <w:rFonts w:hint="eastAsia" w:ascii="宋体" w:hAnsi="宋体"/>
          <w:color w:val="auto"/>
          <w:sz w:val="24"/>
          <w:szCs w:val="20"/>
          <w:highlight w:val="none"/>
        </w:rPr>
        <w:t>）投标人认为需要提供的其他资料（包括可能影响投标人商务与技术文件评分的各类证明材料）。</w:t>
      </w:r>
    </w:p>
    <w:p>
      <w:pPr>
        <w:snapToGrid w:val="0"/>
        <w:spacing w:line="360" w:lineRule="auto"/>
        <w:rPr>
          <w:rFonts w:hAnsi="宋体"/>
          <w:color w:val="auto"/>
          <w:sz w:val="24"/>
          <w:highlight w:val="none"/>
        </w:rPr>
      </w:pPr>
      <w:r>
        <w:rPr>
          <w:rFonts w:hint="eastAsia" w:hAnsi="宋体"/>
          <w:color w:val="auto"/>
          <w:sz w:val="24"/>
          <w:highlight w:val="none"/>
        </w:rPr>
        <w:t>3、报价文件的组成：</w:t>
      </w:r>
    </w:p>
    <w:p>
      <w:pPr>
        <w:autoSpaceDE w:val="0"/>
        <w:autoSpaceDN w:val="0"/>
        <w:adjustRightInd w:val="0"/>
        <w:spacing w:line="360" w:lineRule="auto"/>
        <w:ind w:firstLine="480"/>
        <w:rPr>
          <w:rFonts w:ascii="宋体" w:hAnsi="宋体"/>
          <w:color w:val="auto"/>
          <w:sz w:val="24"/>
          <w:highlight w:val="none"/>
          <w:lang w:val="zh-CN"/>
        </w:rPr>
      </w:pPr>
      <w:r>
        <w:rPr>
          <w:rFonts w:ascii="宋体" w:hAnsi="宋体"/>
          <w:color w:val="auto"/>
          <w:sz w:val="24"/>
          <w:highlight w:val="none"/>
          <w:lang w:val="zh-CN"/>
        </w:rPr>
        <w:t>▲1. 本项目采用固定单价，价格执行统一价格标准[监护人责任险保费50元/人·年]，</w:t>
      </w:r>
      <w:r>
        <w:rPr>
          <w:rFonts w:hint="eastAsia" w:ascii="宋体" w:hAnsi="宋体"/>
          <w:color w:val="auto"/>
          <w:sz w:val="24"/>
          <w:highlight w:val="none"/>
          <w:lang w:val="zh-CN"/>
        </w:rPr>
        <w:t>投标人在投标时不再另行报价。保费应是招标文件所确定的采购范 围内全部工作内容的价格表现。其应包括涉及本项目实施所发生的全部费用，保险责任、保险 人义务、管理、后续服务、利润、税金、政策性文件规定及合同包含的所有风险、责任等所有费用。</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 xml:space="preserve">2.投标人所有优惠条件和优惠费用不得降低和影响本采购项目质量。     </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3.保险期限：一学年（2024年 9 月 1 日 0 时-2025年 8 月 31 日 24 时）。</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4. 招标代理服务费：招标代理服务费每家入围投标单位人民币</w:t>
      </w:r>
      <w:r>
        <w:rPr>
          <w:rFonts w:ascii="宋体" w:hAnsi="宋体"/>
          <w:color w:val="auto"/>
          <w:sz w:val="24"/>
          <w:highlight w:val="none"/>
          <w:lang w:val="zh-CN"/>
        </w:rPr>
        <w:t>5800</w:t>
      </w:r>
      <w:r>
        <w:rPr>
          <w:rFonts w:hint="eastAsia" w:ascii="宋体" w:hAnsi="宋体"/>
          <w:color w:val="auto"/>
          <w:sz w:val="24"/>
          <w:highlight w:val="none"/>
          <w:lang w:val="zh-CN"/>
        </w:rPr>
        <w:t>元，由入围单位支付，招标代理机构在向入围单位发放中标通知书时向中标单位一次性收取。</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注：本项目招标代理费由欧邦工程管理集团有限公司三门分公司负责收取，开户信息如下：</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公司名称：欧邦工程管理集团有限公司三门分公司</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纳税人识别号：91331022329868219F</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开户行：中国工商银行台州市三门支行</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账号：1207 0711 1900 0068 802</w:t>
      </w:r>
    </w:p>
    <w:p>
      <w:pPr>
        <w:ind w:left="14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（二）投标文件的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hint="eastAsia" w:ascii="宋体"/>
          <w:color w:val="auto"/>
          <w:sz w:val="24"/>
          <w:highlight w:val="none"/>
          <w:lang w:val="zh-CN"/>
        </w:rPr>
        <w:t>投标文件的制作</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①投标人应按招标文件规定的内容和要求编制、装订投标文件。投标文件中</w:t>
      </w:r>
      <w:r>
        <w:rPr>
          <w:rFonts w:ascii="宋体" w:hAnsi="宋体"/>
          <w:color w:val="auto"/>
          <w:sz w:val="24"/>
          <w:highlight w:val="none"/>
          <w:lang w:val="zh-CN"/>
        </w:rPr>
        <w:t>所有文字及表格</w:t>
      </w:r>
      <w:r>
        <w:rPr>
          <w:rFonts w:hint="eastAsia" w:ascii="宋体" w:hAnsi="宋体"/>
          <w:color w:val="auto"/>
          <w:sz w:val="24"/>
          <w:highlight w:val="none"/>
          <w:lang w:val="zh-CN"/>
        </w:rPr>
        <w:t>应采用</w:t>
      </w:r>
      <w:r>
        <w:rPr>
          <w:rFonts w:ascii="宋体" w:hAnsi="宋体"/>
          <w:color w:val="auto"/>
          <w:sz w:val="24"/>
          <w:highlight w:val="none"/>
          <w:lang w:val="zh-CN"/>
        </w:rPr>
        <w:t>白色标准A4纸</w:t>
      </w:r>
      <w:r>
        <w:rPr>
          <w:rFonts w:hint="eastAsia" w:ascii="宋体" w:hAnsi="宋体"/>
          <w:color w:val="auto"/>
          <w:sz w:val="24"/>
          <w:highlight w:val="none"/>
          <w:lang w:val="zh-CN"/>
        </w:rPr>
        <w:t>（如有图纸可采用A3纸）</w:t>
      </w:r>
      <w:r>
        <w:rPr>
          <w:rFonts w:ascii="宋体" w:hAnsi="宋体"/>
          <w:color w:val="auto"/>
          <w:sz w:val="24"/>
          <w:highlight w:val="none"/>
          <w:lang w:val="zh-CN"/>
        </w:rPr>
        <w:t>进行打印或印刷</w:t>
      </w:r>
      <w:r>
        <w:rPr>
          <w:rFonts w:hint="eastAsia" w:ascii="宋体" w:hAnsi="宋体"/>
          <w:color w:val="auto"/>
          <w:sz w:val="24"/>
          <w:highlight w:val="none"/>
        </w:rPr>
        <w:t>(建议双面打印或印刷）</w:t>
      </w:r>
      <w:r>
        <w:rPr>
          <w:rFonts w:hint="eastAsia" w:ascii="宋体" w:hAnsi="宋体"/>
          <w:color w:val="auto"/>
          <w:sz w:val="24"/>
          <w:highlight w:val="none"/>
          <w:lang w:val="zh-CN"/>
        </w:rPr>
        <w:t>，并</w:t>
      </w:r>
      <w:r>
        <w:rPr>
          <w:rFonts w:ascii="宋体" w:hAnsi="宋体"/>
          <w:color w:val="auto"/>
          <w:sz w:val="24"/>
          <w:highlight w:val="none"/>
          <w:lang w:val="zh-CN"/>
        </w:rPr>
        <w:t>逐页连续</w:t>
      </w:r>
      <w:r>
        <w:rPr>
          <w:rFonts w:hint="eastAsia" w:ascii="宋体" w:hAnsi="宋体"/>
          <w:color w:val="auto"/>
          <w:sz w:val="24"/>
          <w:highlight w:val="none"/>
          <w:lang w:val="zh-CN"/>
        </w:rPr>
        <w:t>标注页码。</w:t>
      </w:r>
      <w:r>
        <w:rPr>
          <w:rStyle w:val="54"/>
          <w:rFonts w:hint="eastAsia" w:ascii="宋体" w:hAnsi="宋体"/>
          <w:color w:val="auto"/>
          <w:sz w:val="24"/>
          <w:highlight w:val="none"/>
        </w:rPr>
        <w:t>封面不得简装，不得活页装订</w:t>
      </w:r>
      <w:r>
        <w:rPr>
          <w:rFonts w:hint="eastAsia" w:ascii="宋体" w:hAnsi="宋体"/>
          <w:color w:val="auto"/>
          <w:sz w:val="24"/>
          <w:highlight w:val="none"/>
          <w:lang w:val="zh-CN"/>
        </w:rPr>
        <w:t>。因投标文件内容不完整、编排混乱导致投标文件被误读、漏读或者查找不到相关内容的责任由投标人自行承担。</w:t>
      </w:r>
    </w:p>
    <w:p>
      <w:pPr>
        <w:autoSpaceDE w:val="0"/>
        <w:autoSpaceDN w:val="0"/>
        <w:adjustRightInd w:val="0"/>
        <w:spacing w:line="360" w:lineRule="auto"/>
        <w:ind w:firstLine="236" w:firstLineChars="98"/>
        <w:rPr>
          <w:rFonts w:ascii="宋体" w:hAnsi="宋体"/>
          <w:color w:val="auto"/>
          <w:sz w:val="24"/>
          <w:highlight w:val="none"/>
          <w:lang w:val="zh-CN"/>
        </w:rPr>
      </w:pPr>
      <w:r>
        <w:rPr>
          <w:rFonts w:hint="eastAsia" w:ascii="宋体"/>
          <w:b/>
          <w:color w:val="auto"/>
          <w:sz w:val="24"/>
          <w:highlight w:val="none"/>
          <w:lang w:val="zh-CN"/>
        </w:rPr>
        <w:t>▲②资格证明文件、</w:t>
      </w:r>
      <w:r>
        <w:rPr>
          <w:rFonts w:hint="eastAsia" w:ascii="宋体"/>
          <w:b/>
          <w:color w:val="auto"/>
          <w:sz w:val="24"/>
          <w:highlight w:val="none"/>
        </w:rPr>
        <w:t>商务与技术文件</w:t>
      </w:r>
      <w:r>
        <w:rPr>
          <w:rFonts w:hint="eastAsia" w:ascii="宋体" w:hAnsi="宋体"/>
          <w:b/>
          <w:color w:val="auto"/>
          <w:sz w:val="24"/>
          <w:highlight w:val="none"/>
        </w:rPr>
        <w:t>各</w:t>
      </w:r>
      <w:r>
        <w:rPr>
          <w:rFonts w:hint="eastAsia" w:ascii="宋体" w:hAnsi="宋体"/>
          <w:b/>
          <w:color w:val="auto"/>
          <w:sz w:val="24"/>
          <w:highlight w:val="none"/>
          <w:u w:val="single"/>
        </w:rPr>
        <w:t xml:space="preserve">5 </w:t>
      </w:r>
      <w:r>
        <w:rPr>
          <w:rFonts w:hint="eastAsia" w:ascii="宋体" w:hAnsi="宋体"/>
          <w:b/>
          <w:color w:val="auto"/>
          <w:sz w:val="24"/>
          <w:highlight w:val="none"/>
          <w:lang w:val="zh-CN"/>
        </w:rPr>
        <w:t>份</w:t>
      </w:r>
      <w:r>
        <w:rPr>
          <w:rFonts w:hint="eastAsia" w:ascii="宋体"/>
          <w:b/>
          <w:color w:val="auto"/>
          <w:sz w:val="24"/>
          <w:highlight w:val="none"/>
          <w:lang w:val="zh-CN"/>
        </w:rPr>
        <w:t>（一正本四副本），</w:t>
      </w:r>
      <w:r>
        <w:rPr>
          <w:rFonts w:hint="eastAsia" w:ascii="宋体" w:hAnsi="宋体"/>
          <w:b/>
          <w:color w:val="auto"/>
          <w:sz w:val="24"/>
          <w:highlight w:val="none"/>
          <w:lang w:val="zh-CN"/>
        </w:rPr>
        <w:t>投标文件的正本封面必须注明“正本”字样，副本可以采用正本的复印件。</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③投标文件封面，可参照附件内容。注明</w:t>
      </w:r>
      <w:r>
        <w:rPr>
          <w:rFonts w:ascii="宋体"/>
          <w:color w:val="auto"/>
          <w:sz w:val="24"/>
          <w:highlight w:val="none"/>
          <w:lang w:val="zh-CN"/>
        </w:rPr>
        <w:t>“</w:t>
      </w:r>
      <w:r>
        <w:rPr>
          <w:rFonts w:hint="eastAsia" w:ascii="宋体"/>
          <w:color w:val="auto"/>
          <w:sz w:val="24"/>
          <w:highlight w:val="none"/>
          <w:lang w:val="zh-CN"/>
        </w:rPr>
        <w:t>项目编号</w:t>
      </w:r>
      <w:r>
        <w:rPr>
          <w:rFonts w:ascii="宋体"/>
          <w:color w:val="auto"/>
          <w:sz w:val="24"/>
          <w:highlight w:val="none"/>
          <w:lang w:val="zh-CN"/>
        </w:rPr>
        <w:t>”</w:t>
      </w:r>
      <w:r>
        <w:rPr>
          <w:rFonts w:hint="eastAsia" w:ascii="宋体"/>
          <w:color w:val="auto"/>
          <w:sz w:val="24"/>
          <w:highlight w:val="none"/>
          <w:lang w:val="zh-CN"/>
        </w:rPr>
        <w:t>、</w:t>
      </w:r>
      <w:r>
        <w:rPr>
          <w:rFonts w:ascii="宋体"/>
          <w:color w:val="auto"/>
          <w:sz w:val="24"/>
          <w:highlight w:val="none"/>
          <w:lang w:val="zh-CN"/>
        </w:rPr>
        <w:t>“</w:t>
      </w:r>
      <w:r>
        <w:rPr>
          <w:rFonts w:hint="eastAsia" w:ascii="宋体"/>
          <w:color w:val="auto"/>
          <w:sz w:val="24"/>
          <w:highlight w:val="none"/>
          <w:lang w:val="zh-CN"/>
        </w:rPr>
        <w:t>项目名称”、</w:t>
      </w:r>
      <w:r>
        <w:rPr>
          <w:rFonts w:ascii="宋体"/>
          <w:color w:val="auto"/>
          <w:sz w:val="24"/>
          <w:highlight w:val="none"/>
          <w:lang w:val="zh-CN"/>
        </w:rPr>
        <w:t>“</w:t>
      </w:r>
      <w:r>
        <w:rPr>
          <w:rFonts w:hint="eastAsia" w:ascii="宋体"/>
          <w:color w:val="auto"/>
          <w:sz w:val="24"/>
          <w:highlight w:val="none"/>
          <w:lang w:val="zh-CN"/>
        </w:rPr>
        <w:t>正本</w:t>
      </w:r>
      <w:r>
        <w:rPr>
          <w:rFonts w:ascii="宋体"/>
          <w:color w:val="auto"/>
          <w:sz w:val="24"/>
          <w:highlight w:val="none"/>
          <w:lang w:val="zh-CN"/>
        </w:rPr>
        <w:t>”</w:t>
      </w:r>
      <w:r>
        <w:rPr>
          <w:rFonts w:hint="eastAsia" w:ascii="宋体"/>
          <w:color w:val="auto"/>
          <w:sz w:val="24"/>
          <w:highlight w:val="none"/>
          <w:lang w:val="zh-CN"/>
        </w:rPr>
        <w:t>或</w:t>
      </w:r>
      <w:r>
        <w:rPr>
          <w:rFonts w:ascii="宋体"/>
          <w:color w:val="auto"/>
          <w:sz w:val="24"/>
          <w:highlight w:val="none"/>
          <w:lang w:val="zh-CN"/>
        </w:rPr>
        <w:t>“</w:t>
      </w:r>
      <w:r>
        <w:rPr>
          <w:rFonts w:hint="eastAsia" w:ascii="宋体"/>
          <w:color w:val="auto"/>
          <w:sz w:val="24"/>
          <w:highlight w:val="none"/>
          <w:lang w:val="zh-CN"/>
        </w:rPr>
        <w:t>副本</w:t>
      </w:r>
      <w:r>
        <w:rPr>
          <w:rFonts w:ascii="宋体"/>
          <w:color w:val="auto"/>
          <w:sz w:val="24"/>
          <w:highlight w:val="none"/>
          <w:lang w:val="zh-CN"/>
        </w:rPr>
        <w:t>”</w:t>
      </w:r>
      <w:r>
        <w:rPr>
          <w:rFonts w:hint="eastAsia" w:ascii="宋体"/>
          <w:color w:val="auto"/>
          <w:sz w:val="24"/>
          <w:highlight w:val="none"/>
          <w:lang w:val="zh-CN"/>
        </w:rPr>
        <w:t>、“</w:t>
      </w:r>
      <w:r>
        <w:rPr>
          <w:rFonts w:hint="eastAsia" w:ascii="宋体"/>
          <w:color w:val="auto"/>
          <w:sz w:val="24"/>
          <w:highlight w:val="none"/>
        </w:rPr>
        <w:t>资格证明文件</w:t>
      </w:r>
      <w:r>
        <w:rPr>
          <w:rFonts w:hint="eastAsia" w:ascii="宋体"/>
          <w:color w:val="auto"/>
          <w:sz w:val="24"/>
          <w:highlight w:val="none"/>
          <w:lang w:val="zh-CN"/>
        </w:rPr>
        <w:t>”或“</w:t>
      </w:r>
      <w:r>
        <w:rPr>
          <w:rFonts w:hint="eastAsia" w:ascii="宋体"/>
          <w:color w:val="auto"/>
          <w:sz w:val="24"/>
          <w:highlight w:val="none"/>
        </w:rPr>
        <w:t>商务与技术文件</w:t>
      </w:r>
      <w:r>
        <w:rPr>
          <w:rFonts w:hint="eastAsia" w:ascii="宋体"/>
          <w:color w:val="auto"/>
          <w:sz w:val="24"/>
          <w:highlight w:val="none"/>
          <w:lang w:val="zh-CN"/>
        </w:rPr>
        <w:t>”“</w:t>
      </w:r>
      <w:r>
        <w:rPr>
          <w:rFonts w:hint="eastAsia" w:ascii="宋体"/>
          <w:bCs/>
          <w:color w:val="auto"/>
          <w:sz w:val="24"/>
          <w:highlight w:val="none"/>
          <w:lang w:val="zh-CN"/>
        </w:rPr>
        <w:t>投标人</w:t>
      </w:r>
      <w:r>
        <w:rPr>
          <w:rFonts w:ascii="宋体"/>
          <w:bCs/>
          <w:color w:val="auto"/>
          <w:sz w:val="24"/>
          <w:highlight w:val="none"/>
          <w:lang w:val="zh-CN"/>
        </w:rPr>
        <w:t>”</w:t>
      </w:r>
      <w:r>
        <w:rPr>
          <w:rFonts w:hint="eastAsia" w:ascii="宋体"/>
          <w:bCs/>
          <w:color w:val="auto"/>
          <w:sz w:val="24"/>
          <w:highlight w:val="none"/>
          <w:lang w:val="zh-CN"/>
        </w:rPr>
        <w:t>、“法定代表人或全权代表”</w:t>
      </w:r>
      <w:r>
        <w:rPr>
          <w:rFonts w:hint="eastAsia" w:ascii="宋体"/>
          <w:color w:val="auto"/>
          <w:sz w:val="24"/>
          <w:highlight w:val="none"/>
          <w:lang w:val="zh-CN"/>
        </w:rPr>
        <w:t>等字样。</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④正本和副本内容有出入，以正本为准。</w:t>
      </w:r>
    </w:p>
    <w:p>
      <w:pPr>
        <w:autoSpaceDE w:val="0"/>
        <w:autoSpaceDN w:val="0"/>
        <w:adjustRightInd w:val="0"/>
        <w:spacing w:line="360" w:lineRule="auto"/>
        <w:ind w:firstLine="240" w:firstLineChars="100"/>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投标文件的签署、盖章</w:t>
      </w:r>
    </w:p>
    <w:p>
      <w:pPr>
        <w:autoSpaceDE w:val="0"/>
        <w:autoSpaceDN w:val="0"/>
        <w:adjustRightInd w:val="0"/>
        <w:spacing w:line="360" w:lineRule="auto"/>
        <w:ind w:firstLine="480" w:firstLineChars="200"/>
        <w:rPr>
          <w:rFonts w:ascii="宋体"/>
          <w:color w:val="auto"/>
          <w:sz w:val="24"/>
          <w:highlight w:val="none"/>
          <w:u w:val="single"/>
          <w:lang w:val="zh-CN"/>
        </w:rPr>
      </w:pPr>
      <w:r>
        <w:rPr>
          <w:rFonts w:hint="eastAsia" w:ascii="宋体"/>
          <w:color w:val="auto"/>
          <w:sz w:val="24"/>
          <w:highlight w:val="none"/>
          <w:u w:val="single"/>
          <w:lang w:val="zh-CN"/>
        </w:rPr>
        <w:t>投标文件封面和内部有要求盖章或签字的地方必须加盖投标人的公章以及法定代表人或全权代表（盖章或签字）。</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投标文件的外包装、密封</w:t>
      </w:r>
    </w:p>
    <w:p>
      <w:pPr>
        <w:autoSpaceDE w:val="0"/>
        <w:autoSpaceDN w:val="0"/>
        <w:adjustRightInd w:val="0"/>
        <w:spacing w:line="360" w:lineRule="auto"/>
        <w:ind w:firstLine="231" w:firstLineChars="96"/>
        <w:rPr>
          <w:rFonts w:ascii="宋体" w:hAnsi="宋体"/>
          <w:color w:val="auto"/>
          <w:sz w:val="24"/>
          <w:highlight w:val="none"/>
          <w:u w:val="single"/>
        </w:rPr>
      </w:pPr>
      <w:r>
        <w:rPr>
          <w:rFonts w:hint="eastAsia" w:ascii="宋体"/>
          <w:b/>
          <w:color w:val="auto"/>
          <w:sz w:val="24"/>
          <w:highlight w:val="none"/>
          <w:lang w:val="zh-CN"/>
        </w:rPr>
        <w:t>▲</w:t>
      </w:r>
      <w:r>
        <w:rPr>
          <w:rFonts w:hint="eastAsia" w:ascii="宋体" w:hAnsi="宋体"/>
          <w:b/>
          <w:color w:val="auto"/>
          <w:sz w:val="24"/>
          <w:highlight w:val="none"/>
          <w:lang w:val="zh-CN"/>
        </w:rPr>
        <w:t>①</w:t>
      </w:r>
      <w:r>
        <w:rPr>
          <w:rFonts w:hint="eastAsia" w:ascii="宋体" w:hAnsi="宋体"/>
          <w:b/>
          <w:color w:val="auto"/>
          <w:sz w:val="24"/>
          <w:highlight w:val="none"/>
        </w:rPr>
        <w:t>项目如分标项，各标项投标文件必须分开编制，并按上述份数要求单独密封包装。</w:t>
      </w:r>
    </w:p>
    <w:p>
      <w:pPr>
        <w:autoSpaceDE w:val="0"/>
        <w:autoSpaceDN w:val="0"/>
        <w:adjustRightInd w:val="0"/>
        <w:spacing w:line="360" w:lineRule="auto"/>
        <w:ind w:firstLine="241" w:firstLineChars="100"/>
        <w:rPr>
          <w:rFonts w:ascii="宋体"/>
          <w:b/>
          <w:bCs/>
          <w:color w:val="auto"/>
          <w:sz w:val="24"/>
          <w:highlight w:val="none"/>
          <w:lang w:val="zh-CN"/>
        </w:rPr>
      </w:pPr>
      <w:r>
        <w:rPr>
          <w:rFonts w:hint="eastAsia" w:ascii="宋体"/>
          <w:b/>
          <w:color w:val="auto"/>
          <w:sz w:val="24"/>
          <w:highlight w:val="none"/>
          <w:lang w:val="zh-CN"/>
        </w:rPr>
        <w:t>▲</w:t>
      </w:r>
      <w:r>
        <w:rPr>
          <w:rFonts w:hint="eastAsia" w:ascii="宋体" w:hAnsi="宋体"/>
          <w:b/>
          <w:color w:val="auto"/>
          <w:sz w:val="24"/>
          <w:highlight w:val="none"/>
        </w:rPr>
        <w:t>②“资格证明文件”、“商务与技术文件”的外包装密封处须加盖投标人公章或投标全权代表签字。</w:t>
      </w:r>
    </w:p>
    <w:p>
      <w:pPr>
        <w:autoSpaceDE w:val="0"/>
        <w:autoSpaceDN w:val="0"/>
        <w:adjustRightInd w:val="0"/>
        <w:spacing w:line="360" w:lineRule="auto"/>
        <w:ind w:firstLine="470" w:firstLineChars="196"/>
        <w:rPr>
          <w:rFonts w:ascii="宋体"/>
          <w:bCs/>
          <w:color w:val="auto"/>
          <w:sz w:val="24"/>
          <w:highlight w:val="none"/>
          <w:lang w:val="zh-CN"/>
        </w:rPr>
      </w:pPr>
      <w:r>
        <w:rPr>
          <w:rFonts w:hint="eastAsia" w:ascii="宋体"/>
          <w:bCs/>
          <w:color w:val="auto"/>
          <w:sz w:val="24"/>
          <w:highlight w:val="none"/>
          <w:lang w:val="zh-CN"/>
        </w:rPr>
        <w:t>③</w:t>
      </w:r>
      <w:r>
        <w:rPr>
          <w:rFonts w:hint="eastAsia"/>
          <w:color w:val="auto"/>
          <w:spacing w:val="-13"/>
          <w:sz w:val="24"/>
          <w:highlight w:val="none"/>
        </w:rPr>
        <w:t>外包装封面可参照附件内容注明“项目编号”、“项目名称”、“正本”或“副</w:t>
      </w:r>
      <w:r>
        <w:rPr>
          <w:rFonts w:hint="eastAsia"/>
          <w:color w:val="auto"/>
          <w:spacing w:val="-12"/>
          <w:sz w:val="24"/>
          <w:highlight w:val="none"/>
        </w:rPr>
        <w:t>本”或“正副本”、“资格证明文件”或“商务与技术文件”、“投标人名称”、“开标时启封”等字样。</w:t>
      </w:r>
    </w:p>
    <w:p>
      <w:pPr>
        <w:tabs>
          <w:tab w:val="left" w:pos="1418"/>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④未按规定密封或标记的投标文件将被拒绝，由此造成的风险由投标人自行承担。</w:t>
      </w:r>
    </w:p>
    <w:p>
      <w:pPr>
        <w:autoSpaceDE w:val="0"/>
        <w:autoSpaceDN w:val="0"/>
        <w:adjustRightInd w:val="0"/>
        <w:spacing w:line="360" w:lineRule="auto"/>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.投标文件的递交</w:t>
      </w:r>
    </w:p>
    <w:p>
      <w:pPr>
        <w:autoSpaceDE w:val="0"/>
        <w:autoSpaceDN w:val="0"/>
        <w:adjustRightInd w:val="0"/>
        <w:spacing w:line="360" w:lineRule="auto"/>
        <w:ind w:firstLine="235" w:firstLineChars="98"/>
        <w:rPr>
          <w:rFonts w:ascii="宋体" w:hAnsi="宋体"/>
          <w:color w:val="auto"/>
          <w:sz w:val="24"/>
          <w:highlight w:val="none"/>
          <w:lang w:val="zh-CN"/>
        </w:rPr>
      </w:pPr>
      <w:r>
        <w:rPr>
          <w:rFonts w:hint="eastAsia" w:ascii="宋体" w:hAnsi="宋体"/>
          <w:color w:val="auto"/>
          <w:sz w:val="24"/>
          <w:highlight w:val="none"/>
          <w:lang w:val="zh-CN"/>
        </w:rPr>
        <w:t>▲①在投标文件提交截止时间前，投标人应按招标文件规定的时间和地点提交投标文件。投标文件提交截止时间后，招标</w:t>
      </w:r>
      <w:r>
        <w:rPr>
          <w:rFonts w:hint="eastAsia" w:ascii="宋体" w:hAnsi="宋体"/>
          <w:color w:val="auto"/>
          <w:sz w:val="24"/>
          <w:highlight w:val="none"/>
        </w:rPr>
        <w:t>人</w:t>
      </w:r>
      <w:r>
        <w:rPr>
          <w:rFonts w:hint="eastAsia" w:ascii="宋体" w:hAnsi="宋体"/>
          <w:color w:val="auto"/>
          <w:sz w:val="24"/>
          <w:highlight w:val="none"/>
          <w:lang w:val="zh-CN"/>
        </w:rPr>
        <w:t>将拒收投标人的投标文件。</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②因密封不严、标记不明而造成过早启封、失密等情况，招标</w:t>
      </w:r>
      <w:r>
        <w:rPr>
          <w:rFonts w:hint="eastAsia" w:ascii="宋体" w:hAnsi="宋体"/>
          <w:color w:val="auto"/>
          <w:sz w:val="24"/>
          <w:highlight w:val="none"/>
        </w:rPr>
        <w:t>人</w:t>
      </w:r>
      <w:r>
        <w:rPr>
          <w:rFonts w:hint="eastAsia" w:ascii="宋体" w:hAnsi="宋体"/>
          <w:color w:val="auto"/>
          <w:sz w:val="24"/>
          <w:highlight w:val="none"/>
          <w:lang w:val="zh-CN"/>
        </w:rPr>
        <w:t>概不负责。</w:t>
      </w:r>
    </w:p>
    <w:p>
      <w:pPr>
        <w:spacing w:line="400" w:lineRule="exact"/>
        <w:ind w:firstLine="480" w:firstLineChars="200"/>
        <w:rPr>
          <w:color w:val="auto"/>
          <w:sz w:val="24"/>
          <w:highlight w:val="none"/>
        </w:rPr>
      </w:pPr>
      <w:r>
        <w:rPr>
          <w:rFonts w:hint="eastAsia" w:ascii="宋体"/>
          <w:color w:val="auto"/>
          <w:sz w:val="24"/>
          <w:highlight w:val="none"/>
          <w:lang w:val="zh-CN"/>
        </w:rPr>
        <w:t>③</w:t>
      </w:r>
      <w:r>
        <w:rPr>
          <w:color w:val="auto"/>
          <w:sz w:val="24"/>
          <w:highlight w:val="none"/>
        </w:rPr>
        <w:t>逾期送达的或者未送达指定地点的，招标人不予受理。</w:t>
      </w:r>
    </w:p>
    <w:p>
      <w:pPr>
        <w:autoSpaceDE w:val="0"/>
        <w:autoSpaceDN w:val="0"/>
        <w:adjustRightInd w:val="0"/>
        <w:spacing w:line="360" w:lineRule="auto"/>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.投标文件的修改或撤回</w:t>
      </w:r>
    </w:p>
    <w:p>
      <w:pPr>
        <w:spacing w:line="360" w:lineRule="auto"/>
        <w:ind w:firstLine="480" w:firstLineChars="200"/>
        <w:rPr>
          <w:rFonts w:ascii="宋体"/>
          <w:color w:val="auto"/>
          <w:sz w:val="24"/>
          <w:highlight w:val="none"/>
          <w:lang w:val="zh-CN"/>
        </w:rPr>
      </w:pPr>
      <w:r>
        <w:rPr>
          <w:rFonts w:hint="eastAsia" w:ascii="宋体" w:hAnsi="宋体"/>
          <w:color w:val="auto"/>
          <w:sz w:val="24"/>
          <w:highlight w:val="none"/>
          <w:lang w:val="zh-CN"/>
        </w:rPr>
        <w:t>①</w:t>
      </w:r>
      <w:r>
        <w:rPr>
          <w:rFonts w:hint="eastAsia" w:ascii="宋体"/>
          <w:color w:val="auto"/>
          <w:sz w:val="24"/>
          <w:highlight w:val="none"/>
          <w:lang w:val="zh-CN"/>
        </w:rPr>
        <w:t>在提交投标文件截止时间前，投标人可对已提交的投标文件进行修改或撤回,修改或撤回应以书面形式通知招标代理机构。</w:t>
      </w:r>
    </w:p>
    <w:p>
      <w:pPr>
        <w:spacing w:line="360" w:lineRule="auto"/>
        <w:ind w:firstLine="480" w:firstLineChars="200"/>
        <w:rPr>
          <w:rFonts w:ascii="宋体"/>
          <w:color w:val="auto"/>
          <w:sz w:val="24"/>
          <w:highlight w:val="none"/>
          <w:lang w:val="zh-CN"/>
        </w:rPr>
      </w:pPr>
      <w:r>
        <w:rPr>
          <w:rFonts w:hint="eastAsia" w:ascii="宋体" w:hAnsi="宋体"/>
          <w:color w:val="auto"/>
          <w:sz w:val="24"/>
          <w:highlight w:val="none"/>
          <w:lang w:val="zh-CN"/>
        </w:rPr>
        <w:t>②</w:t>
      </w:r>
      <w:r>
        <w:rPr>
          <w:rFonts w:hint="eastAsia" w:ascii="宋体"/>
          <w:color w:val="auto"/>
          <w:sz w:val="24"/>
          <w:highlight w:val="none"/>
          <w:lang w:val="zh-CN"/>
        </w:rPr>
        <w:t>修改后重新提交的投标文件应按招标文件的规定编制、密封、标记和提交。</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③在投标文件提交截止时间后,投标人不得修改或撤回已提交的投标文件。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宋体"/>
          <w:color w:val="auto"/>
          <w:sz w:val="24"/>
          <w:highlight w:val="none"/>
          <w:lang w:val="zh-CN"/>
        </w:rPr>
        <w:t>④投标文件不得涂改，若有修改错漏处，须加盖投标人公章。投标文件因字迹模糊或表达不清引起的后果由投标人负责。</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8"/>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pPr>
        <w:pStyle w:val="8"/>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pPr>
        <w:pStyle w:val="8"/>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GB"/>
        </w:rPr>
        <w:t>投标人可拒绝接受延期要求而不会导致投标保证金被没收。同意延长有效期的投标人需要相应延长投标</w:t>
      </w:r>
      <w:r>
        <w:rPr>
          <w:rFonts w:asciiTheme="minorEastAsia" w:hAnsiTheme="minorEastAsia" w:eastAsiaTheme="minorEastAsia"/>
          <w:color w:val="auto"/>
          <w:sz w:val="24"/>
          <w:highlight w:val="none"/>
        </w:rPr>
        <w:t>保证金的有效期，但不能修改投标文件。</w:t>
      </w:r>
    </w:p>
    <w:p>
      <w:pPr>
        <w:spacing w:line="360" w:lineRule="auto"/>
        <w:ind w:firstLine="480" w:firstLineChars="200"/>
        <w:rPr>
          <w:rStyle w:val="54"/>
          <w:rFonts w:ascii="宋体" w:hAnsi="宋体"/>
          <w:b w:val="0"/>
          <w:bCs w:val="0"/>
          <w:color w:val="auto"/>
          <w:sz w:val="24"/>
          <w:highlight w:val="none"/>
        </w:rPr>
      </w:pPr>
      <w:r>
        <w:rPr>
          <w:rStyle w:val="54"/>
          <w:rFonts w:ascii="宋体" w:hAnsi="宋体"/>
          <w:b w:val="0"/>
          <w:bCs w:val="0"/>
          <w:color w:val="auto"/>
          <w:sz w:val="24"/>
          <w:highlight w:val="none"/>
        </w:rPr>
        <w:t>4</w:t>
      </w:r>
      <w:r>
        <w:rPr>
          <w:rStyle w:val="54"/>
          <w:rFonts w:hint="eastAsia" w:ascii="宋体" w:hAnsi="宋体"/>
          <w:b w:val="0"/>
          <w:bCs w:val="0"/>
          <w:color w:val="auto"/>
          <w:sz w:val="24"/>
          <w:highlight w:val="none"/>
        </w:rPr>
        <w:t>.</w:t>
      </w:r>
      <w:r>
        <w:rPr>
          <w:rStyle w:val="54"/>
          <w:rFonts w:ascii="宋体" w:hAnsi="宋体"/>
          <w:b w:val="0"/>
          <w:bCs w:val="0"/>
          <w:color w:val="auto"/>
          <w:sz w:val="24"/>
          <w:highlight w:val="none"/>
        </w:rPr>
        <w:t>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四、投标保证金</w:t>
      </w:r>
    </w:p>
    <w:p>
      <w:pPr>
        <w:spacing w:line="360" w:lineRule="auto"/>
        <w:ind w:firstLine="480" w:firstLineChars="200"/>
        <w:rPr>
          <w:rStyle w:val="54"/>
          <w:rFonts w:ascii="宋体" w:hAnsi="宋体"/>
          <w:b w:val="0"/>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w:t>
      </w:r>
      <w:r>
        <w:rPr>
          <w:rStyle w:val="54"/>
          <w:rFonts w:hint="eastAsia" w:ascii="宋体" w:hAnsi="宋体"/>
          <w:b w:val="0"/>
          <w:color w:val="auto"/>
          <w:sz w:val="24"/>
          <w:highlight w:val="none"/>
        </w:rPr>
        <w:t>中标供应商的投标保证金在合同签订后五个工作日内凭合同无息退还。</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lang w:val="zh-CN"/>
        </w:rPr>
        <w:t>2</w:t>
      </w:r>
      <w:r>
        <w:rPr>
          <w:rFonts w:hint="eastAsia" w:ascii="宋体" w:hAnsi="宋体" w:cs="宋体"/>
          <w:color w:val="auto"/>
          <w:kern w:val="0"/>
          <w:sz w:val="24"/>
          <w:highlight w:val="none"/>
        </w:rPr>
        <w:t>.</w:t>
      </w:r>
      <w:r>
        <w:rPr>
          <w:rStyle w:val="54"/>
          <w:rFonts w:hint="eastAsia" w:ascii="宋体" w:hAnsi="宋体"/>
          <w:b w:val="0"/>
          <w:color w:val="auto"/>
          <w:sz w:val="24"/>
          <w:highlight w:val="none"/>
        </w:rPr>
        <w:t>未中标供应商的投标保证金将在当日或次日开始无息退还，如现金收取的当场退还。</w:t>
      </w:r>
    </w:p>
    <w:p>
      <w:pPr>
        <w:spacing w:line="360" w:lineRule="auto"/>
        <w:ind w:firstLine="480" w:firstLineChars="200"/>
        <w:rPr>
          <w:rFonts w:cs="宋体"/>
          <w:color w:val="auto"/>
          <w:kern w:val="0"/>
          <w:sz w:val="24"/>
          <w:highlight w:val="none"/>
        </w:rPr>
      </w:pPr>
      <w:r>
        <w:rPr>
          <w:rFonts w:hint="eastAsia" w:cs="宋体"/>
          <w:color w:val="auto"/>
          <w:kern w:val="0"/>
          <w:sz w:val="24"/>
          <w:highlight w:val="none"/>
        </w:rPr>
        <w:t>3.发生下列情况之一，投标保证金将不予退还：</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（1）投标人在投标有效期内撤回投标文件或放弃中标资格的；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投标人在投标过程中弄虚作假，提供虚假材料</w:t>
      </w:r>
      <w:r>
        <w:rPr>
          <w:rFonts w:hint="eastAsia" w:ascii="宋体" w:hAnsi="宋体" w:cs="宋体"/>
          <w:color w:val="auto"/>
          <w:kern w:val="0"/>
          <w:sz w:val="24"/>
          <w:highlight w:val="none"/>
        </w:rPr>
        <w:t>的</w:t>
      </w:r>
      <w:r>
        <w:rPr>
          <w:rFonts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（3）中标供应商拒绝与招标人签订合同的；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（4）将中标项目转让给他人，或者在投标文件中未说明且未经招标人同意，将中标项目分包给他人的；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（5）拒绝履行合同义务的；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（6）其他严重扰乱招投标程序的；</w:t>
      </w:r>
    </w:p>
    <w:p>
      <w:pPr>
        <w:tabs>
          <w:tab w:val="left" w:pos="1418"/>
        </w:tabs>
        <w:autoSpaceDE w:val="0"/>
        <w:autoSpaceDN w:val="0"/>
        <w:adjustRightInd w:val="0"/>
        <w:spacing w:line="360" w:lineRule="auto"/>
        <w:ind w:firstLine="480" w:firstLineChars="200"/>
        <w:rPr>
          <w:rFonts w:ascii="宋体" w:hAnsi="宋体"/>
          <w:bCs/>
          <w:color w:val="auto"/>
          <w:sz w:val="24"/>
          <w:highlight w:val="none"/>
        </w:rPr>
      </w:pPr>
      <w:r>
        <w:rPr>
          <w:rFonts w:hint="eastAsia" w:ascii="宋体" w:hAnsi="宋体" w:cs="宋体"/>
          <w:color w:val="auto"/>
          <w:kern w:val="0"/>
          <w:sz w:val="24"/>
          <w:highlight w:val="none"/>
        </w:rPr>
        <w:t>（7）法律、法规明确规定的其他行为。</w:t>
      </w:r>
    </w:p>
    <w:p>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pPr>
        <w:autoSpaceDE w:val="0"/>
        <w:autoSpaceDN w:val="0"/>
        <w:adjustRightIn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1.招标代理机构将在“招标公告”规定的时间和地点进行开标，</w:t>
      </w:r>
      <w:r>
        <w:rPr>
          <w:rFonts w:hAnsi="宋体"/>
          <w:color w:val="auto"/>
          <w:sz w:val="24"/>
          <w:highlight w:val="none"/>
          <w:u w:val="single"/>
        </w:rPr>
        <w:t>开标会由</w:t>
      </w:r>
      <w:r>
        <w:rPr>
          <w:rFonts w:hint="eastAsia" w:hAnsi="宋体"/>
          <w:color w:val="auto"/>
          <w:sz w:val="24"/>
          <w:highlight w:val="none"/>
          <w:u w:val="single"/>
        </w:rPr>
        <w:t>招标代理机构工作人员</w:t>
      </w:r>
      <w:r>
        <w:rPr>
          <w:rFonts w:hAnsi="宋体"/>
          <w:color w:val="auto"/>
          <w:sz w:val="24"/>
          <w:highlight w:val="none"/>
          <w:u w:val="single"/>
        </w:rPr>
        <w:t>主持</w:t>
      </w:r>
      <w:r>
        <w:rPr>
          <w:rFonts w:hint="eastAsia" w:hAnsi="宋体"/>
          <w:color w:val="auto"/>
          <w:sz w:val="24"/>
          <w:highlight w:val="none"/>
          <w:u w:val="single"/>
        </w:rPr>
        <w:t>，</w:t>
      </w:r>
      <w:r>
        <w:rPr>
          <w:rFonts w:hint="eastAsia" w:ascii="宋体" w:hAnsi="宋体"/>
          <w:color w:val="auto"/>
          <w:sz w:val="24"/>
          <w:highlight w:val="none"/>
          <w:u w:val="single"/>
        </w:rPr>
        <w:t>所有投标人均应准时参加开标会。投标截止时间前各投标人的法定代表人</w:t>
      </w:r>
      <w:r>
        <w:rPr>
          <w:rFonts w:hint="eastAsia" w:ascii="Arial" w:hAnsi="Arial" w:cs="Arial"/>
          <w:color w:val="auto"/>
          <w:sz w:val="24"/>
          <w:highlight w:val="none"/>
          <w:u w:val="single"/>
        </w:rPr>
        <w:t>（或营业执照中明确的负责人）</w:t>
      </w:r>
      <w:r>
        <w:rPr>
          <w:rFonts w:hint="eastAsia" w:ascii="宋体" w:hAnsi="宋体"/>
          <w:color w:val="auto"/>
          <w:sz w:val="24"/>
          <w:highlight w:val="none"/>
          <w:u w:val="single"/>
        </w:rPr>
        <w:t>或其全权代表应出具身份证原件，若为全权代表参加的还须提供《授权委托书》原件（格式参照相关附件内容）。</w:t>
      </w:r>
      <w:r>
        <w:rPr>
          <w:rFonts w:hint="eastAsia" w:ascii="宋体" w:hAnsi="宋体"/>
          <w:b/>
          <w:bCs/>
          <w:color w:val="auto"/>
          <w:sz w:val="24"/>
          <w:highlight w:val="none"/>
          <w:u w:val="single"/>
        </w:rPr>
        <w:t>授权委托书另随身携带1份。</w:t>
      </w:r>
      <w:r>
        <w:rPr>
          <w:rFonts w:hint="eastAsia" w:ascii="宋体" w:hAnsi="宋体"/>
          <w:color w:val="auto"/>
          <w:sz w:val="24"/>
          <w:highlight w:val="none"/>
          <w:u w:val="single"/>
        </w:rPr>
        <w:t>投标人的法定代表人</w:t>
      </w:r>
      <w:r>
        <w:rPr>
          <w:rFonts w:hint="eastAsia" w:ascii="Arial" w:hAnsi="Arial" w:cs="Arial"/>
          <w:color w:val="auto"/>
          <w:sz w:val="24"/>
          <w:highlight w:val="none"/>
          <w:u w:val="single"/>
        </w:rPr>
        <w:t>（或营业执照中明确的负责人）</w:t>
      </w:r>
      <w:r>
        <w:rPr>
          <w:rFonts w:hint="eastAsia" w:ascii="宋体" w:hAnsi="宋体"/>
          <w:color w:val="auto"/>
          <w:sz w:val="24"/>
          <w:highlight w:val="none"/>
          <w:u w:val="single"/>
        </w:rPr>
        <w:t>或其全权代表未参加开标会议或迟到的，事后不得对采购相关人员、项目开标过程和评标结果提出异议。评标委员会成员不得参加开标活动。</w:t>
      </w:r>
    </w:p>
    <w:p>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2.本次开标直接拆封、评审资格证明文件和商务与技术文件。</w:t>
      </w:r>
    </w:p>
    <w:p>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3.核验出席开标活动现场的各投标人代表及相关单位人员身份，并组织其分别登记、签到，无关人员可拒绝其进入现场。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4.招标代理机构工作人员接收投标文件并登记，并由供应商代表对递交记录情况进行签字确认。</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5.</w:t>
      </w:r>
      <w:r>
        <w:rPr>
          <w:rFonts w:hAnsi="宋体"/>
          <w:color w:val="auto"/>
          <w:sz w:val="24"/>
          <w:highlight w:val="none"/>
        </w:rPr>
        <w:t>主持人宣布</w:t>
      </w:r>
      <w:r>
        <w:rPr>
          <w:rFonts w:hint="eastAsia" w:hAnsi="宋体"/>
          <w:color w:val="auto"/>
          <w:sz w:val="24"/>
          <w:highlight w:val="none"/>
        </w:rPr>
        <w:t>开标，介绍开标现场的人员情况，宣读提交投标文件的投标人名单、开标纪律、应当回避的情形等注意事项。</w:t>
      </w:r>
    </w:p>
    <w:p>
      <w:pPr>
        <w:pStyle w:val="1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6.对投标保证金缴纳情况进行查验、核实，提请投标人或者其推选的代表检查投标文件密封情况。 </w:t>
      </w:r>
    </w:p>
    <w:p>
      <w:pPr>
        <w:pStyle w:val="1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7.按投标人提交投标文件的先后顺序当众拆封、清点资格证明文件以及商务与技术文件（包括正本、副本）数量。拆封后的资格证明文件以及商务与技术文件由现场工作人员护送至指定的评审地点。对于正副本数量和装订不符合招标文件要求的投标文件，由现场工作人员当场退还投标人代表并由其签字确认。</w:t>
      </w:r>
    </w:p>
    <w:p>
      <w:pPr>
        <w:pStyle w:val="1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8.开标结束后，评标委员会依法对投标人的资格进行审查。</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9</w:t>
      </w:r>
      <w:r>
        <w:rPr>
          <w:rFonts w:hint="eastAsia" w:ascii="宋体" w:hAnsi="宋体" w:cs="宋体"/>
          <w:color w:val="auto"/>
          <w:sz w:val="24"/>
          <w:highlight w:val="none"/>
        </w:rPr>
        <w:t>.商务与技术文件评审结束后，主持人宣告商务与技术文件评审无效投标人名称及理由；公布经商务与技术文件评审符合采购需求的投标人名单以及商务与技术文件得分情况。</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0</w:t>
      </w:r>
      <w:r>
        <w:rPr>
          <w:rFonts w:hint="eastAsia" w:ascii="宋体" w:hAnsi="宋体" w:cs="宋体"/>
          <w:color w:val="auto"/>
          <w:sz w:val="24"/>
          <w:highlight w:val="none"/>
        </w:rPr>
        <w:t>.主持人公布综合得分以及中标候选人排序名单。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r>
        <w:rPr>
          <w:rFonts w:hint="eastAsia" w:ascii="宋体" w:hAnsi="宋体" w:cs="宋体"/>
          <w:color w:val="auto"/>
          <w:sz w:val="24"/>
          <w:highlight w:val="none"/>
        </w:rPr>
        <w:t>.开标会议结束。</w:t>
      </w:r>
    </w:p>
    <w:p>
      <w:pPr>
        <w:autoSpaceDE w:val="0"/>
        <w:autoSpaceDN w:val="0"/>
        <w:adjustRightInd w:val="0"/>
        <w:spacing w:line="360" w:lineRule="auto"/>
        <w:jc w:val="left"/>
        <w:rPr>
          <w:rFonts w:ascii="宋体"/>
          <w:b/>
          <w:bCs/>
          <w:color w:val="auto"/>
          <w:sz w:val="24"/>
          <w:highlight w:val="none"/>
          <w:lang w:val="zh-CN"/>
        </w:rPr>
      </w:pPr>
      <w:r>
        <w:rPr>
          <w:rFonts w:hint="eastAsia" w:ascii="宋体"/>
          <w:b/>
          <w:bCs/>
          <w:color w:val="auto"/>
          <w:sz w:val="24"/>
          <w:highlight w:val="none"/>
          <w:lang w:val="zh-CN"/>
        </w:rPr>
        <w:t>六、评标</w:t>
      </w:r>
    </w:p>
    <w:p>
      <w:pPr>
        <w:autoSpaceDE w:val="0"/>
        <w:autoSpaceDN w:val="0"/>
        <w:adjustRightInd w:val="0"/>
        <w:spacing w:line="360" w:lineRule="auto"/>
        <w:ind w:firstLine="480" w:firstLineChars="200"/>
        <w:jc w:val="left"/>
        <w:rPr>
          <w:rFonts w:ascii="宋体"/>
          <w:b/>
          <w:color w:val="auto"/>
          <w:sz w:val="24"/>
          <w:highlight w:val="none"/>
          <w:lang w:val="zh-CN"/>
        </w:rPr>
      </w:pPr>
      <w:r>
        <w:rPr>
          <w:rFonts w:hint="eastAsia" w:ascii="宋体"/>
          <w:color w:val="auto"/>
          <w:sz w:val="24"/>
          <w:highlight w:val="none"/>
          <w:lang w:val="zh-CN"/>
        </w:rPr>
        <w:t>评标工作由按有关规定组建的评标委员会负责。评标委员会由</w:t>
      </w:r>
      <w:r>
        <w:rPr>
          <w:rFonts w:hint="eastAsia" w:ascii="宋体"/>
          <w:color w:val="auto"/>
          <w:sz w:val="24"/>
          <w:highlight w:val="none"/>
        </w:rPr>
        <w:t>招标</w:t>
      </w:r>
      <w:r>
        <w:rPr>
          <w:rFonts w:hint="eastAsia" w:ascii="宋体"/>
          <w:color w:val="auto"/>
          <w:sz w:val="24"/>
          <w:highlight w:val="none"/>
          <w:lang w:val="zh-CN"/>
        </w:rPr>
        <w:t>人熟悉相关业务的代表，以及有关技术、经济等方面的专家组成</w:t>
      </w:r>
      <w:r>
        <w:rPr>
          <w:rFonts w:hint="eastAsia" w:ascii="宋体"/>
          <w:color w:val="auto"/>
          <w:sz w:val="24"/>
          <w:highlight w:val="none"/>
        </w:rPr>
        <w:t>。</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（一）组织评标程序</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招标代理机构将按照招标文件规定的时间、地点和程序组织评标，各评审专家及相关人员应参加评审活动并接受核验、签到，无关人员不得进入评审现场。</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hint="eastAsia" w:ascii="宋体"/>
          <w:color w:val="auto"/>
          <w:sz w:val="24"/>
          <w:highlight w:val="none"/>
          <w:lang w:val="zh-CN"/>
        </w:rPr>
        <w:t>核验出席评审活动现场的评标委员会各成员和相关监督人员身份，并要求其登记、签到，按规定统一收缴、保存其通讯工具，无关人员一律拒绝其进入评审现场。</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介绍评审现场的人员情况，宣布评审工作纪律，告知评审人员应当回避情形；组织推选评标委员会组长。</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宣读提交投标文件的供应商名单。</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4</w:t>
      </w:r>
      <w:r>
        <w:rPr>
          <w:rFonts w:hint="eastAsia" w:ascii="宋体"/>
          <w:color w:val="auto"/>
          <w:sz w:val="24"/>
          <w:highlight w:val="none"/>
        </w:rPr>
        <w:t>.</w:t>
      </w:r>
      <w:r>
        <w:rPr>
          <w:rFonts w:hint="eastAsia" w:ascii="宋体"/>
          <w:color w:val="auto"/>
          <w:sz w:val="24"/>
          <w:highlight w:val="none"/>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5</w:t>
      </w:r>
      <w:r>
        <w:rPr>
          <w:rFonts w:hint="eastAsia" w:ascii="宋体"/>
          <w:color w:val="auto"/>
          <w:sz w:val="24"/>
          <w:highlight w:val="none"/>
        </w:rPr>
        <w:t>.</w:t>
      </w:r>
      <w:r>
        <w:rPr>
          <w:rFonts w:hint="eastAsia" w:ascii="宋体"/>
          <w:color w:val="auto"/>
          <w:sz w:val="24"/>
          <w:highlight w:val="none"/>
          <w:lang w:val="zh-CN"/>
        </w:rPr>
        <w:t>评标委员会组长组织评审人员独立评审。评标委员会对拟认定为投标文件无效，应组织相关供应商代表进行陈述、澄清或申辩；招标代理机构可协助评标委员会组长对打分结果进行校对、核对。</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6</w:t>
      </w:r>
      <w:r>
        <w:rPr>
          <w:rFonts w:hint="eastAsia" w:ascii="宋体"/>
          <w:color w:val="auto"/>
          <w:sz w:val="24"/>
          <w:highlight w:val="none"/>
        </w:rPr>
        <w:t>.</w:t>
      </w:r>
      <w:r>
        <w:rPr>
          <w:rFonts w:hint="eastAsia" w:ascii="宋体"/>
          <w:color w:val="auto"/>
          <w:sz w:val="24"/>
          <w:highlight w:val="none"/>
          <w:lang w:val="zh-CN"/>
        </w:rPr>
        <w:t>做好评审现场相关记录，协助评标委员会组长做好评审报告起草、有关内容电脑文字录入等工作，并要求评标委员会各成员签字确认。</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7</w:t>
      </w:r>
      <w:r>
        <w:rPr>
          <w:rFonts w:hint="eastAsia" w:ascii="宋体"/>
          <w:color w:val="auto"/>
          <w:sz w:val="24"/>
          <w:highlight w:val="none"/>
        </w:rPr>
        <w:t>.</w:t>
      </w:r>
      <w:r>
        <w:rPr>
          <w:rFonts w:hint="eastAsia" w:ascii="宋体"/>
          <w:color w:val="auto"/>
          <w:sz w:val="24"/>
          <w:highlight w:val="none"/>
          <w:lang w:val="zh-CN"/>
        </w:rPr>
        <w:t>评审结束后，招标代理机构应对评标委员会各成员的专业水平、职业道德、遵纪守法等情况进行评价；同时按规定向评审专家发放评审费，并交还评审人员及其他现场相关人员的通讯工具。</w:t>
      </w:r>
    </w:p>
    <w:p>
      <w:pPr>
        <w:spacing w:line="360" w:lineRule="auto"/>
        <w:ind w:right="84" w:firstLine="482" w:firstLineChars="200"/>
        <w:rPr>
          <w:rFonts w:ascii="宋体" w:hAnsi="宋体"/>
          <w:color w:val="auto"/>
          <w:sz w:val="24"/>
          <w:highlight w:val="none"/>
        </w:rPr>
      </w:pPr>
      <w:r>
        <w:rPr>
          <w:rFonts w:hint="eastAsia" w:ascii="宋体"/>
          <w:b/>
          <w:color w:val="auto"/>
          <w:sz w:val="24"/>
          <w:highlight w:val="none"/>
          <w:lang w:val="zh-CN"/>
        </w:rPr>
        <w:t>（二）评标委员会评审程序</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在评审专家中推选</w:t>
      </w:r>
      <w:r>
        <w:rPr>
          <w:rFonts w:hint="eastAsia" w:ascii="宋体" w:hAnsi="宋体"/>
          <w:color w:val="auto"/>
          <w:sz w:val="24"/>
          <w:highlight w:val="none"/>
        </w:rPr>
        <w:t>评标委员会</w:t>
      </w:r>
      <w:r>
        <w:rPr>
          <w:rFonts w:ascii="宋体" w:hAnsi="宋体"/>
          <w:color w:val="auto"/>
          <w:sz w:val="24"/>
          <w:highlight w:val="none"/>
        </w:rPr>
        <w:t>组长，优先推选资深专家为组长。</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2.评审人员应认真</w:t>
      </w:r>
      <w:r>
        <w:rPr>
          <w:rFonts w:ascii="宋体" w:hAnsi="宋体"/>
          <w:color w:val="auto"/>
          <w:sz w:val="24"/>
          <w:highlight w:val="none"/>
        </w:rPr>
        <w:t>阅读</w:t>
      </w:r>
      <w:r>
        <w:rPr>
          <w:rFonts w:hint="eastAsia" w:ascii="宋体" w:hAnsi="宋体"/>
          <w:color w:val="auto"/>
          <w:sz w:val="24"/>
          <w:highlight w:val="none"/>
        </w:rPr>
        <w:t>招标</w:t>
      </w:r>
      <w:r>
        <w:rPr>
          <w:rFonts w:ascii="宋体" w:hAnsi="宋体"/>
          <w:color w:val="auto"/>
          <w:sz w:val="24"/>
          <w:highlight w:val="none"/>
        </w:rPr>
        <w:t>文件以及相关补充、质疑、答复文件、项目书面说明等材料，熟悉</w:t>
      </w:r>
      <w:r>
        <w:rPr>
          <w:rFonts w:hint="eastAsia" w:ascii="宋体" w:hAnsi="宋体"/>
          <w:color w:val="auto"/>
          <w:sz w:val="24"/>
          <w:highlight w:val="none"/>
        </w:rPr>
        <w:t>采购</w:t>
      </w:r>
      <w:r>
        <w:rPr>
          <w:rFonts w:ascii="宋体" w:hAnsi="宋体"/>
          <w:color w:val="auto"/>
          <w:sz w:val="24"/>
          <w:highlight w:val="none"/>
        </w:rPr>
        <w:t>项目的基本概况，</w:t>
      </w:r>
      <w:r>
        <w:rPr>
          <w:rFonts w:hint="eastAsia" w:ascii="宋体" w:hAnsi="宋体"/>
          <w:color w:val="auto"/>
          <w:sz w:val="24"/>
          <w:highlight w:val="none"/>
        </w:rPr>
        <w:t>采购</w:t>
      </w:r>
      <w:r>
        <w:rPr>
          <w:rFonts w:ascii="宋体" w:hAnsi="宋体"/>
          <w:color w:val="auto"/>
          <w:sz w:val="24"/>
          <w:highlight w:val="none"/>
        </w:rPr>
        <w:t>项目的质量要求、数量、主要技术标准或服务需求，采购合同主要条款，</w:t>
      </w:r>
      <w:r>
        <w:rPr>
          <w:rFonts w:hint="eastAsia" w:ascii="宋体" w:hAnsi="宋体"/>
          <w:color w:val="auto"/>
          <w:sz w:val="24"/>
          <w:highlight w:val="none"/>
        </w:rPr>
        <w:t>投标文件</w:t>
      </w:r>
      <w:r>
        <w:rPr>
          <w:rFonts w:ascii="宋体" w:hAnsi="宋体"/>
          <w:color w:val="auto"/>
          <w:sz w:val="24"/>
          <w:highlight w:val="none"/>
        </w:rPr>
        <w:t>无效情形，评审方法、评审依据、评审标准等。</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评审人员对各</w:t>
      </w:r>
      <w:r>
        <w:rPr>
          <w:rFonts w:hint="eastAsia" w:ascii="宋体" w:hAnsi="宋体"/>
          <w:color w:val="auto"/>
          <w:sz w:val="24"/>
          <w:highlight w:val="none"/>
        </w:rPr>
        <w:t>投标人投标</w:t>
      </w:r>
      <w:r>
        <w:rPr>
          <w:rFonts w:ascii="宋体" w:hAnsi="宋体"/>
          <w:color w:val="auto"/>
          <w:sz w:val="24"/>
          <w:highlight w:val="none"/>
        </w:rPr>
        <w:t>文件的有效性、完整性和响应程度进行审查，确定是否对</w:t>
      </w:r>
      <w:r>
        <w:rPr>
          <w:rFonts w:hint="eastAsia" w:ascii="宋体" w:hAnsi="宋体"/>
          <w:color w:val="auto"/>
          <w:sz w:val="24"/>
          <w:highlight w:val="none"/>
        </w:rPr>
        <w:t>招标</w:t>
      </w:r>
      <w:r>
        <w:rPr>
          <w:rFonts w:ascii="宋体" w:hAnsi="宋体"/>
          <w:color w:val="auto"/>
          <w:sz w:val="24"/>
          <w:highlight w:val="none"/>
        </w:rPr>
        <w:t>文件作出实质性响应。</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评审人员按</w:t>
      </w:r>
      <w:r>
        <w:rPr>
          <w:rFonts w:hint="eastAsia" w:ascii="宋体" w:hAnsi="宋体"/>
          <w:color w:val="auto"/>
          <w:sz w:val="24"/>
          <w:highlight w:val="none"/>
        </w:rPr>
        <w:t>招标</w:t>
      </w:r>
      <w:r>
        <w:rPr>
          <w:rFonts w:ascii="宋体" w:hAnsi="宋体"/>
          <w:color w:val="auto"/>
          <w:sz w:val="24"/>
          <w:highlight w:val="none"/>
        </w:rPr>
        <w:t>文件规定的评审方法和评审标准，依法独立对</w:t>
      </w:r>
      <w:r>
        <w:rPr>
          <w:rFonts w:hint="eastAsia" w:ascii="宋体" w:hAnsi="宋体"/>
          <w:color w:val="auto"/>
          <w:sz w:val="24"/>
          <w:highlight w:val="none"/>
        </w:rPr>
        <w:t>各投标人投标</w:t>
      </w:r>
      <w:r>
        <w:rPr>
          <w:rFonts w:ascii="宋体" w:hAnsi="宋体"/>
          <w:color w:val="auto"/>
          <w:sz w:val="24"/>
          <w:highlight w:val="none"/>
        </w:rPr>
        <w:t>文件进行评估、比较，并给予评价或打分，不受任何单位和个人的干预。</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评审人员对各</w:t>
      </w:r>
      <w:r>
        <w:rPr>
          <w:rFonts w:hint="eastAsia" w:ascii="宋体" w:hAnsi="宋体"/>
          <w:color w:val="auto"/>
          <w:sz w:val="24"/>
          <w:highlight w:val="none"/>
        </w:rPr>
        <w:t>投标人投标文件</w:t>
      </w:r>
      <w:r>
        <w:rPr>
          <w:rFonts w:ascii="宋体" w:hAnsi="宋体"/>
          <w:color w:val="auto"/>
          <w:sz w:val="24"/>
          <w:highlight w:val="none"/>
        </w:rPr>
        <w:t>非实质性内容有疑议或异议，或者审查发现明显的文字或计算错误等，及时向</w:t>
      </w:r>
      <w:r>
        <w:rPr>
          <w:rFonts w:hint="eastAsia" w:ascii="宋体" w:hAnsi="宋体"/>
          <w:color w:val="auto"/>
          <w:sz w:val="24"/>
          <w:highlight w:val="none"/>
        </w:rPr>
        <w:t>评标委员会</w:t>
      </w:r>
      <w:r>
        <w:rPr>
          <w:rFonts w:ascii="宋体" w:hAnsi="宋体"/>
          <w:color w:val="auto"/>
          <w:sz w:val="24"/>
          <w:highlight w:val="none"/>
        </w:rPr>
        <w:t>组长提出。经</w:t>
      </w:r>
      <w:r>
        <w:rPr>
          <w:rFonts w:hint="eastAsia" w:ascii="宋体" w:hAnsi="宋体"/>
          <w:color w:val="auto"/>
          <w:sz w:val="24"/>
          <w:highlight w:val="none"/>
        </w:rPr>
        <w:t>评标委员会</w:t>
      </w:r>
      <w:r>
        <w:rPr>
          <w:rFonts w:ascii="宋体" w:hAnsi="宋体"/>
          <w:color w:val="auto"/>
          <w:sz w:val="24"/>
          <w:highlight w:val="none"/>
        </w:rPr>
        <w:t>商议认为需要</w:t>
      </w:r>
      <w:r>
        <w:rPr>
          <w:rFonts w:hint="eastAsia" w:ascii="宋体" w:hAnsi="宋体"/>
          <w:color w:val="auto"/>
          <w:sz w:val="24"/>
          <w:highlight w:val="none"/>
        </w:rPr>
        <w:t>投标人</w:t>
      </w:r>
      <w:r>
        <w:rPr>
          <w:rFonts w:ascii="宋体" w:hAnsi="宋体"/>
          <w:color w:val="auto"/>
          <w:sz w:val="24"/>
          <w:highlight w:val="none"/>
        </w:rPr>
        <w:t>作出必要澄清或说明的，应通知该</w:t>
      </w:r>
      <w:r>
        <w:rPr>
          <w:rFonts w:hint="eastAsia" w:ascii="宋体" w:hAnsi="宋体"/>
          <w:color w:val="auto"/>
          <w:sz w:val="24"/>
          <w:highlight w:val="none"/>
        </w:rPr>
        <w:t>投标人</w:t>
      </w:r>
      <w:r>
        <w:rPr>
          <w:rFonts w:ascii="宋体" w:hAnsi="宋体"/>
          <w:color w:val="auto"/>
          <w:sz w:val="24"/>
          <w:highlight w:val="none"/>
        </w:rPr>
        <w:t>以书面形式作出澄清或说明</w:t>
      </w:r>
      <w:r>
        <w:rPr>
          <w:rFonts w:hint="eastAsia" w:ascii="宋体" w:hAnsi="宋体"/>
          <w:color w:val="auto"/>
          <w:sz w:val="24"/>
          <w:highlight w:val="none"/>
        </w:rPr>
        <w:t>。</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评审人员需对</w:t>
      </w:r>
      <w:r>
        <w:rPr>
          <w:rFonts w:hint="eastAsia" w:ascii="宋体" w:hAnsi="宋体"/>
          <w:color w:val="auto"/>
          <w:sz w:val="24"/>
          <w:highlight w:val="none"/>
        </w:rPr>
        <w:t>招标代理机构</w:t>
      </w:r>
      <w:r>
        <w:rPr>
          <w:rFonts w:ascii="宋体" w:hAnsi="宋体"/>
          <w:color w:val="auto"/>
          <w:sz w:val="24"/>
          <w:highlight w:val="none"/>
        </w:rPr>
        <w:t>工作人员唱</w:t>
      </w:r>
      <w:r>
        <w:rPr>
          <w:rFonts w:hint="eastAsia" w:ascii="宋体" w:hAnsi="宋体"/>
          <w:color w:val="auto"/>
          <w:sz w:val="24"/>
          <w:highlight w:val="none"/>
        </w:rPr>
        <w:t>标</w:t>
      </w:r>
      <w:r>
        <w:rPr>
          <w:rFonts w:ascii="宋体" w:hAnsi="宋体"/>
          <w:color w:val="auto"/>
          <w:sz w:val="24"/>
          <w:highlight w:val="none"/>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评</w:t>
      </w:r>
      <w:r>
        <w:rPr>
          <w:rFonts w:hint="eastAsia" w:ascii="宋体" w:hAnsi="宋体"/>
          <w:color w:val="auto"/>
          <w:sz w:val="24"/>
          <w:highlight w:val="none"/>
        </w:rPr>
        <w:t>标委员会</w:t>
      </w:r>
      <w:r>
        <w:rPr>
          <w:rFonts w:ascii="宋体" w:hAnsi="宋体"/>
          <w:color w:val="auto"/>
          <w:sz w:val="24"/>
          <w:highlight w:val="none"/>
        </w:rPr>
        <w:t>根据评审汇总情况和</w:t>
      </w:r>
      <w:r>
        <w:rPr>
          <w:rFonts w:hint="eastAsia" w:ascii="宋体" w:hAnsi="宋体"/>
          <w:color w:val="auto"/>
          <w:sz w:val="24"/>
          <w:highlight w:val="none"/>
        </w:rPr>
        <w:t>招标</w:t>
      </w:r>
      <w:r>
        <w:rPr>
          <w:rFonts w:ascii="宋体" w:hAnsi="宋体"/>
          <w:color w:val="auto"/>
          <w:sz w:val="24"/>
          <w:highlight w:val="none"/>
        </w:rPr>
        <w:t>文件规定确定中标候选</w:t>
      </w:r>
      <w:r>
        <w:rPr>
          <w:rFonts w:hint="eastAsia" w:ascii="宋体" w:hAnsi="宋体"/>
          <w:color w:val="auto"/>
          <w:sz w:val="24"/>
          <w:highlight w:val="none"/>
        </w:rPr>
        <w:t>人</w:t>
      </w:r>
      <w:r>
        <w:rPr>
          <w:rFonts w:ascii="宋体" w:hAnsi="宋体"/>
          <w:color w:val="auto"/>
          <w:sz w:val="24"/>
          <w:highlight w:val="none"/>
        </w:rPr>
        <w:t>排序名单。</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起草评审报告，所有评审人员须在评审报告上签字确认。</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（三）无效标与废标</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1.发生下列情况之一的投标文件被视为无效标：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（1）未按照招标文件的规定提交投标保证金的；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（2）投标文件未按招标文件要求签署、盖章的；</w:t>
      </w:r>
    </w:p>
    <w:p>
      <w:pPr>
        <w:autoSpaceDE w:val="0"/>
        <w:autoSpaceDN w:val="0"/>
        <w:spacing w:line="360"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（3）不具备招标文件中规定资格要求的；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（4）报价超过招标文件中规定的预算金额或者最高限价的；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（5）未实质性响应招标文件中打“</w:t>
      </w:r>
      <w:r>
        <w:rPr>
          <w:rFonts w:hint="eastAsia" w:ascii="宋体"/>
          <w:color w:val="auto"/>
          <w:sz w:val="24"/>
          <w:highlight w:val="none"/>
          <w:lang w:val="zh-CN"/>
        </w:rPr>
        <w:t>▲</w:t>
      </w:r>
      <w:r>
        <w:rPr>
          <w:rFonts w:hint="eastAsia" w:ascii="宋体" w:hAnsi="宋体"/>
          <w:color w:val="auto"/>
          <w:sz w:val="24"/>
          <w:highlight w:val="none"/>
        </w:rPr>
        <w:t>”条款或者投标文件含有招标人不能接受的附加条件的；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（6）投标文件实质性内容填写不全或模糊不清，无法辨认的；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（7）投标技术方案不明确，存在一个或一个以及备选（替代）投标方案的；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（8）投标有效期、工期、质保期、付款方式等条款不能满足招标文件要求的；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（9）法律、法规和招标文件规定的其他无效情形。</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2.发生下列情况之一的视为废标：</w:t>
      </w:r>
    </w:p>
    <w:p>
      <w:pPr>
        <w:autoSpaceDE w:val="0"/>
        <w:autoSpaceDN w:val="0"/>
        <w:spacing w:line="360" w:lineRule="auto"/>
        <w:ind w:firstLine="480" w:firstLineChars="200"/>
        <w:textAlignment w:val="bottom"/>
        <w:rPr>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、欺骗行为</w:t>
      </w:r>
      <w:r>
        <w:rPr>
          <w:rFonts w:ascii="宋体" w:hAnsi="宋体"/>
          <w:color w:val="auto"/>
          <w:sz w:val="24"/>
          <w:highlight w:val="none"/>
        </w:rPr>
        <w:t>的；</w:t>
      </w:r>
    </w:p>
    <w:p>
      <w:pPr>
        <w:autoSpaceDE w:val="0"/>
        <w:autoSpaceDN w:val="0"/>
        <w:spacing w:line="360" w:lineRule="auto"/>
        <w:ind w:firstLine="480" w:firstLineChars="200"/>
        <w:textAlignment w:val="bottom"/>
        <w:rPr>
          <w:color w:val="auto"/>
          <w:sz w:val="24"/>
          <w:highlight w:val="none"/>
        </w:rPr>
      </w:pPr>
      <w:r>
        <w:rPr>
          <w:rFonts w:hint="eastAsia"/>
          <w:color w:val="auto"/>
          <w:sz w:val="24"/>
          <w:highlight w:val="none"/>
        </w:rPr>
        <w:t>（2）</w:t>
      </w:r>
      <w:r>
        <w:rPr>
          <w:color w:val="auto"/>
          <w:sz w:val="24"/>
          <w:highlight w:val="none"/>
        </w:rPr>
        <w:t>因重大变故，采购任务取消的；</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（3）</w:t>
      </w:r>
      <w:r>
        <w:rPr>
          <w:rFonts w:hint="eastAsia" w:ascii="宋体" w:hAnsi="宋体"/>
          <w:color w:val="auto"/>
          <w:sz w:val="24"/>
          <w:highlight w:val="none"/>
        </w:rPr>
        <w:t>提交投标文件的供应商</w:t>
      </w:r>
      <w:r>
        <w:rPr>
          <w:rFonts w:hint="eastAsia"/>
          <w:color w:val="auto"/>
          <w:sz w:val="24"/>
          <w:highlight w:val="none"/>
        </w:rPr>
        <w:t>不足三家的；</w:t>
      </w:r>
    </w:p>
    <w:p>
      <w:pPr>
        <w:autoSpaceDE w:val="0"/>
        <w:autoSpaceDN w:val="0"/>
        <w:adjustRightInd w:val="0"/>
        <w:spacing w:line="360" w:lineRule="auto"/>
        <w:ind w:firstLine="480" w:firstLineChars="200"/>
        <w:rPr>
          <w:rFonts w:ascii="宋体"/>
          <w:b/>
          <w:color w:val="auto"/>
          <w:sz w:val="24"/>
          <w:highlight w:val="none"/>
        </w:rPr>
      </w:pPr>
      <w:r>
        <w:rPr>
          <w:color w:val="auto"/>
          <w:sz w:val="24"/>
          <w:highlight w:val="none"/>
        </w:rPr>
        <w:t>（</w:t>
      </w:r>
      <w:r>
        <w:rPr>
          <w:rFonts w:hint="eastAsia"/>
          <w:color w:val="auto"/>
          <w:sz w:val="24"/>
          <w:highlight w:val="none"/>
        </w:rPr>
        <w:t>4）法律法规和招标文件规定的其他导致评标无效的。</w:t>
      </w:r>
    </w:p>
    <w:p>
      <w:pPr>
        <w:autoSpaceDE w:val="0"/>
        <w:autoSpaceDN w:val="0"/>
        <w:adjustRightInd w:val="0"/>
        <w:spacing w:line="360" w:lineRule="auto"/>
        <w:ind w:right="84" w:firstLine="480"/>
        <w:rPr>
          <w:rFonts w:ascii="宋体"/>
          <w:b/>
          <w:color w:val="auto"/>
          <w:sz w:val="24"/>
          <w:highlight w:val="none"/>
          <w:lang w:val="zh-CN"/>
        </w:rPr>
      </w:pPr>
      <w:r>
        <w:rPr>
          <w:rFonts w:hint="eastAsia" w:ascii="宋体"/>
          <w:b/>
          <w:color w:val="auto"/>
          <w:sz w:val="24"/>
          <w:highlight w:val="none"/>
          <w:lang w:val="zh-CN"/>
        </w:rPr>
        <w:t>（四）错误修正</w:t>
      </w:r>
    </w:p>
    <w:p>
      <w:pPr>
        <w:autoSpaceDE w:val="0"/>
        <w:autoSpaceDN w:val="0"/>
        <w:adjustRightInd w:val="0"/>
        <w:spacing w:line="360" w:lineRule="auto"/>
        <w:ind w:firstLine="482"/>
        <w:rPr>
          <w:rFonts w:ascii="宋体" w:hAnsi="宋体"/>
          <w:color w:val="auto"/>
          <w:kern w:val="0"/>
          <w:sz w:val="24"/>
          <w:highlight w:val="none"/>
          <w:lang w:val="zh-CN"/>
        </w:rPr>
      </w:pPr>
      <w:r>
        <w:rPr>
          <w:rFonts w:hint="eastAsia" w:ascii="宋体" w:hAnsi="宋体"/>
          <w:color w:val="auto"/>
          <w:kern w:val="0"/>
          <w:sz w:val="24"/>
          <w:highlight w:val="none"/>
        </w:rPr>
        <w:t>投标文件报价出现前后不一致的，按照下列规定修正：</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②大写金额和小写金额不一致的，以大写金额为准；</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④总价金额与按单价汇总金额不一致的，以总价金额为准，合理调整单价；</w:t>
      </w:r>
    </w:p>
    <w:p>
      <w:pPr>
        <w:autoSpaceDE w:val="0"/>
        <w:autoSpaceDN w:val="0"/>
        <w:adjustRightInd w:val="0"/>
        <w:spacing w:line="360" w:lineRule="auto"/>
        <w:ind w:firstLine="482"/>
        <w:rPr>
          <w:rFonts w:ascii="宋体"/>
          <w:b/>
          <w:color w:val="auto"/>
          <w:sz w:val="24"/>
          <w:highlight w:val="none"/>
          <w:lang w:val="zh-CN"/>
        </w:rPr>
      </w:pPr>
      <w:r>
        <w:rPr>
          <w:rFonts w:hint="eastAsia" w:ascii="宋体" w:hAnsi="宋体"/>
          <w:color w:val="auto"/>
          <w:kern w:val="0"/>
          <w:sz w:val="24"/>
          <w:highlight w:val="none"/>
        </w:rPr>
        <w:t>如同时出现两种以上不一致的，按照前款规定的顺序修正。修正后的报价经投标人确认后产生约束力，投标人不确认的，其投标无效。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（五）评标原则和评标办法</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评标原则</w:t>
      </w:r>
      <w:r>
        <w:rPr>
          <w:rFonts w:hint="eastAsia" w:hAnsi="宋体"/>
          <w:color w:val="auto"/>
          <w:sz w:val="24"/>
          <w:highlight w:val="none"/>
        </w:rPr>
        <w:t>：</w:t>
      </w:r>
      <w:r>
        <w:rPr>
          <w:rFonts w:hAnsi="宋体"/>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.评标办法：</w:t>
      </w:r>
      <w:r>
        <w:rPr>
          <w:rFonts w:hAnsi="宋体"/>
          <w:color w:val="auto"/>
          <w:sz w:val="24"/>
          <w:highlight w:val="none"/>
        </w:rPr>
        <w:t>具体评标内容及评分标准等详见</w:t>
      </w:r>
      <w:r>
        <w:rPr>
          <w:rFonts w:hint="eastAsia" w:hAnsi="宋体"/>
          <w:color w:val="auto"/>
          <w:sz w:val="24"/>
          <w:highlight w:val="none"/>
        </w:rPr>
        <w:t>本招标文件“第三章”</w:t>
      </w:r>
      <w:r>
        <w:rPr>
          <w:rFonts w:hAnsi="宋体"/>
          <w:color w:val="auto"/>
          <w:sz w:val="24"/>
          <w:highlight w:val="none"/>
        </w:rPr>
        <w:t>。</w:t>
      </w:r>
    </w:p>
    <w:p>
      <w:pPr>
        <w:pStyle w:val="14"/>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、评标委员会否决不合格投标后，有效投标不足3家，评标委员会认为具有竞争，则可继续评标。</w:t>
      </w:r>
    </w:p>
    <w:p>
      <w:pPr>
        <w:pStyle w:val="14"/>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五</w:t>
      </w:r>
      <w:r>
        <w:rPr>
          <w:rFonts w:hAnsi="宋体"/>
          <w:b/>
          <w:color w:val="auto"/>
          <w:sz w:val="24"/>
          <w:highlight w:val="none"/>
        </w:rPr>
        <w:t>）评标过程的监控</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本项目评标过程实行全程录音、录像监控，投标人在评标过程中所进行的</w:t>
      </w:r>
      <w:r>
        <w:rPr>
          <w:rFonts w:hint="eastAsia" w:ascii="宋体" w:hAnsi="宋体"/>
          <w:color w:val="auto"/>
          <w:sz w:val="24"/>
          <w:highlight w:val="none"/>
        </w:rPr>
        <w:t>试</w:t>
      </w:r>
      <w:r>
        <w:rPr>
          <w:rFonts w:ascii="宋体" w:hAnsi="宋体"/>
          <w:color w:val="auto"/>
          <w:sz w:val="24"/>
          <w:highlight w:val="none"/>
        </w:rPr>
        <w:t>图影响评标结果的不公正活动，可能导致其投标被拒绝。</w:t>
      </w:r>
    </w:p>
    <w:p>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color w:val="auto"/>
          <w:highlight w:val="none"/>
        </w:rPr>
        <w:t>2.评审过程中出现录音录像采集设备不能正常运行的，应当立即封存评审资料、中止评审活动，直至设备（或替代设备）运转正常或转移至符合条件的场所后继续进行评审工作。</w:t>
      </w:r>
    </w:p>
    <w:p>
      <w:pPr>
        <w:pStyle w:val="20"/>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七、定标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1.招标人根据评标结果，中标候选人应当在三门县公共资源交易中心网站接受公示。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2.招标人应当确定中标候选人为中标人。中标候选人放弃中标，或者因不可抗力或者自身原因不能履行采购合同的，或者因其他情形造成其资格无效的，则本次投标失败，重新组织招标。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3.招标人向中标人发出中标通知书，同时将中标结果在三门县公共资源交易中心网站上发布，不再另行书面通知未中标的投标人。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4.中标通知书对招标人和中标人具有法律约束力。中标通知书发出后，招标人改变中标结果或者中标人放弃中标的，应当承担法律责任。</w:t>
      </w:r>
    </w:p>
    <w:p>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5.中标通知书发出之日起至合同签订前，中标人不得开展项目实质性工作（如订货、施工等）。否则，造成的有关损失由中标人自行承担。</w:t>
      </w:r>
    </w:p>
    <w:p>
      <w:pPr>
        <w:spacing w:line="360" w:lineRule="auto"/>
        <w:ind w:firstLine="482" w:firstLineChars="200"/>
        <w:rPr>
          <w:rFonts w:ascii="宋体" w:hAnsi="宋体"/>
          <w:color w:val="auto"/>
          <w:kern w:val="0"/>
          <w:sz w:val="24"/>
          <w:highlight w:val="none"/>
        </w:rPr>
      </w:pPr>
      <w:r>
        <w:rPr>
          <w:rFonts w:asciiTheme="minorEastAsia" w:hAnsiTheme="minorEastAsia" w:eastAsiaTheme="minorEastAsia"/>
          <w:b/>
          <w:color w:val="auto"/>
          <w:sz w:val="24"/>
          <w:highlight w:val="none"/>
        </w:rPr>
        <w:t>八、</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0"/>
        <w:spacing w:before="0" w:beforeAutospacing="0" w:after="0" w:afterAutospacing="0" w:line="360" w:lineRule="auto"/>
        <w:ind w:firstLine="600" w:firstLineChars="250"/>
        <w:jc w:val="both"/>
        <w:rPr>
          <w:rFonts w:hint="default"/>
          <w:color w:val="auto"/>
          <w:highlight w:val="none"/>
        </w:rPr>
      </w:pPr>
      <w:r>
        <w:rPr>
          <w:color w:val="auto"/>
          <w:highlight w:val="none"/>
        </w:rPr>
        <w:t>1、采购人应当自中标通知书发出之日起</w:t>
      </w:r>
      <w:r>
        <w:rPr>
          <w:rFonts w:hint="default"/>
          <w:color w:val="auto"/>
          <w:highlight w:val="none"/>
        </w:rPr>
        <w:t>10</w:t>
      </w:r>
      <w:r>
        <w:rPr>
          <w:color w:val="auto"/>
          <w:highlight w:val="none"/>
        </w:rPr>
        <w:t>个工作日内，按照招标文件和中标人投标文件的规定，与中标人签订书面合同。所签订的合同不得对招标文件确定的事项和中标人投标文件作实质性修改。</w:t>
      </w:r>
    </w:p>
    <w:p>
      <w:pPr>
        <w:pStyle w:val="20"/>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2、采购人不得向中标人提出任何不合理的要求作为签订合同的条件。</w:t>
      </w:r>
    </w:p>
    <w:p>
      <w:pPr>
        <w:pStyle w:val="20"/>
        <w:spacing w:before="0" w:beforeAutospacing="0" w:after="0" w:afterAutospacing="0" w:line="360" w:lineRule="auto"/>
        <w:ind w:firstLine="600" w:firstLineChars="250"/>
        <w:jc w:val="both"/>
        <w:rPr>
          <w:rFonts w:hint="default"/>
          <w:color w:val="auto"/>
          <w:highlight w:val="none"/>
        </w:rPr>
      </w:pPr>
      <w:r>
        <w:rPr>
          <w:color w:val="auto"/>
          <w:highlight w:val="none"/>
        </w:rPr>
        <w:t>3、中标供应商无故拖延、拒签合同的,投标保证金将不予退还并取消中标资格。</w:t>
      </w:r>
    </w:p>
    <w:p>
      <w:pPr>
        <w:pStyle w:val="20"/>
        <w:spacing w:before="0" w:beforeAutospacing="0" w:after="0" w:afterAutospacing="0" w:line="360" w:lineRule="auto"/>
        <w:ind w:firstLine="480" w:firstLineChars="200"/>
        <w:jc w:val="both"/>
        <w:rPr>
          <w:rFonts w:hint="default"/>
          <w:color w:val="auto"/>
          <w:highlight w:val="none"/>
        </w:rPr>
      </w:pPr>
      <w:r>
        <w:rPr>
          <w:color w:val="auto"/>
          <w:highlight w:val="none"/>
        </w:rPr>
        <w:t>4、中标供应商拒绝与采购人签订合同的，采购人可以重新开展采购活动。同时，拒绝与采购人签订合同的供应商，由监督管理部门依法作出处理。</w:t>
      </w:r>
    </w:p>
    <w:p>
      <w:pPr>
        <w:pStyle w:val="20"/>
        <w:spacing w:before="0" w:beforeAutospacing="0" w:after="0" w:afterAutospacing="0" w:line="360" w:lineRule="auto"/>
        <w:ind w:firstLine="480" w:firstLineChars="200"/>
        <w:rPr>
          <w:rFonts w:hint="default"/>
          <w:color w:val="auto"/>
          <w:highlight w:val="none"/>
        </w:rPr>
      </w:pPr>
      <w:r>
        <w:rPr>
          <w:color w:val="auto"/>
          <w:highlight w:val="none"/>
        </w:rPr>
        <w:t>5、询问或者质疑事项可能影响中标结果的，采购人应当暂停签订合同，已经签订合同的，应当中止履行合同（中标结果的质疑期为中标结果公告期限届满之日起七个工作日）。</w:t>
      </w:r>
      <w:r>
        <w:rPr>
          <w:rFonts w:hint="default"/>
          <w:color w:val="auto"/>
          <w:highlight w:val="none"/>
        </w:rPr>
        <w:br w:type="page"/>
      </w:r>
    </w:p>
    <w:p>
      <w:pPr>
        <w:pStyle w:val="2"/>
        <w:spacing w:before="0" w:after="0" w:line="360" w:lineRule="auto"/>
        <w:jc w:val="center"/>
        <w:rPr>
          <w:color w:val="auto"/>
          <w:sz w:val="30"/>
          <w:szCs w:val="30"/>
          <w:highlight w:val="none"/>
        </w:rPr>
      </w:pPr>
      <w:bookmarkStart w:id="8" w:name="_Toc77876201"/>
      <w:r>
        <w:rPr>
          <w:rFonts w:hint="eastAsia"/>
          <w:color w:val="auto"/>
          <w:sz w:val="30"/>
          <w:szCs w:val="30"/>
          <w:highlight w:val="none"/>
        </w:rPr>
        <w:t>第三章评标办法及评分标准</w:t>
      </w:r>
      <w:bookmarkEnd w:id="8"/>
    </w:p>
    <w:p>
      <w:pPr>
        <w:autoSpaceDE w:val="0"/>
        <w:autoSpaceDN w:val="0"/>
        <w:adjustRightInd w:val="0"/>
        <w:spacing w:line="520" w:lineRule="exact"/>
        <w:ind w:right="85" w:firstLine="480"/>
        <w:rPr>
          <w:rFonts w:ascii="宋体"/>
          <w:b/>
          <w:bCs/>
          <w:color w:val="auto"/>
          <w:sz w:val="24"/>
          <w:highlight w:val="none"/>
          <w:lang w:val="zh-CN"/>
        </w:rPr>
      </w:pPr>
      <w:r>
        <w:rPr>
          <w:rFonts w:hint="eastAsia" w:ascii="宋体"/>
          <w:b/>
          <w:bCs/>
          <w:color w:val="auto"/>
          <w:sz w:val="24"/>
          <w:highlight w:val="none"/>
          <w:lang w:val="zh-CN"/>
        </w:rPr>
        <w:t>一、采购组织机构将组织评标委员会，对投标人提供的投标文件进行综合评审。</w:t>
      </w:r>
    </w:p>
    <w:p>
      <w:pPr>
        <w:autoSpaceDE w:val="0"/>
        <w:autoSpaceDN w:val="0"/>
        <w:adjustRightInd w:val="0"/>
        <w:spacing w:line="520" w:lineRule="exact"/>
        <w:ind w:right="85" w:firstLine="480"/>
        <w:rPr>
          <w:rFonts w:ascii="宋体"/>
          <w:color w:val="auto"/>
          <w:sz w:val="24"/>
          <w:highlight w:val="none"/>
          <w:lang w:val="zh-CN"/>
        </w:rPr>
      </w:pPr>
      <w:r>
        <w:rPr>
          <w:rFonts w:hint="eastAsia" w:ascii="宋体"/>
          <w:color w:val="auto"/>
          <w:kern w:val="0"/>
          <w:sz w:val="24"/>
          <w:highlight w:val="none"/>
          <w:lang w:val="zh-CN"/>
        </w:rPr>
        <w:t>本评标方法采用综合评分法，</w:t>
      </w:r>
      <w:r>
        <w:rPr>
          <w:rFonts w:hint="eastAsia" w:ascii="宋体"/>
          <w:color w:val="auto"/>
          <w:sz w:val="24"/>
          <w:highlight w:val="none"/>
          <w:lang w:val="zh-CN"/>
        </w:rPr>
        <w:t>在最大限度地满足招标文件实质性要求前提下，评标委员会按照招标文件中规定的各项因素进行综合评审后，以评标总得分最高的投标人为第一中标候选人，以评标总得分次高的投标人为第二中标候选人，依次类推。</w:t>
      </w:r>
    </w:p>
    <w:p>
      <w:pPr>
        <w:autoSpaceDE w:val="0"/>
        <w:autoSpaceDN w:val="0"/>
        <w:adjustRightInd w:val="0"/>
        <w:spacing w:line="520" w:lineRule="exact"/>
        <w:ind w:right="85" w:firstLine="480"/>
        <w:rPr>
          <w:rFonts w:ascii="宋体"/>
          <w:b/>
          <w:bCs/>
          <w:color w:val="auto"/>
          <w:sz w:val="24"/>
          <w:highlight w:val="none"/>
          <w:lang w:val="zh-CN"/>
        </w:rPr>
      </w:pPr>
      <w:r>
        <w:rPr>
          <w:rFonts w:hint="eastAsia" w:ascii="宋体"/>
          <w:b/>
          <w:bCs/>
          <w:color w:val="auto"/>
          <w:sz w:val="24"/>
          <w:highlight w:val="none"/>
          <w:lang w:val="zh-CN"/>
        </w:rPr>
        <w:t>二、确定中标候选人</w:t>
      </w:r>
    </w:p>
    <w:p>
      <w:pPr>
        <w:autoSpaceDE w:val="0"/>
        <w:autoSpaceDN w:val="0"/>
        <w:adjustRightInd w:val="0"/>
        <w:spacing w:line="520" w:lineRule="exact"/>
        <w:ind w:right="84" w:firstLine="472"/>
        <w:rPr>
          <w:rFonts w:ascii="宋体"/>
          <w:color w:val="auto"/>
          <w:kern w:val="0"/>
          <w:sz w:val="24"/>
          <w:highlight w:val="none"/>
          <w:lang w:val="zh-CN"/>
        </w:rPr>
      </w:pPr>
      <w:r>
        <w:rPr>
          <w:rFonts w:ascii="宋体" w:hAnsi="宋体" w:cs="宋体"/>
          <w:color w:val="auto"/>
          <w:sz w:val="24"/>
          <w:highlight w:val="none"/>
        </w:rPr>
        <w:t>按投标单位综合得分由高到低顺序排序，排名在前 4 家公司为入围单位，如有入围单位放弃入围资格，则排名在后的按序往前推。</w:t>
      </w:r>
      <w:r>
        <w:rPr>
          <w:rFonts w:hint="eastAsia" w:ascii="宋体" w:hAnsi="宋体" w:cs="宋体"/>
          <w:color w:val="auto"/>
          <w:sz w:val="24"/>
          <w:highlight w:val="none"/>
          <w:lang w:eastAsia="zh-CN"/>
        </w:rPr>
        <w:t>入围单位根据综合得分由高到低排名顺序优先选择片区。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ascii="宋体"/>
                <w:color w:val="auto"/>
                <w:kern w:val="0"/>
                <w:szCs w:val="21"/>
                <w:highlight w:val="none"/>
                <w:lang w:val="zh-CN"/>
              </w:rPr>
              <w:t>片区划分</w:t>
            </w:r>
          </w:p>
        </w:tc>
        <w:tc>
          <w:tcPr>
            <w:tcW w:w="5637"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ascii="宋体"/>
                <w:color w:val="auto"/>
                <w:kern w:val="0"/>
                <w:szCs w:val="21"/>
                <w:highlight w:val="none"/>
                <w:lang w:val="zh-CN"/>
              </w:rPr>
              <w:t>片区范围内学生保险服务的学校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第一片区</w:t>
            </w:r>
          </w:p>
        </w:tc>
        <w:tc>
          <w:tcPr>
            <w:tcW w:w="5637"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海游街道公办初中、高中、幼儿园， 特殊学校，横渡镇、亭旁镇公办学校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第二片区</w:t>
            </w:r>
          </w:p>
        </w:tc>
        <w:tc>
          <w:tcPr>
            <w:tcW w:w="5637"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海游街道公办小学（不含实验学校小学部），健跳镇、蛇蟠乡公办学校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第三片区</w:t>
            </w:r>
          </w:p>
        </w:tc>
        <w:tc>
          <w:tcPr>
            <w:tcW w:w="5637"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ascii="宋体"/>
                <w:color w:val="auto"/>
                <w:kern w:val="0"/>
                <w:szCs w:val="21"/>
                <w:highlight w:val="none"/>
                <w:lang w:val="zh-CN"/>
              </w:rPr>
              <w:t>浦坝港镇、花桥镇公办学校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第四片区</w:t>
            </w:r>
          </w:p>
        </w:tc>
        <w:tc>
          <w:tcPr>
            <w:tcW w:w="5637"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海润街道（不含职业中专）、珠岙镇、沙柳街道公办学校</w:t>
            </w:r>
          </w:p>
        </w:tc>
      </w:tr>
    </w:tbl>
    <w:p>
      <w:pPr>
        <w:autoSpaceDE w:val="0"/>
        <w:autoSpaceDN w:val="0"/>
        <w:adjustRightInd w:val="0"/>
        <w:spacing w:line="520" w:lineRule="exact"/>
        <w:ind w:right="84" w:firstLine="472"/>
        <w:rPr>
          <w:rFonts w:hint="eastAsia" w:ascii="宋体"/>
          <w:color w:val="auto"/>
          <w:kern w:val="0"/>
          <w:sz w:val="24"/>
          <w:highlight w:val="none"/>
          <w:lang w:val="zh-CN"/>
        </w:rPr>
      </w:pPr>
      <w:r>
        <w:rPr>
          <w:rFonts w:hint="eastAsia" w:ascii="宋体"/>
          <w:color w:val="auto"/>
          <w:kern w:val="0"/>
          <w:sz w:val="24"/>
          <w:highlight w:val="none"/>
          <w:lang w:val="zh-CN"/>
        </w:rPr>
        <w:t>说明：</w:t>
      </w:r>
      <w:r>
        <w:rPr>
          <w:rFonts w:hint="eastAsia" w:ascii="宋体"/>
          <w:color w:val="auto"/>
          <w:kern w:val="0"/>
          <w:sz w:val="24"/>
          <w:highlight w:val="none"/>
          <w:lang w:val="en-US" w:eastAsia="zh-CN"/>
        </w:rPr>
        <w:t>1、</w:t>
      </w:r>
      <w:r>
        <w:rPr>
          <w:rFonts w:hint="eastAsia" w:ascii="宋体"/>
          <w:color w:val="auto"/>
          <w:kern w:val="0"/>
          <w:sz w:val="24"/>
          <w:highlight w:val="none"/>
          <w:lang w:val="zh-CN"/>
        </w:rPr>
        <w:t>实验学校小学部学生纳入海游街道公办初中学校（第一片区）。以上片区中公办学校指教育局下属的公办中小学、幼儿园。</w:t>
      </w:r>
    </w:p>
    <w:p>
      <w:pPr>
        <w:autoSpaceDE w:val="0"/>
        <w:autoSpaceDN w:val="0"/>
        <w:adjustRightInd w:val="0"/>
        <w:spacing w:line="520" w:lineRule="exact"/>
        <w:ind w:right="84" w:firstLine="472"/>
        <w:rPr>
          <w:rFonts w:hint="eastAsia" w:ascii="宋体"/>
          <w:b/>
          <w:bCs/>
          <w:color w:val="auto"/>
          <w:kern w:val="0"/>
          <w:sz w:val="24"/>
          <w:highlight w:val="none"/>
          <w:lang w:val="en-US" w:eastAsia="zh-CN"/>
        </w:rPr>
      </w:pPr>
      <w:r>
        <w:rPr>
          <w:rFonts w:hint="eastAsia" w:ascii="宋体"/>
          <w:b/>
          <w:bCs/>
          <w:color w:val="auto"/>
          <w:kern w:val="0"/>
          <w:sz w:val="24"/>
          <w:highlight w:val="none"/>
          <w:lang w:val="en-US" w:eastAsia="zh-CN"/>
        </w:rPr>
        <w:t>2、监护人责任险的入围单位须同时承保片区范围内的校方责任险，校方责任险的服务内容及要求详见附件。</w:t>
      </w:r>
    </w:p>
    <w:p>
      <w:pPr>
        <w:autoSpaceDE w:val="0"/>
        <w:autoSpaceDN w:val="0"/>
        <w:adjustRightInd w:val="0"/>
        <w:spacing w:line="520" w:lineRule="exact"/>
        <w:ind w:right="84" w:firstLine="472"/>
        <w:rPr>
          <w:rFonts w:ascii="宋体"/>
          <w:b/>
          <w:bCs/>
          <w:color w:val="auto"/>
          <w:sz w:val="24"/>
          <w:highlight w:val="none"/>
          <w:lang w:val="zh-CN"/>
        </w:rPr>
      </w:pPr>
      <w:r>
        <w:rPr>
          <w:rFonts w:hint="eastAsia" w:ascii="宋体"/>
          <w:b/>
          <w:bCs/>
          <w:color w:val="auto"/>
          <w:sz w:val="24"/>
          <w:highlight w:val="none"/>
          <w:lang w:val="zh-CN"/>
        </w:rPr>
        <w:t>三、评标细则</w:t>
      </w:r>
    </w:p>
    <w:p>
      <w:pPr>
        <w:autoSpaceDE w:val="0"/>
        <w:autoSpaceDN w:val="0"/>
        <w:adjustRightInd w:val="0"/>
        <w:spacing w:line="520" w:lineRule="exact"/>
        <w:ind w:right="85" w:firstLine="240" w:firstLineChars="100"/>
        <w:rPr>
          <w:rFonts w:ascii="宋体"/>
          <w:bCs/>
          <w:color w:val="auto"/>
          <w:sz w:val="24"/>
          <w:highlight w:val="none"/>
          <w:lang w:val="zh-CN"/>
        </w:rPr>
      </w:pPr>
      <w:r>
        <w:rPr>
          <w:rFonts w:hint="eastAsia" w:ascii="宋体"/>
          <w:bCs/>
          <w:color w:val="auto"/>
          <w:sz w:val="24"/>
          <w:highlight w:val="none"/>
          <w:lang w:val="zh-CN"/>
        </w:rPr>
        <w:t>本项目总分100分(商务与技术文件为100分)。各投标人的综合得分为其商务与技术文件得分，所有评分均保留两位小数(四舍五入）。</w:t>
      </w:r>
    </w:p>
    <w:p>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（一） 商务与技术文件中的商务资信分由评标委员会讨论后统一打分； 技术分由评标委员会经充分审核、讨论后，在规定的分值内单独评定打分。</w:t>
      </w:r>
    </w:p>
    <w:p>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（二）各投标人商务与技术文件得分按照评标委员会成员的独立评分结果汇总后的算术平 均分计算，计算公式为：</w:t>
      </w:r>
    </w:p>
    <w:p>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 xml:space="preserve">商务与技术文件得分=评标委员会所有成员评分合计数/评标委员会组成人员数 </w:t>
      </w:r>
    </w:p>
    <w:p>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（三）商务与技术文件评审内容及标准</w:t>
      </w:r>
    </w:p>
    <w:p>
      <w:pPr>
        <w:spacing w:line="300" w:lineRule="exact"/>
        <w:ind w:firstLine="422" w:firstLineChars="200"/>
        <w:jc w:val="center"/>
        <w:rPr>
          <w:color w:val="auto"/>
          <w:highlight w:val="none"/>
        </w:rPr>
      </w:pPr>
      <w:r>
        <w:rPr>
          <w:rFonts w:hint="eastAsia" w:ascii="宋体" w:hAnsi="宋体" w:cs="宋体"/>
          <w:b/>
          <w:color w:val="auto"/>
          <w:szCs w:val="21"/>
          <w:highlight w:val="none"/>
        </w:rPr>
        <w:t>评标打分标准</w:t>
      </w:r>
    </w:p>
    <w:tbl>
      <w:tblPr>
        <w:tblStyle w:val="23"/>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7088"/>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696" w:type="dxa"/>
            <w:gridSpan w:val="2"/>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评标因素</w:t>
            </w:r>
          </w:p>
        </w:tc>
        <w:tc>
          <w:tcPr>
            <w:tcW w:w="7088"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评分标准</w:t>
            </w:r>
          </w:p>
        </w:tc>
        <w:tc>
          <w:tcPr>
            <w:tcW w:w="1086"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restart"/>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商务分（3</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tc>
        <w:tc>
          <w:tcPr>
            <w:tcW w:w="850" w:type="dxa"/>
            <w:vAlign w:val="center"/>
          </w:tcPr>
          <w:p>
            <w:pPr>
              <w:adjustRightInd w:val="0"/>
              <w:snapToGrid w:val="0"/>
              <w:spacing w:before="75"/>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公司信誉</w:t>
            </w:r>
          </w:p>
        </w:tc>
        <w:tc>
          <w:tcPr>
            <w:tcW w:w="7088" w:type="dxa"/>
            <w:vAlign w:val="center"/>
          </w:tcPr>
          <w:p>
            <w:pPr>
              <w:adjustRightInd w:val="0"/>
              <w:snapToGrid w:val="0"/>
              <w:spacing w:before="34"/>
              <w:ind w:right="14"/>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1、根据《</w:t>
            </w:r>
            <w:r>
              <w:rPr>
                <w:rFonts w:hint="eastAsia" w:cs="宋体" w:asciiTheme="minorEastAsia" w:hAnsiTheme="minorEastAsia" w:eastAsiaTheme="minorEastAsia"/>
                <w:color w:val="auto"/>
                <w:szCs w:val="21"/>
                <w:highlight w:val="none"/>
              </w:rPr>
              <w:t>中国保险行业协会关于202</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年度保险公司法人机构经营评价结果的公告</w:t>
            </w:r>
            <w:r>
              <w:rPr>
                <w:rFonts w:cs="宋体" w:asciiTheme="minorEastAsia" w:hAnsiTheme="minorEastAsia" w:eastAsiaTheme="minorEastAsia"/>
                <w:color w:val="auto"/>
                <w:szCs w:val="21"/>
                <w:highlight w:val="none"/>
              </w:rPr>
              <w:t>》对投标人总公司服务评价等级进行打分。A级及以上得</w:t>
            </w:r>
            <w:r>
              <w:rPr>
                <w:rFonts w:hint="eastAsia" w:cs="宋体" w:asciiTheme="minorEastAsia" w:hAnsiTheme="minorEastAsia" w:eastAsiaTheme="minorEastAsia"/>
                <w:color w:val="auto"/>
                <w:szCs w:val="21"/>
                <w:highlight w:val="none"/>
                <w:lang w:val="en-US" w:eastAsia="zh-CN"/>
              </w:rPr>
              <w:t>3</w:t>
            </w:r>
            <w:r>
              <w:rPr>
                <w:rFonts w:cs="宋体" w:asciiTheme="minorEastAsia" w:hAnsiTheme="minorEastAsia" w:eastAsiaTheme="minorEastAsia"/>
                <w:color w:val="auto"/>
                <w:szCs w:val="21"/>
                <w:highlight w:val="none"/>
              </w:rPr>
              <w:t>分，B级得</w:t>
            </w:r>
            <w:r>
              <w:rPr>
                <w:rFonts w:hint="eastAsia" w:cs="宋体" w:asciiTheme="minorEastAsia" w:hAnsiTheme="minorEastAsia" w:eastAsiaTheme="minorEastAsia"/>
                <w:color w:val="auto"/>
                <w:szCs w:val="21"/>
                <w:highlight w:val="none"/>
                <w:lang w:val="en-US" w:eastAsia="zh-CN"/>
              </w:rPr>
              <w:t>2</w:t>
            </w:r>
            <w:r>
              <w:rPr>
                <w:rFonts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C级得1分。</w:t>
            </w:r>
          </w:p>
          <w:p>
            <w:pPr>
              <w:adjustRightInd w:val="0"/>
              <w:snapToGrid w:val="0"/>
              <w:spacing w:before="34"/>
              <w:ind w:right="14" w:rightChars="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2、根据中国银保监会网站公布的</w:t>
            </w:r>
            <w:r>
              <w:rPr>
                <w:rFonts w:hint="eastAsia" w:cs="宋体" w:asciiTheme="minorEastAsia" w:hAnsiTheme="minorEastAsia" w:eastAsiaTheme="minorEastAsia"/>
                <w:color w:val="auto"/>
                <w:szCs w:val="21"/>
                <w:highlight w:val="none"/>
              </w:rPr>
              <w:t xml:space="preserve"> 《中国银保监会消费者权益保护局关于2023年</w:t>
            </w:r>
            <w:r>
              <w:rPr>
                <w:rFonts w:hint="eastAsia" w:cs="宋体" w:asciiTheme="minorEastAsia" w:hAnsiTheme="minorEastAsia" w:eastAsiaTheme="minorEastAsia"/>
                <w:color w:val="auto"/>
                <w:szCs w:val="21"/>
                <w:highlight w:val="none"/>
                <w:lang w:eastAsia="zh-CN"/>
              </w:rPr>
              <w:t>第一季度</w:t>
            </w:r>
            <w:r>
              <w:rPr>
                <w:rFonts w:hint="eastAsia" w:cs="宋体" w:asciiTheme="minorEastAsia" w:hAnsiTheme="minorEastAsia" w:eastAsiaTheme="minorEastAsia"/>
                <w:color w:val="auto"/>
                <w:szCs w:val="21"/>
                <w:highlight w:val="none"/>
              </w:rPr>
              <w:t>保险消费投诉情况的通报》</w:t>
            </w:r>
            <w:r>
              <w:rPr>
                <w:rFonts w:cs="宋体" w:asciiTheme="minorEastAsia" w:hAnsiTheme="minorEastAsia" w:eastAsiaTheme="minorEastAsia"/>
                <w:color w:val="auto"/>
                <w:szCs w:val="21"/>
                <w:highlight w:val="none"/>
              </w:rPr>
              <w:t>总公司</w:t>
            </w:r>
            <w:r>
              <w:rPr>
                <w:rFonts w:hint="eastAsia" w:cs="宋体" w:asciiTheme="minorEastAsia" w:hAnsiTheme="minorEastAsia" w:eastAsiaTheme="minorEastAsia"/>
                <w:color w:val="auto"/>
                <w:szCs w:val="21"/>
                <w:highlight w:val="none"/>
              </w:rPr>
              <w:t>2023年</w:t>
            </w:r>
            <w:r>
              <w:rPr>
                <w:rFonts w:hint="eastAsia" w:cs="宋体" w:asciiTheme="minorEastAsia" w:hAnsiTheme="minorEastAsia" w:eastAsiaTheme="minorEastAsia"/>
                <w:color w:val="auto"/>
                <w:szCs w:val="21"/>
                <w:highlight w:val="none"/>
                <w:lang w:eastAsia="zh-CN"/>
              </w:rPr>
              <w:t>第一季度</w:t>
            </w:r>
            <w:r>
              <w:rPr>
                <w:rFonts w:cs="宋体" w:asciiTheme="minorEastAsia" w:hAnsiTheme="minorEastAsia" w:eastAsiaTheme="minorEastAsia"/>
                <w:color w:val="auto"/>
                <w:szCs w:val="21"/>
                <w:highlight w:val="none"/>
              </w:rPr>
              <w:t>亿元保费投诉量</w:t>
            </w:r>
            <w:r>
              <w:rPr>
                <w:rFonts w:hint="eastAsia" w:cs="宋体" w:asciiTheme="minorEastAsia" w:hAnsiTheme="minorEastAsia" w:eastAsiaTheme="minorEastAsia"/>
                <w:color w:val="auto"/>
                <w:szCs w:val="21"/>
                <w:highlight w:val="none"/>
                <w:lang w:eastAsia="zh-CN"/>
              </w:rPr>
              <w:t>进行评分</w:t>
            </w:r>
            <w:r>
              <w:rPr>
                <w:rFonts w:hint="eastAsia" w:cs="宋体" w:asciiTheme="minorEastAsia" w:hAnsiTheme="minorEastAsia" w:eastAsiaTheme="minorEastAsia"/>
                <w:color w:val="auto"/>
                <w:szCs w:val="21"/>
                <w:highlight w:val="none"/>
              </w:rPr>
              <w:t>：投诉量在0-</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分，其余不得分。</w:t>
            </w:r>
          </w:p>
        </w:tc>
        <w:tc>
          <w:tcPr>
            <w:tcW w:w="1086" w:type="dxa"/>
            <w:vAlign w:val="center"/>
          </w:tcPr>
          <w:p>
            <w:pPr>
              <w:adjustRightInd w:val="0"/>
              <w:snapToGrid w:val="0"/>
              <w:spacing w:before="75"/>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850" w:type="dxa"/>
            <w:vAlign w:val="center"/>
          </w:tcPr>
          <w:p>
            <w:pPr>
              <w:spacing w:line="360" w:lineRule="auto"/>
              <w:ind w:left="8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偿付能力</w:t>
            </w:r>
          </w:p>
        </w:tc>
        <w:tc>
          <w:tcPr>
            <w:tcW w:w="7088"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年度</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偿付能力情况进行打分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提供审计报告。</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偿付能力≥200%，得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 xml:space="preserve"> 分；</w:t>
            </w:r>
          </w:p>
          <w:p>
            <w:pPr>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200%＞</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p>
            <w:pPr>
              <w:jc w:val="left"/>
              <w:rPr>
                <w:rFonts w:hint="eastAsia"/>
                <w:color w:val="auto"/>
                <w:highlight w:val="none"/>
              </w:rPr>
            </w:pPr>
            <w:r>
              <w:rPr>
                <w:rFonts w:hint="eastAsia" w:cs="宋体" w:asciiTheme="minorEastAsia" w:hAnsiTheme="minorEastAsia" w:eastAsiaTheme="minorEastAsia"/>
                <w:color w:val="auto"/>
                <w:szCs w:val="21"/>
                <w:highlight w:val="none"/>
                <w:lang w:eastAsia="zh-CN"/>
              </w:rPr>
              <w:t>综合偿付能力</w:t>
            </w:r>
            <w:r>
              <w:rPr>
                <w:rFonts w:hint="eastAsia" w:cs="宋体" w:asciiTheme="minorEastAsia" w:hAnsiTheme="minorEastAsia" w:eastAsiaTheme="minorEastAsia"/>
                <w:color w:val="auto"/>
                <w:szCs w:val="21"/>
                <w:highlight w:val="none"/>
                <w:lang w:val="en-US" w:eastAsia="zh-CN"/>
              </w:rPr>
              <w:t>&lt;</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w:t>
            </w:r>
          </w:p>
          <w:p>
            <w:pPr>
              <w:adjustRightInd w:val="0"/>
              <w:snapToGrid w:val="0"/>
              <w:spacing w:before="34"/>
              <w:ind w:right="14"/>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2、根据参与本项目投标人总公司2023年四季度监管风险综合评级情况分档评分，AAA级、AA级的得3分，A级、BBB级得2分，BB级、B级得1分，其他不得分。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说明：</w:t>
            </w:r>
            <w:r>
              <w:rPr>
                <w:rFonts w:hint="eastAsia" w:cs="宋体" w:asciiTheme="minorEastAsia" w:hAnsiTheme="minorEastAsia" w:eastAsiaTheme="minorEastAsia"/>
                <w:color w:val="auto"/>
                <w:szCs w:val="21"/>
                <w:highlight w:val="none"/>
              </w:rPr>
              <w:t>提供</w:t>
            </w:r>
            <w:r>
              <w:rPr>
                <w:rFonts w:hint="eastAsia" w:cs="宋体" w:asciiTheme="minorEastAsia" w:hAnsiTheme="minorEastAsia" w:eastAsiaTheme="minorEastAsia"/>
                <w:color w:val="auto"/>
                <w:szCs w:val="21"/>
                <w:highlight w:val="none"/>
                <w:lang w:val="en-US" w:eastAsia="zh-CN"/>
              </w:rPr>
              <w:t>中国保险行业协会</w:t>
            </w:r>
            <w:r>
              <w:rPr>
                <w:rFonts w:hint="eastAsia" w:cs="宋体" w:asciiTheme="minorEastAsia" w:hAnsiTheme="minorEastAsia" w:eastAsiaTheme="minorEastAsia"/>
                <w:color w:val="auto"/>
                <w:szCs w:val="21"/>
                <w:highlight w:val="none"/>
              </w:rPr>
              <w:t>网站</w:t>
            </w:r>
            <w:r>
              <w:rPr>
                <w:rFonts w:hint="eastAsia" w:cs="宋体" w:asciiTheme="minorEastAsia" w:hAnsiTheme="minorEastAsia" w:eastAsiaTheme="minorEastAsia"/>
                <w:color w:val="auto"/>
                <w:szCs w:val="21"/>
                <w:highlight w:val="none"/>
                <w:lang w:eastAsia="zh-CN"/>
              </w:rPr>
              <w:t>公开发布的偿付能力披露信息中监管风险综合评级情况</w:t>
            </w:r>
            <w:r>
              <w:rPr>
                <w:rFonts w:hint="eastAsia" w:cs="宋体" w:asciiTheme="minorEastAsia" w:hAnsiTheme="minorEastAsia" w:eastAsiaTheme="minorEastAsia"/>
                <w:color w:val="auto"/>
                <w:szCs w:val="21"/>
                <w:highlight w:val="none"/>
              </w:rPr>
              <w:t>）。</w:t>
            </w:r>
          </w:p>
        </w:tc>
        <w:tc>
          <w:tcPr>
            <w:tcW w:w="1086" w:type="dxa"/>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850" w:type="dxa"/>
            <w:vAlign w:val="center"/>
          </w:tcPr>
          <w:p>
            <w:pPr>
              <w:spacing w:line="360" w:lineRule="auto"/>
              <w:ind w:left="80"/>
              <w:jc w:val="center"/>
              <w:rPr>
                <w:rFonts w:cs="宋体" w:asciiTheme="minorEastAsia" w:hAnsiTheme="minorEastAsia" w:eastAsiaTheme="minorEastAsia"/>
                <w:color w:val="auto"/>
                <w:szCs w:val="21"/>
                <w:highlight w:val="none"/>
              </w:rPr>
            </w:pPr>
            <w:r>
              <w:rPr>
                <w:rStyle w:val="80"/>
                <w:rFonts w:hint="eastAsia" w:cs="宋体" w:asciiTheme="minorEastAsia" w:hAnsiTheme="minorEastAsia" w:eastAsiaTheme="minorEastAsia"/>
                <w:color w:val="auto"/>
                <w:szCs w:val="21"/>
                <w:highlight w:val="none"/>
              </w:rPr>
              <w:t>业绩</w:t>
            </w:r>
          </w:p>
        </w:tc>
        <w:tc>
          <w:tcPr>
            <w:tcW w:w="7088" w:type="dxa"/>
            <w:vAlign w:val="center"/>
          </w:tcPr>
          <w:p>
            <w:pPr>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投标人自202</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年1月1日以来</w:t>
            </w:r>
            <w:r>
              <w:rPr>
                <w:rFonts w:hint="eastAsia" w:cs="宋体" w:asciiTheme="minorEastAsia" w:hAnsiTheme="minorEastAsia" w:eastAsiaTheme="minorEastAsia"/>
                <w:color w:val="auto"/>
                <w:kern w:val="0"/>
                <w:szCs w:val="21"/>
                <w:highlight w:val="none"/>
                <w:lang w:val="zh-CN"/>
              </w:rPr>
              <w:t>（以合同签订时间为准），</w:t>
            </w:r>
            <w:r>
              <w:rPr>
                <w:rFonts w:hint="eastAsia" w:cs="宋体" w:asciiTheme="minorEastAsia" w:hAnsiTheme="minorEastAsia" w:eastAsiaTheme="minorEastAsia"/>
                <w:color w:val="auto"/>
                <w:kern w:val="0"/>
                <w:szCs w:val="21"/>
                <w:highlight w:val="none"/>
              </w:rPr>
              <w:t>承接过学生保险项目的。每提供1个合同得</w:t>
            </w:r>
            <w:r>
              <w:rPr>
                <w:rFonts w:cs="宋体" w:asciiTheme="minorEastAsia" w:hAnsiTheme="minorEastAsia" w:eastAsiaTheme="minorEastAsia"/>
                <w:color w:val="auto"/>
                <w:kern w:val="0"/>
                <w:szCs w:val="21"/>
                <w:highlight w:val="none"/>
              </w:rPr>
              <w:t>0.5</w:t>
            </w:r>
            <w:r>
              <w:rPr>
                <w:rFonts w:hint="eastAsia" w:cs="宋体" w:asciiTheme="minorEastAsia" w:hAnsiTheme="minorEastAsia" w:eastAsiaTheme="minorEastAsia"/>
                <w:color w:val="auto"/>
                <w:kern w:val="0"/>
                <w:szCs w:val="21"/>
                <w:highlight w:val="none"/>
              </w:rPr>
              <w:t>分，最高得</w:t>
            </w:r>
            <w:r>
              <w:rPr>
                <w:rFonts w:hint="eastAsia" w:cs="宋体" w:asciiTheme="minorEastAsia" w:hAnsiTheme="minorEastAsia" w:eastAsiaTheme="minorEastAsia"/>
                <w:color w:val="auto"/>
                <w:kern w:val="0"/>
                <w:szCs w:val="21"/>
                <w:highlight w:val="none"/>
                <w:lang w:val="en-US" w:eastAsia="zh-CN"/>
              </w:rPr>
              <w:t>2</w:t>
            </w:r>
            <w:r>
              <w:rPr>
                <w:rFonts w:hint="eastAsia" w:cs="宋体" w:asciiTheme="minorEastAsia" w:hAnsiTheme="minorEastAsia" w:eastAsiaTheme="minorEastAsia"/>
                <w:color w:val="auto"/>
                <w:kern w:val="0"/>
                <w:szCs w:val="21"/>
                <w:highlight w:val="none"/>
              </w:rPr>
              <w:t>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kern w:val="0"/>
                <w:szCs w:val="21"/>
                <w:highlight w:val="none"/>
                <w:lang w:val="zh-CN"/>
              </w:rPr>
              <w:t>（</w:t>
            </w:r>
            <w:r>
              <w:rPr>
                <w:rFonts w:hint="eastAsia" w:cs="宋体" w:asciiTheme="minorEastAsia" w:hAnsiTheme="minorEastAsia" w:eastAsiaTheme="minorEastAsia"/>
                <w:bCs/>
                <w:color w:val="auto"/>
                <w:kern w:val="0"/>
                <w:szCs w:val="21"/>
                <w:highlight w:val="none"/>
              </w:rPr>
              <w:t>须</w:t>
            </w:r>
            <w:r>
              <w:rPr>
                <w:rFonts w:hint="eastAsia" w:cs="宋体" w:asciiTheme="minorEastAsia" w:hAnsiTheme="minorEastAsia" w:eastAsiaTheme="minorEastAsia"/>
                <w:bCs/>
                <w:color w:val="auto"/>
                <w:kern w:val="0"/>
                <w:szCs w:val="21"/>
                <w:highlight w:val="none"/>
                <w:lang w:val="zh-CN"/>
              </w:rPr>
              <w:t>提供合同或中标通知书或学校证明</w:t>
            </w:r>
            <w:r>
              <w:rPr>
                <w:rFonts w:hint="eastAsia" w:cs="宋体" w:asciiTheme="minorEastAsia" w:hAnsiTheme="minorEastAsia" w:eastAsiaTheme="minorEastAsia"/>
                <w:bCs/>
                <w:color w:val="auto"/>
                <w:kern w:val="0"/>
                <w:szCs w:val="21"/>
                <w:highlight w:val="none"/>
              </w:rPr>
              <w:t>等相关证明材料</w:t>
            </w:r>
            <w:r>
              <w:rPr>
                <w:rFonts w:hint="eastAsia" w:cs="宋体" w:asciiTheme="minorEastAsia" w:hAnsiTheme="minorEastAsia" w:eastAsiaTheme="minorEastAsia"/>
                <w:bCs/>
                <w:color w:val="auto"/>
                <w:kern w:val="0"/>
                <w:szCs w:val="21"/>
                <w:highlight w:val="none"/>
                <w:lang w:val="zh-CN"/>
              </w:rPr>
              <w:t>复印件</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zh-CN"/>
              </w:rPr>
              <w:t>加盖</w:t>
            </w:r>
            <w:r>
              <w:rPr>
                <w:rFonts w:hint="eastAsia" w:cs="宋体" w:asciiTheme="minorEastAsia" w:hAnsiTheme="minorEastAsia" w:eastAsiaTheme="minorEastAsia"/>
                <w:bCs/>
                <w:color w:val="auto"/>
                <w:kern w:val="0"/>
                <w:szCs w:val="21"/>
                <w:highlight w:val="none"/>
              </w:rPr>
              <w:t>投标人</w:t>
            </w:r>
            <w:r>
              <w:rPr>
                <w:rFonts w:hint="eastAsia" w:cs="宋体" w:asciiTheme="minorEastAsia" w:hAnsiTheme="minorEastAsia" w:eastAsiaTheme="minorEastAsia"/>
                <w:bCs/>
                <w:color w:val="auto"/>
                <w:kern w:val="0"/>
                <w:szCs w:val="21"/>
                <w:highlight w:val="none"/>
                <w:lang w:val="zh-CN"/>
              </w:rPr>
              <w:t>公章</w:t>
            </w:r>
            <w:r>
              <w:rPr>
                <w:rFonts w:hint="eastAsia" w:cs="宋体" w:asciiTheme="minorEastAsia" w:hAnsiTheme="minorEastAsia" w:eastAsiaTheme="minorEastAsia"/>
                <w:bCs/>
                <w:color w:val="auto"/>
                <w:szCs w:val="21"/>
                <w:highlight w:val="none"/>
              </w:rPr>
              <w:t>，不提供的或提供不全的不得分</w:t>
            </w:r>
            <w:r>
              <w:rPr>
                <w:rFonts w:hint="eastAsia" w:cs="宋体" w:asciiTheme="minorEastAsia" w:hAnsiTheme="minorEastAsia" w:eastAsiaTheme="minorEastAsia"/>
                <w:bCs/>
                <w:color w:val="auto"/>
                <w:kern w:val="0"/>
                <w:szCs w:val="21"/>
                <w:highlight w:val="none"/>
                <w:lang w:val="zh-CN"/>
              </w:rPr>
              <w:t>）</w:t>
            </w:r>
          </w:p>
        </w:tc>
        <w:tc>
          <w:tcPr>
            <w:tcW w:w="1086" w:type="dxa"/>
            <w:vAlign w:val="center"/>
          </w:tcPr>
          <w:p>
            <w:pPr>
              <w:spacing w:line="360" w:lineRule="auto"/>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850" w:type="dxa"/>
            <w:vAlign w:val="center"/>
          </w:tcPr>
          <w:p>
            <w:pPr>
              <w:adjustRightInd w:val="0"/>
              <w:snapToGrid w:val="0"/>
              <w:spacing w:before="34"/>
              <w:ind w:right="14"/>
              <w:jc w:val="left"/>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项目理赔经验</w:t>
            </w:r>
          </w:p>
        </w:tc>
        <w:tc>
          <w:tcPr>
            <w:tcW w:w="7088" w:type="dxa"/>
            <w:vAlign w:val="center"/>
          </w:tcPr>
          <w:p>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color w:val="auto"/>
                <w:szCs w:val="21"/>
                <w:highlight w:val="none"/>
                <w:lang w:val="zh-CN"/>
              </w:rPr>
              <w:t>提供投标人在上一学年（202</w:t>
            </w:r>
            <w:r>
              <w:rPr>
                <w:rFonts w:hint="eastAsia" w:cs="宋体" w:asciiTheme="minorEastAsia" w:hAnsiTheme="minorEastAsia"/>
                <w:color w:val="auto"/>
                <w:szCs w:val="21"/>
                <w:highlight w:val="none"/>
                <w:lang w:val="en-US" w:eastAsia="zh-CN"/>
              </w:rPr>
              <w:t>3</w:t>
            </w:r>
            <w:r>
              <w:rPr>
                <w:rFonts w:hint="eastAsia" w:cs="宋体" w:asciiTheme="minorEastAsia" w:hAnsiTheme="minorEastAsia"/>
                <w:color w:val="auto"/>
                <w:szCs w:val="21"/>
                <w:highlight w:val="none"/>
                <w:lang w:val="zh-CN"/>
              </w:rPr>
              <w:t>年9月1日0时-202</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年8月31日24时）</w:t>
            </w:r>
            <w:r>
              <w:rPr>
                <w:rFonts w:hint="eastAsia" w:cs="宋体" w:asciiTheme="minorEastAsia" w:hAnsiTheme="minorEastAsia" w:eastAsiaTheme="minorEastAsia"/>
                <w:color w:val="auto"/>
                <w:szCs w:val="21"/>
                <w:highlight w:val="none"/>
                <w:lang w:val="zh-CN"/>
              </w:rPr>
              <w:t>的学生监护人责任险和校方责任保险重大理赔案例：</w:t>
            </w:r>
          </w:p>
          <w:p>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1、提供单次赔付金额≥30万元的，得6分；累计赔付金额≥30万元的，得5分；</w:t>
            </w:r>
          </w:p>
          <w:p>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2、提供单次赔付金额：30万元＞赔付金额≥20万元的，得5分；累计赔付金额：30万元＞赔付金额≥20万元的，得4分；</w:t>
            </w:r>
          </w:p>
          <w:p>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3、提供单次赔付金额：20万元＞赔付金额≥10万元的，得4分；累计赔付金额：20万元＞赔付金额≥10万元的，得3分；</w:t>
            </w:r>
          </w:p>
          <w:p>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4、提供单次赔付金额：10万元＞赔付金额≥5万元的，得3分；累计赔付金额：10万元＞赔付金额≥5万元的，得2分；</w:t>
            </w:r>
          </w:p>
          <w:p>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5、提供赔付金额在5万元以下案例的，得1分；</w:t>
            </w:r>
          </w:p>
          <w:p>
            <w:pPr>
              <w:adjustRightInd w:val="0"/>
              <w:snapToGrid w:val="0"/>
              <w:spacing w:before="34"/>
              <w:ind w:right="1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注：无赔付的不得分，单次赔付和累计赔付按得分高的计算，不得重复得分，提供相关证明材料。</w:t>
            </w:r>
          </w:p>
        </w:tc>
        <w:tc>
          <w:tcPr>
            <w:tcW w:w="1086" w:type="dxa"/>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850" w:type="dxa"/>
            <w:vAlign w:val="center"/>
          </w:tcPr>
          <w:p>
            <w:pPr>
              <w:spacing w:line="360" w:lineRule="auto"/>
              <w:ind w:left="80" w:leftChars="0"/>
              <w:jc w:val="center"/>
              <w:rPr>
                <w:rFonts w:cs="宋体" w:asciiTheme="minorEastAsia" w:hAnsiTheme="minorEastAsia" w:eastAsiaTheme="minorEastAsia"/>
                <w:color w:val="auto"/>
                <w:szCs w:val="21"/>
                <w:highlight w:val="none"/>
              </w:rPr>
            </w:pPr>
            <w:r>
              <w:rPr>
                <w:rStyle w:val="80"/>
                <w:rFonts w:hint="eastAsia" w:cs="宋体" w:asciiTheme="minorEastAsia" w:hAnsiTheme="minorEastAsia" w:eastAsiaTheme="minorEastAsia"/>
                <w:color w:val="auto"/>
                <w:szCs w:val="21"/>
                <w:highlight w:val="none"/>
                <w:lang w:eastAsia="zh-CN"/>
              </w:rPr>
              <w:t>理赔满意度</w:t>
            </w:r>
            <w:r>
              <w:rPr>
                <w:rStyle w:val="80"/>
                <w:rFonts w:hint="eastAsia" w:cs="宋体" w:asciiTheme="minorEastAsia" w:hAnsiTheme="minorEastAsia" w:eastAsiaTheme="minorEastAsia"/>
                <w:color w:val="auto"/>
                <w:szCs w:val="21"/>
                <w:highlight w:val="none"/>
              </w:rPr>
              <w:t>评价</w:t>
            </w:r>
          </w:p>
        </w:tc>
        <w:tc>
          <w:tcPr>
            <w:tcW w:w="7088" w:type="dxa"/>
            <w:vAlign w:val="center"/>
          </w:tcPr>
          <w:p>
            <w:pPr>
              <w:numPr>
                <w:ilvl w:val="0"/>
                <w:numId w:val="0"/>
              </w:numPr>
              <w:jc w:val="left"/>
              <w:rPr>
                <w:rFonts w:cs="宋体" w:asciiTheme="minorEastAsia" w:hAnsiTheme="minorEastAsia" w:eastAsiaTheme="minorEastAsia"/>
                <w:color w:val="auto"/>
                <w:szCs w:val="21"/>
                <w:highlight w:val="none"/>
              </w:rPr>
            </w:pPr>
            <w:r>
              <w:rPr>
                <w:rStyle w:val="80"/>
                <w:rFonts w:hint="eastAsia" w:cs="宋体" w:asciiTheme="minorEastAsia" w:hAnsiTheme="minorEastAsia" w:eastAsiaTheme="minorEastAsia"/>
                <w:color w:val="auto"/>
                <w:szCs w:val="21"/>
                <w:highlight w:val="none"/>
              </w:rPr>
              <w:t>理赔满意度评价</w:t>
            </w:r>
            <w:r>
              <w:rPr>
                <w:rFonts w:hint="eastAsia" w:cs="宋体" w:asciiTheme="minorEastAsia" w:hAnsiTheme="minorEastAsia" w:eastAsiaTheme="minorEastAsia"/>
                <w:color w:val="auto"/>
                <w:szCs w:val="21"/>
                <w:highlight w:val="none"/>
              </w:rPr>
              <w:t>由三门县教育局提供上一学年（</w:t>
            </w:r>
            <w:r>
              <w:rPr>
                <w:rFonts w:hint="eastAsia" w:cs="宋体" w:asciiTheme="minorEastAsia" w:hAnsiTheme="minorEastAsia"/>
                <w:color w:val="auto"/>
                <w:szCs w:val="21"/>
                <w:highlight w:val="none"/>
                <w:lang w:val="zh-CN"/>
              </w:rPr>
              <w:t>（202</w:t>
            </w:r>
            <w:r>
              <w:rPr>
                <w:rFonts w:hint="eastAsia" w:cs="宋体" w:asciiTheme="minorEastAsia" w:hAnsiTheme="minorEastAsia"/>
                <w:color w:val="auto"/>
                <w:szCs w:val="21"/>
                <w:highlight w:val="none"/>
                <w:lang w:val="en-US" w:eastAsia="zh-CN"/>
              </w:rPr>
              <w:t>3</w:t>
            </w:r>
            <w:r>
              <w:rPr>
                <w:rFonts w:hint="eastAsia" w:cs="宋体" w:asciiTheme="minorEastAsia" w:hAnsiTheme="minorEastAsia"/>
                <w:color w:val="auto"/>
                <w:szCs w:val="21"/>
                <w:highlight w:val="none"/>
                <w:lang w:val="zh-CN"/>
              </w:rPr>
              <w:t>年9月1日0时-202</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年8月31日24时）</w:t>
            </w:r>
            <w:r>
              <w:rPr>
                <w:rFonts w:hint="eastAsia" w:cs="宋体" w:asciiTheme="minorEastAsia" w:hAnsiTheme="minorEastAsia" w:eastAsiaTheme="minorEastAsia"/>
                <w:color w:val="auto"/>
                <w:szCs w:val="21"/>
                <w:highlight w:val="none"/>
              </w:rPr>
              <w:t>）理赔满意度负面评价结果，如无负面评价结果，则得满分，每有1例负面评价扣2分，</w:t>
            </w:r>
            <w:r>
              <w:rPr>
                <w:rFonts w:hint="eastAsia" w:cs="宋体" w:asciiTheme="minorEastAsia" w:hAnsiTheme="minorEastAsia" w:eastAsiaTheme="minorEastAsia"/>
                <w:color w:val="auto"/>
                <w:szCs w:val="21"/>
                <w:highlight w:val="none"/>
                <w:lang w:eastAsia="zh-CN"/>
              </w:rPr>
              <w:t>最高扣</w:t>
            </w:r>
            <w:r>
              <w:rPr>
                <w:rFonts w:hint="eastAsia" w:cs="宋体" w:asciiTheme="minorEastAsia" w:hAnsiTheme="minorEastAsia" w:eastAsiaTheme="minorEastAsia"/>
                <w:color w:val="auto"/>
                <w:szCs w:val="21"/>
                <w:highlight w:val="none"/>
                <w:lang w:val="en-US" w:eastAsia="zh-CN"/>
              </w:rPr>
              <w:t>8分，</w:t>
            </w:r>
            <w:r>
              <w:rPr>
                <w:rFonts w:hint="eastAsia" w:cs="宋体" w:asciiTheme="minorEastAsia" w:hAnsiTheme="minorEastAsia" w:eastAsiaTheme="minorEastAsia"/>
                <w:color w:val="auto"/>
                <w:szCs w:val="21"/>
                <w:highlight w:val="none"/>
              </w:rPr>
              <w:t>扣完为止。</w:t>
            </w:r>
          </w:p>
        </w:tc>
        <w:tc>
          <w:tcPr>
            <w:tcW w:w="1086" w:type="dxa"/>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850" w:type="dxa"/>
            <w:vMerge w:val="restart"/>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项目组成员情况</w:t>
            </w:r>
          </w:p>
        </w:tc>
        <w:tc>
          <w:tcPr>
            <w:tcW w:w="7088" w:type="dxa"/>
            <w:vAlign w:val="center"/>
          </w:tcPr>
          <w:p>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投标人在本项目服务的人员配备：人员数量 10 人及以下得 1.0 分， 11-20人得 2.0 分，21 人及以上得 3.0 分。</w:t>
            </w:r>
          </w:p>
          <w:p>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须</w:t>
            </w:r>
            <w:r>
              <w:rPr>
                <w:rFonts w:cs="宋体" w:asciiTheme="minorEastAsia" w:hAnsiTheme="minorEastAsia" w:eastAsiaTheme="minorEastAsia"/>
                <w:color w:val="auto"/>
                <w:szCs w:val="21"/>
                <w:highlight w:val="none"/>
              </w:rPr>
              <w:t>提供</w:t>
            </w:r>
            <w:r>
              <w:rPr>
                <w:rFonts w:hint="eastAsia" w:cs="宋体" w:asciiTheme="minorEastAsia" w:hAnsiTheme="minorEastAsia" w:eastAsiaTheme="minorEastAsia"/>
                <w:bCs/>
                <w:color w:val="auto"/>
                <w:szCs w:val="21"/>
                <w:highlight w:val="none"/>
              </w:rPr>
              <w:t>最近3个月的项目组人员社保证明材料</w:t>
            </w:r>
            <w:r>
              <w:rPr>
                <w:rFonts w:cs="宋体" w:asciiTheme="minorEastAsia" w:hAnsiTheme="minorEastAsia" w:eastAsiaTheme="minorEastAsia"/>
                <w:color w:val="auto"/>
                <w:szCs w:val="21"/>
                <w:highlight w:val="none"/>
              </w:rPr>
              <w:t>）</w:t>
            </w:r>
          </w:p>
        </w:tc>
        <w:tc>
          <w:tcPr>
            <w:tcW w:w="1086" w:type="dxa"/>
            <w:vAlign w:val="center"/>
          </w:tcPr>
          <w:p>
            <w:pPr>
              <w:adjustRightInd w:val="0"/>
              <w:snapToGrid w:val="0"/>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850"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7088" w:type="dxa"/>
            <w:vAlign w:val="center"/>
          </w:tcPr>
          <w:p>
            <w:pPr>
              <w:adjustRightInd w:val="0"/>
              <w:snapToGrid w:val="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配有保险服务指导员的，每人得1分，最高得3分。</w:t>
            </w:r>
          </w:p>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（须提供相关人员最近3个月的社保证明复印件、从业简历、人员配置承诺书，加盖投标人公章，不提供的或提供不全的不得分）</w:t>
            </w:r>
          </w:p>
        </w:tc>
        <w:tc>
          <w:tcPr>
            <w:tcW w:w="1086" w:type="dxa"/>
            <w:vAlign w:val="center"/>
          </w:tcPr>
          <w:p>
            <w:pPr>
              <w:adjustRightInd w:val="0"/>
              <w:snapToGrid w:val="0"/>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850" w:type="dxa"/>
            <w:vMerge w:val="continue"/>
            <w:vAlign w:val="center"/>
          </w:tcPr>
          <w:p>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7088" w:type="dxa"/>
            <w:vAlign w:val="center"/>
          </w:tcPr>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配有专职的医疗专业人员的，得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分；没有不得分。</w:t>
            </w:r>
          </w:p>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（须提供医疗相关专业的毕业证书复印件、最近3个月的社保证明复印件、从业简历及人员配置承诺书，加盖投标人公章，不提供的或提供不全的不得分）</w:t>
            </w:r>
          </w:p>
        </w:tc>
        <w:tc>
          <w:tcPr>
            <w:tcW w:w="1086" w:type="dxa"/>
            <w:vAlign w:val="center"/>
          </w:tcPr>
          <w:p>
            <w:pPr>
              <w:adjustRightInd w:val="0"/>
              <w:snapToGrid w:val="0"/>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6"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850" w:type="dxa"/>
            <w:vMerge w:val="continue"/>
            <w:vAlign w:val="center"/>
          </w:tcPr>
          <w:p>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7088" w:type="dxa"/>
            <w:vAlign w:val="center"/>
          </w:tcPr>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配有学生保险现场查勘人员的，得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 xml:space="preserve"> 分；没有不得分。</w:t>
            </w:r>
          </w:p>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（须提供相关人员的毕业证书复印件、最近3个月的社保证明复印件、从业简历及人员配置承诺书，加盖投标人公章，不提供的或提供不全的不得分）</w:t>
            </w:r>
          </w:p>
        </w:tc>
        <w:tc>
          <w:tcPr>
            <w:tcW w:w="1086" w:type="dxa"/>
            <w:vAlign w:val="center"/>
          </w:tcPr>
          <w:p>
            <w:pPr>
              <w:spacing w:line="360" w:lineRule="auto"/>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restart"/>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技术分（</w:t>
            </w:r>
            <w:r>
              <w:rPr>
                <w:rFonts w:hint="eastAsia" w:cs="宋体" w:asciiTheme="minorEastAsia" w:hAnsiTheme="minorEastAsia" w:eastAsiaTheme="minorEastAsia"/>
                <w:color w:val="auto"/>
                <w:szCs w:val="21"/>
                <w:highlight w:val="none"/>
                <w:lang w:val="en-US" w:eastAsia="zh-CN"/>
              </w:rPr>
              <w:t>64</w:t>
            </w:r>
            <w:r>
              <w:rPr>
                <w:rFonts w:hint="eastAsia" w:cs="宋体" w:asciiTheme="minorEastAsia" w:hAnsiTheme="minorEastAsia" w:eastAsiaTheme="minorEastAsia"/>
                <w:color w:val="auto"/>
                <w:szCs w:val="21"/>
                <w:highlight w:val="none"/>
              </w:rPr>
              <w:t>分）</w:t>
            </w:r>
          </w:p>
        </w:tc>
        <w:tc>
          <w:tcPr>
            <w:tcW w:w="850" w:type="dxa"/>
            <w:vMerge w:val="restart"/>
            <w:vAlign w:val="center"/>
          </w:tcPr>
          <w:p>
            <w:pPr>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工作方案</w:t>
            </w:r>
          </w:p>
        </w:tc>
        <w:tc>
          <w:tcPr>
            <w:tcW w:w="7088"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根据投标人对本项目制定的普通学校监护人责任保险投保方案（</w:t>
            </w:r>
            <w:r>
              <w:rPr>
                <w:rFonts w:hint="eastAsia" w:cs="宋体" w:asciiTheme="minorEastAsia" w:hAnsiTheme="minorEastAsia" w:eastAsiaTheme="minorEastAsia"/>
                <w:b/>
                <w:color w:val="auto"/>
                <w:szCs w:val="21"/>
                <w:highlight w:val="none"/>
              </w:rPr>
              <w:t>方案阐述是否详细全面、工作方法是否明确、内容是否完整、是否符合项目需求等</w:t>
            </w:r>
            <w:r>
              <w:rPr>
                <w:rFonts w:cs="宋体" w:asciiTheme="minorEastAsia" w:hAnsiTheme="minorEastAsia" w:eastAsiaTheme="minorEastAsia"/>
                <w:b/>
                <w:color w:val="auto"/>
                <w:szCs w:val="21"/>
                <w:highlight w:val="none"/>
              </w:rPr>
              <w:t>内容</w:t>
            </w:r>
            <w:r>
              <w:rPr>
                <w:rFonts w:hint="eastAsia" w:cs="宋体" w:asciiTheme="minorEastAsia" w:hAnsiTheme="minorEastAsia" w:eastAsiaTheme="minorEastAsia"/>
                <w:color w:val="auto"/>
                <w:szCs w:val="21"/>
                <w:highlight w:val="none"/>
              </w:rPr>
              <w:t>）进行打分。优的得3.5-5.0分；一般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pPr>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2"/>
              <w:spacing w:after="0"/>
              <w:ind w:firstLine="210"/>
              <w:jc w:val="center"/>
              <w:rPr>
                <w:rFonts w:cs="宋体" w:asciiTheme="minorEastAsia" w:hAnsiTheme="minorEastAsia" w:eastAsiaTheme="minorEastAsia"/>
                <w:color w:val="auto"/>
                <w:szCs w:val="21"/>
                <w:highlight w:val="none"/>
              </w:rPr>
            </w:pPr>
          </w:p>
        </w:tc>
        <w:tc>
          <w:tcPr>
            <w:tcW w:w="850" w:type="dxa"/>
            <w:vMerge w:val="continue"/>
            <w:vAlign w:val="center"/>
          </w:tcPr>
          <w:p>
            <w:pPr>
              <w:jc w:val="center"/>
              <w:rPr>
                <w:rFonts w:cs="宋体" w:asciiTheme="minorEastAsia" w:hAnsiTheme="minorEastAsia" w:eastAsiaTheme="minorEastAsia"/>
                <w:color w:val="auto"/>
                <w:szCs w:val="21"/>
                <w:highlight w:val="none"/>
              </w:rPr>
            </w:pPr>
          </w:p>
        </w:tc>
        <w:tc>
          <w:tcPr>
            <w:tcW w:w="7088"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根据投标人对本项目制定的</w:t>
            </w:r>
            <w:r>
              <w:rPr>
                <w:rFonts w:hint="eastAsia" w:cs="宋体" w:asciiTheme="minorEastAsia" w:hAnsiTheme="minorEastAsia" w:eastAsiaTheme="minorEastAsia"/>
                <w:bCs/>
                <w:color w:val="auto"/>
                <w:szCs w:val="21"/>
                <w:highlight w:val="none"/>
              </w:rPr>
              <w:t>紧急事项赔付方案</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包括建立详细的紧急赔付工作方案、针对特殊情况特别处理方案，</w:t>
            </w:r>
            <w:r>
              <w:rPr>
                <w:rFonts w:hint="eastAsia" w:cs="宋体" w:asciiTheme="minorEastAsia" w:hAnsiTheme="minorEastAsia" w:eastAsiaTheme="minorEastAsia"/>
                <w:b/>
                <w:color w:val="auto"/>
                <w:spacing w:val="-4"/>
                <w:szCs w:val="21"/>
                <w:highlight w:val="none"/>
              </w:rPr>
              <w:t>应急措施是否科学</w:t>
            </w:r>
            <w:r>
              <w:rPr>
                <w:rFonts w:hint="eastAsia" w:cs="宋体" w:asciiTheme="minorEastAsia" w:hAnsiTheme="minorEastAsia" w:eastAsiaTheme="minorEastAsia"/>
                <w:b/>
                <w:color w:val="auto"/>
                <w:szCs w:val="21"/>
                <w:highlight w:val="none"/>
              </w:rPr>
              <w:t>可行，是否有效保障理赔服务质量；同时针对家庭贫困的学生是否可以预支费用等情况</w:t>
            </w:r>
            <w:r>
              <w:rPr>
                <w:rFonts w:hint="eastAsia" w:cs="宋体" w:asciiTheme="minorEastAsia" w:hAnsiTheme="minorEastAsia" w:eastAsiaTheme="minorEastAsia"/>
                <w:color w:val="auto"/>
                <w:szCs w:val="21"/>
                <w:highlight w:val="none"/>
              </w:rPr>
              <w:t>）进行打分。优的得3.5-5.0分；一般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pPr>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2"/>
              <w:spacing w:after="0"/>
              <w:ind w:firstLine="210"/>
              <w:jc w:val="center"/>
              <w:rPr>
                <w:rFonts w:cs="宋体" w:asciiTheme="minorEastAsia" w:hAnsiTheme="minorEastAsia" w:eastAsiaTheme="minorEastAsia"/>
                <w:color w:val="auto"/>
                <w:szCs w:val="21"/>
                <w:highlight w:val="none"/>
              </w:rPr>
            </w:pPr>
          </w:p>
        </w:tc>
        <w:tc>
          <w:tcPr>
            <w:tcW w:w="850" w:type="dxa"/>
            <w:vMerge w:val="continue"/>
            <w:vAlign w:val="center"/>
          </w:tcPr>
          <w:p>
            <w:pPr>
              <w:jc w:val="center"/>
              <w:rPr>
                <w:rFonts w:cs="宋体" w:asciiTheme="minorEastAsia" w:hAnsiTheme="minorEastAsia" w:eastAsiaTheme="minorEastAsia"/>
                <w:color w:val="auto"/>
                <w:szCs w:val="21"/>
                <w:highlight w:val="none"/>
              </w:rPr>
            </w:pPr>
          </w:p>
        </w:tc>
        <w:tc>
          <w:tcPr>
            <w:tcW w:w="7088"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根据投标人对本项目建有快速理赔机制和绿色理赔通道，规章制度是否清晰，且操作规范，切实可行等情况进行打分。优的得3.5-5.0分；一般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pPr>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2"/>
              <w:spacing w:after="0"/>
              <w:ind w:firstLine="210"/>
              <w:jc w:val="center"/>
              <w:rPr>
                <w:rFonts w:cs="宋体" w:asciiTheme="minorEastAsia" w:hAnsiTheme="minorEastAsia" w:eastAsiaTheme="minorEastAsia"/>
                <w:color w:val="auto"/>
                <w:szCs w:val="21"/>
                <w:highlight w:val="none"/>
              </w:rPr>
            </w:pPr>
          </w:p>
        </w:tc>
        <w:tc>
          <w:tcPr>
            <w:tcW w:w="850" w:type="dxa"/>
            <w:vMerge w:val="continue"/>
            <w:vAlign w:val="center"/>
          </w:tcPr>
          <w:p>
            <w:pPr>
              <w:jc w:val="center"/>
              <w:rPr>
                <w:rFonts w:cs="宋体" w:asciiTheme="minorEastAsia" w:hAnsiTheme="minorEastAsia" w:eastAsiaTheme="minorEastAsia"/>
                <w:color w:val="auto"/>
                <w:szCs w:val="21"/>
                <w:highlight w:val="none"/>
              </w:rPr>
            </w:pPr>
          </w:p>
        </w:tc>
        <w:tc>
          <w:tcPr>
            <w:tcW w:w="7088"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根据投标人对本项目建立重大案件临时协调处理工作小组及预赔付等工作机制等</w:t>
            </w:r>
            <w:r>
              <w:rPr>
                <w:rFonts w:cs="宋体" w:asciiTheme="minorEastAsia" w:hAnsiTheme="minorEastAsia" w:eastAsiaTheme="minorEastAsia"/>
                <w:color w:val="auto"/>
                <w:szCs w:val="21"/>
                <w:highlight w:val="none"/>
              </w:rPr>
              <w:t>情况</w:t>
            </w:r>
            <w:r>
              <w:rPr>
                <w:rFonts w:hint="eastAsia" w:cs="宋体" w:asciiTheme="minorEastAsia" w:hAnsiTheme="minorEastAsia" w:eastAsiaTheme="minorEastAsia"/>
                <w:color w:val="auto"/>
                <w:szCs w:val="21"/>
                <w:highlight w:val="none"/>
              </w:rPr>
              <w:t>进行打分。</w:t>
            </w:r>
            <w:r>
              <w:rPr>
                <w:rFonts w:hint="eastAsia" w:asciiTheme="minorEastAsia" w:hAnsiTheme="minorEastAsia" w:eastAsiaTheme="minorEastAsia" w:cstheme="minorEastAsia"/>
                <w:bCs/>
                <w:color w:val="auto"/>
                <w:szCs w:val="21"/>
                <w:highlight w:val="none"/>
              </w:rPr>
              <w:t>优的得</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.0分；一般</w:t>
            </w:r>
            <w:r>
              <w:rPr>
                <w:rFonts w:asciiTheme="minorEastAsia" w:hAnsiTheme="minorEastAsia" w:eastAsiaTheme="minorEastAsia" w:cstheme="minorEastAsia"/>
                <w:bCs/>
                <w:color w:val="auto"/>
                <w:szCs w:val="21"/>
                <w:highlight w:val="none"/>
              </w:rPr>
              <w:t>的得2</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.9分</w:t>
            </w:r>
            <w:r>
              <w:rPr>
                <w:rFonts w:asciiTheme="minorEastAsia" w:hAnsiTheme="minorEastAsia" w:eastAsiaTheme="minorEastAsia" w:cstheme="minorEastAsia"/>
                <w:bCs/>
                <w:color w:val="auto"/>
                <w:szCs w:val="21"/>
                <w:highlight w:val="none"/>
              </w:rPr>
              <w:t>；差的得0</w:t>
            </w: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bCs/>
                <w:color w:val="auto"/>
                <w:szCs w:val="21"/>
                <w:highlight w:val="none"/>
              </w:rPr>
              <w:t>1.9</w:t>
            </w:r>
            <w:r>
              <w:rPr>
                <w:rFonts w:hint="eastAsia" w:asciiTheme="minorEastAsia" w:hAnsiTheme="minorEastAsia" w:eastAsiaTheme="minorEastAsia" w:cstheme="minorEastAsia"/>
                <w:bCs/>
                <w:color w:val="auto"/>
                <w:szCs w:val="21"/>
                <w:highlight w:val="none"/>
              </w:rPr>
              <w:t>分。</w:t>
            </w:r>
          </w:p>
        </w:tc>
        <w:tc>
          <w:tcPr>
            <w:tcW w:w="1086" w:type="dxa"/>
            <w:vAlign w:val="center"/>
          </w:tcPr>
          <w:p>
            <w:pPr>
              <w:jc w:val="center"/>
              <w:rPr>
                <w:rFonts w:hint="eastAsia" w:cs="宋体" w:asciiTheme="minorEastAsia" w:hAnsiTheme="minorEastAsia" w:eastAsiaTheme="minorEastAsia"/>
                <w:color w:val="auto"/>
                <w:szCs w:val="21"/>
                <w:highlight w:val="none"/>
                <w:lang w:eastAsia="zh-CN"/>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2"/>
              <w:spacing w:after="0"/>
              <w:ind w:firstLine="210"/>
              <w:jc w:val="center"/>
              <w:rPr>
                <w:rFonts w:cs="宋体" w:asciiTheme="minorEastAsia" w:hAnsiTheme="minorEastAsia" w:eastAsiaTheme="minorEastAsia"/>
                <w:color w:val="auto"/>
                <w:szCs w:val="21"/>
                <w:highlight w:val="none"/>
              </w:rPr>
            </w:pPr>
          </w:p>
        </w:tc>
        <w:tc>
          <w:tcPr>
            <w:tcW w:w="850" w:type="dxa"/>
            <w:vAlign w:val="center"/>
          </w:tcPr>
          <w:p>
            <w:pPr>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售后服务</w:t>
            </w:r>
          </w:p>
        </w:tc>
        <w:tc>
          <w:tcPr>
            <w:tcW w:w="7088" w:type="dxa"/>
            <w:vAlign w:val="center"/>
          </w:tcPr>
          <w:p>
            <w:pPr>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w:t>
            </w:r>
            <w:r>
              <w:rPr>
                <w:rFonts w:hint="eastAsia" w:cs="宋体" w:asciiTheme="minorEastAsia" w:hAnsiTheme="minorEastAsia" w:eastAsiaTheme="minorEastAsia"/>
                <w:color w:val="auto"/>
                <w:szCs w:val="21"/>
                <w:highlight w:val="none"/>
              </w:rPr>
              <w:t>投标人对本项目承诺提供的售后服务方案（</w:t>
            </w:r>
            <w:r>
              <w:rPr>
                <w:rFonts w:hint="eastAsia" w:cs="宋体" w:asciiTheme="minorEastAsia" w:hAnsiTheme="minorEastAsia" w:eastAsiaTheme="minorEastAsia"/>
                <w:b/>
                <w:color w:val="auto"/>
                <w:szCs w:val="21"/>
                <w:highlight w:val="none"/>
              </w:rPr>
              <w:t>包括服务方案的可行性、完整性以及后续的服务保障措施等方面</w:t>
            </w:r>
            <w:r>
              <w:rPr>
                <w:rFonts w:hint="eastAsia" w:cs="宋体" w:asciiTheme="minorEastAsia" w:hAnsiTheme="minorEastAsia" w:eastAsiaTheme="minorEastAsia"/>
                <w:color w:val="auto"/>
                <w:szCs w:val="21"/>
                <w:highlight w:val="none"/>
              </w:rPr>
              <w:t>）进行打分。</w:t>
            </w:r>
            <w:r>
              <w:rPr>
                <w:rFonts w:hint="eastAsia" w:asciiTheme="minorEastAsia" w:hAnsiTheme="minorEastAsia" w:eastAsiaTheme="minorEastAsia" w:cstheme="minorEastAsia"/>
                <w:bCs/>
                <w:color w:val="auto"/>
                <w:szCs w:val="21"/>
                <w:highlight w:val="none"/>
              </w:rPr>
              <w:t>优的得</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.0分；一般</w:t>
            </w:r>
            <w:r>
              <w:rPr>
                <w:rFonts w:asciiTheme="minorEastAsia" w:hAnsiTheme="minorEastAsia" w:eastAsiaTheme="minorEastAsia" w:cstheme="minorEastAsia"/>
                <w:bCs/>
                <w:color w:val="auto"/>
                <w:szCs w:val="21"/>
                <w:highlight w:val="none"/>
              </w:rPr>
              <w:t>的得2</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.9分</w:t>
            </w:r>
            <w:r>
              <w:rPr>
                <w:rFonts w:asciiTheme="minorEastAsia" w:hAnsiTheme="minorEastAsia" w:eastAsiaTheme="minorEastAsia" w:cstheme="minorEastAsia"/>
                <w:bCs/>
                <w:color w:val="auto"/>
                <w:szCs w:val="21"/>
                <w:highlight w:val="none"/>
              </w:rPr>
              <w:t>；差的得0</w:t>
            </w: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bCs/>
                <w:color w:val="auto"/>
                <w:szCs w:val="21"/>
                <w:highlight w:val="none"/>
              </w:rPr>
              <w:t>1.9</w:t>
            </w:r>
            <w:r>
              <w:rPr>
                <w:rFonts w:hint="eastAsia" w:asciiTheme="minorEastAsia" w:hAnsiTheme="minorEastAsia" w:eastAsiaTheme="minorEastAsia" w:cstheme="minorEastAsia"/>
                <w:bCs/>
                <w:color w:val="auto"/>
                <w:szCs w:val="21"/>
                <w:highlight w:val="none"/>
              </w:rPr>
              <w:t>分。</w:t>
            </w:r>
          </w:p>
        </w:tc>
        <w:tc>
          <w:tcPr>
            <w:tcW w:w="1086" w:type="dxa"/>
            <w:vAlign w:val="center"/>
          </w:tcPr>
          <w:p>
            <w:pPr>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Merge w:val="restart"/>
            <w:vAlign w:val="center"/>
          </w:tcPr>
          <w:p>
            <w:pPr>
              <w:widowControl/>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服务承诺</w:t>
            </w:r>
          </w:p>
        </w:tc>
        <w:tc>
          <w:tcPr>
            <w:tcW w:w="7088" w:type="dxa"/>
            <w:vAlign w:val="center"/>
          </w:tcPr>
          <w:p>
            <w:pPr>
              <w:tabs>
                <w:tab w:val="right" w:pos="4937"/>
              </w:tabs>
              <w:jc w:val="left"/>
              <w:textAlignment w:val="baseline"/>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根据投标人是否为学校提供风险查勘、投保、理赔等优惠措施或优惠服务承诺进行打分。优的得2.5-4.0分；一般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1.0-2.4分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0-0</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Merge w:val="continue"/>
            <w:vAlign w:val="center"/>
          </w:tcPr>
          <w:p>
            <w:pPr>
              <w:jc w:val="center"/>
              <w:rPr>
                <w:rFonts w:cs="宋体" w:asciiTheme="minorEastAsia" w:hAnsiTheme="minorEastAsia" w:eastAsiaTheme="minorEastAsia"/>
                <w:color w:val="auto"/>
                <w:kern w:val="0"/>
                <w:szCs w:val="21"/>
                <w:highlight w:val="none"/>
              </w:rPr>
            </w:pPr>
          </w:p>
        </w:tc>
        <w:tc>
          <w:tcPr>
            <w:tcW w:w="7088" w:type="dxa"/>
            <w:vAlign w:val="center"/>
          </w:tcPr>
          <w:p>
            <w:pPr>
              <w:jc w:val="left"/>
              <w:textAlignment w:val="baseline"/>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1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①</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投标人对牙齿</w:t>
            </w:r>
            <w:r>
              <w:rPr>
                <w:rFonts w:hint="eastAsia" w:cs="宋体" w:asciiTheme="minorEastAsia" w:hAnsiTheme="minorEastAsia" w:eastAsiaTheme="minorEastAsia"/>
                <w:color w:val="auto"/>
                <w:szCs w:val="21"/>
                <w:highlight w:val="none"/>
                <w:lang w:eastAsia="zh-CN"/>
              </w:rPr>
              <w:t>（恒牙）</w:t>
            </w:r>
            <w:r>
              <w:rPr>
                <w:rFonts w:hint="eastAsia" w:cs="宋体" w:asciiTheme="minorEastAsia" w:hAnsiTheme="minorEastAsia" w:eastAsiaTheme="minorEastAsia"/>
                <w:color w:val="auto"/>
                <w:szCs w:val="21"/>
                <w:highlight w:val="none"/>
              </w:rPr>
              <w:t>损伤赔偿特别承诺:</w:t>
            </w:r>
          </w:p>
          <w:p>
            <w:pPr>
              <w:jc w:val="left"/>
              <w:textAlignment w:val="baseline"/>
              <w:rPr>
                <w:rFonts w:hint="eastAsia" w:cs="宋体" w:asciiTheme="minorEastAsia" w:hAnsiTheme="minorEastAsia" w:eastAsiaTheme="minorEastAsia"/>
                <w:b/>
                <w:bCs/>
                <w:color w:val="auto"/>
                <w:szCs w:val="21"/>
                <w:highlight w:val="none"/>
                <w:lang w:eastAsia="zh-CN"/>
              </w:rPr>
            </w:pPr>
            <w:r>
              <w:rPr>
                <w:rFonts w:hint="eastAsia" w:cs="宋体" w:asciiTheme="minorEastAsia" w:hAnsiTheme="minorEastAsia" w:eastAsiaTheme="minorEastAsia"/>
                <w:color w:val="auto"/>
                <w:szCs w:val="21"/>
                <w:highlight w:val="none"/>
              </w:rPr>
              <w:t>合规医疗费用凭医疗票据按原约定赔付除外，保险人承诺被保险人因意外伤害导致牙齿缺失性损伤或虽未缺失但根据治疗需要拔除的，凭医嘱病历和牙齿损伤正面照片（无需医疗发票，下同），每颗给付赔偿金</w:t>
            </w:r>
            <w:r>
              <w:rPr>
                <w:rFonts w:hint="eastAsia" w:cs="宋体" w:asciiTheme="minorEastAsia" w:hAnsiTheme="minorEastAsia" w:eastAsiaTheme="minorEastAsia"/>
                <w:color w:val="auto"/>
                <w:szCs w:val="21"/>
                <w:highlight w:val="none"/>
                <w:lang w:val="en-US" w:eastAsia="zh-CN"/>
              </w:rPr>
              <w:t>10000</w:t>
            </w:r>
            <w:r>
              <w:rPr>
                <w:rFonts w:hint="eastAsia" w:cs="宋体" w:asciiTheme="minorEastAsia" w:hAnsiTheme="minorEastAsia" w:eastAsiaTheme="minorEastAsia"/>
                <w:color w:val="auto"/>
                <w:szCs w:val="21"/>
                <w:highlight w:val="none"/>
              </w:rPr>
              <w:t>元，得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b/>
                <w:bCs/>
                <w:color w:val="auto"/>
                <w:szCs w:val="21"/>
                <w:highlight w:val="none"/>
              </w:rPr>
              <w:t>（须同时承诺冠折性损伤且根据医嘱能保留的，每颗按</w:t>
            </w:r>
            <w:r>
              <w:rPr>
                <w:rFonts w:hint="eastAsia" w:cs="宋体" w:asciiTheme="minorEastAsia" w:hAnsiTheme="minorEastAsia" w:eastAsiaTheme="minorEastAsia"/>
                <w:b/>
                <w:bCs/>
                <w:color w:val="auto"/>
                <w:szCs w:val="21"/>
                <w:highlight w:val="none"/>
                <w:lang w:val="en-US" w:eastAsia="zh-CN"/>
              </w:rPr>
              <w:t>5000元</w:t>
            </w:r>
            <w:r>
              <w:rPr>
                <w:rFonts w:hint="eastAsia" w:cs="宋体" w:asciiTheme="minorEastAsia" w:hAnsiTheme="minorEastAsia" w:eastAsiaTheme="minorEastAsia"/>
                <w:b/>
                <w:bCs/>
                <w:color w:val="auto"/>
                <w:szCs w:val="21"/>
                <w:highlight w:val="none"/>
              </w:rPr>
              <w:t>给付赔偿金，否则单一对缺失性损伤报价无效，本项不得分）</w:t>
            </w:r>
            <w:r>
              <w:rPr>
                <w:rFonts w:hint="eastAsia" w:cs="宋体" w:asciiTheme="minorEastAsia" w:hAnsiTheme="minorEastAsia" w:eastAsiaTheme="minorEastAsia"/>
                <w:b/>
                <w:bCs/>
                <w:color w:val="auto"/>
                <w:szCs w:val="21"/>
                <w:highlight w:val="none"/>
                <w:lang w:eastAsia="zh-CN"/>
              </w:rPr>
              <w:t>。</w:t>
            </w:r>
          </w:p>
          <w:p>
            <w:pPr>
              <w:jc w:val="left"/>
              <w:textAlignment w:val="baseline"/>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2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②</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投标人对狂犬疫苗赔偿特别承诺：被保险人因受意外伤害，根据医嘱需注射狂犬疫苗的，在合规医疗费用按原约定赔付后，投标人承诺凭狂犬疫苗接种票据，每次给予</w:t>
            </w:r>
            <w:r>
              <w:rPr>
                <w:rFonts w:hint="eastAsia" w:cs="宋体" w:asciiTheme="minorEastAsia" w:hAnsiTheme="minorEastAsia" w:eastAsiaTheme="minorEastAsia"/>
                <w:color w:val="auto"/>
                <w:szCs w:val="21"/>
                <w:highlight w:val="none"/>
                <w:lang w:val="en-US" w:eastAsia="zh-CN"/>
              </w:rPr>
              <w:t>2000</w:t>
            </w:r>
            <w:r>
              <w:rPr>
                <w:rFonts w:hint="eastAsia" w:cs="宋体" w:asciiTheme="minorEastAsia" w:hAnsiTheme="minorEastAsia" w:eastAsiaTheme="minorEastAsia"/>
                <w:color w:val="auto"/>
                <w:szCs w:val="21"/>
                <w:highlight w:val="none"/>
              </w:rPr>
              <w:t>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得</w:t>
            </w:r>
            <w:r>
              <w:rPr>
                <w:rFonts w:hint="eastAsia" w:cs="宋体" w:asciiTheme="minorEastAsia" w:hAnsiTheme="minorEastAsia" w:eastAsiaTheme="minorEastAsia"/>
                <w:color w:val="auto"/>
                <w:szCs w:val="21"/>
                <w:highlight w:val="none"/>
              </w:rPr>
              <w:t>2分。</w:t>
            </w:r>
          </w:p>
          <w:p>
            <w:pPr>
              <w:jc w:val="left"/>
              <w:textAlignment w:val="baseline"/>
              <w:rPr>
                <w:rFonts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kern w:val="2"/>
                <w:sz w:val="21"/>
                <w:szCs w:val="21"/>
                <w:highlight w:val="none"/>
                <w:lang w:val="en-US" w:eastAsia="zh-CN" w:bidi="ar-SA"/>
              </w:rPr>
              <w:t>③</w:t>
            </w:r>
            <w:r>
              <w:rPr>
                <w:rFonts w:hint="eastAsia" w:cs="宋体" w:asciiTheme="minorEastAsia" w:hAnsiTheme="minorEastAsia" w:eastAsiaTheme="minorEastAsia"/>
                <w:color w:val="auto"/>
                <w:kern w:val="2"/>
                <w:sz w:val="21"/>
                <w:szCs w:val="21"/>
                <w:highlight w:val="none"/>
                <w:lang w:val="en-US" w:eastAsia="zh-CN" w:bidi="ar-SA"/>
              </w:rPr>
              <w:t>因意外伤害所支出的必要且合理的美容缝合医疗费用，</w:t>
            </w:r>
            <w:r>
              <w:rPr>
                <w:rFonts w:hint="eastAsia" w:cs="宋体" w:asciiTheme="minorEastAsia" w:hAnsiTheme="minorEastAsia" w:eastAsiaTheme="minorEastAsia"/>
                <w:color w:val="auto"/>
                <w:szCs w:val="21"/>
                <w:highlight w:val="none"/>
              </w:rPr>
              <w:t>每次给予</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000元理赔额度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kern w:val="2"/>
                <w:sz w:val="21"/>
                <w:szCs w:val="21"/>
                <w:highlight w:val="none"/>
                <w:lang w:val="en-US" w:eastAsia="zh-CN" w:bidi="ar-SA"/>
              </w:rPr>
              <w:t>,</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tc>
        <w:tc>
          <w:tcPr>
            <w:tcW w:w="1086" w:type="dxa"/>
            <w:vAlign w:val="center"/>
          </w:tcPr>
          <w:p>
            <w:pPr>
              <w:spacing w:line="360" w:lineRule="auto"/>
              <w:jc w:val="center"/>
              <w:rPr>
                <w:rFonts w:hint="eastAsia" w:cs="新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pPr>
              <w:snapToGrid w:val="0"/>
              <w:jc w:val="center"/>
              <w:rPr>
                <w:rFonts w:cs="宋体" w:asciiTheme="minorEastAsia" w:hAnsiTheme="minorEastAsia" w:eastAsiaTheme="minorEastAsia"/>
                <w:color w:val="auto"/>
                <w:kern w:val="0"/>
                <w:szCs w:val="21"/>
                <w:highlight w:val="none"/>
              </w:rPr>
            </w:pPr>
            <w:r>
              <w:rPr>
                <w:rFonts w:hint="eastAsia" w:cs="新宋体" w:asciiTheme="minorEastAsia" w:hAnsiTheme="minorEastAsia" w:eastAsiaTheme="minorEastAsia"/>
                <w:color w:val="auto"/>
                <w:szCs w:val="21"/>
                <w:highlight w:val="none"/>
              </w:rPr>
              <w:t>服务响应</w:t>
            </w:r>
          </w:p>
        </w:tc>
        <w:tc>
          <w:tcPr>
            <w:tcW w:w="7088" w:type="dxa"/>
            <w:vAlign w:val="center"/>
          </w:tcPr>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根据投标人承诺的服务响应时间等情况进行打分。</w:t>
            </w:r>
          </w:p>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2</w:t>
            </w:r>
            <w:r>
              <w:rPr>
                <w:rFonts w:hint="eastAsia" w:cs="宋体" w:asciiTheme="minorEastAsia" w:hAnsiTheme="minorEastAsia" w:eastAsiaTheme="minorEastAsia"/>
                <w:color w:val="auto"/>
                <w:spacing w:val="-4"/>
                <w:szCs w:val="21"/>
                <w:highlight w:val="none"/>
              </w:rPr>
              <w:t>小时内（含）到达现场的得5分；</w:t>
            </w:r>
          </w:p>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4</w:t>
            </w:r>
            <w:r>
              <w:rPr>
                <w:rFonts w:hint="eastAsia" w:cs="宋体" w:asciiTheme="minorEastAsia" w:hAnsiTheme="minorEastAsia" w:eastAsiaTheme="minorEastAsia"/>
                <w:color w:val="auto"/>
                <w:spacing w:val="-4"/>
                <w:szCs w:val="21"/>
                <w:highlight w:val="none"/>
              </w:rPr>
              <w:t>小时内（含）到达现场的得3分；</w:t>
            </w:r>
          </w:p>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小时内（含）到达现场的得1分；</w:t>
            </w:r>
          </w:p>
          <w:p>
            <w:pPr>
              <w:widowControl/>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接到采购方通知后，超过</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小时到达现场的或未提及此项不得分。</w:t>
            </w:r>
          </w:p>
        </w:tc>
        <w:tc>
          <w:tcPr>
            <w:tcW w:w="1086" w:type="dxa"/>
            <w:vAlign w:val="center"/>
          </w:tcPr>
          <w:p>
            <w:pPr>
              <w:tabs>
                <w:tab w:val="left" w:pos="780"/>
              </w:tabs>
              <w:autoSpaceDE w:val="0"/>
              <w:autoSpaceDN w:val="0"/>
              <w:adjustRightInd w:val="0"/>
              <w:jc w:val="center"/>
              <w:rPr>
                <w:rFonts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pPr>
              <w:spacing w:line="360" w:lineRule="auto"/>
              <w:ind w:left="80"/>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理赔时限</w:t>
            </w:r>
          </w:p>
        </w:tc>
        <w:tc>
          <w:tcPr>
            <w:tcW w:w="7088" w:type="dxa"/>
            <w:vAlign w:val="center"/>
          </w:tcPr>
          <w:p>
            <w:pPr>
              <w:ind w:left="80"/>
              <w:jc w:val="left"/>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rPr>
              <w:t>1、收到索赔材料 3 个工作日内向投保人反馈是否立案以及是否需要补充提供证明材料；</w:t>
            </w:r>
            <w:r>
              <w:rPr>
                <w:rFonts w:hint="eastAsia" w:cs="宋体" w:asciiTheme="minorEastAsia" w:hAnsiTheme="minorEastAsia" w:eastAsiaTheme="minorEastAsia"/>
                <w:color w:val="auto"/>
                <w:szCs w:val="21"/>
                <w:highlight w:val="none"/>
                <w:lang w:eastAsia="zh-CN"/>
              </w:rPr>
              <w:t>如死亡理赔承诺提供仅限以下材料：死亡证明、火化证明、户口簿销户证明、受益人身份证、领取赔偿协议书。承诺响应以上要求的得</w:t>
            </w:r>
            <w:r>
              <w:rPr>
                <w:rFonts w:hint="eastAsia" w:cs="宋体" w:asciiTheme="minorEastAsia" w:hAnsiTheme="minorEastAsia" w:eastAsiaTheme="minorEastAsia"/>
                <w:color w:val="auto"/>
                <w:szCs w:val="21"/>
                <w:highlight w:val="none"/>
                <w:lang w:val="en-US" w:eastAsia="zh-CN"/>
              </w:rPr>
              <w:t>2分。</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2、对索赔材料齐全的案件：</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小案（赔付金额 2000 元以内）5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中案（赔付金额2000 元至 2 万元）7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大案（赔付金额 2 万元至10 万元）10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重大案件（赔付金额 10 万元以上）15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按规定时间或者优于规定时间承诺的得 </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 xml:space="preserve"> 分，每超过 1 个工作日（24 小时）扣 1 分，扣完为止。</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备注：</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cs="宋体" w:asciiTheme="minorEastAsia" w:hAnsiTheme="minorEastAsia" w:eastAsiaTheme="minorEastAsia"/>
                <w:b/>
                <w:bCs/>
                <w:color w:val="auto"/>
                <w:szCs w:val="21"/>
                <w:highlight w:val="none"/>
                <w:lang w:eastAsia="zh-CN"/>
              </w:rPr>
              <w:t>。</w:t>
            </w:r>
          </w:p>
        </w:tc>
        <w:tc>
          <w:tcPr>
            <w:tcW w:w="1086" w:type="dxa"/>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服务质量管控</w:t>
            </w:r>
          </w:p>
        </w:tc>
        <w:tc>
          <w:tcPr>
            <w:tcW w:w="7088" w:type="dxa"/>
            <w:vAlign w:val="center"/>
          </w:tcPr>
          <w:p>
            <w:pPr>
              <w:tabs>
                <w:tab w:val="left" w:pos="2061"/>
              </w:tabs>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olor w:val="auto"/>
                <w:szCs w:val="21"/>
                <w:highlight w:val="none"/>
              </w:rPr>
              <w:t>根据投标人对监护人责任险服务工作的管理规范、管理组织构架、监督体系、内控制度、质量管控措施进行打分。优的得3.0-5.0分；一般</w:t>
            </w:r>
            <w:r>
              <w:rPr>
                <w:rFonts w:asciiTheme="minorEastAsia" w:hAnsiTheme="minorEastAsia" w:eastAsiaTheme="minorEastAsia"/>
                <w:color w:val="auto"/>
                <w:szCs w:val="21"/>
                <w:highlight w:val="none"/>
              </w:rPr>
              <w:t>的得</w:t>
            </w:r>
            <w:r>
              <w:rPr>
                <w:rFonts w:hint="eastAsia" w:asciiTheme="minorEastAsia" w:hAnsiTheme="minorEastAsia" w:eastAsiaTheme="minorEastAsia"/>
                <w:color w:val="auto"/>
                <w:szCs w:val="21"/>
                <w:highlight w:val="none"/>
              </w:rPr>
              <w:t>1-2.9分</w:t>
            </w:r>
            <w:r>
              <w:rPr>
                <w:rFonts w:asciiTheme="minorEastAsia" w:hAnsiTheme="minorEastAsia" w:eastAsiaTheme="minorEastAsia"/>
                <w:color w:val="auto"/>
                <w:szCs w:val="21"/>
                <w:highlight w:val="none"/>
              </w:rPr>
              <w:t>；差的得0</w:t>
            </w:r>
            <w:r>
              <w:rPr>
                <w:rFonts w:hint="eastAsia" w:cs="宋体"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0.9</w:t>
            </w:r>
            <w:r>
              <w:rPr>
                <w:rFonts w:hint="eastAsia" w:asciiTheme="minorEastAsia" w:hAnsiTheme="minorEastAsia" w:eastAsiaTheme="minorEastAsia"/>
                <w:color w:val="auto"/>
                <w:szCs w:val="21"/>
                <w:highlight w:val="none"/>
              </w:rPr>
              <w:t>分。</w:t>
            </w:r>
          </w:p>
        </w:tc>
        <w:tc>
          <w:tcPr>
            <w:tcW w:w="1086"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kern w:val="0"/>
                <w:szCs w:val="21"/>
                <w:highlight w:val="none"/>
              </w:rPr>
              <w:t>合理化建议</w:t>
            </w:r>
          </w:p>
        </w:tc>
        <w:tc>
          <w:tcPr>
            <w:tcW w:w="7088" w:type="dxa"/>
            <w:vAlign w:val="center"/>
          </w:tcPr>
          <w:p>
            <w:pPr>
              <w:jc w:val="left"/>
              <w:rPr>
                <w:rFonts w:asciiTheme="minorEastAsia" w:hAnsiTheme="minorEastAsia" w:eastAsiaTheme="minorEastAsia" w:cstheme="minorEastAsia"/>
                <w:b/>
                <w:color w:val="auto"/>
                <w:szCs w:val="21"/>
                <w:highlight w:val="none"/>
              </w:rPr>
            </w:pPr>
            <w:r>
              <w:rPr>
                <w:rFonts w:hint="eastAsia" w:cs="宋体" w:asciiTheme="minorEastAsia" w:hAnsiTheme="minorEastAsia" w:eastAsiaTheme="minorEastAsia"/>
                <w:color w:val="auto"/>
                <w:szCs w:val="21"/>
                <w:highlight w:val="none"/>
              </w:rPr>
              <w:t>根据投标人依据本项目服务要求、实际服务需求提出的合理化建议进行打分。优的得3.0-5.0分；一般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1-2.9分</w:t>
            </w:r>
            <w:r>
              <w:rPr>
                <w:rFonts w:cs="宋体" w:asciiTheme="minorEastAsia" w:hAnsiTheme="minorEastAsia" w:eastAsiaTheme="minorEastAsia"/>
                <w:color w:val="auto"/>
                <w:szCs w:val="21"/>
                <w:highlight w:val="none"/>
              </w:rPr>
              <w:t>；差的得0</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0.9</w:t>
            </w:r>
            <w:r>
              <w:rPr>
                <w:rFonts w:hint="eastAsia" w:cs="宋体" w:asciiTheme="minorEastAsia" w:hAnsiTheme="minorEastAsia" w:eastAsiaTheme="minorEastAsia"/>
                <w:color w:val="auto"/>
                <w:szCs w:val="21"/>
                <w:highlight w:val="none"/>
              </w:rPr>
              <w:t>分。</w:t>
            </w:r>
          </w:p>
        </w:tc>
        <w:tc>
          <w:tcPr>
            <w:tcW w:w="1086"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rPr>
              <w:t>保密措施</w:t>
            </w:r>
          </w:p>
        </w:tc>
        <w:tc>
          <w:tcPr>
            <w:tcW w:w="7088" w:type="dxa"/>
            <w:vAlign w:val="center"/>
          </w:tcPr>
          <w:p>
            <w:pPr>
              <w:rPr>
                <w:rFonts w:cs="宋体" w:asciiTheme="minorEastAsia" w:hAnsiTheme="minorEastAsia" w:eastAsiaTheme="minorEastAsia"/>
                <w:color w:val="auto"/>
                <w:szCs w:val="21"/>
                <w:highlight w:val="none"/>
              </w:rPr>
            </w:pPr>
            <w:r>
              <w:rPr>
                <w:rFonts w:hint="eastAsia" w:asciiTheme="minorEastAsia" w:hAnsiTheme="minorEastAsia" w:eastAsiaTheme="minorEastAsia" w:cstheme="minorEastAsia"/>
                <w:bCs/>
                <w:color w:val="auto"/>
                <w:szCs w:val="21"/>
                <w:highlight w:val="none"/>
              </w:rPr>
              <w:t>根据供应商是否有具体保密措施，使被投保人信息资料不被泄露等情况进行打分。优的得</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.0分；一般</w:t>
            </w:r>
            <w:r>
              <w:rPr>
                <w:rFonts w:asciiTheme="minorEastAsia" w:hAnsiTheme="minorEastAsia" w:eastAsiaTheme="minorEastAsia" w:cstheme="minorEastAsia"/>
                <w:bCs/>
                <w:color w:val="auto"/>
                <w:szCs w:val="21"/>
                <w:highlight w:val="none"/>
              </w:rPr>
              <w:t>的得2</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.9分</w:t>
            </w:r>
            <w:r>
              <w:rPr>
                <w:rFonts w:asciiTheme="minorEastAsia" w:hAnsiTheme="minorEastAsia" w:eastAsiaTheme="minorEastAsia" w:cstheme="minorEastAsia"/>
                <w:bCs/>
                <w:color w:val="auto"/>
                <w:szCs w:val="21"/>
                <w:highlight w:val="none"/>
              </w:rPr>
              <w:t>；差的得0</w:t>
            </w: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bCs/>
                <w:color w:val="auto"/>
                <w:szCs w:val="21"/>
                <w:highlight w:val="none"/>
              </w:rPr>
              <w:t>1.9</w:t>
            </w:r>
            <w:r>
              <w:rPr>
                <w:rFonts w:hint="eastAsia" w:asciiTheme="minorEastAsia" w:hAnsiTheme="minorEastAsia" w:eastAsiaTheme="minorEastAsia" w:cstheme="minorEastAsia"/>
                <w:bCs/>
                <w:color w:val="auto"/>
                <w:szCs w:val="21"/>
                <w:highlight w:val="none"/>
              </w:rPr>
              <w:t>分。</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asciiTheme="minorEastAsia" w:hAnsiTheme="minorEastAsia" w:eastAsiaTheme="minorEastAsia" w:cstheme="minorEastAsia"/>
                <w:b/>
                <w:color w:val="auto"/>
                <w:szCs w:val="21"/>
                <w:highlight w:val="none"/>
              </w:rPr>
              <w:t>）</w:t>
            </w:r>
          </w:p>
        </w:tc>
        <w:tc>
          <w:tcPr>
            <w:tcW w:w="1086" w:type="dxa"/>
            <w:vAlign w:val="center"/>
          </w:tcPr>
          <w:p>
            <w:pPr>
              <w:jc w:val="center"/>
              <w:rPr>
                <w:rFonts w:hint="eastAsia" w:cs="宋体" w:asciiTheme="minorEastAsia" w:hAnsiTheme="minorEastAsia" w:eastAsiaTheme="minorEastAsia"/>
                <w:color w:val="auto"/>
                <w:szCs w:val="21"/>
                <w:highlight w:val="none"/>
                <w:lang w:eastAsia="zh-CN"/>
              </w:rPr>
            </w:pPr>
            <w:r>
              <w:rPr>
                <w:rFonts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84" w:type="dxa"/>
            <w:gridSpan w:val="3"/>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合计</w:t>
            </w:r>
          </w:p>
        </w:tc>
        <w:tc>
          <w:tcPr>
            <w:tcW w:w="1086"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100</w:t>
            </w:r>
          </w:p>
        </w:tc>
      </w:tr>
    </w:tbl>
    <w:p>
      <w:pPr>
        <w:spacing w:line="360" w:lineRule="auto"/>
        <w:rPr>
          <w:rFonts w:asciiTheme="minorEastAsia" w:hAnsiTheme="minorEastAsia" w:eastAsiaTheme="minorEastAsia"/>
          <w:b/>
          <w:color w:val="auto"/>
          <w:sz w:val="28"/>
          <w:szCs w:val="28"/>
          <w:highlight w:val="none"/>
        </w:rPr>
      </w:pPr>
    </w:p>
    <w:p>
      <w:pPr>
        <w:pStyle w:val="2"/>
        <w:spacing w:before="0" w:after="0" w:line="360" w:lineRule="auto"/>
        <w:jc w:val="center"/>
        <w:rPr>
          <w:color w:val="auto"/>
          <w:sz w:val="30"/>
          <w:szCs w:val="30"/>
          <w:highlight w:val="none"/>
        </w:rPr>
      </w:pPr>
      <w:r>
        <w:rPr>
          <w:rFonts w:asciiTheme="minorEastAsia" w:hAnsiTheme="minorEastAsia" w:eastAsiaTheme="minorEastAsia"/>
          <w:color w:val="auto"/>
          <w:sz w:val="28"/>
          <w:szCs w:val="28"/>
          <w:highlight w:val="none"/>
        </w:rPr>
        <w:br w:type="page"/>
      </w:r>
      <w:bookmarkStart w:id="9" w:name="_Toc77876202"/>
      <w:r>
        <w:rPr>
          <w:rFonts w:hint="eastAsia"/>
          <w:color w:val="auto"/>
          <w:sz w:val="30"/>
          <w:szCs w:val="30"/>
          <w:highlight w:val="none"/>
        </w:rPr>
        <w:t>第四章公开招标需求</w:t>
      </w:r>
      <w:bookmarkEnd w:id="9"/>
    </w:p>
    <w:p>
      <w:pPr>
        <w:spacing w:before="72" w:line="358" w:lineRule="auto"/>
        <w:ind w:right="4" w:firstLine="43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9"/>
          <w:sz w:val="24"/>
          <w:highlight w:val="none"/>
        </w:rPr>
        <w:t>本着学生自愿参加保险的原则，投标人派人在学生报到现场设点受理，为全县所有公办学</w:t>
      </w:r>
      <w:r>
        <w:rPr>
          <w:rFonts w:cs="宋体" w:asciiTheme="minorEastAsia" w:hAnsiTheme="minorEastAsia" w:eastAsiaTheme="minorEastAsia"/>
          <w:color w:val="auto"/>
          <w:spacing w:val="-5"/>
          <w:sz w:val="24"/>
          <w:highlight w:val="none"/>
        </w:rPr>
        <w:t>校（高中、初中、小学、幼儿园）在校在籍学生提供平安保险服务。</w:t>
      </w:r>
    </w:p>
    <w:p>
      <w:pPr>
        <w:spacing w:before="2" w:line="201" w:lineRule="auto"/>
        <w:ind w:firstLine="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一、被保险对象及人数</w:t>
      </w:r>
    </w:p>
    <w:p>
      <w:pPr>
        <w:spacing w:line="359" w:lineRule="auto"/>
        <w:ind w:firstLine="438"/>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全县所有公办学校（高中、初中、小学、幼儿园）在校在籍学生（民办学校、幼儿园可参</w:t>
      </w:r>
      <w:r>
        <w:rPr>
          <w:rFonts w:cs="宋体" w:asciiTheme="minorEastAsia" w:hAnsiTheme="minorEastAsia" w:eastAsiaTheme="minorEastAsia"/>
          <w:color w:val="auto"/>
          <w:spacing w:val="-9"/>
          <w:sz w:val="24"/>
          <w:highlight w:val="none"/>
        </w:rPr>
        <w:t>照执行</w:t>
      </w:r>
      <w:r>
        <w:rPr>
          <w:rFonts w:cs="宋体" w:asciiTheme="minorEastAsia" w:hAnsiTheme="minorEastAsia" w:eastAsiaTheme="minorEastAsia"/>
          <w:color w:val="auto"/>
          <w:spacing w:val="-71"/>
          <w:w w:val="72"/>
          <w:sz w:val="24"/>
          <w:highlight w:val="none"/>
        </w:rPr>
        <w:t>），</w:t>
      </w:r>
      <w:r>
        <w:rPr>
          <w:rFonts w:cs="宋体" w:asciiTheme="minorEastAsia" w:hAnsiTheme="minorEastAsia" w:eastAsiaTheme="minorEastAsia"/>
          <w:color w:val="auto"/>
          <w:spacing w:val="-9"/>
          <w:sz w:val="24"/>
          <w:highlight w:val="none"/>
        </w:rPr>
        <w:t>全县在籍学生约5万人（人数为上年度参保人，仅作为参考，具体以实际参保人数为</w:t>
      </w:r>
      <w:r>
        <w:rPr>
          <w:rFonts w:cs="宋体" w:asciiTheme="minorEastAsia" w:hAnsiTheme="minorEastAsia" w:eastAsiaTheme="minorEastAsia"/>
          <w:color w:val="auto"/>
          <w:spacing w:val="-19"/>
          <w:w w:val="88"/>
          <w:sz w:val="24"/>
          <w:highlight w:val="none"/>
        </w:rPr>
        <w:t>准）</w:t>
      </w:r>
    </w:p>
    <w:p>
      <w:pPr>
        <w:spacing w:line="202" w:lineRule="auto"/>
        <w:ind w:firstLine="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二、保险费用及服务期限</w:t>
      </w:r>
    </w:p>
    <w:p>
      <w:pPr>
        <w:spacing w:before="187" w:line="180" w:lineRule="auto"/>
        <w:ind w:firstLine="455"/>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1、中小学（幼儿园）学生监护人责任险50元/人·年。</w:t>
      </w:r>
    </w:p>
    <w:p>
      <w:pPr>
        <w:spacing w:before="181" w:line="431" w:lineRule="exact"/>
        <w:ind w:firstLine="446"/>
        <w:rPr>
          <w:rFonts w:cs="宋体" w:asciiTheme="minorEastAsia" w:hAnsiTheme="minorEastAsia" w:eastAsiaTheme="minorEastAsia"/>
          <w:color w:val="auto"/>
          <w:spacing w:val="-1"/>
          <w:position w:val="15"/>
          <w:sz w:val="24"/>
          <w:highlight w:val="none"/>
        </w:rPr>
      </w:pPr>
      <w:r>
        <w:rPr>
          <w:rFonts w:cs="宋体" w:asciiTheme="minorEastAsia" w:hAnsiTheme="minorEastAsia" w:eastAsiaTheme="minorEastAsia"/>
          <w:color w:val="auto"/>
          <w:spacing w:val="-1"/>
          <w:position w:val="15"/>
          <w:sz w:val="24"/>
          <w:highlight w:val="none"/>
        </w:rPr>
        <w:t>2、按学年收费。保险服务期限为一学年，有效保险期限为</w:t>
      </w:r>
      <w:r>
        <w:rPr>
          <w:rFonts w:hint="eastAsia" w:cs="宋体" w:asciiTheme="minorEastAsia" w:hAnsiTheme="minorEastAsia" w:eastAsiaTheme="minorEastAsia"/>
          <w:color w:val="auto"/>
          <w:spacing w:val="-1"/>
          <w:position w:val="15"/>
          <w:sz w:val="24"/>
          <w:highlight w:val="none"/>
          <w:lang w:eastAsia="zh-CN"/>
        </w:rPr>
        <w:t>2024年 9 月 1 日 0 时-2025年 8 月 31 日 24 时</w:t>
      </w:r>
      <w:r>
        <w:rPr>
          <w:rFonts w:cs="宋体" w:asciiTheme="minorEastAsia" w:hAnsiTheme="minorEastAsia" w:eastAsiaTheme="minorEastAsia"/>
          <w:color w:val="auto"/>
          <w:spacing w:val="-1"/>
          <w:position w:val="15"/>
          <w:sz w:val="24"/>
          <w:highlight w:val="none"/>
        </w:rPr>
        <w:t>止。</w:t>
      </w:r>
    </w:p>
    <w:p>
      <w:pPr>
        <w:spacing w:line="431" w:lineRule="exact"/>
        <w:ind w:firstLine="446"/>
        <w:rPr>
          <w:rFonts w:cs="宋体" w:asciiTheme="minorEastAsia" w:hAnsiTheme="minorEastAsia" w:eastAsiaTheme="minorEastAsia"/>
          <w:color w:val="auto"/>
          <w:spacing w:val="-1"/>
          <w:position w:val="15"/>
          <w:sz w:val="24"/>
          <w:highlight w:val="none"/>
        </w:rPr>
      </w:pPr>
      <w:r>
        <w:rPr>
          <w:rFonts w:cs="宋体" w:asciiTheme="minorEastAsia" w:hAnsiTheme="minorEastAsia" w:eastAsiaTheme="minorEastAsia"/>
          <w:color w:val="auto"/>
          <w:spacing w:val="-1"/>
          <w:position w:val="15"/>
          <w:sz w:val="24"/>
          <w:highlight w:val="none"/>
        </w:rPr>
        <w:t>3、根据本项目实际情况及</w:t>
      </w:r>
      <w:r>
        <w:rPr>
          <w:rFonts w:hint="eastAsia" w:cs="宋体" w:asciiTheme="minorEastAsia" w:hAnsiTheme="minorEastAsia" w:eastAsiaTheme="minorEastAsia"/>
          <w:color w:val="auto"/>
          <w:spacing w:val="-1"/>
          <w:position w:val="15"/>
          <w:sz w:val="24"/>
          <w:highlight w:val="none"/>
        </w:rPr>
        <w:t>相关</w:t>
      </w:r>
      <w:r>
        <w:rPr>
          <w:rFonts w:cs="宋体" w:asciiTheme="minorEastAsia" w:hAnsiTheme="minorEastAsia" w:eastAsiaTheme="minorEastAsia"/>
          <w:color w:val="auto"/>
          <w:spacing w:val="-1"/>
          <w:position w:val="15"/>
          <w:sz w:val="24"/>
          <w:highlight w:val="none"/>
        </w:rPr>
        <w:t>规定，本项目价格执行统一价格标准，其价格不列为评分因素。</w:t>
      </w:r>
    </w:p>
    <w:p>
      <w:pPr>
        <w:spacing w:line="180" w:lineRule="auto"/>
        <w:ind w:firstLine="2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四、监护人责任险</w:t>
      </w:r>
      <w:r>
        <w:rPr>
          <w:rFonts w:cs="宋体" w:asciiTheme="minorEastAsia" w:hAnsiTheme="minorEastAsia" w:eastAsiaTheme="minorEastAsia"/>
          <w:color w:val="auto"/>
          <w:spacing w:val="-73"/>
          <w:sz w:val="24"/>
          <w:highlight w:val="none"/>
        </w:rPr>
        <w:t>：（</w:t>
      </w:r>
      <w:r>
        <w:rPr>
          <w:rFonts w:cs="宋体" w:asciiTheme="minorEastAsia" w:hAnsiTheme="minorEastAsia" w:eastAsiaTheme="minorEastAsia"/>
          <w:color w:val="auto"/>
          <w:spacing w:val="-5"/>
          <w:sz w:val="24"/>
          <w:highlight w:val="none"/>
        </w:rPr>
        <w:t>以下是基本要求，供应商可根据实际情况提高保额额度）</w:t>
      </w:r>
    </w:p>
    <w:p>
      <w:pPr>
        <w:spacing w:line="176" w:lineRule="exact"/>
        <w:rPr>
          <w:rFonts w:asciiTheme="minorEastAsia" w:hAnsiTheme="minorEastAsia" w:eastAsiaTheme="minorEastAsia"/>
          <w:color w:val="auto"/>
          <w:sz w:val="24"/>
          <w:highlight w:val="none"/>
        </w:rPr>
      </w:pPr>
    </w:p>
    <w:tbl>
      <w:tblPr>
        <w:tblStyle w:val="23"/>
        <w:tblW w:w="8666" w:type="dxa"/>
        <w:tblInd w:w="1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8"/>
        <w:gridCol w:w="2164"/>
        <w:gridCol w:w="2163"/>
        <w:gridCol w:w="2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2168" w:type="dxa"/>
            <w:shd w:val="clear" w:color="auto" w:fill="auto"/>
          </w:tcPr>
          <w:p>
            <w:pPr>
              <w:spacing w:line="251" w:lineRule="auto"/>
              <w:rPr>
                <w:rFonts w:asciiTheme="minorEastAsia" w:hAnsiTheme="minorEastAsia" w:eastAsiaTheme="minorEastAsia"/>
                <w:color w:val="auto"/>
                <w:sz w:val="24"/>
                <w:highlight w:val="none"/>
              </w:rPr>
            </w:pPr>
          </w:p>
          <w:p>
            <w:pPr>
              <w:spacing w:before="72" w:line="180" w:lineRule="auto"/>
              <w:ind w:firstLine="65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2"/>
                <w:sz w:val="24"/>
                <w:highlight w:val="none"/>
              </w:rPr>
              <w:t>方案类别</w:t>
            </w:r>
          </w:p>
        </w:tc>
        <w:tc>
          <w:tcPr>
            <w:tcW w:w="2164" w:type="dxa"/>
            <w:shd w:val="clear" w:color="auto" w:fill="auto"/>
          </w:tcPr>
          <w:p>
            <w:pPr>
              <w:spacing w:line="251" w:lineRule="auto"/>
              <w:rPr>
                <w:rFonts w:asciiTheme="minorEastAsia" w:hAnsiTheme="minorEastAsia" w:eastAsiaTheme="minorEastAsia"/>
                <w:color w:val="auto"/>
                <w:sz w:val="24"/>
                <w:highlight w:val="none"/>
              </w:rPr>
            </w:pPr>
          </w:p>
          <w:p>
            <w:pPr>
              <w:spacing w:before="71" w:line="180" w:lineRule="auto"/>
              <w:ind w:firstLine="15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保费（元/人·年）</w:t>
            </w:r>
          </w:p>
        </w:tc>
        <w:tc>
          <w:tcPr>
            <w:tcW w:w="2163" w:type="dxa"/>
            <w:shd w:val="clear" w:color="auto" w:fill="auto"/>
          </w:tcPr>
          <w:p>
            <w:pPr>
              <w:spacing w:before="183" w:line="241" w:lineRule="auto"/>
              <w:ind w:left="443" w:right="197" w:hanging="236"/>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每次事故每人赔偿</w:t>
            </w:r>
            <w:r>
              <w:rPr>
                <w:rFonts w:cs="宋体" w:asciiTheme="minorEastAsia" w:hAnsiTheme="minorEastAsia" w:eastAsiaTheme="minorEastAsia"/>
                <w:color w:val="auto"/>
                <w:spacing w:val="-4"/>
                <w:sz w:val="24"/>
                <w:highlight w:val="none"/>
              </w:rPr>
              <w:t>限额（万元）</w:t>
            </w:r>
          </w:p>
        </w:tc>
        <w:tc>
          <w:tcPr>
            <w:tcW w:w="2171" w:type="dxa"/>
            <w:shd w:val="clear" w:color="auto" w:fill="auto"/>
          </w:tcPr>
          <w:p>
            <w:pPr>
              <w:spacing w:line="252" w:lineRule="auto"/>
              <w:rPr>
                <w:rFonts w:asciiTheme="minorEastAsia" w:hAnsiTheme="minorEastAsia" w:eastAsiaTheme="minorEastAsia"/>
                <w:color w:val="auto"/>
                <w:sz w:val="24"/>
                <w:highlight w:val="none"/>
              </w:rPr>
            </w:pPr>
          </w:p>
          <w:p>
            <w:pPr>
              <w:spacing w:before="71" w:line="180" w:lineRule="auto"/>
              <w:ind w:firstLine="87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2168" w:type="dxa"/>
            <w:shd w:val="clear" w:color="auto" w:fill="auto"/>
          </w:tcPr>
          <w:p>
            <w:pPr>
              <w:spacing w:line="255" w:lineRule="auto"/>
              <w:rPr>
                <w:rFonts w:asciiTheme="minorEastAsia" w:hAnsiTheme="minorEastAsia" w:eastAsiaTheme="minorEastAsia"/>
                <w:color w:val="auto"/>
                <w:sz w:val="24"/>
                <w:highlight w:val="none"/>
              </w:rPr>
            </w:pPr>
          </w:p>
          <w:p>
            <w:pPr>
              <w:spacing w:before="71" w:line="180" w:lineRule="auto"/>
              <w:ind w:firstLine="43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2"/>
                <w:sz w:val="24"/>
                <w:highlight w:val="none"/>
              </w:rPr>
              <w:t>监护人责任险</w:t>
            </w:r>
          </w:p>
        </w:tc>
        <w:tc>
          <w:tcPr>
            <w:tcW w:w="2164" w:type="dxa"/>
            <w:shd w:val="clear" w:color="auto" w:fill="auto"/>
          </w:tcPr>
          <w:p>
            <w:pPr>
              <w:spacing w:line="257" w:lineRule="auto"/>
              <w:rPr>
                <w:rFonts w:asciiTheme="minorEastAsia" w:hAnsiTheme="minorEastAsia" w:eastAsiaTheme="minorEastAsia"/>
                <w:color w:val="auto"/>
                <w:sz w:val="24"/>
                <w:highlight w:val="none"/>
              </w:rPr>
            </w:pPr>
          </w:p>
          <w:p>
            <w:pPr>
              <w:spacing w:before="72" w:line="180" w:lineRule="auto"/>
              <w:ind w:firstLine="98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7"/>
                <w:sz w:val="24"/>
                <w:highlight w:val="none"/>
              </w:rPr>
              <w:t>50</w:t>
            </w:r>
          </w:p>
        </w:tc>
        <w:tc>
          <w:tcPr>
            <w:tcW w:w="2163" w:type="dxa"/>
            <w:shd w:val="clear" w:color="auto" w:fill="auto"/>
          </w:tcPr>
          <w:p>
            <w:pPr>
              <w:spacing w:line="257" w:lineRule="auto"/>
              <w:rPr>
                <w:rFonts w:asciiTheme="minorEastAsia" w:hAnsiTheme="minorEastAsia" w:eastAsiaTheme="minorEastAsia"/>
                <w:color w:val="auto"/>
                <w:sz w:val="24"/>
                <w:highlight w:val="none"/>
              </w:rPr>
            </w:pPr>
          </w:p>
          <w:p>
            <w:pPr>
              <w:spacing w:before="72" w:line="180" w:lineRule="auto"/>
              <w:ind w:firstLine="98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7"/>
                <w:sz w:val="24"/>
                <w:highlight w:val="none"/>
              </w:rPr>
              <w:t>35</w:t>
            </w:r>
          </w:p>
        </w:tc>
        <w:tc>
          <w:tcPr>
            <w:tcW w:w="2171" w:type="dxa"/>
            <w:shd w:val="clear" w:color="auto" w:fill="auto"/>
          </w:tcPr>
          <w:p>
            <w:pPr>
              <w:spacing w:before="187"/>
              <w:ind w:left="543" w:right="174" w:hanging="356"/>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3"/>
                <w:sz w:val="24"/>
                <w:highlight w:val="none"/>
              </w:rPr>
              <w:t>35万元赔偿限额不</w:t>
            </w:r>
            <w:r>
              <w:rPr>
                <w:rFonts w:cs="宋体" w:asciiTheme="minorEastAsia" w:hAnsiTheme="minorEastAsia" w:eastAsiaTheme="minorEastAsia"/>
                <w:color w:val="auto"/>
                <w:spacing w:val="-2"/>
                <w:sz w:val="24"/>
                <w:highlight w:val="none"/>
              </w:rPr>
              <w:t>设分项限额</w:t>
            </w:r>
          </w:p>
        </w:tc>
      </w:tr>
    </w:tbl>
    <w:p>
      <w:pPr>
        <w:spacing w:before="35" w:line="360" w:lineRule="auto"/>
        <w:ind w:firstLine="48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2"/>
          <w:sz w:val="24"/>
          <w:highlight w:val="none"/>
        </w:rPr>
        <w:t>保险责任：以招标文件所附条款为准。</w:t>
      </w:r>
    </w:p>
    <w:p>
      <w:pPr>
        <w:spacing w:line="360" w:lineRule="auto"/>
        <w:ind w:right="2" w:firstLine="428"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3"/>
          <w:sz w:val="24"/>
          <w:highlight w:val="none"/>
        </w:rPr>
        <w:t>扩展责任：投标人可根据险种特点，结合公司实际，在基本责任条款基础上作相应扩充或</w:t>
      </w:r>
      <w:r>
        <w:rPr>
          <w:rFonts w:cs="宋体" w:asciiTheme="minorEastAsia" w:hAnsiTheme="minorEastAsia" w:eastAsiaTheme="minorEastAsia"/>
          <w:color w:val="auto"/>
          <w:spacing w:val="-8"/>
          <w:sz w:val="24"/>
          <w:highlight w:val="none"/>
        </w:rPr>
        <w:t>约定，但不得变更或缩小约定，来更大程度上转移和规避投保人或被保险人风险（根据公司条</w:t>
      </w:r>
      <w:r>
        <w:rPr>
          <w:rFonts w:cs="宋体" w:asciiTheme="minorEastAsia" w:hAnsiTheme="minorEastAsia" w:eastAsiaTheme="minorEastAsia"/>
          <w:color w:val="auto"/>
          <w:spacing w:val="-10"/>
          <w:sz w:val="24"/>
          <w:highlight w:val="none"/>
        </w:rPr>
        <w:t>款和相关法规做出相应说明）。</w:t>
      </w:r>
    </w:p>
    <w:p>
      <w:pPr>
        <w:spacing w:before="5" w:line="360" w:lineRule="auto"/>
        <w:ind w:firstLine="44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5"/>
          <w:sz w:val="24"/>
          <w:highlight w:val="none"/>
        </w:rPr>
        <w:t>投保原则：遵循自愿原则。</w:t>
      </w:r>
    </w:p>
    <w:p>
      <w:pPr>
        <w:spacing w:line="360" w:lineRule="auto"/>
        <w:ind w:firstLine="44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三、中标单位的选择</w:t>
      </w:r>
    </w:p>
    <w:p>
      <w:pPr>
        <w:autoSpaceDE w:val="0"/>
        <w:autoSpaceDN w:val="0"/>
        <w:adjustRightInd w:val="0"/>
        <w:spacing w:line="520" w:lineRule="exact"/>
        <w:ind w:right="84" w:firstLine="472"/>
        <w:rPr>
          <w:rFonts w:ascii="宋体"/>
          <w:color w:val="auto"/>
          <w:kern w:val="0"/>
          <w:sz w:val="24"/>
          <w:highlight w:val="none"/>
          <w:lang w:val="zh-CN"/>
        </w:rPr>
      </w:pPr>
      <w:r>
        <w:rPr>
          <w:rFonts w:ascii="宋体" w:hAnsi="宋体" w:cs="宋体"/>
          <w:color w:val="auto"/>
          <w:sz w:val="24"/>
          <w:highlight w:val="none"/>
        </w:rPr>
        <w:t>按投标单位综合得分由高到低顺序排序，排名在前 4 家公司为入围单位，如有入围单位放弃入围资格，则排名在后的按序往前推。</w:t>
      </w:r>
      <w:r>
        <w:rPr>
          <w:rFonts w:hint="eastAsia" w:ascii="宋体" w:hAnsi="宋体" w:cs="宋体"/>
          <w:color w:val="auto"/>
          <w:sz w:val="24"/>
          <w:highlight w:val="none"/>
          <w:lang w:eastAsia="zh-CN"/>
        </w:rPr>
        <w:t>入围单位根据综合得分由高到低排名顺序优先选择片区。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ascii="宋体"/>
                <w:color w:val="auto"/>
                <w:kern w:val="0"/>
                <w:szCs w:val="21"/>
                <w:highlight w:val="none"/>
                <w:lang w:val="zh-CN"/>
              </w:rPr>
              <w:t>片区划分</w:t>
            </w:r>
          </w:p>
        </w:tc>
        <w:tc>
          <w:tcPr>
            <w:tcW w:w="5754"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ascii="宋体"/>
                <w:color w:val="auto"/>
                <w:kern w:val="0"/>
                <w:szCs w:val="21"/>
                <w:highlight w:val="none"/>
                <w:lang w:val="zh-CN"/>
              </w:rPr>
              <w:t>片区范围内学生保险服务的学校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第一片区</w:t>
            </w:r>
          </w:p>
        </w:tc>
        <w:tc>
          <w:tcPr>
            <w:tcW w:w="5754"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海游街道公办初中、高中、幼儿园， 特殊学校，横渡镇、亭旁镇公办学校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第二片区</w:t>
            </w:r>
          </w:p>
        </w:tc>
        <w:tc>
          <w:tcPr>
            <w:tcW w:w="5754"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海游街道公办小学（不含实验学校小学部），健跳镇、蛇蟠乡公办学校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第三片区</w:t>
            </w:r>
          </w:p>
        </w:tc>
        <w:tc>
          <w:tcPr>
            <w:tcW w:w="5754"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ascii="宋体"/>
                <w:color w:val="auto"/>
                <w:kern w:val="0"/>
                <w:szCs w:val="21"/>
                <w:highlight w:val="none"/>
                <w:lang w:val="zh-CN"/>
              </w:rPr>
              <w:t>浦坝港镇、花桥镇公办学校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第四片区</w:t>
            </w:r>
          </w:p>
        </w:tc>
        <w:tc>
          <w:tcPr>
            <w:tcW w:w="5754"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海润街道（不含职业中专）、珠岙镇、沙柳街道公办学校</w:t>
            </w:r>
          </w:p>
        </w:tc>
      </w:tr>
    </w:tbl>
    <w:p>
      <w:pPr>
        <w:autoSpaceDE w:val="0"/>
        <w:autoSpaceDN w:val="0"/>
        <w:adjustRightInd w:val="0"/>
        <w:spacing w:line="520" w:lineRule="exact"/>
        <w:ind w:right="84" w:firstLine="472"/>
        <w:rPr>
          <w:rFonts w:hint="eastAsia" w:ascii="宋体"/>
          <w:color w:val="auto"/>
          <w:kern w:val="0"/>
          <w:sz w:val="24"/>
          <w:highlight w:val="none"/>
          <w:lang w:val="zh-CN"/>
        </w:rPr>
      </w:pPr>
      <w:r>
        <w:rPr>
          <w:rFonts w:hint="eastAsia" w:ascii="宋体"/>
          <w:color w:val="auto"/>
          <w:kern w:val="0"/>
          <w:sz w:val="24"/>
          <w:highlight w:val="none"/>
          <w:lang w:val="zh-CN"/>
        </w:rPr>
        <w:t>说明：</w:t>
      </w:r>
      <w:r>
        <w:rPr>
          <w:rFonts w:hint="eastAsia" w:ascii="宋体"/>
          <w:color w:val="auto"/>
          <w:kern w:val="0"/>
          <w:sz w:val="24"/>
          <w:highlight w:val="none"/>
          <w:lang w:val="en-US" w:eastAsia="zh-CN"/>
        </w:rPr>
        <w:t>1、</w:t>
      </w:r>
      <w:r>
        <w:rPr>
          <w:rFonts w:hint="eastAsia" w:ascii="宋体"/>
          <w:color w:val="auto"/>
          <w:kern w:val="0"/>
          <w:sz w:val="24"/>
          <w:highlight w:val="none"/>
          <w:lang w:val="zh-CN"/>
        </w:rPr>
        <w:t>实验学校小学部学生纳入海游街道公办初中学校（第一片区）。以上片区中公办学校指教育局下属的公办中小学、幼儿园。</w:t>
      </w:r>
    </w:p>
    <w:p>
      <w:pPr>
        <w:autoSpaceDE w:val="0"/>
        <w:autoSpaceDN w:val="0"/>
        <w:adjustRightInd w:val="0"/>
        <w:spacing w:line="520" w:lineRule="exact"/>
        <w:ind w:right="84" w:firstLine="472"/>
        <w:rPr>
          <w:rFonts w:cs="宋体" w:asciiTheme="minorEastAsia" w:hAnsiTheme="minorEastAsia" w:eastAsiaTheme="minorEastAsia"/>
          <w:color w:val="auto"/>
          <w:spacing w:val="-5"/>
          <w:sz w:val="24"/>
          <w:highlight w:val="none"/>
        </w:rPr>
      </w:pPr>
      <w:r>
        <w:rPr>
          <w:rFonts w:hint="eastAsia" w:ascii="宋体"/>
          <w:b/>
          <w:bCs/>
          <w:color w:val="auto"/>
          <w:kern w:val="0"/>
          <w:sz w:val="24"/>
          <w:highlight w:val="none"/>
          <w:lang w:val="en-US" w:eastAsia="zh-CN"/>
        </w:rPr>
        <w:t>2、监护人责任险的入围单位须同时承保片区范围内的校方责任险，校方责任险的服务内容及要求详见附件。</w:t>
      </w:r>
    </w:p>
    <w:p>
      <w:pPr>
        <w:spacing w:line="180" w:lineRule="auto"/>
        <w:ind w:firstLine="46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四、技术要求</w:t>
      </w:r>
    </w:p>
    <w:p>
      <w:pPr>
        <w:spacing w:line="359" w:lineRule="auto"/>
        <w:ind w:right="62" w:firstLine="44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投标人在招标文件要求的基础上提供技术服务承诺与约定，包括但不局限于服务内容、理赔时效、法律服务等基础性服务项目，以及是否能够在此基础上根据自身实力提供其他服务内</w:t>
      </w:r>
      <w:r>
        <w:rPr>
          <w:rFonts w:cs="宋体" w:asciiTheme="minorEastAsia" w:hAnsiTheme="minorEastAsia" w:eastAsiaTheme="minorEastAsia"/>
          <w:color w:val="auto"/>
          <w:spacing w:val="-4"/>
          <w:sz w:val="24"/>
          <w:highlight w:val="none"/>
        </w:rPr>
        <w:t>容，如对特殊案件的赔付能力、简易定责和便捷理赔服务、协助调解纠纷、协助教育部门对被</w:t>
      </w:r>
      <w:r>
        <w:rPr>
          <w:rFonts w:cs="宋体" w:asciiTheme="minorEastAsia" w:hAnsiTheme="minorEastAsia" w:eastAsiaTheme="minorEastAsia"/>
          <w:color w:val="auto"/>
          <w:spacing w:val="-1"/>
          <w:sz w:val="24"/>
          <w:highlight w:val="none"/>
        </w:rPr>
        <w:t>保险人进行安全教育和风险防范工作等。</w:t>
      </w:r>
    </w:p>
    <w:p>
      <w:pPr>
        <w:spacing w:before="2" w:line="201" w:lineRule="auto"/>
        <w:ind w:firstLine="446"/>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7"/>
          <w:sz w:val="24"/>
          <w:highlight w:val="none"/>
        </w:rPr>
        <w:t>（一）承保服务</w:t>
      </w:r>
    </w:p>
    <w:p>
      <w:pPr>
        <w:spacing w:line="360" w:lineRule="auto"/>
        <w:ind w:left="2" w:firstLine="441"/>
        <w:rPr>
          <w:rFonts w:cs="宋体" w:asciiTheme="minorEastAsia" w:hAnsiTheme="minorEastAsia" w:eastAsiaTheme="minorEastAsia"/>
          <w:color w:val="auto"/>
          <w:spacing w:val="-11"/>
          <w:sz w:val="24"/>
          <w:highlight w:val="none"/>
        </w:rPr>
      </w:pPr>
      <w:r>
        <w:rPr>
          <w:rFonts w:cs="宋体" w:asciiTheme="minorEastAsia" w:hAnsiTheme="minorEastAsia" w:eastAsiaTheme="minorEastAsia"/>
          <w:color w:val="auto"/>
          <w:spacing w:val="-11"/>
          <w:sz w:val="24"/>
          <w:highlight w:val="none"/>
        </w:rPr>
        <w:t>1、中标服务商应及时出具和发送中小学生（幼儿园学生）保险单证，收到保险费后二十天内应出具中小学生（幼儿园学生）系列保险承保汇交清单和个人保险单证。学校应会同中标服务商保险营销员将中小学生（幼儿园学生）个人保险单证发送给投保人， 作为投保和出险索赔的依据。</w:t>
      </w:r>
    </w:p>
    <w:p>
      <w:pPr>
        <w:spacing w:before="6" w:line="360" w:lineRule="auto"/>
        <w:ind w:firstLine="44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2、对保险对象的宣传和培训工作，有提高监护人风险防范意识和安全教育活动计划。</w:t>
      </w:r>
    </w:p>
    <w:p>
      <w:pPr>
        <w:spacing w:line="360" w:lineRule="auto"/>
        <w:ind w:left="2" w:firstLine="44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1"/>
          <w:sz w:val="24"/>
          <w:highlight w:val="none"/>
        </w:rPr>
        <w:t>3、在本保险期限内，由被保险人的监护对象（被监护人）造成第三者人身伤亡或财产损失，</w:t>
      </w:r>
      <w:r>
        <w:rPr>
          <w:rFonts w:cs="宋体" w:asciiTheme="minorEastAsia" w:hAnsiTheme="minorEastAsia" w:eastAsiaTheme="minorEastAsia"/>
          <w:color w:val="auto"/>
          <w:spacing w:val="-4"/>
          <w:sz w:val="24"/>
          <w:highlight w:val="none"/>
        </w:rPr>
        <w:t>依法应由被保险人承担赔偿责任时，保险人根据本保险合同的规定负责赔偿。对其赔偿保险金</w:t>
      </w:r>
      <w:r>
        <w:rPr>
          <w:rFonts w:cs="宋体" w:asciiTheme="minorEastAsia" w:hAnsiTheme="minorEastAsia" w:eastAsiaTheme="minorEastAsia"/>
          <w:color w:val="auto"/>
          <w:spacing w:val="-8"/>
          <w:sz w:val="24"/>
          <w:highlight w:val="none"/>
        </w:rPr>
        <w:t>的数额不能确定的，应当根据已有证明和资料可以确定的数额先予支付；保险人最终确定赔偿</w:t>
      </w:r>
      <w:r>
        <w:rPr>
          <w:rFonts w:cs="宋体" w:asciiTheme="minorEastAsia" w:hAnsiTheme="minorEastAsia" w:eastAsiaTheme="minorEastAsia"/>
          <w:color w:val="auto"/>
          <w:spacing w:val="-12"/>
          <w:sz w:val="24"/>
          <w:highlight w:val="none"/>
        </w:rPr>
        <w:t>的数额后，应当支付相应的差额。</w:t>
      </w:r>
    </w:p>
    <w:p>
      <w:pPr>
        <w:spacing w:line="360" w:lineRule="auto"/>
        <w:ind w:firstLine="446"/>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7"/>
          <w:sz w:val="24"/>
          <w:highlight w:val="none"/>
        </w:rPr>
        <w:t>（二）理赔服务</w:t>
      </w:r>
    </w:p>
    <w:p>
      <w:pPr>
        <w:spacing w:line="360" w:lineRule="auto"/>
        <w:ind w:firstLine="450"/>
        <w:rPr>
          <w:rFonts w:cs="宋体" w:asciiTheme="minorEastAsia" w:hAnsiTheme="minorEastAsia" w:eastAsiaTheme="minorEastAsia"/>
          <w:color w:val="auto"/>
          <w:spacing w:val="-13"/>
          <w:sz w:val="24"/>
          <w:highlight w:val="none"/>
        </w:rPr>
      </w:pPr>
      <w:r>
        <w:rPr>
          <w:rFonts w:cs="宋体" w:asciiTheme="minorEastAsia" w:hAnsiTheme="minorEastAsia" w:eastAsiaTheme="minorEastAsia"/>
          <w:color w:val="auto"/>
          <w:spacing w:val="-13"/>
          <w:sz w:val="24"/>
          <w:highlight w:val="none"/>
        </w:rPr>
        <w:t>标准：按保障额度及优惠承诺。</w:t>
      </w:r>
    </w:p>
    <w:p>
      <w:pPr>
        <w:spacing w:line="360" w:lineRule="auto"/>
        <w:ind w:firstLine="450"/>
        <w:rPr>
          <w:rFonts w:cs="宋体" w:asciiTheme="minorEastAsia" w:hAnsiTheme="minorEastAsia" w:eastAsiaTheme="minorEastAsia"/>
          <w:color w:val="auto"/>
          <w:spacing w:val="-13"/>
          <w:sz w:val="24"/>
          <w:highlight w:val="none"/>
        </w:rPr>
      </w:pPr>
      <w:r>
        <w:rPr>
          <w:rFonts w:cs="宋体" w:asciiTheme="minorEastAsia" w:hAnsiTheme="minorEastAsia" w:eastAsiaTheme="minorEastAsia"/>
          <w:color w:val="auto"/>
          <w:spacing w:val="-13"/>
          <w:sz w:val="24"/>
          <w:highlight w:val="none"/>
        </w:rPr>
        <w:t>资料：按保险合同。</w:t>
      </w:r>
    </w:p>
    <w:p>
      <w:pPr>
        <w:spacing w:line="360" w:lineRule="auto"/>
        <w:ind w:firstLine="45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3"/>
          <w:sz w:val="24"/>
          <w:highlight w:val="none"/>
        </w:rPr>
        <w:t>时效：从理赔申请、赔案资料开始，一般不超过20个工作日。</w:t>
      </w:r>
    </w:p>
    <w:p>
      <w:pPr>
        <w:spacing w:line="360" w:lineRule="auto"/>
        <w:ind w:left="2" w:right="65" w:firstLine="458"/>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中标服务商负责做好理赔服务工作。建立理赔服务网点或配备理赔服务人员，保证理赔服</w:t>
      </w:r>
      <w:r>
        <w:rPr>
          <w:rFonts w:cs="宋体" w:asciiTheme="minorEastAsia" w:hAnsiTheme="minorEastAsia" w:eastAsiaTheme="minorEastAsia"/>
          <w:color w:val="auto"/>
          <w:spacing w:val="-10"/>
          <w:sz w:val="24"/>
          <w:highlight w:val="none"/>
        </w:rPr>
        <w:t>务质量，对出险案件要及时勘察理赔。</w:t>
      </w:r>
    </w:p>
    <w:p>
      <w:pPr>
        <w:spacing w:line="360" w:lineRule="auto"/>
        <w:ind w:left="3" w:right="65" w:firstLine="45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4"/>
          <w:sz w:val="24"/>
          <w:highlight w:val="none"/>
        </w:rPr>
        <w:t>中标的投标人要建立投保人电子档案，进行网络化管理，同时在保险责任期内，向相关部</w:t>
      </w:r>
      <w:r>
        <w:rPr>
          <w:rFonts w:cs="宋体" w:asciiTheme="minorEastAsia" w:hAnsiTheme="minorEastAsia" w:eastAsiaTheme="minorEastAsia"/>
          <w:color w:val="auto"/>
          <w:spacing w:val="-10"/>
          <w:sz w:val="24"/>
          <w:highlight w:val="none"/>
        </w:rPr>
        <w:t>分提供一次统计资料，真实反映承保业务数据，保费总额及理赔案件等情况。</w:t>
      </w:r>
    </w:p>
    <w:p>
      <w:pPr>
        <w:spacing w:before="3" w:line="360" w:lineRule="auto"/>
        <w:ind w:left="2" w:right="65" w:firstLine="458"/>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中标的投标人应根据保监部门核定的监护人责任保险条款及响应本次招标要求编制的投标</w:t>
      </w:r>
      <w:r>
        <w:rPr>
          <w:rFonts w:cs="宋体" w:asciiTheme="minorEastAsia" w:hAnsiTheme="minorEastAsia" w:eastAsiaTheme="minorEastAsia"/>
          <w:color w:val="auto"/>
          <w:spacing w:val="-5"/>
          <w:sz w:val="24"/>
          <w:highlight w:val="none"/>
        </w:rPr>
        <w:t>文件，承担服务对象监护人责任保险的保险责任。同时依照有关法律、法规规定的赔偿范围、</w:t>
      </w:r>
      <w:r>
        <w:rPr>
          <w:rFonts w:cs="宋体" w:asciiTheme="minorEastAsia" w:hAnsiTheme="minorEastAsia" w:eastAsiaTheme="minorEastAsia"/>
          <w:color w:val="auto"/>
          <w:spacing w:val="-8"/>
          <w:sz w:val="24"/>
          <w:highlight w:val="none"/>
        </w:rPr>
        <w:t>项目和标准以及保险合同的约定，依法承担赔偿责任，并对理赔及拒赔案件出具书面告知书。</w:t>
      </w:r>
    </w:p>
    <w:p>
      <w:pPr>
        <w:spacing w:before="3" w:line="360" w:lineRule="auto"/>
        <w:ind w:right="62" w:firstLine="46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中标的投标人应具备较为健全的服务网络，及时为投保人办理投保、理赔、保全及其他相</w:t>
      </w:r>
      <w:r>
        <w:rPr>
          <w:rFonts w:cs="宋体" w:asciiTheme="minorEastAsia" w:hAnsiTheme="minorEastAsia" w:eastAsiaTheme="minorEastAsia"/>
          <w:color w:val="auto"/>
          <w:spacing w:val="-8"/>
          <w:sz w:val="24"/>
          <w:highlight w:val="none"/>
        </w:rPr>
        <w:t>关事宜。中标的投标人的理赔服务应主动、及时、准确，有明确的理赔服务流程，有统一的赔</w:t>
      </w:r>
      <w:r>
        <w:rPr>
          <w:rFonts w:cs="宋体" w:asciiTheme="minorEastAsia" w:hAnsiTheme="minorEastAsia" w:eastAsiaTheme="minorEastAsia"/>
          <w:color w:val="auto"/>
          <w:spacing w:val="-1"/>
          <w:sz w:val="24"/>
          <w:highlight w:val="none"/>
        </w:rPr>
        <w:t>偿金计算标准。同时提供良好的出险理赔服务。</w:t>
      </w:r>
    </w:p>
    <w:p>
      <w:pPr>
        <w:spacing w:before="4" w:line="360" w:lineRule="auto"/>
        <w:ind w:firstLine="44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赔付金额的计算方式：按保险行业规定</w:t>
      </w:r>
    </w:p>
    <w:p>
      <w:pPr>
        <w:spacing w:before="44" w:line="360" w:lineRule="auto"/>
        <w:ind w:firstLine="444"/>
        <w:rPr>
          <w:rFonts w:cs="宋体" w:asciiTheme="minorEastAsia" w:hAnsiTheme="minorEastAsia" w:eastAsiaTheme="minorEastAsia"/>
          <w:color w:val="auto"/>
          <w:spacing w:val="-12"/>
          <w:sz w:val="24"/>
          <w:highlight w:val="none"/>
        </w:rPr>
      </w:pPr>
      <w:r>
        <w:rPr>
          <w:rFonts w:cs="宋体" w:asciiTheme="minorEastAsia" w:hAnsiTheme="minorEastAsia" w:eastAsiaTheme="minorEastAsia"/>
          <w:color w:val="auto"/>
          <w:spacing w:val="-12"/>
          <w:sz w:val="24"/>
          <w:highlight w:val="none"/>
        </w:rPr>
        <w:t>（三） 免赔额：按保险合同</w:t>
      </w:r>
    </w:p>
    <w:p>
      <w:pPr>
        <w:spacing w:before="44" w:line="360" w:lineRule="auto"/>
        <w:ind w:firstLine="44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2"/>
          <w:sz w:val="24"/>
          <w:highlight w:val="none"/>
        </w:rPr>
        <w:t>（四）保险金申请期限：按照相应保险法律法规执行。</w:t>
      </w:r>
    </w:p>
    <w:p>
      <w:pPr>
        <w:spacing w:line="360" w:lineRule="auto"/>
        <w:ind w:firstLine="44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3"/>
          <w:sz w:val="24"/>
          <w:highlight w:val="none"/>
        </w:rPr>
        <w:t>五、服务质量评价：合同期内，对入围单位的保险服务质量进行评价，由各学校作出评价</w:t>
      </w:r>
      <w:r>
        <w:rPr>
          <w:rFonts w:cs="宋体" w:asciiTheme="minorEastAsia" w:hAnsiTheme="minorEastAsia" w:eastAsiaTheme="minorEastAsia"/>
          <w:color w:val="auto"/>
          <w:spacing w:val="-4"/>
          <w:sz w:val="24"/>
          <w:highlight w:val="none"/>
        </w:rPr>
        <w:t>后，统一交至教育局统计汇总。评价结果作为下一年度学生监护人责任险保险服务采购的评审</w:t>
      </w:r>
      <w:r>
        <w:rPr>
          <w:rFonts w:cs="宋体" w:asciiTheme="minorEastAsia" w:hAnsiTheme="minorEastAsia" w:eastAsiaTheme="minorEastAsia"/>
          <w:color w:val="auto"/>
          <w:spacing w:val="-2"/>
          <w:sz w:val="24"/>
          <w:highlight w:val="none"/>
        </w:rPr>
        <w:t>依据之一。</w:t>
      </w:r>
    </w:p>
    <w:p>
      <w:pPr>
        <w:spacing w:line="360" w:lineRule="auto"/>
        <w:ind w:firstLine="443"/>
        <w:rPr>
          <w:rFonts w:cs="宋体" w:asciiTheme="minorEastAsia" w:hAnsiTheme="minorEastAsia" w:eastAsiaTheme="minorEastAsia"/>
          <w:color w:val="auto"/>
          <w:spacing w:val="-13"/>
          <w:sz w:val="24"/>
          <w:highlight w:val="none"/>
        </w:rPr>
      </w:pPr>
      <w:r>
        <w:rPr>
          <w:rFonts w:cs="宋体" w:asciiTheme="minorEastAsia" w:hAnsiTheme="minorEastAsia" w:eastAsiaTheme="minorEastAsia"/>
          <w:color w:val="auto"/>
          <w:spacing w:val="-13"/>
          <w:sz w:val="24"/>
          <w:highlight w:val="none"/>
        </w:rPr>
        <w:t>六、诚信守约：入围单位承担其中标的片区范围内的学生监护人责任险保险服务，不得跨片区竞争业务，此项作为下一年度学生监护人责任险保险服务采购的评审依据之一。</w:t>
      </w:r>
    </w:p>
    <w:p>
      <w:pPr>
        <w:spacing w:line="360" w:lineRule="auto"/>
        <w:ind w:firstLine="43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七、商务要求</w:t>
      </w:r>
    </w:p>
    <w:p>
      <w:pPr>
        <w:spacing w:line="360" w:lineRule="auto"/>
        <w:ind w:firstLine="443"/>
        <w:rPr>
          <w:rFonts w:cs="宋体" w:asciiTheme="minorEastAsia" w:hAnsiTheme="minorEastAsia" w:eastAsiaTheme="minorEastAsia"/>
          <w:color w:val="auto"/>
          <w:spacing w:val="-13"/>
          <w:sz w:val="24"/>
          <w:highlight w:val="none"/>
        </w:rPr>
      </w:pPr>
      <w:r>
        <w:rPr>
          <w:rFonts w:cs="宋体" w:asciiTheme="minorEastAsia" w:hAnsiTheme="minorEastAsia" w:eastAsiaTheme="minorEastAsia"/>
          <w:color w:val="auto"/>
          <w:spacing w:val="-13"/>
          <w:sz w:val="24"/>
          <w:highlight w:val="none"/>
        </w:rPr>
        <w:t>1.保险期限：一学年（</w:t>
      </w:r>
      <w:r>
        <w:rPr>
          <w:rFonts w:hint="eastAsia" w:cs="宋体" w:asciiTheme="minorEastAsia" w:hAnsiTheme="minorEastAsia" w:eastAsiaTheme="minorEastAsia"/>
          <w:color w:val="auto"/>
          <w:spacing w:val="-13"/>
          <w:sz w:val="24"/>
          <w:highlight w:val="none"/>
          <w:lang w:eastAsia="zh-CN"/>
        </w:rPr>
        <w:t>2024年 9 月 1 日 0 时-2025年 8 月 31 日 24 时</w:t>
      </w:r>
      <w:r>
        <w:rPr>
          <w:rFonts w:cs="宋体" w:asciiTheme="minorEastAsia" w:hAnsiTheme="minorEastAsia" w:eastAsiaTheme="minorEastAsia"/>
          <w:color w:val="auto"/>
          <w:spacing w:val="-13"/>
          <w:sz w:val="24"/>
          <w:highlight w:val="none"/>
        </w:rPr>
        <w:t>）。</w:t>
      </w:r>
    </w:p>
    <w:p>
      <w:pPr>
        <w:spacing w:line="360" w:lineRule="auto"/>
        <w:ind w:firstLine="443"/>
        <w:rPr>
          <w:rFonts w:cs="宋体" w:asciiTheme="minorEastAsia" w:hAnsiTheme="minorEastAsia" w:eastAsiaTheme="minorEastAsia"/>
          <w:color w:val="auto"/>
          <w:spacing w:val="-13"/>
          <w:sz w:val="24"/>
          <w:highlight w:val="none"/>
        </w:rPr>
      </w:pPr>
      <w:r>
        <w:rPr>
          <w:rFonts w:cs="宋体" w:asciiTheme="minorEastAsia" w:hAnsiTheme="minorEastAsia" w:eastAsiaTheme="minorEastAsia"/>
          <w:color w:val="auto"/>
          <w:spacing w:val="-13"/>
          <w:sz w:val="24"/>
          <w:highlight w:val="none"/>
        </w:rPr>
        <w:t>2.付款方式：学校组织学生参保，中标单位保险营销员上门设点收取保费，并由中标单位保险营销员将保费及时缴至其公司的指定账户。</w:t>
      </w:r>
    </w:p>
    <w:p>
      <w:pPr>
        <w:autoSpaceDE w:val="0"/>
        <w:autoSpaceDN w:val="0"/>
        <w:adjustRightInd w:val="0"/>
        <w:spacing w:line="360" w:lineRule="auto"/>
        <w:ind w:left="105" w:leftChars="50" w:right="85"/>
        <w:rPr>
          <w:rFonts w:ascii="宋体" w:hAnsi="宋体" w:cs="宋体"/>
          <w:color w:val="auto"/>
          <w:sz w:val="24"/>
          <w:highlight w:val="none"/>
        </w:rPr>
      </w:pPr>
    </w:p>
    <w:p>
      <w:pPr>
        <w:pStyle w:val="2"/>
        <w:spacing w:before="0" w:after="0" w:line="360" w:lineRule="auto"/>
        <w:jc w:val="center"/>
        <w:rPr>
          <w:rFonts w:ascii="黑体" w:hAnsi="黑体" w:eastAsia="黑体" w:cs="黑体"/>
          <w:color w:val="auto"/>
          <w:sz w:val="32"/>
          <w:szCs w:val="32"/>
          <w:highlight w:val="none"/>
        </w:rPr>
      </w:pPr>
      <w:r>
        <w:rPr>
          <w:rFonts w:asciiTheme="minorEastAsia" w:hAnsiTheme="minorEastAsia" w:eastAsiaTheme="minorEastAsia"/>
          <w:color w:val="auto"/>
          <w:sz w:val="30"/>
          <w:szCs w:val="30"/>
          <w:highlight w:val="none"/>
        </w:rPr>
        <w:br w:type="page"/>
      </w:r>
      <w:bookmarkStart w:id="10" w:name="_Toc77876203"/>
      <w:r>
        <w:rPr>
          <w:color w:val="auto"/>
          <w:sz w:val="30"/>
          <w:szCs w:val="30"/>
          <w:highlight w:val="none"/>
        </w:rPr>
        <w:t>第五部分合同主要协议条款</w:t>
      </w:r>
      <w:bookmarkEnd w:id="10"/>
    </w:p>
    <w:p>
      <w:pPr>
        <w:pStyle w:val="81"/>
        <w:spacing w:line="360" w:lineRule="auto"/>
        <w:jc w:val="center"/>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2"/>
          <w:sz w:val="21"/>
          <w:szCs w:val="21"/>
          <w:highlight w:val="none"/>
        </w:rPr>
        <w:t>（此稿为合同样本，最终定稿待双方协商后定）</w:t>
      </w:r>
    </w:p>
    <w:p>
      <w:pPr>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合同将由</w:t>
      </w:r>
      <w:r>
        <w:rPr>
          <w:rFonts w:hint="eastAsia" w:asciiTheme="minorEastAsia" w:hAnsiTheme="minorEastAsia" w:eastAsiaTheme="minorEastAsia"/>
          <w:color w:val="auto"/>
          <w:sz w:val="24"/>
          <w:highlight w:val="none"/>
        </w:rPr>
        <w:t>三门县教育局</w:t>
      </w:r>
      <w:r>
        <w:rPr>
          <w:rFonts w:asciiTheme="minorEastAsia" w:hAnsiTheme="minorEastAsia" w:eastAsiaTheme="minorEastAsia"/>
          <w:color w:val="auto"/>
          <w:sz w:val="24"/>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pPr>
        <w:pStyle w:val="14"/>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招标编号：</w:t>
      </w:r>
    </w:p>
    <w:p>
      <w:pPr>
        <w:pStyle w:val="14"/>
        <w:snapToGrid w:val="0"/>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甲方：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采购方</w:t>
      </w:r>
      <w:r>
        <w:rPr>
          <w:rFonts w:asciiTheme="minorEastAsia" w:hAnsiTheme="minorEastAsia" w:eastAsiaTheme="minorEastAsia"/>
          <w:color w:val="auto"/>
          <w:sz w:val="24"/>
          <w:highlight w:val="none"/>
        </w:rPr>
        <w:t>）</w:t>
      </w:r>
    </w:p>
    <w:p>
      <w:pPr>
        <w:pStyle w:val="14"/>
        <w:adjustRightInd w:val="0"/>
        <w:snapToGrid w:val="0"/>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乙方：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w:t>
      </w:r>
    </w:p>
    <w:p>
      <w:pPr>
        <w:pStyle w:val="14"/>
        <w:adjustRightInd w:val="0"/>
        <w:snapToGrid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甲、乙双方根据</w:t>
      </w:r>
      <w:r>
        <w:rPr>
          <w:rFonts w:hint="eastAsia" w:asciiTheme="minorEastAsia" w:hAnsiTheme="minorEastAsia" w:eastAsiaTheme="minorEastAsia"/>
          <w:color w:val="auto"/>
          <w:sz w:val="24"/>
          <w:highlight w:val="none"/>
          <w:u w:val="single"/>
          <w:lang w:eastAsia="zh-CN"/>
        </w:rPr>
        <w:t>三门县2024学年学生监护人责任险保险服务入围项目</w:t>
      </w:r>
      <w:r>
        <w:rPr>
          <w:rFonts w:asciiTheme="minorEastAsia" w:hAnsiTheme="minorEastAsia" w:eastAsiaTheme="minorEastAsia"/>
          <w:color w:val="auto"/>
          <w:sz w:val="24"/>
          <w:highlight w:val="none"/>
          <w:u w:val="single"/>
        </w:rPr>
        <w:t>公开招标</w:t>
      </w:r>
      <w:r>
        <w:rPr>
          <w:rFonts w:asciiTheme="minorEastAsia" w:hAnsiTheme="minorEastAsia" w:eastAsiaTheme="minorEastAsia"/>
          <w:color w:val="auto"/>
          <w:sz w:val="24"/>
          <w:highlight w:val="none"/>
        </w:rPr>
        <w:t>的结果，签署本合同。</w:t>
      </w:r>
    </w:p>
    <w:p>
      <w:pPr>
        <w:pStyle w:val="14"/>
        <w:adjustRightInd w:val="0"/>
        <w:snapToGrid w:val="0"/>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一、服务内容</w:t>
      </w:r>
    </w:p>
    <w:p>
      <w:pPr>
        <w:pStyle w:val="14"/>
        <w:adjustRightInd w:val="0"/>
        <w:snapToGrid w:val="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详见本项目招标文件</w:t>
      </w:r>
      <w:r>
        <w:rPr>
          <w:rFonts w:hint="eastAsia" w:asciiTheme="minorEastAsia" w:hAnsiTheme="minorEastAsia" w:eastAsiaTheme="minorEastAsia"/>
          <w:bCs/>
          <w:color w:val="auto"/>
          <w:sz w:val="24"/>
          <w:highlight w:val="none"/>
        </w:rPr>
        <w:t>第四章</w:t>
      </w: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公开招标需求</w:t>
      </w: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作为合同附件。</w:t>
      </w:r>
    </w:p>
    <w:p>
      <w:pPr>
        <w:pStyle w:val="14"/>
        <w:snapToGrid w:val="0"/>
        <w:spacing w:line="440" w:lineRule="exac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二、合同金额</w:t>
      </w:r>
    </w:p>
    <w:p>
      <w:pPr>
        <w:pStyle w:val="14"/>
        <w:adjustRightInd w:val="0"/>
        <w:snapToGrid w:val="0"/>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 监护人责任保险保费：/人/学年；</w:t>
      </w:r>
    </w:p>
    <w:p>
      <w:pPr>
        <w:pStyle w:val="14"/>
        <w:adjustRightInd w:val="0"/>
        <w:snapToGrid w:val="0"/>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2、出险后，按对应的理赔金额标准理赔， 即每次事故每人赔偿限额万元 。</w:t>
      </w:r>
    </w:p>
    <w:p>
      <w:pPr>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注：人数按实结算。</w:t>
      </w:r>
    </w:p>
    <w:p>
      <w:pPr>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三、转包或分包</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3.1本合同范围的服务，应由乙方直接提供，不得转让他人提供；</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 除非得到甲方的书面同意，乙方不得部分分包给他人提供。甲方有绝对权力阻止分包。</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3.3如有转让和未经甲方同意的分包行为，甲方有权给予终止合同。</w:t>
      </w:r>
    </w:p>
    <w:p>
      <w:pPr>
        <w:pStyle w:val="14"/>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四、合同履行时间及履行地点</w:t>
      </w:r>
    </w:p>
    <w:p>
      <w:pPr>
        <w:pStyle w:val="20"/>
        <w:adjustRightInd w:val="0"/>
        <w:snapToGrid w:val="0"/>
        <w:spacing w:before="0" w:beforeAutospacing="0" w:after="0" w:afterAutospacing="0" w:line="360" w:lineRule="auto"/>
        <w:rPr>
          <w:rFonts w:hint="default" w:asciiTheme="minorEastAsia" w:hAnsiTheme="minorEastAsia" w:eastAsiaTheme="minorEastAsia"/>
          <w:b/>
          <w:color w:val="auto"/>
          <w:highlight w:val="none"/>
        </w:rPr>
      </w:pPr>
      <w:r>
        <w:rPr>
          <w:rFonts w:asciiTheme="minorEastAsia" w:hAnsiTheme="minorEastAsia" w:eastAsiaTheme="minorEastAsia"/>
          <w:color w:val="auto"/>
          <w:kern w:val="2"/>
          <w:highlight w:val="none"/>
        </w:rPr>
        <w:t>4.1 履行时间：</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 履行地点：</w:t>
      </w:r>
      <w:r>
        <w:rPr>
          <w:rFonts w:hint="eastAsia" w:cs="宋体" w:asciiTheme="minorEastAsia" w:hAnsiTheme="minorEastAsia" w:eastAsiaTheme="minorEastAsia"/>
          <w:bCs/>
          <w:color w:val="auto"/>
          <w:sz w:val="24"/>
          <w:highlight w:val="none"/>
        </w:rPr>
        <w:t>三门县。</w:t>
      </w:r>
    </w:p>
    <w:p>
      <w:pPr>
        <w:pStyle w:val="14"/>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五、款项支付</w:t>
      </w:r>
    </w:p>
    <w:p>
      <w:pPr>
        <w:adjustRightInd w:val="0"/>
        <w:snapToGrid w:val="0"/>
        <w:spacing w:line="36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学校组织学生参保，中标单位保险营销员上门设点收取保费，并由中标单位保险营销员将保费及时缴至其公司的指定账户。</w:t>
      </w:r>
    </w:p>
    <w:p>
      <w:pPr>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六、税费</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6.1本合同执行中相关的一切税费均由乙方负担。</w:t>
      </w:r>
    </w:p>
    <w:p>
      <w:pPr>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七、双方的权利、义务</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7.1甲方的权利与义务</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7.1.1甲方在提供风险管理服务时，应协助投保人办理投保和索赔手续。</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7.1.2甲方在提供风险管理服务时，不能单方更改双方约定的保险条款、保险费率、赔付限额和宣传资料。</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7.1.3未经乙方同意，不得修改、印刷乙方所提供的辅助单证和宣传资料。</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甲方负责受理案件报案、咨询、配合资料收集、赔案提交与反馈，不断完善监护人责任险报案系统的数据登录及数据分析。</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7.2乙方的权利与义务</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7.2.1乙方应按本合同约定的保险方案承保，办理承保手续。</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7.2.2乙方及时向甲方提供监护人责任险的操作流程和条款。</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7.2.3乙方应建立安全预警机制，协助学校进行事前风险防范，并每学期（或学年）要为学校的相关人员组织校园风险管理培训。</w:t>
      </w:r>
    </w:p>
    <w:p>
      <w:pPr>
        <w:adjustRightInd w:val="0"/>
        <w:snapToGrid w:val="0"/>
        <w:spacing w:line="360" w:lineRule="auto"/>
        <w:rPr>
          <w:rFonts w:cs="宋体" w:asciiTheme="minorEastAsia" w:hAnsiTheme="minorEastAsia" w:eastAsiaTheme="minorEastAsia"/>
          <w:b/>
          <w:bCs/>
          <w:color w:val="auto"/>
          <w:sz w:val="24"/>
          <w:highlight w:val="none"/>
          <w:u w:val="single"/>
        </w:rPr>
      </w:pPr>
      <w:r>
        <w:rPr>
          <w:rFonts w:hint="eastAsia" w:cs="宋体" w:asciiTheme="minorEastAsia" w:hAnsiTheme="minorEastAsia" w:eastAsiaTheme="minorEastAsia"/>
          <w:color w:val="auto"/>
          <w:sz w:val="24"/>
          <w:highlight w:val="none"/>
        </w:rPr>
        <w:t>7.2.4</w:t>
      </w:r>
      <w:r>
        <w:rPr>
          <w:rFonts w:hint="eastAsia" w:cs="宋体" w:asciiTheme="minorEastAsia" w:hAnsiTheme="minorEastAsia" w:eastAsiaTheme="minorEastAsia"/>
          <w:b/>
          <w:bCs/>
          <w:color w:val="auto"/>
          <w:sz w:val="24"/>
          <w:highlight w:val="none"/>
          <w:u w:val="single"/>
        </w:rPr>
        <w:t>学生变动以教育局电子学籍管理档案为准；</w:t>
      </w:r>
    </w:p>
    <w:p>
      <w:pPr>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7.2.5</w:t>
      </w:r>
      <w:r>
        <w:rPr>
          <w:rFonts w:hint="eastAsia" w:cs="宋体" w:asciiTheme="minorEastAsia" w:hAnsiTheme="minorEastAsia" w:eastAsiaTheme="minorEastAsia"/>
          <w:b/>
          <w:bCs/>
          <w:color w:val="auto"/>
          <w:sz w:val="24"/>
          <w:highlight w:val="none"/>
        </w:rPr>
        <w:t>暑期招收的新生，学生出险办理自然转入新校办理。</w:t>
      </w:r>
    </w:p>
    <w:p>
      <w:pPr>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b/>
          <w:bCs/>
          <w:color w:val="auto"/>
          <w:sz w:val="24"/>
          <w:highlight w:val="none"/>
        </w:rPr>
        <w:t>无过错责任协商补偿或超过依法部分赔付在5万元以内的由甲方提出建议，乙方尽量予以解决。</w:t>
      </w:r>
    </w:p>
    <w:p>
      <w:pPr>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7</w:t>
      </w:r>
      <w:r>
        <w:rPr>
          <w:rFonts w:hint="eastAsia" w:cs="宋体" w:asciiTheme="minorEastAsia" w:hAnsiTheme="minorEastAsia" w:eastAsiaTheme="minorEastAsia"/>
          <w:b/>
          <w:bCs/>
          <w:color w:val="auto"/>
          <w:sz w:val="24"/>
          <w:highlight w:val="none"/>
        </w:rPr>
        <w:t>发生监护人责任事故，理赔后的结果，乙方要及时通报甲方。</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rPr>
        <w:t>乙方应提供监护人责任险简易服务手册，并做好相关保险知识宣传引导工作。</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9</w:t>
      </w:r>
      <w:r>
        <w:rPr>
          <w:rFonts w:hint="eastAsia" w:cs="宋体" w:asciiTheme="minorEastAsia" w:hAnsiTheme="minorEastAsia" w:eastAsiaTheme="minorEastAsia"/>
          <w:color w:val="auto"/>
          <w:sz w:val="24"/>
          <w:highlight w:val="none"/>
        </w:rPr>
        <w:t>乙方不能单方面更改双方约定的保险条款、保险费率、赔付限额和宣传资料。</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10</w:t>
      </w:r>
      <w:r>
        <w:rPr>
          <w:rFonts w:hint="eastAsia" w:cs="宋体" w:asciiTheme="minorEastAsia" w:hAnsiTheme="minorEastAsia" w:eastAsiaTheme="minorEastAsia"/>
          <w:color w:val="auto"/>
          <w:sz w:val="24"/>
          <w:highlight w:val="none"/>
        </w:rPr>
        <w:t>乙方应成立以负责人为主的校（园）方责任保险理赔服务团队，由有经验的专业理赔人员负责具体的理赔服务工作。设立专门的服务热线电话，配备专用的车辆及相关的服务用具，以满足理赔服务的要求。</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乙方应提供必要的法律援助服务</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成立专门的法律服务小组，在发生校内（外）人身伤害事故时，协助学校妥善处理善后事宜，对学校提供法律和保险方面的援助，减少学校的经济损失和社会纠纷。</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诉讼服务</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对于法院判决中未提及的由学校支出的与所诉讼案件有关的合理费用，乙方应予赔付，同时负责相关法律费用。</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简易定责服务</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对于责任不明确的案件，乙方应当依照相关法律法规征求相关部门的意见，做出最终定责，及时进行赔付。</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重大事故协调处理服务</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乙方应当配合教育行政管理部门、学校</w:t>
      </w:r>
      <w:r>
        <w:rPr>
          <w:rFonts w:hint="eastAsia" w:asciiTheme="minorEastAsia" w:hAnsiTheme="minorEastAsia" w:eastAsiaTheme="minorEastAsia"/>
          <w:color w:val="auto"/>
          <w:sz w:val="24"/>
          <w:highlight w:val="none"/>
        </w:rPr>
        <w:t>和省教育风险管理顾问</w:t>
      </w:r>
      <w:r>
        <w:rPr>
          <w:rFonts w:hint="eastAsia" w:cs="宋体" w:asciiTheme="minorEastAsia" w:hAnsiTheme="minorEastAsia" w:eastAsiaTheme="minorEastAsia"/>
          <w:color w:val="auto"/>
          <w:sz w:val="24"/>
          <w:highlight w:val="none"/>
        </w:rPr>
        <w:t>，组建“重大事故临时处理小组”，妥善处理纠纷，缓解社会矛盾。</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信息保密措施</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乙方在保险服务过程中，承诺落实信息安全和保密责任，所有涉及相关合作内容（包括但不限于学生）的信息不用于其它领域，如确实需要信息披露的，必须经得甲方同意，否则将承担经济和法律责任。</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八、服务保证及后续服务</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8.1 乙方应按招标文件规定向甲方提供服务。</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8.2 如在使用过程中发生问题，乙方必须在现场解决问题。</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8.3 在服务期内，乙方应对出现的问题负责处理解决并承担一切费用。</w:t>
      </w:r>
    </w:p>
    <w:p>
      <w:pPr>
        <w:pStyle w:val="13"/>
        <w:adjustRightInd w:val="0"/>
        <w:snapToGrid w:val="0"/>
        <w:spacing w:line="360" w:lineRule="auto"/>
        <w:ind w:left="0" w:leftChars="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九、违约责任</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9.1甲、乙双方应严格遵守本合同，违反本合同的应承担违约责任，给对方造成经济损失的应承担赔偿责任。</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9.2在合作过程中，甲方有下列情形之一者，乙方有权单方终止合同。甲方因此给乙方造成经济损失的，应承担赔偿责任。构成犯罪的，由甲方自行承担相关法律责任。</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9.2.1串通投保人，被保险人或受益人欺诈乙方；</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9.2.2挪用或侵占，贪污保险费；</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9.2.3擅自变更保险条款；</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9.2.4其他违反监管规定的行为，情节严重的。</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9.3在合作过程中，乙方有下列情形之一者，甲方有权单方终止合同，乙方因此给甲方造成经济损失的，应承担赔偿责任。构成犯罪的，由乙方自行承担相关法律责任。</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9.3.1乙方避开甲方直接与甲方所介绍的客户签订保险合同；</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9.3.2未经甲方同意，单方改变对客户的承保条件；</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9.3.3未按规定支付经纪佣金；</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9.3.4被保险监管机构收回或吊销保险业务经营许可证；</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9.3.5其他违反监管规定的行为，情节严重的。</w:t>
      </w:r>
    </w:p>
    <w:p>
      <w:pPr>
        <w:pStyle w:val="14"/>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十、不可抗力事件处理</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10.1 在合同有效期内，任何一方因不可抗力事件导致不能履行合同，则合同履行期可延长，其延长期与不可抗力影响期相同。</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10.2 不可抗力事件发生后，应立即通知对方，并寄送有关权威机构出具的证明。</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10.3 不可抗力事件延续120天以上，双方应通过友好协商，确定是否继续履行合同。</w:t>
      </w:r>
    </w:p>
    <w:p>
      <w:pPr>
        <w:pStyle w:val="14"/>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十一、诉讼</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 双方在执行合同中所发生的一切争议，应通过协商解决。如协商不成，可向三门县人民法院起诉。</w:t>
      </w:r>
    </w:p>
    <w:p>
      <w:pPr>
        <w:pStyle w:val="14"/>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十二、合同生效及其它</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12.1 合同经双方法定代表人（负责人）或授权委托代理人签字并加盖单位公章后生效。</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12.2 如需调整完善或补充合同内容，经协商，双方应签署书面调整完善或补充协议，该协议将作为本合同的一个组成部分。</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12.3 本合同未尽事宜，遵照《</w:t>
      </w:r>
      <w:r>
        <w:rPr>
          <w:rFonts w:hint="eastAsia" w:cs="宋体" w:asciiTheme="minorEastAsia" w:hAnsiTheme="minorEastAsia" w:eastAsiaTheme="minorEastAsia"/>
          <w:color w:val="auto"/>
          <w:sz w:val="24"/>
          <w:highlight w:val="none"/>
          <w:lang w:eastAsia="zh-CN"/>
        </w:rPr>
        <w:t>民法典</w:t>
      </w:r>
      <w:r>
        <w:rPr>
          <w:rFonts w:hint="eastAsia" w:cs="宋体" w:asciiTheme="minorEastAsia" w:hAnsiTheme="minorEastAsia" w:eastAsiaTheme="minorEastAsia"/>
          <w:color w:val="auto"/>
          <w:sz w:val="24"/>
          <w:highlight w:val="none"/>
        </w:rPr>
        <w:t>》有关条文执行。</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12.4 </w:t>
      </w:r>
      <w:r>
        <w:rPr>
          <w:rFonts w:hint="eastAsia" w:cs="宋体" w:asciiTheme="minorEastAsia" w:hAnsiTheme="minorEastAsia" w:eastAsiaTheme="minorEastAsia"/>
          <w:snapToGrid w:val="0"/>
          <w:color w:val="auto"/>
          <w:sz w:val="24"/>
          <w:highlight w:val="none"/>
        </w:rPr>
        <w:t>本合同正本壹式陆份，具有同等法律效力，甲</w:t>
      </w:r>
      <w:r>
        <w:rPr>
          <w:rFonts w:hint="eastAsia" w:cs="宋体" w:asciiTheme="minorEastAsia" w:hAnsiTheme="minorEastAsia" w:eastAsiaTheme="minorEastAsia"/>
          <w:color w:val="auto"/>
          <w:sz w:val="24"/>
          <w:highlight w:val="none"/>
        </w:rPr>
        <w:t>乙双方各执贰份，采购代理机构及采购监管机构各执壹份</w:t>
      </w:r>
      <w:r>
        <w:rPr>
          <w:rFonts w:hint="eastAsia" w:cs="宋体" w:asciiTheme="minorEastAsia" w:hAnsiTheme="minorEastAsia" w:eastAsiaTheme="minorEastAsia"/>
          <w:snapToGrid w:val="0"/>
          <w:color w:val="auto"/>
          <w:sz w:val="24"/>
          <w:highlight w:val="none"/>
        </w:rPr>
        <w:t>。</w:t>
      </w:r>
    </w:p>
    <w:p>
      <w:pPr>
        <w:pStyle w:val="14"/>
        <w:adjustRightInd w:val="0"/>
        <w:snapToGrid w:val="0"/>
        <w:spacing w:line="360" w:lineRule="auto"/>
        <w:rPr>
          <w:rFonts w:cs="宋体" w:asciiTheme="minorEastAsia" w:hAnsiTheme="minorEastAsia" w:eastAsiaTheme="minorEastAsia"/>
          <w:color w:val="auto"/>
          <w:sz w:val="24"/>
          <w:highlight w:val="none"/>
        </w:rPr>
      </w:pP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甲方：                                   乙方： </w:t>
      </w:r>
    </w:p>
    <w:p>
      <w:pPr>
        <w:pStyle w:val="14"/>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地址：                                   地址： </w:t>
      </w:r>
    </w:p>
    <w:p>
      <w:pPr>
        <w:spacing w:line="500" w:lineRule="exact"/>
        <w:textAlignment w:val="baseline"/>
        <w:rPr>
          <w:rFonts w:cs="宋体" w:asciiTheme="minorEastAsia" w:hAnsiTheme="minorEastAsia" w:eastAsiaTheme="minorEastAsia"/>
          <w:snapToGrid w:val="0"/>
          <w:color w:val="auto"/>
          <w:sz w:val="24"/>
          <w:highlight w:val="none"/>
        </w:rPr>
      </w:pPr>
      <w:r>
        <w:rPr>
          <w:rFonts w:hint="eastAsia" w:cs="宋体" w:asciiTheme="minorEastAsia" w:hAnsiTheme="minorEastAsia" w:eastAsiaTheme="minorEastAsia"/>
          <w:color w:val="auto"/>
          <w:sz w:val="24"/>
          <w:highlight w:val="none"/>
        </w:rPr>
        <w:t>法定代表人或委托人：                     法定代表人（负责人）或委托人：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联系电话：                               联系电话：</w:t>
      </w:r>
    </w:p>
    <w:p>
      <w:pPr>
        <w:spacing w:line="500" w:lineRule="exact"/>
        <w:ind w:firstLine="480" w:firstLineChars="200"/>
        <w:textAlignment w:val="baseline"/>
        <w:rPr>
          <w:rFonts w:cs="宋体" w:asciiTheme="minorEastAsia" w:hAnsiTheme="minorEastAsia" w:eastAsiaTheme="minorEastAsia"/>
          <w:snapToGrid w:val="0"/>
          <w:color w:val="auto"/>
          <w:sz w:val="24"/>
          <w:highlight w:val="none"/>
        </w:rPr>
      </w:pPr>
      <w:r>
        <w:rPr>
          <w:rFonts w:hint="eastAsia" w:cs="宋体" w:asciiTheme="minorEastAsia" w:hAnsiTheme="minorEastAsia" w:eastAsiaTheme="minorEastAsia"/>
          <w:snapToGrid w:val="0"/>
          <w:color w:val="auto"/>
          <w:sz w:val="24"/>
          <w:highlight w:val="none"/>
        </w:rPr>
        <w:t>签订日期：</w:t>
      </w:r>
    </w:p>
    <w:p>
      <w:pPr>
        <w:widowControl/>
        <w:jc w:val="left"/>
        <w:rPr>
          <w:rFonts w:ascii="宋体" w:hAnsi="宋体" w:cs="宋体"/>
          <w:color w:val="auto"/>
          <w:sz w:val="24"/>
          <w:highlight w:val="none"/>
        </w:rPr>
      </w:pPr>
      <w:r>
        <w:rPr>
          <w:rFonts w:ascii="宋体" w:hAnsi="宋体" w:cs="宋体"/>
          <w:color w:val="auto"/>
          <w:sz w:val="24"/>
          <w:highlight w:val="none"/>
        </w:rPr>
        <w:br w:type="page"/>
      </w:r>
    </w:p>
    <w:p>
      <w:pPr>
        <w:autoSpaceDE w:val="0"/>
        <w:autoSpaceDN w:val="0"/>
        <w:adjustRightInd w:val="0"/>
        <w:spacing w:line="360" w:lineRule="auto"/>
        <w:ind w:left="105" w:leftChars="50" w:right="85" w:firstLine="120" w:firstLineChars="50"/>
        <w:rPr>
          <w:rFonts w:ascii="宋体" w:hAnsi="宋体" w:cs="宋体"/>
          <w:color w:val="auto"/>
          <w:sz w:val="24"/>
          <w:highlight w:val="none"/>
        </w:rPr>
      </w:pPr>
    </w:p>
    <w:p>
      <w:pPr>
        <w:pStyle w:val="2"/>
        <w:spacing w:before="0" w:after="0" w:line="360" w:lineRule="auto"/>
        <w:jc w:val="center"/>
        <w:rPr>
          <w:color w:val="auto"/>
          <w:sz w:val="30"/>
          <w:szCs w:val="30"/>
          <w:highlight w:val="none"/>
        </w:rPr>
      </w:pPr>
      <w:bookmarkStart w:id="11" w:name="_Toc77876204"/>
      <w:r>
        <w:rPr>
          <w:color w:val="auto"/>
          <w:sz w:val="30"/>
          <w:szCs w:val="30"/>
          <w:highlight w:val="none"/>
        </w:rPr>
        <w:t>第六部分投标文件格式</w:t>
      </w:r>
      <w:bookmarkEnd w:id="11"/>
    </w:p>
    <w:p>
      <w:pPr>
        <w:spacing w:before="78" w:line="185" w:lineRule="auto"/>
        <w:ind w:firstLine="20"/>
        <w:rPr>
          <w:rFonts w:ascii="宋体" w:hAnsi="宋体" w:cs="宋体"/>
          <w:color w:val="auto"/>
          <w:sz w:val="24"/>
          <w:highlight w:val="none"/>
        </w:rPr>
      </w:pPr>
      <w:r>
        <w:rPr>
          <w:rFonts w:ascii="宋体" w:hAnsi="宋体" w:cs="宋体"/>
          <w:color w:val="auto"/>
          <w:spacing w:val="-7"/>
          <w:sz w:val="24"/>
          <w:highlight w:val="none"/>
        </w:rPr>
        <w:t>附件一：</w:t>
      </w:r>
    </w:p>
    <w:p>
      <w:pPr>
        <w:spacing w:before="241" w:line="185" w:lineRule="auto"/>
        <w:ind w:firstLine="3620"/>
        <w:rPr>
          <w:rFonts w:ascii="宋体" w:hAnsi="宋体" w:cs="宋体"/>
          <w:color w:val="auto"/>
          <w:sz w:val="36"/>
          <w:szCs w:val="36"/>
          <w:highlight w:val="none"/>
        </w:rPr>
      </w:pPr>
      <w:r>
        <w:rPr>
          <w:rFonts w:ascii="宋体" w:hAnsi="宋体" w:cs="宋体"/>
          <w:color w:val="auto"/>
          <w:spacing w:val="-3"/>
          <w:sz w:val="36"/>
          <w:szCs w:val="36"/>
          <w:highlight w:val="none"/>
        </w:rPr>
        <w:t>投标声明书</w:t>
      </w:r>
    </w:p>
    <w:p>
      <w:pPr>
        <w:spacing w:before="72" w:line="185" w:lineRule="auto"/>
        <w:rPr>
          <w:rFonts w:ascii="宋体" w:hAnsi="宋体" w:cs="宋体"/>
          <w:color w:val="auto"/>
          <w:sz w:val="22"/>
          <w:szCs w:val="22"/>
          <w:highlight w:val="none"/>
        </w:rPr>
      </w:pPr>
      <w:r>
        <w:rPr>
          <w:rFonts w:ascii="宋体" w:hAnsi="宋体" w:cs="宋体"/>
          <w:color w:val="auto"/>
          <w:spacing w:val="-6"/>
          <w:sz w:val="22"/>
          <w:szCs w:val="22"/>
          <w:highlight w:val="none"/>
        </w:rPr>
        <w:t>三门县教育局：</w:t>
      </w:r>
    </w:p>
    <w:p>
      <w:pPr>
        <w:tabs>
          <w:tab w:val="left" w:pos="2093"/>
        </w:tabs>
        <w:spacing w:before="206" w:line="354" w:lineRule="auto"/>
        <w:ind w:left="1" w:right="7" w:firstLine="537"/>
        <w:rPr>
          <w:rFonts w:ascii="宋体" w:hAnsi="宋体" w:cs="宋体"/>
          <w:color w:val="auto"/>
          <w:sz w:val="22"/>
          <w:szCs w:val="22"/>
          <w:highlight w:val="none"/>
        </w:rPr>
      </w:pPr>
      <w:r>
        <w:rPr>
          <w:rFonts w:ascii="Calibri" w:hAnsi="Calibri" w:eastAsia="Calibri" w:cs="Calibri"/>
          <w:color w:val="auto"/>
          <w:szCs w:val="21"/>
          <w:highlight w:val="none"/>
          <w:u w:val="single"/>
        </w:rPr>
        <w:tab/>
      </w:r>
      <w:r>
        <w:rPr>
          <w:rFonts w:ascii="Arial" w:hAnsi="Arial" w:eastAsia="Arial" w:cs="Arial"/>
          <w:color w:val="auto"/>
          <w:spacing w:val="-4"/>
          <w:sz w:val="22"/>
          <w:szCs w:val="22"/>
          <w:highlight w:val="none"/>
          <w:u w:val="single"/>
        </w:rPr>
        <w:t>(</w:t>
      </w:r>
      <w:r>
        <w:rPr>
          <w:rFonts w:ascii="宋体" w:hAnsi="宋体" w:cs="宋体"/>
          <w:color w:val="auto"/>
          <w:spacing w:val="-4"/>
          <w:sz w:val="22"/>
          <w:szCs w:val="22"/>
          <w:highlight w:val="none"/>
          <w:u w:val="single"/>
        </w:rPr>
        <w:t>投标人全称</w:t>
      </w:r>
      <w:r>
        <w:rPr>
          <w:rFonts w:ascii="Arial" w:hAnsi="Arial" w:eastAsia="Arial" w:cs="Arial"/>
          <w:color w:val="auto"/>
          <w:spacing w:val="-4"/>
          <w:sz w:val="22"/>
          <w:szCs w:val="22"/>
          <w:highlight w:val="none"/>
          <w:u w:val="single"/>
        </w:rPr>
        <w:t>)</w:t>
      </w:r>
      <w:r>
        <w:rPr>
          <w:rFonts w:ascii="宋体" w:hAnsi="宋体" w:cs="宋体"/>
          <w:color w:val="auto"/>
          <w:spacing w:val="-4"/>
          <w:sz w:val="22"/>
          <w:szCs w:val="22"/>
          <w:highlight w:val="none"/>
        </w:rPr>
        <w:t>系中华人民共和国合法企业，经营地</w:t>
      </w:r>
      <w:r>
        <w:rPr>
          <w:rFonts w:ascii="宋体" w:hAnsi="宋体" w:cs="宋体"/>
          <w:color w:val="auto"/>
          <w:spacing w:val="-5"/>
          <w:sz w:val="22"/>
          <w:szCs w:val="22"/>
          <w:highlight w:val="none"/>
        </w:rPr>
        <w:t>址。</w:t>
      </w:r>
    </w:p>
    <w:p>
      <w:pPr>
        <w:spacing w:before="11" w:line="302" w:lineRule="auto"/>
        <w:ind w:left="3" w:right="4" w:firstLine="438"/>
        <w:rPr>
          <w:rFonts w:ascii="宋体" w:hAnsi="宋体" w:cs="宋体"/>
          <w:color w:val="auto"/>
          <w:sz w:val="22"/>
          <w:szCs w:val="22"/>
          <w:highlight w:val="none"/>
        </w:rPr>
      </w:pPr>
      <w:r>
        <w:rPr>
          <w:rFonts w:ascii="宋体" w:hAnsi="宋体" w:cs="宋体"/>
          <w:color w:val="auto"/>
          <w:spacing w:val="-6"/>
          <w:sz w:val="22"/>
          <w:szCs w:val="22"/>
          <w:highlight w:val="none"/>
        </w:rPr>
        <w:t>我</w:t>
      </w:r>
      <w:r>
        <w:rPr>
          <w:rFonts w:ascii="宋体" w:hAnsi="宋体" w:cs="宋体"/>
          <w:color w:val="auto"/>
          <w:spacing w:val="-6"/>
          <w:sz w:val="22"/>
          <w:szCs w:val="22"/>
          <w:highlight w:val="none"/>
          <w:u w:val="single"/>
        </w:rPr>
        <w:t>（姓名）</w:t>
      </w:r>
      <w:r>
        <w:rPr>
          <w:rFonts w:ascii="宋体" w:hAnsi="宋体" w:cs="宋体"/>
          <w:color w:val="auto"/>
          <w:spacing w:val="-6"/>
          <w:sz w:val="22"/>
          <w:szCs w:val="22"/>
          <w:highlight w:val="none"/>
        </w:rPr>
        <w:t>系上述企业的法定代表人（或营业执照中明确的负责人</w:t>
      </w:r>
      <w:r>
        <w:rPr>
          <w:rFonts w:ascii="宋体" w:hAnsi="宋体" w:cs="宋体"/>
          <w:color w:val="auto"/>
          <w:spacing w:val="-30"/>
          <w:sz w:val="22"/>
          <w:szCs w:val="22"/>
          <w:highlight w:val="none"/>
        </w:rPr>
        <w:t>），</w:t>
      </w:r>
      <w:r>
        <w:rPr>
          <w:rFonts w:ascii="宋体" w:hAnsi="宋体" w:cs="宋体"/>
          <w:color w:val="auto"/>
          <w:spacing w:val="-6"/>
          <w:sz w:val="22"/>
          <w:szCs w:val="22"/>
          <w:highlight w:val="none"/>
        </w:rPr>
        <w:t>参加贵方</w:t>
      </w:r>
      <w:r>
        <w:rPr>
          <w:rFonts w:ascii="宋体" w:hAnsi="宋体" w:cs="宋体"/>
          <w:color w:val="auto"/>
          <w:spacing w:val="-7"/>
          <w:sz w:val="22"/>
          <w:szCs w:val="22"/>
          <w:highlight w:val="none"/>
        </w:rPr>
        <w:t>组织的的投标。为便于贵方公正、择优地确定中标人以及投标产品和服务，我方就本次</w:t>
      </w:r>
      <w:r>
        <w:rPr>
          <w:rFonts w:ascii="宋体" w:hAnsi="宋体" w:cs="宋体"/>
          <w:color w:val="auto"/>
          <w:spacing w:val="-3"/>
          <w:sz w:val="22"/>
          <w:szCs w:val="22"/>
          <w:highlight w:val="none"/>
        </w:rPr>
        <w:t>投标有关事项郑重承诺如下：</w:t>
      </w:r>
    </w:p>
    <w:p>
      <w:pPr>
        <w:spacing w:before="207" w:line="185" w:lineRule="auto"/>
        <w:ind w:firstLine="455"/>
        <w:rPr>
          <w:rFonts w:ascii="宋体" w:hAnsi="宋体" w:cs="宋体"/>
          <w:color w:val="auto"/>
          <w:sz w:val="22"/>
          <w:szCs w:val="22"/>
          <w:highlight w:val="none"/>
        </w:rPr>
      </w:pPr>
      <w:r>
        <w:rPr>
          <w:rFonts w:ascii="Arial" w:hAnsi="Arial" w:eastAsia="Arial" w:cs="Arial"/>
          <w:color w:val="auto"/>
          <w:spacing w:val="-2"/>
          <w:sz w:val="22"/>
          <w:szCs w:val="22"/>
          <w:highlight w:val="none"/>
        </w:rPr>
        <w:t>1.</w:t>
      </w:r>
      <w:r>
        <w:rPr>
          <w:rFonts w:ascii="宋体" w:hAnsi="宋体" w:cs="宋体"/>
          <w:color w:val="auto"/>
          <w:spacing w:val="-2"/>
          <w:sz w:val="22"/>
          <w:szCs w:val="22"/>
          <w:highlight w:val="none"/>
        </w:rPr>
        <w:t>我方向贵方提交的所有投标文件、资料都是准确的和真实的。</w:t>
      </w:r>
    </w:p>
    <w:p>
      <w:pPr>
        <w:spacing w:before="207" w:line="185" w:lineRule="auto"/>
        <w:ind w:firstLine="440"/>
        <w:rPr>
          <w:rFonts w:ascii="宋体" w:hAnsi="宋体" w:cs="宋体"/>
          <w:color w:val="auto"/>
          <w:spacing w:val="-6"/>
          <w:sz w:val="22"/>
          <w:szCs w:val="22"/>
          <w:highlight w:val="none"/>
        </w:rPr>
      </w:pPr>
      <w:r>
        <w:rPr>
          <w:rFonts w:hint="eastAsia" w:ascii="Arial" w:hAnsi="Arial" w:eastAsia="Arial" w:cs="Arial"/>
          <w:color w:val="auto"/>
          <w:spacing w:val="-6"/>
          <w:sz w:val="22"/>
          <w:szCs w:val="22"/>
          <w:highlight w:val="none"/>
        </w:rPr>
        <w:t>2.我方承诺满足招标文件中要求投标人应当具备的条件，并真实提供相关材料</w:t>
      </w:r>
      <w:r>
        <w:rPr>
          <w:rFonts w:hint="eastAsia" w:ascii="宋体" w:hAnsi="宋体" w:cs="宋体"/>
          <w:color w:val="auto"/>
          <w:spacing w:val="-6"/>
          <w:sz w:val="22"/>
          <w:szCs w:val="22"/>
          <w:highlight w:val="none"/>
        </w:rPr>
        <w:t>。</w:t>
      </w:r>
    </w:p>
    <w:p>
      <w:pPr>
        <w:spacing w:before="207" w:line="185" w:lineRule="auto"/>
        <w:ind w:firstLine="440"/>
        <w:rPr>
          <w:rFonts w:ascii="宋体" w:hAnsi="宋体" w:cs="宋体"/>
          <w:color w:val="auto"/>
          <w:sz w:val="22"/>
          <w:szCs w:val="22"/>
          <w:highlight w:val="none"/>
        </w:rPr>
      </w:pPr>
      <w:r>
        <w:rPr>
          <w:rFonts w:ascii="Arial" w:hAnsi="Arial" w:eastAsia="Arial" w:cs="Arial"/>
          <w:color w:val="auto"/>
          <w:spacing w:val="-1"/>
          <w:sz w:val="22"/>
          <w:szCs w:val="22"/>
          <w:highlight w:val="none"/>
        </w:rPr>
        <w:t>3.</w:t>
      </w:r>
      <w:r>
        <w:rPr>
          <w:rFonts w:ascii="宋体" w:hAnsi="宋体" w:cs="宋体"/>
          <w:color w:val="auto"/>
          <w:spacing w:val="-1"/>
          <w:sz w:val="22"/>
          <w:szCs w:val="22"/>
          <w:highlight w:val="none"/>
        </w:rPr>
        <w:t>提供投标须知规定的全部投标文件，具体内容为：</w:t>
      </w:r>
    </w:p>
    <w:p>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（1）资格证明文件</w:t>
      </w:r>
    </w:p>
    <w:p>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（2）商务与技术文件；</w:t>
      </w:r>
    </w:p>
    <w:p>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（3）投标人须知要求投标人提交的全部文件</w:t>
      </w:r>
    </w:p>
    <w:p>
      <w:pPr>
        <w:spacing w:before="207" w:line="185" w:lineRule="auto"/>
        <w:ind w:firstLine="440"/>
        <w:rPr>
          <w:rFonts w:ascii="Arial" w:hAnsi="Arial" w:cs="Arial" w:eastAsiaTheme="minorEastAsia"/>
          <w:color w:val="auto"/>
          <w:spacing w:val="-1"/>
          <w:sz w:val="22"/>
          <w:szCs w:val="22"/>
          <w:highlight w:val="none"/>
        </w:rPr>
      </w:pPr>
      <w:r>
        <w:rPr>
          <w:rFonts w:ascii="Arial" w:hAnsi="Arial" w:eastAsia="Arial" w:cs="Arial"/>
          <w:color w:val="auto"/>
          <w:spacing w:val="-1"/>
          <w:sz w:val="22"/>
          <w:szCs w:val="22"/>
          <w:highlight w:val="none"/>
        </w:rPr>
        <w:t>4.按招标文件要求提供和交付的货物或服务的投标报价按照招标需求。</w:t>
      </w:r>
    </w:p>
    <w:p>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 xml:space="preserve">5.保证忠实地执行双方所签订的合同，并承担合同规定的责任和义务。   </w:t>
      </w:r>
    </w:p>
    <w:p>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6.保证遵守招标文件中的其他有关规定。</w:t>
      </w:r>
    </w:p>
    <w:p>
      <w:pPr>
        <w:spacing w:before="207" w:line="276"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7.我方的投标有效期自在开标日起 90 天内有效。如果在开标后规定的投标有效期内撤回投标，贵方可不退还我方的投标保证金。</w:t>
      </w:r>
    </w:p>
    <w:p>
      <w:pPr>
        <w:spacing w:before="207" w:line="185" w:lineRule="auto"/>
        <w:ind w:firstLine="440"/>
        <w:rPr>
          <w:rFonts w:ascii="宋体" w:hAnsi="宋体" w:cs="宋体"/>
          <w:color w:val="auto"/>
          <w:sz w:val="22"/>
          <w:szCs w:val="22"/>
          <w:highlight w:val="none"/>
        </w:rPr>
      </w:pPr>
      <w:r>
        <w:rPr>
          <w:rFonts w:ascii="Arial" w:hAnsi="Arial" w:eastAsia="Arial" w:cs="Arial"/>
          <w:color w:val="auto"/>
          <w:spacing w:val="-1"/>
          <w:sz w:val="22"/>
          <w:szCs w:val="22"/>
          <w:highlight w:val="none"/>
        </w:rPr>
        <w:t>8.</w:t>
      </w:r>
      <w:r>
        <w:rPr>
          <w:rFonts w:ascii="宋体" w:hAnsi="宋体" w:cs="宋体"/>
          <w:color w:val="auto"/>
          <w:spacing w:val="-1"/>
          <w:sz w:val="22"/>
          <w:szCs w:val="22"/>
          <w:highlight w:val="none"/>
        </w:rPr>
        <w:t>我方完全理解贵方不一定要接受最低价的投标。</w:t>
      </w:r>
    </w:p>
    <w:p>
      <w:pPr>
        <w:spacing w:before="207" w:line="358" w:lineRule="auto"/>
        <w:ind w:left="1" w:right="49" w:firstLine="438"/>
        <w:rPr>
          <w:rFonts w:ascii="宋体" w:hAnsi="宋体" w:cs="宋体"/>
          <w:color w:val="auto"/>
          <w:sz w:val="22"/>
          <w:szCs w:val="22"/>
          <w:highlight w:val="none"/>
        </w:rPr>
      </w:pPr>
      <w:r>
        <w:rPr>
          <w:rFonts w:ascii="Arial" w:hAnsi="Arial" w:eastAsia="Arial" w:cs="Arial"/>
          <w:color w:val="auto"/>
          <w:spacing w:val="-5"/>
          <w:sz w:val="22"/>
          <w:szCs w:val="22"/>
          <w:highlight w:val="none"/>
        </w:rPr>
        <w:t>9.</w:t>
      </w:r>
      <w:r>
        <w:rPr>
          <w:rFonts w:ascii="宋体" w:hAnsi="宋体" w:cs="宋体"/>
          <w:color w:val="auto"/>
          <w:spacing w:val="-5"/>
          <w:sz w:val="22"/>
          <w:szCs w:val="22"/>
          <w:highlight w:val="none"/>
        </w:rPr>
        <w:t>我方在投标之前已经与贵方进行了充分的沟通，完全理解并接受招标文件的各项规定和</w:t>
      </w:r>
      <w:r>
        <w:rPr>
          <w:rFonts w:ascii="宋体" w:hAnsi="宋体" w:cs="宋体"/>
          <w:color w:val="auto"/>
          <w:spacing w:val="-1"/>
          <w:sz w:val="22"/>
          <w:szCs w:val="22"/>
          <w:highlight w:val="none"/>
        </w:rPr>
        <w:t>要求，对招标文件的合理性、合法性不再有异议。</w:t>
      </w:r>
    </w:p>
    <w:p>
      <w:pPr>
        <w:spacing w:before="3" w:line="272" w:lineRule="auto"/>
        <w:ind w:left="11" w:right="4" w:firstLine="444"/>
        <w:rPr>
          <w:rFonts w:ascii="宋体" w:hAnsi="宋体" w:cs="宋体"/>
          <w:color w:val="auto"/>
          <w:sz w:val="22"/>
          <w:szCs w:val="22"/>
          <w:highlight w:val="none"/>
        </w:rPr>
      </w:pPr>
      <w:r>
        <w:rPr>
          <w:rFonts w:ascii="Arial" w:hAnsi="Arial" w:eastAsia="Arial" w:cs="Arial"/>
          <w:color w:val="auto"/>
          <w:spacing w:val="-3"/>
          <w:sz w:val="22"/>
          <w:szCs w:val="22"/>
          <w:highlight w:val="none"/>
        </w:rPr>
        <w:t>10.</w:t>
      </w:r>
      <w:r>
        <w:rPr>
          <w:rFonts w:ascii="宋体" w:hAnsi="宋体" w:cs="宋体"/>
          <w:color w:val="auto"/>
          <w:spacing w:val="-3"/>
          <w:sz w:val="22"/>
          <w:szCs w:val="22"/>
          <w:highlight w:val="none"/>
        </w:rPr>
        <w:t>我方愿意向贵方提供真实完整的任何与该项投标有关的数据、情况和技术资料。若贵方</w:t>
      </w:r>
      <w:r>
        <w:rPr>
          <w:rFonts w:ascii="宋体" w:hAnsi="宋体" w:cs="宋体"/>
          <w:color w:val="auto"/>
          <w:spacing w:val="-2"/>
          <w:sz w:val="22"/>
          <w:szCs w:val="22"/>
          <w:highlight w:val="none"/>
        </w:rPr>
        <w:t>需要，我方愿意提供我方作出的一切承诺的证明材料。</w:t>
      </w:r>
    </w:p>
    <w:p>
      <w:pPr>
        <w:spacing w:before="206" w:line="303" w:lineRule="auto"/>
        <w:ind w:firstLine="455"/>
        <w:rPr>
          <w:rFonts w:ascii="宋体" w:hAnsi="宋体" w:cs="宋体"/>
          <w:color w:val="auto"/>
          <w:sz w:val="22"/>
          <w:szCs w:val="22"/>
          <w:highlight w:val="none"/>
        </w:rPr>
      </w:pPr>
      <w:r>
        <w:rPr>
          <w:rFonts w:ascii="Arial" w:hAnsi="Arial" w:eastAsia="Arial" w:cs="Arial"/>
          <w:color w:val="auto"/>
          <w:spacing w:val="-5"/>
          <w:sz w:val="22"/>
          <w:szCs w:val="22"/>
          <w:highlight w:val="none"/>
        </w:rPr>
        <w:t>11.</w:t>
      </w:r>
      <w:r>
        <w:rPr>
          <w:rFonts w:ascii="宋体" w:hAnsi="宋体" w:cs="宋体"/>
          <w:color w:val="auto"/>
          <w:spacing w:val="-5"/>
          <w:sz w:val="22"/>
          <w:szCs w:val="22"/>
          <w:highlight w:val="none"/>
        </w:rPr>
        <w:t>我方已详细审核全部招标文件，包括招标文件的澄清或修改文件（如有的话）、参考资</w:t>
      </w:r>
      <w:r>
        <w:rPr>
          <w:rFonts w:ascii="宋体" w:hAnsi="宋体" w:cs="宋体"/>
          <w:color w:val="auto"/>
          <w:spacing w:val="-7"/>
          <w:sz w:val="22"/>
          <w:szCs w:val="22"/>
          <w:highlight w:val="none"/>
        </w:rPr>
        <w:t>料及有关附件，已经了解我方对于招标文件、采购过程、采购结果有依法进行询</w:t>
      </w:r>
      <w:r>
        <w:rPr>
          <w:rFonts w:ascii="宋体" w:hAnsi="宋体" w:cs="宋体"/>
          <w:color w:val="auto"/>
          <w:spacing w:val="-7"/>
          <w:sz w:val="24"/>
          <w:highlight w:val="none"/>
        </w:rPr>
        <w:t>问、质疑、投</w:t>
      </w:r>
      <w:r>
        <w:rPr>
          <w:rFonts w:ascii="宋体" w:hAnsi="宋体" w:cs="宋体"/>
          <w:color w:val="auto"/>
          <w:spacing w:val="-1"/>
          <w:sz w:val="22"/>
          <w:szCs w:val="22"/>
          <w:highlight w:val="none"/>
        </w:rPr>
        <w:t>诉的权利及相关渠道和要求。</w:t>
      </w:r>
    </w:p>
    <w:p>
      <w:pPr>
        <w:spacing w:before="206" w:line="303" w:lineRule="auto"/>
        <w:ind w:firstLine="455"/>
        <w:rPr>
          <w:rFonts w:ascii="宋体" w:hAnsi="宋体" w:cs="宋体"/>
          <w:color w:val="auto"/>
          <w:spacing w:val="-5"/>
          <w:sz w:val="22"/>
          <w:szCs w:val="22"/>
          <w:highlight w:val="none"/>
        </w:rPr>
      </w:pPr>
      <w:r>
        <w:rPr>
          <w:rFonts w:ascii="宋体" w:hAnsi="宋体" w:cs="宋体"/>
          <w:color w:val="auto"/>
          <w:spacing w:val="-5"/>
          <w:sz w:val="22"/>
          <w:szCs w:val="22"/>
          <w:highlight w:val="none"/>
        </w:rPr>
        <w:t>12.</w:t>
      </w:r>
      <w:r>
        <w:rPr>
          <w:rFonts w:hint="eastAsia" w:ascii="宋体" w:hAnsi="宋体" w:cs="宋体"/>
          <w:color w:val="auto"/>
          <w:spacing w:val="-5"/>
          <w:sz w:val="22"/>
          <w:szCs w:val="22"/>
          <w:highlight w:val="none"/>
        </w:rPr>
        <w:t xml:space="preserve"> 我方将严格遵守相关规定：供应商有下列情形之一的，处以采购金额 5‰以上10‰以下的罚款，列入不良行为记录名单，在一至三年内禁止参加采购活动；有违法所得的，并处没收违法所得；情节严重的，由工商行政管理机关吊销营业执照；构成犯罪的，依法追究刑事责任。</w:t>
      </w:r>
    </w:p>
    <w:p>
      <w:pPr>
        <w:spacing w:before="206" w:line="185" w:lineRule="auto"/>
        <w:ind w:firstLine="432"/>
        <w:rPr>
          <w:rFonts w:ascii="宋体" w:hAnsi="宋体" w:cs="宋体"/>
          <w:color w:val="auto"/>
          <w:sz w:val="22"/>
          <w:szCs w:val="22"/>
          <w:highlight w:val="none"/>
        </w:rPr>
      </w:pPr>
      <w:r>
        <w:rPr>
          <w:rFonts w:ascii="Arial" w:hAnsi="Arial" w:eastAsia="Arial" w:cs="Arial"/>
          <w:color w:val="auto"/>
          <w:spacing w:val="-1"/>
          <w:sz w:val="22"/>
          <w:szCs w:val="22"/>
          <w:highlight w:val="none"/>
        </w:rPr>
        <w:t>A.</w:t>
      </w:r>
      <w:r>
        <w:rPr>
          <w:rFonts w:ascii="宋体" w:hAnsi="宋体" w:cs="宋体"/>
          <w:color w:val="auto"/>
          <w:spacing w:val="-1"/>
          <w:sz w:val="22"/>
          <w:szCs w:val="22"/>
          <w:highlight w:val="none"/>
        </w:rPr>
        <w:t>提供虚假材料谋取中标、成交的；</w:t>
      </w:r>
    </w:p>
    <w:p>
      <w:pPr>
        <w:spacing w:before="206" w:line="429" w:lineRule="exact"/>
        <w:ind w:firstLine="448"/>
        <w:rPr>
          <w:rFonts w:ascii="宋体" w:hAnsi="宋体" w:cs="宋体"/>
          <w:color w:val="auto"/>
          <w:sz w:val="22"/>
          <w:szCs w:val="22"/>
          <w:highlight w:val="none"/>
        </w:rPr>
      </w:pPr>
      <w:r>
        <w:rPr>
          <w:rFonts w:ascii="Arial" w:hAnsi="Arial" w:eastAsia="Arial" w:cs="Arial"/>
          <w:color w:val="auto"/>
          <w:spacing w:val="-2"/>
          <w:position w:val="15"/>
          <w:sz w:val="22"/>
          <w:szCs w:val="22"/>
          <w:highlight w:val="none"/>
        </w:rPr>
        <w:t>B.</w:t>
      </w:r>
      <w:r>
        <w:rPr>
          <w:rFonts w:ascii="宋体" w:hAnsi="宋体" w:cs="宋体"/>
          <w:color w:val="auto"/>
          <w:spacing w:val="-2"/>
          <w:position w:val="15"/>
          <w:sz w:val="22"/>
          <w:szCs w:val="22"/>
          <w:highlight w:val="none"/>
        </w:rPr>
        <w:t>采取不正当手段诋毁、排挤其他供应商的；</w:t>
      </w:r>
    </w:p>
    <w:p>
      <w:pPr>
        <w:spacing w:line="204" w:lineRule="auto"/>
        <w:ind w:firstLine="443"/>
        <w:rPr>
          <w:rFonts w:ascii="宋体" w:hAnsi="宋体" w:cs="宋体"/>
          <w:color w:val="auto"/>
          <w:sz w:val="22"/>
          <w:szCs w:val="22"/>
          <w:highlight w:val="none"/>
        </w:rPr>
      </w:pPr>
      <w:r>
        <w:rPr>
          <w:rFonts w:ascii="Arial" w:hAnsi="Arial" w:eastAsia="Arial" w:cs="Arial"/>
          <w:color w:val="auto"/>
          <w:spacing w:val="-2"/>
          <w:sz w:val="22"/>
          <w:szCs w:val="22"/>
          <w:highlight w:val="none"/>
        </w:rPr>
        <w:t>C.</w:t>
      </w:r>
      <w:r>
        <w:rPr>
          <w:rFonts w:ascii="宋体" w:hAnsi="宋体" w:cs="宋体"/>
          <w:color w:val="auto"/>
          <w:spacing w:val="-2"/>
          <w:sz w:val="22"/>
          <w:szCs w:val="22"/>
          <w:highlight w:val="none"/>
        </w:rPr>
        <w:t>与采购人、其它供应商恶意串通的；</w:t>
      </w:r>
    </w:p>
    <w:p>
      <w:pPr>
        <w:spacing w:before="184" w:line="427" w:lineRule="exact"/>
        <w:ind w:firstLine="449"/>
        <w:rPr>
          <w:rFonts w:ascii="宋体" w:hAnsi="宋体" w:cs="宋体"/>
          <w:color w:val="auto"/>
          <w:sz w:val="22"/>
          <w:szCs w:val="22"/>
          <w:highlight w:val="none"/>
        </w:rPr>
      </w:pPr>
      <w:r>
        <w:rPr>
          <w:rFonts w:ascii="Arial" w:hAnsi="Arial" w:eastAsia="Arial" w:cs="Arial"/>
          <w:color w:val="auto"/>
          <w:spacing w:val="-2"/>
          <w:position w:val="15"/>
          <w:sz w:val="22"/>
          <w:szCs w:val="22"/>
          <w:highlight w:val="none"/>
        </w:rPr>
        <w:t>D.</w:t>
      </w:r>
      <w:r>
        <w:rPr>
          <w:rFonts w:ascii="宋体" w:hAnsi="宋体" w:cs="宋体"/>
          <w:color w:val="auto"/>
          <w:spacing w:val="-2"/>
          <w:position w:val="15"/>
          <w:sz w:val="22"/>
          <w:szCs w:val="22"/>
          <w:highlight w:val="none"/>
        </w:rPr>
        <w:t>向采购人行贿或者提供其他不正当利益的；</w:t>
      </w:r>
    </w:p>
    <w:p>
      <w:pPr>
        <w:spacing w:before="1" w:line="204" w:lineRule="auto"/>
        <w:ind w:firstLine="449"/>
        <w:rPr>
          <w:rFonts w:ascii="宋体" w:hAnsi="宋体" w:cs="宋体"/>
          <w:color w:val="auto"/>
          <w:sz w:val="22"/>
          <w:szCs w:val="22"/>
          <w:highlight w:val="none"/>
        </w:rPr>
      </w:pPr>
      <w:r>
        <w:rPr>
          <w:rFonts w:ascii="Arial" w:hAnsi="Arial" w:eastAsia="Arial" w:cs="Arial"/>
          <w:color w:val="auto"/>
          <w:spacing w:val="-2"/>
          <w:sz w:val="22"/>
          <w:szCs w:val="22"/>
          <w:highlight w:val="none"/>
        </w:rPr>
        <w:t>E.</w:t>
      </w:r>
      <w:r>
        <w:rPr>
          <w:rFonts w:ascii="宋体" w:hAnsi="宋体" w:cs="宋体"/>
          <w:color w:val="auto"/>
          <w:spacing w:val="-2"/>
          <w:sz w:val="22"/>
          <w:szCs w:val="22"/>
          <w:highlight w:val="none"/>
        </w:rPr>
        <w:t>拒绝有关部门监督检查或提供虚假情况的。</w:t>
      </w:r>
    </w:p>
    <w:p>
      <w:pPr>
        <w:spacing w:before="206" w:line="303" w:lineRule="auto"/>
        <w:ind w:firstLine="455"/>
        <w:rPr>
          <w:rFonts w:ascii="宋体" w:hAnsi="宋体" w:cs="宋体"/>
          <w:color w:val="auto"/>
          <w:spacing w:val="-5"/>
          <w:sz w:val="22"/>
          <w:szCs w:val="22"/>
          <w:highlight w:val="none"/>
        </w:rPr>
      </w:pPr>
      <w:r>
        <w:rPr>
          <w:rFonts w:ascii="宋体" w:hAnsi="宋体" w:cs="宋体"/>
          <w:color w:val="auto"/>
          <w:spacing w:val="-5"/>
          <w:sz w:val="22"/>
          <w:szCs w:val="22"/>
          <w:highlight w:val="none"/>
        </w:rPr>
        <w:t>13.如中标，本投标文件至本项目合同履行完毕止均保持有效，</w:t>
      </w:r>
      <w:r>
        <w:rPr>
          <w:rFonts w:hint="eastAsia" w:ascii="宋体" w:hAnsi="宋体" w:cs="宋体"/>
          <w:color w:val="auto"/>
          <w:spacing w:val="-5"/>
          <w:sz w:val="22"/>
          <w:szCs w:val="22"/>
          <w:highlight w:val="none"/>
        </w:rPr>
        <w:t>我方将按招标文件及采购法律、法规的规定履行合同责任和义务</w:t>
      </w:r>
      <w:r>
        <w:rPr>
          <w:rFonts w:ascii="宋体" w:hAnsi="宋体" w:cs="宋体"/>
          <w:color w:val="auto"/>
          <w:spacing w:val="-5"/>
          <w:sz w:val="22"/>
          <w:szCs w:val="22"/>
          <w:highlight w:val="none"/>
        </w:rPr>
        <w:t>。</w:t>
      </w:r>
    </w:p>
    <w:p>
      <w:pPr>
        <w:spacing w:before="206" w:line="303" w:lineRule="auto"/>
        <w:ind w:firstLine="455"/>
        <w:rPr>
          <w:rFonts w:ascii="宋体" w:hAnsi="宋体" w:cs="宋体"/>
          <w:color w:val="auto"/>
          <w:spacing w:val="-5"/>
          <w:sz w:val="22"/>
          <w:szCs w:val="22"/>
          <w:highlight w:val="none"/>
        </w:rPr>
      </w:pPr>
      <w:r>
        <w:rPr>
          <w:rFonts w:ascii="宋体" w:hAnsi="宋体" w:cs="宋体"/>
          <w:color w:val="auto"/>
          <w:spacing w:val="-5"/>
          <w:sz w:val="22"/>
          <w:szCs w:val="22"/>
          <w:highlight w:val="none"/>
        </w:rPr>
        <w:t>14.以上事项如有虚假或隐瞒，我方愿意承担一切不利后果，并不再寻求任何旨在减轻或免除法律责任。</w:t>
      </w:r>
    </w:p>
    <w:p>
      <w:pPr>
        <w:spacing w:before="47" w:line="451" w:lineRule="exact"/>
        <w:ind w:firstLine="361"/>
        <w:rPr>
          <w:rFonts w:ascii="宋体" w:hAnsi="宋体" w:cs="宋体"/>
          <w:color w:val="auto"/>
          <w:sz w:val="22"/>
          <w:szCs w:val="22"/>
          <w:highlight w:val="none"/>
        </w:rPr>
      </w:pPr>
      <w:r>
        <w:rPr>
          <w:rFonts w:ascii="宋体" w:hAnsi="宋体" w:cs="宋体"/>
          <w:color w:val="auto"/>
          <w:spacing w:val="-3"/>
          <w:position w:val="17"/>
          <w:sz w:val="22"/>
          <w:szCs w:val="22"/>
          <w:highlight w:val="none"/>
        </w:rPr>
        <w:t>与本投标有关的一切往来通讯请寄：</w:t>
      </w:r>
    </w:p>
    <w:p>
      <w:pPr>
        <w:spacing w:line="204" w:lineRule="auto"/>
        <w:ind w:firstLine="222"/>
        <w:rPr>
          <w:rFonts w:ascii="Arial" w:hAnsi="Arial" w:eastAsia="Arial" w:cs="Arial"/>
          <w:color w:val="auto"/>
          <w:sz w:val="22"/>
          <w:szCs w:val="22"/>
          <w:highlight w:val="none"/>
        </w:rPr>
      </w:pPr>
      <w:r>
        <w:rPr>
          <w:rFonts w:ascii="宋体" w:hAnsi="宋体" w:cs="宋体"/>
          <w:color w:val="auto"/>
          <w:spacing w:val="-9"/>
          <w:sz w:val="22"/>
          <w:szCs w:val="22"/>
          <w:highlight w:val="none"/>
        </w:rPr>
        <w:t>地址：</w:t>
      </w:r>
      <w:r>
        <w:rPr>
          <w:rFonts w:ascii="Arial" w:hAnsi="Arial" w:eastAsia="Arial" w:cs="Arial"/>
          <w:color w:val="auto"/>
          <w:spacing w:val="-9"/>
          <w:sz w:val="22"/>
          <w:szCs w:val="22"/>
          <w:highlight w:val="none"/>
        </w:rPr>
        <w:t>________________</w:t>
      </w:r>
    </w:p>
    <w:p>
      <w:pPr>
        <w:spacing w:before="206" w:line="198" w:lineRule="auto"/>
        <w:ind w:firstLine="248"/>
        <w:rPr>
          <w:rFonts w:ascii="Arial" w:hAnsi="Arial" w:cs="Arial" w:eastAsiaTheme="minorEastAsia"/>
          <w:color w:val="auto"/>
          <w:sz w:val="22"/>
          <w:szCs w:val="22"/>
          <w:highlight w:val="none"/>
        </w:rPr>
      </w:pPr>
      <w:r>
        <w:rPr>
          <w:rFonts w:ascii="宋体" w:hAnsi="宋体" w:cs="宋体"/>
          <w:color w:val="auto"/>
          <w:spacing w:val="-10"/>
          <w:sz w:val="22"/>
          <w:szCs w:val="22"/>
          <w:highlight w:val="none"/>
        </w:rPr>
        <w:t>电话：</w:t>
      </w:r>
      <w:r>
        <w:rPr>
          <w:rFonts w:ascii="Arial" w:hAnsi="Arial" w:eastAsia="Arial" w:cs="Arial"/>
          <w:color w:val="auto"/>
          <w:spacing w:val="-10"/>
          <w:sz w:val="22"/>
          <w:szCs w:val="22"/>
          <w:highlight w:val="none"/>
        </w:rPr>
        <w:t>________________</w:t>
      </w:r>
    </w:p>
    <w:p>
      <w:pPr>
        <w:spacing w:before="206" w:line="198" w:lineRule="auto"/>
        <w:ind w:firstLine="248"/>
        <w:rPr>
          <w:rFonts w:ascii="Arial" w:hAnsi="Arial" w:cs="Arial" w:eastAsiaTheme="minorEastAsia"/>
          <w:color w:val="auto"/>
          <w:sz w:val="22"/>
          <w:szCs w:val="22"/>
          <w:highlight w:val="none"/>
        </w:rPr>
      </w:pPr>
      <w:r>
        <w:rPr>
          <w:rFonts w:ascii="宋体" w:hAnsi="宋体" w:cs="宋体"/>
          <w:color w:val="auto"/>
          <w:spacing w:val="-6"/>
          <w:w w:val="98"/>
          <w:sz w:val="22"/>
          <w:szCs w:val="22"/>
          <w:highlight w:val="none"/>
        </w:rPr>
        <w:t xml:space="preserve">邮编： </w:t>
      </w:r>
      <w:r>
        <w:rPr>
          <w:rFonts w:ascii="Arial" w:hAnsi="Arial" w:eastAsia="Arial" w:cs="Arial"/>
          <w:color w:val="auto"/>
          <w:spacing w:val="-10"/>
          <w:sz w:val="22"/>
          <w:szCs w:val="22"/>
          <w:highlight w:val="none"/>
        </w:rPr>
        <w:t>________________</w:t>
      </w:r>
    </w:p>
    <w:p>
      <w:pPr>
        <w:spacing w:before="206" w:line="198" w:lineRule="auto"/>
        <w:ind w:firstLine="248"/>
        <w:rPr>
          <w:rFonts w:ascii="Arial" w:hAnsi="Arial" w:cs="Arial" w:eastAsiaTheme="minorEastAsia"/>
          <w:color w:val="auto"/>
          <w:sz w:val="22"/>
          <w:szCs w:val="22"/>
          <w:highlight w:val="none"/>
        </w:rPr>
      </w:pPr>
      <w:r>
        <w:rPr>
          <w:rFonts w:ascii="宋体" w:hAnsi="宋体" w:cs="宋体"/>
          <w:color w:val="auto"/>
          <w:spacing w:val="-6"/>
          <w:w w:val="98"/>
          <w:sz w:val="22"/>
          <w:szCs w:val="22"/>
          <w:highlight w:val="none"/>
        </w:rPr>
        <w:t xml:space="preserve">传真： </w:t>
      </w:r>
      <w:r>
        <w:rPr>
          <w:rFonts w:ascii="Arial" w:hAnsi="Arial" w:eastAsia="Arial" w:cs="Arial"/>
          <w:color w:val="auto"/>
          <w:spacing w:val="-10"/>
          <w:sz w:val="22"/>
          <w:szCs w:val="22"/>
          <w:highlight w:val="none"/>
        </w:rPr>
        <w:t>________________</w:t>
      </w:r>
    </w:p>
    <w:p>
      <w:pPr>
        <w:spacing w:before="206" w:line="198" w:lineRule="auto"/>
        <w:ind w:firstLine="248"/>
        <w:rPr>
          <w:rFonts w:ascii="宋体" w:hAnsi="宋体" w:cs="宋体"/>
          <w:color w:val="auto"/>
          <w:spacing w:val="-6"/>
          <w:w w:val="98"/>
          <w:sz w:val="22"/>
          <w:szCs w:val="22"/>
          <w:highlight w:val="none"/>
        </w:rPr>
      </w:pPr>
    </w:p>
    <w:p>
      <w:pPr>
        <w:spacing w:before="2" w:line="360" w:lineRule="auto"/>
        <w:ind w:left="14" w:firstLine="441"/>
        <w:rPr>
          <w:rFonts w:ascii="Arial" w:hAnsi="Arial" w:cs="Arial"/>
          <w:color w:val="auto"/>
          <w:sz w:val="24"/>
          <w:highlight w:val="none"/>
        </w:rPr>
      </w:pPr>
      <w:r>
        <w:rPr>
          <w:rFonts w:hint="eastAsia" w:ascii="宋体" w:hAnsi="宋体" w:cs="宋体"/>
          <w:color w:val="auto"/>
          <w:spacing w:val="-6"/>
          <w:w w:val="98"/>
          <w:sz w:val="22"/>
          <w:szCs w:val="22"/>
          <w:highlight w:val="none"/>
        </w:rPr>
        <w:t>注： ▲必须按照本声明书要</w:t>
      </w:r>
      <w:r>
        <w:rPr>
          <w:rFonts w:hint="eastAsia" w:ascii="Arial" w:hAnsi="Arial" w:cs="Arial"/>
          <w:color w:val="auto"/>
          <w:sz w:val="24"/>
          <w:highlight w:val="none"/>
        </w:rPr>
        <w:t>投标人(盖单位章)：</w:t>
      </w:r>
    </w:p>
    <w:p>
      <w:pPr>
        <w:spacing w:line="450" w:lineRule="atLeast"/>
        <w:ind w:firstLine="240" w:firstLineChars="100"/>
        <w:jc w:val="left"/>
        <w:rPr>
          <w:rFonts w:ascii="Arial" w:hAnsi="Arial" w:cs="Arial"/>
          <w:color w:val="auto"/>
          <w:sz w:val="24"/>
          <w:highlight w:val="none"/>
        </w:rPr>
      </w:pPr>
    </w:p>
    <w:p>
      <w:pPr>
        <w:spacing w:line="450" w:lineRule="atLeast"/>
        <w:ind w:firstLine="2520" w:firstLineChars="1050"/>
        <w:jc w:val="left"/>
        <w:rPr>
          <w:rFonts w:ascii="宋体" w:hAnsi="宋体" w:cs="宋体"/>
          <w:color w:val="auto"/>
          <w:sz w:val="23"/>
          <w:szCs w:val="23"/>
          <w:highlight w:val="none"/>
        </w:rPr>
      </w:pPr>
      <w:r>
        <w:rPr>
          <w:rFonts w:hint="eastAsia" w:ascii="Arial" w:hAnsi="Arial" w:cs="Arial"/>
          <w:color w:val="auto"/>
          <w:sz w:val="24"/>
          <w:highlight w:val="none"/>
        </w:rPr>
        <w:t>法定代表人或全权代表(盖章或签字)：</w:t>
      </w:r>
    </w:p>
    <w:p>
      <w:pPr>
        <w:spacing w:line="450" w:lineRule="atLeast"/>
        <w:jc w:val="center"/>
        <w:rPr>
          <w:rFonts w:ascii="Arial" w:hAnsi="Arial" w:cs="Arial"/>
          <w:color w:val="auto"/>
          <w:sz w:val="24"/>
          <w:highlight w:val="none"/>
        </w:rPr>
      </w:pPr>
    </w:p>
    <w:p>
      <w:pPr>
        <w:spacing w:line="450" w:lineRule="atLeast"/>
        <w:jc w:val="center"/>
        <w:rPr>
          <w:rFonts w:ascii="Arial" w:hAnsi="Arial" w:cs="Arial"/>
          <w:color w:val="auto"/>
          <w:sz w:val="24"/>
          <w:highlight w:val="none"/>
        </w:rPr>
      </w:pPr>
      <w:r>
        <w:rPr>
          <w:rFonts w:hint="eastAsia" w:ascii="Arial" w:hAnsi="Arial" w:cs="Arial"/>
          <w:color w:val="auto"/>
          <w:sz w:val="24"/>
          <w:highlight w:val="none"/>
        </w:rPr>
        <w:t>日期：</w:t>
      </w:r>
    </w:p>
    <w:p>
      <w:pPr>
        <w:spacing w:line="450" w:lineRule="atLeast"/>
        <w:jc w:val="center"/>
        <w:rPr>
          <w:rFonts w:ascii="Arial" w:hAnsi="Arial" w:cs="Arial"/>
          <w:color w:val="auto"/>
          <w:sz w:val="24"/>
          <w:highlight w:val="none"/>
        </w:rPr>
      </w:pPr>
    </w:p>
    <w:p>
      <w:pPr>
        <w:rPr>
          <w:rFonts w:ascii="仿宋_GB2312" w:eastAsia="仿宋_GB2312"/>
          <w:b/>
          <w:bCs/>
          <w:color w:val="auto"/>
          <w:sz w:val="24"/>
          <w:highlight w:val="none"/>
        </w:rPr>
      </w:pPr>
      <w:r>
        <w:rPr>
          <w:rFonts w:ascii="仿宋_GB2312" w:eastAsia="仿宋_GB2312"/>
          <w:b/>
          <w:bCs/>
          <w:color w:val="auto"/>
          <w:sz w:val="24"/>
          <w:highlight w:val="none"/>
        </w:rPr>
        <w:t>注：</w:t>
      </w:r>
      <w:r>
        <w:rPr>
          <w:rFonts w:hint="eastAsia" w:ascii="仿宋_GB2312" w:eastAsia="仿宋_GB2312"/>
          <w:b/>
          <w:bCs/>
          <w:color w:val="auto"/>
          <w:sz w:val="24"/>
          <w:highlight w:val="none"/>
        </w:rPr>
        <w:t>▲必须按照本声明书要求填报。</w:t>
      </w:r>
      <w:r>
        <w:rPr>
          <w:rFonts w:ascii="仿宋_GB2312" w:eastAsia="仿宋_GB2312"/>
          <w:b/>
          <w:bCs/>
          <w:color w:val="auto"/>
          <w:sz w:val="24"/>
          <w:highlight w:val="none"/>
        </w:rPr>
        <w:br w:type="page"/>
      </w:r>
    </w:p>
    <w:p>
      <w:pPr>
        <w:rPr>
          <w:rFonts w:hAnsi="宋体"/>
          <w:b/>
          <w:color w:val="auto"/>
          <w:sz w:val="24"/>
          <w:highlight w:val="none"/>
        </w:rPr>
      </w:pPr>
      <w:r>
        <w:rPr>
          <w:rFonts w:hint="eastAsia" w:hAnsi="宋体"/>
          <w:b/>
          <w:color w:val="auto"/>
          <w:sz w:val="24"/>
          <w:highlight w:val="none"/>
        </w:rPr>
        <w:t>附件二：</w:t>
      </w:r>
    </w:p>
    <w:p>
      <w:pPr>
        <w:spacing w:line="360" w:lineRule="auto"/>
        <w:ind w:firstLine="211" w:firstLineChars="100"/>
        <w:jc w:val="center"/>
        <w:rPr>
          <w:color w:val="auto"/>
          <w:szCs w:val="36"/>
          <w:highlight w:val="none"/>
        </w:rPr>
      </w:pPr>
      <w:r>
        <w:rPr>
          <w:b/>
          <w:color w:val="auto"/>
          <w:szCs w:val="36"/>
          <w:highlight w:val="none"/>
        </w:rPr>
        <w:t>授权</w:t>
      </w:r>
      <w:r>
        <w:rPr>
          <w:rFonts w:hint="eastAsia"/>
          <w:b/>
          <w:color w:val="auto"/>
          <w:szCs w:val="36"/>
          <w:highlight w:val="none"/>
        </w:rPr>
        <w:t>委托</w:t>
      </w:r>
      <w:r>
        <w:rPr>
          <w:b/>
          <w:color w:val="auto"/>
          <w:szCs w:val="36"/>
          <w:highlight w:val="none"/>
        </w:rPr>
        <w:t>书</w:t>
      </w:r>
    </w:p>
    <w:p>
      <w:pPr>
        <w:pStyle w:val="14"/>
        <w:spacing w:line="500" w:lineRule="exact"/>
        <w:rPr>
          <w:rFonts w:hAnsi="宋体"/>
          <w:b/>
          <w:color w:val="auto"/>
          <w:sz w:val="24"/>
          <w:highlight w:val="none"/>
        </w:rPr>
      </w:pPr>
      <w:r>
        <w:rPr>
          <w:rFonts w:hint="eastAsia" w:hAnsi="宋体"/>
          <w:b/>
          <w:color w:val="auto"/>
          <w:sz w:val="24"/>
          <w:highlight w:val="none"/>
          <w:u w:val="single"/>
        </w:rPr>
        <w:t>三门县教育局</w:t>
      </w:r>
      <w:r>
        <w:rPr>
          <w:rFonts w:hAnsi="宋体"/>
          <w:b/>
          <w:color w:val="auto"/>
          <w:sz w:val="24"/>
          <w:highlight w:val="none"/>
        </w:rPr>
        <w:t>：</w:t>
      </w:r>
    </w:p>
    <w:p>
      <w:pPr>
        <w:pStyle w:val="14"/>
        <w:spacing w:line="500" w:lineRule="exact"/>
        <w:ind w:left="240" w:hanging="240" w:hangingChars="1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，参加贵单位组织的项目的采购活动，并代表我方全权办理针对上述项目的投标、开标、评标、签约等具体事务和签署相关文件。</w:t>
      </w:r>
      <w:r>
        <w:rPr>
          <w:rFonts w:hint="eastAsia" w:hAnsi="宋体"/>
          <w:color w:val="auto"/>
          <w:sz w:val="24"/>
          <w:highlight w:val="none"/>
        </w:rPr>
        <w:t>我方对全权代表的签名事项负全部责任。</w:t>
      </w:r>
    </w:p>
    <w:p>
      <w:pPr>
        <w:pStyle w:val="14"/>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4"/>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pStyle w:val="14"/>
        <w:spacing w:line="360" w:lineRule="auto"/>
        <w:rPr>
          <w:rFonts w:hAnsi="宋体"/>
          <w:color w:val="auto"/>
          <w:sz w:val="24"/>
          <w:highlight w:val="none"/>
        </w:rPr>
      </w:pPr>
    </w:p>
    <w:p>
      <w:pPr>
        <w:snapToGrid w:val="0"/>
        <w:spacing w:before="156" w:beforeLines="50" w:after="50" w:line="580" w:lineRule="exact"/>
        <w:rPr>
          <w:rFonts w:ascii="宋体" w:hAnsi="宋体"/>
          <w:color w:val="auto"/>
          <w:sz w:val="24"/>
          <w:szCs w:val="20"/>
          <w:highlight w:val="none"/>
        </w:rPr>
      </w:pPr>
      <w:r>
        <w:rPr>
          <w:rFonts w:hint="eastAsia" w:ascii="宋体" w:hAnsi="宋体"/>
          <w:color w:val="auto"/>
          <w:sz w:val="24"/>
          <w:szCs w:val="20"/>
          <w:highlight w:val="none"/>
        </w:rPr>
        <w:t>全权代表姓名：   职务：</w:t>
      </w:r>
    </w:p>
    <w:p>
      <w:pPr>
        <w:snapToGrid w:val="0"/>
        <w:spacing w:before="156" w:beforeLines="50" w:after="50" w:line="580" w:lineRule="exact"/>
        <w:rPr>
          <w:rFonts w:ascii="宋体" w:hAnsi="宋体"/>
          <w:color w:val="auto"/>
          <w:sz w:val="24"/>
          <w:szCs w:val="20"/>
          <w:highlight w:val="none"/>
          <w:u w:val="single"/>
        </w:rPr>
      </w:pPr>
      <w:r>
        <w:rPr>
          <w:rFonts w:hint="eastAsia" w:ascii="宋体" w:hAnsi="宋体"/>
          <w:color w:val="auto"/>
          <w:sz w:val="24"/>
          <w:szCs w:val="20"/>
          <w:highlight w:val="none"/>
        </w:rPr>
        <w:t>全权代表身份证号码：</w:t>
      </w:r>
    </w:p>
    <w:p>
      <w:pPr>
        <w:snapToGrid w:val="0"/>
        <w:spacing w:before="156" w:beforeLines="50" w:after="50" w:line="580" w:lineRule="exact"/>
        <w:rPr>
          <w:rFonts w:ascii="宋体" w:hAnsi="宋体"/>
          <w:color w:val="auto"/>
          <w:sz w:val="24"/>
          <w:szCs w:val="20"/>
          <w:highlight w:val="none"/>
          <w:u w:val="single"/>
        </w:rPr>
      </w:pPr>
      <w:r>
        <w:rPr>
          <w:rFonts w:hint="eastAsia" w:ascii="宋体" w:hAnsi="宋体"/>
          <w:color w:val="auto"/>
          <w:sz w:val="24"/>
          <w:szCs w:val="20"/>
          <w:highlight w:val="none"/>
        </w:rPr>
        <w:t xml:space="preserve">附上：全权代表身份证复印件                                              </w:t>
      </w:r>
    </w:p>
    <w:p>
      <w:pPr>
        <w:snapToGrid w:val="0"/>
        <w:spacing w:before="156" w:beforeLines="50" w:after="50" w:line="580" w:lineRule="exact"/>
        <w:rPr>
          <w:rFonts w:ascii="宋体" w:hAnsi="宋体"/>
          <w:color w:val="auto"/>
          <w:sz w:val="24"/>
          <w:szCs w:val="20"/>
          <w:highlight w:val="none"/>
        </w:rPr>
      </w:pPr>
    </w:p>
    <w:p>
      <w:pPr>
        <w:snapToGrid w:val="0"/>
        <w:spacing w:before="156" w:beforeLines="50" w:after="50" w:line="580" w:lineRule="exact"/>
        <w:rPr>
          <w:rFonts w:ascii="宋体" w:hAnsi="宋体"/>
          <w:b/>
          <w:bCs/>
          <w:color w:val="auto"/>
          <w:sz w:val="30"/>
          <w:szCs w:val="30"/>
          <w:highlight w:val="none"/>
        </w:rPr>
      </w:pPr>
      <w:r>
        <w:rPr>
          <w:rFonts w:hint="eastAsia" w:ascii="宋体" w:hAnsi="宋体"/>
          <w:b/>
          <w:bCs/>
          <w:color w:val="auto"/>
          <w:sz w:val="24"/>
          <w:szCs w:val="20"/>
          <w:highlight w:val="none"/>
        </w:rPr>
        <w:t>法定代表人或营业执照中单位负责人（签名或盖章）：</w:t>
      </w:r>
    </w:p>
    <w:p>
      <w:pPr>
        <w:snapToGrid w:val="0"/>
        <w:spacing w:before="156" w:beforeLines="50" w:after="50" w:line="460" w:lineRule="exact"/>
        <w:ind w:firstLine="6150" w:firstLineChars="2050"/>
        <w:rPr>
          <w:rFonts w:ascii="仿宋" w:hAnsi="仿宋" w:eastAsia="仿宋" w:cs="仿宋"/>
          <w:color w:val="auto"/>
          <w:sz w:val="30"/>
          <w:szCs w:val="30"/>
          <w:highlight w:val="none"/>
        </w:rPr>
      </w:pPr>
    </w:p>
    <w:p>
      <w:pPr>
        <w:pStyle w:val="14"/>
        <w:spacing w:line="360" w:lineRule="auto"/>
        <w:rPr>
          <w:rFonts w:hAnsi="宋体"/>
          <w:color w:val="auto"/>
          <w:sz w:val="30"/>
          <w:szCs w:val="30"/>
          <w:highlight w:val="none"/>
        </w:rPr>
      </w:pPr>
    </w:p>
    <w:p>
      <w:pPr>
        <w:pStyle w:val="14"/>
        <w:spacing w:line="360" w:lineRule="auto"/>
        <w:rPr>
          <w:rFonts w:hAnsi="宋体"/>
          <w:b/>
          <w:color w:val="auto"/>
          <w:sz w:val="24"/>
          <w:highlight w:val="none"/>
        </w:rPr>
      </w:pPr>
      <w:r>
        <w:rPr>
          <w:rFonts w:hint="eastAsia" w:hAnsi="宋体"/>
          <w:b/>
          <w:color w:val="auto"/>
          <w:sz w:val="24"/>
          <w:highlight w:val="none"/>
        </w:rPr>
        <w:t>投标人（盖单位章）：                日 期：</w:t>
      </w:r>
      <w:r>
        <w:rPr>
          <w:rFonts w:hAnsi="宋体"/>
          <w:b/>
          <w:color w:val="auto"/>
          <w:sz w:val="24"/>
          <w:highlight w:val="none"/>
        </w:rPr>
        <w:br w:type="page"/>
      </w:r>
    </w:p>
    <w:p>
      <w:pPr>
        <w:rPr>
          <w:rFonts w:hAnsi="宋体"/>
          <w:b/>
          <w:color w:val="auto"/>
          <w:sz w:val="24"/>
          <w:highlight w:val="none"/>
        </w:rPr>
      </w:pPr>
      <w:bookmarkStart w:id="12" w:name="_Toc93048460"/>
      <w:r>
        <w:rPr>
          <w:rFonts w:hint="eastAsia" w:hAnsi="宋体"/>
          <w:b/>
          <w:color w:val="auto"/>
          <w:sz w:val="24"/>
          <w:highlight w:val="none"/>
        </w:rPr>
        <w:t>附件</w:t>
      </w:r>
      <w:bookmarkEnd w:id="12"/>
      <w:r>
        <w:rPr>
          <w:rFonts w:hint="eastAsia" w:hAnsi="宋体"/>
          <w:b/>
          <w:color w:val="auto"/>
          <w:sz w:val="24"/>
          <w:highlight w:val="none"/>
        </w:rPr>
        <w:t>三：</w:t>
      </w:r>
    </w:p>
    <w:p>
      <w:pPr>
        <w:spacing w:line="360" w:lineRule="auto"/>
        <w:jc w:val="center"/>
        <w:rPr>
          <w:rFonts w:ascii="宋体" w:hAnsi="宋体" w:cs="Courier New"/>
          <w:b/>
          <w:color w:val="auto"/>
          <w:sz w:val="28"/>
          <w:szCs w:val="28"/>
          <w:highlight w:val="none"/>
        </w:rPr>
      </w:pPr>
    </w:p>
    <w:p>
      <w:pPr>
        <w:pStyle w:val="9"/>
        <w:ind w:left="630" w:leftChars="300" w:right="630" w:rightChars="300" w:firstLine="0"/>
        <w:jc w:val="center"/>
        <w:rPr>
          <w:rFonts w:ascii="宋体" w:hAnsi="宋体" w:cs="宋体"/>
          <w:b/>
          <w:color w:val="auto"/>
          <w:sz w:val="24"/>
          <w:szCs w:val="24"/>
          <w:highlight w:val="none"/>
        </w:rPr>
      </w:pPr>
    </w:p>
    <w:p>
      <w:pPr>
        <w:adjustRightInd w:val="0"/>
        <w:snapToGrid w:val="0"/>
        <w:spacing w:line="288" w:lineRule="auto"/>
        <w:jc w:val="center"/>
        <w:outlineLvl w:val="2"/>
        <w:rPr>
          <w:b/>
          <w:bCs/>
          <w:color w:val="auto"/>
          <w:sz w:val="28"/>
          <w:szCs w:val="28"/>
          <w:highlight w:val="none"/>
        </w:rPr>
      </w:pPr>
      <w:r>
        <w:rPr>
          <w:rFonts w:hint="eastAsia"/>
          <w:b/>
          <w:bCs/>
          <w:color w:val="auto"/>
          <w:sz w:val="28"/>
          <w:szCs w:val="28"/>
          <w:highlight w:val="none"/>
        </w:rPr>
        <w:t>符合参加招标活动应当具备的一般条件的承诺函</w:t>
      </w:r>
    </w:p>
    <w:p>
      <w:pPr>
        <w:adjustRightInd w:val="0"/>
        <w:snapToGrid w:val="0"/>
        <w:spacing w:line="288" w:lineRule="auto"/>
        <w:rPr>
          <w:color w:val="auto"/>
          <w:szCs w:val="21"/>
          <w:highlight w:val="none"/>
          <w:shd w:val="clear" w:color="auto" w:fill="FFFFFF"/>
        </w:rPr>
      </w:pPr>
    </w:p>
    <w:p>
      <w:pPr>
        <w:snapToGrid w:val="0"/>
        <w:spacing w:before="156" w:beforeLines="50" w:after="50" w:line="312" w:lineRule="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招标人名称</w:t>
      </w:r>
      <w:r>
        <w:rPr>
          <w:rFonts w:hint="eastAsia" w:ascii="宋体" w:hAnsi="宋体" w:cs="宋体"/>
          <w:color w:val="auto"/>
          <w:kern w:val="0"/>
          <w:sz w:val="24"/>
          <w:highlight w:val="none"/>
        </w:rPr>
        <w:t>）：</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项目的招标活动并承诺如下：</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一、我方满足下列条款规定：</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（五）参加本项目招标活动前三年内，在经营活动中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二、未被信用中国（www.creditchina.gov.cn)列入失信被执行人名单。</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三、单位负责人为同一人或者存在直接控股、管理关系的不同投标人参加同一合同项下的政府招标活动的；</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pPr>
        <w:adjustRightInd w:val="0"/>
        <w:snapToGrid w:val="0"/>
        <w:spacing w:line="288" w:lineRule="auto"/>
        <w:rPr>
          <w:rFonts w:ascii="宋体" w:hAnsi="宋体" w:cs="宋体"/>
          <w:color w:val="auto"/>
          <w:sz w:val="24"/>
          <w:highlight w:val="none"/>
        </w:rPr>
      </w:pP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pStyle w:val="4"/>
        <w:tabs>
          <w:tab w:val="left" w:pos="8280"/>
        </w:tabs>
        <w:adjustRightInd w:val="0"/>
        <w:snapToGrid w:val="0"/>
        <w:spacing w:line="480"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名称（盖章）：______________________________</w:t>
      </w:r>
    </w:p>
    <w:p>
      <w:pPr>
        <w:pStyle w:val="4"/>
        <w:tabs>
          <w:tab w:val="left" w:pos="8280"/>
        </w:tabs>
        <w:adjustRightInd w:val="0"/>
        <w:snapToGrid w:val="0"/>
        <w:spacing w:line="48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日期：</w:t>
      </w:r>
      <w:r>
        <w:rPr>
          <w:rFonts w:asciiTheme="minorEastAsia" w:hAnsiTheme="minorEastAsia" w:eastAsiaTheme="minorEastAsia"/>
          <w:color w:val="auto"/>
          <w:sz w:val="24"/>
          <w:szCs w:val="24"/>
          <w:highlight w:val="none"/>
        </w:rPr>
        <w:t>________</w:t>
      </w:r>
      <w:r>
        <w:rPr>
          <w:rFonts w:hint="eastAsia"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日</w:t>
      </w:r>
    </w:p>
    <w:p>
      <w:pPr>
        <w:spacing w:line="360" w:lineRule="auto"/>
        <w:jc w:val="left"/>
        <w:rPr>
          <w:rFonts w:hAnsi="宋体"/>
          <w:b/>
          <w:color w:val="auto"/>
          <w:sz w:val="24"/>
          <w:highlight w:val="none"/>
        </w:rPr>
      </w:pPr>
      <w:r>
        <w:rPr>
          <w:rFonts w:hAnsi="宋体"/>
          <w:b/>
          <w:color w:val="auto"/>
          <w:sz w:val="24"/>
          <w:highlight w:val="none"/>
        </w:rPr>
        <w:br w:type="page"/>
      </w:r>
      <w:r>
        <w:rPr>
          <w:rFonts w:hint="eastAsia" w:hAnsi="宋体"/>
          <w:b/>
          <w:color w:val="auto"/>
          <w:sz w:val="24"/>
          <w:highlight w:val="none"/>
        </w:rPr>
        <w:t>附件六：</w:t>
      </w:r>
    </w:p>
    <w:p>
      <w:pPr>
        <w:spacing w:line="360" w:lineRule="auto"/>
        <w:jc w:val="center"/>
        <w:rPr>
          <w:rFonts w:ascii="宋体" w:hAnsi="宋体"/>
          <w:b/>
          <w:color w:val="auto"/>
          <w:szCs w:val="21"/>
          <w:highlight w:val="none"/>
        </w:rPr>
      </w:pPr>
      <w:r>
        <w:rPr>
          <w:rFonts w:hint="eastAsia" w:ascii="宋体" w:hAnsi="宋体"/>
          <w:b/>
          <w:color w:val="auto"/>
          <w:szCs w:val="21"/>
          <w:highlight w:val="none"/>
        </w:rPr>
        <w:t>评标索引：自评表</w:t>
      </w:r>
    </w:p>
    <w:tbl>
      <w:tblPr>
        <w:tblStyle w:val="23"/>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5954"/>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696" w:type="dxa"/>
            <w:gridSpan w:val="2"/>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评标因素</w:t>
            </w:r>
          </w:p>
        </w:tc>
        <w:tc>
          <w:tcPr>
            <w:tcW w:w="5954"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评分标准</w:t>
            </w:r>
          </w:p>
        </w:tc>
        <w:tc>
          <w:tcPr>
            <w:tcW w:w="709"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分值</w:t>
            </w:r>
          </w:p>
        </w:tc>
        <w:tc>
          <w:tcPr>
            <w:tcW w:w="709" w:type="dxa"/>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对应页码</w:t>
            </w:r>
          </w:p>
        </w:tc>
        <w:tc>
          <w:tcPr>
            <w:tcW w:w="709" w:type="dxa"/>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restart"/>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商务分</w:t>
            </w:r>
          </w:p>
        </w:tc>
        <w:tc>
          <w:tcPr>
            <w:tcW w:w="850" w:type="dxa"/>
            <w:vAlign w:val="center"/>
          </w:tcPr>
          <w:p>
            <w:pPr>
              <w:adjustRightInd w:val="0"/>
              <w:snapToGrid w:val="0"/>
              <w:spacing w:before="75"/>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公司信誉</w:t>
            </w:r>
          </w:p>
        </w:tc>
        <w:tc>
          <w:tcPr>
            <w:tcW w:w="5954" w:type="dxa"/>
            <w:vAlign w:val="center"/>
          </w:tcPr>
          <w:p>
            <w:pPr>
              <w:adjustRightInd w:val="0"/>
              <w:snapToGrid w:val="0"/>
              <w:spacing w:before="34"/>
              <w:ind w:right="14"/>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1、根据《</w:t>
            </w:r>
            <w:r>
              <w:rPr>
                <w:rFonts w:hint="eastAsia" w:cs="宋体" w:asciiTheme="minorEastAsia" w:hAnsiTheme="minorEastAsia" w:eastAsiaTheme="minorEastAsia"/>
                <w:color w:val="auto"/>
                <w:szCs w:val="21"/>
                <w:highlight w:val="none"/>
              </w:rPr>
              <w:t>中国保险行业协会关于202</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年度保险公司法人机构经营评价结果的公告</w:t>
            </w:r>
            <w:r>
              <w:rPr>
                <w:rFonts w:cs="宋体" w:asciiTheme="minorEastAsia" w:hAnsiTheme="minorEastAsia" w:eastAsiaTheme="minorEastAsia"/>
                <w:color w:val="auto"/>
                <w:szCs w:val="21"/>
                <w:highlight w:val="none"/>
              </w:rPr>
              <w:t>》对投标人总公司服务评价等级进行打分。A级及以上得</w:t>
            </w:r>
            <w:r>
              <w:rPr>
                <w:rFonts w:hint="eastAsia" w:cs="宋体" w:asciiTheme="minorEastAsia" w:hAnsiTheme="minorEastAsia" w:eastAsiaTheme="minorEastAsia"/>
                <w:color w:val="auto"/>
                <w:szCs w:val="21"/>
                <w:highlight w:val="none"/>
                <w:lang w:val="en-US" w:eastAsia="zh-CN"/>
              </w:rPr>
              <w:t>3</w:t>
            </w:r>
            <w:r>
              <w:rPr>
                <w:rFonts w:cs="宋体" w:asciiTheme="minorEastAsia" w:hAnsiTheme="minorEastAsia" w:eastAsiaTheme="minorEastAsia"/>
                <w:color w:val="auto"/>
                <w:szCs w:val="21"/>
                <w:highlight w:val="none"/>
              </w:rPr>
              <w:t>分，B级得</w:t>
            </w:r>
            <w:r>
              <w:rPr>
                <w:rFonts w:hint="eastAsia" w:cs="宋体" w:asciiTheme="minorEastAsia" w:hAnsiTheme="minorEastAsia" w:eastAsiaTheme="minorEastAsia"/>
                <w:color w:val="auto"/>
                <w:szCs w:val="21"/>
                <w:highlight w:val="none"/>
                <w:lang w:val="en-US" w:eastAsia="zh-CN"/>
              </w:rPr>
              <w:t>2</w:t>
            </w:r>
            <w:r>
              <w:rPr>
                <w:rFonts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C级得1分。</w:t>
            </w:r>
          </w:p>
          <w:p>
            <w:pPr>
              <w:adjustRightInd w:val="0"/>
              <w:snapToGrid w:val="0"/>
              <w:spacing w:before="34"/>
              <w:ind w:right="14" w:rightChars="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2、根据中国银保监会网站公布的</w:t>
            </w:r>
            <w:r>
              <w:rPr>
                <w:rFonts w:hint="eastAsia" w:cs="宋体" w:asciiTheme="minorEastAsia" w:hAnsiTheme="minorEastAsia" w:eastAsiaTheme="minorEastAsia"/>
                <w:color w:val="auto"/>
                <w:szCs w:val="21"/>
                <w:highlight w:val="none"/>
              </w:rPr>
              <w:t xml:space="preserve"> 《中国银保监会消费者权益保护局关于2023年</w:t>
            </w:r>
            <w:r>
              <w:rPr>
                <w:rFonts w:hint="eastAsia" w:cs="宋体" w:asciiTheme="minorEastAsia" w:hAnsiTheme="minorEastAsia" w:eastAsiaTheme="minorEastAsia"/>
                <w:color w:val="auto"/>
                <w:szCs w:val="21"/>
                <w:highlight w:val="none"/>
                <w:lang w:eastAsia="zh-CN"/>
              </w:rPr>
              <w:t>第一季度</w:t>
            </w:r>
            <w:r>
              <w:rPr>
                <w:rFonts w:hint="eastAsia" w:cs="宋体" w:asciiTheme="minorEastAsia" w:hAnsiTheme="minorEastAsia" w:eastAsiaTheme="minorEastAsia"/>
                <w:color w:val="auto"/>
                <w:szCs w:val="21"/>
                <w:highlight w:val="none"/>
              </w:rPr>
              <w:t>保险消费投诉情况的通报》</w:t>
            </w:r>
            <w:r>
              <w:rPr>
                <w:rFonts w:cs="宋体" w:asciiTheme="minorEastAsia" w:hAnsiTheme="minorEastAsia" w:eastAsiaTheme="minorEastAsia"/>
                <w:color w:val="auto"/>
                <w:szCs w:val="21"/>
                <w:highlight w:val="none"/>
              </w:rPr>
              <w:t>总公司</w:t>
            </w:r>
            <w:r>
              <w:rPr>
                <w:rFonts w:hint="eastAsia" w:cs="宋体" w:asciiTheme="minorEastAsia" w:hAnsiTheme="minorEastAsia" w:eastAsiaTheme="minorEastAsia"/>
                <w:color w:val="auto"/>
                <w:szCs w:val="21"/>
                <w:highlight w:val="none"/>
              </w:rPr>
              <w:t>2023年</w:t>
            </w:r>
            <w:r>
              <w:rPr>
                <w:rFonts w:hint="eastAsia" w:cs="宋体" w:asciiTheme="minorEastAsia" w:hAnsiTheme="minorEastAsia" w:eastAsiaTheme="minorEastAsia"/>
                <w:color w:val="auto"/>
                <w:szCs w:val="21"/>
                <w:highlight w:val="none"/>
                <w:lang w:eastAsia="zh-CN"/>
              </w:rPr>
              <w:t>第一季度</w:t>
            </w:r>
            <w:r>
              <w:rPr>
                <w:rFonts w:cs="宋体" w:asciiTheme="minorEastAsia" w:hAnsiTheme="minorEastAsia" w:eastAsiaTheme="minorEastAsia"/>
                <w:color w:val="auto"/>
                <w:szCs w:val="21"/>
                <w:highlight w:val="none"/>
              </w:rPr>
              <w:t>亿元保费投诉量</w:t>
            </w:r>
            <w:r>
              <w:rPr>
                <w:rFonts w:hint="eastAsia" w:cs="宋体" w:asciiTheme="minorEastAsia" w:hAnsiTheme="minorEastAsia" w:eastAsiaTheme="minorEastAsia"/>
                <w:color w:val="auto"/>
                <w:szCs w:val="21"/>
                <w:highlight w:val="none"/>
                <w:lang w:eastAsia="zh-CN"/>
              </w:rPr>
              <w:t>进行评分</w:t>
            </w:r>
            <w:r>
              <w:rPr>
                <w:rFonts w:hint="eastAsia" w:cs="宋体" w:asciiTheme="minorEastAsia" w:hAnsiTheme="minorEastAsia" w:eastAsiaTheme="minorEastAsia"/>
                <w:color w:val="auto"/>
                <w:szCs w:val="21"/>
                <w:highlight w:val="none"/>
              </w:rPr>
              <w:t>：投诉量在0-</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分，其余不得分。</w:t>
            </w:r>
          </w:p>
        </w:tc>
        <w:tc>
          <w:tcPr>
            <w:tcW w:w="709" w:type="dxa"/>
            <w:vAlign w:val="center"/>
          </w:tcPr>
          <w:p>
            <w:pPr>
              <w:adjustRightInd w:val="0"/>
              <w:snapToGrid w:val="0"/>
              <w:spacing w:before="75"/>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c>
          <w:tcPr>
            <w:tcW w:w="709" w:type="dxa"/>
          </w:tcPr>
          <w:p>
            <w:pPr>
              <w:adjustRightInd w:val="0"/>
              <w:snapToGrid w:val="0"/>
              <w:spacing w:before="75"/>
              <w:jc w:val="center"/>
              <w:rPr>
                <w:rFonts w:cs="宋体" w:asciiTheme="minorEastAsia" w:hAnsiTheme="minorEastAsia" w:eastAsiaTheme="minorEastAsia"/>
                <w:color w:val="auto"/>
                <w:szCs w:val="21"/>
                <w:highlight w:val="none"/>
              </w:rPr>
            </w:pPr>
          </w:p>
        </w:tc>
        <w:tc>
          <w:tcPr>
            <w:tcW w:w="709" w:type="dxa"/>
          </w:tcPr>
          <w:p>
            <w:pPr>
              <w:adjustRightInd w:val="0"/>
              <w:snapToGrid w:val="0"/>
              <w:spacing w:before="75"/>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850" w:type="dxa"/>
            <w:vAlign w:val="center"/>
          </w:tcPr>
          <w:p>
            <w:pPr>
              <w:spacing w:line="360" w:lineRule="auto"/>
              <w:ind w:left="80" w:leftChars="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偿付能力</w:t>
            </w:r>
          </w:p>
        </w:tc>
        <w:tc>
          <w:tcPr>
            <w:tcW w:w="5954"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年度</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偿付能力情况进行打分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提供审计报告。</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偿付能力≥200%，得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 xml:space="preserve"> 分；</w:t>
            </w:r>
          </w:p>
          <w:p>
            <w:pPr>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200%＞</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p>
            <w:pPr>
              <w:jc w:val="left"/>
              <w:rPr>
                <w:rFonts w:hint="eastAsia"/>
                <w:color w:val="auto"/>
                <w:highlight w:val="none"/>
              </w:rPr>
            </w:pPr>
            <w:r>
              <w:rPr>
                <w:rFonts w:hint="eastAsia" w:cs="宋体" w:asciiTheme="minorEastAsia" w:hAnsiTheme="minorEastAsia" w:eastAsiaTheme="minorEastAsia"/>
                <w:color w:val="auto"/>
                <w:szCs w:val="21"/>
                <w:highlight w:val="none"/>
                <w:lang w:eastAsia="zh-CN"/>
              </w:rPr>
              <w:t>综合偿付能力</w:t>
            </w:r>
            <w:r>
              <w:rPr>
                <w:rFonts w:hint="eastAsia" w:cs="宋体" w:asciiTheme="minorEastAsia" w:hAnsiTheme="minorEastAsia" w:eastAsiaTheme="minorEastAsia"/>
                <w:color w:val="auto"/>
                <w:szCs w:val="21"/>
                <w:highlight w:val="none"/>
                <w:lang w:val="en-US" w:eastAsia="zh-CN"/>
              </w:rPr>
              <w:t>&lt;</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w:t>
            </w:r>
          </w:p>
          <w:p>
            <w:pPr>
              <w:adjustRightInd w:val="0"/>
              <w:snapToGrid w:val="0"/>
              <w:spacing w:before="34"/>
              <w:ind w:right="14"/>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2、根据参与本项目投标人总公司2023年四季度监管风险综合评级情况分档评分，AAA级、AA级的得3分，A级、BBB级得2分，BB级、B级得1分，其他不得分。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说明：</w:t>
            </w:r>
            <w:r>
              <w:rPr>
                <w:rFonts w:hint="eastAsia" w:cs="宋体" w:asciiTheme="minorEastAsia" w:hAnsiTheme="minorEastAsia" w:eastAsiaTheme="minorEastAsia"/>
                <w:color w:val="auto"/>
                <w:szCs w:val="21"/>
                <w:highlight w:val="none"/>
              </w:rPr>
              <w:t>提供</w:t>
            </w:r>
            <w:r>
              <w:rPr>
                <w:rFonts w:hint="eastAsia" w:cs="宋体" w:asciiTheme="minorEastAsia" w:hAnsiTheme="minorEastAsia" w:eastAsiaTheme="minorEastAsia"/>
                <w:color w:val="auto"/>
                <w:szCs w:val="21"/>
                <w:highlight w:val="none"/>
                <w:lang w:val="en-US" w:eastAsia="zh-CN"/>
              </w:rPr>
              <w:t>中国保险行业协会</w:t>
            </w:r>
            <w:r>
              <w:rPr>
                <w:rFonts w:hint="eastAsia" w:cs="宋体" w:asciiTheme="minorEastAsia" w:hAnsiTheme="minorEastAsia" w:eastAsiaTheme="minorEastAsia"/>
                <w:color w:val="auto"/>
                <w:szCs w:val="21"/>
                <w:highlight w:val="none"/>
              </w:rPr>
              <w:t>网站</w:t>
            </w:r>
            <w:r>
              <w:rPr>
                <w:rFonts w:hint="eastAsia" w:cs="宋体" w:asciiTheme="minorEastAsia" w:hAnsiTheme="minorEastAsia" w:eastAsiaTheme="minorEastAsia"/>
                <w:color w:val="auto"/>
                <w:szCs w:val="21"/>
                <w:highlight w:val="none"/>
                <w:lang w:eastAsia="zh-CN"/>
              </w:rPr>
              <w:t>公开发布的偿付能力披露信息中监管风险综合评级情况</w:t>
            </w:r>
            <w:r>
              <w:rPr>
                <w:rFonts w:hint="eastAsia" w:cs="宋体" w:asciiTheme="minorEastAsia" w:hAnsiTheme="minorEastAsia" w:eastAsiaTheme="minorEastAsia"/>
                <w:color w:val="auto"/>
                <w:szCs w:val="21"/>
                <w:highlight w:val="none"/>
              </w:rPr>
              <w:t>）。</w:t>
            </w:r>
          </w:p>
        </w:tc>
        <w:tc>
          <w:tcPr>
            <w:tcW w:w="709" w:type="dxa"/>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0~6</w:t>
            </w:r>
          </w:p>
        </w:tc>
        <w:tc>
          <w:tcPr>
            <w:tcW w:w="709" w:type="dxa"/>
          </w:tcPr>
          <w:p>
            <w:pPr>
              <w:spacing w:line="360" w:lineRule="auto"/>
              <w:jc w:val="center"/>
              <w:rPr>
                <w:rFonts w:cs="宋体" w:asciiTheme="minorEastAsia" w:hAnsiTheme="minorEastAsia" w:eastAsiaTheme="minorEastAsia"/>
                <w:color w:val="auto"/>
                <w:szCs w:val="21"/>
                <w:highlight w:val="none"/>
              </w:rPr>
            </w:pPr>
          </w:p>
        </w:tc>
        <w:tc>
          <w:tcPr>
            <w:tcW w:w="709" w:type="dxa"/>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850" w:type="dxa"/>
            <w:vAlign w:val="center"/>
          </w:tcPr>
          <w:p>
            <w:pPr>
              <w:spacing w:line="360" w:lineRule="auto"/>
              <w:ind w:left="80" w:leftChars="0"/>
              <w:jc w:val="center"/>
              <w:rPr>
                <w:rFonts w:cs="宋体" w:asciiTheme="minorEastAsia" w:hAnsiTheme="minorEastAsia" w:eastAsiaTheme="minorEastAsia"/>
                <w:color w:val="auto"/>
                <w:szCs w:val="21"/>
                <w:highlight w:val="none"/>
              </w:rPr>
            </w:pPr>
            <w:r>
              <w:rPr>
                <w:rStyle w:val="80"/>
                <w:rFonts w:hint="eastAsia" w:cs="宋体" w:asciiTheme="minorEastAsia" w:hAnsiTheme="minorEastAsia" w:eastAsiaTheme="minorEastAsia"/>
                <w:color w:val="auto"/>
                <w:szCs w:val="21"/>
                <w:highlight w:val="none"/>
              </w:rPr>
              <w:t>业绩</w:t>
            </w:r>
          </w:p>
        </w:tc>
        <w:tc>
          <w:tcPr>
            <w:tcW w:w="5954" w:type="dxa"/>
            <w:vAlign w:val="center"/>
          </w:tcPr>
          <w:p>
            <w:pPr>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投标人自202</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年1月1日以来</w:t>
            </w:r>
            <w:r>
              <w:rPr>
                <w:rFonts w:hint="eastAsia" w:cs="宋体" w:asciiTheme="minorEastAsia" w:hAnsiTheme="minorEastAsia" w:eastAsiaTheme="minorEastAsia"/>
                <w:color w:val="auto"/>
                <w:kern w:val="0"/>
                <w:szCs w:val="21"/>
                <w:highlight w:val="none"/>
                <w:lang w:val="zh-CN"/>
              </w:rPr>
              <w:t>（以合同签订时间为准），</w:t>
            </w:r>
            <w:r>
              <w:rPr>
                <w:rFonts w:hint="eastAsia" w:cs="宋体" w:asciiTheme="minorEastAsia" w:hAnsiTheme="minorEastAsia" w:eastAsiaTheme="minorEastAsia"/>
                <w:color w:val="auto"/>
                <w:kern w:val="0"/>
                <w:szCs w:val="21"/>
                <w:highlight w:val="none"/>
              </w:rPr>
              <w:t>承接过学生保险项目的。每提供1个合同得</w:t>
            </w:r>
            <w:r>
              <w:rPr>
                <w:rFonts w:cs="宋体" w:asciiTheme="minorEastAsia" w:hAnsiTheme="minorEastAsia" w:eastAsiaTheme="minorEastAsia"/>
                <w:color w:val="auto"/>
                <w:kern w:val="0"/>
                <w:szCs w:val="21"/>
                <w:highlight w:val="none"/>
              </w:rPr>
              <w:t>0.5</w:t>
            </w:r>
            <w:r>
              <w:rPr>
                <w:rFonts w:hint="eastAsia" w:cs="宋体" w:asciiTheme="minorEastAsia" w:hAnsiTheme="minorEastAsia" w:eastAsiaTheme="minorEastAsia"/>
                <w:color w:val="auto"/>
                <w:kern w:val="0"/>
                <w:szCs w:val="21"/>
                <w:highlight w:val="none"/>
              </w:rPr>
              <w:t>分，最高得</w:t>
            </w:r>
            <w:r>
              <w:rPr>
                <w:rFonts w:hint="eastAsia" w:cs="宋体" w:asciiTheme="minorEastAsia" w:hAnsiTheme="minorEastAsia" w:eastAsiaTheme="minorEastAsia"/>
                <w:color w:val="auto"/>
                <w:kern w:val="0"/>
                <w:szCs w:val="21"/>
                <w:highlight w:val="none"/>
                <w:lang w:val="en-US" w:eastAsia="zh-CN"/>
              </w:rPr>
              <w:t>2</w:t>
            </w:r>
            <w:r>
              <w:rPr>
                <w:rFonts w:hint="eastAsia" w:cs="宋体" w:asciiTheme="minorEastAsia" w:hAnsiTheme="minorEastAsia" w:eastAsiaTheme="minorEastAsia"/>
                <w:color w:val="auto"/>
                <w:kern w:val="0"/>
                <w:szCs w:val="21"/>
                <w:highlight w:val="none"/>
              </w:rPr>
              <w:t>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kern w:val="0"/>
                <w:szCs w:val="21"/>
                <w:highlight w:val="none"/>
                <w:lang w:val="zh-CN"/>
              </w:rPr>
              <w:t>（</w:t>
            </w:r>
            <w:r>
              <w:rPr>
                <w:rFonts w:hint="eastAsia" w:cs="宋体" w:asciiTheme="minorEastAsia" w:hAnsiTheme="minorEastAsia" w:eastAsiaTheme="minorEastAsia"/>
                <w:bCs/>
                <w:color w:val="auto"/>
                <w:kern w:val="0"/>
                <w:szCs w:val="21"/>
                <w:highlight w:val="none"/>
              </w:rPr>
              <w:t>须</w:t>
            </w:r>
            <w:r>
              <w:rPr>
                <w:rFonts w:hint="eastAsia" w:cs="宋体" w:asciiTheme="minorEastAsia" w:hAnsiTheme="minorEastAsia" w:eastAsiaTheme="minorEastAsia"/>
                <w:bCs/>
                <w:color w:val="auto"/>
                <w:kern w:val="0"/>
                <w:szCs w:val="21"/>
                <w:highlight w:val="none"/>
                <w:lang w:val="zh-CN"/>
              </w:rPr>
              <w:t>提供合同或中标通知书或学校证明</w:t>
            </w:r>
            <w:r>
              <w:rPr>
                <w:rFonts w:hint="eastAsia" w:cs="宋体" w:asciiTheme="minorEastAsia" w:hAnsiTheme="minorEastAsia" w:eastAsiaTheme="minorEastAsia"/>
                <w:bCs/>
                <w:color w:val="auto"/>
                <w:kern w:val="0"/>
                <w:szCs w:val="21"/>
                <w:highlight w:val="none"/>
              </w:rPr>
              <w:t>等相关证明材料</w:t>
            </w:r>
            <w:r>
              <w:rPr>
                <w:rFonts w:hint="eastAsia" w:cs="宋体" w:asciiTheme="minorEastAsia" w:hAnsiTheme="minorEastAsia" w:eastAsiaTheme="minorEastAsia"/>
                <w:bCs/>
                <w:color w:val="auto"/>
                <w:kern w:val="0"/>
                <w:szCs w:val="21"/>
                <w:highlight w:val="none"/>
                <w:lang w:val="zh-CN"/>
              </w:rPr>
              <w:t>复印件</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zh-CN"/>
              </w:rPr>
              <w:t>加盖</w:t>
            </w:r>
            <w:r>
              <w:rPr>
                <w:rFonts w:hint="eastAsia" w:cs="宋体" w:asciiTheme="minorEastAsia" w:hAnsiTheme="minorEastAsia" w:eastAsiaTheme="minorEastAsia"/>
                <w:bCs/>
                <w:color w:val="auto"/>
                <w:kern w:val="0"/>
                <w:szCs w:val="21"/>
                <w:highlight w:val="none"/>
              </w:rPr>
              <w:t>投标人</w:t>
            </w:r>
            <w:r>
              <w:rPr>
                <w:rFonts w:hint="eastAsia" w:cs="宋体" w:asciiTheme="minorEastAsia" w:hAnsiTheme="minorEastAsia" w:eastAsiaTheme="minorEastAsia"/>
                <w:bCs/>
                <w:color w:val="auto"/>
                <w:kern w:val="0"/>
                <w:szCs w:val="21"/>
                <w:highlight w:val="none"/>
                <w:lang w:val="zh-CN"/>
              </w:rPr>
              <w:t>公章</w:t>
            </w:r>
            <w:r>
              <w:rPr>
                <w:rFonts w:hint="eastAsia" w:cs="宋体" w:asciiTheme="minorEastAsia" w:hAnsiTheme="minorEastAsia" w:eastAsiaTheme="minorEastAsia"/>
                <w:bCs/>
                <w:color w:val="auto"/>
                <w:szCs w:val="21"/>
                <w:highlight w:val="none"/>
              </w:rPr>
              <w:t>，不提供的或提供不全的不得分</w:t>
            </w:r>
            <w:r>
              <w:rPr>
                <w:rFonts w:hint="eastAsia" w:cs="宋体" w:asciiTheme="minorEastAsia" w:hAnsiTheme="minorEastAsia" w:eastAsiaTheme="minorEastAsia"/>
                <w:bCs/>
                <w:color w:val="auto"/>
                <w:kern w:val="0"/>
                <w:szCs w:val="21"/>
                <w:highlight w:val="none"/>
                <w:lang w:val="zh-CN"/>
              </w:rPr>
              <w:t>）</w:t>
            </w:r>
          </w:p>
        </w:tc>
        <w:tc>
          <w:tcPr>
            <w:tcW w:w="709" w:type="dxa"/>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2</w:t>
            </w:r>
          </w:p>
        </w:tc>
        <w:tc>
          <w:tcPr>
            <w:tcW w:w="709" w:type="dxa"/>
          </w:tcPr>
          <w:p>
            <w:pPr>
              <w:spacing w:line="360" w:lineRule="auto"/>
              <w:jc w:val="center"/>
              <w:rPr>
                <w:rFonts w:cs="宋体" w:asciiTheme="minorEastAsia" w:hAnsiTheme="minorEastAsia" w:eastAsiaTheme="minorEastAsia"/>
                <w:color w:val="auto"/>
                <w:szCs w:val="21"/>
                <w:highlight w:val="none"/>
              </w:rPr>
            </w:pPr>
          </w:p>
        </w:tc>
        <w:tc>
          <w:tcPr>
            <w:tcW w:w="709" w:type="dxa"/>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850" w:type="dxa"/>
            <w:vAlign w:val="center"/>
          </w:tcPr>
          <w:p>
            <w:pPr>
              <w:adjustRightInd w:val="0"/>
              <w:snapToGrid w:val="0"/>
              <w:spacing w:before="34"/>
              <w:ind w:right="14" w:rightChars="0"/>
              <w:jc w:val="left"/>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项目理赔经验</w:t>
            </w:r>
          </w:p>
        </w:tc>
        <w:tc>
          <w:tcPr>
            <w:tcW w:w="5954" w:type="dxa"/>
            <w:vAlign w:val="center"/>
          </w:tcPr>
          <w:p>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color w:val="auto"/>
                <w:szCs w:val="21"/>
                <w:highlight w:val="none"/>
                <w:lang w:val="zh-CN"/>
              </w:rPr>
              <w:t>提供投标人在上一学年（202</w:t>
            </w:r>
            <w:r>
              <w:rPr>
                <w:rFonts w:hint="eastAsia" w:cs="宋体" w:asciiTheme="minorEastAsia" w:hAnsiTheme="minorEastAsia"/>
                <w:color w:val="auto"/>
                <w:szCs w:val="21"/>
                <w:highlight w:val="none"/>
                <w:lang w:val="en-US" w:eastAsia="zh-CN"/>
              </w:rPr>
              <w:t>3</w:t>
            </w:r>
            <w:r>
              <w:rPr>
                <w:rFonts w:hint="eastAsia" w:cs="宋体" w:asciiTheme="minorEastAsia" w:hAnsiTheme="minorEastAsia"/>
                <w:color w:val="auto"/>
                <w:szCs w:val="21"/>
                <w:highlight w:val="none"/>
                <w:lang w:val="zh-CN"/>
              </w:rPr>
              <w:t>年9月1日0时-202</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年8月31日24时）</w:t>
            </w:r>
            <w:r>
              <w:rPr>
                <w:rFonts w:hint="eastAsia" w:cs="宋体" w:asciiTheme="minorEastAsia" w:hAnsiTheme="minorEastAsia" w:eastAsiaTheme="minorEastAsia"/>
                <w:color w:val="auto"/>
                <w:szCs w:val="21"/>
                <w:highlight w:val="none"/>
                <w:lang w:val="zh-CN"/>
              </w:rPr>
              <w:t>的学生监护人责任险和校方责任保险重大理赔案例：</w:t>
            </w:r>
          </w:p>
          <w:p>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1、提供单次赔付金额≥30万元的，得6分；累计赔付金额≥30万元的，得5分；</w:t>
            </w:r>
          </w:p>
          <w:p>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2、提供单次赔付金额：30万元＞赔付金额≥20万元的，得5分；累计赔付金额：30万元＞赔付金额≥20万元的，得4分；</w:t>
            </w:r>
          </w:p>
          <w:p>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3、提供单次赔付金额：20万元＞赔付金额≥10万元的，得4分；累计赔付金额：20万元＞赔付金额≥10万元的，得3分；</w:t>
            </w:r>
          </w:p>
          <w:p>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4、提供单次赔付金额：10万元＞赔付金额≥5万元的，得3分；累计赔付金额：10万元＞赔付金额≥5万元的，得2分；</w:t>
            </w:r>
          </w:p>
          <w:p>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5、提供赔付金额在5万元以下案例的，得1分；</w:t>
            </w:r>
          </w:p>
          <w:p>
            <w:pPr>
              <w:adjustRightInd w:val="0"/>
              <w:snapToGrid w:val="0"/>
              <w:spacing w:before="34"/>
              <w:ind w:right="14" w:rightChars="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注：无赔付的不得分，单次赔付和累计赔付按得分高的计算，不得重复得分，提供相关证明材料。</w:t>
            </w:r>
          </w:p>
        </w:tc>
        <w:tc>
          <w:tcPr>
            <w:tcW w:w="709" w:type="dxa"/>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~6</w:t>
            </w:r>
          </w:p>
        </w:tc>
        <w:tc>
          <w:tcPr>
            <w:tcW w:w="709" w:type="dxa"/>
          </w:tcPr>
          <w:p>
            <w:pPr>
              <w:spacing w:line="360" w:lineRule="auto"/>
              <w:jc w:val="center"/>
              <w:rPr>
                <w:rFonts w:cs="宋体" w:asciiTheme="minorEastAsia" w:hAnsiTheme="minorEastAsia" w:eastAsiaTheme="minorEastAsia"/>
                <w:color w:val="auto"/>
                <w:szCs w:val="21"/>
                <w:highlight w:val="none"/>
              </w:rPr>
            </w:pPr>
          </w:p>
        </w:tc>
        <w:tc>
          <w:tcPr>
            <w:tcW w:w="709" w:type="dxa"/>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850" w:type="dxa"/>
            <w:vAlign w:val="center"/>
          </w:tcPr>
          <w:p>
            <w:pPr>
              <w:spacing w:line="360" w:lineRule="auto"/>
              <w:ind w:left="80" w:leftChars="0"/>
              <w:jc w:val="center"/>
              <w:rPr>
                <w:rFonts w:cs="宋体" w:asciiTheme="minorEastAsia" w:hAnsiTheme="minorEastAsia" w:eastAsiaTheme="minorEastAsia"/>
                <w:color w:val="auto"/>
                <w:szCs w:val="21"/>
                <w:highlight w:val="none"/>
              </w:rPr>
            </w:pPr>
            <w:r>
              <w:rPr>
                <w:rStyle w:val="80"/>
                <w:rFonts w:hint="eastAsia" w:cs="宋体" w:asciiTheme="minorEastAsia" w:hAnsiTheme="minorEastAsia" w:eastAsiaTheme="minorEastAsia"/>
                <w:color w:val="auto"/>
                <w:szCs w:val="21"/>
                <w:highlight w:val="none"/>
                <w:lang w:eastAsia="zh-CN"/>
              </w:rPr>
              <w:t>理赔满意度</w:t>
            </w:r>
            <w:r>
              <w:rPr>
                <w:rStyle w:val="80"/>
                <w:rFonts w:hint="eastAsia" w:cs="宋体" w:asciiTheme="minorEastAsia" w:hAnsiTheme="minorEastAsia" w:eastAsiaTheme="minorEastAsia"/>
                <w:color w:val="auto"/>
                <w:szCs w:val="21"/>
                <w:highlight w:val="none"/>
              </w:rPr>
              <w:t>评价</w:t>
            </w:r>
          </w:p>
        </w:tc>
        <w:tc>
          <w:tcPr>
            <w:tcW w:w="5954" w:type="dxa"/>
            <w:vAlign w:val="center"/>
          </w:tcPr>
          <w:p>
            <w:pPr>
              <w:numPr>
                <w:ilvl w:val="0"/>
                <w:numId w:val="0"/>
              </w:numPr>
              <w:ind w:left="0" w:leftChars="0" w:firstLine="0" w:firstLineChars="0"/>
              <w:jc w:val="left"/>
              <w:rPr>
                <w:rFonts w:cs="宋体" w:asciiTheme="minorEastAsia" w:hAnsiTheme="minorEastAsia" w:eastAsiaTheme="minorEastAsia"/>
                <w:color w:val="auto"/>
                <w:szCs w:val="21"/>
                <w:highlight w:val="none"/>
              </w:rPr>
            </w:pPr>
            <w:r>
              <w:rPr>
                <w:rStyle w:val="80"/>
                <w:rFonts w:hint="eastAsia" w:cs="宋体" w:asciiTheme="minorEastAsia" w:hAnsiTheme="minorEastAsia" w:eastAsiaTheme="minorEastAsia"/>
                <w:color w:val="auto"/>
                <w:szCs w:val="21"/>
                <w:highlight w:val="none"/>
              </w:rPr>
              <w:t>理赔满意度评价</w:t>
            </w:r>
            <w:r>
              <w:rPr>
                <w:rFonts w:hint="eastAsia" w:cs="宋体" w:asciiTheme="minorEastAsia" w:hAnsiTheme="minorEastAsia" w:eastAsiaTheme="minorEastAsia"/>
                <w:color w:val="auto"/>
                <w:szCs w:val="21"/>
                <w:highlight w:val="none"/>
              </w:rPr>
              <w:t>由三门县教育局提供上一学年（</w:t>
            </w:r>
            <w:r>
              <w:rPr>
                <w:rFonts w:hint="eastAsia" w:cs="宋体" w:asciiTheme="minorEastAsia" w:hAnsiTheme="minorEastAsia"/>
                <w:color w:val="auto"/>
                <w:szCs w:val="21"/>
                <w:highlight w:val="none"/>
                <w:lang w:val="zh-CN"/>
              </w:rPr>
              <w:t>（202</w:t>
            </w:r>
            <w:r>
              <w:rPr>
                <w:rFonts w:hint="eastAsia" w:cs="宋体" w:asciiTheme="minorEastAsia" w:hAnsiTheme="minorEastAsia"/>
                <w:color w:val="auto"/>
                <w:szCs w:val="21"/>
                <w:highlight w:val="none"/>
                <w:lang w:val="en-US" w:eastAsia="zh-CN"/>
              </w:rPr>
              <w:t>3</w:t>
            </w:r>
            <w:r>
              <w:rPr>
                <w:rFonts w:hint="eastAsia" w:cs="宋体" w:asciiTheme="minorEastAsia" w:hAnsiTheme="minorEastAsia"/>
                <w:color w:val="auto"/>
                <w:szCs w:val="21"/>
                <w:highlight w:val="none"/>
                <w:lang w:val="zh-CN"/>
              </w:rPr>
              <w:t>年9月1日0时-202</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年8月31日24时）</w:t>
            </w:r>
            <w:r>
              <w:rPr>
                <w:rFonts w:hint="eastAsia" w:cs="宋体" w:asciiTheme="minorEastAsia" w:hAnsiTheme="minorEastAsia" w:eastAsiaTheme="minorEastAsia"/>
                <w:color w:val="auto"/>
                <w:szCs w:val="21"/>
                <w:highlight w:val="none"/>
              </w:rPr>
              <w:t>）理赔满意度负面评价结果，如无负面评价结果，则得满分，每有1例负面评价扣2分，</w:t>
            </w:r>
            <w:r>
              <w:rPr>
                <w:rFonts w:hint="eastAsia" w:cs="宋体" w:asciiTheme="minorEastAsia" w:hAnsiTheme="minorEastAsia" w:eastAsiaTheme="minorEastAsia"/>
                <w:color w:val="auto"/>
                <w:szCs w:val="21"/>
                <w:highlight w:val="none"/>
                <w:lang w:eastAsia="zh-CN"/>
              </w:rPr>
              <w:t>最高扣</w:t>
            </w:r>
            <w:r>
              <w:rPr>
                <w:rFonts w:hint="eastAsia" w:cs="宋体" w:asciiTheme="minorEastAsia" w:hAnsiTheme="minorEastAsia" w:eastAsiaTheme="minorEastAsia"/>
                <w:color w:val="auto"/>
                <w:szCs w:val="21"/>
                <w:highlight w:val="none"/>
                <w:lang w:val="en-US" w:eastAsia="zh-CN"/>
              </w:rPr>
              <w:t>8分，</w:t>
            </w:r>
            <w:r>
              <w:rPr>
                <w:rFonts w:hint="eastAsia" w:cs="宋体" w:asciiTheme="minorEastAsia" w:hAnsiTheme="minorEastAsia" w:eastAsiaTheme="minorEastAsia"/>
                <w:color w:val="auto"/>
                <w:szCs w:val="21"/>
                <w:highlight w:val="none"/>
              </w:rPr>
              <w:t>扣完为止。</w:t>
            </w:r>
          </w:p>
        </w:tc>
        <w:tc>
          <w:tcPr>
            <w:tcW w:w="709" w:type="dxa"/>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8</w:t>
            </w:r>
          </w:p>
        </w:tc>
        <w:tc>
          <w:tcPr>
            <w:tcW w:w="709" w:type="dxa"/>
          </w:tcPr>
          <w:p>
            <w:pPr>
              <w:spacing w:line="360" w:lineRule="auto"/>
              <w:jc w:val="center"/>
              <w:rPr>
                <w:rFonts w:cs="宋体" w:asciiTheme="minorEastAsia" w:hAnsiTheme="minorEastAsia" w:eastAsiaTheme="minorEastAsia"/>
                <w:color w:val="auto"/>
                <w:szCs w:val="21"/>
                <w:highlight w:val="none"/>
              </w:rPr>
            </w:pPr>
          </w:p>
        </w:tc>
        <w:tc>
          <w:tcPr>
            <w:tcW w:w="709" w:type="dxa"/>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850" w:type="dxa"/>
            <w:vMerge w:val="restart"/>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项目组成员情况</w:t>
            </w:r>
          </w:p>
        </w:tc>
        <w:tc>
          <w:tcPr>
            <w:tcW w:w="5954" w:type="dxa"/>
            <w:vAlign w:val="center"/>
          </w:tcPr>
          <w:p>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投标人在本项目服务的人员配备：人员数量 10 人及以下得 1.0 分， 11-20人得 2.0 分，21 人及以上得 3.0 分。</w:t>
            </w:r>
          </w:p>
          <w:p>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须</w:t>
            </w:r>
            <w:r>
              <w:rPr>
                <w:rFonts w:cs="宋体" w:asciiTheme="minorEastAsia" w:hAnsiTheme="minorEastAsia" w:eastAsiaTheme="minorEastAsia"/>
                <w:color w:val="auto"/>
                <w:szCs w:val="21"/>
                <w:highlight w:val="none"/>
              </w:rPr>
              <w:t>提供</w:t>
            </w:r>
            <w:r>
              <w:rPr>
                <w:rFonts w:hint="eastAsia" w:cs="宋体" w:asciiTheme="minorEastAsia" w:hAnsiTheme="minorEastAsia" w:eastAsiaTheme="minorEastAsia"/>
                <w:bCs/>
                <w:color w:val="auto"/>
                <w:szCs w:val="21"/>
                <w:highlight w:val="none"/>
              </w:rPr>
              <w:t>最近3个月的项目组人员社保证明材料</w:t>
            </w:r>
            <w:r>
              <w:rPr>
                <w:rFonts w:cs="宋体" w:asciiTheme="minorEastAsia" w:hAnsiTheme="minorEastAsia" w:eastAsiaTheme="minorEastAsia"/>
                <w:color w:val="auto"/>
                <w:szCs w:val="21"/>
                <w:highlight w:val="none"/>
              </w:rPr>
              <w:t>）</w:t>
            </w:r>
          </w:p>
        </w:tc>
        <w:tc>
          <w:tcPr>
            <w:tcW w:w="709" w:type="dxa"/>
            <w:vAlign w:val="center"/>
          </w:tcPr>
          <w:p>
            <w:pPr>
              <w:adjustRightInd w:val="0"/>
              <w:snapToGrid w:val="0"/>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0~3</w:t>
            </w:r>
          </w:p>
        </w:tc>
        <w:tc>
          <w:tcPr>
            <w:tcW w:w="709" w:type="dxa"/>
          </w:tcPr>
          <w:p>
            <w:pPr>
              <w:adjustRightInd w:val="0"/>
              <w:snapToGrid w:val="0"/>
              <w:jc w:val="center"/>
              <w:rPr>
                <w:rFonts w:cs="宋体" w:asciiTheme="minorEastAsia" w:hAnsiTheme="minorEastAsia" w:eastAsiaTheme="minorEastAsia"/>
                <w:color w:val="auto"/>
                <w:kern w:val="0"/>
                <w:szCs w:val="21"/>
                <w:highlight w:val="none"/>
              </w:rPr>
            </w:pPr>
          </w:p>
        </w:tc>
        <w:tc>
          <w:tcPr>
            <w:tcW w:w="709" w:type="dxa"/>
          </w:tcPr>
          <w:p>
            <w:pPr>
              <w:adjustRightInd w:val="0"/>
              <w:snapToGrid w:val="0"/>
              <w:jc w:val="center"/>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850"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5954" w:type="dxa"/>
            <w:vAlign w:val="center"/>
          </w:tcPr>
          <w:p>
            <w:pPr>
              <w:adjustRightInd w:val="0"/>
              <w:snapToGrid w:val="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配有保险服务指导员的，每人得1分，最高得3分。</w:t>
            </w:r>
          </w:p>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（须提供相关人员最近3个月的社保证明复印件、从业简历、人员配置承诺书，加盖投标人公章，不提供的或提供不全的不得分）</w:t>
            </w:r>
          </w:p>
        </w:tc>
        <w:tc>
          <w:tcPr>
            <w:tcW w:w="709" w:type="dxa"/>
            <w:vAlign w:val="center"/>
          </w:tcPr>
          <w:p>
            <w:pPr>
              <w:adjustRightInd w:val="0"/>
              <w:snapToGrid w:val="0"/>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0~3</w:t>
            </w:r>
          </w:p>
        </w:tc>
        <w:tc>
          <w:tcPr>
            <w:tcW w:w="709" w:type="dxa"/>
          </w:tcPr>
          <w:p>
            <w:pPr>
              <w:adjustRightInd w:val="0"/>
              <w:snapToGrid w:val="0"/>
              <w:jc w:val="center"/>
              <w:rPr>
                <w:rFonts w:cs="宋体" w:asciiTheme="minorEastAsia" w:hAnsiTheme="minorEastAsia" w:eastAsiaTheme="minorEastAsia"/>
                <w:color w:val="auto"/>
                <w:szCs w:val="21"/>
                <w:highlight w:val="none"/>
              </w:rPr>
            </w:pPr>
          </w:p>
        </w:tc>
        <w:tc>
          <w:tcPr>
            <w:tcW w:w="709" w:type="dxa"/>
          </w:tcPr>
          <w:p>
            <w:pPr>
              <w:adjustRightInd w:val="0"/>
              <w:snapToGrid w:val="0"/>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850" w:type="dxa"/>
            <w:vMerge w:val="continue"/>
            <w:vAlign w:val="center"/>
          </w:tcPr>
          <w:p>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5954" w:type="dxa"/>
            <w:vAlign w:val="center"/>
          </w:tcPr>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配有专职的医疗专业人员的，得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分；没有不得分。</w:t>
            </w:r>
          </w:p>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（须提供医疗相关专业的毕业证书复印件、最近3个月的社保证明复印件、从业简历及人员配置承诺书，加盖投标人公章，不提供的或提供不全的不得分）</w:t>
            </w:r>
          </w:p>
        </w:tc>
        <w:tc>
          <w:tcPr>
            <w:tcW w:w="709" w:type="dxa"/>
            <w:vAlign w:val="center"/>
          </w:tcPr>
          <w:p>
            <w:pPr>
              <w:adjustRightInd w:val="0"/>
              <w:snapToGrid w:val="0"/>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0~1</w:t>
            </w:r>
          </w:p>
        </w:tc>
        <w:tc>
          <w:tcPr>
            <w:tcW w:w="709" w:type="dxa"/>
          </w:tcPr>
          <w:p>
            <w:pPr>
              <w:adjustRightInd w:val="0"/>
              <w:snapToGrid w:val="0"/>
              <w:jc w:val="center"/>
              <w:rPr>
                <w:rFonts w:cs="宋体" w:asciiTheme="minorEastAsia" w:hAnsiTheme="minorEastAsia" w:eastAsiaTheme="minorEastAsia"/>
                <w:color w:val="auto"/>
                <w:kern w:val="0"/>
                <w:szCs w:val="21"/>
                <w:highlight w:val="none"/>
              </w:rPr>
            </w:pPr>
          </w:p>
        </w:tc>
        <w:tc>
          <w:tcPr>
            <w:tcW w:w="709" w:type="dxa"/>
          </w:tcPr>
          <w:p>
            <w:pPr>
              <w:adjustRightInd w:val="0"/>
              <w:snapToGrid w:val="0"/>
              <w:jc w:val="center"/>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6"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850" w:type="dxa"/>
            <w:vMerge w:val="continue"/>
            <w:vAlign w:val="center"/>
          </w:tcPr>
          <w:p>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5954" w:type="dxa"/>
            <w:vAlign w:val="center"/>
          </w:tcPr>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配有学生保险现场查勘人员的，得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 xml:space="preserve"> 分；没有不得分。</w:t>
            </w:r>
          </w:p>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（须提供相关人员的毕业证书复印件、最近3个月的社保证明复印件、从业简历及人员配置承诺书，加盖投标人公章，不提供的或提供不全的不得分）</w:t>
            </w:r>
          </w:p>
        </w:tc>
        <w:tc>
          <w:tcPr>
            <w:tcW w:w="709" w:type="dxa"/>
            <w:vAlign w:val="center"/>
          </w:tcPr>
          <w:p>
            <w:pPr>
              <w:spacing w:line="360" w:lineRule="auto"/>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szCs w:val="21"/>
                <w:highlight w:val="none"/>
              </w:rPr>
              <w:t>0~1</w:t>
            </w:r>
          </w:p>
        </w:tc>
        <w:tc>
          <w:tcPr>
            <w:tcW w:w="709" w:type="dxa"/>
          </w:tcPr>
          <w:p>
            <w:pPr>
              <w:spacing w:line="360" w:lineRule="auto"/>
              <w:jc w:val="center"/>
              <w:rPr>
                <w:rFonts w:cs="宋体" w:asciiTheme="minorEastAsia" w:hAnsiTheme="minorEastAsia" w:eastAsiaTheme="minorEastAsia"/>
                <w:color w:val="auto"/>
                <w:szCs w:val="21"/>
                <w:highlight w:val="none"/>
              </w:rPr>
            </w:pPr>
          </w:p>
        </w:tc>
        <w:tc>
          <w:tcPr>
            <w:tcW w:w="709" w:type="dxa"/>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restart"/>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技术分</w:t>
            </w:r>
          </w:p>
        </w:tc>
        <w:tc>
          <w:tcPr>
            <w:tcW w:w="850" w:type="dxa"/>
            <w:vMerge w:val="restart"/>
            <w:vAlign w:val="center"/>
          </w:tcPr>
          <w:p>
            <w:pPr>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工作方案</w:t>
            </w:r>
          </w:p>
        </w:tc>
        <w:tc>
          <w:tcPr>
            <w:tcW w:w="5954"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根据投标人对本项目制定的普通学校监护人责任保险投保方案（</w:t>
            </w:r>
            <w:r>
              <w:rPr>
                <w:rFonts w:hint="eastAsia" w:cs="宋体" w:asciiTheme="minorEastAsia" w:hAnsiTheme="minorEastAsia" w:eastAsiaTheme="minorEastAsia"/>
                <w:b/>
                <w:color w:val="auto"/>
                <w:szCs w:val="21"/>
                <w:highlight w:val="none"/>
              </w:rPr>
              <w:t>方案阐述是否详细全面、工作方法是否明确、内容是否完整、是否符合项目需求等</w:t>
            </w:r>
            <w:r>
              <w:rPr>
                <w:rFonts w:cs="宋体" w:asciiTheme="minorEastAsia" w:hAnsiTheme="minorEastAsia" w:eastAsiaTheme="minorEastAsia"/>
                <w:b/>
                <w:color w:val="auto"/>
                <w:szCs w:val="21"/>
                <w:highlight w:val="none"/>
              </w:rPr>
              <w:t>内容</w:t>
            </w:r>
            <w:r>
              <w:rPr>
                <w:rFonts w:hint="eastAsia" w:cs="宋体" w:asciiTheme="minorEastAsia" w:hAnsiTheme="minorEastAsia" w:eastAsiaTheme="minorEastAsia"/>
                <w:color w:val="auto"/>
                <w:szCs w:val="21"/>
                <w:highlight w:val="none"/>
              </w:rPr>
              <w:t>）进行打分。优的得3.5-5.0分；一般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709"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c>
          <w:tcPr>
            <w:tcW w:w="709" w:type="dxa"/>
          </w:tcPr>
          <w:p>
            <w:pPr>
              <w:jc w:val="center"/>
              <w:rPr>
                <w:rFonts w:cs="宋体" w:asciiTheme="minorEastAsia" w:hAnsiTheme="minorEastAsia" w:eastAsiaTheme="minorEastAsia"/>
                <w:color w:val="auto"/>
                <w:szCs w:val="21"/>
                <w:highlight w:val="none"/>
              </w:rPr>
            </w:pPr>
          </w:p>
        </w:tc>
        <w:tc>
          <w:tcPr>
            <w:tcW w:w="709" w:type="dxa"/>
          </w:tcPr>
          <w:p>
            <w:pPr>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2"/>
              <w:spacing w:after="0"/>
              <w:ind w:firstLine="210"/>
              <w:jc w:val="center"/>
              <w:rPr>
                <w:rFonts w:cs="宋体" w:asciiTheme="minorEastAsia" w:hAnsiTheme="minorEastAsia" w:eastAsiaTheme="minorEastAsia"/>
                <w:color w:val="auto"/>
                <w:szCs w:val="21"/>
                <w:highlight w:val="none"/>
              </w:rPr>
            </w:pPr>
          </w:p>
        </w:tc>
        <w:tc>
          <w:tcPr>
            <w:tcW w:w="850" w:type="dxa"/>
            <w:vMerge w:val="continue"/>
            <w:vAlign w:val="center"/>
          </w:tcPr>
          <w:p>
            <w:pPr>
              <w:jc w:val="center"/>
              <w:rPr>
                <w:rFonts w:cs="宋体" w:asciiTheme="minorEastAsia" w:hAnsiTheme="minorEastAsia" w:eastAsiaTheme="minorEastAsia"/>
                <w:color w:val="auto"/>
                <w:szCs w:val="21"/>
                <w:highlight w:val="none"/>
              </w:rPr>
            </w:pPr>
          </w:p>
        </w:tc>
        <w:tc>
          <w:tcPr>
            <w:tcW w:w="5954"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根据投标人对本项目制定的</w:t>
            </w:r>
            <w:r>
              <w:rPr>
                <w:rFonts w:hint="eastAsia" w:cs="宋体" w:asciiTheme="minorEastAsia" w:hAnsiTheme="minorEastAsia" w:eastAsiaTheme="minorEastAsia"/>
                <w:bCs/>
                <w:color w:val="auto"/>
                <w:szCs w:val="21"/>
                <w:highlight w:val="none"/>
              </w:rPr>
              <w:t>紧急事项赔付方案</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包括建立详细的紧急赔付工作方案、针对特殊情况特别处理方案，</w:t>
            </w:r>
            <w:r>
              <w:rPr>
                <w:rFonts w:hint="eastAsia" w:cs="宋体" w:asciiTheme="minorEastAsia" w:hAnsiTheme="minorEastAsia" w:eastAsiaTheme="minorEastAsia"/>
                <w:b/>
                <w:color w:val="auto"/>
                <w:spacing w:val="-4"/>
                <w:szCs w:val="21"/>
                <w:highlight w:val="none"/>
              </w:rPr>
              <w:t>应急措施是否科学</w:t>
            </w:r>
            <w:r>
              <w:rPr>
                <w:rFonts w:hint="eastAsia" w:cs="宋体" w:asciiTheme="minorEastAsia" w:hAnsiTheme="minorEastAsia" w:eastAsiaTheme="minorEastAsia"/>
                <w:b/>
                <w:color w:val="auto"/>
                <w:szCs w:val="21"/>
                <w:highlight w:val="none"/>
              </w:rPr>
              <w:t>可行，是否有效保障理赔服务质量；同时针对家庭贫困的学生是否可以预支费用等情况</w:t>
            </w:r>
            <w:r>
              <w:rPr>
                <w:rFonts w:hint="eastAsia" w:cs="宋体" w:asciiTheme="minorEastAsia" w:hAnsiTheme="minorEastAsia" w:eastAsiaTheme="minorEastAsia"/>
                <w:color w:val="auto"/>
                <w:szCs w:val="21"/>
                <w:highlight w:val="none"/>
              </w:rPr>
              <w:t>）进行打分。优的得3.5-5.0分；一般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709"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c>
          <w:tcPr>
            <w:tcW w:w="709" w:type="dxa"/>
          </w:tcPr>
          <w:p>
            <w:pPr>
              <w:jc w:val="center"/>
              <w:rPr>
                <w:rFonts w:cs="宋体" w:asciiTheme="minorEastAsia" w:hAnsiTheme="minorEastAsia" w:eastAsiaTheme="minorEastAsia"/>
                <w:color w:val="auto"/>
                <w:szCs w:val="21"/>
                <w:highlight w:val="none"/>
              </w:rPr>
            </w:pPr>
          </w:p>
        </w:tc>
        <w:tc>
          <w:tcPr>
            <w:tcW w:w="709" w:type="dxa"/>
          </w:tcPr>
          <w:p>
            <w:pPr>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2"/>
              <w:spacing w:after="0"/>
              <w:ind w:firstLine="210"/>
              <w:jc w:val="center"/>
              <w:rPr>
                <w:rFonts w:cs="宋体" w:asciiTheme="minorEastAsia" w:hAnsiTheme="minorEastAsia" w:eastAsiaTheme="minorEastAsia"/>
                <w:color w:val="auto"/>
                <w:szCs w:val="21"/>
                <w:highlight w:val="none"/>
              </w:rPr>
            </w:pPr>
          </w:p>
        </w:tc>
        <w:tc>
          <w:tcPr>
            <w:tcW w:w="850" w:type="dxa"/>
            <w:vMerge w:val="continue"/>
            <w:vAlign w:val="center"/>
          </w:tcPr>
          <w:p>
            <w:pPr>
              <w:jc w:val="center"/>
              <w:rPr>
                <w:rFonts w:cs="宋体" w:asciiTheme="minorEastAsia" w:hAnsiTheme="minorEastAsia" w:eastAsiaTheme="minorEastAsia"/>
                <w:color w:val="auto"/>
                <w:szCs w:val="21"/>
                <w:highlight w:val="none"/>
              </w:rPr>
            </w:pPr>
          </w:p>
        </w:tc>
        <w:tc>
          <w:tcPr>
            <w:tcW w:w="5954"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根据投标人对本项目建有快速理赔机制和绿色理赔通道，规章制度是否清晰，且操作规范，切实可行等情况进行打分。优的得3.5-5.0分；一般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709"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c>
          <w:tcPr>
            <w:tcW w:w="709" w:type="dxa"/>
          </w:tcPr>
          <w:p>
            <w:pPr>
              <w:jc w:val="center"/>
              <w:rPr>
                <w:rFonts w:cs="宋体" w:asciiTheme="minorEastAsia" w:hAnsiTheme="minorEastAsia" w:eastAsiaTheme="minorEastAsia"/>
                <w:color w:val="auto"/>
                <w:szCs w:val="21"/>
                <w:highlight w:val="none"/>
              </w:rPr>
            </w:pPr>
          </w:p>
        </w:tc>
        <w:tc>
          <w:tcPr>
            <w:tcW w:w="709" w:type="dxa"/>
          </w:tcPr>
          <w:p>
            <w:pPr>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2"/>
              <w:spacing w:after="0"/>
              <w:ind w:firstLine="210"/>
              <w:jc w:val="center"/>
              <w:rPr>
                <w:rFonts w:cs="宋体" w:asciiTheme="minorEastAsia" w:hAnsiTheme="minorEastAsia" w:eastAsiaTheme="minorEastAsia"/>
                <w:color w:val="auto"/>
                <w:szCs w:val="21"/>
                <w:highlight w:val="none"/>
              </w:rPr>
            </w:pPr>
          </w:p>
        </w:tc>
        <w:tc>
          <w:tcPr>
            <w:tcW w:w="850" w:type="dxa"/>
            <w:vMerge w:val="continue"/>
            <w:vAlign w:val="center"/>
          </w:tcPr>
          <w:p>
            <w:pPr>
              <w:jc w:val="center"/>
              <w:rPr>
                <w:rFonts w:cs="宋体" w:asciiTheme="minorEastAsia" w:hAnsiTheme="minorEastAsia" w:eastAsiaTheme="minorEastAsia"/>
                <w:color w:val="auto"/>
                <w:szCs w:val="21"/>
                <w:highlight w:val="none"/>
              </w:rPr>
            </w:pPr>
          </w:p>
        </w:tc>
        <w:tc>
          <w:tcPr>
            <w:tcW w:w="5954"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根据投标人对本项目建立重大案件临时协调处理工作小组及预赔付等工作机制等</w:t>
            </w:r>
            <w:r>
              <w:rPr>
                <w:rFonts w:cs="宋体" w:asciiTheme="minorEastAsia" w:hAnsiTheme="minorEastAsia" w:eastAsiaTheme="minorEastAsia"/>
                <w:color w:val="auto"/>
                <w:szCs w:val="21"/>
                <w:highlight w:val="none"/>
              </w:rPr>
              <w:t>情况</w:t>
            </w:r>
            <w:r>
              <w:rPr>
                <w:rFonts w:hint="eastAsia" w:cs="宋体" w:asciiTheme="minorEastAsia" w:hAnsiTheme="minorEastAsia" w:eastAsiaTheme="minorEastAsia"/>
                <w:color w:val="auto"/>
                <w:szCs w:val="21"/>
                <w:highlight w:val="none"/>
              </w:rPr>
              <w:t>进行打分。</w:t>
            </w:r>
            <w:r>
              <w:rPr>
                <w:rFonts w:hint="eastAsia" w:asciiTheme="minorEastAsia" w:hAnsiTheme="minorEastAsia" w:eastAsiaTheme="minorEastAsia" w:cstheme="minorEastAsia"/>
                <w:bCs/>
                <w:color w:val="auto"/>
                <w:szCs w:val="21"/>
                <w:highlight w:val="none"/>
              </w:rPr>
              <w:t>优的得</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.0分；一般</w:t>
            </w:r>
            <w:r>
              <w:rPr>
                <w:rFonts w:asciiTheme="minorEastAsia" w:hAnsiTheme="minorEastAsia" w:eastAsiaTheme="minorEastAsia" w:cstheme="minorEastAsia"/>
                <w:bCs/>
                <w:color w:val="auto"/>
                <w:szCs w:val="21"/>
                <w:highlight w:val="none"/>
              </w:rPr>
              <w:t>的得2</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.9分</w:t>
            </w:r>
            <w:r>
              <w:rPr>
                <w:rFonts w:asciiTheme="minorEastAsia" w:hAnsiTheme="minorEastAsia" w:eastAsiaTheme="minorEastAsia" w:cstheme="minorEastAsia"/>
                <w:bCs/>
                <w:color w:val="auto"/>
                <w:szCs w:val="21"/>
                <w:highlight w:val="none"/>
              </w:rPr>
              <w:t>；差的得0</w:t>
            </w: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bCs/>
                <w:color w:val="auto"/>
                <w:szCs w:val="21"/>
                <w:highlight w:val="none"/>
              </w:rPr>
              <w:t>1.9</w:t>
            </w:r>
            <w:r>
              <w:rPr>
                <w:rFonts w:hint="eastAsia" w:asciiTheme="minorEastAsia" w:hAnsiTheme="minorEastAsia" w:eastAsiaTheme="minorEastAsia" w:cstheme="minorEastAsia"/>
                <w:bCs/>
                <w:color w:val="auto"/>
                <w:szCs w:val="21"/>
                <w:highlight w:val="none"/>
              </w:rPr>
              <w:t>分。</w:t>
            </w:r>
          </w:p>
        </w:tc>
        <w:tc>
          <w:tcPr>
            <w:tcW w:w="709" w:type="dxa"/>
            <w:vAlign w:val="center"/>
          </w:tcPr>
          <w:p>
            <w:pPr>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lang w:val="en-US" w:eastAsia="zh-CN"/>
              </w:rPr>
              <w:t>6</w:t>
            </w:r>
          </w:p>
        </w:tc>
        <w:tc>
          <w:tcPr>
            <w:tcW w:w="709" w:type="dxa"/>
          </w:tcPr>
          <w:p>
            <w:pPr>
              <w:jc w:val="center"/>
              <w:rPr>
                <w:rFonts w:cs="新宋体" w:asciiTheme="minorEastAsia" w:hAnsiTheme="minorEastAsia" w:eastAsiaTheme="minorEastAsia"/>
                <w:color w:val="auto"/>
                <w:szCs w:val="21"/>
                <w:highlight w:val="none"/>
              </w:rPr>
            </w:pPr>
          </w:p>
        </w:tc>
        <w:tc>
          <w:tcPr>
            <w:tcW w:w="709" w:type="dxa"/>
          </w:tcPr>
          <w:p>
            <w:pPr>
              <w:jc w:val="center"/>
              <w:rPr>
                <w:rFonts w:cs="新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2"/>
              <w:spacing w:after="0"/>
              <w:ind w:firstLine="210"/>
              <w:jc w:val="center"/>
              <w:rPr>
                <w:rFonts w:cs="宋体" w:asciiTheme="minorEastAsia" w:hAnsiTheme="minorEastAsia" w:eastAsiaTheme="minorEastAsia"/>
                <w:color w:val="auto"/>
                <w:szCs w:val="21"/>
                <w:highlight w:val="none"/>
              </w:rPr>
            </w:pPr>
          </w:p>
        </w:tc>
        <w:tc>
          <w:tcPr>
            <w:tcW w:w="850" w:type="dxa"/>
            <w:vAlign w:val="center"/>
          </w:tcPr>
          <w:p>
            <w:pPr>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售后服务</w:t>
            </w:r>
          </w:p>
        </w:tc>
        <w:tc>
          <w:tcPr>
            <w:tcW w:w="5954" w:type="dxa"/>
            <w:vAlign w:val="center"/>
          </w:tcPr>
          <w:p>
            <w:pPr>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w:t>
            </w:r>
            <w:r>
              <w:rPr>
                <w:rFonts w:hint="eastAsia" w:cs="宋体" w:asciiTheme="minorEastAsia" w:hAnsiTheme="minorEastAsia" w:eastAsiaTheme="minorEastAsia"/>
                <w:color w:val="auto"/>
                <w:szCs w:val="21"/>
                <w:highlight w:val="none"/>
              </w:rPr>
              <w:t>投标人对本项目承诺提供的售后服务方案（</w:t>
            </w:r>
            <w:r>
              <w:rPr>
                <w:rFonts w:hint="eastAsia" w:cs="宋体" w:asciiTheme="minorEastAsia" w:hAnsiTheme="minorEastAsia" w:eastAsiaTheme="minorEastAsia"/>
                <w:b/>
                <w:color w:val="auto"/>
                <w:szCs w:val="21"/>
                <w:highlight w:val="none"/>
              </w:rPr>
              <w:t>包括服务方案的可行性、完整性以及后续的服务保障措施等方面</w:t>
            </w:r>
            <w:r>
              <w:rPr>
                <w:rFonts w:hint="eastAsia" w:cs="宋体" w:asciiTheme="minorEastAsia" w:hAnsiTheme="minorEastAsia" w:eastAsiaTheme="minorEastAsia"/>
                <w:color w:val="auto"/>
                <w:szCs w:val="21"/>
                <w:highlight w:val="none"/>
              </w:rPr>
              <w:t>）进行打分。</w:t>
            </w:r>
            <w:r>
              <w:rPr>
                <w:rFonts w:hint="eastAsia" w:asciiTheme="minorEastAsia" w:hAnsiTheme="minorEastAsia" w:eastAsiaTheme="minorEastAsia" w:cstheme="minorEastAsia"/>
                <w:bCs/>
                <w:color w:val="auto"/>
                <w:szCs w:val="21"/>
                <w:highlight w:val="none"/>
              </w:rPr>
              <w:t>优的得</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.0分；一般</w:t>
            </w:r>
            <w:r>
              <w:rPr>
                <w:rFonts w:asciiTheme="minorEastAsia" w:hAnsiTheme="minorEastAsia" w:eastAsiaTheme="minorEastAsia" w:cstheme="minorEastAsia"/>
                <w:bCs/>
                <w:color w:val="auto"/>
                <w:szCs w:val="21"/>
                <w:highlight w:val="none"/>
              </w:rPr>
              <w:t>的得2</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.9分</w:t>
            </w:r>
            <w:r>
              <w:rPr>
                <w:rFonts w:asciiTheme="minorEastAsia" w:hAnsiTheme="minorEastAsia" w:eastAsiaTheme="minorEastAsia" w:cstheme="minorEastAsia"/>
                <w:bCs/>
                <w:color w:val="auto"/>
                <w:szCs w:val="21"/>
                <w:highlight w:val="none"/>
              </w:rPr>
              <w:t>；差的得0</w:t>
            </w: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bCs/>
                <w:color w:val="auto"/>
                <w:szCs w:val="21"/>
                <w:highlight w:val="none"/>
              </w:rPr>
              <w:t>1.9</w:t>
            </w:r>
            <w:r>
              <w:rPr>
                <w:rFonts w:hint="eastAsia" w:asciiTheme="minorEastAsia" w:hAnsiTheme="minorEastAsia" w:eastAsiaTheme="minorEastAsia" w:cstheme="minorEastAsia"/>
                <w:bCs/>
                <w:color w:val="auto"/>
                <w:szCs w:val="21"/>
                <w:highlight w:val="none"/>
              </w:rPr>
              <w:t>分。</w:t>
            </w:r>
          </w:p>
        </w:tc>
        <w:tc>
          <w:tcPr>
            <w:tcW w:w="709"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c>
          <w:tcPr>
            <w:tcW w:w="709" w:type="dxa"/>
          </w:tcPr>
          <w:p>
            <w:pPr>
              <w:jc w:val="center"/>
              <w:rPr>
                <w:rFonts w:cs="宋体" w:asciiTheme="minorEastAsia" w:hAnsiTheme="minorEastAsia" w:eastAsiaTheme="minorEastAsia"/>
                <w:color w:val="auto"/>
                <w:szCs w:val="21"/>
                <w:highlight w:val="none"/>
              </w:rPr>
            </w:pPr>
          </w:p>
        </w:tc>
        <w:tc>
          <w:tcPr>
            <w:tcW w:w="709" w:type="dxa"/>
          </w:tcPr>
          <w:p>
            <w:pPr>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Merge w:val="restart"/>
            <w:vAlign w:val="center"/>
          </w:tcPr>
          <w:p>
            <w:pPr>
              <w:widowControl/>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服务承诺</w:t>
            </w:r>
          </w:p>
        </w:tc>
        <w:tc>
          <w:tcPr>
            <w:tcW w:w="5954" w:type="dxa"/>
            <w:vAlign w:val="center"/>
          </w:tcPr>
          <w:p>
            <w:pPr>
              <w:tabs>
                <w:tab w:val="right" w:pos="4937"/>
              </w:tabs>
              <w:jc w:val="left"/>
              <w:textAlignment w:val="baseline"/>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根据投标人是否为学校提供风险查勘、投保、理赔等优惠措施或优惠服务承诺进行打分。优的得2.5-4.0分；一般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1.0-2.4分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0-0</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709"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4</w:t>
            </w:r>
          </w:p>
        </w:tc>
        <w:tc>
          <w:tcPr>
            <w:tcW w:w="709" w:type="dxa"/>
          </w:tcPr>
          <w:p>
            <w:pPr>
              <w:jc w:val="center"/>
              <w:rPr>
                <w:rFonts w:cs="宋体" w:asciiTheme="minorEastAsia" w:hAnsiTheme="minorEastAsia" w:eastAsiaTheme="minorEastAsia"/>
                <w:color w:val="auto"/>
                <w:szCs w:val="21"/>
                <w:highlight w:val="none"/>
              </w:rPr>
            </w:pPr>
          </w:p>
        </w:tc>
        <w:tc>
          <w:tcPr>
            <w:tcW w:w="709" w:type="dxa"/>
          </w:tcPr>
          <w:p>
            <w:pPr>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Merge w:val="continue"/>
            <w:vAlign w:val="center"/>
          </w:tcPr>
          <w:p>
            <w:pPr>
              <w:jc w:val="center"/>
              <w:rPr>
                <w:rFonts w:cs="宋体" w:asciiTheme="minorEastAsia" w:hAnsiTheme="minorEastAsia" w:eastAsiaTheme="minorEastAsia"/>
                <w:color w:val="auto"/>
                <w:kern w:val="0"/>
                <w:szCs w:val="21"/>
                <w:highlight w:val="none"/>
              </w:rPr>
            </w:pPr>
          </w:p>
        </w:tc>
        <w:tc>
          <w:tcPr>
            <w:tcW w:w="5954" w:type="dxa"/>
            <w:vAlign w:val="center"/>
          </w:tcPr>
          <w:p>
            <w:pPr>
              <w:jc w:val="left"/>
              <w:textAlignment w:val="baseline"/>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1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①</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投标人对牙齿</w:t>
            </w:r>
            <w:r>
              <w:rPr>
                <w:rFonts w:hint="eastAsia" w:cs="宋体" w:asciiTheme="minorEastAsia" w:hAnsiTheme="minorEastAsia" w:eastAsiaTheme="minorEastAsia"/>
                <w:color w:val="auto"/>
                <w:szCs w:val="21"/>
                <w:highlight w:val="none"/>
                <w:lang w:eastAsia="zh-CN"/>
              </w:rPr>
              <w:t>（恒牙）</w:t>
            </w:r>
            <w:r>
              <w:rPr>
                <w:rFonts w:hint="eastAsia" w:cs="宋体" w:asciiTheme="minorEastAsia" w:hAnsiTheme="minorEastAsia" w:eastAsiaTheme="minorEastAsia"/>
                <w:color w:val="auto"/>
                <w:szCs w:val="21"/>
                <w:highlight w:val="none"/>
              </w:rPr>
              <w:t>损伤赔偿特别承诺:</w:t>
            </w:r>
          </w:p>
          <w:p>
            <w:pPr>
              <w:jc w:val="left"/>
              <w:textAlignment w:val="baseline"/>
              <w:rPr>
                <w:rFonts w:hint="eastAsia" w:cs="宋体" w:asciiTheme="minorEastAsia" w:hAnsiTheme="minorEastAsia" w:eastAsiaTheme="minorEastAsia"/>
                <w:b/>
                <w:bCs/>
                <w:color w:val="auto"/>
                <w:szCs w:val="21"/>
                <w:highlight w:val="none"/>
                <w:lang w:eastAsia="zh-CN"/>
              </w:rPr>
            </w:pPr>
            <w:r>
              <w:rPr>
                <w:rFonts w:hint="eastAsia" w:cs="宋体" w:asciiTheme="minorEastAsia" w:hAnsiTheme="minorEastAsia" w:eastAsiaTheme="minorEastAsia"/>
                <w:color w:val="auto"/>
                <w:szCs w:val="21"/>
                <w:highlight w:val="none"/>
              </w:rPr>
              <w:t>合规医疗费用凭医疗票据按原约定赔付除外，保险人承诺被保险人因意外伤害导致牙齿缺失性损伤或虽未缺失但根据治疗需要拔除的，凭医嘱病历和牙齿损伤正面照片（无需医疗发票，下同），每颗给付赔偿金</w:t>
            </w:r>
            <w:r>
              <w:rPr>
                <w:rFonts w:hint="eastAsia" w:cs="宋体" w:asciiTheme="minorEastAsia" w:hAnsiTheme="minorEastAsia" w:eastAsiaTheme="minorEastAsia"/>
                <w:color w:val="auto"/>
                <w:szCs w:val="21"/>
                <w:highlight w:val="none"/>
                <w:lang w:val="en-US" w:eastAsia="zh-CN"/>
              </w:rPr>
              <w:t>10000</w:t>
            </w:r>
            <w:r>
              <w:rPr>
                <w:rFonts w:hint="eastAsia" w:cs="宋体" w:asciiTheme="minorEastAsia" w:hAnsiTheme="minorEastAsia" w:eastAsiaTheme="minorEastAsia"/>
                <w:color w:val="auto"/>
                <w:szCs w:val="21"/>
                <w:highlight w:val="none"/>
              </w:rPr>
              <w:t>元，得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b/>
                <w:bCs/>
                <w:color w:val="auto"/>
                <w:szCs w:val="21"/>
                <w:highlight w:val="none"/>
              </w:rPr>
              <w:t>（须同时承诺冠折性损伤且根据医嘱能保留的，每颗按</w:t>
            </w:r>
            <w:r>
              <w:rPr>
                <w:rFonts w:hint="eastAsia" w:cs="宋体" w:asciiTheme="minorEastAsia" w:hAnsiTheme="minorEastAsia" w:eastAsiaTheme="minorEastAsia"/>
                <w:b/>
                <w:bCs/>
                <w:color w:val="auto"/>
                <w:szCs w:val="21"/>
                <w:highlight w:val="none"/>
                <w:lang w:val="en-US" w:eastAsia="zh-CN"/>
              </w:rPr>
              <w:t>5000元</w:t>
            </w:r>
            <w:r>
              <w:rPr>
                <w:rFonts w:hint="eastAsia" w:cs="宋体" w:asciiTheme="minorEastAsia" w:hAnsiTheme="minorEastAsia" w:eastAsiaTheme="minorEastAsia"/>
                <w:b/>
                <w:bCs/>
                <w:color w:val="auto"/>
                <w:szCs w:val="21"/>
                <w:highlight w:val="none"/>
              </w:rPr>
              <w:t>给付赔偿金，否则单一对缺失性损伤报价无效，本项不得分）</w:t>
            </w:r>
            <w:r>
              <w:rPr>
                <w:rFonts w:hint="eastAsia" w:cs="宋体" w:asciiTheme="minorEastAsia" w:hAnsiTheme="minorEastAsia" w:eastAsiaTheme="minorEastAsia"/>
                <w:b/>
                <w:bCs/>
                <w:color w:val="auto"/>
                <w:szCs w:val="21"/>
                <w:highlight w:val="none"/>
                <w:lang w:eastAsia="zh-CN"/>
              </w:rPr>
              <w:t>。</w:t>
            </w:r>
          </w:p>
          <w:p>
            <w:pPr>
              <w:jc w:val="left"/>
              <w:textAlignment w:val="baseline"/>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2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②</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投标人对狂犬疫苗赔偿特别承诺：被保险人因受意外伤害，根据医嘱需注射狂犬疫苗的，在合规医疗费用按原约定赔付后，投标人承诺凭狂犬疫苗接种票据，每次给予</w:t>
            </w:r>
            <w:r>
              <w:rPr>
                <w:rFonts w:hint="eastAsia" w:cs="宋体" w:asciiTheme="minorEastAsia" w:hAnsiTheme="minorEastAsia" w:eastAsiaTheme="minorEastAsia"/>
                <w:color w:val="auto"/>
                <w:szCs w:val="21"/>
                <w:highlight w:val="none"/>
                <w:lang w:val="en-US" w:eastAsia="zh-CN"/>
              </w:rPr>
              <w:t>2000</w:t>
            </w:r>
            <w:r>
              <w:rPr>
                <w:rFonts w:hint="eastAsia" w:cs="宋体" w:asciiTheme="minorEastAsia" w:hAnsiTheme="minorEastAsia" w:eastAsiaTheme="minorEastAsia"/>
                <w:color w:val="auto"/>
                <w:szCs w:val="21"/>
                <w:highlight w:val="none"/>
              </w:rPr>
              <w:t>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得</w:t>
            </w:r>
            <w:r>
              <w:rPr>
                <w:rFonts w:hint="eastAsia" w:cs="宋体" w:asciiTheme="minorEastAsia" w:hAnsiTheme="minorEastAsia" w:eastAsiaTheme="minorEastAsia"/>
                <w:color w:val="auto"/>
                <w:szCs w:val="21"/>
                <w:highlight w:val="none"/>
              </w:rPr>
              <w:t>2分。</w:t>
            </w:r>
          </w:p>
          <w:p>
            <w:pPr>
              <w:jc w:val="left"/>
              <w:textAlignment w:val="baseline"/>
              <w:rPr>
                <w:rFonts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kern w:val="2"/>
                <w:sz w:val="21"/>
                <w:szCs w:val="21"/>
                <w:highlight w:val="none"/>
                <w:lang w:val="en-US" w:eastAsia="zh-CN" w:bidi="ar-SA"/>
              </w:rPr>
              <w:t>③</w:t>
            </w:r>
            <w:r>
              <w:rPr>
                <w:rFonts w:hint="eastAsia" w:cs="宋体" w:asciiTheme="minorEastAsia" w:hAnsiTheme="minorEastAsia" w:eastAsiaTheme="minorEastAsia"/>
                <w:color w:val="auto"/>
                <w:kern w:val="2"/>
                <w:sz w:val="21"/>
                <w:szCs w:val="21"/>
                <w:highlight w:val="none"/>
                <w:lang w:val="en-US" w:eastAsia="zh-CN" w:bidi="ar-SA"/>
              </w:rPr>
              <w:t>因意外伤害所支出的必要且合理的美容缝合医疗费用，</w:t>
            </w:r>
            <w:r>
              <w:rPr>
                <w:rFonts w:hint="eastAsia" w:cs="宋体" w:asciiTheme="minorEastAsia" w:hAnsiTheme="minorEastAsia" w:eastAsiaTheme="minorEastAsia"/>
                <w:color w:val="auto"/>
                <w:szCs w:val="21"/>
                <w:highlight w:val="none"/>
              </w:rPr>
              <w:t>每次给予</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000元理赔额度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kern w:val="2"/>
                <w:sz w:val="21"/>
                <w:szCs w:val="21"/>
                <w:highlight w:val="none"/>
                <w:lang w:val="en-US" w:eastAsia="zh-CN" w:bidi="ar-SA"/>
              </w:rPr>
              <w:t>,</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tc>
        <w:tc>
          <w:tcPr>
            <w:tcW w:w="709" w:type="dxa"/>
            <w:vAlign w:val="center"/>
          </w:tcPr>
          <w:p>
            <w:pPr>
              <w:spacing w:line="360" w:lineRule="auto"/>
              <w:jc w:val="center"/>
              <w:rPr>
                <w:rFonts w:cs="新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7</w:t>
            </w:r>
          </w:p>
        </w:tc>
        <w:tc>
          <w:tcPr>
            <w:tcW w:w="709" w:type="dxa"/>
          </w:tcPr>
          <w:p>
            <w:pPr>
              <w:spacing w:line="360" w:lineRule="auto"/>
              <w:jc w:val="center"/>
              <w:rPr>
                <w:rFonts w:cs="宋体" w:asciiTheme="minorEastAsia" w:hAnsiTheme="minorEastAsia" w:eastAsiaTheme="minorEastAsia"/>
                <w:color w:val="auto"/>
                <w:szCs w:val="21"/>
                <w:highlight w:val="none"/>
              </w:rPr>
            </w:pPr>
          </w:p>
        </w:tc>
        <w:tc>
          <w:tcPr>
            <w:tcW w:w="709" w:type="dxa"/>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pPr>
              <w:snapToGrid w:val="0"/>
              <w:jc w:val="center"/>
              <w:rPr>
                <w:rFonts w:cs="宋体" w:asciiTheme="minorEastAsia" w:hAnsiTheme="minorEastAsia" w:eastAsiaTheme="minorEastAsia"/>
                <w:color w:val="auto"/>
                <w:kern w:val="0"/>
                <w:szCs w:val="21"/>
                <w:highlight w:val="none"/>
              </w:rPr>
            </w:pPr>
            <w:r>
              <w:rPr>
                <w:rFonts w:hint="eastAsia" w:cs="新宋体" w:asciiTheme="minorEastAsia" w:hAnsiTheme="minorEastAsia" w:eastAsiaTheme="minorEastAsia"/>
                <w:color w:val="auto"/>
                <w:szCs w:val="21"/>
                <w:highlight w:val="none"/>
              </w:rPr>
              <w:t>服务响应</w:t>
            </w:r>
          </w:p>
        </w:tc>
        <w:tc>
          <w:tcPr>
            <w:tcW w:w="5954" w:type="dxa"/>
            <w:vAlign w:val="center"/>
          </w:tcPr>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根据投标人承诺的服务响应时间等情况进行打分。</w:t>
            </w:r>
          </w:p>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2</w:t>
            </w:r>
            <w:r>
              <w:rPr>
                <w:rFonts w:hint="eastAsia" w:cs="宋体" w:asciiTheme="minorEastAsia" w:hAnsiTheme="minorEastAsia" w:eastAsiaTheme="minorEastAsia"/>
                <w:color w:val="auto"/>
                <w:spacing w:val="-4"/>
                <w:szCs w:val="21"/>
                <w:highlight w:val="none"/>
              </w:rPr>
              <w:t>小时内（含）到达现场的得5分；</w:t>
            </w:r>
          </w:p>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4</w:t>
            </w:r>
            <w:r>
              <w:rPr>
                <w:rFonts w:hint="eastAsia" w:cs="宋体" w:asciiTheme="minorEastAsia" w:hAnsiTheme="minorEastAsia" w:eastAsiaTheme="minorEastAsia"/>
                <w:color w:val="auto"/>
                <w:spacing w:val="-4"/>
                <w:szCs w:val="21"/>
                <w:highlight w:val="none"/>
              </w:rPr>
              <w:t>小时内（含）到达现场的得3分；</w:t>
            </w:r>
          </w:p>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小时内（含）到达现场的得1分；</w:t>
            </w:r>
          </w:p>
          <w:p>
            <w:pPr>
              <w:widowControl/>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接到采购方通知后，超过</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小时到达现场的或未提及此项不得分。</w:t>
            </w:r>
          </w:p>
        </w:tc>
        <w:tc>
          <w:tcPr>
            <w:tcW w:w="709" w:type="dxa"/>
            <w:vAlign w:val="center"/>
          </w:tcPr>
          <w:p>
            <w:pPr>
              <w:tabs>
                <w:tab w:val="left" w:pos="780"/>
              </w:tabs>
              <w:autoSpaceDE w:val="0"/>
              <w:autoSpaceDN w:val="0"/>
              <w:adjustRightInd w:val="0"/>
              <w:jc w:val="center"/>
              <w:rPr>
                <w:rFonts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c>
          <w:tcPr>
            <w:tcW w:w="709" w:type="dxa"/>
          </w:tcPr>
          <w:p>
            <w:pPr>
              <w:tabs>
                <w:tab w:val="left" w:pos="780"/>
              </w:tabs>
              <w:autoSpaceDE w:val="0"/>
              <w:autoSpaceDN w:val="0"/>
              <w:adjustRightInd w:val="0"/>
              <w:jc w:val="center"/>
              <w:rPr>
                <w:rFonts w:cs="新宋体" w:asciiTheme="minorEastAsia" w:hAnsiTheme="minorEastAsia" w:eastAsiaTheme="minorEastAsia"/>
                <w:color w:val="auto"/>
                <w:szCs w:val="21"/>
                <w:highlight w:val="none"/>
              </w:rPr>
            </w:pPr>
          </w:p>
        </w:tc>
        <w:tc>
          <w:tcPr>
            <w:tcW w:w="709" w:type="dxa"/>
          </w:tcPr>
          <w:p>
            <w:pPr>
              <w:tabs>
                <w:tab w:val="left" w:pos="780"/>
              </w:tabs>
              <w:autoSpaceDE w:val="0"/>
              <w:autoSpaceDN w:val="0"/>
              <w:adjustRightInd w:val="0"/>
              <w:jc w:val="center"/>
              <w:rPr>
                <w:rFonts w:cs="新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pPr>
              <w:spacing w:line="360" w:lineRule="auto"/>
              <w:ind w:left="80" w:leftChars="0"/>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理赔时限</w:t>
            </w:r>
          </w:p>
        </w:tc>
        <w:tc>
          <w:tcPr>
            <w:tcW w:w="5954" w:type="dxa"/>
            <w:vAlign w:val="center"/>
          </w:tcPr>
          <w:p>
            <w:pPr>
              <w:ind w:left="80"/>
              <w:jc w:val="left"/>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rPr>
              <w:t>1、收到索赔材料 3 个工作日内向投保人反馈是否立案以及是否需要补充提供证明材料；</w:t>
            </w:r>
            <w:r>
              <w:rPr>
                <w:rFonts w:hint="eastAsia" w:cs="宋体" w:asciiTheme="minorEastAsia" w:hAnsiTheme="minorEastAsia" w:eastAsiaTheme="minorEastAsia"/>
                <w:color w:val="auto"/>
                <w:szCs w:val="21"/>
                <w:highlight w:val="none"/>
                <w:lang w:eastAsia="zh-CN"/>
              </w:rPr>
              <w:t>如死亡理赔承诺提供仅限以下材料：死亡证明、火化证明、户口簿销户证明、受益人身份证、领取赔偿协议书。承诺响应以上要求的得</w:t>
            </w:r>
            <w:r>
              <w:rPr>
                <w:rFonts w:hint="eastAsia" w:cs="宋体" w:asciiTheme="minorEastAsia" w:hAnsiTheme="minorEastAsia" w:eastAsiaTheme="minorEastAsia"/>
                <w:color w:val="auto"/>
                <w:szCs w:val="21"/>
                <w:highlight w:val="none"/>
                <w:lang w:val="en-US" w:eastAsia="zh-CN"/>
              </w:rPr>
              <w:t>2分。</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2、对索赔材料齐全的案件：</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小案（赔付金额 2000 元以内）5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中案（赔付金额2000 元至 2 万元）7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大案（赔付金额 2 万元至10 万元）10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重大案件（赔付金额 10 万元以上）15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按规定时间或者优于规定时间承诺的得 </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 xml:space="preserve"> 分，每超过 1 个工作日（24 小时）扣 1 分，扣完为止。</w:t>
            </w:r>
          </w:p>
          <w:p>
            <w:pPr>
              <w:ind w:left="80" w:leftChars="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备注：</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cs="宋体" w:asciiTheme="minorEastAsia" w:hAnsiTheme="minorEastAsia" w:eastAsiaTheme="minorEastAsia"/>
                <w:b/>
                <w:bCs/>
                <w:color w:val="auto"/>
                <w:szCs w:val="21"/>
                <w:highlight w:val="none"/>
                <w:lang w:eastAsia="zh-CN"/>
              </w:rPr>
              <w:t>。</w:t>
            </w:r>
          </w:p>
        </w:tc>
        <w:tc>
          <w:tcPr>
            <w:tcW w:w="709" w:type="dxa"/>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5</w:t>
            </w:r>
          </w:p>
        </w:tc>
        <w:tc>
          <w:tcPr>
            <w:tcW w:w="709" w:type="dxa"/>
          </w:tcPr>
          <w:p>
            <w:pPr>
              <w:spacing w:line="360" w:lineRule="auto"/>
              <w:jc w:val="center"/>
              <w:rPr>
                <w:rFonts w:cs="宋体" w:asciiTheme="minorEastAsia" w:hAnsiTheme="minorEastAsia" w:eastAsiaTheme="minorEastAsia"/>
                <w:color w:val="auto"/>
                <w:szCs w:val="21"/>
                <w:highlight w:val="none"/>
              </w:rPr>
            </w:pPr>
          </w:p>
        </w:tc>
        <w:tc>
          <w:tcPr>
            <w:tcW w:w="709" w:type="dxa"/>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服务质量管控</w:t>
            </w:r>
          </w:p>
        </w:tc>
        <w:tc>
          <w:tcPr>
            <w:tcW w:w="5954" w:type="dxa"/>
            <w:vAlign w:val="center"/>
          </w:tcPr>
          <w:p>
            <w:pPr>
              <w:tabs>
                <w:tab w:val="left" w:pos="2061"/>
              </w:tabs>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olor w:val="auto"/>
                <w:szCs w:val="21"/>
                <w:highlight w:val="none"/>
              </w:rPr>
              <w:t>根据投标人对监护人责任险服务工作的管理规范、管理组织构架、监督体系、内控制度、质量管控措施进行打分。优的得3.0-5.0分；一般</w:t>
            </w:r>
            <w:r>
              <w:rPr>
                <w:rFonts w:asciiTheme="minorEastAsia" w:hAnsiTheme="minorEastAsia" w:eastAsiaTheme="minorEastAsia"/>
                <w:color w:val="auto"/>
                <w:szCs w:val="21"/>
                <w:highlight w:val="none"/>
              </w:rPr>
              <w:t>的得</w:t>
            </w:r>
            <w:r>
              <w:rPr>
                <w:rFonts w:hint="eastAsia" w:asciiTheme="minorEastAsia" w:hAnsiTheme="minorEastAsia" w:eastAsiaTheme="minorEastAsia"/>
                <w:color w:val="auto"/>
                <w:szCs w:val="21"/>
                <w:highlight w:val="none"/>
              </w:rPr>
              <w:t>1-2.9分</w:t>
            </w:r>
            <w:r>
              <w:rPr>
                <w:rFonts w:asciiTheme="minorEastAsia" w:hAnsiTheme="minorEastAsia" w:eastAsiaTheme="minorEastAsia"/>
                <w:color w:val="auto"/>
                <w:szCs w:val="21"/>
                <w:highlight w:val="none"/>
              </w:rPr>
              <w:t>；差的得0</w:t>
            </w:r>
            <w:r>
              <w:rPr>
                <w:rFonts w:hint="eastAsia" w:cs="宋体"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0.9</w:t>
            </w:r>
            <w:r>
              <w:rPr>
                <w:rFonts w:hint="eastAsia" w:asciiTheme="minorEastAsia" w:hAnsiTheme="minorEastAsia" w:eastAsiaTheme="minorEastAsia"/>
                <w:color w:val="auto"/>
                <w:szCs w:val="21"/>
                <w:highlight w:val="none"/>
              </w:rPr>
              <w:t>分。</w:t>
            </w:r>
          </w:p>
        </w:tc>
        <w:tc>
          <w:tcPr>
            <w:tcW w:w="709"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c>
          <w:tcPr>
            <w:tcW w:w="709" w:type="dxa"/>
          </w:tcPr>
          <w:p>
            <w:pPr>
              <w:autoSpaceDE w:val="0"/>
              <w:autoSpaceDN w:val="0"/>
              <w:adjustRightInd w:val="0"/>
              <w:jc w:val="center"/>
              <w:rPr>
                <w:rFonts w:cs="新宋体" w:asciiTheme="minorEastAsia" w:hAnsiTheme="minorEastAsia" w:eastAsiaTheme="minorEastAsia"/>
                <w:color w:val="auto"/>
                <w:szCs w:val="21"/>
                <w:highlight w:val="none"/>
              </w:rPr>
            </w:pPr>
          </w:p>
        </w:tc>
        <w:tc>
          <w:tcPr>
            <w:tcW w:w="709" w:type="dxa"/>
          </w:tcPr>
          <w:p>
            <w:pPr>
              <w:autoSpaceDE w:val="0"/>
              <w:autoSpaceDN w:val="0"/>
              <w:adjustRightInd w:val="0"/>
              <w:jc w:val="center"/>
              <w:rPr>
                <w:rFonts w:cs="新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kern w:val="0"/>
                <w:szCs w:val="21"/>
                <w:highlight w:val="none"/>
              </w:rPr>
              <w:t>合理化建议</w:t>
            </w:r>
          </w:p>
        </w:tc>
        <w:tc>
          <w:tcPr>
            <w:tcW w:w="5954" w:type="dxa"/>
            <w:vAlign w:val="center"/>
          </w:tcPr>
          <w:p>
            <w:pPr>
              <w:jc w:val="left"/>
              <w:rPr>
                <w:rFonts w:asciiTheme="minorEastAsia" w:hAnsiTheme="minorEastAsia" w:eastAsiaTheme="minorEastAsia" w:cstheme="minorEastAsia"/>
                <w:b/>
                <w:color w:val="auto"/>
                <w:szCs w:val="21"/>
                <w:highlight w:val="none"/>
              </w:rPr>
            </w:pPr>
            <w:r>
              <w:rPr>
                <w:rFonts w:hint="eastAsia" w:cs="宋体" w:asciiTheme="minorEastAsia" w:hAnsiTheme="minorEastAsia" w:eastAsiaTheme="minorEastAsia"/>
                <w:color w:val="auto"/>
                <w:szCs w:val="21"/>
                <w:highlight w:val="none"/>
              </w:rPr>
              <w:t>根据投标人依据本项目服务要求、实际服务需求提出的合理化建议进行打分。优的得3.0-5.0分；一般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1-2.9分</w:t>
            </w:r>
            <w:r>
              <w:rPr>
                <w:rFonts w:cs="宋体" w:asciiTheme="minorEastAsia" w:hAnsiTheme="minorEastAsia" w:eastAsiaTheme="minorEastAsia"/>
                <w:color w:val="auto"/>
                <w:szCs w:val="21"/>
                <w:highlight w:val="none"/>
              </w:rPr>
              <w:t>；差的得0</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0.9</w:t>
            </w:r>
            <w:r>
              <w:rPr>
                <w:rFonts w:hint="eastAsia" w:cs="宋体" w:asciiTheme="minorEastAsia" w:hAnsiTheme="minorEastAsia" w:eastAsiaTheme="minorEastAsia"/>
                <w:color w:val="auto"/>
                <w:szCs w:val="21"/>
                <w:highlight w:val="none"/>
              </w:rPr>
              <w:t>分。</w:t>
            </w:r>
          </w:p>
        </w:tc>
        <w:tc>
          <w:tcPr>
            <w:tcW w:w="709"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c>
          <w:tcPr>
            <w:tcW w:w="709" w:type="dxa"/>
          </w:tcPr>
          <w:p>
            <w:pPr>
              <w:autoSpaceDE w:val="0"/>
              <w:autoSpaceDN w:val="0"/>
              <w:adjustRightInd w:val="0"/>
              <w:jc w:val="center"/>
              <w:rPr>
                <w:rFonts w:cs="新宋体" w:asciiTheme="minorEastAsia" w:hAnsiTheme="minorEastAsia" w:eastAsiaTheme="minorEastAsia"/>
                <w:color w:val="auto"/>
                <w:szCs w:val="21"/>
                <w:highlight w:val="none"/>
              </w:rPr>
            </w:pPr>
          </w:p>
        </w:tc>
        <w:tc>
          <w:tcPr>
            <w:tcW w:w="709" w:type="dxa"/>
          </w:tcPr>
          <w:p>
            <w:pPr>
              <w:autoSpaceDE w:val="0"/>
              <w:autoSpaceDN w:val="0"/>
              <w:adjustRightInd w:val="0"/>
              <w:jc w:val="center"/>
              <w:rPr>
                <w:rFonts w:cs="新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pPr>
              <w:pStyle w:val="12"/>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rPr>
              <w:t>保密措施</w:t>
            </w:r>
          </w:p>
        </w:tc>
        <w:tc>
          <w:tcPr>
            <w:tcW w:w="5954" w:type="dxa"/>
            <w:vAlign w:val="center"/>
          </w:tcPr>
          <w:p>
            <w:pPr>
              <w:rPr>
                <w:rFonts w:cs="宋体" w:asciiTheme="minorEastAsia" w:hAnsiTheme="minorEastAsia" w:eastAsiaTheme="minorEastAsia"/>
                <w:color w:val="auto"/>
                <w:szCs w:val="21"/>
                <w:highlight w:val="none"/>
              </w:rPr>
            </w:pPr>
            <w:r>
              <w:rPr>
                <w:rFonts w:hint="eastAsia" w:asciiTheme="minorEastAsia" w:hAnsiTheme="minorEastAsia" w:eastAsiaTheme="minorEastAsia" w:cstheme="minorEastAsia"/>
                <w:bCs/>
                <w:color w:val="auto"/>
                <w:szCs w:val="21"/>
                <w:highlight w:val="none"/>
              </w:rPr>
              <w:t>根据供应商是否有具体保密措施，使被投保人信息资料不被泄露等情况进行打分。优的得</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.0分；一般</w:t>
            </w:r>
            <w:r>
              <w:rPr>
                <w:rFonts w:asciiTheme="minorEastAsia" w:hAnsiTheme="minorEastAsia" w:eastAsiaTheme="minorEastAsia" w:cstheme="minorEastAsia"/>
                <w:bCs/>
                <w:color w:val="auto"/>
                <w:szCs w:val="21"/>
                <w:highlight w:val="none"/>
              </w:rPr>
              <w:t>的得2</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.9分</w:t>
            </w:r>
            <w:r>
              <w:rPr>
                <w:rFonts w:asciiTheme="minorEastAsia" w:hAnsiTheme="minorEastAsia" w:eastAsiaTheme="minorEastAsia" w:cstheme="minorEastAsia"/>
                <w:bCs/>
                <w:color w:val="auto"/>
                <w:szCs w:val="21"/>
                <w:highlight w:val="none"/>
              </w:rPr>
              <w:t>；差的得0</w:t>
            </w: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bCs/>
                <w:color w:val="auto"/>
                <w:szCs w:val="21"/>
                <w:highlight w:val="none"/>
              </w:rPr>
              <w:t>1.9</w:t>
            </w:r>
            <w:r>
              <w:rPr>
                <w:rFonts w:hint="eastAsia" w:asciiTheme="minorEastAsia" w:hAnsiTheme="minorEastAsia" w:eastAsiaTheme="minorEastAsia" w:cstheme="minorEastAsia"/>
                <w:bCs/>
                <w:color w:val="auto"/>
                <w:szCs w:val="21"/>
                <w:highlight w:val="none"/>
              </w:rPr>
              <w:t>分。</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asciiTheme="minorEastAsia" w:hAnsiTheme="minorEastAsia" w:eastAsiaTheme="minorEastAsia" w:cstheme="minorEastAsia"/>
                <w:b/>
                <w:color w:val="auto"/>
                <w:szCs w:val="21"/>
                <w:highlight w:val="none"/>
              </w:rPr>
              <w:t>）</w:t>
            </w:r>
          </w:p>
        </w:tc>
        <w:tc>
          <w:tcPr>
            <w:tcW w:w="709" w:type="dxa"/>
            <w:vAlign w:val="center"/>
          </w:tcPr>
          <w:p>
            <w:pPr>
              <w:jc w:val="center"/>
              <w:rPr>
                <w:rFonts w:cs="宋体" w:asciiTheme="minorEastAsia" w:hAnsiTheme="minorEastAsia" w:eastAsiaTheme="minorEastAsia"/>
                <w:color w:val="auto"/>
                <w:szCs w:val="21"/>
                <w:highlight w:val="none"/>
              </w:rPr>
            </w:pPr>
            <w:r>
              <w:rPr>
                <w:rFonts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en-US" w:eastAsia="zh-CN"/>
              </w:rPr>
              <w:t>6</w:t>
            </w:r>
          </w:p>
        </w:tc>
        <w:tc>
          <w:tcPr>
            <w:tcW w:w="709" w:type="dxa"/>
          </w:tcPr>
          <w:p>
            <w:pPr>
              <w:jc w:val="center"/>
              <w:rPr>
                <w:rFonts w:asciiTheme="minorEastAsia" w:hAnsiTheme="minorEastAsia" w:eastAsiaTheme="minorEastAsia" w:cstheme="minorEastAsia"/>
                <w:color w:val="auto"/>
                <w:szCs w:val="21"/>
                <w:highlight w:val="none"/>
              </w:rPr>
            </w:pPr>
          </w:p>
        </w:tc>
        <w:tc>
          <w:tcPr>
            <w:tcW w:w="709" w:type="dxa"/>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650" w:type="dxa"/>
            <w:gridSpan w:val="3"/>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合计</w:t>
            </w:r>
          </w:p>
        </w:tc>
        <w:tc>
          <w:tcPr>
            <w:tcW w:w="709"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100</w:t>
            </w:r>
          </w:p>
        </w:tc>
        <w:tc>
          <w:tcPr>
            <w:tcW w:w="709" w:type="dxa"/>
          </w:tcPr>
          <w:p>
            <w:pPr>
              <w:jc w:val="center"/>
              <w:rPr>
                <w:rFonts w:asciiTheme="minorEastAsia" w:hAnsiTheme="minorEastAsia" w:eastAsiaTheme="minorEastAsia" w:cstheme="minorEastAsia"/>
                <w:b/>
                <w:color w:val="auto"/>
                <w:szCs w:val="21"/>
                <w:highlight w:val="none"/>
              </w:rPr>
            </w:pPr>
          </w:p>
        </w:tc>
        <w:tc>
          <w:tcPr>
            <w:tcW w:w="709" w:type="dxa"/>
          </w:tcPr>
          <w:p>
            <w:pPr>
              <w:jc w:val="center"/>
              <w:rPr>
                <w:rFonts w:asciiTheme="minorEastAsia" w:hAnsiTheme="minorEastAsia" w:eastAsiaTheme="minorEastAsia" w:cstheme="minorEastAsia"/>
                <w:b/>
                <w:color w:val="auto"/>
                <w:szCs w:val="21"/>
                <w:highlight w:val="none"/>
              </w:rPr>
            </w:pPr>
          </w:p>
        </w:tc>
      </w:tr>
    </w:tbl>
    <w:p>
      <w:pPr>
        <w:spacing w:line="360" w:lineRule="auto"/>
        <w:rPr>
          <w:rFonts w:asciiTheme="minorEastAsia" w:hAnsiTheme="minorEastAsia" w:eastAsiaTheme="minorEastAsia"/>
          <w:b/>
          <w:color w:val="auto"/>
          <w:sz w:val="28"/>
          <w:szCs w:val="28"/>
          <w:highlight w:val="none"/>
        </w:rPr>
      </w:pPr>
    </w:p>
    <w:p>
      <w:pPr>
        <w:pStyle w:val="11"/>
        <w:rPr>
          <w:color w:val="auto"/>
          <w:highlight w:val="none"/>
        </w:rPr>
      </w:pPr>
      <w:r>
        <w:rPr>
          <w:rFonts w:asciiTheme="minorEastAsia" w:hAnsiTheme="minorEastAsia" w:eastAsiaTheme="minorEastAsia"/>
          <w:color w:val="auto"/>
          <w:sz w:val="28"/>
          <w:szCs w:val="28"/>
          <w:highlight w:val="none"/>
        </w:rPr>
        <w:br w:type="page"/>
      </w:r>
    </w:p>
    <w:p>
      <w:pPr>
        <w:rPr>
          <w:rFonts w:hAnsi="宋体"/>
          <w:b/>
          <w:color w:val="auto"/>
          <w:sz w:val="24"/>
          <w:highlight w:val="none"/>
        </w:rPr>
      </w:pPr>
      <w:r>
        <w:rPr>
          <w:rFonts w:hint="eastAsia" w:hAnsi="宋体"/>
          <w:b/>
          <w:color w:val="auto"/>
          <w:sz w:val="24"/>
          <w:highlight w:val="none"/>
        </w:rPr>
        <w:t>附件五：</w:t>
      </w:r>
    </w:p>
    <w:p>
      <w:pPr>
        <w:pStyle w:val="14"/>
        <w:spacing w:line="360" w:lineRule="auto"/>
        <w:jc w:val="center"/>
        <w:rPr>
          <w:rFonts w:hAnsi="宋体"/>
          <w:b/>
          <w:bCs/>
          <w:color w:val="auto"/>
          <w:sz w:val="24"/>
          <w:highlight w:val="none"/>
          <w:lang w:val="zh-CN"/>
        </w:rPr>
      </w:pPr>
      <w:r>
        <w:rPr>
          <w:rFonts w:hint="eastAsia" w:hAnsi="宋体"/>
          <w:b/>
          <w:color w:val="auto"/>
          <w:sz w:val="36"/>
          <w:szCs w:val="36"/>
          <w:highlight w:val="none"/>
        </w:rPr>
        <w:t>类似项目业绩一览表</w:t>
      </w:r>
    </w:p>
    <w:tbl>
      <w:tblPr>
        <w:tblStyle w:val="2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3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4"/>
              <w:jc w:val="center"/>
              <w:rPr>
                <w:rFonts w:hAnsi="宋体"/>
                <w:color w:val="auto"/>
                <w:sz w:val="24"/>
                <w:highlight w:val="none"/>
              </w:rPr>
            </w:pPr>
            <w:r>
              <w:rPr>
                <w:rFonts w:hAnsi="宋体"/>
                <w:color w:val="auto"/>
                <w:sz w:val="24"/>
                <w:highlight w:val="none"/>
              </w:rPr>
              <w:t>序号</w:t>
            </w:r>
          </w:p>
        </w:tc>
        <w:tc>
          <w:tcPr>
            <w:tcW w:w="1561" w:type="dxa"/>
            <w:vAlign w:val="center"/>
          </w:tcPr>
          <w:p>
            <w:pPr>
              <w:pStyle w:val="14"/>
              <w:jc w:val="center"/>
              <w:rPr>
                <w:rFonts w:hAnsi="宋体"/>
                <w:color w:val="auto"/>
                <w:sz w:val="24"/>
                <w:highlight w:val="none"/>
              </w:rPr>
            </w:pPr>
            <w:r>
              <w:rPr>
                <w:rFonts w:hAnsi="宋体"/>
                <w:color w:val="auto"/>
                <w:sz w:val="24"/>
                <w:highlight w:val="none"/>
              </w:rPr>
              <w:t>项目名称</w:t>
            </w:r>
          </w:p>
        </w:tc>
        <w:tc>
          <w:tcPr>
            <w:tcW w:w="1744" w:type="dxa"/>
            <w:vAlign w:val="center"/>
          </w:tcPr>
          <w:p>
            <w:pPr>
              <w:pStyle w:val="14"/>
              <w:jc w:val="center"/>
              <w:rPr>
                <w:rFonts w:hAnsi="宋体"/>
                <w:color w:val="auto"/>
                <w:sz w:val="24"/>
                <w:highlight w:val="none"/>
              </w:rPr>
            </w:pPr>
            <w:r>
              <w:rPr>
                <w:rFonts w:hAnsi="宋体"/>
                <w:color w:val="auto"/>
                <w:sz w:val="24"/>
                <w:highlight w:val="none"/>
              </w:rPr>
              <w:t>业主单位</w:t>
            </w:r>
          </w:p>
        </w:tc>
        <w:tc>
          <w:tcPr>
            <w:tcW w:w="1260" w:type="dxa"/>
            <w:vAlign w:val="center"/>
          </w:tcPr>
          <w:p>
            <w:pPr>
              <w:pStyle w:val="14"/>
              <w:jc w:val="center"/>
              <w:rPr>
                <w:rFonts w:hAnsi="宋体"/>
                <w:color w:val="auto"/>
                <w:sz w:val="24"/>
                <w:highlight w:val="none"/>
              </w:rPr>
            </w:pPr>
            <w:r>
              <w:rPr>
                <w:rFonts w:hAnsi="宋体"/>
                <w:color w:val="auto"/>
                <w:sz w:val="24"/>
                <w:highlight w:val="none"/>
              </w:rPr>
              <w:t>合同金额</w:t>
            </w:r>
          </w:p>
        </w:tc>
        <w:tc>
          <w:tcPr>
            <w:tcW w:w="1301" w:type="dxa"/>
            <w:vAlign w:val="center"/>
          </w:tcPr>
          <w:p>
            <w:pPr>
              <w:pStyle w:val="14"/>
              <w:jc w:val="center"/>
              <w:rPr>
                <w:rFonts w:hAnsi="宋体"/>
                <w:color w:val="auto"/>
                <w:sz w:val="24"/>
                <w:highlight w:val="none"/>
              </w:rPr>
            </w:pPr>
            <w:r>
              <w:rPr>
                <w:rFonts w:hAnsi="宋体"/>
                <w:color w:val="auto"/>
                <w:sz w:val="24"/>
                <w:highlight w:val="none"/>
              </w:rPr>
              <w:t>合同签订时间</w:t>
            </w:r>
          </w:p>
        </w:tc>
        <w:tc>
          <w:tcPr>
            <w:tcW w:w="1843" w:type="dxa"/>
            <w:vAlign w:val="center"/>
          </w:tcPr>
          <w:p>
            <w:pPr>
              <w:pStyle w:val="14"/>
              <w:jc w:val="center"/>
              <w:rPr>
                <w:rFonts w:hAnsi="宋体"/>
                <w:color w:val="auto"/>
                <w:sz w:val="24"/>
                <w:highlight w:val="none"/>
              </w:rPr>
            </w:pPr>
            <w:r>
              <w:rPr>
                <w:rFonts w:hAnsi="宋体"/>
                <w:color w:val="auto"/>
                <w:sz w:val="24"/>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4"/>
              <w:rPr>
                <w:rFonts w:hAnsi="宋体"/>
                <w:color w:val="auto"/>
                <w:sz w:val="24"/>
                <w:highlight w:val="none"/>
              </w:rPr>
            </w:pPr>
          </w:p>
        </w:tc>
        <w:tc>
          <w:tcPr>
            <w:tcW w:w="1561" w:type="dxa"/>
            <w:vAlign w:val="center"/>
          </w:tcPr>
          <w:p>
            <w:pPr>
              <w:pStyle w:val="14"/>
              <w:rPr>
                <w:rFonts w:hAnsi="宋体"/>
                <w:color w:val="auto"/>
                <w:sz w:val="24"/>
                <w:highlight w:val="none"/>
              </w:rPr>
            </w:pPr>
          </w:p>
        </w:tc>
        <w:tc>
          <w:tcPr>
            <w:tcW w:w="1744" w:type="dxa"/>
            <w:vAlign w:val="center"/>
          </w:tcPr>
          <w:p>
            <w:pPr>
              <w:pStyle w:val="14"/>
              <w:rPr>
                <w:rFonts w:hAnsi="宋体"/>
                <w:color w:val="auto"/>
                <w:sz w:val="24"/>
                <w:highlight w:val="none"/>
              </w:rPr>
            </w:pPr>
          </w:p>
        </w:tc>
        <w:tc>
          <w:tcPr>
            <w:tcW w:w="1260" w:type="dxa"/>
            <w:vAlign w:val="center"/>
          </w:tcPr>
          <w:p>
            <w:pPr>
              <w:pStyle w:val="14"/>
              <w:rPr>
                <w:rFonts w:hAnsi="宋体"/>
                <w:color w:val="auto"/>
                <w:sz w:val="24"/>
                <w:highlight w:val="none"/>
              </w:rPr>
            </w:pPr>
          </w:p>
        </w:tc>
        <w:tc>
          <w:tcPr>
            <w:tcW w:w="1301" w:type="dxa"/>
            <w:vAlign w:val="center"/>
          </w:tcPr>
          <w:p>
            <w:pPr>
              <w:pStyle w:val="14"/>
              <w:rPr>
                <w:rFonts w:hAnsi="宋体"/>
                <w:color w:val="auto"/>
                <w:sz w:val="24"/>
                <w:highlight w:val="none"/>
              </w:rPr>
            </w:pPr>
          </w:p>
        </w:tc>
        <w:tc>
          <w:tcPr>
            <w:tcW w:w="1843" w:type="dxa"/>
            <w:vAlign w:val="center"/>
          </w:tcPr>
          <w:p>
            <w:pPr>
              <w:pStyle w:val="14"/>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4"/>
              <w:rPr>
                <w:rFonts w:hAnsi="宋体"/>
                <w:color w:val="auto"/>
                <w:sz w:val="24"/>
                <w:highlight w:val="none"/>
              </w:rPr>
            </w:pPr>
          </w:p>
        </w:tc>
        <w:tc>
          <w:tcPr>
            <w:tcW w:w="1561" w:type="dxa"/>
            <w:vAlign w:val="center"/>
          </w:tcPr>
          <w:p>
            <w:pPr>
              <w:pStyle w:val="14"/>
              <w:rPr>
                <w:rFonts w:hAnsi="宋体"/>
                <w:color w:val="auto"/>
                <w:sz w:val="24"/>
                <w:highlight w:val="none"/>
              </w:rPr>
            </w:pPr>
          </w:p>
        </w:tc>
        <w:tc>
          <w:tcPr>
            <w:tcW w:w="1744" w:type="dxa"/>
            <w:vAlign w:val="center"/>
          </w:tcPr>
          <w:p>
            <w:pPr>
              <w:pStyle w:val="14"/>
              <w:rPr>
                <w:rFonts w:hAnsi="宋体"/>
                <w:color w:val="auto"/>
                <w:sz w:val="24"/>
                <w:highlight w:val="none"/>
              </w:rPr>
            </w:pPr>
          </w:p>
        </w:tc>
        <w:tc>
          <w:tcPr>
            <w:tcW w:w="1260" w:type="dxa"/>
            <w:vAlign w:val="center"/>
          </w:tcPr>
          <w:p>
            <w:pPr>
              <w:pStyle w:val="14"/>
              <w:rPr>
                <w:rFonts w:hAnsi="宋体"/>
                <w:color w:val="auto"/>
                <w:sz w:val="24"/>
                <w:highlight w:val="none"/>
              </w:rPr>
            </w:pPr>
          </w:p>
        </w:tc>
        <w:tc>
          <w:tcPr>
            <w:tcW w:w="1301" w:type="dxa"/>
            <w:vAlign w:val="center"/>
          </w:tcPr>
          <w:p>
            <w:pPr>
              <w:pStyle w:val="14"/>
              <w:rPr>
                <w:rFonts w:hAnsi="宋体"/>
                <w:color w:val="auto"/>
                <w:sz w:val="24"/>
                <w:highlight w:val="none"/>
              </w:rPr>
            </w:pPr>
          </w:p>
        </w:tc>
        <w:tc>
          <w:tcPr>
            <w:tcW w:w="1843" w:type="dxa"/>
            <w:vAlign w:val="center"/>
          </w:tcPr>
          <w:p>
            <w:pPr>
              <w:pStyle w:val="14"/>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4"/>
              <w:rPr>
                <w:rFonts w:hAnsi="宋体"/>
                <w:color w:val="auto"/>
                <w:sz w:val="24"/>
                <w:highlight w:val="none"/>
              </w:rPr>
            </w:pPr>
          </w:p>
        </w:tc>
        <w:tc>
          <w:tcPr>
            <w:tcW w:w="1561" w:type="dxa"/>
            <w:vAlign w:val="center"/>
          </w:tcPr>
          <w:p>
            <w:pPr>
              <w:pStyle w:val="14"/>
              <w:rPr>
                <w:rFonts w:hAnsi="宋体"/>
                <w:color w:val="auto"/>
                <w:sz w:val="24"/>
                <w:highlight w:val="none"/>
              </w:rPr>
            </w:pPr>
          </w:p>
        </w:tc>
        <w:tc>
          <w:tcPr>
            <w:tcW w:w="1744" w:type="dxa"/>
            <w:vAlign w:val="center"/>
          </w:tcPr>
          <w:p>
            <w:pPr>
              <w:pStyle w:val="14"/>
              <w:rPr>
                <w:rFonts w:hAnsi="宋体"/>
                <w:color w:val="auto"/>
                <w:sz w:val="24"/>
                <w:highlight w:val="none"/>
              </w:rPr>
            </w:pPr>
          </w:p>
        </w:tc>
        <w:tc>
          <w:tcPr>
            <w:tcW w:w="1260" w:type="dxa"/>
            <w:vAlign w:val="center"/>
          </w:tcPr>
          <w:p>
            <w:pPr>
              <w:pStyle w:val="14"/>
              <w:rPr>
                <w:rFonts w:hAnsi="宋体"/>
                <w:color w:val="auto"/>
                <w:sz w:val="24"/>
                <w:highlight w:val="none"/>
              </w:rPr>
            </w:pPr>
          </w:p>
        </w:tc>
        <w:tc>
          <w:tcPr>
            <w:tcW w:w="1301" w:type="dxa"/>
            <w:vAlign w:val="center"/>
          </w:tcPr>
          <w:p>
            <w:pPr>
              <w:pStyle w:val="14"/>
              <w:rPr>
                <w:rFonts w:hAnsi="宋体"/>
                <w:color w:val="auto"/>
                <w:sz w:val="24"/>
                <w:highlight w:val="none"/>
              </w:rPr>
            </w:pPr>
          </w:p>
        </w:tc>
        <w:tc>
          <w:tcPr>
            <w:tcW w:w="1843" w:type="dxa"/>
            <w:vAlign w:val="center"/>
          </w:tcPr>
          <w:p>
            <w:pPr>
              <w:pStyle w:val="14"/>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4"/>
              <w:rPr>
                <w:rFonts w:hAnsi="宋体"/>
                <w:color w:val="auto"/>
                <w:sz w:val="24"/>
                <w:highlight w:val="none"/>
              </w:rPr>
            </w:pPr>
          </w:p>
        </w:tc>
        <w:tc>
          <w:tcPr>
            <w:tcW w:w="1561" w:type="dxa"/>
            <w:vAlign w:val="center"/>
          </w:tcPr>
          <w:p>
            <w:pPr>
              <w:pStyle w:val="14"/>
              <w:rPr>
                <w:rFonts w:hAnsi="宋体"/>
                <w:color w:val="auto"/>
                <w:sz w:val="24"/>
                <w:highlight w:val="none"/>
              </w:rPr>
            </w:pPr>
          </w:p>
        </w:tc>
        <w:tc>
          <w:tcPr>
            <w:tcW w:w="1744" w:type="dxa"/>
            <w:vAlign w:val="center"/>
          </w:tcPr>
          <w:p>
            <w:pPr>
              <w:pStyle w:val="14"/>
              <w:rPr>
                <w:rFonts w:hAnsi="宋体"/>
                <w:color w:val="auto"/>
                <w:sz w:val="24"/>
                <w:highlight w:val="none"/>
              </w:rPr>
            </w:pPr>
          </w:p>
        </w:tc>
        <w:tc>
          <w:tcPr>
            <w:tcW w:w="1260" w:type="dxa"/>
            <w:vAlign w:val="center"/>
          </w:tcPr>
          <w:p>
            <w:pPr>
              <w:pStyle w:val="14"/>
              <w:rPr>
                <w:rFonts w:hAnsi="宋体"/>
                <w:color w:val="auto"/>
                <w:sz w:val="24"/>
                <w:highlight w:val="none"/>
              </w:rPr>
            </w:pPr>
          </w:p>
        </w:tc>
        <w:tc>
          <w:tcPr>
            <w:tcW w:w="1301" w:type="dxa"/>
            <w:vAlign w:val="center"/>
          </w:tcPr>
          <w:p>
            <w:pPr>
              <w:pStyle w:val="14"/>
              <w:rPr>
                <w:rFonts w:hAnsi="宋体"/>
                <w:color w:val="auto"/>
                <w:sz w:val="24"/>
                <w:highlight w:val="none"/>
              </w:rPr>
            </w:pPr>
          </w:p>
        </w:tc>
        <w:tc>
          <w:tcPr>
            <w:tcW w:w="1843" w:type="dxa"/>
            <w:vAlign w:val="center"/>
          </w:tcPr>
          <w:p>
            <w:pPr>
              <w:pStyle w:val="14"/>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4"/>
              <w:rPr>
                <w:rFonts w:hAnsi="宋体"/>
                <w:color w:val="auto"/>
                <w:sz w:val="24"/>
                <w:highlight w:val="none"/>
              </w:rPr>
            </w:pPr>
          </w:p>
        </w:tc>
        <w:tc>
          <w:tcPr>
            <w:tcW w:w="1561" w:type="dxa"/>
            <w:vAlign w:val="center"/>
          </w:tcPr>
          <w:p>
            <w:pPr>
              <w:pStyle w:val="14"/>
              <w:rPr>
                <w:rFonts w:hAnsi="宋体"/>
                <w:color w:val="auto"/>
                <w:sz w:val="24"/>
                <w:highlight w:val="none"/>
              </w:rPr>
            </w:pPr>
          </w:p>
        </w:tc>
        <w:tc>
          <w:tcPr>
            <w:tcW w:w="1744" w:type="dxa"/>
            <w:vAlign w:val="center"/>
          </w:tcPr>
          <w:p>
            <w:pPr>
              <w:pStyle w:val="14"/>
              <w:rPr>
                <w:rFonts w:hAnsi="宋体"/>
                <w:color w:val="auto"/>
                <w:sz w:val="24"/>
                <w:highlight w:val="none"/>
              </w:rPr>
            </w:pPr>
          </w:p>
        </w:tc>
        <w:tc>
          <w:tcPr>
            <w:tcW w:w="1260" w:type="dxa"/>
            <w:vAlign w:val="center"/>
          </w:tcPr>
          <w:p>
            <w:pPr>
              <w:pStyle w:val="14"/>
              <w:rPr>
                <w:rFonts w:hAnsi="宋体"/>
                <w:color w:val="auto"/>
                <w:sz w:val="24"/>
                <w:highlight w:val="none"/>
              </w:rPr>
            </w:pPr>
          </w:p>
        </w:tc>
        <w:tc>
          <w:tcPr>
            <w:tcW w:w="1301" w:type="dxa"/>
            <w:vAlign w:val="center"/>
          </w:tcPr>
          <w:p>
            <w:pPr>
              <w:pStyle w:val="14"/>
              <w:rPr>
                <w:rFonts w:hAnsi="宋体"/>
                <w:color w:val="auto"/>
                <w:sz w:val="24"/>
                <w:highlight w:val="none"/>
              </w:rPr>
            </w:pPr>
          </w:p>
        </w:tc>
        <w:tc>
          <w:tcPr>
            <w:tcW w:w="1843" w:type="dxa"/>
            <w:vAlign w:val="center"/>
          </w:tcPr>
          <w:p>
            <w:pPr>
              <w:pStyle w:val="14"/>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4"/>
              <w:rPr>
                <w:rFonts w:hAnsi="宋体"/>
                <w:color w:val="auto"/>
                <w:sz w:val="24"/>
                <w:highlight w:val="none"/>
              </w:rPr>
            </w:pPr>
          </w:p>
        </w:tc>
        <w:tc>
          <w:tcPr>
            <w:tcW w:w="1561" w:type="dxa"/>
            <w:vAlign w:val="center"/>
          </w:tcPr>
          <w:p>
            <w:pPr>
              <w:pStyle w:val="14"/>
              <w:rPr>
                <w:rFonts w:hAnsi="宋体"/>
                <w:color w:val="auto"/>
                <w:sz w:val="24"/>
                <w:highlight w:val="none"/>
              </w:rPr>
            </w:pPr>
          </w:p>
        </w:tc>
        <w:tc>
          <w:tcPr>
            <w:tcW w:w="1744" w:type="dxa"/>
            <w:vAlign w:val="center"/>
          </w:tcPr>
          <w:p>
            <w:pPr>
              <w:pStyle w:val="14"/>
              <w:rPr>
                <w:rFonts w:hAnsi="宋体"/>
                <w:color w:val="auto"/>
                <w:sz w:val="24"/>
                <w:highlight w:val="none"/>
              </w:rPr>
            </w:pPr>
          </w:p>
        </w:tc>
        <w:tc>
          <w:tcPr>
            <w:tcW w:w="1260" w:type="dxa"/>
            <w:vAlign w:val="center"/>
          </w:tcPr>
          <w:p>
            <w:pPr>
              <w:pStyle w:val="14"/>
              <w:rPr>
                <w:rFonts w:hAnsi="宋体"/>
                <w:color w:val="auto"/>
                <w:sz w:val="24"/>
                <w:highlight w:val="none"/>
              </w:rPr>
            </w:pPr>
          </w:p>
        </w:tc>
        <w:tc>
          <w:tcPr>
            <w:tcW w:w="1301" w:type="dxa"/>
            <w:vAlign w:val="center"/>
          </w:tcPr>
          <w:p>
            <w:pPr>
              <w:pStyle w:val="14"/>
              <w:rPr>
                <w:rFonts w:hAnsi="宋体"/>
                <w:color w:val="auto"/>
                <w:sz w:val="24"/>
                <w:highlight w:val="none"/>
              </w:rPr>
            </w:pPr>
          </w:p>
        </w:tc>
        <w:tc>
          <w:tcPr>
            <w:tcW w:w="1843" w:type="dxa"/>
            <w:vAlign w:val="center"/>
          </w:tcPr>
          <w:p>
            <w:pPr>
              <w:pStyle w:val="14"/>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4"/>
              <w:rPr>
                <w:rFonts w:hAnsi="宋体"/>
                <w:color w:val="auto"/>
                <w:sz w:val="24"/>
                <w:highlight w:val="none"/>
              </w:rPr>
            </w:pPr>
          </w:p>
        </w:tc>
        <w:tc>
          <w:tcPr>
            <w:tcW w:w="1561" w:type="dxa"/>
            <w:vAlign w:val="center"/>
          </w:tcPr>
          <w:p>
            <w:pPr>
              <w:pStyle w:val="14"/>
              <w:rPr>
                <w:rFonts w:hAnsi="宋体"/>
                <w:color w:val="auto"/>
                <w:sz w:val="24"/>
                <w:highlight w:val="none"/>
              </w:rPr>
            </w:pPr>
          </w:p>
        </w:tc>
        <w:tc>
          <w:tcPr>
            <w:tcW w:w="1744" w:type="dxa"/>
            <w:vAlign w:val="center"/>
          </w:tcPr>
          <w:p>
            <w:pPr>
              <w:pStyle w:val="14"/>
              <w:rPr>
                <w:rFonts w:hAnsi="宋体"/>
                <w:color w:val="auto"/>
                <w:sz w:val="24"/>
                <w:highlight w:val="none"/>
              </w:rPr>
            </w:pPr>
          </w:p>
        </w:tc>
        <w:tc>
          <w:tcPr>
            <w:tcW w:w="1260" w:type="dxa"/>
            <w:vAlign w:val="center"/>
          </w:tcPr>
          <w:p>
            <w:pPr>
              <w:pStyle w:val="14"/>
              <w:rPr>
                <w:rFonts w:hAnsi="宋体"/>
                <w:color w:val="auto"/>
                <w:sz w:val="24"/>
                <w:highlight w:val="none"/>
              </w:rPr>
            </w:pPr>
          </w:p>
        </w:tc>
        <w:tc>
          <w:tcPr>
            <w:tcW w:w="1301" w:type="dxa"/>
            <w:vAlign w:val="center"/>
          </w:tcPr>
          <w:p>
            <w:pPr>
              <w:pStyle w:val="14"/>
              <w:rPr>
                <w:rFonts w:hAnsi="宋体"/>
                <w:color w:val="auto"/>
                <w:sz w:val="24"/>
                <w:highlight w:val="none"/>
              </w:rPr>
            </w:pPr>
          </w:p>
        </w:tc>
        <w:tc>
          <w:tcPr>
            <w:tcW w:w="1843" w:type="dxa"/>
            <w:vAlign w:val="center"/>
          </w:tcPr>
          <w:p>
            <w:pPr>
              <w:pStyle w:val="14"/>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4"/>
              <w:rPr>
                <w:rFonts w:hAnsi="宋体"/>
                <w:color w:val="auto"/>
                <w:sz w:val="24"/>
                <w:highlight w:val="none"/>
              </w:rPr>
            </w:pPr>
          </w:p>
        </w:tc>
        <w:tc>
          <w:tcPr>
            <w:tcW w:w="1561" w:type="dxa"/>
            <w:vAlign w:val="center"/>
          </w:tcPr>
          <w:p>
            <w:pPr>
              <w:pStyle w:val="14"/>
              <w:rPr>
                <w:rFonts w:hAnsi="宋体"/>
                <w:color w:val="auto"/>
                <w:sz w:val="24"/>
                <w:highlight w:val="none"/>
              </w:rPr>
            </w:pPr>
          </w:p>
        </w:tc>
        <w:tc>
          <w:tcPr>
            <w:tcW w:w="1744" w:type="dxa"/>
            <w:vAlign w:val="center"/>
          </w:tcPr>
          <w:p>
            <w:pPr>
              <w:pStyle w:val="14"/>
              <w:rPr>
                <w:rFonts w:hAnsi="宋体"/>
                <w:color w:val="auto"/>
                <w:sz w:val="24"/>
                <w:highlight w:val="none"/>
              </w:rPr>
            </w:pPr>
          </w:p>
        </w:tc>
        <w:tc>
          <w:tcPr>
            <w:tcW w:w="1260" w:type="dxa"/>
            <w:vAlign w:val="center"/>
          </w:tcPr>
          <w:p>
            <w:pPr>
              <w:pStyle w:val="14"/>
              <w:rPr>
                <w:rFonts w:hAnsi="宋体"/>
                <w:color w:val="auto"/>
                <w:sz w:val="24"/>
                <w:highlight w:val="none"/>
              </w:rPr>
            </w:pPr>
          </w:p>
        </w:tc>
        <w:tc>
          <w:tcPr>
            <w:tcW w:w="1301" w:type="dxa"/>
            <w:vAlign w:val="center"/>
          </w:tcPr>
          <w:p>
            <w:pPr>
              <w:pStyle w:val="14"/>
              <w:rPr>
                <w:rFonts w:hAnsi="宋体"/>
                <w:color w:val="auto"/>
                <w:sz w:val="24"/>
                <w:highlight w:val="none"/>
              </w:rPr>
            </w:pPr>
          </w:p>
        </w:tc>
        <w:tc>
          <w:tcPr>
            <w:tcW w:w="1843" w:type="dxa"/>
            <w:vAlign w:val="center"/>
          </w:tcPr>
          <w:p>
            <w:pPr>
              <w:pStyle w:val="14"/>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4"/>
              <w:rPr>
                <w:rFonts w:hAnsi="宋体"/>
                <w:color w:val="auto"/>
                <w:sz w:val="24"/>
                <w:highlight w:val="none"/>
              </w:rPr>
            </w:pPr>
            <w:r>
              <w:rPr>
                <w:rFonts w:hint="eastAsia" w:hAnsi="宋体"/>
                <w:color w:val="auto"/>
                <w:sz w:val="24"/>
                <w:highlight w:val="none"/>
              </w:rPr>
              <w:t>……</w:t>
            </w:r>
          </w:p>
        </w:tc>
        <w:tc>
          <w:tcPr>
            <w:tcW w:w="1561" w:type="dxa"/>
            <w:vAlign w:val="center"/>
          </w:tcPr>
          <w:p>
            <w:pPr>
              <w:pStyle w:val="14"/>
              <w:rPr>
                <w:rFonts w:hAnsi="宋体"/>
                <w:color w:val="auto"/>
                <w:sz w:val="24"/>
                <w:highlight w:val="none"/>
              </w:rPr>
            </w:pPr>
          </w:p>
        </w:tc>
        <w:tc>
          <w:tcPr>
            <w:tcW w:w="1744" w:type="dxa"/>
            <w:vAlign w:val="center"/>
          </w:tcPr>
          <w:p>
            <w:pPr>
              <w:pStyle w:val="14"/>
              <w:rPr>
                <w:rFonts w:hAnsi="宋体"/>
                <w:color w:val="auto"/>
                <w:sz w:val="24"/>
                <w:highlight w:val="none"/>
              </w:rPr>
            </w:pPr>
          </w:p>
        </w:tc>
        <w:tc>
          <w:tcPr>
            <w:tcW w:w="1260" w:type="dxa"/>
            <w:vAlign w:val="center"/>
          </w:tcPr>
          <w:p>
            <w:pPr>
              <w:pStyle w:val="14"/>
              <w:rPr>
                <w:rFonts w:hAnsi="宋体"/>
                <w:color w:val="auto"/>
                <w:sz w:val="24"/>
                <w:highlight w:val="none"/>
              </w:rPr>
            </w:pPr>
          </w:p>
        </w:tc>
        <w:tc>
          <w:tcPr>
            <w:tcW w:w="1301" w:type="dxa"/>
            <w:vAlign w:val="center"/>
          </w:tcPr>
          <w:p>
            <w:pPr>
              <w:pStyle w:val="14"/>
              <w:rPr>
                <w:rFonts w:hAnsi="宋体"/>
                <w:color w:val="auto"/>
                <w:sz w:val="24"/>
                <w:highlight w:val="none"/>
              </w:rPr>
            </w:pPr>
          </w:p>
        </w:tc>
        <w:tc>
          <w:tcPr>
            <w:tcW w:w="1843" w:type="dxa"/>
            <w:vAlign w:val="center"/>
          </w:tcPr>
          <w:p>
            <w:pPr>
              <w:pStyle w:val="14"/>
              <w:rPr>
                <w:rFonts w:hAnsi="宋体"/>
                <w:color w:val="auto"/>
                <w:sz w:val="24"/>
                <w:highlight w:val="none"/>
              </w:rPr>
            </w:pPr>
          </w:p>
        </w:tc>
      </w:tr>
    </w:tbl>
    <w:p>
      <w:pPr>
        <w:pStyle w:val="14"/>
        <w:spacing w:line="360" w:lineRule="auto"/>
        <w:rPr>
          <w:rFonts w:hAnsi="宋体"/>
          <w:color w:val="auto"/>
          <w:sz w:val="24"/>
          <w:highlight w:val="none"/>
        </w:rPr>
      </w:pPr>
      <w:r>
        <w:rPr>
          <w:rFonts w:hAnsi="宋体"/>
          <w:color w:val="auto"/>
          <w:sz w:val="24"/>
          <w:highlight w:val="none"/>
        </w:rPr>
        <w:t>注：表中业绩参照评分办法及评分标准中要求的业绩提供</w:t>
      </w:r>
      <w:r>
        <w:rPr>
          <w:rFonts w:hint="eastAsia" w:hAnsi="宋体"/>
          <w:color w:val="auto"/>
          <w:sz w:val="24"/>
          <w:highlight w:val="none"/>
        </w:rPr>
        <w:t>。</w:t>
      </w:r>
    </w:p>
    <w:p>
      <w:pPr>
        <w:pStyle w:val="14"/>
        <w:spacing w:line="360" w:lineRule="auto"/>
        <w:ind w:firstLine="468" w:firstLineChars="195"/>
        <w:rPr>
          <w:rFonts w:hAnsi="宋体"/>
          <w:color w:val="auto"/>
          <w:sz w:val="24"/>
          <w:highlight w:val="none"/>
        </w:rPr>
      </w:pPr>
    </w:p>
    <w:p>
      <w:pPr>
        <w:autoSpaceDE w:val="0"/>
        <w:autoSpaceDN w:val="0"/>
        <w:adjustRightInd w:val="0"/>
        <w:spacing w:line="560" w:lineRule="exact"/>
        <w:ind w:firstLine="6000" w:firstLineChars="2500"/>
        <w:rPr>
          <w:rFonts w:ascii="宋体" w:hAnsi="宋体"/>
          <w:color w:val="auto"/>
          <w:sz w:val="24"/>
          <w:highlight w:val="none"/>
        </w:rPr>
      </w:pPr>
    </w:p>
    <w:p>
      <w:pPr>
        <w:autoSpaceDE w:val="0"/>
        <w:autoSpaceDN w:val="0"/>
        <w:adjustRightInd w:val="0"/>
        <w:spacing w:line="560" w:lineRule="exact"/>
        <w:ind w:firstLine="3840" w:firstLineChars="1600"/>
        <w:rPr>
          <w:rFonts w:ascii="宋体" w:hAnsi="宋体"/>
          <w:color w:val="auto"/>
          <w:sz w:val="24"/>
          <w:highlight w:val="none"/>
        </w:rPr>
      </w:pPr>
      <w:r>
        <w:rPr>
          <w:rFonts w:ascii="宋体" w:hAnsi="宋体"/>
          <w:color w:val="auto"/>
          <w:sz w:val="24"/>
          <w:highlight w:val="none"/>
        </w:rPr>
        <w:t>投标人（盖单位章）：</w:t>
      </w:r>
    </w:p>
    <w:p>
      <w:pPr>
        <w:autoSpaceDE w:val="0"/>
        <w:autoSpaceDN w:val="0"/>
        <w:adjustRightInd w:val="0"/>
        <w:spacing w:line="560" w:lineRule="exact"/>
        <w:ind w:firstLine="3840" w:firstLineChars="1600"/>
        <w:rPr>
          <w:rFonts w:ascii="宋体" w:hAnsi="宋体"/>
          <w:color w:val="auto"/>
          <w:sz w:val="24"/>
          <w:highlight w:val="none"/>
        </w:rPr>
      </w:pPr>
      <w:r>
        <w:rPr>
          <w:rFonts w:ascii="宋体" w:hAnsi="宋体"/>
          <w:color w:val="auto"/>
          <w:sz w:val="24"/>
          <w:highlight w:val="none"/>
        </w:rPr>
        <w:t>法定代表人或</w:t>
      </w:r>
      <w:r>
        <w:rPr>
          <w:rFonts w:hint="eastAsia" w:ascii="宋体" w:hAnsi="宋体"/>
          <w:color w:val="auto"/>
          <w:sz w:val="24"/>
          <w:highlight w:val="none"/>
        </w:rPr>
        <w:t>全权代表</w:t>
      </w:r>
      <w:r>
        <w:rPr>
          <w:rFonts w:ascii="宋体" w:hAnsi="宋体"/>
          <w:color w:val="auto"/>
          <w:sz w:val="24"/>
          <w:highlight w:val="none"/>
        </w:rPr>
        <w:t>（盖章或签字）：</w:t>
      </w:r>
    </w:p>
    <w:p>
      <w:pPr>
        <w:pStyle w:val="14"/>
        <w:spacing w:line="360" w:lineRule="auto"/>
        <w:rPr>
          <w:rFonts w:hAnsi="宋体"/>
          <w:color w:val="auto"/>
          <w:sz w:val="24"/>
          <w:highlight w:val="none"/>
        </w:rPr>
      </w:pPr>
      <w:r>
        <w:rPr>
          <w:rFonts w:hAnsi="宋体"/>
          <w:color w:val="auto"/>
          <w:sz w:val="24"/>
          <w:highlight w:val="none"/>
        </w:rPr>
        <w:t>日期：</w:t>
      </w:r>
      <w:r>
        <w:rPr>
          <w:rFonts w:hAnsi="宋体"/>
          <w:color w:val="auto"/>
          <w:sz w:val="24"/>
          <w:highlight w:val="none"/>
        </w:rPr>
        <w:br w:type="page"/>
      </w:r>
    </w:p>
    <w:p>
      <w:pPr>
        <w:rPr>
          <w:rFonts w:hAnsi="宋体"/>
          <w:b/>
          <w:color w:val="auto"/>
          <w:sz w:val="24"/>
          <w:highlight w:val="none"/>
        </w:rPr>
      </w:pPr>
      <w:bookmarkStart w:id="13" w:name="_Toc293989545"/>
      <w:r>
        <w:rPr>
          <w:rFonts w:hint="eastAsia" w:hAnsi="宋体"/>
          <w:b/>
          <w:color w:val="auto"/>
          <w:sz w:val="24"/>
          <w:highlight w:val="none"/>
        </w:rPr>
        <w:t>附件六：</w:t>
      </w:r>
    </w:p>
    <w:p>
      <w:pPr>
        <w:spacing w:before="208" w:line="185" w:lineRule="auto"/>
        <w:ind w:firstLine="3744"/>
        <w:rPr>
          <w:rFonts w:ascii="宋体" w:hAnsi="宋体" w:cs="宋体"/>
          <w:color w:val="auto"/>
          <w:sz w:val="36"/>
          <w:szCs w:val="36"/>
          <w:highlight w:val="none"/>
        </w:rPr>
      </w:pPr>
      <w:r>
        <w:rPr>
          <w:rFonts w:ascii="宋体" w:hAnsi="宋体" w:cs="宋体"/>
          <w:color w:val="auto"/>
          <w:spacing w:val="-3"/>
          <w:sz w:val="36"/>
          <w:szCs w:val="36"/>
          <w:highlight w:val="none"/>
        </w:rPr>
        <w:t>商务响应表</w:t>
      </w:r>
    </w:p>
    <w:p>
      <w:pPr>
        <w:rPr>
          <w:color w:val="auto"/>
          <w:highlight w:val="none"/>
        </w:rPr>
      </w:pPr>
    </w:p>
    <w:p>
      <w:pPr>
        <w:spacing w:line="67" w:lineRule="exact"/>
        <w:rPr>
          <w:color w:val="auto"/>
          <w:highlight w:val="none"/>
        </w:rPr>
      </w:pPr>
    </w:p>
    <w:tbl>
      <w:tblPr>
        <w:tblStyle w:val="78"/>
        <w:tblW w:w="903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924"/>
        <w:gridCol w:w="2545"/>
        <w:gridCol w:w="2562"/>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44" w:type="dxa"/>
          </w:tcPr>
          <w:p>
            <w:pPr>
              <w:spacing w:before="230" w:line="185" w:lineRule="auto"/>
              <w:ind w:firstLine="156"/>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序号</w:t>
            </w:r>
          </w:p>
        </w:tc>
        <w:tc>
          <w:tcPr>
            <w:tcW w:w="1924" w:type="dxa"/>
          </w:tcPr>
          <w:p>
            <w:pPr>
              <w:spacing w:before="230" w:line="185" w:lineRule="auto"/>
              <w:ind w:firstLine="745"/>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类别</w:t>
            </w:r>
          </w:p>
        </w:tc>
        <w:tc>
          <w:tcPr>
            <w:tcW w:w="2545" w:type="dxa"/>
          </w:tcPr>
          <w:p>
            <w:pPr>
              <w:spacing w:before="230" w:line="185" w:lineRule="auto"/>
              <w:ind w:firstLine="61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招标文件要求</w:t>
            </w:r>
          </w:p>
        </w:tc>
        <w:tc>
          <w:tcPr>
            <w:tcW w:w="2562" w:type="dxa"/>
          </w:tcPr>
          <w:p>
            <w:pPr>
              <w:spacing w:before="230" w:line="185" w:lineRule="auto"/>
              <w:ind w:firstLine="741"/>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投标人承诺</w:t>
            </w:r>
          </w:p>
        </w:tc>
        <w:tc>
          <w:tcPr>
            <w:tcW w:w="1264" w:type="dxa"/>
          </w:tcPr>
          <w:p>
            <w:pPr>
              <w:spacing w:before="230" w:line="185" w:lineRule="auto"/>
              <w:ind w:firstLine="201"/>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是否响应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44" w:type="dxa"/>
          </w:tcPr>
          <w:p>
            <w:pPr>
              <w:spacing w:before="264" w:line="180" w:lineRule="auto"/>
              <w:ind w:firstLine="339"/>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1</w:t>
            </w:r>
          </w:p>
        </w:tc>
        <w:tc>
          <w:tcPr>
            <w:tcW w:w="1924" w:type="dxa"/>
          </w:tcPr>
          <w:p>
            <w:pPr>
              <w:spacing w:before="228" w:line="185" w:lineRule="auto"/>
              <w:ind w:firstLine="525"/>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保险期限</w:t>
            </w:r>
          </w:p>
        </w:tc>
        <w:tc>
          <w:tcPr>
            <w:tcW w:w="2545" w:type="dxa"/>
          </w:tcPr>
          <w:p>
            <w:pPr>
              <w:rPr>
                <w:rFonts w:ascii="Calibri" w:hAnsi="Arial" w:cs="Arial" w:eastAsiaTheme="minorEastAsia"/>
                <w:color w:val="auto"/>
                <w:highlight w:val="none"/>
              </w:rPr>
            </w:pPr>
          </w:p>
        </w:tc>
        <w:tc>
          <w:tcPr>
            <w:tcW w:w="2562" w:type="dxa"/>
          </w:tcPr>
          <w:p>
            <w:pPr>
              <w:rPr>
                <w:rFonts w:ascii="Calibri" w:hAnsi="Arial" w:cs="Arial" w:eastAsiaTheme="minorEastAsia"/>
                <w:color w:val="auto"/>
                <w:highlight w:val="none"/>
              </w:rPr>
            </w:pPr>
          </w:p>
        </w:tc>
        <w:tc>
          <w:tcPr>
            <w:tcW w:w="126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44" w:type="dxa"/>
          </w:tcPr>
          <w:p>
            <w:pPr>
              <w:spacing w:before="264" w:line="180" w:lineRule="auto"/>
              <w:ind w:firstLine="325"/>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2</w:t>
            </w:r>
          </w:p>
        </w:tc>
        <w:tc>
          <w:tcPr>
            <w:tcW w:w="1924" w:type="dxa"/>
          </w:tcPr>
          <w:p>
            <w:pPr>
              <w:spacing w:before="227" w:line="185" w:lineRule="auto"/>
              <w:ind w:firstLine="524"/>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付款方式</w:t>
            </w:r>
          </w:p>
        </w:tc>
        <w:tc>
          <w:tcPr>
            <w:tcW w:w="2545" w:type="dxa"/>
          </w:tcPr>
          <w:p>
            <w:pPr>
              <w:rPr>
                <w:rFonts w:ascii="Calibri" w:hAnsi="Arial" w:cs="Arial" w:eastAsiaTheme="minorEastAsia"/>
                <w:color w:val="auto"/>
                <w:highlight w:val="none"/>
              </w:rPr>
            </w:pPr>
          </w:p>
        </w:tc>
        <w:tc>
          <w:tcPr>
            <w:tcW w:w="2562" w:type="dxa"/>
          </w:tcPr>
          <w:p>
            <w:pPr>
              <w:rPr>
                <w:rFonts w:ascii="Calibri" w:hAnsi="Arial" w:cs="Arial" w:eastAsiaTheme="minorEastAsia"/>
                <w:color w:val="auto"/>
                <w:highlight w:val="none"/>
              </w:rPr>
            </w:pPr>
          </w:p>
        </w:tc>
        <w:tc>
          <w:tcPr>
            <w:tcW w:w="126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44" w:type="dxa"/>
          </w:tcPr>
          <w:p>
            <w:pPr>
              <w:spacing w:before="267" w:line="180" w:lineRule="auto"/>
              <w:ind w:firstLine="327"/>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3</w:t>
            </w:r>
          </w:p>
        </w:tc>
        <w:tc>
          <w:tcPr>
            <w:tcW w:w="1924" w:type="dxa"/>
          </w:tcPr>
          <w:p>
            <w:pPr>
              <w:spacing w:before="85"/>
              <w:ind w:left="303" w:right="191" w:firstLine="416" w:firstLineChars="200"/>
              <w:rPr>
                <w:rFonts w:ascii="宋体" w:hAnsi="宋体" w:cs="宋体" w:eastAsiaTheme="minorEastAsia"/>
                <w:color w:val="auto"/>
                <w:sz w:val="22"/>
                <w:szCs w:val="22"/>
                <w:highlight w:val="none"/>
              </w:rPr>
            </w:pPr>
            <w:r>
              <w:rPr>
                <w:rFonts w:ascii="宋体" w:hAnsi="宋体" w:cs="宋体" w:eastAsiaTheme="minorEastAsia"/>
                <w:color w:val="auto"/>
                <w:spacing w:val="-6"/>
                <w:sz w:val="22"/>
                <w:szCs w:val="22"/>
                <w:highlight w:val="none"/>
              </w:rPr>
              <w:t>……</w:t>
            </w:r>
          </w:p>
        </w:tc>
        <w:tc>
          <w:tcPr>
            <w:tcW w:w="2545" w:type="dxa"/>
          </w:tcPr>
          <w:p>
            <w:pPr>
              <w:rPr>
                <w:rFonts w:ascii="Calibri" w:hAnsi="Arial" w:cs="Arial" w:eastAsiaTheme="minorEastAsia"/>
                <w:color w:val="auto"/>
                <w:highlight w:val="none"/>
              </w:rPr>
            </w:pPr>
          </w:p>
        </w:tc>
        <w:tc>
          <w:tcPr>
            <w:tcW w:w="2562" w:type="dxa"/>
          </w:tcPr>
          <w:p>
            <w:pPr>
              <w:rPr>
                <w:rFonts w:ascii="Calibri" w:hAnsi="Arial" w:cs="Arial" w:eastAsiaTheme="minorEastAsia"/>
                <w:color w:val="auto"/>
                <w:highlight w:val="none"/>
              </w:rPr>
            </w:pPr>
          </w:p>
        </w:tc>
        <w:tc>
          <w:tcPr>
            <w:tcW w:w="126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44" w:type="dxa"/>
          </w:tcPr>
          <w:p>
            <w:pPr>
              <w:spacing w:before="266" w:line="180" w:lineRule="auto"/>
              <w:ind w:firstLine="321"/>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4</w:t>
            </w:r>
          </w:p>
        </w:tc>
        <w:tc>
          <w:tcPr>
            <w:tcW w:w="1924" w:type="dxa"/>
          </w:tcPr>
          <w:p>
            <w:pPr>
              <w:spacing w:before="230" w:line="185" w:lineRule="auto"/>
              <w:ind w:firstLine="759"/>
              <w:rPr>
                <w:rFonts w:ascii="宋体" w:hAnsi="宋体" w:cs="宋体" w:eastAsiaTheme="minorEastAsia"/>
                <w:color w:val="auto"/>
                <w:sz w:val="22"/>
                <w:szCs w:val="22"/>
                <w:highlight w:val="none"/>
              </w:rPr>
            </w:pPr>
            <w:r>
              <w:rPr>
                <w:rFonts w:ascii="宋体" w:hAnsi="宋体" w:cs="宋体" w:eastAsiaTheme="minorEastAsia"/>
                <w:color w:val="auto"/>
                <w:spacing w:val="-6"/>
                <w:sz w:val="22"/>
                <w:szCs w:val="22"/>
                <w:highlight w:val="none"/>
              </w:rPr>
              <w:t>……</w:t>
            </w:r>
          </w:p>
        </w:tc>
        <w:tc>
          <w:tcPr>
            <w:tcW w:w="2545" w:type="dxa"/>
          </w:tcPr>
          <w:p>
            <w:pPr>
              <w:rPr>
                <w:rFonts w:ascii="Calibri" w:hAnsi="Arial" w:cs="Arial" w:eastAsiaTheme="minorEastAsia"/>
                <w:color w:val="auto"/>
                <w:highlight w:val="none"/>
              </w:rPr>
            </w:pPr>
          </w:p>
        </w:tc>
        <w:tc>
          <w:tcPr>
            <w:tcW w:w="2562" w:type="dxa"/>
          </w:tcPr>
          <w:p>
            <w:pPr>
              <w:rPr>
                <w:rFonts w:ascii="Calibri" w:hAnsi="Arial" w:cs="Arial" w:eastAsiaTheme="minorEastAsia"/>
                <w:color w:val="auto"/>
                <w:highlight w:val="none"/>
              </w:rPr>
            </w:pPr>
          </w:p>
        </w:tc>
        <w:tc>
          <w:tcPr>
            <w:tcW w:w="1264" w:type="dxa"/>
          </w:tcPr>
          <w:p>
            <w:pPr>
              <w:rPr>
                <w:rFonts w:ascii="Calibri" w:hAnsi="Arial" w:cs="Arial" w:eastAsiaTheme="minorEastAsia"/>
                <w:color w:val="auto"/>
                <w:highlight w:val="none"/>
              </w:rPr>
            </w:pPr>
          </w:p>
        </w:tc>
      </w:tr>
    </w:tbl>
    <w:p>
      <w:pPr>
        <w:spacing w:line="253" w:lineRule="auto"/>
        <w:rPr>
          <w:rFonts w:ascii="Calibri"/>
          <w:color w:val="auto"/>
          <w:highlight w:val="none"/>
        </w:rPr>
      </w:pPr>
    </w:p>
    <w:p>
      <w:pPr>
        <w:spacing w:line="253" w:lineRule="auto"/>
        <w:rPr>
          <w:rFonts w:ascii="Calibri"/>
          <w:color w:val="auto"/>
          <w:highlight w:val="none"/>
        </w:rPr>
      </w:pPr>
    </w:p>
    <w:p>
      <w:pPr>
        <w:spacing w:line="253" w:lineRule="auto"/>
        <w:rPr>
          <w:rFonts w:ascii="Calibri"/>
          <w:color w:val="auto"/>
          <w:highlight w:val="none"/>
        </w:rPr>
      </w:pPr>
    </w:p>
    <w:p>
      <w:pPr>
        <w:spacing w:before="72" w:line="559" w:lineRule="exact"/>
        <w:ind w:firstLine="5844"/>
        <w:rPr>
          <w:rFonts w:ascii="宋体" w:hAnsi="宋体" w:cs="宋体"/>
          <w:color w:val="auto"/>
          <w:sz w:val="22"/>
          <w:szCs w:val="22"/>
          <w:highlight w:val="none"/>
        </w:rPr>
      </w:pPr>
      <w:r>
        <w:rPr>
          <w:rFonts w:ascii="宋体" w:hAnsi="宋体" w:cs="宋体"/>
          <w:color w:val="auto"/>
          <w:spacing w:val="-4"/>
          <w:position w:val="25"/>
          <w:sz w:val="22"/>
          <w:szCs w:val="22"/>
          <w:highlight w:val="none"/>
        </w:rPr>
        <w:t>投标人（盖单位章</w:t>
      </w:r>
      <w:r>
        <w:rPr>
          <w:rFonts w:ascii="宋体" w:hAnsi="宋体" w:cs="宋体"/>
          <w:color w:val="auto"/>
          <w:spacing w:val="-6"/>
          <w:position w:val="25"/>
          <w:sz w:val="22"/>
          <w:szCs w:val="22"/>
          <w:highlight w:val="none"/>
        </w:rPr>
        <w:t>）：</w:t>
      </w:r>
    </w:p>
    <w:p>
      <w:pPr>
        <w:spacing w:before="1" w:line="204" w:lineRule="auto"/>
        <w:ind w:firstLine="4082"/>
        <w:rPr>
          <w:rFonts w:ascii="宋体" w:hAnsi="宋体" w:cs="宋体"/>
          <w:color w:val="auto"/>
          <w:sz w:val="22"/>
          <w:szCs w:val="22"/>
          <w:highlight w:val="none"/>
        </w:rPr>
      </w:pPr>
      <w:r>
        <w:rPr>
          <w:rFonts w:ascii="宋体" w:hAnsi="宋体" w:cs="宋体"/>
          <w:color w:val="auto"/>
          <w:spacing w:val="-2"/>
          <w:sz w:val="22"/>
          <w:szCs w:val="22"/>
          <w:highlight w:val="none"/>
        </w:rPr>
        <w:t>法定代表人或全权代表（盖章或签字</w:t>
      </w:r>
      <w:r>
        <w:rPr>
          <w:rFonts w:ascii="宋体" w:hAnsi="宋体" w:cs="宋体"/>
          <w:color w:val="auto"/>
          <w:spacing w:val="-5"/>
          <w:sz w:val="22"/>
          <w:szCs w:val="22"/>
          <w:highlight w:val="none"/>
        </w:rPr>
        <w:t>）：</w:t>
      </w:r>
    </w:p>
    <w:p>
      <w:pPr>
        <w:spacing w:before="316" w:line="185" w:lineRule="auto"/>
        <w:ind w:firstLine="7309"/>
        <w:rPr>
          <w:rFonts w:ascii="宋体" w:hAnsi="宋体" w:cs="宋体"/>
          <w:color w:val="auto"/>
          <w:sz w:val="22"/>
          <w:szCs w:val="22"/>
          <w:highlight w:val="none"/>
        </w:rPr>
      </w:pPr>
      <w:r>
        <w:rPr>
          <w:rFonts w:ascii="宋体" w:hAnsi="宋体" w:cs="宋体"/>
          <w:color w:val="auto"/>
          <w:spacing w:val="-21"/>
          <w:w w:val="97"/>
          <w:sz w:val="22"/>
          <w:szCs w:val="22"/>
          <w:highlight w:val="none"/>
        </w:rPr>
        <w:t>日期：</w:t>
      </w:r>
    </w:p>
    <w:p>
      <w:pPr>
        <w:widowControl/>
        <w:jc w:val="left"/>
        <w:rPr>
          <w:rFonts w:hAnsi="宋体"/>
          <w:b/>
          <w:color w:val="auto"/>
          <w:sz w:val="24"/>
          <w:highlight w:val="none"/>
        </w:rPr>
      </w:pPr>
      <w:r>
        <w:rPr>
          <w:rFonts w:hAnsi="宋体"/>
          <w:b/>
          <w:color w:val="auto"/>
          <w:sz w:val="24"/>
          <w:highlight w:val="none"/>
        </w:rPr>
        <w:br w:type="page"/>
      </w:r>
    </w:p>
    <w:bookmarkEnd w:id="13"/>
    <w:p>
      <w:pPr>
        <w:rPr>
          <w:rFonts w:hAnsi="宋体"/>
          <w:b/>
          <w:color w:val="auto"/>
          <w:sz w:val="24"/>
          <w:highlight w:val="none"/>
        </w:rPr>
      </w:pPr>
      <w:r>
        <w:rPr>
          <w:rFonts w:hint="eastAsia" w:hAnsi="宋体"/>
          <w:b/>
          <w:color w:val="auto"/>
          <w:sz w:val="24"/>
          <w:highlight w:val="none"/>
        </w:rPr>
        <w:t>附件七:</w:t>
      </w:r>
    </w:p>
    <w:p>
      <w:pPr>
        <w:spacing w:before="208" w:line="185" w:lineRule="auto"/>
        <w:ind w:firstLine="3017"/>
        <w:rPr>
          <w:rFonts w:ascii="宋体" w:hAnsi="宋体" w:cs="宋体"/>
          <w:color w:val="auto"/>
          <w:sz w:val="36"/>
          <w:szCs w:val="36"/>
          <w:highlight w:val="none"/>
        </w:rPr>
      </w:pPr>
      <w:r>
        <w:rPr>
          <w:rFonts w:ascii="宋体" w:hAnsi="宋体" w:cs="宋体"/>
          <w:color w:val="auto"/>
          <w:spacing w:val="-1"/>
          <w:sz w:val="36"/>
          <w:szCs w:val="36"/>
          <w:highlight w:val="none"/>
        </w:rPr>
        <w:t>项目实施人员一览表</w:t>
      </w:r>
    </w:p>
    <w:p>
      <w:pPr>
        <w:spacing w:before="356" w:line="184" w:lineRule="auto"/>
        <w:ind w:firstLine="3366"/>
        <w:rPr>
          <w:rFonts w:ascii="仿宋" w:hAnsi="仿宋" w:eastAsia="仿宋" w:cs="仿宋"/>
          <w:color w:val="auto"/>
          <w:sz w:val="32"/>
          <w:szCs w:val="32"/>
          <w:highlight w:val="none"/>
        </w:rPr>
      </w:pPr>
      <w:r>
        <w:rPr>
          <w:rFonts w:ascii="仿宋" w:hAnsi="仿宋" w:eastAsia="仿宋" w:cs="仿宋"/>
          <w:color w:val="auto"/>
          <w:spacing w:val="-5"/>
          <w:sz w:val="32"/>
          <w:szCs w:val="32"/>
          <w:highlight w:val="none"/>
        </w:rPr>
        <w:t>（按此格式自制）</w:t>
      </w:r>
    </w:p>
    <w:p>
      <w:pPr>
        <w:rPr>
          <w:color w:val="auto"/>
          <w:highlight w:val="none"/>
        </w:rPr>
      </w:pPr>
    </w:p>
    <w:p>
      <w:pPr>
        <w:spacing w:line="145" w:lineRule="auto"/>
        <w:rPr>
          <w:rFonts w:ascii="Arial"/>
          <w:color w:val="auto"/>
          <w:sz w:val="2"/>
          <w:highlight w:val="none"/>
        </w:rPr>
      </w:pPr>
    </w:p>
    <w:tbl>
      <w:tblPr>
        <w:tblStyle w:val="78"/>
        <w:tblW w:w="907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022"/>
        <w:gridCol w:w="1022"/>
        <w:gridCol w:w="1022"/>
        <w:gridCol w:w="1022"/>
        <w:gridCol w:w="1022"/>
        <w:gridCol w:w="1292"/>
        <w:gridCol w:w="1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684"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ind w:firstLine="12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序号</w:t>
            </w:r>
          </w:p>
        </w:tc>
        <w:tc>
          <w:tcPr>
            <w:tcW w:w="1022"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ind w:firstLine="293"/>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姓名</w:t>
            </w:r>
          </w:p>
        </w:tc>
        <w:tc>
          <w:tcPr>
            <w:tcW w:w="1022"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ind w:firstLine="294"/>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性别</w:t>
            </w:r>
          </w:p>
        </w:tc>
        <w:tc>
          <w:tcPr>
            <w:tcW w:w="1022"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ind w:firstLine="296"/>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年龄</w:t>
            </w:r>
          </w:p>
        </w:tc>
        <w:tc>
          <w:tcPr>
            <w:tcW w:w="1022"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ind w:firstLine="296"/>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专业</w:t>
            </w:r>
          </w:p>
        </w:tc>
        <w:tc>
          <w:tcPr>
            <w:tcW w:w="1022"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ind w:firstLine="29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职称</w:t>
            </w:r>
          </w:p>
        </w:tc>
        <w:tc>
          <w:tcPr>
            <w:tcW w:w="1292"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rPr>
                <w:rFonts w:ascii="宋体" w:hAnsi="宋体" w:cs="宋体" w:eastAsiaTheme="minorEastAsia"/>
                <w:color w:val="auto"/>
                <w:sz w:val="22"/>
                <w:szCs w:val="22"/>
                <w:highlight w:val="none"/>
              </w:rPr>
            </w:pPr>
            <w:r>
              <w:rPr>
                <w:rFonts w:ascii="宋体" w:hAnsi="宋体" w:cs="宋体" w:eastAsiaTheme="minorEastAsia"/>
                <w:color w:val="auto"/>
                <w:spacing w:val="-1"/>
                <w:sz w:val="22"/>
                <w:szCs w:val="22"/>
                <w:highlight w:val="none"/>
              </w:rPr>
              <w:t>本项目中的职责</w:t>
            </w:r>
          </w:p>
        </w:tc>
        <w:tc>
          <w:tcPr>
            <w:tcW w:w="1984" w:type="dxa"/>
          </w:tcPr>
          <w:p>
            <w:pPr>
              <w:spacing w:line="295" w:lineRule="auto"/>
              <w:rPr>
                <w:rFonts w:ascii="Calibri" w:hAnsi="Arial" w:cs="Arial" w:eastAsiaTheme="minorEastAsia"/>
                <w:color w:val="auto"/>
                <w:highlight w:val="none"/>
              </w:rPr>
            </w:pPr>
          </w:p>
          <w:p>
            <w:pPr>
              <w:spacing w:before="72" w:line="358" w:lineRule="auto"/>
              <w:ind w:left="621" w:right="172" w:hanging="43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参与人员的社保编号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684"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84"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684"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bl>
    <w:p>
      <w:pPr>
        <w:spacing w:line="301" w:lineRule="auto"/>
        <w:rPr>
          <w:rFonts w:ascii="Calibri"/>
          <w:color w:val="auto"/>
          <w:highlight w:val="none"/>
        </w:rPr>
      </w:pPr>
    </w:p>
    <w:p>
      <w:pPr>
        <w:spacing w:before="71" w:line="470" w:lineRule="auto"/>
        <w:ind w:left="4082" w:right="2021"/>
        <w:rPr>
          <w:rFonts w:ascii="宋体" w:hAnsi="宋体" w:cs="宋体"/>
          <w:color w:val="auto"/>
          <w:sz w:val="22"/>
          <w:szCs w:val="22"/>
          <w:highlight w:val="none"/>
        </w:rPr>
      </w:pPr>
      <w:r>
        <w:rPr>
          <w:rFonts w:ascii="宋体" w:hAnsi="宋体" w:cs="宋体"/>
          <w:color w:val="auto"/>
          <w:spacing w:val="-4"/>
          <w:sz w:val="22"/>
          <w:szCs w:val="22"/>
          <w:highlight w:val="none"/>
        </w:rPr>
        <w:t>投标人（盖单位章</w:t>
      </w:r>
      <w:r>
        <w:rPr>
          <w:rFonts w:ascii="宋体" w:hAnsi="宋体" w:cs="宋体"/>
          <w:color w:val="auto"/>
          <w:spacing w:val="-14"/>
          <w:sz w:val="22"/>
          <w:szCs w:val="22"/>
          <w:highlight w:val="none"/>
        </w:rPr>
        <w:t>）：</w:t>
      </w:r>
    </w:p>
    <w:p>
      <w:pPr>
        <w:spacing w:before="71" w:line="470" w:lineRule="auto"/>
        <w:ind w:right="2021"/>
        <w:rPr>
          <w:rFonts w:ascii="宋体" w:hAnsi="宋体" w:cs="宋体"/>
          <w:color w:val="auto"/>
          <w:sz w:val="22"/>
          <w:szCs w:val="22"/>
          <w:highlight w:val="none"/>
        </w:rPr>
      </w:pPr>
      <w:r>
        <w:rPr>
          <w:rFonts w:ascii="宋体" w:hAnsi="宋体" w:cs="宋体"/>
          <w:color w:val="auto"/>
          <w:spacing w:val="-2"/>
          <w:sz w:val="22"/>
          <w:szCs w:val="22"/>
          <w:highlight w:val="none"/>
        </w:rPr>
        <w:t>法定代表人或全权（盖章或签字</w:t>
      </w:r>
      <w:r>
        <w:rPr>
          <w:rFonts w:ascii="宋体" w:hAnsi="宋体" w:cs="宋体"/>
          <w:color w:val="auto"/>
          <w:spacing w:val="-13"/>
          <w:sz w:val="22"/>
          <w:szCs w:val="22"/>
          <w:highlight w:val="none"/>
        </w:rPr>
        <w:t>）：</w:t>
      </w:r>
    </w:p>
    <w:p>
      <w:pPr>
        <w:spacing w:before="2" w:line="202" w:lineRule="auto"/>
        <w:rPr>
          <w:rFonts w:ascii="宋体" w:hAnsi="宋体" w:cs="宋体"/>
          <w:color w:val="auto"/>
          <w:sz w:val="22"/>
          <w:szCs w:val="22"/>
          <w:highlight w:val="none"/>
        </w:rPr>
      </w:pPr>
      <w:r>
        <w:rPr>
          <w:rFonts w:ascii="宋体" w:hAnsi="宋体" w:cs="宋体"/>
          <w:color w:val="auto"/>
          <w:spacing w:val="-21"/>
          <w:w w:val="97"/>
          <w:sz w:val="22"/>
          <w:szCs w:val="22"/>
          <w:highlight w:val="none"/>
        </w:rPr>
        <w:t>日期：</w:t>
      </w:r>
    </w:p>
    <w:p>
      <w:pPr>
        <w:rPr>
          <w:rFonts w:hAnsi="宋体"/>
          <w:color w:val="auto"/>
          <w:sz w:val="24"/>
          <w:highlight w:val="none"/>
          <w:lang w:val="zh-CN"/>
        </w:rPr>
      </w:pPr>
      <w:r>
        <w:rPr>
          <w:rFonts w:hAnsi="宋体"/>
          <w:color w:val="auto"/>
          <w:sz w:val="24"/>
          <w:highlight w:val="none"/>
          <w:lang w:val="zh-CN"/>
        </w:rPr>
        <w:br w:type="page"/>
      </w:r>
    </w:p>
    <w:p>
      <w:pPr>
        <w:rPr>
          <w:rFonts w:hAnsi="宋体"/>
          <w:b/>
          <w:color w:val="auto"/>
          <w:sz w:val="24"/>
          <w:highlight w:val="none"/>
        </w:rPr>
      </w:pPr>
      <w:r>
        <w:rPr>
          <w:rFonts w:hint="eastAsia" w:hAnsi="宋体"/>
          <w:b/>
          <w:color w:val="auto"/>
          <w:sz w:val="24"/>
          <w:highlight w:val="none"/>
        </w:rPr>
        <w:t>附件八：</w:t>
      </w:r>
    </w:p>
    <w:p>
      <w:pPr>
        <w:spacing w:before="88" w:line="185" w:lineRule="auto"/>
        <w:ind w:firstLine="3740"/>
        <w:rPr>
          <w:rFonts w:ascii="宋体" w:hAnsi="宋体" w:cs="宋体"/>
          <w:color w:val="auto"/>
          <w:sz w:val="36"/>
          <w:szCs w:val="36"/>
          <w:highlight w:val="none"/>
        </w:rPr>
      </w:pPr>
      <w:r>
        <w:rPr>
          <w:rFonts w:ascii="宋体" w:hAnsi="宋体" w:cs="宋体"/>
          <w:color w:val="auto"/>
          <w:spacing w:val="-2"/>
          <w:sz w:val="36"/>
          <w:szCs w:val="36"/>
          <w:highlight w:val="none"/>
        </w:rPr>
        <w:t>技术响应表</w:t>
      </w:r>
    </w:p>
    <w:p>
      <w:pPr>
        <w:rPr>
          <w:color w:val="auto"/>
          <w:highlight w:val="none"/>
        </w:rPr>
      </w:pPr>
    </w:p>
    <w:p>
      <w:pPr>
        <w:spacing w:line="134" w:lineRule="exact"/>
        <w:rPr>
          <w:color w:val="auto"/>
          <w:highlight w:val="none"/>
        </w:rPr>
      </w:pPr>
    </w:p>
    <w:tbl>
      <w:tblPr>
        <w:tblStyle w:val="78"/>
        <w:tblW w:w="835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935"/>
        <w:gridCol w:w="2380"/>
        <w:gridCol w:w="1821"/>
        <w:gridCol w:w="1417"/>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955" w:type="dxa"/>
          </w:tcPr>
          <w:p>
            <w:pPr>
              <w:spacing w:line="258" w:lineRule="auto"/>
              <w:rPr>
                <w:rFonts w:ascii="Calibri" w:hAnsi="Arial" w:cs="Arial" w:eastAsiaTheme="minorEastAsia"/>
                <w:color w:val="auto"/>
                <w:highlight w:val="none"/>
              </w:rPr>
            </w:pPr>
          </w:p>
          <w:p>
            <w:pPr>
              <w:spacing w:before="72" w:line="185" w:lineRule="auto"/>
              <w:ind w:firstLine="259"/>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序号</w:t>
            </w:r>
          </w:p>
        </w:tc>
        <w:tc>
          <w:tcPr>
            <w:tcW w:w="935" w:type="dxa"/>
            <w:tcBorders>
              <w:right w:val="single" w:color="000000" w:sz="2" w:space="0"/>
            </w:tcBorders>
          </w:tcPr>
          <w:p>
            <w:pPr>
              <w:spacing w:before="147" w:line="260" w:lineRule="auto"/>
              <w:ind w:left="355" w:right="138" w:hanging="216"/>
              <w:rPr>
                <w:rFonts w:ascii="宋体" w:hAnsi="宋体" w:cs="宋体" w:eastAsiaTheme="minorEastAsia"/>
                <w:color w:val="auto"/>
                <w:sz w:val="22"/>
                <w:szCs w:val="22"/>
                <w:highlight w:val="none"/>
              </w:rPr>
            </w:pPr>
            <w:r>
              <w:rPr>
                <w:rFonts w:ascii="宋体" w:hAnsi="宋体" w:cs="宋体" w:eastAsiaTheme="minorEastAsia"/>
                <w:color w:val="auto"/>
                <w:spacing w:val="-4"/>
                <w:sz w:val="22"/>
                <w:szCs w:val="22"/>
                <w:highlight w:val="none"/>
              </w:rPr>
              <w:t>项目名</w:t>
            </w:r>
            <w:r>
              <w:rPr>
                <w:rFonts w:ascii="宋体" w:hAnsi="宋体" w:cs="宋体" w:eastAsiaTheme="minorEastAsia"/>
                <w:color w:val="auto"/>
                <w:sz w:val="22"/>
                <w:szCs w:val="22"/>
                <w:highlight w:val="none"/>
              </w:rPr>
              <w:t>称</w:t>
            </w:r>
          </w:p>
        </w:tc>
        <w:tc>
          <w:tcPr>
            <w:tcW w:w="2380" w:type="dxa"/>
            <w:tcBorders>
              <w:left w:val="single" w:color="000000" w:sz="2" w:space="0"/>
            </w:tcBorders>
          </w:tcPr>
          <w:p>
            <w:pPr>
              <w:spacing w:line="258" w:lineRule="auto"/>
              <w:rPr>
                <w:rFonts w:ascii="Calibri" w:hAnsi="Arial" w:cs="Arial" w:eastAsiaTheme="minorEastAsia"/>
                <w:color w:val="auto"/>
                <w:highlight w:val="none"/>
              </w:rPr>
            </w:pPr>
          </w:p>
          <w:p>
            <w:pPr>
              <w:spacing w:before="72" w:line="185" w:lineRule="auto"/>
              <w:ind w:firstLine="533"/>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招标文件要求</w:t>
            </w:r>
          </w:p>
        </w:tc>
        <w:tc>
          <w:tcPr>
            <w:tcW w:w="1821" w:type="dxa"/>
          </w:tcPr>
          <w:p>
            <w:pPr>
              <w:spacing w:line="258" w:lineRule="auto"/>
              <w:rPr>
                <w:rFonts w:ascii="Calibri" w:hAnsi="Arial" w:cs="Arial" w:eastAsiaTheme="minorEastAsia"/>
                <w:color w:val="auto"/>
                <w:highlight w:val="none"/>
              </w:rPr>
            </w:pPr>
          </w:p>
          <w:p>
            <w:pPr>
              <w:spacing w:before="72" w:line="185" w:lineRule="auto"/>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投标文件响应</w:t>
            </w:r>
          </w:p>
        </w:tc>
        <w:tc>
          <w:tcPr>
            <w:tcW w:w="1417" w:type="dxa"/>
            <w:tcBorders>
              <w:right w:val="single" w:color="000000" w:sz="2" w:space="0"/>
            </w:tcBorders>
          </w:tcPr>
          <w:p>
            <w:pPr>
              <w:spacing w:line="258" w:lineRule="auto"/>
              <w:rPr>
                <w:rFonts w:ascii="Calibri" w:hAnsi="Arial" w:cs="Arial" w:eastAsiaTheme="minorEastAsia"/>
                <w:color w:val="auto"/>
                <w:highlight w:val="none"/>
              </w:rPr>
            </w:pPr>
          </w:p>
          <w:p>
            <w:pPr>
              <w:spacing w:before="72" w:line="185" w:lineRule="auto"/>
              <w:ind w:firstLine="337"/>
              <w:rPr>
                <w:rFonts w:ascii="宋体" w:hAnsi="宋体" w:cs="宋体" w:eastAsiaTheme="minorEastAsia"/>
                <w:color w:val="auto"/>
                <w:sz w:val="22"/>
                <w:szCs w:val="22"/>
                <w:highlight w:val="none"/>
              </w:rPr>
            </w:pPr>
            <w:r>
              <w:rPr>
                <w:rFonts w:ascii="宋体" w:hAnsi="宋体" w:cs="宋体" w:eastAsiaTheme="minorEastAsia"/>
                <w:color w:val="auto"/>
                <w:spacing w:val="-1"/>
                <w:sz w:val="22"/>
                <w:szCs w:val="22"/>
                <w:highlight w:val="none"/>
              </w:rPr>
              <w:t>对应页码</w:t>
            </w:r>
          </w:p>
        </w:tc>
        <w:tc>
          <w:tcPr>
            <w:tcW w:w="851" w:type="dxa"/>
            <w:tcBorders>
              <w:left w:val="single" w:color="000000" w:sz="2" w:space="0"/>
            </w:tcBorders>
          </w:tcPr>
          <w:p>
            <w:pPr>
              <w:spacing w:before="148" w:line="398" w:lineRule="exact"/>
              <w:ind w:firstLine="176"/>
              <w:rPr>
                <w:rFonts w:ascii="宋体" w:hAnsi="宋体" w:cs="宋体" w:eastAsiaTheme="minorEastAsia"/>
                <w:color w:val="auto"/>
                <w:sz w:val="22"/>
                <w:szCs w:val="22"/>
                <w:highlight w:val="none"/>
              </w:rPr>
            </w:pPr>
            <w:r>
              <w:rPr>
                <w:rFonts w:ascii="宋体" w:hAnsi="宋体" w:cs="宋体" w:eastAsiaTheme="minorEastAsia"/>
                <w:color w:val="auto"/>
                <w:spacing w:val="-2"/>
                <w:position w:val="12"/>
                <w:sz w:val="22"/>
                <w:szCs w:val="22"/>
                <w:highlight w:val="none"/>
              </w:rPr>
              <w:t>偏离</w:t>
            </w:r>
          </w:p>
          <w:p>
            <w:pPr>
              <w:spacing w:line="204" w:lineRule="auto"/>
              <w:ind w:firstLine="174"/>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55" w:type="dxa"/>
          </w:tcPr>
          <w:p>
            <w:pPr>
              <w:rPr>
                <w:rFonts w:ascii="Calibri" w:hAnsi="Arial" w:cs="Arial" w:eastAsiaTheme="minorEastAsia"/>
                <w:color w:val="auto"/>
                <w:highlight w:val="none"/>
              </w:rPr>
            </w:pPr>
          </w:p>
        </w:tc>
        <w:tc>
          <w:tcPr>
            <w:tcW w:w="935" w:type="dxa"/>
            <w:tcBorders>
              <w:right w:val="single" w:color="000000" w:sz="2" w:space="0"/>
            </w:tcBorders>
          </w:tcPr>
          <w:p>
            <w:pPr>
              <w:rPr>
                <w:rFonts w:ascii="Calibri" w:hAnsi="Arial" w:cs="Arial" w:eastAsiaTheme="minorEastAsia"/>
                <w:color w:val="auto"/>
                <w:highlight w:val="none"/>
              </w:rPr>
            </w:pPr>
          </w:p>
        </w:tc>
        <w:tc>
          <w:tcPr>
            <w:tcW w:w="2380"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color w:val="auto"/>
                <w:highlight w:val="none"/>
              </w:rPr>
            </w:pPr>
          </w:p>
        </w:tc>
        <w:tc>
          <w:tcPr>
            <w:tcW w:w="935" w:type="dxa"/>
            <w:tcBorders>
              <w:right w:val="single" w:color="000000" w:sz="2" w:space="0"/>
            </w:tcBorders>
          </w:tcPr>
          <w:p>
            <w:pPr>
              <w:rPr>
                <w:rFonts w:ascii="Calibri" w:hAnsi="Arial" w:cs="Arial" w:eastAsiaTheme="minorEastAsia"/>
                <w:color w:val="auto"/>
                <w:highlight w:val="none"/>
              </w:rPr>
            </w:pPr>
          </w:p>
        </w:tc>
        <w:tc>
          <w:tcPr>
            <w:tcW w:w="2380"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color w:val="auto"/>
                <w:highlight w:val="none"/>
              </w:rPr>
            </w:pPr>
          </w:p>
        </w:tc>
        <w:tc>
          <w:tcPr>
            <w:tcW w:w="935" w:type="dxa"/>
            <w:tcBorders>
              <w:right w:val="single" w:color="000000" w:sz="2" w:space="0"/>
            </w:tcBorders>
          </w:tcPr>
          <w:p>
            <w:pPr>
              <w:rPr>
                <w:rFonts w:ascii="Calibri" w:hAnsi="Arial" w:cs="Arial" w:eastAsiaTheme="minorEastAsia"/>
                <w:color w:val="auto"/>
                <w:highlight w:val="none"/>
              </w:rPr>
            </w:pPr>
          </w:p>
        </w:tc>
        <w:tc>
          <w:tcPr>
            <w:tcW w:w="2380"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55" w:type="dxa"/>
          </w:tcPr>
          <w:p>
            <w:pPr>
              <w:rPr>
                <w:rFonts w:ascii="Calibri" w:hAnsi="Arial" w:cs="Arial" w:eastAsiaTheme="minorEastAsia"/>
                <w:color w:val="auto"/>
                <w:highlight w:val="none"/>
              </w:rPr>
            </w:pPr>
          </w:p>
        </w:tc>
        <w:tc>
          <w:tcPr>
            <w:tcW w:w="935" w:type="dxa"/>
            <w:tcBorders>
              <w:right w:val="single" w:color="000000" w:sz="2" w:space="0"/>
            </w:tcBorders>
          </w:tcPr>
          <w:p>
            <w:pPr>
              <w:rPr>
                <w:rFonts w:ascii="Calibri" w:hAnsi="Arial" w:cs="Arial" w:eastAsiaTheme="minorEastAsia"/>
                <w:color w:val="auto"/>
                <w:highlight w:val="none"/>
              </w:rPr>
            </w:pPr>
          </w:p>
        </w:tc>
        <w:tc>
          <w:tcPr>
            <w:tcW w:w="2380"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color w:val="auto"/>
                <w:highlight w:val="none"/>
              </w:rPr>
            </w:pPr>
          </w:p>
        </w:tc>
        <w:tc>
          <w:tcPr>
            <w:tcW w:w="935" w:type="dxa"/>
            <w:tcBorders>
              <w:right w:val="single" w:color="000000" w:sz="2" w:space="0"/>
            </w:tcBorders>
          </w:tcPr>
          <w:p>
            <w:pPr>
              <w:rPr>
                <w:rFonts w:ascii="Calibri" w:hAnsi="Arial" w:cs="Arial" w:eastAsiaTheme="minorEastAsia"/>
                <w:color w:val="auto"/>
                <w:highlight w:val="none"/>
              </w:rPr>
            </w:pPr>
          </w:p>
        </w:tc>
        <w:tc>
          <w:tcPr>
            <w:tcW w:w="2380"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55" w:type="dxa"/>
          </w:tcPr>
          <w:p>
            <w:pPr>
              <w:rPr>
                <w:rFonts w:ascii="Calibri" w:hAnsi="Arial" w:cs="Arial" w:eastAsiaTheme="minorEastAsia"/>
                <w:color w:val="auto"/>
                <w:highlight w:val="none"/>
              </w:rPr>
            </w:pPr>
          </w:p>
        </w:tc>
        <w:tc>
          <w:tcPr>
            <w:tcW w:w="935" w:type="dxa"/>
            <w:tcBorders>
              <w:right w:val="single" w:color="000000" w:sz="2" w:space="0"/>
            </w:tcBorders>
          </w:tcPr>
          <w:p>
            <w:pPr>
              <w:rPr>
                <w:rFonts w:ascii="Calibri" w:hAnsi="Arial" w:cs="Arial" w:eastAsiaTheme="minorEastAsia"/>
                <w:color w:val="auto"/>
                <w:highlight w:val="none"/>
              </w:rPr>
            </w:pPr>
          </w:p>
        </w:tc>
        <w:tc>
          <w:tcPr>
            <w:tcW w:w="2380"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color w:val="auto"/>
                <w:highlight w:val="none"/>
              </w:rPr>
            </w:pPr>
          </w:p>
        </w:tc>
        <w:tc>
          <w:tcPr>
            <w:tcW w:w="935" w:type="dxa"/>
            <w:tcBorders>
              <w:right w:val="single" w:color="000000" w:sz="2" w:space="0"/>
            </w:tcBorders>
          </w:tcPr>
          <w:p>
            <w:pPr>
              <w:rPr>
                <w:rFonts w:ascii="Calibri" w:hAnsi="Arial" w:cs="Arial" w:eastAsiaTheme="minorEastAsia"/>
                <w:color w:val="auto"/>
                <w:highlight w:val="none"/>
              </w:rPr>
            </w:pPr>
          </w:p>
        </w:tc>
        <w:tc>
          <w:tcPr>
            <w:tcW w:w="2380"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color w:val="auto"/>
                <w:highlight w:val="none"/>
              </w:rPr>
            </w:pPr>
          </w:p>
        </w:tc>
        <w:tc>
          <w:tcPr>
            <w:tcW w:w="935" w:type="dxa"/>
            <w:tcBorders>
              <w:right w:val="single" w:color="000000" w:sz="2" w:space="0"/>
            </w:tcBorders>
          </w:tcPr>
          <w:p>
            <w:pPr>
              <w:rPr>
                <w:rFonts w:ascii="Calibri" w:hAnsi="Arial" w:cs="Arial" w:eastAsiaTheme="minorEastAsia"/>
                <w:color w:val="auto"/>
                <w:highlight w:val="none"/>
              </w:rPr>
            </w:pPr>
          </w:p>
        </w:tc>
        <w:tc>
          <w:tcPr>
            <w:tcW w:w="2380"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55" w:type="dxa"/>
          </w:tcPr>
          <w:p>
            <w:pPr>
              <w:rPr>
                <w:rFonts w:ascii="Calibri" w:hAnsi="Arial" w:cs="Arial" w:eastAsiaTheme="minorEastAsia"/>
                <w:color w:val="auto"/>
                <w:highlight w:val="none"/>
              </w:rPr>
            </w:pPr>
          </w:p>
        </w:tc>
        <w:tc>
          <w:tcPr>
            <w:tcW w:w="935" w:type="dxa"/>
            <w:tcBorders>
              <w:right w:val="single" w:color="000000" w:sz="2" w:space="0"/>
            </w:tcBorders>
          </w:tcPr>
          <w:p>
            <w:pPr>
              <w:rPr>
                <w:rFonts w:ascii="Calibri" w:hAnsi="Arial" w:cs="Arial" w:eastAsiaTheme="minorEastAsia"/>
                <w:color w:val="auto"/>
                <w:highlight w:val="none"/>
              </w:rPr>
            </w:pPr>
          </w:p>
        </w:tc>
        <w:tc>
          <w:tcPr>
            <w:tcW w:w="2380"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55" w:type="dxa"/>
          </w:tcPr>
          <w:p>
            <w:pPr>
              <w:spacing w:before="128" w:line="185" w:lineRule="auto"/>
              <w:ind w:firstLine="129"/>
              <w:rPr>
                <w:rFonts w:ascii="宋体" w:hAnsi="宋体" w:cs="宋体" w:eastAsiaTheme="minorEastAsia"/>
                <w:color w:val="auto"/>
                <w:sz w:val="24"/>
                <w:highlight w:val="none"/>
              </w:rPr>
            </w:pPr>
            <w:r>
              <w:rPr>
                <w:rFonts w:ascii="宋体" w:hAnsi="宋体" w:cs="宋体" w:eastAsiaTheme="minorEastAsia"/>
                <w:color w:val="auto"/>
                <w:spacing w:val="-7"/>
                <w:sz w:val="24"/>
                <w:highlight w:val="none"/>
              </w:rPr>
              <w:t>……</w:t>
            </w:r>
          </w:p>
        </w:tc>
        <w:tc>
          <w:tcPr>
            <w:tcW w:w="935" w:type="dxa"/>
            <w:tcBorders>
              <w:right w:val="single" w:color="000000" w:sz="2" w:space="0"/>
            </w:tcBorders>
          </w:tcPr>
          <w:p>
            <w:pPr>
              <w:rPr>
                <w:rFonts w:ascii="Calibri" w:hAnsi="Arial" w:cs="Arial" w:eastAsiaTheme="minorEastAsia"/>
                <w:color w:val="auto"/>
                <w:highlight w:val="none"/>
              </w:rPr>
            </w:pPr>
          </w:p>
        </w:tc>
        <w:tc>
          <w:tcPr>
            <w:tcW w:w="2380"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bl>
    <w:p>
      <w:pPr>
        <w:spacing w:before="31" w:line="185" w:lineRule="auto"/>
        <w:ind w:firstLine="123"/>
        <w:rPr>
          <w:rFonts w:ascii="宋体" w:hAnsi="宋体" w:cs="宋体"/>
          <w:color w:val="auto"/>
          <w:sz w:val="22"/>
          <w:szCs w:val="22"/>
          <w:highlight w:val="none"/>
        </w:rPr>
      </w:pPr>
      <w:r>
        <w:rPr>
          <w:rFonts w:ascii="宋体" w:hAnsi="宋体" w:cs="宋体"/>
          <w:color w:val="auto"/>
          <w:spacing w:val="-2"/>
          <w:sz w:val="22"/>
          <w:szCs w:val="22"/>
          <w:highlight w:val="none"/>
        </w:rPr>
        <w:t>特别提醒：</w:t>
      </w:r>
    </w:p>
    <w:p>
      <w:pPr>
        <w:spacing w:before="208" w:line="359" w:lineRule="auto"/>
        <w:ind w:left="124" w:right="176" w:firstLine="454"/>
        <w:rPr>
          <w:rFonts w:ascii="宋体" w:hAnsi="宋体" w:cs="宋体"/>
          <w:color w:val="auto"/>
          <w:sz w:val="22"/>
          <w:szCs w:val="22"/>
          <w:highlight w:val="none"/>
        </w:rPr>
      </w:pPr>
      <w:r>
        <w:rPr>
          <w:rFonts w:ascii="宋体" w:hAnsi="宋体" w:cs="宋体"/>
          <w:color w:val="auto"/>
          <w:spacing w:val="-1"/>
          <w:sz w:val="22"/>
          <w:szCs w:val="22"/>
          <w:highlight w:val="none"/>
        </w:rPr>
        <w:t>1.投标人在填写其中的技术响应内容时，投标人必须对照本招标文件“技术要求”中各指</w:t>
      </w:r>
      <w:r>
        <w:rPr>
          <w:rFonts w:ascii="宋体" w:hAnsi="宋体" w:cs="宋体"/>
          <w:color w:val="auto"/>
          <w:spacing w:val="-5"/>
          <w:sz w:val="22"/>
          <w:szCs w:val="22"/>
          <w:highlight w:val="none"/>
        </w:rPr>
        <w:t>标项逐条说明，写出各自投标产品的具体参数响应内容，</w:t>
      </w:r>
      <w:r>
        <w:rPr>
          <w:rFonts w:hint="eastAsia" w:ascii="宋体"/>
          <w:color w:val="auto"/>
          <w:szCs w:val="21"/>
          <w:highlight w:val="none"/>
        </w:rPr>
        <w:t>对照招标文件要求在“偏离情况”栏注明“正偏离”、“负偏离”或“无偏离”。</w:t>
      </w:r>
    </w:p>
    <w:p>
      <w:pPr>
        <w:spacing w:before="2" w:line="358" w:lineRule="auto"/>
        <w:ind w:left="141" w:right="177" w:firstLine="423"/>
        <w:rPr>
          <w:rFonts w:ascii="宋体" w:hAnsi="宋体" w:cs="宋体"/>
          <w:color w:val="auto"/>
          <w:sz w:val="22"/>
          <w:szCs w:val="22"/>
          <w:highlight w:val="none"/>
        </w:rPr>
      </w:pPr>
      <w:r>
        <w:rPr>
          <w:rFonts w:ascii="宋体" w:hAnsi="宋体" w:cs="宋体"/>
          <w:color w:val="auto"/>
          <w:spacing w:val="-5"/>
          <w:sz w:val="22"/>
          <w:szCs w:val="22"/>
          <w:highlight w:val="none"/>
        </w:rPr>
        <w:t>2.如有负偏离，应按实写明负偏离情况。否则视为完全满足采购需求指标，并作为今后产</w:t>
      </w:r>
      <w:r>
        <w:rPr>
          <w:rFonts w:ascii="宋体" w:hAnsi="宋体" w:cs="宋体"/>
          <w:color w:val="auto"/>
          <w:spacing w:val="-7"/>
          <w:sz w:val="22"/>
          <w:szCs w:val="22"/>
          <w:highlight w:val="none"/>
        </w:rPr>
        <w:t>品的验收依据。</w:t>
      </w:r>
    </w:p>
    <w:p>
      <w:pPr>
        <w:spacing w:before="229" w:line="185" w:lineRule="auto"/>
        <w:rPr>
          <w:rFonts w:ascii="宋体" w:hAnsi="宋体" w:cs="宋体"/>
          <w:color w:val="auto"/>
          <w:sz w:val="22"/>
          <w:szCs w:val="22"/>
          <w:highlight w:val="none"/>
        </w:rPr>
      </w:pPr>
      <w:r>
        <w:rPr>
          <w:rFonts w:ascii="宋体" w:hAnsi="宋体" w:cs="宋体"/>
          <w:color w:val="auto"/>
          <w:spacing w:val="-4"/>
          <w:sz w:val="22"/>
          <w:szCs w:val="22"/>
          <w:highlight w:val="none"/>
        </w:rPr>
        <w:t>投标人（盖单位章</w:t>
      </w:r>
      <w:r>
        <w:rPr>
          <w:rFonts w:ascii="宋体" w:hAnsi="宋体" w:cs="宋体"/>
          <w:color w:val="auto"/>
          <w:spacing w:val="-6"/>
          <w:sz w:val="22"/>
          <w:szCs w:val="22"/>
          <w:highlight w:val="none"/>
        </w:rPr>
        <w:t>）：</w:t>
      </w:r>
    </w:p>
    <w:p>
      <w:pPr>
        <w:spacing w:before="71" w:line="469" w:lineRule="auto"/>
        <w:ind w:right="1873"/>
        <w:rPr>
          <w:rFonts w:ascii="宋体" w:hAnsi="宋体" w:cs="宋体"/>
          <w:color w:val="auto"/>
          <w:sz w:val="22"/>
          <w:szCs w:val="22"/>
          <w:highlight w:val="none"/>
        </w:rPr>
      </w:pPr>
      <w:r>
        <w:rPr>
          <w:rFonts w:ascii="宋体" w:hAnsi="宋体" w:cs="宋体"/>
          <w:color w:val="auto"/>
          <w:spacing w:val="-2"/>
          <w:sz w:val="22"/>
          <w:szCs w:val="22"/>
          <w:highlight w:val="none"/>
        </w:rPr>
        <w:t>法定代表人或全权代表（盖章或签字</w:t>
      </w:r>
      <w:r>
        <w:rPr>
          <w:rFonts w:ascii="宋体" w:hAnsi="宋体" w:cs="宋体"/>
          <w:color w:val="auto"/>
          <w:spacing w:val="-13"/>
          <w:sz w:val="22"/>
          <w:szCs w:val="22"/>
          <w:highlight w:val="none"/>
        </w:rPr>
        <w:t>）：</w:t>
      </w:r>
    </w:p>
    <w:p>
      <w:pPr>
        <w:spacing w:before="71" w:line="469" w:lineRule="auto"/>
        <w:ind w:right="1873"/>
        <w:rPr>
          <w:rFonts w:ascii="宋体" w:hAnsi="宋体" w:cs="宋体"/>
          <w:color w:val="auto"/>
          <w:sz w:val="22"/>
          <w:szCs w:val="22"/>
          <w:highlight w:val="none"/>
        </w:rPr>
      </w:pPr>
      <w:r>
        <w:rPr>
          <w:rFonts w:ascii="宋体" w:hAnsi="宋体" w:cs="宋体"/>
          <w:color w:val="auto"/>
          <w:spacing w:val="-21"/>
          <w:w w:val="97"/>
          <w:sz w:val="22"/>
          <w:szCs w:val="22"/>
          <w:highlight w:val="none"/>
        </w:rPr>
        <w:t>日期：</w:t>
      </w:r>
    </w:p>
    <w:p>
      <w:pPr>
        <w:rPr>
          <w:rFonts w:ascii="Arial" w:hAnsi="Arial" w:cs="Arial"/>
          <w:color w:val="auto"/>
          <w:sz w:val="24"/>
          <w:highlight w:val="none"/>
        </w:rPr>
      </w:pPr>
    </w:p>
    <w:p>
      <w:pPr>
        <w:rPr>
          <w:rFonts w:hAnsi="宋体"/>
          <w:b/>
          <w:color w:val="auto"/>
          <w:sz w:val="24"/>
          <w:highlight w:val="none"/>
        </w:rPr>
      </w:pPr>
      <w:r>
        <w:rPr>
          <w:rFonts w:hint="eastAsia" w:hAnsi="宋体"/>
          <w:b/>
          <w:color w:val="auto"/>
          <w:sz w:val="24"/>
          <w:highlight w:val="none"/>
        </w:rPr>
        <w:br w:type="page"/>
      </w:r>
    </w:p>
    <w:p>
      <w:pPr>
        <w:rPr>
          <w:rFonts w:hAnsi="宋体"/>
          <w:b/>
          <w:color w:val="auto"/>
          <w:sz w:val="24"/>
          <w:highlight w:val="none"/>
        </w:rPr>
      </w:pPr>
      <w:r>
        <w:rPr>
          <w:rFonts w:hint="eastAsia" w:hAnsi="宋体"/>
          <w:b/>
          <w:color w:val="auto"/>
          <w:sz w:val="24"/>
          <w:highlight w:val="none"/>
        </w:rPr>
        <w:t>附件九：投标文件封面</w:t>
      </w:r>
    </w:p>
    <w:p>
      <w:pPr>
        <w:pStyle w:val="11"/>
        <w:kinsoku w:val="0"/>
        <w:overflowPunct w:val="0"/>
        <w:spacing w:before="41"/>
        <w:ind w:left="220"/>
        <w:jc w:val="center"/>
        <w:rPr>
          <w:b/>
          <w:bCs/>
          <w:color w:val="auto"/>
          <w:sz w:val="30"/>
          <w:szCs w:val="30"/>
          <w:highlight w:val="none"/>
        </w:rPr>
      </w:pPr>
    </w:p>
    <w:p>
      <w:pPr>
        <w:pStyle w:val="11"/>
        <w:kinsoku w:val="0"/>
        <w:overflowPunct w:val="0"/>
        <w:rPr>
          <w:b/>
          <w:bCs/>
          <w:color w:val="auto"/>
          <w:highlight w:val="none"/>
        </w:rPr>
      </w:pPr>
    </w:p>
    <w:p>
      <w:pPr>
        <w:pStyle w:val="11"/>
        <w:kinsoku w:val="0"/>
        <w:overflowPunct w:val="0"/>
        <w:rPr>
          <w:b/>
          <w:bCs/>
          <w:color w:val="auto"/>
          <w:highlight w:val="none"/>
        </w:rPr>
      </w:pPr>
    </w:p>
    <w:p>
      <w:pPr>
        <w:pStyle w:val="11"/>
        <w:kinsoku w:val="0"/>
        <w:overflowPunct w:val="0"/>
        <w:spacing w:before="8"/>
        <w:rPr>
          <w:b/>
          <w:bCs/>
          <w:color w:val="auto"/>
          <w:sz w:val="25"/>
          <w:szCs w:val="25"/>
          <w:highlight w:val="none"/>
        </w:rPr>
      </w:pPr>
    </w:p>
    <w:p>
      <w:pPr>
        <w:pStyle w:val="11"/>
        <w:tabs>
          <w:tab w:val="left" w:pos="4944"/>
        </w:tabs>
        <w:kinsoku w:val="0"/>
        <w:overflowPunct w:val="0"/>
        <w:spacing w:line="360" w:lineRule="auto"/>
        <w:ind w:left="2423"/>
        <w:rPr>
          <w:color w:val="auto"/>
          <w:sz w:val="52"/>
          <w:szCs w:val="52"/>
          <w:highlight w:val="none"/>
        </w:rPr>
      </w:pPr>
      <w:r>
        <w:rPr>
          <w:rFonts w:hint="eastAsia"/>
          <w:color w:val="auto"/>
          <w:sz w:val="52"/>
          <w:szCs w:val="52"/>
          <w:highlight w:val="none"/>
        </w:rPr>
        <w:t>投标文件</w:t>
      </w:r>
    </w:p>
    <w:p>
      <w:pPr>
        <w:pStyle w:val="11"/>
        <w:kinsoku w:val="0"/>
        <w:overflowPunct w:val="0"/>
        <w:spacing w:before="554" w:line="360" w:lineRule="auto"/>
        <w:ind w:left="376" w:right="1073"/>
        <w:jc w:val="center"/>
        <w:rPr>
          <w:b/>
          <w:bCs/>
          <w:color w:val="auto"/>
          <w:highlight w:val="none"/>
        </w:rPr>
      </w:pPr>
      <w:r>
        <w:rPr>
          <w:rFonts w:hint="eastAsia"/>
          <w:b/>
          <w:bCs/>
          <w:color w:val="auto"/>
          <w:highlight w:val="none"/>
        </w:rPr>
        <w:t>“资格证明文件”或“商务与技术文件”（请选择）正本或副本（请选择）</w:t>
      </w:r>
    </w:p>
    <w:p>
      <w:pPr>
        <w:pStyle w:val="11"/>
        <w:kinsoku w:val="0"/>
        <w:overflowPunct w:val="0"/>
        <w:spacing w:line="360" w:lineRule="auto"/>
        <w:ind w:left="655" w:right="1073"/>
        <w:jc w:val="center"/>
        <w:rPr>
          <w:b/>
          <w:bCs/>
          <w:color w:val="auto"/>
          <w:highlight w:val="none"/>
        </w:rPr>
      </w:pPr>
    </w:p>
    <w:p>
      <w:pPr>
        <w:pStyle w:val="11"/>
        <w:kinsoku w:val="0"/>
        <w:overflowPunct w:val="0"/>
        <w:spacing w:line="360" w:lineRule="auto"/>
        <w:rPr>
          <w:b/>
          <w:bCs/>
          <w:color w:val="auto"/>
          <w:highlight w:val="none"/>
        </w:rPr>
      </w:pPr>
    </w:p>
    <w:p>
      <w:pPr>
        <w:pStyle w:val="11"/>
        <w:kinsoku w:val="0"/>
        <w:overflowPunct w:val="0"/>
        <w:spacing w:line="360" w:lineRule="auto"/>
        <w:rPr>
          <w:b/>
          <w:bCs/>
          <w:color w:val="auto"/>
          <w:highlight w:val="none"/>
        </w:rPr>
      </w:pPr>
    </w:p>
    <w:p>
      <w:pPr>
        <w:pStyle w:val="11"/>
        <w:kinsoku w:val="0"/>
        <w:overflowPunct w:val="0"/>
        <w:spacing w:line="360" w:lineRule="auto"/>
        <w:jc w:val="center"/>
        <w:rPr>
          <w:b/>
          <w:bCs/>
          <w:color w:val="auto"/>
          <w:highlight w:val="none"/>
        </w:rPr>
      </w:pPr>
      <w:r>
        <w:rPr>
          <w:rFonts w:hint="eastAsia"/>
          <w:b/>
          <w:bCs/>
          <w:color w:val="auto"/>
          <w:highlight w:val="none"/>
        </w:rPr>
        <w:t>项目编号：</w:t>
      </w:r>
    </w:p>
    <w:p>
      <w:pPr>
        <w:pStyle w:val="11"/>
        <w:kinsoku w:val="0"/>
        <w:overflowPunct w:val="0"/>
        <w:spacing w:line="360" w:lineRule="auto"/>
        <w:jc w:val="center"/>
        <w:rPr>
          <w:b/>
          <w:bCs/>
          <w:color w:val="auto"/>
          <w:highlight w:val="none"/>
        </w:rPr>
      </w:pPr>
      <w:r>
        <w:rPr>
          <w:rFonts w:hint="eastAsia"/>
          <w:b/>
          <w:bCs/>
          <w:color w:val="auto"/>
          <w:highlight w:val="none"/>
        </w:rPr>
        <w:t>项目名称：</w:t>
      </w:r>
    </w:p>
    <w:p>
      <w:pPr>
        <w:pStyle w:val="11"/>
        <w:kinsoku w:val="0"/>
        <w:overflowPunct w:val="0"/>
        <w:rPr>
          <w:b/>
          <w:bCs/>
          <w:color w:val="auto"/>
          <w:sz w:val="28"/>
          <w:szCs w:val="28"/>
          <w:highlight w:val="none"/>
        </w:rPr>
      </w:pPr>
    </w:p>
    <w:p>
      <w:pPr>
        <w:pStyle w:val="11"/>
        <w:kinsoku w:val="0"/>
        <w:overflowPunct w:val="0"/>
        <w:rPr>
          <w:b/>
          <w:bCs/>
          <w:color w:val="auto"/>
          <w:sz w:val="28"/>
          <w:szCs w:val="28"/>
          <w:highlight w:val="none"/>
        </w:rPr>
      </w:pPr>
    </w:p>
    <w:p>
      <w:pPr>
        <w:pStyle w:val="11"/>
        <w:kinsoku w:val="0"/>
        <w:overflowPunct w:val="0"/>
        <w:rPr>
          <w:b/>
          <w:bCs/>
          <w:color w:val="auto"/>
          <w:sz w:val="28"/>
          <w:szCs w:val="28"/>
          <w:highlight w:val="none"/>
        </w:rPr>
      </w:pPr>
    </w:p>
    <w:p>
      <w:pPr>
        <w:pStyle w:val="11"/>
        <w:kinsoku w:val="0"/>
        <w:overflowPunct w:val="0"/>
        <w:rPr>
          <w:b/>
          <w:bCs/>
          <w:color w:val="auto"/>
          <w:sz w:val="28"/>
          <w:szCs w:val="28"/>
          <w:highlight w:val="none"/>
        </w:rPr>
      </w:pPr>
    </w:p>
    <w:p>
      <w:pPr>
        <w:pStyle w:val="11"/>
        <w:kinsoku w:val="0"/>
        <w:overflowPunct w:val="0"/>
        <w:rPr>
          <w:b/>
          <w:bCs/>
          <w:color w:val="auto"/>
          <w:sz w:val="28"/>
          <w:szCs w:val="28"/>
          <w:highlight w:val="none"/>
        </w:rPr>
      </w:pPr>
    </w:p>
    <w:p>
      <w:pPr>
        <w:pStyle w:val="11"/>
        <w:kinsoku w:val="0"/>
        <w:overflowPunct w:val="0"/>
        <w:rPr>
          <w:b/>
          <w:bCs/>
          <w:color w:val="auto"/>
          <w:sz w:val="28"/>
          <w:szCs w:val="28"/>
          <w:highlight w:val="none"/>
        </w:rPr>
      </w:pPr>
    </w:p>
    <w:p>
      <w:pPr>
        <w:pStyle w:val="11"/>
        <w:kinsoku w:val="0"/>
        <w:overflowPunct w:val="0"/>
        <w:rPr>
          <w:b/>
          <w:bCs/>
          <w:color w:val="auto"/>
          <w:sz w:val="28"/>
          <w:szCs w:val="28"/>
          <w:highlight w:val="none"/>
        </w:rPr>
      </w:pPr>
    </w:p>
    <w:p>
      <w:pPr>
        <w:pStyle w:val="11"/>
        <w:tabs>
          <w:tab w:val="left" w:pos="5830"/>
        </w:tabs>
        <w:kinsoku w:val="0"/>
        <w:overflowPunct w:val="0"/>
        <w:spacing w:before="223"/>
        <w:ind w:right="521"/>
        <w:jc w:val="center"/>
        <w:rPr>
          <w:b/>
          <w:bCs/>
          <w:color w:val="auto"/>
          <w:sz w:val="28"/>
          <w:szCs w:val="28"/>
          <w:highlight w:val="none"/>
        </w:rPr>
      </w:pPr>
      <w:r>
        <w:rPr>
          <w:rFonts w:hint="eastAsia"/>
          <w:b/>
          <w:bCs/>
          <w:color w:val="auto"/>
          <w:w w:val="95"/>
          <w:sz w:val="28"/>
          <w:szCs w:val="28"/>
          <w:highlight w:val="none"/>
        </w:rPr>
        <w:t>投标人：（盖单位章）</w:t>
      </w:r>
    </w:p>
    <w:p>
      <w:pPr>
        <w:pStyle w:val="11"/>
        <w:tabs>
          <w:tab w:val="left" w:pos="9313"/>
        </w:tabs>
        <w:kinsoku w:val="0"/>
        <w:overflowPunct w:val="0"/>
        <w:spacing w:before="186"/>
        <w:ind w:left="1766"/>
        <w:rPr>
          <w:b/>
          <w:bCs/>
          <w:color w:val="auto"/>
          <w:sz w:val="28"/>
          <w:szCs w:val="28"/>
          <w:highlight w:val="none"/>
        </w:rPr>
      </w:pPr>
      <w:r>
        <w:rPr>
          <w:rFonts w:hint="eastAsia"/>
          <w:b/>
          <w:bCs/>
          <w:color w:val="auto"/>
          <w:w w:val="95"/>
          <w:sz w:val="28"/>
          <w:szCs w:val="28"/>
          <w:highlight w:val="none"/>
        </w:rPr>
        <w:t>法定代表人或全权代表：（盖章或签字）</w:t>
      </w:r>
    </w:p>
    <w:p>
      <w:pPr>
        <w:pStyle w:val="11"/>
        <w:kinsoku w:val="0"/>
        <w:overflowPunct w:val="0"/>
        <w:rPr>
          <w:b/>
          <w:bCs/>
          <w:color w:val="auto"/>
          <w:sz w:val="20"/>
          <w:szCs w:val="20"/>
          <w:highlight w:val="none"/>
        </w:rPr>
      </w:pPr>
    </w:p>
    <w:p>
      <w:pPr>
        <w:pStyle w:val="11"/>
        <w:kinsoku w:val="0"/>
        <w:overflowPunct w:val="0"/>
        <w:rPr>
          <w:b/>
          <w:bCs/>
          <w:color w:val="auto"/>
          <w:sz w:val="20"/>
          <w:szCs w:val="20"/>
          <w:highlight w:val="none"/>
        </w:rPr>
      </w:pPr>
    </w:p>
    <w:p>
      <w:pPr>
        <w:pStyle w:val="11"/>
        <w:kinsoku w:val="0"/>
        <w:overflowPunct w:val="0"/>
        <w:spacing w:before="3"/>
        <w:rPr>
          <w:b/>
          <w:bCs/>
          <w:color w:val="auto"/>
          <w:sz w:val="18"/>
          <w:szCs w:val="18"/>
          <w:highlight w:val="none"/>
        </w:rPr>
      </w:pPr>
    </w:p>
    <w:p>
      <w:pPr>
        <w:pStyle w:val="11"/>
        <w:tabs>
          <w:tab w:val="left" w:pos="6127"/>
        </w:tabs>
        <w:kinsoku w:val="0"/>
        <w:overflowPunct w:val="0"/>
        <w:spacing w:before="62"/>
        <w:ind w:left="3031"/>
        <w:rPr>
          <w:b/>
          <w:bCs/>
          <w:color w:val="auto"/>
          <w:sz w:val="28"/>
          <w:szCs w:val="28"/>
          <w:highlight w:val="none"/>
        </w:rPr>
      </w:pPr>
      <w:r>
        <w:rPr>
          <w:rFonts w:hint="eastAsia"/>
          <w:b/>
          <w:bCs/>
          <w:color w:val="auto"/>
          <w:sz w:val="28"/>
          <w:szCs w:val="28"/>
          <w:highlight w:val="none"/>
        </w:rPr>
        <w:t>二</w:t>
      </w:r>
      <w:r>
        <w:rPr>
          <w:b/>
          <w:bCs/>
          <w:color w:val="auto"/>
          <w:sz w:val="28"/>
          <w:szCs w:val="28"/>
          <w:highlight w:val="none"/>
        </w:rPr>
        <w:t>0</w:t>
      </w:r>
      <w:r>
        <w:rPr>
          <w:rFonts w:hint="eastAsia"/>
          <w:b/>
          <w:bCs/>
          <w:color w:val="auto"/>
          <w:sz w:val="28"/>
          <w:szCs w:val="28"/>
          <w:highlight w:val="none"/>
        </w:rPr>
        <w:t>二</w:t>
      </w:r>
      <w:r>
        <w:rPr>
          <w:rFonts w:hint="eastAsia"/>
          <w:b/>
          <w:bCs/>
          <w:color w:val="auto"/>
          <w:sz w:val="28"/>
          <w:szCs w:val="28"/>
          <w:highlight w:val="none"/>
          <w:lang w:eastAsia="zh-CN"/>
        </w:rPr>
        <w:t>四</w:t>
      </w:r>
      <w:r>
        <w:rPr>
          <w:rFonts w:hint="eastAsia"/>
          <w:b/>
          <w:bCs/>
          <w:color w:val="auto"/>
          <w:sz w:val="28"/>
          <w:szCs w:val="28"/>
          <w:highlight w:val="none"/>
        </w:rPr>
        <w:t>年月日</w:t>
      </w:r>
      <w:r>
        <w:rPr>
          <w:b/>
          <w:bCs/>
          <w:color w:val="auto"/>
          <w:sz w:val="28"/>
          <w:szCs w:val="28"/>
          <w:highlight w:val="none"/>
        </w:rPr>
        <w:br w:type="page"/>
      </w:r>
    </w:p>
    <w:p>
      <w:pPr>
        <w:rPr>
          <w:rFonts w:hAnsi="宋体"/>
          <w:b/>
          <w:color w:val="auto"/>
          <w:sz w:val="24"/>
          <w:highlight w:val="none"/>
        </w:rPr>
      </w:pPr>
      <w:r>
        <w:rPr>
          <w:rFonts w:hint="eastAsia" w:hAnsi="宋体"/>
          <w:b/>
          <w:color w:val="auto"/>
          <w:sz w:val="24"/>
          <w:highlight w:val="none"/>
        </w:rPr>
        <w:t>附件十：外包装封面</w:t>
      </w:r>
    </w:p>
    <w:p>
      <w:pPr>
        <w:tabs>
          <w:tab w:val="left" w:pos="1898"/>
        </w:tabs>
        <w:autoSpaceDE w:val="0"/>
        <w:autoSpaceDN w:val="0"/>
        <w:adjustRightInd w:val="0"/>
        <w:spacing w:line="440" w:lineRule="exact"/>
        <w:rPr>
          <w:rFonts w:ascii="宋体" w:hAnsi="宋体"/>
          <w:b/>
          <w:bCs/>
          <w:color w:val="auto"/>
          <w:sz w:val="24"/>
          <w:highlight w:val="none"/>
        </w:rPr>
      </w:pPr>
    </w:p>
    <w:p>
      <w:pPr>
        <w:pStyle w:val="11"/>
        <w:kinsoku w:val="0"/>
        <w:overflowPunct w:val="0"/>
        <w:spacing w:line="292" w:lineRule="auto"/>
        <w:ind w:right="3510" w:firstLine="3486" w:firstLineChars="1240"/>
        <w:rPr>
          <w:b/>
          <w:bCs/>
          <w:color w:val="auto"/>
          <w:sz w:val="28"/>
          <w:szCs w:val="28"/>
          <w:highlight w:val="none"/>
        </w:rPr>
      </w:pPr>
    </w:p>
    <w:p>
      <w:pPr>
        <w:pStyle w:val="11"/>
        <w:kinsoku w:val="0"/>
        <w:overflowPunct w:val="0"/>
        <w:spacing w:line="292" w:lineRule="auto"/>
        <w:ind w:right="3510" w:firstLine="3486" w:firstLineChars="1240"/>
        <w:rPr>
          <w:b/>
          <w:bCs/>
          <w:color w:val="auto"/>
          <w:sz w:val="28"/>
          <w:szCs w:val="28"/>
          <w:highlight w:val="none"/>
        </w:rPr>
      </w:pPr>
    </w:p>
    <w:p>
      <w:pPr>
        <w:pStyle w:val="11"/>
        <w:kinsoku w:val="0"/>
        <w:overflowPunct w:val="0"/>
        <w:spacing w:line="292" w:lineRule="auto"/>
        <w:ind w:right="3510" w:firstLine="3486" w:firstLineChars="1240"/>
        <w:rPr>
          <w:b/>
          <w:bCs/>
          <w:color w:val="auto"/>
          <w:sz w:val="28"/>
          <w:szCs w:val="28"/>
          <w:highlight w:val="none"/>
        </w:rPr>
      </w:pPr>
    </w:p>
    <w:p>
      <w:pPr>
        <w:pStyle w:val="11"/>
        <w:kinsoku w:val="0"/>
        <w:overflowPunct w:val="0"/>
        <w:spacing w:line="292" w:lineRule="auto"/>
        <w:ind w:right="3510" w:firstLine="3486" w:firstLineChars="1240"/>
        <w:rPr>
          <w:b/>
          <w:bCs/>
          <w:color w:val="auto"/>
          <w:sz w:val="28"/>
          <w:szCs w:val="28"/>
          <w:highlight w:val="none"/>
        </w:rPr>
      </w:pPr>
    </w:p>
    <w:p>
      <w:pPr>
        <w:pStyle w:val="11"/>
        <w:kinsoku w:val="0"/>
        <w:overflowPunct w:val="0"/>
        <w:spacing w:line="292" w:lineRule="auto"/>
        <w:ind w:right="3510" w:firstLine="3486" w:firstLineChars="1240"/>
        <w:rPr>
          <w:b/>
          <w:bCs/>
          <w:color w:val="auto"/>
          <w:sz w:val="28"/>
          <w:szCs w:val="28"/>
          <w:highlight w:val="none"/>
        </w:rPr>
      </w:pPr>
      <w:r>
        <w:rPr>
          <w:rFonts w:hint="eastAsia"/>
          <w:b/>
          <w:bCs/>
          <w:color w:val="auto"/>
          <w:sz w:val="28"/>
          <w:szCs w:val="28"/>
          <w:highlight w:val="none"/>
        </w:rPr>
        <w:t>项目编号：</w:t>
      </w:r>
    </w:p>
    <w:p>
      <w:pPr>
        <w:pStyle w:val="11"/>
        <w:kinsoku w:val="0"/>
        <w:overflowPunct w:val="0"/>
        <w:spacing w:line="292" w:lineRule="auto"/>
        <w:ind w:left="3514" w:right="3510"/>
        <w:rPr>
          <w:b/>
          <w:bCs/>
          <w:color w:val="auto"/>
          <w:sz w:val="28"/>
          <w:szCs w:val="28"/>
          <w:highlight w:val="none"/>
        </w:rPr>
      </w:pPr>
      <w:r>
        <w:rPr>
          <w:rFonts w:hint="eastAsia"/>
          <w:b/>
          <w:bCs/>
          <w:color w:val="auto"/>
          <w:sz w:val="28"/>
          <w:szCs w:val="28"/>
          <w:highlight w:val="none"/>
        </w:rPr>
        <w:t>项目名称：</w:t>
      </w:r>
    </w:p>
    <w:p>
      <w:pPr>
        <w:pStyle w:val="11"/>
        <w:kinsoku w:val="0"/>
        <w:overflowPunct w:val="0"/>
        <w:spacing w:before="6" w:line="295" w:lineRule="auto"/>
        <w:ind w:left="103" w:right="96"/>
        <w:jc w:val="center"/>
        <w:rPr>
          <w:b/>
          <w:bCs/>
          <w:color w:val="auto"/>
          <w:sz w:val="28"/>
          <w:szCs w:val="28"/>
          <w:highlight w:val="none"/>
        </w:rPr>
      </w:pPr>
      <w:r>
        <w:rPr>
          <w:rFonts w:hint="eastAsia"/>
          <w:b/>
          <w:bCs/>
          <w:color w:val="auto"/>
          <w:spacing w:val="-15"/>
          <w:sz w:val="28"/>
          <w:szCs w:val="28"/>
          <w:highlight w:val="none"/>
        </w:rPr>
        <w:t>内容：“资格证明文件”或“商务与技术文件”</w:t>
      </w:r>
      <w:r>
        <w:rPr>
          <w:rFonts w:hint="eastAsia"/>
          <w:b/>
          <w:bCs/>
          <w:color w:val="auto"/>
          <w:spacing w:val="-26"/>
          <w:sz w:val="28"/>
          <w:szCs w:val="28"/>
          <w:highlight w:val="none"/>
        </w:rPr>
        <w:t>（</w:t>
      </w:r>
      <w:r>
        <w:rPr>
          <w:rFonts w:hint="eastAsia"/>
          <w:b/>
          <w:bCs/>
          <w:color w:val="auto"/>
          <w:sz w:val="28"/>
          <w:szCs w:val="28"/>
          <w:highlight w:val="none"/>
        </w:rPr>
        <w:t>请选择）</w:t>
      </w:r>
    </w:p>
    <w:p>
      <w:pPr>
        <w:pStyle w:val="11"/>
        <w:kinsoku w:val="0"/>
        <w:overflowPunct w:val="0"/>
        <w:spacing w:before="5"/>
        <w:rPr>
          <w:b/>
          <w:bCs/>
          <w:color w:val="auto"/>
          <w:szCs w:val="36"/>
          <w:highlight w:val="none"/>
        </w:rPr>
      </w:pPr>
    </w:p>
    <w:p>
      <w:pPr>
        <w:pStyle w:val="11"/>
        <w:kinsoku w:val="0"/>
        <w:overflowPunct w:val="0"/>
        <w:rPr>
          <w:b/>
          <w:bCs/>
          <w:color w:val="auto"/>
          <w:sz w:val="28"/>
          <w:szCs w:val="28"/>
          <w:highlight w:val="none"/>
        </w:rPr>
      </w:pPr>
    </w:p>
    <w:p>
      <w:pPr>
        <w:pStyle w:val="11"/>
        <w:tabs>
          <w:tab w:val="left" w:pos="8325"/>
        </w:tabs>
        <w:kinsoku w:val="0"/>
        <w:overflowPunct w:val="0"/>
        <w:spacing w:before="185"/>
        <w:ind w:left="806"/>
        <w:rPr>
          <w:b/>
          <w:bCs/>
          <w:color w:val="auto"/>
          <w:sz w:val="28"/>
          <w:szCs w:val="28"/>
          <w:highlight w:val="none"/>
        </w:rPr>
      </w:pPr>
      <w:r>
        <w:rPr>
          <w:rFonts w:hint="eastAsia"/>
          <w:b/>
          <w:bCs/>
          <w:color w:val="auto"/>
          <w:sz w:val="28"/>
          <w:szCs w:val="28"/>
          <w:highlight w:val="none"/>
        </w:rPr>
        <w:t>投标人名称：</w:t>
      </w:r>
      <w:r>
        <w:rPr>
          <w:b/>
          <w:bCs/>
          <w:color w:val="auto"/>
          <w:sz w:val="28"/>
          <w:szCs w:val="28"/>
          <w:highlight w:val="none"/>
          <w:u w:val="single" w:color="000000"/>
        </w:rPr>
        <w:tab/>
      </w:r>
    </w:p>
    <w:p>
      <w:pPr>
        <w:pStyle w:val="11"/>
        <w:kinsoku w:val="0"/>
        <w:overflowPunct w:val="0"/>
        <w:rPr>
          <w:b/>
          <w:bCs/>
          <w:color w:val="auto"/>
          <w:sz w:val="30"/>
          <w:szCs w:val="30"/>
          <w:highlight w:val="none"/>
        </w:rPr>
      </w:pPr>
    </w:p>
    <w:p>
      <w:pPr>
        <w:pStyle w:val="11"/>
        <w:kinsoku w:val="0"/>
        <w:overflowPunct w:val="0"/>
        <w:spacing w:before="1"/>
        <w:rPr>
          <w:b/>
          <w:bCs/>
          <w:color w:val="auto"/>
          <w:sz w:val="27"/>
          <w:szCs w:val="27"/>
          <w:highlight w:val="none"/>
        </w:rPr>
      </w:pPr>
    </w:p>
    <w:p>
      <w:pPr>
        <w:pStyle w:val="11"/>
        <w:kinsoku w:val="0"/>
        <w:overflowPunct w:val="0"/>
        <w:ind w:left="97" w:right="96"/>
        <w:jc w:val="center"/>
        <w:rPr>
          <w:b/>
          <w:bCs/>
          <w:color w:val="auto"/>
          <w:sz w:val="28"/>
          <w:szCs w:val="28"/>
          <w:highlight w:val="none"/>
        </w:rPr>
      </w:pPr>
      <w:r>
        <w:rPr>
          <w:rFonts w:hint="eastAsia"/>
          <w:b/>
          <w:bCs/>
          <w:color w:val="auto"/>
          <w:sz w:val="28"/>
          <w:szCs w:val="28"/>
          <w:highlight w:val="none"/>
        </w:rPr>
        <w:t>开标时启封</w:t>
      </w:r>
    </w:p>
    <w:p>
      <w:pPr>
        <w:pStyle w:val="11"/>
        <w:kinsoku w:val="0"/>
        <w:overflowPunct w:val="0"/>
        <w:spacing w:before="186"/>
        <w:ind w:left="94" w:right="96"/>
        <w:jc w:val="center"/>
        <w:rPr>
          <w:b/>
          <w:bCs/>
          <w:color w:val="auto"/>
          <w:sz w:val="28"/>
          <w:szCs w:val="28"/>
          <w:highlight w:val="none"/>
        </w:rPr>
      </w:pPr>
      <w:r>
        <w:rPr>
          <w:rFonts w:hint="eastAsia"/>
          <w:b/>
          <w:bCs/>
          <w:color w:val="auto"/>
          <w:sz w:val="28"/>
          <w:szCs w:val="28"/>
          <w:highlight w:val="none"/>
        </w:rPr>
        <w:t>提交地点：三门县公共资源交易中心开标室（三门县海游镇广场路</w:t>
      </w:r>
    </w:p>
    <w:p>
      <w:pPr>
        <w:pStyle w:val="11"/>
        <w:kinsoku w:val="0"/>
        <w:overflowPunct w:val="0"/>
        <w:spacing w:before="186"/>
        <w:ind w:left="103"/>
        <w:rPr>
          <w:b/>
          <w:bCs/>
          <w:color w:val="auto"/>
          <w:sz w:val="28"/>
          <w:szCs w:val="28"/>
          <w:highlight w:val="none"/>
        </w:rPr>
      </w:pPr>
      <w:r>
        <w:rPr>
          <w:b/>
          <w:bCs/>
          <w:color w:val="auto"/>
          <w:sz w:val="28"/>
          <w:szCs w:val="28"/>
          <w:highlight w:val="none"/>
        </w:rPr>
        <w:t xml:space="preserve">22 </w:t>
      </w:r>
      <w:r>
        <w:rPr>
          <w:rFonts w:hint="eastAsia"/>
          <w:b/>
          <w:bCs/>
          <w:color w:val="auto"/>
          <w:sz w:val="28"/>
          <w:szCs w:val="28"/>
          <w:highlight w:val="none"/>
        </w:rPr>
        <w:t>号交通大楼四楼）</w:t>
      </w:r>
    </w:p>
    <w:p>
      <w:pPr>
        <w:pStyle w:val="11"/>
        <w:kinsoku w:val="0"/>
        <w:overflowPunct w:val="0"/>
        <w:rPr>
          <w:b/>
          <w:bCs/>
          <w:color w:val="auto"/>
          <w:sz w:val="20"/>
          <w:szCs w:val="20"/>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br w:type="page"/>
      </w:r>
    </w:p>
    <w:p>
      <w:pPr>
        <w:pStyle w:val="2"/>
        <w:spacing w:before="0" w:after="0" w:line="360" w:lineRule="auto"/>
        <w:jc w:val="both"/>
        <w:rPr>
          <w:rFonts w:hint="eastAsia" w:eastAsia="宋体"/>
          <w:color w:val="auto"/>
          <w:sz w:val="30"/>
          <w:szCs w:val="30"/>
          <w:highlight w:val="none"/>
          <w:lang w:eastAsia="zh-CN"/>
        </w:rPr>
      </w:pPr>
      <w:bookmarkStart w:id="14" w:name="_Toc78183413"/>
      <w:r>
        <w:rPr>
          <w:rFonts w:hint="eastAsia"/>
          <w:color w:val="auto"/>
          <w:sz w:val="30"/>
          <w:szCs w:val="30"/>
          <w:highlight w:val="none"/>
          <w:lang w:eastAsia="zh-CN"/>
        </w:rPr>
        <w:t>附件十一：</w:t>
      </w:r>
    </w:p>
    <w:bookmarkEnd w:id="14"/>
    <w:p>
      <w:pPr>
        <w:pStyle w:val="2"/>
        <w:spacing w:before="0" w:after="0" w:line="360" w:lineRule="auto"/>
        <w:jc w:val="center"/>
        <w:rPr>
          <w:color w:val="auto"/>
          <w:sz w:val="30"/>
          <w:szCs w:val="30"/>
          <w:highlight w:val="none"/>
        </w:rPr>
      </w:pPr>
      <w:r>
        <w:rPr>
          <w:rFonts w:hint="eastAsia" w:ascii="宋体"/>
          <w:b/>
          <w:bCs/>
          <w:color w:val="auto"/>
          <w:kern w:val="0"/>
          <w:sz w:val="30"/>
          <w:szCs w:val="30"/>
          <w:highlight w:val="none"/>
          <w:lang w:val="en-US" w:eastAsia="zh-CN"/>
        </w:rPr>
        <w:t>校方责任险的服务内容及要求</w:t>
      </w:r>
    </w:p>
    <w:p>
      <w:pPr>
        <w:pStyle w:val="14"/>
        <w:rPr>
          <w:rFonts w:asciiTheme="minorEastAsia" w:hAnsiTheme="minorEastAsia" w:eastAsiaTheme="minorEastAsia"/>
          <w:color w:val="auto"/>
          <w:szCs w:val="21"/>
          <w:highlight w:val="none"/>
        </w:rPr>
      </w:pPr>
    </w:p>
    <w:p>
      <w:pPr>
        <w:spacing w:before="78" w:line="469" w:lineRule="exact"/>
        <w:ind w:firstLine="608"/>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position w:val="17"/>
          <w:sz w:val="24"/>
          <w:highlight w:val="none"/>
        </w:rPr>
        <w:t>一、招标项目一览表</w:t>
      </w:r>
    </w:p>
    <w:p>
      <w:pPr>
        <w:spacing w:line="204" w:lineRule="auto"/>
        <w:ind w:firstLine="60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具体内容如下表：</w:t>
      </w:r>
    </w:p>
    <w:p>
      <w:pPr>
        <w:spacing w:line="159" w:lineRule="exact"/>
        <w:rPr>
          <w:rFonts w:asciiTheme="minorEastAsia" w:hAnsiTheme="minorEastAsia" w:eastAsiaTheme="minorEastAsia"/>
          <w:color w:val="auto"/>
          <w:sz w:val="24"/>
          <w:highlight w:val="none"/>
        </w:rPr>
      </w:pPr>
    </w:p>
    <w:tbl>
      <w:tblPr>
        <w:tblStyle w:val="78"/>
        <w:tblW w:w="924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1794"/>
        <w:gridCol w:w="2902"/>
        <w:gridCol w:w="1612"/>
        <w:gridCol w:w="19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32" w:type="dxa"/>
          </w:tcPr>
          <w:p>
            <w:pPr>
              <w:spacing w:before="126" w:line="239" w:lineRule="auto"/>
              <w:ind w:left="401" w:right="153" w:hanging="235"/>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项目名</w:t>
            </w:r>
            <w:r>
              <w:rPr>
                <w:rFonts w:cs="宋体" w:asciiTheme="minorEastAsia" w:hAnsiTheme="minorEastAsia" w:eastAsiaTheme="minorEastAsia"/>
                <w:color w:val="auto"/>
                <w:spacing w:val="1"/>
                <w:sz w:val="24"/>
                <w:highlight w:val="none"/>
              </w:rPr>
              <w:t xml:space="preserve"> </w:t>
            </w:r>
            <w:r>
              <w:rPr>
                <w:rFonts w:cs="宋体" w:asciiTheme="minorEastAsia" w:hAnsiTheme="minorEastAsia" w:eastAsiaTheme="minorEastAsia"/>
                <w:color w:val="auto"/>
                <w:sz w:val="24"/>
                <w:highlight w:val="none"/>
              </w:rPr>
              <w:t>称</w:t>
            </w:r>
          </w:p>
        </w:tc>
        <w:tc>
          <w:tcPr>
            <w:tcW w:w="1794" w:type="dxa"/>
          </w:tcPr>
          <w:p>
            <w:pPr>
              <w:spacing w:before="281" w:line="180" w:lineRule="auto"/>
              <w:ind w:firstLine="42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投保单位</w:t>
            </w:r>
          </w:p>
        </w:tc>
        <w:tc>
          <w:tcPr>
            <w:tcW w:w="2902" w:type="dxa"/>
          </w:tcPr>
          <w:p>
            <w:pPr>
              <w:spacing w:before="280" w:line="180" w:lineRule="auto"/>
              <w:ind w:firstLine="736"/>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2"/>
                <w:sz w:val="24"/>
                <w:highlight w:val="none"/>
              </w:rPr>
              <w:t>在籍学生数量</w:t>
            </w:r>
          </w:p>
        </w:tc>
        <w:tc>
          <w:tcPr>
            <w:tcW w:w="1612" w:type="dxa"/>
          </w:tcPr>
          <w:p>
            <w:pPr>
              <w:spacing w:before="281" w:line="180" w:lineRule="auto"/>
              <w:ind w:firstLine="33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3"/>
                <w:sz w:val="24"/>
                <w:highlight w:val="none"/>
              </w:rPr>
              <w:t>保险区域</w:t>
            </w:r>
          </w:p>
        </w:tc>
        <w:tc>
          <w:tcPr>
            <w:tcW w:w="1907" w:type="dxa"/>
          </w:tcPr>
          <w:p>
            <w:pPr>
              <w:spacing w:before="281" w:line="180" w:lineRule="auto"/>
              <w:ind w:firstLine="47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3"/>
                <w:sz w:val="24"/>
                <w:highlight w:val="none"/>
              </w:rPr>
              <w:t>保险期限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032" w:type="dxa"/>
          </w:tcPr>
          <w:p>
            <w:pPr>
              <w:spacing w:line="277" w:lineRule="auto"/>
              <w:rPr>
                <w:rFonts w:cs="Arial" w:asciiTheme="minorEastAsia" w:hAnsiTheme="minorEastAsia" w:eastAsiaTheme="minorEastAsia"/>
                <w:color w:val="auto"/>
                <w:sz w:val="24"/>
                <w:highlight w:val="none"/>
              </w:rPr>
            </w:pPr>
          </w:p>
          <w:p>
            <w:pPr>
              <w:spacing w:before="78" w:line="180" w:lineRule="auto"/>
              <w:ind w:firstLine="16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3"/>
                <w:sz w:val="24"/>
                <w:highlight w:val="none"/>
              </w:rPr>
              <w:t>校(园)</w:t>
            </w:r>
          </w:p>
          <w:p>
            <w:pPr>
              <w:spacing w:before="77" w:line="180" w:lineRule="auto"/>
              <w:ind w:firstLine="16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方责任</w:t>
            </w:r>
          </w:p>
          <w:p>
            <w:pPr>
              <w:spacing w:before="77" w:line="180" w:lineRule="auto"/>
              <w:ind w:firstLine="28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保险</w:t>
            </w:r>
          </w:p>
        </w:tc>
        <w:tc>
          <w:tcPr>
            <w:tcW w:w="1794" w:type="dxa"/>
          </w:tcPr>
          <w:p>
            <w:pPr>
              <w:spacing w:before="199"/>
              <w:ind w:left="114" w:right="109" w:firstLine="6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2"/>
                <w:sz w:val="24"/>
                <w:highlight w:val="none"/>
              </w:rPr>
              <w:t>全县所有公办</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17"/>
                <w:sz w:val="24"/>
                <w:highlight w:val="none"/>
              </w:rPr>
              <w:t>学校（高中、初</w:t>
            </w:r>
            <w:r>
              <w:rPr>
                <w:rFonts w:cs="宋体" w:asciiTheme="minorEastAsia" w:hAnsiTheme="minorEastAsia" w:eastAsiaTheme="minorEastAsia"/>
                <w:color w:val="auto"/>
                <w:spacing w:val="3"/>
                <w:sz w:val="24"/>
                <w:highlight w:val="none"/>
              </w:rPr>
              <w:t xml:space="preserve"> </w:t>
            </w:r>
            <w:r>
              <w:rPr>
                <w:rFonts w:cs="宋体" w:asciiTheme="minorEastAsia" w:hAnsiTheme="minorEastAsia" w:eastAsiaTheme="minorEastAsia"/>
                <w:color w:val="auto"/>
                <w:spacing w:val="-17"/>
                <w:sz w:val="24"/>
                <w:highlight w:val="none"/>
              </w:rPr>
              <w:t>中、小学、幼儿</w:t>
            </w:r>
          </w:p>
          <w:p>
            <w:pPr>
              <w:spacing w:before="1" w:line="201" w:lineRule="auto"/>
              <w:ind w:firstLine="67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5"/>
                <w:sz w:val="24"/>
                <w:highlight w:val="none"/>
              </w:rPr>
              <w:t>园）</w:t>
            </w:r>
          </w:p>
        </w:tc>
        <w:tc>
          <w:tcPr>
            <w:tcW w:w="2902" w:type="dxa"/>
          </w:tcPr>
          <w:p>
            <w:pPr>
              <w:spacing w:before="198" w:line="219" w:lineRule="auto"/>
              <w:ind w:left="135" w:right="128" w:firstLine="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3"/>
                <w:sz w:val="24"/>
                <w:highlight w:val="none"/>
              </w:rPr>
              <w:t>全县在籍学生约</w:t>
            </w:r>
            <w:r>
              <w:rPr>
                <w:rFonts w:cs="宋体" w:asciiTheme="minorEastAsia" w:hAnsiTheme="minorEastAsia" w:eastAsiaTheme="minorEastAsia"/>
                <w:color w:val="auto"/>
                <w:spacing w:val="-42"/>
                <w:sz w:val="24"/>
                <w:highlight w:val="none"/>
              </w:rPr>
              <w:t xml:space="preserve"> </w:t>
            </w:r>
            <w:r>
              <w:rPr>
                <w:rFonts w:cs="宋体" w:asciiTheme="minorEastAsia" w:hAnsiTheme="minorEastAsia" w:eastAsiaTheme="minorEastAsia"/>
                <w:color w:val="auto"/>
                <w:spacing w:val="-3"/>
                <w:sz w:val="24"/>
                <w:highlight w:val="none"/>
              </w:rPr>
              <w:t>50000</w:t>
            </w:r>
            <w:r>
              <w:rPr>
                <w:rFonts w:cs="宋体" w:asciiTheme="minorEastAsia" w:hAnsiTheme="minorEastAsia" w:eastAsiaTheme="minorEastAsia"/>
                <w:color w:val="auto"/>
                <w:spacing w:val="-49"/>
                <w:sz w:val="24"/>
                <w:highlight w:val="none"/>
              </w:rPr>
              <w:t xml:space="preserve"> </w:t>
            </w:r>
            <w:r>
              <w:rPr>
                <w:rFonts w:cs="宋体" w:asciiTheme="minorEastAsia" w:hAnsiTheme="minorEastAsia" w:eastAsiaTheme="minorEastAsia"/>
                <w:color w:val="auto"/>
                <w:spacing w:val="-3"/>
                <w:sz w:val="24"/>
                <w:highlight w:val="none"/>
              </w:rPr>
              <w:t>人</w:t>
            </w:r>
            <w:r>
              <w:rPr>
                <w:rFonts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pacing w:val="-3"/>
                <w:sz w:val="24"/>
                <w:highlight w:val="none"/>
              </w:rPr>
              <w:t>（人数为上年度参保人，</w:t>
            </w:r>
            <w:r>
              <w:rPr>
                <w:rFonts w:cs="宋体" w:asciiTheme="minorEastAsia" w:hAnsiTheme="minorEastAsia" w:eastAsiaTheme="minorEastAsia"/>
                <w:color w:val="auto"/>
                <w:spacing w:val="8"/>
                <w:sz w:val="24"/>
                <w:highlight w:val="none"/>
              </w:rPr>
              <w:t xml:space="preserve"> </w:t>
            </w:r>
            <w:r>
              <w:rPr>
                <w:rFonts w:cs="宋体" w:asciiTheme="minorEastAsia" w:hAnsiTheme="minorEastAsia" w:eastAsiaTheme="minorEastAsia"/>
                <w:color w:val="auto"/>
                <w:spacing w:val="-17"/>
                <w:sz w:val="24"/>
                <w:highlight w:val="none"/>
              </w:rPr>
              <w:t>仅作为参考，</w:t>
            </w:r>
            <w:r>
              <w:rPr>
                <w:rFonts w:cs="宋体" w:asciiTheme="minorEastAsia" w:hAnsiTheme="minorEastAsia" w:eastAsiaTheme="minorEastAsia"/>
                <w:color w:val="auto"/>
                <w:spacing w:val="59"/>
                <w:sz w:val="24"/>
                <w:highlight w:val="none"/>
              </w:rPr>
              <w:t xml:space="preserve"> </w:t>
            </w:r>
            <w:r>
              <w:rPr>
                <w:rFonts w:cs="宋体" w:asciiTheme="minorEastAsia" w:hAnsiTheme="minorEastAsia" w:eastAsiaTheme="minorEastAsia"/>
                <w:color w:val="auto"/>
                <w:spacing w:val="-17"/>
                <w:sz w:val="24"/>
                <w:highlight w:val="none"/>
              </w:rPr>
              <w:t>具体以实际</w:t>
            </w:r>
          </w:p>
          <w:p>
            <w:pPr>
              <w:spacing w:before="80" w:line="180" w:lineRule="auto"/>
              <w:ind w:firstLine="55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9"/>
                <w:sz w:val="24"/>
                <w:highlight w:val="none"/>
              </w:rPr>
              <w:t>参保人数为准）。</w:t>
            </w:r>
          </w:p>
        </w:tc>
        <w:tc>
          <w:tcPr>
            <w:tcW w:w="1612" w:type="dxa"/>
          </w:tcPr>
          <w:p>
            <w:pPr>
              <w:spacing w:before="200" w:line="206" w:lineRule="auto"/>
              <w:ind w:left="212" w:right="204" w:firstLine="2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7"/>
                <w:sz w:val="24"/>
                <w:highlight w:val="none"/>
              </w:rPr>
              <w:t>中华人民共</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3"/>
                <w:sz w:val="24"/>
                <w:highlight w:val="none"/>
              </w:rPr>
              <w:t>和国境内，</w:t>
            </w:r>
          </w:p>
          <w:p>
            <w:pPr>
              <w:spacing w:before="87" w:line="239" w:lineRule="auto"/>
              <w:ind w:left="695" w:right="104" w:hanging="58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9"/>
                <w:sz w:val="24"/>
                <w:highlight w:val="none"/>
              </w:rPr>
              <w:t>港、澳、台除</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z w:val="24"/>
                <w:highlight w:val="none"/>
              </w:rPr>
              <w:t>外</w:t>
            </w:r>
          </w:p>
        </w:tc>
        <w:tc>
          <w:tcPr>
            <w:tcW w:w="1907" w:type="dxa"/>
          </w:tcPr>
          <w:p>
            <w:pPr>
              <w:spacing w:before="199" w:line="180" w:lineRule="auto"/>
              <w:ind w:firstLine="11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8"/>
                <w:sz w:val="24"/>
                <w:highlight w:val="none"/>
              </w:rPr>
              <w:t>一学年（</w:t>
            </w:r>
            <w:r>
              <w:rPr>
                <w:rFonts w:hint="eastAsia" w:cs="宋体" w:asciiTheme="minorEastAsia" w:hAnsiTheme="minorEastAsia" w:eastAsiaTheme="minorEastAsia"/>
                <w:color w:val="auto"/>
                <w:spacing w:val="-8"/>
                <w:sz w:val="24"/>
                <w:highlight w:val="none"/>
                <w:lang w:val="en-US" w:eastAsia="zh-CN"/>
              </w:rPr>
              <w:t>2024</w:t>
            </w:r>
            <w:r>
              <w:rPr>
                <w:rFonts w:cs="宋体" w:asciiTheme="minorEastAsia" w:hAnsiTheme="minorEastAsia" w:eastAsiaTheme="minorEastAsia"/>
                <w:color w:val="auto"/>
                <w:spacing w:val="-8"/>
                <w:sz w:val="24"/>
                <w:highlight w:val="none"/>
              </w:rPr>
              <w:t>年</w:t>
            </w:r>
          </w:p>
          <w:p>
            <w:pPr>
              <w:spacing w:before="79" w:line="180" w:lineRule="auto"/>
              <w:ind w:firstLine="268"/>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1"/>
                <w:w w:val="95"/>
                <w:sz w:val="24"/>
                <w:highlight w:val="none"/>
              </w:rPr>
              <w:t>9</w:t>
            </w:r>
            <w:r>
              <w:rPr>
                <w:rFonts w:cs="宋体" w:asciiTheme="minorEastAsia" w:hAnsiTheme="minorEastAsia" w:eastAsiaTheme="minorEastAsia"/>
                <w:color w:val="auto"/>
                <w:spacing w:val="-40"/>
                <w:sz w:val="24"/>
                <w:highlight w:val="none"/>
              </w:rPr>
              <w:t xml:space="preserve"> </w:t>
            </w:r>
            <w:r>
              <w:rPr>
                <w:rFonts w:cs="宋体" w:asciiTheme="minorEastAsia" w:hAnsiTheme="minorEastAsia" w:eastAsiaTheme="minorEastAsia"/>
                <w:color w:val="auto"/>
                <w:spacing w:val="-11"/>
                <w:w w:val="95"/>
                <w:sz w:val="24"/>
                <w:highlight w:val="none"/>
              </w:rPr>
              <w:t>月</w:t>
            </w:r>
            <w:r>
              <w:rPr>
                <w:rFonts w:cs="宋体" w:asciiTheme="minorEastAsia" w:hAnsiTheme="minorEastAsia" w:eastAsiaTheme="minorEastAsia"/>
                <w:color w:val="auto"/>
                <w:spacing w:val="-33"/>
                <w:sz w:val="24"/>
                <w:highlight w:val="none"/>
              </w:rPr>
              <w:t xml:space="preserve"> </w:t>
            </w:r>
            <w:r>
              <w:rPr>
                <w:rFonts w:cs="宋体" w:asciiTheme="minorEastAsia" w:hAnsiTheme="minorEastAsia" w:eastAsiaTheme="minorEastAsia"/>
                <w:color w:val="auto"/>
                <w:spacing w:val="-11"/>
                <w:w w:val="95"/>
                <w:sz w:val="24"/>
                <w:highlight w:val="none"/>
              </w:rPr>
              <w:t>1</w:t>
            </w:r>
            <w:r>
              <w:rPr>
                <w:rFonts w:cs="宋体" w:asciiTheme="minorEastAsia" w:hAnsiTheme="minorEastAsia" w:eastAsiaTheme="minorEastAsia"/>
                <w:color w:val="auto"/>
                <w:spacing w:val="-9"/>
                <w:sz w:val="24"/>
                <w:highlight w:val="none"/>
              </w:rPr>
              <w:t xml:space="preserve"> </w:t>
            </w:r>
            <w:r>
              <w:rPr>
                <w:rFonts w:cs="宋体" w:asciiTheme="minorEastAsia" w:hAnsiTheme="minorEastAsia" w:eastAsiaTheme="minorEastAsia"/>
                <w:color w:val="auto"/>
                <w:spacing w:val="-11"/>
                <w:w w:val="95"/>
                <w:sz w:val="24"/>
                <w:highlight w:val="none"/>
              </w:rPr>
              <w:t>日</w:t>
            </w:r>
            <w:r>
              <w:rPr>
                <w:rFonts w:cs="宋体" w:asciiTheme="minorEastAsia" w:hAnsiTheme="minorEastAsia" w:eastAsiaTheme="minorEastAsia"/>
                <w:color w:val="auto"/>
                <w:spacing w:val="-49"/>
                <w:sz w:val="24"/>
                <w:highlight w:val="none"/>
              </w:rPr>
              <w:t xml:space="preserve"> </w:t>
            </w:r>
            <w:r>
              <w:rPr>
                <w:rFonts w:cs="宋体" w:asciiTheme="minorEastAsia" w:hAnsiTheme="minorEastAsia" w:eastAsiaTheme="minorEastAsia"/>
                <w:color w:val="auto"/>
                <w:spacing w:val="-11"/>
                <w:w w:val="95"/>
                <w:sz w:val="24"/>
                <w:highlight w:val="none"/>
              </w:rPr>
              <w:t>0</w:t>
            </w:r>
            <w:r>
              <w:rPr>
                <w:rFonts w:cs="宋体" w:asciiTheme="minorEastAsia" w:hAnsiTheme="minorEastAsia" w:eastAsiaTheme="minorEastAsia"/>
                <w:color w:val="auto"/>
                <w:spacing w:val="-39"/>
                <w:sz w:val="24"/>
                <w:highlight w:val="none"/>
              </w:rPr>
              <w:t xml:space="preserve"> </w:t>
            </w:r>
            <w:r>
              <w:rPr>
                <w:rFonts w:cs="宋体" w:asciiTheme="minorEastAsia" w:hAnsiTheme="minorEastAsia" w:eastAsiaTheme="minorEastAsia"/>
                <w:color w:val="auto"/>
                <w:spacing w:val="-11"/>
                <w:w w:val="95"/>
                <w:sz w:val="24"/>
                <w:highlight w:val="none"/>
              </w:rPr>
              <w:t>时</w:t>
            </w:r>
          </w:p>
          <w:p>
            <w:pPr>
              <w:spacing w:before="76" w:line="180" w:lineRule="auto"/>
              <w:ind w:firstLine="11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w:t>
            </w:r>
            <w:r>
              <w:rPr>
                <w:rFonts w:hint="eastAsia" w:cs="宋体" w:asciiTheme="minorEastAsia" w:hAnsiTheme="minorEastAsia" w:eastAsiaTheme="minorEastAsia"/>
                <w:color w:val="auto"/>
                <w:spacing w:val="-6"/>
                <w:sz w:val="24"/>
                <w:highlight w:val="none"/>
                <w:lang w:val="en-US" w:eastAsia="zh-CN"/>
              </w:rPr>
              <w:t>2025</w:t>
            </w:r>
            <w:r>
              <w:rPr>
                <w:rFonts w:cs="宋体" w:asciiTheme="minorEastAsia" w:hAnsiTheme="minorEastAsia" w:eastAsiaTheme="minorEastAsia"/>
                <w:color w:val="auto"/>
                <w:spacing w:val="-48"/>
                <w:sz w:val="24"/>
                <w:highlight w:val="none"/>
              </w:rPr>
              <w:t xml:space="preserve"> </w:t>
            </w:r>
            <w:r>
              <w:rPr>
                <w:rFonts w:cs="宋体" w:asciiTheme="minorEastAsia" w:hAnsiTheme="minorEastAsia" w:eastAsiaTheme="minorEastAsia"/>
                <w:color w:val="auto"/>
                <w:spacing w:val="-6"/>
                <w:sz w:val="24"/>
                <w:highlight w:val="none"/>
              </w:rPr>
              <w:t>年</w:t>
            </w:r>
            <w:r>
              <w:rPr>
                <w:rFonts w:cs="宋体" w:asciiTheme="minorEastAsia" w:hAnsiTheme="minorEastAsia" w:eastAsiaTheme="minorEastAsia"/>
                <w:color w:val="auto"/>
                <w:spacing w:val="-49"/>
                <w:sz w:val="24"/>
                <w:highlight w:val="none"/>
              </w:rPr>
              <w:t xml:space="preserve"> </w:t>
            </w:r>
            <w:r>
              <w:rPr>
                <w:rFonts w:cs="宋体" w:asciiTheme="minorEastAsia" w:hAnsiTheme="minorEastAsia" w:eastAsiaTheme="minorEastAsia"/>
                <w:color w:val="auto"/>
                <w:spacing w:val="-6"/>
                <w:sz w:val="24"/>
                <w:highlight w:val="none"/>
              </w:rPr>
              <w:t>8</w:t>
            </w:r>
            <w:r>
              <w:rPr>
                <w:rFonts w:cs="宋体" w:asciiTheme="minorEastAsia" w:hAnsiTheme="minorEastAsia" w:eastAsiaTheme="minorEastAsia"/>
                <w:color w:val="auto"/>
                <w:spacing w:val="-45"/>
                <w:sz w:val="24"/>
                <w:highlight w:val="none"/>
              </w:rPr>
              <w:t xml:space="preserve"> </w:t>
            </w:r>
            <w:r>
              <w:rPr>
                <w:rFonts w:cs="宋体" w:asciiTheme="minorEastAsia" w:hAnsiTheme="minorEastAsia" w:eastAsiaTheme="minorEastAsia"/>
                <w:color w:val="auto"/>
                <w:spacing w:val="-6"/>
                <w:sz w:val="24"/>
                <w:highlight w:val="none"/>
              </w:rPr>
              <w:t>月</w:t>
            </w:r>
            <w:r>
              <w:rPr>
                <w:rFonts w:cs="宋体" w:asciiTheme="minorEastAsia" w:hAnsiTheme="minorEastAsia" w:eastAsiaTheme="minorEastAsia"/>
                <w:color w:val="auto"/>
                <w:spacing w:val="-46"/>
                <w:sz w:val="24"/>
                <w:highlight w:val="none"/>
              </w:rPr>
              <w:t xml:space="preserve"> </w:t>
            </w:r>
            <w:r>
              <w:rPr>
                <w:rFonts w:cs="宋体" w:asciiTheme="minorEastAsia" w:hAnsiTheme="minorEastAsia" w:eastAsiaTheme="minorEastAsia"/>
                <w:color w:val="auto"/>
                <w:spacing w:val="-6"/>
                <w:sz w:val="24"/>
                <w:highlight w:val="none"/>
              </w:rPr>
              <w:t>31</w:t>
            </w:r>
          </w:p>
          <w:p>
            <w:pPr>
              <w:spacing w:before="77" w:line="180" w:lineRule="auto"/>
              <w:ind w:firstLine="45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7"/>
                <w:sz w:val="24"/>
                <w:highlight w:val="none"/>
              </w:rPr>
              <w:t>日</w:t>
            </w:r>
            <w:r>
              <w:rPr>
                <w:rFonts w:cs="宋体" w:asciiTheme="minorEastAsia" w:hAnsiTheme="minorEastAsia" w:eastAsiaTheme="minorEastAsia"/>
                <w:color w:val="auto"/>
                <w:spacing w:val="-47"/>
                <w:sz w:val="24"/>
                <w:highlight w:val="none"/>
              </w:rPr>
              <w:t xml:space="preserve"> </w:t>
            </w:r>
            <w:r>
              <w:rPr>
                <w:rFonts w:cs="宋体" w:asciiTheme="minorEastAsia" w:hAnsiTheme="minorEastAsia" w:eastAsiaTheme="minorEastAsia"/>
                <w:color w:val="auto"/>
                <w:spacing w:val="-17"/>
                <w:sz w:val="24"/>
                <w:highlight w:val="none"/>
              </w:rPr>
              <w:t>24</w:t>
            </w:r>
            <w:r>
              <w:rPr>
                <w:rFonts w:cs="宋体" w:asciiTheme="minorEastAsia" w:hAnsiTheme="minorEastAsia" w:eastAsiaTheme="minorEastAsia"/>
                <w:color w:val="auto"/>
                <w:spacing w:val="-39"/>
                <w:sz w:val="24"/>
                <w:highlight w:val="none"/>
              </w:rPr>
              <w:t xml:space="preserve"> </w:t>
            </w:r>
            <w:r>
              <w:rPr>
                <w:rFonts w:cs="宋体" w:asciiTheme="minorEastAsia" w:hAnsiTheme="minorEastAsia" w:eastAsiaTheme="minorEastAsia"/>
                <w:color w:val="auto"/>
                <w:spacing w:val="-17"/>
                <w:sz w:val="24"/>
                <w:highlight w:val="none"/>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9247" w:type="dxa"/>
            <w:gridSpan w:val="5"/>
          </w:tcPr>
          <w:p>
            <w:pPr>
              <w:spacing w:before="104" w:line="239" w:lineRule="auto"/>
              <w:ind w:left="118" w:right="11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0"/>
                <w:sz w:val="24"/>
                <w:highlight w:val="none"/>
              </w:rPr>
              <w:t>校园方责任险保险保费：8</w:t>
            </w:r>
            <w:r>
              <w:rPr>
                <w:rFonts w:cs="宋体" w:asciiTheme="minorEastAsia" w:hAnsiTheme="minorEastAsia" w:eastAsiaTheme="minorEastAsia"/>
                <w:color w:val="auto"/>
                <w:spacing w:val="11"/>
                <w:sz w:val="24"/>
                <w:highlight w:val="none"/>
              </w:rPr>
              <w:t xml:space="preserve"> </w:t>
            </w:r>
            <w:r>
              <w:rPr>
                <w:rFonts w:cs="宋体" w:asciiTheme="minorEastAsia" w:hAnsiTheme="minorEastAsia" w:eastAsiaTheme="minorEastAsia"/>
                <w:color w:val="auto"/>
                <w:spacing w:val="-10"/>
                <w:sz w:val="24"/>
                <w:highlight w:val="none"/>
              </w:rPr>
              <w:t>元/人·学年。备注：实际投保人数以采购人核准投保明细</w:t>
            </w:r>
            <w:r>
              <w:rPr>
                <w:rFonts w:cs="宋体" w:asciiTheme="minorEastAsia" w:hAnsiTheme="minorEastAsia" w:eastAsiaTheme="minorEastAsia"/>
                <w:color w:val="auto"/>
                <w:spacing w:val="-3"/>
                <w:sz w:val="24"/>
                <w:highlight w:val="none"/>
              </w:rPr>
              <w:t>人数为准。</w:t>
            </w:r>
          </w:p>
        </w:tc>
      </w:tr>
    </w:tbl>
    <w:p>
      <w:pPr>
        <w:spacing w:before="40" w:line="180" w:lineRule="auto"/>
        <w:ind w:firstLine="608"/>
        <w:rPr>
          <w:rFonts w:asciiTheme="minorEastAsia" w:hAnsiTheme="minorEastAsia" w:eastAsiaTheme="minorEastAsia"/>
          <w:color w:val="auto"/>
          <w:sz w:val="24"/>
          <w:highlight w:val="none"/>
        </w:rPr>
      </w:pPr>
      <w:r>
        <w:rPr>
          <w:rFonts w:cs="宋体" w:asciiTheme="minorEastAsia" w:hAnsiTheme="minorEastAsia" w:eastAsiaTheme="minorEastAsia"/>
          <w:color w:val="auto"/>
          <w:spacing w:val="-2"/>
          <w:sz w:val="24"/>
          <w:highlight w:val="none"/>
        </w:rPr>
        <w:t>二、技术要求：</w:t>
      </w:r>
    </w:p>
    <w:p>
      <w:pPr>
        <w:spacing w:before="235" w:line="356" w:lineRule="auto"/>
        <w:ind w:left="10" w:right="70" w:firstLine="493"/>
        <w:rPr>
          <w:rFonts w:cs="宋体" w:asciiTheme="minorEastAsia" w:hAnsiTheme="minorEastAsia" w:eastAsiaTheme="minorEastAsia"/>
          <w:color w:val="auto"/>
          <w:spacing w:val="-6"/>
          <w:sz w:val="24"/>
          <w:highlight w:val="none"/>
        </w:rPr>
      </w:pPr>
      <w:r>
        <w:rPr>
          <w:rFonts w:cs="宋体" w:asciiTheme="minorEastAsia" w:hAnsiTheme="minorEastAsia" w:eastAsiaTheme="minorEastAsia"/>
          <w:color w:val="auto"/>
          <w:spacing w:val="-6"/>
          <w:sz w:val="24"/>
          <w:highlight w:val="none"/>
        </w:rPr>
        <w:t>1.根据本项目实际情况，本项目价格执行统一价格标准，其价格不列为评分因素。</w:t>
      </w:r>
    </w:p>
    <w:p>
      <w:pPr>
        <w:spacing w:before="235" w:line="356" w:lineRule="auto"/>
        <w:ind w:left="10" w:right="70" w:firstLine="493"/>
        <w:rPr>
          <w:rFonts w:cs="宋体" w:asciiTheme="minorEastAsia" w:hAnsiTheme="minorEastAsia" w:eastAsiaTheme="minorEastAsia"/>
          <w:color w:val="auto"/>
          <w:spacing w:val="-6"/>
          <w:sz w:val="24"/>
          <w:highlight w:val="none"/>
        </w:rPr>
      </w:pPr>
      <w:r>
        <w:rPr>
          <w:rFonts w:cs="宋体" w:asciiTheme="minorEastAsia" w:hAnsiTheme="minorEastAsia" w:eastAsiaTheme="minorEastAsia"/>
          <w:color w:val="auto"/>
          <w:spacing w:val="-6"/>
          <w:sz w:val="24"/>
          <w:highlight w:val="none"/>
        </w:rPr>
        <w:t>2. 服务质量评价：合同期内，对中标单位的保险服务质量进行评价，由各学校作出评价后， 统一交至教育局统计汇总。评价结果作为下一年度校园方责任险保险服务采购的评审依据之一。</w:t>
      </w:r>
    </w:p>
    <w:p>
      <w:pPr>
        <w:spacing w:before="3" w:line="201" w:lineRule="auto"/>
        <w:ind w:firstLine="486"/>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3.学生校方责任保险方案简明表如下：</w:t>
      </w:r>
    </w:p>
    <w:p>
      <w:pPr>
        <w:spacing w:line="89" w:lineRule="auto"/>
        <w:rPr>
          <w:rFonts w:asciiTheme="minorEastAsia" w:hAnsiTheme="minorEastAsia" w:eastAsiaTheme="minorEastAsia"/>
          <w:color w:val="auto"/>
          <w:sz w:val="24"/>
          <w:highlight w:val="none"/>
        </w:rPr>
      </w:pPr>
    </w:p>
    <w:tbl>
      <w:tblPr>
        <w:tblStyle w:val="78"/>
        <w:tblW w:w="9203"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1011"/>
        <w:gridCol w:w="989"/>
        <w:gridCol w:w="991"/>
        <w:gridCol w:w="992"/>
        <w:gridCol w:w="4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987" w:type="dxa"/>
          </w:tcPr>
          <w:p>
            <w:pPr>
              <w:spacing w:line="451" w:lineRule="auto"/>
              <w:rPr>
                <w:rFonts w:cs="Arial" w:asciiTheme="minorEastAsia" w:hAnsiTheme="minorEastAsia" w:eastAsiaTheme="minorEastAsia"/>
                <w:color w:val="auto"/>
                <w:sz w:val="24"/>
                <w:highlight w:val="none"/>
              </w:rPr>
            </w:pPr>
          </w:p>
          <w:p>
            <w:pPr>
              <w:spacing w:before="78" w:line="241" w:lineRule="auto"/>
              <w:ind w:firstLine="26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方案</w:t>
            </w:r>
          </w:p>
          <w:p>
            <w:pPr>
              <w:spacing w:line="204" w:lineRule="auto"/>
              <w:ind w:firstLine="26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类别</w:t>
            </w:r>
          </w:p>
        </w:tc>
        <w:tc>
          <w:tcPr>
            <w:tcW w:w="1011" w:type="dxa"/>
          </w:tcPr>
          <w:p>
            <w:pPr>
              <w:spacing w:before="220" w:line="180" w:lineRule="auto"/>
              <w:ind w:firstLine="27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保费</w:t>
            </w:r>
          </w:p>
          <w:p>
            <w:pPr>
              <w:spacing w:before="88" w:line="201" w:lineRule="auto"/>
              <w:ind w:left="152" w:right="145" w:firstLine="6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（元/</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4"/>
                <w:sz w:val="24"/>
                <w:highlight w:val="none"/>
              </w:rPr>
              <w:t>人·学</w:t>
            </w:r>
          </w:p>
          <w:p>
            <w:pPr>
              <w:spacing w:before="89" w:line="180" w:lineRule="auto"/>
              <w:ind w:firstLine="27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年）</w:t>
            </w:r>
          </w:p>
        </w:tc>
        <w:tc>
          <w:tcPr>
            <w:tcW w:w="989" w:type="dxa"/>
          </w:tcPr>
          <w:p>
            <w:pPr>
              <w:spacing w:before="66" w:line="239" w:lineRule="auto"/>
              <w:ind w:left="139" w:right="13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每次事</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4"/>
                <w:sz w:val="24"/>
                <w:highlight w:val="none"/>
              </w:rPr>
              <w:t>故每人</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4"/>
                <w:sz w:val="24"/>
                <w:highlight w:val="none"/>
              </w:rPr>
              <w:t>赔偿限</w:t>
            </w:r>
          </w:p>
          <w:p>
            <w:pPr>
              <w:spacing w:before="3" w:line="205" w:lineRule="auto"/>
              <w:ind w:left="260" w:right="133" w:hanging="12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额（万</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6"/>
                <w:sz w:val="24"/>
                <w:highlight w:val="none"/>
              </w:rPr>
              <w:t>元）</w:t>
            </w:r>
          </w:p>
        </w:tc>
        <w:tc>
          <w:tcPr>
            <w:tcW w:w="991" w:type="dxa"/>
          </w:tcPr>
          <w:p>
            <w:pPr>
              <w:spacing w:before="67" w:line="239" w:lineRule="auto"/>
              <w:ind w:left="142" w:right="13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每校每</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4"/>
                <w:sz w:val="24"/>
                <w:highlight w:val="none"/>
              </w:rPr>
              <w:t>次事故</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4"/>
                <w:sz w:val="24"/>
                <w:highlight w:val="none"/>
              </w:rPr>
              <w:t>赔偿限</w:t>
            </w:r>
          </w:p>
          <w:p>
            <w:pPr>
              <w:spacing w:before="2" w:line="205" w:lineRule="auto"/>
              <w:ind w:left="263" w:right="133" w:hanging="12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额（万</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6"/>
                <w:sz w:val="24"/>
                <w:highlight w:val="none"/>
              </w:rPr>
              <w:t>元）</w:t>
            </w:r>
          </w:p>
        </w:tc>
        <w:tc>
          <w:tcPr>
            <w:tcW w:w="992" w:type="dxa"/>
          </w:tcPr>
          <w:p>
            <w:pPr>
              <w:spacing w:before="65" w:line="180" w:lineRule="auto"/>
              <w:ind w:firstLine="14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每校累</w:t>
            </w:r>
          </w:p>
          <w:p>
            <w:pPr>
              <w:spacing w:before="81" w:line="222" w:lineRule="auto"/>
              <w:ind w:left="268" w:right="129" w:hanging="12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计赔偿</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6"/>
                <w:sz w:val="24"/>
                <w:highlight w:val="none"/>
              </w:rPr>
              <w:t>限额</w:t>
            </w:r>
            <w:r>
              <w:rPr>
                <w:rFonts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pacing w:val="-6"/>
                <w:sz w:val="24"/>
                <w:highlight w:val="none"/>
              </w:rPr>
              <w:t>（万</w:t>
            </w:r>
            <w:r>
              <w:rPr>
                <w:rFonts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pacing w:val="-6"/>
                <w:sz w:val="24"/>
                <w:highlight w:val="none"/>
              </w:rPr>
              <w:t>元）</w:t>
            </w:r>
          </w:p>
        </w:tc>
        <w:tc>
          <w:tcPr>
            <w:tcW w:w="4233" w:type="dxa"/>
          </w:tcPr>
          <w:p>
            <w:pPr>
              <w:spacing w:line="302" w:lineRule="auto"/>
              <w:rPr>
                <w:rFonts w:cs="Arial" w:asciiTheme="minorEastAsia" w:hAnsiTheme="minorEastAsia" w:eastAsiaTheme="minorEastAsia"/>
                <w:color w:val="auto"/>
                <w:sz w:val="24"/>
                <w:highlight w:val="none"/>
              </w:rPr>
            </w:pPr>
          </w:p>
          <w:p>
            <w:pPr>
              <w:spacing w:line="303" w:lineRule="auto"/>
              <w:rPr>
                <w:rFonts w:cs="Arial" w:asciiTheme="minorEastAsia" w:hAnsiTheme="minorEastAsia" w:eastAsiaTheme="minorEastAsia"/>
                <w:color w:val="auto"/>
                <w:sz w:val="24"/>
                <w:highlight w:val="none"/>
              </w:rPr>
            </w:pPr>
          </w:p>
          <w:p>
            <w:pPr>
              <w:spacing w:before="78" w:line="180" w:lineRule="auto"/>
              <w:ind w:firstLine="140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2"/>
                <w:sz w:val="24"/>
                <w:highlight w:val="none"/>
              </w:rPr>
              <w:t>主要保险责任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987" w:type="dxa"/>
          </w:tcPr>
          <w:p>
            <w:pPr>
              <w:spacing w:line="291" w:lineRule="auto"/>
              <w:rPr>
                <w:rFonts w:cs="Arial" w:asciiTheme="minorEastAsia" w:hAnsiTheme="minorEastAsia" w:eastAsiaTheme="minorEastAsia"/>
                <w:color w:val="auto"/>
                <w:sz w:val="24"/>
                <w:highlight w:val="none"/>
              </w:rPr>
            </w:pPr>
          </w:p>
          <w:p>
            <w:pPr>
              <w:spacing w:line="291" w:lineRule="auto"/>
              <w:rPr>
                <w:rFonts w:cs="Arial" w:asciiTheme="minorEastAsia" w:hAnsiTheme="minorEastAsia" w:eastAsiaTheme="minorEastAsia"/>
                <w:color w:val="auto"/>
                <w:sz w:val="24"/>
                <w:highlight w:val="none"/>
              </w:rPr>
            </w:pPr>
          </w:p>
          <w:p>
            <w:pPr>
              <w:spacing w:before="78" w:line="180" w:lineRule="auto"/>
              <w:ind w:firstLine="12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23"/>
                <w:w w:val="98"/>
                <w:sz w:val="24"/>
                <w:highlight w:val="none"/>
              </w:rPr>
              <w:t>校（园）</w:t>
            </w:r>
          </w:p>
          <w:p>
            <w:pPr>
              <w:spacing w:before="77" w:line="180" w:lineRule="auto"/>
              <w:ind w:firstLine="14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方责任</w:t>
            </w:r>
          </w:p>
          <w:p>
            <w:pPr>
              <w:spacing w:before="74" w:line="180" w:lineRule="auto"/>
              <w:ind w:firstLine="26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保险</w:t>
            </w:r>
          </w:p>
        </w:tc>
        <w:tc>
          <w:tcPr>
            <w:tcW w:w="1011" w:type="dxa"/>
          </w:tcPr>
          <w:p>
            <w:pPr>
              <w:spacing w:line="307" w:lineRule="auto"/>
              <w:rPr>
                <w:rFonts w:cs="Arial" w:asciiTheme="minorEastAsia" w:hAnsiTheme="minorEastAsia" w:eastAsiaTheme="minorEastAsia"/>
                <w:color w:val="auto"/>
                <w:sz w:val="24"/>
                <w:highlight w:val="none"/>
              </w:rPr>
            </w:pPr>
          </w:p>
          <w:p>
            <w:pPr>
              <w:spacing w:line="308" w:lineRule="auto"/>
              <w:rPr>
                <w:rFonts w:cs="Arial" w:asciiTheme="minorEastAsia" w:hAnsiTheme="minorEastAsia" w:eastAsiaTheme="minorEastAsia"/>
                <w:color w:val="auto"/>
                <w:sz w:val="24"/>
                <w:highlight w:val="none"/>
              </w:rPr>
            </w:pPr>
          </w:p>
          <w:p>
            <w:pPr>
              <w:spacing w:line="308" w:lineRule="auto"/>
              <w:rPr>
                <w:rFonts w:cs="Arial" w:asciiTheme="minorEastAsia" w:hAnsiTheme="minorEastAsia" w:eastAsiaTheme="minorEastAsia"/>
                <w:color w:val="auto"/>
                <w:sz w:val="24"/>
                <w:highlight w:val="none"/>
              </w:rPr>
            </w:pPr>
          </w:p>
          <w:p>
            <w:pPr>
              <w:spacing w:before="78" w:line="180" w:lineRule="auto"/>
              <w:ind w:firstLine="45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6</w:t>
            </w:r>
          </w:p>
        </w:tc>
        <w:tc>
          <w:tcPr>
            <w:tcW w:w="989" w:type="dxa"/>
          </w:tcPr>
          <w:p>
            <w:pPr>
              <w:spacing w:line="307" w:lineRule="auto"/>
              <w:rPr>
                <w:rFonts w:cs="Arial" w:asciiTheme="minorEastAsia" w:hAnsiTheme="minorEastAsia" w:eastAsiaTheme="minorEastAsia"/>
                <w:color w:val="auto"/>
                <w:sz w:val="24"/>
                <w:highlight w:val="none"/>
              </w:rPr>
            </w:pPr>
          </w:p>
          <w:p>
            <w:pPr>
              <w:spacing w:line="308" w:lineRule="auto"/>
              <w:rPr>
                <w:rFonts w:cs="Arial" w:asciiTheme="minorEastAsia" w:hAnsiTheme="minorEastAsia" w:eastAsiaTheme="minorEastAsia"/>
                <w:color w:val="auto"/>
                <w:sz w:val="24"/>
                <w:highlight w:val="none"/>
              </w:rPr>
            </w:pPr>
          </w:p>
          <w:p>
            <w:pPr>
              <w:spacing w:line="308" w:lineRule="auto"/>
              <w:rPr>
                <w:rFonts w:cs="Arial" w:asciiTheme="minorEastAsia" w:hAnsiTheme="minorEastAsia" w:eastAsiaTheme="minorEastAsia"/>
                <w:color w:val="auto"/>
                <w:sz w:val="24"/>
                <w:highlight w:val="none"/>
              </w:rPr>
            </w:pPr>
          </w:p>
          <w:p>
            <w:pPr>
              <w:spacing w:before="78" w:line="180" w:lineRule="auto"/>
              <w:ind w:firstLine="385"/>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8"/>
                <w:sz w:val="24"/>
                <w:highlight w:val="none"/>
              </w:rPr>
              <w:t>70</w:t>
            </w:r>
          </w:p>
        </w:tc>
        <w:tc>
          <w:tcPr>
            <w:tcW w:w="991" w:type="dxa"/>
          </w:tcPr>
          <w:p>
            <w:pPr>
              <w:spacing w:line="307" w:lineRule="auto"/>
              <w:rPr>
                <w:rFonts w:cs="Arial" w:asciiTheme="minorEastAsia" w:hAnsiTheme="minorEastAsia" w:eastAsiaTheme="minorEastAsia"/>
                <w:color w:val="auto"/>
                <w:sz w:val="24"/>
                <w:highlight w:val="none"/>
              </w:rPr>
            </w:pPr>
          </w:p>
          <w:p>
            <w:pPr>
              <w:spacing w:line="308" w:lineRule="auto"/>
              <w:rPr>
                <w:rFonts w:cs="Arial" w:asciiTheme="minorEastAsia" w:hAnsiTheme="minorEastAsia" w:eastAsiaTheme="minorEastAsia"/>
                <w:color w:val="auto"/>
                <w:sz w:val="24"/>
                <w:highlight w:val="none"/>
              </w:rPr>
            </w:pPr>
          </w:p>
          <w:p>
            <w:pPr>
              <w:spacing w:line="308" w:lineRule="auto"/>
              <w:rPr>
                <w:rFonts w:cs="Arial" w:asciiTheme="minorEastAsia" w:hAnsiTheme="minorEastAsia" w:eastAsiaTheme="minorEastAsia"/>
                <w:color w:val="auto"/>
                <w:sz w:val="24"/>
                <w:highlight w:val="none"/>
              </w:rPr>
            </w:pPr>
          </w:p>
          <w:p>
            <w:pPr>
              <w:spacing w:before="78" w:line="180" w:lineRule="auto"/>
              <w:ind w:firstLine="32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600</w:t>
            </w:r>
          </w:p>
        </w:tc>
        <w:tc>
          <w:tcPr>
            <w:tcW w:w="992" w:type="dxa"/>
          </w:tcPr>
          <w:p>
            <w:pPr>
              <w:spacing w:line="307" w:lineRule="auto"/>
              <w:rPr>
                <w:rFonts w:cs="Arial" w:asciiTheme="minorEastAsia" w:hAnsiTheme="minorEastAsia" w:eastAsiaTheme="minorEastAsia"/>
                <w:color w:val="auto"/>
                <w:sz w:val="24"/>
                <w:highlight w:val="none"/>
              </w:rPr>
            </w:pPr>
          </w:p>
          <w:p>
            <w:pPr>
              <w:spacing w:line="307" w:lineRule="auto"/>
              <w:rPr>
                <w:rFonts w:cs="Arial" w:asciiTheme="minorEastAsia" w:hAnsiTheme="minorEastAsia" w:eastAsiaTheme="minorEastAsia"/>
                <w:color w:val="auto"/>
                <w:sz w:val="24"/>
                <w:highlight w:val="none"/>
              </w:rPr>
            </w:pPr>
          </w:p>
          <w:p>
            <w:pPr>
              <w:spacing w:line="308" w:lineRule="auto"/>
              <w:rPr>
                <w:rFonts w:cs="Arial" w:asciiTheme="minorEastAsia" w:hAnsiTheme="minorEastAsia" w:eastAsiaTheme="minorEastAsia"/>
                <w:color w:val="auto"/>
                <w:sz w:val="24"/>
                <w:highlight w:val="none"/>
              </w:rPr>
            </w:pPr>
          </w:p>
          <w:p>
            <w:pPr>
              <w:spacing w:before="78" w:line="180" w:lineRule="auto"/>
              <w:ind w:firstLine="28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7"/>
                <w:sz w:val="24"/>
                <w:highlight w:val="none"/>
              </w:rPr>
              <w:t>1000</w:t>
            </w:r>
          </w:p>
        </w:tc>
        <w:tc>
          <w:tcPr>
            <w:tcW w:w="4233" w:type="dxa"/>
          </w:tcPr>
          <w:p>
            <w:pPr>
              <w:spacing w:before="38" w:line="230" w:lineRule="auto"/>
              <w:ind w:left="118" w:right="11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9"/>
                <w:sz w:val="24"/>
                <w:highlight w:val="none"/>
              </w:rPr>
              <w:t>在被保险人的在校活动中或由被保险</w:t>
            </w:r>
            <w:r>
              <w:rPr>
                <w:rFonts w:cs="宋体" w:asciiTheme="minorEastAsia" w:hAnsiTheme="minorEastAsia" w:eastAsiaTheme="minorEastAsia"/>
                <w:color w:val="auto"/>
                <w:spacing w:val="-12"/>
                <w:sz w:val="24"/>
                <w:highlight w:val="none"/>
              </w:rPr>
              <w:t>人统一组织或安排的活动过程中，因被</w:t>
            </w:r>
            <w:r>
              <w:rPr>
                <w:rFonts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pacing w:val="9"/>
                <w:sz w:val="24"/>
                <w:highlight w:val="none"/>
              </w:rPr>
              <w:t>保险人疏忽或过失导致注册学生的人</w:t>
            </w:r>
            <w:r>
              <w:rPr>
                <w:rFonts w:cs="宋体" w:asciiTheme="minorEastAsia" w:hAnsiTheme="minorEastAsia" w:eastAsiaTheme="minorEastAsia"/>
                <w:color w:val="auto"/>
                <w:spacing w:val="-11"/>
                <w:sz w:val="24"/>
                <w:highlight w:val="none"/>
              </w:rPr>
              <w:t>身伤害，依法应由被保险人承担的经济</w:t>
            </w:r>
            <w:r>
              <w:rPr>
                <w:rFonts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pacing w:val="-6"/>
                <w:sz w:val="24"/>
                <w:highlight w:val="none"/>
              </w:rPr>
              <w:t>赔偿责任。具体内容涵盖《学生伤害事</w:t>
            </w:r>
            <w:r>
              <w:rPr>
                <w:rFonts w:cs="宋体" w:asciiTheme="minorEastAsia" w:hAnsiTheme="minorEastAsia" w:eastAsiaTheme="minorEastAsia"/>
                <w:color w:val="auto"/>
                <w:spacing w:val="15"/>
                <w:sz w:val="24"/>
                <w:highlight w:val="none"/>
              </w:rPr>
              <w:t xml:space="preserve"> </w:t>
            </w:r>
            <w:r>
              <w:rPr>
                <w:rFonts w:cs="宋体" w:asciiTheme="minorEastAsia" w:hAnsiTheme="minorEastAsia" w:eastAsiaTheme="minorEastAsia"/>
                <w:color w:val="auto"/>
                <w:spacing w:val="-6"/>
                <w:sz w:val="24"/>
                <w:highlight w:val="none"/>
              </w:rPr>
              <w:t>故处理办法》中列举的应由学校承担的</w:t>
            </w:r>
            <w:r>
              <w:rPr>
                <w:rFonts w:cs="宋体" w:asciiTheme="minorEastAsia" w:hAnsiTheme="minorEastAsia" w:eastAsiaTheme="minorEastAsia"/>
                <w:color w:val="auto"/>
                <w:spacing w:val="15"/>
                <w:sz w:val="24"/>
                <w:highlight w:val="none"/>
              </w:rPr>
              <w:t xml:space="preserve"> </w:t>
            </w:r>
            <w:r>
              <w:rPr>
                <w:rFonts w:cs="宋体" w:asciiTheme="minorEastAsia" w:hAnsiTheme="minorEastAsia" w:eastAsiaTheme="minorEastAsia"/>
                <w:color w:val="auto"/>
                <w:spacing w:val="-2"/>
                <w:sz w:val="24"/>
                <w:highlight w:val="none"/>
              </w:rPr>
              <w:t>所有情形。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5" w:hRule="atLeast"/>
        </w:trPr>
        <w:tc>
          <w:tcPr>
            <w:tcW w:w="987" w:type="dxa"/>
          </w:tcPr>
          <w:p>
            <w:pPr>
              <w:spacing w:line="429" w:lineRule="auto"/>
              <w:rPr>
                <w:rFonts w:cs="Arial" w:asciiTheme="minorEastAsia" w:hAnsiTheme="minorEastAsia" w:eastAsiaTheme="minorEastAsia"/>
                <w:color w:val="auto"/>
                <w:sz w:val="24"/>
                <w:highlight w:val="none"/>
              </w:rPr>
            </w:pPr>
          </w:p>
          <w:p>
            <w:pPr>
              <w:spacing w:before="78" w:line="180" w:lineRule="auto"/>
              <w:ind w:firstLine="16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0"/>
                <w:sz w:val="24"/>
                <w:highlight w:val="none"/>
              </w:rPr>
              <w:t>附加无</w:t>
            </w:r>
          </w:p>
          <w:p>
            <w:pPr>
              <w:spacing w:before="77" w:line="180" w:lineRule="auto"/>
              <w:ind w:firstLine="26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过失</w:t>
            </w:r>
          </w:p>
          <w:p>
            <w:pPr>
              <w:spacing w:before="75" w:line="180" w:lineRule="auto"/>
              <w:ind w:firstLine="15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责任险</w:t>
            </w:r>
          </w:p>
        </w:tc>
        <w:tc>
          <w:tcPr>
            <w:tcW w:w="1011" w:type="dxa"/>
          </w:tcPr>
          <w:p>
            <w:pPr>
              <w:spacing w:line="257" w:lineRule="auto"/>
              <w:rPr>
                <w:rFonts w:cs="Arial" w:asciiTheme="minorEastAsia" w:hAnsiTheme="minorEastAsia" w:eastAsiaTheme="minorEastAsia"/>
                <w:color w:val="auto"/>
                <w:sz w:val="24"/>
                <w:highlight w:val="none"/>
              </w:rPr>
            </w:pPr>
          </w:p>
          <w:p>
            <w:pPr>
              <w:spacing w:line="257" w:lineRule="auto"/>
              <w:rPr>
                <w:rFonts w:cs="Arial" w:asciiTheme="minorEastAsia" w:hAnsiTheme="minorEastAsia" w:eastAsiaTheme="minorEastAsia"/>
                <w:color w:val="auto"/>
                <w:sz w:val="24"/>
                <w:highlight w:val="none"/>
              </w:rPr>
            </w:pPr>
          </w:p>
          <w:p>
            <w:pPr>
              <w:spacing w:line="257" w:lineRule="auto"/>
              <w:rPr>
                <w:rFonts w:cs="Arial" w:asciiTheme="minorEastAsia" w:hAnsiTheme="minorEastAsia" w:eastAsiaTheme="minorEastAsia"/>
                <w:color w:val="auto"/>
                <w:sz w:val="24"/>
                <w:highlight w:val="none"/>
              </w:rPr>
            </w:pPr>
          </w:p>
          <w:p>
            <w:pPr>
              <w:spacing w:before="78" w:line="180" w:lineRule="auto"/>
              <w:ind w:firstLine="45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w:t>
            </w:r>
          </w:p>
        </w:tc>
        <w:tc>
          <w:tcPr>
            <w:tcW w:w="989" w:type="dxa"/>
          </w:tcPr>
          <w:p>
            <w:pPr>
              <w:spacing w:line="256" w:lineRule="auto"/>
              <w:rPr>
                <w:rFonts w:cs="Arial" w:asciiTheme="minorEastAsia" w:hAnsiTheme="minorEastAsia" w:eastAsiaTheme="minorEastAsia"/>
                <w:color w:val="auto"/>
                <w:sz w:val="24"/>
                <w:highlight w:val="none"/>
              </w:rPr>
            </w:pPr>
          </w:p>
          <w:p>
            <w:pPr>
              <w:spacing w:line="257" w:lineRule="auto"/>
              <w:rPr>
                <w:rFonts w:cs="Arial" w:asciiTheme="minorEastAsia" w:hAnsiTheme="minorEastAsia" w:eastAsiaTheme="minorEastAsia"/>
                <w:color w:val="auto"/>
                <w:sz w:val="24"/>
                <w:highlight w:val="none"/>
              </w:rPr>
            </w:pPr>
          </w:p>
          <w:p>
            <w:pPr>
              <w:spacing w:line="257" w:lineRule="auto"/>
              <w:rPr>
                <w:rFonts w:cs="Arial" w:asciiTheme="minorEastAsia" w:hAnsiTheme="minorEastAsia" w:eastAsiaTheme="minorEastAsia"/>
                <w:color w:val="auto"/>
                <w:sz w:val="24"/>
                <w:highlight w:val="none"/>
              </w:rPr>
            </w:pPr>
          </w:p>
          <w:p>
            <w:pPr>
              <w:spacing w:before="78" w:line="180" w:lineRule="auto"/>
              <w:ind w:firstLine="39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1"/>
                <w:w w:val="97"/>
                <w:sz w:val="24"/>
                <w:highlight w:val="none"/>
              </w:rPr>
              <w:t>10</w:t>
            </w:r>
          </w:p>
        </w:tc>
        <w:tc>
          <w:tcPr>
            <w:tcW w:w="991" w:type="dxa"/>
          </w:tcPr>
          <w:p>
            <w:pPr>
              <w:spacing w:line="256" w:lineRule="auto"/>
              <w:rPr>
                <w:rFonts w:cs="Arial" w:asciiTheme="minorEastAsia" w:hAnsiTheme="minorEastAsia" w:eastAsiaTheme="minorEastAsia"/>
                <w:color w:val="auto"/>
                <w:sz w:val="24"/>
                <w:highlight w:val="none"/>
              </w:rPr>
            </w:pPr>
          </w:p>
          <w:p>
            <w:pPr>
              <w:spacing w:line="257" w:lineRule="auto"/>
              <w:rPr>
                <w:rFonts w:cs="Arial" w:asciiTheme="minorEastAsia" w:hAnsiTheme="minorEastAsia" w:eastAsiaTheme="minorEastAsia"/>
                <w:color w:val="auto"/>
                <w:sz w:val="24"/>
                <w:highlight w:val="none"/>
              </w:rPr>
            </w:pPr>
          </w:p>
          <w:p>
            <w:pPr>
              <w:spacing w:line="257" w:lineRule="auto"/>
              <w:rPr>
                <w:rFonts w:cs="Arial" w:asciiTheme="minorEastAsia" w:hAnsiTheme="minorEastAsia" w:eastAsiaTheme="minorEastAsia"/>
                <w:color w:val="auto"/>
                <w:sz w:val="24"/>
                <w:highlight w:val="none"/>
              </w:rPr>
            </w:pPr>
          </w:p>
          <w:p>
            <w:pPr>
              <w:spacing w:before="78" w:line="180" w:lineRule="auto"/>
              <w:ind w:firstLine="33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0"/>
                <w:sz w:val="24"/>
                <w:highlight w:val="none"/>
              </w:rPr>
              <w:t>100</w:t>
            </w:r>
          </w:p>
        </w:tc>
        <w:tc>
          <w:tcPr>
            <w:tcW w:w="992" w:type="dxa"/>
          </w:tcPr>
          <w:p>
            <w:pPr>
              <w:spacing w:line="257" w:lineRule="auto"/>
              <w:rPr>
                <w:rFonts w:cs="Arial" w:asciiTheme="minorEastAsia" w:hAnsiTheme="minorEastAsia" w:eastAsiaTheme="minorEastAsia"/>
                <w:color w:val="auto"/>
                <w:sz w:val="24"/>
                <w:highlight w:val="none"/>
              </w:rPr>
            </w:pPr>
          </w:p>
          <w:p>
            <w:pPr>
              <w:spacing w:line="257" w:lineRule="auto"/>
              <w:rPr>
                <w:rFonts w:cs="Arial" w:asciiTheme="minorEastAsia" w:hAnsiTheme="minorEastAsia" w:eastAsiaTheme="minorEastAsia"/>
                <w:color w:val="auto"/>
                <w:sz w:val="24"/>
                <w:highlight w:val="none"/>
              </w:rPr>
            </w:pPr>
          </w:p>
          <w:p>
            <w:pPr>
              <w:spacing w:line="257" w:lineRule="auto"/>
              <w:rPr>
                <w:rFonts w:cs="Arial" w:asciiTheme="minorEastAsia" w:hAnsiTheme="minorEastAsia" w:eastAsiaTheme="minorEastAsia"/>
                <w:color w:val="auto"/>
                <w:sz w:val="24"/>
                <w:highlight w:val="none"/>
              </w:rPr>
            </w:pPr>
          </w:p>
          <w:p>
            <w:pPr>
              <w:spacing w:before="78" w:line="180" w:lineRule="auto"/>
              <w:ind w:firstLine="33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200</w:t>
            </w:r>
          </w:p>
        </w:tc>
        <w:tc>
          <w:tcPr>
            <w:tcW w:w="4233" w:type="dxa"/>
          </w:tcPr>
          <w:p>
            <w:pPr>
              <w:spacing w:before="41" w:line="229" w:lineRule="auto"/>
              <w:ind w:left="118" w:right="114" w:firstLine="1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7"/>
                <w:sz w:val="24"/>
                <w:highlight w:val="none"/>
              </w:rPr>
              <w:t>因自然灾害、学生自身原因、学生特异</w:t>
            </w:r>
            <w:r>
              <w:rPr>
                <w:rFonts w:cs="宋体" w:asciiTheme="minorEastAsia" w:hAnsiTheme="minorEastAsia" w:eastAsiaTheme="minorEastAsia"/>
                <w:color w:val="auto"/>
                <w:spacing w:val="13"/>
                <w:sz w:val="24"/>
                <w:highlight w:val="none"/>
              </w:rPr>
              <w:t xml:space="preserve"> </w:t>
            </w:r>
            <w:r>
              <w:rPr>
                <w:rFonts w:cs="宋体" w:asciiTheme="minorEastAsia" w:hAnsiTheme="minorEastAsia" w:eastAsiaTheme="minorEastAsia"/>
                <w:color w:val="auto"/>
                <w:spacing w:val="-6"/>
                <w:sz w:val="24"/>
                <w:highlight w:val="none"/>
              </w:rPr>
              <w:t>体质差异、校外的突发性侵害而导致在</w:t>
            </w:r>
            <w:r>
              <w:rPr>
                <w:rFonts w:cs="宋体" w:asciiTheme="minorEastAsia" w:hAnsiTheme="minorEastAsia" w:eastAsiaTheme="minorEastAsia"/>
                <w:color w:val="auto"/>
                <w:spacing w:val="16"/>
                <w:sz w:val="24"/>
                <w:highlight w:val="none"/>
              </w:rPr>
              <w:t xml:space="preserve"> </w:t>
            </w:r>
            <w:r>
              <w:rPr>
                <w:rFonts w:cs="宋体" w:asciiTheme="minorEastAsia" w:hAnsiTheme="minorEastAsia" w:eastAsiaTheme="minorEastAsia"/>
                <w:color w:val="auto"/>
                <w:spacing w:val="-11"/>
                <w:sz w:val="24"/>
                <w:highlight w:val="none"/>
              </w:rPr>
              <w:t>校学生发生人身伤亡，被保险人已履行</w:t>
            </w:r>
            <w:r>
              <w:rPr>
                <w:rFonts w:cs="宋体" w:asciiTheme="minorEastAsia" w:hAnsiTheme="minorEastAsia" w:eastAsiaTheme="minorEastAsia"/>
                <w:color w:val="auto"/>
                <w:spacing w:val="-21"/>
                <w:sz w:val="24"/>
                <w:highlight w:val="none"/>
              </w:rPr>
              <w:t>相应职责，行为并无不当，但依法仍需</w:t>
            </w:r>
            <w:r>
              <w:rPr>
                <w:rFonts w:cs="宋体" w:asciiTheme="minorEastAsia" w:hAnsiTheme="minorEastAsia" w:eastAsiaTheme="minorEastAsia"/>
                <w:color w:val="auto"/>
                <w:spacing w:val="-11"/>
                <w:sz w:val="24"/>
                <w:highlight w:val="none"/>
              </w:rPr>
              <w:t>对受伤害学生承担经济赔偿时，保险人</w:t>
            </w:r>
            <w:r>
              <w:rPr>
                <w:rFonts w:cs="宋体" w:asciiTheme="minorEastAsia" w:hAnsiTheme="minorEastAsia" w:eastAsiaTheme="minorEastAsia"/>
                <w:color w:val="auto"/>
                <w:spacing w:val="-1"/>
                <w:sz w:val="24"/>
                <w:highlight w:val="none"/>
              </w:rPr>
              <w:t>根据无责险合同约定负责赔偿。</w:t>
            </w:r>
          </w:p>
        </w:tc>
      </w:tr>
    </w:tbl>
    <w:p>
      <w:pPr>
        <w:rPr>
          <w:rFonts w:asciiTheme="minorEastAsia" w:hAnsiTheme="minorEastAsia" w:eastAsiaTheme="minorEastAsia"/>
          <w:color w:val="auto"/>
          <w:sz w:val="24"/>
          <w:highlight w:val="none"/>
        </w:rPr>
      </w:pPr>
    </w:p>
    <w:p>
      <w:pPr>
        <w:spacing w:before="47" w:line="18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4.</w:t>
      </w:r>
      <w:r>
        <w:rPr>
          <w:rFonts w:cs="宋体" w:asciiTheme="minorEastAsia" w:hAnsiTheme="minorEastAsia" w:eastAsiaTheme="minorEastAsia"/>
          <w:color w:val="auto"/>
          <w:spacing w:val="15"/>
          <w:sz w:val="24"/>
          <w:highlight w:val="none"/>
        </w:rPr>
        <w:t xml:space="preserve"> </w:t>
      </w:r>
      <w:r>
        <w:rPr>
          <w:rFonts w:cs="宋体" w:asciiTheme="minorEastAsia" w:hAnsiTheme="minorEastAsia" w:eastAsiaTheme="minorEastAsia"/>
          <w:color w:val="auto"/>
          <w:spacing w:val="-4"/>
          <w:sz w:val="24"/>
          <w:highlight w:val="none"/>
        </w:rPr>
        <w:t>人员管理</w:t>
      </w:r>
    </w:p>
    <w:p>
      <w:pPr>
        <w:spacing w:before="235" w:line="356" w:lineRule="auto"/>
        <w:ind w:left="10" w:right="70" w:firstLine="49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中标单位应在公司内设立责任险管理机构，</w:t>
      </w:r>
      <w:r>
        <w:rPr>
          <w:rFonts w:cs="宋体" w:asciiTheme="minorEastAsia" w:hAnsiTheme="minorEastAsia" w:eastAsiaTheme="minorEastAsia"/>
          <w:color w:val="auto"/>
          <w:spacing w:val="-30"/>
          <w:sz w:val="24"/>
          <w:highlight w:val="none"/>
        </w:rPr>
        <w:t xml:space="preserve"> </w:t>
      </w:r>
      <w:r>
        <w:rPr>
          <w:rFonts w:cs="宋体" w:asciiTheme="minorEastAsia" w:hAnsiTheme="minorEastAsia" w:eastAsiaTheme="minorEastAsia"/>
          <w:color w:val="auto"/>
          <w:spacing w:val="-6"/>
          <w:sz w:val="24"/>
          <w:highlight w:val="none"/>
        </w:rPr>
        <w:t>落实专门人员负责与当地校方责任险教</w:t>
      </w:r>
      <w:r>
        <w:rPr>
          <w:rFonts w:cs="宋体" w:asciiTheme="minorEastAsia" w:hAnsiTheme="minorEastAsia" w:eastAsiaTheme="minorEastAsia"/>
          <w:color w:val="auto"/>
          <w:spacing w:val="-7"/>
          <w:sz w:val="24"/>
          <w:highlight w:val="none"/>
        </w:rPr>
        <w:t>育管理部门与学校的联系和协调，共同做好学校风险保障管理事宜。</w:t>
      </w:r>
    </w:p>
    <w:p>
      <w:pPr>
        <w:spacing w:before="6" w:line="197"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3"/>
          <w:sz w:val="24"/>
          <w:highlight w:val="none"/>
        </w:rPr>
        <w:t>5.</w:t>
      </w:r>
      <w:r>
        <w:rPr>
          <w:rFonts w:cs="宋体" w:asciiTheme="minorEastAsia" w:hAnsiTheme="minorEastAsia" w:eastAsiaTheme="minorEastAsia"/>
          <w:color w:val="auto"/>
          <w:spacing w:val="15"/>
          <w:sz w:val="24"/>
          <w:highlight w:val="none"/>
        </w:rPr>
        <w:t xml:space="preserve"> </w:t>
      </w:r>
      <w:r>
        <w:rPr>
          <w:rFonts w:cs="宋体" w:asciiTheme="minorEastAsia" w:hAnsiTheme="minorEastAsia" w:eastAsiaTheme="minorEastAsia"/>
          <w:color w:val="auto"/>
          <w:spacing w:val="-3"/>
          <w:sz w:val="24"/>
          <w:highlight w:val="none"/>
        </w:rPr>
        <w:t>承保及保全服务：</w:t>
      </w:r>
    </w:p>
    <w:p>
      <w:pPr>
        <w:spacing w:before="207" w:line="359" w:lineRule="auto"/>
        <w:ind w:right="12" w:firstLine="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投标人在招标文件要求的基础上提供技术服务承诺与约定，包括但不局限于服务内容、</w:t>
      </w:r>
      <w:r>
        <w:rPr>
          <w:rFonts w:cs="宋体" w:asciiTheme="minorEastAsia" w:hAnsiTheme="minorEastAsia" w:eastAsiaTheme="minorEastAsia"/>
          <w:color w:val="auto"/>
          <w:spacing w:val="-7"/>
          <w:sz w:val="24"/>
          <w:highlight w:val="none"/>
        </w:rPr>
        <w:t>理赔时效、法律服务等基础性服务项目，以及是否能够在此基础上根据自身实力提供其他服务内容，如对特殊案件的赔付能力、简易定责和便捷理赔服务、协助调解纠纷、协</w:t>
      </w:r>
      <w:r>
        <w:rPr>
          <w:rFonts w:cs="宋体" w:asciiTheme="minorEastAsia" w:hAnsiTheme="minorEastAsia" w:eastAsiaTheme="minorEastAsia"/>
          <w:color w:val="auto"/>
          <w:spacing w:val="-6"/>
          <w:sz w:val="24"/>
          <w:highlight w:val="none"/>
        </w:rPr>
        <w:t>助教育部门对被保险人进行安全教育和风险防范工作等。对校（园）方责任保险基本服</w:t>
      </w:r>
      <w:r>
        <w:rPr>
          <w:rFonts w:cs="宋体" w:asciiTheme="minorEastAsia" w:hAnsiTheme="minorEastAsia" w:eastAsiaTheme="minorEastAsia"/>
          <w:color w:val="auto"/>
          <w:spacing w:val="-2"/>
          <w:sz w:val="24"/>
          <w:highlight w:val="none"/>
        </w:rPr>
        <w:t>务内容要求如下：</w:t>
      </w:r>
    </w:p>
    <w:p>
      <w:pPr>
        <w:spacing w:before="207" w:line="359" w:lineRule="auto"/>
        <w:ind w:right="12" w:firstLine="2"/>
        <w:rPr>
          <w:rFonts w:cs="宋体" w:asciiTheme="minorEastAsia" w:hAnsiTheme="minorEastAsia" w:eastAsiaTheme="minorEastAsia"/>
          <w:color w:val="auto"/>
          <w:spacing w:val="-6"/>
          <w:sz w:val="24"/>
          <w:highlight w:val="none"/>
        </w:rPr>
      </w:pPr>
      <w:r>
        <w:rPr>
          <w:rFonts w:cs="宋体" w:asciiTheme="minorEastAsia" w:hAnsiTheme="minorEastAsia" w:eastAsiaTheme="minorEastAsia"/>
          <w:color w:val="auto"/>
          <w:spacing w:val="-6"/>
          <w:sz w:val="24"/>
          <w:highlight w:val="none"/>
        </w:rPr>
        <w:t>（1）为教育行政管理部门做好财政拨款的校（园）方责任保险的承保工作（以校为单位登记造册，统一承保）。</w:t>
      </w:r>
    </w:p>
    <w:p>
      <w:pPr>
        <w:spacing w:before="242" w:line="180" w:lineRule="auto"/>
        <w:ind w:firstLine="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（2）对全县所属学校的学生组织统一投保并交纳保费。</w:t>
      </w:r>
    </w:p>
    <w:p>
      <w:pPr>
        <w:spacing w:before="234" w:line="266" w:lineRule="auto"/>
        <w:ind w:left="9" w:right="73" w:hanging="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8"/>
          <w:sz w:val="24"/>
          <w:highlight w:val="none"/>
        </w:rPr>
        <w:t>（3）配合投保学校做好对保险对象的宣传和培训工作，有提高学校风险防范和安全教</w:t>
      </w:r>
      <w:r>
        <w:rPr>
          <w:rFonts w:cs="宋体" w:asciiTheme="minorEastAsia" w:hAnsiTheme="minorEastAsia" w:eastAsiaTheme="minorEastAsia"/>
          <w:color w:val="auto"/>
          <w:spacing w:val="-4"/>
          <w:sz w:val="24"/>
          <w:highlight w:val="none"/>
        </w:rPr>
        <w:t>育活动计划。</w:t>
      </w:r>
    </w:p>
    <w:p>
      <w:pPr>
        <w:spacing w:before="241" w:line="266" w:lineRule="auto"/>
        <w:ind w:left="3" w:right="73" w:firstLine="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8"/>
          <w:sz w:val="24"/>
          <w:highlight w:val="none"/>
        </w:rPr>
        <w:t>（4）自收到投保材料后迅速出具正式保单和发票，并同时做好投保花名册的登记和管</w:t>
      </w:r>
      <w:r>
        <w:rPr>
          <w:rFonts w:cs="宋体" w:asciiTheme="minorEastAsia" w:hAnsiTheme="minorEastAsia" w:eastAsiaTheme="minorEastAsia"/>
          <w:color w:val="auto"/>
          <w:spacing w:val="-4"/>
          <w:sz w:val="24"/>
          <w:highlight w:val="none"/>
        </w:rPr>
        <w:t>理工作。</w:t>
      </w:r>
    </w:p>
    <w:p>
      <w:pPr>
        <w:spacing w:before="244" w:line="297" w:lineRule="auto"/>
        <w:ind w:firstLine="6"/>
        <w:rPr>
          <w:rFonts w:cs="宋体" w:asciiTheme="minorEastAsia" w:hAnsiTheme="minorEastAsia" w:eastAsiaTheme="minorEastAsia"/>
          <w:color w:val="auto"/>
          <w:spacing w:val="-5"/>
          <w:sz w:val="24"/>
          <w:highlight w:val="none"/>
        </w:rPr>
      </w:pPr>
      <w:r>
        <w:rPr>
          <w:rFonts w:cs="宋体" w:asciiTheme="minorEastAsia" w:hAnsiTheme="minorEastAsia" w:eastAsiaTheme="minorEastAsia"/>
          <w:color w:val="auto"/>
          <w:spacing w:val="-7"/>
          <w:sz w:val="24"/>
          <w:highlight w:val="none"/>
        </w:rPr>
        <w:t>（5）投保人发生学生变动、名称或地址变更、合并、注销、分立、设立分校等事宜时，</w:t>
      </w:r>
      <w:r>
        <w:rPr>
          <w:rFonts w:cs="宋体" w:asciiTheme="minorEastAsia" w:hAnsiTheme="minorEastAsia" w:eastAsiaTheme="minorEastAsia"/>
          <w:color w:val="auto"/>
          <w:spacing w:val="-2"/>
          <w:sz w:val="24"/>
          <w:highlight w:val="none"/>
        </w:rPr>
        <w:t>做好上述事项的保全服务工作，并在接到批改申请材料的10个工作日内出具批单和发</w:t>
      </w:r>
      <w:r>
        <w:rPr>
          <w:rFonts w:cs="宋体" w:asciiTheme="minorEastAsia" w:hAnsiTheme="minorEastAsia" w:eastAsiaTheme="minorEastAsia"/>
          <w:color w:val="auto"/>
          <w:spacing w:val="-5"/>
          <w:sz w:val="24"/>
          <w:highlight w:val="none"/>
        </w:rPr>
        <w:t>票。</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pacing w:val="-5"/>
          <w:sz w:val="24"/>
          <w:highlight w:val="none"/>
        </w:rPr>
        <w:t>6、服务要求</w:t>
      </w:r>
      <w:r>
        <w:rPr>
          <w:rFonts w:hint="eastAsia" w:cs="宋体" w:asciiTheme="minorEastAsia" w:hAnsiTheme="minorEastAsia" w:eastAsiaTheme="minorEastAsia"/>
          <w:color w:val="auto"/>
          <w:sz w:val="24"/>
          <w:highlight w:val="none"/>
        </w:rPr>
        <w:t>依据省教育厅教育技术中心（原单位名称；浙江省教育装备和勤工俭学管理中心）下发的《浙江省校（园）方责任保险（优化方案）条款、附加校方无过失责任保险条款》执行。</w:t>
      </w:r>
    </w:p>
    <w:p>
      <w:pPr>
        <w:spacing w:before="240" w:line="18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三、商务要求</w:t>
      </w:r>
    </w:p>
    <w:p>
      <w:pPr>
        <w:spacing w:before="230" w:line="359" w:lineRule="auto"/>
        <w:ind w:left="2" w:right="70"/>
        <w:rPr>
          <w:rFonts w:cs="宋体" w:asciiTheme="minorEastAsia" w:hAnsiTheme="minorEastAsia" w:eastAsiaTheme="minorEastAsia"/>
          <w:color w:val="auto"/>
          <w:spacing w:val="-7"/>
          <w:sz w:val="24"/>
          <w:highlight w:val="none"/>
        </w:rPr>
      </w:pPr>
      <w:r>
        <w:rPr>
          <w:rFonts w:cs="宋体" w:asciiTheme="minorEastAsia" w:hAnsiTheme="minorEastAsia" w:eastAsiaTheme="minorEastAsia"/>
          <w:color w:val="auto"/>
          <w:spacing w:val="-7"/>
          <w:sz w:val="24"/>
          <w:highlight w:val="none"/>
        </w:rPr>
        <w:t>1.保险期限：一学年（202</w:t>
      </w:r>
      <w:r>
        <w:rPr>
          <w:rFonts w:hint="eastAsia" w:cs="宋体" w:asciiTheme="minorEastAsia" w:hAnsiTheme="minorEastAsia" w:eastAsiaTheme="minorEastAsia"/>
          <w:color w:val="auto"/>
          <w:spacing w:val="-7"/>
          <w:sz w:val="24"/>
          <w:highlight w:val="none"/>
          <w:lang w:val="en-US" w:eastAsia="zh-CN"/>
        </w:rPr>
        <w:t>4</w:t>
      </w:r>
      <w:r>
        <w:rPr>
          <w:rFonts w:cs="宋体" w:asciiTheme="minorEastAsia" w:hAnsiTheme="minorEastAsia" w:eastAsiaTheme="minorEastAsia"/>
          <w:color w:val="auto"/>
          <w:spacing w:val="-7"/>
          <w:sz w:val="24"/>
          <w:highlight w:val="none"/>
        </w:rPr>
        <w:t xml:space="preserve"> 年 9 月 1 日 0 时-202</w:t>
      </w:r>
      <w:r>
        <w:rPr>
          <w:rFonts w:hint="eastAsia" w:cs="宋体" w:asciiTheme="minorEastAsia" w:hAnsiTheme="minorEastAsia" w:eastAsiaTheme="minorEastAsia"/>
          <w:color w:val="auto"/>
          <w:spacing w:val="-7"/>
          <w:sz w:val="24"/>
          <w:highlight w:val="none"/>
          <w:lang w:val="en-US" w:eastAsia="zh-CN"/>
        </w:rPr>
        <w:t>5</w:t>
      </w:r>
      <w:r>
        <w:rPr>
          <w:rFonts w:cs="宋体" w:asciiTheme="minorEastAsia" w:hAnsiTheme="minorEastAsia" w:eastAsiaTheme="minorEastAsia"/>
          <w:color w:val="auto"/>
          <w:spacing w:val="-7"/>
          <w:sz w:val="24"/>
          <w:highlight w:val="none"/>
        </w:rPr>
        <w:t xml:space="preserve"> 年 8 月 31 日 24 时）。</w:t>
      </w:r>
    </w:p>
    <w:p>
      <w:pPr>
        <w:spacing w:before="230" w:line="359" w:lineRule="auto"/>
        <w:ind w:left="2" w:right="7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7"/>
          <w:sz w:val="24"/>
          <w:highlight w:val="none"/>
        </w:rPr>
        <w:t>2.付款方式：</w:t>
      </w:r>
      <w:r>
        <w:rPr>
          <w:rFonts w:hint="eastAsia" w:cs="宋体" w:asciiTheme="minorEastAsia" w:hAnsiTheme="minorEastAsia" w:eastAsiaTheme="minorEastAsia"/>
          <w:color w:val="auto"/>
          <w:spacing w:val="-11"/>
          <w:sz w:val="24"/>
          <w:highlight w:val="none"/>
        </w:rPr>
        <w:t>合同签订后 30 日历天内采购人向中标人一次性付清合同价款</w:t>
      </w:r>
      <w:r>
        <w:rPr>
          <w:rFonts w:cs="宋体" w:asciiTheme="minorEastAsia" w:hAnsiTheme="minorEastAsia" w:eastAsiaTheme="minorEastAsia"/>
          <w:color w:val="auto"/>
          <w:spacing w:val="-2"/>
          <w:sz w:val="24"/>
          <w:highlight w:val="none"/>
        </w:rPr>
        <w:t>。</w:t>
      </w:r>
    </w:p>
    <w:p>
      <w:pPr>
        <w:pStyle w:val="29"/>
        <w:rPr>
          <w:color w:val="auto"/>
          <w:highlight w:val="none"/>
        </w:rPr>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65"/>
      <w:rPr>
        <w:rFonts w:ascii="Calibri" w:hAnsi="Calibri" w:eastAsia="Calibri" w:cs="Calibri"/>
        <w:sz w:val="18"/>
        <w:szCs w:val="18"/>
      </w:rPr>
    </w:pPr>
    <w:r>
      <w:rPr>
        <w:rFonts w:ascii="Calibri" w:hAnsi="Calibri" w:eastAsia="Calibri" w:cs="Calibri"/>
        <w:sz w:val="18"/>
        <w:szCs w:val="18"/>
      </w:rPr>
      <w:fldChar w:fldCharType="begin"/>
    </w:r>
    <w:r>
      <w:rPr>
        <w:rFonts w:ascii="Calibri" w:hAnsi="Calibri" w:eastAsia="Calibri" w:cs="Calibri"/>
        <w:sz w:val="18"/>
        <w:szCs w:val="18"/>
      </w:rPr>
      <w:instrText xml:space="preserve">PAGE   \* MERGEFORMAT</w:instrText>
    </w:r>
    <w:r>
      <w:rPr>
        <w:rFonts w:ascii="Calibri" w:hAnsi="Calibri" w:eastAsia="Calibri" w:cs="Calibri"/>
        <w:sz w:val="18"/>
        <w:szCs w:val="18"/>
      </w:rPr>
      <w:fldChar w:fldCharType="separate"/>
    </w:r>
    <w:r>
      <w:rPr>
        <w:rFonts w:ascii="Calibri" w:hAnsi="Calibri" w:eastAsia="Calibri" w:cs="Calibri"/>
        <w:sz w:val="18"/>
        <w:szCs w:val="18"/>
        <w:lang w:val="zh-CN"/>
      </w:rPr>
      <w:t>39</w:t>
    </w:r>
    <w:r>
      <w:rPr>
        <w:rFonts w:ascii="Calibri" w:hAnsi="Calibri" w:eastAsia="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Calibr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8"/>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ZiMDc1NmIxODBjYTBjMGYwNzNjYjgxNjkxZGE5ZWUifQ=="/>
  </w:docVars>
  <w:rsids>
    <w:rsidRoot w:val="0E970358"/>
    <w:rsid w:val="00006048"/>
    <w:rsid w:val="00013790"/>
    <w:rsid w:val="0001533F"/>
    <w:rsid w:val="00027AE3"/>
    <w:rsid w:val="0003150C"/>
    <w:rsid w:val="0003340F"/>
    <w:rsid w:val="00035B33"/>
    <w:rsid w:val="00036548"/>
    <w:rsid w:val="000375AD"/>
    <w:rsid w:val="00037CBD"/>
    <w:rsid w:val="00041DA6"/>
    <w:rsid w:val="00046483"/>
    <w:rsid w:val="0005026A"/>
    <w:rsid w:val="0005345C"/>
    <w:rsid w:val="00054A3F"/>
    <w:rsid w:val="000567D5"/>
    <w:rsid w:val="0006294D"/>
    <w:rsid w:val="00062AB3"/>
    <w:rsid w:val="00062E60"/>
    <w:rsid w:val="000659A3"/>
    <w:rsid w:val="0007205A"/>
    <w:rsid w:val="00074EB1"/>
    <w:rsid w:val="000768CC"/>
    <w:rsid w:val="00077BF3"/>
    <w:rsid w:val="00081D06"/>
    <w:rsid w:val="00092C49"/>
    <w:rsid w:val="000A20CA"/>
    <w:rsid w:val="000A38F0"/>
    <w:rsid w:val="000B5C1D"/>
    <w:rsid w:val="000C207A"/>
    <w:rsid w:val="000C78D5"/>
    <w:rsid w:val="000D2F19"/>
    <w:rsid w:val="000E2B6C"/>
    <w:rsid w:val="000F0FDA"/>
    <w:rsid w:val="000F4BF1"/>
    <w:rsid w:val="000F52A7"/>
    <w:rsid w:val="000F53D4"/>
    <w:rsid w:val="001020B7"/>
    <w:rsid w:val="00102B7B"/>
    <w:rsid w:val="0010418E"/>
    <w:rsid w:val="001051E9"/>
    <w:rsid w:val="00107BF6"/>
    <w:rsid w:val="00117219"/>
    <w:rsid w:val="0012023C"/>
    <w:rsid w:val="001237C9"/>
    <w:rsid w:val="00123B5F"/>
    <w:rsid w:val="0013070E"/>
    <w:rsid w:val="00131211"/>
    <w:rsid w:val="001335D9"/>
    <w:rsid w:val="001363DC"/>
    <w:rsid w:val="001405C1"/>
    <w:rsid w:val="001423D1"/>
    <w:rsid w:val="001434ED"/>
    <w:rsid w:val="0015153B"/>
    <w:rsid w:val="001528A8"/>
    <w:rsid w:val="001541EF"/>
    <w:rsid w:val="00165F2A"/>
    <w:rsid w:val="001664B6"/>
    <w:rsid w:val="00171DEC"/>
    <w:rsid w:val="00175587"/>
    <w:rsid w:val="00180290"/>
    <w:rsid w:val="001813B9"/>
    <w:rsid w:val="001829B4"/>
    <w:rsid w:val="001942F8"/>
    <w:rsid w:val="00196D45"/>
    <w:rsid w:val="001A1A4E"/>
    <w:rsid w:val="001A1B30"/>
    <w:rsid w:val="001A589E"/>
    <w:rsid w:val="001B072D"/>
    <w:rsid w:val="001B19DF"/>
    <w:rsid w:val="001C72EA"/>
    <w:rsid w:val="001D24F3"/>
    <w:rsid w:val="001D25AA"/>
    <w:rsid w:val="001E02F1"/>
    <w:rsid w:val="001E0686"/>
    <w:rsid w:val="001E0CB1"/>
    <w:rsid w:val="001E1CE8"/>
    <w:rsid w:val="001E2773"/>
    <w:rsid w:val="001E594A"/>
    <w:rsid w:val="001F4054"/>
    <w:rsid w:val="001F4845"/>
    <w:rsid w:val="00201D62"/>
    <w:rsid w:val="00202B20"/>
    <w:rsid w:val="00205F56"/>
    <w:rsid w:val="00207846"/>
    <w:rsid w:val="00210278"/>
    <w:rsid w:val="0021318F"/>
    <w:rsid w:val="0021478C"/>
    <w:rsid w:val="00220CCD"/>
    <w:rsid w:val="00221E78"/>
    <w:rsid w:val="00222F21"/>
    <w:rsid w:val="00223AD3"/>
    <w:rsid w:val="00224A60"/>
    <w:rsid w:val="0023008F"/>
    <w:rsid w:val="00230DB1"/>
    <w:rsid w:val="0023398B"/>
    <w:rsid w:val="00234066"/>
    <w:rsid w:val="0023450B"/>
    <w:rsid w:val="00237701"/>
    <w:rsid w:val="0024296C"/>
    <w:rsid w:val="00247563"/>
    <w:rsid w:val="00250B97"/>
    <w:rsid w:val="0025101C"/>
    <w:rsid w:val="00252B43"/>
    <w:rsid w:val="0025425C"/>
    <w:rsid w:val="00257459"/>
    <w:rsid w:val="00270C1C"/>
    <w:rsid w:val="002829D5"/>
    <w:rsid w:val="00295C07"/>
    <w:rsid w:val="00296C7F"/>
    <w:rsid w:val="002A1620"/>
    <w:rsid w:val="002A2FED"/>
    <w:rsid w:val="002A736E"/>
    <w:rsid w:val="002B2D28"/>
    <w:rsid w:val="002C0454"/>
    <w:rsid w:val="002C0E34"/>
    <w:rsid w:val="002C611C"/>
    <w:rsid w:val="002D1751"/>
    <w:rsid w:val="002D6142"/>
    <w:rsid w:val="002E456E"/>
    <w:rsid w:val="003041A3"/>
    <w:rsid w:val="00304788"/>
    <w:rsid w:val="00305405"/>
    <w:rsid w:val="003075F4"/>
    <w:rsid w:val="003102FB"/>
    <w:rsid w:val="00312B7B"/>
    <w:rsid w:val="003172D8"/>
    <w:rsid w:val="00317ACA"/>
    <w:rsid w:val="003270E5"/>
    <w:rsid w:val="00330767"/>
    <w:rsid w:val="00332E30"/>
    <w:rsid w:val="003342AC"/>
    <w:rsid w:val="003351A4"/>
    <w:rsid w:val="003377C7"/>
    <w:rsid w:val="003463E1"/>
    <w:rsid w:val="00346F59"/>
    <w:rsid w:val="00350FE1"/>
    <w:rsid w:val="0035468B"/>
    <w:rsid w:val="00356811"/>
    <w:rsid w:val="00357A7B"/>
    <w:rsid w:val="00360EFB"/>
    <w:rsid w:val="00365BFA"/>
    <w:rsid w:val="0036742F"/>
    <w:rsid w:val="00370E77"/>
    <w:rsid w:val="0037346B"/>
    <w:rsid w:val="00375359"/>
    <w:rsid w:val="00377A1F"/>
    <w:rsid w:val="00380F81"/>
    <w:rsid w:val="00392A0F"/>
    <w:rsid w:val="00396BB3"/>
    <w:rsid w:val="003970FE"/>
    <w:rsid w:val="003A2EE7"/>
    <w:rsid w:val="003B06E6"/>
    <w:rsid w:val="003B7126"/>
    <w:rsid w:val="003C022F"/>
    <w:rsid w:val="003C28C1"/>
    <w:rsid w:val="003C5E00"/>
    <w:rsid w:val="003C7A95"/>
    <w:rsid w:val="003D0FF7"/>
    <w:rsid w:val="003D10C2"/>
    <w:rsid w:val="003D19E0"/>
    <w:rsid w:val="003D444C"/>
    <w:rsid w:val="003D509A"/>
    <w:rsid w:val="003D6714"/>
    <w:rsid w:val="003E3965"/>
    <w:rsid w:val="003E3F47"/>
    <w:rsid w:val="003E4904"/>
    <w:rsid w:val="003E7F50"/>
    <w:rsid w:val="003F0F90"/>
    <w:rsid w:val="003F328E"/>
    <w:rsid w:val="003F329A"/>
    <w:rsid w:val="003F5772"/>
    <w:rsid w:val="003F595C"/>
    <w:rsid w:val="003F78E0"/>
    <w:rsid w:val="004021C3"/>
    <w:rsid w:val="00406057"/>
    <w:rsid w:val="00412137"/>
    <w:rsid w:val="00416404"/>
    <w:rsid w:val="0042114E"/>
    <w:rsid w:val="00422712"/>
    <w:rsid w:val="004252F9"/>
    <w:rsid w:val="00427085"/>
    <w:rsid w:val="004302D9"/>
    <w:rsid w:val="0043496B"/>
    <w:rsid w:val="00436D1E"/>
    <w:rsid w:val="004404AA"/>
    <w:rsid w:val="00441104"/>
    <w:rsid w:val="00441FAE"/>
    <w:rsid w:val="00442166"/>
    <w:rsid w:val="0044342F"/>
    <w:rsid w:val="00446CEF"/>
    <w:rsid w:val="00447152"/>
    <w:rsid w:val="0044786B"/>
    <w:rsid w:val="00452628"/>
    <w:rsid w:val="00471AAD"/>
    <w:rsid w:val="00473DAE"/>
    <w:rsid w:val="004769EA"/>
    <w:rsid w:val="004800F5"/>
    <w:rsid w:val="00480B41"/>
    <w:rsid w:val="00486B9F"/>
    <w:rsid w:val="00486D77"/>
    <w:rsid w:val="00491415"/>
    <w:rsid w:val="0049167B"/>
    <w:rsid w:val="00491BDF"/>
    <w:rsid w:val="0049536E"/>
    <w:rsid w:val="004A1298"/>
    <w:rsid w:val="004B2C69"/>
    <w:rsid w:val="004B3D67"/>
    <w:rsid w:val="004B4165"/>
    <w:rsid w:val="004B535D"/>
    <w:rsid w:val="004B73BE"/>
    <w:rsid w:val="004C1271"/>
    <w:rsid w:val="004C1728"/>
    <w:rsid w:val="004D1849"/>
    <w:rsid w:val="004D2F16"/>
    <w:rsid w:val="004D446F"/>
    <w:rsid w:val="004D505B"/>
    <w:rsid w:val="004E5740"/>
    <w:rsid w:val="004E7CD7"/>
    <w:rsid w:val="004F2446"/>
    <w:rsid w:val="004F30A3"/>
    <w:rsid w:val="004F48D2"/>
    <w:rsid w:val="004F623B"/>
    <w:rsid w:val="005015DD"/>
    <w:rsid w:val="00502B61"/>
    <w:rsid w:val="00502EB5"/>
    <w:rsid w:val="00506B8E"/>
    <w:rsid w:val="005108A6"/>
    <w:rsid w:val="0051219B"/>
    <w:rsid w:val="005228BC"/>
    <w:rsid w:val="00523F7E"/>
    <w:rsid w:val="00524A19"/>
    <w:rsid w:val="0052605F"/>
    <w:rsid w:val="005261CB"/>
    <w:rsid w:val="00542143"/>
    <w:rsid w:val="005448A4"/>
    <w:rsid w:val="00546809"/>
    <w:rsid w:val="00556B37"/>
    <w:rsid w:val="00557752"/>
    <w:rsid w:val="00566714"/>
    <w:rsid w:val="00567861"/>
    <w:rsid w:val="00567CD7"/>
    <w:rsid w:val="00581386"/>
    <w:rsid w:val="005816C4"/>
    <w:rsid w:val="0058230D"/>
    <w:rsid w:val="005840DE"/>
    <w:rsid w:val="00587338"/>
    <w:rsid w:val="00592847"/>
    <w:rsid w:val="005A075B"/>
    <w:rsid w:val="005A43E9"/>
    <w:rsid w:val="005A48E3"/>
    <w:rsid w:val="005A4A0B"/>
    <w:rsid w:val="005A5809"/>
    <w:rsid w:val="005B7631"/>
    <w:rsid w:val="005B77ED"/>
    <w:rsid w:val="005C038C"/>
    <w:rsid w:val="005C10BB"/>
    <w:rsid w:val="005C140D"/>
    <w:rsid w:val="005C3105"/>
    <w:rsid w:val="005C4989"/>
    <w:rsid w:val="005C6117"/>
    <w:rsid w:val="005C693E"/>
    <w:rsid w:val="005C77F2"/>
    <w:rsid w:val="005D0F99"/>
    <w:rsid w:val="005D3997"/>
    <w:rsid w:val="005D7019"/>
    <w:rsid w:val="005E1EEE"/>
    <w:rsid w:val="005E253C"/>
    <w:rsid w:val="005E3538"/>
    <w:rsid w:val="005F1C5D"/>
    <w:rsid w:val="005F4959"/>
    <w:rsid w:val="0060460C"/>
    <w:rsid w:val="00606FA4"/>
    <w:rsid w:val="00612E66"/>
    <w:rsid w:val="006146C4"/>
    <w:rsid w:val="00616E31"/>
    <w:rsid w:val="006244B6"/>
    <w:rsid w:val="00625E09"/>
    <w:rsid w:val="006276A1"/>
    <w:rsid w:val="00627DBD"/>
    <w:rsid w:val="006302E7"/>
    <w:rsid w:val="00630C20"/>
    <w:rsid w:val="00634C11"/>
    <w:rsid w:val="00635332"/>
    <w:rsid w:val="0064266F"/>
    <w:rsid w:val="006453CB"/>
    <w:rsid w:val="00645BEB"/>
    <w:rsid w:val="00655E3C"/>
    <w:rsid w:val="00660556"/>
    <w:rsid w:val="006605CC"/>
    <w:rsid w:val="00663275"/>
    <w:rsid w:val="00665B28"/>
    <w:rsid w:val="006712CA"/>
    <w:rsid w:val="0067175B"/>
    <w:rsid w:val="00672DCF"/>
    <w:rsid w:val="00674C42"/>
    <w:rsid w:val="00676A20"/>
    <w:rsid w:val="006778EC"/>
    <w:rsid w:val="00691C15"/>
    <w:rsid w:val="006A233C"/>
    <w:rsid w:val="006A31A3"/>
    <w:rsid w:val="006A3C96"/>
    <w:rsid w:val="006A7B30"/>
    <w:rsid w:val="006B448E"/>
    <w:rsid w:val="006B64CD"/>
    <w:rsid w:val="006B6F4C"/>
    <w:rsid w:val="006C1FD6"/>
    <w:rsid w:val="006D4C22"/>
    <w:rsid w:val="006E12BC"/>
    <w:rsid w:val="006F22E4"/>
    <w:rsid w:val="006F495C"/>
    <w:rsid w:val="006F4DFE"/>
    <w:rsid w:val="006F5C91"/>
    <w:rsid w:val="006F7021"/>
    <w:rsid w:val="006F776A"/>
    <w:rsid w:val="00705396"/>
    <w:rsid w:val="007102C7"/>
    <w:rsid w:val="00722124"/>
    <w:rsid w:val="007245B9"/>
    <w:rsid w:val="00726A80"/>
    <w:rsid w:val="00727A66"/>
    <w:rsid w:val="007302CA"/>
    <w:rsid w:val="0073056F"/>
    <w:rsid w:val="00733A25"/>
    <w:rsid w:val="00733FE2"/>
    <w:rsid w:val="00736F1F"/>
    <w:rsid w:val="00736FE4"/>
    <w:rsid w:val="00737039"/>
    <w:rsid w:val="0074548F"/>
    <w:rsid w:val="00745B17"/>
    <w:rsid w:val="00745DC7"/>
    <w:rsid w:val="0075245B"/>
    <w:rsid w:val="00757485"/>
    <w:rsid w:val="007652DD"/>
    <w:rsid w:val="00771C1C"/>
    <w:rsid w:val="0078042B"/>
    <w:rsid w:val="00786C8F"/>
    <w:rsid w:val="00790D4F"/>
    <w:rsid w:val="00791DED"/>
    <w:rsid w:val="007A2629"/>
    <w:rsid w:val="007A4097"/>
    <w:rsid w:val="007A43DA"/>
    <w:rsid w:val="007A4FE1"/>
    <w:rsid w:val="007C0177"/>
    <w:rsid w:val="007C0CB7"/>
    <w:rsid w:val="007C1005"/>
    <w:rsid w:val="007C123E"/>
    <w:rsid w:val="007C326D"/>
    <w:rsid w:val="007C51E5"/>
    <w:rsid w:val="007C7C87"/>
    <w:rsid w:val="007D4336"/>
    <w:rsid w:val="007D51BE"/>
    <w:rsid w:val="007D5404"/>
    <w:rsid w:val="007D66B8"/>
    <w:rsid w:val="007D70CB"/>
    <w:rsid w:val="007E0757"/>
    <w:rsid w:val="007E31EB"/>
    <w:rsid w:val="007E37CC"/>
    <w:rsid w:val="007E7631"/>
    <w:rsid w:val="007F6764"/>
    <w:rsid w:val="00802325"/>
    <w:rsid w:val="00802354"/>
    <w:rsid w:val="0080384E"/>
    <w:rsid w:val="0081181E"/>
    <w:rsid w:val="00812956"/>
    <w:rsid w:val="008146A2"/>
    <w:rsid w:val="008157B3"/>
    <w:rsid w:val="0082108A"/>
    <w:rsid w:val="008210CC"/>
    <w:rsid w:val="00822CAF"/>
    <w:rsid w:val="00823931"/>
    <w:rsid w:val="00824A58"/>
    <w:rsid w:val="0082515B"/>
    <w:rsid w:val="00826946"/>
    <w:rsid w:val="0082795F"/>
    <w:rsid w:val="0083013D"/>
    <w:rsid w:val="008315BF"/>
    <w:rsid w:val="008328F2"/>
    <w:rsid w:val="00833051"/>
    <w:rsid w:val="00836DCF"/>
    <w:rsid w:val="00837226"/>
    <w:rsid w:val="00837445"/>
    <w:rsid w:val="00847BE5"/>
    <w:rsid w:val="008527F0"/>
    <w:rsid w:val="0086419D"/>
    <w:rsid w:val="00867238"/>
    <w:rsid w:val="00872098"/>
    <w:rsid w:val="00875044"/>
    <w:rsid w:val="008752AB"/>
    <w:rsid w:val="0087756B"/>
    <w:rsid w:val="0088066B"/>
    <w:rsid w:val="00884429"/>
    <w:rsid w:val="00886833"/>
    <w:rsid w:val="008949DA"/>
    <w:rsid w:val="008A1301"/>
    <w:rsid w:val="008A14CC"/>
    <w:rsid w:val="008A3DED"/>
    <w:rsid w:val="008A6B65"/>
    <w:rsid w:val="008B17E6"/>
    <w:rsid w:val="008B2108"/>
    <w:rsid w:val="008B2C2E"/>
    <w:rsid w:val="008B3BE0"/>
    <w:rsid w:val="008B4121"/>
    <w:rsid w:val="008C4812"/>
    <w:rsid w:val="008C7527"/>
    <w:rsid w:val="008C7BB7"/>
    <w:rsid w:val="008D7F9F"/>
    <w:rsid w:val="00901B06"/>
    <w:rsid w:val="009064FF"/>
    <w:rsid w:val="00906999"/>
    <w:rsid w:val="00910F96"/>
    <w:rsid w:val="00912983"/>
    <w:rsid w:val="009155B5"/>
    <w:rsid w:val="00921789"/>
    <w:rsid w:val="00922E65"/>
    <w:rsid w:val="00923B27"/>
    <w:rsid w:val="00925F10"/>
    <w:rsid w:val="00931C9B"/>
    <w:rsid w:val="00932F98"/>
    <w:rsid w:val="0093390E"/>
    <w:rsid w:val="00935B84"/>
    <w:rsid w:val="00936FD8"/>
    <w:rsid w:val="00937D52"/>
    <w:rsid w:val="009432E9"/>
    <w:rsid w:val="00943E94"/>
    <w:rsid w:val="00962A21"/>
    <w:rsid w:val="00967315"/>
    <w:rsid w:val="009722AB"/>
    <w:rsid w:val="00972B77"/>
    <w:rsid w:val="009820C9"/>
    <w:rsid w:val="009858DB"/>
    <w:rsid w:val="009933C4"/>
    <w:rsid w:val="0099776B"/>
    <w:rsid w:val="009A4A8E"/>
    <w:rsid w:val="009A600F"/>
    <w:rsid w:val="009B3B80"/>
    <w:rsid w:val="009B3E22"/>
    <w:rsid w:val="009B7CB9"/>
    <w:rsid w:val="009C1E6E"/>
    <w:rsid w:val="009C4682"/>
    <w:rsid w:val="009C487A"/>
    <w:rsid w:val="009C658A"/>
    <w:rsid w:val="009C7306"/>
    <w:rsid w:val="009D10BC"/>
    <w:rsid w:val="009D36A7"/>
    <w:rsid w:val="009D4D98"/>
    <w:rsid w:val="009F0BAA"/>
    <w:rsid w:val="009F3459"/>
    <w:rsid w:val="009F4EC5"/>
    <w:rsid w:val="00A06CBD"/>
    <w:rsid w:val="00A10819"/>
    <w:rsid w:val="00A1338F"/>
    <w:rsid w:val="00A1640E"/>
    <w:rsid w:val="00A26452"/>
    <w:rsid w:val="00A26558"/>
    <w:rsid w:val="00A27FD6"/>
    <w:rsid w:val="00A30B75"/>
    <w:rsid w:val="00A43EBB"/>
    <w:rsid w:val="00A44F98"/>
    <w:rsid w:val="00A51640"/>
    <w:rsid w:val="00A52A12"/>
    <w:rsid w:val="00A55A60"/>
    <w:rsid w:val="00A60E23"/>
    <w:rsid w:val="00A66708"/>
    <w:rsid w:val="00A730CA"/>
    <w:rsid w:val="00A745AA"/>
    <w:rsid w:val="00A80A67"/>
    <w:rsid w:val="00A81FBF"/>
    <w:rsid w:val="00A82767"/>
    <w:rsid w:val="00A83C10"/>
    <w:rsid w:val="00A90290"/>
    <w:rsid w:val="00A9501D"/>
    <w:rsid w:val="00A95531"/>
    <w:rsid w:val="00A97029"/>
    <w:rsid w:val="00A97314"/>
    <w:rsid w:val="00AB09C4"/>
    <w:rsid w:val="00AC1616"/>
    <w:rsid w:val="00AC33C2"/>
    <w:rsid w:val="00AC73A6"/>
    <w:rsid w:val="00AD0649"/>
    <w:rsid w:val="00AD286A"/>
    <w:rsid w:val="00AD7EBD"/>
    <w:rsid w:val="00AD7FE3"/>
    <w:rsid w:val="00AE184D"/>
    <w:rsid w:val="00AE7B16"/>
    <w:rsid w:val="00AF1E60"/>
    <w:rsid w:val="00AF1FE4"/>
    <w:rsid w:val="00AF28D4"/>
    <w:rsid w:val="00AF2F68"/>
    <w:rsid w:val="00B060B2"/>
    <w:rsid w:val="00B06323"/>
    <w:rsid w:val="00B11EF5"/>
    <w:rsid w:val="00B15AD7"/>
    <w:rsid w:val="00B22E8F"/>
    <w:rsid w:val="00B250EB"/>
    <w:rsid w:val="00B35C4A"/>
    <w:rsid w:val="00B362E6"/>
    <w:rsid w:val="00B41049"/>
    <w:rsid w:val="00B53D53"/>
    <w:rsid w:val="00B54621"/>
    <w:rsid w:val="00B54881"/>
    <w:rsid w:val="00B554AA"/>
    <w:rsid w:val="00B60846"/>
    <w:rsid w:val="00B6173C"/>
    <w:rsid w:val="00B64159"/>
    <w:rsid w:val="00B8185C"/>
    <w:rsid w:val="00B82B66"/>
    <w:rsid w:val="00B87531"/>
    <w:rsid w:val="00B93F39"/>
    <w:rsid w:val="00B940AE"/>
    <w:rsid w:val="00B94B84"/>
    <w:rsid w:val="00B94EB1"/>
    <w:rsid w:val="00BB1C64"/>
    <w:rsid w:val="00BC27A2"/>
    <w:rsid w:val="00BC41DF"/>
    <w:rsid w:val="00BC4FBB"/>
    <w:rsid w:val="00BD72EA"/>
    <w:rsid w:val="00BE3B8C"/>
    <w:rsid w:val="00BF128D"/>
    <w:rsid w:val="00BF27C5"/>
    <w:rsid w:val="00BF2DD3"/>
    <w:rsid w:val="00C049B4"/>
    <w:rsid w:val="00C07275"/>
    <w:rsid w:val="00C17DD8"/>
    <w:rsid w:val="00C17EB7"/>
    <w:rsid w:val="00C21B2F"/>
    <w:rsid w:val="00C26794"/>
    <w:rsid w:val="00C33642"/>
    <w:rsid w:val="00C338F7"/>
    <w:rsid w:val="00C43612"/>
    <w:rsid w:val="00C51C68"/>
    <w:rsid w:val="00C52360"/>
    <w:rsid w:val="00C52E14"/>
    <w:rsid w:val="00C55496"/>
    <w:rsid w:val="00C56ED9"/>
    <w:rsid w:val="00C5710D"/>
    <w:rsid w:val="00C70C5B"/>
    <w:rsid w:val="00C75532"/>
    <w:rsid w:val="00C767D4"/>
    <w:rsid w:val="00C77431"/>
    <w:rsid w:val="00C816DA"/>
    <w:rsid w:val="00C9791C"/>
    <w:rsid w:val="00CA063B"/>
    <w:rsid w:val="00CA0B03"/>
    <w:rsid w:val="00CA3116"/>
    <w:rsid w:val="00CA3B78"/>
    <w:rsid w:val="00CA765F"/>
    <w:rsid w:val="00CB12CC"/>
    <w:rsid w:val="00CB17E2"/>
    <w:rsid w:val="00CB199E"/>
    <w:rsid w:val="00CB682E"/>
    <w:rsid w:val="00CC232E"/>
    <w:rsid w:val="00CC3D22"/>
    <w:rsid w:val="00CD07E0"/>
    <w:rsid w:val="00CD1804"/>
    <w:rsid w:val="00CD2562"/>
    <w:rsid w:val="00CD4992"/>
    <w:rsid w:val="00CD5E95"/>
    <w:rsid w:val="00CE1F33"/>
    <w:rsid w:val="00CE2860"/>
    <w:rsid w:val="00CE3FE2"/>
    <w:rsid w:val="00CE6873"/>
    <w:rsid w:val="00CE68D0"/>
    <w:rsid w:val="00CF08A1"/>
    <w:rsid w:val="00CF2D1F"/>
    <w:rsid w:val="00CF3AFD"/>
    <w:rsid w:val="00CF54B0"/>
    <w:rsid w:val="00D04738"/>
    <w:rsid w:val="00D053A8"/>
    <w:rsid w:val="00D11D95"/>
    <w:rsid w:val="00D152C7"/>
    <w:rsid w:val="00D20B2D"/>
    <w:rsid w:val="00D22688"/>
    <w:rsid w:val="00D23528"/>
    <w:rsid w:val="00D2565F"/>
    <w:rsid w:val="00D25852"/>
    <w:rsid w:val="00D26C7E"/>
    <w:rsid w:val="00D33602"/>
    <w:rsid w:val="00D361C4"/>
    <w:rsid w:val="00D3676F"/>
    <w:rsid w:val="00D374A9"/>
    <w:rsid w:val="00D37D77"/>
    <w:rsid w:val="00D423AA"/>
    <w:rsid w:val="00D42DF3"/>
    <w:rsid w:val="00D432BD"/>
    <w:rsid w:val="00D46861"/>
    <w:rsid w:val="00D4768C"/>
    <w:rsid w:val="00D55D4C"/>
    <w:rsid w:val="00D607E1"/>
    <w:rsid w:val="00D62D81"/>
    <w:rsid w:val="00D659FA"/>
    <w:rsid w:val="00D6664D"/>
    <w:rsid w:val="00D66A2F"/>
    <w:rsid w:val="00D763C7"/>
    <w:rsid w:val="00D8513B"/>
    <w:rsid w:val="00D86896"/>
    <w:rsid w:val="00D956AD"/>
    <w:rsid w:val="00D96031"/>
    <w:rsid w:val="00D9702E"/>
    <w:rsid w:val="00DA2869"/>
    <w:rsid w:val="00DA3ABF"/>
    <w:rsid w:val="00DA4589"/>
    <w:rsid w:val="00DA6BC5"/>
    <w:rsid w:val="00DA7625"/>
    <w:rsid w:val="00DB45D9"/>
    <w:rsid w:val="00DB56B5"/>
    <w:rsid w:val="00DC72C1"/>
    <w:rsid w:val="00DD1922"/>
    <w:rsid w:val="00DD6F9E"/>
    <w:rsid w:val="00DD79EB"/>
    <w:rsid w:val="00DE149C"/>
    <w:rsid w:val="00DE41EF"/>
    <w:rsid w:val="00DE43AC"/>
    <w:rsid w:val="00DE5B13"/>
    <w:rsid w:val="00DF4999"/>
    <w:rsid w:val="00DF58E1"/>
    <w:rsid w:val="00E011CA"/>
    <w:rsid w:val="00E06BDF"/>
    <w:rsid w:val="00E1255B"/>
    <w:rsid w:val="00E14FC2"/>
    <w:rsid w:val="00E20CD2"/>
    <w:rsid w:val="00E21F26"/>
    <w:rsid w:val="00E2256B"/>
    <w:rsid w:val="00E25C51"/>
    <w:rsid w:val="00E25FDC"/>
    <w:rsid w:val="00E26630"/>
    <w:rsid w:val="00E3088B"/>
    <w:rsid w:val="00E309E3"/>
    <w:rsid w:val="00E319E7"/>
    <w:rsid w:val="00E31C22"/>
    <w:rsid w:val="00E35116"/>
    <w:rsid w:val="00E37CDC"/>
    <w:rsid w:val="00E43889"/>
    <w:rsid w:val="00E43940"/>
    <w:rsid w:val="00E45B47"/>
    <w:rsid w:val="00E464E3"/>
    <w:rsid w:val="00E50E61"/>
    <w:rsid w:val="00E51C2E"/>
    <w:rsid w:val="00E5269A"/>
    <w:rsid w:val="00E526D9"/>
    <w:rsid w:val="00E533F5"/>
    <w:rsid w:val="00E61E2A"/>
    <w:rsid w:val="00E6332A"/>
    <w:rsid w:val="00E67B4A"/>
    <w:rsid w:val="00E70760"/>
    <w:rsid w:val="00E71700"/>
    <w:rsid w:val="00E839F1"/>
    <w:rsid w:val="00E84384"/>
    <w:rsid w:val="00E8510B"/>
    <w:rsid w:val="00E85E26"/>
    <w:rsid w:val="00E90224"/>
    <w:rsid w:val="00E93630"/>
    <w:rsid w:val="00EA1D42"/>
    <w:rsid w:val="00EA761E"/>
    <w:rsid w:val="00EB3F7A"/>
    <w:rsid w:val="00EB6613"/>
    <w:rsid w:val="00EC0D25"/>
    <w:rsid w:val="00EC5AE1"/>
    <w:rsid w:val="00ED44DB"/>
    <w:rsid w:val="00ED4E2C"/>
    <w:rsid w:val="00ED5D00"/>
    <w:rsid w:val="00EE28E0"/>
    <w:rsid w:val="00EE298E"/>
    <w:rsid w:val="00EE2B49"/>
    <w:rsid w:val="00EE52A1"/>
    <w:rsid w:val="00EE61CC"/>
    <w:rsid w:val="00EF0618"/>
    <w:rsid w:val="00EF0849"/>
    <w:rsid w:val="00EF2797"/>
    <w:rsid w:val="00F00D51"/>
    <w:rsid w:val="00F04584"/>
    <w:rsid w:val="00F057A5"/>
    <w:rsid w:val="00F061D2"/>
    <w:rsid w:val="00F064C4"/>
    <w:rsid w:val="00F12381"/>
    <w:rsid w:val="00F127FF"/>
    <w:rsid w:val="00F141F8"/>
    <w:rsid w:val="00F22198"/>
    <w:rsid w:val="00F31F4C"/>
    <w:rsid w:val="00F449CD"/>
    <w:rsid w:val="00F5052B"/>
    <w:rsid w:val="00F50DC4"/>
    <w:rsid w:val="00F5357C"/>
    <w:rsid w:val="00F55FFD"/>
    <w:rsid w:val="00F56DA4"/>
    <w:rsid w:val="00F57D54"/>
    <w:rsid w:val="00F64788"/>
    <w:rsid w:val="00F71187"/>
    <w:rsid w:val="00F72FD9"/>
    <w:rsid w:val="00F773E3"/>
    <w:rsid w:val="00F87B04"/>
    <w:rsid w:val="00FA10AB"/>
    <w:rsid w:val="00FA3280"/>
    <w:rsid w:val="00FB126A"/>
    <w:rsid w:val="00FD1E78"/>
    <w:rsid w:val="00FD2430"/>
    <w:rsid w:val="00FD51C2"/>
    <w:rsid w:val="00FD5447"/>
    <w:rsid w:val="00FE14CE"/>
    <w:rsid w:val="00FE3A08"/>
    <w:rsid w:val="00FE3C0D"/>
    <w:rsid w:val="00FF25E5"/>
    <w:rsid w:val="00FF27AD"/>
    <w:rsid w:val="00FF4DE0"/>
    <w:rsid w:val="01505F15"/>
    <w:rsid w:val="01935887"/>
    <w:rsid w:val="02B40E52"/>
    <w:rsid w:val="0430275A"/>
    <w:rsid w:val="04B769D7"/>
    <w:rsid w:val="04CC341D"/>
    <w:rsid w:val="04DC643E"/>
    <w:rsid w:val="05137CD7"/>
    <w:rsid w:val="059A752E"/>
    <w:rsid w:val="060B26E0"/>
    <w:rsid w:val="07726BE5"/>
    <w:rsid w:val="0808754A"/>
    <w:rsid w:val="089B216C"/>
    <w:rsid w:val="08AF2A00"/>
    <w:rsid w:val="08B82D1E"/>
    <w:rsid w:val="09E0077E"/>
    <w:rsid w:val="0A7B2255"/>
    <w:rsid w:val="0AF53DB5"/>
    <w:rsid w:val="0B393DB7"/>
    <w:rsid w:val="0B752734"/>
    <w:rsid w:val="0BC639A4"/>
    <w:rsid w:val="0C1E2BA0"/>
    <w:rsid w:val="0C765CB2"/>
    <w:rsid w:val="0CBF1484"/>
    <w:rsid w:val="0E603EBB"/>
    <w:rsid w:val="0E970358"/>
    <w:rsid w:val="0EDA702A"/>
    <w:rsid w:val="0F3B0205"/>
    <w:rsid w:val="0FB87AA7"/>
    <w:rsid w:val="10392EAE"/>
    <w:rsid w:val="10571773"/>
    <w:rsid w:val="106C2806"/>
    <w:rsid w:val="10706EC2"/>
    <w:rsid w:val="10765998"/>
    <w:rsid w:val="11BB73DB"/>
    <w:rsid w:val="12807280"/>
    <w:rsid w:val="12D6271E"/>
    <w:rsid w:val="133E2072"/>
    <w:rsid w:val="135F0966"/>
    <w:rsid w:val="13F07810"/>
    <w:rsid w:val="148463E6"/>
    <w:rsid w:val="14D20D9B"/>
    <w:rsid w:val="15387C93"/>
    <w:rsid w:val="15A72BED"/>
    <w:rsid w:val="1621170E"/>
    <w:rsid w:val="18B91D2B"/>
    <w:rsid w:val="18C40414"/>
    <w:rsid w:val="19143FA0"/>
    <w:rsid w:val="1A6A6D44"/>
    <w:rsid w:val="1A817123"/>
    <w:rsid w:val="1C093ECB"/>
    <w:rsid w:val="1CE4433A"/>
    <w:rsid w:val="1DCF66E8"/>
    <w:rsid w:val="1DE657E0"/>
    <w:rsid w:val="1EE84AA8"/>
    <w:rsid w:val="20292FF4"/>
    <w:rsid w:val="21B06830"/>
    <w:rsid w:val="228447E5"/>
    <w:rsid w:val="229121BE"/>
    <w:rsid w:val="22F27C5C"/>
    <w:rsid w:val="23424F53"/>
    <w:rsid w:val="23597536"/>
    <w:rsid w:val="236E14E2"/>
    <w:rsid w:val="24464F2F"/>
    <w:rsid w:val="256B319A"/>
    <w:rsid w:val="259D70CC"/>
    <w:rsid w:val="25B368EF"/>
    <w:rsid w:val="26235823"/>
    <w:rsid w:val="26460460"/>
    <w:rsid w:val="264D28A0"/>
    <w:rsid w:val="2681079B"/>
    <w:rsid w:val="26A76454"/>
    <w:rsid w:val="26D22DA5"/>
    <w:rsid w:val="26E74AA2"/>
    <w:rsid w:val="27A42993"/>
    <w:rsid w:val="27FA6A57"/>
    <w:rsid w:val="293B7327"/>
    <w:rsid w:val="29B42C36"/>
    <w:rsid w:val="29D148D0"/>
    <w:rsid w:val="29FA4AED"/>
    <w:rsid w:val="2A1D2DF3"/>
    <w:rsid w:val="2AC803DC"/>
    <w:rsid w:val="2B1C6CE5"/>
    <w:rsid w:val="2B46661E"/>
    <w:rsid w:val="2C622387"/>
    <w:rsid w:val="2C6E17C2"/>
    <w:rsid w:val="2CA376BD"/>
    <w:rsid w:val="2E0A72C8"/>
    <w:rsid w:val="2E2A34C6"/>
    <w:rsid w:val="2FA21EAE"/>
    <w:rsid w:val="30143D85"/>
    <w:rsid w:val="30872E52"/>
    <w:rsid w:val="311F752F"/>
    <w:rsid w:val="31752B09"/>
    <w:rsid w:val="328C0BF4"/>
    <w:rsid w:val="329133FB"/>
    <w:rsid w:val="33770F5C"/>
    <w:rsid w:val="341548E3"/>
    <w:rsid w:val="345E036E"/>
    <w:rsid w:val="348002E4"/>
    <w:rsid w:val="35EB79DF"/>
    <w:rsid w:val="36631572"/>
    <w:rsid w:val="37712166"/>
    <w:rsid w:val="37712A39"/>
    <w:rsid w:val="39763A64"/>
    <w:rsid w:val="3AE50133"/>
    <w:rsid w:val="3B070E17"/>
    <w:rsid w:val="3B345EA5"/>
    <w:rsid w:val="3B4B164C"/>
    <w:rsid w:val="3C1D466B"/>
    <w:rsid w:val="3D1C2E5E"/>
    <w:rsid w:val="3DB531EC"/>
    <w:rsid w:val="3EB761CC"/>
    <w:rsid w:val="3EE15E23"/>
    <w:rsid w:val="405C3C72"/>
    <w:rsid w:val="40832F54"/>
    <w:rsid w:val="425D3A13"/>
    <w:rsid w:val="426E5C20"/>
    <w:rsid w:val="42D737C5"/>
    <w:rsid w:val="43036342"/>
    <w:rsid w:val="43346E69"/>
    <w:rsid w:val="451C6EE8"/>
    <w:rsid w:val="4563730C"/>
    <w:rsid w:val="458B6AE9"/>
    <w:rsid w:val="47FB61A8"/>
    <w:rsid w:val="485D651B"/>
    <w:rsid w:val="4860600B"/>
    <w:rsid w:val="48693111"/>
    <w:rsid w:val="48694FA0"/>
    <w:rsid w:val="488E768B"/>
    <w:rsid w:val="492139EC"/>
    <w:rsid w:val="49F41D5E"/>
    <w:rsid w:val="4A484FA8"/>
    <w:rsid w:val="4AEE5B50"/>
    <w:rsid w:val="4AFF5FAF"/>
    <w:rsid w:val="4B1E31F7"/>
    <w:rsid w:val="4BCB3573"/>
    <w:rsid w:val="4BDC1E4C"/>
    <w:rsid w:val="4C60482B"/>
    <w:rsid w:val="4CE75373"/>
    <w:rsid w:val="4CF82CB6"/>
    <w:rsid w:val="4D203FBB"/>
    <w:rsid w:val="4E355844"/>
    <w:rsid w:val="4EAA4484"/>
    <w:rsid w:val="4EE01C53"/>
    <w:rsid w:val="4F0A6CD0"/>
    <w:rsid w:val="4F18763F"/>
    <w:rsid w:val="4F8C7612"/>
    <w:rsid w:val="50722F8F"/>
    <w:rsid w:val="51BD627C"/>
    <w:rsid w:val="51F7178E"/>
    <w:rsid w:val="52021EE1"/>
    <w:rsid w:val="53C953AC"/>
    <w:rsid w:val="558570B1"/>
    <w:rsid w:val="566D4B95"/>
    <w:rsid w:val="572656D4"/>
    <w:rsid w:val="583077A8"/>
    <w:rsid w:val="5862192B"/>
    <w:rsid w:val="59AD06A4"/>
    <w:rsid w:val="5A4D586D"/>
    <w:rsid w:val="5A6249B0"/>
    <w:rsid w:val="5A867B53"/>
    <w:rsid w:val="5B092532"/>
    <w:rsid w:val="5B7420A1"/>
    <w:rsid w:val="5B950DCD"/>
    <w:rsid w:val="5BCF552A"/>
    <w:rsid w:val="5C6A7000"/>
    <w:rsid w:val="5EE84C68"/>
    <w:rsid w:val="60C211B9"/>
    <w:rsid w:val="60D96503"/>
    <w:rsid w:val="621D5BA4"/>
    <w:rsid w:val="627E7362"/>
    <w:rsid w:val="62F13FD7"/>
    <w:rsid w:val="633A772C"/>
    <w:rsid w:val="635B6748"/>
    <w:rsid w:val="63947A95"/>
    <w:rsid w:val="63BE035D"/>
    <w:rsid w:val="644D7933"/>
    <w:rsid w:val="64EE6A20"/>
    <w:rsid w:val="65766A16"/>
    <w:rsid w:val="65896749"/>
    <w:rsid w:val="659B647C"/>
    <w:rsid w:val="65FC6F1B"/>
    <w:rsid w:val="6672542E"/>
    <w:rsid w:val="66BC48FC"/>
    <w:rsid w:val="66CF4630"/>
    <w:rsid w:val="674D29CC"/>
    <w:rsid w:val="676E4913"/>
    <w:rsid w:val="67B167D1"/>
    <w:rsid w:val="685F1C50"/>
    <w:rsid w:val="69083E29"/>
    <w:rsid w:val="699022E9"/>
    <w:rsid w:val="6A714498"/>
    <w:rsid w:val="6AB44268"/>
    <w:rsid w:val="6B064398"/>
    <w:rsid w:val="6BEA7D59"/>
    <w:rsid w:val="6C975BF0"/>
    <w:rsid w:val="6DCE3893"/>
    <w:rsid w:val="6E131E26"/>
    <w:rsid w:val="6E4753F3"/>
    <w:rsid w:val="6E9C573F"/>
    <w:rsid w:val="6EFC7F8C"/>
    <w:rsid w:val="6EFF7A7C"/>
    <w:rsid w:val="6FB2689C"/>
    <w:rsid w:val="705B0CE2"/>
    <w:rsid w:val="72EB459F"/>
    <w:rsid w:val="740E0A64"/>
    <w:rsid w:val="745919C6"/>
    <w:rsid w:val="74702A9A"/>
    <w:rsid w:val="751002ED"/>
    <w:rsid w:val="75FE283B"/>
    <w:rsid w:val="761C2BBB"/>
    <w:rsid w:val="76E226DD"/>
    <w:rsid w:val="776A1DE8"/>
    <w:rsid w:val="77DA2E34"/>
    <w:rsid w:val="78175E36"/>
    <w:rsid w:val="785D00CA"/>
    <w:rsid w:val="78F10436"/>
    <w:rsid w:val="796A4B15"/>
    <w:rsid w:val="79FD2E0A"/>
    <w:rsid w:val="7A230AC3"/>
    <w:rsid w:val="7A6A66F1"/>
    <w:rsid w:val="7C70060E"/>
    <w:rsid w:val="7CA67789"/>
    <w:rsid w:val="7D603DDC"/>
    <w:rsid w:val="7D733B0F"/>
    <w:rsid w:val="7DDD6CEA"/>
    <w:rsid w:val="7E636E14"/>
    <w:rsid w:val="7E8458A8"/>
    <w:rsid w:val="7EC9775F"/>
    <w:rsid w:val="7EE66E19"/>
    <w:rsid w:val="7F2552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6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6"/>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71"/>
    <w:unhideWhenUsed/>
    <w:qFormat/>
    <w:uiPriority w:val="9"/>
    <w:pPr>
      <w:keepNext/>
      <w:keepLines/>
      <w:ind w:left="1134" w:hanging="567"/>
      <w:outlineLvl w:val="5"/>
    </w:pPr>
    <w:rPr>
      <w:rFonts w:cstheme="majorBidi"/>
      <w:b/>
      <w:bCs/>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numPr>
        <w:ilvl w:val="0"/>
        <w:numId w:val="1"/>
      </w:numPr>
    </w:pPr>
  </w:style>
  <w:style w:type="paragraph" w:styleId="9">
    <w:name w:val="Normal Indent"/>
    <w:basedOn w:val="1"/>
    <w:next w:val="1"/>
    <w:link w:val="53"/>
    <w:qFormat/>
    <w:uiPriority w:val="0"/>
    <w:pPr>
      <w:ind w:firstLine="420"/>
    </w:pPr>
    <w:rPr>
      <w:szCs w:val="20"/>
    </w:rPr>
  </w:style>
  <w:style w:type="paragraph" w:styleId="10">
    <w:name w:val="annotation text"/>
    <w:basedOn w:val="1"/>
    <w:link w:val="47"/>
    <w:qFormat/>
    <w:uiPriority w:val="0"/>
    <w:pPr>
      <w:jc w:val="left"/>
    </w:pPr>
  </w:style>
  <w:style w:type="paragraph" w:styleId="11">
    <w:name w:val="Body Text"/>
    <w:basedOn w:val="1"/>
    <w:next w:val="12"/>
    <w:link w:val="63"/>
    <w:qFormat/>
    <w:uiPriority w:val="0"/>
    <w:pPr>
      <w:spacing w:line="360" w:lineRule="exact"/>
    </w:pPr>
    <w:rPr>
      <w:sz w:val="24"/>
    </w:rPr>
  </w:style>
  <w:style w:type="paragraph" w:styleId="12">
    <w:name w:val="Body Text First Indent"/>
    <w:basedOn w:val="11"/>
    <w:next w:val="1"/>
    <w:link w:val="79"/>
    <w:qFormat/>
    <w:uiPriority w:val="0"/>
    <w:pPr>
      <w:spacing w:after="120" w:line="240" w:lineRule="auto"/>
      <w:ind w:firstLine="420" w:firstLineChars="100"/>
    </w:pPr>
    <w:rPr>
      <w:sz w:val="21"/>
    </w:rPr>
  </w:style>
  <w:style w:type="paragraph" w:styleId="13">
    <w:name w:val="Body Text Indent"/>
    <w:basedOn w:val="1"/>
    <w:link w:val="50"/>
    <w:qFormat/>
    <w:uiPriority w:val="99"/>
    <w:pPr>
      <w:spacing w:after="120"/>
      <w:ind w:left="420" w:leftChars="200"/>
    </w:pPr>
  </w:style>
  <w:style w:type="paragraph" w:styleId="14">
    <w:name w:val="Plain Text"/>
    <w:basedOn w:val="1"/>
    <w:next w:val="15"/>
    <w:link w:val="52"/>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49"/>
    <w:qFormat/>
    <w:uiPriority w:val="0"/>
    <w:rPr>
      <w:sz w:val="18"/>
      <w:szCs w:val="18"/>
    </w:rPr>
  </w:style>
  <w:style w:type="paragraph" w:styleId="17">
    <w:name w:val="footer"/>
    <w:basedOn w:val="1"/>
    <w:link w:val="60"/>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unhideWhenUsed/>
    <w:qFormat/>
    <w:uiPriority w:val="39"/>
    <w:rPr>
      <w:sz w:val="28"/>
    </w:rPr>
  </w:style>
  <w:style w:type="paragraph" w:styleId="20">
    <w:name w:val="Normal (Web)"/>
    <w:basedOn w:val="1"/>
    <w:link w:val="82"/>
    <w:qFormat/>
    <w:uiPriority w:val="0"/>
    <w:pPr>
      <w:widowControl/>
      <w:spacing w:before="100" w:beforeAutospacing="1" w:after="100" w:afterAutospacing="1"/>
      <w:jc w:val="left"/>
    </w:pPr>
    <w:rPr>
      <w:rFonts w:hint="eastAsia" w:ascii="宋体" w:hAnsi="宋体"/>
      <w:kern w:val="0"/>
      <w:sz w:val="24"/>
    </w:rPr>
  </w:style>
  <w:style w:type="paragraph" w:styleId="21">
    <w:name w:val="annotation subject"/>
    <w:basedOn w:val="10"/>
    <w:next w:val="10"/>
    <w:link w:val="48"/>
    <w:qFormat/>
    <w:uiPriority w:val="0"/>
    <w:rPr>
      <w:b/>
      <w:bCs/>
    </w:rPr>
  </w:style>
  <w:style w:type="paragraph" w:styleId="22">
    <w:name w:val="Body Text First Indent 2"/>
    <w:basedOn w:val="13"/>
    <w:link w:val="56"/>
    <w:semiHidden/>
    <w:unhideWhenUsed/>
    <w:qFormat/>
    <w:uiPriority w:val="0"/>
    <w:pPr>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Hyperlink"/>
    <w:basedOn w:val="25"/>
    <w:unhideWhenUsed/>
    <w:qFormat/>
    <w:uiPriority w:val="99"/>
    <w:rPr>
      <w:color w:val="0563C1" w:themeColor="hyperlink"/>
      <w:u w:val="single"/>
    </w:rPr>
  </w:style>
  <w:style w:type="character" w:styleId="28">
    <w:name w:val="annotation reference"/>
    <w:basedOn w:val="25"/>
    <w:qFormat/>
    <w:uiPriority w:val="0"/>
    <w:rPr>
      <w:sz w:val="21"/>
      <w:szCs w:val="21"/>
    </w:rPr>
  </w:style>
  <w:style w:type="paragraph" w:customStyle="1" w:styleId="29">
    <w:name w:val="[Normal]"/>
    <w:qFormat/>
    <w:uiPriority w:val="0"/>
    <w:rPr>
      <w:rFonts w:ascii="宋体" w:hAnsi="宋体" w:eastAsia="宋体" w:cs="宋体"/>
      <w:kern w:val="0"/>
      <w:sz w:val="24"/>
      <w:szCs w:val="24"/>
      <w:lang w:val="zh-CN" w:eastAsia="zh-CN" w:bidi="ar-SA"/>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qFormat/>
    <w:uiPriority w:val="99"/>
    <w:pPr>
      <w:ind w:firstLine="420" w:firstLineChars="200"/>
    </w:pPr>
    <w:rPr>
      <w:rFonts w:ascii="Calibri" w:hAnsi="Calibri"/>
      <w:szCs w:val="22"/>
    </w:rPr>
  </w:style>
  <w:style w:type="paragraph" w:customStyle="1" w:styleId="32">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3">
    <w:name w:val="列出段落1"/>
    <w:basedOn w:val="1"/>
    <w:link w:val="77"/>
    <w:qFormat/>
    <w:uiPriority w:val="0"/>
    <w:pPr>
      <w:ind w:firstLine="420" w:firstLineChars="200"/>
    </w:pPr>
    <w:rPr>
      <w:rFonts w:ascii="Calibri" w:hAnsi="Calibri"/>
      <w:kern w:val="0"/>
      <w:szCs w:val="20"/>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批注文字 Char"/>
    <w:basedOn w:val="25"/>
    <w:link w:val="10"/>
    <w:qFormat/>
    <w:uiPriority w:val="0"/>
    <w:rPr>
      <w:rFonts w:ascii="Times New Roman" w:hAnsi="Times New Roman" w:eastAsia="宋体" w:cs="Times New Roman"/>
      <w:kern w:val="2"/>
      <w:sz w:val="21"/>
      <w:szCs w:val="24"/>
    </w:rPr>
  </w:style>
  <w:style w:type="character" w:customStyle="1" w:styleId="48">
    <w:name w:val="批注主题 Char"/>
    <w:basedOn w:val="47"/>
    <w:link w:val="21"/>
    <w:qFormat/>
    <w:uiPriority w:val="0"/>
    <w:rPr>
      <w:rFonts w:ascii="Times New Roman" w:hAnsi="Times New Roman" w:eastAsia="宋体" w:cs="Times New Roman"/>
      <w:b/>
      <w:bCs/>
      <w:kern w:val="2"/>
      <w:sz w:val="21"/>
      <w:szCs w:val="24"/>
    </w:rPr>
  </w:style>
  <w:style w:type="character" w:customStyle="1" w:styleId="49">
    <w:name w:val="批注框文本 Char"/>
    <w:basedOn w:val="25"/>
    <w:link w:val="16"/>
    <w:qFormat/>
    <w:uiPriority w:val="0"/>
    <w:rPr>
      <w:rFonts w:ascii="Times New Roman" w:hAnsi="Times New Roman" w:eastAsia="宋体" w:cs="Times New Roman"/>
      <w:kern w:val="2"/>
      <w:sz w:val="18"/>
      <w:szCs w:val="18"/>
    </w:rPr>
  </w:style>
  <w:style w:type="character" w:customStyle="1" w:styleId="50">
    <w:name w:val="正文文本缩进 Char"/>
    <w:basedOn w:val="25"/>
    <w:link w:val="13"/>
    <w:qFormat/>
    <w:uiPriority w:val="99"/>
    <w:rPr>
      <w:kern w:val="2"/>
      <w:sz w:val="21"/>
      <w:szCs w:val="24"/>
    </w:rPr>
  </w:style>
  <w:style w:type="paragraph" w:customStyle="1" w:styleId="51">
    <w:name w:val="_Style 3"/>
    <w:basedOn w:val="1"/>
    <w:qFormat/>
    <w:uiPriority w:val="0"/>
    <w:pPr>
      <w:ind w:firstLine="420" w:firstLineChars="200"/>
    </w:pPr>
    <w:rPr>
      <w:rFonts w:ascii="Calibri" w:hAnsi="Calibri"/>
      <w:szCs w:val="22"/>
    </w:rPr>
  </w:style>
  <w:style w:type="character" w:customStyle="1" w:styleId="52">
    <w:name w:val="纯文本 Char"/>
    <w:link w:val="14"/>
    <w:qFormat/>
    <w:uiPriority w:val="0"/>
    <w:rPr>
      <w:rFonts w:ascii="宋体" w:hAnsi="Courier New" w:cstheme="minorBidi"/>
      <w:kern w:val="2"/>
      <w:sz w:val="21"/>
      <w:szCs w:val="24"/>
    </w:rPr>
  </w:style>
  <w:style w:type="character" w:customStyle="1" w:styleId="53">
    <w:name w:val="正文缩进 Char"/>
    <w:link w:val="9"/>
    <w:qFormat/>
    <w:uiPriority w:val="0"/>
    <w:rPr>
      <w:kern w:val="2"/>
      <w:sz w:val="21"/>
    </w:rPr>
  </w:style>
  <w:style w:type="character" w:customStyle="1" w:styleId="54">
    <w:name w:val="标题 1 Char"/>
    <w:qFormat/>
    <w:uiPriority w:val="0"/>
    <w:rPr>
      <w:rFonts w:ascii="Times New Roman" w:hAnsi="Times New Roman" w:eastAsia="宋体" w:cs="Times New Roman"/>
      <w:b/>
      <w:bCs/>
      <w:kern w:val="44"/>
      <w:sz w:val="44"/>
      <w:szCs w:val="44"/>
    </w:rPr>
  </w:style>
  <w:style w:type="character" w:customStyle="1" w:styleId="55">
    <w:name w:val="标题 Char1"/>
    <w:qFormat/>
    <w:uiPriority w:val="10"/>
    <w:rPr>
      <w:rFonts w:ascii="Cambria" w:hAnsi="Cambria" w:cs="Times New Roman"/>
      <w:b/>
      <w:bCs/>
      <w:kern w:val="2"/>
      <w:sz w:val="32"/>
      <w:szCs w:val="32"/>
    </w:rPr>
  </w:style>
  <w:style w:type="character" w:customStyle="1" w:styleId="56">
    <w:name w:val="正文首行缩进 2 Char"/>
    <w:basedOn w:val="50"/>
    <w:link w:val="22"/>
    <w:semiHidden/>
    <w:qFormat/>
    <w:uiPriority w:val="0"/>
    <w:rPr>
      <w:kern w:val="2"/>
      <w:sz w:val="21"/>
      <w:szCs w:val="24"/>
    </w:rPr>
  </w:style>
  <w:style w:type="character" w:customStyle="1" w:styleId="57">
    <w:name w:val="标书的标题3 Char Char"/>
    <w:link w:val="58"/>
    <w:qFormat/>
    <w:uiPriority w:val="0"/>
    <w:rPr>
      <w:rFonts w:ascii="宋体" w:hAnsi="宋体" w:cs="宋体"/>
      <w:b/>
      <w:color w:val="000000"/>
      <w:sz w:val="24"/>
      <w:szCs w:val="24"/>
    </w:rPr>
  </w:style>
  <w:style w:type="paragraph" w:customStyle="1" w:styleId="58">
    <w:name w:val="标书的标题3"/>
    <w:basedOn w:val="9"/>
    <w:link w:val="57"/>
    <w:qFormat/>
    <w:uiPriority w:val="0"/>
    <w:pPr>
      <w:widowControl/>
      <w:adjustRightInd w:val="0"/>
      <w:spacing w:line="360" w:lineRule="auto"/>
      <w:ind w:firstLine="0"/>
      <w:outlineLvl w:val="2"/>
    </w:pPr>
    <w:rPr>
      <w:rFonts w:ascii="宋体" w:hAnsi="宋体" w:cs="宋体"/>
      <w:b/>
      <w:color w:val="000000"/>
      <w:kern w:val="0"/>
      <w:sz w:val="24"/>
      <w:szCs w:val="24"/>
    </w:rPr>
  </w:style>
  <w:style w:type="paragraph" w:customStyle="1" w:styleId="59">
    <w:name w:val="标题 51"/>
    <w:basedOn w:val="1"/>
    <w:qFormat/>
    <w:uiPriority w:val="1"/>
    <w:pPr>
      <w:autoSpaceDE w:val="0"/>
      <w:autoSpaceDN w:val="0"/>
      <w:adjustRightInd w:val="0"/>
      <w:ind w:left="782"/>
      <w:jc w:val="left"/>
      <w:outlineLvl w:val="4"/>
    </w:pPr>
    <w:rPr>
      <w:rFonts w:ascii="宋体" w:cs="宋体"/>
      <w:b/>
      <w:bCs/>
      <w:kern w:val="0"/>
      <w:sz w:val="24"/>
    </w:rPr>
  </w:style>
  <w:style w:type="character" w:customStyle="1" w:styleId="60">
    <w:name w:val="页脚 Char"/>
    <w:basedOn w:val="25"/>
    <w:link w:val="17"/>
    <w:qFormat/>
    <w:uiPriority w:val="99"/>
    <w:rPr>
      <w:kern w:val="2"/>
      <w:sz w:val="18"/>
      <w:szCs w:val="24"/>
    </w:rPr>
  </w:style>
  <w:style w:type="character" w:customStyle="1" w:styleId="61">
    <w:name w:val="标题 1 Char1"/>
    <w:basedOn w:val="25"/>
    <w:link w:val="2"/>
    <w:qFormat/>
    <w:uiPriority w:val="0"/>
    <w:rPr>
      <w:b/>
      <w:bCs/>
      <w:kern w:val="44"/>
      <w:sz w:val="44"/>
      <w:szCs w:val="44"/>
    </w:rPr>
  </w:style>
  <w:style w:type="paragraph" w:customStyle="1" w:styleId="6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63">
    <w:name w:val="正文文本 Char"/>
    <w:basedOn w:val="25"/>
    <w:link w:val="11"/>
    <w:qFormat/>
    <w:uiPriority w:val="0"/>
    <w:rPr>
      <w:kern w:val="2"/>
      <w:sz w:val="24"/>
      <w:szCs w:val="24"/>
    </w:rPr>
  </w:style>
  <w:style w:type="character" w:customStyle="1" w:styleId="64">
    <w:name w:val="标题 2 Char"/>
    <w:basedOn w:val="25"/>
    <w:link w:val="3"/>
    <w:semiHidden/>
    <w:qFormat/>
    <w:uiPriority w:val="0"/>
    <w:rPr>
      <w:rFonts w:asciiTheme="majorHAnsi" w:hAnsiTheme="majorHAnsi" w:eastAsiaTheme="majorEastAsia" w:cstheme="majorBidi"/>
      <w:b/>
      <w:bCs/>
      <w:kern w:val="2"/>
      <w:sz w:val="32"/>
      <w:szCs w:val="32"/>
    </w:rPr>
  </w:style>
  <w:style w:type="character" w:customStyle="1" w:styleId="65">
    <w:name w:val="标题 4 Char"/>
    <w:basedOn w:val="25"/>
    <w:link w:val="5"/>
    <w:semiHidden/>
    <w:qFormat/>
    <w:uiPriority w:val="0"/>
    <w:rPr>
      <w:rFonts w:asciiTheme="majorHAnsi" w:hAnsiTheme="majorHAnsi" w:eastAsiaTheme="majorEastAsia" w:cstheme="majorBidi"/>
      <w:b/>
      <w:bCs/>
      <w:kern w:val="2"/>
      <w:sz w:val="28"/>
      <w:szCs w:val="28"/>
    </w:rPr>
  </w:style>
  <w:style w:type="character" w:customStyle="1" w:styleId="66">
    <w:name w:val="标题 5 Char"/>
    <w:basedOn w:val="25"/>
    <w:link w:val="6"/>
    <w:semiHidden/>
    <w:qFormat/>
    <w:uiPriority w:val="0"/>
    <w:rPr>
      <w:b/>
      <w:bCs/>
      <w:kern w:val="2"/>
      <w:sz w:val="28"/>
      <w:szCs w:val="28"/>
    </w:rPr>
  </w:style>
  <w:style w:type="character" w:customStyle="1" w:styleId="67">
    <w:name w:val="my正文 Char"/>
    <w:link w:val="68"/>
    <w:qFormat/>
    <w:uiPriority w:val="0"/>
    <w:rPr>
      <w:rFonts w:ascii="Tahoma" w:hAnsi="Tahoma"/>
      <w:sz w:val="24"/>
      <w:szCs w:val="24"/>
    </w:rPr>
  </w:style>
  <w:style w:type="paragraph" w:customStyle="1" w:styleId="68">
    <w:name w:val="my正文"/>
    <w:basedOn w:val="1"/>
    <w:link w:val="67"/>
    <w:qFormat/>
    <w:uiPriority w:val="0"/>
    <w:pPr>
      <w:spacing w:line="360" w:lineRule="auto"/>
      <w:ind w:firstLine="480" w:firstLineChars="200"/>
    </w:pPr>
    <w:rPr>
      <w:rFonts w:ascii="Tahoma" w:hAnsi="Tahoma"/>
      <w:kern w:val="0"/>
      <w:sz w:val="24"/>
    </w:rPr>
  </w:style>
  <w:style w:type="character" w:customStyle="1" w:styleId="69">
    <w:name w:val="*正文 Char"/>
    <w:link w:val="70"/>
    <w:qFormat/>
    <w:uiPriority w:val="0"/>
    <w:rPr>
      <w:rFonts w:ascii="宋体" w:hAnsi="宋体"/>
      <w:sz w:val="24"/>
      <w:szCs w:val="24"/>
    </w:rPr>
  </w:style>
  <w:style w:type="paragraph" w:customStyle="1" w:styleId="70">
    <w:name w:val="*正文"/>
    <w:basedOn w:val="1"/>
    <w:link w:val="69"/>
    <w:qFormat/>
    <w:uiPriority w:val="0"/>
    <w:pPr>
      <w:autoSpaceDE w:val="0"/>
      <w:autoSpaceDN w:val="0"/>
      <w:adjustRightInd w:val="0"/>
      <w:spacing w:before="120" w:after="120" w:line="360" w:lineRule="auto"/>
      <w:ind w:firstLine="480" w:firstLineChars="200"/>
      <w:jc w:val="left"/>
    </w:pPr>
    <w:rPr>
      <w:rFonts w:ascii="宋体" w:hAnsi="宋体"/>
      <w:kern w:val="0"/>
      <w:sz w:val="24"/>
    </w:rPr>
  </w:style>
  <w:style w:type="character" w:customStyle="1" w:styleId="71">
    <w:name w:val="标题 6 Char"/>
    <w:basedOn w:val="25"/>
    <w:link w:val="7"/>
    <w:qFormat/>
    <w:uiPriority w:val="9"/>
    <w:rPr>
      <w:rFonts w:cstheme="majorBidi"/>
      <w:b/>
      <w:bCs/>
      <w:kern w:val="2"/>
      <w:sz w:val="28"/>
      <w:szCs w:val="24"/>
    </w:rPr>
  </w:style>
  <w:style w:type="paragraph" w:customStyle="1" w:styleId="72">
    <w:name w:val="1级标题"/>
    <w:basedOn w:val="2"/>
    <w:qFormat/>
    <w:uiPriority w:val="0"/>
    <w:pPr>
      <w:widowControl/>
      <w:spacing w:before="0" w:after="0" w:line="240" w:lineRule="auto"/>
      <w:jc w:val="left"/>
    </w:pPr>
    <w:rPr>
      <w:bCs w:val="0"/>
      <w:color w:val="000000"/>
      <w:szCs w:val="32"/>
    </w:rPr>
  </w:style>
  <w:style w:type="paragraph" w:customStyle="1" w:styleId="73">
    <w:name w:val="2级标题"/>
    <w:basedOn w:val="3"/>
    <w:qFormat/>
    <w:uiPriority w:val="0"/>
    <w:pPr>
      <w:widowControl/>
      <w:spacing w:before="0" w:after="0" w:line="240" w:lineRule="auto"/>
      <w:ind w:left="567" w:hanging="454"/>
    </w:pPr>
    <w:rPr>
      <w:rFonts w:ascii="Times New Roman" w:hAnsi="Times New Roman" w:eastAsia="宋体"/>
      <w:sz w:val="36"/>
    </w:rPr>
  </w:style>
  <w:style w:type="paragraph" w:customStyle="1" w:styleId="74">
    <w:name w:val="3级标题"/>
    <w:basedOn w:val="4"/>
    <w:qFormat/>
    <w:uiPriority w:val="0"/>
    <w:pPr>
      <w:widowControl/>
      <w:spacing w:before="0" w:after="0" w:line="360" w:lineRule="auto"/>
      <w:ind w:left="709" w:hanging="482"/>
    </w:pPr>
  </w:style>
  <w:style w:type="paragraph" w:customStyle="1" w:styleId="75">
    <w:name w:val="4级标题"/>
    <w:basedOn w:val="5"/>
    <w:qFormat/>
    <w:uiPriority w:val="0"/>
    <w:pPr>
      <w:widowControl/>
      <w:spacing w:before="0" w:after="0" w:line="240" w:lineRule="auto"/>
      <w:ind w:firstLine="602" w:firstLineChars="200"/>
    </w:pPr>
    <w:rPr>
      <w:rFonts w:ascii="Times New Roman" w:hAnsi="Times New Roman" w:eastAsia="宋体"/>
      <w:sz w:val="30"/>
    </w:rPr>
  </w:style>
  <w:style w:type="paragraph" w:customStyle="1" w:styleId="76">
    <w:name w:val="7 居中"/>
    <w:basedOn w:val="1"/>
    <w:qFormat/>
    <w:uiPriority w:val="0"/>
    <w:pPr>
      <w:jc w:val="center"/>
    </w:pPr>
    <w:rPr>
      <w:rFonts w:asciiTheme="minorHAnsi" w:hAnsiTheme="minorHAnsi" w:eastAsiaTheme="minorEastAsia" w:cstheme="minorBidi"/>
      <w:szCs w:val="22"/>
    </w:rPr>
  </w:style>
  <w:style w:type="character" w:customStyle="1" w:styleId="77">
    <w:name w:val="列出段落 Char"/>
    <w:link w:val="33"/>
    <w:qFormat/>
    <w:uiPriority w:val="0"/>
    <w:rPr>
      <w:rFonts w:ascii="Calibri" w:hAnsi="Calibri"/>
      <w:sz w:val="21"/>
    </w:rPr>
  </w:style>
  <w:style w:type="table" w:customStyle="1" w:styleId="78">
    <w:name w:val="Table Normal"/>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79">
    <w:name w:val="正文首行缩进 Char"/>
    <w:basedOn w:val="63"/>
    <w:link w:val="12"/>
    <w:qFormat/>
    <w:uiPriority w:val="0"/>
    <w:rPr>
      <w:kern w:val="2"/>
      <w:sz w:val="21"/>
      <w:szCs w:val="24"/>
    </w:rPr>
  </w:style>
  <w:style w:type="character" w:customStyle="1" w:styleId="80">
    <w:name w:val="NormalCharacter"/>
    <w:semiHidden/>
    <w:qFormat/>
    <w:uiPriority w:val="0"/>
  </w:style>
  <w:style w:type="paragraph" w:customStyle="1" w:styleId="81">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character" w:customStyle="1" w:styleId="82">
    <w:name w:val="普通(网站) Char"/>
    <w:link w:val="20"/>
    <w:qFormat/>
    <w:locked/>
    <w:uiPriority w:val="0"/>
    <w:rPr>
      <w:rFonts w:ascii="宋体" w:hAnsi="宋体"/>
      <w:sz w:val="24"/>
      <w:szCs w:val="24"/>
    </w:rPr>
  </w:style>
  <w:style w:type="paragraph" w:customStyle="1" w:styleId="83">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BE785-C8ED-47D4-9A7A-F0F9A4CE825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23661</Words>
  <Characters>25032</Characters>
  <Lines>180</Lines>
  <Paragraphs>50</Paragraphs>
  <TotalTime>0</TotalTime>
  <ScaleCrop>false</ScaleCrop>
  <LinksUpToDate>false</LinksUpToDate>
  <CharactersWithSpaces>25633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2021-07-25T01:02:00Z</dcterms:created>
  <dc:creator>S-mile</dc:creator>
  <cp:lastModifiedBy>.</cp:lastModifiedBy>
  <cp:lastPrinted>2024-07-22T07:18:00Z</cp:lastPrinted>
  <dcterms:modified xsi:type="dcterms:W3CDTF">2024-07-24T04:52:28Z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681E912AFA9E444DB7079173ACC683A7</vt:lpwstr>
  </property>
</Properties>
</file>