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color w:val="auto"/>
          <w:kern w:val="0"/>
          <w:sz w:val="44"/>
          <w:szCs w:val="44"/>
          <w:highlight w:val="none"/>
          <w:lang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color w:val="auto"/>
          <w:kern w:val="0"/>
          <w:sz w:val="32"/>
          <w:szCs w:val="32"/>
          <w:highlight w:val="none"/>
          <w:lang w:eastAsia="zh-CN"/>
        </w:rPr>
      </w:pPr>
      <w:r>
        <w:rPr>
          <w:rFonts w:hint="eastAsia" w:ascii="宋体"/>
          <w:color w:val="auto"/>
          <w:kern w:val="0"/>
          <w:sz w:val="32"/>
          <w:szCs w:val="32"/>
          <w:highlight w:val="none"/>
          <w:lang w:eastAsia="zh-CN"/>
        </w:rPr>
        <w:t>三门县高新技术企业孵化园服务提升工程二期（浙江三门经济开发区党群服务中心）配套设备采购项目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2"/>
          <w:szCs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color w:val="auto"/>
          <w:kern w:val="0"/>
          <w:sz w:val="32"/>
          <w:szCs w:val="32"/>
          <w:highlight w:val="none"/>
          <w:lang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2"/>
          <w:szCs w:val="32"/>
          <w:highlight w:val="none"/>
        </w:rPr>
      </w:pPr>
      <w:r>
        <w:rPr>
          <w:rFonts w:hint="eastAsia" w:ascii="宋体"/>
          <w:color w:val="auto"/>
          <w:kern w:val="0"/>
          <w:sz w:val="32"/>
          <w:szCs w:val="32"/>
          <w:highlight w:val="none"/>
          <w:lang w:eastAsia="zh-CN"/>
        </w:rPr>
        <w:t>项目登记号：</w:t>
      </w:r>
      <w:r>
        <w:rPr>
          <w:rFonts w:hint="eastAsia" w:ascii="宋体"/>
          <w:color w:val="auto"/>
          <w:kern w:val="0"/>
          <w:sz w:val="32"/>
          <w:szCs w:val="32"/>
          <w:highlight w:val="none"/>
        </w:rPr>
        <w:t>泾清招备[2023]-41号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2"/>
          <w:szCs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2"/>
          <w:szCs w:val="32"/>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32"/>
          <w:szCs w:val="32"/>
          <w:highlight w:val="none"/>
        </w:rPr>
      </w:pPr>
    </w:p>
    <w:p>
      <w:pPr>
        <w:tabs>
          <w:tab w:val="left" w:pos="6480"/>
        </w:tabs>
        <w:autoSpaceDE w:val="0"/>
        <w:autoSpaceDN w:val="0"/>
        <w:adjustRightInd w:val="0"/>
        <w:spacing w:line="240" w:lineRule="atLeast"/>
        <w:ind w:right="1800"/>
        <w:rPr>
          <w:rFonts w:ascii="宋体"/>
          <w:color w:val="auto"/>
          <w:kern w:val="0"/>
          <w:sz w:val="32"/>
          <w:szCs w:val="32"/>
          <w:highlight w:val="none"/>
        </w:rPr>
      </w:pPr>
      <w:r>
        <w:rPr>
          <w:rFonts w:ascii="宋体"/>
          <w:color w:val="auto"/>
          <w:kern w:val="0"/>
          <w:sz w:val="32"/>
          <w:szCs w:val="32"/>
          <w:highlight w:val="none"/>
        </w:rPr>
        <w:tab/>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2"/>
          <w:szCs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2"/>
          <w:szCs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2"/>
          <w:szCs w:val="32"/>
          <w:highlight w:val="none"/>
        </w:rPr>
      </w:pPr>
    </w:p>
    <w:p>
      <w:pPr>
        <w:pStyle w:val="19"/>
        <w:rPr>
          <w:rFonts w:ascii="宋体"/>
          <w:color w:val="auto"/>
          <w:kern w:val="0"/>
          <w:sz w:val="32"/>
          <w:szCs w:val="32"/>
          <w:highlight w:val="none"/>
        </w:rPr>
      </w:pPr>
    </w:p>
    <w:p>
      <w:pPr>
        <w:rPr>
          <w:rFonts w:ascii="宋体"/>
          <w:color w:val="auto"/>
          <w:kern w:val="0"/>
          <w:sz w:val="32"/>
          <w:szCs w:val="32"/>
          <w:highlight w:val="none"/>
        </w:rPr>
      </w:pPr>
    </w:p>
    <w:p>
      <w:pPr>
        <w:pStyle w:val="10"/>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32"/>
          <w:szCs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hint="eastAsia" w:ascii="宋体" w:eastAsia="宋体"/>
          <w:color w:val="auto"/>
          <w:kern w:val="0"/>
          <w:sz w:val="32"/>
          <w:szCs w:val="32"/>
          <w:highlight w:val="none"/>
          <w:lang w:eastAsia="zh-CN"/>
        </w:rPr>
      </w:pPr>
      <w:r>
        <w:rPr>
          <w:rFonts w:hint="eastAsia" w:ascii="宋体"/>
          <w:color w:val="auto"/>
          <w:kern w:val="0"/>
          <w:sz w:val="32"/>
          <w:szCs w:val="32"/>
          <w:highlight w:val="none"/>
        </w:rPr>
        <w:t>采购单位：</w:t>
      </w:r>
      <w:r>
        <w:rPr>
          <w:rFonts w:hint="eastAsia" w:ascii="宋体"/>
          <w:color w:val="auto"/>
          <w:kern w:val="0"/>
          <w:sz w:val="32"/>
          <w:szCs w:val="32"/>
          <w:highlight w:val="none"/>
          <w:lang w:eastAsia="zh-CN"/>
        </w:rPr>
        <w:t>三门县滨海科技城开发建设有限公司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color w:val="auto"/>
          <w:kern w:val="0"/>
          <w:sz w:val="32"/>
          <w:szCs w:val="32"/>
          <w:highlight w:val="none"/>
          <w:lang w:eastAsia="zh-CN"/>
        </w:rPr>
      </w:pPr>
      <w:r>
        <w:rPr>
          <w:rFonts w:hint="eastAsia" w:ascii="宋体"/>
          <w:color w:val="auto"/>
          <w:kern w:val="0"/>
          <w:sz w:val="32"/>
          <w:szCs w:val="32"/>
          <w:highlight w:val="none"/>
        </w:rPr>
        <w:t>采购代理机构：</w:t>
      </w:r>
      <w:r>
        <w:rPr>
          <w:rFonts w:hint="eastAsia" w:ascii="宋体"/>
          <w:color w:val="auto"/>
          <w:kern w:val="0"/>
          <w:sz w:val="32"/>
          <w:szCs w:val="32"/>
          <w:highlight w:val="none"/>
          <w:lang w:eastAsia="zh-CN"/>
        </w:rPr>
        <w:t>泾清项目管理有限公司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9"/>
          <w:szCs w:val="29"/>
          <w:highlight w:val="none"/>
        </w:rPr>
      </w:pPr>
      <w:r>
        <w:rPr>
          <w:rFonts w:hint="eastAsia" w:ascii="宋体"/>
          <w:color w:val="auto"/>
          <w:kern w:val="0"/>
          <w:sz w:val="32"/>
          <w:szCs w:val="32"/>
          <w:highlight w:val="none"/>
        </w:rPr>
        <w:t>202</w:t>
      </w:r>
      <w:r>
        <w:rPr>
          <w:rFonts w:hint="eastAsia" w:ascii="宋体"/>
          <w:color w:val="auto"/>
          <w:kern w:val="0"/>
          <w:sz w:val="32"/>
          <w:szCs w:val="32"/>
          <w:highlight w:val="none"/>
          <w:lang w:val="en-US" w:eastAsia="zh-CN"/>
        </w:rPr>
        <w:t>3</w:t>
      </w:r>
      <w:r>
        <w:rPr>
          <w:rFonts w:hint="eastAsia" w:ascii="宋体"/>
          <w:color w:val="auto"/>
          <w:kern w:val="0"/>
          <w:sz w:val="32"/>
          <w:szCs w:val="32"/>
          <w:highlight w:val="none"/>
        </w:rPr>
        <w:t>年0</w:t>
      </w:r>
      <w:r>
        <w:rPr>
          <w:rFonts w:hint="eastAsia" w:ascii="宋体"/>
          <w:color w:val="auto"/>
          <w:kern w:val="0"/>
          <w:sz w:val="32"/>
          <w:szCs w:val="32"/>
          <w:highlight w:val="none"/>
          <w:lang w:val="en-US" w:eastAsia="zh-CN"/>
        </w:rPr>
        <w:t>9月</w:t>
      </w:r>
    </w:p>
    <w:p>
      <w:pPr>
        <w:widowControl/>
        <w:jc w:val="left"/>
        <w:rPr>
          <w:color w:val="auto"/>
          <w:highlight w:val="none"/>
        </w:rPr>
      </w:pPr>
      <w:r>
        <w:rPr>
          <w:color w:val="auto"/>
          <w:highlight w:val="none"/>
        </w:rPr>
        <w:br w:type="page"/>
      </w:r>
    </w:p>
    <w:p>
      <w:pPr>
        <w:jc w:val="center"/>
        <w:rPr>
          <w:color w:val="auto"/>
          <w:sz w:val="48"/>
          <w:szCs w:val="48"/>
          <w:highlight w:val="none"/>
        </w:rPr>
      </w:pPr>
      <w:r>
        <w:rPr>
          <w:rFonts w:hint="eastAsia"/>
          <w:color w:val="auto"/>
          <w:sz w:val="48"/>
          <w:szCs w:val="48"/>
          <w:highlight w:val="none"/>
        </w:rPr>
        <w:t>目 录</w:t>
      </w:r>
    </w:p>
    <w:p>
      <w:pPr>
        <w:pStyle w:val="18"/>
        <w:tabs>
          <w:tab w:val="right" w:leader="dot" w:pos="9412"/>
        </w:tabs>
      </w:pPr>
      <w:r>
        <w:rPr>
          <w:color w:val="auto"/>
          <w:sz w:val="48"/>
          <w:szCs w:val="48"/>
          <w:highlight w:val="none"/>
        </w:rPr>
        <w:fldChar w:fldCharType="begin"/>
      </w:r>
      <w:r>
        <w:rPr>
          <w:color w:val="auto"/>
          <w:sz w:val="48"/>
          <w:szCs w:val="48"/>
          <w:highlight w:val="none"/>
        </w:rPr>
        <w:instrText xml:space="preserve"> </w:instrText>
      </w:r>
      <w:r>
        <w:rPr>
          <w:rFonts w:hint="eastAsia"/>
          <w:color w:val="auto"/>
          <w:sz w:val="48"/>
          <w:szCs w:val="48"/>
          <w:highlight w:val="none"/>
        </w:rPr>
        <w:instrText xml:space="preserve">TOC \o "1-2" \h \z \u</w:instrText>
      </w:r>
      <w:r>
        <w:rPr>
          <w:color w:val="auto"/>
          <w:sz w:val="48"/>
          <w:szCs w:val="48"/>
          <w:highlight w:val="none"/>
        </w:rPr>
        <w:instrText xml:space="preserve"> </w:instrText>
      </w:r>
      <w:r>
        <w:rPr>
          <w:color w:val="auto"/>
          <w:sz w:val="48"/>
          <w:szCs w:val="48"/>
          <w:highlight w:val="none"/>
        </w:rPr>
        <w:fldChar w:fldCharType="separate"/>
      </w:r>
      <w:r>
        <w:rPr>
          <w:color w:val="auto"/>
          <w:szCs w:val="48"/>
          <w:highlight w:val="none"/>
        </w:rPr>
        <w:fldChar w:fldCharType="begin"/>
      </w:r>
      <w:r>
        <w:rPr>
          <w:szCs w:val="48"/>
          <w:highlight w:val="none"/>
        </w:rPr>
        <w:instrText xml:space="preserve"> HYPERLINK \l _Toc29934 </w:instrText>
      </w:r>
      <w:r>
        <w:rPr>
          <w:szCs w:val="48"/>
          <w:highlight w:val="none"/>
        </w:rPr>
        <w:fldChar w:fldCharType="separate"/>
      </w:r>
      <w:r>
        <w:rPr>
          <w:rFonts w:hint="eastAsia" w:ascii="宋体" w:hAnsi="宋体"/>
          <w:szCs w:val="36"/>
          <w:highlight w:val="none"/>
        </w:rPr>
        <w:t>第一章</w:t>
      </w:r>
      <w:r>
        <w:rPr>
          <w:rFonts w:hint="eastAsia" w:ascii="宋体" w:hAnsi="宋体"/>
          <w:szCs w:val="36"/>
          <w:highlight w:val="none"/>
          <w:lang w:val="en-US" w:eastAsia="zh-CN"/>
        </w:rPr>
        <w:t xml:space="preserve"> </w:t>
      </w:r>
      <w:r>
        <w:rPr>
          <w:rFonts w:hint="eastAsia" w:ascii="宋体" w:hAnsi="宋体"/>
          <w:szCs w:val="36"/>
          <w:highlight w:val="none"/>
        </w:rPr>
        <w:t>竞争性谈判公告</w:t>
      </w:r>
      <w:r>
        <w:tab/>
      </w:r>
      <w:r>
        <w:fldChar w:fldCharType="begin"/>
      </w:r>
      <w:r>
        <w:instrText xml:space="preserve"> PAGEREF _Toc29934 \h </w:instrText>
      </w:r>
      <w:r>
        <w:fldChar w:fldCharType="separate"/>
      </w:r>
      <w:r>
        <w:t>3</w:t>
      </w:r>
      <w:r>
        <w:fldChar w:fldCharType="end"/>
      </w:r>
      <w:r>
        <w:rPr>
          <w:color w:val="auto"/>
          <w:szCs w:val="48"/>
          <w:highlight w:val="none"/>
        </w:rPr>
        <w:fldChar w:fldCharType="end"/>
      </w:r>
    </w:p>
    <w:p>
      <w:pPr>
        <w:pStyle w:val="18"/>
        <w:tabs>
          <w:tab w:val="right" w:leader="dot" w:pos="9412"/>
        </w:tabs>
      </w:pPr>
      <w:r>
        <w:rPr>
          <w:color w:val="auto"/>
          <w:szCs w:val="48"/>
          <w:highlight w:val="none"/>
        </w:rPr>
        <w:fldChar w:fldCharType="begin"/>
      </w:r>
      <w:r>
        <w:rPr>
          <w:szCs w:val="48"/>
          <w:highlight w:val="none"/>
        </w:rPr>
        <w:instrText xml:space="preserve"> HYPERLINK \l _Toc21757 </w:instrText>
      </w:r>
      <w:r>
        <w:rPr>
          <w:szCs w:val="48"/>
          <w:highlight w:val="none"/>
        </w:rPr>
        <w:fldChar w:fldCharType="separate"/>
      </w:r>
      <w:r>
        <w:rPr>
          <w:rFonts w:hint="eastAsia" w:ascii="宋体" w:hAnsi="宋体"/>
          <w:szCs w:val="36"/>
          <w:highlight w:val="none"/>
        </w:rPr>
        <w:t>第二章</w:t>
      </w:r>
      <w:r>
        <w:rPr>
          <w:rFonts w:hint="eastAsia" w:ascii="宋体" w:hAnsi="宋体"/>
          <w:szCs w:val="36"/>
          <w:highlight w:val="none"/>
          <w:lang w:val="en-US" w:eastAsia="zh-CN"/>
        </w:rPr>
        <w:t xml:space="preserve"> </w:t>
      </w:r>
      <w:r>
        <w:rPr>
          <w:rFonts w:hint="eastAsia" w:ascii="宋体" w:hAnsi="宋体"/>
          <w:szCs w:val="36"/>
          <w:highlight w:val="none"/>
        </w:rPr>
        <w:t>谈判</w:t>
      </w:r>
      <w:r>
        <w:rPr>
          <w:rFonts w:hint="eastAsia" w:ascii="宋体" w:hAnsi="宋体"/>
          <w:szCs w:val="36"/>
          <w:highlight w:val="none"/>
          <w:lang w:eastAsia="zh-CN"/>
        </w:rPr>
        <w:t>需求</w:t>
      </w:r>
      <w:r>
        <w:tab/>
      </w:r>
      <w:r>
        <w:fldChar w:fldCharType="begin"/>
      </w:r>
      <w:r>
        <w:instrText xml:space="preserve"> PAGEREF _Toc21757 \h </w:instrText>
      </w:r>
      <w:r>
        <w:fldChar w:fldCharType="separate"/>
      </w:r>
      <w:r>
        <w:t>5</w:t>
      </w:r>
      <w:r>
        <w:fldChar w:fldCharType="end"/>
      </w:r>
      <w:r>
        <w:rPr>
          <w:color w:val="auto"/>
          <w:szCs w:val="48"/>
          <w:highlight w:val="none"/>
        </w:rPr>
        <w:fldChar w:fldCharType="end"/>
      </w:r>
    </w:p>
    <w:p>
      <w:pPr>
        <w:pStyle w:val="18"/>
        <w:tabs>
          <w:tab w:val="right" w:leader="dot" w:pos="9412"/>
        </w:tabs>
      </w:pPr>
      <w:r>
        <w:rPr>
          <w:color w:val="auto"/>
          <w:szCs w:val="48"/>
          <w:highlight w:val="none"/>
        </w:rPr>
        <w:fldChar w:fldCharType="begin"/>
      </w:r>
      <w:r>
        <w:rPr>
          <w:szCs w:val="48"/>
          <w:highlight w:val="none"/>
        </w:rPr>
        <w:instrText xml:space="preserve"> HYPERLINK \l _Toc16651 </w:instrText>
      </w:r>
      <w:r>
        <w:rPr>
          <w:szCs w:val="48"/>
          <w:highlight w:val="none"/>
        </w:rPr>
        <w:fldChar w:fldCharType="separate"/>
      </w:r>
      <w:r>
        <w:rPr>
          <w:rFonts w:hint="eastAsia"/>
          <w:szCs w:val="28"/>
        </w:rPr>
        <w:t>第三章　供应商须知前附表</w:t>
      </w:r>
      <w:r>
        <w:tab/>
      </w:r>
      <w:r>
        <w:fldChar w:fldCharType="begin"/>
      </w:r>
      <w:r>
        <w:instrText xml:space="preserve"> PAGEREF _Toc16651 \h </w:instrText>
      </w:r>
      <w:r>
        <w:fldChar w:fldCharType="separate"/>
      </w:r>
      <w:r>
        <w:t>10</w:t>
      </w:r>
      <w:r>
        <w:fldChar w:fldCharType="end"/>
      </w:r>
      <w:r>
        <w:rPr>
          <w:color w:val="auto"/>
          <w:szCs w:val="48"/>
          <w:highlight w:val="none"/>
        </w:rPr>
        <w:fldChar w:fldCharType="end"/>
      </w:r>
    </w:p>
    <w:p>
      <w:pPr>
        <w:pStyle w:val="18"/>
        <w:tabs>
          <w:tab w:val="right" w:leader="dot" w:pos="9412"/>
        </w:tabs>
      </w:pPr>
      <w:r>
        <w:rPr>
          <w:color w:val="auto"/>
          <w:szCs w:val="48"/>
          <w:highlight w:val="none"/>
        </w:rPr>
        <w:fldChar w:fldCharType="begin"/>
      </w:r>
      <w:r>
        <w:rPr>
          <w:szCs w:val="48"/>
          <w:highlight w:val="none"/>
        </w:rPr>
        <w:instrText xml:space="preserve"> HYPERLINK \l _Toc4388 </w:instrText>
      </w:r>
      <w:r>
        <w:rPr>
          <w:szCs w:val="48"/>
          <w:highlight w:val="none"/>
        </w:rPr>
        <w:fldChar w:fldCharType="separate"/>
      </w:r>
      <w:r>
        <w:rPr>
          <w:rFonts w:hint="eastAsia"/>
          <w:szCs w:val="28"/>
          <w:lang w:eastAsia="zh-CN"/>
        </w:rPr>
        <w:t>第四章</w:t>
      </w:r>
      <w:r>
        <w:rPr>
          <w:rFonts w:hint="eastAsia"/>
          <w:szCs w:val="28"/>
          <w:lang w:val="en-US" w:eastAsia="zh-CN"/>
        </w:rPr>
        <w:t xml:space="preserve"> </w:t>
      </w:r>
      <w:r>
        <w:rPr>
          <w:rFonts w:hint="eastAsia"/>
          <w:szCs w:val="28"/>
        </w:rPr>
        <w:t xml:space="preserve"> 政府采购合同主要条款指引</w:t>
      </w:r>
      <w:r>
        <w:tab/>
      </w:r>
      <w:r>
        <w:fldChar w:fldCharType="begin"/>
      </w:r>
      <w:r>
        <w:instrText xml:space="preserve"> PAGEREF _Toc4388 \h </w:instrText>
      </w:r>
      <w:r>
        <w:fldChar w:fldCharType="separate"/>
      </w:r>
      <w:r>
        <w:t>19</w:t>
      </w:r>
      <w:r>
        <w:fldChar w:fldCharType="end"/>
      </w:r>
      <w:r>
        <w:rPr>
          <w:color w:val="auto"/>
          <w:szCs w:val="48"/>
          <w:highlight w:val="none"/>
        </w:rPr>
        <w:fldChar w:fldCharType="end"/>
      </w:r>
    </w:p>
    <w:p>
      <w:pPr>
        <w:pStyle w:val="18"/>
        <w:tabs>
          <w:tab w:val="right" w:leader="dot" w:pos="9412"/>
        </w:tabs>
      </w:pPr>
      <w:r>
        <w:rPr>
          <w:color w:val="auto"/>
          <w:szCs w:val="48"/>
          <w:highlight w:val="none"/>
        </w:rPr>
        <w:fldChar w:fldCharType="begin"/>
      </w:r>
      <w:r>
        <w:rPr>
          <w:szCs w:val="48"/>
          <w:highlight w:val="none"/>
        </w:rPr>
        <w:instrText xml:space="preserve"> HYPERLINK \l _Toc31039 </w:instrText>
      </w:r>
      <w:r>
        <w:rPr>
          <w:szCs w:val="48"/>
          <w:highlight w:val="none"/>
        </w:rPr>
        <w:fldChar w:fldCharType="separate"/>
      </w:r>
      <w:r>
        <w:rPr>
          <w:rFonts w:hint="eastAsia"/>
          <w:szCs w:val="28"/>
        </w:rPr>
        <w:t>第五章</w:t>
      </w:r>
      <w:r>
        <w:rPr>
          <w:rFonts w:hint="eastAsia"/>
          <w:szCs w:val="28"/>
          <w:lang w:val="en-US" w:eastAsia="zh-CN"/>
        </w:rPr>
        <w:t xml:space="preserve"> </w:t>
      </w:r>
      <w:r>
        <w:rPr>
          <w:rFonts w:hint="eastAsia"/>
          <w:szCs w:val="28"/>
        </w:rPr>
        <w:t>谈判响应文件格式附件</w:t>
      </w:r>
      <w:r>
        <w:tab/>
      </w:r>
      <w:r>
        <w:fldChar w:fldCharType="begin"/>
      </w:r>
      <w:r>
        <w:instrText xml:space="preserve"> PAGEREF _Toc31039 \h </w:instrText>
      </w:r>
      <w:r>
        <w:fldChar w:fldCharType="separate"/>
      </w:r>
      <w:r>
        <w:t>27</w:t>
      </w:r>
      <w:r>
        <w:fldChar w:fldCharType="end"/>
      </w:r>
      <w:r>
        <w:rPr>
          <w:color w:val="auto"/>
          <w:szCs w:val="48"/>
          <w:highlight w:val="none"/>
        </w:rPr>
        <w:fldChar w:fldCharType="end"/>
      </w:r>
    </w:p>
    <w:p>
      <w:pPr>
        <w:jc w:val="left"/>
        <w:rPr>
          <w:color w:val="auto"/>
          <w:sz w:val="48"/>
          <w:szCs w:val="48"/>
          <w:highlight w:val="none"/>
        </w:rPr>
      </w:pPr>
      <w:r>
        <w:rPr>
          <w:color w:val="auto"/>
          <w:szCs w:val="48"/>
          <w:highlight w:val="none"/>
        </w:rPr>
        <w:fldChar w:fldCharType="end"/>
      </w:r>
    </w:p>
    <w:p>
      <w:pPr>
        <w:widowControl/>
        <w:jc w:val="left"/>
        <w:rPr>
          <w:color w:val="auto"/>
          <w:sz w:val="48"/>
          <w:szCs w:val="48"/>
          <w:highlight w:val="none"/>
        </w:rPr>
      </w:pPr>
    </w:p>
    <w:p>
      <w:pPr>
        <w:pStyle w:val="10"/>
        <w:rPr>
          <w:color w:val="auto"/>
          <w:sz w:val="48"/>
          <w:szCs w:val="48"/>
          <w:highlight w:val="none"/>
        </w:rPr>
      </w:pPr>
    </w:p>
    <w:p>
      <w:pPr>
        <w:pStyle w:val="19"/>
        <w:rPr>
          <w:color w:val="auto"/>
          <w:sz w:val="48"/>
          <w:szCs w:val="48"/>
          <w:highlight w:val="none"/>
        </w:rPr>
      </w:pPr>
    </w:p>
    <w:p>
      <w:pPr>
        <w:rPr>
          <w:color w:val="auto"/>
          <w:sz w:val="48"/>
          <w:szCs w:val="48"/>
          <w:highlight w:val="none"/>
        </w:rPr>
      </w:pPr>
    </w:p>
    <w:p>
      <w:pPr>
        <w:pStyle w:val="10"/>
        <w:rPr>
          <w:color w:val="auto"/>
          <w:sz w:val="48"/>
          <w:szCs w:val="48"/>
          <w:highlight w:val="none"/>
        </w:rPr>
      </w:pPr>
    </w:p>
    <w:p>
      <w:pPr>
        <w:pStyle w:val="19"/>
        <w:rPr>
          <w:color w:val="auto"/>
          <w:sz w:val="48"/>
          <w:szCs w:val="48"/>
          <w:highlight w:val="none"/>
        </w:rPr>
      </w:pPr>
    </w:p>
    <w:p>
      <w:pPr>
        <w:rPr>
          <w:color w:val="auto"/>
          <w:sz w:val="48"/>
          <w:szCs w:val="48"/>
          <w:highlight w:val="none"/>
        </w:rPr>
      </w:pPr>
    </w:p>
    <w:p>
      <w:pPr>
        <w:pStyle w:val="10"/>
        <w:rPr>
          <w:color w:val="auto"/>
          <w:sz w:val="48"/>
          <w:szCs w:val="48"/>
          <w:highlight w:val="none"/>
        </w:rPr>
      </w:pPr>
    </w:p>
    <w:p>
      <w:pPr>
        <w:pStyle w:val="19"/>
        <w:rPr>
          <w:color w:val="auto"/>
          <w:sz w:val="48"/>
          <w:szCs w:val="48"/>
          <w:highlight w:val="none"/>
        </w:rPr>
      </w:pPr>
    </w:p>
    <w:p>
      <w:pPr>
        <w:rPr>
          <w:color w:val="auto"/>
          <w:sz w:val="48"/>
          <w:szCs w:val="48"/>
          <w:highlight w:val="none"/>
        </w:rPr>
      </w:pPr>
    </w:p>
    <w:p>
      <w:pPr>
        <w:pStyle w:val="10"/>
        <w:rPr>
          <w:color w:val="auto"/>
          <w:sz w:val="48"/>
          <w:szCs w:val="48"/>
          <w:highlight w:val="none"/>
        </w:rPr>
      </w:pPr>
    </w:p>
    <w:p>
      <w:pPr>
        <w:pStyle w:val="19"/>
        <w:rPr>
          <w:color w:val="auto"/>
          <w:highlight w:val="none"/>
        </w:rPr>
      </w:pPr>
    </w:p>
    <w:p>
      <w:pPr>
        <w:pStyle w:val="4"/>
        <w:spacing w:before="0" w:after="0" w:line="360" w:lineRule="auto"/>
        <w:jc w:val="center"/>
        <w:rPr>
          <w:rFonts w:ascii="宋体" w:hAnsi="宋体"/>
          <w:color w:val="auto"/>
          <w:sz w:val="36"/>
          <w:szCs w:val="36"/>
          <w:highlight w:val="none"/>
        </w:rPr>
      </w:pPr>
      <w:r>
        <w:rPr>
          <w:rFonts w:hint="eastAsia" w:ascii="宋体" w:hAnsi="宋体"/>
          <w:color w:val="auto"/>
          <w:sz w:val="36"/>
          <w:szCs w:val="36"/>
          <w:highlight w:val="none"/>
        </w:rPr>
        <w:br w:type="page"/>
      </w:r>
      <w:bookmarkStart w:id="0" w:name="_Toc29934"/>
      <w:r>
        <w:rPr>
          <w:rFonts w:hint="eastAsia" w:ascii="宋体" w:hAnsi="宋体"/>
          <w:color w:val="auto"/>
          <w:sz w:val="36"/>
          <w:szCs w:val="36"/>
          <w:highlight w:val="none"/>
        </w:rPr>
        <w:t>第一章</w:t>
      </w:r>
      <w:r>
        <w:rPr>
          <w:rFonts w:hint="eastAsia" w:ascii="宋体" w:hAnsi="宋体"/>
          <w:color w:val="auto"/>
          <w:sz w:val="36"/>
          <w:szCs w:val="36"/>
          <w:highlight w:val="none"/>
          <w:lang w:val="en-US" w:eastAsia="zh-CN"/>
        </w:rPr>
        <w:t xml:space="preserve"> </w:t>
      </w:r>
      <w:bookmarkStart w:id="13" w:name="_GoBack"/>
      <w:r>
        <w:rPr>
          <w:rFonts w:hint="eastAsia" w:ascii="宋体" w:hAnsi="宋体"/>
          <w:color w:val="auto"/>
          <w:sz w:val="36"/>
          <w:szCs w:val="36"/>
          <w:highlight w:val="none"/>
        </w:rPr>
        <w:t>竞争性谈判公告</w:t>
      </w:r>
      <w:bookmarkEnd w:id="0"/>
      <w:bookmarkEnd w:id="13"/>
    </w:p>
    <w:p>
      <w:pPr>
        <w:widowControl/>
        <w:spacing w:line="360" w:lineRule="auto"/>
        <w:ind w:firstLine="540"/>
        <w:jc w:val="left"/>
        <w:rPr>
          <w:rFonts w:ascii="宋体"/>
          <w:color w:val="auto"/>
          <w:sz w:val="24"/>
          <w:szCs w:val="24"/>
          <w:highlight w:val="none"/>
        </w:rPr>
      </w:pPr>
      <w:r>
        <w:rPr>
          <w:rFonts w:hint="eastAsia" w:ascii="宋体"/>
          <w:color w:val="auto"/>
          <w:sz w:val="24"/>
          <w:szCs w:val="24"/>
          <w:highlight w:val="none"/>
        </w:rPr>
        <w:t>根据《政府采购非招标采购方式管理办法》等有关规定，</w:t>
      </w:r>
      <w:r>
        <w:rPr>
          <w:rFonts w:hint="eastAsia" w:ascii="宋体"/>
          <w:color w:val="auto"/>
          <w:sz w:val="24"/>
          <w:szCs w:val="24"/>
          <w:highlight w:val="none"/>
          <w:u w:val="single"/>
          <w:lang w:eastAsia="zh-CN"/>
        </w:rPr>
        <w:t>泾清项目管理有限公司</w:t>
      </w:r>
      <w:r>
        <w:rPr>
          <w:rFonts w:hint="eastAsia" w:ascii="宋体"/>
          <w:color w:val="auto"/>
          <w:sz w:val="24"/>
          <w:szCs w:val="24"/>
          <w:highlight w:val="none"/>
        </w:rPr>
        <w:t>受</w:t>
      </w:r>
      <w:r>
        <w:rPr>
          <w:rFonts w:hint="eastAsia" w:ascii="宋体"/>
          <w:color w:val="auto"/>
          <w:sz w:val="24"/>
          <w:szCs w:val="24"/>
          <w:highlight w:val="none"/>
          <w:u w:val="single"/>
          <w:lang w:eastAsia="zh-CN"/>
        </w:rPr>
        <w:t>三门县滨海科技城开发建设有限公司</w:t>
      </w:r>
      <w:r>
        <w:rPr>
          <w:rFonts w:hint="eastAsia" w:ascii="宋体"/>
          <w:color w:val="auto"/>
          <w:sz w:val="24"/>
          <w:szCs w:val="24"/>
          <w:highlight w:val="none"/>
        </w:rPr>
        <w:t>的委托，就</w:t>
      </w:r>
      <w:r>
        <w:rPr>
          <w:rFonts w:hint="eastAsia" w:ascii="宋体"/>
          <w:color w:val="auto"/>
          <w:sz w:val="24"/>
          <w:szCs w:val="24"/>
          <w:highlight w:val="none"/>
          <w:u w:val="single"/>
          <w:lang w:eastAsia="zh-CN"/>
        </w:rPr>
        <w:t>三门县高新技术企业孵化园服务提升工程二期（浙江三门经济开发区党群服务中心）配套设备采购项目</w:t>
      </w:r>
      <w:r>
        <w:rPr>
          <w:rFonts w:hint="eastAsia" w:ascii="宋体"/>
          <w:color w:val="auto"/>
          <w:sz w:val="24"/>
          <w:szCs w:val="24"/>
          <w:highlight w:val="none"/>
        </w:rPr>
        <w:t>进行竞争性谈判，欢迎国内合格的供应商前来参加谈判。</w:t>
      </w:r>
    </w:p>
    <w:p>
      <w:pPr>
        <w:snapToGrid w:val="0"/>
        <w:spacing w:line="440" w:lineRule="atLeast"/>
        <w:rPr>
          <w:rFonts w:ascii="宋体"/>
          <w:color w:val="auto"/>
          <w:sz w:val="24"/>
          <w:szCs w:val="24"/>
          <w:highlight w:val="none"/>
        </w:rPr>
      </w:pPr>
      <w:r>
        <w:rPr>
          <w:rFonts w:hint="eastAsia" w:ascii="宋体" w:hAnsi="宋体"/>
          <w:b/>
          <w:color w:val="auto"/>
          <w:sz w:val="24"/>
          <w:szCs w:val="24"/>
          <w:highlight w:val="none"/>
        </w:rPr>
        <w:t>一、谈判项目采购组织</w:t>
      </w:r>
      <w:bookmarkStart w:id="1" w:name="OLE_LINK1"/>
      <w:r>
        <w:rPr>
          <w:rFonts w:hint="eastAsia" w:ascii="宋体" w:hAnsi="宋体"/>
          <w:b/>
          <w:color w:val="auto"/>
          <w:sz w:val="24"/>
          <w:szCs w:val="24"/>
          <w:highlight w:val="none"/>
        </w:rPr>
        <w:t>类型：</w:t>
      </w:r>
      <w:bookmarkEnd w:id="1"/>
      <w:r>
        <w:rPr>
          <w:rFonts w:hint="eastAsia" w:ascii="宋体"/>
          <w:color w:val="auto"/>
          <w:sz w:val="24"/>
          <w:szCs w:val="24"/>
          <w:highlight w:val="none"/>
        </w:rPr>
        <w:t>自行采购-分散委托采购</w:t>
      </w:r>
    </w:p>
    <w:p>
      <w:pPr>
        <w:snapToGrid w:val="0"/>
        <w:spacing w:line="440" w:lineRule="atLeast"/>
        <w:rPr>
          <w:rFonts w:ascii="宋体"/>
          <w:color w:val="auto"/>
          <w:sz w:val="24"/>
          <w:szCs w:val="24"/>
          <w:highlight w:val="none"/>
        </w:rPr>
      </w:pPr>
      <w:r>
        <w:rPr>
          <w:rFonts w:hint="eastAsia" w:ascii="宋体" w:hAnsi="宋体"/>
          <w:b/>
          <w:color w:val="auto"/>
          <w:sz w:val="24"/>
          <w:szCs w:val="24"/>
          <w:highlight w:val="none"/>
        </w:rPr>
        <w:t>二、招标项目概况</w:t>
      </w:r>
      <w:r>
        <w:rPr>
          <w:rFonts w:hint="eastAsia" w:ascii="宋体"/>
          <w:color w:val="auto"/>
          <w:sz w:val="24"/>
          <w:szCs w:val="24"/>
          <w:highlight w:val="none"/>
        </w:rPr>
        <w:t>:</w:t>
      </w:r>
      <w:bookmarkStart w:id="2" w:name="B10_招标内容"/>
      <w:bookmarkEnd w:id="2"/>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860"/>
        <w:gridCol w:w="600"/>
        <w:gridCol w:w="375"/>
        <w:gridCol w:w="1215"/>
        <w:gridCol w:w="4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53"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line="240" w:lineRule="auto"/>
              <w:ind w:right="0"/>
              <w:jc w:val="center"/>
              <w:textAlignment w:val="auto"/>
              <w:rPr>
                <w:rFonts w:ascii="宋体" w:hAnsi="宋体" w:cs="Calibri"/>
                <w:b/>
                <w:color w:val="000000"/>
                <w:sz w:val="24"/>
                <w:szCs w:val="24"/>
              </w:rPr>
            </w:pPr>
            <w:r>
              <w:rPr>
                <w:rFonts w:hint="eastAsia" w:ascii="宋体" w:hAnsi="宋体" w:cs="Calibri"/>
                <w:b/>
                <w:color w:val="000000"/>
                <w:sz w:val="24"/>
                <w:szCs w:val="24"/>
                <w:lang w:val="en-US" w:eastAsia="zh-CN"/>
              </w:rPr>
              <w:t>序号</w:t>
            </w:r>
          </w:p>
        </w:tc>
        <w:tc>
          <w:tcPr>
            <w:tcW w:w="1860"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line="240" w:lineRule="auto"/>
              <w:ind w:right="0"/>
              <w:jc w:val="center"/>
              <w:textAlignment w:val="auto"/>
              <w:rPr>
                <w:rFonts w:hint="default" w:ascii="宋体" w:hAnsi="宋体" w:eastAsia="宋体" w:cs="Calibri"/>
                <w:b/>
                <w:color w:val="000000"/>
                <w:sz w:val="24"/>
                <w:szCs w:val="24"/>
                <w:lang w:val="en-US" w:eastAsia="zh-CN"/>
              </w:rPr>
            </w:pPr>
            <w:r>
              <w:rPr>
                <w:rFonts w:hint="eastAsia" w:ascii="宋体" w:hAnsi="宋体" w:cs="Calibri"/>
                <w:b/>
                <w:color w:val="000000"/>
                <w:sz w:val="24"/>
                <w:szCs w:val="24"/>
                <w:lang w:val="en-US" w:eastAsia="zh-CN"/>
              </w:rPr>
              <w:t>采购内容</w:t>
            </w:r>
          </w:p>
        </w:tc>
        <w:tc>
          <w:tcPr>
            <w:tcW w:w="600"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line="240" w:lineRule="auto"/>
              <w:ind w:right="0"/>
              <w:jc w:val="center"/>
              <w:textAlignment w:val="auto"/>
              <w:rPr>
                <w:rFonts w:ascii="宋体" w:hAnsi="宋体" w:cs="Calibri"/>
                <w:b/>
                <w:color w:val="000000"/>
                <w:sz w:val="24"/>
                <w:szCs w:val="24"/>
              </w:rPr>
            </w:pPr>
            <w:r>
              <w:rPr>
                <w:rFonts w:hint="eastAsia" w:ascii="宋体" w:hAnsi="宋体" w:cs="Calibri"/>
                <w:b/>
                <w:color w:val="000000"/>
                <w:sz w:val="24"/>
                <w:szCs w:val="24"/>
              </w:rPr>
              <w:t>数量</w:t>
            </w:r>
          </w:p>
        </w:tc>
        <w:tc>
          <w:tcPr>
            <w:tcW w:w="375"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line="240" w:lineRule="auto"/>
              <w:ind w:right="0"/>
              <w:jc w:val="center"/>
              <w:textAlignment w:val="auto"/>
              <w:rPr>
                <w:rFonts w:ascii="宋体" w:hAnsi="宋体" w:cs="Calibri"/>
                <w:b/>
                <w:color w:val="000000"/>
                <w:sz w:val="24"/>
                <w:szCs w:val="24"/>
              </w:rPr>
            </w:pPr>
            <w:r>
              <w:rPr>
                <w:rFonts w:hint="eastAsia" w:ascii="宋体" w:hAnsi="宋体" w:cs="Calibri"/>
                <w:b/>
                <w:color w:val="000000"/>
                <w:sz w:val="24"/>
                <w:szCs w:val="24"/>
              </w:rPr>
              <w:t>单位</w:t>
            </w:r>
          </w:p>
        </w:tc>
        <w:tc>
          <w:tcPr>
            <w:tcW w:w="1215"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line="240" w:lineRule="auto"/>
              <w:ind w:right="0"/>
              <w:jc w:val="center"/>
              <w:textAlignment w:val="auto"/>
              <w:rPr>
                <w:rFonts w:hint="default" w:ascii="宋体" w:hAnsi="宋体" w:eastAsia="宋体" w:cs="Calibri"/>
                <w:b/>
                <w:color w:val="000000"/>
                <w:sz w:val="24"/>
                <w:szCs w:val="24"/>
                <w:lang w:val="en-US" w:eastAsia="zh-CN"/>
              </w:rPr>
            </w:pPr>
            <w:r>
              <w:rPr>
                <w:rFonts w:hint="eastAsia" w:ascii="宋体" w:hAnsi="宋体" w:cs="Calibri"/>
                <w:b/>
                <w:color w:val="000000"/>
                <w:sz w:val="24"/>
                <w:szCs w:val="24"/>
              </w:rPr>
              <w:t>预算</w:t>
            </w:r>
            <w:r>
              <w:rPr>
                <w:rFonts w:hint="eastAsia" w:ascii="宋体" w:hAnsi="宋体" w:cs="Calibri"/>
                <w:b/>
                <w:color w:val="000000"/>
                <w:sz w:val="24"/>
                <w:szCs w:val="24"/>
                <w:lang w:val="en-US" w:eastAsia="zh-CN"/>
              </w:rPr>
              <w:t>价</w:t>
            </w:r>
          </w:p>
        </w:tc>
        <w:tc>
          <w:tcPr>
            <w:tcW w:w="4593"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line="240" w:lineRule="auto"/>
              <w:ind w:right="0"/>
              <w:jc w:val="center"/>
              <w:textAlignment w:val="auto"/>
              <w:rPr>
                <w:rFonts w:hint="eastAsia" w:ascii="宋体" w:hAnsi="宋体" w:cs="Calibri"/>
                <w:b/>
                <w:color w:val="000000"/>
                <w:sz w:val="24"/>
                <w:szCs w:val="24"/>
              </w:rPr>
            </w:pPr>
            <w:r>
              <w:rPr>
                <w:rFonts w:hint="eastAsia" w:ascii="宋体" w:hAnsi="宋体" w:cs="Calibri"/>
                <w:b/>
                <w:color w:val="000000"/>
                <w:sz w:val="24"/>
                <w:szCs w:val="24"/>
                <w:lang w:val="en-US" w:eastAsia="zh-CN"/>
              </w:rPr>
              <w:t>供货</w:t>
            </w:r>
            <w:r>
              <w:rPr>
                <w:rFonts w:hint="eastAsia" w:ascii="宋体" w:hAnsi="宋体" w:cs="Calibri"/>
                <w:b/>
                <w:color w:val="000000"/>
                <w:sz w:val="24"/>
                <w:szCs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553" w:type="dxa"/>
            <w:noWrap w:val="0"/>
            <w:vAlign w:val="center"/>
          </w:tcPr>
          <w:p>
            <w:pPr>
              <w:tabs>
                <w:tab w:val="left" w:pos="8280"/>
              </w:tabs>
              <w:autoSpaceDE w:val="0"/>
              <w:autoSpaceDN w:val="0"/>
              <w:adjustRightInd w:val="0"/>
              <w:spacing w:line="240" w:lineRule="auto"/>
              <w:ind w:right="25"/>
              <w:jc w:val="center"/>
              <w:rPr>
                <w:rFonts w:ascii="宋体" w:hAnsi="宋体" w:cs="Calibri"/>
                <w:color w:val="000000"/>
                <w:sz w:val="24"/>
                <w:szCs w:val="24"/>
              </w:rPr>
            </w:pPr>
            <w:r>
              <w:rPr>
                <w:rFonts w:hint="eastAsia" w:ascii="宋体" w:hAnsi="宋体" w:cs="Calibri"/>
                <w:color w:val="000000"/>
                <w:sz w:val="24"/>
                <w:szCs w:val="24"/>
              </w:rPr>
              <w:t>1</w:t>
            </w:r>
          </w:p>
        </w:tc>
        <w:tc>
          <w:tcPr>
            <w:tcW w:w="1860" w:type="dxa"/>
            <w:noWrap w:val="0"/>
            <w:vAlign w:val="center"/>
          </w:tcPr>
          <w:p>
            <w:pPr>
              <w:tabs>
                <w:tab w:val="left" w:pos="8280"/>
              </w:tabs>
              <w:autoSpaceDE w:val="0"/>
              <w:autoSpaceDN w:val="0"/>
              <w:adjustRightInd w:val="0"/>
              <w:spacing w:line="240" w:lineRule="auto"/>
              <w:ind w:right="25"/>
              <w:jc w:val="center"/>
              <w:rPr>
                <w:rFonts w:hint="eastAsia" w:ascii="宋体" w:hAnsi="宋体" w:eastAsia="宋体" w:cs="Calibri"/>
                <w:color w:val="000000"/>
                <w:sz w:val="24"/>
                <w:szCs w:val="24"/>
                <w:lang w:eastAsia="zh-CN"/>
              </w:rPr>
            </w:pPr>
            <w:r>
              <w:rPr>
                <w:rFonts w:hint="eastAsia" w:ascii="宋体" w:hAnsi="宋体" w:cs="Calibri"/>
                <w:color w:val="000000"/>
                <w:sz w:val="24"/>
                <w:szCs w:val="24"/>
                <w:lang w:eastAsia="zh-CN"/>
              </w:rPr>
              <w:t>室内P1.8全彩显示屏、触控一体机4台、曲面屏和中控设备若干</w:t>
            </w:r>
          </w:p>
        </w:tc>
        <w:tc>
          <w:tcPr>
            <w:tcW w:w="600" w:type="dxa"/>
            <w:noWrap w:val="0"/>
            <w:vAlign w:val="center"/>
          </w:tcPr>
          <w:p>
            <w:pPr>
              <w:tabs>
                <w:tab w:val="left" w:pos="8280"/>
              </w:tabs>
              <w:autoSpaceDE w:val="0"/>
              <w:autoSpaceDN w:val="0"/>
              <w:adjustRightInd w:val="0"/>
              <w:spacing w:line="240" w:lineRule="auto"/>
              <w:ind w:right="25"/>
              <w:jc w:val="center"/>
              <w:rPr>
                <w:rFonts w:hint="eastAsia" w:ascii="宋体" w:hAnsi="宋体" w:cs="Calibri"/>
                <w:color w:val="000000"/>
                <w:sz w:val="24"/>
                <w:szCs w:val="24"/>
              </w:rPr>
            </w:pPr>
            <w:r>
              <w:rPr>
                <w:rFonts w:hint="eastAsia" w:ascii="宋体" w:hAnsi="宋体" w:cs="Calibri"/>
                <w:color w:val="000000"/>
                <w:sz w:val="24"/>
                <w:szCs w:val="24"/>
              </w:rPr>
              <w:t>1</w:t>
            </w:r>
          </w:p>
        </w:tc>
        <w:tc>
          <w:tcPr>
            <w:tcW w:w="375" w:type="dxa"/>
            <w:noWrap w:val="0"/>
            <w:vAlign w:val="center"/>
          </w:tcPr>
          <w:p>
            <w:pPr>
              <w:widowControl/>
              <w:spacing w:line="240" w:lineRule="auto"/>
              <w:jc w:val="center"/>
              <w:rPr>
                <w:rFonts w:hint="eastAsia" w:ascii="宋体" w:hAnsi="宋体" w:eastAsia="宋体" w:cs="Calibri"/>
                <w:color w:val="000000"/>
                <w:sz w:val="24"/>
                <w:szCs w:val="24"/>
                <w:lang w:eastAsia="zh-CN"/>
              </w:rPr>
            </w:pPr>
            <w:r>
              <w:rPr>
                <w:rFonts w:hint="eastAsia" w:ascii="宋体" w:hAnsi="宋体" w:cs="Calibri"/>
                <w:color w:val="000000"/>
                <w:sz w:val="24"/>
                <w:szCs w:val="24"/>
                <w:lang w:val="en-US" w:eastAsia="zh-CN"/>
              </w:rPr>
              <w:t>批</w:t>
            </w:r>
          </w:p>
        </w:tc>
        <w:tc>
          <w:tcPr>
            <w:tcW w:w="1215" w:type="dxa"/>
            <w:noWrap w:val="0"/>
            <w:vAlign w:val="center"/>
          </w:tcPr>
          <w:p>
            <w:pPr>
              <w:tabs>
                <w:tab w:val="left" w:pos="8280"/>
              </w:tabs>
              <w:autoSpaceDE w:val="0"/>
              <w:autoSpaceDN w:val="0"/>
              <w:adjustRightInd w:val="0"/>
              <w:spacing w:line="240" w:lineRule="auto"/>
              <w:ind w:right="25"/>
              <w:jc w:val="center"/>
              <w:rPr>
                <w:rFonts w:hint="eastAsia" w:ascii="宋体" w:hAnsi="宋体" w:eastAsia="宋体" w:cs="Calibri"/>
                <w:color w:val="000000"/>
                <w:sz w:val="24"/>
                <w:szCs w:val="24"/>
                <w:lang w:eastAsia="zh-CN"/>
              </w:rPr>
            </w:pPr>
            <w:r>
              <w:rPr>
                <w:rFonts w:hint="eastAsia" w:ascii="宋体" w:hAnsi="宋体" w:cs="Calibri"/>
                <w:color w:val="000000"/>
                <w:sz w:val="24"/>
                <w:szCs w:val="24"/>
                <w:highlight w:val="none"/>
                <w:lang w:val="en-US" w:eastAsia="zh-CN"/>
              </w:rPr>
              <w:t>26万</w:t>
            </w:r>
            <w:r>
              <w:rPr>
                <w:rFonts w:hint="eastAsia" w:ascii="宋体" w:hAnsi="宋体" w:cs="Calibri"/>
                <w:color w:val="000000"/>
                <w:sz w:val="24"/>
                <w:szCs w:val="24"/>
                <w:highlight w:val="none"/>
                <w:lang w:eastAsia="zh-CN"/>
              </w:rPr>
              <w:t>元</w:t>
            </w:r>
          </w:p>
        </w:tc>
        <w:tc>
          <w:tcPr>
            <w:tcW w:w="4593" w:type="dxa"/>
            <w:noWrap w:val="0"/>
            <w:vAlign w:val="center"/>
          </w:tcPr>
          <w:p>
            <w:pPr>
              <w:tabs>
                <w:tab w:val="left" w:pos="8280"/>
              </w:tabs>
              <w:autoSpaceDE w:val="0"/>
              <w:autoSpaceDN w:val="0"/>
              <w:adjustRightInd w:val="0"/>
              <w:spacing w:line="240" w:lineRule="auto"/>
              <w:ind w:right="25"/>
              <w:jc w:val="center"/>
              <w:rPr>
                <w:rFonts w:hint="default" w:ascii="宋体" w:hAnsi="宋体" w:eastAsia="宋体" w:cs="Calibri"/>
                <w:color w:val="000000"/>
                <w:sz w:val="24"/>
                <w:szCs w:val="24"/>
                <w:highlight w:val="none"/>
                <w:lang w:val="en-US" w:eastAsia="zh-CN"/>
              </w:rPr>
            </w:pPr>
            <w:r>
              <w:rPr>
                <w:rFonts w:hint="eastAsia" w:ascii="宋体" w:hAnsi="宋体" w:cs="Calibri"/>
                <w:color w:val="000000"/>
                <w:sz w:val="24"/>
                <w:szCs w:val="24"/>
                <w:highlight w:val="none"/>
                <w:lang w:val="en-US" w:eastAsia="zh-CN"/>
              </w:rPr>
              <w:t xml:space="preserve">在采购人发出供货通知书后不超过 30 日历天（具体按投标承诺的供货时间为准）将所有设备运至采购人指定地点，并对所有设备验收合格，且完成安装、调试、试运行工作，送货费用由供应商负责。 </w:t>
            </w:r>
          </w:p>
        </w:tc>
      </w:tr>
    </w:tbl>
    <w:p>
      <w:pPr>
        <w:snapToGrid w:val="0"/>
        <w:spacing w:line="440" w:lineRule="atLeast"/>
        <w:rPr>
          <w:rFonts w:ascii="宋体" w:hAnsi="宋体"/>
          <w:b/>
          <w:color w:val="auto"/>
          <w:sz w:val="24"/>
          <w:szCs w:val="24"/>
          <w:highlight w:val="none"/>
        </w:rPr>
      </w:pPr>
      <w:r>
        <w:rPr>
          <w:rFonts w:hint="eastAsia" w:ascii="宋体" w:hAnsi="宋体"/>
          <w:b/>
          <w:color w:val="auto"/>
          <w:sz w:val="24"/>
          <w:szCs w:val="24"/>
          <w:highlight w:val="none"/>
          <w:lang w:eastAsia="zh-CN"/>
        </w:rPr>
        <w:t>三</w:t>
      </w:r>
      <w:r>
        <w:rPr>
          <w:rFonts w:hint="eastAsia" w:ascii="宋体" w:hAnsi="宋体"/>
          <w:b/>
          <w:color w:val="auto"/>
          <w:sz w:val="24"/>
          <w:szCs w:val="24"/>
          <w:highlight w:val="none"/>
        </w:rPr>
        <w:t>、</w:t>
      </w:r>
      <w:bookmarkStart w:id="3" w:name="B18_投标供应商的资格要求"/>
      <w:bookmarkEnd w:id="3"/>
      <w:r>
        <w:rPr>
          <w:rFonts w:hint="eastAsia" w:ascii="宋体" w:hAnsi="宋体"/>
          <w:b/>
          <w:color w:val="auto"/>
          <w:sz w:val="24"/>
          <w:szCs w:val="24"/>
          <w:highlight w:val="none"/>
        </w:rPr>
        <w:t>合格谈判供应商的资格要求:</w:t>
      </w:r>
    </w:p>
    <w:p>
      <w:pPr>
        <w:snapToGrid w:val="0"/>
        <w:spacing w:line="440" w:lineRule="atLeast"/>
        <w:ind w:firstLine="480"/>
        <w:rPr>
          <w:rFonts w:hint="eastAsia" w:ascii="宋体" w:eastAsia="宋体" w:cs="Times New Roman"/>
          <w:color w:val="auto"/>
          <w:sz w:val="24"/>
          <w:szCs w:val="24"/>
          <w:highlight w:val="none"/>
          <w:lang w:val="en-US" w:eastAsia="zh-CN"/>
        </w:rPr>
      </w:pPr>
      <w:r>
        <w:rPr>
          <w:rFonts w:hint="eastAsia" w:ascii="宋体" w:eastAsia="宋体" w:cs="Times New Roman"/>
          <w:color w:val="auto"/>
          <w:sz w:val="24"/>
          <w:szCs w:val="24"/>
          <w:highlight w:val="none"/>
          <w:lang w:val="en-US" w:eastAsia="zh-CN"/>
        </w:rPr>
        <w:t>1、</w:t>
      </w:r>
      <w:r>
        <w:rPr>
          <w:rFonts w:hint="eastAsia" w:ascii="宋体" w:eastAsia="宋体" w:cs="Times New Roman"/>
          <w:color w:val="auto"/>
          <w:sz w:val="24"/>
          <w:szCs w:val="24"/>
          <w:highlight w:val="none"/>
          <w:lang w:eastAsia="zh-CN"/>
        </w:rPr>
        <w:t>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440" w:lineRule="atLeast"/>
        <w:ind w:firstLine="480"/>
        <w:rPr>
          <w:rFonts w:hint="default" w:ascii="宋体" w:eastAsia="宋体" w:cs="Times New Roman"/>
          <w:color w:val="auto"/>
          <w:sz w:val="24"/>
          <w:szCs w:val="24"/>
          <w:highlight w:val="none"/>
          <w:lang w:val="en-US" w:eastAsia="zh-CN"/>
        </w:rPr>
      </w:pPr>
      <w:r>
        <w:rPr>
          <w:rFonts w:hint="eastAsia" w:ascii="宋体" w:eastAsia="宋体" w:cs="Times New Roman"/>
          <w:color w:val="auto"/>
          <w:sz w:val="24"/>
          <w:szCs w:val="24"/>
          <w:highlight w:val="none"/>
          <w:lang w:val="en-US" w:eastAsia="zh-CN"/>
        </w:rPr>
        <w:t>2</w:t>
      </w:r>
      <w:r>
        <w:rPr>
          <w:rFonts w:hint="eastAsia" w:ascii="宋体" w:eastAsia="宋体" w:cs="Times New Roman"/>
          <w:color w:val="auto"/>
          <w:sz w:val="24"/>
          <w:szCs w:val="24"/>
          <w:highlight w:val="none"/>
          <w:lang w:eastAsia="zh-CN"/>
        </w:rPr>
        <w:t>、本次招标</w:t>
      </w:r>
      <w:r>
        <w:rPr>
          <w:rFonts w:hint="eastAsia" w:ascii="宋体" w:cs="Times New Roman"/>
          <w:color w:val="auto"/>
          <w:sz w:val="24"/>
          <w:szCs w:val="24"/>
          <w:highlight w:val="none"/>
          <w:lang w:val="en-US" w:eastAsia="zh-CN"/>
        </w:rPr>
        <w:t>资格</w:t>
      </w:r>
      <w:r>
        <w:rPr>
          <w:rFonts w:hint="eastAsia" w:ascii="宋体" w:eastAsia="宋体" w:cs="Times New Roman"/>
          <w:color w:val="auto"/>
          <w:sz w:val="24"/>
          <w:szCs w:val="24"/>
          <w:highlight w:val="none"/>
          <w:lang w:eastAsia="zh-CN"/>
        </w:rPr>
        <w:t>要求</w:t>
      </w:r>
      <w:r>
        <w:rPr>
          <w:rFonts w:hint="eastAsia" w:ascii="宋体" w:cs="Times New Roman"/>
          <w:color w:val="auto"/>
          <w:sz w:val="24"/>
          <w:szCs w:val="24"/>
          <w:highlight w:val="none"/>
          <w:lang w:eastAsia="zh-CN"/>
        </w:rPr>
        <w:t>：</w:t>
      </w:r>
      <w:r>
        <w:rPr>
          <w:rFonts w:hint="eastAsia" w:ascii="宋体" w:cs="Times New Roman"/>
          <w:color w:val="auto"/>
          <w:sz w:val="24"/>
          <w:szCs w:val="24"/>
          <w:highlight w:val="none"/>
          <w:lang w:val="en-US" w:eastAsia="zh-CN"/>
        </w:rPr>
        <w:t xml:space="preserve">无 </w:t>
      </w:r>
      <w:r>
        <w:rPr>
          <w:rFonts w:hint="eastAsia" w:ascii="宋体" w:cs="Times New Roman"/>
          <w:color w:val="auto"/>
          <w:sz w:val="24"/>
          <w:szCs w:val="24"/>
          <w:highlight w:val="none"/>
          <w:lang w:eastAsia="zh-CN"/>
        </w:rPr>
        <w:t>。</w:t>
      </w:r>
    </w:p>
    <w:p>
      <w:pPr>
        <w:snapToGrid w:val="0"/>
        <w:spacing w:line="440" w:lineRule="atLeast"/>
        <w:ind w:firstLine="480"/>
        <w:rPr>
          <w:rFonts w:hint="eastAsia" w:ascii="宋体" w:eastAsia="宋体" w:cs="Times New Roman"/>
          <w:color w:val="auto"/>
          <w:sz w:val="24"/>
          <w:szCs w:val="24"/>
          <w:highlight w:val="none"/>
          <w:lang w:eastAsia="zh-CN"/>
        </w:rPr>
      </w:pPr>
      <w:r>
        <w:rPr>
          <w:rFonts w:hint="eastAsia" w:ascii="宋体" w:eastAsia="宋体" w:cs="Times New Roman"/>
          <w:color w:val="auto"/>
          <w:sz w:val="24"/>
          <w:szCs w:val="24"/>
          <w:highlight w:val="none"/>
          <w:lang w:val="en-US" w:eastAsia="zh-CN"/>
        </w:rPr>
        <w:t>3</w:t>
      </w:r>
      <w:r>
        <w:rPr>
          <w:rFonts w:hint="eastAsia" w:ascii="宋体" w:eastAsia="宋体" w:cs="Times New Roman"/>
          <w:color w:val="auto"/>
          <w:sz w:val="24"/>
          <w:szCs w:val="24"/>
          <w:highlight w:val="none"/>
          <w:lang w:eastAsia="zh-CN"/>
        </w:rPr>
        <w:t>、本项目不接受联合体投标。</w:t>
      </w:r>
    </w:p>
    <w:p>
      <w:pPr>
        <w:snapToGrid w:val="0"/>
        <w:spacing w:line="440" w:lineRule="atLeast"/>
        <w:rPr>
          <w:rFonts w:ascii="宋体" w:hAnsi="宋体"/>
          <w:b/>
          <w:color w:val="auto"/>
          <w:sz w:val="24"/>
          <w:szCs w:val="24"/>
          <w:highlight w:val="none"/>
        </w:rPr>
      </w:pPr>
      <w:r>
        <w:rPr>
          <w:rFonts w:hint="eastAsia" w:ascii="宋体" w:hAnsi="宋体"/>
          <w:b/>
          <w:color w:val="auto"/>
          <w:sz w:val="24"/>
          <w:szCs w:val="24"/>
          <w:highlight w:val="none"/>
        </w:rPr>
        <w:t>四、谈判文件的获取</w:t>
      </w:r>
    </w:p>
    <w:p>
      <w:pPr>
        <w:snapToGrid w:val="0"/>
        <w:spacing w:line="440" w:lineRule="atLeast"/>
        <w:ind w:firstLine="480"/>
        <w:rPr>
          <w:rFonts w:hint="eastAsia" w:ascii="宋体" w:hAnsi="宋体" w:eastAsia="宋体" w:cs="宋体"/>
          <w:color w:val="auto"/>
          <w:kern w:val="0"/>
          <w:sz w:val="24"/>
          <w:szCs w:val="24"/>
          <w:highlight w:val="none"/>
        </w:rPr>
      </w:pPr>
      <w:r>
        <w:rPr>
          <w:rFonts w:ascii="宋体"/>
          <w:color w:val="auto"/>
          <w:sz w:val="24"/>
          <w:szCs w:val="24"/>
          <w:highlight w:val="none"/>
        </w:rPr>
        <w:t>1、</w:t>
      </w:r>
      <w:r>
        <w:rPr>
          <w:rFonts w:hint="eastAsia" w:ascii="宋体" w:hAnsi="宋体" w:eastAsia="宋体" w:cs="宋体"/>
          <w:color w:val="auto"/>
          <w:kern w:val="0"/>
          <w:sz w:val="24"/>
          <w:szCs w:val="24"/>
          <w:highlight w:val="none"/>
        </w:rPr>
        <w:t>本工程实行资格后审，凡有意参加投标者，于公告发布之日起，可通过三门县公共资源交易中心（</w:t>
      </w:r>
      <w:r>
        <w:rPr>
          <w:rFonts w:hint="eastAsia" w:ascii="宋体" w:hAnsi="宋体" w:cs="宋体"/>
          <w:color w:val="auto"/>
          <w:kern w:val="0"/>
          <w:sz w:val="24"/>
          <w:szCs w:val="24"/>
          <w:highlight w:val="none"/>
          <w:lang w:eastAsia="zh-CN"/>
        </w:rPr>
        <w:t>http://www.sanmen.gov.cn/col/col1229610743/index.html</w:t>
      </w:r>
      <w:r>
        <w:rPr>
          <w:rFonts w:hint="eastAsia" w:ascii="宋体" w:hAnsi="宋体" w:eastAsia="宋体" w:cs="宋体"/>
          <w:color w:val="auto"/>
          <w:kern w:val="0"/>
          <w:sz w:val="24"/>
          <w:szCs w:val="24"/>
          <w:highlight w:val="none"/>
        </w:rPr>
        <w:t>）自行下载</w:t>
      </w:r>
      <w:r>
        <w:rPr>
          <w:rFonts w:hint="eastAsia" w:ascii="宋体" w:hAnsi="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文件等。</w:t>
      </w:r>
    </w:p>
    <w:p>
      <w:pPr>
        <w:snapToGrid w:val="0"/>
        <w:spacing w:line="440" w:lineRule="atLeast"/>
        <w:rPr>
          <w:rFonts w:ascii="宋体"/>
          <w:color w:val="auto"/>
          <w:sz w:val="24"/>
          <w:szCs w:val="24"/>
          <w:highlight w:val="none"/>
        </w:rPr>
      </w:pPr>
      <w:r>
        <w:rPr>
          <w:rFonts w:hint="eastAsia" w:ascii="宋体" w:hAnsi="宋体"/>
          <w:b/>
          <w:color w:val="auto"/>
          <w:sz w:val="24"/>
          <w:szCs w:val="24"/>
          <w:highlight w:val="none"/>
          <w:lang w:eastAsia="zh-CN"/>
        </w:rPr>
        <w:t>五</w:t>
      </w:r>
      <w:r>
        <w:rPr>
          <w:rFonts w:hint="eastAsia" w:ascii="宋体" w:hAnsi="宋体"/>
          <w:b/>
          <w:color w:val="auto"/>
          <w:sz w:val="24"/>
          <w:szCs w:val="24"/>
          <w:highlight w:val="none"/>
        </w:rPr>
        <w:t>、</w:t>
      </w:r>
      <w:r>
        <w:rPr>
          <w:rFonts w:hint="eastAsia" w:ascii="宋体" w:hAnsi="宋体"/>
          <w:b/>
          <w:color w:val="auto"/>
          <w:sz w:val="24"/>
          <w:szCs w:val="24"/>
          <w:highlight w:val="none"/>
          <w:lang w:eastAsia="zh-CN"/>
        </w:rPr>
        <w:t>采购响应截止时间及</w:t>
      </w:r>
      <w:r>
        <w:rPr>
          <w:rFonts w:hint="eastAsia" w:ascii="宋体" w:hAnsi="宋体"/>
          <w:b/>
          <w:color w:val="auto"/>
          <w:sz w:val="24"/>
          <w:szCs w:val="24"/>
          <w:highlight w:val="none"/>
        </w:rPr>
        <w:t>开标时间：</w:t>
      </w:r>
      <w:bookmarkStart w:id="4" w:name="B25_投标截止日期"/>
      <w:r>
        <w:rPr>
          <w:rFonts w:hint="eastAsia" w:ascii="宋体"/>
          <w:color w:val="auto"/>
          <w:sz w:val="24"/>
          <w:szCs w:val="24"/>
          <w:highlight w:val="none"/>
        </w:rPr>
        <w:t>202</w:t>
      </w:r>
      <w:r>
        <w:rPr>
          <w:rFonts w:hint="eastAsia" w:ascii="宋体"/>
          <w:color w:val="auto"/>
          <w:sz w:val="24"/>
          <w:szCs w:val="24"/>
          <w:highlight w:val="none"/>
          <w:lang w:val="en-US" w:eastAsia="zh-CN"/>
        </w:rPr>
        <w:t>3</w:t>
      </w:r>
      <w:r>
        <w:rPr>
          <w:rFonts w:hint="eastAsia" w:ascii="宋体"/>
          <w:color w:val="auto"/>
          <w:sz w:val="24"/>
          <w:szCs w:val="24"/>
          <w:highlight w:val="none"/>
        </w:rPr>
        <w:t>年</w:t>
      </w:r>
      <w:r>
        <w:rPr>
          <w:rFonts w:hint="eastAsia" w:ascii="宋体"/>
          <w:color w:val="auto"/>
          <w:sz w:val="24"/>
          <w:szCs w:val="24"/>
          <w:highlight w:val="none"/>
          <w:lang w:val="en-US" w:eastAsia="zh-CN"/>
        </w:rPr>
        <w:t>9</w:t>
      </w:r>
      <w:r>
        <w:rPr>
          <w:rFonts w:hint="eastAsia" w:ascii="宋体"/>
          <w:color w:val="auto"/>
          <w:sz w:val="24"/>
          <w:szCs w:val="24"/>
          <w:highlight w:val="none"/>
        </w:rPr>
        <w:t>月</w:t>
      </w:r>
      <w:r>
        <w:rPr>
          <w:rFonts w:hint="eastAsia" w:ascii="宋体"/>
          <w:color w:val="auto"/>
          <w:sz w:val="24"/>
          <w:szCs w:val="24"/>
          <w:highlight w:val="none"/>
          <w:lang w:val="en-US" w:eastAsia="zh-CN"/>
        </w:rPr>
        <w:t>25</w:t>
      </w:r>
      <w:r>
        <w:rPr>
          <w:rFonts w:hint="eastAsia" w:ascii="宋体"/>
          <w:color w:val="auto"/>
          <w:sz w:val="24"/>
          <w:szCs w:val="24"/>
          <w:highlight w:val="none"/>
        </w:rPr>
        <w:t>日</w:t>
      </w:r>
      <w:bookmarkEnd w:id="4"/>
      <w:bookmarkStart w:id="5" w:name="B26_投标截止时间"/>
      <w:r>
        <w:rPr>
          <w:rFonts w:hint="eastAsia" w:ascii="宋体"/>
          <w:color w:val="auto"/>
          <w:sz w:val="24"/>
          <w:szCs w:val="24"/>
          <w:highlight w:val="none"/>
          <w:lang w:val="en-US" w:eastAsia="zh-CN"/>
        </w:rPr>
        <w:t>14</w:t>
      </w:r>
      <w:r>
        <w:rPr>
          <w:rFonts w:hint="eastAsia" w:ascii="宋体"/>
          <w:color w:val="auto"/>
          <w:sz w:val="24"/>
          <w:szCs w:val="24"/>
          <w:highlight w:val="none"/>
        </w:rPr>
        <w:t>:</w:t>
      </w:r>
      <w:r>
        <w:rPr>
          <w:rFonts w:hint="eastAsia" w:ascii="宋体"/>
          <w:color w:val="auto"/>
          <w:sz w:val="24"/>
          <w:szCs w:val="24"/>
          <w:highlight w:val="none"/>
          <w:lang w:val="en-US" w:eastAsia="zh-CN"/>
        </w:rPr>
        <w:t>3</w:t>
      </w:r>
      <w:r>
        <w:rPr>
          <w:rFonts w:hint="eastAsia" w:ascii="宋体"/>
          <w:color w:val="auto"/>
          <w:sz w:val="24"/>
          <w:szCs w:val="24"/>
          <w:highlight w:val="none"/>
        </w:rPr>
        <w:t xml:space="preserve">0 </w:t>
      </w:r>
      <w:bookmarkEnd w:id="5"/>
    </w:p>
    <w:p>
      <w:pPr>
        <w:snapToGrid w:val="0"/>
        <w:spacing w:line="440" w:lineRule="atLeast"/>
        <w:rPr>
          <w:rFonts w:ascii="宋体" w:hAnsi="宋体" w:cs="宋体"/>
          <w:color w:val="auto"/>
          <w:kern w:val="0"/>
          <w:sz w:val="24"/>
          <w:szCs w:val="24"/>
          <w:highlight w:val="none"/>
        </w:rPr>
      </w:pPr>
      <w:r>
        <w:rPr>
          <w:rFonts w:hint="eastAsia" w:ascii="宋体" w:hAnsi="宋体"/>
          <w:b/>
          <w:color w:val="auto"/>
          <w:sz w:val="24"/>
          <w:szCs w:val="24"/>
          <w:highlight w:val="none"/>
          <w:lang w:eastAsia="zh-CN"/>
        </w:rPr>
        <w:t>六</w:t>
      </w:r>
      <w:r>
        <w:rPr>
          <w:rFonts w:hint="eastAsia" w:ascii="宋体" w:hAnsi="宋体"/>
          <w:b/>
          <w:color w:val="auto"/>
          <w:sz w:val="24"/>
          <w:szCs w:val="24"/>
          <w:highlight w:val="none"/>
        </w:rPr>
        <w:t>、投标地点</w:t>
      </w:r>
      <w:r>
        <w:rPr>
          <w:rFonts w:hint="eastAsia" w:ascii="宋体" w:hAnsi="宋体"/>
          <w:b/>
          <w:color w:val="auto"/>
          <w:sz w:val="24"/>
          <w:szCs w:val="24"/>
          <w:highlight w:val="none"/>
          <w:lang w:eastAsia="zh-CN"/>
        </w:rPr>
        <w:t>及</w:t>
      </w:r>
      <w:r>
        <w:rPr>
          <w:rFonts w:hint="eastAsia" w:ascii="宋体" w:hAnsi="宋体"/>
          <w:b/>
          <w:color w:val="auto"/>
          <w:sz w:val="24"/>
          <w:szCs w:val="24"/>
          <w:highlight w:val="none"/>
        </w:rPr>
        <w:t>开标地点：</w:t>
      </w:r>
      <w:r>
        <w:rPr>
          <w:rFonts w:hint="eastAsia" w:ascii="宋体"/>
          <w:color w:val="auto"/>
          <w:sz w:val="24"/>
          <w:szCs w:val="24"/>
          <w:highlight w:val="none"/>
          <w:lang w:eastAsia="zh-CN"/>
        </w:rPr>
        <w:t>三门县海游街道广场路99号（三门县滨海科技城开发建设有限公司一楼会议室）</w:t>
      </w:r>
    </w:p>
    <w:p>
      <w:pPr>
        <w:snapToGrid w:val="0"/>
        <w:spacing w:line="440" w:lineRule="atLeast"/>
        <w:rPr>
          <w:rFonts w:ascii="宋体"/>
          <w:color w:val="auto"/>
          <w:sz w:val="24"/>
          <w:szCs w:val="24"/>
          <w:highlight w:val="none"/>
        </w:rPr>
      </w:pPr>
      <w:r>
        <w:rPr>
          <w:rFonts w:hint="eastAsia" w:ascii="宋体"/>
          <w:color w:val="auto"/>
          <w:sz w:val="24"/>
          <w:szCs w:val="24"/>
          <w:highlight w:val="none"/>
          <w:lang w:eastAsia="zh-CN"/>
        </w:rPr>
        <w:t>七</w:t>
      </w:r>
      <w:r>
        <w:rPr>
          <w:rFonts w:hint="eastAsia" w:ascii="宋体"/>
          <w:color w:val="auto"/>
          <w:sz w:val="24"/>
          <w:szCs w:val="24"/>
          <w:highlight w:val="none"/>
        </w:rPr>
        <w:t>、联系方式</w:t>
      </w:r>
    </w:p>
    <w:p>
      <w:pPr>
        <w:spacing w:line="360" w:lineRule="auto"/>
        <w:ind w:firstLine="480" w:firstLineChars="200"/>
        <w:rPr>
          <w:rFonts w:hint="eastAsia" w:ascii="宋体" w:hAnsi="宋体" w:eastAsia="宋体"/>
          <w:color w:val="auto"/>
          <w:sz w:val="24"/>
          <w:szCs w:val="24"/>
          <w:highlight w:val="none"/>
          <w:lang w:eastAsia="zh-CN"/>
        </w:rPr>
      </w:pPr>
      <w:bookmarkStart w:id="6" w:name="B43_传真"/>
      <w:bookmarkEnd w:id="6"/>
      <w:r>
        <w:rPr>
          <w:rFonts w:hint="eastAsia" w:ascii="宋体" w:hAnsi="宋体"/>
          <w:color w:val="auto"/>
          <w:sz w:val="24"/>
          <w:szCs w:val="24"/>
          <w:highlight w:val="none"/>
        </w:rPr>
        <w:t>招标人：</w:t>
      </w:r>
      <w:r>
        <w:rPr>
          <w:rFonts w:hint="eastAsia" w:ascii="宋体" w:hAnsi="宋体"/>
          <w:color w:val="auto"/>
          <w:sz w:val="24"/>
          <w:szCs w:val="24"/>
          <w:highlight w:val="none"/>
          <w:lang w:eastAsia="zh-CN"/>
        </w:rPr>
        <w:t>三门县滨海科技城开发建设有限公司</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联系人： </w:t>
      </w:r>
      <w:r>
        <w:rPr>
          <w:rFonts w:hint="eastAsia" w:ascii="宋体" w:hAnsi="宋体"/>
          <w:color w:val="auto"/>
          <w:sz w:val="24"/>
          <w:szCs w:val="24"/>
          <w:highlight w:val="none"/>
          <w:lang w:eastAsia="zh-CN"/>
        </w:rPr>
        <w:t>卢优洁</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rPr>
        <w:t xml:space="preserve">电  话： </w:t>
      </w:r>
      <w:r>
        <w:rPr>
          <w:rFonts w:hint="eastAsia" w:ascii="宋体" w:hAnsi="宋体"/>
          <w:color w:val="auto"/>
          <w:sz w:val="24"/>
          <w:szCs w:val="24"/>
          <w:highlight w:val="none"/>
          <w:lang w:eastAsia="zh-CN"/>
        </w:rPr>
        <w:t>15268866350</w:t>
      </w:r>
    </w:p>
    <w:p>
      <w:pPr>
        <w:pStyle w:val="10"/>
        <w:rPr>
          <w:rFonts w:hint="eastAsia"/>
          <w:color w:val="auto"/>
          <w:sz w:val="24"/>
          <w:szCs w:val="24"/>
          <w:lang w:eastAsia="zh-CN"/>
        </w:rPr>
      </w:pP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 xml:space="preserve">招标代理：泾清项目管理有限公司 </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lang w:eastAsia="zh-CN"/>
        </w:rPr>
        <w:t>吴越</w:t>
      </w:r>
      <w:r>
        <w:rPr>
          <w:rFonts w:hint="eastAsia" w:ascii="宋体" w:hAnsi="宋体"/>
          <w:color w:val="auto"/>
          <w:sz w:val="24"/>
          <w:szCs w:val="24"/>
          <w:highlight w:val="none"/>
        </w:rPr>
        <w:t xml:space="preserve">     </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电话：</w:t>
      </w:r>
      <w:r>
        <w:rPr>
          <w:rFonts w:hint="eastAsia" w:ascii="宋体" w:hAnsi="宋体"/>
          <w:color w:val="auto"/>
          <w:sz w:val="24"/>
          <w:szCs w:val="24"/>
          <w:highlight w:val="none"/>
          <w:lang w:eastAsia="zh-CN"/>
        </w:rPr>
        <w:t>0576-83318599</w:t>
      </w:r>
    </w:p>
    <w:p>
      <w:pPr>
        <w:spacing w:line="360" w:lineRule="auto"/>
        <w:ind w:firstLine="480" w:firstLineChars="200"/>
        <w:rPr>
          <w:rFonts w:ascii="宋体" w:hAnsi="宋体"/>
          <w:color w:val="auto"/>
          <w:sz w:val="24"/>
          <w:szCs w:val="24"/>
          <w:highlight w:val="none"/>
        </w:rPr>
      </w:pPr>
    </w:p>
    <w:p>
      <w:pPr>
        <w:spacing w:line="360" w:lineRule="auto"/>
        <w:jc w:val="righ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三门县滨海科技城开发建设有限公司</w:t>
      </w:r>
    </w:p>
    <w:p>
      <w:pPr>
        <w:spacing w:line="360" w:lineRule="auto"/>
        <w:jc w:val="righ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泾清项目管理有限公司</w:t>
      </w:r>
    </w:p>
    <w:p>
      <w:pPr>
        <w:spacing w:line="360" w:lineRule="auto"/>
        <w:jc w:val="righ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19</w:t>
      </w:r>
      <w:r>
        <w:rPr>
          <w:rFonts w:hint="eastAsia" w:ascii="宋体" w:hAnsi="宋体"/>
          <w:color w:val="auto"/>
          <w:sz w:val="24"/>
          <w:szCs w:val="24"/>
          <w:highlight w:val="none"/>
        </w:rPr>
        <w:t>日</w:t>
      </w:r>
    </w:p>
    <w:p>
      <w:pPr>
        <w:widowControl/>
        <w:jc w:val="left"/>
        <w:rPr>
          <w:rFonts w:ascii="宋体" w:hAnsi="宋体"/>
          <w:color w:val="auto"/>
          <w:sz w:val="24"/>
          <w:highlight w:val="none"/>
        </w:rPr>
      </w:pPr>
      <w:r>
        <w:rPr>
          <w:rFonts w:ascii="宋体" w:hAnsi="宋体"/>
          <w:color w:val="auto"/>
          <w:sz w:val="24"/>
          <w:highlight w:val="none"/>
        </w:rPr>
        <w:br w:type="page"/>
      </w:r>
    </w:p>
    <w:p>
      <w:pPr>
        <w:pStyle w:val="4"/>
        <w:spacing w:before="0" w:after="0" w:line="360" w:lineRule="auto"/>
        <w:jc w:val="center"/>
        <w:rPr>
          <w:rFonts w:hint="eastAsia" w:ascii="宋体" w:hAnsi="宋体" w:eastAsia="宋体"/>
          <w:color w:val="auto"/>
          <w:sz w:val="36"/>
          <w:szCs w:val="36"/>
          <w:highlight w:val="none"/>
          <w:lang w:eastAsia="zh-CN"/>
        </w:rPr>
      </w:pPr>
      <w:bookmarkStart w:id="7" w:name="_Toc38624161"/>
      <w:bookmarkStart w:id="8" w:name="_Toc21757"/>
      <w:r>
        <w:rPr>
          <w:rFonts w:hint="eastAsia" w:ascii="宋体" w:hAnsi="宋体"/>
          <w:color w:val="auto"/>
          <w:sz w:val="36"/>
          <w:szCs w:val="36"/>
          <w:highlight w:val="none"/>
        </w:rPr>
        <w:t>第二章</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谈判</w:t>
      </w:r>
      <w:bookmarkEnd w:id="7"/>
      <w:r>
        <w:rPr>
          <w:rFonts w:hint="eastAsia" w:ascii="宋体" w:hAnsi="宋体"/>
          <w:color w:val="auto"/>
          <w:sz w:val="36"/>
          <w:szCs w:val="36"/>
          <w:highlight w:val="none"/>
          <w:lang w:eastAsia="zh-CN"/>
        </w:rPr>
        <w:t>需求</w:t>
      </w:r>
      <w:bookmarkEnd w:id="8"/>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hAnsi="宋体" w:cs="宋体"/>
          <w:b/>
          <w:sz w:val="24"/>
        </w:rPr>
      </w:pPr>
      <w:r>
        <w:rPr>
          <w:rFonts w:hint="eastAsia" w:ascii="宋体" w:hAnsi="宋体" w:cs="宋体"/>
          <w:b/>
          <w:sz w:val="24"/>
        </w:rPr>
        <w:t>一、招标项目一览表</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right="25"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1 </w:t>
      </w:r>
      <w:r>
        <w:rPr>
          <w:rFonts w:hint="eastAsia" w:asciiTheme="minorEastAsia" w:hAnsiTheme="minorEastAsia" w:eastAsiaTheme="minorEastAsia"/>
          <w:sz w:val="24"/>
        </w:rPr>
        <w:t>个标项，具体内容如下表：</w:t>
      </w:r>
    </w:p>
    <w:tbl>
      <w:tblPr>
        <w:tblStyle w:val="25"/>
        <w:tblpPr w:leftFromText="181" w:rightFromText="181" w:bottomFromText="170" w:vertAnchor="text" w:tblpXSpec="center" w:tblpY="1"/>
        <w:tblOverlap w:val="never"/>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839"/>
        <w:gridCol w:w="1530"/>
        <w:gridCol w:w="750"/>
        <w:gridCol w:w="780"/>
        <w:gridCol w:w="118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标项号</w:t>
            </w:r>
          </w:p>
        </w:tc>
        <w:tc>
          <w:tcPr>
            <w:tcW w:w="2839"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项目名称</w:t>
            </w:r>
          </w:p>
        </w:tc>
        <w:tc>
          <w:tcPr>
            <w:tcW w:w="1530" w:type="dxa"/>
            <w:vAlign w:val="center"/>
          </w:tcPr>
          <w:p>
            <w:pPr>
              <w:tabs>
                <w:tab w:val="left" w:pos="8280"/>
              </w:tabs>
              <w:autoSpaceDE w:val="0"/>
              <w:autoSpaceDN w:val="0"/>
              <w:adjustRightInd w:val="0"/>
              <w:jc w:val="center"/>
              <w:rPr>
                <w:rFonts w:ascii="宋体"/>
                <w:b/>
                <w:szCs w:val="21"/>
              </w:rPr>
            </w:pPr>
            <w:r>
              <w:rPr>
                <w:rFonts w:hint="eastAsia" w:ascii="宋体" w:hAnsi="宋体" w:cs="宋体"/>
                <w:b/>
                <w:kern w:val="0"/>
                <w:szCs w:val="21"/>
              </w:rPr>
              <w:t>简要技术要求</w:t>
            </w:r>
          </w:p>
        </w:tc>
        <w:tc>
          <w:tcPr>
            <w:tcW w:w="750"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数量</w:t>
            </w:r>
          </w:p>
        </w:tc>
        <w:tc>
          <w:tcPr>
            <w:tcW w:w="780"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单位</w:t>
            </w:r>
          </w:p>
        </w:tc>
        <w:tc>
          <w:tcPr>
            <w:tcW w:w="1185" w:type="dxa"/>
            <w:vAlign w:val="center"/>
          </w:tcPr>
          <w:p>
            <w:pPr>
              <w:tabs>
                <w:tab w:val="left" w:pos="8280"/>
              </w:tabs>
              <w:autoSpaceDE w:val="0"/>
              <w:autoSpaceDN w:val="0"/>
              <w:adjustRightInd w:val="0"/>
              <w:jc w:val="center"/>
              <w:rPr>
                <w:rFonts w:hint="eastAsia" w:ascii="宋体" w:hAnsi="宋体"/>
                <w:b/>
                <w:szCs w:val="21"/>
                <w:lang w:val="en-US" w:eastAsia="zh-CN"/>
              </w:rPr>
            </w:pPr>
            <w:r>
              <w:rPr>
                <w:rFonts w:hint="eastAsia" w:ascii="宋体" w:hAnsi="宋体"/>
                <w:b/>
                <w:szCs w:val="21"/>
              </w:rPr>
              <w:t>预算</w:t>
            </w:r>
            <w:r>
              <w:rPr>
                <w:rFonts w:hint="eastAsia" w:ascii="宋体" w:hAnsi="宋体"/>
                <w:b/>
                <w:szCs w:val="21"/>
                <w:lang w:val="en-US" w:eastAsia="zh-CN"/>
              </w:rPr>
              <w:t>价</w:t>
            </w:r>
          </w:p>
          <w:p>
            <w:pPr>
              <w:tabs>
                <w:tab w:val="left" w:pos="8280"/>
              </w:tabs>
              <w:autoSpaceDE w:val="0"/>
              <w:autoSpaceDN w:val="0"/>
              <w:adjustRightInd w:val="0"/>
              <w:jc w:val="center"/>
              <w:rPr>
                <w:rFonts w:ascii="宋体"/>
                <w:b/>
                <w:szCs w:val="21"/>
              </w:rPr>
            </w:pPr>
            <w:r>
              <w:rPr>
                <w:rFonts w:hint="eastAsia" w:ascii="宋体" w:hAnsi="宋体"/>
                <w:b/>
                <w:szCs w:val="21"/>
              </w:rPr>
              <w:t>（万元）</w:t>
            </w:r>
          </w:p>
        </w:tc>
        <w:tc>
          <w:tcPr>
            <w:tcW w:w="1297"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2839" w:type="dxa"/>
            <w:vAlign w:val="center"/>
          </w:tcPr>
          <w:p>
            <w:pPr>
              <w:tabs>
                <w:tab w:val="left" w:pos="8280"/>
              </w:tabs>
              <w:autoSpaceDE w:val="0"/>
              <w:autoSpaceDN w:val="0"/>
              <w:adjustRightInd w:val="0"/>
              <w:jc w:val="center"/>
              <w:rPr>
                <w:rFonts w:hint="eastAsia" w:ascii="宋体" w:hAnsi="宋体" w:eastAsia="宋体" w:cs="宋体"/>
                <w:b/>
                <w:szCs w:val="21"/>
                <w:lang w:eastAsia="zh-CN"/>
              </w:rPr>
            </w:pPr>
            <w:r>
              <w:rPr>
                <w:rFonts w:hint="eastAsia" w:ascii="宋体" w:hAnsi="宋体"/>
                <w:color w:val="000000" w:themeColor="text1"/>
                <w:sz w:val="21"/>
                <w:szCs w:val="21"/>
                <w:lang w:eastAsia="zh-CN"/>
              </w:rPr>
              <w:t>三门县高新技术企业孵化园服务提升工程二期（浙江三门经济开发区党群服务中心）配套设备采购项目</w:t>
            </w:r>
          </w:p>
        </w:tc>
        <w:tc>
          <w:tcPr>
            <w:tcW w:w="153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szCs w:val="21"/>
              </w:rPr>
              <w:t>详见技术需求</w:t>
            </w:r>
          </w:p>
        </w:tc>
        <w:tc>
          <w:tcPr>
            <w:tcW w:w="750"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780"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批</w:t>
            </w:r>
          </w:p>
        </w:tc>
        <w:tc>
          <w:tcPr>
            <w:tcW w:w="1185" w:type="dxa"/>
            <w:vAlign w:val="center"/>
          </w:tcPr>
          <w:p>
            <w:pPr>
              <w:tabs>
                <w:tab w:val="left" w:pos="8280"/>
              </w:tabs>
              <w:autoSpaceDE w:val="0"/>
              <w:autoSpaceDN w:val="0"/>
              <w:adjustRightInd w:val="0"/>
              <w:jc w:val="center"/>
              <w:rPr>
                <w:rFonts w:hint="default" w:ascii="宋体" w:hAnsi="宋体" w:eastAsia="宋体" w:cs="宋体"/>
                <w:bCs/>
                <w:szCs w:val="21"/>
                <w:lang w:val="en-US" w:eastAsia="zh-CN"/>
              </w:rPr>
            </w:pPr>
            <w:r>
              <w:rPr>
                <w:rFonts w:hint="eastAsia" w:ascii="宋体" w:hAnsi="宋体" w:cs="宋体"/>
                <w:bCs/>
                <w:szCs w:val="21"/>
                <w:lang w:val="en-US" w:eastAsia="zh-CN"/>
              </w:rPr>
              <w:t>26</w:t>
            </w:r>
          </w:p>
        </w:tc>
        <w:tc>
          <w:tcPr>
            <w:tcW w:w="1297" w:type="dxa"/>
            <w:vAlign w:val="center"/>
          </w:tcPr>
          <w:p>
            <w:pPr>
              <w:tabs>
                <w:tab w:val="left" w:pos="8280"/>
              </w:tabs>
              <w:autoSpaceDE w:val="0"/>
              <w:autoSpaceDN w:val="0"/>
              <w:adjustRightInd w:val="0"/>
              <w:jc w:val="center"/>
              <w:rPr>
                <w:rFonts w:hint="default" w:ascii="宋体" w:hAnsi="宋体" w:eastAsia="宋体" w:cs="宋体"/>
                <w:bCs/>
                <w:szCs w:val="21"/>
                <w:lang w:val="en-US" w:eastAsia="zh-CN"/>
              </w:rPr>
            </w:pPr>
            <w:r>
              <w:rPr>
                <w:rFonts w:hint="eastAsia" w:ascii="宋体" w:hAnsi="宋体" w:cs="宋体"/>
                <w:bCs/>
                <w:szCs w:val="21"/>
                <w:lang w:val="en-US" w:eastAsia="zh-CN"/>
              </w:rPr>
              <w:t>26</w:t>
            </w:r>
          </w:p>
        </w:tc>
      </w:tr>
    </w:tbl>
    <w:p>
      <w:pPr>
        <w:numPr>
          <w:ilvl w:val="0"/>
          <w:numId w:val="2"/>
        </w:numPr>
        <w:spacing w:line="360" w:lineRule="auto"/>
        <w:ind w:firstLine="482" w:firstLineChars="200"/>
      </w:pPr>
      <w:r>
        <w:rPr>
          <w:rFonts w:hint="eastAsia" w:ascii="宋体" w:hAnsi="宋体" w:cs="宋体"/>
          <w:b/>
          <w:sz w:val="24"/>
        </w:rPr>
        <w:t>技术需求</w:t>
      </w:r>
    </w:p>
    <w:p>
      <w:pPr>
        <w:pStyle w:val="10"/>
        <w:numPr>
          <w:ilvl w:val="0"/>
          <w:numId w:val="0"/>
        </w:numPr>
        <w:jc w:val="center"/>
        <w:rPr>
          <w:rFonts w:hint="eastAsia" w:ascii="宋体"/>
          <w:bCs/>
          <w:color w:val="000000" w:themeColor="text1"/>
          <w:lang w:val="en-US" w:eastAsia="zh-CN"/>
        </w:rPr>
      </w:pPr>
      <w:r>
        <w:rPr>
          <w:rFonts w:hint="eastAsia" w:ascii="宋体"/>
          <w:bCs/>
          <w:color w:val="000000" w:themeColor="text1"/>
          <w:lang w:val="en-US" w:eastAsia="zh-CN"/>
        </w:rPr>
        <w:t>采购清单</w:t>
      </w:r>
    </w:p>
    <w:tbl>
      <w:tblPr>
        <w:tblStyle w:val="25"/>
        <w:tblW w:w="91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1400"/>
        <w:gridCol w:w="4500"/>
        <w:gridCol w:w="1203"/>
        <w:gridCol w:w="670"/>
        <w:gridCol w:w="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展项分区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参数规格型号</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0"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一楼入口大屏</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全彩显示屏</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显示尺寸：2.565x1.445=3.7㎡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1、像素点间距≤1.8mm；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2、整屏平整度≤0.04mm，模组平整度≤0.03mm，拼接缝≤0.03mm；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3、亮度≥600Cd/m²；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4、色温800-18000K；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5、刷新率达到≥3840Hz，对比度≥8000：1。</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P1.8</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支持高精度色度、亮度一体化逐点矫正，支持所有常规芯片、PWM芯片，自带12个HUB75接口；支持所有75口1~64扫任意模组，最大带载：长度128点，高度768点，打折带载：长度512点，高度384点。</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E120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视频处理器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1.视频控制器支持多达 6 路输入接口，包括 1路DVI，2路HDMI1.3，1路VGA，1路USB 播 放，1路CVBS；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2.支持最大1920×1080@60Hz输入分辨率；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3.支持最宽3840像素点，最高2000像素点；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4.支持4路千兆网口输出，最大带载260万像素。</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X4m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开关电源</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4.5V 200A.</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包含钢架制作、不锈钢包边、安装等.</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播放主机</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1.处理器：Intel酷睿i5-12500；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2.内存：16G内存；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3.硬盘：256G固态硬盘；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4.▲提供原厂售后服务，即当日下午4点前报修，下一自然日24点前修复，若没有完成修复，则为客户免费赠送延迟日数对应的月度延保服务，投标时提供针对本项目的原厂承诺函</w:t>
            </w:r>
            <w:r>
              <w:rPr>
                <w:rFonts w:hint="eastAsia" w:ascii="宋体" w:hAnsi="宋体" w:cs="宋体"/>
                <w:b w:val="0"/>
                <w:bCs w:val="0"/>
                <w:color w:val="000000" w:themeColor="text1"/>
                <w:kern w:val="0"/>
                <w:sz w:val="22"/>
                <w:szCs w:val="22"/>
                <w:lang w:bidi="ar"/>
              </w:rPr>
              <w:t>及五年质保函</w:t>
            </w:r>
            <w:r>
              <w:rPr>
                <w:rFonts w:hint="eastAsia" w:ascii="宋体" w:hAnsi="宋体" w:eastAsia="宋体" w:cs="宋体"/>
                <w:i w:val="0"/>
                <w:iCs w:val="0"/>
                <w:color w:val="000000"/>
                <w:kern w:val="0"/>
                <w:sz w:val="22"/>
                <w:szCs w:val="22"/>
                <w:u w:val="none"/>
                <w:lang w:val="en-US" w:eastAsia="zh-CN" w:bidi="ar"/>
              </w:rPr>
              <w:t>原件。</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ThinkCentre M750t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吸顶音响</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2"/>
                <w:lang w:val="en-US" w:eastAsia="zh-CN" w:bidi="ar"/>
              </w:rPr>
              <w:t>1.额定功率：100W；</w:t>
            </w:r>
            <w:r>
              <w:rPr>
                <w:rStyle w:val="52"/>
                <w:lang w:val="en-US" w:eastAsia="zh-CN" w:bidi="ar"/>
              </w:rPr>
              <w:br w:type="textWrapping"/>
            </w:r>
            <w:r>
              <w:rPr>
                <w:rStyle w:val="52"/>
                <w:lang w:val="en-US" w:eastAsia="zh-CN" w:bidi="ar"/>
              </w:rPr>
              <w:t>2.峰值功率：400W；</w:t>
            </w:r>
            <w:r>
              <w:rPr>
                <w:rStyle w:val="52"/>
                <w:lang w:val="en-US" w:eastAsia="zh-CN" w:bidi="ar"/>
              </w:rPr>
              <w:br w:type="textWrapping"/>
            </w:r>
            <w:r>
              <w:rPr>
                <w:rStyle w:val="52"/>
                <w:lang w:val="en-US" w:eastAsia="zh-CN" w:bidi="ar"/>
              </w:rPr>
              <w:t>3.阻抗：8</w:t>
            </w:r>
            <w:r>
              <w:rPr>
                <w:rStyle w:val="53"/>
                <w:rFonts w:eastAsia="宋体"/>
                <w:lang w:val="en-US" w:eastAsia="zh-CN" w:bidi="ar"/>
              </w:rPr>
              <w:t>Ω</w:t>
            </w:r>
            <w:r>
              <w:rPr>
                <w:rStyle w:val="54"/>
                <w:lang w:val="en-US" w:eastAsia="zh-CN" w:bidi="ar"/>
              </w:rPr>
              <w:t>；</w:t>
            </w:r>
            <w:r>
              <w:rPr>
                <w:rStyle w:val="54"/>
                <w:lang w:val="en-US" w:eastAsia="zh-CN" w:bidi="ar"/>
              </w:rPr>
              <w:br w:type="textWrapping"/>
            </w:r>
            <w:r>
              <w:rPr>
                <w:rStyle w:val="54"/>
                <w:lang w:val="en-US" w:eastAsia="zh-CN" w:bidi="ar"/>
              </w:rPr>
              <w:t>4.喇叭单元：6.5" x 1，1.5"x1；</w:t>
            </w:r>
            <w:r>
              <w:rPr>
                <w:rStyle w:val="54"/>
                <w:lang w:val="en-US" w:eastAsia="zh-CN" w:bidi="ar"/>
              </w:rPr>
              <w:br w:type="textWrapping"/>
            </w:r>
            <w:r>
              <w:rPr>
                <w:rStyle w:val="54"/>
                <w:lang w:val="en-US" w:eastAsia="zh-CN" w:bidi="ar"/>
              </w:rPr>
              <w:t>5.安装开孔尺寸：250mm。</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TS-208R</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功放</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2"/>
                <w:lang w:val="en-US" w:eastAsia="zh-CN" w:bidi="ar"/>
              </w:rPr>
              <w:t>1.输出功率：立体声@8</w:t>
            </w:r>
            <w:r>
              <w:rPr>
                <w:rStyle w:val="53"/>
                <w:rFonts w:eastAsia="宋体"/>
                <w:lang w:val="en-US" w:eastAsia="zh-CN" w:bidi="ar"/>
              </w:rPr>
              <w:t>Ω</w:t>
            </w:r>
            <w:r>
              <w:rPr>
                <w:rStyle w:val="54"/>
                <w:lang w:val="en-US" w:eastAsia="zh-CN" w:bidi="ar"/>
              </w:rPr>
              <w:t>：200W×2；立体声@4</w:t>
            </w:r>
            <w:r>
              <w:rPr>
                <w:rStyle w:val="53"/>
                <w:rFonts w:eastAsia="宋体"/>
                <w:lang w:val="en-US" w:eastAsia="zh-CN" w:bidi="ar"/>
              </w:rPr>
              <w:t>Ω</w:t>
            </w:r>
            <w:r>
              <w:rPr>
                <w:rStyle w:val="54"/>
                <w:lang w:val="en-US" w:eastAsia="zh-CN" w:bidi="ar"/>
              </w:rPr>
              <w:t>：400W×2；</w:t>
            </w:r>
            <w:r>
              <w:rPr>
                <w:rStyle w:val="54"/>
                <w:lang w:val="en-US" w:eastAsia="zh-CN" w:bidi="ar"/>
              </w:rPr>
              <w:br w:type="textWrapping"/>
            </w:r>
            <w:r>
              <w:rPr>
                <w:rStyle w:val="54"/>
                <w:lang w:val="en-US" w:eastAsia="zh-CN" w:bidi="ar"/>
              </w:rPr>
              <w:t>2.输入灵敏度：2.2dBu(1V)；</w:t>
            </w:r>
            <w:r>
              <w:rPr>
                <w:rStyle w:val="54"/>
                <w:lang w:val="en-US" w:eastAsia="zh-CN" w:bidi="ar"/>
              </w:rPr>
              <w:br w:type="textWrapping"/>
            </w:r>
            <w:r>
              <w:rPr>
                <w:rStyle w:val="54"/>
                <w:lang w:val="en-US" w:eastAsia="zh-CN" w:bidi="ar"/>
              </w:rPr>
              <w:t>3.输入阻抗：10K</w:t>
            </w:r>
            <w:r>
              <w:rPr>
                <w:rStyle w:val="53"/>
                <w:rFonts w:eastAsia="宋体"/>
                <w:lang w:val="en-US" w:eastAsia="zh-CN" w:bidi="ar"/>
              </w:rPr>
              <w:t>Ω</w:t>
            </w:r>
            <w:r>
              <w:rPr>
                <w:rStyle w:val="54"/>
                <w:lang w:val="en-US" w:eastAsia="zh-CN" w:bidi="ar"/>
              </w:rPr>
              <w:t xml:space="preserve"> ；</w:t>
            </w:r>
            <w:r>
              <w:rPr>
                <w:rStyle w:val="54"/>
                <w:lang w:val="en-US" w:eastAsia="zh-CN" w:bidi="ar"/>
              </w:rPr>
              <w:br w:type="textWrapping"/>
            </w:r>
            <w:r>
              <w:rPr>
                <w:rStyle w:val="54"/>
                <w:lang w:val="en-US" w:eastAsia="zh-CN" w:bidi="ar"/>
              </w:rPr>
              <w:t>4.最大功耗：500W；</w:t>
            </w:r>
            <w:r>
              <w:rPr>
                <w:rStyle w:val="54"/>
                <w:lang w:val="en-US" w:eastAsia="zh-CN" w:bidi="ar"/>
              </w:rPr>
              <w:br w:type="textWrapping"/>
            </w:r>
            <w:r>
              <w:rPr>
                <w:rStyle w:val="54"/>
                <w:lang w:val="en-US" w:eastAsia="zh-CN" w:bidi="ar"/>
              </w:rPr>
              <w:t>5.▲投标时提供原厂针对本项目的授权函及五年原厂质保函。</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TC-2200B</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安装辅件</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设备间专业连线、各类专业卡农、音箱插等。</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播控软件</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支持常规视频图文播放控制以及视频进度条和音量调节；支持标准串口232、485等数据接受和转发；支持对PC主机进行关机、重启等控制。</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二楼触控一体机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触控一体机</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1.屏幕尺寸：75寸触摸屏（壁挂安装）；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2.最佳分辨率：1920x1080；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3.扬声器：整机内置扬声器；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4.触控功能：支持红外触控，支持Windows系统中进行20点或以上触控，安卓系统中进行 10点或以上触控；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5.性能要求：内置嵌入式电脑模块，搭载Intel酷睿系列十代i5 CPU，配置16GB DDR4内存，256GB SSD固态硬盘。</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1"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触控一体机</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1.屏幕尺寸：55寸触摸屏（壁挂安装）；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2.最佳分辨率：1920x1080；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3.扬声器：内置扬声器；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4.触控功能：支持红外触控，支持Windows系统中进行20点或以上触控，安卓系统中进行 10点或以上触控；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5.性能要求：内置嵌入式电脑模块，搭载Intel酷睿系列十代i5 CPU，配置16GB DDR4内存，256GB SSD固态硬盘。</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触控一体机</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1.屏幕尺寸：55寸触摸屏（落地安装）；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2.最佳分辨率：1920x1080；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3.扬声器：内置扬声器；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4.触控功能：支持红外触控，支持Windows系统中进行20点或以上触控，安卓系统中进行 10点或以上触控；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5.性能要求：内置嵌入式电脑模块，搭载Intel酷睿系列十代i5 CPU，配置16GB DDR4内存，256GB SSD固态硬盘；</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二楼曲面屏</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柔性全彩显示屏</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显示尺寸：3.2m*2.08m=5.07㎡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1、像素点间距≤1.8mm；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2、整屏平整度≤0.04mm，模组平整度≤0.03mm，拼接缝≤0.03mm；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3、亮度≥600Cd/m²；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4、刷新率达到≥3840Hz，对比度≥8000：1。</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P1.8</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支持高精度色度、亮度一体化逐点矫正，支持所有常规芯片、PWM芯片，自带12个HUB75接口。支持所有75口1~64扫任意模组，最大带载：长度128点，高度768点，打折带载：长度512点，高度384点。</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E120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视频处理器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1.视频控制器支持多达 6 路输入接口，包括 1 路 DVI，2 路 HDMI1.3，1 路 VGA，1 路 USB 播 放，1 路 CVBS；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2.支持最大1920×1080@60Hz输入分辨率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3.支持最宽3840像素点，最高2000像素点。</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X4m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开关电源</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4.5V 200A。</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包含钢架制作、不锈钢包边、安装等。</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8"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播放主机</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1.处理器：Intel酷睿i5-12500；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2.内存：16G内存；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3.硬盘：256G固态硬盘；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4.▲提供原厂售后服务，即当日下午4点前报修，下一自然日24点前修复，若没有完成修复，则为客户免费赠送延迟日数对应的月度延保服务，投标时提供针对本项目的原厂承诺函及五年质保函原件。</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ThinkCentre M750t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吸顶音响</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2"/>
                <w:lang w:val="en-US" w:eastAsia="zh-CN" w:bidi="ar"/>
              </w:rPr>
              <w:t>1.额定功率：100W；</w:t>
            </w:r>
            <w:r>
              <w:rPr>
                <w:rStyle w:val="52"/>
                <w:lang w:val="en-US" w:eastAsia="zh-CN" w:bidi="ar"/>
              </w:rPr>
              <w:br w:type="textWrapping"/>
            </w:r>
            <w:r>
              <w:rPr>
                <w:rStyle w:val="52"/>
                <w:lang w:val="en-US" w:eastAsia="zh-CN" w:bidi="ar"/>
              </w:rPr>
              <w:t>2.峰值功率：400W；</w:t>
            </w:r>
            <w:r>
              <w:rPr>
                <w:rStyle w:val="52"/>
                <w:lang w:val="en-US" w:eastAsia="zh-CN" w:bidi="ar"/>
              </w:rPr>
              <w:br w:type="textWrapping"/>
            </w:r>
            <w:r>
              <w:rPr>
                <w:rStyle w:val="52"/>
                <w:lang w:val="en-US" w:eastAsia="zh-CN" w:bidi="ar"/>
              </w:rPr>
              <w:t>3.阻抗：8</w:t>
            </w:r>
            <w:r>
              <w:rPr>
                <w:rStyle w:val="53"/>
                <w:rFonts w:eastAsia="宋体"/>
                <w:lang w:val="en-US" w:eastAsia="zh-CN" w:bidi="ar"/>
              </w:rPr>
              <w:t>Ω</w:t>
            </w:r>
            <w:r>
              <w:rPr>
                <w:rStyle w:val="54"/>
                <w:lang w:val="en-US" w:eastAsia="zh-CN" w:bidi="ar"/>
              </w:rPr>
              <w:t>；</w:t>
            </w:r>
            <w:r>
              <w:rPr>
                <w:rStyle w:val="54"/>
                <w:lang w:val="en-US" w:eastAsia="zh-CN" w:bidi="ar"/>
              </w:rPr>
              <w:br w:type="textWrapping"/>
            </w:r>
            <w:r>
              <w:rPr>
                <w:rStyle w:val="54"/>
                <w:lang w:val="en-US" w:eastAsia="zh-CN" w:bidi="ar"/>
              </w:rPr>
              <w:t>4.喇叭单元：6.5" x 1，1.5"x1；</w:t>
            </w:r>
            <w:r>
              <w:rPr>
                <w:rStyle w:val="54"/>
                <w:lang w:val="en-US" w:eastAsia="zh-CN" w:bidi="ar"/>
              </w:rPr>
              <w:br w:type="textWrapping"/>
            </w:r>
            <w:r>
              <w:rPr>
                <w:rStyle w:val="54"/>
                <w:lang w:val="en-US" w:eastAsia="zh-CN" w:bidi="ar"/>
              </w:rPr>
              <w:t>5.安装开孔尺寸：250mm。</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TS-208R</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功放</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2"/>
                <w:lang w:val="en-US" w:eastAsia="zh-CN" w:bidi="ar"/>
              </w:rPr>
              <w:t>1.输出功率：立体声@8</w:t>
            </w:r>
            <w:r>
              <w:rPr>
                <w:rStyle w:val="53"/>
                <w:rFonts w:eastAsia="宋体"/>
                <w:lang w:val="en-US" w:eastAsia="zh-CN" w:bidi="ar"/>
              </w:rPr>
              <w:t>Ω</w:t>
            </w:r>
            <w:r>
              <w:rPr>
                <w:rStyle w:val="54"/>
                <w:lang w:val="en-US" w:eastAsia="zh-CN" w:bidi="ar"/>
              </w:rPr>
              <w:t>：200W×2；立体声@4</w:t>
            </w:r>
            <w:r>
              <w:rPr>
                <w:rStyle w:val="53"/>
                <w:rFonts w:eastAsia="宋体"/>
                <w:lang w:val="en-US" w:eastAsia="zh-CN" w:bidi="ar"/>
              </w:rPr>
              <w:t>Ω</w:t>
            </w:r>
            <w:r>
              <w:rPr>
                <w:rStyle w:val="54"/>
                <w:lang w:val="en-US" w:eastAsia="zh-CN" w:bidi="ar"/>
              </w:rPr>
              <w:t>：400W×2；</w:t>
            </w:r>
            <w:r>
              <w:rPr>
                <w:rStyle w:val="54"/>
                <w:lang w:val="en-US" w:eastAsia="zh-CN" w:bidi="ar"/>
              </w:rPr>
              <w:br w:type="textWrapping"/>
            </w:r>
            <w:r>
              <w:rPr>
                <w:rStyle w:val="54"/>
                <w:lang w:val="en-US" w:eastAsia="zh-CN" w:bidi="ar"/>
              </w:rPr>
              <w:t>2.输入灵敏度：2.2dBu(1V)；</w:t>
            </w:r>
            <w:r>
              <w:rPr>
                <w:rStyle w:val="54"/>
                <w:lang w:val="en-US" w:eastAsia="zh-CN" w:bidi="ar"/>
              </w:rPr>
              <w:br w:type="textWrapping"/>
            </w:r>
            <w:r>
              <w:rPr>
                <w:rStyle w:val="54"/>
                <w:lang w:val="en-US" w:eastAsia="zh-CN" w:bidi="ar"/>
              </w:rPr>
              <w:t>3.输入阻抗：10K</w:t>
            </w:r>
            <w:r>
              <w:rPr>
                <w:rStyle w:val="53"/>
                <w:rFonts w:eastAsia="宋体"/>
                <w:lang w:val="en-US" w:eastAsia="zh-CN" w:bidi="ar"/>
              </w:rPr>
              <w:t>Ω</w:t>
            </w:r>
            <w:r>
              <w:rPr>
                <w:rStyle w:val="54"/>
                <w:lang w:val="en-US" w:eastAsia="zh-CN" w:bidi="ar"/>
              </w:rPr>
              <w:t>；</w:t>
            </w:r>
            <w:r>
              <w:rPr>
                <w:rStyle w:val="54"/>
                <w:lang w:val="en-US" w:eastAsia="zh-CN" w:bidi="ar"/>
              </w:rPr>
              <w:br w:type="textWrapping"/>
            </w:r>
            <w:r>
              <w:rPr>
                <w:rStyle w:val="54"/>
                <w:lang w:val="en-US" w:eastAsia="zh-CN" w:bidi="ar"/>
              </w:rPr>
              <w:t>4.最大功耗：500W；</w:t>
            </w:r>
            <w:r>
              <w:rPr>
                <w:rStyle w:val="54"/>
                <w:lang w:val="en-US" w:eastAsia="zh-CN" w:bidi="ar"/>
              </w:rPr>
              <w:br w:type="textWrapping"/>
            </w:r>
            <w:r>
              <w:rPr>
                <w:rStyle w:val="54"/>
                <w:lang w:val="en-US" w:eastAsia="zh-CN" w:bidi="ar"/>
              </w:rPr>
              <w:t>5.▲投标时提供原厂针对本项目的授权函及五年原厂质保函。</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TC-2200B</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安装辅件</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设备间专业连线、各类专业卡农、音箱插等。</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播控软件</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支持常规视频图文播放控制以及视频进度条和音量调节；支持标准串口232、485等数据接受和转发；支持对PC主机进行关机、重启等控制。</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5"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展厅中控系统</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中控主机</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1.强大的32位，1GHz CPU，512Mb永久存储闪存和512MB内存；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2.兼容所有RIT有线，无线(需RTI射频天线/Zigbee® 收发器)和基于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用户界面的应用；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3.6个多用途I/O端口可与符合行业标准的红外发射器，与中继系统使用；多用途I/O端口支持可选配的RTI电感和通信模块；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4.3个可编程的12VDC触发输出；3个可调节电压的传感器输入；3个可编程的继电器输出；3个RS-232端口用于双向通讯。</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ipad</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ipad 64G。</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路由器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华三千兆企业级路由器 双WAN口。</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ER3200G3</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华三24口全千兆企业级交换机。</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S1224R</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POE交换机</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华三9口全千兆POE供电交换机。</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S9G-P</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AP</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华三750M 5G双频无线吸顶AP。</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A61-E</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PDU</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8口32A。</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22U 600*600标准机柜。</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理线架</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安普康24口。</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UI界面设计</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定制UI界面设计。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编程费用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ipad，pc端程序编辑。</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ipad授权</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IPAD软件使用授权。</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bl>
    <w:p>
      <w:pPr>
        <w:rPr>
          <w:rFonts w:hint="eastAsia"/>
          <w:lang w:val="en-US" w:eastAsia="zh-CN"/>
        </w:rPr>
      </w:pPr>
    </w:p>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center"/>
        <w:rPr>
          <w:rFonts w:hint="eastAsia"/>
          <w:lang w:val="en-US" w:eastAsia="zh-CN"/>
        </w:rPr>
      </w:pPr>
      <w:r>
        <w:rPr>
          <w:rFonts w:hint="eastAsia" w:ascii="宋体" w:hAnsi="宋体" w:eastAsia="宋体" w:cs="宋体"/>
          <w:b/>
          <w:bCs/>
          <w:i w:val="0"/>
          <w:iCs w:val="0"/>
          <w:color w:val="000000"/>
          <w:kern w:val="0"/>
          <w:sz w:val="24"/>
          <w:szCs w:val="24"/>
          <w:u w:val="none"/>
          <w:lang w:val="en-US" w:eastAsia="zh-CN" w:bidi="ar"/>
        </w:rPr>
        <w:t>三、商务需求</w:t>
      </w:r>
      <w:bookmarkStart w:id="9" w:name="_Toc527009537"/>
    </w:p>
    <w:bookmarkEnd w:id="9"/>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highlight w:val="none"/>
        </w:rPr>
      </w:pPr>
      <w:r>
        <w:rPr>
          <w:rFonts w:hint="eastAsia" w:ascii="宋体" w:hAnsi="宋体" w:eastAsia="宋体"/>
          <w:sz w:val="24"/>
          <w:szCs w:val="24"/>
        </w:rPr>
        <w:t>（一）交货</w:t>
      </w:r>
      <w:r>
        <w:rPr>
          <w:rFonts w:hint="eastAsia" w:ascii="宋体" w:hAnsi="宋体" w:eastAsia="宋体"/>
          <w:sz w:val="24"/>
          <w:szCs w:val="24"/>
          <w:highlight w:val="none"/>
        </w:rPr>
        <w:t>期限：合同签订后</w:t>
      </w:r>
      <w:r>
        <w:rPr>
          <w:rFonts w:hint="eastAsia" w:ascii="宋体" w:hAnsi="宋体" w:eastAsia="宋体"/>
          <w:sz w:val="24"/>
          <w:szCs w:val="24"/>
          <w:highlight w:val="none"/>
          <w:lang w:val="en-US" w:eastAsia="zh-CN"/>
        </w:rPr>
        <w:t>30日历天</w:t>
      </w:r>
      <w:r>
        <w:rPr>
          <w:rFonts w:hint="eastAsia" w:ascii="宋体" w:hAnsi="宋体" w:eastAsia="宋体"/>
          <w:sz w:val="24"/>
          <w:szCs w:val="24"/>
          <w:highlight w:val="none"/>
        </w:rPr>
        <w:t>内完成交货。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（二）质保期：</w:t>
      </w:r>
      <w:r>
        <w:rPr>
          <w:rFonts w:hint="eastAsia" w:ascii="宋体" w:hAnsi="宋体" w:eastAsia="宋体"/>
          <w:sz w:val="24"/>
          <w:szCs w:val="24"/>
          <w:highlight w:val="none"/>
          <w:lang w:val="en-US" w:eastAsia="zh-CN"/>
        </w:rPr>
        <w:t>5</w:t>
      </w:r>
      <w:r>
        <w:rPr>
          <w:rFonts w:ascii="宋体" w:hAnsi="宋体" w:eastAsia="宋体"/>
          <w:sz w:val="24"/>
          <w:szCs w:val="24"/>
          <w:highlight w:val="none"/>
        </w:rPr>
        <w:t>年</w:t>
      </w:r>
      <w:r>
        <w:rPr>
          <w:rFonts w:hint="eastAsia" w:ascii="宋体" w:hAnsi="宋体" w:eastAsia="宋体"/>
          <w:sz w:val="24"/>
          <w:szCs w:val="24"/>
          <w:highlight w:val="none"/>
          <w:lang w:val="en-US" w:eastAsia="zh-CN"/>
        </w:rPr>
        <w:t>免费维修</w:t>
      </w:r>
      <w:r>
        <w:rPr>
          <w:rFonts w:ascii="宋体" w:hAnsi="宋体" w:eastAsia="宋体"/>
          <w:sz w:val="24"/>
          <w:szCs w:val="24"/>
          <w:highlight w:val="none"/>
        </w:rPr>
        <w:t>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（三）付款方式：合同签订之后支付合同价的</w:t>
      </w:r>
      <w:r>
        <w:rPr>
          <w:rFonts w:ascii="宋体" w:hAnsi="宋体" w:eastAsia="宋体"/>
          <w:sz w:val="24"/>
          <w:szCs w:val="24"/>
          <w:highlight w:val="none"/>
        </w:rPr>
        <w:t>40%，全部货物安装调试完毕并通过验收合格后30个工作日内支付合同价的60%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（四）项目实施地点：采购人指定</w:t>
      </w:r>
      <w:r>
        <w:rPr>
          <w:rFonts w:hint="eastAsia" w:ascii="宋体" w:hAnsi="宋体" w:eastAsia="宋体"/>
          <w:sz w:val="24"/>
          <w:szCs w:val="24"/>
          <w:highlight w:val="none"/>
          <w:lang w:val="en-US" w:eastAsia="zh-CN"/>
        </w:rPr>
        <w:t>地点</w:t>
      </w:r>
      <w:r>
        <w:rPr>
          <w:rFonts w:hint="eastAsia" w:ascii="宋体" w:hAnsi="宋体" w:eastAsia="宋体"/>
          <w:sz w:val="24"/>
          <w:szCs w:val="24"/>
          <w:highlight w:val="none"/>
        </w:rPr>
        <w:t>。</w:t>
      </w:r>
    </w:p>
    <w:p>
      <w:pPr>
        <w:pStyle w:val="23"/>
        <w:ind w:left="0" w:leftChars="0" w:firstLine="480" w:firstLineChars="200"/>
        <w:rPr>
          <w:rFonts w:hint="default" w:eastAsia="宋体"/>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五</w:t>
      </w:r>
      <w:r>
        <w:rPr>
          <w:rFonts w:hint="eastAsia" w:ascii="宋体" w:hAnsi="宋体" w:eastAsia="宋体"/>
          <w:sz w:val="24"/>
          <w:szCs w:val="24"/>
          <w:lang w:eastAsia="zh-CN"/>
        </w:rPr>
        <w:t>）</w:t>
      </w:r>
      <w:r>
        <w:rPr>
          <w:rFonts w:hint="eastAsia" w:ascii="宋体" w:hAnsi="宋体" w:eastAsia="宋体"/>
          <w:sz w:val="24"/>
          <w:szCs w:val="24"/>
          <w:lang w:val="en-US" w:eastAsia="zh-CN"/>
        </w:rPr>
        <w:t>采购单位需对系统进行定期的免费维护及资料整理。</w:t>
      </w:r>
    </w:p>
    <w:p>
      <w:pPr>
        <w:bidi w:val="0"/>
        <w:jc w:val="center"/>
        <w:rPr>
          <w:rStyle w:val="35"/>
          <w:rFonts w:hint="eastAsia"/>
          <w:sz w:val="28"/>
          <w:szCs w:val="28"/>
        </w:rPr>
      </w:pPr>
      <w:r>
        <w:rPr>
          <w:color w:val="auto"/>
          <w:sz w:val="48"/>
          <w:szCs w:val="48"/>
          <w:highlight w:val="none"/>
        </w:rPr>
        <w:br w:type="page"/>
      </w:r>
      <w:bookmarkStart w:id="10" w:name="_Toc16651"/>
      <w:r>
        <w:rPr>
          <w:rStyle w:val="35"/>
          <w:rFonts w:hint="eastAsia"/>
          <w:sz w:val="28"/>
          <w:szCs w:val="28"/>
        </w:rPr>
        <w:t>第三章　供应商须知前附表</w:t>
      </w:r>
    </w:p>
    <w:bookmarkEnd w:id="10"/>
    <w:tbl>
      <w:tblPr>
        <w:tblStyle w:val="25"/>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cs="宋体"/>
                <w:color w:val="auto"/>
                <w:sz w:val="24"/>
                <w:highlight w:val="none"/>
              </w:rPr>
            </w:pP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正本</w:t>
            </w:r>
            <w:r>
              <w:rPr>
                <w:rFonts w:hint="eastAsia" w:ascii="宋体" w:hAnsi="宋体" w:cs="Arial"/>
                <w:color w:val="auto"/>
                <w:sz w:val="24"/>
                <w:highlight w:val="none"/>
              </w:rPr>
              <w:t>1</w:t>
            </w:r>
            <w:r>
              <w:rPr>
                <w:rFonts w:hint="eastAsia" w:ascii="宋体" w:hAnsi="宋体" w:cs="宋体"/>
                <w:color w:val="auto"/>
                <w:sz w:val="24"/>
                <w:highlight w:val="none"/>
              </w:rPr>
              <w:t>份、副本</w:t>
            </w:r>
            <w:r>
              <w:rPr>
                <w:rFonts w:hint="eastAsia" w:ascii="宋体" w:hAnsi="宋体" w:cs="Arial"/>
                <w:color w:val="auto"/>
                <w:sz w:val="24"/>
                <w:highlight w:val="none"/>
              </w:rPr>
              <w:t>2</w:t>
            </w:r>
            <w:r>
              <w:rPr>
                <w:rFonts w:hint="eastAsia" w:ascii="宋体" w:hAnsi="宋体" w:cs="宋体"/>
                <w:color w:val="auto"/>
                <w:sz w:val="24"/>
                <w:highlight w:val="none"/>
              </w:rPr>
              <w:t>份，正副本</w:t>
            </w:r>
            <w:r>
              <w:rPr>
                <w:rFonts w:hint="eastAsia" w:ascii="宋体" w:hAnsi="宋体"/>
                <w:color w:val="auto"/>
                <w:kern w:val="0"/>
                <w:sz w:val="24"/>
                <w:highlight w:val="none"/>
              </w:rPr>
              <w:t>封装成一袋</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谈判响应有效期为谈判后90天，</w:t>
            </w:r>
            <w:r>
              <w:rPr>
                <w:rFonts w:hint="eastAsia" w:ascii="宋体" w:hAnsi="宋体" w:cs="宋体"/>
                <w:color w:val="auto"/>
                <w:kern w:val="0"/>
                <w:sz w:val="24"/>
                <w:highlight w:val="none"/>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截止时间：北京时间202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日</w:t>
            </w:r>
            <w:r>
              <w:rPr>
                <w:rFonts w:hint="eastAsia" w:ascii="宋体" w:hAnsi="宋体" w:cs="Arial"/>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p>
          <w:p>
            <w:pPr>
              <w:spacing w:line="360" w:lineRule="auto"/>
              <w:rPr>
                <w:rFonts w:ascii="宋体" w:hAnsi="宋体" w:cs="宋体"/>
                <w:color w:val="auto"/>
                <w:sz w:val="24"/>
                <w:highlight w:val="none"/>
              </w:rPr>
            </w:pPr>
            <w:r>
              <w:rPr>
                <w:rFonts w:hint="eastAsia" w:ascii="宋体" w:hAnsi="宋体" w:cs="宋体"/>
                <w:color w:val="auto"/>
                <w:sz w:val="24"/>
                <w:highlight w:val="none"/>
              </w:rPr>
              <w:t>递交地点：</w:t>
            </w:r>
            <w:r>
              <w:rPr>
                <w:rFonts w:hint="eastAsia" w:ascii="宋体"/>
                <w:color w:val="auto"/>
                <w:sz w:val="24"/>
                <w:highlight w:val="none"/>
                <w:lang w:eastAsia="zh-CN"/>
              </w:rPr>
              <w:t>三门县海游街道广场路99号（三门县滨海科技城开发建设有限公司一楼会议室）</w:t>
            </w:r>
          </w:p>
          <w:p>
            <w:pPr>
              <w:spacing w:line="360" w:lineRule="auto"/>
              <w:rPr>
                <w:rFonts w:ascii="宋体" w:hAnsi="宋体" w:cs="宋体"/>
                <w:color w:val="auto"/>
                <w:sz w:val="24"/>
                <w:highlight w:val="none"/>
              </w:rPr>
            </w:pPr>
            <w:r>
              <w:rPr>
                <w:rFonts w:hint="eastAsia" w:ascii="宋体" w:hAnsi="宋体" w:cs="宋体"/>
                <w:color w:val="auto"/>
                <w:sz w:val="24"/>
                <w:highlight w:val="none"/>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时间：北京时间202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日</w:t>
            </w:r>
            <w:r>
              <w:rPr>
                <w:rFonts w:hint="eastAsia" w:ascii="宋体" w:hAnsi="宋体" w:cs="Arial"/>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p>
          <w:p>
            <w:pP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color w:val="auto"/>
                <w:sz w:val="24"/>
                <w:highlight w:val="none"/>
                <w:lang w:eastAsia="zh-CN"/>
              </w:rPr>
              <w:t>三门县海游街道广场路99号（三门县滨海科技城开发建设有限公司一楼会议室）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宋体" w:hAnsi="宋体" w:cs="宋体"/>
                <w:color w:val="auto"/>
                <w:sz w:val="24"/>
                <w:highlight w:val="none"/>
              </w:rPr>
            </w:pPr>
            <w:r>
              <w:rPr>
                <w:rFonts w:hint="eastAsia" w:ascii="宋体" w:hAnsi="宋体" w:cs="宋体"/>
                <w:color w:val="auto"/>
                <w:kern w:val="0"/>
                <w:sz w:val="24"/>
                <w:highlight w:val="none"/>
                <w:lang w:val="zh-CN"/>
              </w:rPr>
              <w:t>带“</w:t>
            </w:r>
            <w:r>
              <w:rPr>
                <w:rFonts w:hint="eastAsia" w:ascii="宋体" w:hAnsi="宋体" w:cs="宋体"/>
                <w:bCs/>
                <w:color w:val="auto"/>
                <w:sz w:val="24"/>
                <w:highlight w:val="none"/>
              </w:rPr>
              <w:t>▲”的条款是实质性条款，谈判响应文件须作出实质性响应，否则作无效响应处理。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 w:val="24"/>
                <w:highlight w:val="none"/>
                <w:lang w:val="zh-CN"/>
              </w:rPr>
            </w:pPr>
            <w:r>
              <w:rPr>
                <w:rFonts w:hint="eastAsia" w:ascii="宋体" w:hAnsi="宋体" w:cs="宋体"/>
                <w:color w:val="auto"/>
                <w:sz w:val="24"/>
                <w:highlight w:val="none"/>
              </w:rPr>
              <w:t>本谈判文件解释权属于采购人和</w:t>
            </w:r>
            <w:r>
              <w:rPr>
                <w:rFonts w:hint="eastAsia" w:ascii="宋体" w:hAnsi="宋体" w:cs="Arial"/>
                <w:color w:val="auto"/>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代理费</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color w:val="auto"/>
                <w:sz w:val="24"/>
                <w:highlight w:val="none"/>
                <w:lang w:val="en-US" w:eastAsia="zh-CN"/>
              </w:rPr>
            </w:pPr>
            <w:r>
              <w:rPr>
                <w:rFonts w:hint="eastAsia" w:ascii="宋体" w:hAnsi="宋体"/>
                <w:b/>
                <w:bCs/>
                <w:color w:val="000000"/>
                <w:sz w:val="24"/>
              </w:rPr>
              <w:t>本项目代理费由中标单位支付，收费金额为</w:t>
            </w:r>
            <w:r>
              <w:rPr>
                <w:rFonts w:hint="eastAsia" w:ascii="宋体" w:hAnsi="宋体"/>
                <w:b/>
                <w:bCs/>
                <w:color w:val="000000"/>
                <w:sz w:val="24"/>
                <w:lang w:val="en-US" w:eastAsia="zh-CN"/>
              </w:rPr>
              <w:t>45</w:t>
            </w:r>
            <w:r>
              <w:rPr>
                <w:rFonts w:ascii="宋体" w:hAnsi="宋体"/>
                <w:b/>
                <w:bCs/>
                <w:color w:val="000000"/>
                <w:sz w:val="24"/>
              </w:rPr>
              <w:t>00</w:t>
            </w:r>
            <w:r>
              <w:rPr>
                <w:rFonts w:hint="eastAsia" w:ascii="宋体" w:hAnsi="宋体"/>
                <w:b/>
                <w:bCs/>
                <w:color w:val="000000"/>
                <w:sz w:val="24"/>
              </w:rPr>
              <w:t>元，供应商报价时自行考虑。</w:t>
            </w:r>
          </w:p>
        </w:tc>
      </w:tr>
    </w:tbl>
    <w:p>
      <w:pPr>
        <w:spacing w:line="360" w:lineRule="auto"/>
        <w:jc w:val="center"/>
        <w:rPr>
          <w:rFonts w:ascii="宋体" w:hAnsi="宋体"/>
          <w:b/>
          <w:bCs/>
          <w:color w:val="auto"/>
          <w:sz w:val="36"/>
          <w:highlight w:val="none"/>
        </w:rPr>
      </w:pPr>
    </w:p>
    <w:p>
      <w:pPr>
        <w:spacing w:line="360" w:lineRule="auto"/>
        <w:jc w:val="center"/>
        <w:rPr>
          <w:rFonts w:ascii="宋体" w:hAnsi="宋体"/>
          <w:b/>
          <w:bCs/>
          <w:color w:val="auto"/>
          <w:sz w:val="36"/>
          <w:highlight w:val="none"/>
        </w:rPr>
      </w:pPr>
    </w:p>
    <w:p>
      <w:pPr>
        <w:spacing w:line="360" w:lineRule="auto"/>
        <w:jc w:val="center"/>
        <w:rPr>
          <w:rFonts w:ascii="宋体" w:hAnsi="宋体"/>
          <w:b/>
          <w:bCs/>
          <w:color w:val="auto"/>
          <w:sz w:val="36"/>
          <w:highlight w:val="none"/>
        </w:rPr>
      </w:pPr>
    </w:p>
    <w:p>
      <w:pPr>
        <w:pStyle w:val="10"/>
        <w:rPr>
          <w:color w:val="auto"/>
        </w:rPr>
      </w:pPr>
    </w:p>
    <w:p>
      <w:pPr>
        <w:pStyle w:val="12"/>
        <w:snapToGrid w:val="0"/>
        <w:spacing w:before="120" w:after="120" w:line="360" w:lineRule="auto"/>
        <w:rPr>
          <w:rFonts w:hAnsi="宋体"/>
          <w:b/>
          <w:color w:val="auto"/>
          <w:sz w:val="24"/>
          <w:highlight w:val="none"/>
        </w:rPr>
      </w:pPr>
    </w:p>
    <w:p>
      <w:pPr>
        <w:bidi w:val="0"/>
        <w:jc w:val="center"/>
        <w:rPr>
          <w:b/>
          <w:bCs/>
          <w:sz w:val="28"/>
          <w:szCs w:val="28"/>
        </w:rPr>
      </w:pPr>
      <w:r>
        <w:rPr>
          <w:rFonts w:hint="eastAsia"/>
          <w:b/>
          <w:bCs/>
          <w:sz w:val="28"/>
          <w:szCs w:val="28"/>
        </w:rPr>
        <w:t>一 、总  则</w:t>
      </w:r>
    </w:p>
    <w:p>
      <w:pPr>
        <w:pStyle w:val="12"/>
        <w:snapToGrid w:val="0"/>
        <w:spacing w:line="360" w:lineRule="auto"/>
        <w:ind w:left="2" w:leftChars="1" w:firstLine="482" w:firstLineChars="200"/>
        <w:rPr>
          <w:rFonts w:hAnsi="宋体"/>
          <w:b/>
          <w:color w:val="auto"/>
          <w:sz w:val="24"/>
          <w:highlight w:val="none"/>
        </w:rPr>
      </w:pPr>
      <w:r>
        <w:rPr>
          <w:rFonts w:hAnsi="宋体"/>
          <w:b/>
          <w:color w:val="auto"/>
          <w:sz w:val="24"/>
          <w:highlight w:val="none"/>
        </w:rPr>
        <w:t>（</w:t>
      </w:r>
      <w:r>
        <w:rPr>
          <w:rFonts w:hint="eastAsia" w:hAnsi="宋体"/>
          <w:b/>
          <w:color w:val="auto"/>
          <w:sz w:val="24"/>
          <w:highlight w:val="none"/>
        </w:rPr>
        <w:t>一）</w:t>
      </w:r>
      <w:r>
        <w:rPr>
          <w:rFonts w:hAnsi="宋体"/>
          <w:b/>
          <w:color w:val="auto"/>
          <w:sz w:val="24"/>
          <w:highlight w:val="none"/>
        </w:rPr>
        <w:t>适用范围</w:t>
      </w:r>
    </w:p>
    <w:p>
      <w:pPr>
        <w:pStyle w:val="6"/>
        <w:tabs>
          <w:tab w:val="left" w:pos="0"/>
          <w:tab w:val="left" w:pos="851"/>
        </w:tabs>
        <w:autoSpaceDE w:val="0"/>
        <w:autoSpaceDN w:val="0"/>
        <w:adjustRightInd w:val="0"/>
        <w:snapToGrid w:val="0"/>
        <w:spacing w:before="0" w:after="0"/>
        <w:ind w:firstLine="566" w:firstLineChars="236"/>
        <w:jc w:val="left"/>
        <w:rPr>
          <w:rFonts w:ascii="宋体" w:hAnsi="宋体"/>
          <w:b w:val="0"/>
          <w:color w:val="auto"/>
          <w:sz w:val="24"/>
          <w:szCs w:val="24"/>
          <w:highlight w:val="none"/>
        </w:rPr>
      </w:pPr>
      <w:r>
        <w:rPr>
          <w:rFonts w:hint="eastAsia" w:ascii="宋体" w:hAnsi="宋体"/>
          <w:b w:val="0"/>
          <w:color w:val="auto"/>
          <w:sz w:val="24"/>
          <w:szCs w:val="24"/>
          <w:highlight w:val="none"/>
        </w:rPr>
        <w:t>本谈判文件适用于本次项目的谈判、评审、确定成交供应商、验收、合同履约、付款等行为（法律、法规另有规定的，从其规定）。</w:t>
      </w:r>
    </w:p>
    <w:p>
      <w:pPr>
        <w:pStyle w:val="12"/>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（二）定义</w:t>
      </w:r>
    </w:p>
    <w:p>
      <w:pPr>
        <w:pStyle w:val="6"/>
        <w:tabs>
          <w:tab w:val="left" w:pos="0"/>
          <w:tab w:val="left" w:pos="851"/>
        </w:tabs>
        <w:autoSpaceDE w:val="0"/>
        <w:autoSpaceDN w:val="0"/>
        <w:adjustRightInd w:val="0"/>
        <w:snapToGrid w:val="0"/>
        <w:spacing w:before="0" w:after="0"/>
        <w:ind w:firstLine="566" w:firstLineChars="236"/>
        <w:jc w:val="left"/>
        <w:rPr>
          <w:rFonts w:ascii="宋体" w:hAnsi="宋体"/>
          <w:b w:val="0"/>
          <w:bCs w:val="0"/>
          <w:color w:val="auto"/>
          <w:sz w:val="24"/>
          <w:szCs w:val="24"/>
          <w:highlight w:val="none"/>
        </w:rPr>
      </w:pPr>
      <w:r>
        <w:rPr>
          <w:rFonts w:hint="eastAsia" w:ascii="宋体" w:hAnsi="宋体"/>
          <w:b w:val="0"/>
          <w:color w:val="auto"/>
          <w:sz w:val="24"/>
          <w:szCs w:val="24"/>
          <w:highlight w:val="none"/>
        </w:rPr>
        <w:t>1、</w:t>
      </w:r>
      <w:r>
        <w:rPr>
          <w:rFonts w:hint="eastAsia" w:ascii="宋体" w:hAnsi="宋体"/>
          <w:b w:val="0"/>
          <w:bCs w:val="0"/>
          <w:color w:val="auto"/>
          <w:sz w:val="24"/>
          <w:szCs w:val="24"/>
          <w:highlight w:val="none"/>
          <w:lang w:val="zh-CN"/>
        </w:rPr>
        <w:t>“采购组织机构”指采购人委托组织谈判的采购代理机构。</w:t>
      </w:r>
    </w:p>
    <w:p>
      <w:pPr>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2、采购人：是指委托采购代理机构采购本次项目的国家机关、事业单位和团体组织。</w:t>
      </w:r>
    </w:p>
    <w:p>
      <w:pPr>
        <w:snapToGrid w:val="0"/>
        <w:spacing w:line="360" w:lineRule="auto"/>
        <w:ind w:left="424" w:leftChars="202" w:firstLine="141" w:firstLineChars="59"/>
        <w:jc w:val="left"/>
        <w:rPr>
          <w:rFonts w:ascii="宋体" w:hAnsi="宋体"/>
          <w:color w:val="auto"/>
          <w:sz w:val="24"/>
          <w:highlight w:val="none"/>
        </w:rPr>
      </w:pPr>
      <w:r>
        <w:rPr>
          <w:rFonts w:hint="eastAsia" w:ascii="宋体" w:hAnsi="宋体"/>
          <w:color w:val="auto"/>
          <w:sz w:val="24"/>
          <w:highlight w:val="none"/>
        </w:rPr>
        <w:t>3、谈判</w:t>
      </w:r>
      <w:r>
        <w:rPr>
          <w:rFonts w:hint="eastAsia" w:ascii="宋体"/>
          <w:color w:val="auto"/>
          <w:kern w:val="0"/>
          <w:sz w:val="24"/>
          <w:highlight w:val="none"/>
        </w:rPr>
        <w:t>供应商</w:t>
      </w:r>
      <w:r>
        <w:rPr>
          <w:rFonts w:hint="eastAsia" w:ascii="宋体" w:hAnsi="宋体"/>
          <w:color w:val="auto"/>
          <w:sz w:val="24"/>
          <w:highlight w:val="none"/>
        </w:rPr>
        <w:t>：是</w:t>
      </w:r>
      <w:r>
        <w:rPr>
          <w:rFonts w:ascii="宋体" w:hAnsi="宋体"/>
          <w:color w:val="auto"/>
          <w:sz w:val="24"/>
          <w:highlight w:val="none"/>
        </w:rPr>
        <w:t>指向</w:t>
      </w:r>
      <w:r>
        <w:rPr>
          <w:rFonts w:hint="eastAsia" w:ascii="宋体" w:hAnsi="宋体"/>
          <w:color w:val="auto"/>
          <w:sz w:val="24"/>
          <w:highlight w:val="none"/>
        </w:rPr>
        <w:t>采购</w:t>
      </w:r>
      <w:r>
        <w:rPr>
          <w:rFonts w:hint="eastAsia" w:ascii="宋体" w:hAnsi="宋体"/>
          <w:color w:val="auto"/>
          <w:sz w:val="24"/>
          <w:highlight w:val="none"/>
          <w:lang w:val="zh-CN"/>
        </w:rPr>
        <w:t>组织</w:t>
      </w:r>
      <w:r>
        <w:rPr>
          <w:rFonts w:hint="eastAsia" w:ascii="宋体" w:hAnsi="宋体"/>
          <w:color w:val="auto"/>
          <w:sz w:val="24"/>
          <w:highlight w:val="none"/>
        </w:rPr>
        <w:t>机构</w:t>
      </w:r>
      <w:r>
        <w:rPr>
          <w:rFonts w:ascii="宋体" w:hAnsi="宋体"/>
          <w:color w:val="auto"/>
          <w:sz w:val="24"/>
          <w:highlight w:val="none"/>
        </w:rPr>
        <w:t>提交</w:t>
      </w:r>
      <w:r>
        <w:rPr>
          <w:rFonts w:hint="eastAsia" w:ascii="宋体" w:hAnsi="宋体"/>
          <w:color w:val="auto"/>
          <w:sz w:val="24"/>
          <w:highlight w:val="none"/>
        </w:rPr>
        <w:t>谈判响应</w:t>
      </w:r>
      <w:r>
        <w:rPr>
          <w:rFonts w:ascii="宋体" w:hAnsi="宋体"/>
          <w:color w:val="auto"/>
          <w:sz w:val="24"/>
          <w:highlight w:val="none"/>
        </w:rPr>
        <w:t>文件的单位或个人。</w:t>
      </w:r>
    </w:p>
    <w:p>
      <w:pPr>
        <w:snapToGrid w:val="0"/>
        <w:spacing w:line="360" w:lineRule="auto"/>
        <w:ind w:left="424" w:leftChars="202" w:firstLine="143"/>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货物</w:t>
      </w:r>
      <w:r>
        <w:rPr>
          <w:rFonts w:hint="eastAsia" w:ascii="宋体" w:hAnsi="宋体"/>
          <w:color w:val="auto"/>
          <w:sz w:val="24"/>
          <w:highlight w:val="none"/>
        </w:rPr>
        <w:t>：</w:t>
      </w:r>
      <w:r>
        <w:rPr>
          <w:rFonts w:ascii="宋体" w:hAnsi="宋体"/>
          <w:color w:val="auto"/>
          <w:sz w:val="24"/>
          <w:highlight w:val="none"/>
        </w:rPr>
        <w:t>是指各种形态和种类的物品，包括原材料、燃料、设备、产品等。</w:t>
      </w:r>
    </w:p>
    <w:p>
      <w:pPr>
        <w:snapToGrid w:val="0"/>
        <w:spacing w:line="360" w:lineRule="auto"/>
        <w:ind w:firstLine="566" w:firstLineChars="236"/>
        <w:jc w:val="left"/>
        <w:rPr>
          <w:rFonts w:ascii="宋体" w:hAnsi="宋体"/>
          <w:b/>
          <w:color w:val="auto"/>
          <w:sz w:val="24"/>
          <w:highlight w:val="none"/>
        </w:rPr>
      </w:pPr>
      <w:r>
        <w:rPr>
          <w:rFonts w:hint="eastAsia" w:ascii="宋体" w:hAnsi="宋体"/>
          <w:color w:val="auto"/>
          <w:sz w:val="24"/>
          <w:highlight w:val="none"/>
        </w:rPr>
        <w:t>5、</w:t>
      </w:r>
      <w:r>
        <w:rPr>
          <w:rFonts w:ascii="宋体" w:hAnsi="宋体"/>
          <w:color w:val="auto"/>
          <w:sz w:val="24"/>
          <w:highlight w:val="none"/>
        </w:rPr>
        <w:t>服务</w:t>
      </w:r>
      <w:r>
        <w:rPr>
          <w:rFonts w:hint="eastAsia" w:ascii="宋体" w:hAnsi="宋体"/>
          <w:color w:val="auto"/>
          <w:sz w:val="24"/>
          <w:highlight w:val="none"/>
        </w:rPr>
        <w:t>：</w:t>
      </w:r>
      <w:r>
        <w:rPr>
          <w:rFonts w:ascii="宋体" w:hAnsi="宋体"/>
          <w:color w:val="auto"/>
          <w:sz w:val="24"/>
          <w:highlight w:val="none"/>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“书面形式”包括信函、传真等。</w:t>
      </w:r>
    </w:p>
    <w:p>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“▲”系指实质性要求条款。</w:t>
      </w:r>
    </w:p>
    <w:p>
      <w:pPr>
        <w:pStyle w:val="12"/>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（三）谈判费用</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1、不论谈判结果如何，供应商均应自行承担所有与谈判有关的全部费用（谈判文件有相关规定除外）。</w:t>
      </w:r>
    </w:p>
    <w:p>
      <w:pPr>
        <w:pStyle w:val="23"/>
        <w:ind w:left="0" w:leftChars="0" w:firstLine="240" w:firstLineChars="100"/>
        <w:rPr>
          <w:rFonts w:hint="eastAsia" w:eastAsia="宋体"/>
          <w:b/>
          <w:bCs/>
          <w:highlight w:val="none"/>
          <w:lang w:val="en-US" w:eastAsia="zh-CN"/>
        </w:rPr>
      </w:pPr>
      <w:r>
        <w:rPr>
          <w:rFonts w:hint="eastAsia" w:hAnsi="宋体"/>
          <w:color w:val="auto"/>
          <w:sz w:val="24"/>
          <w:highlight w:val="none"/>
          <w:lang w:val="en-US" w:eastAsia="zh-CN"/>
        </w:rPr>
        <w:t>2</w:t>
      </w:r>
      <w:r>
        <w:rPr>
          <w:rFonts w:hint="eastAsia" w:hAnsi="宋体"/>
          <w:b/>
          <w:bCs/>
          <w:color w:val="auto"/>
          <w:sz w:val="24"/>
          <w:highlight w:val="none"/>
          <w:lang w:val="en-US" w:eastAsia="zh-CN"/>
        </w:rPr>
        <w:t>、本项目代理费由中标单位支付，收费金额为4500元，供应商报价时自行考虑。</w:t>
      </w:r>
    </w:p>
    <w:p>
      <w:pPr>
        <w:pStyle w:val="12"/>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pPr>
        <w:pStyle w:val="12"/>
        <w:snapToGrid w:val="0"/>
        <w:spacing w:line="360" w:lineRule="auto"/>
        <w:ind w:left="2" w:leftChars="1" w:firstLine="480" w:firstLineChars="200"/>
        <w:rPr>
          <w:rFonts w:hAnsi="宋体"/>
          <w:color w:val="auto"/>
          <w:sz w:val="24"/>
          <w:highlight w:val="none"/>
        </w:rPr>
      </w:pPr>
      <w:r>
        <w:rPr>
          <w:rFonts w:hint="eastAsia" w:hAnsi="宋体"/>
          <w:color w:val="auto"/>
          <w:sz w:val="24"/>
          <w:highlight w:val="none"/>
        </w:rPr>
        <w:t>1、</w:t>
      </w:r>
      <w:r>
        <w:rPr>
          <w:rFonts w:hint="eastAsia"/>
          <w:color w:val="auto"/>
          <w:kern w:val="0"/>
          <w:sz w:val="24"/>
          <w:highlight w:val="none"/>
        </w:rPr>
        <w:t>供应商</w:t>
      </w:r>
      <w:r>
        <w:rPr>
          <w:rFonts w:hint="eastAsia" w:hAnsi="宋体"/>
          <w:color w:val="auto"/>
          <w:sz w:val="24"/>
          <w:highlight w:val="none"/>
        </w:rPr>
        <w:t>谈判</w:t>
      </w:r>
      <w:r>
        <w:rPr>
          <w:rFonts w:hAnsi="宋体"/>
          <w:color w:val="auto"/>
          <w:sz w:val="24"/>
          <w:highlight w:val="none"/>
        </w:rPr>
        <w:t>所使用的资格、信誉、荣誉、业绩与企业认证必须为本法人所拥有。</w:t>
      </w:r>
      <w:r>
        <w:rPr>
          <w:rFonts w:hint="eastAsia"/>
          <w:color w:val="auto"/>
          <w:kern w:val="0"/>
          <w:sz w:val="24"/>
          <w:highlight w:val="none"/>
        </w:rPr>
        <w:t>供应商</w:t>
      </w:r>
      <w:r>
        <w:rPr>
          <w:rFonts w:hint="eastAsia" w:hAnsi="宋体"/>
          <w:color w:val="auto"/>
          <w:sz w:val="24"/>
          <w:highlight w:val="none"/>
        </w:rPr>
        <w:t>谈判</w:t>
      </w:r>
      <w:r>
        <w:rPr>
          <w:rFonts w:hAnsi="宋体"/>
          <w:color w:val="auto"/>
          <w:sz w:val="24"/>
          <w:highlight w:val="none"/>
        </w:rPr>
        <w:t>所使用的采购项目实施人员必须为本法人员工（</w:t>
      </w:r>
      <w:r>
        <w:rPr>
          <w:rFonts w:hint="eastAsia" w:hAnsi="宋体"/>
          <w:color w:val="auto"/>
          <w:sz w:val="24"/>
          <w:highlight w:val="none"/>
        </w:rPr>
        <w:t>指</w:t>
      </w:r>
      <w:r>
        <w:rPr>
          <w:rFonts w:hAnsi="宋体"/>
          <w:color w:val="auto"/>
          <w:sz w:val="24"/>
          <w:highlight w:val="none"/>
        </w:rPr>
        <w:t>必须为本法人或控股公司正式员工）。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w:t>
      </w:r>
      <w:r>
        <w:rPr>
          <w:rFonts w:hint="eastAsia" w:hAnsi="宋体"/>
          <w:color w:val="auto"/>
          <w:sz w:val="24"/>
          <w:highlight w:val="none"/>
        </w:rPr>
        <w:t>所标产品</w:t>
      </w:r>
      <w:r>
        <w:rPr>
          <w:rFonts w:hint="eastAsia" w:ascii="宋体" w:hAnsi="宋体"/>
          <w:color w:val="auto"/>
          <w:sz w:val="24"/>
          <w:highlight w:val="none"/>
        </w:rPr>
        <w:t>除谈判文件中明确规定要求“提供官网截图或相应检测报告的证明材料”以外，所有技术参数描述均以谈判文件为准。谈判供应商对所投产品技术参数的真实性承担法律责任。项目谈判结束后、质疑期限内，如有质疑供应商认为成交供应商所投产品、谈判文件技术参数与谈判需求存在重大偏离、错误、甚至造假的情况，应提供具体有效的证明材料。</w:t>
      </w:r>
    </w:p>
    <w:p>
      <w:pPr>
        <w:pStyle w:val="31"/>
        <w:snapToGrid w:val="0"/>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color w:val="auto"/>
          <w:kern w:val="0"/>
          <w:sz w:val="24"/>
          <w:szCs w:val="24"/>
          <w:highlight w:val="none"/>
        </w:rPr>
        <w:t>供应商</w:t>
      </w:r>
      <w:r>
        <w:rPr>
          <w:rFonts w:ascii="宋体" w:hAnsi="宋体"/>
          <w:color w:val="auto"/>
          <w:sz w:val="24"/>
          <w:szCs w:val="24"/>
          <w:highlight w:val="none"/>
        </w:rPr>
        <w:t>在</w:t>
      </w:r>
      <w:r>
        <w:rPr>
          <w:rFonts w:hint="eastAsia" w:ascii="宋体" w:hAnsi="宋体"/>
          <w:color w:val="auto"/>
          <w:sz w:val="24"/>
          <w:szCs w:val="24"/>
          <w:highlight w:val="none"/>
        </w:rPr>
        <w:t>谈判</w:t>
      </w:r>
      <w:r>
        <w:rPr>
          <w:rFonts w:ascii="宋体" w:hAnsi="宋体"/>
          <w:color w:val="auto"/>
          <w:sz w:val="24"/>
          <w:szCs w:val="24"/>
          <w:highlight w:val="none"/>
        </w:rPr>
        <w:t>活动中提供任何虚假材料,其</w:t>
      </w:r>
      <w:r>
        <w:rPr>
          <w:rFonts w:hint="eastAsia" w:ascii="宋体" w:hAnsi="宋体"/>
          <w:color w:val="auto"/>
          <w:sz w:val="24"/>
          <w:szCs w:val="24"/>
          <w:highlight w:val="none"/>
        </w:rPr>
        <w:t>响应</w:t>
      </w:r>
      <w:r>
        <w:rPr>
          <w:rFonts w:ascii="宋体" w:hAnsi="宋体"/>
          <w:color w:val="auto"/>
          <w:sz w:val="24"/>
          <w:szCs w:val="24"/>
          <w:highlight w:val="none"/>
        </w:rPr>
        <w:t>无效，并报监管部门查处；成交后发现的,根据《中华人民共和国政府采购法》第七十七条第一款第一项之规定</w:t>
      </w:r>
      <w:r>
        <w:rPr>
          <w:rFonts w:hint="eastAsia" w:ascii="宋体" w:hAnsi="宋体"/>
          <w:color w:val="auto"/>
          <w:sz w:val="24"/>
          <w:szCs w:val="24"/>
          <w:highlight w:val="none"/>
        </w:rPr>
        <w:t>，</w:t>
      </w:r>
      <w:r>
        <w:rPr>
          <w:rFonts w:ascii="宋体" w:hAnsi="宋体"/>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olor w:val="auto"/>
          <w:sz w:val="24"/>
          <w:szCs w:val="24"/>
          <w:highlight w:val="none"/>
        </w:rPr>
        <w:t>。</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4、</w:t>
      </w:r>
      <w:r>
        <w:rPr>
          <w:rFonts w:hint="eastAsia" w:ascii="宋体"/>
          <w:b w:val="0"/>
          <w:bCs w:val="0"/>
          <w:color w:val="auto"/>
          <w:kern w:val="0"/>
          <w:sz w:val="24"/>
          <w:szCs w:val="24"/>
          <w:highlight w:val="none"/>
        </w:rPr>
        <w:t>供应商</w:t>
      </w:r>
      <w:r>
        <w:rPr>
          <w:rFonts w:hint="eastAsia" w:ascii="宋体" w:hAnsi="宋体"/>
          <w:b w:val="0"/>
          <w:bCs w:val="0"/>
          <w:color w:val="auto"/>
          <w:sz w:val="24"/>
          <w:szCs w:val="24"/>
          <w:highlight w:val="none"/>
        </w:rPr>
        <w:t>不得相互串通谈判报价，不得妨碍其他供应商的公平竞争，不得损害采购人或其他供应商的合法权益，供应商不得以向采购人、谈判小组成员行贿或者采取其他不正当手段谋取成交。</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5、为采购项目提供整体设计、规范编制或者项目管理、监理、检测等服务的供应商，不得再参加该采购项目的其他采购活动。</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6、谈判响应文件格式中的表格式样可以根据项目差别做适当调整,但应当保持表格样式基本形态不变。</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7、单位负责人为同一人或者存在直接控股、管理关系的不同供应商，不得参加同一合同项下的政府采购活动。</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8、本项目不允许分包。</w:t>
      </w:r>
    </w:p>
    <w:p>
      <w:pPr>
        <w:snapToGrid w:val="0"/>
        <w:spacing w:line="360" w:lineRule="auto"/>
        <w:ind w:firstLine="420" w:firstLineChars="200"/>
        <w:rPr>
          <w:rFonts w:ascii="宋体" w:hAnsi="宋体" w:cs="Arial"/>
          <w:b/>
          <w:color w:val="auto"/>
          <w:sz w:val="24"/>
          <w:highlight w:val="none"/>
        </w:rPr>
      </w:pPr>
      <w:r>
        <w:rPr>
          <w:rFonts w:hAnsi="宋体"/>
          <w:color w:val="auto"/>
          <w:szCs w:val="21"/>
          <w:highlight w:val="none"/>
        </w:rPr>
        <w:t>▲</w:t>
      </w:r>
      <w:r>
        <w:rPr>
          <w:rFonts w:hint="eastAsia" w:ascii="宋体" w:hAnsi="宋体"/>
          <w:color w:val="auto"/>
          <w:sz w:val="24"/>
          <w:highlight w:val="none"/>
        </w:rPr>
        <w:t>9、</w:t>
      </w:r>
      <w:r>
        <w:rPr>
          <w:rFonts w:ascii="宋体" w:hAnsi="宋体" w:cs="Arial"/>
          <w:b/>
          <w:color w:val="auto"/>
          <w:sz w:val="24"/>
          <w:highlight w:val="none"/>
        </w:rPr>
        <w:t>投标人信用信息查询渠道及截止时点、信用信息查询记录和证据留存的具体方式、信用信息的使用规则</w:t>
      </w:r>
      <w:r>
        <w:rPr>
          <w:rFonts w:hint="eastAsia" w:ascii="宋体" w:hAnsi="宋体" w:cs="Arial"/>
          <w:b/>
          <w:color w:val="auto"/>
          <w:sz w:val="24"/>
          <w:highlight w:val="none"/>
        </w:rPr>
        <w:t>：</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sym w:font="Wingdings" w:char="0081"/>
      </w:r>
      <w:r>
        <w:rPr>
          <w:rFonts w:hint="eastAsia" w:ascii="宋体" w:hAnsi="宋体" w:cs="Arial"/>
          <w:color w:val="auto"/>
          <w:sz w:val="24"/>
          <w:highlight w:val="none"/>
        </w:rPr>
        <w:t>查询渠道：中国政府采购网（网址：</w:t>
      </w:r>
      <w:r>
        <w:rPr>
          <w:rFonts w:ascii="宋体" w:hAnsi="宋体" w:cs="Arial"/>
          <w:color w:val="auto"/>
          <w:sz w:val="24"/>
          <w:highlight w:val="none"/>
        </w:rPr>
        <w:t>http://www.ccgp.gov.cn</w:t>
      </w:r>
      <w:r>
        <w:rPr>
          <w:rFonts w:hint="eastAsia" w:ascii="宋体" w:hAnsi="宋体" w:cs="Arial"/>
          <w:color w:val="auto"/>
          <w:sz w:val="24"/>
          <w:highlight w:val="none"/>
        </w:rPr>
        <w:t>）、信用中国（网址：</w:t>
      </w:r>
      <w:r>
        <w:rPr>
          <w:color w:val="auto"/>
          <w:sz w:val="24"/>
          <w:highlight w:val="none"/>
        </w:rPr>
        <w:fldChar w:fldCharType="begin"/>
      </w:r>
      <w:r>
        <w:rPr>
          <w:color w:val="auto"/>
          <w:sz w:val="24"/>
          <w:highlight w:val="none"/>
        </w:rPr>
        <w:instrText xml:space="preserve"> HYPERLINK "http://www.creditchina.gov.cn" </w:instrText>
      </w:r>
      <w:r>
        <w:rPr>
          <w:color w:val="auto"/>
          <w:sz w:val="24"/>
          <w:highlight w:val="none"/>
        </w:rPr>
        <w:fldChar w:fldCharType="separate"/>
      </w:r>
      <w:r>
        <w:rPr>
          <w:rFonts w:ascii="宋体" w:hAnsi="宋体" w:cs="Arial"/>
          <w:color w:val="auto"/>
          <w:sz w:val="24"/>
          <w:highlight w:val="none"/>
        </w:rPr>
        <w:t>http://www.creditchina.gov.cn</w:t>
      </w:r>
      <w:r>
        <w:rPr>
          <w:rFonts w:ascii="宋体" w:hAnsi="宋体" w:cs="Arial"/>
          <w:color w:val="auto"/>
          <w:sz w:val="24"/>
          <w:highlight w:val="none"/>
        </w:rPr>
        <w:fldChar w:fldCharType="end"/>
      </w:r>
      <w:r>
        <w:rPr>
          <w:rFonts w:hint="eastAsia" w:ascii="宋体" w:hAnsi="宋体" w:cs="Arial"/>
          <w:color w:val="auto"/>
          <w:sz w:val="24"/>
          <w:highlight w:val="none"/>
        </w:rPr>
        <w:t>）。</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sym w:font="Wingdings" w:char="F082"/>
      </w:r>
      <w:r>
        <w:rPr>
          <w:rFonts w:hint="eastAsia" w:ascii="宋体" w:hAnsi="宋体" w:cs="Arial"/>
          <w:color w:val="auto"/>
          <w:sz w:val="24"/>
          <w:highlight w:val="none"/>
        </w:rPr>
        <w:t>截止时间：开标后评标前。</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sym w:font="Wingdings" w:char="F083"/>
      </w:r>
      <w:r>
        <w:rPr>
          <w:rFonts w:ascii="宋体" w:hAnsi="宋体" w:cs="Arial"/>
          <w:color w:val="auto"/>
          <w:sz w:val="24"/>
          <w:highlight w:val="none"/>
        </w:rPr>
        <w:t>信用信息查询记录和证据留存的具体方式</w:t>
      </w:r>
      <w:r>
        <w:rPr>
          <w:rFonts w:hint="eastAsia" w:ascii="宋体" w:hAnsi="宋体" w:cs="Arial"/>
          <w:color w:val="auto"/>
          <w:sz w:val="24"/>
          <w:highlight w:val="none"/>
        </w:rPr>
        <w:t>：将在规定查询时间内打印信用信息查询记录及相关证据，并将与其他采购文件一并保存。</w:t>
      </w:r>
    </w:p>
    <w:p>
      <w:pPr>
        <w:snapToGrid w:val="0"/>
        <w:spacing w:line="360" w:lineRule="auto"/>
        <w:ind w:firstLine="480" w:firstLineChars="200"/>
        <w:rPr>
          <w:rFonts w:hint="eastAsia" w:ascii="宋体" w:hAnsi="宋体"/>
          <w:color w:val="auto"/>
          <w:sz w:val="24"/>
          <w:highlight w:val="none"/>
        </w:rPr>
      </w:pPr>
      <w:r>
        <w:rPr>
          <w:rFonts w:hint="eastAsia" w:hAnsi="宋体" w:cs="Arial"/>
          <w:color w:val="auto"/>
          <w:sz w:val="24"/>
          <w:highlight w:val="none"/>
        </w:rPr>
        <w:sym w:font="Wingdings" w:char="0084"/>
      </w:r>
      <w:r>
        <w:rPr>
          <w:rFonts w:hint="eastAsia" w:hAnsi="宋体" w:cs="Arial"/>
          <w:color w:val="auto"/>
          <w:sz w:val="24"/>
          <w:highlight w:val="none"/>
        </w:rPr>
        <w:t>使用规则：</w:t>
      </w:r>
      <w:r>
        <w:rPr>
          <w:rFonts w:hint="eastAsia" w:hAnsi="宋体" w:cs="宋体"/>
          <w:color w:val="auto"/>
          <w:sz w:val="24"/>
          <w:highlight w:val="none"/>
        </w:rPr>
        <w:t>对列入失信被执行人、重大税收违法案件当事人名单、政府采购严重违法失信行为记录名单的供应商，拒绝其参与政府采购活动</w:t>
      </w:r>
      <w:r>
        <w:rPr>
          <w:rFonts w:hint="eastAsia" w:hAnsi="宋体" w:cs="宋体"/>
          <w:color w:val="auto"/>
          <w:szCs w:val="21"/>
          <w:highlight w:val="none"/>
        </w:rPr>
        <w:t>。</w:t>
      </w:r>
    </w:p>
    <w:p>
      <w:pPr>
        <w:bidi w:val="0"/>
        <w:jc w:val="center"/>
        <w:rPr>
          <w:b/>
          <w:bCs/>
          <w:sz w:val="28"/>
          <w:szCs w:val="28"/>
        </w:rPr>
      </w:pPr>
      <w:r>
        <w:rPr>
          <w:rFonts w:hint="eastAsia"/>
          <w:b/>
          <w:bCs/>
          <w:sz w:val="28"/>
          <w:szCs w:val="28"/>
        </w:rPr>
        <w:t>二、谈判响应文件</w:t>
      </w:r>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（一）谈判响应文件的组成</w:t>
      </w:r>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color w:val="auto"/>
          <w:kern w:val="0"/>
          <w:sz w:val="24"/>
          <w:highlight w:val="none"/>
        </w:rPr>
        <w:t>供应商应仔细阅读谈判文件的所有内容，按谈判采购文件的要求，详细编制谈判响应文件</w:t>
      </w:r>
      <w:r>
        <w:rPr>
          <w:rFonts w:hAnsi="宋体"/>
          <w:color w:val="auto"/>
          <w:sz w:val="24"/>
          <w:highlight w:val="none"/>
        </w:rPr>
        <w:t>。</w:t>
      </w:r>
      <w:r>
        <w:rPr>
          <w:rFonts w:hint="eastAsia" w:ascii="宋体" w:hAnsi="宋体"/>
          <w:color w:val="auto"/>
          <w:kern w:val="0"/>
          <w:sz w:val="24"/>
          <w:highlight w:val="none"/>
          <w:lang w:val="zh-CN"/>
        </w:rPr>
        <w:t>【特别提示：如有要求提供资料原件的，原件另行包装，并与谈判响应文件一起提交，谈判响应截止时间后所有原件不予接收。资料原件也可以用与原件相符的公证原件替代】</w:t>
      </w:r>
    </w:p>
    <w:p>
      <w:pPr>
        <w:autoSpaceDE w:val="0"/>
        <w:autoSpaceDN w:val="0"/>
        <w:adjustRightInd w:val="0"/>
        <w:snapToGrid w:val="0"/>
        <w:spacing w:line="430" w:lineRule="atLeast"/>
        <w:ind w:firstLine="482" w:firstLineChars="200"/>
        <w:rPr>
          <w:rFonts w:ascii="宋体"/>
          <w:b/>
          <w:bCs/>
          <w:color w:val="auto"/>
          <w:sz w:val="24"/>
          <w:highlight w:val="none"/>
          <w:lang w:val="zh-CN"/>
        </w:rPr>
      </w:pPr>
      <w:r>
        <w:rPr>
          <w:rFonts w:hint="eastAsia" w:ascii="宋体"/>
          <w:b/>
          <w:bCs/>
          <w:color w:val="auto"/>
          <w:sz w:val="24"/>
          <w:highlight w:val="none"/>
        </w:rPr>
        <w:t>（1）谈判文件由</w:t>
      </w:r>
      <w:r>
        <w:rPr>
          <w:rFonts w:hint="eastAsia" w:ascii="宋体"/>
          <w:b/>
          <w:bCs/>
          <w:color w:val="auto"/>
          <w:sz w:val="24"/>
          <w:highlight w:val="none"/>
          <w:lang w:val="en-US" w:eastAsia="zh-CN"/>
        </w:rPr>
        <w:t>资格证明</w:t>
      </w:r>
      <w:r>
        <w:rPr>
          <w:rFonts w:hint="eastAsia" w:ascii="宋体"/>
          <w:b/>
          <w:bCs/>
          <w:color w:val="auto"/>
          <w:sz w:val="24"/>
          <w:highlight w:val="none"/>
        </w:rPr>
        <w:t>部分和商务报价部分二部分组成，须分别装订成册，分别密封。</w:t>
      </w:r>
      <w:r>
        <w:rPr>
          <w:rFonts w:hint="eastAsia" w:ascii="宋体"/>
          <w:b/>
          <w:bCs/>
          <w:color w:val="auto"/>
          <w:sz w:val="24"/>
          <w:highlight w:val="none"/>
          <w:lang w:val="en-US" w:eastAsia="zh-CN"/>
        </w:rPr>
        <w:t>资格证明</w:t>
      </w:r>
      <w:r>
        <w:rPr>
          <w:rFonts w:hint="eastAsia" w:ascii="宋体"/>
          <w:b/>
          <w:bCs/>
          <w:color w:val="auto"/>
          <w:sz w:val="24"/>
          <w:highlight w:val="none"/>
        </w:rPr>
        <w:t>部分不得含报价，否则投标将被拒绝。</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rPr>
          <w:rFonts w:ascii="宋体"/>
          <w:color w:val="auto"/>
          <w:sz w:val="24"/>
          <w:highlight w:val="none"/>
        </w:rPr>
      </w:pPr>
      <w:r>
        <w:rPr>
          <w:rFonts w:hint="eastAsia" w:ascii="宋体"/>
          <w:color w:val="auto"/>
          <w:sz w:val="24"/>
          <w:highlight w:val="none"/>
        </w:rPr>
        <w:t>2.</w:t>
      </w:r>
      <w:r>
        <w:rPr>
          <w:rFonts w:hint="eastAsia" w:ascii="宋体"/>
          <w:color w:val="auto"/>
          <w:sz w:val="24"/>
          <w:highlight w:val="none"/>
          <w:lang w:val="en-US" w:eastAsia="zh-CN"/>
        </w:rPr>
        <w:t>1资格证明</w:t>
      </w:r>
      <w:r>
        <w:rPr>
          <w:rFonts w:hint="eastAsia" w:ascii="宋体"/>
          <w:color w:val="auto"/>
          <w:sz w:val="24"/>
          <w:highlight w:val="none"/>
        </w:rPr>
        <w:t>部分组成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highlight w:val="none"/>
        </w:rPr>
        <w:t>（</w:t>
      </w:r>
      <w:r>
        <w:rPr>
          <w:rFonts w:hint="eastAsia" w:ascii="宋体" w:hAnsi="宋体" w:cs="宋体"/>
          <w:color w:val="000000"/>
          <w:sz w:val="24"/>
          <w:highlight w:val="none"/>
          <w:lang w:val="en-US" w:eastAsia="zh-CN"/>
        </w:rPr>
        <w:t>1</w:t>
      </w:r>
      <w:r>
        <w:rPr>
          <w:rFonts w:hint="eastAsia" w:ascii="宋体" w:hAnsi="宋体" w:eastAsia="宋体" w:cs="宋体"/>
          <w:color w:val="000000"/>
          <w:sz w:val="24"/>
          <w:highlight w:val="none"/>
        </w:rPr>
        <w:t>）</w:t>
      </w:r>
      <w:r>
        <w:rPr>
          <w:rFonts w:hint="eastAsia" w:ascii="宋体" w:hAnsi="宋体" w:eastAsia="宋体" w:cs="宋体"/>
          <w:color w:val="000000"/>
          <w:kern w:val="2"/>
          <w:sz w:val="24"/>
          <w:szCs w:val="24"/>
          <w:highlight w:val="none"/>
          <w:lang w:val="en-US" w:eastAsia="zh-CN" w:bidi="ar-SA"/>
        </w:rPr>
        <w:t>谈判声明书（附件1）；</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highlight w:val="none"/>
        </w:rPr>
        <w:t>（</w:t>
      </w: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rPr>
        <w:t>）</w:t>
      </w:r>
      <w:r>
        <w:rPr>
          <w:rFonts w:hint="eastAsia" w:ascii="宋体" w:hAnsi="宋体" w:eastAsia="宋体" w:cs="宋体"/>
          <w:color w:val="000000"/>
          <w:kern w:val="2"/>
          <w:sz w:val="24"/>
          <w:szCs w:val="24"/>
          <w:highlight w:val="none"/>
          <w:lang w:val="en-US" w:eastAsia="zh-CN" w:bidi="ar-SA"/>
        </w:rPr>
        <w:t>授权委托书（法定代表人亲自办理谈判响应事宜的，则无需提交)（附件2）；</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highlight w:val="none"/>
        </w:rPr>
        <w:t>（</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rPr>
        <w:t>）</w:t>
      </w:r>
      <w:r>
        <w:rPr>
          <w:rFonts w:hint="eastAsia" w:ascii="宋体" w:hAnsi="宋体" w:eastAsia="宋体" w:cs="宋体"/>
          <w:color w:val="000000"/>
          <w:kern w:val="2"/>
          <w:sz w:val="24"/>
          <w:szCs w:val="24"/>
          <w:highlight w:val="none"/>
          <w:lang w:val="en-US" w:eastAsia="zh-CN" w:bidi="ar-SA"/>
        </w:rPr>
        <w:t>供应商情况介绍（附件3）；</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（4）项目实施人员一览表（附件4）；</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（5）提供有效的营业执照复印件；如事业单位参加投标的，则提供有效的《事业单位法人证书》复印件；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（6）提供最近年度的财务状况报告，提供投标截止时间前六个月内（至少提供其中一个月）依法缴纳税收和社会保障资金的相关材料；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（7）具备履行合同所必需的设备和专业技术能力的证明材料(根据项目性质提供)；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（8）提供采购公告中符合供应商特定条件的有效资质证书复印件（投标供应商特定条件中有要求的必须提供，如无，则无需提供），以及需要说明的其他资料（需满足实质性条款）。</w:t>
      </w:r>
    </w:p>
    <w:p>
      <w:pPr>
        <w:keepNext w:val="0"/>
        <w:keepLines w:val="0"/>
        <w:pageBreakBefore w:val="0"/>
        <w:widowControl w:val="0"/>
        <w:kinsoku/>
        <w:wordWrap/>
        <w:overflowPunct/>
        <w:topLinePunct w:val="0"/>
        <w:autoSpaceDE w:val="0"/>
        <w:autoSpaceDN w:val="0"/>
        <w:bidi w:val="0"/>
        <w:adjustRightInd w:val="0"/>
        <w:snapToGrid w:val="0"/>
        <w:spacing w:line="360" w:lineRule="auto"/>
        <w:rPr>
          <w:rFonts w:ascii="宋体"/>
          <w:color w:val="auto"/>
          <w:sz w:val="24"/>
          <w:highlight w:val="none"/>
          <w:lang w:val="zh-CN"/>
        </w:rPr>
      </w:pPr>
      <w:r>
        <w:rPr>
          <w:rFonts w:hint="eastAsia" w:ascii="宋体"/>
          <w:color w:val="auto"/>
          <w:sz w:val="24"/>
          <w:highlight w:val="none"/>
          <w:lang w:val="zh-CN"/>
        </w:rPr>
        <w:t>2.</w:t>
      </w:r>
      <w:r>
        <w:rPr>
          <w:rFonts w:hint="eastAsia" w:ascii="宋体"/>
          <w:color w:val="auto"/>
          <w:sz w:val="24"/>
          <w:highlight w:val="none"/>
          <w:lang w:val="en-US" w:eastAsia="zh-CN"/>
        </w:rPr>
        <w:t>2</w:t>
      </w:r>
      <w:r>
        <w:rPr>
          <w:rFonts w:hint="eastAsia" w:ascii="宋体"/>
          <w:color w:val="auto"/>
          <w:sz w:val="24"/>
          <w:highlight w:val="none"/>
        </w:rPr>
        <w:t>商务报价部分</w:t>
      </w:r>
      <w:r>
        <w:rPr>
          <w:rFonts w:hint="eastAsia" w:ascii="宋体"/>
          <w:color w:val="auto"/>
          <w:sz w:val="24"/>
          <w:highlight w:val="none"/>
          <w:lang w:val="zh-CN"/>
        </w:rPr>
        <w:t>组成</w:t>
      </w:r>
    </w:p>
    <w:p>
      <w:pPr>
        <w:keepNext w:val="0"/>
        <w:keepLines w:val="0"/>
        <w:pageBreakBefore w:val="0"/>
        <w:kinsoku/>
        <w:wordWrap/>
        <w:overflowPunct/>
        <w:topLinePunct w:val="0"/>
        <w:autoSpaceDE w:val="0"/>
        <w:autoSpaceDN w:val="0"/>
        <w:bidi w:val="0"/>
        <w:adjustRightInd w:val="0"/>
        <w:snapToGrid w:val="0"/>
        <w:spacing w:line="360" w:lineRule="auto"/>
        <w:ind w:firstLine="480"/>
        <w:rPr>
          <w:rFonts w:ascii="宋体"/>
          <w:color w:val="auto"/>
          <w:sz w:val="24"/>
          <w:highlight w:val="none"/>
        </w:rPr>
      </w:pPr>
      <w:r>
        <w:rPr>
          <w:rFonts w:hint="eastAsia" w:ascii="宋体" w:hAnsi="宋体" w:eastAsia="宋体" w:cs="宋体"/>
          <w:kern w:val="0"/>
          <w:sz w:val="24"/>
          <w:highlight w:val="none"/>
        </w:rPr>
        <w:t>首次报价一览表（附件5）；</w:t>
      </w:r>
    </w:p>
    <w:p>
      <w:pPr>
        <w:keepNext w:val="0"/>
        <w:keepLines w:val="0"/>
        <w:pageBreakBefore w:val="0"/>
        <w:kinsoku/>
        <w:wordWrap/>
        <w:overflowPunct/>
        <w:topLinePunct w:val="0"/>
        <w:autoSpaceDE w:val="0"/>
        <w:autoSpaceDN w:val="0"/>
        <w:bidi w:val="0"/>
        <w:adjustRightInd w:val="0"/>
        <w:snapToGrid w:val="0"/>
        <w:spacing w:line="360" w:lineRule="auto"/>
        <w:textAlignment w:val="bottom"/>
        <w:rPr>
          <w:rFonts w:ascii="宋体" w:hAnsi="宋体"/>
          <w:color w:val="auto"/>
          <w:kern w:val="0"/>
          <w:sz w:val="24"/>
          <w:highlight w:val="none"/>
        </w:rPr>
      </w:pPr>
      <w:r>
        <w:rPr>
          <w:rFonts w:hint="eastAsia" w:ascii="宋体" w:cs="Times New Roman"/>
          <w:color w:val="auto"/>
          <w:sz w:val="24"/>
          <w:highlight w:val="none"/>
          <w:lang w:val="zh-CN"/>
        </w:rPr>
        <w:t>（2）此报价为供应商针对本项目报出的唯一的首次报价，包含其它一切所要涉及到的费用，有选择的报价将被拒</w:t>
      </w:r>
      <w:r>
        <w:rPr>
          <w:rFonts w:hint="eastAsia" w:ascii="宋体" w:hAnsi="宋体"/>
          <w:color w:val="auto"/>
          <w:kern w:val="0"/>
          <w:sz w:val="24"/>
          <w:highlight w:val="none"/>
        </w:rPr>
        <w:t>绝。</w:t>
      </w:r>
    </w:p>
    <w:p>
      <w:pPr>
        <w:autoSpaceDE w:val="0"/>
        <w:autoSpaceDN w:val="0"/>
        <w:adjustRightInd w:val="0"/>
        <w:spacing w:line="360" w:lineRule="auto"/>
        <w:rPr>
          <w:rFonts w:hint="eastAsia" w:ascii="宋体" w:hAnsi="宋体" w:cs="Times New Roman"/>
          <w:color w:val="auto"/>
          <w:kern w:val="0"/>
          <w:sz w:val="24"/>
          <w:highlight w:val="none"/>
        </w:rPr>
      </w:pPr>
      <w:r>
        <w:rPr>
          <w:rFonts w:hint="eastAsia" w:ascii="宋体" w:hAnsi="宋体" w:cs="Times New Roman"/>
          <w:color w:val="auto"/>
          <w:kern w:val="0"/>
          <w:sz w:val="24"/>
          <w:highlight w:val="none"/>
          <w:lang w:val="zh-CN"/>
        </w:rPr>
        <w:t>（</w:t>
      </w:r>
      <w:r>
        <w:rPr>
          <w:rFonts w:hint="eastAsia" w:ascii="宋体" w:hAnsi="宋体" w:cs="Times New Roman"/>
          <w:color w:val="auto"/>
          <w:kern w:val="0"/>
          <w:sz w:val="24"/>
          <w:highlight w:val="none"/>
        </w:rPr>
        <w:t>3</w:t>
      </w:r>
      <w:r>
        <w:rPr>
          <w:rFonts w:hint="eastAsia" w:ascii="宋体" w:hAnsi="宋体" w:cs="Times New Roman"/>
          <w:color w:val="auto"/>
          <w:kern w:val="0"/>
          <w:sz w:val="24"/>
          <w:highlight w:val="none"/>
          <w:lang w:val="zh-CN"/>
        </w:rPr>
        <w:t>）</w:t>
      </w:r>
      <w:r>
        <w:rPr>
          <w:rFonts w:hint="eastAsia" w:ascii="宋体" w:hAnsi="宋体" w:cs="Times New Roman"/>
          <w:color w:val="auto"/>
          <w:kern w:val="0"/>
          <w:sz w:val="24"/>
          <w:highlight w:val="none"/>
        </w:rPr>
        <w:t>投标报价包括本项目采购需求和投入使用的所有费用，包括但不限于主件、标准附件、备品备件、施工、服务、专用工具、安装、调试、检验、培训、运输、保险、税款等。</w:t>
      </w:r>
    </w:p>
    <w:p>
      <w:pPr>
        <w:snapToGrid w:val="0"/>
        <w:spacing w:line="360" w:lineRule="auto"/>
        <w:rPr>
          <w:rFonts w:ascii="宋体" w:hAnsi="宋体"/>
          <w:color w:val="auto"/>
          <w:kern w:val="0"/>
          <w:sz w:val="24"/>
          <w:highlight w:val="none"/>
          <w:lang w:val="zh-CN"/>
        </w:rPr>
      </w:pPr>
      <w:r>
        <w:rPr>
          <w:rFonts w:hint="eastAsia" w:ascii="宋体" w:hAnsi="宋体"/>
          <w:color w:val="auto"/>
          <w:kern w:val="0"/>
          <w:sz w:val="24"/>
          <w:highlight w:val="none"/>
          <w:lang w:val="zh-CN"/>
        </w:rPr>
        <w:t>（</w:t>
      </w:r>
      <w:r>
        <w:rPr>
          <w:rFonts w:hint="eastAsia" w:ascii="宋体" w:hAnsi="宋体"/>
          <w:color w:val="auto"/>
          <w:kern w:val="0"/>
          <w:sz w:val="24"/>
          <w:highlight w:val="none"/>
        </w:rPr>
        <w:t>4</w:t>
      </w:r>
      <w:r>
        <w:rPr>
          <w:rFonts w:hint="eastAsia" w:ascii="宋体" w:hAnsi="宋体"/>
          <w:color w:val="auto"/>
          <w:kern w:val="0"/>
          <w:sz w:val="24"/>
          <w:highlight w:val="none"/>
          <w:lang w:val="zh-CN"/>
        </w:rPr>
        <w:t>）</w:t>
      </w:r>
      <w:r>
        <w:rPr>
          <w:rFonts w:hint="eastAsia" w:ascii="宋体" w:hAnsi="宋体"/>
          <w:color w:val="auto"/>
          <w:kern w:val="0"/>
          <w:sz w:val="24"/>
          <w:highlight w:val="none"/>
        </w:rPr>
        <w:t>政府采购优惠政策相关资料、产品适用政府采购政策情况表（如有）。</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olor w:val="auto"/>
          <w:kern w:val="0"/>
          <w:sz w:val="24"/>
          <w:highlight w:val="none"/>
        </w:rPr>
      </w:pPr>
      <w:r>
        <w:rPr>
          <w:rFonts w:hint="eastAsia" w:ascii="宋体" w:hAnsi="宋体"/>
          <w:color w:val="auto"/>
          <w:kern w:val="0"/>
          <w:sz w:val="24"/>
          <w:highlight w:val="none"/>
        </w:rPr>
        <w:t>（5）相关报价单需打印或用不退色的墨水填写，谈判报价单不得涂改和增删，如有错漏必须修改，修改处须由同一签署人签字或盖章。由于字迹模糊或表达不清引起的后果由供应商负责。</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b/>
          <w:bCs/>
          <w:color w:val="auto"/>
          <w:kern w:val="0"/>
          <w:sz w:val="24"/>
          <w:highlight w:val="none"/>
        </w:rPr>
      </w:pPr>
      <w:r>
        <w:rPr>
          <w:rFonts w:hint="eastAsia" w:ascii="宋体" w:hAnsi="宋体"/>
          <w:color w:val="auto"/>
          <w:sz w:val="24"/>
          <w:highlight w:val="none"/>
        </w:rPr>
        <w:t>（</w:t>
      </w:r>
      <w:r>
        <w:rPr>
          <w:rFonts w:hint="eastAsia" w:ascii="宋体" w:hAnsi="宋体"/>
          <w:color w:val="auto"/>
          <w:kern w:val="0"/>
          <w:sz w:val="24"/>
          <w:highlight w:val="none"/>
        </w:rPr>
        <w:t>6</w:t>
      </w:r>
      <w:r>
        <w:rPr>
          <w:rFonts w:hint="eastAsia" w:ascii="宋体" w:hAnsi="宋体"/>
          <w:color w:val="auto"/>
          <w:sz w:val="24"/>
          <w:highlight w:val="none"/>
        </w:rPr>
        <w:t>）</w:t>
      </w:r>
      <w:r>
        <w:rPr>
          <w:rFonts w:ascii="宋体" w:hAnsi="宋体"/>
          <w:color w:val="auto"/>
          <w:sz w:val="24"/>
          <w:highlight w:val="none"/>
        </w:rPr>
        <w:t>报价</w:t>
      </w:r>
      <w:r>
        <w:rPr>
          <w:rFonts w:hint="eastAsia" w:ascii="宋体" w:hAnsi="宋体"/>
          <w:color w:val="auto"/>
          <w:sz w:val="24"/>
          <w:highlight w:val="none"/>
        </w:rPr>
        <w:t>有关表格</w:t>
      </w:r>
      <w:r>
        <w:rPr>
          <w:rFonts w:ascii="宋体" w:hAnsi="宋体"/>
          <w:color w:val="auto"/>
          <w:sz w:val="24"/>
          <w:highlight w:val="none"/>
        </w:rPr>
        <w:t>应按</w:t>
      </w:r>
      <w:r>
        <w:rPr>
          <w:rFonts w:hint="eastAsia" w:ascii="宋体" w:hAnsi="宋体"/>
          <w:color w:val="auto"/>
          <w:sz w:val="24"/>
          <w:highlight w:val="none"/>
        </w:rPr>
        <w:t>谈判采购</w:t>
      </w:r>
      <w:r>
        <w:rPr>
          <w:rFonts w:ascii="宋体" w:hAnsi="宋体"/>
          <w:color w:val="auto"/>
          <w:sz w:val="24"/>
          <w:highlight w:val="none"/>
        </w:rPr>
        <w:t>文件中相关附表格式填写。</w:t>
      </w:r>
    </w:p>
    <w:p>
      <w:pPr>
        <w:keepNext w:val="0"/>
        <w:keepLines w:val="0"/>
        <w:pageBreakBefore w:val="0"/>
        <w:widowControl w:val="0"/>
        <w:numPr>
          <w:ilvl w:val="0"/>
          <w:numId w:val="3"/>
        </w:numPr>
        <w:kinsoku/>
        <w:wordWrap/>
        <w:overflowPunct/>
        <w:topLinePunct w:val="0"/>
        <w:bidi w:val="0"/>
        <w:snapToGrid/>
        <w:spacing w:line="360" w:lineRule="auto"/>
        <w:textAlignment w:val="auto"/>
        <w:rPr>
          <w:rFonts w:ascii="宋体" w:hAnsi="宋体"/>
          <w:b/>
          <w:bCs/>
          <w:color w:val="auto"/>
          <w:kern w:val="0"/>
          <w:sz w:val="24"/>
          <w:highlight w:val="none"/>
        </w:rPr>
      </w:pPr>
      <w:r>
        <w:rPr>
          <w:rFonts w:hint="eastAsia" w:ascii="宋体" w:hAnsi="宋体"/>
          <w:b/>
          <w:bCs/>
          <w:color w:val="auto"/>
          <w:kern w:val="0"/>
          <w:sz w:val="24"/>
          <w:highlight w:val="none"/>
        </w:rPr>
        <w:t>谈判响应文件的制作、封装及递交要求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kern w:val="0"/>
          <w:sz w:val="24"/>
          <w:highlight w:val="none"/>
        </w:rPr>
        <w:t>谈判响应</w:t>
      </w:r>
      <w:r>
        <w:rPr>
          <w:rFonts w:hint="eastAsia" w:ascii="宋体" w:hAnsi="宋体"/>
          <w:b/>
          <w:bCs/>
          <w:color w:val="auto"/>
          <w:sz w:val="24"/>
          <w:highlight w:val="none"/>
        </w:rPr>
        <w:t>文件的制作要求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hAnsi="宋体"/>
          <w:color w:val="auto"/>
          <w:kern w:val="0"/>
          <w:sz w:val="24"/>
          <w:highlight w:val="none"/>
        </w:rPr>
      </w:pPr>
      <w:r>
        <w:rPr>
          <w:rFonts w:hint="eastAsia" w:ascii="宋体" w:hAnsi="宋体"/>
          <w:color w:val="auto"/>
          <w:sz w:val="24"/>
          <w:highlight w:val="none"/>
        </w:rPr>
        <w:t>（1）谈判人应按照谈判文件组成内容及项目采购需求制作谈判响应文件，</w:t>
      </w:r>
      <w:r>
        <w:rPr>
          <w:rFonts w:hint="eastAsia" w:ascii="宋体" w:hAnsi="宋体"/>
          <w:color w:val="auto"/>
          <w:kern w:val="0"/>
          <w:sz w:val="24"/>
          <w:highlight w:val="none"/>
        </w:rPr>
        <w:t>不按谈判采购文件要求制作谈判响应文件的将视情处理（拒收、扣分等），由此产生的责任由谈判人自行承担。</w:t>
      </w:r>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olor w:val="auto"/>
          <w:sz w:val="24"/>
          <w:highlight w:val="none"/>
        </w:rPr>
        <w:t>（2）谈判人应对所提供的全部资料的真实性承担法律责任，谈判响应</w:t>
      </w:r>
      <w:r>
        <w:rPr>
          <w:rFonts w:hint="eastAsia" w:ascii="宋体" w:hAnsi="宋体"/>
          <w:color w:val="auto"/>
          <w:kern w:val="0"/>
          <w:sz w:val="24"/>
          <w:highlight w:val="none"/>
          <w:lang w:val="zh-CN"/>
        </w:rPr>
        <w:t>文件内容中有要求盖章或签字的地方必须加盖谈判人的公章以及法定代表人或全权代表的盖章或签字。</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lang w:val="zh-CN"/>
        </w:rPr>
        <w:t>（</w:t>
      </w:r>
      <w:r>
        <w:rPr>
          <w:rFonts w:hint="eastAsia" w:ascii="宋体" w:hAnsi="宋体"/>
          <w:color w:val="auto"/>
          <w:kern w:val="0"/>
          <w:sz w:val="24"/>
          <w:highlight w:val="none"/>
        </w:rPr>
        <w:t>3</w:t>
      </w:r>
      <w:r>
        <w:rPr>
          <w:rFonts w:hint="eastAsia" w:ascii="宋体" w:hAnsi="宋体"/>
          <w:color w:val="auto"/>
          <w:kern w:val="0"/>
          <w:sz w:val="24"/>
          <w:highlight w:val="none"/>
          <w:lang w:val="zh-CN"/>
        </w:rPr>
        <w:t>）谈判响应</w:t>
      </w:r>
      <w:r>
        <w:rPr>
          <w:rFonts w:ascii="宋体" w:hAnsi="宋体"/>
          <w:color w:val="auto"/>
          <w:sz w:val="24"/>
          <w:highlight w:val="none"/>
        </w:rPr>
        <w:t>文件以及</w:t>
      </w:r>
      <w:r>
        <w:rPr>
          <w:rFonts w:hint="eastAsia" w:ascii="宋体" w:hAnsi="宋体"/>
          <w:color w:val="auto"/>
          <w:sz w:val="24"/>
          <w:highlight w:val="none"/>
        </w:rPr>
        <w:t>谈判供应商</w:t>
      </w:r>
      <w:r>
        <w:rPr>
          <w:rFonts w:ascii="宋体" w:hAnsi="宋体"/>
          <w:color w:val="auto"/>
          <w:sz w:val="24"/>
          <w:highlight w:val="none"/>
        </w:rPr>
        <w:t>与</w:t>
      </w:r>
      <w:r>
        <w:rPr>
          <w:rFonts w:hint="eastAsia" w:ascii="宋体" w:hAnsi="宋体"/>
          <w:color w:val="auto"/>
          <w:sz w:val="24"/>
          <w:highlight w:val="none"/>
        </w:rPr>
        <w:t>采购组织机构</w:t>
      </w:r>
      <w:r>
        <w:rPr>
          <w:rFonts w:ascii="宋体" w:hAnsi="宋体"/>
          <w:color w:val="auto"/>
          <w:sz w:val="24"/>
          <w:highlight w:val="none"/>
        </w:rPr>
        <w:t>就有关</w:t>
      </w:r>
      <w:r>
        <w:rPr>
          <w:rFonts w:hint="eastAsia" w:ascii="宋体" w:hAnsi="宋体"/>
          <w:color w:val="auto"/>
          <w:sz w:val="24"/>
          <w:highlight w:val="none"/>
        </w:rPr>
        <w:t>谈判响应</w:t>
      </w:r>
      <w:r>
        <w:rPr>
          <w:rFonts w:ascii="宋体" w:hAnsi="宋体"/>
          <w:color w:val="auto"/>
          <w:sz w:val="24"/>
          <w:highlight w:val="none"/>
        </w:rPr>
        <w:t>事宜的所有来往函电，均应以中文汉语书写。除</w:t>
      </w:r>
      <w:r>
        <w:rPr>
          <w:rFonts w:hint="eastAsia" w:ascii="宋体" w:hAnsi="宋体"/>
          <w:color w:val="auto"/>
          <w:sz w:val="24"/>
          <w:highlight w:val="none"/>
        </w:rPr>
        <w:t>签字</w:t>
      </w:r>
      <w:r>
        <w:rPr>
          <w:rFonts w:ascii="宋体" w:hAnsi="宋体"/>
          <w:color w:val="auto"/>
          <w:sz w:val="24"/>
          <w:highlight w:val="none"/>
        </w:rPr>
        <w:t>、盖章、专用名称等特殊情形外，以中文汉语以外的文字表述的谈判响应文件视同未提供。</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（4）谈判</w:t>
      </w:r>
      <w:r>
        <w:rPr>
          <w:rFonts w:ascii="宋体" w:hAnsi="宋体"/>
          <w:color w:val="auto"/>
          <w:sz w:val="24"/>
          <w:highlight w:val="none"/>
        </w:rPr>
        <w:t>计量单位，</w:t>
      </w:r>
      <w:r>
        <w:rPr>
          <w:rFonts w:hint="eastAsia" w:ascii="宋体" w:hAnsi="宋体"/>
          <w:color w:val="auto"/>
          <w:sz w:val="24"/>
          <w:highlight w:val="none"/>
        </w:rPr>
        <w:t>谈判</w:t>
      </w:r>
      <w:r>
        <w:rPr>
          <w:rFonts w:ascii="宋体" w:hAnsi="宋体"/>
          <w:color w:val="auto"/>
          <w:sz w:val="24"/>
          <w:highlight w:val="none"/>
        </w:rPr>
        <w:t>文件已有明确规定的，使用</w:t>
      </w:r>
      <w:r>
        <w:rPr>
          <w:rFonts w:hint="eastAsia" w:ascii="宋体" w:hAnsi="宋体"/>
          <w:color w:val="auto"/>
          <w:sz w:val="24"/>
          <w:highlight w:val="none"/>
        </w:rPr>
        <w:t>谈判</w:t>
      </w:r>
      <w:r>
        <w:rPr>
          <w:rFonts w:ascii="宋体" w:hAnsi="宋体"/>
          <w:color w:val="auto"/>
          <w:sz w:val="24"/>
          <w:highlight w:val="none"/>
        </w:rPr>
        <w:t>文件规定的计量单位；</w:t>
      </w:r>
      <w:r>
        <w:rPr>
          <w:rFonts w:hint="eastAsia" w:ascii="宋体" w:hAnsi="宋体"/>
          <w:color w:val="auto"/>
          <w:sz w:val="24"/>
          <w:highlight w:val="none"/>
        </w:rPr>
        <w:t>谈判</w:t>
      </w:r>
      <w:r>
        <w:rPr>
          <w:rFonts w:ascii="宋体" w:hAnsi="宋体"/>
          <w:color w:val="auto"/>
          <w:sz w:val="24"/>
          <w:highlight w:val="none"/>
        </w:rPr>
        <w:t>文件没有规定的，应采用中华人民共和国法定计量单位（货币单位：人民币元）。</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若</w:t>
      </w:r>
      <w:r>
        <w:rPr>
          <w:rFonts w:hint="eastAsia" w:ascii="宋体" w:hAnsi="宋体"/>
          <w:color w:val="auto"/>
          <w:sz w:val="24"/>
          <w:highlight w:val="none"/>
        </w:rPr>
        <w:t>供应商</w:t>
      </w:r>
      <w:r>
        <w:rPr>
          <w:rFonts w:ascii="宋体" w:hAnsi="宋体"/>
          <w:color w:val="auto"/>
          <w:sz w:val="24"/>
          <w:highlight w:val="none"/>
        </w:rPr>
        <w:t>不按</w:t>
      </w:r>
      <w:r>
        <w:rPr>
          <w:rFonts w:hint="eastAsia" w:ascii="宋体" w:hAnsi="宋体"/>
          <w:color w:val="auto"/>
          <w:sz w:val="24"/>
          <w:highlight w:val="none"/>
        </w:rPr>
        <w:t>谈判</w:t>
      </w:r>
      <w:r>
        <w:rPr>
          <w:rFonts w:ascii="宋体" w:hAnsi="宋体"/>
          <w:color w:val="auto"/>
          <w:sz w:val="24"/>
          <w:highlight w:val="none"/>
        </w:rPr>
        <w:t>文件的要求提供资格审查材料，其风险由</w:t>
      </w:r>
      <w:r>
        <w:rPr>
          <w:rFonts w:hint="eastAsia" w:ascii="宋体" w:hAnsi="宋体"/>
          <w:color w:val="auto"/>
          <w:sz w:val="24"/>
          <w:highlight w:val="none"/>
        </w:rPr>
        <w:t>供应商</w:t>
      </w:r>
      <w:r>
        <w:rPr>
          <w:rFonts w:ascii="宋体" w:hAnsi="宋体"/>
          <w:color w:val="auto"/>
          <w:sz w:val="24"/>
          <w:highlight w:val="none"/>
        </w:rPr>
        <w:t>自行承担。</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kern w:val="0"/>
          <w:sz w:val="24"/>
          <w:highlight w:val="none"/>
        </w:rPr>
        <w:t>（6）</w:t>
      </w:r>
      <w:r>
        <w:rPr>
          <w:rFonts w:hint="eastAsia" w:ascii="宋体" w:hAnsi="宋体"/>
          <w:color w:val="auto"/>
          <w:sz w:val="24"/>
          <w:highlight w:val="none"/>
        </w:rPr>
        <w:t>与本次谈判无关的内容请不要制作在内，确保谈判文件有针对性、简洁明了，同时节约纸张；谈判响应文件建议以A4纸大小双面打印并装订。</w:t>
      </w:r>
    </w:p>
    <w:p>
      <w:pPr>
        <w:autoSpaceDE w:val="0"/>
        <w:autoSpaceDN w:val="0"/>
        <w:adjustRightIn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2、谈判响应文件的封装要求</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（1）谈判响应文件份数：谈判响应文件共3</w:t>
      </w:r>
      <w:r>
        <w:rPr>
          <w:rFonts w:hint="eastAsia" w:ascii="宋体" w:hAnsi="宋体"/>
          <w:bCs/>
          <w:color w:val="auto"/>
          <w:sz w:val="24"/>
          <w:highlight w:val="none"/>
          <w:lang w:val="zh-CN"/>
        </w:rPr>
        <w:t>份</w:t>
      </w:r>
      <w:r>
        <w:rPr>
          <w:rFonts w:hint="eastAsia" w:ascii="宋体"/>
          <w:bCs/>
          <w:color w:val="auto"/>
          <w:sz w:val="24"/>
          <w:highlight w:val="none"/>
          <w:lang w:val="zh-CN"/>
        </w:rPr>
        <w:t>（正本副本</w:t>
      </w:r>
      <w:r>
        <w:rPr>
          <w:rFonts w:hint="eastAsia" w:ascii="宋体" w:hAnsi="宋体"/>
          <w:color w:val="auto"/>
          <w:kern w:val="0"/>
          <w:sz w:val="24"/>
          <w:highlight w:val="none"/>
        </w:rPr>
        <w:t>，封装成一袋）。谈判响应文件的正本封面必须注明“正本”字样，副本可以采用正本的复印件。如有不同标段，请按标段号分别装订，密封要求同上。</w:t>
      </w:r>
    </w:p>
    <w:p>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kern w:val="0"/>
          <w:sz w:val="24"/>
          <w:highlight w:val="none"/>
        </w:rPr>
        <w:t>（2）所有谈判响应资料按谈判</w:t>
      </w:r>
      <w:r>
        <w:rPr>
          <w:rFonts w:hint="eastAsia" w:ascii="宋体" w:hAnsi="宋体"/>
          <w:color w:val="auto"/>
          <w:sz w:val="24"/>
          <w:highlight w:val="none"/>
        </w:rPr>
        <w:t>采购文件</w:t>
      </w:r>
      <w:r>
        <w:rPr>
          <w:rFonts w:hint="eastAsia" w:ascii="宋体" w:hAnsi="宋体"/>
          <w:color w:val="auto"/>
          <w:kern w:val="0"/>
          <w:sz w:val="24"/>
          <w:highlight w:val="none"/>
        </w:rPr>
        <w:t>的组成所列</w:t>
      </w:r>
      <w:r>
        <w:rPr>
          <w:rFonts w:hint="eastAsia" w:ascii="宋体" w:hAnsi="宋体"/>
          <w:color w:val="auto"/>
          <w:sz w:val="24"/>
          <w:highlight w:val="none"/>
        </w:rPr>
        <w:t>内容及顺序装订成册，</w:t>
      </w:r>
      <w:r>
        <w:rPr>
          <w:rFonts w:hint="eastAsia" w:ascii="宋体" w:hAnsi="宋体"/>
          <w:color w:val="auto"/>
          <w:sz w:val="24"/>
          <w:highlight w:val="none"/>
          <w:lang w:val="zh-CN"/>
        </w:rPr>
        <w:t>并逐页连续标注页码。因谈判响应文件内容不完整、编排混乱导致谈判响应文件被误读、漏读或者查找不到相关内容的责任由</w:t>
      </w:r>
      <w:r>
        <w:rPr>
          <w:rFonts w:hint="eastAsia" w:ascii="宋体" w:hAnsi="宋体"/>
          <w:color w:val="auto"/>
          <w:sz w:val="24"/>
          <w:highlight w:val="none"/>
        </w:rPr>
        <w:t>供应商</w:t>
      </w:r>
      <w:r>
        <w:rPr>
          <w:rFonts w:hint="eastAsia" w:ascii="宋体" w:hAnsi="宋体"/>
          <w:color w:val="auto"/>
          <w:sz w:val="24"/>
          <w:highlight w:val="none"/>
          <w:lang w:val="zh-CN"/>
        </w:rPr>
        <w:t>自行承担。</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（3）请在密封袋的封口处应有谈判单位公章或谈判全权代表签字。封皮上写明谈判响应项目名称、</w:t>
      </w:r>
      <w:r>
        <w:rPr>
          <w:rFonts w:hint="eastAsia" w:ascii="宋体" w:hAnsi="宋体"/>
          <w:color w:val="auto"/>
          <w:sz w:val="24"/>
          <w:highlight w:val="none"/>
        </w:rPr>
        <w:t>供应商</w:t>
      </w:r>
      <w:r>
        <w:rPr>
          <w:rFonts w:hint="eastAsia" w:ascii="宋体" w:hAnsi="宋体"/>
          <w:color w:val="auto"/>
          <w:kern w:val="0"/>
          <w:sz w:val="24"/>
          <w:highlight w:val="none"/>
        </w:rPr>
        <w:t>名称，并注明“谈判响应文件名称”、“谈判时启封”字样，未按上述要求密封及加写标记，采购组织机构对谈判响应文件的误投和提前启封不负责任。</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（4）项目如分标段，各标段谈判响应文件必须分开编制，并按上述份数要求单独密封包装。</w:t>
      </w:r>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rPr>
        <w:t>（5）</w:t>
      </w:r>
      <w:r>
        <w:rPr>
          <w:rFonts w:hint="eastAsia" w:ascii="宋体" w:hAnsi="宋体"/>
          <w:color w:val="auto"/>
          <w:kern w:val="0"/>
          <w:sz w:val="24"/>
          <w:highlight w:val="none"/>
          <w:lang w:val="zh-CN"/>
        </w:rPr>
        <w:t>因密封不严、标记不明而造成失密、拒收、过早启封等情况，</w:t>
      </w:r>
      <w:r>
        <w:rPr>
          <w:rFonts w:hint="eastAsia" w:ascii="宋体" w:hAnsi="宋体"/>
          <w:color w:val="auto"/>
          <w:sz w:val="24"/>
          <w:highlight w:val="none"/>
        </w:rPr>
        <w:t>采购文件</w:t>
      </w:r>
      <w:r>
        <w:rPr>
          <w:rFonts w:hint="eastAsia" w:ascii="宋体" w:hAnsi="宋体"/>
          <w:color w:val="auto"/>
          <w:kern w:val="0"/>
          <w:sz w:val="24"/>
          <w:highlight w:val="none"/>
          <w:lang w:val="zh-CN"/>
        </w:rPr>
        <w:t>概不负责。</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kern w:val="0"/>
          <w:sz w:val="24"/>
          <w:highlight w:val="none"/>
        </w:rPr>
        <w:t>3、</w:t>
      </w:r>
      <w:r>
        <w:rPr>
          <w:rFonts w:hint="eastAsia" w:ascii="宋体" w:hAnsi="宋体"/>
          <w:color w:val="auto"/>
          <w:sz w:val="24"/>
          <w:highlight w:val="none"/>
        </w:rPr>
        <w:t>谈判响应文件的递交要求</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sz w:val="24"/>
          <w:highlight w:val="none"/>
        </w:rPr>
        <w:t>谈判响应</w:t>
      </w:r>
      <w:r>
        <w:rPr>
          <w:rFonts w:hint="eastAsia" w:ascii="宋体" w:hAnsi="宋体"/>
          <w:color w:val="auto"/>
          <w:kern w:val="0"/>
          <w:sz w:val="24"/>
          <w:highlight w:val="none"/>
        </w:rPr>
        <w:t>文件必须在规定时间前派人送达指定的谈判地点。</w:t>
      </w:r>
      <w:r>
        <w:rPr>
          <w:rFonts w:hint="eastAsia" w:ascii="宋体" w:hAnsi="宋体"/>
          <w:color w:val="auto"/>
          <w:sz w:val="24"/>
          <w:highlight w:val="none"/>
        </w:rPr>
        <w:t>谈判响应</w:t>
      </w:r>
      <w:r>
        <w:rPr>
          <w:rFonts w:hint="eastAsia" w:ascii="宋体" w:hAnsi="宋体"/>
          <w:color w:val="auto"/>
          <w:kern w:val="0"/>
          <w:sz w:val="24"/>
          <w:highlight w:val="none"/>
        </w:rPr>
        <w:t>文件在截止时间后提交，采购组织机构将将拒绝接收。</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（2）如有特殊情况，采购组织机构延长截止时间和谈判时间，采购组织机构和</w:t>
      </w:r>
      <w:r>
        <w:rPr>
          <w:rFonts w:hint="eastAsia" w:ascii="宋体" w:hAnsi="宋体"/>
          <w:color w:val="auto"/>
          <w:sz w:val="24"/>
          <w:highlight w:val="none"/>
        </w:rPr>
        <w:t>供应商</w:t>
      </w:r>
      <w:r>
        <w:rPr>
          <w:rFonts w:hint="eastAsia" w:ascii="宋体" w:hAnsi="宋体"/>
          <w:color w:val="auto"/>
          <w:kern w:val="0"/>
          <w:sz w:val="24"/>
          <w:highlight w:val="none"/>
        </w:rPr>
        <w:t>的权利和义务将受到新的截止时间和谈判时间的约束。</w:t>
      </w:r>
    </w:p>
    <w:p>
      <w:pPr>
        <w:tabs>
          <w:tab w:val="left" w:pos="189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4、谈判响应文件的补充、修改和撤回。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sz w:val="24"/>
          <w:highlight w:val="none"/>
        </w:rPr>
        <w:t>供应商</w:t>
      </w:r>
      <w:r>
        <w:rPr>
          <w:rFonts w:hint="eastAsia" w:ascii="宋体" w:hAnsi="宋体"/>
          <w:color w:val="auto"/>
          <w:kern w:val="0"/>
          <w:sz w:val="24"/>
          <w:highlight w:val="none"/>
        </w:rPr>
        <w:t>如需对上交的谈判响应文件进行补充、修改或撤回的，必须在谈判响应截止时间</w:t>
      </w:r>
      <w:r>
        <w:rPr>
          <w:rFonts w:hint="eastAsia" w:ascii="宋体"/>
          <w:color w:val="auto"/>
          <w:kern w:val="0"/>
          <w:sz w:val="24"/>
          <w:highlight w:val="none"/>
        </w:rPr>
        <w:t>以前将书面的修改文件或撤消通知送达</w:t>
      </w:r>
      <w:r>
        <w:rPr>
          <w:rFonts w:hint="eastAsia" w:ascii="宋体" w:hAnsi="宋体"/>
          <w:color w:val="auto"/>
          <w:sz w:val="24"/>
          <w:highlight w:val="none"/>
        </w:rPr>
        <w:t>采购组织机构</w:t>
      </w:r>
      <w:r>
        <w:rPr>
          <w:rFonts w:hint="eastAsia" w:ascii="宋体"/>
          <w:color w:val="auto"/>
          <w:kern w:val="0"/>
          <w:sz w:val="24"/>
          <w:highlight w:val="none"/>
        </w:rPr>
        <w:t>。</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（2）谈判修改文件必须密封，在密封袋上写明谈判项目名称、</w:t>
      </w:r>
      <w:r>
        <w:rPr>
          <w:rFonts w:hint="eastAsia" w:ascii="宋体" w:hAnsi="宋体"/>
          <w:color w:val="auto"/>
          <w:sz w:val="24"/>
          <w:highlight w:val="none"/>
        </w:rPr>
        <w:t>供应商</w:t>
      </w:r>
      <w:r>
        <w:rPr>
          <w:rFonts w:hint="eastAsia" w:ascii="宋体" w:hAnsi="宋体"/>
          <w:color w:val="auto"/>
          <w:kern w:val="0"/>
          <w:sz w:val="24"/>
          <w:highlight w:val="none"/>
        </w:rPr>
        <w:t>名称、并注明“修改文件”、“谈判时启封”字样，其作为谈判响应文件的组成部份。</w:t>
      </w:r>
    </w:p>
    <w:p>
      <w:pPr>
        <w:tabs>
          <w:tab w:val="left" w:pos="1898"/>
        </w:tabs>
        <w:autoSpaceDE w:val="0"/>
        <w:autoSpaceDN w:val="0"/>
        <w:adjustRightInd w:val="0"/>
        <w:spacing w:line="360" w:lineRule="auto"/>
        <w:rPr>
          <w:rFonts w:ascii="宋体" w:hAnsi="宋体"/>
          <w:b/>
          <w:color w:val="auto"/>
          <w:kern w:val="0"/>
          <w:sz w:val="24"/>
          <w:highlight w:val="none"/>
        </w:rPr>
      </w:pPr>
      <w:r>
        <w:rPr>
          <w:rFonts w:hint="eastAsia" w:ascii="宋体" w:hAnsi="宋体"/>
          <w:b/>
          <w:color w:val="auto"/>
          <w:kern w:val="0"/>
          <w:sz w:val="24"/>
          <w:highlight w:val="none"/>
        </w:rPr>
        <w:t>（三）谈判响应文件的有效期</w:t>
      </w:r>
    </w:p>
    <w:p>
      <w:pPr>
        <w:pStyle w:val="8"/>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rPr>
      </w:pPr>
      <w:r>
        <w:rPr>
          <w:rFonts w:hint="eastAsia" w:ascii="宋体" w:hAnsi="宋体"/>
          <w:color w:val="auto"/>
          <w:sz w:val="24"/>
          <w:highlight w:val="none"/>
        </w:rPr>
        <w:t>自谈判响应截止日起90天谈判响应文件应保持有效。有效期不足的谈判响应文件将被拒绝。</w:t>
      </w:r>
    </w:p>
    <w:p>
      <w:pPr>
        <w:pStyle w:val="8"/>
        <w:tabs>
          <w:tab w:val="left" w:pos="454"/>
          <w:tab w:val="left" w:pos="720"/>
          <w:tab w:val="left" w:pos="1200"/>
        </w:tabs>
        <w:snapToGrid w:val="0"/>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在特殊情况下，采购人可与供应商协商延长谈判响应文件的有效期，这种要求和答复均以书面形式进行。</w:t>
      </w:r>
    </w:p>
    <w:p>
      <w:pPr>
        <w:pStyle w:val="8"/>
        <w:numPr>
          <w:ilvl w:val="0"/>
          <w:numId w:val="0"/>
        </w:numPr>
        <w:tabs>
          <w:tab w:val="left" w:pos="0"/>
          <w:tab w:val="left" w:pos="720"/>
          <w:tab w:val="left" w:pos="1200"/>
        </w:tabs>
        <w:snapToGrid w:val="0"/>
        <w:spacing w:line="360" w:lineRule="auto"/>
        <w:ind w:firstLine="420" w:firstLineChars="175"/>
        <w:rPr>
          <w:rFonts w:ascii="宋体" w:hAnsi="宋体"/>
          <w:b/>
          <w:color w:val="auto"/>
          <w:sz w:val="24"/>
          <w:highlight w:val="none"/>
        </w:rPr>
      </w:pPr>
      <w:r>
        <w:rPr>
          <w:rFonts w:hint="eastAsia" w:ascii="宋体" w:hAnsi="宋体"/>
          <w:color w:val="auto"/>
          <w:sz w:val="24"/>
          <w:highlight w:val="none"/>
        </w:rPr>
        <w:t>3.供应商可拒绝接受延期要求而不会导致谈判保证金被没收。同意延长有效期的供应商需要相应延长谈判</w:t>
      </w:r>
      <w:r>
        <w:rPr>
          <w:rFonts w:ascii="宋体" w:hAnsi="宋体"/>
          <w:color w:val="auto"/>
          <w:sz w:val="24"/>
          <w:highlight w:val="none"/>
        </w:rPr>
        <w:t>保证金的有效期，但不能修改谈判响应文件。</w:t>
      </w:r>
    </w:p>
    <w:p>
      <w:pPr>
        <w:pStyle w:val="8"/>
        <w:numPr>
          <w:ilvl w:val="0"/>
          <w:numId w:val="0"/>
        </w:numPr>
        <w:tabs>
          <w:tab w:val="left" w:pos="0"/>
          <w:tab w:val="left" w:pos="720"/>
          <w:tab w:val="left" w:pos="1200"/>
        </w:tabs>
        <w:snapToGrid w:val="0"/>
        <w:spacing w:line="360" w:lineRule="auto"/>
        <w:ind w:firstLine="420" w:firstLineChars="17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.成交供应商</w:t>
      </w:r>
      <w:r>
        <w:rPr>
          <w:rFonts w:ascii="宋体" w:hAnsi="宋体"/>
          <w:color w:val="auto"/>
          <w:sz w:val="24"/>
          <w:highlight w:val="none"/>
        </w:rPr>
        <w:t>的</w:t>
      </w:r>
      <w:r>
        <w:rPr>
          <w:rFonts w:hint="eastAsia" w:ascii="宋体" w:hAnsi="宋体"/>
          <w:color w:val="auto"/>
          <w:sz w:val="24"/>
          <w:highlight w:val="none"/>
        </w:rPr>
        <w:t>谈判响应</w:t>
      </w:r>
      <w:r>
        <w:rPr>
          <w:rFonts w:ascii="宋体" w:hAnsi="宋体"/>
          <w:color w:val="auto"/>
          <w:sz w:val="24"/>
          <w:highlight w:val="none"/>
        </w:rPr>
        <w:t>文件自</w:t>
      </w:r>
      <w:r>
        <w:rPr>
          <w:rFonts w:hint="eastAsia" w:ascii="宋体" w:hAnsi="宋体"/>
          <w:color w:val="auto"/>
          <w:sz w:val="24"/>
          <w:highlight w:val="none"/>
        </w:rPr>
        <w:t>谈判</w:t>
      </w:r>
      <w:r>
        <w:rPr>
          <w:rFonts w:ascii="宋体" w:hAnsi="宋体"/>
          <w:color w:val="auto"/>
          <w:sz w:val="24"/>
          <w:highlight w:val="none"/>
        </w:rPr>
        <w:t>之日起至合同履行完毕均应保持有效。</w:t>
      </w:r>
    </w:p>
    <w:p>
      <w:pPr>
        <w:bidi w:val="0"/>
        <w:jc w:val="center"/>
        <w:rPr>
          <w:b/>
          <w:bCs/>
          <w:sz w:val="28"/>
          <w:szCs w:val="28"/>
        </w:rPr>
      </w:pPr>
      <w:r>
        <w:rPr>
          <w:rFonts w:hint="eastAsia"/>
          <w:b/>
          <w:bCs/>
          <w:sz w:val="28"/>
          <w:szCs w:val="28"/>
        </w:rPr>
        <w:t>三、谈判</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rPr>
        <w:t xml:space="preserve"> （一）谈判程序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 </w:t>
      </w:r>
      <w:r>
        <w:rPr>
          <w:rFonts w:hint="eastAsia" w:ascii="宋体" w:hAnsi="宋体"/>
          <w:color w:val="auto"/>
          <w:sz w:val="24"/>
          <w:highlight w:val="none"/>
        </w:rPr>
        <w:t>采购组织机构工作人员应当</w:t>
      </w:r>
      <w:r>
        <w:rPr>
          <w:rFonts w:hint="eastAsia" w:ascii="宋体" w:hAnsi="宋体" w:cs="宋体"/>
          <w:color w:val="auto"/>
          <w:sz w:val="24"/>
          <w:highlight w:val="none"/>
        </w:rPr>
        <w:t>核验出席谈判活动现场的各供应商代表及相关单位人员身份，并组织其分别登记、签到，无关人员可拒绝其进入现场。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3.采购组织机构工作人员接收谈判响应文件并登记，并由供应商代表对递交记录情况进行签字确认。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5.对谈判保证金缴纳情况进行查验、核实，提请供应商代表查验谈判响应文件密封情况。</w:t>
      </w:r>
    </w:p>
    <w:p>
      <w:pPr>
        <w:pStyle w:val="12"/>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6、主持人按供应商签到的先后顺序当场拆封谈判响应文件，并送至评审室；</w:t>
      </w:r>
    </w:p>
    <w:p>
      <w:pPr>
        <w:pStyle w:val="12"/>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7.谈判小组对符合资格的供应商的谈判响应文件进行符合性审查，以确定其是否满足谈判文件的实质性要求。</w:t>
      </w:r>
    </w:p>
    <w:p>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8.谈判小组对响应文件进行评审，并根据谈判文件规定的程序、评定成交的标准等事项与实质性响应谈判文件要求的供应商进行谈判。未实质性响应谈判文件的响应文件按无效处理；</w:t>
      </w:r>
    </w:p>
    <w:p>
      <w:pPr>
        <w:pStyle w:val="14"/>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firstLineChars="200"/>
        <w:textAlignment w:val="auto"/>
        <w:rPr>
          <w:rFonts w:hAnsi="宋体"/>
          <w:color w:val="auto"/>
          <w:highlight w:val="none"/>
        </w:rPr>
      </w:pPr>
      <w:r>
        <w:rPr>
          <w:rFonts w:hint="eastAsia" w:hAnsi="宋体"/>
          <w:color w:val="auto"/>
          <w:highlight w:val="none"/>
        </w:rPr>
        <w:t>9.谈判小组所有成员集中与单一供应商分别进行谈判。</w:t>
      </w:r>
      <w:r>
        <w:rPr>
          <w:rFonts w:hint="eastAsia"/>
          <w:color w:val="auto"/>
          <w:highlight w:val="none"/>
          <w:shd w:val="clear" w:color="auto" w:fill="FFFFFF"/>
        </w:rPr>
        <w:t>所有参加谈判的供应商均有一轮谈判机会。</w:t>
      </w:r>
      <w:r>
        <w:rPr>
          <w:rFonts w:hint="eastAsia" w:hAnsi="宋体"/>
          <w:color w:val="auto"/>
          <w:highlight w:val="none"/>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540"/>
        <w:jc w:val="left"/>
        <w:textAlignment w:val="auto"/>
        <w:rPr>
          <w:color w:val="auto"/>
          <w:sz w:val="24"/>
          <w:highlight w:val="none"/>
        </w:rPr>
      </w:pPr>
      <w:r>
        <w:rPr>
          <w:rFonts w:hint="eastAsia"/>
          <w:color w:val="auto"/>
          <w:sz w:val="24"/>
          <w:highlight w:val="none"/>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pStyle w:val="14"/>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firstLineChars="200"/>
        <w:textAlignment w:val="auto"/>
        <w:rPr>
          <w:rFonts w:hAnsi="宋体"/>
          <w:color w:val="auto"/>
          <w:highlight w:val="none"/>
        </w:rPr>
      </w:pPr>
      <w:r>
        <w:rPr>
          <w:rFonts w:hint="eastAsia" w:hAnsi="宋体"/>
          <w:color w:val="auto"/>
          <w:highlight w:val="none"/>
        </w:rPr>
        <w:t>11.谈判结束后，</w:t>
      </w:r>
      <w:r>
        <w:rPr>
          <w:rFonts w:hint="eastAsia"/>
          <w:color w:val="auto"/>
          <w:highlight w:val="none"/>
        </w:rPr>
        <w:t>谈判小组将</w:t>
      </w:r>
      <w:r>
        <w:rPr>
          <w:rFonts w:hint="eastAsia" w:hAnsi="宋体"/>
          <w:color w:val="auto"/>
          <w:highlight w:val="none"/>
        </w:rPr>
        <w:t>要求所有继续参加谈判的供应商在规定时间内提交最后报价</w:t>
      </w:r>
      <w:r>
        <w:rPr>
          <w:rFonts w:hint="eastAsia" w:hAnsi="宋体"/>
          <w:color w:val="auto"/>
          <w:highlight w:val="none"/>
          <w:lang w:eastAsia="zh-CN"/>
        </w:rPr>
        <w:t>（见附件</w:t>
      </w:r>
      <w:r>
        <w:rPr>
          <w:rFonts w:hint="eastAsia" w:hAnsi="宋体"/>
          <w:color w:val="auto"/>
          <w:highlight w:val="none"/>
          <w:lang w:val="en-US" w:eastAsia="zh-CN"/>
        </w:rPr>
        <w:t xml:space="preserve">6 </w:t>
      </w:r>
      <w:r>
        <w:rPr>
          <w:rFonts w:hint="eastAsia" w:hAnsi="宋体"/>
          <w:b/>
          <w:bCs/>
          <w:color w:val="auto"/>
          <w:highlight w:val="none"/>
          <w:lang w:eastAsia="zh-CN"/>
        </w:rPr>
        <w:t>最终报价一览表</w:t>
      </w:r>
      <w:r>
        <w:rPr>
          <w:rFonts w:hint="eastAsia" w:hAnsi="宋体"/>
          <w:color w:val="auto"/>
          <w:highlight w:val="none"/>
          <w:lang w:eastAsia="zh-CN"/>
        </w:rPr>
        <w:t>）</w:t>
      </w:r>
      <w:r>
        <w:rPr>
          <w:rFonts w:hint="eastAsia" w:hAnsi="宋体"/>
          <w:color w:val="auto"/>
          <w:highlight w:val="none"/>
        </w:rPr>
        <w:t>，超过规定时间</w:t>
      </w:r>
      <w:r>
        <w:rPr>
          <w:rFonts w:hint="eastAsia" w:hAnsi="宋体"/>
          <w:color w:val="auto"/>
          <w:highlight w:val="none"/>
          <w:lang w:eastAsia="zh-CN"/>
        </w:rPr>
        <w:t>（</w:t>
      </w:r>
      <w:r>
        <w:rPr>
          <w:rFonts w:hint="eastAsia" w:hAnsi="宋体"/>
          <w:color w:val="auto"/>
          <w:highlight w:val="none"/>
          <w:lang w:val="en-US" w:eastAsia="zh-CN"/>
        </w:rPr>
        <w:t>10分钟</w:t>
      </w:r>
      <w:r>
        <w:rPr>
          <w:rFonts w:hint="eastAsia" w:hAnsi="宋体"/>
          <w:color w:val="auto"/>
          <w:highlight w:val="none"/>
          <w:lang w:eastAsia="zh-CN"/>
        </w:rPr>
        <w:t>）</w:t>
      </w:r>
      <w:r>
        <w:rPr>
          <w:rFonts w:hint="eastAsia" w:hAnsi="宋体"/>
          <w:color w:val="auto"/>
          <w:highlight w:val="none"/>
        </w:rPr>
        <w:t>提交的报价作无效处理；</w:t>
      </w:r>
    </w:p>
    <w:p>
      <w:pPr>
        <w:keepNext w:val="0"/>
        <w:keepLines w:val="0"/>
        <w:pageBreakBefore w:val="0"/>
        <w:kinsoku/>
        <w:wordWrap/>
        <w:overflowPunct/>
        <w:topLinePunct w:val="0"/>
        <w:bidi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12.谈判小组</w:t>
      </w:r>
      <w:r>
        <w:rPr>
          <w:rFonts w:hint="eastAsia" w:ascii="宋体" w:hAnsi="宋体"/>
          <w:color w:val="auto"/>
          <w:kern w:val="0"/>
          <w:sz w:val="24"/>
          <w:highlight w:val="none"/>
        </w:rPr>
        <w:t>编写评审报告</w:t>
      </w:r>
    </w:p>
    <w:p>
      <w:pPr>
        <w:pStyle w:val="14"/>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firstLineChars="200"/>
        <w:textAlignment w:val="auto"/>
        <w:rPr>
          <w:rFonts w:hAnsi="宋体" w:cs="宋体"/>
          <w:b/>
          <w:color w:val="auto"/>
          <w:highlight w:val="none"/>
        </w:rPr>
      </w:pPr>
      <w:r>
        <w:rPr>
          <w:rFonts w:hint="eastAsia" w:hAnsi="宋体"/>
          <w:color w:val="auto"/>
          <w:highlight w:val="none"/>
        </w:rPr>
        <w:t>13.采购组织机构</w:t>
      </w:r>
      <w:r>
        <w:rPr>
          <w:rFonts w:hint="eastAsia" w:hAnsi="宋体" w:cs="宋体"/>
          <w:color w:val="auto"/>
          <w:highlight w:val="none"/>
        </w:rPr>
        <w:t>对谈判小组专家成员进行评价；</w:t>
      </w:r>
    </w:p>
    <w:p>
      <w:pPr>
        <w:pStyle w:val="21"/>
        <w:keepNext w:val="0"/>
        <w:keepLines w:val="0"/>
        <w:pageBreakBefore w:val="0"/>
        <w:kinsoku/>
        <w:wordWrap/>
        <w:overflowPunct/>
        <w:topLinePunct w:val="0"/>
        <w:bidi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14.宣布谈判结果，谈判采购会议结束。</w:t>
      </w:r>
    </w:p>
    <w:p>
      <w:pPr>
        <w:keepNext w:val="0"/>
        <w:keepLines w:val="0"/>
        <w:pageBreakBefore w:val="0"/>
        <w:kinsoku/>
        <w:wordWrap/>
        <w:overflowPunct/>
        <w:topLinePunct w:val="0"/>
        <w:bidi w:val="0"/>
        <w:snapToGrid w:val="0"/>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rPr>
        <w:t>（二）澄清问题的形式</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谈判人的澄清、说明或者补正应当采用书面形式，并加盖公章，或者由法定代理人或其授权的代表签字，并不得超出谈判响应文件的范围或者改变谈判响应文件的实质性内容。</w:t>
      </w:r>
    </w:p>
    <w:p>
      <w:pPr>
        <w:pStyle w:val="12"/>
        <w:keepNext w:val="0"/>
        <w:keepLines w:val="0"/>
        <w:pageBreakBefore w:val="0"/>
        <w:kinsoku/>
        <w:wordWrap/>
        <w:overflowPunct/>
        <w:topLinePunct w:val="0"/>
        <w:bidi w:val="0"/>
        <w:snapToGrid w:val="0"/>
        <w:spacing w:line="360" w:lineRule="auto"/>
        <w:ind w:left="720" w:leftChars="228" w:hanging="241" w:hangingChars="100"/>
        <w:textAlignment w:val="auto"/>
        <w:rPr>
          <w:rFonts w:hAnsi="宋体"/>
          <w:b/>
          <w:color w:val="auto"/>
          <w:sz w:val="24"/>
          <w:highlight w:val="none"/>
        </w:rPr>
      </w:pPr>
      <w:r>
        <w:rPr>
          <w:rFonts w:hint="eastAsia" w:hAnsi="宋体"/>
          <w:b/>
          <w:color w:val="auto"/>
          <w:sz w:val="24"/>
          <w:highlight w:val="none"/>
        </w:rPr>
        <w:t>（三）错误修正</w:t>
      </w:r>
    </w:p>
    <w:p>
      <w:pPr>
        <w:pStyle w:val="21"/>
        <w:keepNext w:val="0"/>
        <w:keepLines w:val="0"/>
        <w:pageBreakBefore w:val="0"/>
        <w:kinsoku/>
        <w:wordWrap/>
        <w:overflowPunct/>
        <w:topLinePunct w:val="0"/>
        <w:bidi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谈判响应文件报价出现前后不一致的，除谈判采购文件另有规定外，按照下列规定修正：</w:t>
      </w:r>
    </w:p>
    <w:p>
      <w:pPr>
        <w:pStyle w:val="21"/>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1.谈判响应文件中首次报价一览表内容与谈判响应文件中相应内容不一致的，以首次报价一览表为准；</w:t>
      </w:r>
    </w:p>
    <w:p>
      <w:pPr>
        <w:pStyle w:val="21"/>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2.大写金额和小写金额不一致的，以大写金额为准；</w:t>
      </w:r>
    </w:p>
    <w:p>
      <w:pPr>
        <w:pStyle w:val="21"/>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3.单价金额小数点或者百分比有明显错位的，以首次报价一览表的总价为准，并修改单价；</w:t>
      </w:r>
    </w:p>
    <w:p>
      <w:pPr>
        <w:pStyle w:val="21"/>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4.总价金额与按单价汇总金额不一致的，以单价金额计算结果为准。</w:t>
      </w:r>
    </w:p>
    <w:p>
      <w:pPr>
        <w:pStyle w:val="21"/>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同时出现两种以上不一致的，按照前款规定的顺序修正。修正应当采用书面形式，并加盖公章，或者由法定代表人或其授权的代表签字。修正后的报价经谈判人确认后产生约束力，谈判人不确认的，将终止谈判。</w:t>
      </w:r>
    </w:p>
    <w:p>
      <w:pPr>
        <w:pStyle w:val="21"/>
        <w:keepNext w:val="0"/>
        <w:keepLines w:val="0"/>
        <w:pageBreakBefore w:val="0"/>
        <w:kinsoku/>
        <w:wordWrap/>
        <w:overflowPunct/>
        <w:topLinePunct w:val="0"/>
        <w:bidi w:val="0"/>
        <w:spacing w:before="0" w:beforeAutospacing="0" w:after="0" w:afterAutospacing="0" w:line="360" w:lineRule="auto"/>
        <w:ind w:firstLine="361" w:firstLineChars="150"/>
        <w:jc w:val="both"/>
        <w:textAlignment w:val="auto"/>
        <w:rPr>
          <w:rFonts w:hint="default"/>
          <w:b/>
          <w:color w:val="auto"/>
          <w:highlight w:val="none"/>
        </w:rPr>
      </w:pPr>
      <w:r>
        <w:rPr>
          <w:b/>
          <w:bCs/>
          <w:color w:val="auto"/>
          <w:highlight w:val="none"/>
        </w:rPr>
        <w:t>（四）</w:t>
      </w:r>
      <w:r>
        <w:rPr>
          <w:b/>
          <w:color w:val="auto"/>
          <w:highlight w:val="none"/>
        </w:rPr>
        <w:t>供应商存在下列情况之一的，响应无效，终止谈判</w:t>
      </w:r>
    </w:p>
    <w:p>
      <w:pPr>
        <w:pStyle w:val="21"/>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1.未按照谈判文件的规定提交谈判保证金的。</w:t>
      </w:r>
    </w:p>
    <w:p>
      <w:pPr>
        <w:pStyle w:val="21"/>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2.谈判响应文件中报价的服务内容跟商务与技术内容中的服务内容出现重大偏差的；</w:t>
      </w:r>
    </w:p>
    <w:p>
      <w:pPr>
        <w:pStyle w:val="21"/>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jc w:val="both"/>
        <w:textAlignment w:val="auto"/>
        <w:rPr>
          <w:rFonts w:hint="default"/>
          <w:color w:val="auto"/>
          <w:highlight w:val="none"/>
        </w:rPr>
      </w:pPr>
      <w:r>
        <w:rPr>
          <w:color w:val="auto"/>
          <w:highlight w:val="none"/>
        </w:rPr>
        <w:t>　　3.不具备谈判文件中规定的资格要求的。</w:t>
      </w:r>
      <w:r>
        <w:rPr>
          <w:rFonts w:hint="default"/>
          <w:color w:val="auto"/>
          <w:highlight w:val="none"/>
        </w:rPr>
        <w:tab/>
      </w:r>
    </w:p>
    <w:p>
      <w:pPr>
        <w:pStyle w:val="21"/>
        <w:keepNext w:val="0"/>
        <w:keepLines w:val="0"/>
        <w:pageBreakBefore w:val="0"/>
        <w:kinsoku/>
        <w:wordWrap/>
        <w:overflowPunct/>
        <w:topLinePunct w:val="0"/>
        <w:bidi w:val="0"/>
        <w:adjustRightInd w:val="0"/>
        <w:snapToGrid w:val="0"/>
        <w:spacing w:before="0" w:beforeAutospacing="0" w:after="0" w:afterAutospacing="0" w:line="360" w:lineRule="auto"/>
        <w:jc w:val="both"/>
        <w:textAlignment w:val="auto"/>
        <w:rPr>
          <w:rFonts w:hint="default"/>
          <w:color w:val="auto"/>
          <w:highlight w:val="none"/>
        </w:rPr>
      </w:pPr>
      <w:r>
        <w:rPr>
          <w:color w:val="auto"/>
          <w:highlight w:val="none"/>
        </w:rPr>
        <w:t>　  4.谈判响应文件含有采购人不能接受的附加条件的。</w:t>
      </w:r>
    </w:p>
    <w:p>
      <w:pPr>
        <w:keepNext w:val="0"/>
        <w:keepLines w:val="0"/>
        <w:pageBreakBefore w:val="0"/>
        <w:kinsoku/>
        <w:wordWrap/>
        <w:overflowPunct/>
        <w:topLinePunct w:val="0"/>
        <w:bidi w:val="0"/>
        <w:adjustRightInd w:val="0"/>
        <w:snapToGrid w:val="0"/>
        <w:spacing w:line="360" w:lineRule="auto"/>
        <w:ind w:firstLine="470" w:firstLineChars="196"/>
        <w:textAlignment w:val="auto"/>
        <w:rPr>
          <w:rFonts w:ascii="宋体" w:hAnsi="宋体"/>
          <w:bCs/>
          <w:color w:val="auto"/>
          <w:kern w:val="0"/>
          <w:sz w:val="24"/>
          <w:highlight w:val="none"/>
        </w:rPr>
      </w:pPr>
      <w:r>
        <w:rPr>
          <w:rFonts w:hint="eastAsia" w:ascii="宋体" w:hAnsi="宋体"/>
          <w:color w:val="auto"/>
          <w:kern w:val="0"/>
          <w:sz w:val="24"/>
          <w:highlight w:val="none"/>
        </w:rPr>
        <w:t>5.谈判代表人</w:t>
      </w:r>
      <w:r>
        <w:rPr>
          <w:rFonts w:hint="eastAsia" w:ascii="宋体" w:hAnsi="宋体"/>
          <w:color w:val="auto"/>
          <w:sz w:val="24"/>
          <w:highlight w:val="none"/>
        </w:rPr>
        <w:t>未能出具身份证明或与法定代表人授权委托人身份不符的；</w:t>
      </w:r>
    </w:p>
    <w:p>
      <w:pPr>
        <w:pStyle w:val="21"/>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6.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pStyle w:val="21"/>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7.报价超过谈判文件中规定的预算金额/</w:t>
      </w:r>
      <w:r>
        <w:rPr>
          <w:rFonts w:hint="eastAsia"/>
          <w:color w:val="auto"/>
          <w:highlight w:val="none"/>
          <w:lang w:eastAsia="zh-CN"/>
        </w:rPr>
        <w:t>上</w:t>
      </w:r>
      <w:r>
        <w:rPr>
          <w:color w:val="auto"/>
          <w:highlight w:val="none"/>
        </w:rPr>
        <w:t xml:space="preserve">限价。 </w:t>
      </w:r>
    </w:p>
    <w:p>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80"/>
        <w:textAlignment w:val="auto"/>
        <w:rPr>
          <w:rFonts w:ascii="宋体" w:hAnsi="宋体"/>
          <w:color w:val="auto"/>
          <w:kern w:val="0"/>
          <w:sz w:val="24"/>
          <w:highlight w:val="none"/>
        </w:rPr>
      </w:pPr>
      <w:r>
        <w:rPr>
          <w:rFonts w:hint="eastAsia" w:ascii="宋体" w:hAnsi="宋体"/>
          <w:color w:val="auto"/>
          <w:kern w:val="0"/>
          <w:sz w:val="24"/>
          <w:highlight w:val="none"/>
        </w:rPr>
        <w:t>8.谈判响应参数未如实填写，完全复制粘贴采购参数的。</w:t>
      </w:r>
    </w:p>
    <w:p>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80"/>
        <w:textAlignment w:val="auto"/>
        <w:rPr>
          <w:rFonts w:ascii="宋体" w:hAnsi="宋体"/>
          <w:color w:val="auto"/>
          <w:kern w:val="0"/>
          <w:sz w:val="24"/>
          <w:highlight w:val="none"/>
        </w:rPr>
      </w:pPr>
      <w:r>
        <w:rPr>
          <w:rFonts w:hint="eastAsia" w:ascii="宋体" w:hAnsi="宋体"/>
          <w:color w:val="auto"/>
          <w:kern w:val="0"/>
          <w:sz w:val="24"/>
          <w:highlight w:val="none"/>
        </w:rPr>
        <w:t xml:space="preserve">9.谈判响应文件提供虚假材料的。 </w:t>
      </w:r>
    </w:p>
    <w:p>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sz w:val="24"/>
          <w:highlight w:val="none"/>
        </w:rPr>
      </w:pPr>
      <w:r>
        <w:rPr>
          <w:rFonts w:hint="eastAsia" w:ascii="宋体" w:hAnsi="宋体"/>
          <w:color w:val="auto"/>
          <w:kern w:val="0"/>
          <w:sz w:val="24"/>
          <w:highlight w:val="none"/>
        </w:rPr>
        <w:t>10.</w:t>
      </w:r>
      <w:r>
        <w:rPr>
          <w:rFonts w:ascii="宋体" w:hAnsi="宋体"/>
          <w:color w:val="auto"/>
          <w:sz w:val="24"/>
          <w:highlight w:val="none"/>
        </w:rPr>
        <w:t>不同</w:t>
      </w:r>
      <w:r>
        <w:rPr>
          <w:rFonts w:hint="eastAsia" w:ascii="宋体" w:hAnsi="宋体"/>
          <w:color w:val="auto"/>
          <w:sz w:val="24"/>
          <w:highlight w:val="none"/>
        </w:rPr>
        <w:t>供应商</w:t>
      </w:r>
      <w:r>
        <w:rPr>
          <w:rFonts w:ascii="宋体" w:hAnsi="宋体"/>
          <w:color w:val="auto"/>
          <w:sz w:val="24"/>
          <w:highlight w:val="none"/>
        </w:rPr>
        <w:t>的</w:t>
      </w:r>
      <w:r>
        <w:rPr>
          <w:rFonts w:hint="eastAsia" w:ascii="宋体" w:hAnsi="宋体"/>
          <w:color w:val="auto"/>
          <w:sz w:val="24"/>
          <w:highlight w:val="none"/>
        </w:rPr>
        <w:t>谈判响应</w:t>
      </w:r>
      <w:r>
        <w:rPr>
          <w:rFonts w:ascii="宋体" w:hAnsi="宋体"/>
          <w:color w:val="auto"/>
          <w:sz w:val="24"/>
          <w:highlight w:val="none"/>
        </w:rPr>
        <w:t>文件由同一单位或者个人编制；</w:t>
      </w:r>
    </w:p>
    <w:p>
      <w:pPr>
        <w:pStyle w:val="21"/>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11.不同供应商委托同一单位或者个人办理谈判事宜；</w:t>
      </w:r>
    </w:p>
    <w:p>
      <w:pPr>
        <w:pStyle w:val="21"/>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12.不同供应商的谈判响应文件载明的项目管理成员或者联系人员为同一人；</w:t>
      </w:r>
    </w:p>
    <w:p>
      <w:pPr>
        <w:pStyle w:val="21"/>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13.不同供应商的谈判响应文件异常一致或者报价呈规律性差异；</w:t>
      </w:r>
    </w:p>
    <w:p>
      <w:pPr>
        <w:pStyle w:val="21"/>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14.不同供应商的谈判响应文件相互混装；</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15.不符合法律、法规和谈判文件中规定的其他实质性要求的（谈判采购文件中打“▲”内容及被拒绝的条款）。</w:t>
      </w:r>
    </w:p>
    <w:p>
      <w:pPr>
        <w:keepNext w:val="0"/>
        <w:keepLines w:val="0"/>
        <w:pageBreakBefore w:val="0"/>
        <w:kinsoku/>
        <w:wordWrap/>
        <w:overflowPunct/>
        <w:topLinePunct w:val="0"/>
        <w:autoSpaceDE w:val="0"/>
        <w:autoSpaceDN w:val="0"/>
        <w:bidi w:val="0"/>
        <w:adjustRightInd w:val="0"/>
        <w:spacing w:line="360" w:lineRule="auto"/>
        <w:ind w:left="480"/>
        <w:textAlignment w:val="auto"/>
        <w:rPr>
          <w:rFonts w:ascii="宋体" w:hAnsi="宋体"/>
          <w:color w:val="auto"/>
          <w:kern w:val="0"/>
          <w:sz w:val="24"/>
          <w:highlight w:val="none"/>
        </w:rPr>
      </w:pPr>
      <w:r>
        <w:rPr>
          <w:rFonts w:hint="eastAsia" w:ascii="宋体" w:hAnsi="宋体"/>
          <w:b/>
          <w:color w:val="auto"/>
          <w:kern w:val="0"/>
          <w:sz w:val="24"/>
          <w:highlight w:val="none"/>
        </w:rPr>
        <w:t>（五）有下列情况之一的，本次谈判终止</w:t>
      </w:r>
    </w:p>
    <w:p>
      <w:pPr>
        <w:pStyle w:val="21"/>
        <w:keepNext w:val="0"/>
        <w:keepLines w:val="0"/>
        <w:pageBreakBefore w:val="0"/>
        <w:kinsoku/>
        <w:wordWrap/>
        <w:overflowPunct/>
        <w:topLinePunct w:val="0"/>
        <w:bidi w:val="0"/>
        <w:spacing w:before="0" w:beforeAutospacing="0" w:after="0" w:afterAutospacing="0" w:line="360" w:lineRule="auto"/>
        <w:ind w:firstLine="600" w:firstLineChars="250"/>
        <w:jc w:val="both"/>
        <w:textAlignment w:val="auto"/>
        <w:rPr>
          <w:rFonts w:hint="default"/>
          <w:color w:val="auto"/>
          <w:highlight w:val="none"/>
        </w:rPr>
      </w:pPr>
      <w:r>
        <w:rPr>
          <w:color w:val="auto"/>
          <w:highlight w:val="none"/>
        </w:rPr>
        <w:t>1.出现影响采购公正的违法、违规行为的；</w:t>
      </w:r>
    </w:p>
    <w:p>
      <w:pPr>
        <w:pStyle w:val="21"/>
        <w:keepNext w:val="0"/>
        <w:keepLines w:val="0"/>
        <w:pageBreakBefore w:val="0"/>
        <w:kinsoku/>
        <w:wordWrap/>
        <w:overflowPunct/>
        <w:topLinePunct w:val="0"/>
        <w:bidi w:val="0"/>
        <w:spacing w:before="0" w:beforeAutospacing="0" w:after="0" w:afterAutospacing="0" w:line="360" w:lineRule="auto"/>
        <w:ind w:firstLine="600" w:firstLineChars="250"/>
        <w:jc w:val="both"/>
        <w:textAlignment w:val="auto"/>
        <w:rPr>
          <w:rFonts w:hint="default"/>
          <w:b/>
          <w:bCs/>
          <w:color w:val="auto"/>
          <w:highlight w:val="none"/>
        </w:rPr>
      </w:pPr>
      <w:r>
        <w:rPr>
          <w:color w:val="auto"/>
          <w:highlight w:val="none"/>
        </w:rPr>
        <w:t xml:space="preserve">2.谈判小组发现谈判文件存在歧义、重大缺陷导致谈判工作无法进行，或者谈判文件内容违反国家有关强制性规定的； </w:t>
      </w:r>
    </w:p>
    <w:p>
      <w:pPr>
        <w:pStyle w:val="21"/>
        <w:spacing w:before="0" w:beforeAutospacing="0" w:after="0" w:afterAutospacing="0" w:line="360" w:lineRule="auto"/>
        <w:ind w:firstLine="600" w:firstLineChars="250"/>
        <w:jc w:val="both"/>
        <w:rPr>
          <w:rFonts w:hint="default"/>
          <w:color w:val="auto"/>
          <w:highlight w:val="none"/>
        </w:rPr>
      </w:pPr>
      <w:r>
        <w:rPr>
          <w:color w:val="auto"/>
          <w:highlight w:val="none"/>
        </w:rPr>
        <w:t>3.因重大变故，采购任务取消的；</w:t>
      </w:r>
    </w:p>
    <w:p>
      <w:pPr>
        <w:pStyle w:val="21"/>
        <w:spacing w:before="0" w:beforeAutospacing="0" w:after="0" w:afterAutospacing="0" w:line="360" w:lineRule="auto"/>
        <w:ind w:firstLine="600" w:firstLineChars="250"/>
        <w:jc w:val="both"/>
        <w:rPr>
          <w:rFonts w:hint="default"/>
          <w:color w:val="auto"/>
          <w:highlight w:val="none"/>
        </w:rPr>
      </w:pPr>
      <w:r>
        <w:rPr>
          <w:color w:val="auto"/>
          <w:highlight w:val="none"/>
        </w:rPr>
        <w:t>4.法律、法规和谈判文件规定的其他导致谈判结果无效的。</w:t>
      </w:r>
    </w:p>
    <w:p>
      <w:pPr>
        <w:pStyle w:val="12"/>
        <w:tabs>
          <w:tab w:val="left" w:pos="630"/>
        </w:tabs>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rPr>
        <w:t>六</w:t>
      </w:r>
      <w:r>
        <w:rPr>
          <w:rFonts w:hAnsi="宋体"/>
          <w:b/>
          <w:color w:val="auto"/>
          <w:sz w:val="24"/>
          <w:highlight w:val="none"/>
        </w:rPr>
        <w:t>）</w:t>
      </w:r>
      <w:r>
        <w:rPr>
          <w:rFonts w:hint="eastAsia" w:hAnsi="宋体"/>
          <w:b/>
          <w:color w:val="auto"/>
          <w:sz w:val="24"/>
          <w:highlight w:val="none"/>
        </w:rPr>
        <w:t>谈判</w:t>
      </w:r>
      <w:r>
        <w:rPr>
          <w:rFonts w:hAnsi="宋体"/>
          <w:b/>
          <w:color w:val="auto"/>
          <w:sz w:val="24"/>
          <w:highlight w:val="none"/>
        </w:rPr>
        <w:t>原则和办法</w:t>
      </w:r>
    </w:p>
    <w:p>
      <w:pPr>
        <w:pStyle w:val="12"/>
        <w:snapToGrid w:val="0"/>
        <w:spacing w:line="360" w:lineRule="auto"/>
        <w:ind w:firstLine="600" w:firstLineChars="250"/>
        <w:rPr>
          <w:rFonts w:hAnsi="宋体"/>
          <w:color w:val="auto"/>
          <w:sz w:val="24"/>
          <w:highlight w:val="none"/>
        </w:rPr>
      </w:pPr>
      <w:r>
        <w:rPr>
          <w:rFonts w:hAnsi="宋体"/>
          <w:color w:val="auto"/>
          <w:sz w:val="24"/>
          <w:highlight w:val="none"/>
        </w:rPr>
        <w:t>1</w:t>
      </w:r>
      <w:r>
        <w:rPr>
          <w:rFonts w:hint="eastAsia" w:hAnsi="宋体"/>
          <w:color w:val="auto"/>
          <w:sz w:val="24"/>
          <w:highlight w:val="none"/>
        </w:rPr>
        <w:t>、谈判</w:t>
      </w:r>
      <w:r>
        <w:rPr>
          <w:rFonts w:hAnsi="宋体"/>
          <w:color w:val="auto"/>
          <w:sz w:val="24"/>
          <w:highlight w:val="none"/>
        </w:rPr>
        <w:t>原则。</w:t>
      </w:r>
      <w:r>
        <w:rPr>
          <w:rFonts w:hint="eastAsia" w:hAnsi="宋体"/>
          <w:color w:val="auto"/>
          <w:sz w:val="24"/>
          <w:highlight w:val="none"/>
        </w:rPr>
        <w:t>谈判小组</w:t>
      </w:r>
      <w:r>
        <w:rPr>
          <w:rFonts w:hAnsi="宋体"/>
          <w:color w:val="auto"/>
          <w:sz w:val="24"/>
          <w:highlight w:val="none"/>
        </w:rPr>
        <w:t>必须公平、公正、客观，不带任何倾向性和启发性；不得向外界透露任何与</w:t>
      </w:r>
      <w:r>
        <w:rPr>
          <w:rFonts w:hint="eastAsia" w:hAnsi="宋体"/>
          <w:color w:val="auto"/>
          <w:sz w:val="24"/>
          <w:highlight w:val="none"/>
        </w:rPr>
        <w:t>评审</w:t>
      </w:r>
      <w:r>
        <w:rPr>
          <w:rFonts w:hAnsi="宋体"/>
          <w:color w:val="auto"/>
          <w:sz w:val="24"/>
          <w:highlight w:val="none"/>
        </w:rPr>
        <w:t>有关的内容；任何单位和个人不得干扰、影响</w:t>
      </w:r>
      <w:r>
        <w:rPr>
          <w:rFonts w:hint="eastAsia" w:hAnsi="宋体"/>
          <w:color w:val="auto"/>
          <w:sz w:val="24"/>
          <w:highlight w:val="none"/>
        </w:rPr>
        <w:t>评审</w:t>
      </w:r>
      <w:r>
        <w:rPr>
          <w:rFonts w:hAnsi="宋体"/>
          <w:color w:val="auto"/>
          <w:sz w:val="24"/>
          <w:highlight w:val="none"/>
        </w:rPr>
        <w:t>的正常进行；</w:t>
      </w:r>
      <w:r>
        <w:rPr>
          <w:rFonts w:hint="eastAsia" w:hAnsi="宋体"/>
          <w:color w:val="auto"/>
          <w:sz w:val="24"/>
          <w:highlight w:val="none"/>
        </w:rPr>
        <w:t>评审</w:t>
      </w:r>
      <w:r>
        <w:rPr>
          <w:rFonts w:hAnsi="宋体"/>
          <w:color w:val="auto"/>
          <w:sz w:val="24"/>
          <w:highlight w:val="none"/>
        </w:rPr>
        <w:t>委员会及有关工作人员不得私下与</w:t>
      </w:r>
      <w:r>
        <w:rPr>
          <w:rFonts w:hint="eastAsia" w:hAnsi="宋体"/>
          <w:color w:val="auto"/>
          <w:sz w:val="24"/>
          <w:highlight w:val="none"/>
        </w:rPr>
        <w:t>供应商</w:t>
      </w:r>
      <w:r>
        <w:rPr>
          <w:rFonts w:hAnsi="宋体"/>
          <w:color w:val="auto"/>
          <w:sz w:val="24"/>
          <w:highlight w:val="none"/>
        </w:rPr>
        <w:t>接触。</w:t>
      </w:r>
    </w:p>
    <w:p>
      <w:pPr>
        <w:pStyle w:val="12"/>
        <w:snapToGrid w:val="0"/>
        <w:spacing w:line="360" w:lineRule="auto"/>
        <w:ind w:firstLine="600" w:firstLineChars="250"/>
        <w:rPr>
          <w:color w:val="auto"/>
          <w:sz w:val="24"/>
          <w:highlight w:val="none"/>
        </w:rPr>
      </w:pPr>
      <w:r>
        <w:rPr>
          <w:rFonts w:hAnsi="宋体"/>
          <w:color w:val="auto"/>
          <w:sz w:val="24"/>
          <w:highlight w:val="none"/>
        </w:rPr>
        <w:t>2</w:t>
      </w:r>
      <w:r>
        <w:rPr>
          <w:rFonts w:hint="eastAsia" w:hAnsi="宋体"/>
          <w:color w:val="auto"/>
          <w:sz w:val="24"/>
          <w:highlight w:val="none"/>
        </w:rPr>
        <w:t>、谈判</w:t>
      </w:r>
      <w:r>
        <w:rPr>
          <w:rFonts w:hAnsi="宋体"/>
          <w:color w:val="auto"/>
          <w:sz w:val="24"/>
          <w:highlight w:val="none"/>
        </w:rPr>
        <w:t>办法</w:t>
      </w:r>
      <w:r>
        <w:rPr>
          <w:rFonts w:hint="eastAsia" w:hAnsi="宋体"/>
          <w:color w:val="auto"/>
          <w:sz w:val="24"/>
          <w:highlight w:val="none"/>
        </w:rPr>
        <w:t>：</w:t>
      </w:r>
      <w:r>
        <w:rPr>
          <w:rFonts w:hint="eastAsia"/>
          <w:color w:val="auto"/>
          <w:sz w:val="24"/>
          <w:highlight w:val="none"/>
        </w:rPr>
        <w:t>（1）谈判</w:t>
      </w:r>
      <w:r>
        <w:rPr>
          <w:color w:val="auto"/>
          <w:sz w:val="24"/>
          <w:highlight w:val="none"/>
        </w:rPr>
        <w:t>小组应当从质量和服务均能满足</w:t>
      </w:r>
      <w:r>
        <w:rPr>
          <w:rFonts w:hint="eastAsia"/>
          <w:color w:val="auto"/>
          <w:sz w:val="24"/>
          <w:highlight w:val="none"/>
        </w:rPr>
        <w:t>谈判</w:t>
      </w:r>
      <w:r>
        <w:rPr>
          <w:color w:val="auto"/>
          <w:sz w:val="24"/>
          <w:highlight w:val="none"/>
        </w:rPr>
        <w:t>文件实质性响应要求的供应商中，按照报价由低到高的顺序确定成交候选人。</w:t>
      </w:r>
    </w:p>
    <w:p>
      <w:pPr>
        <w:pStyle w:val="21"/>
        <w:spacing w:before="0" w:beforeAutospacing="0" w:after="0" w:afterAutospacing="0" w:line="360" w:lineRule="auto"/>
        <w:ind w:firstLine="600" w:firstLineChars="250"/>
        <w:jc w:val="both"/>
        <w:rPr>
          <w:rFonts w:hint="default" w:ascii="仿宋_GB2312" w:hAnsi="仿宋_GB2312" w:eastAsia="仿宋_GB2312" w:cs="仿宋_GB2312"/>
          <w:color w:val="auto"/>
          <w:kern w:val="2"/>
          <w:highlight w:val="none"/>
          <w:shd w:val="clear" w:color="FFFFFF" w:fill="D9D9D9"/>
        </w:rPr>
      </w:pPr>
      <w:r>
        <w:rPr>
          <w:color w:val="auto"/>
          <w:highlight w:val="none"/>
        </w:rPr>
        <w:t>（2）如遇相同最低报价，则在相同最低报价中重新报价，直至产生最低报价者为成交单位。</w:t>
      </w:r>
    </w:p>
    <w:p>
      <w:pPr>
        <w:pStyle w:val="12"/>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rPr>
        <w:t>七</w:t>
      </w:r>
      <w:r>
        <w:rPr>
          <w:rFonts w:hAnsi="宋体"/>
          <w:b/>
          <w:color w:val="auto"/>
          <w:sz w:val="24"/>
          <w:highlight w:val="none"/>
        </w:rPr>
        <w:t>）</w:t>
      </w:r>
      <w:r>
        <w:rPr>
          <w:rFonts w:hint="eastAsia" w:hAnsi="宋体"/>
          <w:b/>
          <w:color w:val="auto"/>
          <w:sz w:val="24"/>
          <w:highlight w:val="none"/>
        </w:rPr>
        <w:t>评审</w:t>
      </w:r>
      <w:r>
        <w:rPr>
          <w:rFonts w:hAnsi="宋体"/>
          <w:b/>
          <w:color w:val="auto"/>
          <w:sz w:val="24"/>
          <w:highlight w:val="none"/>
        </w:rPr>
        <w:t>过程的监控</w:t>
      </w:r>
    </w:p>
    <w:p>
      <w:pPr>
        <w:pStyle w:val="21"/>
        <w:spacing w:before="0" w:beforeAutospacing="0" w:after="0" w:afterAutospacing="0" w:line="360" w:lineRule="auto"/>
        <w:ind w:firstLine="480" w:firstLineChars="200"/>
        <w:jc w:val="both"/>
        <w:rPr>
          <w:rFonts w:hint="default"/>
          <w:color w:val="auto"/>
          <w:highlight w:val="none"/>
        </w:rPr>
      </w:pPr>
      <w:r>
        <w:rPr>
          <w:color w:val="auto"/>
          <w:highlight w:val="none"/>
        </w:rPr>
        <w:t>本项目评审过程实行全程录音、录像监控，供应商在评审过程中所进行的试图影响评审结果的不公正活动，可能导致其谈判响应被拒绝。</w:t>
      </w:r>
    </w:p>
    <w:p>
      <w:pPr>
        <w:bidi w:val="0"/>
        <w:jc w:val="center"/>
        <w:rPr>
          <w:b/>
          <w:bCs/>
          <w:sz w:val="28"/>
          <w:szCs w:val="28"/>
        </w:rPr>
      </w:pPr>
      <w:r>
        <w:rPr>
          <w:rFonts w:hint="eastAsia"/>
          <w:b/>
          <w:bCs/>
          <w:sz w:val="28"/>
          <w:szCs w:val="28"/>
        </w:rPr>
        <w:t>四</w:t>
      </w:r>
      <w:r>
        <w:rPr>
          <w:b/>
          <w:bCs/>
          <w:sz w:val="28"/>
          <w:szCs w:val="28"/>
        </w:rPr>
        <w:t>、谈判结果确定</w:t>
      </w:r>
    </w:p>
    <w:p>
      <w:pPr>
        <w:pStyle w:val="21"/>
        <w:spacing w:before="0" w:beforeAutospacing="0" w:after="0" w:afterAutospacing="0" w:line="360" w:lineRule="auto"/>
        <w:ind w:firstLine="600" w:firstLineChars="250"/>
        <w:jc w:val="both"/>
        <w:rPr>
          <w:rFonts w:hint="default"/>
          <w:color w:val="auto"/>
          <w:highlight w:val="none"/>
        </w:rPr>
      </w:pPr>
      <w:r>
        <w:rPr>
          <w:color w:val="auto"/>
          <w:highlight w:val="none"/>
        </w:rP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2、发布成交结果公告。采购组织机构应当在</w:t>
      </w:r>
      <w:r>
        <w:rPr>
          <w:rFonts w:ascii="宋体" w:hAnsi="宋体"/>
          <w:color w:val="auto"/>
          <w:kern w:val="0"/>
          <w:sz w:val="24"/>
          <w:highlight w:val="none"/>
        </w:rPr>
        <w:t>成交供应商确定</w:t>
      </w:r>
      <w:r>
        <w:rPr>
          <w:rFonts w:hint="eastAsia" w:ascii="宋体" w:hAnsi="宋体"/>
          <w:color w:val="auto"/>
          <w:kern w:val="0"/>
          <w:sz w:val="24"/>
          <w:highlight w:val="none"/>
        </w:rPr>
        <w:t>后</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在三门县公共资源交易中心网站上发布</w:t>
      </w:r>
      <w:r>
        <w:rPr>
          <w:rFonts w:hint="eastAsia" w:ascii="宋体" w:hAnsi="宋体"/>
          <w:color w:val="auto"/>
          <w:kern w:val="0"/>
          <w:sz w:val="24"/>
          <w:highlight w:val="none"/>
        </w:rPr>
        <w:t>成交结果。</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3、发出成交通知书。采购组织机构在发布成交结果同时，向成交供应商发出成交通知书。</w:t>
      </w:r>
    </w:p>
    <w:p>
      <w:pPr>
        <w:bidi w:val="0"/>
        <w:jc w:val="center"/>
        <w:rPr>
          <w:b/>
          <w:bCs/>
          <w:sz w:val="28"/>
          <w:szCs w:val="28"/>
        </w:rPr>
      </w:pPr>
      <w:r>
        <w:rPr>
          <w:rFonts w:hint="eastAsia"/>
          <w:b/>
          <w:bCs/>
          <w:sz w:val="28"/>
          <w:szCs w:val="28"/>
        </w:rPr>
        <w:t>五、合同签订及公告</w:t>
      </w:r>
    </w:p>
    <w:p>
      <w:pPr>
        <w:pStyle w:val="3"/>
        <w:ind w:firstLine="482" w:firstLineChars="200"/>
        <w:rPr>
          <w:rFonts w:hAnsi="宋体"/>
          <w:b/>
          <w:color w:val="auto"/>
          <w:szCs w:val="24"/>
          <w:highlight w:val="none"/>
        </w:rPr>
      </w:pPr>
      <w:r>
        <w:rPr>
          <w:rFonts w:hint="eastAsia"/>
          <w:b/>
          <w:color w:val="auto"/>
          <w:szCs w:val="24"/>
          <w:highlight w:val="none"/>
        </w:rPr>
        <w:t>（一）</w:t>
      </w:r>
      <w:r>
        <w:rPr>
          <w:rFonts w:hint="eastAsia" w:hAnsi="宋体"/>
          <w:b/>
          <w:color w:val="auto"/>
          <w:szCs w:val="24"/>
          <w:highlight w:val="none"/>
        </w:rPr>
        <w:t>签订合同</w:t>
      </w:r>
    </w:p>
    <w:p>
      <w:pPr>
        <w:pStyle w:val="3"/>
        <w:ind w:firstLine="480" w:firstLineChars="200"/>
        <w:rPr>
          <w:rFonts w:hAnsi="宋体"/>
          <w:color w:val="auto"/>
          <w:szCs w:val="24"/>
          <w:highlight w:val="none"/>
        </w:rPr>
      </w:pPr>
      <w:r>
        <w:rPr>
          <w:rFonts w:hint="eastAsia" w:hAnsi="宋体"/>
          <w:color w:val="auto"/>
          <w:szCs w:val="24"/>
          <w:highlight w:val="none"/>
        </w:rPr>
        <w:t>1、采购人应当自成交通知书发出之日起</w:t>
      </w:r>
      <w:r>
        <w:rPr>
          <w:rFonts w:hint="eastAsia" w:hAnsi="宋体"/>
          <w:color w:val="auto"/>
          <w:szCs w:val="24"/>
          <w:highlight w:val="none"/>
          <w:lang w:val="en-US" w:eastAsia="zh-CN"/>
        </w:rPr>
        <w:t>3</w:t>
      </w:r>
      <w:r>
        <w:rPr>
          <w:rFonts w:hint="eastAsia" w:hAnsi="宋体"/>
          <w:color w:val="auto"/>
          <w:szCs w:val="24"/>
          <w:highlight w:val="none"/>
        </w:rPr>
        <w:t>0个工作日内，</w:t>
      </w:r>
      <w:r>
        <w:rPr>
          <w:color w:val="auto"/>
          <w:szCs w:val="24"/>
          <w:highlight w:val="none"/>
        </w:rPr>
        <w:t>按照</w:t>
      </w:r>
      <w:r>
        <w:rPr>
          <w:rFonts w:hint="eastAsia"/>
          <w:color w:val="auto"/>
          <w:szCs w:val="24"/>
          <w:highlight w:val="none"/>
        </w:rPr>
        <w:t>谈判</w:t>
      </w:r>
      <w:r>
        <w:rPr>
          <w:color w:val="auto"/>
          <w:szCs w:val="24"/>
          <w:highlight w:val="none"/>
        </w:rPr>
        <w:t>采购文件</w:t>
      </w:r>
      <w:r>
        <w:rPr>
          <w:rFonts w:hint="eastAsia"/>
          <w:color w:val="auto"/>
          <w:szCs w:val="24"/>
          <w:highlight w:val="none"/>
        </w:rPr>
        <w:t>确定的合同文本以及采购标的、规格型号、采购金额、采购数量和服务要求等事项签订政府采购合同。</w:t>
      </w:r>
    </w:p>
    <w:p>
      <w:pPr>
        <w:pStyle w:val="21"/>
        <w:spacing w:before="0" w:beforeAutospacing="0" w:after="0" w:afterAutospacing="0" w:line="360" w:lineRule="auto"/>
        <w:ind w:firstLine="600" w:firstLineChars="250"/>
        <w:jc w:val="both"/>
        <w:rPr>
          <w:rFonts w:hint="default"/>
          <w:color w:val="auto"/>
          <w:highlight w:val="none"/>
        </w:rPr>
      </w:pPr>
      <w:r>
        <w:rPr>
          <w:color w:val="auto"/>
          <w:highlight w:val="none"/>
        </w:rP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21"/>
        <w:spacing w:before="0" w:beforeAutospacing="0" w:after="0" w:afterAutospacing="0" w:line="360" w:lineRule="auto"/>
        <w:ind w:firstLine="600" w:firstLineChars="250"/>
        <w:jc w:val="both"/>
        <w:rPr>
          <w:rFonts w:hint="default"/>
          <w:color w:val="auto"/>
          <w:highlight w:val="none"/>
        </w:rPr>
      </w:pPr>
      <w:r>
        <w:rPr>
          <w:color w:val="auto"/>
          <w:highlight w:val="none"/>
        </w:rPr>
        <w:t>3、成交供应商无故拖延、拒签合同的,谈判保证金将不予退还并取消成交资格。</w:t>
      </w:r>
    </w:p>
    <w:p>
      <w:pPr>
        <w:pStyle w:val="21"/>
        <w:spacing w:before="0" w:beforeAutospacing="0" w:after="0" w:afterAutospacing="0" w:line="360" w:lineRule="auto"/>
        <w:ind w:firstLine="600" w:firstLineChars="250"/>
        <w:jc w:val="both"/>
        <w:rPr>
          <w:rFonts w:hint="default"/>
          <w:color w:val="auto"/>
          <w:highlight w:val="none"/>
        </w:rPr>
      </w:pPr>
      <w:r>
        <w:rPr>
          <w:color w:val="auto"/>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1"/>
        <w:spacing w:line="360" w:lineRule="auto"/>
        <w:ind w:firstLine="600" w:firstLineChars="250"/>
        <w:rPr>
          <w:rFonts w:hint="default"/>
          <w:color w:val="auto"/>
          <w:highlight w:val="none"/>
        </w:rPr>
      </w:pPr>
      <w:r>
        <w:rPr>
          <w:color w:val="auto"/>
          <w:highlight w:val="none"/>
        </w:rPr>
        <w:t>5、询问或者质疑事项可能影响成交结果的，采购人应当暂停签订合同，已经签订合同的，应当中止履行合同（成交结果的质疑期为成交结果公告期限届满之日起七个工作日）。</w:t>
      </w:r>
    </w:p>
    <w:p>
      <w:pPr>
        <w:widowControl/>
        <w:jc w:val="center"/>
        <w:rPr>
          <w:rFonts w:hint="eastAsia" w:ascii="宋体" w:hAnsi="宋体" w:eastAsia="宋体" w:cs="宋体"/>
          <w:b/>
          <w:color w:val="auto"/>
          <w:szCs w:val="21"/>
          <w:highlight w:val="none"/>
        </w:rPr>
      </w:pPr>
      <w:r>
        <w:rPr>
          <w:color w:val="auto"/>
          <w:sz w:val="48"/>
          <w:szCs w:val="48"/>
          <w:highlight w:val="none"/>
        </w:rPr>
        <w:br w:type="page"/>
      </w:r>
      <w:bookmarkStart w:id="11" w:name="_Toc4388"/>
      <w:r>
        <w:rPr>
          <w:rStyle w:val="35"/>
          <w:rFonts w:hint="eastAsia"/>
          <w:sz w:val="28"/>
          <w:szCs w:val="28"/>
          <w:lang w:eastAsia="zh-CN"/>
        </w:rPr>
        <w:t>第四章</w:t>
      </w:r>
      <w:r>
        <w:rPr>
          <w:rStyle w:val="35"/>
          <w:rFonts w:hint="eastAsia"/>
          <w:sz w:val="28"/>
          <w:szCs w:val="28"/>
          <w:lang w:val="en-US" w:eastAsia="zh-CN"/>
        </w:rPr>
        <w:t xml:space="preserve"> </w:t>
      </w:r>
      <w:r>
        <w:rPr>
          <w:rStyle w:val="35"/>
          <w:rFonts w:hint="eastAsia"/>
          <w:sz w:val="28"/>
          <w:szCs w:val="28"/>
        </w:rPr>
        <w:t xml:space="preserve"> 政府采购合同主要条款指引</w:t>
      </w:r>
      <w:bookmarkEnd w:id="11"/>
    </w:p>
    <w:p>
      <w:pPr>
        <w:widowControl/>
        <w:shd w:val="clear" w:color="auto" w:fill="FFFFFF"/>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以下为成交后签订本项目合同的通用条款，成交供应商不得提出实质性的修改，关于专用条款将由采购人与成交供应商结合本项目具体情况协商后签订。</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项目编号：</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甲方：（采购单位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所在地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乙方：（中标供应商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所在地：</w:t>
      </w:r>
    </w:p>
    <w:p>
      <w:pPr>
        <w:widowControl/>
        <w:shd w:val="clear" w:color="auto" w:fill="FFFFFF"/>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甲、乙双方根据××(采购代理机构名称）关于××项目公开招标的结果，签署本合同。</w:t>
      </w:r>
    </w:p>
    <w:p>
      <w:pPr>
        <w:bidi w:val="0"/>
        <w:rPr>
          <w:rFonts w:hint="eastAsia"/>
          <w:b/>
          <w:bCs/>
          <w:lang w:val="zh-CN"/>
        </w:rPr>
      </w:pPr>
      <w:r>
        <w:rPr>
          <w:rFonts w:hint="eastAsia"/>
          <w:b/>
          <w:bCs/>
          <w:lang w:val="zh-CN"/>
        </w:rPr>
        <w:t>一、合同文件：</w:t>
      </w:r>
    </w:p>
    <w:p>
      <w:pPr>
        <w:spacing w:line="360" w:lineRule="auto"/>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1.合同条款。</w:t>
      </w:r>
    </w:p>
    <w:p>
      <w:pPr>
        <w:spacing w:line="360" w:lineRule="auto"/>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2.中标通知书。</w:t>
      </w:r>
    </w:p>
    <w:p>
      <w:pPr>
        <w:spacing w:line="360" w:lineRule="auto"/>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3.更正补充文件。</w:t>
      </w:r>
    </w:p>
    <w:p>
      <w:pPr>
        <w:spacing w:line="360" w:lineRule="auto"/>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4.招标文件。</w:t>
      </w:r>
    </w:p>
    <w:p>
      <w:pPr>
        <w:spacing w:line="360" w:lineRule="auto"/>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5.中标供应商投标文件。</w:t>
      </w:r>
    </w:p>
    <w:p>
      <w:pPr>
        <w:spacing w:line="360" w:lineRule="auto"/>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6.其他。</w:t>
      </w:r>
    </w:p>
    <w:p>
      <w:pPr>
        <w:pStyle w:val="12"/>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上述所指合同文件应认为是互相补充和解释的，但是有模棱两可或互相矛盾之处，以其所列内容顺序为准。</w:t>
      </w:r>
    </w:p>
    <w:p>
      <w:pPr>
        <w:numPr>
          <w:ilvl w:val="0"/>
          <w:numId w:val="4"/>
        </w:numPr>
        <w:bidi w:val="0"/>
        <w:rPr>
          <w:rFonts w:hint="eastAsia"/>
          <w:b/>
          <w:bCs/>
          <w:lang w:eastAsia="zh-CN"/>
        </w:rPr>
      </w:pPr>
      <w:r>
        <w:rPr>
          <w:rFonts w:hint="eastAsia"/>
          <w:b/>
          <w:bCs/>
          <w:lang w:eastAsia="zh-CN"/>
        </w:rPr>
        <w:t>货物内容</w:t>
      </w:r>
    </w:p>
    <w:tbl>
      <w:tblPr>
        <w:tblStyle w:val="25"/>
        <w:tblW w:w="9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897"/>
        <w:gridCol w:w="4434"/>
        <w:gridCol w:w="1307"/>
        <w:gridCol w:w="573"/>
        <w:gridCol w:w="760"/>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展项分区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参数规格型号</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0"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一楼入口大屏</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全彩显示屏</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显示尺寸：2.565x1.445=3.7㎡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1、像素点间距≤1.8mm；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2、整屏平整度≤0.04mm，模组平整度≤0.03mm，拼接缝≤0.03mm；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3、亮度≥600Cd/m²；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4、色温800-18000K；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5、刷新率达到≥3840Hz，对比度≥8000：1。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P1.8</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接收卡</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支持高精度色度、亮度一体化逐点矫正，支持所有常规芯片、PWM芯片，自带12个HUB75接口；支持所有75口1~64扫任意模组，最大带载：长度128点，高度768点，打折带载：长度512点，高度384点。</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E120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视频处理器</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1.视频控制器支持多达 6 路输入接口，包括 1路DVI，2路HDMI1.3，1路VGA，1路USB 播 放，1路CVBS；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2.支持最大1920×1080@60Hz输入分辨率；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3.支持最宽3840像素点，最高2000像素点；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4.支持4路千兆网口输出，最大带载260万像素。</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X4m</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开关电源</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4.5V 200A.</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包含钢架制作、不锈钢包边、安装等.</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播放主机</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1.处理器：Intel酷睿i5-12500；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2.内存：16G内存；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3.硬盘：256G固态硬盘；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4.▲提供原厂售后服务，即当日下午4点前报修，下一自然日24点前修复，若没有完成修复，则为客户免费赠送延迟日数对应的月度延保服务，投标时提供针对本项目的原厂承诺函</w:t>
            </w:r>
            <w:r>
              <w:rPr>
                <w:rFonts w:hint="eastAsia" w:ascii="宋体" w:hAnsi="宋体" w:cs="宋体"/>
                <w:b w:val="0"/>
                <w:bCs w:val="0"/>
                <w:color w:val="000000" w:themeColor="text1"/>
                <w:kern w:val="0"/>
                <w:sz w:val="22"/>
                <w:szCs w:val="22"/>
                <w:lang w:bidi="ar"/>
              </w:rPr>
              <w:t>及五年质保函</w:t>
            </w:r>
            <w:r>
              <w:rPr>
                <w:rFonts w:hint="eastAsia" w:ascii="宋体" w:hAnsi="宋体" w:eastAsia="宋体" w:cs="宋体"/>
                <w:i w:val="0"/>
                <w:iCs w:val="0"/>
                <w:color w:val="000000"/>
                <w:kern w:val="0"/>
                <w:sz w:val="22"/>
                <w:szCs w:val="22"/>
                <w:u w:val="none"/>
                <w:lang w:val="en-US" w:eastAsia="zh-CN" w:bidi="ar"/>
              </w:rPr>
              <w:t>原件。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ThinkCentre M750t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吸顶音响</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2"/>
                <w:lang w:val="en-US" w:eastAsia="zh-CN" w:bidi="ar"/>
              </w:rPr>
              <w:t>1.额定功率：100W；</w:t>
            </w:r>
            <w:r>
              <w:rPr>
                <w:rStyle w:val="52"/>
                <w:lang w:val="en-US" w:eastAsia="zh-CN" w:bidi="ar"/>
              </w:rPr>
              <w:br w:type="textWrapping"/>
            </w:r>
            <w:r>
              <w:rPr>
                <w:rStyle w:val="52"/>
                <w:lang w:val="en-US" w:eastAsia="zh-CN" w:bidi="ar"/>
              </w:rPr>
              <w:t>2.峰值功率：400W；</w:t>
            </w:r>
            <w:r>
              <w:rPr>
                <w:rStyle w:val="52"/>
                <w:lang w:val="en-US" w:eastAsia="zh-CN" w:bidi="ar"/>
              </w:rPr>
              <w:br w:type="textWrapping"/>
            </w:r>
            <w:r>
              <w:rPr>
                <w:rStyle w:val="52"/>
                <w:lang w:val="en-US" w:eastAsia="zh-CN" w:bidi="ar"/>
              </w:rPr>
              <w:t>3.阻抗：8</w:t>
            </w:r>
            <w:r>
              <w:rPr>
                <w:rStyle w:val="53"/>
                <w:rFonts w:eastAsia="宋体"/>
                <w:lang w:val="en-US" w:eastAsia="zh-CN" w:bidi="ar"/>
              </w:rPr>
              <w:t>Ω</w:t>
            </w:r>
            <w:r>
              <w:rPr>
                <w:rStyle w:val="54"/>
                <w:lang w:val="en-US" w:eastAsia="zh-CN" w:bidi="ar"/>
              </w:rPr>
              <w:t>；</w:t>
            </w:r>
            <w:r>
              <w:rPr>
                <w:rStyle w:val="54"/>
                <w:lang w:val="en-US" w:eastAsia="zh-CN" w:bidi="ar"/>
              </w:rPr>
              <w:br w:type="textWrapping"/>
            </w:r>
            <w:r>
              <w:rPr>
                <w:rStyle w:val="54"/>
                <w:lang w:val="en-US" w:eastAsia="zh-CN" w:bidi="ar"/>
              </w:rPr>
              <w:t>4.喇叭单元：6.5" x 1，1.5"x1；</w:t>
            </w:r>
            <w:r>
              <w:rPr>
                <w:rStyle w:val="54"/>
                <w:lang w:val="en-US" w:eastAsia="zh-CN" w:bidi="ar"/>
              </w:rPr>
              <w:br w:type="textWrapping"/>
            </w:r>
            <w:r>
              <w:rPr>
                <w:rStyle w:val="54"/>
                <w:lang w:val="en-US" w:eastAsia="zh-CN" w:bidi="ar"/>
              </w:rPr>
              <w:t>5.安装开孔尺寸：250mm。</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TS-208R</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功放</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2"/>
                <w:lang w:val="en-US" w:eastAsia="zh-CN" w:bidi="ar"/>
              </w:rPr>
              <w:t>1.输出功率：立体声@8</w:t>
            </w:r>
            <w:r>
              <w:rPr>
                <w:rStyle w:val="53"/>
                <w:rFonts w:eastAsia="宋体"/>
                <w:lang w:val="en-US" w:eastAsia="zh-CN" w:bidi="ar"/>
              </w:rPr>
              <w:t>Ω</w:t>
            </w:r>
            <w:r>
              <w:rPr>
                <w:rStyle w:val="54"/>
                <w:lang w:val="en-US" w:eastAsia="zh-CN" w:bidi="ar"/>
              </w:rPr>
              <w:t>：200W×2；立体声@4</w:t>
            </w:r>
            <w:r>
              <w:rPr>
                <w:rStyle w:val="53"/>
                <w:rFonts w:eastAsia="宋体"/>
                <w:lang w:val="en-US" w:eastAsia="zh-CN" w:bidi="ar"/>
              </w:rPr>
              <w:t>Ω</w:t>
            </w:r>
            <w:r>
              <w:rPr>
                <w:rStyle w:val="54"/>
                <w:lang w:val="en-US" w:eastAsia="zh-CN" w:bidi="ar"/>
              </w:rPr>
              <w:t>：400W×2；</w:t>
            </w:r>
            <w:r>
              <w:rPr>
                <w:rStyle w:val="54"/>
                <w:lang w:val="en-US" w:eastAsia="zh-CN" w:bidi="ar"/>
              </w:rPr>
              <w:br w:type="textWrapping"/>
            </w:r>
            <w:r>
              <w:rPr>
                <w:rStyle w:val="54"/>
                <w:lang w:val="en-US" w:eastAsia="zh-CN" w:bidi="ar"/>
              </w:rPr>
              <w:t>2.输入灵敏度：2.2dBu(1V)；</w:t>
            </w:r>
            <w:r>
              <w:rPr>
                <w:rStyle w:val="54"/>
                <w:lang w:val="en-US" w:eastAsia="zh-CN" w:bidi="ar"/>
              </w:rPr>
              <w:br w:type="textWrapping"/>
            </w:r>
            <w:r>
              <w:rPr>
                <w:rStyle w:val="54"/>
                <w:lang w:val="en-US" w:eastAsia="zh-CN" w:bidi="ar"/>
              </w:rPr>
              <w:t>3.输入阻抗：10K</w:t>
            </w:r>
            <w:r>
              <w:rPr>
                <w:rStyle w:val="53"/>
                <w:rFonts w:eastAsia="宋体"/>
                <w:lang w:val="en-US" w:eastAsia="zh-CN" w:bidi="ar"/>
              </w:rPr>
              <w:t>Ω</w:t>
            </w:r>
            <w:r>
              <w:rPr>
                <w:rStyle w:val="54"/>
                <w:lang w:val="en-US" w:eastAsia="zh-CN" w:bidi="ar"/>
              </w:rPr>
              <w:t xml:space="preserve"> ；</w:t>
            </w:r>
            <w:r>
              <w:rPr>
                <w:rStyle w:val="54"/>
                <w:lang w:val="en-US" w:eastAsia="zh-CN" w:bidi="ar"/>
              </w:rPr>
              <w:br w:type="textWrapping"/>
            </w:r>
            <w:r>
              <w:rPr>
                <w:rStyle w:val="54"/>
                <w:lang w:val="en-US" w:eastAsia="zh-CN" w:bidi="ar"/>
              </w:rPr>
              <w:t>4.最大功耗：500W；</w:t>
            </w:r>
            <w:r>
              <w:rPr>
                <w:rStyle w:val="54"/>
                <w:lang w:val="en-US" w:eastAsia="zh-CN" w:bidi="ar"/>
              </w:rPr>
              <w:br w:type="textWrapping"/>
            </w:r>
            <w:r>
              <w:rPr>
                <w:rStyle w:val="54"/>
                <w:lang w:val="en-US" w:eastAsia="zh-CN" w:bidi="ar"/>
              </w:rPr>
              <w:t>5.▲投标时提供原厂针对本项目的授权函及五年原厂质保函。</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TC-2200B</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安装辅件</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设备间专业连线、各类专业卡农、音箱插等。</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播控软件</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支持常规视频图文播放控制以及视频进度条和音量调节；支持标准串口232、485等数据接受和转发；支持对PC主机进行关机、重启等控制。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二楼触控一体机</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触控一体机</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1.屏幕尺寸：75寸触摸屏（壁挂安装）；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2.最佳分辨率：1920x1080；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3.扬声器：整机内置扬声器；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4.触控功能：支持红外触控，支持Windows系统中进行20点或以上触控，安卓系统中进行 10点或以上触控；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5.性能要求：内置嵌入式电脑模块，搭载Intel酷睿系列十代i5 CPU，配置16GB DDR4内存，256GB SSD固态硬盘。</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1"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触控一体机</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1.屏幕尺寸：55寸触摸屏（壁挂安装）；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2.最佳分辨率：1920x1080；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3.扬声器：内置扬声器；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4.触控功能：支持红外触控，支持Windows系统中进行20点或以上触控，安卓系统中进行 10点或以上触控；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5.性能要求：内置嵌入式电脑模块，搭载Intel酷睿系列十代i5 CPU，配置16GB DDR4内存，256GB SSD固态硬盘。</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触控一体机</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1.屏幕尺寸：55寸触摸屏（落地安装）；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2.最佳分辨率：1920x1080；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3.扬声器：内置扬声器；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4.触控功能：支持红外触控，支持Windows系统中进行20点或以上触控，安卓系统中进行 10点或以上触控；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5.性能要求：内置嵌入式电脑模块，搭载Intel酷睿系列十代i5 CPU，配置16GB DDR4内存，256GB SSD固态硬盘；</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二楼曲面屏</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柔性全彩显示屏</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显示尺寸：3.2m*2.08m=5.07㎡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1、像素点间距≤1.8mm；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2、整屏平整度≤0.04mm，模组平整度≤0.03mm，拼接缝≤0.03mm；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3、亮度≥600Cd/m²；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4、刷新率达到≥3840Hz，对比度≥8000：1。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P1.8</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接收卡</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支持高精度色度、亮度一体化逐点矫正，支持所有常规芯片、PWM芯片，自带12个HUB75接口。支持所有75口1~64扫任意模组，最大带载：长度128点，高度768点，打折带载：长度512点，高度384点。</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E120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视频处理器</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1.视频控制器支持多达 6 路输入接口，包括 1 路 DVI，2 路 HDMI1.3，1 路 VGA，1 路 USB 播 放，1 路 CVBS；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2.支持最大1920×1080@60Hz输入分辨率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3.支持最宽3840像素点，最高2000像素点。</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X4m</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开关电源</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4.5V 200A。</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包含钢架制作、不锈钢包边、安装等。</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8"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播放主机</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1.处理器：Intel酷睿i5-12500；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2.内存：16G内存；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3.硬盘：256G固态硬盘；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4.▲提供原厂售后服务，即当日下午4点前报修，下一自然日24点前修复，若没有完成修复，则为客户免费赠送延迟日数对应的月度延保服务，投标时提供针对本项目的原厂承诺函及五年质保函原件。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ThinkCentre M750t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吸顶音响</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2"/>
                <w:lang w:val="en-US" w:eastAsia="zh-CN" w:bidi="ar"/>
              </w:rPr>
              <w:t>1.额定功率：100W；</w:t>
            </w:r>
            <w:r>
              <w:rPr>
                <w:rStyle w:val="52"/>
                <w:lang w:val="en-US" w:eastAsia="zh-CN" w:bidi="ar"/>
              </w:rPr>
              <w:br w:type="textWrapping"/>
            </w:r>
            <w:r>
              <w:rPr>
                <w:rStyle w:val="52"/>
                <w:lang w:val="en-US" w:eastAsia="zh-CN" w:bidi="ar"/>
              </w:rPr>
              <w:t>2.峰值功率：400W；</w:t>
            </w:r>
            <w:r>
              <w:rPr>
                <w:rStyle w:val="52"/>
                <w:lang w:val="en-US" w:eastAsia="zh-CN" w:bidi="ar"/>
              </w:rPr>
              <w:br w:type="textWrapping"/>
            </w:r>
            <w:r>
              <w:rPr>
                <w:rStyle w:val="52"/>
                <w:lang w:val="en-US" w:eastAsia="zh-CN" w:bidi="ar"/>
              </w:rPr>
              <w:t>3.阻抗：8</w:t>
            </w:r>
            <w:r>
              <w:rPr>
                <w:rStyle w:val="53"/>
                <w:rFonts w:eastAsia="宋体"/>
                <w:lang w:val="en-US" w:eastAsia="zh-CN" w:bidi="ar"/>
              </w:rPr>
              <w:t>Ω</w:t>
            </w:r>
            <w:r>
              <w:rPr>
                <w:rStyle w:val="54"/>
                <w:lang w:val="en-US" w:eastAsia="zh-CN" w:bidi="ar"/>
              </w:rPr>
              <w:t>；</w:t>
            </w:r>
            <w:r>
              <w:rPr>
                <w:rStyle w:val="54"/>
                <w:lang w:val="en-US" w:eastAsia="zh-CN" w:bidi="ar"/>
              </w:rPr>
              <w:br w:type="textWrapping"/>
            </w:r>
            <w:r>
              <w:rPr>
                <w:rStyle w:val="54"/>
                <w:lang w:val="en-US" w:eastAsia="zh-CN" w:bidi="ar"/>
              </w:rPr>
              <w:t>4.喇叭单元：6.5" x 1，1.5"x1；</w:t>
            </w:r>
            <w:r>
              <w:rPr>
                <w:rStyle w:val="54"/>
                <w:lang w:val="en-US" w:eastAsia="zh-CN" w:bidi="ar"/>
              </w:rPr>
              <w:br w:type="textWrapping"/>
            </w:r>
            <w:r>
              <w:rPr>
                <w:rStyle w:val="54"/>
                <w:lang w:val="en-US" w:eastAsia="zh-CN" w:bidi="ar"/>
              </w:rPr>
              <w:t>5.安装开孔尺寸：250mm。</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TS-208R</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功放</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2"/>
                <w:lang w:val="en-US" w:eastAsia="zh-CN" w:bidi="ar"/>
              </w:rPr>
              <w:t>1.输出功率：立体声@8</w:t>
            </w:r>
            <w:r>
              <w:rPr>
                <w:rStyle w:val="53"/>
                <w:rFonts w:eastAsia="宋体"/>
                <w:lang w:val="en-US" w:eastAsia="zh-CN" w:bidi="ar"/>
              </w:rPr>
              <w:t>Ω</w:t>
            </w:r>
            <w:r>
              <w:rPr>
                <w:rStyle w:val="54"/>
                <w:lang w:val="en-US" w:eastAsia="zh-CN" w:bidi="ar"/>
              </w:rPr>
              <w:t>：200W×2；立体声@4</w:t>
            </w:r>
            <w:r>
              <w:rPr>
                <w:rStyle w:val="53"/>
                <w:rFonts w:eastAsia="宋体"/>
                <w:lang w:val="en-US" w:eastAsia="zh-CN" w:bidi="ar"/>
              </w:rPr>
              <w:t>Ω</w:t>
            </w:r>
            <w:r>
              <w:rPr>
                <w:rStyle w:val="54"/>
                <w:lang w:val="en-US" w:eastAsia="zh-CN" w:bidi="ar"/>
              </w:rPr>
              <w:t>：400W×2；</w:t>
            </w:r>
            <w:r>
              <w:rPr>
                <w:rStyle w:val="54"/>
                <w:lang w:val="en-US" w:eastAsia="zh-CN" w:bidi="ar"/>
              </w:rPr>
              <w:br w:type="textWrapping"/>
            </w:r>
            <w:r>
              <w:rPr>
                <w:rStyle w:val="54"/>
                <w:lang w:val="en-US" w:eastAsia="zh-CN" w:bidi="ar"/>
              </w:rPr>
              <w:t>2.输入灵敏度：2.2dBu(1V)；</w:t>
            </w:r>
            <w:r>
              <w:rPr>
                <w:rStyle w:val="54"/>
                <w:lang w:val="en-US" w:eastAsia="zh-CN" w:bidi="ar"/>
              </w:rPr>
              <w:br w:type="textWrapping"/>
            </w:r>
            <w:r>
              <w:rPr>
                <w:rStyle w:val="54"/>
                <w:lang w:val="en-US" w:eastAsia="zh-CN" w:bidi="ar"/>
              </w:rPr>
              <w:t>3.输入阻抗：10K</w:t>
            </w:r>
            <w:r>
              <w:rPr>
                <w:rStyle w:val="53"/>
                <w:rFonts w:eastAsia="宋体"/>
                <w:lang w:val="en-US" w:eastAsia="zh-CN" w:bidi="ar"/>
              </w:rPr>
              <w:t>Ω</w:t>
            </w:r>
            <w:r>
              <w:rPr>
                <w:rStyle w:val="54"/>
                <w:lang w:val="en-US" w:eastAsia="zh-CN" w:bidi="ar"/>
              </w:rPr>
              <w:t xml:space="preserve"> ；</w:t>
            </w:r>
            <w:r>
              <w:rPr>
                <w:rStyle w:val="54"/>
                <w:lang w:val="en-US" w:eastAsia="zh-CN" w:bidi="ar"/>
              </w:rPr>
              <w:br w:type="textWrapping"/>
            </w:r>
            <w:r>
              <w:rPr>
                <w:rStyle w:val="54"/>
                <w:lang w:val="en-US" w:eastAsia="zh-CN" w:bidi="ar"/>
              </w:rPr>
              <w:t>4.最大功耗：500W；</w:t>
            </w:r>
            <w:r>
              <w:rPr>
                <w:rStyle w:val="54"/>
                <w:lang w:val="en-US" w:eastAsia="zh-CN" w:bidi="ar"/>
              </w:rPr>
              <w:br w:type="textWrapping"/>
            </w:r>
            <w:r>
              <w:rPr>
                <w:rStyle w:val="54"/>
                <w:lang w:val="en-US" w:eastAsia="zh-CN" w:bidi="ar"/>
              </w:rPr>
              <w:t>5.▲投标时提供原厂针对本项目的授权函及五年原厂质保函。</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TC-2200B</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安装辅件</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设备间专业连线、各类专业卡农、音箱插等。</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播控软件</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支持常规视频图文播放控制以及视频进度条和音量调节；支持标准串口232、485等数据接受和转发；支持对PC主机进行关机、重启等控制。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5"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展厅中控系统</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中控主机</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1.强大的32位，1GHz CPU，512Mb永久存储闪存和512MB内存；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2.兼容所有RIT有线，无线(需RTI射频天线/Zigbee® 收发器)和基于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用户界面的应用；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3.6个多用途I/O端口可与符合行业标准的红外发射器，与中继系统使用；多用途I/O端口支持可选配的RTI电感和通信模块；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4.3个可编程的12VDC触发输出；3个可调节电压的传感器输入；3个可编程的继电器输出；3个RS-232端口用于双向通讯。</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ipad</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苹果ipad 64G。</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路由器</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华三千兆企业级路由器 双WAN口。</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ER3200G3</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华三24口全千兆企业级交换机。</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S1224R</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POE交换机</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华三9口全千兆POE供电交换机。</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S9G-P</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AP</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华三750M 5G双频无线吸顶AP。</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A61-E</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PDU</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8口32A。</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22U 600*600标准机柜。</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理线架</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安普康24口。</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UI界面设计</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定制UI界面设计。</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编程费用</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ipad，pc端程序编辑。</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ipad授权</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苹果IPAD软件使用授权。</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pStyle w:val="2"/>
        <w:rPr>
          <w:rFonts w:hint="eastAsia"/>
          <w:lang w:eastAsia="zh-CN"/>
        </w:rPr>
      </w:pPr>
    </w:p>
    <w:p>
      <w:pPr>
        <w:bidi w:val="0"/>
        <w:rPr>
          <w:rFonts w:hint="eastAsia"/>
          <w:b/>
          <w:bCs/>
        </w:rPr>
      </w:pPr>
      <w:r>
        <w:rPr>
          <w:rFonts w:hint="eastAsia"/>
          <w:b/>
          <w:bCs/>
        </w:rPr>
        <w:t>三、合同金额</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本合同金额为（大写）：______________________元（￥____________元）人民币。</w:t>
      </w:r>
    </w:p>
    <w:p>
      <w:pPr>
        <w:bidi w:val="0"/>
        <w:rPr>
          <w:rFonts w:hint="eastAsia"/>
          <w:b/>
          <w:bCs/>
        </w:rPr>
      </w:pPr>
      <w:r>
        <w:rPr>
          <w:rFonts w:hint="eastAsia"/>
          <w:b/>
          <w:bCs/>
        </w:rPr>
        <w:t>四、技术资料</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w:t>
      </w:r>
      <w:r>
        <w:rPr>
          <w:rFonts w:hint="eastAsia" w:hAnsi="宋体" w:cs="宋体"/>
          <w:color w:val="auto"/>
          <w:sz w:val="21"/>
          <w:szCs w:val="21"/>
          <w:highlight w:val="none"/>
          <w:lang w:eastAsia="zh-CN"/>
        </w:rPr>
        <w:t>谈判</w:t>
      </w:r>
      <w:r>
        <w:rPr>
          <w:rFonts w:hint="eastAsia" w:ascii="宋体" w:hAnsi="宋体" w:eastAsia="宋体" w:cs="宋体"/>
          <w:color w:val="auto"/>
          <w:sz w:val="21"/>
          <w:szCs w:val="21"/>
          <w:highlight w:val="none"/>
        </w:rPr>
        <w:t>文件规定的时间向甲方提供有关技术资料。</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bidi w:val="0"/>
        <w:rPr>
          <w:rFonts w:hint="eastAsia"/>
          <w:b/>
          <w:bCs/>
        </w:rPr>
      </w:pPr>
      <w:r>
        <w:rPr>
          <w:rFonts w:hint="eastAsia"/>
          <w:b/>
          <w:bCs/>
        </w:rPr>
        <w:t>五、知识产权</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（一）乙方应保证提供服务过程中不会侵犯任何第三方的知识产权。</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（二）若侵犯,由乙方赔偿甲方因此遭受的损失（包括但不限于应对及追偿过程中所支付的律师费、差旅费、诉讼费、保全费、鉴定费、评估费等）。</w:t>
      </w:r>
    </w:p>
    <w:p>
      <w:pPr>
        <w:bidi w:val="0"/>
        <w:rPr>
          <w:rFonts w:hint="eastAsia"/>
          <w:b/>
          <w:bCs/>
        </w:rPr>
      </w:pPr>
      <w:r>
        <w:rPr>
          <w:rFonts w:hint="eastAsia"/>
          <w:b/>
          <w:bCs/>
        </w:rPr>
        <w:t>六、产权担保</w:t>
      </w:r>
    </w:p>
    <w:p>
      <w:pPr>
        <w:pStyle w:val="12"/>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乙方保证所交付的货物的所有权完全属于乙方且无任何抵押、查封等产权瑕疵。</w:t>
      </w:r>
    </w:p>
    <w:p>
      <w:pPr>
        <w:bidi w:val="0"/>
        <w:rPr>
          <w:rFonts w:hint="eastAsia"/>
          <w:b/>
          <w:bCs/>
        </w:rPr>
      </w:pPr>
      <w:r>
        <w:rPr>
          <w:rFonts w:hint="eastAsia"/>
          <w:b/>
          <w:bCs/>
          <w:lang w:eastAsia="zh-CN"/>
        </w:rPr>
        <w:t>七</w:t>
      </w:r>
      <w:r>
        <w:rPr>
          <w:rFonts w:hint="eastAsia"/>
          <w:b/>
          <w:bCs/>
        </w:rPr>
        <w:t>、转包或分包</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1.本合同范围的服务，应由乙方直接供应，不得转让他人供应；</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除非得到甲方的书面同意，乙方不得将本合同范围的服务全部或部分分包给他人供应；</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3.如有转让和未经甲方同意的分包行为，甲方有权解除合同，没收履约保证金并追究乙方的违约责任。</w:t>
      </w:r>
    </w:p>
    <w:p>
      <w:pPr>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八</w:t>
      </w:r>
      <w:r>
        <w:rPr>
          <w:rFonts w:hint="eastAsia" w:ascii="宋体" w:hAnsi="宋体" w:eastAsia="宋体" w:cs="宋体"/>
          <w:b/>
          <w:bCs/>
          <w:color w:val="auto"/>
          <w:sz w:val="21"/>
          <w:szCs w:val="21"/>
          <w:highlight w:val="none"/>
        </w:rPr>
        <w:t xml:space="preserve">、质量保证期 </w:t>
      </w:r>
    </w:p>
    <w:p>
      <w:pPr>
        <w:snapToGrid w:val="0"/>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lang w:val="en-US" w:eastAsia="zh-CN"/>
        </w:rPr>
        <w:t>5年（自交货验收合格之日起计）</w:t>
      </w:r>
    </w:p>
    <w:p>
      <w:pPr>
        <w:bidi w:val="0"/>
        <w:rPr>
          <w:rFonts w:hint="eastAsia"/>
          <w:b/>
          <w:bCs/>
          <w:lang w:val="en-US" w:eastAsia="zh-CN"/>
        </w:rPr>
      </w:pPr>
      <w:r>
        <w:rPr>
          <w:rFonts w:hint="eastAsia"/>
          <w:b/>
          <w:bCs/>
          <w:lang w:val="en-US" w:eastAsia="zh-CN"/>
        </w:rPr>
        <w:t>九、供货期、交货方式及交货地点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（一）供货期：在采购人发出供货通知书后不超过 30 日历天（具体按投标承诺的供货时间为准）将所有设备运至采购人指定地点，并对所有设备验收合格，且完成安装、调试、试运行工作，送货费用由供应商负责。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（二）交货方式：一次性供货送至招标人指定地点。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（三）交货地点:三门县</w:t>
      </w:r>
    </w:p>
    <w:p>
      <w:pPr>
        <w:bidi w:val="0"/>
        <w:rPr>
          <w:rFonts w:hint="eastAsia"/>
          <w:b/>
          <w:bCs/>
        </w:rPr>
      </w:pPr>
      <w:r>
        <w:rPr>
          <w:rFonts w:hint="eastAsia"/>
          <w:b/>
          <w:bCs/>
          <w:lang w:eastAsia="zh-CN"/>
        </w:rPr>
        <w:t>十</w:t>
      </w:r>
      <w:r>
        <w:rPr>
          <w:rFonts w:hint="eastAsia"/>
          <w:b/>
          <w:bCs/>
        </w:rPr>
        <w:t>、款项支付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款项支付：合同签订之后支付合同价的40%，全部货物安装调试完毕并通过验收合格后30个工作日内支付合同价的60%</w:t>
      </w:r>
    </w:p>
    <w:p>
      <w:pPr>
        <w:bidi w:val="0"/>
        <w:rPr>
          <w:rFonts w:hint="eastAsia"/>
          <w:b/>
          <w:bCs/>
        </w:rPr>
      </w:pPr>
      <w:r>
        <w:rPr>
          <w:rFonts w:hint="eastAsia"/>
          <w:b/>
          <w:bCs/>
        </w:rPr>
        <w:t>十</w:t>
      </w:r>
      <w:r>
        <w:rPr>
          <w:rFonts w:hint="eastAsia"/>
          <w:b/>
          <w:bCs/>
          <w:lang w:eastAsia="zh-CN"/>
        </w:rPr>
        <w:t>一</w:t>
      </w:r>
      <w:r>
        <w:rPr>
          <w:rFonts w:hint="eastAsia"/>
          <w:b/>
          <w:bCs/>
        </w:rPr>
        <w:t>、税费</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pPr>
        <w:bidi w:val="0"/>
        <w:rPr>
          <w:rFonts w:hint="eastAsia"/>
          <w:b/>
          <w:bCs/>
        </w:rPr>
      </w:pPr>
      <w:r>
        <w:rPr>
          <w:rFonts w:hint="eastAsia"/>
          <w:b/>
          <w:bCs/>
        </w:rPr>
        <w:t>十</w:t>
      </w:r>
      <w:r>
        <w:rPr>
          <w:rFonts w:hint="eastAsia"/>
          <w:b/>
          <w:bCs/>
          <w:lang w:eastAsia="zh-CN"/>
        </w:rPr>
        <w:t>二</w:t>
      </w:r>
      <w:r>
        <w:rPr>
          <w:rFonts w:hint="eastAsia"/>
          <w:b/>
          <w:bCs/>
        </w:rPr>
        <w:t>、质量保证及后续服务</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（一）乙方应按</w:t>
      </w:r>
      <w:r>
        <w:rPr>
          <w:rFonts w:hint="eastAsia" w:hAnsi="宋体" w:cs="宋体"/>
          <w:color w:val="auto"/>
          <w:sz w:val="21"/>
          <w:szCs w:val="21"/>
          <w:highlight w:val="none"/>
          <w:lang w:eastAsia="zh-CN"/>
        </w:rPr>
        <w:t>谈判</w:t>
      </w:r>
      <w:r>
        <w:rPr>
          <w:rFonts w:hint="eastAsia" w:ascii="宋体" w:hAnsi="宋体" w:eastAsia="宋体" w:cs="宋体"/>
          <w:color w:val="auto"/>
          <w:sz w:val="21"/>
          <w:szCs w:val="21"/>
          <w:highlight w:val="none"/>
        </w:rPr>
        <w:t>文件规定的货物性能、技术要求、质量标准向甲方提供未经使用的全新产品。</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（二）乙方提供的货物在质保期内因货物本身的质量问题发生故障，乙方应负责免费更换。对达不到技术要求者，根据实际情况，经双方协商，可按以下办法处理：</w:t>
      </w:r>
    </w:p>
    <w:p>
      <w:pPr>
        <w:pStyle w:val="12"/>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1.更换：由乙方承担所发生的全部费用。</w:t>
      </w:r>
    </w:p>
    <w:p>
      <w:pPr>
        <w:pStyle w:val="12"/>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2.贬值处理：由甲乙双方合议定价。</w:t>
      </w:r>
    </w:p>
    <w:p>
      <w:pPr>
        <w:pStyle w:val="12"/>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3.退货处理：乙方应退还甲方支付的合同款，同时应承担该货物的直接费用（运输、保险、检验、货款利息及银行手续费等）。</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（三）如在使用过程中发生质量问题，乙方在接到甲方通知后在xx小时内到达甲方现场。</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（四）在质保期内，乙方应对货物出现的质量及安全问题负责处理解决并承担一切费用。</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（五）上述的货物免费保修期为</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年，因人为因素出现的故障不在免费保修范围内。超过保修期的机器设备，终生维修，维修时只收部件成本费。</w:t>
      </w:r>
    </w:p>
    <w:p>
      <w:pPr>
        <w:bidi w:val="0"/>
        <w:rPr>
          <w:rFonts w:hint="eastAsia"/>
          <w:b/>
          <w:bCs/>
        </w:rPr>
      </w:pPr>
      <w:r>
        <w:rPr>
          <w:rFonts w:hint="eastAsia"/>
          <w:b/>
          <w:bCs/>
        </w:rPr>
        <w:t>十</w:t>
      </w:r>
      <w:r>
        <w:rPr>
          <w:rFonts w:hint="eastAsia"/>
          <w:b/>
          <w:bCs/>
          <w:lang w:eastAsia="zh-CN"/>
        </w:rPr>
        <w:t>三</w:t>
      </w:r>
      <w:r>
        <w:rPr>
          <w:rFonts w:hint="eastAsia"/>
          <w:b/>
          <w:bCs/>
        </w:rPr>
        <w:t>、调试和验收</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（一）甲方对乙方提交的货物依据</w:t>
      </w:r>
      <w:r>
        <w:rPr>
          <w:rFonts w:hint="eastAsia" w:hAnsi="宋体" w:cs="宋体"/>
          <w:color w:val="auto"/>
          <w:sz w:val="21"/>
          <w:szCs w:val="21"/>
          <w:highlight w:val="none"/>
          <w:lang w:eastAsia="zh-CN"/>
        </w:rPr>
        <w:t>谈判</w:t>
      </w:r>
      <w:r>
        <w:rPr>
          <w:rFonts w:hint="eastAsia" w:ascii="宋体" w:hAnsi="宋体" w:eastAsia="宋体" w:cs="宋体"/>
          <w:color w:val="auto"/>
          <w:sz w:val="21"/>
          <w:szCs w:val="21"/>
          <w:highlight w:val="none"/>
        </w:rPr>
        <w:t>文件上的技术规格要求和国家有关质量标准进行现场初步验收，外观、说明书符合</w:t>
      </w:r>
      <w:r>
        <w:rPr>
          <w:rFonts w:hint="eastAsia" w:hAnsi="宋体" w:cs="宋体"/>
          <w:color w:val="auto"/>
          <w:sz w:val="21"/>
          <w:szCs w:val="21"/>
          <w:highlight w:val="none"/>
          <w:lang w:eastAsia="zh-CN"/>
        </w:rPr>
        <w:t>谈判</w:t>
      </w:r>
      <w:r>
        <w:rPr>
          <w:rFonts w:hint="eastAsia" w:ascii="宋体" w:hAnsi="宋体" w:eastAsia="宋体" w:cs="宋体"/>
          <w:color w:val="auto"/>
          <w:sz w:val="21"/>
          <w:szCs w:val="21"/>
          <w:highlight w:val="none"/>
        </w:rPr>
        <w:t>文件技术要求的，给予签收，初步验收不合格的不予签收。货到后，甲方需在</w:t>
      </w:r>
      <w:r>
        <w:rPr>
          <w:rFonts w:hint="eastAsia" w:ascii="宋体" w:hAnsi="宋体" w:eastAsia="宋体" w:cs="宋体"/>
          <w:color w:val="auto"/>
          <w:sz w:val="21"/>
          <w:szCs w:val="21"/>
          <w:highlight w:val="none"/>
          <w:u w:val="single"/>
        </w:rPr>
        <w:t>五</w:t>
      </w:r>
      <w:r>
        <w:rPr>
          <w:rFonts w:hint="eastAsia" w:ascii="宋体" w:hAnsi="宋体" w:eastAsia="宋体" w:cs="宋体"/>
          <w:color w:val="auto"/>
          <w:sz w:val="21"/>
          <w:szCs w:val="21"/>
          <w:highlight w:val="none"/>
        </w:rPr>
        <w:t>个工作日内验收。</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（二）乙方交货前应对产品做出全面检查和对验收文件进行整理，并列出清单，作为甲方收货验收和使用的技术条件依据，检验的结果应随货物交甲方。</w:t>
      </w:r>
    </w:p>
    <w:p>
      <w:pPr>
        <w:pStyle w:val="12"/>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（三）甲方对乙方提供的货物在使用前进行调试时，乙方需负责安装并培训甲方的使用操作人员，并协助甲方一起调试，直到符合技术要求，甲方才做最终验收。</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（四）对技术复杂的货物，甲方应请国家认可的专业检测机构参与初步验收及最终验收，并由其出具质量检测报告。</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（五）验收时乙方必须在现场，验收完毕后作出验收结果报告；验收费用由甲方负责。</w:t>
      </w:r>
    </w:p>
    <w:p>
      <w:pPr>
        <w:bidi w:val="0"/>
        <w:rPr>
          <w:rFonts w:hint="eastAsia"/>
          <w:b/>
          <w:bCs/>
        </w:rPr>
      </w:pPr>
      <w:r>
        <w:rPr>
          <w:rFonts w:hint="eastAsia"/>
          <w:b/>
          <w:bCs/>
        </w:rPr>
        <w:t>十</w:t>
      </w:r>
      <w:r>
        <w:rPr>
          <w:rFonts w:hint="eastAsia"/>
          <w:b/>
          <w:bCs/>
          <w:lang w:eastAsia="zh-CN"/>
        </w:rPr>
        <w:t>四</w:t>
      </w:r>
      <w:r>
        <w:rPr>
          <w:rFonts w:hint="eastAsia"/>
          <w:b/>
          <w:bCs/>
        </w:rPr>
        <w:t>、货物包装、发运及运输</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（一）乙方应在货物发运前对其进行满足运输距离、防潮、防震、防锈和防破损装卸等要求包装，以保证货物安全运达甲方指定地点。</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（二）使用说明书、质量检验证明书、随配附件和工具以及清单一并附于货物内。</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（三）乙方在货物发运手续办理完毕后24小时内或货到甲方48小时前通知甲方，以准备接货。</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（四）货物在交付甲方前发生的风险均由乙方负责。</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（五）货物在规定的交付期限内由乙方送达甲方指定的地点视为交付，乙方同时需通知甲方货物已送达。</w:t>
      </w:r>
    </w:p>
    <w:p>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（六）乙方运送的货物涉及商品包装和快递包装的，参考《商品包装政府采购需求标准（试行）》、《快递包装政府采购需求标准（试行）》（财办库［2020］123号）</w:t>
      </w:r>
    </w:p>
    <w:p>
      <w:pPr>
        <w:bidi w:val="0"/>
        <w:rPr>
          <w:rFonts w:hint="eastAsia"/>
          <w:b/>
          <w:bCs/>
        </w:rPr>
      </w:pPr>
      <w:r>
        <w:rPr>
          <w:rFonts w:hint="eastAsia"/>
          <w:b/>
          <w:bCs/>
        </w:rPr>
        <w:t>十</w:t>
      </w:r>
      <w:r>
        <w:rPr>
          <w:rFonts w:hint="eastAsia"/>
          <w:b/>
          <w:bCs/>
          <w:lang w:eastAsia="zh-CN"/>
        </w:rPr>
        <w:t>五</w:t>
      </w:r>
      <w:r>
        <w:rPr>
          <w:rFonts w:hint="eastAsia"/>
          <w:b/>
          <w:bCs/>
        </w:rPr>
        <w:t>、违约责任</w:t>
      </w:r>
    </w:p>
    <w:p>
      <w:pPr>
        <w:pStyle w:val="12"/>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乙方提供的服务不符合采购文件、投标文件或本合同规定的，甲方有权拒收，并且乙方须向甲方支付本合同总价 5%的违约金。</w:t>
      </w:r>
    </w:p>
    <w:p>
      <w:pPr>
        <w:pStyle w:val="12"/>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乙方未能按本合同规定的交货时间提供服务，从逾期之日起每日按本合同总价3‰的数额向甲方支付违约金；逾期15日以上的，甲方有权立即单方解除合同。并要求乙方承担合同金额5%的违约金。乙方提交的服务成果不能通过甲方验收的，甲方有权拒收，甲方拒收的，乙方应承担合同金额5%的违约金。</w:t>
      </w:r>
    </w:p>
    <w:p>
      <w:pPr>
        <w:pStyle w:val="12"/>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甲方无正当理由拒收接受服务，甲方向乙方偿付本合同总价的 5%的违约金。</w:t>
      </w:r>
    </w:p>
    <w:p>
      <w:pPr>
        <w:pStyle w:val="12"/>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4）乙方提供的服务成果在质保期内发生故障或错误，乙方应负责免费更正，若更正后仍达不到质量要求，甲方有权解除合同并要求乙方支付合同金额5%的违约金。</w:t>
      </w:r>
    </w:p>
    <w:p>
      <w:pPr>
        <w:pStyle w:val="12"/>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5）乙方因侵犯第三方知识产权或违反保密义务等行为给甲方造成损害的，应承担损害赔偿责任。</w:t>
      </w:r>
    </w:p>
    <w:p>
      <w:pPr>
        <w:pStyle w:val="12"/>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其它违约责任按《中华人民共和国民法典》处理。</w:t>
      </w:r>
    </w:p>
    <w:p>
      <w:pPr>
        <w:bidi w:val="0"/>
        <w:rPr>
          <w:rFonts w:hint="eastAsia"/>
          <w:b/>
          <w:bCs/>
        </w:rPr>
      </w:pPr>
      <w:r>
        <w:rPr>
          <w:rFonts w:hint="eastAsia"/>
          <w:b/>
          <w:bCs/>
        </w:rPr>
        <w:t>十</w:t>
      </w:r>
      <w:r>
        <w:rPr>
          <w:rFonts w:hint="eastAsia"/>
          <w:b/>
          <w:bCs/>
          <w:lang w:eastAsia="zh-CN"/>
        </w:rPr>
        <w:t>六</w:t>
      </w:r>
      <w:r>
        <w:rPr>
          <w:rFonts w:hint="eastAsia"/>
          <w:b/>
          <w:bCs/>
        </w:rPr>
        <w:t>、不可抗力事件处理</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3．不可抗力事件延续120天以上，双方应通过友好协商，确定是否继续履行合同。</w:t>
      </w:r>
    </w:p>
    <w:p>
      <w:pPr>
        <w:bidi w:val="0"/>
        <w:rPr>
          <w:rFonts w:hint="eastAsia"/>
          <w:b/>
          <w:bCs/>
        </w:rPr>
      </w:pPr>
      <w:r>
        <w:rPr>
          <w:rFonts w:hint="eastAsia"/>
          <w:b/>
          <w:bCs/>
        </w:rPr>
        <w:t>十</w:t>
      </w:r>
      <w:r>
        <w:rPr>
          <w:rFonts w:hint="eastAsia"/>
          <w:b/>
          <w:bCs/>
          <w:lang w:eastAsia="zh-CN"/>
        </w:rPr>
        <w:t>七</w:t>
      </w:r>
      <w:r>
        <w:rPr>
          <w:rFonts w:hint="eastAsia"/>
          <w:b/>
          <w:bCs/>
        </w:rPr>
        <w:t>、解决争议的方法</w:t>
      </w:r>
    </w:p>
    <w:p>
      <w:pPr>
        <w:pStyle w:val="12"/>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如双方在履行合同时发生纠纷，应协商解决；协商不成时，</w:t>
      </w:r>
      <w:r>
        <w:rPr>
          <w:rFonts w:hint="eastAsia" w:ascii="宋体" w:hAnsi="宋体" w:eastAsia="宋体" w:cs="宋体"/>
          <w:color w:val="auto"/>
          <w:sz w:val="21"/>
          <w:szCs w:val="21"/>
          <w:highlight w:val="none"/>
        </w:rPr>
        <w:t>双方均有权向三门县人民法院提起诉讼。</w:t>
      </w:r>
    </w:p>
    <w:p>
      <w:pPr>
        <w:bidi w:val="0"/>
        <w:rPr>
          <w:rFonts w:hint="eastAsia"/>
          <w:b/>
          <w:bCs/>
        </w:rPr>
      </w:pPr>
      <w:r>
        <w:rPr>
          <w:rFonts w:hint="eastAsia"/>
          <w:b/>
          <w:bCs/>
        </w:rPr>
        <w:t>十</w:t>
      </w:r>
      <w:r>
        <w:rPr>
          <w:rFonts w:hint="eastAsia"/>
          <w:b/>
          <w:bCs/>
          <w:lang w:eastAsia="zh-CN"/>
        </w:rPr>
        <w:t>八</w:t>
      </w:r>
      <w:r>
        <w:rPr>
          <w:rFonts w:hint="eastAsia"/>
          <w:b/>
          <w:bCs/>
        </w:rPr>
        <w:t>、合同生效及其它</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合同经双方法定代表人或授权代表签字并加盖单位公章后生效。</w:t>
      </w:r>
    </w:p>
    <w:p>
      <w:pPr>
        <w:pStyle w:val="1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本合同未尽事宜，遵照《民法典》有关条文执行。</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本合同一式四份。甲、乙双方各执一份，采购代理机构及同级人民政府财政部门各执一份。本项目未尽事宜以招标文件、投标文件及澄清文件等为准。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乙方（公章）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法定代表人：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委托代理人：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联系电话：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开户银行：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帐号：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地址及邮编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地址及邮编：</w:t>
      </w:r>
    </w:p>
    <w:p>
      <w:pPr>
        <w:spacing w:line="360" w:lineRule="auto"/>
        <w:rPr>
          <w:rFonts w:hint="eastAsia" w:ascii="宋体" w:hAnsi="宋体" w:eastAsia="宋体" w:cs="宋体"/>
          <w:color w:val="auto"/>
          <w:sz w:val="21"/>
          <w:szCs w:val="21"/>
          <w:highlight w:val="none"/>
        </w:rPr>
      </w:pPr>
    </w:p>
    <w:p>
      <w:pPr>
        <w:spacing w:line="360" w:lineRule="auto"/>
        <w:ind w:firstLine="4305" w:firstLineChars="20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年   月    日</w:t>
      </w:r>
    </w:p>
    <w:p>
      <w:pPr>
        <w:widowControl/>
        <w:jc w:val="center"/>
        <w:rPr>
          <w:rFonts w:hint="eastAsia" w:ascii="宋体" w:hAnsi="宋体" w:eastAsia="宋体" w:cs="宋体"/>
          <w:kern w:val="0"/>
          <w:sz w:val="24"/>
          <w:highlight w:val="none"/>
        </w:rPr>
      </w:pPr>
      <w:r>
        <w:rPr>
          <w:rFonts w:hint="eastAsia" w:ascii="宋体" w:hAnsi="宋体" w:eastAsia="宋体" w:cs="宋体"/>
          <w:b/>
          <w:color w:val="000000"/>
          <w:sz w:val="36"/>
          <w:szCs w:val="36"/>
          <w:highlight w:val="none"/>
        </w:rPr>
        <w:br w:type="page"/>
      </w:r>
      <w:bookmarkStart w:id="12" w:name="_Toc31039"/>
      <w:r>
        <w:rPr>
          <w:rStyle w:val="35"/>
          <w:rFonts w:hint="eastAsia"/>
          <w:sz w:val="28"/>
          <w:szCs w:val="28"/>
        </w:rPr>
        <w:t>第五章</w:t>
      </w:r>
      <w:r>
        <w:rPr>
          <w:rStyle w:val="35"/>
          <w:rFonts w:hint="eastAsia"/>
          <w:sz w:val="28"/>
          <w:szCs w:val="28"/>
          <w:lang w:val="en-US" w:eastAsia="zh-CN"/>
        </w:rPr>
        <w:t xml:space="preserve"> </w:t>
      </w:r>
      <w:r>
        <w:rPr>
          <w:rStyle w:val="35"/>
          <w:rFonts w:hint="eastAsia"/>
          <w:sz w:val="28"/>
          <w:szCs w:val="28"/>
        </w:rPr>
        <w:t>谈判响应文件格式附件</w:t>
      </w:r>
      <w:bookmarkEnd w:id="12"/>
    </w:p>
    <w:p>
      <w:pPr>
        <w:spacing w:line="360" w:lineRule="auto"/>
        <w:rPr>
          <w:rFonts w:hint="eastAsia" w:ascii="宋体" w:hAnsi="宋体" w:eastAsia="宋体" w:cs="宋体"/>
          <w:b/>
          <w:sz w:val="28"/>
          <w:highlight w:val="none"/>
        </w:rPr>
      </w:pPr>
      <w:r>
        <w:rPr>
          <w:rFonts w:hint="eastAsia" w:ascii="宋体" w:hAnsi="宋体" w:eastAsia="宋体" w:cs="宋体"/>
          <w:b/>
          <w:sz w:val="28"/>
          <w:highlight w:val="none"/>
        </w:rPr>
        <w:br w:type="page"/>
      </w:r>
      <w:r>
        <w:rPr>
          <w:rFonts w:hint="eastAsia" w:ascii="宋体" w:hAnsi="宋体" w:eastAsia="宋体" w:cs="宋体"/>
          <w:b/>
          <w:sz w:val="28"/>
          <w:highlight w:val="none"/>
        </w:rPr>
        <w:t>附件1</w:t>
      </w:r>
    </w:p>
    <w:p>
      <w:pPr>
        <w:adjustRightInd w:val="0"/>
        <w:snapToGrid w:val="0"/>
        <w:spacing w:line="360" w:lineRule="auto"/>
        <w:ind w:right="480"/>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谈判声明书</w:t>
      </w:r>
    </w:p>
    <w:p>
      <w:pPr>
        <w:snapToGrid w:val="0"/>
        <w:spacing w:before="156" w:beforeLines="50" w:after="50" w:line="324" w:lineRule="auto"/>
        <w:ind w:firstLine="120" w:firstLineChars="50"/>
        <w:rPr>
          <w:rFonts w:hint="eastAsia" w:ascii="宋体" w:hAnsi="宋体" w:eastAsia="宋体" w:cs="宋体"/>
          <w:kern w:val="0"/>
          <w:sz w:val="24"/>
          <w:highlight w:val="none"/>
        </w:rPr>
      </w:pP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（采购代理机构名称）：</w:t>
      </w:r>
    </w:p>
    <w:p>
      <w:pPr>
        <w:snapToGrid w:val="0"/>
        <w:spacing w:before="156" w:beforeLines="50" w:after="50" w:line="324"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u w:val="single"/>
        </w:rPr>
        <w:t>（供应商名称）</w:t>
      </w:r>
      <w:r>
        <w:rPr>
          <w:rFonts w:hint="eastAsia" w:ascii="宋体" w:hAnsi="宋体" w:eastAsia="宋体" w:cs="宋体"/>
          <w:kern w:val="0"/>
          <w:sz w:val="24"/>
          <w:highlight w:val="none"/>
        </w:rPr>
        <w:t>系中华人民共和国合法企业，经营地址</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p>
    <w:p>
      <w:pPr>
        <w:snapToGrid w:val="0"/>
        <w:spacing w:before="156" w:beforeLines="50" w:after="50" w:line="324"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我（</w:t>
      </w:r>
      <w:r>
        <w:rPr>
          <w:rFonts w:hint="eastAsia" w:ascii="宋体" w:hAnsi="宋体" w:eastAsia="宋体" w:cs="宋体"/>
          <w:kern w:val="0"/>
          <w:sz w:val="24"/>
          <w:highlight w:val="none"/>
          <w:u w:val="single"/>
        </w:rPr>
        <w:t xml:space="preserve"> 姓名 </w:t>
      </w:r>
      <w:r>
        <w:rPr>
          <w:rFonts w:hint="eastAsia" w:ascii="宋体" w:hAnsi="宋体" w:eastAsia="宋体" w:cs="宋体"/>
          <w:kern w:val="0"/>
          <w:sz w:val="24"/>
          <w:highlight w:val="none"/>
        </w:rPr>
        <w:t>）系（</w:t>
      </w:r>
      <w:r>
        <w:rPr>
          <w:rFonts w:hint="eastAsia" w:ascii="宋体" w:hAnsi="宋体" w:eastAsia="宋体" w:cs="宋体"/>
          <w:kern w:val="0"/>
          <w:sz w:val="24"/>
          <w:highlight w:val="none"/>
          <w:u w:val="single"/>
        </w:rPr>
        <w:t xml:space="preserve">供应商名称 </w:t>
      </w:r>
      <w:r>
        <w:rPr>
          <w:rFonts w:hint="eastAsia" w:ascii="宋体" w:hAnsi="宋体" w:eastAsia="宋体" w:cs="宋体"/>
          <w:kern w:val="0"/>
          <w:sz w:val="24"/>
          <w:highlight w:val="none"/>
        </w:rPr>
        <w:t>）的法定代表人，我公司自愿参加贵方组织的</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r>
        <w:rPr>
          <w:rFonts w:hint="eastAsia" w:ascii="宋体" w:hAnsi="宋体" w:eastAsia="宋体" w:cs="宋体"/>
          <w:kern w:val="0"/>
          <w:sz w:val="24"/>
          <w:highlight w:val="none"/>
          <w:u w:val="single"/>
        </w:rPr>
        <w:t>竞争性谈判项目名称</w:t>
      </w:r>
      <w:r>
        <w:rPr>
          <w:rFonts w:hint="eastAsia" w:ascii="宋体" w:hAnsi="宋体" w:eastAsia="宋体" w:cs="宋体"/>
          <w:kern w:val="0"/>
          <w:sz w:val="24"/>
          <w:highlight w:val="none"/>
        </w:rPr>
        <w:t>）（编号为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）的谈判，为此，我公司就本次谈判有关事项郑重声明如下：</w:t>
      </w:r>
    </w:p>
    <w:p>
      <w:pPr>
        <w:numPr>
          <w:ilvl w:val="0"/>
          <w:numId w:val="5"/>
        </w:numPr>
        <w:snapToGrid w:val="0"/>
        <w:spacing w:before="156" w:beforeLines="50" w:after="50" w:line="324" w:lineRule="auto"/>
        <w:ind w:firstLine="480" w:firstLineChars="200"/>
        <w:rPr>
          <w:rFonts w:hint="eastAsia" w:ascii="宋体" w:hAnsi="宋体" w:eastAsia="宋体" w:cs="宋体"/>
          <w:b/>
          <w:kern w:val="0"/>
          <w:sz w:val="24"/>
          <w:highlight w:val="none"/>
        </w:rPr>
      </w:pPr>
      <w:r>
        <w:rPr>
          <w:rFonts w:hint="eastAsia" w:ascii="宋体" w:hAnsi="宋体" w:eastAsia="宋体" w:cs="宋体"/>
          <w:sz w:val="24"/>
          <w:highlight w:val="none"/>
        </w:rPr>
        <w:t>我公司声明截止谈判响应时间近三年以来：在参加政府采购活动过程中无任何不良行为记录；无重大违法记录（重大违法记录是指供应商因违法经营</w:t>
      </w:r>
      <w:r>
        <w:rPr>
          <w:rFonts w:hint="eastAsia" w:ascii="宋体" w:hAnsi="宋体" w:eastAsia="宋体" w:cs="宋体"/>
          <w:color w:val="000000"/>
          <w:sz w:val="24"/>
          <w:highlight w:val="none"/>
        </w:rPr>
        <w:t>受到刑事处罚或者责令停产停业、吊销许可证或者执照、较大数额罚款等行政处罚）。</w:t>
      </w:r>
    </w:p>
    <w:p>
      <w:pPr>
        <w:numPr>
          <w:ilvl w:val="0"/>
          <w:numId w:val="5"/>
        </w:numPr>
        <w:snapToGrid w:val="0"/>
        <w:spacing w:before="156" w:beforeLines="50" w:after="50" w:line="324"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我公司在参与谈判响应前已详细审查了谈判文件和所有相关资料，我方完全明白并认为此谈判采购文件没有倾向性，也没有存在排斥潜在供应商的内容，我方同意谈判采购文件的相关条款，放弃对谈判采购文件提出误解和质疑的一切权利。</w:t>
      </w:r>
    </w:p>
    <w:p>
      <w:pPr>
        <w:snapToGrid w:val="0"/>
        <w:spacing w:before="156" w:beforeLines="50" w:after="50" w:line="324"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w:t>
      </w:r>
      <w:r>
        <w:rPr>
          <w:rFonts w:hint="eastAsia" w:ascii="宋体" w:hAnsi="宋体" w:eastAsia="宋体" w:cs="宋体"/>
          <w:kern w:val="0"/>
          <w:sz w:val="24"/>
          <w:highlight w:val="none"/>
          <w:lang w:val="zh-CN"/>
        </w:rPr>
        <w:t>公司</w:t>
      </w:r>
      <w:r>
        <w:rPr>
          <w:rFonts w:hint="eastAsia" w:ascii="宋体" w:hAnsi="宋体" w:eastAsia="宋体" w:cs="宋体"/>
          <w:sz w:val="24"/>
          <w:highlight w:val="none"/>
        </w:rPr>
        <w:t>不是采购人的附属机构；在获知本项目采购信息后，与采购人聘请的为此项目提供咨询服务的公司及其附属机构没有任何联系。</w:t>
      </w:r>
    </w:p>
    <w:p>
      <w:pPr>
        <w:snapToGrid w:val="0"/>
        <w:spacing w:before="156" w:beforeLines="50" w:after="50" w:line="324" w:lineRule="auto"/>
        <w:ind w:firstLine="480" w:firstLineChars="200"/>
        <w:rPr>
          <w:rFonts w:hint="eastAsia" w:ascii="宋体" w:hAnsi="宋体" w:eastAsia="宋体" w:cs="宋体"/>
          <w:kern w:val="0"/>
          <w:sz w:val="24"/>
          <w:highlight w:val="none"/>
          <w:lang w:val="af-ZA"/>
        </w:rPr>
      </w:pPr>
      <w:r>
        <w:rPr>
          <w:rFonts w:hint="eastAsia" w:ascii="宋体" w:hAnsi="宋体" w:eastAsia="宋体" w:cs="宋体"/>
          <w:sz w:val="24"/>
          <w:highlight w:val="none"/>
        </w:rPr>
        <w:t>4、</w:t>
      </w:r>
      <w:r>
        <w:rPr>
          <w:rFonts w:hint="eastAsia" w:ascii="宋体" w:hAnsi="宋体" w:eastAsia="宋体" w:cs="宋体"/>
          <w:kern w:val="0"/>
          <w:sz w:val="24"/>
          <w:highlight w:val="none"/>
        </w:rPr>
        <w:t>我</w:t>
      </w:r>
      <w:r>
        <w:rPr>
          <w:rFonts w:hint="eastAsia" w:ascii="宋体" w:hAnsi="宋体" w:eastAsia="宋体" w:cs="宋体"/>
          <w:kern w:val="0"/>
          <w:sz w:val="24"/>
          <w:highlight w:val="none"/>
          <w:lang w:val="zh-CN"/>
        </w:rPr>
        <w:t>公司</w:t>
      </w:r>
      <w:r>
        <w:rPr>
          <w:rFonts w:hint="eastAsia" w:ascii="宋体" w:hAnsi="宋体" w:eastAsia="宋体" w:cs="宋体"/>
          <w:kern w:val="0"/>
          <w:sz w:val="24"/>
          <w:highlight w:val="none"/>
        </w:rPr>
        <w:t>保证，</w:t>
      </w:r>
      <w:r>
        <w:rPr>
          <w:rFonts w:hint="eastAsia" w:ascii="宋体" w:hAnsi="宋体" w:eastAsia="宋体" w:cs="宋体"/>
          <w:kern w:val="0"/>
          <w:sz w:val="24"/>
          <w:highlight w:val="none"/>
          <w:lang w:val="af-ZA"/>
        </w:rPr>
        <w:t>采购人在中华人民共和国境内使用</w:t>
      </w:r>
      <w:r>
        <w:rPr>
          <w:rFonts w:hint="eastAsia" w:ascii="宋体" w:hAnsi="宋体" w:eastAsia="宋体" w:cs="宋体"/>
          <w:kern w:val="0"/>
          <w:sz w:val="24"/>
          <w:highlight w:val="none"/>
        </w:rPr>
        <w:t>我</w:t>
      </w:r>
      <w:r>
        <w:rPr>
          <w:rFonts w:hint="eastAsia" w:ascii="宋体" w:hAnsi="宋体" w:eastAsia="宋体" w:cs="宋体"/>
          <w:kern w:val="0"/>
          <w:sz w:val="24"/>
          <w:highlight w:val="none"/>
          <w:lang w:val="zh-CN"/>
        </w:rPr>
        <w:t>公司谈判响应的</w:t>
      </w:r>
      <w:r>
        <w:rPr>
          <w:rFonts w:hint="eastAsia" w:ascii="宋体" w:hAnsi="宋体" w:eastAsia="宋体" w:cs="宋体"/>
          <w:kern w:val="0"/>
          <w:sz w:val="24"/>
          <w:highlight w:val="none"/>
          <w:lang w:val="af-ZA"/>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napToGrid w:val="0"/>
        <w:spacing w:before="156" w:beforeLines="50" w:after="50" w:line="324"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af-ZA"/>
        </w:rPr>
        <w:t>5、我</w:t>
      </w:r>
      <w:r>
        <w:rPr>
          <w:rFonts w:hint="eastAsia" w:ascii="宋体" w:hAnsi="宋体" w:eastAsia="宋体" w:cs="宋体"/>
          <w:kern w:val="0"/>
          <w:sz w:val="24"/>
          <w:highlight w:val="none"/>
          <w:lang w:val="zh-CN"/>
        </w:rPr>
        <w:t>公司</w:t>
      </w:r>
      <w:r>
        <w:rPr>
          <w:rFonts w:hint="eastAsia" w:ascii="宋体" w:hAnsi="宋体" w:eastAsia="宋体" w:cs="宋体"/>
          <w:kern w:val="0"/>
          <w:sz w:val="24"/>
          <w:highlight w:val="none"/>
          <w:lang w:val="af-ZA"/>
        </w:rPr>
        <w:t>严格履行政府采购合同，不降低合同约定的产品质量和服务，不擅自变更、中止、终止合同，或拒绝履行合同义务；</w:t>
      </w:r>
    </w:p>
    <w:p>
      <w:pPr>
        <w:snapToGrid w:val="0"/>
        <w:spacing w:before="156" w:beforeLines="50" w:after="50" w:line="324"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6、以上事项如有虚假或隐瞒，我</w:t>
      </w:r>
      <w:r>
        <w:rPr>
          <w:rFonts w:hint="eastAsia" w:ascii="宋体" w:hAnsi="宋体" w:eastAsia="宋体" w:cs="宋体"/>
          <w:kern w:val="0"/>
          <w:sz w:val="24"/>
          <w:highlight w:val="none"/>
          <w:lang w:val="zh-CN"/>
        </w:rPr>
        <w:t>公司</w:t>
      </w:r>
      <w:r>
        <w:rPr>
          <w:rFonts w:hint="eastAsia" w:ascii="宋体" w:hAnsi="宋体" w:eastAsia="宋体" w:cs="宋体"/>
          <w:sz w:val="24"/>
          <w:highlight w:val="none"/>
        </w:rPr>
        <w:t>愿意承担一切后果，并不再寻求任何旨在减轻或免除法律责任的辩解。</w:t>
      </w:r>
    </w:p>
    <w:p>
      <w:pPr>
        <w:adjustRightInd w:val="0"/>
        <w:snapToGrid w:val="0"/>
        <w:spacing w:line="324" w:lineRule="auto"/>
        <w:ind w:firstLine="3840" w:firstLineChars="16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供应商名称(公章)：</w:t>
      </w:r>
    </w:p>
    <w:p>
      <w:pPr>
        <w:adjustRightInd w:val="0"/>
        <w:snapToGrid w:val="0"/>
        <w:spacing w:line="324"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法定代表人或授权委托人(签字或盖章)：</w:t>
      </w:r>
    </w:p>
    <w:p>
      <w:pPr>
        <w:adjustRightInd w:val="0"/>
        <w:snapToGrid w:val="0"/>
        <w:spacing w:line="324" w:lineRule="auto"/>
        <w:ind w:right="480"/>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日期：年  月   日</w:t>
      </w:r>
    </w:p>
    <w:p>
      <w:pPr>
        <w:adjustRightInd w:val="0"/>
        <w:snapToGrid w:val="0"/>
        <w:spacing w:line="360" w:lineRule="auto"/>
        <w:ind w:right="480"/>
        <w:rPr>
          <w:rFonts w:hint="eastAsia" w:ascii="宋体" w:hAnsi="宋体" w:eastAsia="宋体" w:cs="宋体"/>
          <w:b/>
          <w:sz w:val="28"/>
          <w:highlight w:val="none"/>
        </w:rPr>
      </w:pPr>
    </w:p>
    <w:p>
      <w:pPr>
        <w:adjustRightInd w:val="0"/>
        <w:snapToGrid w:val="0"/>
        <w:spacing w:line="360" w:lineRule="auto"/>
        <w:ind w:right="480"/>
        <w:rPr>
          <w:rFonts w:hint="eastAsia" w:ascii="宋体" w:hAnsi="宋体" w:eastAsia="宋体" w:cs="宋体"/>
          <w:b/>
          <w:color w:val="FF0000"/>
          <w:sz w:val="30"/>
          <w:szCs w:val="30"/>
          <w:highlight w:val="none"/>
        </w:rPr>
      </w:pPr>
      <w:r>
        <w:rPr>
          <w:rFonts w:hint="eastAsia" w:ascii="宋体" w:hAnsi="宋体" w:eastAsia="宋体" w:cs="宋体"/>
          <w:b/>
          <w:sz w:val="28"/>
          <w:highlight w:val="none"/>
        </w:rPr>
        <w:br w:type="page"/>
      </w:r>
      <w:r>
        <w:rPr>
          <w:rFonts w:hint="eastAsia" w:ascii="宋体" w:hAnsi="宋体" w:eastAsia="宋体" w:cs="宋体"/>
          <w:b/>
          <w:sz w:val="28"/>
          <w:highlight w:val="none"/>
        </w:rPr>
        <w:t>附件2</w:t>
      </w:r>
    </w:p>
    <w:p>
      <w:pPr>
        <w:spacing w:line="360" w:lineRule="auto"/>
        <w:ind w:firstLine="321" w:firstLineChars="100"/>
        <w:jc w:val="center"/>
        <w:rPr>
          <w:rFonts w:hint="eastAsia" w:ascii="宋体" w:hAnsi="宋体" w:eastAsia="宋体" w:cs="宋体"/>
          <w:b/>
          <w:color w:val="000000"/>
          <w:sz w:val="32"/>
          <w:szCs w:val="32"/>
          <w:highlight w:val="none"/>
          <w:lang w:val="zh-CN"/>
        </w:rPr>
      </w:pPr>
      <w:r>
        <w:rPr>
          <w:rFonts w:hint="eastAsia" w:ascii="宋体" w:hAnsi="宋体" w:eastAsia="宋体" w:cs="宋体"/>
          <w:b/>
          <w:color w:val="000000"/>
          <w:sz w:val="32"/>
          <w:szCs w:val="32"/>
          <w:highlight w:val="none"/>
          <w:lang w:val="zh-CN"/>
        </w:rPr>
        <w:t>授权委托书</w:t>
      </w:r>
    </w:p>
    <w:p>
      <w:pPr>
        <w:pStyle w:val="12"/>
        <w:spacing w:line="500" w:lineRule="exact"/>
        <w:rPr>
          <w:rFonts w:hint="eastAsia" w:ascii="宋体" w:hAnsi="宋体" w:eastAsia="宋体" w:cs="宋体"/>
          <w:b/>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（采购代理机构名称）</w:t>
      </w:r>
      <w:r>
        <w:rPr>
          <w:rFonts w:hint="eastAsia" w:ascii="宋体" w:hAnsi="宋体" w:eastAsia="宋体" w:cs="宋体"/>
          <w:b/>
          <w:sz w:val="24"/>
          <w:highlight w:val="none"/>
        </w:rPr>
        <w:t>：</w:t>
      </w:r>
    </w:p>
    <w:p>
      <w:pPr>
        <w:pStyle w:val="12"/>
        <w:spacing w:line="500" w:lineRule="exact"/>
        <w:ind w:left="240" w:hanging="240" w:hangingChars="100"/>
        <w:rPr>
          <w:rFonts w:hint="eastAsia" w:ascii="宋体" w:hAnsi="宋体" w:eastAsia="宋体" w:cs="宋体"/>
          <w:sz w:val="24"/>
          <w:highlight w:val="none"/>
        </w:rPr>
      </w:pPr>
      <w:r>
        <w:rPr>
          <w:rFonts w:hint="eastAsia" w:ascii="宋体" w:hAnsi="宋体" w:eastAsia="宋体" w:cs="宋体"/>
          <w:sz w:val="24"/>
          <w:highlight w:val="none"/>
          <w:u w:val="single"/>
        </w:rPr>
        <w:t xml:space="preserve">  （供应商全称）  </w:t>
      </w:r>
      <w:r>
        <w:rPr>
          <w:rFonts w:hint="eastAsia" w:ascii="宋体" w:hAnsi="宋体" w:eastAsia="宋体" w:cs="宋体"/>
          <w:sz w:val="24"/>
          <w:highlight w:val="none"/>
        </w:rPr>
        <w:t>法定代表人（或营业执照中单位负责人）</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（法定代表人或营业执照中单位负责人姓名） </w:t>
      </w:r>
      <w:r>
        <w:rPr>
          <w:rFonts w:hint="eastAsia" w:ascii="宋体" w:hAnsi="宋体" w:eastAsia="宋体" w:cs="宋体"/>
          <w:sz w:val="24"/>
          <w:highlight w:val="none"/>
        </w:rPr>
        <w:t>授权</w:t>
      </w:r>
      <w:r>
        <w:rPr>
          <w:rFonts w:hint="eastAsia" w:ascii="宋体" w:hAnsi="宋体" w:eastAsia="宋体" w:cs="宋体"/>
          <w:sz w:val="24"/>
          <w:highlight w:val="none"/>
          <w:u w:val="single"/>
        </w:rPr>
        <w:t xml:space="preserve">   （全权代表姓名） </w:t>
      </w:r>
      <w:r>
        <w:rPr>
          <w:rFonts w:hint="eastAsia" w:ascii="宋体" w:hAnsi="宋体" w:eastAsia="宋体" w:cs="宋体"/>
          <w:sz w:val="24"/>
          <w:highlight w:val="none"/>
        </w:rPr>
        <w:t>为全权代表，参加贵单位组织的</w:t>
      </w:r>
      <w:r>
        <w:rPr>
          <w:rFonts w:hint="eastAsia" w:ascii="宋体" w:hAnsi="宋体" w:eastAsia="宋体" w:cs="宋体"/>
          <w:sz w:val="24"/>
          <w:highlight w:val="none"/>
          <w:u w:val="single"/>
        </w:rPr>
        <w:tab/>
      </w:r>
      <w:r>
        <w:rPr>
          <w:rFonts w:hint="eastAsia" w:ascii="宋体" w:hAnsi="宋体" w:eastAsia="宋体" w:cs="宋体"/>
          <w:sz w:val="24"/>
          <w:highlight w:val="none"/>
        </w:rPr>
        <w:t>项目的采购活动，并代表我方全权办理针对上述项目的谈判、签约等具体事务和签署相关文件。我方对全权代表的签字事项负全部责任。</w:t>
      </w:r>
    </w:p>
    <w:p>
      <w:pPr>
        <w:pStyle w:val="12"/>
        <w:spacing w:line="500" w:lineRule="exact"/>
        <w:ind w:left="139" w:leftChars="66" w:firstLine="480" w:firstLineChars="200"/>
        <w:rPr>
          <w:rFonts w:hint="eastAsia" w:ascii="宋体" w:hAnsi="宋体" w:eastAsia="宋体" w:cs="宋体"/>
          <w:sz w:val="24"/>
          <w:highlight w:val="none"/>
        </w:rPr>
      </w:pPr>
      <w:r>
        <w:rPr>
          <w:rFonts w:hint="eastAsia" w:ascii="宋体" w:hAnsi="宋体" w:eastAsia="宋体" w:cs="宋体"/>
          <w:sz w:val="24"/>
          <w:highlight w:val="none"/>
        </w:rPr>
        <w:t>在撤销授权的书面通知以前，本授权书一直有效。全权代表在授权委托书有效期内签署的所有文件不因授权的撤销而失效。</w:t>
      </w:r>
    </w:p>
    <w:p>
      <w:pPr>
        <w:pStyle w:val="12"/>
        <w:spacing w:line="500" w:lineRule="exact"/>
        <w:ind w:left="139" w:leftChars="66" w:firstLine="480" w:firstLineChars="200"/>
        <w:rPr>
          <w:rFonts w:hint="eastAsia" w:ascii="宋体" w:hAnsi="宋体" w:eastAsia="宋体" w:cs="宋体"/>
          <w:sz w:val="24"/>
          <w:highlight w:val="none"/>
        </w:rPr>
      </w:pPr>
      <w:r>
        <w:rPr>
          <w:rFonts w:hint="eastAsia" w:ascii="宋体" w:hAnsi="宋体" w:eastAsia="宋体" w:cs="宋体"/>
          <w:sz w:val="24"/>
          <w:highlight w:val="none"/>
        </w:rPr>
        <w:t>全权代表无转委托权，特此委托。</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法定代表人签字或盖章：</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供应商全称（公章）：                              日期：</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附：</w:t>
      </w: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eastAsia="宋体" w:cs="宋体"/>
                <w:b/>
                <w:sz w:val="24"/>
                <w:highlight w:val="none"/>
              </w:rPr>
            </w:pPr>
          </w:p>
          <w:p>
            <w:pPr>
              <w:spacing w:line="360" w:lineRule="auto"/>
              <w:ind w:firstLine="361" w:firstLineChars="150"/>
              <w:rPr>
                <w:rFonts w:hint="eastAsia" w:ascii="宋体" w:hAnsi="宋体" w:eastAsia="宋体" w:cs="宋体"/>
                <w:b/>
                <w:sz w:val="24"/>
                <w:highlight w:val="none"/>
              </w:rPr>
            </w:pPr>
            <w:r>
              <w:rPr>
                <w:rFonts w:hint="eastAsia" w:ascii="宋体" w:hAnsi="宋体" w:eastAsia="宋体" w:cs="宋体"/>
                <w:b/>
                <w:sz w:val="24"/>
                <w:highlight w:val="none"/>
              </w:rPr>
              <w:t>法定代表身份证复印件粘帖处</w:t>
            </w:r>
          </w:p>
        </w:tc>
      </w:tr>
    </w:tbl>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法定代表人姓名：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传真：</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电话：</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详细通讯地址：</w:t>
      </w:r>
    </w:p>
    <w:p>
      <w:pPr>
        <w:spacing w:line="360" w:lineRule="auto"/>
        <w:rPr>
          <w:rFonts w:hint="eastAsia" w:ascii="宋体" w:hAnsi="宋体" w:eastAsia="宋体" w:cs="宋体"/>
          <w:b/>
          <w:sz w:val="24"/>
          <w:highlight w:val="none"/>
        </w:rPr>
      </w:pPr>
      <w:r>
        <w:rPr>
          <w:rFonts w:hint="eastAsia" w:ascii="宋体" w:hAnsi="宋体" w:eastAsia="宋体" w:cs="宋体"/>
          <w:sz w:val="24"/>
          <w:highlight w:val="none"/>
        </w:rPr>
        <w:t>邮政编码：</w:t>
      </w: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eastAsia="宋体" w:cs="宋体"/>
                <w:b/>
                <w:sz w:val="24"/>
                <w:highlight w:val="none"/>
              </w:rPr>
            </w:pPr>
          </w:p>
          <w:p>
            <w:pPr>
              <w:spacing w:line="360" w:lineRule="auto"/>
              <w:ind w:firstLine="361" w:firstLineChars="150"/>
              <w:rPr>
                <w:rFonts w:hint="eastAsia" w:ascii="宋体" w:hAnsi="宋体" w:eastAsia="宋体" w:cs="宋体"/>
                <w:b/>
                <w:sz w:val="24"/>
                <w:highlight w:val="none"/>
              </w:rPr>
            </w:pPr>
            <w:r>
              <w:rPr>
                <w:rFonts w:hint="eastAsia" w:ascii="宋体" w:hAnsi="宋体" w:eastAsia="宋体" w:cs="宋体"/>
                <w:b/>
                <w:sz w:val="24"/>
                <w:highlight w:val="none"/>
              </w:rPr>
              <w:t>全权代表身份证复印件粘帖处</w:t>
            </w:r>
          </w:p>
        </w:tc>
      </w:tr>
    </w:tbl>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全权代表姓名：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职务：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传真：</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电话：</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详细通讯地址：</w:t>
      </w:r>
    </w:p>
    <w:p>
      <w:pPr>
        <w:spacing w:line="360" w:lineRule="auto"/>
        <w:rPr>
          <w:rFonts w:hint="eastAsia" w:ascii="宋体" w:hAnsi="宋体" w:eastAsia="宋体" w:cs="宋体"/>
          <w:highlight w:val="none"/>
        </w:rPr>
      </w:pPr>
      <w:r>
        <w:rPr>
          <w:rFonts w:hint="eastAsia" w:ascii="宋体" w:hAnsi="宋体" w:eastAsia="宋体" w:cs="宋体"/>
          <w:sz w:val="24"/>
          <w:highlight w:val="none"/>
        </w:rPr>
        <w:t>邮政编码：</w:t>
      </w:r>
    </w:p>
    <w:p>
      <w:pPr>
        <w:snapToGrid w:val="0"/>
        <w:spacing w:before="156" w:beforeLines="50" w:after="50" w:line="360" w:lineRule="auto"/>
        <w:rPr>
          <w:rFonts w:hint="eastAsia" w:ascii="宋体" w:hAnsi="宋体" w:eastAsia="宋体" w:cs="宋体"/>
          <w:b/>
          <w:sz w:val="28"/>
          <w:highlight w:val="none"/>
        </w:rPr>
      </w:pPr>
    </w:p>
    <w:p>
      <w:pPr>
        <w:snapToGrid w:val="0"/>
        <w:spacing w:before="156" w:beforeLines="50" w:after="50" w:line="360" w:lineRule="auto"/>
        <w:rPr>
          <w:rFonts w:hint="eastAsia" w:ascii="宋体" w:hAnsi="宋体" w:eastAsia="宋体" w:cs="宋体"/>
          <w:b/>
          <w:sz w:val="28"/>
          <w:highlight w:val="none"/>
        </w:rPr>
      </w:pPr>
      <w:r>
        <w:rPr>
          <w:rFonts w:hint="eastAsia" w:ascii="宋体" w:hAnsi="宋体" w:eastAsia="宋体" w:cs="宋体"/>
          <w:b/>
          <w:sz w:val="28"/>
          <w:highlight w:val="none"/>
        </w:rPr>
        <w:t xml:space="preserve">附件3           </w:t>
      </w:r>
    </w:p>
    <w:p>
      <w:pPr>
        <w:spacing w:line="500" w:lineRule="exact"/>
        <w:jc w:val="center"/>
        <w:rPr>
          <w:rFonts w:hint="eastAsia" w:ascii="宋体" w:hAnsi="宋体" w:eastAsia="宋体" w:cs="宋体"/>
          <w:b/>
          <w:bCs/>
          <w:snapToGrid w:val="0"/>
          <w:kern w:val="0"/>
          <w:sz w:val="28"/>
          <w:szCs w:val="28"/>
          <w:highlight w:val="none"/>
        </w:rPr>
      </w:pPr>
      <w:r>
        <w:rPr>
          <w:rFonts w:hint="eastAsia" w:ascii="宋体" w:hAnsi="宋体" w:eastAsia="宋体" w:cs="宋体"/>
          <w:b/>
          <w:bCs/>
          <w:snapToGrid w:val="0"/>
          <w:kern w:val="0"/>
          <w:sz w:val="28"/>
          <w:szCs w:val="28"/>
          <w:highlight w:val="none"/>
        </w:rPr>
        <w:t>供应商基本情况表</w:t>
      </w:r>
    </w:p>
    <w:p>
      <w:pPr>
        <w:spacing w:line="500" w:lineRule="exact"/>
        <w:jc w:val="center"/>
        <w:rPr>
          <w:rFonts w:hint="eastAsia" w:ascii="宋体" w:hAnsi="宋体" w:eastAsia="宋体" w:cs="宋体"/>
          <w:b/>
          <w:bCs/>
          <w:snapToGrid w:val="0"/>
          <w:kern w:val="0"/>
          <w:sz w:val="28"/>
          <w:szCs w:val="28"/>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701"/>
        <w:gridCol w:w="915"/>
        <w:gridCol w:w="255"/>
        <w:gridCol w:w="907"/>
        <w:gridCol w:w="1204"/>
        <w:gridCol w:w="200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32" w:type="dxa"/>
            <w:noWrap w:val="0"/>
            <w:vAlign w:val="top"/>
          </w:tcPr>
          <w:p>
            <w:pPr>
              <w:pStyle w:val="55"/>
              <w:spacing w:line="360" w:lineRule="auto"/>
              <w:rPr>
                <w:rFonts w:hint="eastAsia" w:ascii="宋体" w:hAnsi="宋体" w:eastAsia="宋体" w:cs="宋体"/>
                <w:bCs/>
                <w:highlight w:val="none"/>
              </w:rPr>
            </w:pPr>
            <w:r>
              <w:rPr>
                <w:rFonts w:hint="eastAsia" w:ascii="宋体" w:hAnsi="宋体" w:eastAsia="宋体" w:cs="宋体"/>
                <w:bCs/>
                <w:spacing w:val="27"/>
                <w:highlight w:val="none"/>
              </w:rPr>
              <w:t>企业名称</w:t>
            </w:r>
          </w:p>
        </w:tc>
        <w:tc>
          <w:tcPr>
            <w:tcW w:w="3982" w:type="dxa"/>
            <w:gridSpan w:val="5"/>
            <w:noWrap w:val="0"/>
            <w:vAlign w:val="top"/>
          </w:tcPr>
          <w:p>
            <w:pPr>
              <w:pStyle w:val="55"/>
              <w:spacing w:line="360" w:lineRule="auto"/>
              <w:rPr>
                <w:rFonts w:hint="eastAsia" w:ascii="宋体" w:hAnsi="宋体" w:eastAsia="宋体" w:cs="宋体"/>
                <w:bCs/>
                <w:highlight w:val="none"/>
              </w:rPr>
            </w:pPr>
          </w:p>
        </w:tc>
        <w:tc>
          <w:tcPr>
            <w:tcW w:w="2000" w:type="dxa"/>
            <w:noWrap w:val="0"/>
            <w:vAlign w:val="top"/>
          </w:tcPr>
          <w:p>
            <w:pPr>
              <w:pStyle w:val="55"/>
              <w:spacing w:line="360" w:lineRule="auto"/>
              <w:rPr>
                <w:rFonts w:hint="eastAsia" w:ascii="宋体" w:hAnsi="宋体" w:eastAsia="宋体" w:cs="宋体"/>
                <w:bCs/>
                <w:highlight w:val="none"/>
              </w:rPr>
            </w:pPr>
            <w:r>
              <w:rPr>
                <w:rFonts w:hint="eastAsia" w:ascii="宋体" w:hAnsi="宋体" w:eastAsia="宋体" w:cs="宋体"/>
                <w:bCs/>
                <w:spacing w:val="16"/>
                <w:highlight w:val="none"/>
              </w:rPr>
              <w:t>法人代表（或单位负责人）</w:t>
            </w:r>
          </w:p>
        </w:tc>
        <w:tc>
          <w:tcPr>
            <w:tcW w:w="2150" w:type="dxa"/>
            <w:noWrap w:val="0"/>
            <w:vAlign w:val="top"/>
          </w:tcPr>
          <w:p>
            <w:pPr>
              <w:pStyle w:val="55"/>
              <w:spacing w:line="360" w:lineRule="auto"/>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noWrap w:val="0"/>
            <w:vAlign w:val="top"/>
          </w:tcPr>
          <w:p>
            <w:pPr>
              <w:pStyle w:val="55"/>
              <w:spacing w:line="360" w:lineRule="auto"/>
              <w:rPr>
                <w:rFonts w:hint="eastAsia" w:ascii="宋体" w:hAnsi="宋体" w:eastAsia="宋体" w:cs="宋体"/>
                <w:bCs/>
                <w:spacing w:val="16"/>
                <w:highlight w:val="none"/>
              </w:rPr>
            </w:pPr>
            <w:r>
              <w:rPr>
                <w:rFonts w:hint="eastAsia" w:ascii="宋体" w:hAnsi="宋体" w:eastAsia="宋体" w:cs="宋体"/>
                <w:bCs/>
                <w:spacing w:val="27"/>
                <w:highlight w:val="none"/>
              </w:rPr>
              <w:t>地址</w:t>
            </w:r>
          </w:p>
        </w:tc>
        <w:tc>
          <w:tcPr>
            <w:tcW w:w="3982" w:type="dxa"/>
            <w:gridSpan w:val="5"/>
            <w:tcBorders>
              <w:bottom w:val="single" w:color="auto" w:sz="4" w:space="0"/>
            </w:tcBorders>
            <w:noWrap w:val="0"/>
            <w:vAlign w:val="top"/>
          </w:tcPr>
          <w:p>
            <w:pPr>
              <w:pStyle w:val="55"/>
              <w:spacing w:line="360" w:lineRule="auto"/>
              <w:rPr>
                <w:rFonts w:hint="eastAsia" w:ascii="宋体" w:hAnsi="宋体" w:eastAsia="宋体" w:cs="宋体"/>
                <w:bCs/>
                <w:spacing w:val="16"/>
                <w:highlight w:val="none"/>
              </w:rPr>
            </w:pPr>
          </w:p>
        </w:tc>
        <w:tc>
          <w:tcPr>
            <w:tcW w:w="2000" w:type="dxa"/>
            <w:noWrap w:val="0"/>
            <w:vAlign w:val="top"/>
          </w:tcPr>
          <w:p>
            <w:pPr>
              <w:pStyle w:val="55"/>
              <w:spacing w:line="360" w:lineRule="auto"/>
              <w:rPr>
                <w:rFonts w:hint="eastAsia" w:ascii="宋体" w:hAnsi="宋体" w:eastAsia="宋体" w:cs="宋体"/>
                <w:bCs/>
                <w:spacing w:val="16"/>
                <w:highlight w:val="none"/>
              </w:rPr>
            </w:pPr>
            <w:r>
              <w:rPr>
                <w:rFonts w:hint="eastAsia" w:ascii="宋体" w:hAnsi="宋体" w:eastAsia="宋体" w:cs="宋体"/>
                <w:bCs/>
                <w:spacing w:val="16"/>
                <w:highlight w:val="none"/>
              </w:rPr>
              <w:t>企业性质</w:t>
            </w:r>
          </w:p>
        </w:tc>
        <w:tc>
          <w:tcPr>
            <w:tcW w:w="2150" w:type="dxa"/>
            <w:noWrap w:val="0"/>
            <w:vAlign w:val="top"/>
          </w:tcPr>
          <w:p>
            <w:pPr>
              <w:pStyle w:val="55"/>
              <w:spacing w:line="360" w:lineRule="auto"/>
              <w:rPr>
                <w:rFonts w:hint="eastAsia" w:ascii="宋体" w:hAnsi="宋体" w:eastAsia="宋体" w:cs="宋体"/>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32" w:type="dxa"/>
            <w:vMerge w:val="restart"/>
            <w:noWrap w:val="0"/>
            <w:vAlign w:val="top"/>
          </w:tcPr>
          <w:p>
            <w:pPr>
              <w:pStyle w:val="55"/>
              <w:spacing w:line="360" w:lineRule="auto"/>
              <w:rPr>
                <w:rFonts w:hint="eastAsia" w:ascii="宋体" w:hAnsi="宋体" w:eastAsia="宋体" w:cs="宋体"/>
                <w:bCs/>
                <w:spacing w:val="16"/>
                <w:highlight w:val="none"/>
              </w:rPr>
            </w:pPr>
            <w:r>
              <w:rPr>
                <w:rFonts w:hint="eastAsia" w:ascii="宋体" w:hAnsi="宋体" w:eastAsia="宋体" w:cs="宋体"/>
                <w:bCs/>
                <w:spacing w:val="12"/>
                <w:highlight w:val="none"/>
              </w:rPr>
              <w:t>联系人</w:t>
            </w:r>
            <w:r>
              <w:rPr>
                <w:rFonts w:hint="eastAsia" w:ascii="宋体" w:hAnsi="宋体" w:eastAsia="宋体" w:cs="宋体"/>
                <w:bCs/>
                <w:spacing w:val="27"/>
                <w:highlight w:val="none"/>
              </w:rPr>
              <w:t>姓名</w:t>
            </w:r>
          </w:p>
        </w:tc>
        <w:tc>
          <w:tcPr>
            <w:tcW w:w="701" w:type="dxa"/>
            <w:vMerge w:val="restart"/>
            <w:tcBorders>
              <w:top w:val="nil"/>
            </w:tcBorders>
            <w:noWrap w:val="0"/>
            <w:vAlign w:val="top"/>
          </w:tcPr>
          <w:p>
            <w:pPr>
              <w:pStyle w:val="55"/>
              <w:spacing w:line="360" w:lineRule="auto"/>
              <w:rPr>
                <w:rFonts w:hint="eastAsia" w:ascii="宋体" w:hAnsi="宋体" w:eastAsia="宋体" w:cs="宋体"/>
                <w:bCs/>
                <w:spacing w:val="16"/>
                <w:highlight w:val="none"/>
              </w:rPr>
            </w:pPr>
          </w:p>
        </w:tc>
        <w:tc>
          <w:tcPr>
            <w:tcW w:w="915" w:type="dxa"/>
            <w:tcBorders>
              <w:top w:val="nil"/>
              <w:bottom w:val="single" w:color="auto" w:sz="4" w:space="0"/>
            </w:tcBorders>
            <w:noWrap w:val="0"/>
            <w:vAlign w:val="top"/>
          </w:tcPr>
          <w:p>
            <w:pPr>
              <w:pStyle w:val="55"/>
              <w:spacing w:line="360" w:lineRule="auto"/>
              <w:rPr>
                <w:rFonts w:hint="eastAsia" w:ascii="宋体" w:hAnsi="宋体" w:eastAsia="宋体" w:cs="宋体"/>
                <w:bCs/>
                <w:spacing w:val="16"/>
                <w:highlight w:val="none"/>
              </w:rPr>
            </w:pPr>
            <w:r>
              <w:rPr>
                <w:rFonts w:hint="eastAsia" w:ascii="宋体" w:hAnsi="宋体" w:eastAsia="宋体" w:cs="宋体"/>
                <w:bCs/>
                <w:spacing w:val="16"/>
                <w:highlight w:val="none"/>
              </w:rPr>
              <w:t>固定电话</w:t>
            </w:r>
          </w:p>
        </w:tc>
        <w:tc>
          <w:tcPr>
            <w:tcW w:w="2366" w:type="dxa"/>
            <w:gridSpan w:val="3"/>
            <w:tcBorders>
              <w:top w:val="nil"/>
              <w:bottom w:val="single" w:color="auto" w:sz="4" w:space="0"/>
            </w:tcBorders>
            <w:noWrap w:val="0"/>
            <w:vAlign w:val="top"/>
          </w:tcPr>
          <w:p>
            <w:pPr>
              <w:pStyle w:val="55"/>
              <w:spacing w:line="360" w:lineRule="auto"/>
              <w:rPr>
                <w:rFonts w:hint="eastAsia" w:ascii="宋体" w:hAnsi="宋体" w:eastAsia="宋体" w:cs="宋体"/>
                <w:bCs/>
                <w:spacing w:val="16"/>
                <w:highlight w:val="none"/>
              </w:rPr>
            </w:pPr>
          </w:p>
        </w:tc>
        <w:tc>
          <w:tcPr>
            <w:tcW w:w="2000" w:type="dxa"/>
            <w:vMerge w:val="restart"/>
            <w:noWrap w:val="0"/>
            <w:vAlign w:val="top"/>
          </w:tcPr>
          <w:p>
            <w:pPr>
              <w:pStyle w:val="55"/>
              <w:spacing w:before="0" w:beforeAutospacing="0" w:after="0" w:afterAutospacing="0" w:line="360" w:lineRule="auto"/>
              <w:rPr>
                <w:rFonts w:hint="eastAsia" w:ascii="宋体" w:hAnsi="宋体" w:eastAsia="宋体" w:cs="宋体"/>
                <w:bCs/>
                <w:spacing w:val="16"/>
                <w:highlight w:val="none"/>
              </w:rPr>
            </w:pPr>
            <w:r>
              <w:rPr>
                <w:rFonts w:hint="eastAsia" w:ascii="宋体" w:hAnsi="宋体" w:eastAsia="宋体" w:cs="宋体"/>
                <w:bCs/>
                <w:spacing w:val="16"/>
                <w:highlight w:val="none"/>
              </w:rPr>
              <w:t>传真</w:t>
            </w:r>
          </w:p>
        </w:tc>
        <w:tc>
          <w:tcPr>
            <w:tcW w:w="2150" w:type="dxa"/>
            <w:vMerge w:val="restart"/>
            <w:noWrap w:val="0"/>
            <w:vAlign w:val="top"/>
          </w:tcPr>
          <w:p>
            <w:pPr>
              <w:pStyle w:val="55"/>
              <w:spacing w:line="360" w:lineRule="auto"/>
              <w:rPr>
                <w:rFonts w:hint="eastAsia" w:ascii="宋体" w:hAnsi="宋体" w:eastAsia="宋体" w:cs="宋体"/>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vMerge w:val="continue"/>
            <w:tcBorders>
              <w:bottom w:val="single" w:color="auto" w:sz="4" w:space="0"/>
            </w:tcBorders>
            <w:noWrap w:val="0"/>
            <w:vAlign w:val="top"/>
          </w:tcPr>
          <w:p>
            <w:pPr>
              <w:pStyle w:val="55"/>
              <w:spacing w:line="360" w:lineRule="auto"/>
              <w:ind w:left="107"/>
              <w:rPr>
                <w:rFonts w:hint="eastAsia" w:ascii="宋体" w:hAnsi="宋体" w:eastAsia="宋体" w:cs="宋体"/>
                <w:bCs/>
                <w:highlight w:val="none"/>
              </w:rPr>
            </w:pPr>
          </w:p>
        </w:tc>
        <w:tc>
          <w:tcPr>
            <w:tcW w:w="701" w:type="dxa"/>
            <w:vMerge w:val="continue"/>
            <w:tcBorders>
              <w:bottom w:val="single" w:color="auto" w:sz="4" w:space="0"/>
            </w:tcBorders>
            <w:noWrap w:val="0"/>
            <w:vAlign w:val="top"/>
          </w:tcPr>
          <w:p>
            <w:pPr>
              <w:pStyle w:val="55"/>
              <w:spacing w:line="360" w:lineRule="auto"/>
              <w:rPr>
                <w:rFonts w:hint="eastAsia" w:ascii="宋体" w:hAnsi="宋体" w:eastAsia="宋体" w:cs="宋体"/>
                <w:bCs/>
                <w:spacing w:val="16"/>
                <w:highlight w:val="none"/>
              </w:rPr>
            </w:pPr>
          </w:p>
        </w:tc>
        <w:tc>
          <w:tcPr>
            <w:tcW w:w="915" w:type="dxa"/>
            <w:tcBorders>
              <w:bottom w:val="single" w:color="auto" w:sz="4" w:space="0"/>
            </w:tcBorders>
            <w:noWrap w:val="0"/>
            <w:vAlign w:val="top"/>
          </w:tcPr>
          <w:p>
            <w:pPr>
              <w:pStyle w:val="55"/>
              <w:spacing w:line="360" w:lineRule="auto"/>
              <w:rPr>
                <w:rFonts w:hint="eastAsia" w:ascii="宋体" w:hAnsi="宋体" w:eastAsia="宋体" w:cs="宋体"/>
                <w:bCs/>
                <w:spacing w:val="16"/>
                <w:highlight w:val="none"/>
              </w:rPr>
            </w:pPr>
            <w:r>
              <w:rPr>
                <w:rFonts w:hint="eastAsia" w:ascii="宋体" w:hAnsi="宋体" w:eastAsia="宋体" w:cs="宋体"/>
                <w:bCs/>
                <w:spacing w:val="27"/>
                <w:highlight w:val="none"/>
              </w:rPr>
              <w:t>手机</w:t>
            </w:r>
          </w:p>
        </w:tc>
        <w:tc>
          <w:tcPr>
            <w:tcW w:w="2366" w:type="dxa"/>
            <w:gridSpan w:val="3"/>
            <w:tcBorders>
              <w:bottom w:val="single" w:color="auto" w:sz="4" w:space="0"/>
            </w:tcBorders>
            <w:noWrap w:val="0"/>
            <w:vAlign w:val="top"/>
          </w:tcPr>
          <w:p>
            <w:pPr>
              <w:pStyle w:val="55"/>
              <w:spacing w:line="360" w:lineRule="auto"/>
              <w:rPr>
                <w:rFonts w:hint="eastAsia" w:ascii="宋体" w:hAnsi="宋体" w:eastAsia="宋体" w:cs="宋体"/>
                <w:bCs/>
                <w:spacing w:val="16"/>
                <w:highlight w:val="none"/>
              </w:rPr>
            </w:pPr>
          </w:p>
        </w:tc>
        <w:tc>
          <w:tcPr>
            <w:tcW w:w="2000" w:type="dxa"/>
            <w:vMerge w:val="continue"/>
            <w:noWrap w:val="0"/>
            <w:vAlign w:val="top"/>
          </w:tcPr>
          <w:p>
            <w:pPr>
              <w:pStyle w:val="55"/>
              <w:spacing w:line="360" w:lineRule="auto"/>
              <w:rPr>
                <w:rFonts w:hint="eastAsia" w:ascii="宋体" w:hAnsi="宋体" w:eastAsia="宋体" w:cs="宋体"/>
                <w:bCs/>
                <w:spacing w:val="16"/>
                <w:highlight w:val="none"/>
              </w:rPr>
            </w:pPr>
          </w:p>
        </w:tc>
        <w:tc>
          <w:tcPr>
            <w:tcW w:w="2150" w:type="dxa"/>
            <w:vMerge w:val="continue"/>
            <w:noWrap w:val="0"/>
            <w:vAlign w:val="top"/>
          </w:tcPr>
          <w:p>
            <w:pPr>
              <w:pStyle w:val="55"/>
              <w:spacing w:line="360" w:lineRule="auto"/>
              <w:rPr>
                <w:rFonts w:hint="eastAsia" w:ascii="宋体" w:hAnsi="宋体" w:eastAsia="宋体" w:cs="宋体"/>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32" w:type="dxa"/>
            <w:vMerge w:val="restart"/>
            <w:noWrap w:val="0"/>
            <w:vAlign w:val="top"/>
          </w:tcPr>
          <w:p>
            <w:pPr>
              <w:pStyle w:val="55"/>
              <w:spacing w:line="360" w:lineRule="auto"/>
              <w:ind w:left="107"/>
              <w:rPr>
                <w:rFonts w:hint="eastAsia" w:ascii="宋体" w:hAnsi="宋体" w:eastAsia="宋体" w:cs="宋体"/>
                <w:bCs/>
                <w:highlight w:val="none"/>
              </w:rPr>
            </w:pPr>
            <w:r>
              <w:rPr>
                <w:rFonts w:hint="eastAsia" w:ascii="宋体" w:hAnsi="宋体" w:eastAsia="宋体" w:cs="宋体"/>
                <w:bCs/>
                <w:highlight w:val="none"/>
              </w:rPr>
              <w:t>1.</w:t>
            </w:r>
          </w:p>
          <w:p>
            <w:pPr>
              <w:pStyle w:val="55"/>
              <w:spacing w:line="360" w:lineRule="auto"/>
              <w:ind w:left="107"/>
              <w:rPr>
                <w:rFonts w:hint="eastAsia" w:ascii="宋体" w:hAnsi="宋体" w:eastAsia="宋体" w:cs="宋体"/>
                <w:bCs/>
                <w:highlight w:val="none"/>
              </w:rPr>
            </w:pPr>
            <w:r>
              <w:rPr>
                <w:rFonts w:hint="eastAsia" w:ascii="宋体" w:hAnsi="宋体" w:eastAsia="宋体" w:cs="宋体"/>
                <w:bCs/>
                <w:highlight w:val="none"/>
              </w:rPr>
              <w:t>企</w:t>
            </w:r>
          </w:p>
          <w:p>
            <w:pPr>
              <w:pStyle w:val="55"/>
              <w:spacing w:line="360" w:lineRule="auto"/>
              <w:ind w:left="107"/>
              <w:rPr>
                <w:rFonts w:hint="eastAsia" w:ascii="宋体" w:hAnsi="宋体" w:eastAsia="宋体" w:cs="宋体"/>
                <w:bCs/>
                <w:highlight w:val="none"/>
              </w:rPr>
            </w:pPr>
            <w:r>
              <w:rPr>
                <w:rFonts w:hint="eastAsia" w:ascii="宋体" w:hAnsi="宋体" w:eastAsia="宋体" w:cs="宋体"/>
                <w:bCs/>
                <w:highlight w:val="none"/>
              </w:rPr>
              <w:t>业</w:t>
            </w:r>
          </w:p>
          <w:p>
            <w:pPr>
              <w:pStyle w:val="55"/>
              <w:spacing w:line="360" w:lineRule="auto"/>
              <w:ind w:left="107"/>
              <w:rPr>
                <w:rFonts w:hint="eastAsia" w:ascii="宋体" w:hAnsi="宋体" w:eastAsia="宋体" w:cs="宋体"/>
                <w:bCs/>
                <w:spacing w:val="27"/>
                <w:highlight w:val="none"/>
              </w:rPr>
            </w:pPr>
            <w:r>
              <w:rPr>
                <w:rFonts w:hint="eastAsia" w:ascii="宋体" w:hAnsi="宋体" w:eastAsia="宋体" w:cs="宋体"/>
                <w:bCs/>
                <w:spacing w:val="27"/>
                <w:highlight w:val="none"/>
              </w:rPr>
              <w:t>概</w:t>
            </w:r>
          </w:p>
          <w:p>
            <w:pPr>
              <w:pStyle w:val="55"/>
              <w:spacing w:line="360" w:lineRule="auto"/>
              <w:ind w:left="107"/>
              <w:rPr>
                <w:rFonts w:hint="eastAsia" w:ascii="宋体" w:hAnsi="宋体" w:eastAsia="宋体" w:cs="宋体"/>
                <w:bCs/>
                <w:highlight w:val="none"/>
              </w:rPr>
            </w:pPr>
            <w:r>
              <w:rPr>
                <w:rFonts w:hint="eastAsia" w:ascii="宋体" w:hAnsi="宋体" w:eastAsia="宋体" w:cs="宋体"/>
                <w:bCs/>
                <w:spacing w:val="27"/>
                <w:highlight w:val="none"/>
              </w:rPr>
              <w:t>况</w:t>
            </w:r>
          </w:p>
        </w:tc>
        <w:tc>
          <w:tcPr>
            <w:tcW w:w="701" w:type="dxa"/>
            <w:tcBorders>
              <w:top w:val="nil"/>
            </w:tcBorders>
            <w:noWrap w:val="0"/>
            <w:vAlign w:val="top"/>
          </w:tcPr>
          <w:p>
            <w:pPr>
              <w:pStyle w:val="55"/>
              <w:spacing w:line="360" w:lineRule="auto"/>
              <w:rPr>
                <w:rFonts w:hint="eastAsia" w:ascii="宋体" w:hAnsi="宋体" w:eastAsia="宋体" w:cs="宋体"/>
                <w:bCs/>
                <w:spacing w:val="16"/>
                <w:highlight w:val="none"/>
              </w:rPr>
            </w:pPr>
            <w:r>
              <w:rPr>
                <w:rFonts w:hint="eastAsia" w:ascii="宋体" w:hAnsi="宋体" w:eastAsia="宋体" w:cs="宋体"/>
                <w:bCs/>
                <w:spacing w:val="16"/>
                <w:highlight w:val="none"/>
              </w:rPr>
              <w:t>职工人数</w:t>
            </w:r>
          </w:p>
        </w:tc>
        <w:tc>
          <w:tcPr>
            <w:tcW w:w="915" w:type="dxa"/>
            <w:tcBorders>
              <w:top w:val="nil"/>
            </w:tcBorders>
            <w:noWrap w:val="0"/>
            <w:vAlign w:val="top"/>
          </w:tcPr>
          <w:p>
            <w:pPr>
              <w:pStyle w:val="55"/>
              <w:spacing w:line="360" w:lineRule="auto"/>
              <w:rPr>
                <w:rFonts w:hint="eastAsia" w:ascii="宋体" w:hAnsi="宋体" w:eastAsia="宋体" w:cs="宋体"/>
                <w:bCs/>
                <w:spacing w:val="16"/>
                <w:highlight w:val="none"/>
              </w:rPr>
            </w:pPr>
          </w:p>
        </w:tc>
        <w:tc>
          <w:tcPr>
            <w:tcW w:w="1162" w:type="dxa"/>
            <w:gridSpan w:val="2"/>
            <w:tcBorders>
              <w:top w:val="nil"/>
            </w:tcBorders>
            <w:noWrap w:val="0"/>
            <w:vAlign w:val="top"/>
          </w:tcPr>
          <w:p>
            <w:pPr>
              <w:pStyle w:val="55"/>
              <w:spacing w:before="0" w:beforeAutospacing="0" w:after="0" w:afterAutospacing="0" w:line="360" w:lineRule="auto"/>
              <w:rPr>
                <w:rFonts w:hint="eastAsia" w:ascii="宋体" w:hAnsi="宋体" w:eastAsia="宋体" w:cs="宋体"/>
                <w:bCs/>
                <w:highlight w:val="none"/>
              </w:rPr>
            </w:pPr>
            <w:r>
              <w:rPr>
                <w:rFonts w:hint="eastAsia" w:ascii="宋体" w:hAnsi="宋体" w:eastAsia="宋体" w:cs="宋体"/>
                <w:bCs/>
                <w:spacing w:val="18"/>
                <w:highlight w:val="none"/>
              </w:rPr>
              <w:t>具备大专以</w:t>
            </w:r>
            <w:r>
              <w:rPr>
                <w:rFonts w:hint="eastAsia" w:ascii="宋体" w:hAnsi="宋体" w:eastAsia="宋体" w:cs="宋体"/>
                <w:bCs/>
                <w:spacing w:val="12"/>
                <w:highlight w:val="none"/>
              </w:rPr>
              <w:t>上学历人数</w:t>
            </w:r>
          </w:p>
        </w:tc>
        <w:tc>
          <w:tcPr>
            <w:tcW w:w="1204" w:type="dxa"/>
            <w:tcBorders>
              <w:top w:val="nil"/>
            </w:tcBorders>
            <w:noWrap w:val="0"/>
            <w:vAlign w:val="top"/>
          </w:tcPr>
          <w:p>
            <w:pPr>
              <w:widowControl/>
              <w:spacing w:line="360" w:lineRule="auto"/>
              <w:jc w:val="left"/>
              <w:rPr>
                <w:rFonts w:hint="eastAsia" w:ascii="宋体" w:hAnsi="宋体" w:eastAsia="宋体" w:cs="宋体"/>
                <w:bCs/>
                <w:spacing w:val="16"/>
                <w:kern w:val="0"/>
                <w:sz w:val="24"/>
                <w:highlight w:val="none"/>
              </w:rPr>
            </w:pPr>
          </w:p>
          <w:p>
            <w:pPr>
              <w:widowControl/>
              <w:spacing w:line="360" w:lineRule="auto"/>
              <w:jc w:val="left"/>
              <w:rPr>
                <w:rFonts w:hint="eastAsia" w:ascii="宋体" w:hAnsi="宋体" w:eastAsia="宋体" w:cs="宋体"/>
                <w:bCs/>
                <w:spacing w:val="16"/>
                <w:kern w:val="0"/>
                <w:sz w:val="24"/>
                <w:highlight w:val="none"/>
              </w:rPr>
            </w:pPr>
          </w:p>
          <w:p>
            <w:pPr>
              <w:pStyle w:val="55"/>
              <w:spacing w:line="360" w:lineRule="auto"/>
              <w:rPr>
                <w:rFonts w:hint="eastAsia" w:ascii="宋体" w:hAnsi="宋体" w:eastAsia="宋体" w:cs="宋体"/>
                <w:bCs/>
                <w:spacing w:val="16"/>
                <w:highlight w:val="none"/>
              </w:rPr>
            </w:pPr>
          </w:p>
        </w:tc>
        <w:tc>
          <w:tcPr>
            <w:tcW w:w="2000" w:type="dxa"/>
            <w:noWrap w:val="0"/>
            <w:vAlign w:val="top"/>
          </w:tcPr>
          <w:p>
            <w:pPr>
              <w:pStyle w:val="55"/>
              <w:spacing w:line="360" w:lineRule="auto"/>
              <w:rPr>
                <w:rFonts w:hint="eastAsia" w:ascii="宋体" w:hAnsi="宋体" w:eastAsia="宋体" w:cs="宋体"/>
                <w:bCs/>
                <w:spacing w:val="16"/>
                <w:highlight w:val="none"/>
              </w:rPr>
            </w:pPr>
            <w:r>
              <w:rPr>
                <w:rFonts w:hint="eastAsia" w:ascii="宋体" w:hAnsi="宋体" w:eastAsia="宋体" w:cs="宋体"/>
                <w:bCs/>
                <w:spacing w:val="65"/>
                <w:highlight w:val="none"/>
              </w:rPr>
              <w:t>国家授予技</w:t>
            </w:r>
            <w:r>
              <w:rPr>
                <w:rFonts w:hint="eastAsia" w:ascii="宋体" w:hAnsi="宋体" w:eastAsia="宋体" w:cs="宋体"/>
                <w:bCs/>
                <w:spacing w:val="12"/>
                <w:highlight w:val="none"/>
              </w:rPr>
              <w:t>术职称人数</w:t>
            </w:r>
          </w:p>
        </w:tc>
        <w:tc>
          <w:tcPr>
            <w:tcW w:w="2150" w:type="dxa"/>
            <w:noWrap w:val="0"/>
            <w:vAlign w:val="top"/>
          </w:tcPr>
          <w:p>
            <w:pPr>
              <w:widowControl/>
              <w:spacing w:line="360" w:lineRule="auto"/>
              <w:jc w:val="left"/>
              <w:rPr>
                <w:rFonts w:hint="eastAsia" w:ascii="宋体" w:hAnsi="宋体" w:eastAsia="宋体" w:cs="宋体"/>
                <w:bCs/>
                <w:spacing w:val="16"/>
                <w:kern w:val="0"/>
                <w:sz w:val="24"/>
                <w:highlight w:val="none"/>
              </w:rPr>
            </w:pPr>
          </w:p>
          <w:p>
            <w:pPr>
              <w:pStyle w:val="55"/>
              <w:spacing w:line="360" w:lineRule="auto"/>
              <w:rPr>
                <w:rFonts w:hint="eastAsia" w:ascii="宋体" w:hAnsi="宋体" w:eastAsia="宋体" w:cs="宋体"/>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932" w:type="dxa"/>
            <w:vMerge w:val="continue"/>
            <w:noWrap w:val="0"/>
            <w:vAlign w:val="top"/>
          </w:tcPr>
          <w:p>
            <w:pPr>
              <w:pStyle w:val="55"/>
              <w:spacing w:line="360" w:lineRule="auto"/>
              <w:ind w:left="107"/>
              <w:rPr>
                <w:rFonts w:hint="eastAsia" w:ascii="宋体" w:hAnsi="宋体" w:eastAsia="宋体" w:cs="宋体"/>
                <w:bCs/>
                <w:highlight w:val="none"/>
              </w:rPr>
            </w:pPr>
          </w:p>
        </w:tc>
        <w:tc>
          <w:tcPr>
            <w:tcW w:w="701" w:type="dxa"/>
            <w:noWrap w:val="0"/>
            <w:vAlign w:val="top"/>
          </w:tcPr>
          <w:p>
            <w:pPr>
              <w:pStyle w:val="55"/>
              <w:spacing w:line="360" w:lineRule="auto"/>
              <w:rPr>
                <w:rFonts w:hint="eastAsia" w:ascii="宋体" w:hAnsi="宋体" w:eastAsia="宋体" w:cs="宋体"/>
                <w:bCs/>
                <w:highlight w:val="none"/>
              </w:rPr>
            </w:pPr>
            <w:r>
              <w:rPr>
                <w:rFonts w:hint="eastAsia" w:ascii="宋体" w:hAnsi="宋体" w:eastAsia="宋体" w:cs="宋体"/>
                <w:bCs/>
                <w:spacing w:val="16"/>
                <w:highlight w:val="none"/>
              </w:rPr>
              <w:t>占地面积</w:t>
            </w:r>
          </w:p>
        </w:tc>
        <w:tc>
          <w:tcPr>
            <w:tcW w:w="915" w:type="dxa"/>
            <w:noWrap w:val="0"/>
            <w:vAlign w:val="top"/>
          </w:tcPr>
          <w:p>
            <w:pPr>
              <w:pStyle w:val="55"/>
              <w:spacing w:line="360" w:lineRule="auto"/>
              <w:rPr>
                <w:rFonts w:hint="eastAsia" w:ascii="宋体" w:hAnsi="宋体" w:eastAsia="宋体" w:cs="宋体"/>
                <w:bCs/>
                <w:highlight w:val="none"/>
              </w:rPr>
            </w:pPr>
          </w:p>
        </w:tc>
        <w:tc>
          <w:tcPr>
            <w:tcW w:w="1162" w:type="dxa"/>
            <w:gridSpan w:val="2"/>
            <w:noWrap w:val="0"/>
            <w:vAlign w:val="top"/>
          </w:tcPr>
          <w:p>
            <w:pPr>
              <w:pStyle w:val="55"/>
              <w:spacing w:line="360" w:lineRule="auto"/>
              <w:rPr>
                <w:rFonts w:hint="eastAsia" w:ascii="宋体" w:hAnsi="宋体" w:eastAsia="宋体" w:cs="宋体"/>
                <w:bCs/>
                <w:highlight w:val="none"/>
              </w:rPr>
            </w:pPr>
            <w:r>
              <w:rPr>
                <w:rFonts w:hint="eastAsia" w:ascii="宋体" w:hAnsi="宋体" w:eastAsia="宋体" w:cs="宋体"/>
                <w:bCs/>
                <w:spacing w:val="16"/>
                <w:highlight w:val="none"/>
              </w:rPr>
              <w:t>建筑面积</w:t>
            </w:r>
          </w:p>
        </w:tc>
        <w:tc>
          <w:tcPr>
            <w:tcW w:w="1204" w:type="dxa"/>
            <w:noWrap w:val="0"/>
            <w:vAlign w:val="top"/>
          </w:tcPr>
          <w:p>
            <w:pPr>
              <w:pStyle w:val="55"/>
              <w:spacing w:line="360" w:lineRule="auto"/>
              <w:rPr>
                <w:rFonts w:hint="eastAsia" w:ascii="宋体" w:hAnsi="宋体" w:eastAsia="宋体" w:cs="宋体"/>
                <w:bCs/>
                <w:highlight w:val="none"/>
              </w:rPr>
            </w:pPr>
            <w:r>
              <w:rPr>
                <w:rFonts w:hint="eastAsia" w:ascii="宋体" w:hAnsi="宋体" w:eastAsia="宋体" w:cs="宋体"/>
                <w:bCs/>
                <w:highlight w:val="none"/>
              </w:rPr>
              <w:t xml:space="preserve">平方米 </w:t>
            </w:r>
          </w:p>
          <w:p>
            <w:pPr>
              <w:pStyle w:val="55"/>
              <w:spacing w:line="360" w:lineRule="auto"/>
              <w:rPr>
                <w:rFonts w:hint="eastAsia" w:ascii="宋体" w:hAnsi="宋体" w:eastAsia="宋体" w:cs="宋体"/>
                <w:bCs/>
                <w:highlight w:val="none"/>
              </w:rPr>
            </w:pPr>
            <w:r>
              <w:rPr>
                <w:rFonts w:hint="eastAsia" w:ascii="宋体" w:hAnsi="宋体" w:eastAsia="宋体" w:cs="宋体"/>
                <w:bCs/>
                <w:spacing w:val="16"/>
                <w:highlight w:val="none"/>
              </w:rPr>
              <w:t>□自有□租赁</w:t>
            </w:r>
          </w:p>
        </w:tc>
        <w:tc>
          <w:tcPr>
            <w:tcW w:w="2000" w:type="dxa"/>
            <w:noWrap w:val="0"/>
            <w:vAlign w:val="top"/>
          </w:tcPr>
          <w:p>
            <w:pPr>
              <w:pStyle w:val="55"/>
              <w:spacing w:line="360" w:lineRule="auto"/>
              <w:rPr>
                <w:rFonts w:hint="eastAsia" w:ascii="宋体" w:hAnsi="宋体" w:eastAsia="宋体" w:cs="宋体"/>
                <w:bCs/>
                <w:highlight w:val="none"/>
              </w:rPr>
            </w:pPr>
            <w:r>
              <w:rPr>
                <w:rFonts w:hint="eastAsia" w:ascii="宋体" w:hAnsi="宋体" w:eastAsia="宋体" w:cs="宋体"/>
                <w:bCs/>
                <w:spacing w:val="16"/>
                <w:highlight w:val="none"/>
              </w:rPr>
              <w:t>企业成立时间</w:t>
            </w:r>
          </w:p>
        </w:tc>
        <w:tc>
          <w:tcPr>
            <w:tcW w:w="2150" w:type="dxa"/>
            <w:noWrap w:val="0"/>
            <w:vAlign w:val="top"/>
          </w:tcPr>
          <w:p>
            <w:pPr>
              <w:pStyle w:val="55"/>
              <w:spacing w:before="0" w:beforeAutospacing="0" w:after="0" w:afterAutospacing="0" w:line="360" w:lineRule="auto"/>
              <w:rPr>
                <w:rFonts w:hint="eastAsia" w:ascii="宋体" w:hAnsi="宋体" w:eastAsia="宋体" w:cs="宋体"/>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32" w:type="dxa"/>
            <w:vMerge w:val="continue"/>
            <w:noWrap w:val="0"/>
            <w:vAlign w:val="top"/>
          </w:tcPr>
          <w:p>
            <w:pPr>
              <w:pStyle w:val="55"/>
              <w:spacing w:line="360" w:lineRule="auto"/>
              <w:ind w:left="107"/>
              <w:rPr>
                <w:rFonts w:hint="eastAsia" w:ascii="宋体" w:hAnsi="宋体" w:eastAsia="宋体" w:cs="宋体"/>
                <w:bCs/>
                <w:highlight w:val="none"/>
              </w:rPr>
            </w:pPr>
          </w:p>
        </w:tc>
        <w:tc>
          <w:tcPr>
            <w:tcW w:w="1871" w:type="dxa"/>
            <w:gridSpan w:val="3"/>
            <w:noWrap w:val="0"/>
            <w:vAlign w:val="top"/>
          </w:tcPr>
          <w:p>
            <w:pPr>
              <w:pStyle w:val="55"/>
              <w:spacing w:line="360" w:lineRule="auto"/>
              <w:ind w:left="107"/>
              <w:rPr>
                <w:rFonts w:hint="eastAsia" w:ascii="宋体" w:hAnsi="宋体" w:eastAsia="宋体" w:cs="宋体"/>
                <w:bCs/>
                <w:highlight w:val="none"/>
              </w:rPr>
            </w:pPr>
            <w:r>
              <w:rPr>
                <w:rFonts w:hint="eastAsia" w:ascii="宋体" w:hAnsi="宋体" w:eastAsia="宋体" w:cs="宋体"/>
                <w:bCs/>
                <w:highlight w:val="none"/>
              </w:rPr>
              <w:t>核准经营范围</w:t>
            </w:r>
          </w:p>
        </w:tc>
        <w:tc>
          <w:tcPr>
            <w:tcW w:w="6261" w:type="dxa"/>
            <w:gridSpan w:val="4"/>
            <w:noWrap w:val="0"/>
            <w:vAlign w:val="top"/>
          </w:tcPr>
          <w:p>
            <w:pPr>
              <w:pStyle w:val="55"/>
              <w:spacing w:line="360" w:lineRule="auto"/>
              <w:ind w:left="107"/>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2" w:type="dxa"/>
            <w:vMerge w:val="continue"/>
            <w:noWrap w:val="0"/>
            <w:vAlign w:val="top"/>
          </w:tcPr>
          <w:p>
            <w:pPr>
              <w:pStyle w:val="55"/>
              <w:spacing w:line="360" w:lineRule="auto"/>
              <w:ind w:left="107"/>
              <w:rPr>
                <w:rFonts w:hint="eastAsia" w:ascii="宋体" w:hAnsi="宋体" w:eastAsia="宋体" w:cs="宋体"/>
                <w:bCs/>
                <w:highlight w:val="none"/>
              </w:rPr>
            </w:pPr>
          </w:p>
        </w:tc>
        <w:tc>
          <w:tcPr>
            <w:tcW w:w="8132" w:type="dxa"/>
            <w:gridSpan w:val="7"/>
            <w:noWrap w:val="0"/>
            <w:vAlign w:val="top"/>
          </w:tcPr>
          <w:p>
            <w:pPr>
              <w:pStyle w:val="55"/>
              <w:spacing w:line="360" w:lineRule="auto"/>
              <w:rPr>
                <w:rFonts w:hint="eastAsia" w:ascii="宋体" w:hAnsi="宋体" w:eastAsia="宋体" w:cs="宋体"/>
                <w:bCs/>
                <w:spacing w:val="13"/>
                <w:highlight w:val="none"/>
              </w:rPr>
            </w:pPr>
            <w:r>
              <w:rPr>
                <w:rFonts w:hint="eastAsia" w:ascii="宋体" w:hAnsi="宋体" w:eastAsia="宋体" w:cs="宋体"/>
                <w:bCs/>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932" w:type="dxa"/>
            <w:noWrap w:val="0"/>
            <w:vAlign w:val="top"/>
          </w:tcPr>
          <w:p>
            <w:pPr>
              <w:pStyle w:val="55"/>
              <w:spacing w:line="360" w:lineRule="auto"/>
              <w:ind w:left="107"/>
              <w:rPr>
                <w:rFonts w:hint="eastAsia" w:ascii="宋体" w:hAnsi="宋体" w:eastAsia="宋体" w:cs="宋体"/>
                <w:bCs/>
                <w:spacing w:val="16"/>
                <w:highlight w:val="none"/>
              </w:rPr>
            </w:pPr>
            <w:r>
              <w:rPr>
                <w:rFonts w:hint="eastAsia" w:ascii="宋体" w:hAnsi="宋体" w:eastAsia="宋体" w:cs="宋体"/>
                <w:bCs/>
                <w:highlight w:val="none"/>
              </w:rPr>
              <w:t>2．企</w:t>
            </w:r>
            <w:r>
              <w:rPr>
                <w:rFonts w:hint="eastAsia" w:ascii="宋体" w:hAnsi="宋体" w:eastAsia="宋体" w:cs="宋体"/>
                <w:bCs/>
                <w:spacing w:val="12"/>
                <w:highlight w:val="none"/>
              </w:rPr>
              <w:t>业综合情况介绍</w:t>
            </w:r>
          </w:p>
        </w:tc>
        <w:tc>
          <w:tcPr>
            <w:tcW w:w="8132" w:type="dxa"/>
            <w:gridSpan w:val="7"/>
            <w:noWrap w:val="0"/>
            <w:vAlign w:val="top"/>
          </w:tcPr>
          <w:p>
            <w:pPr>
              <w:pStyle w:val="55"/>
              <w:spacing w:before="0" w:beforeAutospacing="0" w:after="0" w:afterAutospacing="0" w:line="360" w:lineRule="auto"/>
              <w:jc w:val="center"/>
              <w:rPr>
                <w:rFonts w:hint="eastAsia" w:ascii="宋体" w:hAnsi="宋体" w:eastAsia="宋体" w:cs="宋体"/>
                <w:bCs/>
                <w:highlight w:val="none"/>
              </w:rPr>
            </w:pPr>
            <w:r>
              <w:rPr>
                <w:rFonts w:hint="eastAsia" w:ascii="宋体" w:hAnsi="宋体" w:eastAsia="宋体" w:cs="宋体"/>
                <w:bCs/>
                <w:highlight w:val="none"/>
              </w:rPr>
              <w:t>如</w:t>
            </w:r>
            <w:r>
              <w:rPr>
                <w:rFonts w:hint="eastAsia" w:ascii="宋体" w:hAnsi="宋体" w:eastAsia="宋体" w:cs="宋体"/>
                <w:highlight w:val="none"/>
              </w:rPr>
              <w:t>（企业规模、经营业绩、人员与技术力量、服务网点情况等）</w:t>
            </w:r>
          </w:p>
        </w:tc>
      </w:tr>
    </w:tbl>
    <w:p>
      <w:pPr>
        <w:pStyle w:val="12"/>
        <w:rPr>
          <w:rFonts w:hint="eastAsia" w:ascii="宋体" w:hAnsi="宋体" w:eastAsia="宋体" w:cs="宋体"/>
          <w:b/>
          <w:highlight w:val="none"/>
        </w:rPr>
      </w:pPr>
    </w:p>
    <w:p>
      <w:pPr>
        <w:spacing w:line="360" w:lineRule="auto"/>
        <w:ind w:firstLine="424" w:firstLineChars="177"/>
        <w:rPr>
          <w:rFonts w:hint="eastAsia" w:ascii="宋体" w:hAnsi="宋体" w:eastAsia="宋体" w:cs="宋体"/>
          <w:sz w:val="24"/>
          <w:highlight w:val="none"/>
        </w:rPr>
      </w:pPr>
      <w:r>
        <w:rPr>
          <w:rFonts w:hint="eastAsia" w:ascii="宋体" w:hAnsi="宋体" w:eastAsia="宋体" w:cs="宋体"/>
          <w:sz w:val="24"/>
          <w:highlight w:val="none"/>
        </w:rPr>
        <w:t xml:space="preserve">谈判供应商名称（盖章）： </w:t>
      </w:r>
      <w:r>
        <w:rPr>
          <w:rFonts w:hint="eastAsia" w:ascii="宋体" w:hAnsi="宋体" w:eastAsia="宋体" w:cs="宋体"/>
          <w:sz w:val="24"/>
          <w:highlight w:val="none"/>
          <w:u w:val="single"/>
        </w:rPr>
        <w:t xml:space="preserve">               </w:t>
      </w:r>
    </w:p>
    <w:p>
      <w:pPr>
        <w:spacing w:line="360" w:lineRule="auto"/>
        <w:ind w:firstLine="424" w:firstLineChars="177"/>
        <w:rPr>
          <w:rFonts w:hint="eastAsia" w:ascii="宋体" w:hAnsi="宋体" w:eastAsia="宋体" w:cs="宋体"/>
          <w:sz w:val="24"/>
          <w:highlight w:val="none"/>
        </w:rPr>
      </w:pPr>
      <w:r>
        <w:rPr>
          <w:rFonts w:hint="eastAsia" w:ascii="宋体" w:hAnsi="宋体" w:eastAsia="宋体" w:cs="宋体"/>
          <w:kern w:val="0"/>
          <w:sz w:val="24"/>
          <w:highlight w:val="none"/>
          <w:lang w:val="zh-CN"/>
        </w:rPr>
        <w:t>法定代表人或授权委托人(签字或盖章)</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p>
    <w:p>
      <w:pPr>
        <w:spacing w:line="360" w:lineRule="auto"/>
        <w:ind w:firstLine="371" w:firstLineChars="177"/>
        <w:rPr>
          <w:rFonts w:hint="eastAsia" w:ascii="宋体" w:hAnsi="宋体" w:eastAsia="宋体" w:cs="宋体"/>
          <w:highlight w:val="none"/>
        </w:rPr>
      </w:pPr>
      <w:r>
        <w:rPr>
          <w:rFonts w:hint="eastAsia" w:ascii="宋体" w:hAnsi="宋体" w:eastAsia="宋体" w:cs="宋体"/>
          <w:highlight w:val="none"/>
        </w:rPr>
        <w:t>日        期：</w:t>
      </w:r>
    </w:p>
    <w:p>
      <w:pPr>
        <w:snapToGrid w:val="0"/>
        <w:spacing w:before="156" w:beforeLines="50" w:after="50" w:line="360" w:lineRule="auto"/>
        <w:rPr>
          <w:rFonts w:hint="eastAsia" w:ascii="宋体" w:hAnsi="宋体" w:eastAsia="宋体" w:cs="宋体"/>
          <w:b/>
          <w:sz w:val="28"/>
          <w:highlight w:val="none"/>
        </w:rPr>
      </w:pPr>
      <w:r>
        <w:rPr>
          <w:rFonts w:hint="eastAsia" w:ascii="宋体" w:hAnsi="宋体" w:eastAsia="宋体" w:cs="宋体"/>
          <w:b/>
          <w:sz w:val="28"/>
          <w:highlight w:val="none"/>
        </w:rPr>
        <w:t>附件4</w:t>
      </w:r>
    </w:p>
    <w:p>
      <w:pPr>
        <w:snapToGrid w:val="0"/>
        <w:spacing w:before="156" w:beforeLines="50" w:after="50" w:line="360" w:lineRule="auto"/>
        <w:jc w:val="center"/>
        <w:rPr>
          <w:rFonts w:hint="eastAsia" w:ascii="宋体" w:hAnsi="宋体" w:eastAsia="宋体" w:cs="宋体"/>
          <w:b/>
          <w:sz w:val="36"/>
          <w:szCs w:val="36"/>
          <w:highlight w:val="none"/>
        </w:rPr>
      </w:pPr>
      <w:r>
        <w:rPr>
          <w:rFonts w:hint="eastAsia" w:ascii="宋体" w:hAnsi="宋体" w:eastAsia="宋体" w:cs="宋体"/>
          <w:b/>
          <w:sz w:val="32"/>
          <w:szCs w:val="32"/>
          <w:highlight w:val="none"/>
        </w:rPr>
        <w:t>项目实施人员一览表</w:t>
      </w:r>
    </w:p>
    <w:p>
      <w:pPr>
        <w:snapToGrid w:val="0"/>
        <w:spacing w:before="156" w:beforeLines="50" w:after="50" w:line="360" w:lineRule="auto"/>
        <w:ind w:firstLine="2400" w:firstLineChars="1000"/>
        <w:rPr>
          <w:rFonts w:hint="eastAsia" w:ascii="宋体" w:hAnsi="宋体" w:eastAsia="宋体" w:cs="宋体"/>
          <w:sz w:val="24"/>
          <w:highlight w:val="none"/>
        </w:rPr>
      </w:pPr>
      <w:r>
        <w:rPr>
          <w:rFonts w:hint="eastAsia" w:ascii="宋体" w:hAnsi="宋体" w:eastAsia="宋体" w:cs="宋体"/>
          <w:sz w:val="24"/>
          <w:highlight w:val="none"/>
        </w:rPr>
        <w:t>（主要从业人员及其技术资格）</w:t>
      </w:r>
    </w:p>
    <w:tbl>
      <w:tblPr>
        <w:tblStyle w:val="25"/>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59"/>
        <w:gridCol w:w="780"/>
        <w:gridCol w:w="1944"/>
        <w:gridCol w:w="1454"/>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19" w:type="dxa"/>
            <w:noWrap w:val="0"/>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259" w:type="dxa"/>
            <w:noWrap w:val="0"/>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姓 名</w:t>
            </w:r>
          </w:p>
        </w:tc>
        <w:tc>
          <w:tcPr>
            <w:tcW w:w="780" w:type="dxa"/>
            <w:noWrap w:val="0"/>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性别</w:t>
            </w:r>
          </w:p>
        </w:tc>
        <w:tc>
          <w:tcPr>
            <w:tcW w:w="1944" w:type="dxa"/>
            <w:noWrap w:val="0"/>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 务</w:t>
            </w:r>
          </w:p>
        </w:tc>
        <w:tc>
          <w:tcPr>
            <w:tcW w:w="1454" w:type="dxa"/>
            <w:noWrap w:val="0"/>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职称</w:t>
            </w:r>
          </w:p>
        </w:tc>
        <w:tc>
          <w:tcPr>
            <w:tcW w:w="1677" w:type="dxa"/>
            <w:noWrap w:val="0"/>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pPr>
              <w:spacing w:line="360" w:lineRule="auto"/>
              <w:jc w:val="center"/>
              <w:rPr>
                <w:rFonts w:hint="eastAsia" w:ascii="宋体" w:hAnsi="宋体" w:eastAsia="宋体" w:cs="宋体"/>
                <w:szCs w:val="21"/>
                <w:highlight w:val="none"/>
              </w:rPr>
            </w:pPr>
          </w:p>
        </w:tc>
        <w:tc>
          <w:tcPr>
            <w:tcW w:w="1259" w:type="dxa"/>
            <w:noWrap w:val="0"/>
            <w:vAlign w:val="center"/>
          </w:tcPr>
          <w:p>
            <w:pPr>
              <w:spacing w:line="360" w:lineRule="auto"/>
              <w:jc w:val="center"/>
              <w:rPr>
                <w:rFonts w:hint="eastAsia" w:ascii="宋体" w:hAnsi="宋体" w:eastAsia="宋体" w:cs="宋体"/>
                <w:szCs w:val="21"/>
                <w:highlight w:val="none"/>
              </w:rPr>
            </w:pPr>
          </w:p>
        </w:tc>
        <w:tc>
          <w:tcPr>
            <w:tcW w:w="780" w:type="dxa"/>
            <w:noWrap w:val="0"/>
            <w:vAlign w:val="center"/>
          </w:tcPr>
          <w:p>
            <w:pPr>
              <w:spacing w:line="360" w:lineRule="auto"/>
              <w:jc w:val="center"/>
              <w:rPr>
                <w:rFonts w:hint="eastAsia" w:ascii="宋体" w:hAnsi="宋体" w:eastAsia="宋体" w:cs="宋体"/>
                <w:szCs w:val="21"/>
                <w:highlight w:val="none"/>
              </w:rPr>
            </w:pPr>
          </w:p>
        </w:tc>
        <w:tc>
          <w:tcPr>
            <w:tcW w:w="1944" w:type="dxa"/>
            <w:noWrap w:val="0"/>
            <w:vAlign w:val="center"/>
          </w:tcPr>
          <w:p>
            <w:pPr>
              <w:spacing w:line="360" w:lineRule="auto"/>
              <w:jc w:val="center"/>
              <w:rPr>
                <w:rFonts w:hint="eastAsia" w:ascii="宋体" w:hAnsi="宋体" w:eastAsia="宋体" w:cs="宋体"/>
                <w:szCs w:val="21"/>
                <w:highlight w:val="none"/>
              </w:rPr>
            </w:pPr>
          </w:p>
        </w:tc>
        <w:tc>
          <w:tcPr>
            <w:tcW w:w="1454" w:type="dxa"/>
            <w:noWrap w:val="0"/>
            <w:vAlign w:val="center"/>
          </w:tcPr>
          <w:p>
            <w:pPr>
              <w:spacing w:line="360" w:lineRule="auto"/>
              <w:jc w:val="center"/>
              <w:rPr>
                <w:rFonts w:hint="eastAsia" w:ascii="宋体" w:hAnsi="宋体" w:eastAsia="宋体" w:cs="宋体"/>
                <w:szCs w:val="21"/>
                <w:highlight w:val="none"/>
              </w:rPr>
            </w:pPr>
          </w:p>
        </w:tc>
        <w:tc>
          <w:tcPr>
            <w:tcW w:w="1677"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pPr>
              <w:spacing w:line="360" w:lineRule="auto"/>
              <w:jc w:val="center"/>
              <w:rPr>
                <w:rFonts w:hint="eastAsia" w:ascii="宋体" w:hAnsi="宋体" w:eastAsia="宋体" w:cs="宋体"/>
                <w:szCs w:val="21"/>
                <w:highlight w:val="none"/>
              </w:rPr>
            </w:pPr>
          </w:p>
        </w:tc>
        <w:tc>
          <w:tcPr>
            <w:tcW w:w="1259" w:type="dxa"/>
            <w:noWrap w:val="0"/>
            <w:vAlign w:val="center"/>
          </w:tcPr>
          <w:p>
            <w:pPr>
              <w:spacing w:line="360" w:lineRule="auto"/>
              <w:jc w:val="center"/>
              <w:rPr>
                <w:rFonts w:hint="eastAsia" w:ascii="宋体" w:hAnsi="宋体" w:eastAsia="宋体" w:cs="宋体"/>
                <w:szCs w:val="21"/>
                <w:highlight w:val="none"/>
              </w:rPr>
            </w:pPr>
          </w:p>
        </w:tc>
        <w:tc>
          <w:tcPr>
            <w:tcW w:w="780" w:type="dxa"/>
            <w:noWrap w:val="0"/>
            <w:vAlign w:val="center"/>
          </w:tcPr>
          <w:p>
            <w:pPr>
              <w:spacing w:line="360" w:lineRule="auto"/>
              <w:jc w:val="center"/>
              <w:rPr>
                <w:rFonts w:hint="eastAsia" w:ascii="宋体" w:hAnsi="宋体" w:eastAsia="宋体" w:cs="宋体"/>
                <w:szCs w:val="21"/>
                <w:highlight w:val="none"/>
              </w:rPr>
            </w:pPr>
          </w:p>
        </w:tc>
        <w:tc>
          <w:tcPr>
            <w:tcW w:w="1944" w:type="dxa"/>
            <w:noWrap w:val="0"/>
            <w:vAlign w:val="center"/>
          </w:tcPr>
          <w:p>
            <w:pPr>
              <w:spacing w:line="360" w:lineRule="auto"/>
              <w:jc w:val="center"/>
              <w:rPr>
                <w:rFonts w:hint="eastAsia" w:ascii="宋体" w:hAnsi="宋体" w:eastAsia="宋体" w:cs="宋体"/>
                <w:szCs w:val="21"/>
                <w:highlight w:val="none"/>
              </w:rPr>
            </w:pPr>
          </w:p>
        </w:tc>
        <w:tc>
          <w:tcPr>
            <w:tcW w:w="1454" w:type="dxa"/>
            <w:noWrap w:val="0"/>
            <w:vAlign w:val="center"/>
          </w:tcPr>
          <w:p>
            <w:pPr>
              <w:spacing w:line="360" w:lineRule="auto"/>
              <w:jc w:val="center"/>
              <w:rPr>
                <w:rFonts w:hint="eastAsia" w:ascii="宋体" w:hAnsi="宋体" w:eastAsia="宋体" w:cs="宋体"/>
                <w:szCs w:val="21"/>
                <w:highlight w:val="none"/>
              </w:rPr>
            </w:pPr>
          </w:p>
        </w:tc>
        <w:tc>
          <w:tcPr>
            <w:tcW w:w="1677"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noWrap w:val="0"/>
            <w:vAlign w:val="top"/>
          </w:tcPr>
          <w:p>
            <w:pPr>
              <w:spacing w:line="360" w:lineRule="auto"/>
              <w:jc w:val="center"/>
              <w:rPr>
                <w:rFonts w:hint="eastAsia" w:ascii="宋体" w:hAnsi="宋体" w:eastAsia="宋体" w:cs="宋体"/>
                <w:szCs w:val="21"/>
                <w:highlight w:val="none"/>
              </w:rPr>
            </w:pPr>
          </w:p>
        </w:tc>
        <w:tc>
          <w:tcPr>
            <w:tcW w:w="1259" w:type="dxa"/>
            <w:noWrap w:val="0"/>
            <w:vAlign w:val="center"/>
          </w:tcPr>
          <w:p>
            <w:pPr>
              <w:spacing w:line="360" w:lineRule="auto"/>
              <w:jc w:val="center"/>
              <w:rPr>
                <w:rFonts w:hint="eastAsia" w:ascii="宋体" w:hAnsi="宋体" w:eastAsia="宋体" w:cs="宋体"/>
                <w:szCs w:val="21"/>
                <w:highlight w:val="none"/>
              </w:rPr>
            </w:pPr>
          </w:p>
        </w:tc>
        <w:tc>
          <w:tcPr>
            <w:tcW w:w="780" w:type="dxa"/>
            <w:noWrap w:val="0"/>
            <w:vAlign w:val="center"/>
          </w:tcPr>
          <w:p>
            <w:pPr>
              <w:spacing w:line="360" w:lineRule="auto"/>
              <w:jc w:val="center"/>
              <w:rPr>
                <w:rFonts w:hint="eastAsia" w:ascii="宋体" w:hAnsi="宋体" w:eastAsia="宋体" w:cs="宋体"/>
                <w:szCs w:val="21"/>
                <w:highlight w:val="none"/>
              </w:rPr>
            </w:pPr>
          </w:p>
        </w:tc>
        <w:tc>
          <w:tcPr>
            <w:tcW w:w="1944" w:type="dxa"/>
            <w:noWrap w:val="0"/>
            <w:vAlign w:val="center"/>
          </w:tcPr>
          <w:p>
            <w:pPr>
              <w:spacing w:line="360" w:lineRule="auto"/>
              <w:jc w:val="center"/>
              <w:rPr>
                <w:rFonts w:hint="eastAsia" w:ascii="宋体" w:hAnsi="宋体" w:eastAsia="宋体" w:cs="宋体"/>
                <w:szCs w:val="21"/>
                <w:highlight w:val="none"/>
              </w:rPr>
            </w:pPr>
          </w:p>
        </w:tc>
        <w:tc>
          <w:tcPr>
            <w:tcW w:w="1454" w:type="dxa"/>
            <w:noWrap w:val="0"/>
            <w:vAlign w:val="center"/>
          </w:tcPr>
          <w:p>
            <w:pPr>
              <w:spacing w:line="360" w:lineRule="auto"/>
              <w:jc w:val="center"/>
              <w:rPr>
                <w:rFonts w:hint="eastAsia" w:ascii="宋体" w:hAnsi="宋体" w:eastAsia="宋体" w:cs="宋体"/>
                <w:szCs w:val="21"/>
                <w:highlight w:val="none"/>
              </w:rPr>
            </w:pPr>
          </w:p>
        </w:tc>
        <w:tc>
          <w:tcPr>
            <w:tcW w:w="1677"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19" w:type="dxa"/>
            <w:noWrap w:val="0"/>
            <w:vAlign w:val="top"/>
          </w:tcPr>
          <w:p>
            <w:pPr>
              <w:spacing w:line="360" w:lineRule="auto"/>
              <w:jc w:val="center"/>
              <w:rPr>
                <w:rFonts w:hint="eastAsia" w:ascii="宋体" w:hAnsi="宋体" w:eastAsia="宋体" w:cs="宋体"/>
                <w:szCs w:val="21"/>
                <w:highlight w:val="none"/>
              </w:rPr>
            </w:pPr>
          </w:p>
        </w:tc>
        <w:tc>
          <w:tcPr>
            <w:tcW w:w="1259" w:type="dxa"/>
            <w:noWrap w:val="0"/>
            <w:vAlign w:val="center"/>
          </w:tcPr>
          <w:p>
            <w:pPr>
              <w:spacing w:line="360" w:lineRule="auto"/>
              <w:jc w:val="center"/>
              <w:rPr>
                <w:rFonts w:hint="eastAsia" w:ascii="宋体" w:hAnsi="宋体" w:eastAsia="宋体" w:cs="宋体"/>
                <w:szCs w:val="21"/>
                <w:highlight w:val="none"/>
              </w:rPr>
            </w:pPr>
          </w:p>
        </w:tc>
        <w:tc>
          <w:tcPr>
            <w:tcW w:w="780" w:type="dxa"/>
            <w:noWrap w:val="0"/>
            <w:vAlign w:val="center"/>
          </w:tcPr>
          <w:p>
            <w:pPr>
              <w:spacing w:line="360" w:lineRule="auto"/>
              <w:jc w:val="center"/>
              <w:rPr>
                <w:rFonts w:hint="eastAsia" w:ascii="宋体" w:hAnsi="宋体" w:eastAsia="宋体" w:cs="宋体"/>
                <w:szCs w:val="21"/>
                <w:highlight w:val="none"/>
              </w:rPr>
            </w:pPr>
          </w:p>
        </w:tc>
        <w:tc>
          <w:tcPr>
            <w:tcW w:w="1944" w:type="dxa"/>
            <w:noWrap w:val="0"/>
            <w:vAlign w:val="center"/>
          </w:tcPr>
          <w:p>
            <w:pPr>
              <w:spacing w:line="360" w:lineRule="auto"/>
              <w:jc w:val="center"/>
              <w:rPr>
                <w:rFonts w:hint="eastAsia" w:ascii="宋体" w:hAnsi="宋体" w:eastAsia="宋体" w:cs="宋体"/>
                <w:szCs w:val="21"/>
                <w:highlight w:val="none"/>
              </w:rPr>
            </w:pPr>
          </w:p>
        </w:tc>
        <w:tc>
          <w:tcPr>
            <w:tcW w:w="1454" w:type="dxa"/>
            <w:noWrap w:val="0"/>
            <w:vAlign w:val="center"/>
          </w:tcPr>
          <w:p>
            <w:pPr>
              <w:spacing w:line="360" w:lineRule="auto"/>
              <w:jc w:val="center"/>
              <w:rPr>
                <w:rFonts w:hint="eastAsia" w:ascii="宋体" w:hAnsi="宋体" w:eastAsia="宋体" w:cs="宋体"/>
                <w:szCs w:val="21"/>
                <w:highlight w:val="none"/>
              </w:rPr>
            </w:pPr>
          </w:p>
        </w:tc>
        <w:tc>
          <w:tcPr>
            <w:tcW w:w="1677"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819" w:type="dxa"/>
            <w:noWrap w:val="0"/>
            <w:vAlign w:val="top"/>
          </w:tcPr>
          <w:p>
            <w:pPr>
              <w:spacing w:line="360" w:lineRule="auto"/>
              <w:jc w:val="center"/>
              <w:rPr>
                <w:rFonts w:hint="eastAsia" w:ascii="宋体" w:hAnsi="宋体" w:eastAsia="宋体" w:cs="宋体"/>
                <w:szCs w:val="21"/>
                <w:highlight w:val="none"/>
              </w:rPr>
            </w:pPr>
          </w:p>
        </w:tc>
        <w:tc>
          <w:tcPr>
            <w:tcW w:w="1259" w:type="dxa"/>
            <w:noWrap w:val="0"/>
            <w:vAlign w:val="center"/>
          </w:tcPr>
          <w:p>
            <w:pPr>
              <w:spacing w:line="360" w:lineRule="auto"/>
              <w:jc w:val="center"/>
              <w:rPr>
                <w:rFonts w:hint="eastAsia" w:ascii="宋体" w:hAnsi="宋体" w:eastAsia="宋体" w:cs="宋体"/>
                <w:szCs w:val="21"/>
                <w:highlight w:val="none"/>
              </w:rPr>
            </w:pPr>
          </w:p>
        </w:tc>
        <w:tc>
          <w:tcPr>
            <w:tcW w:w="780" w:type="dxa"/>
            <w:noWrap w:val="0"/>
            <w:vAlign w:val="center"/>
          </w:tcPr>
          <w:p>
            <w:pPr>
              <w:spacing w:line="360" w:lineRule="auto"/>
              <w:jc w:val="center"/>
              <w:rPr>
                <w:rFonts w:hint="eastAsia" w:ascii="宋体" w:hAnsi="宋体" w:eastAsia="宋体" w:cs="宋体"/>
                <w:szCs w:val="21"/>
                <w:highlight w:val="none"/>
              </w:rPr>
            </w:pPr>
          </w:p>
        </w:tc>
        <w:tc>
          <w:tcPr>
            <w:tcW w:w="1944" w:type="dxa"/>
            <w:noWrap w:val="0"/>
            <w:vAlign w:val="center"/>
          </w:tcPr>
          <w:p>
            <w:pPr>
              <w:spacing w:line="360" w:lineRule="auto"/>
              <w:jc w:val="center"/>
              <w:rPr>
                <w:rFonts w:hint="eastAsia" w:ascii="宋体" w:hAnsi="宋体" w:eastAsia="宋体" w:cs="宋体"/>
                <w:szCs w:val="21"/>
                <w:highlight w:val="none"/>
              </w:rPr>
            </w:pPr>
          </w:p>
        </w:tc>
        <w:tc>
          <w:tcPr>
            <w:tcW w:w="1454" w:type="dxa"/>
            <w:noWrap w:val="0"/>
            <w:vAlign w:val="center"/>
          </w:tcPr>
          <w:p>
            <w:pPr>
              <w:spacing w:line="360" w:lineRule="auto"/>
              <w:jc w:val="center"/>
              <w:rPr>
                <w:rFonts w:hint="eastAsia" w:ascii="宋体" w:hAnsi="宋体" w:eastAsia="宋体" w:cs="宋体"/>
                <w:szCs w:val="21"/>
                <w:highlight w:val="none"/>
              </w:rPr>
            </w:pPr>
          </w:p>
        </w:tc>
        <w:tc>
          <w:tcPr>
            <w:tcW w:w="1677"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pPr>
              <w:spacing w:line="360" w:lineRule="auto"/>
              <w:jc w:val="center"/>
              <w:rPr>
                <w:rFonts w:hint="eastAsia" w:ascii="宋体" w:hAnsi="宋体" w:eastAsia="宋体" w:cs="宋体"/>
                <w:szCs w:val="21"/>
                <w:highlight w:val="none"/>
              </w:rPr>
            </w:pPr>
          </w:p>
        </w:tc>
        <w:tc>
          <w:tcPr>
            <w:tcW w:w="1259" w:type="dxa"/>
            <w:noWrap w:val="0"/>
            <w:vAlign w:val="center"/>
          </w:tcPr>
          <w:p>
            <w:pPr>
              <w:spacing w:line="360" w:lineRule="auto"/>
              <w:jc w:val="center"/>
              <w:rPr>
                <w:rFonts w:hint="eastAsia" w:ascii="宋体" w:hAnsi="宋体" w:eastAsia="宋体" w:cs="宋体"/>
                <w:szCs w:val="21"/>
                <w:highlight w:val="none"/>
              </w:rPr>
            </w:pPr>
          </w:p>
        </w:tc>
        <w:tc>
          <w:tcPr>
            <w:tcW w:w="780" w:type="dxa"/>
            <w:noWrap w:val="0"/>
            <w:vAlign w:val="center"/>
          </w:tcPr>
          <w:p>
            <w:pPr>
              <w:spacing w:line="360" w:lineRule="auto"/>
              <w:jc w:val="center"/>
              <w:rPr>
                <w:rFonts w:hint="eastAsia" w:ascii="宋体" w:hAnsi="宋体" w:eastAsia="宋体" w:cs="宋体"/>
                <w:szCs w:val="21"/>
                <w:highlight w:val="none"/>
              </w:rPr>
            </w:pPr>
          </w:p>
        </w:tc>
        <w:tc>
          <w:tcPr>
            <w:tcW w:w="1944" w:type="dxa"/>
            <w:noWrap w:val="0"/>
            <w:vAlign w:val="center"/>
          </w:tcPr>
          <w:p>
            <w:pPr>
              <w:spacing w:line="360" w:lineRule="auto"/>
              <w:jc w:val="center"/>
              <w:rPr>
                <w:rFonts w:hint="eastAsia" w:ascii="宋体" w:hAnsi="宋体" w:eastAsia="宋体" w:cs="宋体"/>
                <w:szCs w:val="21"/>
                <w:highlight w:val="none"/>
              </w:rPr>
            </w:pPr>
          </w:p>
        </w:tc>
        <w:tc>
          <w:tcPr>
            <w:tcW w:w="1454" w:type="dxa"/>
            <w:noWrap w:val="0"/>
            <w:vAlign w:val="center"/>
          </w:tcPr>
          <w:p>
            <w:pPr>
              <w:spacing w:line="360" w:lineRule="auto"/>
              <w:jc w:val="center"/>
              <w:rPr>
                <w:rFonts w:hint="eastAsia" w:ascii="宋体" w:hAnsi="宋体" w:eastAsia="宋体" w:cs="宋体"/>
                <w:szCs w:val="21"/>
                <w:highlight w:val="none"/>
              </w:rPr>
            </w:pPr>
          </w:p>
        </w:tc>
        <w:tc>
          <w:tcPr>
            <w:tcW w:w="1677" w:type="dxa"/>
            <w:noWrap w:val="0"/>
            <w:vAlign w:val="center"/>
          </w:tcPr>
          <w:p>
            <w:pPr>
              <w:spacing w:line="360" w:lineRule="auto"/>
              <w:jc w:val="center"/>
              <w:rPr>
                <w:rFonts w:hint="eastAsia" w:ascii="宋体" w:hAnsi="宋体" w:eastAsia="宋体" w:cs="宋体"/>
                <w:szCs w:val="21"/>
                <w:highlight w:val="none"/>
              </w:rPr>
            </w:pPr>
          </w:p>
        </w:tc>
      </w:tr>
    </w:tbl>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要求：</w:t>
      </w:r>
    </w:p>
    <w:p>
      <w:pPr>
        <w:spacing w:line="360" w:lineRule="auto"/>
        <w:ind w:left="437"/>
        <w:rPr>
          <w:rFonts w:hint="eastAsia" w:ascii="宋体" w:hAnsi="宋体" w:eastAsia="宋体" w:cs="宋体"/>
          <w:szCs w:val="21"/>
          <w:highlight w:val="none"/>
        </w:rPr>
      </w:pPr>
      <w:r>
        <w:rPr>
          <w:rFonts w:hint="eastAsia" w:ascii="宋体" w:hAnsi="宋体" w:eastAsia="宋体" w:cs="宋体"/>
          <w:b/>
          <w:szCs w:val="21"/>
          <w:highlight w:val="none"/>
        </w:rPr>
        <w:t>1.</w:t>
      </w:r>
      <w:r>
        <w:rPr>
          <w:rFonts w:hint="eastAsia" w:ascii="宋体" w:hAnsi="宋体" w:eastAsia="宋体" w:cs="宋体"/>
          <w:szCs w:val="21"/>
          <w:highlight w:val="none"/>
        </w:rPr>
        <w:t>在填写时，如本表格不适合协商供应商的实际情况，可根据本表格式自行划表填写。</w:t>
      </w:r>
    </w:p>
    <w:p>
      <w:pPr>
        <w:pStyle w:val="56"/>
        <w:spacing w:line="360" w:lineRule="auto"/>
        <w:ind w:left="424" w:hanging="424" w:hangingChars="202"/>
        <w:rPr>
          <w:rFonts w:hint="eastAsia" w:ascii="宋体" w:hAnsi="宋体" w:eastAsia="宋体" w:cs="宋体"/>
          <w:sz w:val="24"/>
          <w:szCs w:val="20"/>
          <w:highlight w:val="none"/>
        </w:rPr>
      </w:pPr>
      <w:r>
        <w:rPr>
          <w:rFonts w:hint="eastAsia" w:ascii="宋体" w:hAnsi="宋体" w:eastAsia="宋体" w:cs="宋体"/>
          <w:szCs w:val="21"/>
          <w:highlight w:val="none"/>
        </w:rPr>
        <w:t>　　</w:t>
      </w:r>
    </w:p>
    <w:p>
      <w:pPr>
        <w:spacing w:before="156" w:beforeLines="50" w:after="156" w:afterLines="50"/>
        <w:ind w:firstLine="424" w:firstLineChars="177"/>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谈判供应商名称（盖章）：</w:t>
      </w:r>
      <w:r>
        <w:rPr>
          <w:rFonts w:hint="eastAsia" w:ascii="宋体" w:hAnsi="宋体" w:eastAsia="宋体" w:cs="宋体"/>
          <w:color w:val="000000"/>
          <w:sz w:val="24"/>
          <w:highlight w:val="none"/>
          <w:u w:val="single"/>
        </w:rPr>
        <w:t xml:space="preserve">                          </w:t>
      </w:r>
    </w:p>
    <w:p>
      <w:pPr>
        <w:spacing w:before="156" w:beforeLines="50" w:after="156" w:afterLines="50"/>
        <w:ind w:left="420"/>
        <w:rPr>
          <w:rFonts w:hint="eastAsia" w:ascii="宋体" w:hAnsi="宋体" w:eastAsia="宋体" w:cs="宋体"/>
          <w:color w:val="000000"/>
          <w:sz w:val="24"/>
          <w:highlight w:val="none"/>
        </w:rPr>
      </w:pPr>
    </w:p>
    <w:p>
      <w:pPr>
        <w:spacing w:before="156" w:beforeLines="50" w:after="156" w:afterLines="50"/>
        <w:ind w:firstLine="424" w:firstLineChars="177"/>
        <w:rPr>
          <w:rFonts w:hint="eastAsia" w:ascii="宋体" w:hAnsi="宋体" w:eastAsia="宋体" w:cs="宋体"/>
          <w:color w:val="000000"/>
          <w:sz w:val="24"/>
          <w:highlight w:val="none"/>
        </w:rPr>
      </w:pPr>
      <w:r>
        <w:rPr>
          <w:rFonts w:hint="eastAsia" w:ascii="宋体" w:hAnsi="宋体" w:eastAsia="宋体" w:cs="宋体"/>
          <w:kern w:val="0"/>
          <w:sz w:val="24"/>
          <w:highlight w:val="none"/>
          <w:lang w:val="zh-CN"/>
        </w:rPr>
        <w:t>法定代表人或授权委托人(签字或盖章)</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p>
    <w:p>
      <w:pPr>
        <w:spacing w:before="156" w:beforeLines="50" w:after="156" w:afterLines="50"/>
        <w:ind w:firstLine="435"/>
        <w:rPr>
          <w:rFonts w:hint="eastAsia" w:ascii="宋体" w:hAnsi="宋体" w:eastAsia="宋体" w:cs="宋体"/>
          <w:color w:val="000000"/>
          <w:sz w:val="24"/>
          <w:highlight w:val="none"/>
        </w:rPr>
      </w:pPr>
    </w:p>
    <w:p>
      <w:pPr>
        <w:spacing w:before="156" w:beforeLines="50" w:after="156" w:afterLines="50"/>
        <w:rPr>
          <w:rFonts w:hint="eastAsia" w:ascii="宋体" w:hAnsi="宋体" w:eastAsia="宋体" w:cs="宋体"/>
          <w:color w:val="000000"/>
          <w:sz w:val="24"/>
          <w:highlight w:val="none"/>
        </w:rPr>
      </w:pPr>
    </w:p>
    <w:p>
      <w:pPr>
        <w:pStyle w:val="55"/>
        <w:shd w:val="clear" w:color="auto" w:fill="FFFFFF"/>
        <w:spacing w:before="156" w:beforeLines="50" w:beforeAutospacing="0" w:after="156" w:afterLines="50" w:afterAutospacing="0"/>
        <w:ind w:firstLine="424" w:firstLineChars="177"/>
        <w:rPr>
          <w:rFonts w:hint="eastAsia" w:ascii="宋体" w:hAnsi="宋体" w:eastAsia="宋体" w:cs="宋体"/>
          <w:b/>
          <w:highlight w:val="none"/>
        </w:rPr>
      </w:pPr>
      <w:r>
        <w:rPr>
          <w:rFonts w:hint="eastAsia" w:ascii="宋体" w:hAnsi="宋体" w:eastAsia="宋体" w:cs="宋体"/>
          <w:color w:val="000000"/>
          <w:highlight w:val="none"/>
        </w:rPr>
        <w:t>日        期：</w:t>
      </w:r>
      <w:r>
        <w:rPr>
          <w:rFonts w:hint="eastAsia" w:ascii="宋体" w:hAnsi="宋体" w:eastAsia="宋体" w:cs="宋体"/>
          <w:color w:val="000000"/>
          <w:highlight w:val="none"/>
          <w:u w:val="single"/>
        </w:rPr>
        <w:t xml:space="preserve">                            </w:t>
      </w:r>
    </w:p>
    <w:p>
      <w:pPr>
        <w:spacing w:line="360" w:lineRule="auto"/>
        <w:rPr>
          <w:rFonts w:hint="eastAsia" w:ascii="宋体" w:hAnsi="宋体" w:eastAsia="宋体" w:cs="宋体"/>
          <w:b/>
          <w:sz w:val="28"/>
          <w:highlight w:val="none"/>
        </w:rPr>
      </w:pPr>
    </w:p>
    <w:p>
      <w:pPr>
        <w:spacing w:line="360" w:lineRule="auto"/>
        <w:rPr>
          <w:rFonts w:hint="eastAsia" w:ascii="宋体" w:hAnsi="宋体" w:eastAsia="宋体" w:cs="宋体"/>
          <w:b/>
          <w:sz w:val="28"/>
          <w:highlight w:val="none"/>
        </w:rPr>
      </w:pPr>
    </w:p>
    <w:p>
      <w:pPr>
        <w:spacing w:line="360" w:lineRule="auto"/>
        <w:rPr>
          <w:rFonts w:hint="eastAsia" w:ascii="宋体" w:hAnsi="宋体" w:eastAsia="宋体" w:cs="宋体"/>
          <w:b/>
          <w:sz w:val="28"/>
          <w:highlight w:val="none"/>
        </w:rPr>
      </w:pPr>
    </w:p>
    <w:p>
      <w:pPr>
        <w:spacing w:line="360" w:lineRule="auto"/>
        <w:rPr>
          <w:rFonts w:hint="eastAsia" w:ascii="宋体" w:hAnsi="宋体" w:eastAsia="宋体" w:cs="宋体"/>
          <w:b/>
          <w:sz w:val="28"/>
          <w:highlight w:val="none"/>
        </w:rPr>
      </w:pPr>
    </w:p>
    <w:p>
      <w:pPr>
        <w:pStyle w:val="10"/>
        <w:rPr>
          <w:rFonts w:hint="eastAsia" w:ascii="宋体" w:hAnsi="宋体" w:eastAsia="宋体" w:cs="宋体"/>
          <w:highlight w:val="none"/>
        </w:rPr>
      </w:pPr>
    </w:p>
    <w:p>
      <w:pPr>
        <w:pStyle w:val="55"/>
        <w:shd w:val="clear" w:color="auto" w:fill="FFFFFF"/>
        <w:spacing w:before="0" w:beforeAutospacing="0" w:after="0" w:afterAutospacing="0" w:line="360" w:lineRule="auto"/>
        <w:rPr>
          <w:rFonts w:hint="eastAsia" w:ascii="宋体" w:hAnsi="宋体" w:eastAsia="宋体" w:cs="宋体"/>
          <w:b/>
          <w:color w:val="000000"/>
          <w:sz w:val="28"/>
          <w:highlight w:val="none"/>
        </w:rPr>
      </w:pPr>
      <w:r>
        <w:rPr>
          <w:rFonts w:hint="eastAsia" w:ascii="宋体" w:hAnsi="宋体" w:eastAsia="宋体" w:cs="宋体"/>
          <w:b/>
          <w:color w:val="000000"/>
          <w:sz w:val="28"/>
          <w:highlight w:val="none"/>
        </w:rPr>
        <w:t xml:space="preserve">附件5：       </w:t>
      </w:r>
    </w:p>
    <w:p>
      <w:pPr>
        <w:spacing w:line="360" w:lineRule="atLeast"/>
        <w:ind w:left="48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 xml:space="preserve">首次报价一览表 </w:t>
      </w:r>
    </w:p>
    <w:p>
      <w:pPr>
        <w:spacing w:line="360" w:lineRule="atLeast"/>
        <w:ind w:left="480"/>
        <w:rPr>
          <w:rFonts w:hint="eastAsia" w:ascii="宋体" w:hAnsi="宋体" w:eastAsia="宋体" w:cs="宋体"/>
          <w:b/>
          <w:sz w:val="30"/>
          <w:highlight w:val="none"/>
        </w:rPr>
      </w:pPr>
    </w:p>
    <w:p>
      <w:pPr>
        <w:jc w:val="center"/>
        <w:rPr>
          <w:rFonts w:hint="eastAsia" w:ascii="宋体" w:hAnsi="宋体" w:eastAsia="宋体" w:cs="宋体"/>
          <w:highlight w:val="none"/>
        </w:rPr>
      </w:pPr>
    </w:p>
    <w:p>
      <w:pPr>
        <w:spacing w:line="320" w:lineRule="exact"/>
        <w:rPr>
          <w:rFonts w:hint="eastAsia" w:ascii="宋体" w:hAnsi="宋体" w:eastAsia="宋体" w:cs="宋体"/>
          <w:sz w:val="24"/>
          <w:highlight w:val="none"/>
        </w:rPr>
      </w:pPr>
      <w:r>
        <w:rPr>
          <w:rFonts w:hint="eastAsia" w:ascii="宋体" w:hAnsi="宋体" w:eastAsia="宋体" w:cs="宋体"/>
          <w:sz w:val="24"/>
          <w:highlight w:val="none"/>
        </w:rPr>
        <w:t xml:space="preserve">  项目编号：</w:t>
      </w:r>
    </w:p>
    <w:p>
      <w:pPr>
        <w:spacing w:line="320" w:lineRule="exact"/>
        <w:ind w:left="420"/>
        <w:rPr>
          <w:rFonts w:hint="eastAsia" w:ascii="宋体" w:hAnsi="宋体" w:eastAsia="宋体" w:cs="宋体"/>
          <w:sz w:val="24"/>
          <w:highlight w:val="none"/>
        </w:rPr>
      </w:pPr>
    </w:p>
    <w:tbl>
      <w:tblPr>
        <w:tblStyle w:val="25"/>
        <w:tblW w:w="953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146"/>
        <w:gridCol w:w="709"/>
        <w:gridCol w:w="708"/>
        <w:gridCol w:w="1985"/>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750" w:type="dxa"/>
            <w:noWrap w:val="0"/>
            <w:vAlign w:val="center"/>
          </w:tcPr>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3146" w:type="dxa"/>
            <w:noWrap w:val="0"/>
            <w:vAlign w:val="center"/>
          </w:tcPr>
          <w:p>
            <w:pPr>
              <w:tabs>
                <w:tab w:val="left" w:pos="8280"/>
              </w:tabs>
              <w:autoSpaceDE w:val="0"/>
              <w:autoSpaceDN w:val="0"/>
              <w:adjustRightInd w:val="0"/>
              <w:spacing w:line="360" w:lineRule="auto"/>
              <w:ind w:right="25" w:firstLine="593" w:firstLineChars="246"/>
              <w:rPr>
                <w:rFonts w:hint="eastAsia" w:ascii="宋体" w:hAnsi="宋体" w:eastAsia="宋体" w:cs="宋体"/>
                <w:b/>
                <w:sz w:val="24"/>
                <w:highlight w:val="none"/>
              </w:rPr>
            </w:pPr>
            <w:r>
              <w:rPr>
                <w:rFonts w:hint="eastAsia" w:ascii="宋体" w:hAnsi="宋体" w:eastAsia="宋体" w:cs="宋体"/>
                <w:b/>
                <w:sz w:val="24"/>
                <w:highlight w:val="none"/>
              </w:rPr>
              <w:t>项目名称</w:t>
            </w:r>
          </w:p>
        </w:tc>
        <w:tc>
          <w:tcPr>
            <w:tcW w:w="709" w:type="dxa"/>
            <w:noWrap w:val="0"/>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单位</w:t>
            </w:r>
          </w:p>
        </w:tc>
        <w:tc>
          <w:tcPr>
            <w:tcW w:w="708" w:type="dxa"/>
            <w:noWrap w:val="0"/>
            <w:vAlign w:val="center"/>
          </w:tcPr>
          <w:p>
            <w:pPr>
              <w:spacing w:line="360" w:lineRule="auto"/>
              <w:jc w:val="center"/>
              <w:rPr>
                <w:rFonts w:hint="eastAsia" w:ascii="宋体" w:hAnsi="宋体" w:eastAsia="宋体" w:cs="宋体"/>
                <w:b/>
                <w:color w:val="FF0000"/>
                <w:sz w:val="24"/>
                <w:highlight w:val="none"/>
              </w:rPr>
            </w:pPr>
            <w:r>
              <w:rPr>
                <w:rFonts w:hint="eastAsia" w:ascii="宋体" w:hAnsi="宋体" w:eastAsia="宋体" w:cs="宋体"/>
                <w:b/>
                <w:sz w:val="24"/>
                <w:highlight w:val="none"/>
              </w:rPr>
              <w:t>数量</w:t>
            </w:r>
          </w:p>
        </w:tc>
        <w:tc>
          <w:tcPr>
            <w:tcW w:w="1985" w:type="dxa"/>
            <w:noWrap w:val="0"/>
            <w:vAlign w:val="center"/>
          </w:tcPr>
          <w:p>
            <w:pPr>
              <w:tabs>
                <w:tab w:val="left" w:pos="8280"/>
              </w:tabs>
              <w:autoSpaceDE w:val="0"/>
              <w:autoSpaceDN w:val="0"/>
              <w:adjustRightInd w:val="0"/>
              <w:ind w:right="25"/>
              <w:jc w:val="center"/>
              <w:rPr>
                <w:rFonts w:hint="eastAsia" w:ascii="宋体" w:hAnsi="宋体" w:eastAsia="宋体" w:cs="宋体"/>
                <w:b/>
                <w:sz w:val="24"/>
                <w:highlight w:val="none"/>
              </w:rPr>
            </w:pPr>
            <w:r>
              <w:rPr>
                <w:rFonts w:hint="eastAsia" w:ascii="宋体" w:hAnsi="宋体" w:eastAsia="宋体" w:cs="宋体"/>
                <w:b/>
                <w:sz w:val="24"/>
                <w:highlight w:val="none"/>
              </w:rPr>
              <w:t>投标报价（元）</w:t>
            </w:r>
          </w:p>
        </w:tc>
        <w:tc>
          <w:tcPr>
            <w:tcW w:w="2239"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b/>
                <w:sz w:val="24"/>
                <w:highlight w:val="none"/>
              </w:rPr>
            </w:pPr>
            <w:r>
              <w:rPr>
                <w:rFonts w:hint="eastAsia" w:ascii="宋体" w:hAnsi="宋体" w:eastAsia="宋体" w:cs="宋体"/>
                <w:b/>
                <w:sz w:val="24"/>
                <w:highlight w:val="none"/>
                <w:lang w:eastAsia="zh-CN"/>
              </w:rPr>
              <w:t>供货</w:t>
            </w:r>
            <w:r>
              <w:rPr>
                <w:rFonts w:hint="eastAsia" w:ascii="宋体" w:hAnsi="宋体" w:eastAsia="宋体" w:cs="宋体"/>
                <w:b/>
                <w:sz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750" w:type="dxa"/>
            <w:noWrap w:val="0"/>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46" w:type="dxa"/>
            <w:noWrap w:val="0"/>
            <w:vAlign w:val="center"/>
          </w:tcPr>
          <w:p>
            <w:pP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三门县高新技术企业孵化园服务提升工程二期（浙江三门经济开发区党群服务中心）配套设备采购项目</w:t>
            </w:r>
          </w:p>
        </w:tc>
        <w:tc>
          <w:tcPr>
            <w:tcW w:w="709"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bCs/>
                <w:sz w:val="24"/>
                <w:highlight w:val="none"/>
                <w:lang w:eastAsia="zh-CN"/>
              </w:rPr>
            </w:pPr>
            <w:r>
              <w:rPr>
                <w:rFonts w:hint="eastAsia" w:ascii="宋体" w:hAnsi="宋体" w:eastAsia="宋体" w:cs="宋体"/>
                <w:bCs/>
                <w:sz w:val="24"/>
                <w:highlight w:val="none"/>
                <w:lang w:eastAsia="zh-CN"/>
              </w:rPr>
              <w:t>批</w:t>
            </w:r>
          </w:p>
        </w:tc>
        <w:tc>
          <w:tcPr>
            <w:tcW w:w="708" w:type="dxa"/>
            <w:noWrap w:val="0"/>
            <w:vAlign w:val="center"/>
          </w:tcPr>
          <w:p>
            <w:pPr>
              <w:tabs>
                <w:tab w:val="left" w:pos="8280"/>
              </w:tabs>
              <w:autoSpaceDE w:val="0"/>
              <w:autoSpaceDN w:val="0"/>
              <w:adjustRightInd w:val="0"/>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1</w:t>
            </w:r>
          </w:p>
        </w:tc>
        <w:tc>
          <w:tcPr>
            <w:tcW w:w="1985"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b/>
                <w:sz w:val="24"/>
                <w:highlight w:val="none"/>
              </w:rPr>
            </w:pPr>
          </w:p>
        </w:tc>
        <w:tc>
          <w:tcPr>
            <w:tcW w:w="2239" w:type="dxa"/>
            <w:noWrap w:val="0"/>
            <w:vAlign w:val="center"/>
          </w:tcPr>
          <w:p>
            <w:pPr>
              <w:tabs>
                <w:tab w:val="left" w:pos="8280"/>
              </w:tabs>
              <w:autoSpaceDE w:val="0"/>
              <w:autoSpaceDN w:val="0"/>
              <w:adjustRightInd w:val="0"/>
              <w:jc w:val="center"/>
              <w:rPr>
                <w:rFonts w:hint="eastAsia" w:ascii="宋体" w:hAnsi="宋体" w:eastAsia="宋体" w:cs="宋体"/>
                <w:b/>
                <w:sz w:val="24"/>
                <w:highlight w:val="none"/>
              </w:rPr>
            </w:pPr>
            <w:r>
              <w:rPr>
                <w:rFonts w:hint="eastAsia" w:ascii="宋体" w:hAnsi="宋体" w:eastAsia="宋体" w:cs="宋体"/>
                <w:bCs/>
                <w:sz w:val="24"/>
                <w:highlight w:val="none"/>
              </w:rPr>
              <w:t>详见谈判需求</w:t>
            </w:r>
          </w:p>
        </w:tc>
      </w:tr>
    </w:tbl>
    <w:p>
      <w:pPr>
        <w:spacing w:line="320" w:lineRule="exact"/>
        <w:ind w:left="420"/>
        <w:rPr>
          <w:rFonts w:hint="eastAsia" w:ascii="宋体" w:hAnsi="宋体" w:eastAsia="宋体" w:cs="宋体"/>
          <w:sz w:val="24"/>
          <w:highlight w:val="none"/>
        </w:rPr>
      </w:pPr>
    </w:p>
    <w:p>
      <w:pPr>
        <w:spacing w:line="320" w:lineRule="exact"/>
        <w:ind w:left="420"/>
        <w:rPr>
          <w:rFonts w:hint="eastAsia" w:ascii="宋体" w:hAnsi="宋体" w:eastAsia="宋体" w:cs="宋体"/>
          <w:sz w:val="24"/>
          <w:highlight w:val="none"/>
        </w:rPr>
      </w:pPr>
    </w:p>
    <w:p>
      <w:pPr>
        <w:spacing w:line="320" w:lineRule="exact"/>
        <w:ind w:left="420"/>
        <w:rPr>
          <w:rFonts w:hint="eastAsia" w:ascii="宋体" w:hAnsi="宋体" w:eastAsia="宋体" w:cs="宋体"/>
          <w:sz w:val="24"/>
          <w:highlight w:val="none"/>
          <w:u w:val="single"/>
        </w:rPr>
      </w:pPr>
      <w:r>
        <w:rPr>
          <w:rFonts w:hint="eastAsia" w:ascii="宋体" w:hAnsi="宋体" w:eastAsia="宋体" w:cs="宋体"/>
          <w:kern w:val="0"/>
          <w:sz w:val="24"/>
          <w:highlight w:val="none"/>
        </w:rPr>
        <w:t>谈判供应商</w:t>
      </w:r>
      <w:r>
        <w:rPr>
          <w:rFonts w:hint="eastAsia" w:ascii="宋体" w:hAnsi="宋体" w:eastAsia="宋体" w:cs="宋体"/>
          <w:sz w:val="24"/>
          <w:highlight w:val="none"/>
        </w:rPr>
        <w:t>名称（盖章）：</w:t>
      </w:r>
      <w:r>
        <w:rPr>
          <w:rFonts w:hint="eastAsia" w:ascii="宋体" w:hAnsi="宋体" w:eastAsia="宋体" w:cs="宋体"/>
          <w:sz w:val="24"/>
          <w:highlight w:val="none"/>
          <w:u w:val="single"/>
        </w:rPr>
        <w:t xml:space="preserve">                              </w:t>
      </w:r>
    </w:p>
    <w:p>
      <w:pPr>
        <w:spacing w:line="320" w:lineRule="exact"/>
        <w:ind w:left="420"/>
        <w:rPr>
          <w:rFonts w:hint="eastAsia" w:ascii="宋体" w:hAnsi="宋体" w:eastAsia="宋体" w:cs="宋体"/>
          <w:sz w:val="24"/>
          <w:highlight w:val="none"/>
        </w:rPr>
      </w:pPr>
    </w:p>
    <w:p>
      <w:pPr>
        <w:spacing w:line="320" w:lineRule="exact"/>
        <w:ind w:left="420"/>
        <w:rPr>
          <w:rFonts w:hint="eastAsia" w:ascii="宋体" w:hAnsi="宋体" w:eastAsia="宋体" w:cs="宋体"/>
          <w:sz w:val="24"/>
          <w:highlight w:val="none"/>
        </w:rPr>
      </w:pPr>
    </w:p>
    <w:p>
      <w:pPr>
        <w:spacing w:line="320" w:lineRule="exact"/>
        <w:ind w:firstLine="435"/>
        <w:rPr>
          <w:rFonts w:hint="eastAsia" w:ascii="宋体" w:hAnsi="宋体" w:eastAsia="宋体" w:cs="宋体"/>
          <w:sz w:val="24"/>
          <w:highlight w:val="none"/>
        </w:rPr>
      </w:pPr>
      <w:r>
        <w:rPr>
          <w:rFonts w:hint="eastAsia" w:ascii="宋体" w:hAnsi="宋体" w:eastAsia="宋体" w:cs="宋体"/>
          <w:kern w:val="0"/>
          <w:sz w:val="24"/>
          <w:highlight w:val="none"/>
          <w:lang w:val="zh-CN"/>
        </w:rPr>
        <w:t>法定代表人或授权委托人(签字或盖章)</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pPr>
        <w:spacing w:line="320" w:lineRule="exact"/>
        <w:ind w:firstLine="435"/>
        <w:rPr>
          <w:rFonts w:hint="eastAsia" w:ascii="宋体" w:hAnsi="宋体" w:eastAsia="宋体" w:cs="宋体"/>
          <w:sz w:val="24"/>
          <w:highlight w:val="none"/>
        </w:rPr>
      </w:pPr>
    </w:p>
    <w:p>
      <w:pPr>
        <w:spacing w:line="320" w:lineRule="exact"/>
        <w:rPr>
          <w:rFonts w:hint="eastAsia" w:ascii="宋体" w:hAnsi="宋体" w:eastAsia="宋体" w:cs="宋体"/>
          <w:sz w:val="24"/>
          <w:highlight w:val="none"/>
        </w:rPr>
      </w:pPr>
    </w:p>
    <w:p>
      <w:pPr>
        <w:spacing w:line="320" w:lineRule="exact"/>
        <w:ind w:firstLine="435"/>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p>
    <w:p>
      <w:pPr>
        <w:spacing w:line="320" w:lineRule="exact"/>
        <w:ind w:firstLine="435"/>
        <w:rPr>
          <w:rFonts w:hint="eastAsia" w:ascii="宋体" w:hAnsi="宋体" w:eastAsia="宋体" w:cs="宋体"/>
          <w:sz w:val="24"/>
          <w:highlight w:val="none"/>
        </w:rPr>
      </w:pPr>
      <w:r>
        <w:rPr>
          <w:rFonts w:hint="eastAsia" w:ascii="宋体" w:hAnsi="宋体" w:eastAsia="宋体" w:cs="宋体"/>
          <w:sz w:val="24"/>
          <w:highlight w:val="none"/>
        </w:rPr>
        <w:t xml:space="preserve">  </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说明：</w:t>
      </w:r>
    </w:p>
    <w:p>
      <w:pPr>
        <w:adjustRightInd w:val="0"/>
        <w:snapToGrid w:val="0"/>
        <w:spacing w:line="360" w:lineRule="auto"/>
        <w:ind w:firstLine="480" w:firstLineChars="200"/>
        <w:rPr>
          <w:rFonts w:hint="eastAsia" w:ascii="宋体" w:hAnsi="宋体" w:eastAsia="宋体" w:cs="宋体"/>
          <w:b/>
          <w:i/>
          <w:sz w:val="24"/>
          <w:highlight w:val="none"/>
          <w:u w:val="single"/>
        </w:rPr>
      </w:pPr>
      <w:r>
        <w:rPr>
          <w:rFonts w:hint="eastAsia" w:ascii="宋体" w:hAnsi="宋体" w:eastAsia="宋体" w:cs="宋体"/>
          <w:sz w:val="24"/>
          <w:highlight w:val="none"/>
        </w:rPr>
        <w:t xml:space="preserve"> 1、报价一经涂改，应在涂改处加盖单位公章或者由法定代表人或授权委托人签字或盖章，否则其谈判作无效标处理；</w:t>
      </w:r>
    </w:p>
    <w:p>
      <w:pPr>
        <w:pStyle w:val="11"/>
        <w:adjustRightInd w:val="0"/>
        <w:snapToGrid w:val="0"/>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报价以人民币为结算货币，报价包括一切人工、工具、材料、设备、电费、保险、交通、利润、税金（包含须由投标人承担的各种税费）、其它需投标人承担的费用及潜在满足用户方监管要求可能涉及的一切费用。投标人的报价应包括因承包本次项目所需的一切相关费用，合同执行期间不随市场因素的变化而进行调整，在项目实施过程中不得藉此要求增加任何费用。如有漏项，视同已包含在本项目的总报价中。</w:t>
      </w:r>
    </w:p>
    <w:p>
      <w:pPr>
        <w:jc w:val="both"/>
        <w:rPr>
          <w:rFonts w:hint="eastAsia" w:eastAsia="宋体"/>
          <w:color w:val="auto"/>
          <w:highlight w:val="green"/>
          <w:lang w:eastAsia="zh-CN"/>
        </w:rPr>
      </w:pPr>
    </w:p>
    <w:p>
      <w:pPr>
        <w:pStyle w:val="55"/>
        <w:shd w:val="clear" w:color="auto" w:fill="FFFFFF"/>
        <w:spacing w:before="0" w:beforeAutospacing="0" w:after="0" w:afterAutospacing="0" w:line="360" w:lineRule="auto"/>
        <w:rPr>
          <w:rFonts w:hint="eastAsia" w:ascii="宋体" w:hAnsi="宋体" w:eastAsia="宋体" w:cs="宋体"/>
          <w:b/>
          <w:color w:val="000000"/>
          <w:sz w:val="28"/>
          <w:highlight w:val="none"/>
        </w:rPr>
      </w:pPr>
      <w:r>
        <w:rPr>
          <w:color w:val="auto"/>
          <w:highlight w:val="green"/>
        </w:rPr>
        <w:br w:type="page"/>
      </w:r>
      <w:r>
        <w:rPr>
          <w:rFonts w:hint="eastAsia" w:ascii="宋体" w:hAnsi="宋体" w:eastAsia="宋体" w:cs="宋体"/>
          <w:b/>
          <w:color w:val="000000"/>
          <w:sz w:val="28"/>
          <w:highlight w:val="none"/>
        </w:rPr>
        <w:t>附件</w:t>
      </w:r>
      <w:r>
        <w:rPr>
          <w:rFonts w:hint="eastAsia" w:ascii="宋体" w:hAnsi="宋体" w:cs="宋体"/>
          <w:b/>
          <w:color w:val="000000"/>
          <w:sz w:val="28"/>
          <w:highlight w:val="none"/>
          <w:lang w:val="en-US" w:eastAsia="zh-CN"/>
        </w:rPr>
        <w:t>6</w:t>
      </w:r>
      <w:r>
        <w:rPr>
          <w:rFonts w:hint="eastAsia" w:ascii="宋体" w:hAnsi="宋体" w:eastAsia="宋体" w:cs="宋体"/>
          <w:b/>
          <w:color w:val="000000"/>
          <w:sz w:val="28"/>
          <w:highlight w:val="none"/>
        </w:rPr>
        <w:t xml:space="preserve">：       </w:t>
      </w:r>
    </w:p>
    <w:p>
      <w:pPr>
        <w:spacing w:line="360" w:lineRule="atLeast"/>
        <w:ind w:left="480"/>
        <w:jc w:val="center"/>
        <w:rPr>
          <w:rFonts w:hint="eastAsia" w:ascii="宋体" w:hAnsi="宋体" w:eastAsia="宋体" w:cs="宋体"/>
          <w:b/>
          <w:sz w:val="32"/>
          <w:szCs w:val="32"/>
          <w:highlight w:val="none"/>
        </w:rPr>
      </w:pPr>
      <w:r>
        <w:rPr>
          <w:rFonts w:hint="eastAsia" w:ascii="宋体" w:hAnsi="宋体" w:cs="宋体"/>
          <w:b/>
          <w:sz w:val="32"/>
          <w:szCs w:val="32"/>
          <w:highlight w:val="none"/>
          <w:lang w:eastAsia="zh-CN"/>
        </w:rPr>
        <w:t>最终</w:t>
      </w:r>
      <w:r>
        <w:rPr>
          <w:rFonts w:hint="eastAsia" w:ascii="宋体" w:hAnsi="宋体" w:eastAsia="宋体" w:cs="宋体"/>
          <w:b/>
          <w:sz w:val="32"/>
          <w:szCs w:val="32"/>
          <w:highlight w:val="none"/>
        </w:rPr>
        <w:t xml:space="preserve">报价一览表 </w:t>
      </w:r>
    </w:p>
    <w:p>
      <w:pPr>
        <w:spacing w:line="360" w:lineRule="atLeast"/>
        <w:ind w:left="480"/>
        <w:rPr>
          <w:rFonts w:hint="eastAsia" w:ascii="宋体" w:hAnsi="宋体" w:eastAsia="宋体" w:cs="宋体"/>
          <w:b/>
          <w:sz w:val="30"/>
          <w:highlight w:val="none"/>
        </w:rPr>
      </w:pPr>
    </w:p>
    <w:p>
      <w:pPr>
        <w:jc w:val="center"/>
        <w:rPr>
          <w:rFonts w:hint="eastAsia" w:ascii="宋体" w:hAnsi="宋体" w:eastAsia="宋体" w:cs="宋体"/>
          <w:highlight w:val="none"/>
        </w:rPr>
      </w:pPr>
    </w:p>
    <w:p>
      <w:pPr>
        <w:spacing w:line="320" w:lineRule="exact"/>
        <w:rPr>
          <w:rFonts w:hint="eastAsia" w:ascii="宋体" w:hAnsi="宋体" w:eastAsia="宋体" w:cs="宋体"/>
          <w:sz w:val="24"/>
          <w:highlight w:val="none"/>
        </w:rPr>
      </w:pPr>
      <w:r>
        <w:rPr>
          <w:rFonts w:hint="eastAsia" w:ascii="宋体" w:hAnsi="宋体" w:eastAsia="宋体" w:cs="宋体"/>
          <w:sz w:val="24"/>
          <w:highlight w:val="none"/>
        </w:rPr>
        <w:t xml:space="preserve">  项目编号：</w:t>
      </w:r>
    </w:p>
    <w:p>
      <w:pPr>
        <w:spacing w:line="320" w:lineRule="exact"/>
        <w:ind w:left="420"/>
        <w:rPr>
          <w:rFonts w:hint="eastAsia" w:ascii="宋体" w:hAnsi="宋体" w:eastAsia="宋体" w:cs="宋体"/>
          <w:sz w:val="24"/>
          <w:highlight w:val="none"/>
        </w:rPr>
      </w:pPr>
    </w:p>
    <w:tbl>
      <w:tblPr>
        <w:tblStyle w:val="25"/>
        <w:tblW w:w="953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146"/>
        <w:gridCol w:w="709"/>
        <w:gridCol w:w="708"/>
        <w:gridCol w:w="1985"/>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750" w:type="dxa"/>
            <w:noWrap w:val="0"/>
            <w:vAlign w:val="center"/>
          </w:tcPr>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3146" w:type="dxa"/>
            <w:noWrap w:val="0"/>
            <w:vAlign w:val="center"/>
          </w:tcPr>
          <w:p>
            <w:pPr>
              <w:tabs>
                <w:tab w:val="left" w:pos="8280"/>
              </w:tabs>
              <w:autoSpaceDE w:val="0"/>
              <w:autoSpaceDN w:val="0"/>
              <w:adjustRightInd w:val="0"/>
              <w:spacing w:line="360" w:lineRule="auto"/>
              <w:ind w:right="25" w:firstLine="593" w:firstLineChars="246"/>
              <w:rPr>
                <w:rFonts w:hint="eastAsia" w:ascii="宋体" w:hAnsi="宋体" w:eastAsia="宋体" w:cs="宋体"/>
                <w:b/>
                <w:sz w:val="24"/>
                <w:highlight w:val="none"/>
              </w:rPr>
            </w:pPr>
            <w:r>
              <w:rPr>
                <w:rFonts w:hint="eastAsia" w:ascii="宋体" w:hAnsi="宋体" w:eastAsia="宋体" w:cs="宋体"/>
                <w:b/>
                <w:sz w:val="24"/>
                <w:highlight w:val="none"/>
              </w:rPr>
              <w:t>项目名称</w:t>
            </w:r>
          </w:p>
        </w:tc>
        <w:tc>
          <w:tcPr>
            <w:tcW w:w="709" w:type="dxa"/>
            <w:noWrap w:val="0"/>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单位</w:t>
            </w:r>
          </w:p>
        </w:tc>
        <w:tc>
          <w:tcPr>
            <w:tcW w:w="708" w:type="dxa"/>
            <w:noWrap w:val="0"/>
            <w:vAlign w:val="center"/>
          </w:tcPr>
          <w:p>
            <w:pPr>
              <w:spacing w:line="360" w:lineRule="auto"/>
              <w:jc w:val="center"/>
              <w:rPr>
                <w:rFonts w:hint="eastAsia" w:ascii="宋体" w:hAnsi="宋体" w:eastAsia="宋体" w:cs="宋体"/>
                <w:b/>
                <w:color w:val="FF0000"/>
                <w:sz w:val="24"/>
                <w:highlight w:val="none"/>
              </w:rPr>
            </w:pPr>
            <w:r>
              <w:rPr>
                <w:rFonts w:hint="eastAsia" w:ascii="宋体" w:hAnsi="宋体" w:eastAsia="宋体" w:cs="宋体"/>
                <w:b/>
                <w:sz w:val="24"/>
                <w:highlight w:val="none"/>
              </w:rPr>
              <w:t>数量</w:t>
            </w:r>
          </w:p>
        </w:tc>
        <w:tc>
          <w:tcPr>
            <w:tcW w:w="1985" w:type="dxa"/>
            <w:noWrap w:val="0"/>
            <w:vAlign w:val="center"/>
          </w:tcPr>
          <w:p>
            <w:pPr>
              <w:tabs>
                <w:tab w:val="left" w:pos="8280"/>
              </w:tabs>
              <w:autoSpaceDE w:val="0"/>
              <w:autoSpaceDN w:val="0"/>
              <w:adjustRightInd w:val="0"/>
              <w:ind w:right="25"/>
              <w:jc w:val="center"/>
              <w:rPr>
                <w:rFonts w:hint="eastAsia" w:ascii="宋体" w:hAnsi="宋体" w:eastAsia="宋体" w:cs="宋体"/>
                <w:b/>
                <w:sz w:val="24"/>
                <w:highlight w:val="none"/>
              </w:rPr>
            </w:pPr>
            <w:r>
              <w:rPr>
                <w:rFonts w:hint="eastAsia" w:ascii="宋体" w:hAnsi="宋体" w:eastAsia="宋体" w:cs="宋体"/>
                <w:b/>
                <w:sz w:val="24"/>
                <w:highlight w:val="none"/>
              </w:rPr>
              <w:t>投标报价（元）</w:t>
            </w:r>
          </w:p>
        </w:tc>
        <w:tc>
          <w:tcPr>
            <w:tcW w:w="2239"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b/>
                <w:sz w:val="24"/>
                <w:highlight w:val="none"/>
              </w:rPr>
            </w:pPr>
            <w:r>
              <w:rPr>
                <w:rFonts w:hint="eastAsia" w:ascii="宋体" w:hAnsi="宋体" w:eastAsia="宋体" w:cs="宋体"/>
                <w:b/>
                <w:sz w:val="24"/>
                <w:highlight w:val="none"/>
                <w:lang w:eastAsia="zh-CN"/>
              </w:rPr>
              <w:t>供货</w:t>
            </w:r>
            <w:r>
              <w:rPr>
                <w:rFonts w:hint="eastAsia" w:ascii="宋体" w:hAnsi="宋体" w:eastAsia="宋体" w:cs="宋体"/>
                <w:b/>
                <w:sz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750" w:type="dxa"/>
            <w:noWrap w:val="0"/>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46" w:type="dxa"/>
            <w:noWrap w:val="0"/>
            <w:vAlign w:val="center"/>
          </w:tcPr>
          <w:p>
            <w:pP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三门县高新技术企业孵化园服务提升工程二期（浙江三门经济开发区党群服务中心）配套设备采购项目</w:t>
            </w:r>
          </w:p>
        </w:tc>
        <w:tc>
          <w:tcPr>
            <w:tcW w:w="709"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bCs/>
                <w:sz w:val="24"/>
                <w:highlight w:val="none"/>
                <w:lang w:eastAsia="zh-CN"/>
              </w:rPr>
            </w:pPr>
            <w:r>
              <w:rPr>
                <w:rFonts w:hint="eastAsia" w:ascii="宋体" w:hAnsi="宋体" w:eastAsia="宋体" w:cs="宋体"/>
                <w:bCs/>
                <w:sz w:val="24"/>
                <w:highlight w:val="none"/>
                <w:lang w:eastAsia="zh-CN"/>
              </w:rPr>
              <w:t>批</w:t>
            </w:r>
          </w:p>
        </w:tc>
        <w:tc>
          <w:tcPr>
            <w:tcW w:w="708" w:type="dxa"/>
            <w:noWrap w:val="0"/>
            <w:vAlign w:val="center"/>
          </w:tcPr>
          <w:p>
            <w:pPr>
              <w:tabs>
                <w:tab w:val="left" w:pos="8280"/>
              </w:tabs>
              <w:autoSpaceDE w:val="0"/>
              <w:autoSpaceDN w:val="0"/>
              <w:adjustRightInd w:val="0"/>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1</w:t>
            </w:r>
          </w:p>
        </w:tc>
        <w:tc>
          <w:tcPr>
            <w:tcW w:w="1985"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b/>
                <w:sz w:val="24"/>
                <w:highlight w:val="none"/>
              </w:rPr>
            </w:pPr>
          </w:p>
        </w:tc>
        <w:tc>
          <w:tcPr>
            <w:tcW w:w="2239" w:type="dxa"/>
            <w:noWrap w:val="0"/>
            <w:vAlign w:val="center"/>
          </w:tcPr>
          <w:p>
            <w:pPr>
              <w:tabs>
                <w:tab w:val="left" w:pos="8280"/>
              </w:tabs>
              <w:autoSpaceDE w:val="0"/>
              <w:autoSpaceDN w:val="0"/>
              <w:adjustRightInd w:val="0"/>
              <w:jc w:val="center"/>
              <w:rPr>
                <w:rFonts w:hint="eastAsia" w:ascii="宋体" w:hAnsi="宋体" w:eastAsia="宋体" w:cs="宋体"/>
                <w:b/>
                <w:sz w:val="24"/>
                <w:highlight w:val="none"/>
              </w:rPr>
            </w:pPr>
            <w:r>
              <w:rPr>
                <w:rFonts w:hint="eastAsia" w:ascii="宋体" w:hAnsi="宋体" w:eastAsia="宋体" w:cs="宋体"/>
                <w:bCs/>
                <w:sz w:val="24"/>
                <w:highlight w:val="none"/>
              </w:rPr>
              <w:t>详见谈判需求</w:t>
            </w:r>
          </w:p>
        </w:tc>
      </w:tr>
    </w:tbl>
    <w:p>
      <w:pPr>
        <w:spacing w:line="320" w:lineRule="exact"/>
        <w:ind w:left="420"/>
        <w:rPr>
          <w:rFonts w:hint="eastAsia" w:ascii="宋体" w:hAnsi="宋体" w:eastAsia="宋体" w:cs="宋体"/>
          <w:sz w:val="24"/>
          <w:highlight w:val="none"/>
        </w:rPr>
      </w:pPr>
    </w:p>
    <w:p>
      <w:pPr>
        <w:spacing w:line="320" w:lineRule="exact"/>
        <w:ind w:left="420"/>
        <w:rPr>
          <w:rFonts w:hint="eastAsia" w:ascii="宋体" w:hAnsi="宋体" w:eastAsia="宋体" w:cs="宋体"/>
          <w:sz w:val="24"/>
          <w:highlight w:val="none"/>
        </w:rPr>
      </w:pPr>
    </w:p>
    <w:p>
      <w:pPr>
        <w:spacing w:line="320" w:lineRule="exact"/>
        <w:ind w:left="420"/>
        <w:rPr>
          <w:rFonts w:hint="eastAsia" w:ascii="宋体" w:hAnsi="宋体" w:eastAsia="宋体" w:cs="宋体"/>
          <w:sz w:val="24"/>
          <w:highlight w:val="none"/>
          <w:u w:val="single"/>
        </w:rPr>
      </w:pPr>
      <w:r>
        <w:rPr>
          <w:rFonts w:hint="eastAsia" w:ascii="宋体" w:hAnsi="宋体" w:eastAsia="宋体" w:cs="宋体"/>
          <w:kern w:val="0"/>
          <w:sz w:val="24"/>
          <w:highlight w:val="none"/>
        </w:rPr>
        <w:t>谈判供应商</w:t>
      </w:r>
      <w:r>
        <w:rPr>
          <w:rFonts w:hint="eastAsia" w:ascii="宋体" w:hAnsi="宋体" w:eastAsia="宋体" w:cs="宋体"/>
          <w:sz w:val="24"/>
          <w:highlight w:val="none"/>
        </w:rPr>
        <w:t>名称（盖章）：</w:t>
      </w:r>
      <w:r>
        <w:rPr>
          <w:rFonts w:hint="eastAsia" w:ascii="宋体" w:hAnsi="宋体" w:eastAsia="宋体" w:cs="宋体"/>
          <w:sz w:val="24"/>
          <w:highlight w:val="none"/>
          <w:u w:val="single"/>
        </w:rPr>
        <w:t xml:space="preserve">                              </w:t>
      </w:r>
    </w:p>
    <w:p>
      <w:pPr>
        <w:spacing w:line="320" w:lineRule="exact"/>
        <w:ind w:left="420"/>
        <w:rPr>
          <w:rFonts w:hint="eastAsia" w:ascii="宋体" w:hAnsi="宋体" w:eastAsia="宋体" w:cs="宋体"/>
          <w:sz w:val="24"/>
          <w:highlight w:val="none"/>
        </w:rPr>
      </w:pPr>
    </w:p>
    <w:p>
      <w:pPr>
        <w:spacing w:line="320" w:lineRule="exact"/>
        <w:ind w:left="420"/>
        <w:rPr>
          <w:rFonts w:hint="eastAsia" w:ascii="宋体" w:hAnsi="宋体" w:eastAsia="宋体" w:cs="宋体"/>
          <w:sz w:val="24"/>
          <w:highlight w:val="none"/>
        </w:rPr>
      </w:pPr>
    </w:p>
    <w:p>
      <w:pPr>
        <w:spacing w:line="320" w:lineRule="exact"/>
        <w:ind w:firstLine="435"/>
        <w:rPr>
          <w:rFonts w:hint="eastAsia" w:ascii="宋体" w:hAnsi="宋体" w:eastAsia="宋体" w:cs="宋体"/>
          <w:sz w:val="24"/>
          <w:highlight w:val="none"/>
        </w:rPr>
      </w:pPr>
      <w:r>
        <w:rPr>
          <w:rFonts w:hint="eastAsia" w:ascii="宋体" w:hAnsi="宋体" w:eastAsia="宋体" w:cs="宋体"/>
          <w:kern w:val="0"/>
          <w:sz w:val="24"/>
          <w:highlight w:val="none"/>
          <w:lang w:val="zh-CN"/>
        </w:rPr>
        <w:t>法定代表人或授权委托人(签字或盖章)</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pPr>
        <w:spacing w:line="320" w:lineRule="exact"/>
        <w:ind w:firstLine="435"/>
        <w:rPr>
          <w:rFonts w:hint="eastAsia" w:ascii="宋体" w:hAnsi="宋体" w:eastAsia="宋体" w:cs="宋体"/>
          <w:sz w:val="24"/>
          <w:highlight w:val="none"/>
        </w:rPr>
      </w:pPr>
    </w:p>
    <w:p>
      <w:pPr>
        <w:spacing w:line="320" w:lineRule="exact"/>
        <w:rPr>
          <w:rFonts w:hint="eastAsia" w:ascii="宋体" w:hAnsi="宋体" w:eastAsia="宋体" w:cs="宋体"/>
          <w:sz w:val="24"/>
          <w:highlight w:val="none"/>
        </w:rPr>
      </w:pPr>
    </w:p>
    <w:p>
      <w:pPr>
        <w:spacing w:line="320" w:lineRule="exact"/>
        <w:ind w:firstLine="435"/>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p>
    <w:p>
      <w:pPr>
        <w:spacing w:line="320" w:lineRule="exact"/>
        <w:ind w:firstLine="435"/>
        <w:rPr>
          <w:rFonts w:hint="eastAsia" w:ascii="宋体" w:hAnsi="宋体" w:eastAsia="宋体" w:cs="宋体"/>
          <w:sz w:val="24"/>
          <w:highlight w:val="none"/>
        </w:rPr>
      </w:pPr>
      <w:r>
        <w:rPr>
          <w:rFonts w:hint="eastAsia" w:ascii="宋体" w:hAnsi="宋体" w:eastAsia="宋体" w:cs="宋体"/>
          <w:sz w:val="24"/>
          <w:highlight w:val="none"/>
        </w:rPr>
        <w:t xml:space="preserve">  </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说明：</w:t>
      </w:r>
    </w:p>
    <w:p>
      <w:pPr>
        <w:adjustRightInd w:val="0"/>
        <w:snapToGrid w:val="0"/>
        <w:spacing w:line="360" w:lineRule="auto"/>
        <w:ind w:firstLine="480" w:firstLineChars="200"/>
        <w:rPr>
          <w:rFonts w:hint="eastAsia" w:ascii="宋体" w:hAnsi="宋体" w:eastAsia="宋体" w:cs="宋体"/>
          <w:b/>
          <w:i/>
          <w:sz w:val="24"/>
          <w:highlight w:val="none"/>
          <w:u w:val="single"/>
        </w:rPr>
      </w:pPr>
      <w:r>
        <w:rPr>
          <w:rFonts w:hint="eastAsia" w:ascii="宋体" w:hAnsi="宋体" w:eastAsia="宋体" w:cs="宋体"/>
          <w:sz w:val="24"/>
          <w:highlight w:val="none"/>
        </w:rPr>
        <w:t xml:space="preserve"> 1、报价一经涂改，应在涂改处加盖单位公章或者由法定代表人或授权委托人签字或盖章，否则其谈判作无效标处理；</w:t>
      </w:r>
    </w:p>
    <w:p>
      <w:pPr>
        <w:pStyle w:val="11"/>
        <w:adjustRightInd w:val="0"/>
        <w:snapToGrid w:val="0"/>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报价以人民币为结算货币，报价包括一切人工、工具、材料、设备、电费、保险、交通、利润、税金（包含须由投标人承担的各种税费）、其它需投标人承担的费用及潜在满足用户方监管要求可能涉及的一切费用。投标人的报价应包括因承包本次项目所需的一切相关费用，合同执行期间不随市场因素的变化而进行调整，在项目实施过程中不得藉此要求增加任何费用。如有漏项，视同已包含在本项目的总报价中。</w:t>
      </w:r>
    </w:p>
    <w:p>
      <w:pPr>
        <w:rPr>
          <w:color w:val="auto"/>
          <w:highlight w:val="green"/>
        </w:rPr>
      </w:pPr>
    </w:p>
    <w:p>
      <w:pPr>
        <w:pStyle w:val="2"/>
        <w:rPr>
          <w:color w:val="auto"/>
          <w:highlight w:val="green"/>
        </w:rPr>
      </w:pPr>
    </w:p>
    <w:p>
      <w:pPr>
        <w:pStyle w:val="3"/>
        <w:rPr>
          <w:rFonts w:hint="eastAsia" w:hAnsi="宋体" w:cs="宋体"/>
          <w:b/>
          <w:sz w:val="32"/>
          <w:szCs w:val="32"/>
          <w:highlight w:val="none"/>
          <w:lang w:eastAsia="zh-CN"/>
        </w:rPr>
      </w:pPr>
      <w:r>
        <w:rPr>
          <w:rFonts w:hint="eastAsia"/>
          <w:b/>
          <w:bCs/>
          <w:color w:val="auto"/>
          <w:sz w:val="28"/>
          <w:szCs w:val="28"/>
          <w:highlight w:val="none"/>
          <w:lang w:eastAsia="zh-CN"/>
        </w:rPr>
        <w:br w:type="page"/>
      </w:r>
      <w:r>
        <w:rPr>
          <w:rFonts w:hint="eastAsia" w:ascii="宋体" w:hAnsi="宋体" w:eastAsia="宋体" w:cs="宋体"/>
          <w:b/>
          <w:sz w:val="32"/>
          <w:szCs w:val="32"/>
          <w:highlight w:val="none"/>
        </w:rPr>
        <w:t>附件</w:t>
      </w:r>
      <w:r>
        <w:rPr>
          <w:rFonts w:hint="eastAsia" w:ascii="宋体" w:hAnsi="宋体" w:eastAsia="宋体" w:cs="宋体"/>
          <w:b/>
          <w:sz w:val="32"/>
          <w:szCs w:val="32"/>
          <w:highlight w:val="none"/>
          <w:lang w:val="en-US" w:eastAsia="zh-CN"/>
        </w:rPr>
        <w:t>6</w:t>
      </w:r>
      <w:r>
        <w:rPr>
          <w:rFonts w:hint="eastAsia"/>
          <w:b/>
          <w:bCs/>
          <w:color w:val="auto"/>
          <w:sz w:val="28"/>
          <w:szCs w:val="28"/>
          <w:highlight w:val="none"/>
          <w:lang w:eastAsia="zh-CN"/>
        </w:rPr>
        <w:t>《</w:t>
      </w:r>
      <w:r>
        <w:rPr>
          <w:rFonts w:hint="eastAsia" w:ascii="宋体" w:hAnsi="宋体" w:cs="宋体"/>
          <w:b/>
          <w:sz w:val="32"/>
          <w:szCs w:val="32"/>
          <w:highlight w:val="none"/>
          <w:lang w:eastAsia="zh-CN"/>
        </w:rPr>
        <w:t>最终</w:t>
      </w:r>
      <w:r>
        <w:rPr>
          <w:rFonts w:hint="eastAsia" w:ascii="宋体" w:hAnsi="宋体" w:eastAsia="宋体" w:cs="宋体"/>
          <w:b/>
          <w:sz w:val="32"/>
          <w:szCs w:val="32"/>
          <w:highlight w:val="none"/>
        </w:rPr>
        <w:t>报价一览表</w:t>
      </w:r>
      <w:r>
        <w:rPr>
          <w:rFonts w:hint="eastAsia"/>
          <w:b/>
          <w:bCs/>
          <w:color w:val="auto"/>
          <w:sz w:val="28"/>
          <w:szCs w:val="28"/>
          <w:highlight w:val="none"/>
          <w:lang w:eastAsia="zh-CN"/>
        </w:rPr>
        <w:t>》</w:t>
      </w:r>
      <w:r>
        <w:rPr>
          <w:rFonts w:hint="eastAsia" w:ascii="宋体" w:hAnsi="宋体" w:eastAsia="宋体" w:cs="宋体"/>
          <w:b/>
          <w:sz w:val="32"/>
          <w:szCs w:val="32"/>
          <w:highlight w:val="none"/>
          <w:lang w:eastAsia="zh-CN"/>
        </w:rPr>
        <w:t>请投标人自行准备，提前盖章签字</w:t>
      </w:r>
      <w:r>
        <w:rPr>
          <w:rFonts w:hint="eastAsia" w:hAnsi="宋体" w:cs="宋体"/>
          <w:b/>
          <w:sz w:val="32"/>
          <w:szCs w:val="32"/>
          <w:highlight w:val="none"/>
          <w:lang w:eastAsia="zh-CN"/>
        </w:rPr>
        <w:t>。</w:t>
      </w:r>
    </w:p>
    <w:p>
      <w:pPr>
        <w:pStyle w:val="2"/>
        <w:ind w:left="0" w:leftChars="0" w:firstLine="0" w:firstLineChars="0"/>
        <w:rPr>
          <w:rFonts w:hint="eastAsia"/>
          <w:lang w:eastAsia="zh-CN"/>
        </w:rPr>
      </w:pPr>
      <w:r>
        <w:rPr>
          <w:rFonts w:hint="eastAsia" w:hAnsi="宋体" w:cs="宋体"/>
          <w:b/>
          <w:sz w:val="32"/>
          <w:szCs w:val="32"/>
          <w:highlight w:val="none"/>
          <w:lang w:eastAsia="zh-CN"/>
        </w:rPr>
        <w:t>经谈判后，现场填写最终报价后，在规定时间内自行提交。（为防填写错误，请准备多份，提交只须一份）</w:t>
      </w:r>
    </w:p>
    <w:p>
      <w:pPr>
        <w:pStyle w:val="2"/>
        <w:ind w:left="0" w:leftChars="0" w:firstLine="0" w:firstLineChars="0"/>
        <w:rPr>
          <w:rFonts w:hint="eastAsia"/>
          <w:lang w:eastAsia="zh-CN"/>
        </w:rPr>
      </w:pPr>
    </w:p>
    <w:sectPr>
      <w:headerReference r:id="rId3" w:type="default"/>
      <w:footerReference r:id="rId4" w:type="default"/>
      <w:pgSz w:w="11906" w:h="16838"/>
      <w:pgMar w:top="1361" w:right="1247" w:bottom="1361" w:left="124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jc w:val="right"/>
                </w:pPr>
                <w:r>
                  <w:fldChar w:fldCharType="begin"/>
                </w:r>
                <w:r>
                  <w:instrText xml:space="preserve"> PAGE   \* MERGEFORMAT </w:instrText>
                </w:r>
                <w:r>
                  <w:fldChar w:fldCharType="separate"/>
                </w:r>
                <w:r>
                  <w:rPr>
                    <w:lang w:val="zh-CN"/>
                  </w:rPr>
                  <w:t>3</w:t>
                </w:r>
                <w:r>
                  <w:rPr>
                    <w:lang w:val="zh-CN"/>
                  </w:rPr>
                  <w:fldChar w:fldCharType="end"/>
                </w:r>
              </w:p>
            </w:txbxContent>
          </v:textbox>
        </v:shape>
      </w:pic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hint="eastAsia" w:eastAsia="宋体"/>
        <w:lang w:eastAsia="zh-CN"/>
      </w:rPr>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C7AB7A12"/>
    <w:multiLevelType w:val="singleLevel"/>
    <w:tmpl w:val="C7AB7A12"/>
    <w:lvl w:ilvl="0" w:tentative="0">
      <w:start w:val="2"/>
      <w:numFmt w:val="chineseCounting"/>
      <w:suff w:val="nothing"/>
      <w:lvlText w:val="%1、"/>
      <w:lvlJc w:val="left"/>
      <w:rPr>
        <w:rFonts w:hint="eastAsia"/>
      </w:rPr>
    </w:lvl>
  </w:abstractNum>
  <w:abstractNum w:abstractNumId="2">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3">
    <w:nsid w:val="15DFBE35"/>
    <w:multiLevelType w:val="singleLevel"/>
    <w:tmpl w:val="15DFBE35"/>
    <w:lvl w:ilvl="0" w:tentative="0">
      <w:start w:val="1"/>
      <w:numFmt w:val="decimal"/>
      <w:pStyle w:val="8"/>
      <w:lvlText w:val="%1."/>
      <w:lvlJc w:val="left"/>
      <w:pPr>
        <w:tabs>
          <w:tab w:val="left" w:pos="360"/>
        </w:tabs>
        <w:ind w:left="360" w:hanging="360"/>
      </w:pPr>
    </w:lvl>
  </w:abstractNum>
  <w:abstractNum w:abstractNumId="4">
    <w:nsid w:val="6B70F3CD"/>
    <w:multiLevelType w:val="singleLevel"/>
    <w:tmpl w:val="6B70F3CD"/>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AzNGQ5N2UxZDFhY2ExZThlZDMyOGM0ZGI2MzE4NWQifQ=="/>
  </w:docVars>
  <w:rsids>
    <w:rsidRoot w:val="00544248"/>
    <w:rsid w:val="00066AA2"/>
    <w:rsid w:val="00074FF0"/>
    <w:rsid w:val="000D5CBB"/>
    <w:rsid w:val="001150F2"/>
    <w:rsid w:val="001B23F7"/>
    <w:rsid w:val="001E1454"/>
    <w:rsid w:val="001E47A6"/>
    <w:rsid w:val="001F13FD"/>
    <w:rsid w:val="002233F1"/>
    <w:rsid w:val="00235998"/>
    <w:rsid w:val="00240A4E"/>
    <w:rsid w:val="00251D74"/>
    <w:rsid w:val="00255A0F"/>
    <w:rsid w:val="002914CE"/>
    <w:rsid w:val="002B651B"/>
    <w:rsid w:val="002E1441"/>
    <w:rsid w:val="002F1170"/>
    <w:rsid w:val="003077E5"/>
    <w:rsid w:val="00336BF9"/>
    <w:rsid w:val="00393D19"/>
    <w:rsid w:val="003B186B"/>
    <w:rsid w:val="003B6D6F"/>
    <w:rsid w:val="003F4337"/>
    <w:rsid w:val="00471EA7"/>
    <w:rsid w:val="00474DC4"/>
    <w:rsid w:val="004E6C9B"/>
    <w:rsid w:val="00503B03"/>
    <w:rsid w:val="00544248"/>
    <w:rsid w:val="0055119E"/>
    <w:rsid w:val="005F415E"/>
    <w:rsid w:val="006E1DB7"/>
    <w:rsid w:val="006F47B4"/>
    <w:rsid w:val="00744E0A"/>
    <w:rsid w:val="00794304"/>
    <w:rsid w:val="008063B6"/>
    <w:rsid w:val="008100D8"/>
    <w:rsid w:val="0082511A"/>
    <w:rsid w:val="00845D97"/>
    <w:rsid w:val="008463C8"/>
    <w:rsid w:val="008C759E"/>
    <w:rsid w:val="009034FC"/>
    <w:rsid w:val="0093202F"/>
    <w:rsid w:val="0096759C"/>
    <w:rsid w:val="00987AA2"/>
    <w:rsid w:val="009C7A3F"/>
    <w:rsid w:val="009D27C1"/>
    <w:rsid w:val="00A23A11"/>
    <w:rsid w:val="00A26117"/>
    <w:rsid w:val="00A73820"/>
    <w:rsid w:val="00A94247"/>
    <w:rsid w:val="00B65BA9"/>
    <w:rsid w:val="00BF62F3"/>
    <w:rsid w:val="00C11B99"/>
    <w:rsid w:val="00C56704"/>
    <w:rsid w:val="00C9309C"/>
    <w:rsid w:val="00C9766F"/>
    <w:rsid w:val="00D21A2B"/>
    <w:rsid w:val="00DC36F7"/>
    <w:rsid w:val="00E1245C"/>
    <w:rsid w:val="00E60C16"/>
    <w:rsid w:val="00F254B2"/>
    <w:rsid w:val="00F45079"/>
    <w:rsid w:val="00F561A0"/>
    <w:rsid w:val="00F620F1"/>
    <w:rsid w:val="00FC7B4F"/>
    <w:rsid w:val="00FF6402"/>
    <w:rsid w:val="023A54FD"/>
    <w:rsid w:val="030352E4"/>
    <w:rsid w:val="03DB21CE"/>
    <w:rsid w:val="05141CCC"/>
    <w:rsid w:val="05366FCE"/>
    <w:rsid w:val="09252F05"/>
    <w:rsid w:val="0B034CD1"/>
    <w:rsid w:val="0E10156F"/>
    <w:rsid w:val="125139A5"/>
    <w:rsid w:val="126E7DAD"/>
    <w:rsid w:val="1356420F"/>
    <w:rsid w:val="16E2038F"/>
    <w:rsid w:val="16E259B6"/>
    <w:rsid w:val="19CA28B1"/>
    <w:rsid w:val="1DBA476F"/>
    <w:rsid w:val="1EEB725D"/>
    <w:rsid w:val="209836B0"/>
    <w:rsid w:val="21312FCC"/>
    <w:rsid w:val="21F16621"/>
    <w:rsid w:val="224426F2"/>
    <w:rsid w:val="25852DD9"/>
    <w:rsid w:val="36FA0D6A"/>
    <w:rsid w:val="386E6030"/>
    <w:rsid w:val="38AB067F"/>
    <w:rsid w:val="3D191372"/>
    <w:rsid w:val="3DB36D2E"/>
    <w:rsid w:val="3EBA306F"/>
    <w:rsid w:val="3FA03132"/>
    <w:rsid w:val="451C26BC"/>
    <w:rsid w:val="4A0D5CB7"/>
    <w:rsid w:val="4AD66A58"/>
    <w:rsid w:val="4D4A6FEB"/>
    <w:rsid w:val="4ED35FA5"/>
    <w:rsid w:val="4FA35A81"/>
    <w:rsid w:val="50622020"/>
    <w:rsid w:val="540F5C1F"/>
    <w:rsid w:val="55EF2A01"/>
    <w:rsid w:val="57BA1DA8"/>
    <w:rsid w:val="58357B14"/>
    <w:rsid w:val="5AB5523D"/>
    <w:rsid w:val="5C5E1F0B"/>
    <w:rsid w:val="5E5C3E49"/>
    <w:rsid w:val="5E9A65D8"/>
    <w:rsid w:val="5FE74C50"/>
    <w:rsid w:val="66F24FC4"/>
    <w:rsid w:val="672C29B4"/>
    <w:rsid w:val="689B284E"/>
    <w:rsid w:val="6A791221"/>
    <w:rsid w:val="6EC9754E"/>
    <w:rsid w:val="7206530E"/>
    <w:rsid w:val="744668F9"/>
    <w:rsid w:val="751133D9"/>
    <w:rsid w:val="75903033"/>
    <w:rsid w:val="7AF51995"/>
    <w:rsid w:val="7EC36888"/>
    <w:rsid w:val="7FF02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2"/>
    <w:unhideWhenUsed/>
    <w:qFormat/>
    <w:uiPriority w:val="9"/>
    <w:pPr>
      <w:keepNext/>
      <w:keepLines/>
      <w:spacing w:before="260" w:after="260" w:line="416" w:lineRule="auto"/>
      <w:outlineLvl w:val="1"/>
    </w:pPr>
    <w:rPr>
      <w:rFonts w:ascii="Cambria" w:hAnsi="Cambria" w:cs="黑体"/>
      <w:b/>
      <w:bCs/>
      <w:sz w:val="32"/>
      <w:szCs w:val="32"/>
    </w:rPr>
  </w:style>
  <w:style w:type="paragraph" w:styleId="6">
    <w:name w:val="heading 3"/>
    <w:basedOn w:val="1"/>
    <w:next w:val="1"/>
    <w:link w:val="38"/>
    <w:unhideWhenUsed/>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eastAsia="宋体" w:cs="Times New Roman"/>
      <w:b/>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Indent"/>
    <w:basedOn w:val="1"/>
    <w:next w:val="2"/>
    <w:link w:val="40"/>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hAnsi="Times New Roman"/>
      <w:color w:val="000000"/>
      <w:kern w:val="0"/>
      <w:sz w:val="24"/>
      <w:szCs w:val="20"/>
    </w:rPr>
  </w:style>
  <w:style w:type="paragraph" w:styleId="8">
    <w:name w:val="List Number"/>
    <w:basedOn w:val="1"/>
    <w:qFormat/>
    <w:uiPriority w:val="0"/>
    <w:pPr>
      <w:numPr>
        <w:ilvl w:val="0"/>
        <w:numId w:val="1"/>
      </w:numPr>
    </w:pPr>
    <w:rPr>
      <w:rFonts w:ascii="Times New Roman" w:hAnsi="Times New Roman"/>
    </w:rPr>
  </w:style>
  <w:style w:type="paragraph" w:styleId="9">
    <w:name w:val="annotation text"/>
    <w:link w:val="41"/>
    <w:qFormat/>
    <w:uiPriority w:val="0"/>
    <w:pPr>
      <w:widowControl w:val="0"/>
    </w:pPr>
    <w:rPr>
      <w:rFonts w:ascii="Times New Roman" w:hAnsi="Times New Roman" w:eastAsia="宋体" w:cs="Times New Roman"/>
      <w:kern w:val="2"/>
      <w:sz w:val="21"/>
      <w:szCs w:val="24"/>
      <w:lang w:val="en-US" w:eastAsia="zh-CN" w:bidi="ar-SA"/>
    </w:rPr>
  </w:style>
  <w:style w:type="paragraph" w:styleId="10">
    <w:name w:val="Body Text"/>
    <w:basedOn w:val="1"/>
    <w:next w:val="11"/>
    <w:qFormat/>
    <w:uiPriority w:val="0"/>
    <w:pPr>
      <w:spacing w:after="120"/>
    </w:pPr>
    <w:rPr>
      <w:rFonts w:ascii="Tahoma" w:hAnsi="Tahoma"/>
      <w:sz w:val="28"/>
    </w:rPr>
  </w:style>
  <w:style w:type="paragraph" w:styleId="11">
    <w:name w:val="Body Text First Indent"/>
    <w:basedOn w:val="10"/>
    <w:next w:val="1"/>
    <w:qFormat/>
    <w:uiPriority w:val="0"/>
    <w:pPr>
      <w:ind w:firstLine="420" w:firstLineChars="100"/>
    </w:pPr>
  </w:style>
  <w:style w:type="paragraph" w:styleId="12">
    <w:name w:val="Plain Text"/>
    <w:basedOn w:val="1"/>
    <w:next w:val="13"/>
    <w:link w:val="37"/>
    <w:qFormat/>
    <w:uiPriority w:val="0"/>
    <w:rPr>
      <w:rFonts w:ascii="宋体" w:hAnsi="Courier New"/>
    </w:rPr>
  </w:style>
  <w:style w:type="paragraph" w:styleId="13">
    <w:name w:val="Date"/>
    <w:basedOn w:val="1"/>
    <w:next w:val="1"/>
    <w:link w:val="36"/>
    <w:unhideWhenUsed/>
    <w:qFormat/>
    <w:uiPriority w:val="0"/>
    <w:pPr>
      <w:ind w:left="100" w:leftChars="2500"/>
    </w:pPr>
  </w:style>
  <w:style w:type="paragraph" w:styleId="14">
    <w:name w:val="Body Text Indent 2"/>
    <w:basedOn w:val="1"/>
    <w:link w:val="39"/>
    <w:qFormat/>
    <w:uiPriority w:val="0"/>
    <w:pPr>
      <w:widowControl/>
      <w:spacing w:line="480" w:lineRule="atLeast"/>
      <w:ind w:firstLine="480"/>
    </w:pPr>
    <w:rPr>
      <w:rFonts w:ascii="宋体" w:hAnsi="Times New Roman"/>
      <w:sz w:val="24"/>
    </w:rPr>
  </w:style>
  <w:style w:type="paragraph" w:styleId="15">
    <w:name w:val="Balloon Text"/>
    <w:basedOn w:val="1"/>
    <w:link w:val="34"/>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rPr>
      <w:rFonts w:eastAsia="宋体"/>
      <w:sz w:val="28"/>
    </w:rPr>
  </w:style>
  <w:style w:type="paragraph" w:styleId="19">
    <w:name w:val="toc 4"/>
    <w:basedOn w:val="1"/>
    <w:next w:val="1"/>
    <w:qFormat/>
    <w:uiPriority w:val="0"/>
    <w:pPr>
      <w:ind w:left="600" w:leftChars="600"/>
    </w:pPr>
  </w:style>
  <w:style w:type="paragraph" w:styleId="20">
    <w:name w:val="toc 2"/>
    <w:basedOn w:val="1"/>
    <w:next w:val="1"/>
    <w:unhideWhenUsed/>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23">
    <w:name w:val="Body Text First Indent 2"/>
    <w:basedOn w:val="3"/>
    <w:next w:val="24"/>
    <w:qFormat/>
    <w:uiPriority w:val="0"/>
    <w:pPr>
      <w:ind w:firstLine="420"/>
    </w:pPr>
  </w:style>
  <w:style w:type="paragraph" w:customStyle="1" w:styleId="24">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unhideWhenUsed/>
    <w:qFormat/>
    <w:uiPriority w:val="99"/>
    <w:rPr>
      <w:color w:val="0000FF"/>
      <w:u w:val="single"/>
    </w:rPr>
  </w:style>
  <w:style w:type="paragraph" w:customStyle="1" w:styleId="29">
    <w:name w:val="列出段落1"/>
    <w:basedOn w:val="1"/>
    <w:qFormat/>
    <w:uiPriority w:val="0"/>
    <w:pPr>
      <w:ind w:firstLine="420" w:firstLineChars="200"/>
    </w:pPr>
    <w:rPr>
      <w:szCs w:val="22"/>
    </w:rPr>
  </w:style>
  <w:style w:type="paragraph" w:customStyle="1" w:styleId="30">
    <w:name w:val="1"/>
    <w:basedOn w:val="1"/>
    <w:next w:val="12"/>
    <w:qFormat/>
    <w:uiPriority w:val="0"/>
    <w:rPr>
      <w:rFonts w:ascii="宋体" w:hAnsi="Courier New"/>
      <w:szCs w:val="20"/>
    </w:rPr>
  </w:style>
  <w:style w:type="paragraph" w:customStyle="1" w:styleId="31">
    <w:name w:val="列出段落2"/>
    <w:basedOn w:val="1"/>
    <w:qFormat/>
    <w:uiPriority w:val="0"/>
    <w:pPr>
      <w:ind w:firstLine="420" w:firstLineChars="200"/>
    </w:pPr>
    <w:rPr>
      <w:szCs w:val="22"/>
    </w:rPr>
  </w:style>
  <w:style w:type="character" w:customStyle="1" w:styleId="32">
    <w:name w:val="页眉 Char"/>
    <w:link w:val="17"/>
    <w:qFormat/>
    <w:uiPriority w:val="99"/>
    <w:rPr>
      <w:sz w:val="18"/>
      <w:szCs w:val="18"/>
    </w:rPr>
  </w:style>
  <w:style w:type="character" w:customStyle="1" w:styleId="33">
    <w:name w:val="页脚 Char"/>
    <w:link w:val="16"/>
    <w:qFormat/>
    <w:uiPriority w:val="99"/>
    <w:rPr>
      <w:sz w:val="18"/>
      <w:szCs w:val="18"/>
    </w:rPr>
  </w:style>
  <w:style w:type="character" w:customStyle="1" w:styleId="34">
    <w:name w:val="批注框文本 Char"/>
    <w:link w:val="15"/>
    <w:semiHidden/>
    <w:qFormat/>
    <w:uiPriority w:val="99"/>
    <w:rPr>
      <w:sz w:val="18"/>
      <w:szCs w:val="18"/>
    </w:rPr>
  </w:style>
  <w:style w:type="character" w:customStyle="1" w:styleId="35">
    <w:name w:val="标题 1 Char"/>
    <w:link w:val="4"/>
    <w:qFormat/>
    <w:uiPriority w:val="0"/>
    <w:rPr>
      <w:rFonts w:ascii="Calibri" w:hAnsi="Calibri" w:eastAsia="宋体" w:cs="Times New Roman"/>
      <w:b/>
      <w:bCs/>
      <w:kern w:val="44"/>
      <w:sz w:val="44"/>
      <w:szCs w:val="44"/>
    </w:rPr>
  </w:style>
  <w:style w:type="character" w:customStyle="1" w:styleId="36">
    <w:name w:val="日期 Char"/>
    <w:link w:val="13"/>
    <w:semiHidden/>
    <w:qFormat/>
    <w:uiPriority w:val="99"/>
    <w:rPr>
      <w:rFonts w:ascii="Calibri" w:hAnsi="Calibri" w:eastAsia="宋体" w:cs="Times New Roman"/>
      <w:szCs w:val="24"/>
    </w:rPr>
  </w:style>
  <w:style w:type="character" w:customStyle="1" w:styleId="37">
    <w:name w:val="纯文本 Char"/>
    <w:link w:val="12"/>
    <w:qFormat/>
    <w:uiPriority w:val="0"/>
    <w:rPr>
      <w:rFonts w:ascii="宋体" w:hAnsi="Courier New" w:eastAsia="宋体" w:cs="Times New Roman"/>
      <w:szCs w:val="24"/>
    </w:rPr>
  </w:style>
  <w:style w:type="character" w:customStyle="1" w:styleId="38">
    <w:name w:val="标题 3 Char"/>
    <w:link w:val="6"/>
    <w:semiHidden/>
    <w:qFormat/>
    <w:uiPriority w:val="9"/>
    <w:rPr>
      <w:rFonts w:ascii="Calibri" w:hAnsi="Calibri" w:eastAsia="宋体" w:cs="Times New Roman"/>
      <w:b/>
      <w:bCs/>
      <w:sz w:val="32"/>
      <w:szCs w:val="32"/>
    </w:rPr>
  </w:style>
  <w:style w:type="character" w:customStyle="1" w:styleId="39">
    <w:name w:val="正文文本缩进 2 Char"/>
    <w:link w:val="14"/>
    <w:qFormat/>
    <w:uiPriority w:val="0"/>
    <w:rPr>
      <w:rFonts w:ascii="宋体" w:hAnsi="Times New Roman" w:eastAsia="宋体" w:cs="Times New Roman"/>
      <w:sz w:val="24"/>
      <w:szCs w:val="24"/>
    </w:rPr>
  </w:style>
  <w:style w:type="character" w:customStyle="1" w:styleId="40">
    <w:name w:val="正文文本缩进 Char"/>
    <w:link w:val="3"/>
    <w:qFormat/>
    <w:uiPriority w:val="0"/>
    <w:rPr>
      <w:rFonts w:ascii="宋体" w:hAnsi="Times New Roman" w:eastAsia="宋体" w:cs="Times New Roman"/>
      <w:color w:val="000000"/>
      <w:kern w:val="0"/>
      <w:sz w:val="24"/>
      <w:szCs w:val="20"/>
    </w:rPr>
  </w:style>
  <w:style w:type="character" w:customStyle="1" w:styleId="41">
    <w:name w:val="批注文字 Char"/>
    <w:link w:val="9"/>
    <w:qFormat/>
    <w:uiPriority w:val="0"/>
    <w:rPr>
      <w:rFonts w:ascii="Times New Roman" w:hAnsi="Times New Roman" w:eastAsia="宋体" w:cs="Times New Roman"/>
      <w:szCs w:val="24"/>
    </w:rPr>
  </w:style>
  <w:style w:type="character" w:customStyle="1" w:styleId="42">
    <w:name w:val="标题 2 Char"/>
    <w:link w:val="5"/>
    <w:qFormat/>
    <w:uiPriority w:val="9"/>
    <w:rPr>
      <w:rFonts w:ascii="Cambria" w:hAnsi="Cambria" w:eastAsia="宋体" w:cs="黑体"/>
      <w:b/>
      <w:bCs/>
      <w:sz w:val="32"/>
      <w:szCs w:val="32"/>
    </w:rPr>
  </w:style>
  <w:style w:type="paragraph" w:customStyle="1" w:styleId="43">
    <w:name w:val="样式 标题 2 + Times New Roman 四号 非加粗 段前: 5 磅 段后: 0 磅 行距: 固定值 20..."/>
    <w:basedOn w:val="44"/>
    <w:qFormat/>
    <w:uiPriority w:val="0"/>
    <w:pPr>
      <w:spacing w:before="100" w:after="0" w:line="400" w:lineRule="exact"/>
    </w:pPr>
    <w:rPr>
      <w:rFonts w:ascii="Times New Roman" w:hAnsi="Times New Roman"/>
      <w:b w:val="0"/>
      <w:bCs w:val="0"/>
      <w:sz w:val="28"/>
      <w:szCs w:val="20"/>
    </w:rPr>
  </w:style>
  <w:style w:type="paragraph" w:customStyle="1" w:styleId="44">
    <w:name w:val="标题 2_0"/>
    <w:basedOn w:val="45"/>
    <w:next w:val="45"/>
    <w:unhideWhenUsed/>
    <w:qFormat/>
    <w:uiPriority w:val="9"/>
    <w:pPr>
      <w:keepNext/>
      <w:keepLines/>
      <w:spacing w:before="260" w:after="260" w:line="415" w:lineRule="auto"/>
      <w:outlineLvl w:val="1"/>
    </w:pPr>
    <w:rPr>
      <w:rFonts w:ascii="Calibri Light" w:hAnsi="Calibri Light" w:cs="宋体"/>
      <w:b/>
      <w:bCs/>
      <w:sz w:val="32"/>
      <w:szCs w:val="32"/>
    </w:rPr>
  </w:style>
  <w:style w:type="paragraph" w:customStyle="1" w:styleId="4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样式 标题 3 + (中文) 黑体 小四 非加粗 段前: 7.8 磅 段后: 0 磅 行距: 固定值 20 磅"/>
    <w:basedOn w:val="6"/>
    <w:qFormat/>
    <w:uiPriority w:val="0"/>
    <w:pPr>
      <w:spacing w:line="400" w:lineRule="exact"/>
    </w:pPr>
    <w:rPr>
      <w:rFonts w:eastAsia="黑体" w:cs="宋体"/>
      <w:b w:val="0"/>
      <w:bCs w:val="0"/>
      <w:szCs w:val="20"/>
    </w:rPr>
  </w:style>
  <w:style w:type="character" w:customStyle="1" w:styleId="47">
    <w:name w:val="font41"/>
    <w:basedOn w:val="27"/>
    <w:qFormat/>
    <w:uiPriority w:val="0"/>
    <w:rPr>
      <w:rFonts w:hint="eastAsia" w:ascii="宋体" w:hAnsi="宋体" w:eastAsia="宋体" w:cs="宋体"/>
      <w:color w:val="000000"/>
      <w:sz w:val="20"/>
      <w:szCs w:val="20"/>
      <w:u w:val="none"/>
    </w:rPr>
  </w:style>
  <w:style w:type="character" w:customStyle="1" w:styleId="48">
    <w:name w:val="font31"/>
    <w:basedOn w:val="27"/>
    <w:qFormat/>
    <w:uiPriority w:val="0"/>
    <w:rPr>
      <w:rFonts w:hint="eastAsia" w:ascii="宋体" w:hAnsi="宋体" w:eastAsia="宋体" w:cs="宋体"/>
      <w:color w:val="000000"/>
      <w:sz w:val="22"/>
      <w:szCs w:val="22"/>
      <w:u w:val="none"/>
    </w:rPr>
  </w:style>
  <w:style w:type="character" w:customStyle="1" w:styleId="49">
    <w:name w:val="font51"/>
    <w:basedOn w:val="27"/>
    <w:qFormat/>
    <w:uiPriority w:val="0"/>
    <w:rPr>
      <w:rFonts w:hint="eastAsia" w:ascii="宋体" w:hAnsi="宋体" w:eastAsia="宋体" w:cs="宋体"/>
      <w:color w:val="000000"/>
      <w:sz w:val="22"/>
      <w:szCs w:val="22"/>
      <w:u w:val="none"/>
    </w:rPr>
  </w:style>
  <w:style w:type="character" w:customStyle="1" w:styleId="50">
    <w:name w:val="font61"/>
    <w:basedOn w:val="27"/>
    <w:qFormat/>
    <w:uiPriority w:val="0"/>
    <w:rPr>
      <w:rFonts w:hint="eastAsia" w:ascii="宋体" w:hAnsi="宋体" w:eastAsia="宋体" w:cs="宋体"/>
      <w:color w:val="000000"/>
      <w:sz w:val="22"/>
      <w:szCs w:val="22"/>
      <w:u w:val="none"/>
    </w:rPr>
  </w:style>
  <w:style w:type="character" w:customStyle="1" w:styleId="51">
    <w:name w:val="font71"/>
    <w:basedOn w:val="27"/>
    <w:qFormat/>
    <w:uiPriority w:val="0"/>
    <w:rPr>
      <w:rFonts w:hint="default" w:ascii="Calibri" w:hAnsi="Calibri" w:cs="Calibri"/>
      <w:color w:val="000000"/>
      <w:sz w:val="22"/>
      <w:szCs w:val="22"/>
      <w:u w:val="none"/>
    </w:rPr>
  </w:style>
  <w:style w:type="character" w:customStyle="1" w:styleId="52">
    <w:name w:val="font11"/>
    <w:basedOn w:val="27"/>
    <w:qFormat/>
    <w:uiPriority w:val="0"/>
    <w:rPr>
      <w:rFonts w:hint="eastAsia" w:ascii="宋体" w:hAnsi="宋体" w:eastAsia="宋体" w:cs="宋体"/>
      <w:color w:val="000000"/>
      <w:sz w:val="22"/>
      <w:szCs w:val="22"/>
      <w:u w:val="none"/>
    </w:rPr>
  </w:style>
  <w:style w:type="character" w:customStyle="1" w:styleId="53">
    <w:name w:val="font21"/>
    <w:basedOn w:val="27"/>
    <w:qFormat/>
    <w:uiPriority w:val="0"/>
    <w:rPr>
      <w:rFonts w:ascii="Calibri" w:hAnsi="Calibri" w:cs="Calibri"/>
      <w:color w:val="000000"/>
      <w:sz w:val="22"/>
      <w:szCs w:val="22"/>
      <w:u w:val="none"/>
    </w:rPr>
  </w:style>
  <w:style w:type="character" w:customStyle="1" w:styleId="54">
    <w:name w:val="font01"/>
    <w:basedOn w:val="27"/>
    <w:qFormat/>
    <w:uiPriority w:val="0"/>
    <w:rPr>
      <w:rFonts w:hint="eastAsia" w:ascii="宋体" w:hAnsi="宋体" w:eastAsia="宋体" w:cs="宋体"/>
      <w:color w:val="000000"/>
      <w:sz w:val="22"/>
      <w:szCs w:val="22"/>
      <w:u w:val="none"/>
    </w:rPr>
  </w:style>
  <w:style w:type="paragraph" w:customStyle="1" w:styleId="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正文_3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16671</Words>
  <Characters>18457</Characters>
  <Lines>115</Lines>
  <Paragraphs>32</Paragraphs>
  <TotalTime>1</TotalTime>
  <ScaleCrop>false</ScaleCrop>
  <LinksUpToDate>false</LinksUpToDate>
  <CharactersWithSpaces>19577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2020-05-20T00:46:00Z</dcterms:created>
  <dc:creator>User</dc:creator>
  <cp:lastModifiedBy>吴越</cp:lastModifiedBy>
  <cp:lastPrinted>2022-05-05T00:42:00Z</cp:lastPrinted>
  <dcterms:modified xsi:type="dcterms:W3CDTF">2023-09-19T08:36:54Z</dcterms:modified>
  <dc:title>2022年三门县“护渔”船舶租赁项目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F5C1FAF7BE704FB68823557C99D6592B</vt:lpwstr>
  </property>
</Properties>
</file>