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52"/>
          <w:szCs w:val="52"/>
          <w:highlight w:val="none"/>
          <w:lang w:eastAsia="zh-CN"/>
        </w:rPr>
      </w:pPr>
      <w:r>
        <w:rPr>
          <w:rFonts w:hint="eastAsia" w:ascii="宋体"/>
          <w:color w:val="auto"/>
          <w:kern w:val="0"/>
          <w:sz w:val="44"/>
          <w:szCs w:val="44"/>
          <w:highlight w:val="none"/>
          <w:lang w:eastAsia="zh-CN"/>
        </w:rPr>
        <w:t>2023年三门县县道公路桥梁定期检查项目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50"/>
          <w:szCs w:val="50"/>
          <w:highlight w:val="none"/>
        </w:rPr>
      </w:pPr>
    </w:p>
    <w:p>
      <w:pPr>
        <w:tabs>
          <w:tab w:val="left" w:pos="6480"/>
        </w:tabs>
        <w:autoSpaceDE w:val="0"/>
        <w:autoSpaceDN w:val="0"/>
        <w:adjustRightInd w:val="0"/>
        <w:spacing w:line="240" w:lineRule="atLeast"/>
        <w:ind w:right="1800"/>
        <w:rPr>
          <w:rFonts w:ascii="宋体"/>
          <w:color w:val="auto"/>
          <w:kern w:val="0"/>
          <w:sz w:val="50"/>
          <w:szCs w:val="50"/>
          <w:highlight w:val="none"/>
        </w:rPr>
      </w:pPr>
      <w:r>
        <w:rPr>
          <w:rFonts w:ascii="宋体"/>
          <w:color w:val="auto"/>
          <w:kern w:val="0"/>
          <w:sz w:val="50"/>
          <w:szCs w:val="50"/>
          <w:highlight w:val="none"/>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auto"/>
          <w:kern w:val="0"/>
          <w:sz w:val="31"/>
          <w:szCs w:val="31"/>
          <w:highlight w:val="none"/>
        </w:rPr>
      </w:pPr>
      <w:r>
        <w:rPr>
          <w:rFonts w:hint="eastAsia" w:ascii="宋体" w:hAnsi="宋体"/>
          <w:color w:val="auto"/>
          <w:sz w:val="32"/>
          <w:szCs w:val="32"/>
          <w:highlight w:val="none"/>
        </w:rPr>
        <w:t xml:space="preserve"> </w:t>
      </w:r>
    </w:p>
    <w:p>
      <w:pPr>
        <w:spacing w:line="360" w:lineRule="auto"/>
        <w:jc w:val="center"/>
        <w:rPr>
          <w:rFonts w:ascii="宋体" w:hAnsi="宋体"/>
          <w:b/>
          <w:color w:val="auto"/>
          <w:w w:val="9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ascii="宋体"/>
          <w:color w:val="auto"/>
          <w:kern w:val="0"/>
          <w:sz w:val="27"/>
          <w:szCs w:val="27"/>
          <w:highlight w:val="none"/>
        </w:rPr>
        <w:t xml:space="preserve">         </w:t>
      </w:r>
      <w:r>
        <w:rPr>
          <w:rFonts w:hint="eastAsia" w:ascii="宋体"/>
          <w:color w:val="auto"/>
          <w:kern w:val="0"/>
          <w:sz w:val="29"/>
          <w:szCs w:val="29"/>
          <w:highlight w:val="none"/>
        </w:rPr>
        <w:t>采购单位：</w:t>
      </w:r>
      <w:r>
        <w:rPr>
          <w:rFonts w:hint="eastAsia" w:ascii="宋体"/>
          <w:color w:val="auto"/>
          <w:kern w:val="0"/>
          <w:sz w:val="29"/>
          <w:szCs w:val="29"/>
          <w:highlight w:val="none"/>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color w:val="auto"/>
          <w:sz w:val="29"/>
          <w:szCs w:val="29"/>
          <w:highlight w:val="none"/>
        </w:rPr>
        <w:t xml:space="preserve">        </w:t>
      </w:r>
      <w:r>
        <w:rPr>
          <w:rFonts w:hint="eastAsia" w:ascii="宋体"/>
          <w:color w:val="auto"/>
          <w:kern w:val="0"/>
          <w:sz w:val="29"/>
          <w:szCs w:val="29"/>
          <w:highlight w:val="none"/>
        </w:rPr>
        <w:t>采购代理机构：</w:t>
      </w:r>
      <w:r>
        <w:rPr>
          <w:rFonts w:hint="eastAsia" w:ascii="宋体"/>
          <w:color w:val="auto"/>
          <w:kern w:val="0"/>
          <w:sz w:val="29"/>
          <w:szCs w:val="29"/>
          <w:highlight w:val="none"/>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29"/>
          <w:szCs w:val="29"/>
          <w:highlight w:val="none"/>
        </w:rPr>
        <w:t>202</w:t>
      </w:r>
      <w:r>
        <w:rPr>
          <w:rFonts w:hint="eastAsia" w:ascii="宋体"/>
          <w:color w:val="auto"/>
          <w:kern w:val="0"/>
          <w:sz w:val="29"/>
          <w:szCs w:val="29"/>
          <w:highlight w:val="none"/>
          <w:lang w:val="en-US" w:eastAsia="zh-CN"/>
        </w:rPr>
        <w:t>3</w:t>
      </w:r>
      <w:r>
        <w:rPr>
          <w:rFonts w:hint="eastAsia" w:ascii="宋体"/>
          <w:color w:val="auto"/>
          <w:kern w:val="0"/>
          <w:sz w:val="29"/>
          <w:szCs w:val="29"/>
          <w:highlight w:val="none"/>
        </w:rPr>
        <w:t>年0</w:t>
      </w:r>
      <w:r>
        <w:rPr>
          <w:rFonts w:hint="eastAsia" w:ascii="宋体"/>
          <w:color w:val="auto"/>
          <w:kern w:val="0"/>
          <w:sz w:val="29"/>
          <w:szCs w:val="29"/>
          <w:highlight w:val="none"/>
          <w:lang w:val="en-US" w:eastAsia="zh-CN"/>
        </w:rPr>
        <w:t>8</w:t>
      </w:r>
      <w:r>
        <w:rPr>
          <w:rFonts w:hint="eastAsia" w:ascii="宋体"/>
          <w:color w:val="auto"/>
          <w:kern w:val="0"/>
          <w:sz w:val="29"/>
          <w:szCs w:val="29"/>
          <w:highlight w:val="none"/>
        </w:rPr>
        <w:t>月</w:t>
      </w:r>
      <w:r>
        <w:rPr>
          <w:rFonts w:hint="eastAsia" w:ascii="宋体"/>
          <w:color w:val="auto"/>
          <w:kern w:val="0"/>
          <w:sz w:val="29"/>
          <w:szCs w:val="29"/>
          <w:highlight w:val="none"/>
          <w:lang w:val="en-US" w:eastAsia="zh-CN"/>
        </w:rPr>
        <w:t>10</w:t>
      </w:r>
      <w:r>
        <w:rPr>
          <w:rFonts w:hint="eastAsia" w:ascii="宋体"/>
          <w:color w:val="auto"/>
          <w:kern w:val="0"/>
          <w:sz w:val="29"/>
          <w:szCs w:val="29"/>
          <w:highlight w:val="none"/>
        </w:rPr>
        <w:t>日</w:t>
      </w:r>
    </w:p>
    <w:p>
      <w:pPr>
        <w:widowControl/>
        <w:jc w:val="left"/>
        <w:rPr>
          <w:color w:val="auto"/>
          <w:highlight w:val="none"/>
        </w:rPr>
      </w:pPr>
      <w:r>
        <w:rPr>
          <w:color w:val="auto"/>
          <w:highlight w:val="none"/>
        </w:rPr>
        <w:br w:type="page"/>
      </w:r>
    </w:p>
    <w:p>
      <w:pPr>
        <w:jc w:val="center"/>
        <w:rPr>
          <w:color w:val="auto"/>
          <w:sz w:val="48"/>
          <w:szCs w:val="48"/>
          <w:highlight w:val="none"/>
        </w:rPr>
      </w:pPr>
      <w:r>
        <w:rPr>
          <w:rFonts w:hint="eastAsia"/>
          <w:color w:val="auto"/>
          <w:sz w:val="48"/>
          <w:szCs w:val="48"/>
          <w:highlight w:val="none"/>
        </w:rPr>
        <w:t>目 录</w:t>
      </w:r>
    </w:p>
    <w:p>
      <w:pPr>
        <w:pStyle w:val="17"/>
        <w:tabs>
          <w:tab w:val="right" w:leader="dot" w:pos="9402"/>
        </w:tabs>
        <w:rPr>
          <w:rFonts w:cs="黑体"/>
          <w:color w:val="auto"/>
          <w:szCs w:val="22"/>
          <w:highlight w:val="none"/>
        </w:rPr>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highlight w:val="none"/>
        </w:rPr>
        <w:fldChar w:fldCharType="begin"/>
      </w:r>
      <w:r>
        <w:rPr>
          <w:color w:val="auto"/>
          <w:highlight w:val="none"/>
        </w:rPr>
        <w:instrText xml:space="preserve"> HYPERLINK \l "_Toc40859284" </w:instrText>
      </w:r>
      <w:r>
        <w:rPr>
          <w:color w:val="auto"/>
          <w:highlight w:val="none"/>
        </w:rPr>
        <w:fldChar w:fldCharType="separate"/>
      </w:r>
      <w:r>
        <w:rPr>
          <w:rStyle w:val="23"/>
          <w:rFonts w:hint="eastAsia" w:ascii="宋体" w:hAnsi="宋体"/>
          <w:color w:val="auto"/>
          <w:highlight w:val="none"/>
        </w:rPr>
        <w:t>第一章竞争性谈判公告</w:t>
      </w:r>
      <w:r>
        <w:rPr>
          <w:color w:val="auto"/>
          <w:highlight w:val="none"/>
        </w:rPr>
        <w:tab/>
      </w:r>
      <w:r>
        <w:rPr>
          <w:color w:val="auto"/>
          <w:highlight w:val="none"/>
        </w:rPr>
        <w:fldChar w:fldCharType="begin"/>
      </w:r>
      <w:r>
        <w:rPr>
          <w:color w:val="auto"/>
          <w:highlight w:val="none"/>
        </w:rPr>
        <w:instrText xml:space="preserve"> PAGEREF _Toc40859284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"_Toc40859285" </w:instrText>
      </w:r>
      <w:r>
        <w:rPr>
          <w:color w:val="auto"/>
          <w:highlight w:val="none"/>
        </w:rPr>
        <w:fldChar w:fldCharType="separate"/>
      </w:r>
      <w:r>
        <w:rPr>
          <w:rStyle w:val="23"/>
          <w:rFonts w:hint="eastAsia" w:ascii="宋体" w:hAnsi="宋体"/>
          <w:color w:val="auto"/>
          <w:highlight w:val="none"/>
        </w:rPr>
        <w:t>第二章谈判内容</w:t>
      </w:r>
      <w:r>
        <w:rPr>
          <w:color w:val="auto"/>
          <w:highlight w:val="none"/>
        </w:rPr>
        <w:tab/>
      </w:r>
      <w:r>
        <w:rPr>
          <w:color w:val="auto"/>
          <w:highlight w:val="none"/>
        </w:rPr>
        <w:fldChar w:fldCharType="begin"/>
      </w:r>
      <w:r>
        <w:rPr>
          <w:color w:val="auto"/>
          <w:highlight w:val="none"/>
        </w:rPr>
        <w:instrText xml:space="preserve"> PAGEREF _Toc40859285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"_Toc40859286" </w:instrText>
      </w:r>
      <w:r>
        <w:rPr>
          <w:color w:val="auto"/>
          <w:highlight w:val="none"/>
        </w:rPr>
        <w:fldChar w:fldCharType="separate"/>
      </w:r>
      <w:r>
        <w:rPr>
          <w:rStyle w:val="23"/>
          <w:rFonts w:hint="eastAsia" w:ascii="宋体" w:hAnsi="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_Toc40859286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"_Toc40859287" </w:instrText>
      </w:r>
      <w:r>
        <w:rPr>
          <w:color w:val="auto"/>
          <w:highlight w:val="none"/>
        </w:rPr>
        <w:fldChar w:fldCharType="separate"/>
      </w:r>
      <w:r>
        <w:rPr>
          <w:rStyle w:val="23"/>
          <w:rFonts w:hint="eastAsia"/>
          <w:color w:val="auto"/>
          <w:highlight w:val="none"/>
        </w:rPr>
        <w:t>一</w:t>
      </w:r>
      <w:r>
        <w:rPr>
          <w:rStyle w:val="23"/>
          <w:color w:val="auto"/>
          <w:highlight w:val="none"/>
        </w:rPr>
        <w:t xml:space="preserve"> </w:t>
      </w:r>
      <w:r>
        <w:rPr>
          <w:rStyle w:val="23"/>
          <w:rFonts w:hint="eastAsia"/>
          <w:color w:val="auto"/>
          <w:highlight w:val="none"/>
        </w:rPr>
        <w:t>、总</w:t>
      </w:r>
      <w:r>
        <w:rPr>
          <w:rStyle w:val="23"/>
          <w:color w:val="auto"/>
          <w:highlight w:val="none"/>
        </w:rPr>
        <w:t xml:space="preserve">  </w:t>
      </w:r>
      <w:r>
        <w:rPr>
          <w:rStyle w:val="23"/>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_Toc40859287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"_Toc40859288" </w:instrText>
      </w:r>
      <w:r>
        <w:rPr>
          <w:color w:val="auto"/>
          <w:highlight w:val="none"/>
        </w:rPr>
        <w:fldChar w:fldCharType="separate"/>
      </w:r>
      <w:r>
        <w:rPr>
          <w:rStyle w:val="23"/>
          <w:rFonts w:hint="eastAsia"/>
          <w:color w:val="auto"/>
          <w:highlight w:val="none"/>
        </w:rPr>
        <w:t>二、谈判响应文件</w:t>
      </w:r>
      <w:r>
        <w:rPr>
          <w:color w:val="auto"/>
          <w:highlight w:val="none"/>
        </w:rPr>
        <w:tab/>
      </w:r>
      <w:r>
        <w:rPr>
          <w:color w:val="auto"/>
          <w:highlight w:val="none"/>
        </w:rPr>
        <w:fldChar w:fldCharType="begin"/>
      </w:r>
      <w:r>
        <w:rPr>
          <w:color w:val="auto"/>
          <w:highlight w:val="none"/>
        </w:rPr>
        <w:instrText xml:space="preserve"> PAGEREF _Toc40859288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"_Toc40859289" </w:instrText>
      </w:r>
      <w:r>
        <w:rPr>
          <w:color w:val="auto"/>
          <w:highlight w:val="none"/>
        </w:rPr>
        <w:fldChar w:fldCharType="separate"/>
      </w:r>
      <w:r>
        <w:rPr>
          <w:rStyle w:val="23"/>
          <w:rFonts w:hint="eastAsia"/>
          <w:color w:val="auto"/>
          <w:highlight w:val="none"/>
        </w:rPr>
        <w:t>三、谈判</w:t>
      </w:r>
      <w:r>
        <w:rPr>
          <w:color w:val="auto"/>
          <w:highlight w:val="none"/>
        </w:rPr>
        <w:tab/>
      </w:r>
      <w:r>
        <w:rPr>
          <w:color w:val="auto"/>
          <w:highlight w:val="none"/>
        </w:rPr>
        <w:fldChar w:fldCharType="begin"/>
      </w:r>
      <w:r>
        <w:rPr>
          <w:color w:val="auto"/>
          <w:highlight w:val="none"/>
        </w:rPr>
        <w:instrText xml:space="preserve"> PAGEREF _Toc40859289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"_Toc40859290" </w:instrText>
      </w:r>
      <w:r>
        <w:rPr>
          <w:color w:val="auto"/>
          <w:highlight w:val="none"/>
        </w:rPr>
        <w:fldChar w:fldCharType="separate"/>
      </w:r>
      <w:r>
        <w:rPr>
          <w:rStyle w:val="23"/>
          <w:rFonts w:hint="eastAsia"/>
          <w:color w:val="auto"/>
          <w:highlight w:val="none"/>
        </w:rPr>
        <w:t>四、谈判结果确定</w:t>
      </w:r>
      <w:r>
        <w:rPr>
          <w:color w:val="auto"/>
          <w:highlight w:val="none"/>
        </w:rPr>
        <w:tab/>
      </w:r>
      <w:r>
        <w:rPr>
          <w:color w:val="auto"/>
          <w:highlight w:val="none"/>
        </w:rPr>
        <w:fldChar w:fldCharType="begin"/>
      </w:r>
      <w:r>
        <w:rPr>
          <w:color w:val="auto"/>
          <w:highlight w:val="none"/>
        </w:rPr>
        <w:instrText xml:space="preserve"> PAGEREF _Toc40859290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"_Toc40859291" </w:instrText>
      </w:r>
      <w:r>
        <w:rPr>
          <w:color w:val="auto"/>
          <w:highlight w:val="none"/>
        </w:rPr>
        <w:fldChar w:fldCharType="separate"/>
      </w:r>
      <w:r>
        <w:rPr>
          <w:rStyle w:val="23"/>
          <w:rFonts w:hint="eastAsia"/>
          <w:color w:val="auto"/>
          <w:highlight w:val="none"/>
        </w:rPr>
        <w:t>五、合同签订及公告</w:t>
      </w:r>
      <w:r>
        <w:rPr>
          <w:color w:val="auto"/>
          <w:highlight w:val="none"/>
        </w:rPr>
        <w:tab/>
      </w:r>
      <w:r>
        <w:rPr>
          <w:color w:val="auto"/>
          <w:highlight w:val="none"/>
        </w:rPr>
        <w:fldChar w:fldCharType="begin"/>
      </w:r>
      <w:r>
        <w:rPr>
          <w:color w:val="auto"/>
          <w:highlight w:val="none"/>
        </w:rPr>
        <w:instrText xml:space="preserve"> PAGEREF _Toc40859291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"_Toc40859292" </w:instrText>
      </w:r>
      <w:r>
        <w:rPr>
          <w:color w:val="auto"/>
          <w:highlight w:val="none"/>
        </w:rPr>
        <w:fldChar w:fldCharType="separate"/>
      </w:r>
      <w:r>
        <w:rPr>
          <w:rStyle w:val="23"/>
          <w:rFonts w:hint="eastAsia" w:ascii="宋体" w:hAnsi="宋体"/>
          <w:color w:val="auto"/>
          <w:highlight w:val="none"/>
        </w:rPr>
        <w:t>第四章</w:t>
      </w:r>
      <w:r>
        <w:rPr>
          <w:rStyle w:val="23"/>
          <w:rFonts w:ascii="宋体" w:hAnsi="宋体"/>
          <w:color w:val="auto"/>
          <w:highlight w:val="none"/>
        </w:rPr>
        <w:t xml:space="preserve">  </w:t>
      </w:r>
      <w:r>
        <w:rPr>
          <w:rStyle w:val="23"/>
          <w:rFonts w:hint="eastAsia" w:ascii="宋体" w:hAnsi="宋体"/>
          <w:color w:val="auto"/>
          <w:highlight w:val="none"/>
        </w:rPr>
        <w:t>政府采购合同主要条款指引</w:t>
      </w:r>
      <w:r>
        <w:rPr>
          <w:color w:val="auto"/>
          <w:highlight w:val="none"/>
        </w:rPr>
        <w:tab/>
      </w:r>
      <w:r>
        <w:rPr>
          <w:color w:val="auto"/>
          <w:highlight w:val="none"/>
        </w:rPr>
        <w:fldChar w:fldCharType="begin"/>
      </w:r>
      <w:r>
        <w:rPr>
          <w:color w:val="auto"/>
          <w:highlight w:val="none"/>
        </w:rPr>
        <w:instrText xml:space="preserve"> PAGEREF _Toc40859292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"_Toc40859293" </w:instrText>
      </w:r>
      <w:r>
        <w:rPr>
          <w:color w:val="auto"/>
          <w:highlight w:val="none"/>
        </w:rPr>
        <w:fldChar w:fldCharType="separate"/>
      </w:r>
      <w:r>
        <w:rPr>
          <w:rStyle w:val="23"/>
          <w:rFonts w:hint="eastAsia" w:ascii="宋体" w:hAnsi="宋体"/>
          <w:color w:val="auto"/>
          <w:highlight w:val="none"/>
        </w:rPr>
        <w:t>第五章谈判响应文件格式附件</w:t>
      </w:r>
      <w:r>
        <w:rPr>
          <w:color w:val="auto"/>
          <w:highlight w:val="none"/>
        </w:rPr>
        <w:tab/>
      </w:r>
      <w:r>
        <w:rPr>
          <w:color w:val="auto"/>
          <w:highlight w:val="none"/>
        </w:rPr>
        <w:fldChar w:fldCharType="begin"/>
      </w:r>
      <w:r>
        <w:rPr>
          <w:color w:val="auto"/>
          <w:highlight w:val="none"/>
        </w:rPr>
        <w:instrText xml:space="preserve"> PAGEREF _Toc40859293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"_Toc40859294" </w:instrText>
      </w:r>
      <w:r>
        <w:rPr>
          <w:color w:val="auto"/>
          <w:highlight w:val="none"/>
        </w:rPr>
        <w:fldChar w:fldCharType="separate"/>
      </w:r>
      <w:r>
        <w:rPr>
          <w:rStyle w:val="23"/>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_Toc40859294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"_Toc40859295" </w:instrText>
      </w:r>
      <w:r>
        <w:rPr>
          <w:color w:val="auto"/>
          <w:highlight w:val="none"/>
        </w:rPr>
        <w:fldChar w:fldCharType="separate"/>
      </w:r>
      <w:r>
        <w:rPr>
          <w:rStyle w:val="23"/>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_Toc40859295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"_Toc40859296" </w:instrText>
      </w:r>
      <w:r>
        <w:rPr>
          <w:color w:val="auto"/>
          <w:highlight w:val="none"/>
        </w:rPr>
        <w:fldChar w:fldCharType="separate"/>
      </w:r>
      <w:r>
        <w:rPr>
          <w:rStyle w:val="23"/>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_Toc40859296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"_Toc40859297" </w:instrText>
      </w:r>
      <w:r>
        <w:rPr>
          <w:color w:val="auto"/>
          <w:highlight w:val="none"/>
        </w:rPr>
        <w:fldChar w:fldCharType="separate"/>
      </w:r>
      <w:r>
        <w:rPr>
          <w:rStyle w:val="23"/>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_Toc40859297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"_Toc40859298" </w:instrText>
      </w:r>
      <w:r>
        <w:rPr>
          <w:color w:val="auto"/>
          <w:highlight w:val="none"/>
        </w:rPr>
        <w:fldChar w:fldCharType="separate"/>
      </w:r>
      <w:r>
        <w:rPr>
          <w:rStyle w:val="23"/>
          <w:rFonts w:hint="eastAsia"/>
          <w:color w:val="auto"/>
          <w:highlight w:val="none"/>
        </w:rPr>
        <w:t>附件五</w:t>
      </w:r>
      <w:r>
        <w:rPr>
          <w:color w:val="auto"/>
          <w:highlight w:val="none"/>
        </w:rPr>
        <w:tab/>
      </w:r>
      <w:r>
        <w:rPr>
          <w:color w:val="auto"/>
          <w:highlight w:val="none"/>
        </w:rPr>
        <w:fldChar w:fldCharType="begin"/>
      </w:r>
      <w:r>
        <w:rPr>
          <w:color w:val="auto"/>
          <w:highlight w:val="none"/>
        </w:rPr>
        <w:instrText xml:space="preserve"> PAGEREF _Toc40859298 \h </w:instrText>
      </w:r>
      <w:r>
        <w:rPr>
          <w:color w:val="auto"/>
          <w:highlight w:val="none"/>
        </w:rPr>
        <w:fldChar w:fldCharType="separate"/>
      </w:r>
      <w:r>
        <w:rPr>
          <w:color w:val="auto"/>
          <w:highlight w:val="none"/>
        </w:rPr>
        <w:t>3</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jc w:val="left"/>
        <w:rPr>
          <w:color w:val="auto"/>
          <w:sz w:val="48"/>
          <w:szCs w:val="48"/>
          <w:highlight w:val="none"/>
        </w:rPr>
      </w:pPr>
      <w:r>
        <w:rPr>
          <w:color w:val="auto"/>
          <w:sz w:val="48"/>
          <w:szCs w:val="48"/>
          <w:highlight w:val="none"/>
        </w:rPr>
        <w:fldChar w:fldCharType="end"/>
      </w:r>
    </w:p>
    <w:p>
      <w:pPr>
        <w:widowControl/>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highlight w:val="none"/>
        </w:rPr>
      </w:pPr>
    </w:p>
    <w:p>
      <w:pPr>
        <w:pStyle w:val="4"/>
        <w:spacing w:before="0" w:after="0" w:line="360" w:lineRule="auto"/>
        <w:jc w:val="center"/>
        <w:rPr>
          <w:rFonts w:ascii="宋体" w:hAnsi="宋体"/>
          <w:color w:val="auto"/>
          <w:sz w:val="36"/>
          <w:szCs w:val="36"/>
          <w:highlight w:val="none"/>
        </w:rPr>
      </w:pPr>
      <w:bookmarkStart w:id="0" w:name="_Toc40859284"/>
      <w:r>
        <w:rPr>
          <w:rFonts w:hint="eastAsia" w:ascii="宋体" w:hAnsi="宋体"/>
          <w:color w:val="auto"/>
          <w:sz w:val="36"/>
          <w:szCs w:val="36"/>
          <w:highlight w:val="none"/>
        </w:rPr>
        <w:t>第一章竞争性谈判公告</w:t>
      </w:r>
      <w:bookmarkEnd w:id="0"/>
    </w:p>
    <w:p>
      <w:pPr>
        <w:widowControl/>
        <w:spacing w:line="360" w:lineRule="auto"/>
        <w:ind w:firstLine="540"/>
        <w:jc w:val="left"/>
        <w:rPr>
          <w:rFonts w:ascii="宋体"/>
          <w:color w:val="auto"/>
          <w:sz w:val="22"/>
          <w:highlight w:val="none"/>
        </w:rPr>
      </w:pPr>
      <w:r>
        <w:rPr>
          <w:rFonts w:hint="eastAsia" w:ascii="宋体"/>
          <w:color w:val="auto"/>
          <w:sz w:val="22"/>
          <w:highlight w:val="none"/>
        </w:rPr>
        <w:t>根据《政府采购非招标采购方式管理办法》等有关规定，</w:t>
      </w:r>
      <w:r>
        <w:rPr>
          <w:rFonts w:hint="eastAsia" w:ascii="宋体"/>
          <w:color w:val="auto"/>
          <w:sz w:val="22"/>
          <w:highlight w:val="none"/>
          <w:lang w:eastAsia="zh-CN"/>
        </w:rPr>
        <w:t>台州景珩建设管理有限公司</w:t>
      </w:r>
      <w:r>
        <w:rPr>
          <w:rFonts w:hint="eastAsia" w:ascii="宋体"/>
          <w:color w:val="auto"/>
          <w:sz w:val="22"/>
          <w:highlight w:val="none"/>
        </w:rPr>
        <w:t>受</w:t>
      </w:r>
      <w:r>
        <w:rPr>
          <w:rFonts w:hint="eastAsia" w:ascii="宋体"/>
          <w:color w:val="auto"/>
          <w:sz w:val="22"/>
          <w:highlight w:val="none"/>
          <w:lang w:eastAsia="zh-CN"/>
        </w:rPr>
        <w:t>三门县公路与运输管理中心</w:t>
      </w:r>
      <w:r>
        <w:rPr>
          <w:rFonts w:hint="eastAsia" w:ascii="宋体"/>
          <w:color w:val="auto"/>
          <w:sz w:val="22"/>
          <w:highlight w:val="none"/>
        </w:rPr>
        <w:t>的委托，就</w:t>
      </w:r>
      <w:r>
        <w:rPr>
          <w:rFonts w:hint="eastAsia" w:ascii="宋体"/>
          <w:color w:val="auto"/>
          <w:sz w:val="22"/>
          <w:highlight w:val="none"/>
          <w:lang w:eastAsia="zh-CN"/>
        </w:rPr>
        <w:t>2023年三门县县道公路桥梁定期检查项目</w:t>
      </w:r>
      <w:r>
        <w:rPr>
          <w:rFonts w:hint="eastAsia" w:ascii="宋体"/>
          <w:color w:val="auto"/>
          <w:sz w:val="22"/>
          <w:highlight w:val="none"/>
        </w:rPr>
        <w:t>进行竞争性谈判，欢迎国内合格的供应商前来参加谈判。</w:t>
      </w:r>
    </w:p>
    <w:p>
      <w:pPr>
        <w:snapToGrid w:val="0"/>
        <w:spacing w:line="440" w:lineRule="atLeast"/>
        <w:rPr>
          <w:rFonts w:ascii="宋体"/>
          <w:color w:val="auto"/>
          <w:sz w:val="22"/>
          <w:highlight w:val="none"/>
        </w:rPr>
      </w:pPr>
      <w:r>
        <w:rPr>
          <w:rFonts w:hint="eastAsia" w:ascii="宋体" w:hAnsi="宋体"/>
          <w:b/>
          <w:color w:val="auto"/>
          <w:szCs w:val="21"/>
          <w:highlight w:val="none"/>
        </w:rPr>
        <w:t>一、谈判项目采购组织</w:t>
      </w:r>
      <w:bookmarkStart w:id="1" w:name="OLE_LINK1"/>
      <w:r>
        <w:rPr>
          <w:rFonts w:hint="eastAsia" w:ascii="宋体" w:hAnsi="宋体"/>
          <w:b/>
          <w:color w:val="auto"/>
          <w:szCs w:val="21"/>
          <w:highlight w:val="none"/>
        </w:rPr>
        <w:t>类型：</w:t>
      </w:r>
      <w:bookmarkEnd w:id="1"/>
      <w:r>
        <w:rPr>
          <w:rFonts w:hint="eastAsia" w:ascii="宋体"/>
          <w:color w:val="auto"/>
          <w:sz w:val="22"/>
          <w:highlight w:val="none"/>
        </w:rPr>
        <w:t>自行采购-分散委托采购</w:t>
      </w:r>
    </w:p>
    <w:p>
      <w:pPr>
        <w:snapToGrid w:val="0"/>
        <w:spacing w:line="440" w:lineRule="atLeast"/>
        <w:rPr>
          <w:rFonts w:ascii="宋体"/>
          <w:color w:val="auto"/>
          <w:sz w:val="22"/>
          <w:highlight w:val="none"/>
        </w:rPr>
      </w:pPr>
      <w:r>
        <w:rPr>
          <w:rFonts w:hint="eastAsia" w:ascii="宋体" w:hAnsi="宋体"/>
          <w:b/>
          <w:color w:val="auto"/>
          <w:szCs w:val="21"/>
          <w:highlight w:val="none"/>
        </w:rPr>
        <w:t>二、招标项目概况</w:t>
      </w:r>
      <w:r>
        <w:rPr>
          <w:rFonts w:hint="eastAsia" w:ascii="宋体"/>
          <w:color w:val="auto"/>
          <w:sz w:val="22"/>
          <w:highlight w:val="none"/>
        </w:rPr>
        <w:t>（具体以招标文件为准）:</w:t>
      </w:r>
      <w:bookmarkStart w:id="2" w:name="B10_招标内容"/>
      <w:bookmarkEnd w:id="2"/>
    </w:p>
    <w:p>
      <w:pPr>
        <w:snapToGrid w:val="0"/>
        <w:spacing w:line="440" w:lineRule="atLeast"/>
        <w:ind w:firstLine="480"/>
        <w:rPr>
          <w:rFonts w:ascii="宋体"/>
          <w:color w:val="auto"/>
          <w:sz w:val="22"/>
          <w:highlight w:val="none"/>
        </w:rPr>
      </w:pPr>
      <w:r>
        <w:rPr>
          <w:rFonts w:hint="eastAsia" w:ascii="宋体"/>
          <w:color w:val="auto"/>
          <w:sz w:val="22"/>
          <w:highlight w:val="none"/>
          <w:lang w:eastAsia="zh-CN"/>
        </w:rPr>
        <w:t>本项目内容包括：</w:t>
      </w:r>
      <w:r>
        <w:rPr>
          <w:rFonts w:hint="eastAsia" w:ascii="Arial" w:hAnsi="Arial" w:cs="Arial"/>
          <w:color w:val="auto"/>
          <w:szCs w:val="21"/>
          <w:highlight w:val="none"/>
          <w:lang w:eastAsia="zh-CN"/>
        </w:rPr>
        <w:t>检查</w:t>
      </w:r>
      <w:r>
        <w:rPr>
          <w:rFonts w:hint="eastAsia" w:ascii="Arial" w:hAnsi="Arial" w:cs="Arial"/>
          <w:color w:val="auto"/>
          <w:szCs w:val="21"/>
          <w:highlight w:val="none"/>
          <w:lang w:val="en-US" w:eastAsia="zh-CN"/>
        </w:rPr>
        <w:t>县道</w:t>
      </w:r>
      <w:r>
        <w:rPr>
          <w:rFonts w:hint="eastAsia" w:ascii="Arial" w:hAnsi="Arial" w:cs="Arial"/>
          <w:color w:val="auto"/>
          <w:szCs w:val="21"/>
          <w:highlight w:val="none"/>
          <w:lang w:eastAsia="zh-CN"/>
        </w:rPr>
        <w:t>桥梁计</w:t>
      </w:r>
      <w:r>
        <w:rPr>
          <w:rFonts w:hint="eastAsia" w:ascii="Arial" w:hAnsi="Arial" w:cs="Arial"/>
          <w:color w:val="auto"/>
          <w:szCs w:val="21"/>
          <w:highlight w:val="none"/>
          <w:lang w:val="en-US" w:eastAsia="zh-CN"/>
        </w:rPr>
        <w:t>77</w:t>
      </w:r>
      <w:r>
        <w:rPr>
          <w:rFonts w:hint="eastAsia" w:ascii="Arial" w:hAnsi="Arial" w:cs="Arial"/>
          <w:color w:val="auto"/>
          <w:szCs w:val="21"/>
          <w:highlight w:val="none"/>
          <w:lang w:eastAsia="zh-CN"/>
        </w:rPr>
        <w:t>座</w:t>
      </w:r>
      <w:r>
        <w:rPr>
          <w:rFonts w:hint="eastAsia" w:ascii="Arial" w:hAnsi="Arial" w:cs="Arial"/>
          <w:color w:val="auto"/>
          <w:szCs w:val="21"/>
          <w:highlight w:val="none"/>
          <w:lang w:val="en-US" w:eastAsia="zh-CN"/>
        </w:rPr>
        <w:t>约3088</w:t>
      </w:r>
      <w:r>
        <w:rPr>
          <w:rFonts w:hint="eastAsia" w:ascii="Arial" w:hAnsi="Arial" w:cs="Arial"/>
          <w:color w:val="auto"/>
          <w:szCs w:val="21"/>
          <w:highlight w:val="none"/>
          <w:lang w:eastAsia="zh-CN"/>
        </w:rPr>
        <w:t>米</w:t>
      </w:r>
      <w:r>
        <w:rPr>
          <w:rFonts w:hint="eastAsia" w:ascii="Arial" w:hAnsi="Arial" w:cs="Arial"/>
          <w:color w:val="auto"/>
          <w:szCs w:val="21"/>
          <w:highlight w:val="none"/>
        </w:rPr>
        <w:t>。</w:t>
      </w:r>
    </w:p>
    <w:p>
      <w:pPr>
        <w:snapToGrid w:val="0"/>
        <w:spacing w:line="440" w:lineRule="atLeas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标段划分、主要工程内容及工期</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本项目设1个检测标段。</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检测具体内容为：桥梁检测的服务。</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检测服务期：</w:t>
      </w:r>
      <w:r>
        <w:rPr>
          <w:rFonts w:hint="eastAsia" w:ascii="宋体"/>
          <w:color w:val="auto"/>
          <w:sz w:val="22"/>
          <w:highlight w:val="none"/>
          <w:lang w:val="en-US" w:eastAsia="zh-CN"/>
        </w:rPr>
        <w:t>3</w:t>
      </w:r>
      <w:r>
        <w:rPr>
          <w:rFonts w:hint="eastAsia" w:ascii="宋体"/>
          <w:color w:val="auto"/>
          <w:sz w:val="22"/>
          <w:highlight w:val="none"/>
          <w:lang w:eastAsia="zh-CN"/>
        </w:rPr>
        <w:t>0日历天。</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w:t>
      </w:r>
      <w:bookmarkStart w:id="3" w:name="B18_投标供应商的资格要求"/>
      <w:bookmarkEnd w:id="3"/>
      <w:r>
        <w:rPr>
          <w:rFonts w:hint="eastAsia" w:ascii="宋体" w:hAnsi="宋体"/>
          <w:b/>
          <w:color w:val="auto"/>
          <w:szCs w:val="21"/>
          <w:highlight w:val="none"/>
        </w:rPr>
        <w:t>合格谈判供应商的资格要求:</w:t>
      </w:r>
    </w:p>
    <w:p>
      <w:pPr>
        <w:snapToGrid w:val="0"/>
        <w:spacing w:line="440" w:lineRule="atLeast"/>
        <w:ind w:firstLine="48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1、</w:t>
      </w:r>
      <w:r>
        <w:rPr>
          <w:rFonts w:hint="eastAsia" w:ascii="宋体" w:eastAsia="宋体" w:cs="Times New Roman"/>
          <w:color w:val="auto"/>
          <w:sz w:val="22"/>
          <w:highlight w:val="non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lang w:val="en-US" w:eastAsia="zh-CN"/>
        </w:rPr>
        <w:t>2</w:t>
      </w:r>
      <w:r>
        <w:rPr>
          <w:rFonts w:hint="eastAsia" w:ascii="宋体" w:eastAsia="宋体" w:cs="Times New Roman"/>
          <w:color w:val="auto"/>
          <w:sz w:val="22"/>
          <w:highlight w:val="none"/>
          <w:lang w:eastAsia="zh-CN"/>
        </w:rPr>
        <w:t>、本次招标要求投标人具备独立法人资格，其本身或内设机构</w:t>
      </w:r>
      <w:r>
        <w:rPr>
          <w:rFonts w:hint="eastAsia" w:ascii="宋体" w:cs="Times New Roman"/>
          <w:color w:val="auto"/>
          <w:sz w:val="22"/>
          <w:highlight w:val="none"/>
          <w:lang w:eastAsia="zh-CN"/>
        </w:rPr>
        <w:t>具有交通部门颁发的公路工程试验检测机构公路工程综合乙级及以上资质，并取得省级及以上质量技术监督部门颁发的《计量认证证书（CMA）》 [认证附表参数中包含相应桥梁检测项目]。</w:t>
      </w:r>
    </w:p>
    <w:p>
      <w:pPr>
        <w:snapToGrid w:val="0"/>
        <w:spacing w:line="440" w:lineRule="atLeast"/>
        <w:ind w:firstLine="48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lang w:val="en-US" w:eastAsia="zh-CN"/>
        </w:rPr>
        <w:t>3</w:t>
      </w:r>
      <w:r>
        <w:rPr>
          <w:rFonts w:hint="eastAsia" w:ascii="宋体" w:eastAsia="宋体" w:cs="Times New Roman"/>
          <w:color w:val="auto"/>
          <w:sz w:val="22"/>
          <w:highlight w:val="none"/>
          <w:lang w:eastAsia="zh-CN"/>
        </w:rPr>
        <w:t>、本项目不接受联合体投标。</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rPr>
        <w:t>四、谈判文件的获取</w:t>
      </w:r>
    </w:p>
    <w:p>
      <w:pPr>
        <w:snapToGrid w:val="0"/>
        <w:spacing w:line="440" w:lineRule="atLeast"/>
        <w:ind w:firstLine="480"/>
        <w:rPr>
          <w:rFonts w:hint="eastAsia" w:ascii="宋体" w:hAnsi="宋体" w:eastAsia="宋体" w:cs="宋体"/>
          <w:color w:val="auto"/>
          <w:kern w:val="0"/>
          <w:sz w:val="22"/>
          <w:szCs w:val="22"/>
          <w:highlight w:val="none"/>
        </w:rPr>
      </w:pPr>
      <w:r>
        <w:rPr>
          <w:rFonts w:ascii="宋体"/>
          <w:color w:val="auto"/>
          <w:sz w:val="22"/>
          <w:szCs w:val="22"/>
          <w:highlight w:val="none"/>
        </w:rPr>
        <w:t>1、</w:t>
      </w:r>
      <w:r>
        <w:rPr>
          <w:rFonts w:hint="eastAsia" w:ascii="宋体" w:hAnsi="宋体" w:eastAsia="宋体" w:cs="宋体"/>
          <w:color w:val="auto"/>
          <w:kern w:val="0"/>
          <w:sz w:val="22"/>
          <w:szCs w:val="22"/>
          <w:highlight w:val="none"/>
        </w:rPr>
        <w:t>本工程实行资格后审，凡有意参加投标者，于公告发布之日起，可通过三门县公共资源交易中心（</w:t>
      </w:r>
      <w:r>
        <w:rPr>
          <w:rFonts w:hint="eastAsia" w:ascii="宋体" w:hAnsi="宋体" w:cs="宋体"/>
          <w:color w:val="auto"/>
          <w:kern w:val="0"/>
          <w:sz w:val="22"/>
          <w:szCs w:val="22"/>
          <w:highlight w:val="none"/>
          <w:lang w:eastAsia="zh-CN"/>
        </w:rPr>
        <w:t>http://www.sanmen.gov.cn/col/col1229610743/index.html</w:t>
      </w:r>
      <w:r>
        <w:rPr>
          <w:rFonts w:hint="eastAsia" w:ascii="宋体" w:hAnsi="宋体" w:eastAsia="宋体" w:cs="宋体"/>
          <w:color w:val="auto"/>
          <w:kern w:val="0"/>
          <w:sz w:val="22"/>
          <w:szCs w:val="22"/>
          <w:highlight w:val="none"/>
        </w:rPr>
        <w:t>）自行下载</w:t>
      </w:r>
      <w:r>
        <w:rPr>
          <w:rFonts w:hint="eastAsia" w:ascii="宋体" w:hAnsi="宋体" w:cs="宋体"/>
          <w:color w:val="auto"/>
          <w:kern w:val="0"/>
          <w:sz w:val="22"/>
          <w:szCs w:val="22"/>
          <w:highlight w:val="none"/>
          <w:lang w:eastAsia="zh-CN"/>
        </w:rPr>
        <w:t>谈判</w:t>
      </w:r>
      <w:r>
        <w:rPr>
          <w:rFonts w:hint="eastAsia" w:ascii="宋体" w:hAnsi="宋体" w:eastAsia="宋体" w:cs="宋体"/>
          <w:color w:val="auto"/>
          <w:kern w:val="0"/>
          <w:sz w:val="22"/>
          <w:szCs w:val="22"/>
          <w:highlight w:val="none"/>
        </w:rPr>
        <w:t>文件等。</w:t>
      </w:r>
    </w:p>
    <w:p>
      <w:pPr>
        <w:snapToGrid w:val="0"/>
        <w:spacing w:line="440" w:lineRule="atLeast"/>
        <w:rPr>
          <w:rFonts w:ascii="宋体"/>
          <w:color w:val="auto"/>
          <w:sz w:val="22"/>
          <w:highlight w:val="none"/>
        </w:rPr>
      </w:pPr>
      <w:r>
        <w:rPr>
          <w:rFonts w:hint="eastAsia" w:ascii="宋体" w:hAnsi="宋体"/>
          <w:b/>
          <w:color w:val="auto"/>
          <w:szCs w:val="21"/>
          <w:highlight w:val="none"/>
        </w:rPr>
        <w:t>六、</w:t>
      </w:r>
      <w:r>
        <w:rPr>
          <w:rFonts w:hint="eastAsia" w:ascii="宋体" w:hAnsi="宋体"/>
          <w:b/>
          <w:color w:val="auto"/>
          <w:szCs w:val="21"/>
          <w:highlight w:val="none"/>
          <w:lang w:eastAsia="zh-CN"/>
        </w:rPr>
        <w:t>采购响应截止时间</w:t>
      </w:r>
      <w:r>
        <w:rPr>
          <w:rFonts w:hint="eastAsia" w:ascii="宋体" w:hAnsi="宋体"/>
          <w:b/>
          <w:color w:val="auto"/>
          <w:szCs w:val="21"/>
          <w:highlight w:val="none"/>
        </w:rPr>
        <w:t>：</w:t>
      </w:r>
      <w:bookmarkStart w:id="4" w:name="B25_投标截止日期"/>
      <w:r>
        <w:rPr>
          <w:rFonts w:hint="eastAsia" w:ascii="宋体"/>
          <w:color w:val="auto"/>
          <w:sz w:val="22"/>
          <w:highlight w:val="none"/>
        </w:rPr>
        <w:t>202</w:t>
      </w:r>
      <w:r>
        <w:rPr>
          <w:rFonts w:hint="eastAsia" w:ascii="宋体"/>
          <w:color w:val="auto"/>
          <w:sz w:val="22"/>
          <w:highlight w:val="none"/>
          <w:lang w:val="en-US" w:eastAsia="zh-CN"/>
        </w:rPr>
        <w:t>3</w:t>
      </w:r>
      <w:r>
        <w:rPr>
          <w:rFonts w:hint="eastAsia" w:ascii="宋体"/>
          <w:color w:val="auto"/>
          <w:sz w:val="22"/>
          <w:highlight w:val="none"/>
        </w:rPr>
        <w:t>年</w:t>
      </w:r>
      <w:r>
        <w:rPr>
          <w:rFonts w:hint="eastAsia" w:ascii="宋体"/>
          <w:color w:val="auto"/>
          <w:sz w:val="22"/>
          <w:highlight w:val="none"/>
          <w:lang w:val="en-US" w:eastAsia="zh-CN"/>
        </w:rPr>
        <w:t>8</w:t>
      </w:r>
      <w:r>
        <w:rPr>
          <w:rFonts w:hint="eastAsia" w:ascii="宋体"/>
          <w:color w:val="auto"/>
          <w:sz w:val="22"/>
          <w:highlight w:val="none"/>
        </w:rPr>
        <w:t>月</w:t>
      </w:r>
      <w:r>
        <w:rPr>
          <w:rFonts w:hint="eastAsia" w:ascii="宋体"/>
          <w:color w:val="auto"/>
          <w:sz w:val="22"/>
          <w:highlight w:val="none"/>
          <w:lang w:val="en-US" w:eastAsia="zh-CN"/>
        </w:rPr>
        <w:t>18</w:t>
      </w:r>
      <w:r>
        <w:rPr>
          <w:rFonts w:hint="eastAsia" w:ascii="宋体"/>
          <w:color w:val="auto"/>
          <w:sz w:val="22"/>
          <w:highlight w:val="none"/>
        </w:rPr>
        <w:t>日</w:t>
      </w:r>
      <w:bookmarkEnd w:id="4"/>
      <w:bookmarkStart w:id="5" w:name="B26_投标截止时间"/>
      <w:r>
        <w:rPr>
          <w:rFonts w:hint="eastAsia" w:ascii="宋体"/>
          <w:color w:val="auto"/>
          <w:sz w:val="22"/>
          <w:highlight w:val="none"/>
        </w:rPr>
        <w:t>09:</w:t>
      </w:r>
      <w:r>
        <w:rPr>
          <w:rFonts w:hint="eastAsia" w:ascii="宋体"/>
          <w:color w:val="auto"/>
          <w:sz w:val="22"/>
          <w:highlight w:val="none"/>
          <w:lang w:val="en-US" w:eastAsia="zh-CN"/>
        </w:rPr>
        <w:t>0</w:t>
      </w:r>
      <w:r>
        <w:rPr>
          <w:rFonts w:hint="eastAsia" w:ascii="宋体"/>
          <w:color w:val="auto"/>
          <w:sz w:val="22"/>
          <w:highlight w:val="none"/>
        </w:rPr>
        <w:t xml:space="preserve">0 </w:t>
      </w:r>
      <w:bookmarkEnd w:id="5"/>
    </w:p>
    <w:p>
      <w:pPr>
        <w:snapToGrid w:val="0"/>
        <w:spacing w:line="440" w:lineRule="atLeast"/>
        <w:rPr>
          <w:rFonts w:ascii="宋体" w:hAnsi="宋体" w:cs="宋体"/>
          <w:color w:val="auto"/>
          <w:kern w:val="0"/>
          <w:szCs w:val="21"/>
          <w:highlight w:val="none"/>
        </w:rPr>
      </w:pPr>
      <w:r>
        <w:rPr>
          <w:rFonts w:hint="eastAsia" w:ascii="宋体" w:hAnsi="宋体"/>
          <w:b/>
          <w:color w:val="auto"/>
          <w:szCs w:val="21"/>
          <w:highlight w:val="none"/>
        </w:rPr>
        <w:t>七、投标地点：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hAnsi="宋体"/>
          <w:b/>
          <w:color w:val="auto"/>
          <w:szCs w:val="21"/>
          <w:highlight w:val="none"/>
        </w:rPr>
        <w:t>八、开标时间：</w:t>
      </w:r>
      <w:r>
        <w:rPr>
          <w:rFonts w:hint="eastAsia" w:ascii="宋体"/>
          <w:color w:val="auto"/>
          <w:sz w:val="22"/>
          <w:highlight w:val="none"/>
        </w:rPr>
        <w:t>202</w:t>
      </w:r>
      <w:r>
        <w:rPr>
          <w:rFonts w:hint="eastAsia" w:ascii="宋体"/>
          <w:color w:val="auto"/>
          <w:sz w:val="22"/>
          <w:highlight w:val="none"/>
          <w:lang w:val="en-US" w:eastAsia="zh-CN"/>
        </w:rPr>
        <w:t>3</w:t>
      </w:r>
      <w:r>
        <w:rPr>
          <w:rFonts w:hint="eastAsia" w:ascii="宋体"/>
          <w:color w:val="auto"/>
          <w:sz w:val="22"/>
          <w:highlight w:val="none"/>
        </w:rPr>
        <w:t>年</w:t>
      </w:r>
      <w:r>
        <w:rPr>
          <w:rFonts w:hint="eastAsia" w:ascii="宋体"/>
          <w:color w:val="auto"/>
          <w:sz w:val="22"/>
          <w:highlight w:val="none"/>
          <w:lang w:val="en-US" w:eastAsia="zh-CN"/>
        </w:rPr>
        <w:t>8</w:t>
      </w:r>
      <w:r>
        <w:rPr>
          <w:rFonts w:hint="eastAsia" w:ascii="宋体"/>
          <w:color w:val="auto"/>
          <w:sz w:val="22"/>
          <w:highlight w:val="none"/>
        </w:rPr>
        <w:t>月</w:t>
      </w:r>
      <w:r>
        <w:rPr>
          <w:rFonts w:hint="eastAsia" w:ascii="宋体"/>
          <w:color w:val="auto"/>
          <w:sz w:val="22"/>
          <w:highlight w:val="none"/>
          <w:lang w:val="en-US" w:eastAsia="zh-CN"/>
        </w:rPr>
        <w:t>18</w:t>
      </w:r>
      <w:r>
        <w:rPr>
          <w:rFonts w:hint="eastAsia" w:ascii="宋体"/>
          <w:color w:val="auto"/>
          <w:sz w:val="22"/>
          <w:highlight w:val="none"/>
        </w:rPr>
        <w:t>日　09:</w:t>
      </w:r>
      <w:r>
        <w:rPr>
          <w:rFonts w:hint="eastAsia" w:ascii="宋体"/>
          <w:color w:val="auto"/>
          <w:sz w:val="22"/>
          <w:highlight w:val="none"/>
          <w:lang w:val="en-US" w:eastAsia="zh-CN"/>
        </w:rPr>
        <w:t>0</w:t>
      </w:r>
      <w:r>
        <w:rPr>
          <w:rFonts w:hint="eastAsia" w:ascii="宋体"/>
          <w:color w:val="auto"/>
          <w:sz w:val="22"/>
          <w:highlight w:val="none"/>
        </w:rPr>
        <w:t xml:space="preserve">0 </w:t>
      </w:r>
    </w:p>
    <w:p>
      <w:pPr>
        <w:snapToGrid w:val="0"/>
        <w:spacing w:line="440" w:lineRule="atLeast"/>
        <w:rPr>
          <w:rFonts w:ascii="宋体"/>
          <w:color w:val="auto"/>
          <w:sz w:val="22"/>
          <w:highlight w:val="none"/>
        </w:rPr>
      </w:pPr>
      <w:r>
        <w:rPr>
          <w:rFonts w:hint="eastAsia" w:ascii="宋体" w:hAnsi="宋体"/>
          <w:b/>
          <w:color w:val="auto"/>
          <w:szCs w:val="21"/>
          <w:highlight w:val="none"/>
        </w:rPr>
        <w:t>九、开标地点：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color w:val="auto"/>
          <w:sz w:val="22"/>
          <w:highlight w:val="none"/>
        </w:rPr>
        <w:t>十、联系方式</w:t>
      </w:r>
    </w:p>
    <w:p>
      <w:pPr>
        <w:spacing w:line="360" w:lineRule="auto"/>
        <w:ind w:firstLine="480" w:firstLineChars="200"/>
        <w:rPr>
          <w:rFonts w:hint="eastAsia" w:ascii="宋体" w:hAnsi="宋体" w:eastAsia="宋体"/>
          <w:color w:val="auto"/>
          <w:sz w:val="24"/>
          <w:highlight w:val="none"/>
          <w:lang w:eastAsia="zh-CN"/>
        </w:rPr>
      </w:pPr>
      <w:bookmarkStart w:id="6" w:name="B43_传真"/>
      <w:bookmarkEnd w:id="6"/>
      <w:r>
        <w:rPr>
          <w:rFonts w:hint="eastAsia" w:ascii="宋体" w:hAnsi="宋体"/>
          <w:color w:val="auto"/>
          <w:sz w:val="24"/>
          <w:highlight w:val="none"/>
        </w:rPr>
        <w:t>招标人：</w:t>
      </w:r>
      <w:r>
        <w:rPr>
          <w:rFonts w:hint="eastAsia" w:ascii="宋体" w:hAnsi="宋体"/>
          <w:color w:val="auto"/>
          <w:sz w:val="24"/>
          <w:highlight w:val="none"/>
          <w:lang w:eastAsia="zh-CN"/>
        </w:rPr>
        <w:t>三门县公路与运输管理中心</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联系人： </w:t>
      </w:r>
      <w:r>
        <w:rPr>
          <w:rFonts w:hint="eastAsia" w:ascii="宋体" w:hAnsi="宋体"/>
          <w:color w:val="auto"/>
          <w:sz w:val="24"/>
          <w:highlight w:val="none"/>
          <w:lang w:eastAsia="zh-CN"/>
        </w:rPr>
        <w:t>毛小天</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 xml:space="preserve">电  话： </w:t>
      </w:r>
      <w:r>
        <w:rPr>
          <w:rFonts w:hint="eastAsia" w:ascii="宋体" w:hAnsi="宋体"/>
          <w:color w:val="auto"/>
          <w:sz w:val="24"/>
          <w:highlight w:val="none"/>
          <w:lang w:eastAsia="zh-CN"/>
        </w:rPr>
        <w:t>15157673737</w:t>
      </w:r>
    </w:p>
    <w:p>
      <w:pPr>
        <w:pStyle w:val="2"/>
        <w:rPr>
          <w:rFonts w:hint="eastAsia"/>
          <w:color w:val="auto"/>
          <w:lang w:eastAsia="zh-CN"/>
        </w:rPr>
      </w:pP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 xml:space="preserve">招标代理：台州景珩建设管理有限公司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吴春莲</w:t>
      </w:r>
      <w:r>
        <w:rPr>
          <w:rFonts w:hint="eastAsia" w:ascii="宋体" w:hAnsi="宋体"/>
          <w:color w:val="auto"/>
          <w:sz w:val="24"/>
          <w:highlight w:val="none"/>
        </w:rPr>
        <w:t xml:space="preserve">      </w:t>
      </w:r>
      <w:bookmarkStart w:id="63" w:name="_GoBack"/>
      <w:bookmarkEnd w:id="63"/>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电话/传真：</w:t>
      </w:r>
      <w:r>
        <w:rPr>
          <w:rFonts w:hint="eastAsia" w:ascii="宋体" w:hAnsi="宋体"/>
          <w:color w:val="auto"/>
          <w:sz w:val="24"/>
          <w:highlight w:val="none"/>
          <w:lang w:eastAsia="zh-CN"/>
        </w:rPr>
        <w:t>0576-83519809</w:t>
      </w:r>
    </w:p>
    <w:p>
      <w:pPr>
        <w:spacing w:line="360" w:lineRule="auto"/>
        <w:ind w:firstLine="480" w:firstLineChars="200"/>
        <w:rPr>
          <w:rFonts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ind w:firstLine="5520" w:firstLineChars="2300"/>
        <w:rPr>
          <w:rFonts w:ascii="宋体" w:hAnsi="宋体"/>
          <w:color w:val="auto"/>
          <w:sz w:val="24"/>
          <w:highlight w:val="none"/>
        </w:rPr>
      </w:pP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三门县公路与运输管理中心</w:t>
      </w: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台州景珩建设管理有限公司</w:t>
      </w:r>
    </w:p>
    <w:p>
      <w:pPr>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p>
    <w:p>
      <w:pPr>
        <w:widowControl/>
        <w:jc w:val="left"/>
        <w:rPr>
          <w:rFonts w:ascii="宋体" w:hAnsi="宋体"/>
          <w:color w:val="auto"/>
          <w:sz w:val="24"/>
          <w:highlight w:val="none"/>
        </w:rPr>
      </w:pPr>
      <w:r>
        <w:rPr>
          <w:rFonts w:ascii="宋体" w:hAnsi="宋体"/>
          <w:color w:val="auto"/>
          <w:sz w:val="24"/>
          <w:highlight w:val="none"/>
        </w:rPr>
        <w:br w:type="page"/>
      </w:r>
    </w:p>
    <w:p>
      <w:pPr>
        <w:pStyle w:val="4"/>
        <w:spacing w:before="0" w:after="0" w:line="360" w:lineRule="auto"/>
        <w:jc w:val="center"/>
        <w:rPr>
          <w:rFonts w:ascii="宋体" w:hAnsi="宋体"/>
          <w:color w:val="auto"/>
          <w:sz w:val="36"/>
          <w:szCs w:val="36"/>
          <w:highlight w:val="none"/>
        </w:rPr>
      </w:pPr>
      <w:bookmarkStart w:id="7" w:name="_Toc40859285"/>
      <w:bookmarkStart w:id="8" w:name="_Toc38624161"/>
      <w:r>
        <w:rPr>
          <w:rFonts w:hint="eastAsia" w:ascii="宋体" w:hAnsi="宋体"/>
          <w:color w:val="auto"/>
          <w:sz w:val="36"/>
          <w:szCs w:val="36"/>
          <w:highlight w:val="none"/>
        </w:rPr>
        <w:t>第二章</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谈判内容</w:t>
      </w:r>
      <w:bookmarkEnd w:id="7"/>
      <w:bookmarkEnd w:id="8"/>
    </w:p>
    <w:p>
      <w:pPr>
        <w:pStyle w:val="11"/>
        <w:adjustRightInd w:val="0"/>
        <w:snapToGrid w:val="0"/>
        <w:spacing w:line="440" w:lineRule="atLeast"/>
        <w:rPr>
          <w:rFonts w:hint="eastAsia" w:hAnsi="宋体"/>
          <w:b/>
          <w:bCs/>
          <w:color w:val="auto"/>
          <w:sz w:val="21"/>
          <w:szCs w:val="21"/>
          <w:highlight w:val="none"/>
        </w:rPr>
      </w:pPr>
      <w:r>
        <w:rPr>
          <w:rFonts w:hint="eastAsia" w:hAnsi="宋体"/>
          <w:b/>
          <w:bCs/>
          <w:color w:val="auto"/>
          <w:sz w:val="21"/>
          <w:szCs w:val="21"/>
          <w:highlight w:val="none"/>
        </w:rPr>
        <w:t>一、</w:t>
      </w:r>
      <w:r>
        <w:rPr>
          <w:rFonts w:hint="eastAsia" w:hAnsi="宋体"/>
          <w:b/>
          <w:bCs/>
          <w:color w:val="auto"/>
          <w:sz w:val="21"/>
          <w:szCs w:val="21"/>
          <w:highlight w:val="none"/>
          <w:lang w:eastAsia="zh-CN"/>
        </w:rPr>
        <w:t>服务要求</w:t>
      </w:r>
      <w:r>
        <w:rPr>
          <w:rFonts w:hint="eastAsia" w:hAnsi="宋体"/>
          <w:b/>
          <w:bCs/>
          <w:color w:val="auto"/>
          <w:sz w:val="21"/>
          <w:szCs w:val="21"/>
          <w:highlight w:val="none"/>
        </w:rPr>
        <w:t>：</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（1） 检测人应本着严格试验检测、一丝不苟的原则，以</w:t>
      </w:r>
      <w:r>
        <w:rPr>
          <w:rFonts w:hint="eastAsia" w:ascii="宋体" w:hAnsi="宋体" w:cs="宋体"/>
          <w:color w:val="auto"/>
          <w:kern w:val="0"/>
          <w:szCs w:val="21"/>
          <w:lang w:eastAsia="zh-CN"/>
        </w:rPr>
        <w:t>检测合同</w:t>
      </w:r>
      <w:r>
        <w:rPr>
          <w:rFonts w:hint="eastAsia" w:ascii="宋体" w:hAnsi="宋体" w:cs="宋体"/>
          <w:color w:val="auto"/>
          <w:kern w:val="0"/>
          <w:szCs w:val="21"/>
        </w:rPr>
        <w:t>文件为依据，独立、公正地开展试验检测工作，保证试验检测数据客观、公正、准确。</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（2） 建立完善、有效的质量保证体系，并按照有关规定对仪器设备进行正常维护，定期检定或校准。</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（3） 建立健全档案管理制度，试验检测资料及时整理和归档，保证档案齐备，原始记录和试验检测报告内容真实、完整、规范。</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（4） 检测人应对试验检测数据的真实性负责。</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（5） 建立不合格报告台帐，并及时向发包人和质监机构报告。</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（6） 检测人应在签订合同后7天内向发包人提交实施性试验检测方案计划，发包人接到方案后5天内提出审查意见，检测人按照发包人批准的方案实施。</w:t>
      </w:r>
    </w:p>
    <w:p>
      <w:pPr>
        <w:adjustRightInd w:val="0"/>
        <w:snapToGrid w:val="0"/>
        <w:spacing w:line="360" w:lineRule="auto"/>
        <w:ind w:right="703" w:firstLine="525" w:firstLineChars="250"/>
        <w:rPr>
          <w:rFonts w:hint="eastAsia" w:ascii="宋体" w:hAnsi="宋体" w:cs="宋体"/>
          <w:color w:val="auto"/>
          <w:kern w:val="0"/>
          <w:szCs w:val="21"/>
          <w:highlight w:val="none"/>
        </w:rPr>
      </w:pPr>
      <w:r>
        <w:rPr>
          <w:rFonts w:hint="eastAsia" w:ascii="宋体" w:hAnsi="宋体" w:cs="宋体"/>
          <w:color w:val="auto"/>
          <w:kern w:val="0"/>
          <w:szCs w:val="21"/>
        </w:rPr>
        <w:t>（7） 在检测实施过程中，如出现检测数据异常等情况，检测人应于24小时内及时将信息告知发包人，全部检测任务完成后，按发包人要求及时提供试验检测报告。检测人应于试验检测实施后3天内提交试验检测结果，并于7天内提供完整的试验检测报</w:t>
      </w:r>
      <w:r>
        <w:rPr>
          <w:rFonts w:hint="eastAsia" w:ascii="宋体" w:hAnsi="宋体" w:cs="宋体"/>
          <w:color w:val="auto"/>
          <w:kern w:val="0"/>
          <w:szCs w:val="21"/>
          <w:highlight w:val="none"/>
        </w:rPr>
        <w:t>告，所有试验检测报告应提供一式</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份。</w:t>
      </w:r>
    </w:p>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rPr>
        <w:t>二、招标项目概况：</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967"/>
        <w:gridCol w:w="1005"/>
        <w:gridCol w:w="1440"/>
        <w:gridCol w:w="269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序号</w:t>
            </w:r>
          </w:p>
        </w:tc>
        <w:tc>
          <w:tcPr>
            <w:tcW w:w="193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项目名称</w:t>
            </w:r>
          </w:p>
        </w:tc>
        <w:tc>
          <w:tcPr>
            <w:tcW w:w="967"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数量</w:t>
            </w:r>
          </w:p>
        </w:tc>
        <w:tc>
          <w:tcPr>
            <w:tcW w:w="1005"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单位</w:t>
            </w:r>
          </w:p>
        </w:tc>
        <w:tc>
          <w:tcPr>
            <w:tcW w:w="1440" w:type="dxa"/>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总价</w:t>
            </w:r>
          </w:p>
        </w:tc>
        <w:tc>
          <w:tcPr>
            <w:tcW w:w="2694"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简要规格描述</w:t>
            </w:r>
          </w:p>
        </w:tc>
        <w:tc>
          <w:tcPr>
            <w:tcW w:w="772"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1933" w:type="dxa"/>
            <w:vAlign w:val="center"/>
          </w:tcPr>
          <w:p>
            <w:pPr>
              <w:widowControl/>
              <w:spacing w:line="3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2023年三门县县道公路桥梁定期检查项目</w:t>
            </w:r>
          </w:p>
        </w:tc>
        <w:tc>
          <w:tcPr>
            <w:tcW w:w="967"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1005" w:type="dxa"/>
            <w:vAlign w:val="center"/>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项</w:t>
            </w:r>
          </w:p>
        </w:tc>
        <w:tc>
          <w:tcPr>
            <w:tcW w:w="1440" w:type="dxa"/>
            <w:vAlign w:val="center"/>
          </w:tcPr>
          <w:p>
            <w:pPr>
              <w:widowControl/>
              <w:spacing w:line="400" w:lineRule="atLeast"/>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29.9万元</w:t>
            </w:r>
          </w:p>
        </w:tc>
        <w:tc>
          <w:tcPr>
            <w:tcW w:w="2694" w:type="dxa"/>
            <w:vAlign w:val="center"/>
          </w:tcPr>
          <w:p>
            <w:pPr>
              <w:widowControl/>
              <w:spacing w:line="300" w:lineRule="atLeast"/>
              <w:ind w:firstLine="630" w:firstLineChars="300"/>
              <w:rPr>
                <w:rFonts w:ascii="宋体"/>
                <w:color w:val="auto"/>
                <w:sz w:val="21"/>
                <w:szCs w:val="21"/>
                <w:highlight w:val="none"/>
              </w:rPr>
            </w:pPr>
            <w:r>
              <w:rPr>
                <w:rFonts w:hint="eastAsia" w:ascii="宋体" w:hAnsi="宋体"/>
                <w:color w:val="auto"/>
                <w:sz w:val="21"/>
                <w:szCs w:val="21"/>
                <w:highlight w:val="none"/>
                <w:lang w:eastAsia="zh-CN"/>
              </w:rPr>
              <w:t>桥梁检测的服务。</w:t>
            </w:r>
          </w:p>
        </w:tc>
        <w:tc>
          <w:tcPr>
            <w:tcW w:w="772" w:type="dxa"/>
            <w:vAlign w:val="center"/>
          </w:tcPr>
          <w:p>
            <w:pPr>
              <w:widowControl/>
              <w:spacing w:line="300" w:lineRule="atLeast"/>
              <w:jc w:val="center"/>
              <w:rPr>
                <w:rFonts w:ascii="宋体"/>
                <w:color w:val="auto"/>
                <w:sz w:val="21"/>
                <w:szCs w:val="21"/>
                <w:highlight w:val="none"/>
              </w:rPr>
            </w:pPr>
          </w:p>
        </w:tc>
      </w:tr>
    </w:tbl>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lang w:eastAsia="zh-CN"/>
        </w:rPr>
        <w:t>三</w:t>
      </w:r>
      <w:r>
        <w:rPr>
          <w:rFonts w:hint="eastAsia" w:hAnsi="宋体"/>
          <w:b/>
          <w:bCs/>
          <w:color w:val="auto"/>
          <w:sz w:val="21"/>
          <w:szCs w:val="21"/>
          <w:highlight w:val="none"/>
        </w:rPr>
        <w:t>、供应商报价要求：</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eastAsia="zh-CN"/>
        </w:rPr>
        <w:t>本项目上限价为</w:t>
      </w:r>
      <w:r>
        <w:rPr>
          <w:rFonts w:hint="eastAsia" w:hAnsi="宋体"/>
          <w:color w:val="auto"/>
          <w:sz w:val="21"/>
          <w:szCs w:val="21"/>
          <w:highlight w:val="none"/>
          <w:lang w:val="en-US" w:eastAsia="zh-CN"/>
        </w:rPr>
        <w:t>29.9万元，报价超过上限价的为无效标</w:t>
      </w:r>
      <w:r>
        <w:rPr>
          <w:rFonts w:hint="eastAsia" w:hAnsi="宋体"/>
          <w:color w:val="auto"/>
          <w:sz w:val="21"/>
          <w:szCs w:val="21"/>
          <w:highlight w:val="none"/>
        </w:rPr>
        <w:t>。</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供应商应考虑自身实力、经验及项目实施过程中的各种因素，根据采购要求，详细说明所能提供的各项具体服务内容，自主确定报价</w:t>
      </w:r>
      <w:r>
        <w:rPr>
          <w:rFonts w:hint="eastAsia" w:hAnsi="宋体"/>
          <w:color w:val="auto"/>
          <w:sz w:val="21"/>
          <w:szCs w:val="21"/>
          <w:highlight w:val="none"/>
        </w:rPr>
        <w:t>，实行固定</w:t>
      </w:r>
      <w:r>
        <w:rPr>
          <w:rFonts w:hint="eastAsia" w:hAnsi="宋体"/>
          <w:color w:val="auto"/>
          <w:sz w:val="21"/>
          <w:szCs w:val="21"/>
          <w:highlight w:val="none"/>
          <w:lang w:eastAsia="zh-CN"/>
        </w:rPr>
        <w:t>总</w:t>
      </w:r>
      <w:r>
        <w:rPr>
          <w:rFonts w:hint="eastAsia" w:hAnsi="宋体"/>
          <w:color w:val="auto"/>
          <w:sz w:val="21"/>
          <w:szCs w:val="21"/>
          <w:highlight w:val="none"/>
        </w:rPr>
        <w:t>价包干。</w:t>
      </w:r>
    </w:p>
    <w:p>
      <w:pPr>
        <w:pStyle w:val="11"/>
        <w:adjustRightInd w:val="0"/>
        <w:snapToGrid w:val="0"/>
        <w:spacing w:line="440" w:lineRule="atLeast"/>
        <w:ind w:firstLine="482"/>
        <w:rPr>
          <w:rFonts w:hint="eastAsia" w:hAnsi="宋体"/>
          <w:color w:val="auto"/>
          <w:sz w:val="21"/>
          <w:szCs w:val="21"/>
          <w:highlight w:val="none"/>
        </w:rPr>
      </w:pPr>
      <w:r>
        <w:rPr>
          <w:rFonts w:hint="eastAsia" w:hAnsi="宋体"/>
          <w:color w:val="auto"/>
          <w:sz w:val="21"/>
          <w:szCs w:val="21"/>
          <w:highlight w:val="none"/>
        </w:rPr>
        <w:t>（3）此次报价实行固定</w:t>
      </w:r>
      <w:r>
        <w:rPr>
          <w:rFonts w:hint="eastAsia" w:hAnsi="宋体"/>
          <w:color w:val="auto"/>
          <w:sz w:val="21"/>
          <w:szCs w:val="21"/>
          <w:highlight w:val="none"/>
          <w:lang w:eastAsia="zh-CN"/>
        </w:rPr>
        <w:t>总</w:t>
      </w:r>
      <w:r>
        <w:rPr>
          <w:rFonts w:hint="eastAsia" w:hAnsi="宋体"/>
          <w:color w:val="auto"/>
          <w:sz w:val="21"/>
          <w:szCs w:val="21"/>
          <w:highlight w:val="none"/>
        </w:rPr>
        <w:t>价包干，本项目在合同实施期间，费用不随国家政策或法规、标准及市场因素、材料价格、施工工期的变化而进行调整</w:t>
      </w:r>
      <w:r>
        <w:rPr>
          <w:rFonts w:hint="eastAsia" w:hAnsi="宋体"/>
          <w:color w:val="auto"/>
          <w:sz w:val="21"/>
          <w:szCs w:val="21"/>
          <w:highlight w:val="none"/>
          <w:lang w:eastAsia="zh-CN"/>
        </w:rPr>
        <w:t>，</w:t>
      </w:r>
      <w:r>
        <w:rPr>
          <w:rFonts w:hint="eastAsia" w:hAnsi="宋体"/>
          <w:color w:val="auto"/>
          <w:sz w:val="21"/>
          <w:szCs w:val="21"/>
          <w:highlight w:val="none"/>
        </w:rPr>
        <w:t>投标供应商需充分考虑风险。</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4）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pStyle w:val="11"/>
        <w:adjustRightInd w:val="0"/>
        <w:snapToGrid w:val="0"/>
        <w:spacing w:line="440" w:lineRule="atLeast"/>
        <w:ind w:firstLine="482"/>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四、付款方式</w:t>
      </w:r>
    </w:p>
    <w:p>
      <w:pPr>
        <w:pStyle w:val="1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olor w:val="auto"/>
          <w:sz w:val="21"/>
          <w:szCs w:val="21"/>
          <w:highlight w:val="none"/>
          <w:lang w:eastAsia="zh-CN"/>
        </w:rPr>
      </w:pPr>
      <w:r>
        <w:rPr>
          <w:rFonts w:hint="eastAsia" w:hAnsi="宋体"/>
          <w:color w:val="auto"/>
          <w:sz w:val="21"/>
          <w:szCs w:val="21"/>
          <w:highlight w:val="none"/>
          <w:lang w:eastAsia="zh-CN"/>
        </w:rPr>
        <w:t>检测报告提交并通过评审后</w:t>
      </w:r>
      <w:r>
        <w:rPr>
          <w:rFonts w:hint="eastAsia" w:hAnsi="宋体"/>
          <w:color w:val="auto"/>
          <w:sz w:val="21"/>
          <w:szCs w:val="21"/>
          <w:highlight w:val="none"/>
          <w:lang w:val="en-US" w:eastAsia="zh-CN"/>
        </w:rPr>
        <w:t>一个月</w:t>
      </w:r>
      <w:r>
        <w:rPr>
          <w:rFonts w:hint="eastAsia" w:hAnsi="宋体"/>
          <w:color w:val="auto"/>
          <w:sz w:val="21"/>
          <w:szCs w:val="21"/>
          <w:highlight w:val="none"/>
          <w:lang w:eastAsia="zh-CN"/>
        </w:rPr>
        <w:t>内支付所有款项</w:t>
      </w:r>
      <w:r>
        <w:rPr>
          <w:rFonts w:hint="eastAsia" w:ascii="宋体" w:hAnsi="宋体" w:cs="宋体"/>
          <w:color w:val="auto"/>
          <w:szCs w:val="21"/>
          <w:highlight w:val="none"/>
        </w:rPr>
        <w:t>。</w:t>
      </w:r>
    </w:p>
    <w:p>
      <w:pPr>
        <w:pStyle w:val="11"/>
        <w:keepNext w:val="0"/>
        <w:keepLines w:val="0"/>
        <w:pageBreakBefore w:val="0"/>
        <w:numPr>
          <w:ilvl w:val="0"/>
          <w:numId w:val="2"/>
        </w:numPr>
        <w:kinsoku/>
        <w:wordWrap/>
        <w:overflowPunct/>
        <w:topLinePunct w:val="0"/>
        <w:autoSpaceDE/>
        <w:autoSpaceDN/>
        <w:bidi w:val="0"/>
        <w:adjustRightInd w:val="0"/>
        <w:snapToGrid w:val="0"/>
        <w:spacing w:line="440" w:lineRule="exact"/>
        <w:ind w:firstLine="211" w:firstLineChars="100"/>
        <w:textAlignment w:val="auto"/>
        <w:rPr>
          <w:rFonts w:hint="eastAsia"/>
          <w:color w:val="auto"/>
          <w:sz w:val="21"/>
          <w:szCs w:val="21"/>
          <w:highlight w:val="none"/>
          <w:lang w:eastAsia="zh-CN"/>
        </w:rPr>
      </w:pPr>
      <w:r>
        <w:rPr>
          <w:rFonts w:hint="eastAsia" w:hAnsi="宋体"/>
          <w:b/>
          <w:bCs/>
          <w:color w:val="auto"/>
          <w:sz w:val="21"/>
          <w:szCs w:val="21"/>
          <w:highlight w:val="none"/>
        </w:rPr>
        <w:t>服务期：</w:t>
      </w:r>
      <w:r>
        <w:rPr>
          <w:rFonts w:hint="eastAsia"/>
          <w:color w:val="auto"/>
          <w:sz w:val="21"/>
          <w:szCs w:val="21"/>
          <w:highlight w:val="none"/>
          <w:lang w:val="en-US" w:eastAsia="zh-CN"/>
        </w:rPr>
        <w:t>3</w:t>
      </w:r>
      <w:r>
        <w:rPr>
          <w:rFonts w:hint="eastAsia"/>
          <w:color w:val="auto"/>
          <w:sz w:val="21"/>
          <w:szCs w:val="21"/>
          <w:highlight w:val="none"/>
          <w:lang w:eastAsia="zh-CN"/>
        </w:rPr>
        <w:t>0日历天。</w:t>
      </w:r>
    </w:p>
    <w:p>
      <w:pPr>
        <w:pStyle w:val="11"/>
        <w:keepNext w:val="0"/>
        <w:keepLines w:val="0"/>
        <w:pageBreakBefore w:val="0"/>
        <w:numPr>
          <w:ilvl w:val="0"/>
          <w:numId w:val="0"/>
        </w:numPr>
        <w:kinsoku/>
        <w:wordWrap/>
        <w:overflowPunct/>
        <w:topLinePunct w:val="0"/>
        <w:autoSpaceDE/>
        <w:autoSpaceDN/>
        <w:bidi w:val="0"/>
        <w:adjustRightInd w:val="0"/>
        <w:snapToGrid w:val="0"/>
        <w:spacing w:line="440" w:lineRule="exact"/>
        <w:ind w:firstLine="211" w:firstLineChars="100"/>
        <w:textAlignment w:val="auto"/>
        <w:rPr>
          <w:rFonts w:ascii="宋体" w:hAnsi="宋体" w:cs="宋体"/>
          <w:color w:val="auto"/>
          <w:szCs w:val="21"/>
          <w:highlight w:val="none"/>
        </w:rPr>
      </w:pPr>
      <w:r>
        <w:rPr>
          <w:rFonts w:hint="eastAsia" w:ascii="宋体" w:hAnsi="宋体" w:eastAsia="宋体" w:cs="Times New Roman"/>
          <w:b/>
          <w:bCs/>
          <w:color w:val="auto"/>
          <w:kern w:val="2"/>
          <w:sz w:val="21"/>
          <w:szCs w:val="21"/>
          <w:highlight w:val="none"/>
          <w:lang w:val="en-US" w:eastAsia="zh-CN" w:bidi="ar-SA"/>
        </w:rPr>
        <w:t>六、履约保证金金额：</w:t>
      </w:r>
      <w:r>
        <w:rPr>
          <w:rFonts w:hint="eastAsia" w:hAnsi="宋体" w:cs="Times New Roman"/>
          <w:b w:val="0"/>
          <w:bCs w:val="0"/>
          <w:color w:val="auto"/>
          <w:kern w:val="2"/>
          <w:sz w:val="21"/>
          <w:szCs w:val="21"/>
          <w:highlight w:val="none"/>
          <w:lang w:val="en-US" w:eastAsia="zh-CN" w:bidi="ar-SA"/>
        </w:rPr>
        <w:t>本项目无</w:t>
      </w:r>
      <w:r>
        <w:rPr>
          <w:rFonts w:hint="eastAsia" w:ascii="宋体" w:hAnsi="宋体" w:eastAsia="宋体" w:cs="Times New Roman"/>
          <w:b w:val="0"/>
          <w:bCs w:val="0"/>
          <w:color w:val="auto"/>
          <w:kern w:val="2"/>
          <w:sz w:val="21"/>
          <w:szCs w:val="21"/>
          <w:highlight w:val="none"/>
          <w:lang w:val="en-US" w:eastAsia="zh-CN" w:bidi="ar-SA"/>
        </w:rPr>
        <w:t>履约保证金</w:t>
      </w:r>
    </w:p>
    <w:p>
      <w:pPr>
        <w:rPr>
          <w:rFonts w:hint="eastAsia"/>
          <w:color w:val="auto"/>
        </w:rPr>
      </w:pPr>
    </w:p>
    <w:p>
      <w:pPr>
        <w:numPr>
          <w:ilvl w:val="0"/>
          <w:numId w:val="0"/>
        </w:numPr>
        <w:spacing w:line="360" w:lineRule="auto"/>
        <w:ind w:leftChars="0"/>
        <w:jc w:val="left"/>
        <w:rPr>
          <w:rFonts w:hint="eastAsia"/>
          <w:b/>
          <w:color w:val="auto"/>
          <w:kern w:val="0"/>
          <w:szCs w:val="21"/>
        </w:rPr>
      </w:pPr>
      <w:r>
        <w:rPr>
          <w:rFonts w:hint="eastAsia"/>
          <w:b/>
          <w:color w:val="auto"/>
          <w:kern w:val="0"/>
          <w:szCs w:val="21"/>
          <w:lang w:eastAsia="zh-CN"/>
        </w:rPr>
        <w:t>七、</w:t>
      </w:r>
      <w:r>
        <w:rPr>
          <w:rFonts w:hint="eastAsia"/>
          <w:b/>
          <w:color w:val="auto"/>
          <w:kern w:val="0"/>
          <w:szCs w:val="21"/>
        </w:rPr>
        <w:t>质量验收标准：</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（1）质量标准：合格。</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（2）严格按照桥梁检测国家和浙江省强制性技术标准、规范和规程的要求。具体标准、规范如下（不限于）：</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1.《公路隧道养护技术规范》</w:t>
      </w:r>
      <w:r>
        <w:rPr>
          <w:rFonts w:hint="eastAsia" w:ascii="宋体" w:hAnsi="宋体" w:cs="Arial"/>
          <w:bCs/>
          <w:color w:val="auto"/>
          <w:kern w:val="0"/>
          <w:szCs w:val="21"/>
          <w:lang w:eastAsia="zh-CN"/>
        </w:rPr>
        <w:t>（</w:t>
      </w:r>
      <w:r>
        <w:rPr>
          <w:rFonts w:hint="eastAsia" w:ascii="宋体" w:hAnsi="宋体" w:cs="Arial"/>
          <w:bCs/>
          <w:color w:val="auto"/>
          <w:kern w:val="0"/>
          <w:szCs w:val="21"/>
        </w:rPr>
        <w:t>JTG-H12-2015</w:t>
      </w:r>
      <w:r>
        <w:rPr>
          <w:rFonts w:hint="eastAsia" w:ascii="宋体" w:hAnsi="宋体" w:cs="Arial"/>
          <w:bCs/>
          <w:color w:val="auto"/>
          <w:kern w:val="0"/>
          <w:szCs w:val="21"/>
          <w:lang w:eastAsia="zh-CN"/>
        </w:rPr>
        <w:t>）</w:t>
      </w:r>
      <w:r>
        <w:rPr>
          <w:rFonts w:hint="eastAsia" w:ascii="宋体" w:hAnsi="宋体" w:cs="Arial"/>
          <w:bCs/>
          <w:color w:val="auto"/>
          <w:kern w:val="0"/>
          <w:szCs w:val="21"/>
        </w:rPr>
        <w:t>；</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2.《公路桥涵养护规范》（JTG-5120-2021）；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3.《城市桥梁设计荷载标准》（CJJ11-2011）；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4.《超声波检测混凝土缺陷技术规程》（CECS21：2011）；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5.《回弹法检测混凝土抗压强度技术规程》（JGJ/T23-2011）；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6.《公路桥梁承载能力检测评定规程》（</w:t>
      </w:r>
      <w:r>
        <w:rPr>
          <w:rFonts w:hint="eastAsia" w:ascii="宋体" w:hAnsi="宋体" w:cs="Arial"/>
          <w:bCs/>
          <w:color w:val="auto"/>
          <w:kern w:val="0"/>
          <w:szCs w:val="21"/>
        </w:rPr>
        <w:fldChar w:fldCharType="begin"/>
      </w:r>
      <w:r>
        <w:rPr>
          <w:rFonts w:hint="eastAsia" w:ascii="宋体" w:hAnsi="宋体" w:cs="Arial"/>
          <w:bCs/>
          <w:color w:val="auto"/>
          <w:kern w:val="0"/>
          <w:szCs w:val="21"/>
        </w:rPr>
        <w:instrText xml:space="preserve"> HYPERLINK "http://www.csres.com/detail/220533.html" \t "_blank" </w:instrText>
      </w:r>
      <w:r>
        <w:rPr>
          <w:rFonts w:hint="eastAsia" w:ascii="宋体" w:hAnsi="宋体" w:cs="Arial"/>
          <w:bCs/>
          <w:color w:val="auto"/>
          <w:kern w:val="0"/>
          <w:szCs w:val="21"/>
        </w:rPr>
        <w:fldChar w:fldCharType="separate"/>
      </w:r>
      <w:r>
        <w:rPr>
          <w:rFonts w:hint="eastAsia" w:ascii="宋体" w:hAnsi="宋体" w:cs="Arial"/>
          <w:bCs/>
          <w:color w:val="auto"/>
          <w:kern w:val="0"/>
          <w:szCs w:val="21"/>
        </w:rPr>
        <w:t>JTG/T J21-2011</w:t>
      </w:r>
      <w:r>
        <w:rPr>
          <w:rFonts w:hint="eastAsia" w:ascii="宋体" w:hAnsi="宋体" w:cs="Arial"/>
          <w:bCs/>
          <w:color w:val="auto"/>
          <w:kern w:val="0"/>
          <w:szCs w:val="21"/>
        </w:rPr>
        <w:fldChar w:fldCharType="end"/>
      </w:r>
      <w:r>
        <w:rPr>
          <w:rFonts w:hint="eastAsia" w:ascii="宋体" w:hAnsi="宋体" w:cs="Arial"/>
          <w:bCs/>
          <w:color w:val="auto"/>
          <w:kern w:val="0"/>
          <w:szCs w:val="21"/>
        </w:rPr>
        <w:t>）；</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7.《公路钢筋混凝土及预应变混凝土桥涵设计规范》（JTG D62-2004）；</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8.《公路桥涵设计通用规范》（JTG D60-2004）；</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9.《混凝土结构设计规范》（GB50010-2002）；</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10.《混凝土结构加固设计规范》（GB 50367-2006）；</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11.《公路桥梁加固设计规范》（JTG/T22-2008）；</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12.《城市桥梁检测和养护维修管理办法》 2004；</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13.《工程测量规范》（GB50026-2007）；</w:t>
      </w:r>
    </w:p>
    <w:p>
      <w:pPr>
        <w:snapToGrid w:val="0"/>
        <w:spacing w:line="480" w:lineRule="auto"/>
        <w:rPr>
          <w:rFonts w:hint="eastAsia" w:ascii="宋体"/>
          <w:color w:val="auto"/>
          <w:kern w:val="0"/>
          <w:szCs w:val="21"/>
        </w:rPr>
      </w:pPr>
      <w:r>
        <w:rPr>
          <w:rFonts w:hint="eastAsia" w:ascii="宋体" w:hAnsi="宋体" w:cs="Arial"/>
          <w:bCs/>
          <w:color w:val="auto"/>
          <w:kern w:val="0"/>
          <w:szCs w:val="21"/>
        </w:rPr>
        <w:t>14.《公路桥梁技术状况评定标准》（JTG/T  H21-2011）。</w:t>
      </w:r>
    </w:p>
    <w:p>
      <w:pPr>
        <w:spacing w:line="480" w:lineRule="auto"/>
        <w:ind w:firstLine="422" w:firstLineChars="200"/>
        <w:rPr>
          <w:rFonts w:ascii="Arial" w:hAnsi="Arial" w:cs="Arial"/>
          <w:b/>
          <w:bCs/>
          <w:color w:val="auto"/>
        </w:rPr>
      </w:pPr>
      <w:r>
        <w:rPr>
          <w:rFonts w:hint="eastAsia"/>
          <w:b/>
          <w:color w:val="auto"/>
          <w:kern w:val="0"/>
          <w:szCs w:val="21"/>
          <w:lang w:eastAsia="zh-CN"/>
        </w:rPr>
        <w:t>八</w:t>
      </w:r>
      <w:r>
        <w:rPr>
          <w:rFonts w:hint="eastAsia"/>
          <w:b/>
          <w:color w:val="auto"/>
          <w:kern w:val="0"/>
          <w:szCs w:val="21"/>
        </w:rPr>
        <w:t>、</w:t>
      </w:r>
      <w:r>
        <w:rPr>
          <w:rFonts w:ascii="Arial" w:hAnsi="宋体" w:cs="Arial"/>
          <w:b/>
          <w:bCs/>
          <w:color w:val="auto"/>
        </w:rPr>
        <w:t>具体技术需求</w:t>
      </w:r>
    </w:p>
    <w:p>
      <w:pPr>
        <w:spacing w:line="360" w:lineRule="auto"/>
        <w:ind w:firstLine="422" w:firstLineChars="200"/>
        <w:jc w:val="left"/>
        <w:rPr>
          <w:rFonts w:ascii="Arial" w:hAnsi="Arial" w:cs="Arial"/>
          <w:b/>
          <w:bCs/>
          <w:color w:val="auto"/>
          <w:szCs w:val="21"/>
        </w:rPr>
      </w:pPr>
      <w:r>
        <w:rPr>
          <w:rFonts w:ascii="Arial" w:hAnsi="宋体" w:cs="Arial"/>
          <w:b/>
          <w:bCs/>
          <w:color w:val="auto"/>
          <w:szCs w:val="21"/>
        </w:rPr>
        <w:t>（</w:t>
      </w:r>
      <w:r>
        <w:rPr>
          <w:rFonts w:ascii="Arial" w:hAnsi="Arial" w:cs="Arial"/>
          <w:b/>
          <w:bCs/>
          <w:color w:val="auto"/>
          <w:szCs w:val="21"/>
        </w:rPr>
        <w:t>1</w:t>
      </w:r>
      <w:r>
        <w:rPr>
          <w:rFonts w:ascii="Arial" w:hAnsi="宋体" w:cs="Arial"/>
          <w:b/>
          <w:bCs/>
          <w:color w:val="auto"/>
          <w:szCs w:val="21"/>
        </w:rPr>
        <w:t>）桥梁外观检查：对桥梁（含桥头引道）的外观状态进行全面检查，进一步掌握桥梁的工作状态，至少应包括以下内容：</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a</w:t>
      </w:r>
      <w:r>
        <w:rPr>
          <w:rFonts w:ascii="Arial" w:hAnsi="宋体" w:cs="Arial"/>
          <w:bCs/>
          <w:color w:val="auto"/>
          <w:szCs w:val="21"/>
        </w:rPr>
        <w:t>、桥梁的基本几何尺寸调查，包括截面尺寸、跨径等；</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b</w:t>
      </w:r>
      <w:r>
        <w:rPr>
          <w:rFonts w:ascii="Arial" w:hAnsi="宋体" w:cs="Arial"/>
          <w:bCs/>
          <w:color w:val="auto"/>
          <w:szCs w:val="21"/>
        </w:rPr>
        <w:t>、检查梁体混凝土有无风化、剥落、破损、钢筋外露锈蚀等病害情况，并检查梁体是否存在不正常的变位；</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c</w:t>
      </w:r>
      <w:r>
        <w:rPr>
          <w:rFonts w:ascii="Arial" w:hAnsi="宋体" w:cs="Arial"/>
          <w:bCs/>
          <w:color w:val="auto"/>
          <w:szCs w:val="21"/>
        </w:rPr>
        <w:t>、检查梁体是否有裂缝出现及裂缝的分布情况，对于预应力混凝土结构着重检查梁体有无裂缝出现，若存在裂缝则详细调查其分布情况（含长度、宽度、分布范围等），并详细分析裂缝产生的原因。对于普通钢筋混凝土结构需掌握裂缝的分布情况绘制相应的裂缝分布图，若裂缝宽度超出规范限值要求则应进行详细调查；</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d</w:t>
      </w:r>
      <w:r>
        <w:rPr>
          <w:rFonts w:ascii="Arial" w:hAnsi="宋体" w:cs="Arial"/>
          <w:bCs/>
          <w:color w:val="auto"/>
          <w:szCs w:val="21"/>
        </w:rPr>
        <w:t>、检查支座工作是否正常，有无错位、断裂及脱空等情况；</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e</w:t>
      </w:r>
      <w:r>
        <w:rPr>
          <w:rFonts w:ascii="Arial" w:hAnsi="宋体" w:cs="Arial"/>
          <w:bCs/>
          <w:color w:val="auto"/>
          <w:szCs w:val="21"/>
        </w:rPr>
        <w:t>、墩台与基础的检查，包括是否滑动、开裂和下沉，墩台和帽梁有无混凝土剥落及钢筋锈蚀等情况；</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f</w:t>
      </w:r>
      <w:r>
        <w:rPr>
          <w:rFonts w:ascii="Arial" w:hAnsi="宋体" w:cs="Arial"/>
          <w:bCs/>
          <w:color w:val="auto"/>
          <w:szCs w:val="21"/>
        </w:rPr>
        <w:t>、桥梁结构的检查，包括混凝土裂缝、渗水、露筋及钢筋锈蚀情况；</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g</w:t>
      </w:r>
      <w:r>
        <w:rPr>
          <w:rFonts w:ascii="Arial" w:hAnsi="宋体" w:cs="Arial"/>
          <w:bCs/>
          <w:color w:val="auto"/>
          <w:szCs w:val="21"/>
        </w:rPr>
        <w:t>、桥面系构造的检查，包括桥面铺装、伸缩缝、人行道构件、桥面横纵坡顺适、排水构造物、桥上交通设施的检查；</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h</w:t>
      </w:r>
      <w:r>
        <w:rPr>
          <w:rFonts w:ascii="Arial" w:hAnsi="宋体" w:cs="Arial"/>
          <w:bCs/>
          <w:color w:val="auto"/>
          <w:szCs w:val="21"/>
        </w:rPr>
        <w:t>、检测中发现的桥梁病害应做出记录，重要病害应在现场做出标记，超标的裂缝应该设永久裂缝观测标记，以便以后观测；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i</w:t>
      </w:r>
      <w:r>
        <w:rPr>
          <w:rFonts w:ascii="Arial" w:hAnsi="宋体" w:cs="Arial"/>
          <w:bCs/>
          <w:color w:val="auto"/>
          <w:szCs w:val="21"/>
        </w:rPr>
        <w:t>、根据桥梁外观检查情况，分别计算出桥梁的桥面系、上部结构、下部结构的</w:t>
      </w:r>
      <w:r>
        <w:rPr>
          <w:rFonts w:ascii="Arial" w:hAnsi="Arial" w:cs="Arial"/>
          <w:bCs/>
          <w:color w:val="auto"/>
          <w:szCs w:val="21"/>
        </w:rPr>
        <w:t>BCI</w:t>
      </w:r>
      <w:r>
        <w:rPr>
          <w:rFonts w:ascii="Arial" w:hAnsi="宋体" w:cs="Arial"/>
          <w:bCs/>
          <w:color w:val="auto"/>
          <w:szCs w:val="21"/>
        </w:rPr>
        <w:t>值以及全桥的</w:t>
      </w:r>
      <w:r>
        <w:rPr>
          <w:rFonts w:ascii="Arial" w:hAnsi="Arial" w:cs="Arial"/>
          <w:bCs/>
          <w:color w:val="auto"/>
          <w:szCs w:val="21"/>
        </w:rPr>
        <w:t>BCI</w:t>
      </w:r>
      <w:r>
        <w:rPr>
          <w:rFonts w:ascii="Arial" w:hAnsi="宋体" w:cs="Arial"/>
          <w:bCs/>
          <w:color w:val="auto"/>
          <w:szCs w:val="21"/>
        </w:rPr>
        <w:t>值，划分其技术状态等级。</w:t>
      </w:r>
    </w:p>
    <w:p>
      <w:pPr>
        <w:spacing w:line="360" w:lineRule="auto"/>
        <w:ind w:firstLine="422" w:firstLineChars="200"/>
        <w:jc w:val="left"/>
        <w:rPr>
          <w:rFonts w:ascii="Arial" w:hAnsi="Arial" w:cs="Arial"/>
          <w:b/>
          <w:bCs/>
          <w:color w:val="auto"/>
          <w:szCs w:val="21"/>
        </w:rPr>
      </w:pPr>
      <w:r>
        <w:rPr>
          <w:rFonts w:ascii="Arial" w:hAnsi="宋体" w:cs="Arial"/>
          <w:b/>
          <w:bCs/>
          <w:color w:val="auto"/>
          <w:szCs w:val="21"/>
        </w:rPr>
        <w:t>（</w:t>
      </w:r>
      <w:r>
        <w:rPr>
          <w:rFonts w:ascii="Arial" w:hAnsi="Arial" w:cs="Arial"/>
          <w:b/>
          <w:bCs/>
          <w:color w:val="auto"/>
          <w:szCs w:val="21"/>
        </w:rPr>
        <w:t>2</w:t>
      </w:r>
      <w:r>
        <w:rPr>
          <w:rFonts w:ascii="Arial" w:hAnsi="宋体" w:cs="Arial"/>
          <w:b/>
          <w:bCs/>
          <w:color w:val="auto"/>
          <w:szCs w:val="21"/>
        </w:rPr>
        <w:t>）桥梁主要构件的无损检测：对桥梁的梁体、墩柱、桥台等主要构件进行无损检测，至少应包含以下内容：</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a</w:t>
      </w:r>
      <w:r>
        <w:rPr>
          <w:rFonts w:ascii="Arial" w:hAnsi="宋体" w:cs="Arial"/>
          <w:bCs/>
          <w:color w:val="auto"/>
          <w:szCs w:val="21"/>
        </w:rPr>
        <w:t>、检测混凝土的强度、碳化深度；</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b</w:t>
      </w:r>
      <w:r>
        <w:rPr>
          <w:rFonts w:ascii="Arial" w:hAnsi="宋体" w:cs="Arial"/>
          <w:bCs/>
          <w:color w:val="auto"/>
          <w:szCs w:val="21"/>
        </w:rPr>
        <w:t>、测量裂缝深度和宽度；</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c</w:t>
      </w:r>
      <w:r>
        <w:rPr>
          <w:rFonts w:ascii="Arial" w:hAnsi="宋体" w:cs="Arial"/>
          <w:bCs/>
          <w:color w:val="auto"/>
          <w:szCs w:val="21"/>
        </w:rPr>
        <w:t>、探测混凝土保护层厚度；</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d</w:t>
      </w:r>
      <w:r>
        <w:rPr>
          <w:rFonts w:ascii="Arial" w:hAnsi="宋体" w:cs="Arial"/>
          <w:bCs/>
          <w:color w:val="auto"/>
          <w:szCs w:val="21"/>
        </w:rPr>
        <w:t>、根据桥梁外观检查结果对钢筋的锈蚀情况进行检测；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e</w:t>
      </w:r>
      <w:r>
        <w:rPr>
          <w:rFonts w:ascii="Arial" w:hAnsi="宋体" w:cs="Arial"/>
          <w:bCs/>
          <w:color w:val="auto"/>
          <w:szCs w:val="21"/>
        </w:rPr>
        <w:t>、对拱桥的吊杆及其锈蚀情况进行检测；对斜拉板桥的斜拉板、桥塔进行检测；对自锚式悬索桥的吊杆、大缆、桥塔进行检测；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f</w:t>
      </w:r>
      <w:r>
        <w:rPr>
          <w:rFonts w:ascii="Arial" w:hAnsi="宋体" w:cs="Arial"/>
          <w:bCs/>
          <w:color w:val="auto"/>
          <w:szCs w:val="21"/>
        </w:rPr>
        <w:t>、水下结构及基础的冲刷等病害检测。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g</w:t>
      </w:r>
      <w:r>
        <w:rPr>
          <w:rFonts w:ascii="Arial" w:hAnsi="宋体" w:cs="Arial"/>
          <w:bCs/>
          <w:color w:val="auto"/>
          <w:szCs w:val="21"/>
        </w:rPr>
        <w:t>、检测不得对桥梁结构造成损坏，对桥梁混凝土及表面涂装必要的局部损坏，在检测结束后负责原样恢复；</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3</w:t>
      </w:r>
      <w:r>
        <w:rPr>
          <w:rFonts w:ascii="Arial" w:hAnsi="宋体" w:cs="Arial"/>
          <w:bCs/>
          <w:color w:val="auto"/>
          <w:szCs w:val="21"/>
        </w:rPr>
        <w:t>）各项检测费用报价包括整项检测过程所涉及的交通设施及各种检测设备的租用等费用，在具体检测过程中不做调整。</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4</w:t>
      </w:r>
      <w:r>
        <w:rPr>
          <w:rFonts w:ascii="Arial" w:hAnsi="宋体" w:cs="Arial"/>
          <w:bCs/>
          <w:color w:val="auto"/>
          <w:szCs w:val="21"/>
        </w:rPr>
        <w:t>）针对检测结果，要求中标单位对检测分析所发现的桥梁外观及结构等类缺陷问题提出具有可行性且最经济合理的补强维修方案。</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5</w:t>
      </w:r>
      <w:r>
        <w:rPr>
          <w:rFonts w:ascii="Arial" w:hAnsi="宋体" w:cs="Arial"/>
          <w:bCs/>
          <w:color w:val="auto"/>
          <w:szCs w:val="21"/>
        </w:rPr>
        <w:t>）对所有桥梁建立桥梁资料卡，做到一桥一档。</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6</w:t>
      </w:r>
      <w:r>
        <w:rPr>
          <w:rFonts w:ascii="Arial" w:hAnsi="宋体" w:cs="Arial"/>
          <w:bCs/>
          <w:color w:val="auto"/>
          <w:szCs w:val="21"/>
        </w:rPr>
        <w:t>）所有检测方案、报告均需通过专家评审，评审所需费用由中标人检测费用中支付。</w:t>
      </w:r>
    </w:p>
    <w:p>
      <w:pPr>
        <w:spacing w:line="360" w:lineRule="exact"/>
        <w:ind w:firstLine="420" w:firstLineChars="200"/>
        <w:rPr>
          <w:rFonts w:ascii="Arial" w:hAnsi="Arial" w:cs="Arial"/>
          <w:color w:val="auto"/>
          <w:szCs w:val="21"/>
        </w:rPr>
      </w:pPr>
      <w:r>
        <w:rPr>
          <w:rFonts w:ascii="Arial" w:hAnsi="宋体" w:cs="Arial"/>
          <w:snapToGrid w:val="0"/>
          <w:color w:val="auto"/>
          <w:kern w:val="0"/>
          <w:szCs w:val="32"/>
        </w:rPr>
        <w:t>（</w:t>
      </w:r>
      <w:r>
        <w:rPr>
          <w:rFonts w:hint="eastAsia" w:ascii="Arial" w:hAnsi="Arial" w:cs="Arial"/>
          <w:snapToGrid w:val="0"/>
          <w:color w:val="auto"/>
          <w:kern w:val="0"/>
          <w:szCs w:val="32"/>
        </w:rPr>
        <w:t>7</w:t>
      </w:r>
      <w:r>
        <w:rPr>
          <w:rFonts w:ascii="Arial" w:hAnsi="宋体" w:cs="Arial"/>
          <w:snapToGrid w:val="0"/>
          <w:color w:val="auto"/>
          <w:kern w:val="0"/>
          <w:szCs w:val="32"/>
        </w:rPr>
        <w:t>）桥梁护栏应以《公路桥梁设计通用规范》、《公路交通安全设施设计规范》、《提升公路桥梁安全防护能力专项行动技术指南》等相关标准为依据，结合《公路水路行业安全生产风险辨识评估管控基本规范（试行）》开展桥梁安全防护评估工作。</w:t>
      </w:r>
    </w:p>
    <w:p>
      <w:pPr>
        <w:spacing w:line="360" w:lineRule="exact"/>
        <w:ind w:firstLine="420" w:firstLineChars="200"/>
        <w:rPr>
          <w:rFonts w:ascii="Arial" w:hAnsi="Arial" w:cs="Arial"/>
          <w:color w:val="auto"/>
          <w:szCs w:val="21"/>
        </w:rPr>
      </w:pPr>
      <w:r>
        <w:rPr>
          <w:rFonts w:ascii="Arial" w:hAnsi="宋体" w:cs="Arial"/>
          <w:snapToGrid w:val="0"/>
          <w:color w:val="auto"/>
          <w:kern w:val="0"/>
          <w:szCs w:val="32"/>
        </w:rPr>
        <w:t>（</w:t>
      </w:r>
      <w:r>
        <w:rPr>
          <w:rFonts w:hint="eastAsia" w:ascii="Arial" w:hAnsi="Arial" w:cs="Arial"/>
          <w:snapToGrid w:val="0"/>
          <w:color w:val="auto"/>
          <w:kern w:val="0"/>
          <w:szCs w:val="32"/>
        </w:rPr>
        <w:t>8</w:t>
      </w:r>
      <w:r>
        <w:rPr>
          <w:rFonts w:ascii="Arial" w:hAnsi="宋体" w:cs="Arial"/>
          <w:snapToGrid w:val="0"/>
          <w:color w:val="auto"/>
          <w:kern w:val="0"/>
          <w:szCs w:val="32"/>
        </w:rPr>
        <w:t>）</w:t>
      </w:r>
      <w:r>
        <w:rPr>
          <w:rFonts w:ascii="Arial" w:hAnsi="宋体" w:cs="Arial"/>
          <w:color w:val="auto"/>
          <w:szCs w:val="21"/>
        </w:rPr>
        <w:t>桥梁一般检查指按照《公路桥涵养护规范》中定期检查的要求，评定桥梁使用功能，为制定管理养护计划提供基本依据，对桥梁主体结构及其附属构造物的技术状况进行全面详细检查，它为桥梁养护管理系统搜集结构技术状态的动态数据，重要病害需进行定量判断。完成桥梁基本状况卡片（《关于印发台州市公路桥梁分级检查工作指导意见的通知》）、桥梁定期检查报告（《关于印发台州市公路桥梁分级检查工作指导意见的通知》）和桥梁管理系统的更新。</w:t>
      </w:r>
    </w:p>
    <w:p>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olor w:val="auto"/>
          <w:sz w:val="36"/>
          <w:szCs w:val="36"/>
          <w:highlight w:val="none"/>
        </w:rPr>
      </w:pPr>
      <w:r>
        <w:rPr>
          <w:color w:val="auto"/>
          <w:sz w:val="48"/>
          <w:szCs w:val="48"/>
          <w:highlight w:val="none"/>
        </w:rPr>
        <w:br w:type="page"/>
      </w:r>
      <w:bookmarkStart w:id="9" w:name="_Toc40859286"/>
      <w:r>
        <w:rPr>
          <w:rFonts w:hint="eastAsia" w:ascii="宋体" w:hAnsi="宋体"/>
          <w:color w:val="auto"/>
          <w:sz w:val="36"/>
          <w:szCs w:val="36"/>
          <w:highlight w:val="none"/>
        </w:rPr>
        <w:t>第三章　供应商须知</w:t>
      </w:r>
      <w:bookmarkEnd w:id="9"/>
      <w:r>
        <w:rPr>
          <w:rFonts w:hint="eastAsia" w:ascii="宋体" w:hAnsi="宋体"/>
          <w:color w:val="auto"/>
          <w:sz w:val="36"/>
          <w:szCs w:val="36"/>
          <w:highlight w:val="none"/>
        </w:rPr>
        <w:t>前附表</w:t>
      </w:r>
    </w:p>
    <w:tbl>
      <w:tblPr>
        <w:tblStyle w:val="2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Arial"/>
                <w:color w:val="auto"/>
                <w:sz w:val="24"/>
                <w:highlight w:val="none"/>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lang w:eastAsia="zh-CN"/>
              </w:rPr>
              <w:t>三门县公路与运输管理中心会议室（三门县大湖塘新区广场路22号，交通大楼八楼）</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Arial"/>
                <w:color w:val="auto"/>
                <w:sz w:val="24"/>
                <w:highlight w:val="none"/>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lang w:eastAsia="zh-CN"/>
              </w:rPr>
              <w:t>三门县公路与运输管理中心会议室（三门县大湖塘新区广场路22号，交通大楼八楼）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bl>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pStyle w:val="2"/>
        <w:rPr>
          <w:color w:val="auto"/>
        </w:rPr>
      </w:pPr>
    </w:p>
    <w:p>
      <w:pPr>
        <w:pStyle w:val="11"/>
        <w:snapToGrid w:val="0"/>
        <w:spacing w:before="120" w:after="120" w:line="360" w:lineRule="auto"/>
        <w:rPr>
          <w:rFonts w:hAnsi="宋体"/>
          <w:b/>
          <w:color w:val="auto"/>
          <w:sz w:val="24"/>
          <w:highlight w:val="none"/>
        </w:rPr>
      </w:pPr>
    </w:p>
    <w:p>
      <w:pPr>
        <w:pStyle w:val="5"/>
        <w:jc w:val="center"/>
        <w:rPr>
          <w:color w:val="auto"/>
          <w:highlight w:val="none"/>
        </w:rPr>
      </w:pPr>
      <w:bookmarkStart w:id="10" w:name="_Toc40859287"/>
      <w:r>
        <w:rPr>
          <w:rFonts w:hint="eastAsia"/>
          <w:color w:val="auto"/>
          <w:highlight w:val="none"/>
        </w:rPr>
        <w:t>一 、总  则</w:t>
      </w:r>
      <w:bookmarkEnd w:id="10"/>
    </w:p>
    <w:p>
      <w:pPr>
        <w:pStyle w:val="11"/>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6"/>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8、本项目不允许分包。</w:t>
      </w:r>
    </w:p>
    <w:p>
      <w:pPr>
        <w:snapToGrid w:val="0"/>
        <w:spacing w:line="360" w:lineRule="auto"/>
        <w:ind w:firstLine="420" w:firstLineChars="200"/>
        <w:rPr>
          <w:rFonts w:ascii="宋体" w:hAnsi="宋体" w:cs="Arial"/>
          <w:b/>
          <w:color w:val="auto"/>
          <w:sz w:val="24"/>
          <w:highlight w:val="none"/>
        </w:rPr>
      </w:pPr>
      <w:r>
        <w:rPr>
          <w:rFonts w:hAnsi="宋体"/>
          <w:color w:val="auto"/>
          <w:szCs w:val="21"/>
          <w:highlight w:val="none"/>
        </w:rPr>
        <w:t>▲</w:t>
      </w:r>
      <w:r>
        <w:rPr>
          <w:rFonts w:hint="eastAsia" w:ascii="宋体" w:hAnsi="宋体"/>
          <w:color w:val="auto"/>
          <w:sz w:val="24"/>
          <w:highlight w:val="none"/>
        </w:rPr>
        <w:t>9、</w:t>
      </w:r>
      <w:r>
        <w:rPr>
          <w:rFonts w:ascii="宋体" w:hAnsi="宋体" w:cs="Arial"/>
          <w:b/>
          <w:color w:val="auto"/>
          <w:sz w:val="24"/>
          <w:highlight w:val="none"/>
        </w:rPr>
        <w:t>投标人信用信息查询渠道及截止时点、信用信息查询记录和证据留存的具体方式、信用信息的使用规则</w:t>
      </w:r>
      <w:r>
        <w:rPr>
          <w:rFonts w:hint="eastAsia" w:ascii="宋体" w:hAnsi="宋体" w:cs="Arial"/>
          <w:b/>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0081"/>
      </w:r>
      <w:r>
        <w:rPr>
          <w:rFonts w:hint="eastAsia" w:ascii="宋体" w:hAnsi="宋体" w:cs="Arial"/>
          <w:color w:val="auto"/>
          <w:sz w:val="24"/>
          <w:highlight w:val="none"/>
        </w:rPr>
        <w:t>查询渠道：中国政府采购网（网址：</w:t>
      </w:r>
      <w:r>
        <w:rPr>
          <w:rFonts w:ascii="宋体" w:hAnsi="宋体" w:cs="Arial"/>
          <w:color w:val="auto"/>
          <w:sz w:val="24"/>
          <w:highlight w:val="none"/>
        </w:rPr>
        <w:t>http://www.ccgp.gov.cn</w:t>
      </w:r>
      <w:r>
        <w:rPr>
          <w:rFonts w:hint="eastAsia" w:ascii="宋体" w:hAnsi="宋体" w:cs="Arial"/>
          <w:color w:val="auto"/>
          <w:sz w:val="24"/>
          <w:highlight w:val="none"/>
        </w:rPr>
        <w:t>）、信用中国（网址：</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2"/>
      </w:r>
      <w:r>
        <w:rPr>
          <w:rFonts w:hint="eastAsia" w:ascii="宋体" w:hAnsi="宋体" w:cs="Arial"/>
          <w:color w:val="auto"/>
          <w:sz w:val="24"/>
          <w:highlight w:val="none"/>
        </w:rPr>
        <w:t>截止时间：开标后评标前。</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3"/>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：将在规定查询时间内打印信用信息查询记录及相关证据，并将与其他采购文件一并保存。</w:t>
      </w:r>
    </w:p>
    <w:p>
      <w:pPr>
        <w:snapToGrid w:val="0"/>
        <w:spacing w:line="360" w:lineRule="auto"/>
        <w:ind w:firstLine="480" w:firstLineChars="200"/>
        <w:rPr>
          <w:rFonts w:hint="eastAsia" w:ascii="宋体" w:hAnsi="宋体"/>
          <w:color w:val="auto"/>
          <w:sz w:val="24"/>
          <w:highlight w:val="none"/>
        </w:rPr>
      </w:pPr>
      <w:r>
        <w:rPr>
          <w:rFonts w:hint="eastAsia" w:hAnsi="宋体" w:cs="Arial"/>
          <w:color w:val="auto"/>
          <w:sz w:val="24"/>
          <w:highlight w:val="none"/>
        </w:rPr>
        <w:sym w:font="Wingdings" w:char="0084"/>
      </w:r>
      <w:r>
        <w:rPr>
          <w:rFonts w:hint="eastAsia" w:hAnsi="宋体" w:cs="Arial"/>
          <w:color w:val="auto"/>
          <w:sz w:val="24"/>
          <w:highlight w:val="none"/>
        </w:rPr>
        <w:t>使用规则：</w:t>
      </w:r>
      <w:r>
        <w:rPr>
          <w:rFonts w:hint="eastAsia" w:hAnsi="宋体" w:cs="宋体"/>
          <w:color w:val="auto"/>
          <w:sz w:val="24"/>
          <w:highlight w:val="none"/>
        </w:rPr>
        <w:t>对列入失信被执行人、重大税收违法案件当事人名单、政府采购严重违法失信行为记录名单的供应商，拒绝其参与政府采购活动</w:t>
      </w:r>
      <w:r>
        <w:rPr>
          <w:rFonts w:hint="eastAsia" w:hAnsi="宋体" w:cs="宋体"/>
          <w:color w:val="auto"/>
          <w:szCs w:val="21"/>
          <w:highlight w:val="none"/>
        </w:rPr>
        <w:t>。</w:t>
      </w:r>
    </w:p>
    <w:p>
      <w:pPr>
        <w:pStyle w:val="5"/>
        <w:jc w:val="center"/>
        <w:rPr>
          <w:color w:val="auto"/>
          <w:highlight w:val="none"/>
        </w:rPr>
      </w:pPr>
      <w:bookmarkStart w:id="11" w:name="_Toc40859288"/>
      <w:r>
        <w:rPr>
          <w:rFonts w:hint="eastAsia"/>
          <w:color w:val="auto"/>
          <w:highlight w:val="none"/>
        </w:rPr>
        <w:t>二、谈判响应文件</w:t>
      </w:r>
      <w:bookmarkEnd w:id="11"/>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auto"/>
          <w:sz w:val="24"/>
          <w:highlight w:val="none"/>
          <w:lang w:val="zh-CN"/>
        </w:rPr>
      </w:pPr>
      <w:r>
        <w:rPr>
          <w:rFonts w:hint="eastAsia" w:ascii="宋体"/>
          <w:color w:val="auto"/>
          <w:sz w:val="24"/>
          <w:highlight w:val="none"/>
          <w:lang w:val="zh-CN"/>
        </w:rPr>
        <w:t>2.1</w:t>
      </w:r>
      <w:r>
        <w:rPr>
          <w:rFonts w:hint="eastAsia" w:ascii="宋体"/>
          <w:color w:val="auto"/>
          <w:sz w:val="24"/>
          <w:highlight w:val="none"/>
        </w:rPr>
        <w:t>商务报价部分</w:t>
      </w:r>
      <w:r>
        <w:rPr>
          <w:rFonts w:hint="eastAsia" w:ascii="宋体"/>
          <w:color w:val="auto"/>
          <w:sz w:val="24"/>
          <w:highlight w:val="none"/>
          <w:lang w:val="zh-CN"/>
        </w:rPr>
        <w:t>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1）开标一览表（附件二 ）；</w:t>
      </w:r>
    </w:p>
    <w:p>
      <w:pPr>
        <w:autoSpaceDE w:val="0"/>
        <w:autoSpaceDN w:val="0"/>
        <w:adjustRightInd w:val="0"/>
        <w:snapToGri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2.2技术资信部分组成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 投标函（见附件一）；</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olor w:val="auto"/>
          <w:sz w:val="24"/>
          <w:highlight w:val="none"/>
        </w:rPr>
        <w:t>2) 法定代表人授权书（见附件三）；</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s="Times New Roman"/>
          <w:color w:val="auto"/>
          <w:sz w:val="24"/>
          <w:highlight w:val="none"/>
          <w:lang w:val="en-US" w:eastAsia="zh-CN"/>
        </w:rPr>
        <w:t xml:space="preserve">3) </w:t>
      </w:r>
      <w:r>
        <w:rPr>
          <w:rFonts w:hint="eastAsia" w:ascii="宋体" w:cs="Times New Roman"/>
          <w:color w:val="auto"/>
          <w:sz w:val="24"/>
          <w:highlight w:val="none"/>
        </w:rPr>
        <w:t>拟委任的主要人员汇总表</w:t>
      </w:r>
      <w:r>
        <w:rPr>
          <w:rFonts w:hint="eastAsia" w:ascii="宋体"/>
          <w:color w:val="auto"/>
          <w:sz w:val="24"/>
          <w:highlight w:val="none"/>
        </w:rPr>
        <w:t>（见附件</w:t>
      </w:r>
      <w:r>
        <w:rPr>
          <w:rFonts w:hint="eastAsia" w:ascii="宋体"/>
          <w:color w:val="auto"/>
          <w:sz w:val="24"/>
          <w:highlight w:val="none"/>
          <w:lang w:val="en-US" w:eastAsia="zh-CN"/>
        </w:rPr>
        <w:t>四</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4）</w:t>
      </w:r>
      <w:r>
        <w:rPr>
          <w:rFonts w:hint="eastAsia" w:ascii="宋体" w:cs="Times New Roman"/>
          <w:color w:val="auto"/>
          <w:sz w:val="24"/>
          <w:highlight w:val="none"/>
        </w:rPr>
        <w:t>拟投入主要试验检测仪器设备</w:t>
      </w:r>
      <w:r>
        <w:rPr>
          <w:rFonts w:hint="eastAsia" w:ascii="宋体"/>
          <w:color w:val="auto"/>
          <w:sz w:val="24"/>
          <w:highlight w:val="none"/>
        </w:rPr>
        <w:t>（见附件</w:t>
      </w:r>
      <w:r>
        <w:rPr>
          <w:rFonts w:hint="eastAsia" w:ascii="宋体"/>
          <w:color w:val="auto"/>
          <w:sz w:val="24"/>
          <w:highlight w:val="none"/>
          <w:lang w:val="en-US" w:eastAsia="zh-CN"/>
        </w:rPr>
        <w:t>五</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 供应商</w:t>
      </w:r>
      <w:r>
        <w:rPr>
          <w:rFonts w:ascii="宋体"/>
          <w:color w:val="auto"/>
          <w:sz w:val="24"/>
          <w:highlight w:val="none"/>
        </w:rPr>
        <w:t>营业执照及税务登记证</w:t>
      </w:r>
      <w:r>
        <w:rPr>
          <w:rFonts w:hint="eastAsia" w:ascii="宋体"/>
          <w:color w:val="auto"/>
          <w:sz w:val="24"/>
          <w:highlight w:val="none"/>
        </w:rPr>
        <w:t>（复印件加盖有效公章，如为多证合一仅需提供营业执照复印件加盖有效公章）或经营人或所有权人身份证复印件；</w:t>
      </w:r>
    </w:p>
    <w:p>
      <w:pPr>
        <w:autoSpaceDE w:val="0"/>
        <w:autoSpaceDN w:val="0"/>
        <w:adjustRightInd w:val="0"/>
        <w:spacing w:line="430" w:lineRule="atLeast"/>
        <w:ind w:firstLine="480" w:firstLineChars="200"/>
        <w:textAlignment w:val="bottom"/>
        <w:rPr>
          <w:rFonts w:hint="eastAsia" w:ascii="宋体"/>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cs="Times New Roman"/>
          <w:color w:val="auto"/>
          <w:sz w:val="24"/>
          <w:highlight w:val="none"/>
        </w:rPr>
        <w:t xml:space="preserve">) </w:t>
      </w:r>
      <w:r>
        <w:rPr>
          <w:rFonts w:hint="eastAsia" w:ascii="宋体" w:cs="Times New Roman"/>
          <w:color w:val="auto"/>
          <w:sz w:val="24"/>
          <w:highlight w:val="none"/>
          <w:lang w:val="zh-CN"/>
        </w:rPr>
        <w:t>提供采购公告中符合供应商特定条件的有效资质证书复印件（投标供应商特定条件中有要求的必须提</w:t>
      </w:r>
      <w:r>
        <w:rPr>
          <w:rFonts w:hint="eastAsia" w:ascii="宋体"/>
          <w:color w:val="auto"/>
          <w:sz w:val="24"/>
          <w:highlight w:val="none"/>
          <w:lang w:val="zh-CN"/>
        </w:rPr>
        <w:t>供），以及需要说明的其他资料。</w:t>
      </w:r>
      <w:r>
        <w:rPr>
          <w:rFonts w:hint="eastAsia" w:ascii="宋体"/>
          <w:color w:val="auto"/>
          <w:sz w:val="24"/>
          <w:highlight w:val="none"/>
          <w:lang w:val="en-US" w:eastAsia="zh-CN"/>
        </w:rPr>
        <w:t>包括但不限于：</w:t>
      </w:r>
    </w:p>
    <w:p>
      <w:pPr>
        <w:autoSpaceDE w:val="0"/>
        <w:autoSpaceDN w:val="0"/>
        <w:adjustRightInd w:val="0"/>
        <w:spacing w:line="430" w:lineRule="atLeast"/>
        <w:ind w:firstLine="480" w:firstLineChars="200"/>
        <w:textAlignment w:val="bottom"/>
        <w:rPr>
          <w:rFonts w:hint="eastAsia" w:ascii="宋体"/>
          <w:color w:val="auto"/>
          <w:sz w:val="24"/>
          <w:highlight w:val="none"/>
          <w:lang w:val="zh-CN"/>
        </w:rPr>
      </w:pPr>
      <w:r>
        <w:rPr>
          <w:rFonts w:hint="eastAsia" w:ascii="宋体"/>
          <w:color w:val="auto"/>
          <w:sz w:val="24"/>
          <w:highlight w:val="none"/>
          <w:lang w:val="en-US" w:eastAsia="zh-CN"/>
        </w:rPr>
        <w:t>1.</w:t>
      </w:r>
      <w:r>
        <w:rPr>
          <w:rFonts w:hint="eastAsia" w:ascii="宋体"/>
          <w:color w:val="auto"/>
          <w:sz w:val="24"/>
          <w:highlight w:val="none"/>
          <w:lang w:eastAsia="zh-CN"/>
        </w:rPr>
        <w:t xml:space="preserve">交通部门颁发的公路工程试验检测机构公路工程综合乙级及以上资质，取得省级及以上质量技术监督部门颁发的《计量认证证书（CMA）》 </w:t>
      </w:r>
      <w:r>
        <w:rPr>
          <w:rFonts w:hint="eastAsia" w:ascii="宋体" w:cs="Times New Roman"/>
          <w:color w:val="auto"/>
          <w:sz w:val="22"/>
          <w:highlight w:val="none"/>
          <w:lang w:eastAsia="zh-CN"/>
        </w:rPr>
        <w:t>[认证附表参数中包含相应桥梁检测项目]</w:t>
      </w:r>
      <w:r>
        <w:rPr>
          <w:rFonts w:hint="eastAsia" w:ascii="宋体"/>
          <w:color w:val="auto"/>
          <w:sz w:val="24"/>
          <w:highlight w:val="none"/>
          <w:lang w:val="zh-CN"/>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根据招标文件中的采购内容与技术要求，需要提供的其它文件和资料；</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cs="Times New Roman"/>
          <w:color w:val="auto"/>
          <w:sz w:val="24"/>
          <w:highlight w:val="none"/>
          <w:lang w:val="zh-CN"/>
        </w:rPr>
        <w:t>供应商认为需要提供的文件和资料。</w:t>
      </w:r>
    </w:p>
    <w:p>
      <w:pPr>
        <w:autoSpaceDE w:val="0"/>
        <w:autoSpaceDN w:val="0"/>
        <w:adjustRightInd w:val="0"/>
        <w:spacing w:line="430" w:lineRule="atLeast"/>
        <w:textAlignment w:val="bottom"/>
        <w:rPr>
          <w:rFonts w:ascii="宋体" w:hAnsi="宋体"/>
          <w:color w:val="auto"/>
          <w:kern w:val="0"/>
          <w:sz w:val="24"/>
          <w:highlight w:val="none"/>
        </w:rPr>
      </w:pPr>
      <w:r>
        <w:rPr>
          <w:rFonts w:hint="eastAsia" w:ascii="宋体" w:cs="Times New Roman"/>
          <w:color w:val="auto"/>
          <w:sz w:val="24"/>
          <w:highlight w:val="none"/>
          <w:lang w:val="zh-CN"/>
        </w:rPr>
        <w:t>（2）此报价为供应商针对本项目报出的唯一的首次报价，包含其它一切所要涉及到的费用，有选择的报价将被拒</w:t>
      </w:r>
      <w:r>
        <w:rPr>
          <w:rFonts w:hint="eastAsia" w:ascii="宋体" w:hAnsi="宋体"/>
          <w:color w:val="auto"/>
          <w:kern w:val="0"/>
          <w:sz w:val="24"/>
          <w:highlight w:val="none"/>
        </w:rPr>
        <w:t>绝。</w:t>
      </w:r>
    </w:p>
    <w:p>
      <w:pPr>
        <w:autoSpaceDE w:val="0"/>
        <w:autoSpaceDN w:val="0"/>
        <w:adjustRightInd w:val="0"/>
        <w:spacing w:line="360" w:lineRule="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3</w:t>
      </w: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pPr>
        <w:keepNext w:val="0"/>
        <w:keepLines w:val="0"/>
        <w:pageBreakBefore w:val="0"/>
        <w:widowControl w:val="0"/>
        <w:numPr>
          <w:ilvl w:val="0"/>
          <w:numId w:val="3"/>
        </w:numPr>
        <w:kinsoku/>
        <w:wordWrap/>
        <w:overflowPunct/>
        <w:topLinePunct w:val="0"/>
        <w:bidi w:val="0"/>
        <w:snapToGrid/>
        <w:spacing w:line="360" w:lineRule="auto"/>
        <w:textAlignment w:val="auto"/>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pPr>
        <w:pStyle w:val="8"/>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pPr>
        <w:pStyle w:val="8"/>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pPr>
        <w:pStyle w:val="5"/>
        <w:jc w:val="center"/>
        <w:rPr>
          <w:color w:val="auto"/>
          <w:highlight w:val="none"/>
        </w:rPr>
      </w:pPr>
      <w:bookmarkStart w:id="12" w:name="_Toc40859289"/>
      <w:r>
        <w:rPr>
          <w:rFonts w:hint="eastAsia"/>
          <w:color w:val="auto"/>
          <w:highlight w:val="none"/>
        </w:rPr>
        <w:t>三、谈判</w:t>
      </w:r>
      <w:bookmarkEnd w:id="12"/>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540"/>
        <w:jc w:val="left"/>
        <w:textAlignment w:val="auto"/>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要求所有继续参加谈判的供应商在规定时间内提交最后报价，超过规定时间提交的报价作无效处理；</w:t>
      </w:r>
    </w:p>
    <w:p>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14.宣布谈判结果，谈判采购会议结束。</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（二）澄清问题的形式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pPr>
        <w:pStyle w:val="11"/>
        <w:keepNext w:val="0"/>
        <w:keepLines w:val="0"/>
        <w:pageBreakBefore w:val="0"/>
        <w:kinsoku/>
        <w:wordWrap/>
        <w:overflowPunct/>
        <w:topLinePunct w:val="0"/>
        <w:bidi w:val="0"/>
        <w:snapToGrid w:val="0"/>
        <w:spacing w:line="360" w:lineRule="auto"/>
        <w:ind w:left="720" w:leftChars="228" w:hanging="241" w:hangingChars="100"/>
        <w:textAlignment w:val="auto"/>
        <w:rPr>
          <w:rFonts w:hAnsi="宋体"/>
          <w:b/>
          <w:color w:val="auto"/>
          <w:sz w:val="24"/>
          <w:highlight w:val="none"/>
        </w:rPr>
      </w:pPr>
      <w:r>
        <w:rPr>
          <w:rFonts w:hint="eastAsia" w:hAnsi="宋体"/>
          <w:b/>
          <w:color w:val="auto"/>
          <w:sz w:val="24"/>
          <w:highlight w:val="none"/>
        </w:rPr>
        <w:t>（三）错误修正</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谈判响应文件报价出现前后不一致的，除谈判采购文件另有规定外，按照下列规定修正：</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1.谈判响应文件中首次报价一览表内容与谈判响应文件中相应内容不一致的，以首次报价一览表为准；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2.大写金额和小写金额不一致的，以大写金额为准；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9"/>
        <w:keepNext w:val="0"/>
        <w:keepLines w:val="0"/>
        <w:pageBreakBefore w:val="0"/>
        <w:kinsoku/>
        <w:wordWrap/>
        <w:overflowPunct/>
        <w:topLinePunct w:val="0"/>
        <w:bidi w:val="0"/>
        <w:spacing w:before="0" w:beforeAutospacing="0" w:after="0" w:afterAutospacing="0" w:line="360" w:lineRule="auto"/>
        <w:ind w:firstLine="361" w:firstLineChars="150"/>
        <w:jc w:val="both"/>
        <w:textAlignment w:val="auto"/>
        <w:rPr>
          <w:rFonts w:hint="default"/>
          <w:b/>
          <w:color w:val="auto"/>
          <w:highlight w:val="none"/>
        </w:rPr>
      </w:pPr>
      <w:r>
        <w:rPr>
          <w:b/>
          <w:bCs/>
          <w:color w:val="auto"/>
          <w:highlight w:val="none"/>
        </w:rPr>
        <w:t>（四）</w:t>
      </w:r>
      <w:r>
        <w:rPr>
          <w:b/>
          <w:color w:val="auto"/>
          <w:highlight w:val="none"/>
        </w:rPr>
        <w:t>供应商存在下列情况之一的，响应无效，终止谈判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1.未按照谈判文件的规定提交谈判保证金的。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2.谈判响应文件中报价的服务内容跟商务与技术内容中的服务内容出现重大偏差的；</w:t>
      </w:r>
    </w:p>
    <w:p>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3.不具备谈判文件中规定的资格要求的。</w:t>
      </w:r>
      <w:r>
        <w:rPr>
          <w:rFonts w:hint="default"/>
          <w:color w:val="auto"/>
          <w:highlight w:val="none"/>
        </w:rPr>
        <w:tab/>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4.谈判响应文件含有采购人不能接受的附加条件的。</w:t>
      </w:r>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7.报价超过谈判文件中规定的预算金额/</w:t>
      </w:r>
      <w:r>
        <w:rPr>
          <w:rFonts w:hint="eastAsia"/>
          <w:color w:val="auto"/>
          <w:highlight w:val="none"/>
          <w:lang w:eastAsia="zh-CN"/>
        </w:rPr>
        <w:t>上</w:t>
      </w:r>
      <w:r>
        <w:rPr>
          <w:color w:val="auto"/>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11.不同供应商委托同一单位或者个人办理谈判事宜；</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12.不同供应商的谈判响应文件载明的项目管理成员或者联系人员为同一人；</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13.不同供应商的谈判响应文件异常一致或者报价呈规律性差异；</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14.不同供应商的谈判响应文件相互混装；</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pPr>
        <w:keepNext w:val="0"/>
        <w:keepLines w:val="0"/>
        <w:pageBreakBefore w:val="0"/>
        <w:kinsoku/>
        <w:wordWrap/>
        <w:overflowPunct/>
        <w:topLinePunct w:val="0"/>
        <w:autoSpaceDE w:val="0"/>
        <w:autoSpaceDN w:val="0"/>
        <w:bidi w:val="0"/>
        <w:adjustRightInd w:val="0"/>
        <w:spacing w:line="360" w:lineRule="auto"/>
        <w:ind w:left="480"/>
        <w:textAlignment w:val="auto"/>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color w:val="auto"/>
          <w:highlight w:val="none"/>
        </w:rPr>
      </w:pPr>
      <w:r>
        <w:rPr>
          <w:color w:val="auto"/>
          <w:highlight w:val="none"/>
        </w:rPr>
        <w:t>1.出现影响采购公正的违法、违规行为的；</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pPr>
        <w:pStyle w:val="11"/>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pPr>
        <w:pStyle w:val="11"/>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pPr>
        <w:pStyle w:val="11"/>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pPr>
        <w:pStyle w:val="19"/>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pPr>
        <w:pStyle w:val="11"/>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本项目评审过程实行全程录音、录像监控，供应商在评审过程中所进行的试图影响评审结果的不公正活动，可能导致其谈判响应被拒绝。</w:t>
      </w:r>
    </w:p>
    <w:p>
      <w:pPr>
        <w:pStyle w:val="5"/>
        <w:jc w:val="center"/>
        <w:rPr>
          <w:color w:val="auto"/>
          <w:highlight w:val="none"/>
        </w:rPr>
      </w:pPr>
      <w:bookmarkStart w:id="13" w:name="_Toc40859290"/>
      <w:r>
        <w:rPr>
          <w:rFonts w:hint="eastAsia"/>
          <w:color w:val="auto"/>
          <w:highlight w:val="none"/>
        </w:rPr>
        <w:t>四</w:t>
      </w:r>
      <w:r>
        <w:rPr>
          <w:color w:val="auto"/>
          <w:highlight w:val="none"/>
        </w:rPr>
        <w:t>、谈判结果确定</w:t>
      </w:r>
      <w:bookmarkEnd w:id="13"/>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在三门县公共资源交易中心网站上发布</w:t>
      </w:r>
      <w:r>
        <w:rPr>
          <w:rFonts w:hint="eastAsia" w:ascii="宋体" w:hAnsi="宋体"/>
          <w:color w:val="auto"/>
          <w:kern w:val="0"/>
          <w:sz w:val="24"/>
          <w:highlight w:val="none"/>
        </w:rPr>
        <w:t>成交结果。</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pacing w:line="360" w:lineRule="auto"/>
        <w:ind w:firstLine="480" w:firstLineChars="200"/>
        <w:rPr>
          <w:rFonts w:ascii="宋体" w:hAnsi="宋体"/>
          <w:color w:val="auto"/>
          <w:kern w:val="0"/>
          <w:sz w:val="24"/>
          <w:highlight w:val="none"/>
        </w:rPr>
      </w:pPr>
    </w:p>
    <w:p>
      <w:pPr>
        <w:pStyle w:val="5"/>
        <w:jc w:val="center"/>
        <w:rPr>
          <w:color w:val="auto"/>
          <w:highlight w:val="none"/>
        </w:rPr>
      </w:pPr>
      <w:bookmarkStart w:id="14" w:name="_Toc40859291"/>
      <w:r>
        <w:rPr>
          <w:rFonts w:hint="eastAsia"/>
          <w:color w:val="auto"/>
          <w:highlight w:val="none"/>
        </w:rPr>
        <w:t>五、合同签订及公告</w:t>
      </w:r>
      <w:bookmarkEnd w:id="14"/>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w:t>
      </w:r>
      <w:r>
        <w:rPr>
          <w:rFonts w:hint="eastAsia" w:hAnsi="宋体"/>
          <w:color w:val="auto"/>
          <w:szCs w:val="24"/>
          <w:highlight w:val="none"/>
        </w:rPr>
        <w:t>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widowControl/>
        <w:jc w:val="left"/>
        <w:rPr>
          <w:color w:val="auto"/>
          <w:sz w:val="48"/>
          <w:szCs w:val="48"/>
          <w:highlight w:val="none"/>
        </w:rPr>
      </w:pPr>
      <w:r>
        <w:rPr>
          <w:color w:val="auto"/>
          <w:sz w:val="48"/>
          <w:szCs w:val="48"/>
          <w:highlight w:val="none"/>
        </w:rPr>
        <w:br w:type="page"/>
      </w:r>
    </w:p>
    <w:p>
      <w:pPr>
        <w:pStyle w:val="4"/>
        <w:spacing w:before="0" w:after="0" w:line="360" w:lineRule="auto"/>
        <w:jc w:val="center"/>
        <w:rPr>
          <w:rFonts w:ascii="宋体" w:hAnsi="宋体"/>
          <w:color w:val="auto"/>
          <w:sz w:val="36"/>
          <w:szCs w:val="36"/>
          <w:highlight w:val="none"/>
        </w:rPr>
      </w:pPr>
      <w:bookmarkStart w:id="15" w:name="_Toc40859292"/>
      <w:r>
        <w:rPr>
          <w:rFonts w:hint="eastAsia" w:ascii="宋体" w:hAnsi="宋体"/>
          <w:color w:val="auto"/>
          <w:sz w:val="36"/>
          <w:szCs w:val="36"/>
          <w:highlight w:val="none"/>
        </w:rPr>
        <w:t>第四章  政府采购合同主要条款指引</w:t>
      </w:r>
      <w:bookmarkEnd w:id="15"/>
    </w:p>
    <w:p>
      <w:pPr>
        <w:tabs>
          <w:tab w:val="left" w:pos="850"/>
        </w:tabs>
        <w:autoSpaceDE w:val="0"/>
        <w:autoSpaceDN w:val="0"/>
        <w:spacing w:line="400" w:lineRule="exact"/>
        <w:jc w:val="left"/>
        <w:textAlignment w:val="bottom"/>
        <w:rPr>
          <w:rFonts w:ascii="宋体" w:hAnsi="宋体"/>
          <w:color w:val="auto"/>
          <w:highlight w:val="none"/>
        </w:rPr>
      </w:pPr>
      <w:r>
        <w:rPr>
          <w:rFonts w:hint="eastAsia" w:ascii="宋体" w:hAnsi="宋体"/>
          <w:color w:val="auto"/>
          <w:highlight w:val="none"/>
        </w:rPr>
        <w:t xml:space="preserve">  </w:t>
      </w:r>
    </w:p>
    <w:p>
      <w:pPr>
        <w:tabs>
          <w:tab w:val="left" w:pos="850"/>
        </w:tabs>
        <w:autoSpaceDE w:val="0"/>
        <w:autoSpaceDN w:val="0"/>
        <w:spacing w:line="288" w:lineRule="auto"/>
        <w:ind w:firstLine="420" w:firstLineChars="200"/>
        <w:jc w:val="left"/>
        <w:textAlignment w:val="bottom"/>
        <w:rPr>
          <w:rFonts w:ascii="宋体" w:hAnsi="宋体"/>
          <w:color w:val="auto"/>
          <w:szCs w:val="21"/>
          <w:highlight w:val="none"/>
        </w:rPr>
      </w:pPr>
      <w:r>
        <w:rPr>
          <w:rFonts w:hint="eastAsia" w:ascii="宋体" w:hAnsi="宋体"/>
          <w:color w:val="auto"/>
          <w:szCs w:val="21"/>
          <w:highlight w:val="none"/>
        </w:rPr>
        <w:t>由招标人(买方)与中标人(卖方)根据本章合同条款格式及投标文件签订</w:t>
      </w:r>
      <w:r>
        <w:rPr>
          <w:rFonts w:hint="eastAsia" w:ascii="宋体" w:hAnsi="宋体"/>
          <w:color w:val="auto"/>
          <w:sz w:val="24"/>
          <w:highlight w:val="none"/>
          <w:u w:val="single"/>
          <w:lang w:eastAsia="zh-CN"/>
        </w:rPr>
        <w:t>2023年三门县县道公路桥梁定期检查项目</w:t>
      </w:r>
      <w:r>
        <w:rPr>
          <w:rFonts w:hint="eastAsia" w:ascii="宋体" w:hAnsi="宋体"/>
          <w:color w:val="auto"/>
          <w:szCs w:val="21"/>
          <w:highlight w:val="none"/>
        </w:rPr>
        <w:t>合同。</w:t>
      </w:r>
    </w:p>
    <w:p>
      <w:pPr>
        <w:spacing w:line="288" w:lineRule="auto"/>
        <w:ind w:firstLine="420" w:firstLineChars="200"/>
        <w:rPr>
          <w:rFonts w:ascii="宋体" w:hAnsi="宋体"/>
          <w:color w:val="auto"/>
          <w:szCs w:val="21"/>
          <w:highlight w:val="none"/>
        </w:rPr>
      </w:pPr>
    </w:p>
    <w:p>
      <w:pPr>
        <w:tabs>
          <w:tab w:val="left" w:pos="850"/>
        </w:tabs>
        <w:autoSpaceDE w:val="0"/>
        <w:autoSpaceDN w:val="0"/>
        <w:spacing w:line="288" w:lineRule="auto"/>
        <w:ind w:firstLine="420" w:firstLineChars="200"/>
        <w:textAlignment w:val="bottom"/>
        <w:rPr>
          <w:color w:val="auto"/>
          <w:szCs w:val="21"/>
          <w:highlight w:val="none"/>
        </w:rPr>
      </w:pPr>
    </w:p>
    <w:p>
      <w:pPr>
        <w:tabs>
          <w:tab w:val="left" w:pos="850"/>
        </w:tabs>
        <w:autoSpaceDE w:val="0"/>
        <w:autoSpaceDN w:val="0"/>
        <w:spacing w:line="288" w:lineRule="auto"/>
        <w:ind w:firstLine="420" w:firstLineChars="200"/>
        <w:jc w:val="center"/>
        <w:textAlignment w:val="bottom"/>
        <w:rPr>
          <w:rFonts w:eastAsia="黑体"/>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textAlignment w:val="bottom"/>
        <w:rPr>
          <w:b/>
          <w:color w:val="auto"/>
          <w:szCs w:val="21"/>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pStyle w:val="20"/>
        <w:rPr>
          <w:color w:val="auto"/>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r>
        <w:rPr>
          <w:rFonts w:hint="eastAsia" w:ascii="宋体"/>
          <w:color w:val="auto"/>
          <w:sz w:val="36"/>
          <w:highlight w:val="none"/>
        </w:rPr>
        <w:t xml:space="preserve"> </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政府采购合同</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项目名称：                           　  　</w:t>
      </w:r>
    </w:p>
    <w:p>
      <w:pPr>
        <w:pStyle w:val="11"/>
        <w:snapToGrid w:val="0"/>
        <w:spacing w:before="120" w:after="120" w:line="440" w:lineRule="exact"/>
        <w:rPr>
          <w:rFonts w:hint="eastAsia" w:hAnsi="宋体" w:cs="宋体"/>
          <w:color w:val="auto"/>
          <w:highlight w:val="none"/>
        </w:rPr>
      </w:pPr>
      <w:r>
        <w:rPr>
          <w:rFonts w:hint="eastAsia" w:hAnsi="宋体" w:cs="宋体"/>
          <w:color w:val="auto"/>
          <w:highlight w:val="none"/>
        </w:rPr>
        <w:t>甲方：（采购人）　　　　　　　　　　　　　　乙方：（成交人）</w:t>
      </w:r>
    </w:p>
    <w:p>
      <w:pPr>
        <w:pStyle w:val="11"/>
        <w:snapToGrid w:val="0"/>
        <w:spacing w:before="120" w:after="120" w:line="440" w:lineRule="exact"/>
        <w:ind w:left="211" w:hanging="211" w:hangingChars="100"/>
        <w:rPr>
          <w:rFonts w:hint="eastAsia"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甲、乙双方根据《中华人民共和国政府采购法》、《中华人民共和国</w:t>
      </w:r>
      <w:r>
        <w:rPr>
          <w:rFonts w:hint="eastAsia" w:hAnsi="宋体" w:cs="宋体"/>
          <w:color w:val="auto"/>
          <w:highlight w:val="none"/>
          <w:lang w:eastAsia="zh-CN"/>
        </w:rPr>
        <w:t>民法典</w:t>
      </w:r>
      <w:r>
        <w:rPr>
          <w:rFonts w:hint="eastAsia" w:hAnsi="宋体" w:cs="宋体"/>
          <w:color w:val="auto"/>
          <w:highlight w:val="none"/>
        </w:rPr>
        <w:t>》和</w:t>
      </w:r>
      <w:r>
        <w:rPr>
          <w:rFonts w:hint="eastAsia" w:hAnsi="宋体" w:cs="宋体"/>
          <w:color w:val="auto"/>
          <w:highlight w:val="none"/>
          <w:u w:val="single"/>
        </w:rPr>
        <w:t xml:space="preserve">                                  （本项目名称）</w:t>
      </w:r>
      <w:r>
        <w:rPr>
          <w:rFonts w:hint="eastAsia" w:hAnsi="宋体" w:cs="宋体"/>
          <w:color w:val="auto"/>
          <w:highlight w:val="none"/>
          <w:u w:val="single"/>
          <w:lang w:val="en-US" w:eastAsia="zh-CN"/>
        </w:rPr>
        <w:t xml:space="preserve">    </w:t>
      </w:r>
      <w:r>
        <w:rPr>
          <w:rFonts w:hint="eastAsia" w:hAnsi="宋体" w:cs="宋体"/>
          <w:color w:val="auto"/>
          <w:highlight w:val="none"/>
        </w:rPr>
        <w:t>的招标文件相关规定，双方达成一致签署本合同。</w:t>
      </w:r>
    </w:p>
    <w:p>
      <w:pPr>
        <w:keepNext/>
        <w:keepLines/>
        <w:spacing w:line="440" w:lineRule="exact"/>
        <w:outlineLvl w:val="2"/>
        <w:rPr>
          <w:rFonts w:hint="eastAsia" w:ascii="宋体" w:hAnsi="宋体" w:cs="宋体"/>
          <w:b/>
          <w:bCs/>
          <w:color w:val="auto"/>
          <w:kern w:val="0"/>
          <w:sz w:val="24"/>
          <w:highlight w:val="none"/>
        </w:rPr>
      </w:pPr>
      <w:bookmarkStart w:id="16" w:name="_Toc9803"/>
      <w:bookmarkStart w:id="17" w:name="_Toc19435"/>
      <w:bookmarkStart w:id="18" w:name="_Toc11372"/>
      <w:r>
        <w:rPr>
          <w:rFonts w:hint="eastAsia" w:ascii="宋体" w:hAnsi="宋体" w:cs="宋体"/>
          <w:b/>
          <w:bCs/>
          <w:color w:val="auto"/>
          <w:kern w:val="0"/>
          <w:sz w:val="24"/>
          <w:highlight w:val="none"/>
        </w:rPr>
        <w:t>一、</w:t>
      </w:r>
      <w:r>
        <w:rPr>
          <w:rStyle w:val="33"/>
          <w:rFonts w:hint="eastAsia" w:ascii="宋体" w:hAnsi="宋体" w:eastAsia="宋体" w:cs="宋体"/>
          <w:color w:val="auto"/>
          <w:kern w:val="0"/>
          <w:sz w:val="24"/>
          <w:szCs w:val="24"/>
          <w:highlight w:val="none"/>
        </w:rPr>
        <w:t>服</w:t>
      </w:r>
      <w:r>
        <w:rPr>
          <w:rFonts w:hint="eastAsia" w:ascii="宋体" w:hAnsi="宋体" w:cs="宋体"/>
          <w:b/>
          <w:bCs/>
          <w:color w:val="auto"/>
          <w:kern w:val="0"/>
          <w:sz w:val="24"/>
          <w:highlight w:val="none"/>
        </w:rPr>
        <w:t>务内容</w:t>
      </w:r>
      <w:bookmarkEnd w:id="16"/>
      <w:bookmarkEnd w:id="17"/>
      <w:bookmarkEnd w:id="18"/>
    </w:p>
    <w:p>
      <w:pPr>
        <w:pStyle w:val="5"/>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服务内容</w:t>
      </w:r>
      <w:r>
        <w:rPr>
          <w:rFonts w:hint="eastAsia" w:ascii="宋体" w:hAnsi="宋体" w:eastAsia="宋体" w:cs="宋体"/>
          <w:b w:val="0"/>
          <w:bCs w:val="0"/>
          <w:color w:val="auto"/>
          <w:sz w:val="24"/>
          <w:szCs w:val="24"/>
          <w:highlight w:val="none"/>
        </w:rPr>
        <w:t>为</w:t>
      </w:r>
      <w:r>
        <w:rPr>
          <w:rFonts w:hint="eastAsia" w:ascii="宋体" w:hAnsi="宋体" w:cs="宋体"/>
          <w:b w:val="0"/>
          <w:bCs w:val="0"/>
          <w:color w:val="auto"/>
          <w:sz w:val="24"/>
          <w:szCs w:val="24"/>
          <w:highlight w:val="none"/>
          <w:lang w:eastAsia="zh-CN"/>
        </w:rPr>
        <w:t>2023年三门县县道公路桥梁定期检查项目</w:t>
      </w:r>
      <w:r>
        <w:rPr>
          <w:rFonts w:hint="eastAsia" w:ascii="宋体" w:hAnsi="宋体" w:eastAsia="宋体" w:cs="宋体"/>
          <w:b w:val="0"/>
          <w:bCs w:val="0"/>
          <w:color w:val="auto"/>
          <w:sz w:val="24"/>
          <w:szCs w:val="24"/>
          <w:highlight w:val="none"/>
          <w:lang w:eastAsia="zh-CN"/>
        </w:rPr>
        <w:t>。</w:t>
      </w:r>
    </w:p>
    <w:p>
      <w:pPr>
        <w:spacing w:line="440" w:lineRule="exact"/>
        <w:rPr>
          <w:rFonts w:hint="eastAsia" w:ascii="宋体" w:hAnsi="宋体" w:cs="宋体"/>
          <w:b/>
          <w:bCs/>
          <w:color w:val="auto"/>
          <w:kern w:val="0"/>
          <w:sz w:val="24"/>
          <w:highlight w:val="none"/>
        </w:rPr>
      </w:pPr>
      <w:bookmarkStart w:id="19" w:name="_Toc12642"/>
      <w:bookmarkStart w:id="20" w:name="_Toc31958"/>
      <w:r>
        <w:rPr>
          <w:rFonts w:hint="eastAsia" w:ascii="宋体" w:hAnsi="宋体" w:cs="宋体"/>
          <w:b/>
          <w:bCs/>
          <w:color w:val="auto"/>
          <w:kern w:val="0"/>
          <w:sz w:val="24"/>
          <w:highlight w:val="none"/>
        </w:rPr>
        <w:t>二、合同金额</w:t>
      </w:r>
      <w:bookmarkEnd w:id="19"/>
      <w:bookmarkEnd w:id="20"/>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本合同金额为（大写）：_______________元（￥___________元）人民币。</w:t>
      </w:r>
    </w:p>
    <w:p>
      <w:pPr>
        <w:keepNext/>
        <w:keepLines/>
        <w:spacing w:line="440" w:lineRule="exact"/>
        <w:outlineLvl w:val="2"/>
        <w:rPr>
          <w:rFonts w:hint="eastAsia" w:ascii="宋体" w:hAnsi="宋体" w:cs="宋体"/>
          <w:b/>
          <w:bCs/>
          <w:color w:val="auto"/>
          <w:kern w:val="0"/>
          <w:sz w:val="24"/>
          <w:highlight w:val="none"/>
        </w:rPr>
      </w:pPr>
      <w:bookmarkStart w:id="21" w:name="_Toc19973"/>
      <w:bookmarkStart w:id="22" w:name="_Toc5205"/>
      <w:bookmarkStart w:id="23" w:name="_Toc12239"/>
      <w:r>
        <w:rPr>
          <w:rFonts w:hint="eastAsia" w:ascii="宋体" w:hAnsi="宋体" w:cs="宋体"/>
          <w:b/>
          <w:bCs/>
          <w:color w:val="auto"/>
          <w:kern w:val="0"/>
          <w:sz w:val="24"/>
          <w:highlight w:val="none"/>
        </w:rPr>
        <w:t>三、技术资料</w:t>
      </w:r>
      <w:bookmarkEnd w:id="21"/>
      <w:bookmarkEnd w:id="22"/>
      <w:bookmarkEnd w:id="2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line="440" w:lineRule="exact"/>
        <w:outlineLvl w:val="2"/>
        <w:rPr>
          <w:rFonts w:hint="eastAsia" w:ascii="宋体" w:hAnsi="宋体" w:cs="宋体"/>
          <w:b/>
          <w:bCs/>
          <w:color w:val="auto"/>
          <w:kern w:val="0"/>
          <w:sz w:val="24"/>
          <w:highlight w:val="none"/>
        </w:rPr>
      </w:pPr>
      <w:bookmarkStart w:id="24" w:name="_Toc343"/>
      <w:bookmarkStart w:id="25" w:name="_Toc21842"/>
      <w:bookmarkStart w:id="26" w:name="_Toc12534"/>
      <w:r>
        <w:rPr>
          <w:rFonts w:hint="eastAsia" w:ascii="宋体" w:hAnsi="宋体" w:cs="宋体"/>
          <w:b/>
          <w:bCs/>
          <w:color w:val="auto"/>
          <w:kern w:val="0"/>
          <w:sz w:val="24"/>
          <w:highlight w:val="none"/>
        </w:rPr>
        <w:t>四、知识产权</w:t>
      </w:r>
      <w:bookmarkEnd w:id="24"/>
      <w:bookmarkEnd w:id="25"/>
      <w:bookmarkEnd w:id="26"/>
    </w:p>
    <w:p>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乙方应保证提供服务过程中不会侵犯任何第三方的知识产权</w:t>
      </w:r>
      <w:r>
        <w:rPr>
          <w:rFonts w:hint="eastAsia" w:ascii="宋体" w:hAnsi="宋体" w:cs="宋体"/>
          <w:bCs/>
          <w:color w:val="auto"/>
          <w:sz w:val="24"/>
          <w:highlight w:val="none"/>
        </w:rPr>
        <w:t>。</w:t>
      </w:r>
    </w:p>
    <w:p>
      <w:pPr>
        <w:keepNext/>
        <w:keepLines/>
        <w:spacing w:line="440" w:lineRule="exact"/>
        <w:outlineLvl w:val="2"/>
        <w:rPr>
          <w:rFonts w:hint="eastAsia" w:ascii="宋体" w:hAnsi="宋体" w:cs="宋体"/>
          <w:b/>
          <w:bCs/>
          <w:color w:val="auto"/>
          <w:kern w:val="0"/>
          <w:sz w:val="24"/>
          <w:highlight w:val="none"/>
        </w:rPr>
      </w:pPr>
      <w:bookmarkStart w:id="27" w:name="_Toc15811"/>
      <w:bookmarkStart w:id="28" w:name="_Toc1396"/>
      <w:bookmarkStart w:id="29" w:name="_Toc22239"/>
      <w:r>
        <w:rPr>
          <w:rFonts w:hint="eastAsia" w:ascii="宋体" w:hAnsi="宋体" w:cs="宋体"/>
          <w:b/>
          <w:bCs/>
          <w:color w:val="auto"/>
          <w:kern w:val="0"/>
          <w:sz w:val="24"/>
          <w:highlight w:val="none"/>
        </w:rPr>
        <w:t>五、履约保证金</w:t>
      </w:r>
      <w:bookmarkEnd w:id="27"/>
      <w:bookmarkEnd w:id="28"/>
      <w:bookmarkEnd w:id="29"/>
    </w:p>
    <w:p>
      <w:pPr>
        <w:keepNext/>
        <w:keepLines/>
        <w:spacing w:line="440" w:lineRule="exact"/>
        <w:ind w:firstLine="240" w:firstLineChars="100"/>
        <w:outlineLvl w:val="2"/>
        <w:rPr>
          <w:rFonts w:hint="eastAsia" w:ascii="宋体" w:hAnsi="宋体" w:cs="宋体"/>
          <w:color w:val="auto"/>
          <w:sz w:val="24"/>
          <w:highlight w:val="none"/>
        </w:rPr>
      </w:pPr>
      <w:bookmarkStart w:id="30" w:name="_Toc5609"/>
      <w:bookmarkStart w:id="31" w:name="_Toc13281"/>
      <w:bookmarkStart w:id="32" w:name="_Toc1585"/>
      <w:r>
        <w:rPr>
          <w:rFonts w:hint="eastAsia" w:ascii="宋体" w:hAnsi="宋体" w:cs="宋体"/>
          <w:color w:val="auto"/>
          <w:sz w:val="24"/>
          <w:highlight w:val="none"/>
          <w:lang w:val="en-US" w:eastAsia="zh-CN"/>
        </w:rPr>
        <w:t>1、本项目无</w:t>
      </w:r>
      <w:r>
        <w:rPr>
          <w:rFonts w:hint="eastAsia" w:ascii="宋体" w:hAnsi="宋体" w:cs="宋体"/>
          <w:color w:val="auto"/>
          <w:sz w:val="24"/>
          <w:highlight w:val="none"/>
        </w:rPr>
        <w:t>履约保证金。</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六、转包或分包</w:t>
      </w:r>
      <w:bookmarkEnd w:id="30"/>
      <w:bookmarkEnd w:id="31"/>
      <w:bookmarkEnd w:id="32"/>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本合同范围的服务，应由乙方直接供应，不得转让他人供应；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如有转让和未经甲方同意的分包行为，甲方有权解除合同，没收履约保证金并追究乙方的违约责任。</w:t>
      </w:r>
    </w:p>
    <w:p>
      <w:pPr>
        <w:keepNext/>
        <w:keepLines/>
        <w:spacing w:line="440" w:lineRule="exact"/>
        <w:outlineLvl w:val="2"/>
        <w:rPr>
          <w:rFonts w:hint="eastAsia" w:ascii="宋体" w:hAnsi="宋体" w:cs="宋体"/>
          <w:b/>
          <w:bCs/>
          <w:color w:val="auto"/>
          <w:kern w:val="0"/>
          <w:sz w:val="24"/>
          <w:highlight w:val="none"/>
        </w:rPr>
      </w:pPr>
      <w:bookmarkStart w:id="33" w:name="_Toc10829"/>
      <w:bookmarkStart w:id="34" w:name="_Toc14127"/>
      <w:bookmarkStart w:id="35" w:name="_Toc29570"/>
      <w:r>
        <w:rPr>
          <w:rFonts w:hint="eastAsia" w:ascii="宋体" w:hAnsi="宋体" w:cs="宋体"/>
          <w:b/>
          <w:bCs/>
          <w:color w:val="auto"/>
          <w:kern w:val="0"/>
          <w:sz w:val="24"/>
          <w:highlight w:val="none"/>
        </w:rPr>
        <w:t>七、</w:t>
      </w:r>
      <w:bookmarkEnd w:id="33"/>
      <w:bookmarkEnd w:id="34"/>
      <w:bookmarkEnd w:id="35"/>
      <w:bookmarkStart w:id="36" w:name="_Toc17289"/>
      <w:bookmarkStart w:id="37" w:name="_Toc18273"/>
      <w:bookmarkStart w:id="38" w:name="_Toc15174"/>
      <w:r>
        <w:rPr>
          <w:rFonts w:hint="eastAsia" w:ascii="宋体" w:hAnsi="宋体" w:cs="宋体"/>
          <w:b/>
          <w:bCs/>
          <w:color w:val="auto"/>
          <w:kern w:val="0"/>
          <w:sz w:val="24"/>
          <w:highlight w:val="none"/>
        </w:rPr>
        <w:t>合同履行时间、履行方式及履行地点</w:t>
      </w:r>
      <w:bookmarkEnd w:id="36"/>
      <w:bookmarkEnd w:id="37"/>
      <w:bookmarkEnd w:id="38"/>
    </w:p>
    <w:p>
      <w:pPr>
        <w:pStyle w:val="11"/>
        <w:numPr>
          <w:ilvl w:val="0"/>
          <w:numId w:val="0"/>
        </w:numPr>
        <w:adjustRightInd w:val="0"/>
        <w:snapToGrid w:val="0"/>
        <w:spacing w:line="440" w:lineRule="atLeast"/>
        <w:ind w:firstLine="480" w:firstLineChars="200"/>
        <w:rPr>
          <w:rFonts w:hint="eastAsia"/>
          <w:color w:val="auto"/>
          <w:sz w:val="21"/>
          <w:szCs w:val="21"/>
          <w:highlight w:val="none"/>
          <w:lang w:eastAsia="zh-CN"/>
        </w:rPr>
      </w:pPr>
      <w:r>
        <w:rPr>
          <w:rFonts w:hint="eastAsia" w:ascii="宋体" w:hAnsi="宋体" w:cs="宋体"/>
          <w:bCs/>
          <w:color w:val="auto"/>
          <w:sz w:val="24"/>
          <w:highlight w:val="none"/>
        </w:rPr>
        <w:t xml:space="preserve">1. </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w:t>
      </w:r>
      <w:r>
        <w:rPr>
          <w:rFonts w:hint="eastAsia" w:hAnsi="宋体" w:cs="宋体"/>
          <w:color w:val="auto"/>
          <w:sz w:val="24"/>
          <w:highlight w:val="none"/>
          <w:lang w:val="en-US" w:eastAsia="zh-CN"/>
        </w:rPr>
        <w:t>3</w:t>
      </w:r>
      <w:r>
        <w:rPr>
          <w:rFonts w:hint="eastAsia" w:hAnsi="宋体" w:cs="宋体"/>
          <w:color w:val="auto"/>
          <w:sz w:val="24"/>
          <w:highlight w:val="none"/>
          <w:lang w:eastAsia="zh-CN"/>
        </w:rPr>
        <w:t>0日历天</w:t>
      </w:r>
      <w:r>
        <w:rPr>
          <w:rFonts w:hint="eastAsia" w:ascii="宋体" w:hAnsi="宋体" w:cs="宋体"/>
          <w:color w:val="auto"/>
          <w:sz w:val="24"/>
          <w:highlight w:val="none"/>
          <w:lang w:eastAsia="zh-CN"/>
        </w:rPr>
        <w:t>。</w:t>
      </w:r>
    </w:p>
    <w:p>
      <w:pPr>
        <w:pStyle w:val="19"/>
        <w:widowControl w:val="0"/>
        <w:spacing w:before="0" w:beforeAutospacing="0" w:after="0" w:afterAutospacing="0" w:line="440" w:lineRule="exact"/>
        <w:ind w:right="92" w:firstLine="480" w:firstLineChars="200"/>
        <w:jc w:val="both"/>
        <w:rPr>
          <w:color w:val="auto"/>
          <w:highlight w:val="none"/>
        </w:rPr>
      </w:pPr>
      <w:r>
        <w:rPr>
          <w:rFonts w:cs="宋体"/>
          <w:bCs/>
          <w:color w:val="auto"/>
          <w:highlight w:val="none"/>
        </w:rPr>
        <w:t xml:space="preserve">2. </w:t>
      </w:r>
      <w:r>
        <w:rPr>
          <w:rFonts w:cs="宋体"/>
          <w:color w:val="auto"/>
          <w:highlight w:val="none"/>
        </w:rPr>
        <w:t>履行地点</w:t>
      </w:r>
      <w:r>
        <w:rPr>
          <w:rFonts w:cs="宋体"/>
          <w:bCs/>
          <w:color w:val="auto"/>
          <w:highlight w:val="none"/>
        </w:rPr>
        <w:t>：</w:t>
      </w:r>
      <w:r>
        <w:rPr>
          <w:rFonts w:ascii="Calibri" w:cs="宋体"/>
          <w:color w:val="auto"/>
          <w:kern w:val="2"/>
          <w:highlight w:val="none"/>
          <w:lang w:bidi="ar"/>
        </w:rPr>
        <w:t>结合实践条件，经双方协商，本合同履行地点为</w:t>
      </w:r>
      <w:r>
        <w:rPr>
          <w:rFonts w:hint="default" w:ascii="Calibri"/>
          <w:color w:val="auto"/>
          <w:kern w:val="2"/>
          <w:highlight w:val="none"/>
          <w:u w:val="single"/>
          <w:lang w:bidi="ar"/>
        </w:rPr>
        <w:t xml:space="preserve">  </w:t>
      </w:r>
      <w:r>
        <w:rPr>
          <w:rFonts w:hint="eastAsia" w:ascii="Calibri"/>
          <w:color w:val="auto"/>
          <w:kern w:val="2"/>
          <w:highlight w:val="none"/>
          <w:u w:val="single"/>
          <w:lang w:eastAsia="zh-CN" w:bidi="ar"/>
        </w:rPr>
        <w:t>三门</w:t>
      </w:r>
      <w:r>
        <w:rPr>
          <w:rFonts w:ascii="Calibri"/>
          <w:color w:val="auto"/>
          <w:kern w:val="2"/>
          <w:highlight w:val="none"/>
          <w:u w:val="single"/>
          <w:lang w:bidi="ar"/>
        </w:rPr>
        <w:t>县</w:t>
      </w:r>
      <w:r>
        <w:rPr>
          <w:rFonts w:hint="default" w:ascii="Calibri"/>
          <w:color w:val="auto"/>
          <w:kern w:val="2"/>
          <w:highlight w:val="none"/>
          <w:u w:val="single"/>
          <w:lang w:bidi="ar"/>
        </w:rPr>
        <w:t xml:space="preserve">  </w:t>
      </w:r>
      <w:r>
        <w:rPr>
          <w:rFonts w:ascii="Calibri"/>
          <w:color w:val="auto"/>
          <w:kern w:val="2"/>
          <w:highlight w:val="none"/>
          <w:u w:val="single"/>
          <w:lang w:bidi="ar"/>
        </w:rPr>
        <w:t>。</w:t>
      </w:r>
    </w:p>
    <w:p>
      <w:pPr>
        <w:keepNext/>
        <w:keepLines/>
        <w:spacing w:line="440" w:lineRule="exact"/>
        <w:outlineLvl w:val="2"/>
        <w:rPr>
          <w:rFonts w:hint="eastAsia" w:ascii="宋体" w:hAnsi="宋体" w:cs="宋体"/>
          <w:b/>
          <w:bCs/>
          <w:color w:val="auto"/>
          <w:kern w:val="0"/>
          <w:sz w:val="24"/>
          <w:highlight w:val="none"/>
        </w:rPr>
      </w:pPr>
      <w:bookmarkStart w:id="39" w:name="_Toc6075"/>
      <w:bookmarkStart w:id="40" w:name="_Toc13580"/>
      <w:bookmarkStart w:id="41" w:name="_Toc2094"/>
      <w:r>
        <w:rPr>
          <w:rFonts w:hint="eastAsia" w:ascii="宋体" w:hAnsi="宋体" w:cs="宋体"/>
          <w:b/>
          <w:bCs/>
          <w:color w:val="auto"/>
          <w:kern w:val="0"/>
          <w:sz w:val="24"/>
          <w:highlight w:val="none"/>
          <w:lang w:eastAsia="zh-CN"/>
        </w:rPr>
        <w:t>八</w:t>
      </w:r>
      <w:r>
        <w:rPr>
          <w:rFonts w:hint="eastAsia" w:ascii="宋体" w:hAnsi="宋体" w:cs="宋体"/>
          <w:b/>
          <w:bCs/>
          <w:color w:val="auto"/>
          <w:kern w:val="0"/>
          <w:sz w:val="24"/>
          <w:highlight w:val="none"/>
        </w:rPr>
        <w:t>、款项支付</w:t>
      </w:r>
      <w:bookmarkEnd w:id="39"/>
      <w:bookmarkEnd w:id="40"/>
      <w:bookmarkEnd w:id="41"/>
    </w:p>
    <w:p>
      <w:pPr>
        <w:pStyle w:val="19"/>
        <w:widowControl w:val="0"/>
        <w:spacing w:before="0" w:beforeAutospacing="0" w:after="0" w:afterAutospacing="0" w:line="440" w:lineRule="exact"/>
        <w:ind w:right="92" w:firstLine="480" w:firstLineChars="200"/>
        <w:jc w:val="both"/>
        <w:rPr>
          <w:rFonts w:hint="eastAsia" w:ascii="Calibri" w:cs="宋体"/>
          <w:color w:val="auto"/>
          <w:kern w:val="2"/>
          <w:highlight w:val="none"/>
          <w:lang w:eastAsia="zh-CN" w:bidi="ar"/>
        </w:rPr>
      </w:pPr>
      <w:bookmarkStart w:id="42" w:name="_Toc3712"/>
      <w:bookmarkStart w:id="43" w:name="_Toc32357"/>
      <w:bookmarkStart w:id="44" w:name="_Toc2953"/>
      <w:r>
        <w:rPr>
          <w:rFonts w:hint="eastAsia" w:ascii="Calibri" w:cs="宋体"/>
          <w:color w:val="auto"/>
          <w:kern w:val="2"/>
          <w:highlight w:val="none"/>
          <w:u w:val="single"/>
          <w:lang w:eastAsia="zh-CN" w:bidi="ar"/>
        </w:rPr>
        <w:t>检测报告提交并通过评审后</w:t>
      </w:r>
      <w:r>
        <w:rPr>
          <w:rFonts w:hint="eastAsia" w:ascii="Calibri" w:cs="宋体"/>
          <w:color w:val="auto"/>
          <w:kern w:val="2"/>
          <w:highlight w:val="none"/>
          <w:u w:val="single"/>
          <w:lang w:val="en-US" w:eastAsia="zh-CN" w:bidi="ar"/>
        </w:rPr>
        <w:t>一个月</w:t>
      </w:r>
      <w:r>
        <w:rPr>
          <w:rFonts w:hint="eastAsia" w:ascii="Calibri" w:cs="宋体"/>
          <w:color w:val="auto"/>
          <w:kern w:val="2"/>
          <w:highlight w:val="none"/>
          <w:u w:val="single"/>
          <w:lang w:eastAsia="zh-CN" w:bidi="ar"/>
        </w:rPr>
        <w:t>内支付所有款项</w:t>
      </w:r>
      <w:r>
        <w:rPr>
          <w:rFonts w:hint="eastAsia" w:ascii="Calibri" w:cs="宋体"/>
          <w:color w:val="auto"/>
          <w:kern w:val="2"/>
          <w:highlight w:val="none"/>
          <w:lang w:bidi="ar"/>
        </w:rPr>
        <w:t>。</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九</w:t>
      </w:r>
      <w:r>
        <w:rPr>
          <w:rFonts w:hint="eastAsia" w:ascii="宋体" w:hAnsi="宋体" w:cs="宋体"/>
          <w:b/>
          <w:bCs/>
          <w:color w:val="auto"/>
          <w:kern w:val="0"/>
          <w:sz w:val="24"/>
          <w:highlight w:val="none"/>
        </w:rPr>
        <w:t>、税费</w:t>
      </w:r>
      <w:bookmarkEnd w:id="42"/>
      <w:bookmarkEnd w:id="43"/>
      <w:bookmarkEnd w:id="44"/>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keepLines/>
        <w:spacing w:line="440" w:lineRule="exact"/>
        <w:outlineLvl w:val="2"/>
        <w:rPr>
          <w:rFonts w:hint="eastAsia" w:ascii="宋体" w:hAnsi="宋体" w:cs="宋体"/>
          <w:b/>
          <w:bCs/>
          <w:color w:val="auto"/>
          <w:kern w:val="0"/>
          <w:sz w:val="24"/>
          <w:highlight w:val="none"/>
        </w:rPr>
      </w:pPr>
      <w:bookmarkStart w:id="45" w:name="_Toc29628"/>
      <w:bookmarkStart w:id="46" w:name="_Toc26483"/>
      <w:bookmarkStart w:id="47" w:name="_Toc7942"/>
      <w:r>
        <w:rPr>
          <w:rFonts w:hint="eastAsia" w:ascii="宋体" w:hAnsi="宋体" w:cs="宋体"/>
          <w:b/>
          <w:bCs/>
          <w:color w:val="auto"/>
          <w:kern w:val="0"/>
          <w:sz w:val="24"/>
          <w:highlight w:val="none"/>
        </w:rPr>
        <w:t>十、</w:t>
      </w:r>
      <w:bookmarkEnd w:id="45"/>
      <w:bookmarkEnd w:id="46"/>
      <w:bookmarkEnd w:id="47"/>
      <w:r>
        <w:rPr>
          <w:rFonts w:hint="eastAsia" w:ascii="宋体" w:hAnsi="宋体" w:cs="宋体"/>
          <w:b/>
          <w:bCs/>
          <w:color w:val="auto"/>
          <w:kern w:val="0"/>
          <w:sz w:val="24"/>
          <w:highlight w:val="none"/>
        </w:rPr>
        <w:t>服务要求</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 检测人应本着严格试验检测、一丝不苟的原则，以</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文件为依据，独立、公正地开展试验检测工作，保证试验检测数据客观、公正、准确</w:t>
      </w:r>
      <w:r>
        <w:rPr>
          <w:rFonts w:hint="eastAsia" w:ascii="宋体" w:hAnsi="宋体" w:cs="宋体"/>
          <w:color w:val="auto"/>
          <w:sz w:val="24"/>
          <w:highlight w:val="none"/>
          <w:lang w:eastAsia="zh-CN"/>
        </w:rPr>
        <w:t>，并与采购人签订廉政合同。</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 建立完善、有效的质量保证体系，并按照有关规定对仪器设备进行正常维护，定期检定或校准。</w:t>
      </w:r>
      <w:r>
        <w:rPr>
          <w:rFonts w:hint="eastAsia" w:ascii="宋体" w:hAnsi="宋体" w:cs="宋体"/>
          <w:color w:val="auto"/>
          <w:sz w:val="24"/>
          <w:highlight w:val="none"/>
          <w:lang w:eastAsia="zh-CN"/>
        </w:rPr>
        <w:t>现场检测试验时确保安全生产，并与采购人签订安全生产责任合同。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 建立健全档案管理制度，试验检测资料及时整理和归档，保证档案齐备，原始记录和试验检测报告内容真实、完整、规范</w:t>
      </w:r>
      <w:r>
        <w:rPr>
          <w:rFonts w:hint="eastAsia" w:ascii="宋体" w:hAnsi="宋体" w:cs="宋体"/>
          <w:color w:val="auto"/>
          <w:sz w:val="24"/>
          <w:highlight w:val="none"/>
          <w:lang w:eastAsia="zh-CN"/>
        </w:rPr>
        <w:t>，对试验过程的照片、录像等影视材料进行整理存档。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检测人应对试验检测数据的真实性负责。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建立不合格报告台帐，并及时向发包人和质监机构报告。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检测人应在签订合同后14天内向发包人提交实施性试验检测方案计划，发包人接到方案后5天内提出审查意见，检测人按照发包人批准的方案实施。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在检测实施过程中，如出现检测数据异常等情况，检测人应于24 小时内及时将信息告知发包人，全部检测任务完成后，按发包人要求及时提供试验检测报告。检测人应于试验检测实施后3 天内提交试验检测结果，并于7 天内提供完整的试验检测报告，所有试验检测报告应提供一式5份。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(8)对于经确认的检测不合格项目，经施工方整改后，由检测人进行复检的，复检费用由施工方承担。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(9)按发包人要求配备足够的检测人员完成竣（交）工检测工作。</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(10)每月25日前编制检测月报上报发包人，对检测结果进行分类统计分析，对检测过程中存在的问题提出合理化建议。</w:t>
      </w:r>
    </w:p>
    <w:p>
      <w:pPr>
        <w:pStyle w:val="7"/>
        <w:spacing w:line="440" w:lineRule="exact"/>
        <w:rPr>
          <w:rFonts w:ascii="黑体" w:eastAsia="黑体"/>
          <w:color w:val="auto"/>
          <w:sz w:val="24"/>
          <w:highlight w:val="none"/>
        </w:rPr>
      </w:pPr>
      <w:bookmarkStart w:id="48" w:name="_Toc32611"/>
      <w:bookmarkStart w:id="49" w:name="_Toc7889"/>
      <w:bookmarkStart w:id="50" w:name="_Toc32610"/>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w:t>
      </w:r>
      <w:bookmarkEnd w:id="48"/>
      <w:bookmarkEnd w:id="49"/>
      <w:bookmarkEnd w:id="50"/>
      <w:r>
        <w:rPr>
          <w:rFonts w:hint="eastAsia" w:ascii="黑体" w:eastAsia="黑体"/>
          <w:color w:val="auto"/>
          <w:kern w:val="0"/>
          <w:sz w:val="24"/>
          <w:szCs w:val="24"/>
          <w:highlight w:val="none"/>
        </w:rPr>
        <w:t>检测人的违约及赔偿责任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的约定，将试验检测服务的任何部分转让或分包。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检测人未能按照投标文件的承诺配备满足试验检测服务需求的人员或设备。</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.3  检测人不履行试验检测职责，造成工程质量、安全事故或向承包人索贿、谋取私利，或与承包人串通损害发包人利益，给发包人造成损失。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.4  检测人未按试验检测操作规程进行试验检测或试验检测数据不准确造成工程质量隐患。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.5  出具虚假试验检测报告。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.6  检测人的其他违约责任：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（1）自中标开始至检测阶段结束，检测人违约调换项目负责人、技术负责人、其他检测人员的；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（2）试验检测人员不能胜任本职工作，而检测人又不能按发包人要求及时更换的；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（3）项目负责人、技术负责人及其他试验检测人员的休假未经发包人书面同意而影响试验检测工作的；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（4）接到承包人书面检测申请，未按检测方案规定时间到现场检测的（检测申请约定24小时内）；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（5）试验检测人员严重失职导致质量、安全或环保事故发生的；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（6）试验检测人员有吃拿卡要或其它不良行为的；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（7）未按照发包人或监理人的要求实施检测的项目，接到发包人或监理人的通知后未能在2日内进行实施的；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（8）未按照合同规定进行检测，并造成损失的；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因检测人违约，发包人对检测人课以违约金的计算方法：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.2情形，发包人有权购买任何未按承诺配备的设施、设备和物品及其安装和服务，费用均由检测人负担，并在中期支付中将此款扣除；人员未按承诺进场试验检测，每人次课以5000元的违约金。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 有</w:t>
      </w:r>
      <w:r>
        <w:rPr>
          <w:rFonts w:hint="eastAsia" w:ascii="宋体" w:hAnsi="宋体" w:cs="宋体"/>
          <w:color w:val="auto"/>
          <w:sz w:val="24"/>
          <w:highlight w:val="none"/>
          <w:lang w:eastAsia="zh-CN"/>
        </w:rPr>
        <w:t>1</w:t>
      </w:r>
      <w:r>
        <w:rPr>
          <w:rFonts w:hint="eastAsia" w:ascii="宋体" w:hAnsi="宋体" w:cs="宋体"/>
          <w:color w:val="auto"/>
          <w:sz w:val="24"/>
          <w:highlight w:val="none"/>
        </w:rPr>
        <w:t>.3情形，每次课以5000元的违约金；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 有</w:t>
      </w:r>
      <w:r>
        <w:rPr>
          <w:rFonts w:hint="eastAsia" w:ascii="宋体" w:hAnsi="宋体" w:cs="宋体"/>
          <w:color w:val="auto"/>
          <w:sz w:val="24"/>
          <w:highlight w:val="none"/>
          <w:lang w:eastAsia="zh-CN"/>
        </w:rPr>
        <w:t>1</w:t>
      </w:r>
      <w:r>
        <w:rPr>
          <w:rFonts w:hint="eastAsia" w:ascii="宋体" w:hAnsi="宋体" w:cs="宋体"/>
          <w:color w:val="auto"/>
          <w:sz w:val="24"/>
          <w:highlight w:val="none"/>
        </w:rPr>
        <w:t>.4情形，每人次课以5000元的违约金；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 有</w:t>
      </w:r>
      <w:r>
        <w:rPr>
          <w:rFonts w:hint="eastAsia" w:ascii="宋体" w:hAnsi="宋体" w:cs="宋体"/>
          <w:color w:val="auto"/>
          <w:sz w:val="24"/>
          <w:highlight w:val="none"/>
          <w:lang w:eastAsia="zh-CN"/>
        </w:rPr>
        <w:t>1</w:t>
      </w:r>
      <w:r>
        <w:rPr>
          <w:rFonts w:hint="eastAsia" w:ascii="宋体" w:hAnsi="宋体" w:cs="宋体"/>
          <w:color w:val="auto"/>
          <w:sz w:val="24"/>
          <w:highlight w:val="none"/>
        </w:rPr>
        <w:t>.5情形，每次课以合同价5%的违约金，发生2次及以上的，发包人有权终止合同；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 有</w:t>
      </w:r>
      <w:r>
        <w:rPr>
          <w:rFonts w:hint="eastAsia" w:ascii="宋体" w:hAnsi="宋体" w:cs="宋体"/>
          <w:color w:val="auto"/>
          <w:sz w:val="24"/>
          <w:highlight w:val="none"/>
          <w:lang w:eastAsia="zh-CN"/>
        </w:rPr>
        <w:t>1</w:t>
      </w:r>
      <w:r>
        <w:rPr>
          <w:rFonts w:hint="eastAsia" w:ascii="宋体" w:hAnsi="宋体" w:cs="宋体"/>
          <w:color w:val="auto"/>
          <w:sz w:val="24"/>
          <w:highlight w:val="none"/>
        </w:rPr>
        <w:t>.6（1）情形，项目负责人每人次课以50000元的违约金，技术负责人每人次课以10000元的违约金，其他检测人员每人次课以5000元的违约金；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 有</w:t>
      </w:r>
      <w:r>
        <w:rPr>
          <w:rFonts w:hint="eastAsia" w:ascii="宋体" w:hAnsi="宋体" w:cs="宋体"/>
          <w:color w:val="auto"/>
          <w:sz w:val="24"/>
          <w:highlight w:val="none"/>
          <w:lang w:eastAsia="zh-CN"/>
        </w:rPr>
        <w:t>1</w:t>
      </w:r>
      <w:r>
        <w:rPr>
          <w:rFonts w:hint="eastAsia" w:ascii="宋体" w:hAnsi="宋体" w:cs="宋体"/>
          <w:color w:val="auto"/>
          <w:sz w:val="24"/>
          <w:highlight w:val="none"/>
        </w:rPr>
        <w:t>.6（2）情形，每人次课以20000元的违约金；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.6（3）情形，每人每天课以3000元的违约金；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 有</w:t>
      </w:r>
      <w:r>
        <w:rPr>
          <w:rFonts w:hint="eastAsia" w:ascii="宋体" w:hAnsi="宋体" w:cs="宋体"/>
          <w:color w:val="auto"/>
          <w:sz w:val="24"/>
          <w:highlight w:val="none"/>
          <w:lang w:eastAsia="zh-CN"/>
        </w:rPr>
        <w:t>1</w:t>
      </w:r>
      <w:r>
        <w:rPr>
          <w:rFonts w:hint="eastAsia" w:ascii="宋体" w:hAnsi="宋体" w:cs="宋体"/>
          <w:color w:val="auto"/>
          <w:sz w:val="24"/>
          <w:highlight w:val="none"/>
        </w:rPr>
        <w:t>.6（4）情形，每延误一天课以5000元的违约金；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 有</w:t>
      </w:r>
      <w:r>
        <w:rPr>
          <w:rFonts w:hint="eastAsia" w:ascii="宋体" w:hAnsi="宋体" w:cs="宋体"/>
          <w:color w:val="auto"/>
          <w:sz w:val="24"/>
          <w:highlight w:val="none"/>
          <w:lang w:eastAsia="zh-CN"/>
        </w:rPr>
        <w:t>1</w:t>
      </w:r>
      <w:r>
        <w:rPr>
          <w:rFonts w:hint="eastAsia" w:ascii="宋体" w:hAnsi="宋体" w:cs="宋体"/>
          <w:color w:val="auto"/>
          <w:sz w:val="24"/>
          <w:highlight w:val="none"/>
        </w:rPr>
        <w:t>.6（5）情形，每次课以5000元的违约金，且不免除检测人的经济赔偿责任；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 有</w:t>
      </w:r>
      <w:r>
        <w:rPr>
          <w:rFonts w:hint="eastAsia" w:ascii="宋体" w:hAnsi="宋体" w:cs="宋体"/>
          <w:color w:val="auto"/>
          <w:sz w:val="24"/>
          <w:highlight w:val="none"/>
          <w:lang w:eastAsia="zh-CN"/>
        </w:rPr>
        <w:t>1</w:t>
      </w:r>
      <w:r>
        <w:rPr>
          <w:rFonts w:hint="eastAsia" w:ascii="宋体" w:hAnsi="宋体" w:cs="宋体"/>
          <w:color w:val="auto"/>
          <w:sz w:val="24"/>
          <w:highlight w:val="none"/>
        </w:rPr>
        <w:t>.6（6）情形，每次课以5000元的违约金；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k. 有</w:t>
      </w:r>
      <w:r>
        <w:rPr>
          <w:rFonts w:hint="eastAsia" w:ascii="宋体" w:hAnsi="宋体" w:cs="宋体"/>
          <w:color w:val="auto"/>
          <w:sz w:val="24"/>
          <w:highlight w:val="none"/>
          <w:lang w:eastAsia="zh-CN"/>
        </w:rPr>
        <w:t>1</w:t>
      </w:r>
      <w:r>
        <w:rPr>
          <w:rFonts w:hint="eastAsia" w:ascii="宋体" w:hAnsi="宋体" w:cs="宋体"/>
          <w:color w:val="auto"/>
          <w:sz w:val="24"/>
          <w:highlight w:val="none"/>
        </w:rPr>
        <w:t>.6（7）情形，每次课以2000元的违约金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.6（8）情形，按合同价5%进行处罚并承担相应损失。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的约定并造成发包人的经济损失，应向发包人赔偿，除非专用合同条款另有约定，赔偿金应按下式计算：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赔偿金 = 发包人直接经济损失所对应的检测费×检测人应承担责任的比例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检测人对由于第三方责任造成的任何经济损失，不承担责任。如果检测人与发包人或第三方对有关经济损失共负责任时，应按责任比例计算赔偿。</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检测人的上述责任赔偿，均应按照本合同条款第4.4款的约定办理。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检测人对发包人未授权的试验检测服务范围不承担试验检测责任。</w:t>
      </w:r>
    </w:p>
    <w:p>
      <w:pPr>
        <w:pStyle w:val="7"/>
        <w:spacing w:line="440" w:lineRule="exact"/>
        <w:rPr>
          <w:rFonts w:ascii="黑体" w:eastAsia="黑体"/>
          <w:color w:val="auto"/>
          <w:kern w:val="0"/>
          <w:sz w:val="24"/>
          <w:szCs w:val="24"/>
          <w:highlight w:val="none"/>
        </w:rPr>
      </w:pPr>
      <w:r>
        <w:rPr>
          <w:rFonts w:hint="eastAsia" w:ascii="黑体" w:eastAsia="黑体"/>
          <w:color w:val="auto"/>
          <w:kern w:val="0"/>
          <w:sz w:val="24"/>
          <w:szCs w:val="24"/>
          <w:highlight w:val="none"/>
          <w:lang w:eastAsia="zh-CN"/>
        </w:rPr>
        <w:t>十二、</w:t>
      </w:r>
      <w:r>
        <w:rPr>
          <w:rFonts w:hint="eastAsia" w:ascii="黑体" w:eastAsia="黑体"/>
          <w:color w:val="auto"/>
          <w:kern w:val="0"/>
          <w:sz w:val="24"/>
          <w:szCs w:val="24"/>
          <w:highlight w:val="none"/>
        </w:rPr>
        <w:t>发包人的违约和赔偿责任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发包人的违约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发包人在合同约定的期限内，未向检测人支付到期应付的款项。</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发包人未按合同约定履行其他应尽义务。</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发包人违反上述约定应承担违约责任，并按相关合同条款约定承担相应的费用。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发包人的赔偿责任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的约定并造成检测人的经济损失，应向检测人赔偿，除非专用合同条款另有约定，发包人应据实赔偿检测人的直接经济损失。</w:t>
      </w:r>
    </w:p>
    <w:p>
      <w:pPr>
        <w:keepNext/>
        <w:keepLines/>
        <w:spacing w:line="440" w:lineRule="exact"/>
        <w:outlineLvl w:val="2"/>
        <w:rPr>
          <w:rFonts w:hint="eastAsia" w:ascii="宋体" w:hAnsi="宋体" w:cs="宋体"/>
          <w:b/>
          <w:bCs/>
          <w:color w:val="auto"/>
          <w:kern w:val="0"/>
          <w:sz w:val="24"/>
          <w:highlight w:val="none"/>
        </w:rPr>
      </w:pPr>
      <w:bookmarkStart w:id="51" w:name="_Toc24646"/>
      <w:bookmarkStart w:id="52" w:name="_Toc11972"/>
      <w:bookmarkStart w:id="53" w:name="_Toc8791"/>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三</w:t>
      </w:r>
      <w:r>
        <w:rPr>
          <w:rFonts w:hint="eastAsia" w:ascii="宋体" w:hAnsi="宋体" w:cs="宋体"/>
          <w:b/>
          <w:bCs/>
          <w:color w:val="auto"/>
          <w:kern w:val="0"/>
          <w:sz w:val="24"/>
          <w:highlight w:val="none"/>
        </w:rPr>
        <w:t>、不可抗力事件处理</w:t>
      </w:r>
      <w:bookmarkEnd w:id="51"/>
      <w:bookmarkEnd w:id="52"/>
      <w:bookmarkEnd w:id="5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在合同有效期内，任何一方因不可抗力事件导致不能履行合同，则合同履行期可延长，其延长期与不可抗力影响期相同。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不可抗力事件发生后，应立即通知对方，并寄送有关权威机构出具的证明。</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不可抗力事件延续120天以上，双方应通过友好协商，确定是否继续履行合同。</w:t>
      </w:r>
    </w:p>
    <w:p>
      <w:pPr>
        <w:pStyle w:val="11"/>
        <w:snapToGrid w:val="0"/>
        <w:spacing w:before="120" w:after="120" w:line="440" w:lineRule="exact"/>
        <w:rPr>
          <w:rFonts w:hint="eastAsia" w:hAnsi="宋体" w:cs="宋体"/>
          <w:b/>
          <w:bCs/>
          <w:color w:val="auto"/>
          <w:kern w:val="0"/>
          <w:sz w:val="24"/>
          <w:highlight w:val="none"/>
        </w:rPr>
      </w:pPr>
      <w:bookmarkStart w:id="54" w:name="_Toc3315"/>
      <w:bookmarkStart w:id="55" w:name="_Toc6828"/>
      <w:bookmarkStart w:id="56" w:name="_Toc3180"/>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四</w:t>
      </w:r>
      <w:r>
        <w:rPr>
          <w:rFonts w:hint="eastAsia" w:hAnsi="宋体" w:cs="宋体"/>
          <w:b/>
          <w:bCs/>
          <w:color w:val="auto"/>
          <w:kern w:val="0"/>
          <w:sz w:val="24"/>
          <w:highlight w:val="none"/>
        </w:rPr>
        <w:t>、诉讼</w:t>
      </w:r>
      <w:bookmarkEnd w:id="54"/>
      <w:bookmarkEnd w:id="55"/>
      <w:bookmarkEnd w:id="56"/>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 xml:space="preserve"> 双方在执行合同中所发生的一切争议，应通过协商解决。如协商不成，可向甲方所在地法院起诉。</w:t>
      </w:r>
    </w:p>
    <w:p>
      <w:pPr>
        <w:pStyle w:val="11"/>
        <w:snapToGrid w:val="0"/>
        <w:spacing w:before="120" w:after="120" w:line="440" w:lineRule="exact"/>
        <w:rPr>
          <w:rFonts w:hint="eastAsia" w:hAnsi="宋体" w:cs="宋体"/>
          <w:b/>
          <w:bCs/>
          <w:color w:val="auto"/>
          <w:kern w:val="0"/>
          <w:sz w:val="24"/>
          <w:highlight w:val="none"/>
        </w:rPr>
      </w:pPr>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五</w:t>
      </w:r>
      <w:r>
        <w:rPr>
          <w:rFonts w:hint="eastAsia" w:hAnsi="宋体" w:cs="宋体"/>
          <w:b/>
          <w:bCs/>
          <w:color w:val="auto"/>
          <w:kern w:val="0"/>
          <w:sz w:val="24"/>
          <w:highlight w:val="none"/>
        </w:rPr>
        <w:t>、合同生效及其它</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2. 合同执行中涉及采购资金和采购内容修改或补充的，须经财政部门审批，并签书面补充协议报</w:t>
      </w:r>
      <w:r>
        <w:rPr>
          <w:rFonts w:hint="eastAsia" w:hAnsi="宋体" w:cs="宋体"/>
          <w:color w:val="auto"/>
          <w:sz w:val="24"/>
          <w:highlight w:val="none"/>
          <w:lang w:eastAsia="zh-CN"/>
        </w:rPr>
        <w:t>三门</w:t>
      </w:r>
      <w:r>
        <w:rPr>
          <w:rFonts w:hint="eastAsia" w:hAnsi="宋体" w:cs="宋体"/>
          <w:color w:val="auto"/>
          <w:sz w:val="24"/>
          <w:highlight w:val="none"/>
        </w:rPr>
        <w:t>县财政局备案，方可作为主合同不可分割的一部分。</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3. 本合同未尽事宜，遵照《合同法》有关条文执行。</w:t>
      </w:r>
    </w:p>
    <w:p>
      <w:pPr>
        <w:pStyle w:val="11"/>
        <w:snapToGrid w:val="0"/>
        <w:spacing w:before="120" w:after="120" w:line="440" w:lineRule="exact"/>
        <w:ind w:left="19" w:leftChars="9" w:firstLine="458" w:firstLineChars="191"/>
        <w:rPr>
          <w:rFonts w:hint="eastAsia" w:hAnsi="宋体" w:cs="宋体"/>
          <w:color w:val="auto"/>
          <w:highlight w:val="none"/>
        </w:rPr>
      </w:pPr>
      <w:r>
        <w:rPr>
          <w:rFonts w:hint="eastAsia" w:hAnsi="宋体" w:cs="宋体"/>
          <w:color w:val="auto"/>
          <w:sz w:val="24"/>
          <w:highlight w:val="none"/>
        </w:rPr>
        <w:t>4. 本合同一式八份,甲乙双方各执三份，采购办一份，采购代理机构一份</w:t>
      </w:r>
      <w:r>
        <w:rPr>
          <w:rFonts w:hint="eastAsia" w:hAnsi="宋体" w:cs="宋体"/>
          <w:color w:val="auto"/>
          <w:highlight w:val="none"/>
        </w:rPr>
        <w:t>。</w:t>
      </w:r>
    </w:p>
    <w:p>
      <w:pPr>
        <w:pStyle w:val="11"/>
        <w:snapToGrid w:val="0"/>
        <w:spacing w:before="120" w:after="120" w:line="400" w:lineRule="atLeast"/>
        <w:rPr>
          <w:rFonts w:hint="eastAsia" w:hAnsi="宋体" w:cs="宋体"/>
          <w:color w:val="auto"/>
          <w:highlight w:val="none"/>
        </w:rPr>
      </w:pPr>
    </w:p>
    <w:p>
      <w:pPr>
        <w:rPr>
          <w:rFonts w:hint="eastAsia" w:ascii="宋体" w:hAnsi="宋体" w:cs="宋体"/>
          <w:color w:val="auto"/>
          <w:highlight w:val="none"/>
        </w:rPr>
      </w:pPr>
    </w:p>
    <w:p>
      <w:pPr>
        <w:pStyle w:val="11"/>
        <w:snapToGrid w:val="0"/>
        <w:spacing w:before="120" w:after="120" w:line="400" w:lineRule="atLeast"/>
        <w:ind w:left="420" w:hanging="420" w:hangingChars="200"/>
        <w:rPr>
          <w:rFonts w:hint="eastAsia" w:hAnsi="宋体" w:cs="宋体"/>
          <w:color w:val="auto"/>
          <w:highlight w:val="none"/>
        </w:rPr>
      </w:pPr>
      <w:r>
        <w:rPr>
          <w:rFonts w:hint="eastAsia" w:hAnsi="宋体" w:cs="宋体"/>
          <w:color w:val="auto"/>
          <w:highlight w:val="none"/>
        </w:rPr>
        <w:t xml:space="preserve">  甲方：                                   乙方： </w:t>
      </w:r>
    </w:p>
    <w:p>
      <w:pPr>
        <w:pStyle w:val="11"/>
        <w:snapToGrid w:val="0"/>
        <w:spacing w:before="120" w:after="120" w:line="400" w:lineRule="atLeast"/>
        <w:rPr>
          <w:rFonts w:hint="eastAsia" w:hAnsi="宋体" w:cs="宋体"/>
          <w:color w:val="auto"/>
          <w:highlight w:val="none"/>
        </w:rPr>
      </w:pPr>
      <w:r>
        <w:rPr>
          <w:rFonts w:hint="eastAsia" w:hAnsi="宋体" w:cs="宋体"/>
          <w:color w:val="auto"/>
          <w:highlight w:val="none"/>
        </w:rPr>
        <w:t xml:space="preserve">  法定（授权）代表人：                     法定（授权）代表人：</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地址：                                   地址：</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签字日期：    年 　月    日              签字日期：    年 　月    日</w:t>
      </w:r>
    </w:p>
    <w:p>
      <w:pPr>
        <w:widowControl/>
        <w:jc w:val="left"/>
        <w:rPr>
          <w:color w:val="auto"/>
          <w:sz w:val="48"/>
          <w:szCs w:val="48"/>
          <w:highlight w:val="none"/>
        </w:rPr>
      </w:pPr>
    </w:p>
    <w:p>
      <w:pPr>
        <w:pStyle w:val="20"/>
        <w:rPr>
          <w:color w:val="auto"/>
          <w:sz w:val="48"/>
          <w:szCs w:val="48"/>
          <w:highlight w:val="none"/>
        </w:rPr>
      </w:pPr>
    </w:p>
    <w:p>
      <w:pPr>
        <w:autoSpaceDE w:val="0"/>
        <w:autoSpaceDN w:val="0"/>
        <w:adjustRightInd w:val="0"/>
        <w:spacing w:line="360" w:lineRule="auto"/>
        <w:jc w:val="left"/>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autoSpaceDE w:val="0"/>
        <w:autoSpaceDN w:val="0"/>
        <w:adjustRightInd w:val="0"/>
        <w:spacing w:line="360" w:lineRule="auto"/>
        <w:jc w:val="center"/>
        <w:rPr>
          <w:b/>
          <w:color w:val="auto"/>
          <w:kern w:val="0"/>
          <w:sz w:val="32"/>
          <w:szCs w:val="32"/>
          <w:highlight w:val="none"/>
        </w:rPr>
      </w:pPr>
      <w:r>
        <w:rPr>
          <w:rFonts w:hint="eastAsia" w:ascii="宋体" w:hAnsi="宋体" w:cs="宋体"/>
          <w:b/>
          <w:color w:val="auto"/>
          <w:kern w:val="0"/>
          <w:sz w:val="32"/>
          <w:szCs w:val="32"/>
          <w:highlight w:val="none"/>
        </w:rPr>
        <w:t>廉政合同</w:t>
      </w:r>
    </w:p>
    <w:p>
      <w:pPr>
        <w:autoSpaceDE w:val="0"/>
        <w:autoSpaceDN w:val="0"/>
        <w:adjustRightInd w:val="0"/>
        <w:spacing w:line="360" w:lineRule="auto"/>
        <w:jc w:val="left"/>
        <w:rPr>
          <w:color w:val="auto"/>
          <w:kern w:val="0"/>
          <w:highlight w:val="none"/>
        </w:rPr>
      </w:pP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（项目名称）的发包人</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发包人全称，以下简称“甲方”</w:t>
      </w:r>
      <w:r>
        <w:rPr>
          <w:rFonts w:ascii="宋体" w:hAnsi="宋体" w:cs="宋体"/>
          <w:color w:val="auto"/>
          <w:kern w:val="0"/>
          <w:highlight w:val="none"/>
        </w:rPr>
        <w:t>)</w:t>
      </w:r>
      <w:r>
        <w:rPr>
          <w:rFonts w:hint="eastAsia" w:ascii="宋体" w:hAnsi="宋体" w:cs="宋体"/>
          <w:color w:val="auto"/>
          <w:kern w:val="0"/>
          <w:highlight w:val="none"/>
        </w:rPr>
        <w:t>与该工程检测人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检测人全称，以下简称“乙方”</w:t>
      </w:r>
      <w:r>
        <w:rPr>
          <w:rFonts w:ascii="宋体" w:hAnsi="宋体" w:cs="宋体"/>
          <w:color w:val="auto"/>
          <w:kern w:val="0"/>
          <w:highlight w:val="none"/>
        </w:rPr>
        <w:t>)</w:t>
      </w:r>
      <w:r>
        <w:rPr>
          <w:rFonts w:hint="eastAsia" w:ascii="宋体" w:hAnsi="宋体" w:cs="宋体"/>
          <w:color w:val="auto"/>
          <w:kern w:val="0"/>
          <w:highlight w:val="none"/>
        </w:rPr>
        <w:t>，特订立如下合同。</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第一条甲乙双方的权利和义务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严格遵守党的政策规定和国家有关法律法规及交通运输部和浙江省交通运输厅的有关规定。</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严格执行工程</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文件，自觉按合同办事。</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双方的业务活动坚持公开、公正、诚信、透明的原则</w:t>
      </w:r>
      <w:r>
        <w:rPr>
          <w:rFonts w:ascii="宋体" w:hAnsi="宋体" w:cs="宋体"/>
          <w:color w:val="auto"/>
          <w:kern w:val="0"/>
          <w:highlight w:val="none"/>
        </w:rPr>
        <w:t>(</w:t>
      </w:r>
      <w:r>
        <w:rPr>
          <w:rFonts w:hint="eastAsia" w:ascii="宋体" w:hAnsi="宋体" w:cs="宋体"/>
          <w:color w:val="auto"/>
          <w:kern w:val="0"/>
          <w:highlight w:val="none"/>
        </w:rPr>
        <w:t>法律认定的商业秘密和合同文件另有规定除外</w:t>
      </w:r>
      <w:r>
        <w:rPr>
          <w:rFonts w:ascii="宋体" w:hAnsi="宋体" w:cs="宋体"/>
          <w:color w:val="auto"/>
          <w:kern w:val="0"/>
          <w:highlight w:val="none"/>
        </w:rPr>
        <w:t>)</w:t>
      </w:r>
      <w:r>
        <w:rPr>
          <w:rFonts w:hint="eastAsia" w:ascii="宋体" w:hAnsi="宋体" w:cs="宋体"/>
          <w:color w:val="auto"/>
          <w:kern w:val="0"/>
          <w:highlight w:val="none"/>
        </w:rPr>
        <w:t>，不得损害国家和集体利益，不得违反工程建设管理规章制度。</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建立健全廉政制度，开展廉政教育，设立廉政告示牌，公布举报电话，监督并认真查处违法违纪行为。</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五</w:t>
      </w:r>
      <w:r>
        <w:rPr>
          <w:rFonts w:ascii="宋体" w:hAnsi="宋体" w:cs="宋体"/>
          <w:color w:val="auto"/>
          <w:kern w:val="0"/>
          <w:highlight w:val="none"/>
        </w:rPr>
        <w:t xml:space="preserve">) </w:t>
      </w:r>
      <w:r>
        <w:rPr>
          <w:rFonts w:hint="eastAsia" w:ascii="宋体" w:hAnsi="宋体" w:cs="宋体"/>
          <w:color w:val="auto"/>
          <w:kern w:val="0"/>
          <w:highlight w:val="none"/>
        </w:rPr>
        <w:t>发现对方在业务活动中有违反廉政规定的行为，有及时提醒对方纠正的权利和义务。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发现对方严重违反本合同义务条款的行为，有向其上级有关部门举报、建议给予处理并要求告知处理结果的权利。</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第二条甲方的义务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甲方及其工作人员不得索要或接受乙方的礼金、有价证券和贵重物品，不得在乙方报销任何应由甲方或甲方工作人员个人支付的费用等。</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甲方工作人员不得参加乙方安排的超标准宴请和娱乐活动；不得接受乙方提供的通讯工具、交通工具和高档办公用品等。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甲方及其工作人员不得要求或者接受乙方为其住房装修、婚丧嫁娶活动、配偶子女及其亲属的工作安排以及出国出境、旅游等提供方便等。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不准向乙方和相关单位介绍或为配偶、子女、亲属参与同本</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有关的试验检测业务等活动。不得以任何理由要求乙方和相关单位在试验检测中使用某种产品、材料和设备。</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第三条乙方的义务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乙方不得以任何理由向甲方及其工作人员行贿或馈赠礼金、有价证券、贵重礼品。</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乙方不得以任何名义为甲方及其工作人员报销应由甲方单位或个人支付的任何费用。</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乙方不得以任何理由安排甲方工作人员参加超标准宴请及娱乐活动。</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乙方不得为甲方单位和个人购置或提供通讯工具、交通工具和高档办公用品等。</w:t>
      </w:r>
    </w:p>
    <w:p>
      <w:pPr>
        <w:autoSpaceDE w:val="0"/>
        <w:autoSpaceDN w:val="0"/>
        <w:adjustRightInd w:val="0"/>
        <w:spacing w:line="360" w:lineRule="auto"/>
        <w:ind w:firstLine="315" w:firstLineChars="150"/>
        <w:jc w:val="left"/>
        <w:rPr>
          <w:color w:val="auto"/>
          <w:kern w:val="0"/>
          <w:highlight w:val="none"/>
        </w:rPr>
      </w:pPr>
      <w:r>
        <w:rPr>
          <w:rFonts w:hint="eastAsia" w:ascii="宋体" w:hAnsi="宋体" w:cs="宋体"/>
          <w:color w:val="auto"/>
          <w:kern w:val="0"/>
          <w:highlight w:val="none"/>
        </w:rPr>
        <w:t>（五）乙方及其工作人员不得索要或接受承包人的礼金、有价证券和贵重物品，不得向承包人报销任何应由乙方或乙方工作人员个人支付的费用等。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乙方工作人员不得参加承包人安排的超标准宴请和娱乐活动。</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第四条违约责任</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numPr>
          <w:ilvl w:val="0"/>
          <w:numId w:val="4"/>
        </w:num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本合同有效期为甲乙双方签署之日起至合同失效日止。</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第七条本合同作为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工程</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的附件，与</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具有同等的法律效力，经合同双方签署后立即生效。</w:t>
      </w:r>
    </w:p>
    <w:p>
      <w:p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 xml:space="preserve">   第八条  本合同一式四份，由甲乙双方各执一份，送交甲乙双方的监督单位各一份。</w:t>
      </w: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w:t>
      </w:r>
      <w:r>
        <w:rPr>
          <w:rFonts w:hint="eastAsia" w:ascii="宋体" w:hAnsi="宋体" w:eastAsia="宋体" w:cs="宋体"/>
          <w:color w:val="auto"/>
          <w:kern w:val="0"/>
          <w:highlight w:val="none"/>
          <w:u w:val="single"/>
        </w:rPr>
        <w:t xml:space="preserve">         （单位全称）（盖单位章）     </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法定代表人                                   法定代表人</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或                                           或</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其委托代理人</w:t>
      </w:r>
      <w:r>
        <w:rPr>
          <w:rFonts w:hint="eastAsia" w:ascii="宋体" w:hAnsi="宋体" w:eastAsia="宋体" w:cs="宋体"/>
          <w:color w:val="auto"/>
          <w:kern w:val="0"/>
          <w:highlight w:val="none"/>
          <w:u w:val="single"/>
        </w:rPr>
        <w:t xml:space="preserve">           （职务）          </w:t>
      </w:r>
      <w:r>
        <w:rPr>
          <w:rFonts w:hint="eastAsia" w:ascii="宋体" w:hAnsi="宋体" w:eastAsia="宋体" w:cs="宋体"/>
          <w:color w:val="auto"/>
          <w:kern w:val="0"/>
          <w:highlight w:val="none"/>
        </w:rPr>
        <w:t xml:space="preserve">    其委托代理人</w:t>
      </w:r>
      <w:r>
        <w:rPr>
          <w:rFonts w:hint="eastAsia" w:ascii="宋体" w:hAnsi="宋体" w:eastAsia="宋体" w:cs="宋体"/>
          <w:color w:val="auto"/>
          <w:kern w:val="0"/>
          <w:highlight w:val="none"/>
          <w:u w:val="single"/>
        </w:rPr>
        <w:t xml:space="preserve">            （职务）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（姓名）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（姓名）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（签字）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（签字）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地址：</w:t>
      </w:r>
      <w:r>
        <w:rPr>
          <w:rFonts w:hint="eastAsia" w:ascii="宋体" w:hAnsi="宋体" w:eastAsia="宋体" w:cs="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电话：</w:t>
      </w:r>
      <w:r>
        <w:rPr>
          <w:rFonts w:hint="eastAsia" w:ascii="宋体" w:hAnsi="宋体" w:eastAsia="宋体" w:cs="宋体"/>
          <w:color w:val="auto"/>
          <w:kern w:val="0"/>
          <w:highlight w:val="none"/>
          <w:u w:val="single"/>
        </w:rPr>
        <w:t xml:space="preserve">    </w:t>
      </w:r>
      <w:r>
        <w:rPr>
          <w:rFonts w:hint="eastAsia" w:ascii="宋体" w:hAnsi="宋体" w:eastAsia="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日期：</w:t>
      </w:r>
      <w:r>
        <w:rPr>
          <w:rFonts w:hint="eastAsia" w:ascii="宋体" w:hAnsi="宋体" w:eastAsia="宋体" w:cs="宋体"/>
          <w:color w:val="auto"/>
          <w:kern w:val="0"/>
          <w:highlight w:val="none"/>
          <w:u w:val="single"/>
        </w:rPr>
        <w:t xml:space="preserve">                                     </w:t>
      </w:r>
    </w:p>
    <w:p>
      <w:pPr>
        <w:spacing w:line="560" w:lineRule="exact"/>
        <w:rPr>
          <w:rFonts w:ascii="宋体" w:hAnsi="宋体" w:cs="宋体"/>
          <w:color w:val="auto"/>
          <w:kern w:val="0"/>
          <w:highlight w:val="none"/>
          <w:u w:val="single"/>
        </w:rPr>
      </w:pPr>
      <w:r>
        <w:rPr>
          <w:rFonts w:hint="eastAsia" w:ascii="宋体" w:hAnsi="宋体" w:eastAsia="宋体" w:cs="宋体"/>
          <w:color w:val="auto"/>
          <w:kern w:val="0"/>
          <w:highlight w:val="none"/>
        </w:rPr>
        <w:t>甲方监督单位：</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乙方监督单位：</w:t>
      </w:r>
      <w:r>
        <w:rPr>
          <w:rFonts w:hint="eastAsia" w:ascii="宋体" w:hAnsi="宋体" w:eastAsia="宋体" w:cs="宋体"/>
          <w:color w:val="auto"/>
          <w:kern w:val="0"/>
          <w:highlight w:val="none"/>
          <w:u w:val="single"/>
        </w:rPr>
        <w:t xml:space="preserve">   （单位全称）（盖单位章）  </w:t>
      </w: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pStyle w:val="20"/>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p>
    <w:p>
      <w:pPr>
        <w:pStyle w:val="12"/>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pacing w:val="45"/>
          <w:sz w:val="32"/>
          <w:szCs w:val="32"/>
          <w:highlight w:val="none"/>
        </w:rPr>
        <w:t>安全生产责任合</w:t>
      </w:r>
      <w:r>
        <w:rPr>
          <w:rFonts w:ascii="Times New Roman" w:hAnsi="Times New Roman" w:eastAsia="黑体" w:cs="Times New Roman"/>
          <w:bCs/>
          <w:color w:val="auto"/>
          <w:spacing w:val="5"/>
          <w:sz w:val="32"/>
          <w:szCs w:val="32"/>
          <w:highlight w:val="none"/>
        </w:rPr>
        <w:t>同</w:t>
      </w:r>
    </w:p>
    <w:p>
      <w:pPr>
        <w:spacing w:line="446" w:lineRule="exact"/>
        <w:rPr>
          <w:b/>
          <w:bCs/>
          <w:color w:val="auto"/>
          <w:sz w:val="24"/>
          <w:highlight w:val="none"/>
        </w:rPr>
      </w:pPr>
    </w:p>
    <w:p>
      <w:pPr>
        <w:spacing w:line="56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rPr>
        <w:t xml:space="preserve">                             </w:t>
      </w:r>
      <w:r>
        <w:rPr>
          <w:rFonts w:hint="eastAsia"/>
          <w:color w:val="auto"/>
          <w:szCs w:val="21"/>
          <w:highlight w:val="none"/>
        </w:rPr>
        <w:t>工程</w:t>
      </w:r>
      <w:r>
        <w:rPr>
          <w:rFonts w:hint="eastAsia"/>
          <w:color w:val="auto"/>
          <w:szCs w:val="21"/>
          <w:highlight w:val="none"/>
          <w:u w:val="single"/>
        </w:rPr>
        <w:t xml:space="preserve">        </w:t>
      </w:r>
      <w:r>
        <w:rPr>
          <w:rFonts w:hint="eastAsia"/>
          <w:color w:val="auto"/>
          <w:szCs w:val="21"/>
          <w:highlight w:val="none"/>
          <w:lang w:eastAsia="zh-CN"/>
        </w:rPr>
        <w:t>检测合同</w:t>
      </w:r>
      <w:r>
        <w:rPr>
          <w:rFonts w:hint="eastAsia"/>
          <w:color w:val="auto"/>
          <w:szCs w:val="21"/>
          <w:highlight w:val="none"/>
        </w:rPr>
        <w:t>的实施过程中创造安全、高效的施工环境，切实搞好本项目的安全管理工作，本项目发包</w:t>
      </w:r>
      <w:r>
        <w:rPr>
          <w:color w:val="auto"/>
          <w:szCs w:val="21"/>
          <w:highlight w:val="none"/>
        </w:rPr>
        <w:t>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甲方</w:t>
      </w:r>
      <w:r>
        <w:rPr>
          <w:color w:val="auto"/>
          <w:szCs w:val="21"/>
          <w:highlight w:val="none"/>
        </w:rPr>
        <w:t>”</w:t>
      </w:r>
      <w:r>
        <w:rPr>
          <w:rFonts w:hint="eastAsia"/>
          <w:color w:val="auto"/>
          <w:szCs w:val="21"/>
          <w:highlight w:val="none"/>
        </w:rPr>
        <w:t>）与检测人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乙方</w:t>
      </w:r>
      <w:r>
        <w:rPr>
          <w:color w:val="auto"/>
          <w:szCs w:val="21"/>
          <w:highlight w:val="none"/>
        </w:rPr>
        <w:t>”</w:t>
      </w:r>
      <w:r>
        <w:rPr>
          <w:rFonts w:hint="eastAsia"/>
          <w:color w:val="auto"/>
          <w:szCs w:val="21"/>
          <w:highlight w:val="none"/>
        </w:rPr>
        <w:t>）特此签订安全生产合同：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一、甲方职责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、严格遵守国家有关安全生产的法律法规，认真执行工程承包合同中的有关安全要求。</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、按照</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和坚持</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的原则进行安全生产管理，做到生产与安全工作同时计划、布置、检查、总结和评比。</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、重要的安全设施必须坚持与主体工程</w:t>
      </w:r>
      <w:r>
        <w:rPr>
          <w:color w:val="auto"/>
          <w:szCs w:val="21"/>
          <w:highlight w:val="none"/>
        </w:rPr>
        <w:t>“</w:t>
      </w:r>
      <w:r>
        <w:rPr>
          <w:rFonts w:hint="eastAsia"/>
          <w:color w:val="auto"/>
          <w:szCs w:val="21"/>
          <w:highlight w:val="none"/>
        </w:rPr>
        <w:t>三同时</w:t>
      </w:r>
      <w:r>
        <w:rPr>
          <w:color w:val="auto"/>
          <w:szCs w:val="21"/>
          <w:highlight w:val="none"/>
        </w:rPr>
        <w:t>”</w:t>
      </w:r>
      <w:r>
        <w:rPr>
          <w:rFonts w:hint="eastAsia"/>
          <w:color w:val="auto"/>
          <w:szCs w:val="21"/>
          <w:highlight w:val="none"/>
        </w:rPr>
        <w:t>的原则，即：同时设计、审批，同时施工，同时验收，投入使用。</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、定期召开安全生产调度会，及时传达中央及地方有关安全生产的精神。</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．组织对乙方施工现场安全生产检查，监督乙方及时处理发现的各项安全隐患。</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二、乙方职责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、严格遵守国家有关安全生产的法律法规、交通运输部颁发的《公路工程施工安全技术规范》（</w:t>
      </w:r>
      <w:r>
        <w:rPr>
          <w:color w:val="auto"/>
          <w:szCs w:val="21"/>
          <w:highlight w:val="none"/>
        </w:rPr>
        <w:t>JT</w:t>
      </w:r>
      <w:r>
        <w:rPr>
          <w:rFonts w:hint="eastAsia"/>
          <w:color w:val="auto"/>
          <w:szCs w:val="21"/>
          <w:highlight w:val="none"/>
        </w:rPr>
        <w:t>G F90-2015）与《水运工程施工安全防护技术规范》（</w:t>
      </w:r>
      <w:r>
        <w:rPr>
          <w:color w:val="auto"/>
          <w:szCs w:val="21"/>
          <w:highlight w:val="none"/>
        </w:rPr>
        <w:t>JT</w:t>
      </w:r>
      <w:r>
        <w:rPr>
          <w:rFonts w:hint="eastAsia"/>
          <w:color w:val="auto"/>
          <w:szCs w:val="21"/>
          <w:highlight w:val="none"/>
        </w:rPr>
        <w:t>S205-1-2008）有关安全生产的规定，认真执行。</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、坚持</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的原则，加强安全生产宣传教育，增强全员安全生产意识，建立健全各项安全生产管理制度，配备兼职安全检查人员，有组织有领导地开展安全生产活动。</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、建立健全安全生产责任制。从项目负责人到生产人员（包括临时雇请的民工）的安全生产管理系统必须做到纵向到底，一环不漏，人人有责。项目负责人是安全生产的第一责任人。</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、乙方在任何时候都应采取各种合理的预防措施，防止其员工发生任何违法、违禁、暴力或妨碍治安的行为。</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、所有试验检测设备和高空作业的设备均应定期检查，并有安全员的签字记录，保证其经常处于完好状态；不合格的机具、设备和劳动保护用品严禁使用。</w:t>
      </w:r>
    </w:p>
    <w:p>
      <w:pPr>
        <w:spacing w:line="560" w:lineRule="exact"/>
        <w:ind w:firstLine="420" w:firstLineChars="200"/>
        <w:rPr>
          <w:color w:val="auto"/>
          <w:szCs w:val="21"/>
          <w:highlight w:val="none"/>
        </w:rPr>
      </w:pPr>
      <w:r>
        <w:rPr>
          <w:rFonts w:hint="eastAsia"/>
          <w:color w:val="auto"/>
          <w:szCs w:val="21"/>
          <w:highlight w:val="none"/>
        </w:rPr>
        <w:t>6、试验检测过程中采用新技术、新工艺、新设备、新材料时，必须制定相应的安全技术措施，现场必须具有相关的安全标志牌。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三、违约责任</w:t>
      </w:r>
    </w:p>
    <w:p>
      <w:pPr>
        <w:spacing w:line="560" w:lineRule="exact"/>
        <w:ind w:firstLine="420" w:firstLineChars="200"/>
        <w:rPr>
          <w:color w:val="auto"/>
          <w:szCs w:val="21"/>
          <w:highlight w:val="none"/>
        </w:rPr>
      </w:pPr>
      <w:r>
        <w:rPr>
          <w:rFonts w:hint="eastAsia"/>
          <w:color w:val="auto"/>
          <w:szCs w:val="21"/>
          <w:highlight w:val="none"/>
        </w:rPr>
        <w:t>如因甲方或乙方违约造成安全事故，将依法追究责任。</w:t>
      </w:r>
    </w:p>
    <w:p>
      <w:pPr>
        <w:spacing w:line="560" w:lineRule="exact"/>
        <w:ind w:firstLine="420" w:firstLineChars="200"/>
        <w:rPr>
          <w:color w:val="auto"/>
          <w:szCs w:val="21"/>
          <w:highlight w:val="none"/>
        </w:rPr>
      </w:pPr>
      <w:r>
        <w:rPr>
          <w:rFonts w:hint="eastAsia"/>
          <w:color w:val="auto"/>
          <w:szCs w:val="21"/>
          <w:highlight w:val="none"/>
        </w:rPr>
        <w:t>本合同正本一式二份，副本八份，合同双方各执正本一份，副本四份。由双方法定代表人或其授权的代理人签署与加盖公章后生效，工程交工验收后失效。</w:t>
      </w:r>
    </w:p>
    <w:p>
      <w:pPr>
        <w:spacing w:line="560" w:lineRule="exact"/>
        <w:ind w:firstLine="420" w:firstLineChars="200"/>
        <w:rPr>
          <w:color w:val="auto"/>
          <w:szCs w:val="21"/>
          <w:highlight w:val="none"/>
        </w:rPr>
      </w:pPr>
    </w:p>
    <w:p>
      <w:pPr>
        <w:spacing w:line="560" w:lineRule="exact"/>
        <w:rPr>
          <w:color w:val="auto"/>
          <w:szCs w:val="21"/>
          <w:highlight w:val="none"/>
        </w:rPr>
      </w:pPr>
      <w:r>
        <w:rPr>
          <w:rFonts w:hint="eastAsia"/>
          <w:color w:val="auto"/>
          <w:szCs w:val="21"/>
          <w:highlight w:val="none"/>
        </w:rPr>
        <w:t>甲方：</w:t>
      </w:r>
      <w:r>
        <w:rPr>
          <w:rFonts w:hint="eastAsia"/>
          <w:color w:val="auto"/>
          <w:szCs w:val="21"/>
          <w:highlight w:val="none"/>
          <w:u w:val="single"/>
        </w:rPr>
        <w:t xml:space="preserve">         （单位全称）（盖章）       </w:t>
      </w:r>
      <w:r>
        <w:rPr>
          <w:rFonts w:hint="eastAsia"/>
          <w:color w:val="auto"/>
          <w:szCs w:val="21"/>
          <w:highlight w:val="none"/>
        </w:rPr>
        <w:t xml:space="preserve">    乙方：</w:t>
      </w:r>
      <w:r>
        <w:rPr>
          <w:rFonts w:hint="eastAsia"/>
          <w:color w:val="auto"/>
          <w:szCs w:val="21"/>
          <w:highlight w:val="none"/>
          <w:u w:val="single"/>
        </w:rPr>
        <w:t xml:space="preserve">         （单位全称）（盖章）        </w:t>
      </w:r>
    </w:p>
    <w:p>
      <w:pPr>
        <w:spacing w:line="560" w:lineRule="exact"/>
        <w:rPr>
          <w:color w:val="auto"/>
          <w:szCs w:val="21"/>
          <w:highlight w:val="none"/>
        </w:rPr>
      </w:pPr>
      <w:r>
        <w:rPr>
          <w:rFonts w:hint="eastAsia"/>
          <w:color w:val="auto"/>
          <w:szCs w:val="21"/>
          <w:highlight w:val="none"/>
        </w:rPr>
        <w:t>法定代表人                                   法定代表人</w:t>
      </w:r>
    </w:p>
    <w:p>
      <w:pPr>
        <w:spacing w:line="560" w:lineRule="exact"/>
        <w:ind w:firstLine="420" w:firstLineChars="200"/>
        <w:rPr>
          <w:color w:val="auto"/>
          <w:szCs w:val="21"/>
          <w:highlight w:val="none"/>
        </w:rPr>
      </w:pPr>
      <w:r>
        <w:rPr>
          <w:rFonts w:hint="eastAsia"/>
          <w:color w:val="auto"/>
          <w:szCs w:val="21"/>
          <w:highlight w:val="none"/>
        </w:rPr>
        <w:t>或                                       或</w:t>
      </w:r>
    </w:p>
    <w:p>
      <w:pPr>
        <w:spacing w:line="560" w:lineRule="exact"/>
        <w:rPr>
          <w:color w:val="auto"/>
          <w:szCs w:val="21"/>
          <w:highlight w:val="none"/>
          <w:u w:val="single"/>
        </w:rPr>
      </w:pPr>
      <w:r>
        <w:rPr>
          <w:rFonts w:hint="eastAsia"/>
          <w:color w:val="auto"/>
          <w:szCs w:val="21"/>
          <w:highlight w:val="none"/>
        </w:rPr>
        <w:t>其授权的代理人：</w:t>
      </w:r>
      <w:r>
        <w:rPr>
          <w:rFonts w:hint="eastAsia"/>
          <w:color w:val="auto"/>
          <w:szCs w:val="21"/>
          <w:highlight w:val="none"/>
          <w:u w:val="single"/>
        </w:rPr>
        <w:t xml:space="preserve">         （职务）        </w:t>
      </w:r>
      <w:r>
        <w:rPr>
          <w:rFonts w:hint="eastAsia"/>
          <w:color w:val="auto"/>
          <w:szCs w:val="21"/>
          <w:highlight w:val="none"/>
        </w:rPr>
        <w:t xml:space="preserve">    其授权的代理人：</w:t>
      </w:r>
      <w:r>
        <w:rPr>
          <w:rFonts w:hint="eastAsia"/>
          <w:color w:val="auto"/>
          <w:szCs w:val="21"/>
          <w:highlight w:val="none"/>
          <w:u w:val="single"/>
        </w:rPr>
        <w:t xml:space="preserve">         （职务）         </w:t>
      </w:r>
    </w:p>
    <w:p>
      <w:pPr>
        <w:spacing w:line="560" w:lineRule="exact"/>
        <w:ind w:firstLine="420" w:firstLineChars="200"/>
        <w:rPr>
          <w:color w:val="auto"/>
          <w:szCs w:val="21"/>
          <w:highlight w:val="none"/>
        </w:rPr>
      </w:pPr>
    </w:p>
    <w:p>
      <w:pPr>
        <w:spacing w:line="560" w:lineRule="exact"/>
        <w:ind w:firstLine="1470" w:firstLineChars="700"/>
        <w:rPr>
          <w:rFonts w:eastAsia="楷体_GB2312"/>
          <w:color w:val="auto"/>
          <w:szCs w:val="21"/>
          <w:highlight w:val="none"/>
          <w:u w:val="single"/>
        </w:rPr>
      </w:pPr>
      <w:r>
        <w:rPr>
          <w:rFonts w:hint="eastAsia"/>
          <w:color w:val="auto"/>
          <w:szCs w:val="21"/>
          <w:highlight w:val="none"/>
          <w:u w:val="single"/>
        </w:rPr>
        <w:t xml:space="preserve">      （姓名）  （签字）   </w:t>
      </w:r>
      <w:r>
        <w:rPr>
          <w:rFonts w:hint="eastAsia"/>
          <w:color w:val="auto"/>
          <w:szCs w:val="21"/>
          <w:highlight w:val="none"/>
        </w:rPr>
        <w:t xml:space="preserve">                    </w:t>
      </w:r>
      <w:r>
        <w:rPr>
          <w:rFonts w:hint="eastAsia"/>
          <w:color w:val="auto"/>
          <w:szCs w:val="21"/>
          <w:highlight w:val="none"/>
          <w:u w:val="single"/>
        </w:rPr>
        <w:t xml:space="preserve">      （姓名）  （签字）  </w:t>
      </w:r>
    </w:p>
    <w:p>
      <w:pPr>
        <w:spacing w:line="430" w:lineRule="exact"/>
        <w:ind w:firstLine="420" w:firstLineChars="200"/>
        <w:rPr>
          <w:rFonts w:eastAsia="楷体_GB2312"/>
          <w:color w:val="auto"/>
          <w:szCs w:val="21"/>
          <w:highlight w:val="none"/>
        </w:rPr>
      </w:pPr>
    </w:p>
    <w:p>
      <w:pPr>
        <w:spacing w:line="430" w:lineRule="exact"/>
        <w:ind w:firstLine="420" w:firstLineChars="200"/>
        <w:rPr>
          <w:color w:val="auto"/>
          <w:szCs w:val="21"/>
          <w:highlight w:val="none"/>
        </w:rPr>
      </w:pPr>
    </w:p>
    <w:p>
      <w:pPr>
        <w:spacing w:line="430" w:lineRule="exact"/>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地址：</w:t>
      </w:r>
      <w:r>
        <w:rPr>
          <w:rFonts w:hint="eastAsia"/>
          <w:color w:val="auto"/>
          <w:szCs w:val="21"/>
          <w:highlight w:val="none"/>
          <w:u w:val="single"/>
        </w:rPr>
        <w:t xml:space="preserve">                                   </w:t>
      </w:r>
    </w:p>
    <w:p>
      <w:pPr>
        <w:spacing w:line="430" w:lineRule="exact"/>
        <w:rPr>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pPr>
        <w:spacing w:line="430" w:lineRule="exact"/>
        <w:rPr>
          <w:color w:val="auto"/>
          <w:sz w:val="24"/>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 xml:space="preserve">     日期：</w:t>
      </w:r>
      <w:r>
        <w:rPr>
          <w:rFonts w:hint="eastAsia"/>
          <w:color w:val="auto"/>
          <w:szCs w:val="21"/>
          <w:highlight w:val="none"/>
          <w:u w:val="single"/>
        </w:rPr>
        <w:t xml:space="preserve">                                   </w:t>
      </w:r>
    </w:p>
    <w:p>
      <w:pPr>
        <w:spacing w:line="430" w:lineRule="exact"/>
        <w:ind w:firstLine="420" w:firstLineChars="200"/>
        <w:rPr>
          <w:color w:val="auto"/>
          <w:highlight w:val="none"/>
        </w:rPr>
      </w:pPr>
    </w:p>
    <w:p>
      <w:pPr>
        <w:pStyle w:val="4"/>
        <w:rPr>
          <w:color w:val="auto"/>
          <w:highlight w:val="none"/>
        </w:rPr>
        <w:sectPr>
          <w:footerReference r:id="rId3" w:type="default"/>
          <w:footnotePr>
            <w:numFmt w:val="decimalEnclosedCircleChinese"/>
            <w:numRestart w:val="eachPage"/>
          </w:footnotePr>
          <w:pgSz w:w="11906" w:h="16838"/>
          <w:pgMar w:top="1418" w:right="1361" w:bottom="1418" w:left="1242" w:header="851" w:footer="992" w:gutter="0"/>
          <w:pgNumType w:fmt="decimal"/>
          <w:cols w:space="720" w:num="1"/>
          <w:docGrid w:linePitch="312" w:charSpace="0"/>
        </w:sectPr>
      </w:pPr>
    </w:p>
    <w:p>
      <w:pPr>
        <w:pStyle w:val="4"/>
        <w:spacing w:before="0" w:after="0" w:line="360" w:lineRule="auto"/>
        <w:jc w:val="center"/>
        <w:rPr>
          <w:rStyle w:val="30"/>
          <w:rFonts w:ascii="宋体" w:hAnsi="宋体"/>
          <w:b w:val="0"/>
          <w:bCs w:val="0"/>
          <w:color w:val="auto"/>
          <w:sz w:val="36"/>
          <w:szCs w:val="36"/>
          <w:highlight w:val="none"/>
        </w:rPr>
      </w:pPr>
      <w:bookmarkStart w:id="57" w:name="_Toc40859293"/>
      <w:r>
        <w:rPr>
          <w:rFonts w:hint="eastAsia" w:ascii="宋体" w:hAnsi="宋体"/>
          <w:color w:val="auto"/>
          <w:sz w:val="36"/>
          <w:szCs w:val="36"/>
          <w:highlight w:val="none"/>
        </w:rPr>
        <w:t>第五章谈判响应文件格式附件</w:t>
      </w:r>
      <w:bookmarkEnd w:id="57"/>
    </w:p>
    <w:p>
      <w:pPr>
        <w:pStyle w:val="5"/>
        <w:jc w:val="left"/>
        <w:rPr>
          <w:color w:val="auto"/>
          <w:highlight w:val="none"/>
        </w:rPr>
      </w:pPr>
      <w:bookmarkStart w:id="58" w:name="_Toc40859294"/>
      <w:r>
        <w:rPr>
          <w:rFonts w:hint="eastAsia"/>
          <w:color w:val="auto"/>
          <w:highlight w:val="none"/>
        </w:rPr>
        <w:t>附件一</w:t>
      </w:r>
      <w:bookmarkEnd w:id="58"/>
    </w:p>
    <w:p>
      <w:pPr>
        <w:autoSpaceDE w:val="0"/>
        <w:autoSpaceDN w:val="0"/>
        <w:adjustRightInd w:val="0"/>
        <w:spacing w:line="360" w:lineRule="exact"/>
        <w:rPr>
          <w:rFonts w:ascii="宋体"/>
          <w:color w:val="auto"/>
          <w:sz w:val="36"/>
          <w:highlight w:val="none"/>
          <w:lang w:val="zh-CN"/>
        </w:rPr>
      </w:pPr>
      <w:r>
        <w:rPr>
          <w:rFonts w:hint="eastAsia" w:ascii="宋体"/>
          <w:color w:val="auto"/>
          <w:sz w:val="32"/>
          <w:highlight w:val="none"/>
          <w:lang w:val="zh-CN"/>
        </w:rPr>
        <w:t xml:space="preserve">                         </w:t>
      </w:r>
      <w:r>
        <w:rPr>
          <w:rFonts w:hint="eastAsia" w:ascii="宋体"/>
          <w:color w:val="auto"/>
          <w:sz w:val="36"/>
          <w:highlight w:val="none"/>
          <w:lang w:val="zh-CN"/>
        </w:rPr>
        <w:t>投  标  函</w:t>
      </w:r>
    </w:p>
    <w:p>
      <w:pPr>
        <w:autoSpaceDE w:val="0"/>
        <w:autoSpaceDN w:val="0"/>
        <w:adjustRightInd w:val="0"/>
        <w:spacing w:line="360" w:lineRule="exact"/>
        <w:rPr>
          <w:rFonts w:ascii="宋体"/>
          <w:color w:val="auto"/>
          <w:sz w:val="36"/>
          <w:highlight w:val="none"/>
          <w:lang w:val="zh-CN"/>
        </w:rPr>
      </w:pPr>
    </w:p>
    <w:p>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 xml:space="preserve">系中华人民共和国合法企业/个人，经营地址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 xml:space="preserve">）的法定代表人，我公司自愿参加贵方组织的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）的谈判，为此，我公司就本次谈判有关事项郑重声明如下：</w:t>
      </w:r>
    </w:p>
    <w:p>
      <w:pPr>
        <w:numPr>
          <w:ilvl w:val="0"/>
          <w:numId w:val="5"/>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auto"/>
          <w:kern w:val="0"/>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rPr>
        <w:t>我方</w:t>
      </w:r>
      <w:r>
        <w:rPr>
          <w:rFonts w:hint="eastAsia" w:ascii="宋体" w:hAnsi="宋体"/>
          <w:color w:val="auto"/>
          <w:kern w:val="0"/>
          <w:sz w:val="24"/>
          <w:highlight w:val="none"/>
        </w:rPr>
        <w:t>承担。</w:t>
      </w:r>
      <w:r>
        <w:rPr>
          <w:rFonts w:hint="eastAsia" w:ascii="宋体" w:hAnsi="宋体" w:cs="宋体"/>
          <w:color w:val="auto"/>
          <w:kern w:val="0"/>
          <w:sz w:val="24"/>
          <w:highlight w:val="none"/>
        </w:rPr>
        <w:t>我方的总</w:t>
      </w:r>
      <w:r>
        <w:rPr>
          <w:rFonts w:hint="eastAsia" w:ascii="宋体" w:hAnsi="宋体"/>
          <w:color w:val="auto"/>
          <w:kern w:val="0"/>
          <w:sz w:val="24"/>
          <w:highlight w:val="none"/>
        </w:rPr>
        <w:t>报价</w:t>
      </w:r>
      <w:r>
        <w:rPr>
          <w:rFonts w:hint="eastAsia" w:ascii="宋体" w:hAnsi="宋体" w:cs="宋体"/>
          <w:color w:val="auto"/>
          <w:kern w:val="0"/>
          <w:sz w:val="24"/>
          <w:highlight w:val="none"/>
        </w:rPr>
        <w:t>已</w:t>
      </w:r>
      <w:r>
        <w:rPr>
          <w:rFonts w:hint="eastAsia" w:ascii="宋体" w:hAnsi="宋体"/>
          <w:color w:val="auto"/>
          <w:kern w:val="0"/>
          <w:sz w:val="24"/>
          <w:highlight w:val="none"/>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投标人名称(公章或</w:t>
      </w:r>
      <w:r>
        <w:rPr>
          <w:rFonts w:hint="eastAsia" w:ascii="宋体" w:hAnsi="宋体"/>
          <w:color w:val="auto"/>
          <w:sz w:val="24"/>
          <w:highlight w:val="none"/>
        </w:rPr>
        <w:t>加按指印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lang w:val="zh-CN"/>
        </w:rPr>
        <w:tab/>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月  日</w:t>
      </w:r>
    </w:p>
    <w:p>
      <w:pPr>
        <w:tabs>
          <w:tab w:val="left" w:pos="6962"/>
        </w:tabs>
        <w:adjustRightInd w:val="0"/>
        <w:snapToGrid w:val="0"/>
        <w:spacing w:line="324" w:lineRule="auto"/>
        <w:ind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widowControl/>
        <w:jc w:val="left"/>
        <w:rPr>
          <w:rFonts w:ascii="宋体"/>
          <w:color w:val="auto"/>
          <w:sz w:val="30"/>
          <w:highlight w:val="none"/>
          <w:lang w:val="zh-CN"/>
        </w:rPr>
      </w:pPr>
      <w:r>
        <w:rPr>
          <w:rFonts w:ascii="宋体"/>
          <w:color w:val="auto"/>
          <w:sz w:val="30"/>
          <w:highlight w:val="none"/>
          <w:lang w:val="zh-CN"/>
        </w:rPr>
        <w:br w:type="page"/>
      </w:r>
    </w:p>
    <w:p>
      <w:pPr>
        <w:pStyle w:val="5"/>
        <w:jc w:val="left"/>
        <w:rPr>
          <w:color w:val="auto"/>
          <w:highlight w:val="none"/>
        </w:rPr>
      </w:pPr>
      <w:bookmarkStart w:id="59" w:name="_Toc40859295"/>
      <w:r>
        <w:rPr>
          <w:rFonts w:hint="eastAsia"/>
          <w:color w:val="auto"/>
          <w:highlight w:val="none"/>
        </w:rPr>
        <w:t>附件二</w:t>
      </w:r>
      <w:bookmarkEnd w:id="59"/>
      <w:r>
        <w:rPr>
          <w:rFonts w:hint="eastAsia"/>
          <w:color w:val="auto"/>
          <w:highlight w:val="none"/>
        </w:rPr>
        <w:t xml:space="preserve"> </w:t>
      </w:r>
    </w:p>
    <w:p>
      <w:pPr>
        <w:autoSpaceDE w:val="0"/>
        <w:autoSpaceDN w:val="0"/>
        <w:adjustRightInd w:val="0"/>
        <w:spacing w:line="360" w:lineRule="atLeast"/>
        <w:jc w:val="center"/>
        <w:textAlignment w:val="baseline"/>
        <w:rPr>
          <w:rFonts w:ascii="宋体"/>
          <w:color w:val="auto"/>
          <w:sz w:val="32"/>
          <w:highlight w:val="none"/>
          <w:lang w:val="zh-CN"/>
        </w:rPr>
      </w:pPr>
      <w:r>
        <w:rPr>
          <w:rFonts w:hint="eastAsia" w:ascii="宋体"/>
          <w:color w:val="auto"/>
          <w:sz w:val="32"/>
          <w:highlight w:val="none"/>
          <w:lang w:val="zh-CN"/>
        </w:rPr>
        <w:t>开标一览表（首次报价）</w:t>
      </w:r>
    </w:p>
    <w:p>
      <w:pPr>
        <w:autoSpaceDE w:val="0"/>
        <w:autoSpaceDN w:val="0"/>
        <w:adjustRightInd w:val="0"/>
        <w:rPr>
          <w:color w:val="auto"/>
          <w:sz w:val="22"/>
          <w:highlight w:val="none"/>
          <w:u w:val="single"/>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招标编号：</w:t>
      </w:r>
      <w:r>
        <w:rPr>
          <w:rFonts w:ascii="宋体"/>
          <w:color w:val="auto"/>
          <w:sz w:val="22"/>
          <w:szCs w:val="22"/>
          <w:highlight w:val="none"/>
          <w:u w:val="single"/>
          <w:lang w:val="zh-CN"/>
        </w:rPr>
        <w:t xml:space="preserve">   </w:t>
      </w:r>
      <w:r>
        <w:rPr>
          <w:rFonts w:hint="eastAsia" w:ascii="宋体"/>
          <w:color w:val="auto"/>
          <w:sz w:val="22"/>
          <w:szCs w:val="22"/>
          <w:highlight w:val="none"/>
          <w:u w:val="single"/>
          <w:lang w:val="en-US" w:eastAsia="zh-CN"/>
        </w:rPr>
        <w:t>/</w:t>
      </w:r>
      <w:r>
        <w:rPr>
          <w:rFonts w:ascii="宋体"/>
          <w:color w:val="auto"/>
          <w:sz w:val="22"/>
          <w:szCs w:val="22"/>
          <w:highlight w:val="none"/>
          <w:u w:val="single"/>
          <w:lang w:val="zh-CN"/>
        </w:rPr>
        <w:t xml:space="preserve">   </w:t>
      </w: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项目名称</w:t>
            </w:r>
          </w:p>
        </w:tc>
        <w:tc>
          <w:tcPr>
            <w:tcW w:w="4680" w:type="dxa"/>
            <w:vAlign w:val="center"/>
          </w:tcPr>
          <w:p>
            <w:pPr>
              <w:pStyle w:val="11"/>
              <w:jc w:val="center"/>
              <w:rPr>
                <w:rFonts w:hint="eastAsia" w:hAnsi="宋体" w:eastAsia="宋体"/>
                <w:color w:val="auto"/>
                <w:sz w:val="22"/>
                <w:szCs w:val="22"/>
                <w:highlight w:val="none"/>
                <w:lang w:eastAsia="zh-CN"/>
              </w:rPr>
            </w:pPr>
            <w:r>
              <w:rPr>
                <w:rFonts w:hint="eastAsia" w:hAnsi="宋体"/>
                <w:color w:val="auto"/>
                <w:sz w:val="22"/>
                <w:szCs w:val="22"/>
                <w:highlight w:val="none"/>
                <w:lang w:eastAsia="zh-CN"/>
              </w:rPr>
              <w:t>总价</w:t>
            </w:r>
          </w:p>
        </w:tc>
        <w:tc>
          <w:tcPr>
            <w:tcW w:w="198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hint="eastAsia" w:ascii="宋体" w:eastAsia="宋体"/>
                <w:color w:val="auto"/>
                <w:sz w:val="22"/>
                <w:szCs w:val="22"/>
                <w:highlight w:val="none"/>
                <w:lang w:eastAsia="zh-CN"/>
              </w:rPr>
            </w:pPr>
            <w:r>
              <w:rPr>
                <w:rFonts w:hint="eastAsia" w:hAnsi="宋体"/>
                <w:color w:val="auto"/>
                <w:sz w:val="24"/>
                <w:highlight w:val="none"/>
                <w:lang w:eastAsia="zh-CN"/>
              </w:rPr>
              <w:t>2023年三门县县道公路桥梁定期检查项目</w:t>
            </w:r>
          </w:p>
        </w:tc>
        <w:tc>
          <w:tcPr>
            <w:tcW w:w="4680" w:type="dxa"/>
            <w:vAlign w:val="center"/>
          </w:tcPr>
          <w:p>
            <w:pPr>
              <w:pStyle w:val="11"/>
              <w:rPr>
                <w:rFonts w:hAnsi="宋体"/>
                <w:color w:val="auto"/>
                <w:sz w:val="22"/>
                <w:szCs w:val="22"/>
                <w:highlight w:val="none"/>
              </w:rPr>
            </w:pPr>
            <w:r>
              <w:rPr>
                <w:rFonts w:hint="eastAsia" w:hAnsi="宋体"/>
                <w:color w:val="auto"/>
                <w:sz w:val="22"/>
                <w:szCs w:val="22"/>
                <w:highlight w:val="none"/>
              </w:rPr>
              <w:t>大写：</w:t>
            </w:r>
          </w:p>
          <w:p>
            <w:pPr>
              <w:pStyle w:val="11"/>
              <w:rPr>
                <w:rFonts w:hAnsi="宋体"/>
                <w:color w:val="auto"/>
                <w:sz w:val="22"/>
                <w:szCs w:val="22"/>
                <w:highlight w:val="none"/>
              </w:rPr>
            </w:pPr>
            <w:r>
              <w:rPr>
                <w:rFonts w:hint="eastAsia" w:hAnsi="宋体"/>
                <w:color w:val="auto"/>
                <w:sz w:val="22"/>
                <w:szCs w:val="22"/>
                <w:highlight w:val="none"/>
              </w:rPr>
              <w:t>小写：</w:t>
            </w:r>
          </w:p>
        </w:tc>
        <w:tc>
          <w:tcPr>
            <w:tcW w:w="1980" w:type="dxa"/>
            <w:vAlign w:val="center"/>
          </w:tcPr>
          <w:p>
            <w:pPr>
              <w:pStyle w:val="11"/>
              <w:jc w:val="center"/>
              <w:rPr>
                <w:rFonts w:hAnsi="宋体"/>
                <w:color w:val="auto"/>
                <w:sz w:val="22"/>
                <w:szCs w:val="22"/>
                <w:highlight w:val="none"/>
              </w:rPr>
            </w:pPr>
            <w:r>
              <w:rPr>
                <w:rFonts w:hint="eastAsia"/>
                <w:color w:val="auto"/>
                <w:sz w:val="22"/>
                <w:highlight w:val="none"/>
              </w:rPr>
              <w:t xml:space="preserve"> </w:t>
            </w:r>
          </w:p>
        </w:tc>
      </w:tr>
    </w:tbl>
    <w:p>
      <w:pPr>
        <w:spacing w:line="360" w:lineRule="exact"/>
        <w:jc w:val="left"/>
        <w:rPr>
          <w:rFonts w:ascii="宋体"/>
          <w:color w:val="auto"/>
          <w:sz w:val="22"/>
          <w:highlight w:val="none"/>
        </w:rPr>
      </w:pPr>
      <w:r>
        <w:rPr>
          <w:rFonts w:hint="eastAsia" w:ascii="宋体"/>
          <w:color w:val="auto"/>
          <w:sz w:val="22"/>
          <w:highlight w:val="none"/>
        </w:rPr>
        <w:t>▲开标</w:t>
      </w:r>
      <w:r>
        <w:rPr>
          <w:rFonts w:ascii="宋体"/>
          <w:color w:val="auto"/>
          <w:sz w:val="22"/>
          <w:highlight w:val="none"/>
        </w:rPr>
        <w:t>一览表中</w:t>
      </w:r>
      <w:r>
        <w:rPr>
          <w:rFonts w:hint="eastAsia" w:ascii="宋体"/>
          <w:color w:val="auto"/>
          <w:sz w:val="22"/>
          <w:highlight w:val="none"/>
          <w:lang w:eastAsia="zh-CN"/>
        </w:rPr>
        <w:t>总</w:t>
      </w:r>
      <w:r>
        <w:rPr>
          <w:rFonts w:hint="eastAsia" w:ascii="宋体"/>
          <w:color w:val="auto"/>
          <w:sz w:val="22"/>
          <w:highlight w:val="none"/>
        </w:rPr>
        <w:t>价</w:t>
      </w:r>
      <w:r>
        <w:rPr>
          <w:rFonts w:ascii="宋体"/>
          <w:color w:val="auto"/>
          <w:sz w:val="22"/>
          <w:highlight w:val="none"/>
        </w:rPr>
        <w:t>为符合招标文件要求的</w:t>
      </w:r>
      <w:r>
        <w:rPr>
          <w:rFonts w:hint="eastAsia" w:ascii="宋体"/>
          <w:color w:val="auto"/>
          <w:sz w:val="22"/>
          <w:highlight w:val="none"/>
        </w:rPr>
        <w:t>所有费用。</w:t>
      </w:r>
    </w:p>
    <w:p>
      <w:pPr>
        <w:spacing w:line="360" w:lineRule="exact"/>
        <w:jc w:val="left"/>
        <w:rPr>
          <w:rFonts w:ascii="宋体"/>
          <w:color w:val="auto"/>
          <w:sz w:val="22"/>
          <w:highlight w:val="none"/>
        </w:rPr>
      </w:pPr>
      <w:r>
        <w:rPr>
          <w:rFonts w:hint="eastAsia" w:ascii="宋体"/>
          <w:color w:val="auto"/>
          <w:sz w:val="22"/>
          <w:highlight w:val="none"/>
        </w:rPr>
        <w:t>▲不提供此表格的将视为没有实质性响应招标文件。</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center"/>
        <w:rPr>
          <w:rFonts w:ascii="宋体"/>
          <w:color w:val="auto"/>
          <w:sz w:val="22"/>
          <w:highlight w:val="none"/>
        </w:rPr>
      </w:pPr>
      <w:r>
        <w:rPr>
          <w:rFonts w:hint="eastAsia" w:ascii="宋体"/>
          <w:color w:val="auto"/>
          <w:sz w:val="22"/>
          <w:highlight w:val="none"/>
        </w:rPr>
        <w:t xml:space="preserve">                                            </w:t>
      </w:r>
    </w:p>
    <w:p>
      <w:pPr>
        <w:spacing w:line="360" w:lineRule="exact"/>
        <w:jc w:val="center"/>
        <w:rPr>
          <w:rFonts w:ascii="宋体"/>
          <w:color w:val="auto"/>
          <w:sz w:val="22"/>
          <w:highlight w:val="none"/>
        </w:rPr>
      </w:pPr>
    </w:p>
    <w:p>
      <w:pPr>
        <w:spacing w:line="360" w:lineRule="exact"/>
        <w:jc w:val="center"/>
        <w:rPr>
          <w:rFonts w:ascii="宋体"/>
          <w:color w:val="auto"/>
          <w:sz w:val="22"/>
          <w:highlight w:val="none"/>
        </w:rPr>
      </w:pPr>
    </w:p>
    <w:p>
      <w:pPr>
        <w:spacing w:line="360" w:lineRule="exact"/>
        <w:jc w:val="center"/>
        <w:rPr>
          <w:rFonts w:hint="eastAsia" w:ascii="宋体" w:hAnsi="宋体"/>
          <w:color w:val="auto"/>
          <w:sz w:val="24"/>
          <w:highlight w:val="none"/>
        </w:rPr>
      </w:pPr>
      <w:r>
        <w:rPr>
          <w:rFonts w:hint="eastAsia" w:ascii="宋体"/>
          <w:color w:val="auto"/>
          <w:sz w:val="22"/>
          <w:highlight w:val="none"/>
        </w:rPr>
        <w:t xml:space="preserve">                                        </w:t>
      </w:r>
      <w:r>
        <w:rPr>
          <w:rFonts w:hint="eastAsia" w:ascii="宋体" w:hAnsi="宋体"/>
          <w:color w:val="auto"/>
          <w:sz w:val="24"/>
          <w:highlight w:val="none"/>
        </w:rPr>
        <w:t>法定代表人或授权代表签字：</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right"/>
        <w:rPr>
          <w:rFonts w:ascii="宋体"/>
          <w:color w:val="auto"/>
          <w:sz w:val="22"/>
          <w:highlight w:val="none"/>
        </w:rPr>
      </w:pP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widowControl/>
        <w:jc w:val="left"/>
        <w:rPr>
          <w:rFonts w:ascii="宋体" w:hAnsi="宋体" w:cs="Courier New"/>
          <w:color w:val="auto"/>
          <w:sz w:val="24"/>
          <w:highlight w:val="none"/>
        </w:rPr>
      </w:pPr>
      <w:r>
        <w:rPr>
          <w:rFonts w:ascii="宋体" w:hAnsi="宋体" w:cs="Courier New"/>
          <w:color w:val="auto"/>
          <w:sz w:val="24"/>
          <w:highlight w:val="none"/>
        </w:rPr>
        <w:br w:type="page"/>
      </w:r>
    </w:p>
    <w:p>
      <w:pPr>
        <w:adjustRightInd w:val="0"/>
        <w:snapToGrid w:val="0"/>
        <w:spacing w:line="420" w:lineRule="auto"/>
        <w:rPr>
          <w:rFonts w:ascii="宋体" w:hAnsi="宋体" w:cs="Courier New"/>
          <w:color w:val="auto"/>
          <w:sz w:val="24"/>
          <w:highlight w:val="none"/>
        </w:rPr>
      </w:pPr>
    </w:p>
    <w:p>
      <w:pPr>
        <w:pStyle w:val="5"/>
        <w:jc w:val="left"/>
        <w:rPr>
          <w:color w:val="auto"/>
          <w:highlight w:val="none"/>
        </w:rPr>
      </w:pPr>
      <w:bookmarkStart w:id="60" w:name="_Toc40859296"/>
      <w:r>
        <w:rPr>
          <w:rFonts w:hint="eastAsia"/>
          <w:color w:val="auto"/>
          <w:highlight w:val="none"/>
        </w:rPr>
        <w:t>附件三</w:t>
      </w:r>
      <w:bookmarkEnd w:id="60"/>
    </w:p>
    <w:p>
      <w:pPr>
        <w:tabs>
          <w:tab w:val="left" w:pos="1080"/>
        </w:tabs>
        <w:autoSpaceDE w:val="0"/>
        <w:autoSpaceDN w:val="0"/>
        <w:adjustRightInd w:val="0"/>
        <w:spacing w:line="360" w:lineRule="exact"/>
        <w:jc w:val="center"/>
        <w:rPr>
          <w:rFonts w:ascii="宋体"/>
          <w:color w:val="auto"/>
          <w:sz w:val="36"/>
          <w:highlight w:val="none"/>
          <w:lang w:val="zh-CN"/>
        </w:rPr>
      </w:pPr>
      <w:r>
        <w:rPr>
          <w:rFonts w:hint="eastAsia" w:ascii="宋体"/>
          <w:color w:val="auto"/>
          <w:sz w:val="32"/>
          <w:highlight w:val="none"/>
          <w:lang w:val="zh-CN"/>
        </w:rPr>
        <w:t>（一）法定代表人授权书</w:t>
      </w:r>
    </w:p>
    <w:p>
      <w:pPr>
        <w:autoSpaceDE w:val="0"/>
        <w:autoSpaceDN w:val="0"/>
        <w:adjustRightInd w:val="0"/>
        <w:spacing w:line="360" w:lineRule="exact"/>
        <w:jc w:val="center"/>
        <w:rPr>
          <w:rFonts w:ascii="宋体"/>
          <w:color w:val="auto"/>
          <w:sz w:val="36"/>
          <w:highlight w:val="none"/>
          <w:lang w:val="zh-CN"/>
        </w:rPr>
      </w:pPr>
    </w:p>
    <w:p>
      <w:pPr>
        <w:spacing w:line="360" w:lineRule="exact"/>
        <w:rPr>
          <w:rFonts w:ascii="宋体"/>
          <w:color w:val="auto"/>
          <w:sz w:val="22"/>
          <w:highlight w:val="none"/>
        </w:rPr>
      </w:pPr>
      <w:r>
        <w:rPr>
          <w:rFonts w:hint="eastAsia" w:ascii="宋体"/>
          <w:color w:val="auto"/>
          <w:sz w:val="22"/>
          <w:highlight w:val="none"/>
          <w:u w:val="single"/>
        </w:rPr>
        <w:t>（采购人名称）</w:t>
      </w:r>
      <w:r>
        <w:rPr>
          <w:rFonts w:hint="eastAsia" w:ascii="宋体"/>
          <w:color w:val="auto"/>
          <w:sz w:val="22"/>
          <w:highlight w:val="none"/>
          <w:lang w:val="zh-CN"/>
        </w:rPr>
        <w:t>：</w:t>
      </w:r>
    </w:p>
    <w:p>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pPr>
        <w:spacing w:line="360" w:lineRule="exact"/>
        <w:ind w:firstLine="440" w:firstLineChars="200"/>
        <w:rPr>
          <w:rFonts w:ascii="宋体"/>
          <w:color w:val="auto"/>
          <w:sz w:val="22"/>
          <w:szCs w:val="22"/>
          <w:highlight w:val="none"/>
        </w:rPr>
      </w:pPr>
    </w:p>
    <w:p>
      <w:pPr>
        <w:spacing w:line="360" w:lineRule="exact"/>
        <w:ind w:firstLine="440" w:firstLineChars="200"/>
        <w:rPr>
          <w:rFonts w:ascii="宋体"/>
          <w:color w:val="auto"/>
          <w:sz w:val="22"/>
          <w:highlight w:val="none"/>
        </w:rPr>
      </w:pPr>
      <w:r>
        <w:rPr>
          <w:rFonts w:hint="eastAsia" w:ascii="宋体"/>
          <w:color w:val="auto"/>
          <w:sz w:val="22"/>
          <w:szCs w:val="22"/>
          <w:highlight w:val="none"/>
        </w:rPr>
        <w:t>授权代表无转授权，特此授权。</w:t>
      </w: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 xml:space="preserve">   （签字）  </w:t>
      </w:r>
      <w:r>
        <w:rPr>
          <w:rFonts w:hint="eastAsia" w:ascii="宋体"/>
          <w:color w:val="auto"/>
          <w:sz w:val="22"/>
          <w:highlight w:val="none"/>
        </w:rPr>
        <w:t xml:space="preserve"> 性别 ：</w:t>
      </w:r>
      <w:r>
        <w:rPr>
          <w:rFonts w:hint="eastAsia" w:ascii="宋体"/>
          <w:color w:val="auto"/>
          <w:sz w:val="22"/>
          <w:highlight w:val="none"/>
          <w:u w:val="single"/>
        </w:rPr>
        <w:t xml:space="preserve">        </w:t>
      </w:r>
      <w:r>
        <w:rPr>
          <w:rFonts w:hint="eastAsia" w:ascii="宋体"/>
          <w:color w:val="auto"/>
          <w:sz w:val="22"/>
          <w:highlight w:val="none"/>
        </w:rPr>
        <w:t xml:space="preserve"> 年龄：</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 xml:space="preserve"> 邮政编码：</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 xml:space="preserve"> 传真：</w:t>
      </w:r>
      <w:r>
        <w:rPr>
          <w:rFonts w:hint="eastAsia" w:ascii="宋体"/>
          <w:color w:val="auto"/>
          <w:sz w:val="22"/>
          <w:highlight w:val="none"/>
          <w:u w:val="single"/>
        </w:rPr>
        <w:t xml:space="preserve">                      </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1" w:firstLine="2728" w:firstLineChars="1240"/>
        <w:rPr>
          <w:rFonts w:ascii="宋体"/>
          <w:color w:val="auto"/>
          <w:sz w:val="22"/>
          <w:highlight w:val="none"/>
        </w:rPr>
      </w:pPr>
      <w:r>
        <w:rPr>
          <w:rFonts w:hint="eastAsia" w:ascii="宋体"/>
          <w:color w:val="auto"/>
          <w:sz w:val="22"/>
          <w:highlight w:val="none"/>
        </w:rPr>
        <w:t xml:space="preserve">  投标人：</w:t>
      </w:r>
      <w:r>
        <w:rPr>
          <w:rFonts w:hint="eastAsia" w:ascii="宋体"/>
          <w:color w:val="auto"/>
          <w:sz w:val="22"/>
          <w:highlight w:val="none"/>
          <w:u w:val="single"/>
        </w:rPr>
        <w:t xml:space="preserve">                             （</w:t>
      </w:r>
      <w:r>
        <w:rPr>
          <w:rFonts w:hint="eastAsia" w:ascii="宋体" w:hAnsi="宋体" w:cs="仿宋_GB2312"/>
          <w:color w:val="auto"/>
          <w:kern w:val="0"/>
          <w:sz w:val="24"/>
          <w:highlight w:val="none"/>
          <w:u w:val="single"/>
          <w:lang w:val="zh-CN"/>
        </w:rPr>
        <w:t>公章</w:t>
      </w:r>
      <w:r>
        <w:rPr>
          <w:rFonts w:hint="eastAsia" w:ascii="宋体"/>
          <w:color w:val="auto"/>
          <w:sz w:val="22"/>
          <w:highlight w:val="none"/>
          <w:u w:val="single"/>
        </w:rPr>
        <w:t>）</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2100" w:right="440"/>
        <w:jc w:val="center"/>
        <w:rPr>
          <w:rFonts w:ascii="宋体"/>
          <w:color w:val="auto"/>
          <w:sz w:val="22"/>
          <w:highlight w:val="none"/>
        </w:rPr>
      </w:pPr>
      <w:r>
        <w:rPr>
          <w:rFonts w:hint="eastAsia" w:ascii="宋体"/>
          <w:color w:val="auto"/>
          <w:sz w:val="22"/>
          <w:highlight w:val="none"/>
        </w:rPr>
        <w:t xml:space="preserve">       法定代表人：</w:t>
      </w:r>
      <w:r>
        <w:rPr>
          <w:rFonts w:hint="eastAsia" w:ascii="宋体"/>
          <w:color w:val="auto"/>
          <w:sz w:val="22"/>
          <w:highlight w:val="none"/>
          <w:u w:val="single"/>
        </w:rPr>
        <w:t xml:space="preserve">                            （签字或盖章）</w:t>
      </w:r>
    </w:p>
    <w:p>
      <w:pPr>
        <w:spacing w:line="360" w:lineRule="exact"/>
        <w:ind w:left="2699"/>
        <w:rPr>
          <w:rFonts w:ascii="宋体"/>
          <w:color w:val="auto"/>
          <w:sz w:val="22"/>
          <w:highlight w:val="none"/>
        </w:rPr>
      </w:pPr>
      <w:r>
        <w:rPr>
          <w:rFonts w:hint="eastAsia" w:ascii="宋体"/>
          <w:color w:val="auto"/>
          <w:sz w:val="22"/>
          <w:highlight w:val="none"/>
        </w:rPr>
        <w:t xml:space="preserve">  </w:t>
      </w:r>
    </w:p>
    <w:p>
      <w:pPr>
        <w:spacing w:line="360" w:lineRule="exact"/>
        <w:ind w:left="2699"/>
        <w:rPr>
          <w:rFonts w:ascii="宋体"/>
          <w:color w:val="auto"/>
          <w:sz w:val="22"/>
          <w:highlight w:val="none"/>
        </w:rPr>
      </w:pPr>
      <w:r>
        <w:rPr>
          <w:rFonts w:hint="eastAsia" w:ascii="宋体"/>
          <w:color w:val="auto"/>
          <w:sz w:val="22"/>
          <w:highlight w:val="none"/>
        </w:rPr>
        <w:t xml:space="preserve">                 授权委托日期：</w:t>
      </w:r>
      <w:r>
        <w:rPr>
          <w:rFonts w:hint="eastAsia" w:ascii="宋体"/>
          <w:color w:val="auto"/>
          <w:sz w:val="22"/>
          <w:highlight w:val="none"/>
          <w:u w:val="single"/>
        </w:rPr>
        <w:t xml:space="preserve">     </w:t>
      </w:r>
      <w:r>
        <w:rPr>
          <w:rFonts w:hint="eastAsia" w:ascii="宋体"/>
          <w:color w:val="auto"/>
          <w:sz w:val="22"/>
          <w:highlight w:val="none"/>
        </w:rPr>
        <w:t xml:space="preserve">年 </w:t>
      </w:r>
      <w:r>
        <w:rPr>
          <w:rFonts w:hint="eastAsia" w:ascii="宋体"/>
          <w:color w:val="auto"/>
          <w:sz w:val="22"/>
          <w:highlight w:val="none"/>
          <w:u w:val="single"/>
        </w:rPr>
        <w:t xml:space="preserve">    </w:t>
      </w:r>
      <w:r>
        <w:rPr>
          <w:rFonts w:hint="eastAsia" w:ascii="宋体"/>
          <w:color w:val="auto"/>
          <w:sz w:val="22"/>
          <w:highlight w:val="none"/>
        </w:rPr>
        <w:t>月</w:t>
      </w:r>
      <w:r>
        <w:rPr>
          <w:rFonts w:hint="eastAsia" w:ascii="宋体"/>
          <w:color w:val="auto"/>
          <w:sz w:val="22"/>
          <w:highlight w:val="none"/>
          <w:u w:val="single"/>
        </w:rPr>
        <w:t xml:space="preserve">     </w:t>
      </w:r>
      <w:r>
        <w:rPr>
          <w:rFonts w:hint="eastAsia" w:ascii="宋体"/>
          <w:color w:val="auto"/>
          <w:sz w:val="22"/>
          <w:highlight w:val="none"/>
        </w:rPr>
        <w:t>日</w:t>
      </w:r>
    </w:p>
    <w:tbl>
      <w:tblPr>
        <w:tblStyle w:val="21"/>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tcPr>
          <w:p>
            <w:pPr>
              <w:pStyle w:val="11"/>
              <w:adjustRightInd w:val="0"/>
              <w:snapToGrid w:val="0"/>
              <w:spacing w:line="360" w:lineRule="exact"/>
              <w:jc w:val="center"/>
              <w:rPr>
                <w:rFonts w:hAnsi="宋体"/>
                <w:color w:val="auto"/>
                <w:sz w:val="36"/>
                <w:highlight w:val="none"/>
              </w:rPr>
            </w:pPr>
            <w:r>
              <w:rPr>
                <w:rFonts w:hint="eastAsia" w:hAnsi="宋体"/>
                <w:color w:val="auto"/>
                <w:sz w:val="22"/>
                <w:highlight w:val="none"/>
              </w:rPr>
              <w:t xml:space="preserve">  </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r>
              <w:rPr>
                <w:rFonts w:hint="eastAsia" w:hAnsi="宋体"/>
                <w:color w:val="auto"/>
                <w:sz w:val="36"/>
                <w:highlight w:val="none"/>
              </w:rPr>
              <w:t>粘贴法人授权代表身份证复印影印件</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tc>
      </w:tr>
    </w:tbl>
    <w:p>
      <w:pPr>
        <w:adjustRightInd w:val="0"/>
        <w:snapToGrid w:val="0"/>
        <w:spacing w:line="420" w:lineRule="auto"/>
        <w:rPr>
          <w:rFonts w:ascii="宋体" w:hAnsi="宋体" w:cs="Courier New"/>
          <w:color w:val="auto"/>
          <w:sz w:val="24"/>
          <w:highlight w:val="none"/>
        </w:rPr>
      </w:pPr>
    </w:p>
    <w:p>
      <w:pPr>
        <w:widowControl/>
        <w:jc w:val="left"/>
        <w:rPr>
          <w:color w:val="auto"/>
          <w:highlight w:val="none"/>
        </w:rPr>
      </w:pPr>
      <w:r>
        <w:rPr>
          <w:rFonts w:ascii="宋体" w:hAnsi="宋体" w:cs="Courier New"/>
          <w:color w:val="auto"/>
          <w:sz w:val="24"/>
          <w:highlight w:val="none"/>
        </w:rPr>
        <w:br w:type="page"/>
      </w:r>
      <w:bookmarkStart w:id="61" w:name="_Toc40859297"/>
      <w:r>
        <w:rPr>
          <w:rFonts w:hint="eastAsia"/>
          <w:color w:val="auto"/>
          <w:highlight w:val="none"/>
        </w:rPr>
        <w:t>附件四</w:t>
      </w:r>
      <w:bookmarkEnd w:id="61"/>
    </w:p>
    <w:p>
      <w:pPr>
        <w:pStyle w:val="7"/>
        <w:jc w:val="center"/>
        <w:rPr>
          <w:color w:val="auto"/>
          <w:sz w:val="28"/>
          <w:highlight w:val="none"/>
        </w:rPr>
      </w:pPr>
      <w:bookmarkStart w:id="62" w:name="_Toc40859298"/>
      <w:r>
        <w:rPr>
          <w:rFonts w:hint="eastAsia"/>
          <w:color w:val="auto"/>
          <w:sz w:val="28"/>
          <w:highlight w:val="none"/>
        </w:rPr>
        <w:t>拟委任的主要人员汇总表</w:t>
      </w:r>
    </w:p>
    <w:p>
      <w:pPr>
        <w:rPr>
          <w:color w:val="auto"/>
          <w:highlight w:val="none"/>
        </w:rPr>
      </w:pPr>
    </w:p>
    <w:tbl>
      <w:tblPr>
        <w:tblStyle w:val="21"/>
        <w:tblW w:w="92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vAlign w:val="center"/>
          </w:tcPr>
          <w:p>
            <w:pPr>
              <w:spacing w:line="240" w:lineRule="exact"/>
              <w:jc w:val="center"/>
              <w:rPr>
                <w:color w:val="auto"/>
                <w:highlight w:val="none"/>
              </w:rPr>
            </w:pPr>
            <w:r>
              <w:rPr>
                <w:rFonts w:hint="eastAsia"/>
                <w:color w:val="auto"/>
                <w:highlight w:val="none"/>
              </w:rPr>
              <w:t>姓名</w:t>
            </w:r>
          </w:p>
        </w:tc>
        <w:tc>
          <w:tcPr>
            <w:tcW w:w="993" w:type="dxa"/>
            <w:vAlign w:val="center"/>
          </w:tcPr>
          <w:p>
            <w:pPr>
              <w:spacing w:line="240" w:lineRule="exact"/>
              <w:jc w:val="center"/>
              <w:rPr>
                <w:color w:val="auto"/>
                <w:highlight w:val="none"/>
              </w:rPr>
            </w:pPr>
            <w:r>
              <w:rPr>
                <w:rFonts w:hint="eastAsia"/>
                <w:color w:val="auto"/>
                <w:highlight w:val="none"/>
              </w:rPr>
              <w:t>年龄</w:t>
            </w:r>
          </w:p>
        </w:tc>
        <w:tc>
          <w:tcPr>
            <w:tcW w:w="1984" w:type="dxa"/>
            <w:vAlign w:val="center"/>
          </w:tcPr>
          <w:p>
            <w:pPr>
              <w:spacing w:line="240" w:lineRule="exact"/>
              <w:jc w:val="center"/>
              <w:rPr>
                <w:color w:val="auto"/>
                <w:highlight w:val="none"/>
              </w:rPr>
            </w:pPr>
            <w:r>
              <w:rPr>
                <w:rFonts w:hint="eastAsia"/>
                <w:color w:val="auto"/>
                <w:highlight w:val="none"/>
              </w:rPr>
              <w:t>拟在本项目中担任的职务</w:t>
            </w:r>
          </w:p>
        </w:tc>
        <w:tc>
          <w:tcPr>
            <w:tcW w:w="1550" w:type="dxa"/>
            <w:vAlign w:val="center"/>
          </w:tcPr>
          <w:p>
            <w:pPr>
              <w:spacing w:line="240" w:lineRule="exact"/>
              <w:jc w:val="center"/>
              <w:rPr>
                <w:color w:val="auto"/>
                <w:highlight w:val="none"/>
              </w:rPr>
            </w:pPr>
            <w:r>
              <w:rPr>
                <w:rFonts w:hint="eastAsia"/>
                <w:color w:val="auto"/>
                <w:highlight w:val="none"/>
              </w:rPr>
              <w:t>技术职称</w:t>
            </w:r>
          </w:p>
        </w:tc>
        <w:tc>
          <w:tcPr>
            <w:tcW w:w="1476" w:type="dxa"/>
            <w:vAlign w:val="center"/>
          </w:tcPr>
          <w:p>
            <w:pPr>
              <w:spacing w:line="240" w:lineRule="exact"/>
              <w:jc w:val="center"/>
              <w:rPr>
                <w:color w:val="auto"/>
                <w:highlight w:val="none"/>
              </w:rPr>
            </w:pPr>
            <w:r>
              <w:rPr>
                <w:rFonts w:hint="eastAsia"/>
                <w:color w:val="auto"/>
                <w:highlight w:val="none"/>
              </w:rPr>
              <w:t>工作年限</w:t>
            </w:r>
          </w:p>
        </w:tc>
        <w:tc>
          <w:tcPr>
            <w:tcW w:w="1476" w:type="dxa"/>
            <w:vAlign w:val="center"/>
          </w:tcPr>
          <w:p>
            <w:pPr>
              <w:spacing w:line="240" w:lineRule="exact"/>
              <w:jc w:val="center"/>
              <w:rPr>
                <w:color w:val="auto"/>
                <w:highlight w:val="none"/>
              </w:rPr>
            </w:pPr>
            <w:r>
              <w:rPr>
                <w:rFonts w:hint="eastAsia"/>
                <w:color w:val="auto"/>
                <w:highlight w:val="none"/>
              </w:rPr>
              <w:t>类似试验检测经验年限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bl>
    <w:p>
      <w:pPr>
        <w:spacing w:line="360" w:lineRule="exact"/>
        <w:jc w:val="center"/>
        <w:rPr>
          <w:rFonts w:hint="eastAsia" w:ascii="宋体" w:hAnsi="宋体"/>
          <w:color w:val="auto"/>
          <w:sz w:val="24"/>
          <w:highlight w:val="none"/>
        </w:rPr>
      </w:pPr>
      <w:r>
        <w:rPr>
          <w:rFonts w:hint="eastAsia" w:ascii="宋体"/>
          <w:color w:val="auto"/>
          <w:sz w:val="22"/>
          <w:highlight w:val="none"/>
          <w:lang w:val="en-US" w:eastAsia="zh-CN"/>
        </w:rPr>
        <w:t xml:space="preserve">                       </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rPr>
          <w:rFonts w:hint="eastAsia"/>
          <w:color w:val="auto"/>
          <w:sz w:val="28"/>
          <w:highlight w:val="none"/>
        </w:rPr>
      </w:pPr>
    </w:p>
    <w:p>
      <w:pPr>
        <w:pStyle w:val="20"/>
        <w:rPr>
          <w:rFonts w:hint="eastAsia"/>
          <w:color w:val="auto"/>
          <w:highlight w:val="none"/>
        </w:rPr>
      </w:pPr>
    </w:p>
    <w:p>
      <w:pPr>
        <w:pStyle w:val="7"/>
        <w:jc w:val="left"/>
        <w:rPr>
          <w:color w:val="auto"/>
          <w:sz w:val="28"/>
          <w:highlight w:val="none"/>
        </w:rPr>
      </w:pPr>
      <w:r>
        <w:rPr>
          <w:rFonts w:hint="eastAsia"/>
          <w:color w:val="auto"/>
          <w:sz w:val="28"/>
          <w:highlight w:val="none"/>
          <w:lang w:eastAsia="zh-CN"/>
        </w:rPr>
        <w:t>附件五</w:t>
      </w:r>
      <w:r>
        <w:rPr>
          <w:rFonts w:hint="eastAsia"/>
          <w:color w:val="auto"/>
          <w:sz w:val="28"/>
          <w:highlight w:val="none"/>
          <w:lang w:val="en-US" w:eastAsia="zh-CN"/>
        </w:rPr>
        <w:t xml:space="preserve">                </w:t>
      </w:r>
      <w:r>
        <w:rPr>
          <w:rFonts w:hint="eastAsia"/>
          <w:color w:val="auto"/>
          <w:sz w:val="28"/>
          <w:highlight w:val="none"/>
        </w:rPr>
        <w:t>拟投入主要试验检测仪器设备</w:t>
      </w:r>
    </w:p>
    <w:p>
      <w:pPr>
        <w:spacing w:line="360" w:lineRule="exact"/>
        <w:rPr>
          <w:color w:val="auto"/>
          <w:highlight w:val="none"/>
        </w:rPr>
      </w:pPr>
    </w:p>
    <w:tbl>
      <w:tblPr>
        <w:tblStyle w:val="21"/>
        <w:tblW w:w="9134" w:type="dxa"/>
        <w:tblInd w:w="25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313"/>
        <w:gridCol w:w="1313"/>
        <w:gridCol w:w="1313"/>
        <w:gridCol w:w="691"/>
        <w:gridCol w:w="691"/>
        <w:gridCol w:w="691"/>
        <w:gridCol w:w="691"/>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exact"/>
        </w:trPr>
        <w:tc>
          <w:tcPr>
            <w:tcW w:w="986" w:type="dxa"/>
            <w:vMerge w:val="restart"/>
            <w:vAlign w:val="center"/>
          </w:tcPr>
          <w:p>
            <w:pPr>
              <w:jc w:val="center"/>
              <w:rPr>
                <w:color w:val="auto"/>
                <w:szCs w:val="21"/>
                <w:highlight w:val="none"/>
              </w:rPr>
            </w:pPr>
            <w:r>
              <w:rPr>
                <w:rFonts w:hint="eastAsia"/>
                <w:color w:val="auto"/>
                <w:szCs w:val="21"/>
                <w:highlight w:val="none"/>
              </w:rPr>
              <w:t>序号</w:t>
            </w:r>
          </w:p>
        </w:tc>
        <w:tc>
          <w:tcPr>
            <w:tcW w:w="1313" w:type="dxa"/>
            <w:vMerge w:val="restart"/>
            <w:vAlign w:val="center"/>
          </w:tcPr>
          <w:p>
            <w:pPr>
              <w:jc w:val="center"/>
              <w:rPr>
                <w:color w:val="auto"/>
                <w:szCs w:val="21"/>
                <w:highlight w:val="none"/>
              </w:rPr>
            </w:pPr>
            <w:r>
              <w:rPr>
                <w:rFonts w:hint="eastAsia"/>
                <w:color w:val="auto"/>
                <w:szCs w:val="21"/>
                <w:highlight w:val="none"/>
              </w:rPr>
              <w:t>设备名称</w:t>
            </w:r>
          </w:p>
        </w:tc>
        <w:tc>
          <w:tcPr>
            <w:tcW w:w="1313" w:type="dxa"/>
            <w:vMerge w:val="restart"/>
            <w:tcBorders>
              <w:right w:val="single" w:color="auto" w:sz="4" w:space="0"/>
            </w:tcBorders>
            <w:vAlign w:val="center"/>
          </w:tcPr>
          <w:p>
            <w:pPr>
              <w:jc w:val="center"/>
              <w:rPr>
                <w:color w:val="auto"/>
                <w:szCs w:val="21"/>
                <w:highlight w:val="none"/>
              </w:rPr>
            </w:pPr>
            <w:r>
              <w:rPr>
                <w:rFonts w:hint="eastAsia"/>
                <w:color w:val="auto"/>
                <w:szCs w:val="21"/>
                <w:highlight w:val="none"/>
              </w:rPr>
              <w:t>型号、产地</w:t>
            </w:r>
          </w:p>
        </w:tc>
        <w:tc>
          <w:tcPr>
            <w:tcW w:w="1313" w:type="dxa"/>
            <w:vMerge w:val="restart"/>
            <w:tcBorders>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用途、功能规格</w:t>
            </w:r>
          </w:p>
        </w:tc>
        <w:tc>
          <w:tcPr>
            <w:tcW w:w="2764" w:type="dxa"/>
            <w:gridSpan w:val="4"/>
            <w:tcBorders>
              <w:left w:val="single" w:color="auto" w:sz="4" w:space="0"/>
              <w:bottom w:val="single" w:color="auto" w:sz="4" w:space="0"/>
            </w:tcBorders>
            <w:vAlign w:val="center"/>
          </w:tcPr>
          <w:p>
            <w:pPr>
              <w:jc w:val="center"/>
              <w:rPr>
                <w:color w:val="auto"/>
                <w:szCs w:val="21"/>
                <w:highlight w:val="none"/>
              </w:rPr>
            </w:pPr>
            <w:r>
              <w:rPr>
                <w:rFonts w:hint="eastAsia"/>
                <w:color w:val="auto"/>
                <w:szCs w:val="21"/>
                <w:highlight w:val="none"/>
              </w:rPr>
              <w:t>数量</w:t>
            </w:r>
          </w:p>
        </w:tc>
        <w:tc>
          <w:tcPr>
            <w:tcW w:w="1445" w:type="dxa"/>
            <w:vMerge w:val="restart"/>
            <w:vAlign w:val="center"/>
          </w:tcPr>
          <w:p>
            <w:pPr>
              <w:jc w:val="center"/>
              <w:rPr>
                <w:color w:val="auto"/>
                <w:szCs w:val="21"/>
                <w:highlight w:val="none"/>
              </w:rPr>
            </w:pPr>
            <w:r>
              <w:rPr>
                <w:rFonts w:hint="eastAsia"/>
                <w:color w:val="auto"/>
                <w:szCs w:val="21"/>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exact"/>
        </w:trPr>
        <w:tc>
          <w:tcPr>
            <w:tcW w:w="986" w:type="dxa"/>
            <w:vMerge w:val="continue"/>
            <w:vAlign w:val="center"/>
          </w:tcPr>
          <w:p>
            <w:pPr>
              <w:jc w:val="center"/>
              <w:rPr>
                <w:color w:val="auto"/>
                <w:szCs w:val="21"/>
                <w:highlight w:val="none"/>
              </w:rPr>
            </w:pPr>
          </w:p>
        </w:tc>
        <w:tc>
          <w:tcPr>
            <w:tcW w:w="1313" w:type="dxa"/>
            <w:vMerge w:val="continue"/>
            <w:vAlign w:val="center"/>
          </w:tcPr>
          <w:p>
            <w:pPr>
              <w:jc w:val="center"/>
              <w:rPr>
                <w:color w:val="auto"/>
                <w:szCs w:val="21"/>
                <w:highlight w:val="none"/>
              </w:rPr>
            </w:pPr>
          </w:p>
        </w:tc>
        <w:tc>
          <w:tcPr>
            <w:tcW w:w="1313" w:type="dxa"/>
            <w:vMerge w:val="continue"/>
            <w:tcBorders>
              <w:right w:val="single" w:color="auto" w:sz="4" w:space="0"/>
            </w:tcBorders>
            <w:vAlign w:val="center"/>
          </w:tcPr>
          <w:p>
            <w:pPr>
              <w:jc w:val="center"/>
              <w:rPr>
                <w:color w:val="auto"/>
                <w:szCs w:val="21"/>
                <w:highlight w:val="none"/>
              </w:rPr>
            </w:pPr>
          </w:p>
        </w:tc>
        <w:tc>
          <w:tcPr>
            <w:tcW w:w="1313" w:type="dxa"/>
            <w:vMerge w:val="continue"/>
            <w:tcBorders>
              <w:left w:val="single" w:color="auto" w:sz="4" w:space="0"/>
              <w:right w:val="single" w:color="auto" w:sz="4" w:space="0"/>
            </w:tcBorders>
            <w:vAlign w:val="center"/>
          </w:tcPr>
          <w:p>
            <w:pPr>
              <w:jc w:val="center"/>
              <w:rPr>
                <w:color w:val="auto"/>
                <w:szCs w:val="21"/>
                <w:highlight w:val="none"/>
              </w:rPr>
            </w:pP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自有</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租赁</w:t>
            </w:r>
          </w:p>
        </w:tc>
        <w:tc>
          <w:tcPr>
            <w:tcW w:w="691" w:type="dxa"/>
            <w:tcBorders>
              <w:top w:val="single" w:color="auto" w:sz="4" w:space="0"/>
              <w:left w:val="single" w:color="auto" w:sz="4" w:space="0"/>
            </w:tcBorders>
            <w:vAlign w:val="center"/>
          </w:tcPr>
          <w:p>
            <w:pPr>
              <w:jc w:val="center"/>
              <w:rPr>
                <w:color w:val="auto"/>
                <w:szCs w:val="21"/>
                <w:highlight w:val="none"/>
              </w:rPr>
            </w:pPr>
            <w:r>
              <w:rPr>
                <w:rFonts w:hint="eastAsia"/>
                <w:color w:val="auto"/>
                <w:szCs w:val="21"/>
                <w:highlight w:val="none"/>
              </w:rPr>
              <w:t>新购</w:t>
            </w:r>
          </w:p>
        </w:tc>
        <w:tc>
          <w:tcPr>
            <w:tcW w:w="1445"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1</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r>
              <w:rPr>
                <w:rFonts w:hint="eastAsia"/>
                <w:color w:val="auto"/>
                <w:szCs w:val="21"/>
                <w:highlight w:val="none"/>
              </w:rPr>
              <w:t>所在页号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2</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3</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4</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5</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6</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7</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8</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bl>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pStyle w:val="5"/>
        <w:jc w:val="left"/>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bookmarkEnd w:id="62"/>
    <w:p>
      <w:pPr>
        <w:jc w:val="left"/>
        <w:rPr>
          <w:color w:val="auto"/>
          <w:sz w:val="48"/>
          <w:szCs w:val="48"/>
          <w:highlight w:val="none"/>
        </w:rPr>
        <w:sectPr>
          <w:headerReference r:id="rId4" w:type="default"/>
          <w:footerReference r:id="rId5" w:type="default"/>
          <w:pgSz w:w="11906" w:h="16838"/>
          <w:pgMar w:top="1361" w:right="1247" w:bottom="1361" w:left="1247" w:header="851" w:footer="992" w:gutter="0"/>
          <w:pgNumType w:fmt="decimal"/>
          <w:cols w:space="720" w:num="1"/>
          <w:docGrid w:type="lines" w:linePitch="312" w:charSpace="0"/>
        </w:sectPr>
      </w:pPr>
    </w:p>
    <w:p>
      <w:pPr>
        <w:tabs>
          <w:tab w:val="left" w:pos="1995"/>
          <w:tab w:val="left" w:pos="3051"/>
          <w:tab w:val="left" w:pos="4581"/>
          <w:tab w:val="left" w:pos="5637"/>
          <w:tab w:val="left" w:pos="6693"/>
          <w:tab w:val="left" w:pos="7749"/>
          <w:tab w:val="left" w:pos="8805"/>
          <w:tab w:val="left" w:pos="10305"/>
          <w:tab w:val="left" w:pos="11361"/>
          <w:tab w:val="left" w:pos="12417"/>
          <w:tab w:val="left" w:pos="13473"/>
        </w:tabs>
        <w:rPr>
          <w:rFonts w:hint="eastAsia" w:ascii="黑体" w:hAnsi="宋体" w:eastAsia="黑体" w:cs="黑体"/>
          <w:i w:val="0"/>
          <w:color w:val="auto"/>
          <w:kern w:val="0"/>
          <w:sz w:val="28"/>
          <w:szCs w:val="28"/>
          <w:u w:val="none"/>
          <w:lang w:val="en-US" w:eastAsia="zh-CN" w:bidi="ar"/>
        </w:rPr>
      </w:pPr>
      <w:r>
        <w:rPr>
          <w:rFonts w:hint="eastAsia"/>
          <w:b/>
          <w:bCs/>
          <w:color w:val="auto"/>
          <w:sz w:val="28"/>
          <w:highlight w:val="none"/>
          <w:lang w:eastAsia="zh-CN"/>
        </w:rPr>
        <w:t>附件六</w:t>
      </w:r>
      <w:r>
        <w:rPr>
          <w:rFonts w:hint="eastAsia"/>
          <w:color w:val="auto"/>
          <w:sz w:val="28"/>
          <w:highlight w:val="none"/>
          <w:lang w:val="en-US" w:eastAsia="zh-CN"/>
        </w:rPr>
        <w:t xml:space="preserve"> </w:t>
      </w:r>
    </w:p>
    <w:tbl>
      <w:tblPr>
        <w:tblStyle w:val="21"/>
        <w:tblW w:w="14420"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216"/>
        <w:gridCol w:w="1386"/>
        <w:gridCol w:w="1136"/>
        <w:gridCol w:w="777"/>
        <w:gridCol w:w="1005"/>
        <w:gridCol w:w="810"/>
        <w:gridCol w:w="765"/>
        <w:gridCol w:w="1095"/>
        <w:gridCol w:w="1905"/>
        <w:gridCol w:w="1095"/>
        <w:gridCol w:w="930"/>
        <w:gridCol w:w="1140"/>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20" w:type="dxa"/>
            <w:gridSpan w:val="14"/>
            <w:tcBorders>
              <w:top w:val="nil"/>
              <w:left w:val="nil"/>
              <w:bottom w:val="nil"/>
              <w:right w:val="nil"/>
            </w:tcBorders>
            <w:noWrap/>
            <w:vAlign w:val="center"/>
          </w:tcPr>
          <w:p>
            <w:pPr>
              <w:jc w:val="center"/>
              <w:rPr>
                <w:rFonts w:hint="default" w:ascii="等线" w:hAnsi="等线" w:eastAsia="等线" w:cs="等线"/>
                <w:i w:val="0"/>
                <w:iCs w:val="0"/>
                <w:color w:val="auto"/>
                <w:sz w:val="22"/>
                <w:szCs w:val="22"/>
                <w:u w:val="none"/>
              </w:rPr>
            </w:pPr>
            <w:r>
              <w:rPr>
                <w:rFonts w:hint="eastAsia" w:ascii="方正小标宋简体" w:hAnsi="方正小标宋简体" w:eastAsia="方正小标宋简体" w:cs="方正小标宋简体"/>
                <w:b/>
                <w:bCs/>
                <w:i w:val="0"/>
                <w:iCs w:val="0"/>
                <w:color w:val="auto"/>
                <w:kern w:val="0"/>
                <w:sz w:val="44"/>
                <w:szCs w:val="44"/>
                <w:u w:val="none"/>
                <w:lang w:val="en-US" w:eastAsia="zh-CN" w:bidi="ar"/>
              </w:rPr>
              <w:t>2023年三门县县道桥梁定期检查计划表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路线编号</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路线简称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桥梁名称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桥梁中心桩号</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长度类型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结构类型</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管养单位</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收费性质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最新技术状况</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年检查计划</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X501331022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沙柳-书带看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谈竹岙桥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1.375</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8.8</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X501331022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沙柳-书带看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流洋桥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2.686</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10.8</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9.1</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X501331022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沙柳-书带看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书带看桥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4.179</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X501331022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沙柳-书带看</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龙头颈桥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5.436</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21.6</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双曲拱</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X502331022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海游-沙柳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珠游溪大桥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0.213</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199.04</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X502331022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海游-沙柳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寺后桥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2.858</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66</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X502331022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海游-沙柳</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沙柳桥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5.288</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105.04</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12.8</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新花桥桥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12.825</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下洋茅桥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13.866</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上洋桥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14.623</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22.4</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大岙桥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18.621</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下塘桥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18.833</w:t>
            </w:r>
          </w:p>
        </w:tc>
        <w:tc>
          <w:tcPr>
            <w:tcW w:w="10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塘边桥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19.127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五小柱小桥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19.379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梅岙桥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23.803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官塘桥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25.068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张司岙桥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27.35</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18</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官塘坑桥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27.533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12.7</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19</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小雄桥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28.92</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5.1</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20</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黄金坦-四岔</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横路塘桥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35.137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30.6</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21</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朱模桥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2.051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22</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赖岙桥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8.823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板拱</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王岐庄桥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18.094</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板拱</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桥头新桥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24.265</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未评定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白溪桥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24.931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29.23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亭旁-流水岩</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小横渡桥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34.246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7.1</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肋拱</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28</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石头岙桥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3.661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12.2</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29</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下路朱桥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4.755</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12.2</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12.7</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30</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前楼桥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5.671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97</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31</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上蒋大桥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10.303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10.5</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箱形梁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32</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下吴大桥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11.999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110</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10.5</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箱形梁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下梅桥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21.636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板拱</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X507331022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石岩-岭根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老爷潭桥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22.283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板拱</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X510331022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健跳-浬浦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5.8</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X510331022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健跳-浬浦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下七市桥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X510331022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健跳-浬浦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善塘桥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12.489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X510331022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健跳-浬浦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东浦桥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16.539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39</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王间堂-浬浦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丁三脚一桥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1.766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40</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王间堂-浬浦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丁三脚二桥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2.34</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8.1</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41</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王间堂-浬浦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3.301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6.8</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42</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王间堂-浬浦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于岙桥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8.827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王间堂-浬浦</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河江桥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10.923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5.7</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X512331022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关头-小雄</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关头桥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X512331022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关头-小雄</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关小线二桥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0.762</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X512331022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关头-小雄</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下沙塘桥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7.5</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后郭桥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0.233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48</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0.61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49</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下谢桥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2.503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62.9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50</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下谢二桥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2.956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51</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下洋桥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4.081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52</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吕岙桥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5.116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大坑桥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6.509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马湖-胡村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开元大桥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7.213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岩下徐-江根</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捉鳖坑桥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1.754</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28.3</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海游-晏站</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海游陡门桥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0.055</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X517331022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刘塘墩-大湾</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十八庄桥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1.797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整体现浇板</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58</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X519331022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大塘—草头</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市弄堂桥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0.287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59</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上坑桥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1.757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60</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下坑桥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3.077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6.1</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61</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谢家大桥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4.563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266.6</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62</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岭枫1#桥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6.681</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28.8</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岭枫2#桥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6.767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岭枫3#桥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7.498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岭枫4#桥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7.548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岭枫5#桥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黄埠突桥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8.277</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68</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X521331022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溪下—枫坑</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新港大桥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9.583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69</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蛇蟠岛-宁海县</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山后二桥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2.438</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70</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蛇蟠岛-宁海县</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山后一桥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3.725</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24.04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一类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71</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X523331022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蛇蟠岛-宁海县</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山岩头桥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9.513</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24.04</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72</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X913331022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桃渚-官塘</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西园塘桥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4.246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49</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73</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X924331022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小芝-花桥</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溪头桥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7.139</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空心板梁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二类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74</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X925331022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黄四线-桃峙高速口</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K0+236小桥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0.236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未评定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75</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X925331022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黄四线-桃峙高速口</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K1+336中桥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1.336</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未评定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76</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X925331022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黄四线-桃峙高速口</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洞港大桥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1.882</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未评定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77</w:t>
            </w:r>
          </w:p>
        </w:tc>
        <w:tc>
          <w:tcPr>
            <w:tcW w:w="121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X926331022</w:t>
            </w:r>
          </w:p>
        </w:tc>
        <w:tc>
          <w:tcPr>
            <w:tcW w:w="138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健跳高速连接线</w:t>
            </w:r>
          </w:p>
        </w:tc>
        <w:tc>
          <w:tcPr>
            <w:tcW w:w="1136"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健跳互通A匝道桥</w:t>
            </w:r>
          </w:p>
        </w:tc>
        <w:tc>
          <w:tcPr>
            <w:tcW w:w="777"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0.104</w:t>
            </w:r>
          </w:p>
        </w:tc>
        <w:tc>
          <w:tcPr>
            <w:tcW w:w="100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76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中桥</w:t>
            </w:r>
          </w:p>
        </w:tc>
        <w:tc>
          <w:tcPr>
            <w:tcW w:w="1095"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非收费</w:t>
            </w:r>
          </w:p>
        </w:tc>
        <w:tc>
          <w:tcPr>
            <w:tcW w:w="9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未评定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是</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3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u w:val="none"/>
              </w:rPr>
            </w:pPr>
            <w:r>
              <w:rPr>
                <w:rFonts w:hint="default" w:ascii="等线" w:hAnsi="等线" w:eastAsia="等线" w:cs="等线"/>
                <w:i w:val="0"/>
                <w:iCs w:val="0"/>
                <w:color w:val="auto"/>
                <w:kern w:val="0"/>
                <w:sz w:val="22"/>
                <w:szCs w:val="22"/>
                <w:u w:val="none"/>
                <w:lang w:val="en-US" w:eastAsia="zh-CN" w:bidi="ar"/>
              </w:rPr>
              <w:t>合计</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default" w:ascii="宋体" w:hAnsi="宋体" w:eastAsia="宋体" w:cs="宋体"/>
                <w:i w:val="0"/>
                <w:iCs w:val="0"/>
                <w:color w:val="auto"/>
                <w:kern w:val="0"/>
                <w:sz w:val="18"/>
                <w:szCs w:val="18"/>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bottom"/>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3088.06</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r>
    </w:tbl>
    <w:p>
      <w:pPr>
        <w:rPr>
          <w:color w:val="auto"/>
        </w:rPr>
      </w:pPr>
    </w:p>
    <w:sectPr>
      <w:pgSz w:w="16838" w:h="11906" w:orient="landscape"/>
      <w:pgMar w:top="1247" w:right="1361" w:bottom="1247"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3492884"/>
    <w:multiLevelType w:val="singleLevel"/>
    <w:tmpl w:val="C3492884"/>
    <w:lvl w:ilvl="0" w:tentative="0">
      <w:start w:val="5"/>
      <w:numFmt w:val="chineseCounting"/>
      <w:suff w:val="noth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5DFBE35"/>
    <w:multiLevelType w:val="singleLevel"/>
    <w:tmpl w:val="15DFBE35"/>
    <w:lvl w:ilvl="0" w:tentative="0">
      <w:start w:val="1"/>
      <w:numFmt w:val="decimal"/>
      <w:pStyle w:val="8"/>
      <w:lvlText w:val="%1."/>
      <w:lvlJc w:val="left"/>
      <w:pPr>
        <w:tabs>
          <w:tab w:val="left" w:pos="360"/>
        </w:tabs>
        <w:ind w:left="36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RmY2VhODgxM2QxZTY2YTQzNDc4M2NkYjI3NWE1Y2Q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E1DB7"/>
    <w:rsid w:val="006F47B4"/>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23A54FD"/>
    <w:rsid w:val="030352E4"/>
    <w:rsid w:val="03DB21CE"/>
    <w:rsid w:val="05366FCE"/>
    <w:rsid w:val="09252F05"/>
    <w:rsid w:val="0B034CD1"/>
    <w:rsid w:val="0E10156F"/>
    <w:rsid w:val="125139A5"/>
    <w:rsid w:val="16E2038F"/>
    <w:rsid w:val="16E259B6"/>
    <w:rsid w:val="19CA28B1"/>
    <w:rsid w:val="1DBA476F"/>
    <w:rsid w:val="1EEB725D"/>
    <w:rsid w:val="209836B0"/>
    <w:rsid w:val="21312FCC"/>
    <w:rsid w:val="21F16621"/>
    <w:rsid w:val="224426F2"/>
    <w:rsid w:val="36FA0D6A"/>
    <w:rsid w:val="386E6030"/>
    <w:rsid w:val="38AB067F"/>
    <w:rsid w:val="3D191372"/>
    <w:rsid w:val="3DB36D2E"/>
    <w:rsid w:val="3EBA306F"/>
    <w:rsid w:val="451C26BC"/>
    <w:rsid w:val="4A0D5CB7"/>
    <w:rsid w:val="4AD66A58"/>
    <w:rsid w:val="4D4A6FEB"/>
    <w:rsid w:val="4ED35FA5"/>
    <w:rsid w:val="4FA35A81"/>
    <w:rsid w:val="50622020"/>
    <w:rsid w:val="540F5C1F"/>
    <w:rsid w:val="58357B14"/>
    <w:rsid w:val="5AB5523D"/>
    <w:rsid w:val="5C5E1F0B"/>
    <w:rsid w:val="5E5C3E49"/>
    <w:rsid w:val="5E9A65D8"/>
    <w:rsid w:val="66F24FC4"/>
    <w:rsid w:val="672C29B4"/>
    <w:rsid w:val="6EC9754E"/>
    <w:rsid w:val="7206530E"/>
    <w:rsid w:val="744668F9"/>
    <w:rsid w:val="751133D9"/>
    <w:rsid w:val="75903033"/>
    <w:rsid w:val="7AF51995"/>
    <w:rsid w:val="7EC36888"/>
    <w:rsid w:val="7FF0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ahoma" w:hAnsi="Tahoma"/>
      <w:sz w:val="28"/>
    </w:rPr>
  </w:style>
  <w:style w:type="paragraph" w:styleId="3">
    <w:name w:val="toc 4"/>
    <w:basedOn w:val="1"/>
    <w:next w:val="1"/>
    <w:qFormat/>
    <w:uiPriority w:val="0"/>
    <w:pPr>
      <w:ind w:left="600" w:leftChars="600"/>
    </w:pPr>
  </w:style>
  <w:style w:type="paragraph" w:styleId="8">
    <w:name w:val="List Number"/>
    <w:basedOn w:val="1"/>
    <w:qFormat/>
    <w:uiPriority w:val="0"/>
    <w:pPr>
      <w:numPr>
        <w:ilvl w:val="0"/>
        <w:numId w:val="1"/>
      </w:numPr>
    </w:pPr>
    <w:rPr>
      <w:rFonts w:ascii="Times New Roman" w:hAnsi="Times New Roman"/>
    </w:rPr>
  </w:style>
  <w:style w:type="paragraph" w:styleId="9">
    <w:name w:val="annotation text"/>
    <w:link w:val="36"/>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Indent"/>
    <w:basedOn w:val="1"/>
    <w:link w:val="3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11">
    <w:name w:val="Plain Text"/>
    <w:basedOn w:val="1"/>
    <w:next w:val="12"/>
    <w:link w:val="32"/>
    <w:qFormat/>
    <w:uiPriority w:val="0"/>
    <w:rPr>
      <w:rFonts w:ascii="宋体" w:hAnsi="Courier New"/>
    </w:rPr>
  </w:style>
  <w:style w:type="paragraph" w:styleId="12">
    <w:name w:val="Date"/>
    <w:basedOn w:val="1"/>
    <w:next w:val="1"/>
    <w:link w:val="31"/>
    <w:unhideWhenUsed/>
    <w:qFormat/>
    <w:uiPriority w:val="0"/>
    <w:pPr>
      <w:ind w:left="100" w:leftChars="2500"/>
    </w:pPr>
  </w:style>
  <w:style w:type="paragraph" w:styleId="13">
    <w:name w:val="Body Text Indent 2"/>
    <w:basedOn w:val="1"/>
    <w:link w:val="34"/>
    <w:qFormat/>
    <w:uiPriority w:val="0"/>
    <w:pPr>
      <w:widowControl/>
      <w:spacing w:line="480" w:lineRule="atLeast"/>
      <w:ind w:firstLine="480"/>
    </w:pPr>
    <w:rPr>
      <w:rFonts w:ascii="宋体" w:hAnsi="Times New Roman"/>
      <w:sz w:val="24"/>
    </w:rPr>
  </w:style>
  <w:style w:type="paragraph" w:styleId="14">
    <w:name w:val="Balloon Text"/>
    <w:basedOn w:val="1"/>
    <w:link w:val="29"/>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2"/>
    <w:qFormat/>
    <w:uiPriority w:val="0"/>
    <w:pPr>
      <w:ind w:firstLine="420" w:firstLineChars="100"/>
    </w:pPr>
  </w:style>
  <w:style w:type="character" w:styleId="23">
    <w:name w:val="Hyperlink"/>
    <w:unhideWhenUsed/>
    <w:qFormat/>
    <w:uiPriority w:val="99"/>
    <w:rPr>
      <w:color w:val="0000FF"/>
      <w:u w:val="single"/>
    </w:rPr>
  </w:style>
  <w:style w:type="paragraph" w:customStyle="1" w:styleId="24">
    <w:name w:val="列出段落1"/>
    <w:basedOn w:val="1"/>
    <w:qFormat/>
    <w:uiPriority w:val="0"/>
    <w:pPr>
      <w:ind w:firstLine="420" w:firstLineChars="200"/>
    </w:pPr>
    <w:rPr>
      <w:szCs w:val="22"/>
    </w:rPr>
  </w:style>
  <w:style w:type="paragraph" w:customStyle="1" w:styleId="25">
    <w:name w:val="1"/>
    <w:basedOn w:val="1"/>
    <w:next w:val="11"/>
    <w:qFormat/>
    <w:uiPriority w:val="0"/>
    <w:rPr>
      <w:rFonts w:ascii="宋体" w:hAnsi="Courier New"/>
      <w:szCs w:val="20"/>
    </w:rPr>
  </w:style>
  <w:style w:type="paragraph" w:customStyle="1" w:styleId="26">
    <w:name w:val="列出段落2"/>
    <w:basedOn w:val="1"/>
    <w:qFormat/>
    <w:uiPriority w:val="0"/>
    <w:pPr>
      <w:ind w:firstLine="420" w:firstLineChars="200"/>
    </w:pPr>
    <w:rPr>
      <w:szCs w:val="22"/>
    </w:rPr>
  </w:style>
  <w:style w:type="character" w:customStyle="1" w:styleId="27">
    <w:name w:val="页眉 Char"/>
    <w:link w:val="16"/>
    <w:qFormat/>
    <w:uiPriority w:val="99"/>
    <w:rPr>
      <w:sz w:val="18"/>
      <w:szCs w:val="18"/>
    </w:rPr>
  </w:style>
  <w:style w:type="character" w:customStyle="1" w:styleId="28">
    <w:name w:val="页脚 Char"/>
    <w:link w:val="15"/>
    <w:qFormat/>
    <w:uiPriority w:val="99"/>
    <w:rPr>
      <w:sz w:val="18"/>
      <w:szCs w:val="18"/>
    </w:rPr>
  </w:style>
  <w:style w:type="character" w:customStyle="1" w:styleId="29">
    <w:name w:val="批注框文本 Char"/>
    <w:link w:val="14"/>
    <w:semiHidden/>
    <w:qFormat/>
    <w:uiPriority w:val="99"/>
    <w:rPr>
      <w:sz w:val="18"/>
      <w:szCs w:val="18"/>
    </w:rPr>
  </w:style>
  <w:style w:type="character" w:customStyle="1" w:styleId="30">
    <w:name w:val="标题 1 Char"/>
    <w:link w:val="4"/>
    <w:qFormat/>
    <w:uiPriority w:val="0"/>
    <w:rPr>
      <w:rFonts w:ascii="Calibri" w:hAnsi="Calibri" w:eastAsia="宋体" w:cs="Times New Roman"/>
      <w:b/>
      <w:bCs/>
      <w:kern w:val="44"/>
      <w:sz w:val="44"/>
      <w:szCs w:val="44"/>
    </w:rPr>
  </w:style>
  <w:style w:type="character" w:customStyle="1" w:styleId="31">
    <w:name w:val="日期 Char"/>
    <w:link w:val="12"/>
    <w:semiHidden/>
    <w:qFormat/>
    <w:uiPriority w:val="99"/>
    <w:rPr>
      <w:rFonts w:ascii="Calibri" w:hAnsi="Calibri" w:eastAsia="宋体" w:cs="Times New Roman"/>
      <w:szCs w:val="24"/>
    </w:rPr>
  </w:style>
  <w:style w:type="character" w:customStyle="1" w:styleId="32">
    <w:name w:val="纯文本 Char"/>
    <w:link w:val="11"/>
    <w:qFormat/>
    <w:uiPriority w:val="0"/>
    <w:rPr>
      <w:rFonts w:ascii="宋体" w:hAnsi="Courier New" w:eastAsia="宋体" w:cs="Times New Roman"/>
      <w:szCs w:val="24"/>
    </w:rPr>
  </w:style>
  <w:style w:type="character" w:customStyle="1" w:styleId="33">
    <w:name w:val="标题 3 Char"/>
    <w:link w:val="6"/>
    <w:semiHidden/>
    <w:qFormat/>
    <w:uiPriority w:val="9"/>
    <w:rPr>
      <w:rFonts w:ascii="Calibri" w:hAnsi="Calibri" w:eastAsia="宋体" w:cs="Times New Roman"/>
      <w:b/>
      <w:bCs/>
      <w:sz w:val="32"/>
      <w:szCs w:val="32"/>
    </w:rPr>
  </w:style>
  <w:style w:type="character" w:customStyle="1" w:styleId="34">
    <w:name w:val="正文文本缩进 2 Char"/>
    <w:link w:val="13"/>
    <w:qFormat/>
    <w:uiPriority w:val="0"/>
    <w:rPr>
      <w:rFonts w:ascii="宋体" w:hAnsi="Times New Roman" w:eastAsia="宋体" w:cs="Times New Roman"/>
      <w:sz w:val="24"/>
      <w:szCs w:val="24"/>
    </w:rPr>
  </w:style>
  <w:style w:type="character" w:customStyle="1" w:styleId="35">
    <w:name w:val="正文文本缩进 Char"/>
    <w:link w:val="10"/>
    <w:qFormat/>
    <w:uiPriority w:val="0"/>
    <w:rPr>
      <w:rFonts w:ascii="宋体" w:hAnsi="Times New Roman" w:eastAsia="宋体" w:cs="Times New Roman"/>
      <w:color w:val="000000"/>
      <w:kern w:val="0"/>
      <w:sz w:val="24"/>
      <w:szCs w:val="20"/>
    </w:rPr>
  </w:style>
  <w:style w:type="character" w:customStyle="1" w:styleId="36">
    <w:name w:val="批注文字 Char"/>
    <w:link w:val="9"/>
    <w:qFormat/>
    <w:uiPriority w:val="0"/>
    <w:rPr>
      <w:rFonts w:ascii="Times New Roman" w:hAnsi="Times New Roman" w:eastAsia="宋体" w:cs="Times New Roman"/>
      <w:szCs w:val="24"/>
    </w:rPr>
  </w:style>
  <w:style w:type="character" w:customStyle="1" w:styleId="37">
    <w:name w:val="标题 2 Char"/>
    <w:link w:val="5"/>
    <w:qFormat/>
    <w:uiPriority w:val="9"/>
    <w:rPr>
      <w:rFonts w:ascii="Cambria" w:hAnsi="Cambria" w:eastAsia="宋体" w:cs="黑体"/>
      <w:b/>
      <w:bCs/>
      <w:sz w:val="32"/>
      <w:szCs w:val="32"/>
    </w:rPr>
  </w:style>
  <w:style w:type="paragraph" w:customStyle="1" w:styleId="38">
    <w:name w:val="样式 标题 2 + Times New Roman 四号 非加粗 段前: 5 磅 段后: 0 磅 行距: 固定值 20..."/>
    <w:basedOn w:val="39"/>
    <w:qFormat/>
    <w:uiPriority w:val="0"/>
    <w:pPr>
      <w:spacing w:before="100" w:after="0" w:line="400" w:lineRule="exact"/>
    </w:pPr>
    <w:rPr>
      <w:rFonts w:ascii="Times New Roman" w:hAnsi="Times New Roman"/>
      <w:b w:val="0"/>
      <w:bCs w:val="0"/>
      <w:sz w:val="28"/>
      <w:szCs w:val="20"/>
    </w:rPr>
  </w:style>
  <w:style w:type="paragraph" w:customStyle="1" w:styleId="39">
    <w:name w:val="标题 2_0"/>
    <w:basedOn w:val="40"/>
    <w:next w:val="40"/>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character" w:customStyle="1" w:styleId="42">
    <w:name w:val="font4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19777</Words>
  <Characters>21836</Characters>
  <Lines>115</Lines>
  <Paragraphs>32</Paragraphs>
  <TotalTime>34</TotalTime>
  <ScaleCrop>false</ScaleCrop>
  <LinksUpToDate>false</LinksUpToDate>
  <CharactersWithSpaces>24288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噗嗤噗嗤饿</cp:lastModifiedBy>
  <cp:lastPrinted>2022-05-05T00:42:00Z</cp:lastPrinted>
  <dcterms:modified xsi:type="dcterms:W3CDTF">2023-08-10T01:42:14Z</dcterms:modified>
  <dc:title>2022年三门县“护渔”船舶租赁项目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F5C1FAF7BE704FB68823557C99D6592B</vt:lpwstr>
  </property>
</Properties>
</file>