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color w:val="auto"/>
        </w:rPr>
      </w:pPr>
    </w:p>
    <w:p>
      <w:pPr>
        <w:pStyle w:val="16"/>
        <w:jc w:val="center"/>
        <w:rPr>
          <w:rFonts w:hint="eastAsia" w:eastAsia="宋体"/>
          <w:color w:val="auto"/>
          <w:sz w:val="28"/>
          <w:lang w:eastAsia="zh-CN"/>
        </w:rPr>
      </w:pPr>
      <w:r>
        <w:rPr>
          <w:rFonts w:hint="eastAsia" w:ascii="宋体" w:hAnsi="宋体" w:eastAsia="宋体" w:cs="宋体"/>
          <w:b w:val="0"/>
          <w:color w:val="auto"/>
          <w:sz w:val="40"/>
          <w:szCs w:val="44"/>
          <w:lang w:eastAsia="zh-CN"/>
        </w:rPr>
        <w:t>2022年三门县高标准农田（含粮食功能区）管护提升项目（亭旁镇）</w:t>
      </w:r>
      <w:r>
        <w:rPr>
          <w:rFonts w:hint="eastAsia" w:ascii="华文中宋" w:hAnsi="华文中宋" w:eastAsia="华文中宋"/>
          <w:b w:val="0"/>
          <w:color w:val="auto"/>
          <w:sz w:val="40"/>
          <w:szCs w:val="44"/>
          <w:lang w:eastAsia="zh-CN"/>
        </w:rPr>
        <w:t xml:space="preserve">  </w:t>
      </w:r>
    </w:p>
    <w:p>
      <w:pPr>
        <w:pStyle w:val="16"/>
        <w:rPr>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1100" w:lineRule="exact"/>
        <w:jc w:val="center"/>
        <w:rPr>
          <w:rFonts w:hint="eastAsia" w:ascii="楷体_GB2312" w:hAnsi="宋体" w:eastAsia="楷体_GB2312"/>
          <w:b/>
          <w:bCs/>
          <w:color w:val="auto"/>
          <w:sz w:val="84"/>
        </w:rPr>
      </w:pPr>
      <w:r>
        <w:rPr>
          <w:rFonts w:hint="eastAsia" w:ascii="楷体_GB2312" w:hAnsi="宋体" w:eastAsia="楷体_GB2312"/>
          <w:b/>
          <w:bCs/>
          <w:color w:val="auto"/>
          <w:sz w:val="84"/>
        </w:rPr>
        <w:t>招 标 文 件</w:t>
      </w:r>
    </w:p>
    <w:p>
      <w:pPr>
        <w:pStyle w:val="3"/>
      </w:pPr>
    </w:p>
    <w:p>
      <w:pPr>
        <w:widowControl/>
        <w:shd w:val="clear" w:color="auto" w:fill="FFFFFF"/>
        <w:spacing w:before="100" w:beforeAutospacing="1" w:after="100" w:afterAutospacing="1" w:line="360" w:lineRule="auto"/>
        <w:ind w:firstLine="1954" w:firstLineChars="695"/>
        <w:rPr>
          <w:rFonts w:hint="eastAsia" w:ascii="宋体" w:hAnsi="宋体" w:cs="宋体"/>
          <w:b/>
          <w:bCs/>
          <w:sz w:val="28"/>
          <w:szCs w:val="28"/>
        </w:rPr>
      </w:pPr>
      <w:r>
        <w:rPr>
          <w:rFonts w:hint="eastAsia" w:ascii="宋体" w:hAnsi="宋体" w:cs="宋体"/>
          <w:b/>
          <w:bCs/>
          <w:sz w:val="28"/>
          <w:szCs w:val="28"/>
        </w:rPr>
        <w:t>备案登记号：</w:t>
      </w:r>
      <w:r>
        <w:rPr>
          <w:rFonts w:hint="eastAsia" w:ascii="宋体" w:hAnsi="宋体" w:cs="宋体"/>
          <w:b/>
          <w:bCs/>
          <w:sz w:val="30"/>
          <w:lang w:eastAsia="zh-CN"/>
        </w:rPr>
        <w:t>亿隆招备【202</w:t>
      </w:r>
      <w:r>
        <w:rPr>
          <w:rFonts w:hint="eastAsia" w:ascii="宋体" w:hAnsi="宋体" w:cs="宋体"/>
          <w:b/>
          <w:bCs/>
          <w:sz w:val="30"/>
          <w:lang w:val="en-US" w:eastAsia="zh-CN"/>
        </w:rPr>
        <w:t>2</w:t>
      </w:r>
      <w:r>
        <w:rPr>
          <w:rFonts w:hint="eastAsia" w:ascii="宋体" w:hAnsi="宋体" w:cs="宋体"/>
          <w:b/>
          <w:bCs/>
          <w:sz w:val="30"/>
          <w:lang w:eastAsia="zh-CN"/>
        </w:rPr>
        <w:t>】</w:t>
      </w:r>
      <w:r>
        <w:rPr>
          <w:rFonts w:hint="eastAsia" w:ascii="宋体" w:hAnsi="宋体" w:cs="宋体"/>
          <w:b/>
          <w:bCs/>
          <w:sz w:val="30"/>
          <w:lang w:val="en-US" w:eastAsia="zh-CN"/>
        </w:rPr>
        <w:t>034</w:t>
      </w:r>
      <w:r>
        <w:rPr>
          <w:rFonts w:hint="eastAsia" w:ascii="宋体" w:hAnsi="宋体" w:cs="宋体"/>
          <w:b/>
          <w:bCs/>
          <w:sz w:val="30"/>
          <w:lang w:eastAsia="zh-CN"/>
        </w:rPr>
        <w:t>号</w:t>
      </w:r>
    </w:p>
    <w:p>
      <w:pPr>
        <w:spacing w:beforeLines="100" w:line="440" w:lineRule="exact"/>
        <w:jc w:val="center"/>
        <w:rPr>
          <w:rFonts w:ascii="楷体_GB2312" w:hAnsi="宋体" w:eastAsia="楷体_GB2312"/>
          <w:b/>
          <w:bCs/>
          <w:color w:val="auto"/>
        </w:rPr>
      </w:pPr>
    </w:p>
    <w:p>
      <w:pPr>
        <w:spacing w:line="440" w:lineRule="exact"/>
        <w:ind w:left="1148"/>
        <w:rPr>
          <w:rFonts w:hint="eastAsia" w:ascii="宋体" w:hAnsi="宋体" w:eastAsia="宋体"/>
          <w:bCs/>
          <w:color w:val="auto"/>
          <w:sz w:val="30"/>
          <w:szCs w:val="30"/>
          <w:lang w:eastAsia="zh-CN"/>
        </w:rPr>
      </w:pPr>
      <w:r>
        <w:rPr>
          <w:rFonts w:hint="eastAsia" w:ascii="宋体" w:hAnsi="宋体" w:eastAsia="宋体"/>
          <w:color w:val="auto"/>
          <w:sz w:val="30"/>
          <w:szCs w:val="30"/>
          <w:lang w:val="en-US" w:eastAsia="zh-CN"/>
        </w:rPr>
        <w:t xml:space="preserve"> </w:t>
      </w:r>
    </w:p>
    <w:p>
      <w:pPr>
        <w:spacing w:line="440" w:lineRule="exact"/>
        <w:ind w:left="1148"/>
        <w:rPr>
          <w:rFonts w:ascii="宋体" w:hAnsi="宋体" w:eastAsia="宋体"/>
          <w:bCs/>
          <w:color w:val="auto"/>
          <w:sz w:val="28"/>
        </w:rPr>
      </w:pPr>
    </w:p>
    <w:p>
      <w:pPr>
        <w:spacing w:line="440" w:lineRule="exact"/>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tbl>
      <w:tblPr>
        <w:tblStyle w:val="18"/>
        <w:tblW w:w="0" w:type="auto"/>
        <w:jc w:val="center"/>
        <w:tblLayout w:type="fixed"/>
        <w:tblCellMar>
          <w:top w:w="0" w:type="dxa"/>
          <w:left w:w="108" w:type="dxa"/>
          <w:bottom w:w="0" w:type="dxa"/>
          <w:right w:w="108" w:type="dxa"/>
        </w:tblCellMar>
      </w:tblPr>
      <w:tblGrid>
        <w:gridCol w:w="1988"/>
        <w:gridCol w:w="257"/>
        <w:gridCol w:w="6632"/>
      </w:tblGrid>
      <w:tr>
        <w:tblPrEx>
          <w:tblCellMar>
            <w:top w:w="0" w:type="dxa"/>
            <w:left w:w="108" w:type="dxa"/>
            <w:bottom w:w="0" w:type="dxa"/>
            <w:right w:w="108" w:type="dxa"/>
          </w:tblCellMar>
        </w:tblPrEx>
        <w:trPr>
          <w:trHeight w:val="888" w:hRule="atLeast"/>
          <w:jc w:val="center"/>
        </w:trPr>
        <w:tc>
          <w:tcPr>
            <w:tcW w:w="1988" w:type="dxa"/>
            <w:noWrap w:val="0"/>
            <w:vAlign w:val="center"/>
          </w:tcPr>
          <w:p>
            <w:pPr>
              <w:adjustRightInd w:val="0"/>
              <w:snapToGrid w:val="0"/>
              <w:spacing w:line="440" w:lineRule="exact"/>
              <w:jc w:val="distribute"/>
              <w:rPr>
                <w:sz w:val="28"/>
                <w:szCs w:val="28"/>
              </w:rPr>
            </w:pPr>
            <w:r>
              <w:rPr>
                <w:sz w:val="28"/>
                <w:szCs w:val="28"/>
              </w:rPr>
              <w:t>招标人</w:t>
            </w:r>
          </w:p>
        </w:tc>
        <w:tc>
          <w:tcPr>
            <w:tcW w:w="257" w:type="dxa"/>
            <w:noWrap w:val="0"/>
            <w:vAlign w:val="center"/>
          </w:tcPr>
          <w:p>
            <w:pPr>
              <w:adjustRightInd w:val="0"/>
              <w:snapToGrid w:val="0"/>
              <w:spacing w:line="440" w:lineRule="exact"/>
              <w:jc w:val="distribute"/>
              <w:rPr>
                <w:sz w:val="28"/>
                <w:szCs w:val="28"/>
              </w:rPr>
            </w:pPr>
            <w:r>
              <w:rPr>
                <w:sz w:val="28"/>
                <w:szCs w:val="28"/>
              </w:rPr>
              <w:t>：</w:t>
            </w:r>
          </w:p>
        </w:tc>
        <w:tc>
          <w:tcPr>
            <w:tcW w:w="6632" w:type="dxa"/>
            <w:noWrap w:val="0"/>
            <w:vAlign w:val="center"/>
          </w:tcPr>
          <w:p>
            <w:pPr>
              <w:adjustRightInd w:val="0"/>
              <w:snapToGrid w:val="0"/>
              <w:spacing w:line="440" w:lineRule="exact"/>
              <w:jc w:val="distribute"/>
              <w:rPr>
                <w:rFonts w:hint="eastAsia"/>
                <w:color w:val="auto"/>
                <w:sz w:val="28"/>
                <w:szCs w:val="28"/>
              </w:rPr>
            </w:pPr>
            <w:r>
              <w:rPr>
                <w:rFonts w:hint="eastAsia" w:ascii="宋体" w:hAnsi="宋体"/>
                <w:color w:val="auto"/>
                <w:spacing w:val="46"/>
                <w:sz w:val="30"/>
                <w:szCs w:val="30"/>
                <w:lang w:eastAsia="zh-CN"/>
              </w:rPr>
              <w:t>三门县亭旁镇人民政府</w:t>
            </w:r>
          </w:p>
        </w:tc>
      </w:tr>
      <w:tr>
        <w:tblPrEx>
          <w:tblCellMar>
            <w:top w:w="0" w:type="dxa"/>
            <w:left w:w="108" w:type="dxa"/>
            <w:bottom w:w="0" w:type="dxa"/>
            <w:right w:w="108" w:type="dxa"/>
          </w:tblCellMar>
        </w:tblPrEx>
        <w:trPr>
          <w:trHeight w:val="888" w:hRule="atLeast"/>
          <w:jc w:val="center"/>
        </w:trPr>
        <w:tc>
          <w:tcPr>
            <w:tcW w:w="1988" w:type="dxa"/>
            <w:noWrap w:val="0"/>
            <w:vAlign w:val="center"/>
          </w:tcPr>
          <w:p>
            <w:pPr>
              <w:adjustRightInd w:val="0"/>
              <w:snapToGrid w:val="0"/>
              <w:spacing w:line="440" w:lineRule="exact"/>
              <w:jc w:val="distribute"/>
              <w:rPr>
                <w:sz w:val="28"/>
                <w:szCs w:val="28"/>
              </w:rPr>
            </w:pPr>
            <w:r>
              <w:rPr>
                <w:sz w:val="28"/>
                <w:szCs w:val="28"/>
              </w:rPr>
              <w:t>招标代理人</w:t>
            </w:r>
          </w:p>
        </w:tc>
        <w:tc>
          <w:tcPr>
            <w:tcW w:w="257" w:type="dxa"/>
            <w:noWrap w:val="0"/>
            <w:vAlign w:val="center"/>
          </w:tcPr>
          <w:p>
            <w:pPr>
              <w:adjustRightInd w:val="0"/>
              <w:snapToGrid w:val="0"/>
              <w:spacing w:line="440" w:lineRule="exact"/>
              <w:jc w:val="distribute"/>
              <w:rPr>
                <w:sz w:val="28"/>
                <w:szCs w:val="28"/>
              </w:rPr>
            </w:pPr>
            <w:r>
              <w:rPr>
                <w:sz w:val="28"/>
                <w:szCs w:val="28"/>
              </w:rPr>
              <w:t>：</w:t>
            </w:r>
          </w:p>
        </w:tc>
        <w:tc>
          <w:tcPr>
            <w:tcW w:w="6632" w:type="dxa"/>
            <w:noWrap w:val="0"/>
            <w:vAlign w:val="center"/>
          </w:tcPr>
          <w:p>
            <w:pPr>
              <w:adjustRightInd w:val="0"/>
              <w:snapToGrid w:val="0"/>
              <w:spacing w:line="440" w:lineRule="exact"/>
              <w:jc w:val="distribute"/>
              <w:rPr>
                <w:color w:val="auto"/>
                <w:sz w:val="28"/>
                <w:szCs w:val="28"/>
              </w:rPr>
            </w:pPr>
            <w:r>
              <w:rPr>
                <w:rFonts w:hint="eastAsia"/>
                <w:color w:val="auto"/>
                <w:sz w:val="28"/>
                <w:szCs w:val="28"/>
                <w:lang w:eastAsia="zh-CN"/>
              </w:rPr>
              <w:t>浙江亿隆工程咨询有限公司</w:t>
            </w:r>
            <w:r>
              <w:rPr>
                <w:color w:val="auto"/>
                <w:sz w:val="28"/>
                <w:szCs w:val="28"/>
              </w:rPr>
              <w:t xml:space="preserve"> </w:t>
            </w:r>
          </w:p>
        </w:tc>
      </w:tr>
      <w:tr>
        <w:tblPrEx>
          <w:tblCellMar>
            <w:top w:w="0" w:type="dxa"/>
            <w:left w:w="108" w:type="dxa"/>
            <w:bottom w:w="0" w:type="dxa"/>
            <w:right w:w="108" w:type="dxa"/>
          </w:tblCellMar>
        </w:tblPrEx>
        <w:trPr>
          <w:trHeight w:val="888" w:hRule="atLeast"/>
          <w:jc w:val="center"/>
        </w:trPr>
        <w:tc>
          <w:tcPr>
            <w:tcW w:w="1988" w:type="dxa"/>
            <w:noWrap w:val="0"/>
            <w:vAlign w:val="center"/>
          </w:tcPr>
          <w:p>
            <w:pPr>
              <w:snapToGrid w:val="0"/>
              <w:spacing w:line="440" w:lineRule="exact"/>
              <w:jc w:val="distribute"/>
              <w:rPr>
                <w:sz w:val="28"/>
                <w:szCs w:val="28"/>
              </w:rPr>
            </w:pPr>
            <w:r>
              <w:rPr>
                <w:sz w:val="28"/>
                <w:szCs w:val="28"/>
              </w:rPr>
              <w:t>招标监管机构</w:t>
            </w:r>
          </w:p>
        </w:tc>
        <w:tc>
          <w:tcPr>
            <w:tcW w:w="257" w:type="dxa"/>
            <w:noWrap w:val="0"/>
            <w:vAlign w:val="center"/>
          </w:tcPr>
          <w:p>
            <w:pPr>
              <w:snapToGrid w:val="0"/>
              <w:spacing w:line="440" w:lineRule="exact"/>
              <w:jc w:val="distribute"/>
              <w:rPr>
                <w:sz w:val="28"/>
                <w:szCs w:val="28"/>
              </w:rPr>
            </w:pPr>
            <w:r>
              <w:rPr>
                <w:sz w:val="28"/>
                <w:szCs w:val="28"/>
              </w:rPr>
              <w:t>：</w:t>
            </w:r>
          </w:p>
        </w:tc>
        <w:tc>
          <w:tcPr>
            <w:tcW w:w="6632" w:type="dxa"/>
            <w:noWrap w:val="0"/>
            <w:vAlign w:val="center"/>
          </w:tcPr>
          <w:p>
            <w:pPr>
              <w:adjustRightInd w:val="0"/>
              <w:snapToGrid w:val="0"/>
              <w:spacing w:line="440" w:lineRule="exact"/>
              <w:jc w:val="distribute"/>
              <w:rPr>
                <w:rFonts w:hint="eastAsia" w:eastAsia="宋体"/>
                <w:color w:val="auto"/>
                <w:sz w:val="28"/>
                <w:szCs w:val="28"/>
                <w:lang w:eastAsia="zh-CN"/>
              </w:rPr>
            </w:pPr>
            <w:r>
              <w:rPr>
                <w:rFonts w:hint="eastAsia"/>
                <w:color w:val="auto"/>
                <w:sz w:val="28"/>
                <w:szCs w:val="28"/>
                <w:lang w:eastAsia="zh-CN"/>
              </w:rPr>
              <w:t>三门县亭旁镇公共资源交易中心</w:t>
            </w:r>
          </w:p>
        </w:tc>
      </w:tr>
    </w:tbl>
    <w:p>
      <w:pPr>
        <w:spacing w:line="440" w:lineRule="exact"/>
        <w:jc w:val="both"/>
        <w:rPr>
          <w:rFonts w:ascii="宋体" w:hAnsi="宋体" w:eastAsia="宋体"/>
          <w:color w:val="auto"/>
          <w:sz w:val="30"/>
          <w:szCs w:val="30"/>
        </w:rPr>
      </w:pPr>
      <w:bookmarkStart w:id="0" w:name="OLE_LINK1"/>
      <w:r>
        <w:rPr>
          <w:rFonts w:hint="eastAsia"/>
          <w:color w:val="auto"/>
          <w:sz w:val="30"/>
          <w:szCs w:val="30"/>
        </w:rPr>
        <w:t xml:space="preserve"> </w:t>
      </w:r>
      <w:r>
        <w:rPr>
          <w:rFonts w:hint="eastAsia" w:ascii="宋体" w:hAnsi="宋体" w:eastAsia="宋体"/>
          <w:color w:val="auto"/>
          <w:sz w:val="30"/>
          <w:szCs w:val="30"/>
        </w:rPr>
        <w:t xml:space="preserve">  </w:t>
      </w:r>
    </w:p>
    <w:p>
      <w:pPr>
        <w:spacing w:line="440" w:lineRule="exact"/>
        <w:jc w:val="center"/>
        <w:rPr>
          <w:rFonts w:ascii="宋体" w:hAnsi="宋体" w:eastAsia="宋体"/>
          <w:color w:val="auto"/>
          <w:sz w:val="30"/>
          <w:szCs w:val="30"/>
        </w:rPr>
      </w:pPr>
      <w:r>
        <w:rPr>
          <w:rFonts w:hint="eastAsia" w:ascii="宋体" w:hAnsi="宋体" w:eastAsia="宋体"/>
          <w:color w:val="auto"/>
          <w:sz w:val="30"/>
          <w:szCs w:val="30"/>
        </w:rPr>
        <w:t xml:space="preserve">  二 ○ 二 </w:t>
      </w:r>
      <w:r>
        <w:rPr>
          <w:rFonts w:hint="eastAsia" w:ascii="宋体" w:hAnsi="宋体" w:eastAsia="宋体"/>
          <w:color w:val="auto"/>
          <w:sz w:val="30"/>
          <w:szCs w:val="30"/>
          <w:lang w:val="en-US" w:eastAsia="zh-CN"/>
        </w:rPr>
        <w:t>二</w:t>
      </w:r>
      <w:r>
        <w:rPr>
          <w:rFonts w:hint="eastAsia" w:ascii="宋体" w:hAnsi="宋体" w:eastAsia="宋体"/>
          <w:color w:val="auto"/>
          <w:sz w:val="30"/>
          <w:szCs w:val="30"/>
        </w:rPr>
        <w:t xml:space="preserve"> 年 </w:t>
      </w:r>
      <w:r>
        <w:rPr>
          <w:rFonts w:hint="eastAsia" w:ascii="宋体" w:hAnsi="宋体" w:eastAsia="宋体"/>
          <w:color w:val="auto"/>
          <w:sz w:val="30"/>
          <w:szCs w:val="30"/>
          <w:lang w:eastAsia="zh-CN"/>
        </w:rPr>
        <w:t>十一</w:t>
      </w:r>
      <w:r>
        <w:rPr>
          <w:rFonts w:hint="eastAsia" w:ascii="宋体" w:hAnsi="宋体" w:eastAsia="宋体"/>
          <w:color w:val="auto"/>
          <w:sz w:val="30"/>
          <w:szCs w:val="30"/>
        </w:rPr>
        <w:t xml:space="preserve"> 月</w:t>
      </w:r>
    </w:p>
    <w:bookmarkEnd w:id="0"/>
    <w:p>
      <w:pPr>
        <w:spacing w:line="1100" w:lineRule="exact"/>
        <w:jc w:val="center"/>
        <w:rPr>
          <w:b/>
          <w:bCs/>
          <w:sz w:val="44"/>
          <w:szCs w:val="20"/>
        </w:rPr>
      </w:pPr>
      <w:r>
        <w:rPr>
          <w:rFonts w:ascii="宋体" w:hAnsi="宋体" w:eastAsia="宋体"/>
          <w:b/>
          <w:bCs/>
          <w:color w:val="auto"/>
          <w:sz w:val="44"/>
        </w:rPr>
        <w:br w:type="page"/>
      </w:r>
      <w:bookmarkStart w:id="1" w:name="page4"/>
      <w:bookmarkEnd w:id="1"/>
      <w:r>
        <w:rPr>
          <w:b/>
          <w:bCs/>
          <w:sz w:val="44"/>
          <w:szCs w:val="20"/>
        </w:rPr>
        <w:t>三   门   县</w:t>
      </w:r>
    </w:p>
    <w:p>
      <w:pPr>
        <w:spacing w:line="1100" w:lineRule="exact"/>
        <w:jc w:val="center"/>
        <w:rPr>
          <w:b/>
          <w:bCs/>
          <w:spacing w:val="120"/>
          <w:sz w:val="44"/>
          <w:szCs w:val="20"/>
        </w:rPr>
      </w:pPr>
      <w:r>
        <w:rPr>
          <w:b/>
          <w:bCs/>
          <w:spacing w:val="120"/>
          <w:sz w:val="44"/>
          <w:szCs w:val="20"/>
        </w:rPr>
        <w:t>建设工程招标文件</w:t>
      </w:r>
    </w:p>
    <w:p>
      <w:pPr>
        <w:widowControl/>
        <w:shd w:val="clear" w:color="auto" w:fill="FFFFFF"/>
        <w:spacing w:before="100" w:beforeAutospacing="1" w:after="100" w:afterAutospacing="1" w:line="360" w:lineRule="auto"/>
        <w:ind w:firstLine="1954" w:firstLineChars="695"/>
        <w:rPr>
          <w:rFonts w:hint="eastAsia" w:ascii="宋体" w:hAnsi="宋体" w:cs="宋体"/>
          <w:b/>
          <w:bCs/>
          <w:sz w:val="28"/>
          <w:szCs w:val="28"/>
        </w:rPr>
      </w:pPr>
      <w:r>
        <w:rPr>
          <w:rFonts w:hint="eastAsia" w:ascii="宋体" w:hAnsi="宋体" w:cs="宋体"/>
          <w:b/>
          <w:bCs/>
          <w:sz w:val="28"/>
          <w:szCs w:val="28"/>
        </w:rPr>
        <w:t>备案登记号：</w:t>
      </w:r>
      <w:r>
        <w:rPr>
          <w:rFonts w:hint="eastAsia" w:ascii="宋体" w:hAnsi="宋体" w:cs="宋体"/>
          <w:b/>
          <w:bCs/>
          <w:sz w:val="30"/>
          <w:lang w:eastAsia="zh-CN"/>
        </w:rPr>
        <w:t>亿隆招备【202</w:t>
      </w:r>
      <w:r>
        <w:rPr>
          <w:rFonts w:hint="eastAsia" w:ascii="宋体" w:hAnsi="宋体" w:cs="宋体"/>
          <w:b/>
          <w:bCs/>
          <w:sz w:val="30"/>
          <w:lang w:val="en-US" w:eastAsia="zh-CN"/>
        </w:rPr>
        <w:t>2</w:t>
      </w:r>
      <w:r>
        <w:rPr>
          <w:rFonts w:hint="eastAsia" w:ascii="宋体" w:hAnsi="宋体" w:cs="宋体"/>
          <w:b/>
          <w:bCs/>
          <w:sz w:val="30"/>
          <w:lang w:eastAsia="zh-CN"/>
        </w:rPr>
        <w:t>】</w:t>
      </w:r>
      <w:r>
        <w:rPr>
          <w:rFonts w:hint="eastAsia" w:ascii="宋体" w:hAnsi="宋体" w:cs="宋体"/>
          <w:b/>
          <w:bCs/>
          <w:sz w:val="30"/>
          <w:lang w:val="en-US" w:eastAsia="zh-CN"/>
        </w:rPr>
        <w:t>034</w:t>
      </w:r>
      <w:r>
        <w:rPr>
          <w:rFonts w:hint="eastAsia" w:ascii="宋体" w:hAnsi="宋体" w:cs="宋体"/>
          <w:b/>
          <w:bCs/>
          <w:sz w:val="30"/>
          <w:lang w:eastAsia="zh-CN"/>
        </w:rPr>
        <w:t>号</w:t>
      </w:r>
    </w:p>
    <w:p>
      <w:pPr>
        <w:widowControl/>
        <w:shd w:val="clear" w:color="auto" w:fill="FFFFFF"/>
        <w:spacing w:before="100" w:beforeAutospacing="1" w:after="100" w:afterAutospacing="1" w:line="360" w:lineRule="auto"/>
        <w:ind w:firstLine="1954" w:firstLineChars="695"/>
        <w:rPr>
          <w:rFonts w:hint="eastAsia" w:ascii="宋体" w:hAnsi="宋体" w:cs="宋体"/>
          <w:b/>
          <w:bCs/>
          <w:sz w:val="28"/>
          <w:szCs w:val="28"/>
        </w:rPr>
      </w:pPr>
    </w:p>
    <w:p>
      <w:pPr>
        <w:widowControl/>
        <w:shd w:val="clear" w:color="auto" w:fill="FFFFFF"/>
        <w:spacing w:before="100" w:beforeAutospacing="1" w:after="100" w:afterAutospacing="1" w:line="360" w:lineRule="auto"/>
        <w:ind w:left="2247" w:hanging="2247" w:hangingChars="746"/>
        <w:rPr>
          <w:rFonts w:hint="eastAsia" w:eastAsia="宋体"/>
          <w:b/>
          <w:bCs/>
          <w:kern w:val="0"/>
          <w:sz w:val="32"/>
          <w:szCs w:val="58"/>
          <w:lang w:eastAsia="zh-CN"/>
        </w:rPr>
      </w:pPr>
      <w:r>
        <w:rPr>
          <w:rFonts w:hint="eastAsia" w:ascii="宋体" w:hAnsi="宋体" w:cs="宋体"/>
          <w:b/>
          <w:bCs/>
          <w:sz w:val="30"/>
          <w:szCs w:val="30"/>
        </w:rPr>
        <w:t xml:space="preserve">     项目名称：</w:t>
      </w:r>
      <w:r>
        <w:rPr>
          <w:rFonts w:hint="eastAsia" w:ascii="宋体" w:hAnsi="宋体" w:cs="宋体"/>
          <w:b/>
          <w:bCs/>
          <w:sz w:val="30"/>
          <w:szCs w:val="30"/>
          <w:lang w:eastAsia="zh-CN"/>
        </w:rPr>
        <w:t xml:space="preserve">2022年三门县高标准农田（含粮食功能区）管护提升项目（亭旁镇）  </w:t>
      </w:r>
    </w:p>
    <w:p>
      <w:pPr>
        <w:spacing w:line="640" w:lineRule="exact"/>
        <w:ind w:firstLine="904" w:firstLineChars="300"/>
        <w:rPr>
          <w:rFonts w:hint="eastAsia" w:ascii="宋体" w:hAnsi="宋体" w:cs="宋体"/>
          <w:b/>
          <w:bCs/>
          <w:sz w:val="30"/>
          <w:szCs w:val="30"/>
        </w:rPr>
      </w:pPr>
      <w:r>
        <w:rPr>
          <w:rFonts w:hint="eastAsia" w:ascii="宋体" w:hAnsi="宋体" w:eastAsia="宋体" w:cs="宋体"/>
          <w:b/>
          <w:bCs/>
          <w:color w:val="auto"/>
          <w:sz w:val="30"/>
          <w:szCs w:val="30"/>
        </w:rPr>
        <w:t>招 标 人</w:t>
      </w:r>
      <w:r>
        <w:rPr>
          <w:rFonts w:hint="eastAsia" w:ascii="宋体" w:hAnsi="宋体" w:cs="宋体"/>
          <w:b/>
          <w:bCs/>
          <w:sz w:val="30"/>
          <w:szCs w:val="30"/>
        </w:rPr>
        <w:t>：</w:t>
      </w:r>
      <w:r>
        <w:rPr>
          <w:rFonts w:hint="eastAsia" w:ascii="宋体" w:hAnsi="宋体" w:eastAsia="宋体" w:cs="宋体"/>
          <w:b/>
          <w:bCs/>
          <w:color w:val="auto"/>
          <w:sz w:val="30"/>
          <w:szCs w:val="30"/>
          <w:lang w:eastAsia="zh-CN"/>
        </w:rPr>
        <w:t>三门县亭旁镇人民政府（盖章）</w:t>
      </w:r>
      <w:r>
        <w:rPr>
          <w:rFonts w:hint="eastAsia" w:ascii="宋体" w:hAnsi="宋体" w:cs="宋体"/>
          <w:b/>
          <w:bCs/>
          <w:sz w:val="30"/>
          <w:szCs w:val="30"/>
        </w:rPr>
        <w:t xml:space="preserve">      </w:t>
      </w:r>
    </w:p>
    <w:p>
      <w:pPr>
        <w:spacing w:line="640" w:lineRule="exact"/>
        <w:ind w:firstLine="810" w:firstLineChars="269"/>
        <w:rPr>
          <w:rFonts w:hint="eastAsia" w:ascii="宋体" w:hAnsi="宋体" w:cs="宋体"/>
          <w:b/>
          <w:bCs/>
          <w:color w:val="auto"/>
          <w:sz w:val="30"/>
          <w:szCs w:val="30"/>
        </w:rPr>
      </w:pPr>
      <w:r>
        <w:rPr>
          <w:rFonts w:hint="eastAsia" w:ascii="宋体" w:hAnsi="宋体" w:cs="宋体"/>
          <w:b/>
          <w:bCs/>
          <w:color w:val="auto"/>
          <w:sz w:val="30"/>
          <w:szCs w:val="30"/>
        </w:rPr>
        <w:t>联 系 人：</w:t>
      </w:r>
      <w:r>
        <w:rPr>
          <w:rFonts w:hint="eastAsia" w:ascii="宋体" w:hAnsi="宋体" w:cs="宋体"/>
          <w:b/>
          <w:bCs/>
          <w:color w:val="auto"/>
          <w:sz w:val="30"/>
          <w:szCs w:val="30"/>
          <w:lang w:eastAsia="zh-CN"/>
        </w:rPr>
        <w:t>陈俊</w:t>
      </w:r>
    </w:p>
    <w:p>
      <w:pPr>
        <w:spacing w:line="640" w:lineRule="exact"/>
        <w:ind w:firstLine="810" w:firstLineChars="269"/>
        <w:rPr>
          <w:rFonts w:hint="eastAsia" w:ascii="宋体" w:hAnsi="宋体" w:cs="宋体"/>
          <w:b/>
          <w:bCs/>
          <w:color w:val="auto"/>
          <w:sz w:val="30"/>
          <w:szCs w:val="30"/>
        </w:rPr>
      </w:pPr>
      <w:r>
        <w:rPr>
          <w:rFonts w:hint="eastAsia" w:ascii="宋体" w:hAnsi="宋体" w:cs="宋体"/>
          <w:b/>
          <w:bCs/>
          <w:color w:val="auto"/>
          <w:sz w:val="30"/>
          <w:szCs w:val="30"/>
        </w:rPr>
        <w:t>联系电话：</w:t>
      </w:r>
      <w:r>
        <w:rPr>
          <w:rFonts w:hint="eastAsia" w:ascii="宋体" w:hAnsi="宋体" w:cs="宋体"/>
          <w:b/>
          <w:bCs/>
          <w:color w:val="auto"/>
          <w:sz w:val="30"/>
          <w:szCs w:val="30"/>
          <w:lang w:eastAsia="zh-CN"/>
        </w:rPr>
        <w:t>15957697286</w:t>
      </w:r>
    </w:p>
    <w:p>
      <w:pPr>
        <w:spacing w:line="640" w:lineRule="exact"/>
        <w:ind w:firstLine="810" w:firstLineChars="269"/>
        <w:rPr>
          <w:rFonts w:hint="eastAsia" w:ascii="宋体" w:hAnsi="宋体" w:cs="宋体"/>
          <w:b/>
          <w:bCs/>
          <w:sz w:val="30"/>
          <w:szCs w:val="30"/>
        </w:rPr>
      </w:pPr>
    </w:p>
    <w:p>
      <w:pPr>
        <w:spacing w:line="640" w:lineRule="exact"/>
        <w:ind w:firstLine="810" w:firstLineChars="269"/>
        <w:rPr>
          <w:rFonts w:hint="eastAsia" w:ascii="宋体" w:hAnsi="宋体" w:cs="宋体"/>
          <w:b/>
          <w:bCs/>
          <w:sz w:val="30"/>
          <w:szCs w:val="30"/>
        </w:rPr>
      </w:pPr>
    </w:p>
    <w:p>
      <w:pPr>
        <w:spacing w:line="640" w:lineRule="exact"/>
        <w:ind w:firstLine="810" w:firstLineChars="269"/>
        <w:rPr>
          <w:rFonts w:hint="eastAsia" w:ascii="宋体" w:hAnsi="宋体" w:cs="宋体"/>
          <w:b/>
          <w:bCs/>
          <w:sz w:val="30"/>
          <w:szCs w:val="30"/>
        </w:rPr>
      </w:pPr>
      <w:r>
        <w:rPr>
          <w:rFonts w:hint="eastAsia" w:ascii="宋体" w:hAnsi="宋体" w:cs="宋体"/>
          <w:b/>
          <w:bCs/>
          <w:sz w:val="30"/>
          <w:szCs w:val="30"/>
        </w:rPr>
        <w:t>招标代理人：</w:t>
      </w:r>
      <w:r>
        <w:rPr>
          <w:rFonts w:hint="eastAsia" w:ascii="宋体" w:hAnsi="宋体" w:cs="宋体"/>
          <w:b/>
          <w:bCs/>
          <w:sz w:val="30"/>
          <w:szCs w:val="30"/>
          <w:lang w:eastAsia="zh-CN"/>
        </w:rPr>
        <w:t>浙江亿隆工程咨询有限公司</w:t>
      </w:r>
      <w:r>
        <w:rPr>
          <w:rFonts w:hint="eastAsia" w:ascii="宋体" w:hAnsi="宋体" w:cs="宋体"/>
          <w:b/>
          <w:bCs/>
          <w:sz w:val="30"/>
          <w:szCs w:val="30"/>
        </w:rPr>
        <w:t>（盖章）</w:t>
      </w:r>
    </w:p>
    <w:p>
      <w:pPr>
        <w:spacing w:line="640" w:lineRule="exact"/>
        <w:ind w:firstLine="810" w:firstLineChars="269"/>
        <w:rPr>
          <w:rFonts w:hint="eastAsia" w:ascii="宋体" w:hAnsi="宋体" w:eastAsia="宋体" w:cs="宋体"/>
          <w:b/>
          <w:bCs/>
          <w:sz w:val="30"/>
          <w:szCs w:val="30"/>
          <w:lang w:eastAsia="zh-CN"/>
        </w:rPr>
      </w:pPr>
      <w:r>
        <w:rPr>
          <w:rFonts w:hint="eastAsia" w:ascii="宋体" w:hAnsi="宋体" w:cs="宋体"/>
          <w:b/>
          <w:bCs/>
          <w:sz w:val="30"/>
          <w:szCs w:val="30"/>
        </w:rPr>
        <w:t>联  系  人：</w:t>
      </w:r>
      <w:r>
        <w:rPr>
          <w:rFonts w:hint="eastAsia" w:ascii="宋体" w:hAnsi="宋体" w:cs="宋体"/>
          <w:b/>
          <w:bCs/>
          <w:sz w:val="30"/>
          <w:szCs w:val="30"/>
          <w:lang w:eastAsia="zh-CN"/>
        </w:rPr>
        <w:t>王英</w:t>
      </w:r>
    </w:p>
    <w:p>
      <w:pPr>
        <w:spacing w:line="500" w:lineRule="exact"/>
        <w:ind w:firstLine="818" w:firstLineChars="217"/>
        <w:rPr>
          <w:rFonts w:hint="eastAsia" w:ascii="宋体" w:hAnsi="宋体" w:eastAsia="宋体" w:cs="宋体"/>
          <w:b/>
          <w:bCs/>
          <w:sz w:val="30"/>
          <w:szCs w:val="30"/>
          <w:lang w:eastAsia="zh-CN"/>
        </w:rPr>
      </w:pPr>
      <w:r>
        <w:rPr>
          <w:rFonts w:hint="eastAsia" w:ascii="宋体" w:hAnsi="宋体" w:cs="宋体"/>
          <w:b/>
          <w:bCs/>
          <w:spacing w:val="38"/>
          <w:sz w:val="30"/>
          <w:szCs w:val="30"/>
        </w:rPr>
        <w:t>联系电话</w:t>
      </w:r>
      <w:r>
        <w:rPr>
          <w:rFonts w:hint="eastAsia" w:ascii="宋体" w:hAnsi="宋体" w:cs="宋体"/>
          <w:b/>
          <w:bCs/>
          <w:sz w:val="30"/>
          <w:szCs w:val="30"/>
        </w:rPr>
        <w:t>：</w:t>
      </w:r>
      <w:r>
        <w:rPr>
          <w:rFonts w:hint="eastAsia" w:ascii="宋体" w:hAnsi="宋体" w:cs="宋体"/>
          <w:b/>
          <w:bCs/>
          <w:sz w:val="30"/>
          <w:szCs w:val="30"/>
          <w:lang w:eastAsia="zh-CN"/>
        </w:rPr>
        <w:t>13867616663</w:t>
      </w:r>
    </w:p>
    <w:p>
      <w:pPr>
        <w:spacing w:line="500" w:lineRule="exact"/>
        <w:ind w:firstLine="810" w:firstLineChars="269"/>
        <w:rPr>
          <w:rFonts w:hint="eastAsia" w:ascii="宋体" w:hAnsi="宋体" w:cs="宋体"/>
          <w:b/>
          <w:bCs/>
          <w:sz w:val="30"/>
          <w:szCs w:val="30"/>
        </w:rPr>
      </w:pPr>
    </w:p>
    <w:p>
      <w:pPr>
        <w:spacing w:line="500" w:lineRule="exact"/>
        <w:ind w:firstLine="810" w:firstLineChars="269"/>
        <w:rPr>
          <w:rFonts w:hint="eastAsia" w:ascii="宋体" w:hAnsi="宋体" w:cs="宋体"/>
          <w:b/>
          <w:bCs/>
          <w:sz w:val="30"/>
          <w:szCs w:val="30"/>
        </w:rPr>
      </w:pPr>
    </w:p>
    <w:p>
      <w:pPr>
        <w:spacing w:line="500" w:lineRule="exact"/>
        <w:ind w:firstLine="810" w:firstLineChars="269"/>
        <w:rPr>
          <w:rFonts w:hint="eastAsia" w:ascii="宋体" w:hAnsi="宋体" w:cs="宋体"/>
          <w:b/>
          <w:bCs/>
          <w:sz w:val="30"/>
          <w:szCs w:val="30"/>
        </w:rPr>
      </w:pPr>
    </w:p>
    <w:p>
      <w:pPr>
        <w:spacing w:line="500" w:lineRule="exact"/>
        <w:ind w:firstLine="810" w:firstLineChars="269"/>
        <w:rPr>
          <w:rFonts w:hint="eastAsia" w:ascii="宋体" w:hAnsi="宋体" w:cs="宋体"/>
          <w:b/>
          <w:bCs/>
          <w:color w:val="0000FF"/>
          <w:sz w:val="30"/>
          <w:szCs w:val="30"/>
        </w:rPr>
      </w:pPr>
      <w:r>
        <w:rPr>
          <w:rFonts w:ascii="宋体" w:hAnsi="宋体" w:cs="宋体"/>
          <w:b/>
          <w:bCs/>
          <w:sz w:val="30"/>
          <w:szCs w:val="30"/>
        </w:rPr>
        <w:t>招标监管机构</w:t>
      </w:r>
      <w:r>
        <w:rPr>
          <w:rFonts w:hint="eastAsia" w:ascii="宋体" w:hAnsi="宋体" w:cs="宋体"/>
          <w:b/>
          <w:bCs/>
          <w:sz w:val="30"/>
          <w:szCs w:val="30"/>
        </w:rPr>
        <w:t>：</w:t>
      </w:r>
      <w:r>
        <w:rPr>
          <w:rFonts w:hint="eastAsia" w:ascii="宋体" w:hAnsi="宋体" w:cs="宋体"/>
          <w:b/>
          <w:bCs/>
          <w:color w:val="auto"/>
          <w:sz w:val="30"/>
          <w:szCs w:val="30"/>
          <w:lang w:eastAsia="zh-CN"/>
        </w:rPr>
        <w:t>三门县亭旁镇公共资源交易中心</w:t>
      </w:r>
      <w:r>
        <w:rPr>
          <w:rFonts w:hint="eastAsia" w:ascii="宋体" w:hAnsi="宋体" w:cs="宋体"/>
          <w:b/>
          <w:bCs/>
          <w:color w:val="auto"/>
          <w:sz w:val="30"/>
          <w:szCs w:val="30"/>
        </w:rPr>
        <w:t>（盖章）</w:t>
      </w:r>
    </w:p>
    <w:p>
      <w:pPr>
        <w:spacing w:line="500" w:lineRule="exact"/>
        <w:ind w:firstLine="810" w:firstLineChars="269"/>
        <w:rPr>
          <w:rFonts w:hint="eastAsia" w:ascii="宋体" w:hAnsi="宋体" w:cs="宋体"/>
          <w:b/>
          <w:bCs/>
          <w:sz w:val="30"/>
          <w:szCs w:val="30"/>
        </w:rPr>
      </w:pPr>
    </w:p>
    <w:p>
      <w:pPr>
        <w:jc w:val="center"/>
        <w:rPr>
          <w:rFonts w:hint="eastAsia" w:ascii="宋体" w:hAnsi="宋体" w:cs="宋体"/>
          <w:b/>
          <w:bCs/>
          <w:sz w:val="32"/>
          <w:szCs w:val="20"/>
          <w:lang w:eastAsia="zh-CN"/>
        </w:rPr>
      </w:pPr>
      <w:r>
        <w:rPr>
          <w:rFonts w:hint="eastAsia" w:ascii="宋体" w:hAnsi="宋体" w:cs="宋体"/>
          <w:b/>
          <w:bCs/>
          <w:sz w:val="32"/>
          <w:szCs w:val="20"/>
          <w:lang w:eastAsia="zh-CN"/>
        </w:rPr>
        <w:t>二 〇 二</w:t>
      </w:r>
      <w:r>
        <w:rPr>
          <w:rFonts w:hint="eastAsia" w:ascii="宋体" w:hAnsi="宋体" w:cs="宋体"/>
          <w:b/>
          <w:bCs/>
          <w:sz w:val="32"/>
          <w:szCs w:val="20"/>
          <w:lang w:val="en-US" w:eastAsia="zh-CN"/>
        </w:rPr>
        <w:t xml:space="preserve"> 二</w:t>
      </w:r>
      <w:r>
        <w:rPr>
          <w:rFonts w:hint="eastAsia" w:ascii="宋体" w:hAnsi="宋体" w:cs="宋体"/>
          <w:b/>
          <w:bCs/>
          <w:sz w:val="32"/>
          <w:szCs w:val="20"/>
          <w:lang w:eastAsia="zh-CN"/>
        </w:rPr>
        <w:t xml:space="preserve"> 年 十 一月</w:t>
      </w:r>
    </w:p>
    <w:p>
      <w:pPr>
        <w:jc w:val="center"/>
        <w:rPr>
          <w:rFonts w:hint="eastAsia" w:ascii="华文中宋" w:hAnsi="华文中宋" w:eastAsia="华文中宋"/>
          <w:color w:val="auto"/>
          <w:sz w:val="44"/>
          <w:szCs w:val="44"/>
        </w:rPr>
      </w:pPr>
    </w:p>
    <w:p>
      <w:pPr>
        <w:jc w:val="center"/>
        <w:rPr>
          <w:rFonts w:hint="eastAsia" w:ascii="华文中宋" w:hAnsi="华文中宋" w:eastAsia="华文中宋"/>
          <w:color w:val="auto"/>
          <w:sz w:val="44"/>
          <w:szCs w:val="44"/>
        </w:rPr>
      </w:pPr>
    </w:p>
    <w:p>
      <w:pPr>
        <w:jc w:val="center"/>
        <w:rPr>
          <w:rFonts w:ascii="华文中宋" w:hAnsi="华文中宋" w:eastAsia="华文中宋"/>
          <w:color w:val="auto"/>
          <w:sz w:val="44"/>
          <w:szCs w:val="44"/>
        </w:rPr>
      </w:pPr>
      <w:r>
        <w:rPr>
          <w:rFonts w:hint="eastAsia" w:ascii="华文中宋" w:hAnsi="华文中宋" w:eastAsia="华文中宋"/>
          <w:color w:val="auto"/>
          <w:sz w:val="44"/>
          <w:szCs w:val="44"/>
        </w:rPr>
        <w:t>目  录</w:t>
      </w:r>
    </w:p>
    <w:p>
      <w:pPr>
        <w:jc w:val="center"/>
        <w:rPr>
          <w:rFonts w:ascii="华文中宋" w:hAnsi="华文中宋" w:eastAsia="华文中宋"/>
          <w:color w:val="auto"/>
          <w:sz w:val="44"/>
          <w:szCs w:val="44"/>
        </w:rPr>
      </w:pPr>
    </w:p>
    <w:p>
      <w:pPr>
        <w:spacing w:line="400" w:lineRule="exact"/>
        <w:rPr>
          <w:rFonts w:ascii="宋体" w:hAnsi="宋体" w:eastAsia="宋体"/>
          <w:color w:val="auto"/>
          <w:sz w:val="24"/>
          <w:szCs w:val="24"/>
        </w:rPr>
      </w:pPr>
      <w:r>
        <w:rPr>
          <w:rFonts w:hint="eastAsia" w:ascii="宋体" w:hAnsi="宋体" w:eastAsia="宋体"/>
          <w:b/>
          <w:color w:val="auto"/>
          <w:sz w:val="24"/>
          <w:szCs w:val="24"/>
        </w:rPr>
        <w:t>第一章  招标公告</w:t>
      </w:r>
      <w:r>
        <w:rPr>
          <w:rFonts w:hint="eastAsia" w:ascii="宋体" w:hAnsi="宋体" w:eastAsia="宋体"/>
          <w:color w:val="auto"/>
          <w:sz w:val="24"/>
          <w:szCs w:val="24"/>
        </w:rPr>
        <w:t>…………………………………………………………………………… 1</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招标公告………………………………………………………………………………………2</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第二章 投标须知</w:t>
      </w:r>
      <w:r>
        <w:rPr>
          <w:rFonts w:hint="eastAsia" w:ascii="宋体" w:hAnsi="宋体" w:eastAsia="宋体"/>
          <w:color w:val="auto"/>
          <w:sz w:val="24"/>
          <w:szCs w:val="24"/>
        </w:rPr>
        <w:t>………………………………………………………………………………3</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投标须知前附表………………………………………………………………………………4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第一节 总 则…………………………………………………………………………………6</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第二节 招标文件…………………………………………………………………………… 6</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第三节 投标文件的编制…………………………………………………………………… 7</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第四节 投标文件的递交…………………………………………………………………… 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第五节 开  标……………………………………………………………………………… 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第六节 评  标………………………………………………………………………………10</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第七节 授予合同……………………………………………………………………………12</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第三章 合同条款</w:t>
      </w:r>
      <w:r>
        <w:rPr>
          <w:rFonts w:hint="eastAsia" w:ascii="宋体" w:hAnsi="宋体" w:eastAsia="宋体"/>
          <w:color w:val="auto"/>
          <w:sz w:val="24"/>
          <w:szCs w:val="24"/>
        </w:rPr>
        <w:t>…………………………………………………………………………… 14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第一部分 通用条款………………………………………………………………………  14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第二部分 专用合同条款…………………………………………………………………  15</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第三部分 合同附件格式……………………………………………………………………24</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第四章  投标文件格式</w:t>
      </w:r>
      <w:r>
        <w:rPr>
          <w:rFonts w:hint="eastAsia" w:ascii="宋体" w:hAnsi="宋体" w:eastAsia="宋体"/>
          <w:color w:val="auto"/>
          <w:sz w:val="24"/>
          <w:szCs w:val="24"/>
        </w:rPr>
        <w:t>………………………………………………………………………29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附件一：………………………………………………………………………………………30</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附件二：………………………………………………………………………………………31</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附件三：………………………………………………………………………………………32</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附件四：………………………………………………………………………………………33</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附件五：………………………………………………………………………………………34</w:t>
      </w:r>
    </w:p>
    <w:p>
      <w:pPr>
        <w:spacing w:line="400" w:lineRule="exact"/>
        <w:rPr>
          <w:rFonts w:ascii="华文中宋" w:hAnsi="华文中宋" w:eastAsia="华文中宋" w:cs="宋体"/>
          <w:bCs/>
          <w:color w:val="auto"/>
          <w:sz w:val="44"/>
        </w:rPr>
        <w:sectPr>
          <w:footerReference r:id="rId3" w:type="first"/>
          <w:footnotePr>
            <w:numRestart w:val="eachPage"/>
          </w:footnotePr>
          <w:endnotePr>
            <w:numRestart w:val="eachSect"/>
          </w:endnotePr>
          <w:pgSz w:w="11907" w:h="16840"/>
          <w:pgMar w:top="1247" w:right="1361" w:bottom="1247" w:left="1361" w:header="851" w:footer="824" w:gutter="0"/>
          <w:pgNumType w:start="1"/>
          <w:cols w:space="720" w:num="1"/>
          <w:titlePg/>
          <w:docGrid w:linePitch="435" w:charSpace="-6554"/>
        </w:sectPr>
      </w:pPr>
      <w:r>
        <w:rPr>
          <w:rFonts w:hint="eastAsia" w:ascii="宋体" w:hAnsi="宋体" w:eastAsia="宋体"/>
          <w:color w:val="auto"/>
          <w:sz w:val="24"/>
          <w:szCs w:val="24"/>
        </w:rPr>
        <w:t xml:space="preserve"> 附件六：………………………………………………………………………………………35</w:t>
      </w:r>
    </w:p>
    <w:p>
      <w:pPr>
        <w:rPr>
          <w:color w:val="auto"/>
        </w:rPr>
      </w:pPr>
    </w:p>
    <w:p>
      <w:pPr>
        <w:spacing w:line="380" w:lineRule="exact"/>
        <w:jc w:val="center"/>
        <w:rPr>
          <w:rFonts w:hint="eastAsia"/>
          <w:b/>
          <w:color w:val="auto"/>
          <w:sz w:val="32"/>
          <w:szCs w:val="32"/>
          <w:lang w:eastAsia="zh-CN"/>
        </w:rPr>
      </w:pPr>
      <w:r>
        <w:rPr>
          <w:rFonts w:hint="eastAsia"/>
          <w:b/>
          <w:color w:val="auto"/>
          <w:sz w:val="28"/>
          <w:szCs w:val="28"/>
          <w:lang w:eastAsia="zh-CN"/>
        </w:rPr>
        <w:t xml:space="preserve">2022年三门县高标准农田（含粮食功能区）管护提升项目（亭旁镇） </w:t>
      </w:r>
      <w:r>
        <w:rPr>
          <w:rFonts w:hint="eastAsia"/>
          <w:b/>
          <w:color w:val="auto"/>
          <w:sz w:val="32"/>
          <w:szCs w:val="32"/>
          <w:lang w:eastAsia="zh-CN"/>
        </w:rPr>
        <w:t xml:space="preserve"> </w:t>
      </w:r>
    </w:p>
    <w:p>
      <w:pPr>
        <w:pStyle w:val="8"/>
        <w:jc w:val="center"/>
        <w:rPr>
          <w:rFonts w:hint="eastAsia"/>
          <w:b/>
          <w:color w:val="auto"/>
          <w:sz w:val="30"/>
          <w:szCs w:val="30"/>
          <w:lang w:eastAsia="zh-CN"/>
        </w:rPr>
      </w:pPr>
      <w:r>
        <w:rPr>
          <w:rFonts w:hint="eastAsia"/>
          <w:b/>
          <w:color w:val="auto"/>
          <w:sz w:val="30"/>
          <w:szCs w:val="30"/>
          <w:lang w:eastAsia="zh-CN"/>
        </w:rPr>
        <w:t>招标公告</w:t>
      </w:r>
    </w:p>
    <w:p>
      <w:pPr>
        <w:keepNext w:val="0"/>
        <w:keepLines w:val="0"/>
        <w:pageBreakBefore w:val="0"/>
        <w:kinsoku/>
        <w:wordWrap/>
        <w:overflowPunct/>
        <w:topLinePunct w:val="0"/>
        <w:autoSpaceDE/>
        <w:autoSpaceDN/>
        <w:bidi w:val="0"/>
        <w:adjustRightInd/>
        <w:snapToGrid/>
        <w:spacing w:before="120" w:after="120" w:line="400" w:lineRule="exact"/>
        <w:ind w:left="-112" w:leftChars="-56" w:right="-96" w:rightChars="-48"/>
        <w:textAlignment w:val="auto"/>
        <w:rPr>
          <w:rFonts w:hint="eastAsia" w:ascii="黑体" w:hAnsi="宋体" w:eastAsia="黑体" w:cs="宋体"/>
          <w:b/>
          <w:bCs/>
          <w:color w:val="auto"/>
          <w:sz w:val="24"/>
          <w:szCs w:val="24"/>
        </w:rPr>
      </w:pPr>
      <w:r>
        <w:rPr>
          <w:rFonts w:hint="eastAsia" w:ascii="黑体" w:hAnsi="宋体" w:eastAsia="黑体" w:cs="宋体"/>
          <w:b/>
          <w:bCs/>
          <w:color w:val="auto"/>
          <w:sz w:val="24"/>
          <w:szCs w:val="24"/>
        </w:rPr>
        <w:t>1、招标条件</w:t>
      </w:r>
    </w:p>
    <w:p>
      <w:pPr>
        <w:keepNext w:val="0"/>
        <w:keepLines w:val="0"/>
        <w:pageBreakBefore w:val="0"/>
        <w:widowControl/>
        <w:kinsoku/>
        <w:wordWrap/>
        <w:overflowPunct/>
        <w:topLinePunct w:val="0"/>
        <w:autoSpaceDE/>
        <w:autoSpaceDN/>
        <w:bidi w:val="0"/>
        <w:adjustRightInd/>
        <w:snapToGrid/>
        <w:spacing w:line="400" w:lineRule="exact"/>
        <w:ind w:left="-112" w:leftChars="-56" w:right="-96" w:rightChars="-48" w:firstLine="420"/>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4"/>
          <w:szCs w:val="24"/>
        </w:rPr>
        <w:t>本招标项目</w:t>
      </w:r>
      <w:r>
        <w:rPr>
          <w:rFonts w:hint="eastAsia" w:ascii="宋体" w:hAnsi="宋体" w:eastAsia="宋体" w:cs="宋体"/>
          <w:color w:val="auto"/>
          <w:kern w:val="0"/>
          <w:sz w:val="24"/>
          <w:szCs w:val="24"/>
          <w:u w:val="single"/>
          <w:lang w:eastAsia="zh-CN"/>
        </w:rPr>
        <w:t>2022年三门县高标准农田（含粮食功能区）管护提升项目（亭旁镇）</w:t>
      </w:r>
      <w:r>
        <w:rPr>
          <w:rFonts w:hint="eastAsia" w:ascii="宋体" w:hAnsi="宋体" w:eastAsia="宋体" w:cs="宋体"/>
          <w:color w:val="auto"/>
          <w:kern w:val="0"/>
          <w:sz w:val="24"/>
          <w:szCs w:val="24"/>
          <w:u w:val="single"/>
        </w:rPr>
        <w:t xml:space="preserve"> </w:t>
      </w:r>
      <w:r>
        <w:rPr>
          <w:rFonts w:hint="eastAsia" w:ascii="宋体" w:hAnsi="宋体" w:eastAsia="宋体" w:cs="宋体"/>
          <w:color w:val="000000"/>
          <w:kern w:val="0"/>
          <w:sz w:val="24"/>
          <w:szCs w:val="24"/>
        </w:rPr>
        <w:t>，建设</w:t>
      </w:r>
      <w:r>
        <w:rPr>
          <w:rFonts w:hint="eastAsia" w:ascii="宋体" w:hAnsi="宋体" w:eastAsia="宋体" w:cs="宋体"/>
          <w:color w:val="auto"/>
          <w:kern w:val="0"/>
          <w:sz w:val="24"/>
          <w:szCs w:val="24"/>
        </w:rPr>
        <w:t>资金来自于</w:t>
      </w:r>
      <w:r>
        <w:rPr>
          <w:rFonts w:hint="eastAsia" w:ascii="宋体" w:hAnsi="宋体" w:eastAsia="宋体" w:cs="宋体"/>
          <w:color w:val="auto"/>
          <w:kern w:val="0"/>
          <w:sz w:val="24"/>
          <w:szCs w:val="24"/>
          <w:u w:val="single"/>
          <w:lang w:eastAsia="zh-CN"/>
        </w:rPr>
        <w:t>上级补助</w:t>
      </w:r>
      <w:r>
        <w:rPr>
          <w:rFonts w:hint="eastAsia" w:ascii="宋体" w:hAnsi="宋体" w:eastAsia="宋体" w:cs="宋体"/>
          <w:color w:val="auto"/>
          <w:kern w:val="0"/>
          <w:sz w:val="24"/>
          <w:szCs w:val="24"/>
        </w:rPr>
        <w:t>，招标人为</w:t>
      </w:r>
      <w:r>
        <w:rPr>
          <w:rFonts w:hint="eastAsia" w:ascii="宋体" w:hAnsi="宋体" w:eastAsia="宋体" w:cs="宋体"/>
          <w:color w:val="auto"/>
          <w:kern w:val="0"/>
          <w:sz w:val="24"/>
          <w:szCs w:val="24"/>
          <w:u w:val="single"/>
          <w:lang w:eastAsia="zh-CN"/>
        </w:rPr>
        <w:t>三门县亭旁镇人民政府</w:t>
      </w:r>
      <w:r>
        <w:rPr>
          <w:rFonts w:hint="eastAsia" w:ascii="宋体" w:hAnsi="宋体" w:eastAsia="宋体" w:cs="宋体"/>
          <w:color w:val="auto"/>
          <w:kern w:val="0"/>
          <w:sz w:val="24"/>
          <w:szCs w:val="24"/>
        </w:rPr>
        <w:t>，招标代理机构为</w:t>
      </w:r>
      <w:r>
        <w:rPr>
          <w:rFonts w:hint="eastAsia" w:ascii="宋体" w:hAnsi="宋体" w:eastAsia="宋体" w:cs="宋体"/>
          <w:color w:val="auto"/>
          <w:kern w:val="0"/>
          <w:sz w:val="24"/>
          <w:szCs w:val="24"/>
          <w:u w:val="single"/>
        </w:rPr>
        <w:t>浙江亿隆工程咨询有</w:t>
      </w:r>
      <w:r>
        <w:rPr>
          <w:rFonts w:hint="eastAsia" w:ascii="宋体" w:hAnsi="宋体" w:eastAsia="宋体" w:cs="宋体"/>
          <w:color w:val="000000"/>
          <w:kern w:val="0"/>
          <w:sz w:val="24"/>
          <w:szCs w:val="24"/>
          <w:u w:val="single"/>
        </w:rPr>
        <w:t>限公司</w:t>
      </w:r>
      <w:r>
        <w:rPr>
          <w:rFonts w:hint="eastAsia" w:ascii="宋体" w:hAnsi="宋体" w:eastAsia="宋体" w:cs="宋体"/>
          <w:color w:val="000000"/>
          <w:kern w:val="0"/>
          <w:sz w:val="24"/>
          <w:szCs w:val="24"/>
        </w:rPr>
        <w:t>。项目已具备招标条件，现对该项目的施工进行公开招标。</w:t>
      </w:r>
    </w:p>
    <w:p>
      <w:pPr>
        <w:keepNext w:val="0"/>
        <w:keepLines w:val="0"/>
        <w:pageBreakBefore w:val="0"/>
        <w:kinsoku/>
        <w:wordWrap/>
        <w:overflowPunct/>
        <w:topLinePunct w:val="0"/>
        <w:autoSpaceDE/>
        <w:autoSpaceDN/>
        <w:bidi w:val="0"/>
        <w:adjustRightInd/>
        <w:snapToGrid/>
        <w:spacing w:before="120" w:after="120" w:line="400" w:lineRule="exact"/>
        <w:ind w:left="-112" w:leftChars="-56" w:right="-96" w:rightChars="-48"/>
        <w:textAlignment w:val="auto"/>
        <w:rPr>
          <w:rFonts w:hint="eastAsia" w:ascii="黑体" w:hAnsi="宋体" w:eastAsia="黑体" w:cs="宋体"/>
          <w:b/>
          <w:bCs/>
          <w:color w:val="auto"/>
          <w:sz w:val="24"/>
          <w:szCs w:val="24"/>
        </w:rPr>
      </w:pPr>
      <w:r>
        <w:rPr>
          <w:rFonts w:hint="eastAsia" w:ascii="黑体" w:hAnsi="宋体" w:eastAsia="黑体" w:cs="宋体"/>
          <w:b/>
          <w:bCs/>
          <w:color w:val="auto"/>
          <w:sz w:val="24"/>
          <w:szCs w:val="24"/>
        </w:rPr>
        <w:t>2、项目概况与招标范围</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u w:val="single"/>
        </w:rPr>
      </w:pPr>
      <w:r>
        <w:rPr>
          <w:rFonts w:hint="eastAsia" w:ascii="宋体" w:hAnsi="宋体" w:eastAsia="宋体" w:cs="宋体"/>
          <w:color w:val="000000"/>
          <w:kern w:val="0"/>
          <w:sz w:val="24"/>
          <w:szCs w:val="24"/>
        </w:rPr>
        <w:t>项目概况：</w:t>
      </w:r>
      <w:bookmarkStart w:id="2" w:name="OLE_LINK7"/>
      <w:r>
        <w:rPr>
          <w:rFonts w:hint="eastAsia" w:ascii="宋体" w:hAnsi="宋体" w:eastAsia="宋体" w:cs="宋体"/>
          <w:color w:val="auto"/>
          <w:kern w:val="0"/>
          <w:sz w:val="24"/>
          <w:szCs w:val="24"/>
          <w:u w:val="single"/>
          <w:lang w:eastAsia="zh-CN"/>
        </w:rPr>
        <w:t>2022年三门县高标准农田（含粮食功能区）管护提升项目</w:t>
      </w:r>
      <w:bookmarkEnd w:id="2"/>
      <w:r>
        <w:rPr>
          <w:rFonts w:hint="eastAsia" w:ascii="宋体" w:hAnsi="宋体" w:eastAsia="宋体" w:cs="宋体"/>
          <w:color w:val="auto"/>
          <w:kern w:val="0"/>
          <w:sz w:val="24"/>
          <w:szCs w:val="24"/>
          <w:u w:val="single"/>
          <w:lang w:eastAsia="zh-CN"/>
        </w:rPr>
        <w:t>，项目位于亭旁镇</w:t>
      </w:r>
      <w:r>
        <w:rPr>
          <w:rFonts w:hint="eastAsia" w:ascii="宋体" w:hAnsi="宋体" w:eastAsia="宋体" w:cs="宋体"/>
          <w:color w:val="auto"/>
          <w:kern w:val="0"/>
          <w:sz w:val="24"/>
          <w:szCs w:val="24"/>
          <w:u w:val="single"/>
          <w:lang w:val="en-US" w:eastAsia="zh-CN"/>
        </w:rPr>
        <w:t>。</w:t>
      </w:r>
    </w:p>
    <w:p>
      <w:pPr>
        <w:keepNext w:val="0"/>
        <w:keepLines w:val="0"/>
        <w:pageBreakBefore w:val="0"/>
        <w:widowControl/>
        <w:kinsoku/>
        <w:wordWrap/>
        <w:overflowPunct/>
        <w:topLinePunct w:val="0"/>
        <w:autoSpaceDE/>
        <w:autoSpaceDN/>
        <w:bidi w:val="0"/>
        <w:adjustRightInd/>
        <w:snapToGrid/>
        <w:spacing w:line="400" w:lineRule="exact"/>
        <w:ind w:left="-179" w:right="-154" w:firstLine="420"/>
        <w:jc w:val="left"/>
        <w:textAlignment w:val="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themeColor="text1"/>
          <w:kern w:val="0"/>
          <w:sz w:val="24"/>
          <w:szCs w:val="24"/>
          <w14:textFill>
            <w14:solidFill>
              <w14:schemeClr w14:val="tx1"/>
            </w14:solidFill>
          </w14:textFill>
        </w:rPr>
        <w:t>招标范围：</w:t>
      </w:r>
      <w:bookmarkStart w:id="3" w:name="OLE_LINK4"/>
      <w:r>
        <w:rPr>
          <w:rFonts w:hint="eastAsia" w:ascii="宋体" w:hAnsi="宋体" w:eastAsia="宋体" w:cs="宋体"/>
          <w:snapToGrid w:val="0"/>
          <w:color w:val="000000"/>
          <w:kern w:val="0"/>
          <w:sz w:val="24"/>
          <w:szCs w:val="22"/>
          <w:u w:val="single"/>
        </w:rPr>
        <w:t>招标人提供的施工图及预算审</w:t>
      </w:r>
      <w:r>
        <w:rPr>
          <w:rFonts w:hint="eastAsia" w:ascii="宋体" w:hAnsi="宋体" w:eastAsia="宋体" w:cs="宋体"/>
          <w:snapToGrid w:val="0"/>
          <w:color w:val="000000"/>
          <w:kern w:val="0"/>
          <w:sz w:val="24"/>
          <w:u w:val="single"/>
        </w:rPr>
        <w:t>核书</w:t>
      </w:r>
      <w:r>
        <w:rPr>
          <w:rFonts w:hint="eastAsia" w:ascii="宋体" w:hAnsi="宋体" w:eastAsia="宋体" w:cs="宋体"/>
          <w:snapToGrid w:val="0"/>
          <w:color w:val="000000"/>
          <w:kern w:val="0"/>
          <w:sz w:val="24"/>
          <w:u w:val="single"/>
          <w:lang w:eastAsia="zh-CN"/>
        </w:rPr>
        <w:t>所包含的所有</w:t>
      </w:r>
      <w:r>
        <w:rPr>
          <w:rFonts w:hint="eastAsia" w:ascii="宋体" w:hAnsi="宋体" w:eastAsia="宋体" w:cs="宋体"/>
          <w:snapToGrid w:val="0"/>
          <w:color w:val="000000"/>
          <w:kern w:val="0"/>
          <w:sz w:val="24"/>
          <w:u w:val="single"/>
        </w:rPr>
        <w:t>内容</w:t>
      </w:r>
      <w:r>
        <w:rPr>
          <w:rFonts w:hint="eastAsia" w:ascii="宋体" w:hAnsi="宋体" w:eastAsia="宋体" w:cs="宋体"/>
          <w:snapToGrid w:val="0"/>
          <w:color w:val="000000"/>
          <w:kern w:val="0"/>
          <w:sz w:val="24"/>
          <w:u w:val="single"/>
          <w:lang w:eastAsia="zh-CN"/>
        </w:rPr>
        <w:t>。</w:t>
      </w:r>
    </w:p>
    <w:p>
      <w:pPr>
        <w:keepNext w:val="0"/>
        <w:keepLines w:val="0"/>
        <w:pageBreakBefore w:val="0"/>
        <w:widowControl/>
        <w:kinsoku/>
        <w:wordWrap/>
        <w:overflowPunct/>
        <w:topLinePunct w:val="0"/>
        <w:autoSpaceDE/>
        <w:autoSpaceDN/>
        <w:bidi w:val="0"/>
        <w:adjustRightInd/>
        <w:snapToGrid/>
        <w:spacing w:line="400" w:lineRule="exact"/>
        <w:ind w:left="-179" w:right="-154" w:firstLine="420"/>
        <w:jc w:val="left"/>
        <w:textAlignment w:val="auto"/>
        <w:rPr>
          <w:rFonts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预算审核造价：</w:t>
      </w:r>
      <w:r>
        <w:rPr>
          <w:rFonts w:hint="eastAsia" w:ascii="宋体" w:hAnsi="宋体" w:eastAsia="宋体" w:cs="宋体"/>
          <w:color w:val="000000" w:themeColor="text1"/>
          <w:kern w:val="0"/>
          <w:sz w:val="24"/>
          <w:szCs w:val="24"/>
          <w:u w:val="single"/>
          <w:lang w:eastAsia="zh-CN"/>
          <w14:textFill>
            <w14:solidFill>
              <w14:schemeClr w14:val="tx1"/>
            </w14:solidFill>
          </w14:textFill>
        </w:rPr>
        <w:t>345774</w:t>
      </w:r>
      <w:r>
        <w:rPr>
          <w:rFonts w:hint="eastAsia" w:ascii="宋体" w:hAnsi="宋体" w:eastAsia="宋体" w:cs="宋体"/>
          <w:color w:val="000000" w:themeColor="text1"/>
          <w:kern w:val="0"/>
          <w:sz w:val="24"/>
          <w:szCs w:val="24"/>
          <w:u w:val="single"/>
          <w14:textFill>
            <w14:solidFill>
              <w14:schemeClr w14:val="tx1"/>
            </w14:solidFill>
          </w14:textFill>
        </w:rPr>
        <w:t>元。</w:t>
      </w:r>
    </w:p>
    <w:bookmarkEnd w:id="3"/>
    <w:p>
      <w:pPr>
        <w:keepNext w:val="0"/>
        <w:keepLines w:val="0"/>
        <w:pageBreakBefore w:val="0"/>
        <w:widowControl/>
        <w:kinsoku/>
        <w:wordWrap/>
        <w:overflowPunct/>
        <w:topLinePunct w:val="0"/>
        <w:autoSpaceDE/>
        <w:autoSpaceDN/>
        <w:bidi w:val="0"/>
        <w:adjustRightInd/>
        <w:snapToGrid/>
        <w:spacing w:line="400" w:lineRule="exact"/>
        <w:ind w:left="-179" w:right="-154" w:firstLine="420"/>
        <w:jc w:val="left"/>
        <w:textAlignment w:val="auto"/>
        <w:rPr>
          <w:rFonts w:ascii="宋体" w:hAnsi="宋体" w:eastAsia="宋体" w:cs="宋体"/>
          <w:kern w:val="0"/>
          <w:sz w:val="24"/>
          <w:szCs w:val="24"/>
          <w:u w:val="single"/>
        </w:rPr>
      </w:pPr>
      <w:r>
        <w:rPr>
          <w:rFonts w:hint="eastAsia" w:ascii="宋体" w:hAnsi="宋体" w:eastAsia="宋体" w:cs="宋体"/>
          <w:color w:val="000000" w:themeColor="text1"/>
          <w:kern w:val="0"/>
          <w:sz w:val="24"/>
          <w:szCs w:val="24"/>
          <w14:textFill>
            <w14:solidFill>
              <w14:schemeClr w14:val="tx1"/>
            </w14:solidFill>
          </w14:textFill>
        </w:rPr>
        <w:t>计划工</w:t>
      </w:r>
      <w:r>
        <w:rPr>
          <w:rFonts w:hint="eastAsia" w:ascii="宋体" w:hAnsi="宋体" w:eastAsia="宋体" w:cs="宋体"/>
          <w:color w:val="auto"/>
          <w:kern w:val="0"/>
          <w:sz w:val="24"/>
          <w:szCs w:val="24"/>
        </w:rPr>
        <w:t>期：</w:t>
      </w:r>
      <w:r>
        <w:rPr>
          <w:rFonts w:hint="eastAsia" w:ascii="宋体" w:hAnsi="宋体" w:eastAsia="宋体" w:cs="宋体"/>
          <w:color w:val="auto"/>
          <w:kern w:val="0"/>
          <w:sz w:val="24"/>
          <w:szCs w:val="24"/>
          <w:u w:val="single"/>
        </w:rPr>
        <w:t>不超过</w:t>
      </w:r>
      <w:r>
        <w:rPr>
          <w:rFonts w:hint="eastAsia" w:ascii="宋体" w:hAnsi="宋体" w:eastAsia="宋体" w:cs="宋体"/>
          <w:color w:val="auto"/>
          <w:kern w:val="0"/>
          <w:sz w:val="24"/>
          <w:szCs w:val="24"/>
          <w:u w:val="single"/>
          <w:lang w:val="en-US" w:eastAsia="zh-CN"/>
        </w:rPr>
        <w:t>20</w:t>
      </w:r>
      <w:r>
        <w:rPr>
          <w:rFonts w:hint="eastAsia" w:ascii="宋体" w:hAnsi="宋体" w:eastAsia="宋体" w:cs="宋体"/>
          <w:color w:val="auto"/>
          <w:kern w:val="0"/>
          <w:sz w:val="24"/>
          <w:szCs w:val="24"/>
          <w:u w:val="single"/>
        </w:rPr>
        <w:t>日历天</w:t>
      </w:r>
      <w:r>
        <w:rPr>
          <w:rFonts w:hint="eastAsia" w:ascii="宋体" w:hAnsi="宋体" w:eastAsia="宋体" w:cs="宋体"/>
          <w:snapToGrid w:val="0"/>
          <w:color w:val="auto"/>
          <w:kern w:val="0"/>
          <w:sz w:val="24"/>
          <w:szCs w:val="22"/>
          <w:u w:val="single"/>
        </w:rPr>
        <w:t>（投标人必须在投标文件中明确工期天数）</w:t>
      </w:r>
    </w:p>
    <w:p>
      <w:pPr>
        <w:keepNext w:val="0"/>
        <w:keepLines w:val="0"/>
        <w:pageBreakBefore w:val="0"/>
        <w:kinsoku/>
        <w:wordWrap/>
        <w:overflowPunct/>
        <w:topLinePunct w:val="0"/>
        <w:autoSpaceDE/>
        <w:autoSpaceDN/>
        <w:bidi w:val="0"/>
        <w:adjustRightInd/>
        <w:snapToGrid/>
        <w:spacing w:before="120" w:after="120" w:line="400" w:lineRule="exact"/>
        <w:ind w:left="-112" w:leftChars="-56" w:right="-96" w:rightChars="-48"/>
        <w:textAlignment w:val="auto"/>
        <w:rPr>
          <w:rFonts w:ascii="宋体" w:hAnsi="宋体" w:eastAsia="宋体" w:cs="宋体"/>
          <w:color w:val="auto"/>
          <w:sz w:val="24"/>
          <w:szCs w:val="24"/>
        </w:rPr>
      </w:pPr>
      <w:r>
        <w:rPr>
          <w:rFonts w:hint="eastAsia" w:ascii="黑体" w:hAnsi="宋体" w:eastAsia="黑体" w:cs="宋体"/>
          <w:b/>
          <w:bCs/>
          <w:color w:val="auto"/>
          <w:sz w:val="24"/>
          <w:szCs w:val="24"/>
        </w:rPr>
        <w:t>3、投标人资格要求</w:t>
      </w: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sz w:val="24"/>
          <w:szCs w:val="24"/>
        </w:rPr>
      </w:pPr>
      <w:bookmarkStart w:id="4" w:name="_Toc221949927"/>
      <w:r>
        <w:rPr>
          <w:rFonts w:hint="eastAsia" w:ascii="宋体" w:hAnsi="宋体" w:eastAsia="宋体" w:cs="宋体"/>
          <w:color w:val="auto"/>
          <w:sz w:val="24"/>
          <w:szCs w:val="24"/>
        </w:rPr>
        <w:t>3.1</w:t>
      </w:r>
      <w:bookmarkEnd w:id="4"/>
      <w:r>
        <w:rPr>
          <w:rFonts w:hint="eastAsia" w:ascii="宋体" w:hAnsi="宋体" w:eastAsia="宋体" w:cs="宋体"/>
          <w:color w:val="auto"/>
          <w:sz w:val="24"/>
          <w:szCs w:val="24"/>
        </w:rPr>
        <w:t>本次招标要求投标人须具备：</w:t>
      </w:r>
      <w:bookmarkStart w:id="5" w:name="_Toc221949928"/>
      <w:bookmarkEnd w:id="5"/>
    </w:p>
    <w:p>
      <w:pPr>
        <w:keepNext w:val="0"/>
        <w:keepLines w:val="0"/>
        <w:pageBreakBefore w:val="0"/>
        <w:kinsoku/>
        <w:wordWrap/>
        <w:overflowPunct/>
        <w:topLinePunct w:val="0"/>
        <w:autoSpaceDE/>
        <w:autoSpaceDN/>
        <w:bidi w:val="0"/>
        <w:adjustRightInd/>
        <w:snapToGrid/>
        <w:spacing w:line="400" w:lineRule="exact"/>
        <w:ind w:right="-96" w:rightChars="-48"/>
        <w:textAlignment w:val="auto"/>
        <w:rPr>
          <w:rFonts w:ascii="宋体" w:hAnsi="宋体" w:eastAsia="宋体" w:cs="宋体"/>
          <w:color w:val="auto"/>
          <w:sz w:val="24"/>
          <w:szCs w:val="24"/>
          <w:u w:val="single"/>
        </w:rPr>
      </w:pPr>
      <w:r>
        <w:rPr>
          <w:rFonts w:hint="eastAsia" w:ascii="宋体" w:hAnsi="宋体" w:eastAsia="宋体" w:cs="宋体"/>
          <w:color w:val="auto"/>
          <w:sz w:val="24"/>
          <w:szCs w:val="24"/>
          <w:u w:val="single"/>
        </w:rPr>
        <w:t>（1）投标人资质：</w:t>
      </w:r>
      <w:r>
        <w:rPr>
          <w:rFonts w:hint="eastAsia" w:ascii="宋体" w:hAnsi="宋体" w:eastAsia="宋体" w:cs="宋体"/>
          <w:color w:val="auto"/>
          <w:sz w:val="24"/>
          <w:szCs w:val="24"/>
          <w:u w:val="single"/>
          <w:lang w:eastAsia="zh-CN"/>
        </w:rPr>
        <w:t>水利水电工程施工总承包三级及以上资质</w:t>
      </w:r>
      <w:r>
        <w:rPr>
          <w:rFonts w:hint="eastAsia" w:ascii="宋体" w:hAnsi="宋体" w:eastAsia="宋体" w:cs="宋体"/>
          <w:color w:val="auto"/>
          <w:sz w:val="24"/>
          <w:szCs w:val="24"/>
          <w:u w:val="single"/>
        </w:rPr>
        <w:t>。</w:t>
      </w:r>
    </w:p>
    <w:p>
      <w:pPr>
        <w:keepNext w:val="0"/>
        <w:keepLines w:val="0"/>
        <w:pageBreakBefore w:val="0"/>
        <w:kinsoku/>
        <w:wordWrap/>
        <w:overflowPunct/>
        <w:topLinePunct w:val="0"/>
        <w:autoSpaceDE/>
        <w:autoSpaceDN/>
        <w:bidi w:val="0"/>
        <w:adjustRightInd/>
        <w:snapToGrid/>
        <w:spacing w:line="400" w:lineRule="exact"/>
        <w:ind w:right="-96" w:rightChars="-48"/>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u w:val="single"/>
        </w:rPr>
        <w:t>（2）项目负责人：具有水利水电专业注册建造师二级及以上，</w:t>
      </w:r>
      <w:r>
        <w:rPr>
          <w:rFonts w:hint="eastAsia" w:ascii="宋体" w:hAnsi="宋体" w:eastAsia="宋体" w:cs="宋体"/>
          <w:color w:val="auto"/>
          <w:sz w:val="24"/>
          <w:szCs w:val="24"/>
          <w:u w:val="single"/>
          <w:lang w:eastAsia="zh-CN"/>
        </w:rPr>
        <w:t>并且</w:t>
      </w:r>
      <w:r>
        <w:rPr>
          <w:rFonts w:hint="eastAsia" w:ascii="宋体" w:hAnsi="宋体" w:eastAsia="宋体" w:cs="宋体"/>
          <w:color w:val="auto"/>
          <w:sz w:val="24"/>
          <w:szCs w:val="24"/>
          <w:u w:val="single"/>
        </w:rPr>
        <w:t>具有安全生产考核合格证书（B证）</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无在建工程。</w:t>
      </w:r>
    </w:p>
    <w:p>
      <w:pPr>
        <w:keepNext w:val="0"/>
        <w:keepLines w:val="0"/>
        <w:pageBreakBefore w:val="0"/>
        <w:widowControl/>
        <w:kinsoku/>
        <w:wordWrap/>
        <w:overflowPunct/>
        <w:topLinePunct w:val="0"/>
        <w:autoSpaceDE/>
        <w:autoSpaceDN/>
        <w:bidi w:val="0"/>
        <w:adjustRightInd/>
        <w:snapToGrid/>
        <w:spacing w:line="400" w:lineRule="exact"/>
        <w:ind w:right="-96" w:rightChars="-48" w:firstLine="240" w:firstLineChars="100"/>
        <w:jc w:val="left"/>
        <w:textAlignment w:val="auto"/>
        <w:rPr>
          <w:rFonts w:ascii="宋体" w:hAnsi="宋体" w:eastAsia="宋体" w:cs="宋体"/>
          <w:kern w:val="0"/>
          <w:sz w:val="24"/>
          <w:szCs w:val="24"/>
          <w:u w:val="single"/>
        </w:rPr>
      </w:pPr>
      <w:r>
        <w:rPr>
          <w:rFonts w:hint="eastAsia" w:ascii="宋体" w:hAnsi="宋体" w:eastAsia="宋体" w:cs="宋体"/>
          <w:kern w:val="0"/>
          <w:sz w:val="24"/>
          <w:szCs w:val="24"/>
          <w:u w:val="single"/>
        </w:rPr>
        <w:t>3.2 本次招标不接受联合体投标。</w:t>
      </w:r>
    </w:p>
    <w:p>
      <w:pPr>
        <w:keepNext w:val="0"/>
        <w:keepLines w:val="0"/>
        <w:pageBreakBefore w:val="0"/>
        <w:widowControl/>
        <w:kinsoku/>
        <w:wordWrap/>
        <w:overflowPunct/>
        <w:topLinePunct w:val="0"/>
        <w:autoSpaceDE/>
        <w:autoSpaceDN/>
        <w:bidi w:val="0"/>
        <w:adjustRightInd/>
        <w:snapToGrid/>
        <w:spacing w:line="400" w:lineRule="exact"/>
        <w:ind w:right="-96" w:rightChars="-48" w:firstLine="240" w:firstLineChars="100"/>
        <w:jc w:val="left"/>
        <w:textAlignment w:val="auto"/>
        <w:rPr>
          <w:rFonts w:hint="eastAsia" w:ascii="宋体" w:hAnsi="宋体" w:eastAsia="宋体" w:cs="宋体"/>
          <w:color w:val="auto"/>
          <w:sz w:val="24"/>
          <w:szCs w:val="24"/>
        </w:rPr>
      </w:pPr>
      <w:bookmarkStart w:id="6" w:name="_Toc221949929"/>
      <w:r>
        <w:rPr>
          <w:rFonts w:hint="eastAsia" w:ascii="宋体" w:hAnsi="宋体" w:eastAsia="宋体" w:cs="宋体"/>
          <w:kern w:val="0"/>
          <w:sz w:val="24"/>
          <w:szCs w:val="24"/>
          <w:u w:val="single"/>
        </w:rPr>
        <w:t>3.3 </w:t>
      </w:r>
      <w:bookmarkEnd w:id="6"/>
      <w:r>
        <w:rPr>
          <w:rFonts w:hint="eastAsia" w:ascii="宋体" w:hAnsi="宋体" w:eastAsia="宋体" w:cs="宋体"/>
          <w:kern w:val="0"/>
          <w:sz w:val="24"/>
          <w:szCs w:val="24"/>
          <w:u w:val="single"/>
        </w:rPr>
        <w:t>本次招标实行资格后审，资格审查的具体要求见招标文件。资格后审不合格的投标人不再进入下一阶段评审</w:t>
      </w:r>
      <w:r>
        <w:rPr>
          <w:rFonts w:hint="eastAsia" w:ascii="宋体" w:hAnsi="宋体" w:eastAsia="宋体" w:cs="宋体"/>
          <w:snapToGrid w:val="0"/>
          <w:color w:val="000000"/>
          <w:kern w:val="0"/>
          <w:sz w:val="24"/>
        </w:rPr>
        <w:t>。</w:t>
      </w:r>
    </w:p>
    <w:p>
      <w:pPr>
        <w:keepNext w:val="0"/>
        <w:keepLines w:val="0"/>
        <w:pageBreakBefore w:val="0"/>
        <w:kinsoku/>
        <w:wordWrap/>
        <w:overflowPunct/>
        <w:topLinePunct w:val="0"/>
        <w:autoSpaceDE/>
        <w:autoSpaceDN/>
        <w:bidi w:val="0"/>
        <w:adjustRightInd/>
        <w:snapToGrid/>
        <w:spacing w:before="120" w:after="120" w:line="400" w:lineRule="exact"/>
        <w:ind w:left="-179" w:right="-154"/>
        <w:textAlignment w:val="auto"/>
        <w:rPr>
          <w:rFonts w:ascii="宋体" w:hAnsi="宋体" w:eastAsia="宋体" w:cs="宋体"/>
          <w:color w:val="auto"/>
          <w:sz w:val="24"/>
          <w:szCs w:val="24"/>
        </w:rPr>
      </w:pPr>
      <w:r>
        <w:rPr>
          <w:rFonts w:hint="eastAsia" w:ascii="黑体" w:hAnsi="宋体" w:eastAsia="黑体" w:cs="宋体"/>
          <w:b/>
          <w:bCs/>
          <w:color w:val="auto"/>
          <w:sz w:val="24"/>
          <w:szCs w:val="24"/>
        </w:rPr>
        <w:t>4、招标文件的获取</w:t>
      </w:r>
    </w:p>
    <w:p>
      <w:pPr>
        <w:keepNext w:val="0"/>
        <w:keepLines w:val="0"/>
        <w:pageBreakBefore w:val="0"/>
        <w:widowControl/>
        <w:kinsoku/>
        <w:wordWrap/>
        <w:overflowPunct/>
        <w:topLinePunct w:val="0"/>
        <w:autoSpaceDE/>
        <w:autoSpaceDN/>
        <w:bidi w:val="0"/>
        <w:adjustRightInd/>
        <w:snapToGrid/>
        <w:spacing w:before="120" w:after="120" w:line="400" w:lineRule="exact"/>
        <w:ind w:left="-179" w:right="-154"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4.1本工程实行资格后审，凡有意参加投标者，请于公告发布之日起，可通过三门县公共资源交易中心（</w:t>
      </w:r>
      <w:r>
        <w:rPr>
          <w:rFonts w:hint="eastAsia" w:ascii="宋体" w:hAnsi="宋体" w:eastAsia="宋体" w:cs="宋体"/>
          <w:color w:val="auto"/>
          <w:kern w:val="0"/>
          <w:sz w:val="24"/>
          <w:szCs w:val="24"/>
        </w:rPr>
        <w:t>（http://www.sanmen.gov.cn/col/col1229610743/index.html</w:t>
      </w:r>
      <w:r>
        <w:rPr>
          <w:rFonts w:hint="eastAsia" w:ascii="宋体" w:hAnsi="宋体" w:eastAsia="宋体" w:cs="宋体"/>
          <w:kern w:val="0"/>
          <w:sz w:val="24"/>
          <w:szCs w:val="24"/>
        </w:rPr>
        <w:t>）自行下载招标文件。</w:t>
      </w:r>
    </w:p>
    <w:p>
      <w:pPr>
        <w:keepNext w:val="0"/>
        <w:keepLines w:val="0"/>
        <w:pageBreakBefore w:val="0"/>
        <w:widowControl/>
        <w:kinsoku/>
        <w:wordWrap/>
        <w:overflowPunct/>
        <w:topLinePunct w:val="0"/>
        <w:autoSpaceDE/>
        <w:autoSpaceDN/>
        <w:bidi w:val="0"/>
        <w:adjustRightInd/>
        <w:snapToGrid/>
        <w:spacing w:before="120" w:after="120" w:line="400" w:lineRule="exact"/>
        <w:ind w:right="-154" w:firstLine="240" w:firstLineChars="100"/>
        <w:jc w:val="left"/>
        <w:textAlignment w:val="auto"/>
        <w:rPr>
          <w:rFonts w:hint="eastAsia" w:ascii="宋体" w:hAnsi="宋体" w:eastAsia="宋体" w:cs="宋体"/>
          <w:color w:val="000000"/>
          <w:kern w:val="0"/>
          <w:sz w:val="24"/>
          <w:szCs w:val="24"/>
        </w:rPr>
      </w:pPr>
      <w:r>
        <w:rPr>
          <w:rFonts w:hint="eastAsia" w:cs="宋体"/>
          <w:kern w:val="0"/>
          <w:sz w:val="24"/>
          <w:szCs w:val="24"/>
        </w:rPr>
        <w:t xml:space="preserve"> </w:t>
      </w:r>
      <w:r>
        <w:rPr>
          <w:rFonts w:hint="eastAsia" w:ascii="宋体" w:hAnsi="宋体" w:eastAsia="宋体" w:cs="宋体"/>
          <w:color w:val="000000"/>
          <w:kern w:val="0"/>
          <w:sz w:val="24"/>
          <w:szCs w:val="24"/>
        </w:rPr>
        <w:t>4.2投标人网上免费下载招标文件，不收取任何工本费。</w:t>
      </w:r>
    </w:p>
    <w:p>
      <w:pPr>
        <w:keepNext w:val="0"/>
        <w:keepLines w:val="0"/>
        <w:pageBreakBefore w:val="0"/>
        <w:widowControl/>
        <w:kinsoku/>
        <w:wordWrap/>
        <w:overflowPunct/>
        <w:topLinePunct w:val="0"/>
        <w:autoSpaceDE/>
        <w:autoSpaceDN/>
        <w:bidi w:val="0"/>
        <w:adjustRightInd/>
        <w:snapToGrid/>
        <w:spacing w:before="120" w:after="120" w:line="400" w:lineRule="exact"/>
        <w:ind w:left="-179" w:right="-154" w:firstLine="241" w:firstLineChars="100"/>
        <w:jc w:val="left"/>
        <w:textAlignment w:val="auto"/>
        <w:rPr>
          <w:rFonts w:ascii="黑体" w:hAnsi="宋体" w:eastAsia="黑体" w:cs="宋体"/>
          <w:b/>
          <w:bCs/>
          <w:color w:val="auto"/>
          <w:kern w:val="0"/>
          <w:sz w:val="24"/>
          <w:szCs w:val="24"/>
        </w:rPr>
      </w:pPr>
      <w:r>
        <w:rPr>
          <w:rFonts w:hint="eastAsia" w:ascii="黑体" w:hAnsi="宋体" w:eastAsia="黑体" w:cs="宋体"/>
          <w:b/>
          <w:bCs/>
          <w:color w:val="auto"/>
          <w:kern w:val="0"/>
          <w:sz w:val="24"/>
          <w:szCs w:val="24"/>
        </w:rPr>
        <w:t>5、报名方式：</w:t>
      </w:r>
    </w:p>
    <w:p>
      <w:pPr>
        <w:pStyle w:val="8"/>
        <w:keepNext w:val="0"/>
        <w:keepLines w:val="0"/>
        <w:pageBreakBefore w:val="0"/>
        <w:kinsoku/>
        <w:wordWrap/>
        <w:overflowPunct/>
        <w:topLinePunct w:val="0"/>
        <w:autoSpaceDE/>
        <w:autoSpaceDN/>
        <w:bidi w:val="0"/>
        <w:adjustRightInd/>
        <w:snapToGrid/>
        <w:spacing w:line="400" w:lineRule="exact"/>
        <w:textAlignment w:val="auto"/>
      </w:pPr>
      <w:r>
        <w:rPr>
          <w:rFonts w:hint="eastAsia" w:ascii="宋体" w:hAnsi="宋体" w:eastAsia="宋体" w:cs="宋体"/>
          <w:color w:val="000000"/>
          <w:kern w:val="0"/>
          <w:sz w:val="24"/>
        </w:rPr>
        <w:t>本工程取消现场报名环节。</w:t>
      </w:r>
    </w:p>
    <w:p>
      <w:pPr>
        <w:keepNext w:val="0"/>
        <w:keepLines w:val="0"/>
        <w:pageBreakBefore w:val="0"/>
        <w:kinsoku/>
        <w:wordWrap/>
        <w:overflowPunct/>
        <w:topLinePunct w:val="0"/>
        <w:autoSpaceDE/>
        <w:autoSpaceDN/>
        <w:bidi w:val="0"/>
        <w:adjustRightInd/>
        <w:snapToGrid/>
        <w:spacing w:before="120" w:after="120" w:line="400" w:lineRule="exact"/>
        <w:ind w:left="-179" w:right="-154"/>
        <w:textAlignment w:val="auto"/>
        <w:rPr>
          <w:rFonts w:ascii="宋体" w:hAnsi="宋体" w:eastAsia="宋体" w:cs="宋体"/>
          <w:color w:val="auto"/>
          <w:sz w:val="24"/>
          <w:szCs w:val="24"/>
        </w:rPr>
      </w:pPr>
      <w:r>
        <w:rPr>
          <w:rFonts w:hint="eastAsia" w:ascii="黑体" w:hAnsi="宋体" w:eastAsia="黑体" w:cs="宋体"/>
          <w:b/>
          <w:bCs/>
          <w:color w:val="auto"/>
          <w:sz w:val="24"/>
          <w:szCs w:val="24"/>
          <w:lang w:val="en-US" w:eastAsia="zh-CN"/>
        </w:rPr>
        <w:t>6</w:t>
      </w:r>
      <w:r>
        <w:rPr>
          <w:rFonts w:hint="eastAsia" w:ascii="黑体" w:hAnsi="宋体" w:eastAsia="黑体" w:cs="宋体"/>
          <w:b/>
          <w:bCs/>
          <w:color w:val="auto"/>
          <w:sz w:val="24"/>
          <w:szCs w:val="24"/>
        </w:rPr>
        <w:t>、投标文件的递交</w:t>
      </w:r>
    </w:p>
    <w:p>
      <w:pPr>
        <w:keepNext w:val="0"/>
        <w:keepLines w:val="0"/>
        <w:pageBreakBefore w:val="0"/>
        <w:widowControl/>
        <w:kinsoku/>
        <w:wordWrap/>
        <w:overflowPunct/>
        <w:topLinePunct w:val="0"/>
        <w:autoSpaceDE/>
        <w:autoSpaceDN/>
        <w:bidi w:val="0"/>
        <w:adjustRightInd/>
        <w:snapToGrid/>
        <w:spacing w:line="400" w:lineRule="exact"/>
        <w:ind w:left="-179" w:right="-154" w:firstLine="420"/>
        <w:jc w:val="left"/>
        <w:textAlignment w:val="auto"/>
        <w:rPr>
          <w:rFonts w:hint="eastAsia" w:ascii="宋体" w:hAnsi="宋体" w:eastAsia="宋体" w:cs="宋体"/>
          <w:color w:val="auto"/>
          <w:kern w:val="0"/>
          <w:sz w:val="24"/>
          <w:szCs w:val="24"/>
        </w:rPr>
      </w:pPr>
      <w:bookmarkStart w:id="7" w:name="_Toc221949937"/>
      <w:bookmarkEnd w:id="7"/>
      <w:bookmarkStart w:id="8" w:name="_Toc270602174"/>
      <w:bookmarkEnd w:id="8"/>
      <w:bookmarkStart w:id="9" w:name="_Toc222033819"/>
      <w:bookmarkEnd w:id="9"/>
      <w:bookmarkStart w:id="10" w:name="_Toc222029468"/>
      <w:bookmarkEnd w:id="10"/>
      <w:bookmarkStart w:id="11" w:name="_Toc222032637"/>
      <w:bookmarkEnd w:id="11"/>
      <w:bookmarkStart w:id="12" w:name="_Toc229305328"/>
      <w:bookmarkEnd w:id="12"/>
      <w:bookmarkStart w:id="13" w:name="_Toc222030970"/>
      <w:bookmarkEnd w:id="13"/>
      <w:bookmarkStart w:id="14" w:name="_Toc221949935"/>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.1</w:t>
      </w:r>
      <w:bookmarkEnd w:id="14"/>
      <w:r>
        <w:rPr>
          <w:rFonts w:hint="eastAsia" w:ascii="宋体" w:hAnsi="宋体" w:eastAsia="宋体" w:cs="宋体"/>
          <w:kern w:val="0"/>
          <w:sz w:val="24"/>
          <w:szCs w:val="24"/>
        </w:rPr>
        <w:t>投标文件递交的截止时间（投标截止时间，下同）为</w:t>
      </w:r>
      <w:r>
        <w:rPr>
          <w:rFonts w:hint="eastAsia" w:ascii="宋体" w:hAnsi="宋体" w:eastAsia="宋体" w:cs="宋体"/>
          <w:color w:val="auto"/>
          <w:kern w:val="0"/>
          <w:sz w:val="24"/>
          <w:szCs w:val="24"/>
        </w:rPr>
        <w:t>202</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日9时</w:t>
      </w:r>
      <w:r>
        <w:rPr>
          <w:rFonts w:hint="eastAsia" w:ascii="宋体" w:hAnsi="宋体" w:eastAsia="宋体" w:cs="宋体"/>
          <w:color w:val="auto"/>
          <w:kern w:val="0"/>
          <w:sz w:val="24"/>
          <w:szCs w:val="24"/>
          <w:lang w:val="en-US" w:eastAsia="zh-CN"/>
        </w:rPr>
        <w:t>25</w:t>
      </w:r>
      <w:r>
        <w:rPr>
          <w:rFonts w:hint="eastAsia" w:ascii="宋体" w:hAnsi="宋体" w:eastAsia="宋体" w:cs="宋体"/>
          <w:color w:val="auto"/>
          <w:kern w:val="0"/>
          <w:sz w:val="24"/>
          <w:szCs w:val="24"/>
        </w:rPr>
        <w:t>分</w:t>
      </w:r>
      <w:bookmarkStart w:id="15" w:name="_Toc221949936"/>
      <w:r>
        <w:rPr>
          <w:rFonts w:hint="eastAsia" w:ascii="宋体" w:hAnsi="宋体" w:eastAsia="宋体" w:cs="宋体"/>
          <w:color w:val="auto"/>
          <w:kern w:val="0"/>
          <w:sz w:val="24"/>
          <w:szCs w:val="24"/>
        </w:rPr>
        <w:t>。</w:t>
      </w:r>
    </w:p>
    <w:p>
      <w:pPr>
        <w:keepNext w:val="0"/>
        <w:keepLines w:val="0"/>
        <w:pageBreakBefore w:val="0"/>
        <w:widowControl/>
        <w:kinsoku/>
        <w:wordWrap/>
        <w:overflowPunct/>
        <w:topLinePunct w:val="0"/>
        <w:autoSpaceDE/>
        <w:autoSpaceDN/>
        <w:bidi w:val="0"/>
        <w:adjustRightInd/>
        <w:snapToGrid/>
        <w:spacing w:line="400" w:lineRule="exact"/>
        <w:ind w:left="-179" w:right="-154"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.2递交投标文件地点及开标地点：</w:t>
      </w:r>
      <w:r>
        <w:rPr>
          <w:rFonts w:hint="eastAsia" w:ascii="宋体" w:hAnsi="宋体" w:eastAsia="宋体" w:cs="宋体"/>
          <w:color w:val="auto"/>
          <w:kern w:val="0"/>
          <w:sz w:val="24"/>
          <w:szCs w:val="24"/>
          <w:lang w:eastAsia="zh-CN"/>
        </w:rPr>
        <w:t>三门县亭旁镇人民政府五楼会议室</w:t>
      </w:r>
      <w:r>
        <w:rPr>
          <w:rFonts w:hint="eastAsia" w:ascii="宋体" w:hAnsi="宋体" w:eastAsia="宋体" w:cs="宋体"/>
          <w:color w:val="auto"/>
          <w:kern w:val="0"/>
          <w:sz w:val="24"/>
          <w:szCs w:val="24"/>
        </w:rPr>
        <w:t>。</w:t>
      </w:r>
    </w:p>
    <w:p>
      <w:pPr>
        <w:keepNext w:val="0"/>
        <w:keepLines w:val="0"/>
        <w:pageBreakBefore w:val="0"/>
        <w:widowControl/>
        <w:kinsoku/>
        <w:wordWrap/>
        <w:overflowPunct/>
        <w:topLinePunct w:val="0"/>
        <w:autoSpaceDE/>
        <w:autoSpaceDN/>
        <w:bidi w:val="0"/>
        <w:adjustRightInd/>
        <w:snapToGrid/>
        <w:spacing w:line="400" w:lineRule="exact"/>
        <w:ind w:left="-179" w:right="-154" w:firstLine="42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w:t>
      </w:r>
      <w:bookmarkEnd w:id="15"/>
      <w:r>
        <w:rPr>
          <w:rFonts w:hint="eastAsia" w:ascii="宋体" w:hAnsi="宋体" w:eastAsia="宋体" w:cs="宋体"/>
          <w:kern w:val="0"/>
          <w:sz w:val="24"/>
          <w:szCs w:val="24"/>
        </w:rPr>
        <w:t>3逾期送达的或者未送达指定地点的投标文件，招标人不予受理。</w:t>
      </w:r>
    </w:p>
    <w:p>
      <w:pPr>
        <w:keepNext w:val="0"/>
        <w:keepLines w:val="0"/>
        <w:pageBreakBefore w:val="0"/>
        <w:widowControl/>
        <w:kinsoku/>
        <w:wordWrap/>
        <w:overflowPunct/>
        <w:topLinePunct w:val="0"/>
        <w:autoSpaceDE/>
        <w:autoSpaceDN/>
        <w:bidi w:val="0"/>
        <w:adjustRightInd/>
        <w:snapToGrid/>
        <w:spacing w:line="400" w:lineRule="exact"/>
        <w:ind w:left="-179" w:right="-154" w:firstLine="42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6.4</w:t>
      </w:r>
      <w:r>
        <w:rPr>
          <w:rFonts w:hint="eastAsia" w:ascii="宋体" w:hAnsi="宋体" w:eastAsia="宋体" w:cs="宋体"/>
          <w:b/>
          <w:bCs/>
          <w:kern w:val="0"/>
          <w:sz w:val="24"/>
          <w:szCs w:val="24"/>
        </w:rPr>
        <w:t>本工程投标文件由投标人的法定代表人或项目负责人到场递交，递交要求详见投标须知前附表第24项。</w:t>
      </w:r>
    </w:p>
    <w:p>
      <w:pPr>
        <w:keepNext w:val="0"/>
        <w:keepLines w:val="0"/>
        <w:pageBreakBefore w:val="0"/>
        <w:widowControl/>
        <w:kinsoku/>
        <w:wordWrap/>
        <w:overflowPunct/>
        <w:topLinePunct w:val="0"/>
        <w:autoSpaceDE/>
        <w:autoSpaceDN/>
        <w:bidi w:val="0"/>
        <w:adjustRightInd/>
        <w:snapToGrid/>
        <w:spacing w:line="400" w:lineRule="exact"/>
        <w:ind w:left="-179" w:right="-154" w:firstLine="420"/>
        <w:jc w:val="left"/>
        <w:textAlignment w:val="auto"/>
        <w:rPr>
          <w:rFonts w:ascii="宋体" w:hAnsi="宋体" w:eastAsia="宋体" w:cs="宋体"/>
          <w:color w:val="auto"/>
          <w:sz w:val="24"/>
          <w:szCs w:val="24"/>
        </w:rPr>
      </w:pPr>
      <w:r>
        <w:rPr>
          <w:rFonts w:hint="eastAsia" w:ascii="宋体" w:hAnsi="宋体" w:eastAsia="宋体" w:cs="宋体"/>
          <w:kern w:val="0"/>
          <w:sz w:val="24"/>
          <w:szCs w:val="24"/>
          <w:lang w:val="en-US" w:eastAsia="zh-CN"/>
        </w:rPr>
        <w:t>因疫情管控需要，各投标人代表参加现场开标活动，进入交易中心的人员必须全程佩戴口罩，</w:t>
      </w:r>
      <w:r>
        <w:rPr>
          <w:rFonts w:hint="eastAsia" w:ascii="宋体" w:hAnsi="宋体" w:eastAsia="宋体" w:cs="宋体"/>
          <w:color w:val="auto"/>
          <w:kern w:val="0"/>
          <w:sz w:val="24"/>
          <w:szCs w:val="24"/>
          <w:lang w:val="en-US" w:eastAsia="zh-CN"/>
        </w:rPr>
        <w:t>并出示台州健康码（必须是绿码）和行程码，（提供72小时内的核酸检测证明）；开标厅内人员间隔保持一米五以上。请各</w:t>
      </w:r>
      <w:r>
        <w:rPr>
          <w:rFonts w:hint="eastAsia" w:ascii="宋体" w:hAnsi="宋体" w:eastAsia="宋体" w:cs="宋体"/>
          <w:kern w:val="0"/>
          <w:sz w:val="24"/>
          <w:szCs w:val="24"/>
          <w:lang w:val="en-US" w:eastAsia="zh-CN"/>
        </w:rPr>
        <w:t>投标人提前到达（建议在投标截止时间30分钟前），因预留时间不足、未佩戴口罩或体温异常等情况导致的不利后果，由投标人自行承担。</w:t>
      </w:r>
    </w:p>
    <w:p>
      <w:pPr>
        <w:keepNext w:val="0"/>
        <w:keepLines w:val="0"/>
        <w:pageBreakBefore w:val="0"/>
        <w:kinsoku/>
        <w:wordWrap/>
        <w:overflowPunct/>
        <w:topLinePunct w:val="0"/>
        <w:autoSpaceDE/>
        <w:autoSpaceDN/>
        <w:bidi w:val="0"/>
        <w:adjustRightInd/>
        <w:snapToGrid/>
        <w:spacing w:line="400" w:lineRule="exact"/>
        <w:ind w:right="-154"/>
        <w:textAlignment w:val="auto"/>
        <w:rPr>
          <w:rFonts w:ascii="宋体" w:hAnsi="宋体" w:eastAsia="宋体" w:cs="宋体"/>
          <w:color w:val="auto"/>
          <w:sz w:val="24"/>
          <w:szCs w:val="24"/>
        </w:rPr>
      </w:pPr>
      <w:r>
        <w:rPr>
          <w:rFonts w:hint="eastAsia" w:ascii="黑体" w:hAnsi="宋体" w:eastAsia="黑体" w:cs="宋体"/>
          <w:b/>
          <w:bCs/>
          <w:color w:val="auto"/>
          <w:sz w:val="24"/>
          <w:szCs w:val="24"/>
          <w:lang w:val="en-US" w:eastAsia="zh-CN"/>
        </w:rPr>
        <w:t>7</w:t>
      </w:r>
      <w:r>
        <w:rPr>
          <w:rFonts w:hint="eastAsia" w:ascii="黑体" w:hAnsi="宋体" w:eastAsia="黑体" w:cs="宋体"/>
          <w:b/>
          <w:bCs/>
          <w:color w:val="auto"/>
          <w:sz w:val="24"/>
          <w:szCs w:val="24"/>
        </w:rPr>
        <w:t>.踏勘现场和投标预备会</w:t>
      </w:r>
    </w:p>
    <w:p>
      <w:pPr>
        <w:keepNext w:val="0"/>
        <w:keepLines w:val="0"/>
        <w:pageBreakBefore w:val="0"/>
        <w:kinsoku/>
        <w:wordWrap/>
        <w:overflowPunct/>
        <w:topLinePunct w:val="0"/>
        <w:autoSpaceDE/>
        <w:autoSpaceDN/>
        <w:bidi w:val="0"/>
        <w:adjustRightInd/>
        <w:snapToGrid/>
        <w:spacing w:line="400" w:lineRule="exact"/>
        <w:ind w:left="-179" w:right="-154" w:firstLine="420"/>
        <w:textAlignment w:val="auto"/>
        <w:rPr>
          <w:rFonts w:ascii="宋体" w:hAnsi="宋体" w:eastAsia="宋体" w:cs="宋体"/>
          <w:color w:val="auto"/>
          <w:sz w:val="24"/>
          <w:szCs w:val="24"/>
        </w:rPr>
      </w:pPr>
      <w:r>
        <w:rPr>
          <w:rFonts w:hint="eastAsia" w:ascii="宋体" w:hAnsi="宋体" w:eastAsia="宋体" w:cs="宋体"/>
          <w:color w:val="auto"/>
          <w:sz w:val="24"/>
          <w:szCs w:val="24"/>
        </w:rPr>
        <w:t>投标人可自行踏勘现场。招标人不组织投标预备会。</w:t>
      </w:r>
    </w:p>
    <w:p>
      <w:pPr>
        <w:pageBreakBefore w:val="0"/>
        <w:kinsoku/>
        <w:wordWrap/>
        <w:overflowPunct/>
        <w:topLinePunct w:val="0"/>
        <w:autoSpaceDE/>
        <w:autoSpaceDN/>
        <w:bidi w:val="0"/>
        <w:adjustRightInd/>
        <w:spacing w:before="120" w:after="120" w:line="440" w:lineRule="exact"/>
        <w:ind w:left="-179" w:right="-154"/>
        <w:textAlignment w:val="auto"/>
        <w:rPr>
          <w:rFonts w:ascii="宋体" w:hAnsi="宋体" w:eastAsia="宋体" w:cs="宋体"/>
          <w:color w:val="auto"/>
          <w:sz w:val="24"/>
          <w:szCs w:val="24"/>
        </w:rPr>
      </w:pPr>
      <w:r>
        <w:rPr>
          <w:rFonts w:hint="eastAsia" w:ascii="宋体" w:hAnsi="宋体" w:eastAsia="宋体" w:cs="宋体"/>
          <w:b/>
          <w:bCs/>
          <w:color w:val="auto"/>
          <w:sz w:val="24"/>
          <w:szCs w:val="24"/>
        </w:rPr>
        <w:t>8.</w:t>
      </w:r>
      <w:bookmarkStart w:id="16" w:name="_Toc222030972"/>
      <w:bookmarkEnd w:id="16"/>
      <w:bookmarkStart w:id="17" w:name="_Toc229305330"/>
      <w:bookmarkEnd w:id="17"/>
      <w:bookmarkStart w:id="18" w:name="_Toc168476035"/>
      <w:bookmarkEnd w:id="18"/>
      <w:bookmarkStart w:id="19" w:name="_Toc144974485"/>
      <w:bookmarkEnd w:id="19"/>
      <w:bookmarkStart w:id="20" w:name="_Toc270602176"/>
      <w:bookmarkEnd w:id="20"/>
      <w:bookmarkStart w:id="21" w:name="_Toc222033821"/>
      <w:bookmarkEnd w:id="21"/>
      <w:bookmarkStart w:id="22" w:name="_Toc168475632"/>
      <w:bookmarkEnd w:id="22"/>
      <w:bookmarkStart w:id="23" w:name="_Toc221949941"/>
      <w:bookmarkEnd w:id="23"/>
      <w:bookmarkStart w:id="24" w:name="_Toc222029470"/>
      <w:bookmarkEnd w:id="24"/>
      <w:bookmarkStart w:id="25" w:name="_Toc222032639"/>
      <w:bookmarkEnd w:id="25"/>
      <w:r>
        <w:rPr>
          <w:rFonts w:hint="eastAsia" w:ascii="黑体" w:hAnsi="宋体" w:eastAsia="黑体" w:cs="宋体"/>
          <w:b/>
          <w:bCs/>
          <w:color w:val="auto"/>
          <w:sz w:val="24"/>
          <w:szCs w:val="24"/>
        </w:rPr>
        <w:t>联系方式</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lang w:eastAsia="zh-CN"/>
        </w:rPr>
      </w:pPr>
      <w:bookmarkStart w:id="26" w:name="_Toc221949942"/>
      <w:r>
        <w:rPr>
          <w:rFonts w:hint="eastAsia" w:ascii="宋体" w:hAnsi="宋体" w:eastAsia="宋体" w:cs="宋体"/>
          <w:color w:val="auto"/>
          <w:sz w:val="24"/>
          <w:szCs w:val="24"/>
        </w:rPr>
        <w:t>招 标 人：</w:t>
      </w:r>
      <w:bookmarkEnd w:id="26"/>
      <w:bookmarkStart w:id="27" w:name="_Toc221949945"/>
      <w:r>
        <w:rPr>
          <w:rFonts w:hint="eastAsia" w:ascii="宋体" w:hAnsi="宋体" w:eastAsia="宋体" w:cs="宋体"/>
          <w:color w:val="auto"/>
          <w:sz w:val="24"/>
          <w:szCs w:val="24"/>
          <w:lang w:eastAsia="zh-CN"/>
        </w:rPr>
        <w:t>三门县亭旁镇人民政府</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 系 人：</w:t>
      </w:r>
      <w:r>
        <w:rPr>
          <w:rFonts w:hint="eastAsia" w:ascii="宋体" w:hAnsi="宋体" w:eastAsia="宋体" w:cs="宋体"/>
          <w:color w:val="auto"/>
          <w:sz w:val="24"/>
          <w:szCs w:val="24"/>
          <w:lang w:eastAsia="zh-CN"/>
        </w:rPr>
        <w:t>陈俊</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    话：</w:t>
      </w:r>
      <w:r>
        <w:rPr>
          <w:rFonts w:hint="eastAsia" w:ascii="宋体" w:hAnsi="宋体" w:eastAsia="宋体" w:cs="宋体"/>
          <w:color w:val="auto"/>
          <w:sz w:val="24"/>
          <w:szCs w:val="24"/>
          <w:lang w:eastAsia="zh-CN"/>
        </w:rPr>
        <w:t>15957697286</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招标代理机构：</w:t>
      </w:r>
      <w:r>
        <w:rPr>
          <w:rFonts w:hint="eastAsia" w:ascii="宋体" w:hAnsi="宋体" w:eastAsia="宋体" w:cs="宋体"/>
          <w:color w:val="auto"/>
          <w:sz w:val="24"/>
          <w:szCs w:val="24"/>
          <w:lang w:eastAsia="zh-CN"/>
        </w:rPr>
        <w:t>浙江亿隆工程咨询有限公司</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 系 人：</w:t>
      </w:r>
      <w:bookmarkEnd w:id="27"/>
      <w:r>
        <w:rPr>
          <w:rFonts w:hint="eastAsia" w:ascii="宋体" w:hAnsi="宋体" w:eastAsia="宋体" w:cs="宋体"/>
          <w:color w:val="auto"/>
          <w:sz w:val="24"/>
          <w:szCs w:val="24"/>
          <w:lang w:eastAsia="zh-CN"/>
        </w:rPr>
        <w:t>王英</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bookmarkStart w:id="28" w:name="_Toc221949946"/>
      <w:r>
        <w:rPr>
          <w:rFonts w:hint="eastAsia" w:ascii="宋体" w:hAnsi="宋体" w:eastAsia="宋体" w:cs="宋体"/>
          <w:color w:val="auto"/>
          <w:sz w:val="24"/>
          <w:szCs w:val="24"/>
        </w:rPr>
        <w:t>电    话：</w:t>
      </w:r>
      <w:bookmarkEnd w:id="28"/>
      <w:r>
        <w:rPr>
          <w:rFonts w:hint="eastAsia" w:ascii="宋体" w:hAnsi="宋体" w:eastAsia="宋体" w:cs="宋体"/>
          <w:color w:val="auto"/>
          <w:sz w:val="24"/>
          <w:szCs w:val="24"/>
          <w:lang w:eastAsia="zh-CN"/>
        </w:rPr>
        <w:t>13867616663</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址：三门县梧桐路20号总商会大厦2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楼</w:t>
      </w:r>
    </w:p>
    <w:p>
      <w:pPr>
        <w:pageBreakBefore w:val="0"/>
        <w:kinsoku/>
        <w:wordWrap/>
        <w:overflowPunct/>
        <w:topLinePunct w:val="0"/>
        <w:autoSpaceDE/>
        <w:autoSpaceDN/>
        <w:bidi w:val="0"/>
        <w:adjustRightInd/>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440" w:lineRule="exact"/>
        <w:ind w:firstLine="3840" w:firstLineChars="16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招标人：</w:t>
      </w:r>
      <w:r>
        <w:rPr>
          <w:rFonts w:hint="eastAsia" w:ascii="宋体" w:hAnsi="宋体" w:eastAsia="宋体" w:cs="宋体"/>
          <w:color w:val="auto"/>
          <w:sz w:val="24"/>
          <w:szCs w:val="24"/>
          <w:lang w:eastAsia="zh-CN"/>
        </w:rPr>
        <w:t>三门县亭旁镇人民政府</w:t>
      </w:r>
    </w:p>
    <w:p>
      <w:pPr>
        <w:keepNext w:val="0"/>
        <w:keepLines w:val="0"/>
        <w:pageBreakBefore w:val="0"/>
        <w:widowControl w:val="0"/>
        <w:kinsoku/>
        <w:wordWrap/>
        <w:overflowPunct/>
        <w:topLinePunct w:val="0"/>
        <w:autoSpaceDE/>
        <w:autoSpaceDN/>
        <w:bidi w:val="0"/>
        <w:adjustRightInd/>
        <w:snapToGrid w:val="0"/>
        <w:spacing w:line="440" w:lineRule="exact"/>
        <w:ind w:firstLine="4080" w:firstLineChars="17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招标代理机构：</w:t>
      </w:r>
      <w:r>
        <w:rPr>
          <w:rFonts w:hint="eastAsia" w:ascii="宋体" w:hAnsi="宋体" w:eastAsia="宋体" w:cs="宋体"/>
          <w:color w:val="auto"/>
          <w:sz w:val="24"/>
          <w:szCs w:val="24"/>
          <w:lang w:eastAsia="zh-CN"/>
        </w:rPr>
        <w:t>浙江亿隆工程咨询有限公司</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招标监管机构：</w:t>
      </w:r>
      <w:r>
        <w:rPr>
          <w:rFonts w:hint="eastAsia" w:ascii="宋体" w:hAnsi="宋体" w:eastAsia="宋体" w:cs="宋体"/>
          <w:color w:val="auto"/>
          <w:sz w:val="24"/>
          <w:szCs w:val="24"/>
          <w:lang w:eastAsia="zh-CN"/>
        </w:rPr>
        <w:t>三门县亭旁镇公共资源交易中心</w:t>
      </w:r>
    </w:p>
    <w:p>
      <w:pPr>
        <w:pageBreakBefore w:val="0"/>
        <w:kinsoku/>
        <w:wordWrap/>
        <w:overflowPunct/>
        <w:topLinePunct w:val="0"/>
        <w:autoSpaceDE/>
        <w:autoSpaceDN/>
        <w:bidi w:val="0"/>
        <w:adjustRightInd/>
        <w:spacing w:line="440" w:lineRule="exact"/>
        <w:textAlignment w:val="auto"/>
        <w:rPr>
          <w:rFonts w:ascii="宋体" w:hAnsi="宋体" w:eastAsia="宋体" w:cs="宋体"/>
          <w:color w:val="auto"/>
          <w:sz w:val="21"/>
          <w:szCs w:val="21"/>
        </w:rPr>
      </w:pPr>
      <w:r>
        <w:rPr>
          <w:rFonts w:hint="eastAsia"/>
          <w:szCs w:val="21"/>
        </w:rPr>
        <w:t xml:space="preserve">                                                      </w:t>
      </w:r>
      <w:r>
        <w:rPr>
          <w:rFonts w:hint="eastAsia"/>
          <w:szCs w:val="21"/>
          <w:lang w:val="en-US" w:eastAsia="zh-CN"/>
        </w:rPr>
        <w:t xml:space="preserve">           </w:t>
      </w:r>
      <w:r>
        <w:rPr>
          <w:rFonts w:hint="eastAsia"/>
          <w:color w:val="auto"/>
          <w:szCs w:val="21"/>
          <w:lang w:val="en-US" w:eastAsia="zh-CN"/>
        </w:rPr>
        <w:t xml:space="preserve"> </w:t>
      </w:r>
      <w:r>
        <w:rPr>
          <w:rFonts w:hint="eastAsia"/>
          <w:color w:val="auto"/>
          <w:szCs w:val="21"/>
        </w:rPr>
        <w:t xml:space="preserve"> </w:t>
      </w:r>
      <w:r>
        <w:rPr>
          <w:rFonts w:hint="eastAsia" w:ascii="宋体" w:hAnsi="宋体"/>
          <w:color w:val="auto"/>
          <w:sz w:val="24"/>
          <w:lang w:val="en-US" w:eastAsia="zh-CN"/>
        </w:rPr>
        <w:t>2022</w:t>
      </w:r>
      <w:r>
        <w:rPr>
          <w:rFonts w:hint="eastAsia" w:ascii="宋体" w:hAnsi="宋体" w:eastAsia="宋体"/>
          <w:color w:val="auto"/>
          <w:sz w:val="24"/>
        </w:rPr>
        <w:t>年</w:t>
      </w:r>
      <w:r>
        <w:rPr>
          <w:rFonts w:hint="eastAsia" w:ascii="宋体" w:hAnsi="宋体"/>
          <w:color w:val="auto"/>
          <w:sz w:val="24"/>
          <w:lang w:val="en-US" w:eastAsia="zh-CN"/>
        </w:rPr>
        <w:t>11</w:t>
      </w:r>
      <w:r>
        <w:rPr>
          <w:rFonts w:hint="eastAsia" w:ascii="宋体" w:hAnsi="宋体" w:eastAsia="宋体"/>
          <w:color w:val="auto"/>
          <w:sz w:val="24"/>
        </w:rPr>
        <w:t>月</w:t>
      </w:r>
      <w:r>
        <w:rPr>
          <w:rFonts w:hint="eastAsia" w:ascii="宋体" w:hAnsi="宋体"/>
          <w:color w:val="auto"/>
          <w:sz w:val="24"/>
          <w:lang w:val="en-US" w:eastAsia="zh-CN"/>
        </w:rPr>
        <w:t>03</w:t>
      </w:r>
      <w:r>
        <w:rPr>
          <w:rFonts w:hint="eastAsia" w:ascii="宋体" w:hAnsi="宋体" w:eastAsia="宋体"/>
          <w:color w:val="auto"/>
          <w:sz w:val="24"/>
        </w:rPr>
        <w:t>日</w:t>
      </w:r>
    </w:p>
    <w:p>
      <w:pPr>
        <w:rPr>
          <w:rFonts w:hint="eastAsia" w:ascii="华文中宋" w:hAnsi="华文中宋" w:eastAsia="华文中宋"/>
          <w:b w:val="0"/>
          <w:color w:val="auto"/>
          <w:sz w:val="44"/>
          <w:szCs w:val="44"/>
        </w:rPr>
      </w:pPr>
      <w:r>
        <w:rPr>
          <w:rFonts w:hint="eastAsia" w:ascii="华文中宋" w:hAnsi="华文中宋" w:eastAsia="华文中宋"/>
          <w:b w:val="0"/>
          <w:color w:val="auto"/>
          <w:sz w:val="44"/>
          <w:szCs w:val="44"/>
        </w:rPr>
        <w:br w:type="page"/>
      </w:r>
    </w:p>
    <w:p>
      <w:pPr>
        <w:pStyle w:val="16"/>
        <w:keepNext w:val="0"/>
        <w:keepLines w:val="0"/>
        <w:pageBreakBefore w:val="0"/>
        <w:widowControl w:val="0"/>
        <w:kinsoku/>
        <w:wordWrap/>
        <w:overflowPunct/>
        <w:topLinePunct w:val="0"/>
        <w:autoSpaceDE/>
        <w:autoSpaceDN/>
        <w:bidi w:val="0"/>
        <w:adjustRightInd/>
        <w:snapToGrid/>
        <w:spacing w:before="0" w:after="0"/>
        <w:textAlignment w:val="auto"/>
        <w:rPr>
          <w:rFonts w:ascii="华文中宋" w:hAnsi="华文中宋" w:eastAsia="华文中宋"/>
          <w:b w:val="0"/>
          <w:color w:val="auto"/>
          <w:sz w:val="44"/>
          <w:szCs w:val="44"/>
        </w:rPr>
      </w:pPr>
      <w:r>
        <w:rPr>
          <w:rFonts w:hint="eastAsia" w:ascii="华文中宋" w:hAnsi="华文中宋" w:eastAsia="华文中宋"/>
          <w:b w:val="0"/>
          <w:color w:val="auto"/>
          <w:sz w:val="44"/>
          <w:szCs w:val="44"/>
        </w:rPr>
        <w:t>第二章  投标人须知</w:t>
      </w:r>
    </w:p>
    <w:p>
      <w:pPr>
        <w:pStyle w:val="16"/>
        <w:keepNext w:val="0"/>
        <w:keepLines w:val="0"/>
        <w:pageBreakBefore w:val="0"/>
        <w:widowControl w:val="0"/>
        <w:kinsoku/>
        <w:wordWrap/>
        <w:overflowPunct/>
        <w:topLinePunct w:val="0"/>
        <w:autoSpaceDE/>
        <w:autoSpaceDN/>
        <w:bidi w:val="0"/>
        <w:adjustRightInd/>
        <w:snapToGrid/>
        <w:spacing w:before="0" w:after="0"/>
        <w:textAlignment w:val="auto"/>
        <w:rPr>
          <w:color w:val="auto"/>
        </w:rPr>
      </w:pPr>
      <w:r>
        <w:rPr>
          <w:rFonts w:hint="eastAsia"/>
          <w:color w:val="auto"/>
        </w:rPr>
        <w:t>投标须知前附表</w:t>
      </w:r>
    </w:p>
    <w:tbl>
      <w:tblPr>
        <w:tblStyle w:val="18"/>
        <w:tblW w:w="88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837"/>
        <w:gridCol w:w="6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内  容</w:t>
            </w:r>
          </w:p>
        </w:tc>
        <w:tc>
          <w:tcPr>
            <w:tcW w:w="6495"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工程名称</w:t>
            </w:r>
          </w:p>
        </w:tc>
        <w:tc>
          <w:tcPr>
            <w:tcW w:w="6495" w:type="dxa"/>
            <w:tcBorders>
              <w:bottom w:val="single" w:color="auto" w:sz="4" w:space="0"/>
            </w:tcBorders>
            <w:vAlign w:val="center"/>
          </w:tcPr>
          <w:p>
            <w:pPr>
              <w:spacing w:line="360" w:lineRule="exact"/>
              <w:rPr>
                <w:rFonts w:hint="eastAsia" w:ascii="宋体" w:hAnsi="宋体" w:eastAsia="宋体"/>
                <w:color w:val="auto"/>
                <w:sz w:val="21"/>
                <w:szCs w:val="21"/>
                <w:lang w:eastAsia="zh-CN"/>
              </w:rPr>
            </w:pPr>
            <w:r>
              <w:rPr>
                <w:rFonts w:hint="eastAsia" w:ascii="宋体" w:hAnsi="宋体" w:eastAsia="宋体"/>
                <w:color w:val="auto"/>
                <w:sz w:val="21"/>
                <w:szCs w:val="21"/>
                <w:lang w:eastAsia="zh-CN"/>
              </w:rPr>
              <w:t xml:space="preserve">2022年三门县高标准农田（含粮食功能区）管护提升项目（亭旁镇）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建设地点</w:t>
            </w:r>
          </w:p>
        </w:tc>
        <w:tc>
          <w:tcPr>
            <w:tcW w:w="6495"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olor w:val="auto"/>
                <w:sz w:val="21"/>
                <w:szCs w:val="21"/>
                <w:lang w:eastAsia="zh-CN"/>
              </w:rPr>
              <w:t>三门县亭旁镇</w:t>
            </w:r>
            <w:r>
              <w:rPr>
                <w:rFonts w:hint="eastAsia" w:ascii="宋体" w:hAnsi="宋体" w:eastAsia="宋体"/>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建设规模</w:t>
            </w:r>
          </w:p>
        </w:tc>
        <w:tc>
          <w:tcPr>
            <w:tcW w:w="6495"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预算造价</w:t>
            </w:r>
          </w:p>
        </w:tc>
        <w:tc>
          <w:tcPr>
            <w:tcW w:w="6495" w:type="dxa"/>
            <w:tcBorders>
              <w:bottom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预算</w:t>
            </w:r>
            <w:r>
              <w:rPr>
                <w:rFonts w:hint="eastAsia" w:ascii="宋体" w:hAnsi="宋体" w:eastAsia="宋体" w:cs="宋体"/>
                <w:color w:val="auto"/>
                <w:sz w:val="21"/>
                <w:szCs w:val="21"/>
                <w:lang w:val="en-US" w:eastAsia="zh-CN"/>
              </w:rPr>
              <w:t>审核</w:t>
            </w:r>
            <w:r>
              <w:rPr>
                <w:rFonts w:hint="eastAsia" w:ascii="宋体" w:hAnsi="宋体" w:eastAsia="宋体" w:cs="宋体"/>
                <w:color w:val="auto"/>
                <w:sz w:val="21"/>
                <w:szCs w:val="21"/>
              </w:rPr>
              <w:t>造价：</w:t>
            </w:r>
            <w:r>
              <w:rPr>
                <w:rFonts w:hint="eastAsia" w:ascii="宋体" w:hAnsi="宋体" w:eastAsia="宋体"/>
                <w:color w:val="auto"/>
                <w:sz w:val="21"/>
                <w:szCs w:val="21"/>
                <w:u w:val="single"/>
                <w:lang w:eastAsia="zh-CN"/>
              </w:rPr>
              <w:t>345774</w:t>
            </w:r>
            <w:r>
              <w:rPr>
                <w:rFonts w:hint="eastAsia" w:ascii="宋体" w:hAnsi="宋体"/>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5</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承包方式</w:t>
            </w:r>
          </w:p>
        </w:tc>
        <w:tc>
          <w:tcPr>
            <w:tcW w:w="6495"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6</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质量标准</w:t>
            </w:r>
          </w:p>
        </w:tc>
        <w:tc>
          <w:tcPr>
            <w:tcW w:w="6495"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7</w:t>
            </w:r>
          </w:p>
        </w:tc>
        <w:tc>
          <w:tcPr>
            <w:tcW w:w="1837" w:type="dxa"/>
            <w:tcBorders>
              <w:bottom w:val="single" w:color="auto" w:sz="4" w:space="0"/>
            </w:tcBorders>
            <w:vAlign w:val="center"/>
          </w:tcPr>
          <w:p>
            <w:pPr>
              <w:ind w:firstLine="315" w:firstLineChars="150"/>
              <w:rPr>
                <w:rFonts w:ascii="宋体" w:hAnsi="宋体" w:eastAsia="宋体" w:cs="宋体"/>
                <w:color w:val="auto"/>
                <w:sz w:val="21"/>
                <w:szCs w:val="21"/>
              </w:rPr>
            </w:pPr>
            <w:r>
              <w:rPr>
                <w:rFonts w:hint="eastAsia" w:ascii="宋体" w:hAnsi="宋体" w:eastAsia="宋体" w:cs="宋体"/>
                <w:color w:val="auto"/>
                <w:sz w:val="21"/>
                <w:szCs w:val="21"/>
              </w:rPr>
              <w:t>工期要求</w:t>
            </w:r>
          </w:p>
        </w:tc>
        <w:tc>
          <w:tcPr>
            <w:tcW w:w="6495"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不超过</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日历天（投标人必须在投标文件中明确工期天数）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8</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招标方式</w:t>
            </w:r>
          </w:p>
        </w:tc>
        <w:tc>
          <w:tcPr>
            <w:tcW w:w="6495"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lang w:eastAsia="zh-CN"/>
              </w:rPr>
              <w:t>公开</w:t>
            </w:r>
            <w:r>
              <w:rPr>
                <w:rFonts w:hint="eastAsia" w:ascii="宋体" w:hAnsi="宋体" w:eastAsia="宋体" w:cs="宋体"/>
                <w:color w:val="auto"/>
                <w:sz w:val="21"/>
                <w:szCs w:val="21"/>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9</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招标范围</w:t>
            </w:r>
          </w:p>
        </w:tc>
        <w:tc>
          <w:tcPr>
            <w:tcW w:w="6495"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业主提供的施工图及预算</w:t>
            </w:r>
            <w:r>
              <w:rPr>
                <w:rFonts w:hint="eastAsia" w:ascii="宋体" w:hAnsi="宋体" w:eastAsia="宋体" w:cs="宋体"/>
                <w:color w:val="auto"/>
                <w:sz w:val="21"/>
                <w:szCs w:val="21"/>
                <w:lang w:eastAsia="zh-CN"/>
              </w:rPr>
              <w:t>审核</w:t>
            </w:r>
            <w:r>
              <w:rPr>
                <w:rFonts w:hint="eastAsia" w:ascii="宋体" w:hAnsi="宋体" w:eastAsia="宋体" w:cs="宋体"/>
                <w:color w:val="auto"/>
                <w:sz w:val="21"/>
                <w:szCs w:val="21"/>
              </w:rPr>
              <w:t>书所包含的内容。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10</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资金来源</w:t>
            </w:r>
          </w:p>
        </w:tc>
        <w:tc>
          <w:tcPr>
            <w:tcW w:w="6495" w:type="dxa"/>
            <w:tcBorders>
              <w:bottom w:val="single" w:color="auto" w:sz="4" w:space="0"/>
            </w:tcBorders>
            <w:vAlign w:val="center"/>
          </w:tcPr>
          <w:p>
            <w:pPr>
              <w:adjustRightInd w:val="0"/>
              <w:snapToGrid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上级补助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11</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投标人要求</w:t>
            </w:r>
          </w:p>
        </w:tc>
        <w:tc>
          <w:tcPr>
            <w:tcW w:w="6495" w:type="dxa"/>
            <w:tcBorders>
              <w:bottom w:val="single" w:color="auto" w:sz="4" w:space="0"/>
            </w:tcBorders>
            <w:vAlign w:val="center"/>
          </w:tcPr>
          <w:p>
            <w:pPr>
              <w:spacing w:line="4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水利水电工程施工总承包三级及以上资质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12</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项目负责人要求</w:t>
            </w:r>
          </w:p>
        </w:tc>
        <w:tc>
          <w:tcPr>
            <w:tcW w:w="6495" w:type="dxa"/>
            <w:vAlign w:val="center"/>
          </w:tcPr>
          <w:p>
            <w:pPr>
              <w:adjustRightInd w:val="0"/>
              <w:snapToGrid w:val="0"/>
              <w:spacing w:line="3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具有水利水电专业注册建造师二级及以上，并且具有安全生产考核合格证书（B证）</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无在建工程。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13</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投标人确定方式</w:t>
            </w:r>
          </w:p>
        </w:tc>
        <w:tc>
          <w:tcPr>
            <w:tcW w:w="6495"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6"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14</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投标文件组成</w:t>
            </w:r>
          </w:p>
        </w:tc>
        <w:tc>
          <w:tcPr>
            <w:tcW w:w="6495" w:type="dxa"/>
          </w:tcPr>
          <w:p>
            <w:pPr>
              <w:pStyle w:val="3"/>
              <w:keepNext w:val="0"/>
              <w:keepLines w:val="0"/>
              <w:pageBreakBefore w:val="0"/>
              <w:kinsoku/>
              <w:wordWrap/>
              <w:overflowPunct/>
              <w:topLinePunct w:val="0"/>
              <w:autoSpaceDE/>
              <w:autoSpaceDN/>
              <w:bidi w:val="0"/>
              <w:snapToGrid/>
              <w:spacing w:line="360" w:lineRule="exact"/>
              <w:ind w:firstLine="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投标文件组成内容包括：</w:t>
            </w:r>
          </w:p>
          <w:p>
            <w:pPr>
              <w:pStyle w:val="3"/>
              <w:keepNext w:val="0"/>
              <w:keepLines w:val="0"/>
              <w:pageBreakBefore w:val="0"/>
              <w:kinsoku/>
              <w:wordWrap/>
              <w:overflowPunct/>
              <w:topLinePunct w:val="0"/>
              <w:autoSpaceDE/>
              <w:autoSpaceDN/>
              <w:bidi w:val="0"/>
              <w:snapToGrid/>
              <w:spacing w:line="360" w:lineRule="exact"/>
              <w:ind w:firstLine="0"/>
              <w:textAlignment w:val="auto"/>
              <w:rPr>
                <w:rFonts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投标函（附件一）；</w:t>
            </w:r>
          </w:p>
          <w:p>
            <w:pPr>
              <w:pStyle w:val="3"/>
              <w:keepNext w:val="0"/>
              <w:keepLines w:val="0"/>
              <w:pageBreakBefore w:val="0"/>
              <w:numPr>
                <w:ilvl w:val="0"/>
                <w:numId w:val="0"/>
              </w:numPr>
              <w:tabs>
                <w:tab w:val="left" w:pos="574"/>
              </w:tabs>
              <w:kinsoku/>
              <w:wordWrap/>
              <w:overflowPunct/>
              <w:topLinePunct w:val="0"/>
              <w:autoSpaceDE/>
              <w:autoSpaceDN/>
              <w:bidi w:val="0"/>
              <w:snapToGrid/>
              <w:spacing w:line="360" w:lineRule="exact"/>
              <w:textAlignment w:val="auto"/>
              <w:rPr>
                <w:rFonts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项目管理机构配备表（附件二）；</w:t>
            </w:r>
          </w:p>
          <w:p>
            <w:pPr>
              <w:pStyle w:val="3"/>
              <w:keepNext w:val="0"/>
              <w:keepLines w:val="0"/>
              <w:pageBreakBefore w:val="0"/>
              <w:numPr>
                <w:ilvl w:val="0"/>
                <w:numId w:val="0"/>
              </w:numPr>
              <w:tabs>
                <w:tab w:val="left" w:pos="574"/>
              </w:tabs>
              <w:kinsoku/>
              <w:wordWrap/>
              <w:overflowPunct/>
              <w:topLinePunct w:val="0"/>
              <w:autoSpaceDE/>
              <w:autoSpaceDN/>
              <w:bidi w:val="0"/>
              <w:snapToGrid/>
              <w:spacing w:line="360" w:lineRule="exact"/>
              <w:textAlignment w:val="auto"/>
              <w:rPr>
                <w:rFonts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项目负责人简历表（附件三）；</w:t>
            </w:r>
          </w:p>
          <w:p>
            <w:pPr>
              <w:pStyle w:val="3"/>
              <w:keepNext w:val="0"/>
              <w:keepLines w:val="0"/>
              <w:pageBreakBefore w:val="0"/>
              <w:numPr>
                <w:ilvl w:val="0"/>
                <w:numId w:val="0"/>
              </w:numPr>
              <w:tabs>
                <w:tab w:val="left" w:pos="574"/>
              </w:tabs>
              <w:kinsoku/>
              <w:wordWrap/>
              <w:overflowPunct/>
              <w:topLinePunct w:val="0"/>
              <w:autoSpaceDE/>
              <w:autoSpaceDN/>
              <w:bidi w:val="0"/>
              <w:snapToGrid/>
              <w:spacing w:line="360" w:lineRule="exact"/>
              <w:textAlignment w:val="auto"/>
              <w:rPr>
                <w:rFonts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rPr>
              <w:t>主要施工机械设备表（附件四）</w:t>
            </w:r>
          </w:p>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5）台州市建设工程诚信投标承诺书（附件五）</w:t>
            </w:r>
          </w:p>
          <w:p>
            <w:pPr>
              <w:pStyle w:val="3"/>
              <w:keepNext w:val="0"/>
              <w:keepLines w:val="0"/>
              <w:pageBreakBefore w:val="0"/>
              <w:kinsoku/>
              <w:wordWrap/>
              <w:overflowPunct/>
              <w:topLinePunct w:val="0"/>
              <w:autoSpaceDE/>
              <w:autoSpaceDN/>
              <w:bidi w:val="0"/>
              <w:adjustRightInd w:val="0"/>
              <w:snapToGrid/>
              <w:spacing w:line="360" w:lineRule="exact"/>
              <w:ind w:left="0" w:leftChars="0" w:firstLine="0" w:firstLineChars="0"/>
              <w:textAlignment w:val="auto"/>
              <w:rPr>
                <w:rFonts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6）</w:t>
            </w:r>
            <w:r>
              <w:rPr>
                <w:rFonts w:hint="eastAsia" w:ascii="宋体" w:hAnsi="宋体" w:eastAsia="宋体" w:cs="宋体"/>
                <w:b w:val="0"/>
                <w:bCs/>
                <w:color w:val="auto"/>
                <w:sz w:val="21"/>
                <w:szCs w:val="21"/>
              </w:rPr>
              <w:t>企业营业执照、资质证书和安全生产许可证副本复印件；项目负责人的《项目负责人建造师注册证书》、《安全生产考核合格证》复印件。</w:t>
            </w:r>
          </w:p>
          <w:p>
            <w:pPr>
              <w:pStyle w:val="3"/>
              <w:keepNext w:val="0"/>
              <w:keepLines w:val="0"/>
              <w:pageBreakBefore w:val="0"/>
              <w:tabs>
                <w:tab w:val="left" w:pos="574"/>
              </w:tabs>
              <w:kinsoku/>
              <w:wordWrap/>
              <w:overflowPunct/>
              <w:topLinePunct w:val="0"/>
              <w:autoSpaceDE/>
              <w:autoSpaceDN/>
              <w:bidi w:val="0"/>
              <w:snapToGrid/>
              <w:spacing w:line="360" w:lineRule="exact"/>
              <w:ind w:left="0" w:leftChars="0" w:firstLine="0" w:firstLineChars="0"/>
              <w:textAlignment w:val="auto"/>
              <w:rPr>
                <w:rFonts w:ascii="宋体" w:hAnsi="宋体" w:eastAsia="宋体" w:cs="宋体"/>
                <w:color w:val="auto"/>
                <w:sz w:val="21"/>
                <w:szCs w:val="21"/>
              </w:rPr>
            </w:pPr>
            <w:r>
              <w:rPr>
                <w:rFonts w:hint="eastAsia" w:ascii="宋体" w:hAnsi="宋体" w:eastAsia="宋体" w:cs="宋体"/>
                <w:b/>
                <w:color w:val="auto"/>
                <w:sz w:val="21"/>
                <w:szCs w:val="21"/>
              </w:rPr>
              <w:t>注：以上证书复印件加盖公司公章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15</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投标文件格式</w:t>
            </w:r>
          </w:p>
        </w:tc>
        <w:tc>
          <w:tcPr>
            <w:tcW w:w="6495" w:type="dxa"/>
            <w:vAlign w:val="center"/>
          </w:tcPr>
          <w:p>
            <w:pPr>
              <w:spacing w:line="288" w:lineRule="auto"/>
              <w:ind w:right="200"/>
              <w:rPr>
                <w:rFonts w:ascii="宋体" w:hAnsi="宋体" w:eastAsia="宋体" w:cs="宋体"/>
                <w:color w:val="auto"/>
                <w:sz w:val="21"/>
                <w:szCs w:val="21"/>
              </w:rPr>
            </w:pPr>
            <w:r>
              <w:rPr>
                <w:rFonts w:hint="eastAsia" w:ascii="宋体" w:hAnsi="宋体" w:eastAsia="宋体" w:cs="宋体"/>
                <w:color w:val="auto"/>
                <w:sz w:val="21"/>
                <w:szCs w:val="21"/>
              </w:rPr>
              <w:t>1、投标人应使用招标文件中提供的附件格式。表格如不够用时，可以按同样格式扩展。</w:t>
            </w:r>
          </w:p>
          <w:p>
            <w:pPr>
              <w:spacing w:line="288" w:lineRule="auto"/>
              <w:ind w:right="200"/>
              <w:rPr>
                <w:rFonts w:ascii="宋体" w:hAnsi="宋体" w:eastAsia="宋体" w:cs="宋体"/>
                <w:color w:val="auto"/>
                <w:sz w:val="21"/>
                <w:szCs w:val="21"/>
              </w:rPr>
            </w:pPr>
            <w:r>
              <w:rPr>
                <w:rFonts w:hint="eastAsia" w:ascii="宋体" w:hAnsi="宋体" w:eastAsia="宋体" w:cs="宋体"/>
                <w:color w:val="auto"/>
                <w:sz w:val="21"/>
                <w:szCs w:val="21"/>
              </w:rPr>
              <w:t>2、投标人投标文件所用的纸张建议采用A4型纸，图表可根据需要作适当扩展。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16</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报价方式</w:t>
            </w:r>
          </w:p>
        </w:tc>
        <w:tc>
          <w:tcPr>
            <w:tcW w:w="6495"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下浮率报价，有效投标报价浮动幅度：</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17</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投标保证金要求</w:t>
            </w:r>
          </w:p>
        </w:tc>
        <w:tc>
          <w:tcPr>
            <w:tcW w:w="64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olor w:val="000000"/>
                <w:sz w:val="21"/>
                <w:szCs w:val="21"/>
              </w:rPr>
            </w:pPr>
            <w:r>
              <w:rPr>
                <w:rFonts w:hint="eastAsia" w:ascii="宋体" w:hAnsi="宋体" w:eastAsia="宋体"/>
                <w:color w:val="000000"/>
                <w:sz w:val="21"/>
                <w:szCs w:val="21"/>
              </w:rPr>
              <w:t>1、保证金金额</w:t>
            </w:r>
            <w:r>
              <w:rPr>
                <w:rFonts w:hint="eastAsia" w:ascii="宋体" w:hAnsi="宋体" w:eastAsia="宋体"/>
                <w:sz w:val="21"/>
                <w:szCs w:val="21"/>
              </w:rPr>
              <w:t>：人民币</w:t>
            </w:r>
            <w:r>
              <w:rPr>
                <w:rFonts w:hint="eastAsia" w:ascii="宋体" w:hAnsi="宋体" w:eastAsia="宋体"/>
                <w:sz w:val="21"/>
                <w:szCs w:val="21"/>
                <w:lang w:eastAsia="zh-CN"/>
              </w:rPr>
              <w:t>陆仟</w:t>
            </w:r>
            <w:r>
              <w:rPr>
                <w:rFonts w:hint="eastAsia" w:ascii="宋体" w:hAnsi="宋体" w:eastAsia="宋体"/>
                <w:sz w:val="21"/>
                <w:szCs w:val="21"/>
              </w:rPr>
              <w:t>元</w:t>
            </w:r>
            <w:r>
              <w:rPr>
                <w:rFonts w:hint="eastAsia" w:ascii="宋体" w:hAnsi="宋体" w:eastAsia="宋体"/>
                <w:sz w:val="21"/>
                <w:szCs w:val="21"/>
                <w:lang w:eastAsia="zh-CN"/>
              </w:rPr>
              <w:t>整</w:t>
            </w:r>
            <w:r>
              <w:rPr>
                <w:rFonts w:hint="eastAsia" w:ascii="宋体" w:hAnsi="宋体" w:eastAsia="宋体"/>
                <w:sz w:val="21"/>
                <w:szCs w:val="21"/>
              </w:rPr>
              <w:t>（￥</w:t>
            </w:r>
            <w:r>
              <w:rPr>
                <w:rFonts w:hint="eastAsia" w:ascii="宋体" w:hAnsi="宋体" w:eastAsia="宋体"/>
                <w:sz w:val="21"/>
                <w:szCs w:val="21"/>
                <w:lang w:val="en-US" w:eastAsia="zh-CN"/>
              </w:rPr>
              <w:t>6000</w:t>
            </w:r>
            <w:r>
              <w:rPr>
                <w:rFonts w:hint="eastAsia" w:ascii="宋体" w:hAnsi="宋体" w:eastAsia="宋体"/>
                <w:sz w:val="21"/>
                <w:szCs w:val="21"/>
              </w:rPr>
              <w:t>.00元）</w:t>
            </w:r>
          </w:p>
          <w:p>
            <w:pPr>
              <w:spacing w:line="360" w:lineRule="auto"/>
              <w:rPr>
                <w:rFonts w:hint="eastAsia" w:ascii="宋体" w:hAnsi="宋体" w:eastAsia="宋体"/>
                <w:color w:val="000000"/>
                <w:sz w:val="21"/>
                <w:szCs w:val="21"/>
              </w:rPr>
            </w:pPr>
            <w:r>
              <w:rPr>
                <w:rFonts w:hint="eastAsia" w:ascii="宋体" w:hAnsi="宋体" w:eastAsia="宋体"/>
                <w:color w:val="000000"/>
                <w:sz w:val="21"/>
                <w:szCs w:val="21"/>
              </w:rPr>
              <w:t>2、担保形式：现金，装入信封外面写上投标单位名称</w:t>
            </w:r>
          </w:p>
          <w:p>
            <w:pPr>
              <w:adjustRightInd w:val="0"/>
              <w:snapToGrid w:val="0"/>
              <w:spacing w:line="340" w:lineRule="exact"/>
              <w:rPr>
                <w:rFonts w:hint="eastAsia" w:ascii="宋体" w:hAnsi="宋体" w:eastAsia="宋体"/>
                <w:color w:val="auto"/>
                <w:sz w:val="21"/>
                <w:szCs w:val="21"/>
                <w:lang w:eastAsia="zh-CN"/>
              </w:rPr>
            </w:pPr>
            <w:r>
              <w:rPr>
                <w:rFonts w:hint="eastAsia" w:ascii="宋体" w:hAnsi="宋体" w:eastAsia="宋体"/>
                <w:color w:val="000000"/>
                <w:sz w:val="21"/>
                <w:szCs w:val="21"/>
              </w:rPr>
              <w:t>3、提交地址：三门县亭旁镇</w:t>
            </w:r>
            <w:r>
              <w:rPr>
                <w:rFonts w:hint="eastAsia" w:ascii="宋体" w:hAnsi="宋体" w:eastAsia="宋体" w:cs="Times New Roman"/>
                <w:color w:val="auto"/>
                <w:kern w:val="2"/>
                <w:sz w:val="21"/>
                <w:szCs w:val="21"/>
                <w:lang w:val="en-US" w:eastAsia="zh-CN" w:bidi="ar-SA"/>
              </w:rPr>
              <w:t>人民政府</w:t>
            </w:r>
            <w:r>
              <w:rPr>
                <w:rFonts w:hint="eastAsia" w:ascii="宋体" w:hAnsi="宋体" w:eastAsia="宋体"/>
                <w:color w:val="000000"/>
                <w:sz w:val="21"/>
                <w:szCs w:val="21"/>
              </w:rPr>
              <w:t>五楼会议室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18</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投标有效期</w:t>
            </w:r>
          </w:p>
        </w:tc>
        <w:tc>
          <w:tcPr>
            <w:tcW w:w="64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19</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履约保证金数额</w:t>
            </w:r>
          </w:p>
        </w:tc>
        <w:tc>
          <w:tcPr>
            <w:tcW w:w="6495"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val="0"/>
              <w:snapToGrid/>
              <w:spacing w:line="400" w:lineRule="exact"/>
              <w:ind w:firstLine="0" w:firstLineChars="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履约担保的形式：现金（现金必须通过其基本账户转出的转帐、电汇或银行汇票方式解入招标人指定的银行帐户）</w:t>
            </w:r>
          </w:p>
          <w:p>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sz w:val="21"/>
                <w:szCs w:val="21"/>
                <w:lang w:eastAsia="zh-CN"/>
              </w:rPr>
            </w:pPr>
            <w:r>
              <w:rPr>
                <w:rFonts w:hint="eastAsia" w:ascii="宋体" w:hAnsi="宋体" w:eastAsia="宋体" w:cs="Times New Roman"/>
                <w:color w:val="auto"/>
                <w:kern w:val="2"/>
                <w:sz w:val="21"/>
                <w:szCs w:val="21"/>
                <w:lang w:val="en-US" w:eastAsia="zh-CN" w:bidi="ar-SA"/>
              </w:rPr>
              <w:t>履约担保的金额：合同价的2%。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20</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投标文件份数</w:t>
            </w:r>
          </w:p>
        </w:tc>
        <w:tc>
          <w:tcPr>
            <w:tcW w:w="64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正本一份、副本</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21</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w:t>
            </w:r>
          </w:p>
          <w:p>
            <w:pPr>
              <w:jc w:val="center"/>
              <w:rPr>
                <w:rFonts w:ascii="宋体" w:hAnsi="宋体" w:eastAsia="宋体" w:cs="宋体"/>
                <w:color w:val="auto"/>
                <w:sz w:val="21"/>
                <w:szCs w:val="21"/>
              </w:rPr>
            </w:pPr>
            <w:r>
              <w:rPr>
                <w:rFonts w:hint="eastAsia" w:ascii="宋体" w:hAnsi="宋体" w:eastAsia="宋体" w:cs="宋体"/>
                <w:color w:val="auto"/>
                <w:sz w:val="21"/>
                <w:szCs w:val="21"/>
              </w:rPr>
              <w:t>密封及装订</w:t>
            </w:r>
          </w:p>
        </w:tc>
        <w:tc>
          <w:tcPr>
            <w:tcW w:w="64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投标文件必须单独密封。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22</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投标文件提交地点与开标地点</w:t>
            </w:r>
          </w:p>
        </w:tc>
        <w:tc>
          <w:tcPr>
            <w:tcW w:w="64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hint="eastAsia" w:ascii="宋体" w:hAnsi="宋体" w:eastAsia="宋体"/>
                <w:color w:val="auto"/>
                <w:sz w:val="21"/>
                <w:szCs w:val="21"/>
                <w:lang w:eastAsia="zh-CN"/>
              </w:rPr>
            </w:pPr>
            <w:r>
              <w:rPr>
                <w:rFonts w:hint="eastAsia" w:ascii="宋体" w:hAnsi="宋体" w:eastAsia="宋体" w:cs="宋体"/>
                <w:color w:val="auto"/>
                <w:sz w:val="21"/>
                <w:szCs w:val="21"/>
              </w:rPr>
              <w:t>地</w:t>
            </w:r>
            <w:r>
              <w:rPr>
                <w:rFonts w:hint="eastAsia" w:ascii="宋体" w:hAnsi="宋体" w:eastAsia="宋体" w:cs="Times New Roman"/>
                <w:color w:val="auto"/>
                <w:kern w:val="2"/>
                <w:sz w:val="21"/>
                <w:szCs w:val="21"/>
                <w:lang w:val="en-US" w:eastAsia="zh-CN" w:bidi="ar-SA"/>
              </w:rPr>
              <w:t>点：三门县亭旁镇人民政府五楼会议室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23</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提交投标文件截止时间与开标时间</w:t>
            </w:r>
          </w:p>
        </w:tc>
        <w:tc>
          <w:tcPr>
            <w:tcW w:w="64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Times New Roman"/>
                <w:color w:val="auto"/>
                <w:kern w:val="2"/>
                <w:sz w:val="21"/>
                <w:szCs w:val="21"/>
                <w:lang w:val="en-US" w:eastAsia="zh-CN" w:bidi="ar-SA"/>
              </w:rPr>
              <w:t>2022年11月10日9时25分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2"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2"/>
              </w:rPr>
            </w:pPr>
            <w:r>
              <w:rPr>
                <w:rFonts w:hint="eastAsia" w:ascii="宋体" w:hAnsi="宋体" w:eastAsia="宋体"/>
                <w:sz w:val="21"/>
                <w:szCs w:val="22"/>
              </w:rPr>
              <w:t>投标文件</w:t>
            </w:r>
          </w:p>
          <w:p>
            <w:pPr>
              <w:jc w:val="center"/>
              <w:rPr>
                <w:rFonts w:hint="eastAsia" w:ascii="宋体" w:hAnsi="宋体" w:eastAsia="宋体" w:cs="宋体"/>
                <w:color w:val="auto"/>
                <w:sz w:val="21"/>
                <w:szCs w:val="21"/>
              </w:rPr>
            </w:pPr>
            <w:r>
              <w:rPr>
                <w:rFonts w:hint="eastAsia" w:ascii="宋体" w:hAnsi="宋体" w:eastAsia="宋体"/>
                <w:sz w:val="21"/>
                <w:szCs w:val="22"/>
              </w:rPr>
              <w:t>递交要求</w:t>
            </w:r>
          </w:p>
        </w:tc>
        <w:tc>
          <w:tcPr>
            <w:tcW w:w="6495" w:type="dxa"/>
            <w:tcBorders>
              <w:top w:val="single" w:color="auto" w:sz="4" w:space="0"/>
              <w:left w:val="single" w:color="auto" w:sz="4" w:space="0"/>
              <w:bottom w:val="single" w:color="auto" w:sz="4" w:space="0"/>
              <w:right w:val="single" w:color="auto" w:sz="4" w:space="0"/>
            </w:tcBorders>
            <w:vAlign w:val="center"/>
          </w:tcPr>
          <w:p>
            <w:pPr>
              <w:pStyle w:val="8"/>
              <w:rPr>
                <w:rFonts w:hint="eastAsia"/>
                <w:color w:val="auto"/>
                <w:szCs w:val="21"/>
              </w:rPr>
            </w:pPr>
            <w:r>
              <w:rPr>
                <w:rFonts w:hint="eastAsia"/>
                <w:color w:val="auto"/>
                <w:szCs w:val="21"/>
              </w:rPr>
              <w:t>投标文件递交时，投标人的</w:t>
            </w:r>
            <w:r>
              <w:rPr>
                <w:rFonts w:hint="eastAsia"/>
                <w:b/>
                <w:color w:val="auto"/>
                <w:szCs w:val="21"/>
              </w:rPr>
              <w:t>法定代表人</w:t>
            </w:r>
            <w:r>
              <w:rPr>
                <w:rFonts w:hint="eastAsia"/>
                <w:color w:val="auto"/>
                <w:szCs w:val="21"/>
              </w:rPr>
              <w:t>或</w:t>
            </w:r>
            <w:r>
              <w:rPr>
                <w:rFonts w:hint="eastAsia"/>
                <w:b/>
                <w:color w:val="auto"/>
                <w:szCs w:val="21"/>
              </w:rPr>
              <w:t>项目负责人</w:t>
            </w:r>
            <w:r>
              <w:rPr>
                <w:rFonts w:hint="eastAsia"/>
                <w:color w:val="auto"/>
                <w:szCs w:val="21"/>
              </w:rPr>
              <w:t>必须携带相应资料参加开标会议，再签名报到，以证明其出席开标会议，否则投标文件予以拒收，法定代表人或项目负责人应出示携带的相应资料：</w:t>
            </w:r>
          </w:p>
          <w:p>
            <w:pPr>
              <w:pStyle w:val="8"/>
              <w:ind w:firstLine="210" w:firstLineChars="100"/>
              <w:rPr>
                <w:rFonts w:hint="eastAsia"/>
                <w:color w:val="auto"/>
                <w:szCs w:val="21"/>
              </w:rPr>
            </w:pPr>
            <w:r>
              <w:rPr>
                <w:rFonts w:hint="eastAsia"/>
                <w:color w:val="auto"/>
                <w:szCs w:val="21"/>
              </w:rPr>
              <w:t>1、如法定代表人参加的，必须持（1）本人有效身份证原件、（2）企业营业执照副本复印件（加盖单位公章）。</w:t>
            </w:r>
          </w:p>
          <w:p>
            <w:pPr>
              <w:pStyle w:val="8"/>
              <w:ind w:firstLine="210" w:firstLineChars="100"/>
              <w:rPr>
                <w:rFonts w:hint="eastAsia"/>
                <w:color w:val="auto"/>
                <w:szCs w:val="21"/>
              </w:rPr>
            </w:pPr>
            <w:r>
              <w:rPr>
                <w:rFonts w:hint="eastAsia"/>
                <w:color w:val="auto"/>
                <w:szCs w:val="21"/>
              </w:rPr>
              <w:t>2、如项目负责人参加的，必须持（1）本人有效身份证原件、（2）法定代表人授权委托书原件（参考格式见附件六），代理人必须为本单位投标项目负责人。</w:t>
            </w:r>
          </w:p>
          <w:p>
            <w:pPr>
              <w:pStyle w:val="8"/>
              <w:ind w:firstLine="211" w:firstLineChars="100"/>
              <w:rPr>
                <w:rFonts w:hint="eastAsia" w:ascii="宋体" w:hAnsi="宋体" w:eastAsia="宋体" w:cs="宋体"/>
                <w:color w:val="auto"/>
                <w:sz w:val="21"/>
                <w:szCs w:val="21"/>
              </w:rPr>
            </w:pPr>
            <w:r>
              <w:rPr>
                <w:rFonts w:hint="eastAsia"/>
                <w:b/>
                <w:szCs w:val="21"/>
              </w:rPr>
              <w:t>相应资料不齐予以拒收，核对后，身份证原件当场退还；</w:t>
            </w:r>
            <w:r>
              <w:rPr>
                <w:rFonts w:hint="eastAsia"/>
                <w:b/>
              </w:rPr>
              <w:t xml:space="preserve"> 相应资料中的名字、名称信息与开标后的投标文件不符，按无效标处理。</w:t>
            </w:r>
            <w:r>
              <w:rPr>
                <w:rFonts w:hint="eastAsia"/>
                <w:b/>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5</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开标程序</w:t>
            </w:r>
          </w:p>
        </w:tc>
        <w:tc>
          <w:tcPr>
            <w:tcW w:w="64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b/>
                <w:bCs/>
                <w:color w:val="000000"/>
                <w:sz w:val="21"/>
                <w:szCs w:val="21"/>
              </w:rPr>
              <w:t>（1）密封情况和人员到场情况检查：</w:t>
            </w:r>
            <w:r>
              <w:rPr>
                <w:rFonts w:hint="eastAsia" w:ascii="宋体" w:hAnsi="宋体" w:eastAsia="宋体"/>
                <w:color w:val="000000"/>
                <w:sz w:val="21"/>
                <w:szCs w:val="21"/>
              </w:rPr>
              <w:t>由投标人</w:t>
            </w:r>
            <w:r>
              <w:rPr>
                <w:rFonts w:hint="eastAsia" w:ascii="宋体" w:hAnsi="宋体" w:eastAsia="宋体"/>
                <w:color w:val="000000"/>
                <w:sz w:val="21"/>
                <w:szCs w:val="21"/>
                <w:lang w:eastAsia="zh-CN"/>
              </w:rPr>
              <w:t>代表</w:t>
            </w:r>
            <w:r>
              <w:rPr>
                <w:rFonts w:hint="eastAsia" w:ascii="宋体" w:hAnsi="宋体" w:eastAsia="宋体"/>
                <w:color w:val="000000"/>
                <w:sz w:val="21"/>
                <w:szCs w:val="21"/>
              </w:rPr>
              <w:t>检查并签字确认；</w:t>
            </w:r>
          </w:p>
          <w:p>
            <w:pPr>
              <w:rPr>
                <w:rFonts w:hint="eastAsia" w:ascii="宋体" w:hAnsi="宋体"/>
                <w:color w:val="000000"/>
                <w:spacing w:val="-6"/>
                <w:sz w:val="24"/>
              </w:rPr>
            </w:pPr>
            <w:r>
              <w:rPr>
                <w:rFonts w:hint="eastAsia" w:ascii="宋体" w:hAnsi="宋体" w:eastAsia="宋体"/>
                <w:b/>
                <w:bCs/>
                <w:color w:val="000000"/>
                <w:sz w:val="21"/>
                <w:szCs w:val="21"/>
              </w:rPr>
              <w:t>（2）</w:t>
            </w:r>
            <w:r>
              <w:rPr>
                <w:rFonts w:hint="eastAsia" w:ascii="宋体" w:hAnsi="宋体" w:eastAsia="宋体"/>
                <w:b/>
                <w:color w:val="000000"/>
                <w:sz w:val="21"/>
                <w:szCs w:val="21"/>
              </w:rPr>
              <w:t>开标顺序</w:t>
            </w:r>
            <w:r>
              <w:rPr>
                <w:rFonts w:hint="eastAsia" w:ascii="宋体" w:hAnsi="宋体" w:eastAsia="宋体"/>
                <w:color w:val="000000"/>
                <w:sz w:val="21"/>
                <w:szCs w:val="21"/>
              </w:rPr>
              <w:t>：直接开商务标。</w:t>
            </w:r>
          </w:p>
          <w:p>
            <w:pPr>
              <w:rPr>
                <w:rFonts w:ascii="宋体" w:hAnsi="宋体" w:eastAsia="宋体" w:cs="宋体"/>
                <w:color w:val="auto"/>
                <w:sz w:val="21"/>
                <w:szCs w:val="21"/>
              </w:rPr>
            </w:pPr>
            <w:r>
              <w:rPr>
                <w:rFonts w:hint="eastAsia" w:ascii="宋体" w:hAnsi="宋体" w:eastAsia="宋体"/>
                <w:color w:val="000000"/>
                <w:sz w:val="21"/>
                <w:szCs w:val="21"/>
              </w:rPr>
              <w:t>投标人对密封情况、人员到场情况和开标有异议的，应该在开标现场提出、招标人（招标代理机构）应当当场作出答复，并制作记录。</w:t>
            </w:r>
            <w:r>
              <w:rPr>
                <w:rFonts w:hint="eastAsia" w:ascii="宋体" w:hAnsi="宋体" w:eastAsia="宋体" w:cs="宋体"/>
                <w:color w:val="auto"/>
                <w:sz w:val="21"/>
                <w:szCs w:val="21"/>
              </w:rPr>
              <w:t>直接开商务标</w:t>
            </w:r>
          </w:p>
        </w:tc>
      </w:tr>
    </w:tbl>
    <w:p>
      <w:pPr>
        <w:pStyle w:val="16"/>
        <w:spacing w:line="400" w:lineRule="exact"/>
        <w:rPr>
          <w:color w:val="auto"/>
          <w:sz w:val="30"/>
          <w:szCs w:val="30"/>
        </w:rPr>
      </w:pPr>
      <w:bookmarkStart w:id="29" w:name="_Toc500209413"/>
      <w:bookmarkStart w:id="30" w:name="_Toc500208464"/>
      <w:bookmarkStart w:id="31" w:name="_Toc18718"/>
      <w:r>
        <w:rPr>
          <w:rFonts w:hint="eastAsia" w:ascii="宋体" w:hAnsi="宋体" w:cs="宋体"/>
          <w:color w:val="auto"/>
          <w:sz w:val="30"/>
          <w:szCs w:val="30"/>
        </w:rPr>
        <w:t>第一节  总  则</w:t>
      </w:r>
      <w:bookmarkEnd w:id="29"/>
      <w:bookmarkEnd w:id="30"/>
      <w:bookmarkEnd w:id="31"/>
    </w:p>
    <w:p>
      <w:pPr>
        <w:spacing w:line="400" w:lineRule="exact"/>
        <w:rPr>
          <w:rFonts w:ascii="宋体" w:hAnsi="宋体" w:eastAsia="宋体"/>
          <w:b/>
          <w:color w:val="FF0000"/>
          <w:sz w:val="21"/>
          <w:szCs w:val="21"/>
        </w:rPr>
      </w:pPr>
      <w:r>
        <w:rPr>
          <w:rFonts w:hint="eastAsia"/>
          <w:b/>
          <w:color w:val="FF0000"/>
        </w:rPr>
        <w:t xml:space="preserve"> </w:t>
      </w:r>
      <w:r>
        <w:rPr>
          <w:rFonts w:hint="eastAsia"/>
          <w:color w:val="FF0000"/>
        </w:rPr>
        <w:t xml:space="preserve"> </w:t>
      </w:r>
      <w:r>
        <w:rPr>
          <w:rFonts w:hint="eastAsia" w:ascii="宋体" w:hAnsi="宋体" w:eastAsia="宋体"/>
          <w:b/>
          <w:color w:val="FF0000"/>
          <w:sz w:val="21"/>
          <w:szCs w:val="21"/>
        </w:rPr>
        <w:t xml:space="preserve">  </w:t>
      </w:r>
    </w:p>
    <w:p>
      <w:pPr>
        <w:spacing w:line="400" w:lineRule="exact"/>
        <w:rPr>
          <w:rFonts w:ascii="宋体" w:hAnsi="宋体" w:eastAsia="宋体"/>
          <w:b/>
          <w:color w:val="auto"/>
          <w:sz w:val="21"/>
          <w:szCs w:val="21"/>
        </w:rPr>
      </w:pPr>
      <w:r>
        <w:rPr>
          <w:rFonts w:hint="eastAsia" w:ascii="宋体" w:hAnsi="宋体" w:eastAsia="宋体"/>
          <w:b/>
          <w:color w:val="FF0000"/>
          <w:sz w:val="21"/>
          <w:szCs w:val="21"/>
        </w:rPr>
        <w:t xml:space="preserve">   </w:t>
      </w:r>
      <w:r>
        <w:rPr>
          <w:rFonts w:hint="eastAsia" w:ascii="宋体" w:hAnsi="宋体" w:eastAsia="宋体"/>
          <w:b/>
          <w:color w:val="auto"/>
          <w:sz w:val="21"/>
          <w:szCs w:val="21"/>
        </w:rPr>
        <w:t xml:space="preserve"> 1、工程说明</w:t>
      </w:r>
      <w:bookmarkStart w:id="32" w:name="_Toc500208465"/>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1.1本招标工程项目说明详见本须知前附表第1项～第7项。</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2、招标范围</w:t>
      </w:r>
    </w:p>
    <w:bookmarkEnd w:id="32"/>
    <w:p>
      <w:pPr>
        <w:spacing w:line="400" w:lineRule="exact"/>
        <w:rPr>
          <w:rFonts w:ascii="宋体" w:hAnsi="宋体" w:eastAsia="宋体"/>
          <w:color w:val="auto"/>
          <w:sz w:val="21"/>
          <w:szCs w:val="21"/>
        </w:rPr>
      </w:pPr>
      <w:bookmarkStart w:id="33" w:name="_Toc500208466"/>
      <w:r>
        <w:rPr>
          <w:rFonts w:hint="eastAsia" w:ascii="宋体" w:hAnsi="宋体" w:eastAsia="宋体"/>
          <w:color w:val="auto"/>
          <w:sz w:val="21"/>
          <w:szCs w:val="21"/>
        </w:rPr>
        <w:t xml:space="preserve">    2.1招标工程项目的招标方式详见本须知前附表第8项。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2.2本招标工程项目的招标范围详见本须知前附表第9项。</w:t>
      </w:r>
    </w:p>
    <w:p>
      <w:pPr>
        <w:spacing w:line="400" w:lineRule="exact"/>
        <w:rPr>
          <w:rFonts w:ascii="宋体" w:hAnsi="宋体" w:eastAsia="宋体"/>
          <w:b/>
          <w:color w:val="auto"/>
          <w:sz w:val="21"/>
          <w:szCs w:val="21"/>
        </w:rPr>
      </w:pPr>
      <w:bookmarkStart w:id="34" w:name="_Toc89"/>
      <w:bookmarkStart w:id="35" w:name="_Toc169487778"/>
      <w:bookmarkStart w:id="36" w:name="_Toc155342530"/>
      <w:r>
        <w:rPr>
          <w:rFonts w:hint="eastAsia" w:ascii="宋体" w:hAnsi="宋体" w:eastAsia="宋体"/>
          <w:b/>
          <w:color w:val="auto"/>
          <w:sz w:val="21"/>
          <w:szCs w:val="21"/>
        </w:rPr>
        <w:t xml:space="preserve">    3、资金来源</w:t>
      </w:r>
      <w:bookmarkEnd w:id="33"/>
      <w:bookmarkEnd w:id="34"/>
      <w:bookmarkEnd w:id="35"/>
      <w:bookmarkEnd w:id="36"/>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3.1本招标工程项目资金来源详见本须知前附表第10项，其中部分资金用于本工程项目合同项下的合格支付。</w:t>
      </w:r>
    </w:p>
    <w:p>
      <w:pPr>
        <w:spacing w:line="400" w:lineRule="exact"/>
        <w:rPr>
          <w:rFonts w:ascii="宋体" w:hAnsi="宋体" w:eastAsia="宋体"/>
          <w:color w:val="auto"/>
          <w:sz w:val="21"/>
          <w:szCs w:val="21"/>
        </w:rPr>
      </w:pPr>
      <w:bookmarkStart w:id="37" w:name="_Toc155342531"/>
      <w:bookmarkStart w:id="38" w:name="_Toc169487779"/>
      <w:bookmarkStart w:id="39" w:name="_Toc32229"/>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4、投标资格</w:t>
      </w:r>
      <w:bookmarkEnd w:id="37"/>
      <w:bookmarkEnd w:id="38"/>
      <w:bookmarkEnd w:id="39"/>
    </w:p>
    <w:p>
      <w:pPr>
        <w:pStyle w:val="8"/>
        <w:spacing w:after="0" w:line="400" w:lineRule="exact"/>
        <w:ind w:firstLine="420" w:firstLineChars="200"/>
        <w:rPr>
          <w:rFonts w:hint="eastAsia"/>
        </w:rPr>
      </w:pPr>
      <w:r>
        <w:rPr>
          <w:rFonts w:hint="eastAsia"/>
          <w:lang w:val="en-US" w:eastAsia="zh-CN"/>
        </w:rPr>
        <w:t>4.1</w:t>
      </w:r>
      <w:r>
        <w:rPr>
          <w:rFonts w:hint="eastAsia"/>
        </w:rPr>
        <w:t>投标人应具备承担本招标工程的资质、资格和其他要求。</w:t>
      </w:r>
    </w:p>
    <w:p>
      <w:pPr>
        <w:pStyle w:val="8"/>
        <w:spacing w:after="0" w:line="400" w:lineRule="exact"/>
        <w:ind w:firstLine="420" w:firstLineChars="200"/>
        <w:rPr>
          <w:rFonts w:hint="eastAsia"/>
        </w:rPr>
      </w:pPr>
      <w:r>
        <w:rPr>
          <w:rFonts w:hint="eastAsia"/>
        </w:rPr>
        <w:t>（1）资质条件：见投标人须知前附表；</w:t>
      </w:r>
    </w:p>
    <w:p>
      <w:pPr>
        <w:pStyle w:val="8"/>
        <w:spacing w:after="0" w:line="400" w:lineRule="exact"/>
        <w:ind w:firstLine="420" w:firstLineChars="200"/>
        <w:rPr>
          <w:rFonts w:hint="eastAsia"/>
        </w:rPr>
      </w:pPr>
      <w:r>
        <w:rPr>
          <w:rFonts w:hint="eastAsia"/>
        </w:rPr>
        <w:t>（2）项目负责人资格：见投标人须知前附表；</w:t>
      </w:r>
    </w:p>
    <w:p>
      <w:pPr>
        <w:pStyle w:val="8"/>
        <w:spacing w:after="0" w:line="400" w:lineRule="exact"/>
        <w:ind w:firstLine="420" w:firstLineChars="200"/>
        <w:rPr>
          <w:rFonts w:hint="eastAsia"/>
        </w:rPr>
      </w:pPr>
      <w:r>
        <w:rPr>
          <w:rFonts w:hint="eastAsia"/>
        </w:rPr>
        <w:t>（3）其他要求：</w:t>
      </w:r>
    </w:p>
    <w:p>
      <w:pPr>
        <w:pStyle w:val="8"/>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rPr>
      </w:pPr>
      <w:r>
        <w:rPr>
          <w:rFonts w:hint="eastAsia"/>
        </w:rPr>
        <w:t>投标人拟派的项目负责人在投标截止日不得在其他任何在建合同工程中担任项目负责人。在建合同工程的开始时间为合同工程中标通知书发出之日（不通过招标方式的，开始时间为合同签订之日），结束时间为该合同工程通过验收或合同解除之日。发生下列情形之一的除外：</w:t>
      </w:r>
    </w:p>
    <w:p>
      <w:pPr>
        <w:pStyle w:val="8"/>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rPr>
      </w:pPr>
      <w:r>
        <w:rPr>
          <w:rFonts w:hint="eastAsia"/>
        </w:rPr>
        <w:t>a.同一工程相邻分段发包或分期施工的；</w:t>
      </w:r>
    </w:p>
    <w:p>
      <w:pPr>
        <w:pStyle w:val="8"/>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rPr>
      </w:pPr>
      <w:r>
        <w:rPr>
          <w:rFonts w:hint="eastAsia"/>
        </w:rPr>
        <w:t>b.合同约定的工程验收合格的；</w:t>
      </w:r>
    </w:p>
    <w:p>
      <w:pPr>
        <w:pStyle w:val="8"/>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rPr>
      </w:pPr>
      <w:r>
        <w:rPr>
          <w:rFonts w:hint="eastAsia"/>
        </w:rPr>
        <w:t>c.因非承包方原因致使工程项目停工超过120天（含），经建设单位同意的。</w:t>
      </w:r>
    </w:p>
    <w:p>
      <w:pPr>
        <w:pStyle w:val="8"/>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rPr>
      </w:pPr>
      <w:r>
        <w:rPr>
          <w:rFonts w:hint="eastAsia"/>
        </w:rPr>
        <w:t>拟委任项目负责人是否有“在建合同工程”按以下原则认定：</w:t>
      </w:r>
    </w:p>
    <w:p>
      <w:pPr>
        <w:pStyle w:val="8"/>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rPr>
      </w:pPr>
      <w:r>
        <w:rPr>
          <w:rFonts w:hint="eastAsia"/>
        </w:rPr>
        <w:t>d.若合同协议书尚未签订，则中标通知书中明确的项目负责人视为有“在建合同工程”。</w:t>
      </w:r>
    </w:p>
    <w:p>
      <w:pPr>
        <w:pStyle w:val="8"/>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rPr>
      </w:pPr>
      <w:r>
        <w:rPr>
          <w:rFonts w:hint="eastAsia"/>
        </w:rPr>
        <w:t>e.若合同协议书已签订的，则仅合同协议书中明确的项目负责人视为有“在建合同工程”。</w:t>
      </w:r>
    </w:p>
    <w:p>
      <w:pPr>
        <w:pStyle w:val="8"/>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rPr>
      </w:pPr>
      <w:r>
        <w:rPr>
          <w:rFonts w:hint="eastAsia"/>
        </w:rPr>
        <w:t>f.在建合同工程未通过验收或合同解除前，合同协议书中明确的项目负责人已经更换的，则现任项目负责人视为有“在建合同工程”，同时应在投标文件中附项目发包人的同意更换证明材料，否则更换前后的项目负责人均视为有“在建合同工程”。</w:t>
      </w:r>
    </w:p>
    <w:p>
      <w:pPr>
        <w:pStyle w:val="8"/>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rPr>
      </w:pPr>
      <w:r>
        <w:rPr>
          <w:rFonts w:hint="eastAsia"/>
        </w:rPr>
        <w:t>如发生以上情形的（c.f款），投标人应在投标文件中提交有关书面证明材料，投标截止时间后提供的证明材料，将不予认可。</w:t>
      </w:r>
    </w:p>
    <w:p>
      <w:pPr>
        <w:pStyle w:val="9"/>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g.另根据（三水利[2014]133号）文件规定：凡在三门县行政区域内依法注册的水利企业在我县水利工程招投标活动中拟派的项目负责人，在我县范围内原承接项目合同价200万元以下（不含200万元）的，不认定为有在建工程。</w:t>
      </w:r>
    </w:p>
    <w:p>
      <w:pPr>
        <w:pStyle w:val="8"/>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b/>
        </w:rPr>
      </w:pPr>
      <w:r>
        <w:t>4.2投标人不得存在下列情形之一：</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 xml:space="preserve">（1）为招标人不具有独立法人资格的附属机构（单位）； </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 xml:space="preserve">（2）为本工程前期准备提供设计或咨询服务的，但设计施工总承包的除外； </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（3）为本工程的监理人；</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 xml:space="preserve">（4）为本工程的代建人； </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 xml:space="preserve">（5）为本工程提供招标代理服务的； </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（6）与本工程的监理人或代建人或招标代理机构同为一个法定代表人的；</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（7）与本工程的监理人或代建人或招标代理机构相互控股或参股的；</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（8）与本工程的监理人或代建人或招标代理机构相互任职或工作的；</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 xml:space="preserve">（9）被责令停业的； </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 xml:space="preserve">（10）被暂停或取消投标资格的（包括项目负责人）； </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（11）安全生产许可证超出有效期或处于暂扣时限内的；</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12）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pPr>
        <w:keepNext w:val="0"/>
        <w:keepLines w:val="0"/>
        <w:pageBreakBefore w:val="0"/>
        <w:kinsoku/>
        <w:wordWrap/>
        <w:overflowPunct/>
        <w:topLinePunct w:val="0"/>
        <w:autoSpaceDE/>
        <w:autoSpaceDN/>
        <w:bidi w:val="0"/>
        <w:adjustRightInd/>
        <w:snapToGrid/>
        <w:spacing w:line="400" w:lineRule="exact"/>
        <w:ind w:firstLine="400" w:firstLineChars="200"/>
        <w:textAlignment w:val="auto"/>
      </w:pPr>
      <w:r>
        <w:t>（13）投标人及相关管理人员（包括项目负责人）安全生产任职资格不符合相关规定；</w:t>
      </w:r>
    </w:p>
    <w:p>
      <w:pPr>
        <w:keepNext w:val="0"/>
        <w:keepLines w:val="0"/>
        <w:pageBreakBefore w:val="0"/>
        <w:kinsoku/>
        <w:wordWrap/>
        <w:overflowPunct/>
        <w:topLinePunct w:val="0"/>
        <w:autoSpaceDE/>
        <w:autoSpaceDN/>
        <w:bidi w:val="0"/>
        <w:adjustRightInd/>
        <w:snapToGrid/>
        <w:spacing w:line="400" w:lineRule="exact"/>
        <w:ind w:firstLine="400" w:firstLineChars="200"/>
        <w:textAlignment w:val="auto"/>
      </w:pPr>
      <w:r>
        <w:t>（14）浙江省外企业《省外企业进浙承接业务备案证明》超出有效期或已注销的。</w:t>
      </w:r>
    </w:p>
    <w:p>
      <w:pPr>
        <w:spacing w:line="400" w:lineRule="exact"/>
        <w:rPr>
          <w:rFonts w:ascii="宋体" w:hAnsi="宋体" w:eastAsia="宋体"/>
          <w:b/>
          <w:color w:val="auto"/>
          <w:sz w:val="21"/>
          <w:szCs w:val="21"/>
        </w:rPr>
      </w:pPr>
      <w:bookmarkStart w:id="40" w:name="_Toc32680"/>
      <w:bookmarkStart w:id="41" w:name="_Toc155342532"/>
      <w:bookmarkStart w:id="42" w:name="_Toc169487780"/>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5、投标费用</w:t>
      </w:r>
      <w:bookmarkEnd w:id="40"/>
      <w:bookmarkEnd w:id="41"/>
      <w:bookmarkEnd w:id="42"/>
    </w:p>
    <w:p>
      <w:pPr>
        <w:spacing w:line="400" w:lineRule="exact"/>
        <w:rPr>
          <w:rFonts w:hint="eastAsia" w:ascii="宋体" w:hAnsi="宋体" w:eastAsia="宋体"/>
          <w:color w:val="auto"/>
          <w:sz w:val="21"/>
          <w:szCs w:val="21"/>
          <w:lang w:eastAsia="zh-CN"/>
        </w:rPr>
      </w:pPr>
      <w:r>
        <w:rPr>
          <w:rFonts w:hint="eastAsia" w:ascii="宋体" w:hAnsi="宋体" w:eastAsia="宋体"/>
          <w:color w:val="auto"/>
          <w:sz w:val="21"/>
          <w:szCs w:val="21"/>
        </w:rPr>
        <w:t xml:space="preserve">    5.1投标人应自行承担其参加投标活动自身发生的费用。</w:t>
      </w:r>
    </w:p>
    <w:p>
      <w:pPr>
        <w:spacing w:line="400" w:lineRule="exact"/>
        <w:rPr>
          <w:rFonts w:ascii="宋体" w:hAnsi="宋体" w:eastAsia="宋体"/>
          <w:b/>
          <w:color w:val="auto"/>
          <w:sz w:val="21"/>
          <w:szCs w:val="21"/>
        </w:rPr>
      </w:pPr>
      <w:bookmarkStart w:id="43" w:name="_Toc6360"/>
      <w:bookmarkStart w:id="44" w:name="_Toc343791608"/>
      <w:bookmarkStart w:id="45" w:name="_Toc169487782"/>
      <w:bookmarkStart w:id="46" w:name="_Toc155342534"/>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6、现场条件</w:t>
      </w:r>
      <w:bookmarkEnd w:id="43"/>
      <w:bookmarkEnd w:id="44"/>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施工现场的“三通一平”已完成。</w:t>
      </w:r>
    </w:p>
    <w:p>
      <w:pPr>
        <w:spacing w:line="400" w:lineRule="exact"/>
        <w:rPr>
          <w:rFonts w:ascii="宋体" w:hAnsi="宋体" w:eastAsia="宋体"/>
          <w:b/>
          <w:color w:val="auto"/>
          <w:sz w:val="21"/>
          <w:szCs w:val="21"/>
        </w:rPr>
      </w:pPr>
      <w:bookmarkStart w:id="47" w:name="_Toc2253"/>
      <w:r>
        <w:rPr>
          <w:rFonts w:hint="eastAsia" w:ascii="宋体" w:hAnsi="宋体" w:eastAsia="宋体"/>
          <w:color w:val="auto"/>
          <w:sz w:val="21"/>
          <w:szCs w:val="21"/>
        </w:rPr>
        <w:t xml:space="preserve">    </w:t>
      </w:r>
      <w:r>
        <w:rPr>
          <w:rFonts w:hint="eastAsia" w:ascii="宋体" w:hAnsi="宋体" w:eastAsia="宋体"/>
          <w:b/>
          <w:color w:val="auto"/>
          <w:sz w:val="21"/>
          <w:szCs w:val="21"/>
        </w:rPr>
        <w:t>7、踏勘现场</w:t>
      </w:r>
      <w:bookmarkEnd w:id="45"/>
      <w:bookmarkEnd w:id="46"/>
      <w:bookmarkEnd w:id="47"/>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7.1投标人可对工程施工现场和周围环境进行踏勘，以获取编制投标文件和签署合同所需的资料。踏勘现场所发生的费用由投标人自己承担。</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7.2招标人向投标人提供的有关施工现场的资料和数据，是招标人现有的能使投标人利用的资料。招标人对投标人由此而作出的推论、理解、结论概不负责。</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7.3除招标人向投标人提供本工程有关的情况外，投标人应通过自行调查取得与本工程施工承包可能发生的费用等有关的全部情况，包括交通、环保、治安等规定和要求。</w:t>
      </w:r>
    </w:p>
    <w:p>
      <w:pPr>
        <w:spacing w:line="400" w:lineRule="exact"/>
        <w:rPr>
          <w:rFonts w:ascii="宋体" w:hAnsi="宋体" w:eastAsia="宋体"/>
          <w:color w:val="auto"/>
          <w:sz w:val="21"/>
          <w:szCs w:val="21"/>
        </w:rPr>
      </w:pPr>
    </w:p>
    <w:p>
      <w:pPr>
        <w:pStyle w:val="16"/>
        <w:spacing w:line="400" w:lineRule="exact"/>
        <w:rPr>
          <w:rFonts w:ascii="宋体" w:hAnsi="宋体" w:cs="宋体"/>
          <w:color w:val="auto"/>
          <w:sz w:val="30"/>
          <w:szCs w:val="30"/>
        </w:rPr>
      </w:pPr>
      <w:bookmarkStart w:id="48" w:name="_Toc400"/>
      <w:bookmarkStart w:id="49" w:name="_Toc500209414"/>
      <w:bookmarkStart w:id="50" w:name="_Toc500208467"/>
      <w:r>
        <w:rPr>
          <w:rFonts w:hint="eastAsia" w:ascii="宋体" w:hAnsi="宋体" w:cs="宋体"/>
          <w:color w:val="auto"/>
          <w:sz w:val="30"/>
          <w:szCs w:val="30"/>
        </w:rPr>
        <w:t>第二节  招标文件</w:t>
      </w:r>
      <w:bookmarkEnd w:id="48"/>
      <w:bookmarkEnd w:id="49"/>
      <w:bookmarkEnd w:id="50"/>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8、招标文件的组成</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8.1招标文件包括下列内容：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（1）招标公告；</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（2）投标须知及投标须知前附表；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（3）合同条款；</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（4）投标文件表格式等；</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（5）招标人提供的施工图预算审核书（以下简称招标人预算审核书）；</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8.2除上款内容外，招标人在提交投标文件截止时间前，以书面形式发出的对招标文件的澄清或修改内容，均为招标文件的组成部分，对招标人和投标人起约束作用。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spacing w:line="400" w:lineRule="exact"/>
        <w:rPr>
          <w:rFonts w:ascii="宋体" w:hAnsi="宋体" w:eastAsia="宋体"/>
          <w:b/>
          <w:color w:val="auto"/>
          <w:sz w:val="21"/>
          <w:szCs w:val="21"/>
        </w:rPr>
      </w:pPr>
      <w:bookmarkStart w:id="51" w:name="_Toc500208469"/>
      <w:bookmarkStart w:id="52" w:name="_Toc169487785"/>
      <w:bookmarkStart w:id="53" w:name="_Toc155342537"/>
      <w:bookmarkStart w:id="54" w:name="_Toc25615"/>
      <w:r>
        <w:rPr>
          <w:rFonts w:hint="eastAsia" w:ascii="宋体" w:hAnsi="宋体" w:eastAsia="宋体"/>
          <w:b/>
          <w:color w:val="auto"/>
          <w:sz w:val="21"/>
          <w:szCs w:val="21"/>
        </w:rPr>
        <w:t xml:space="preserve">    9、招标文件的</w:t>
      </w:r>
      <w:bookmarkEnd w:id="51"/>
      <w:r>
        <w:rPr>
          <w:rFonts w:hint="eastAsia" w:ascii="宋体" w:hAnsi="宋体" w:eastAsia="宋体"/>
          <w:b/>
          <w:color w:val="auto"/>
          <w:sz w:val="21"/>
          <w:szCs w:val="21"/>
        </w:rPr>
        <w:t>澄清</w:t>
      </w:r>
      <w:bookmarkEnd w:id="52"/>
      <w:bookmarkEnd w:id="53"/>
      <w:bookmarkEnd w:id="54"/>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9.1投标人在收到招标文件后，若有问题需要澄清，应于收到招标文件后3日内，以书面形式向招标人提出，招标人的书面答复将送给所有获得招标文件的投标人。招标人及招标代理机构的任何工作人员对投标人所作的任何口头解释、介绍、答复，只能供投标人参考，对招标人无任何约束力。</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10、招标文件的修改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10.1在投标截止日期前，招标人可能以补充通知的方式修改招标文件。</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10.2招标文件的澄清、修改、补充等内容均以书面形式明确的内容为准。当招标文件、招标文件的澄清、修改、补充等在同一内容的表述上不一致时，以最后发出的书面文件为准。</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10.3招标文件的澄清、修改、补充等内容将以书面方式发给所有获得招标文件的投标人，这些内容作为招标文件的组成部分，对投标人起约束作用。投标人通过传真或电邮方式收到的，须当即给予回执。</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11、招标文件的备案</w:t>
      </w:r>
    </w:p>
    <w:p>
      <w:pPr>
        <w:pStyle w:val="8"/>
        <w:ind w:firstLine="420" w:firstLineChars="200"/>
        <w:rPr>
          <w:color w:val="auto"/>
        </w:rPr>
      </w:pPr>
      <w:r>
        <w:rPr>
          <w:rFonts w:hint="eastAsia"/>
          <w:color w:val="auto"/>
        </w:rPr>
        <w:t>11.1本招标文件（包括澄清、修改、补充文件、书面答复等）未经监管部门备案盖章的一律无效。</w:t>
      </w:r>
    </w:p>
    <w:p>
      <w:pPr>
        <w:spacing w:line="400" w:lineRule="exact"/>
        <w:rPr>
          <w:rFonts w:ascii="宋体" w:hAnsi="宋体" w:eastAsia="宋体"/>
          <w:b/>
          <w:color w:val="auto"/>
          <w:sz w:val="21"/>
          <w:szCs w:val="21"/>
        </w:rPr>
      </w:pPr>
      <w:bookmarkStart w:id="55" w:name="_Toc8037"/>
      <w:bookmarkStart w:id="56" w:name="_Toc169487788"/>
      <w:bookmarkStart w:id="57" w:name="_Toc155342540"/>
      <w:r>
        <w:rPr>
          <w:rFonts w:hint="eastAsia" w:ascii="宋体" w:hAnsi="宋体" w:eastAsia="宋体"/>
          <w:b/>
          <w:color w:val="auto"/>
          <w:sz w:val="21"/>
          <w:szCs w:val="21"/>
        </w:rPr>
        <w:t xml:space="preserve">    12、招标文件的解释权</w:t>
      </w:r>
      <w:bookmarkEnd w:id="55"/>
      <w:bookmarkEnd w:id="56"/>
      <w:bookmarkEnd w:id="57"/>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12.1本招标文件（包括澄清、修改、补充文件、书面答复等）的解释权属招标人。</w:t>
      </w:r>
    </w:p>
    <w:p>
      <w:pPr>
        <w:spacing w:line="400" w:lineRule="exact"/>
        <w:rPr>
          <w:rFonts w:ascii="宋体" w:hAnsi="宋体" w:eastAsia="宋体" w:cs="宋体"/>
          <w:color w:val="auto"/>
          <w:sz w:val="21"/>
        </w:rPr>
      </w:pPr>
    </w:p>
    <w:p>
      <w:pPr>
        <w:pStyle w:val="16"/>
        <w:spacing w:line="400" w:lineRule="exact"/>
        <w:rPr>
          <w:rFonts w:ascii="宋体" w:hAnsi="宋体" w:cs="宋体"/>
          <w:color w:val="auto"/>
          <w:sz w:val="30"/>
          <w:szCs w:val="30"/>
        </w:rPr>
      </w:pPr>
      <w:bookmarkStart w:id="58" w:name="_Toc4188"/>
      <w:bookmarkStart w:id="59" w:name="_Toc500209416"/>
      <w:bookmarkStart w:id="60" w:name="_Toc500208475"/>
      <w:r>
        <w:rPr>
          <w:rFonts w:hint="eastAsia" w:ascii="宋体" w:hAnsi="宋体" w:cs="宋体"/>
          <w:color w:val="auto"/>
          <w:sz w:val="30"/>
          <w:szCs w:val="30"/>
        </w:rPr>
        <w:t>第三节  投标文件的编制</w:t>
      </w:r>
      <w:bookmarkEnd w:id="58"/>
      <w:bookmarkEnd w:id="59"/>
      <w:bookmarkEnd w:id="60"/>
    </w:p>
    <w:p>
      <w:pPr>
        <w:pStyle w:val="16"/>
        <w:spacing w:line="400" w:lineRule="exact"/>
        <w:rPr>
          <w:rFonts w:ascii="宋体" w:hAnsi="宋体" w:cs="宋体"/>
          <w:color w:val="auto"/>
          <w:sz w:val="30"/>
          <w:szCs w:val="30"/>
        </w:rPr>
      </w:pP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13、投标文件的组成</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13.1本招标工程项目的投标文件组成详见本须知前附表第14项。</w:t>
      </w:r>
    </w:p>
    <w:p>
      <w:pPr>
        <w:spacing w:line="400" w:lineRule="exact"/>
        <w:rPr>
          <w:rFonts w:ascii="宋体" w:hAnsi="宋体" w:eastAsia="宋体"/>
          <w:b/>
          <w:color w:val="auto"/>
          <w:sz w:val="21"/>
          <w:szCs w:val="21"/>
        </w:rPr>
      </w:pPr>
      <w:bookmarkStart w:id="61" w:name="_Toc23066"/>
      <w:bookmarkStart w:id="62" w:name="_Toc155342544"/>
      <w:bookmarkStart w:id="63" w:name="_Toc169487791"/>
      <w:r>
        <w:rPr>
          <w:rFonts w:hint="eastAsia" w:ascii="宋体" w:hAnsi="宋体" w:eastAsia="宋体"/>
          <w:b/>
          <w:color w:val="auto"/>
          <w:sz w:val="21"/>
          <w:szCs w:val="21"/>
        </w:rPr>
        <w:t xml:space="preserve">    14、投标文件的格式</w:t>
      </w:r>
      <w:bookmarkEnd w:id="61"/>
      <w:bookmarkEnd w:id="62"/>
      <w:bookmarkEnd w:id="63"/>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14.1本招标工程项目的投标文件格式要求详见本须知前附表第15项。</w:t>
      </w:r>
    </w:p>
    <w:p>
      <w:pPr>
        <w:spacing w:line="400" w:lineRule="exact"/>
        <w:rPr>
          <w:rFonts w:ascii="宋体" w:hAnsi="宋体" w:eastAsia="宋体"/>
          <w:b/>
          <w:color w:val="auto"/>
          <w:sz w:val="21"/>
          <w:szCs w:val="21"/>
        </w:rPr>
      </w:pPr>
      <w:bookmarkStart w:id="64" w:name="_Toc169487792"/>
      <w:bookmarkStart w:id="65" w:name="_Toc155342545"/>
      <w:bookmarkStart w:id="66" w:name="_Toc14574"/>
      <w:r>
        <w:rPr>
          <w:rFonts w:hint="eastAsia" w:ascii="宋体" w:hAnsi="宋体" w:eastAsia="宋体"/>
          <w:b/>
          <w:color w:val="auto"/>
          <w:sz w:val="21"/>
          <w:szCs w:val="21"/>
        </w:rPr>
        <w:t xml:space="preserve">    15、投标报价组成</w:t>
      </w:r>
      <w:bookmarkEnd w:id="64"/>
      <w:bookmarkEnd w:id="65"/>
      <w:bookmarkEnd w:id="66"/>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15.1报价方式：本工程项目报价方式详见本须知前附表第16项。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15.2投标总报价应是招标文件所确定的招标范围内全部工作内容的价格表现。其应包括施工设备、劳务、管理、材料、安装、安全文明、维护、保险、利润、规费、税金、政策性文件规定及合同包含的所有风险、责任等所有费用。投标人应根据招标人提供的施工图、技术资料、预算造价、施工工期的要求，投标人结合本工程的实际情况、自身的综合实力、管理技术水平、市场价格信息综合分析后自主确定报价，投标报价采用下浮的方式竞报。</w:t>
      </w:r>
      <w:bookmarkStart w:id="67" w:name="_Toc169487794"/>
      <w:bookmarkStart w:id="68" w:name="_Toc23662"/>
      <w:bookmarkStart w:id="69" w:name="_Toc155342547"/>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w:t>
      </w:r>
      <w:r>
        <w:rPr>
          <w:rFonts w:hint="eastAsia" w:ascii="宋体" w:hAnsi="宋体" w:eastAsia="宋体"/>
          <w:b/>
          <w:color w:val="auto"/>
          <w:sz w:val="21"/>
          <w:szCs w:val="21"/>
        </w:rPr>
        <w:t>16、投标担保</w:t>
      </w:r>
      <w:bookmarkEnd w:id="67"/>
      <w:bookmarkEnd w:id="68"/>
      <w:bookmarkEnd w:id="69"/>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16.1投标人按本须知前附表规定的数额在开标前提交投标保证金。</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16.2对于未能按要求提交投标担保的，招标人将视为不响应投标而予以拒绝。</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16.3投标担保按以下方式退还：</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⑴第一中标候选人在招标人与中标人鉴定合同后五个工作日内退还（不计息）。</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⑵其余投标人（含无效标的）在开标结束后退还。</w:t>
      </w:r>
    </w:p>
    <w:p>
      <w:pPr>
        <w:spacing w:line="400" w:lineRule="exact"/>
        <w:rPr>
          <w:rFonts w:ascii="宋体" w:hAnsi="宋体" w:eastAsia="宋体" w:cs="宋体"/>
          <w:color w:val="auto"/>
        </w:rPr>
      </w:pPr>
      <w:r>
        <w:rPr>
          <w:rFonts w:hint="eastAsia" w:ascii="宋体" w:hAnsi="宋体" w:eastAsia="宋体" w:cs="宋体"/>
          <w:color w:val="auto"/>
          <w:sz w:val="21"/>
        </w:rPr>
        <w:t xml:space="preserve">    15.4如投标人有下列情况，投标担保将被没收：</w:t>
      </w:r>
    </w:p>
    <w:p>
      <w:pPr>
        <w:spacing w:line="400" w:lineRule="exact"/>
        <w:rPr>
          <w:rFonts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sz w:val="21"/>
        </w:rPr>
        <w:t>⑴投标人在投标有效期内撤回其投标文件；</w:t>
      </w:r>
    </w:p>
    <w:p>
      <w:pPr>
        <w:spacing w:line="400" w:lineRule="exact"/>
        <w:rPr>
          <w:rFonts w:ascii="宋体" w:hAnsi="宋体" w:eastAsia="宋体" w:cs="宋体"/>
          <w:color w:val="auto"/>
          <w:sz w:val="21"/>
        </w:rPr>
      </w:pPr>
      <w:r>
        <w:rPr>
          <w:rFonts w:hint="eastAsia" w:ascii="宋体" w:hAnsi="宋体" w:eastAsia="宋体" w:cs="宋体"/>
          <w:color w:val="auto"/>
        </w:rPr>
        <w:t xml:space="preserve">   </w:t>
      </w:r>
      <w:r>
        <w:rPr>
          <w:rFonts w:hint="eastAsia" w:ascii="宋体" w:hAnsi="宋体" w:eastAsia="宋体" w:cs="宋体"/>
          <w:color w:val="auto"/>
          <w:sz w:val="21"/>
        </w:rPr>
        <w:t>⑵中标人未能在规定期限内提交履约担保或签署合同协议；</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⑶投标人在投标期间内有串标、哄抬标价等违规违法行为。</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投标人违反《台州市建设工程诚信投标承诺</w:t>
      </w:r>
      <w:r>
        <w:rPr>
          <w:rFonts w:hint="eastAsia" w:ascii="宋体" w:hAnsi="宋体" w:eastAsia="宋体"/>
          <w:color w:val="auto"/>
          <w:sz w:val="21"/>
        </w:rPr>
        <w:t>书》承诺内容的。</w:t>
      </w:r>
    </w:p>
    <w:p>
      <w:pPr>
        <w:spacing w:line="400" w:lineRule="exact"/>
        <w:rPr>
          <w:rFonts w:ascii="宋体" w:hAnsi="宋体" w:eastAsia="宋体"/>
          <w:b/>
          <w:color w:val="auto"/>
          <w:sz w:val="21"/>
          <w:szCs w:val="21"/>
        </w:rPr>
      </w:pPr>
      <w:bookmarkStart w:id="70" w:name="_Toc9382"/>
      <w:bookmarkStart w:id="71" w:name="_Toc169487795"/>
      <w:bookmarkStart w:id="72" w:name="_Toc155342548"/>
      <w:r>
        <w:rPr>
          <w:rFonts w:hint="eastAsia" w:ascii="宋体" w:hAnsi="宋体" w:eastAsia="宋体"/>
          <w:b/>
          <w:color w:val="auto"/>
          <w:sz w:val="21"/>
          <w:szCs w:val="21"/>
        </w:rPr>
        <w:t xml:space="preserve">    17、投标有效期</w:t>
      </w:r>
      <w:bookmarkEnd w:id="70"/>
      <w:bookmarkEnd w:id="71"/>
      <w:bookmarkEnd w:id="72"/>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17.1投标有效期详见本须知前附表第18项，在此期限内，凡符合本招标文件要求的投标文件均保持有效。</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17.2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16条关于投标担保的退还与没收的规定仍然适用。</w:t>
      </w:r>
    </w:p>
    <w:p>
      <w:pPr>
        <w:spacing w:line="400" w:lineRule="exact"/>
        <w:rPr>
          <w:rFonts w:ascii="宋体" w:hAnsi="宋体" w:eastAsia="宋体"/>
          <w:b/>
          <w:color w:val="auto"/>
          <w:sz w:val="21"/>
          <w:szCs w:val="21"/>
        </w:rPr>
      </w:pPr>
      <w:bookmarkStart w:id="73" w:name="_Toc169487796"/>
      <w:bookmarkStart w:id="74" w:name="_Toc500208479"/>
      <w:bookmarkStart w:id="75" w:name="_Toc155342549"/>
      <w:bookmarkStart w:id="76" w:name="_Toc7107"/>
      <w:r>
        <w:rPr>
          <w:rFonts w:hint="eastAsia" w:ascii="宋体" w:hAnsi="宋体" w:eastAsia="宋体"/>
          <w:b/>
          <w:color w:val="auto"/>
          <w:sz w:val="21"/>
          <w:szCs w:val="21"/>
        </w:rPr>
        <w:t xml:space="preserve">    18、投标文件的份数和签署</w:t>
      </w:r>
      <w:bookmarkEnd w:id="73"/>
      <w:bookmarkEnd w:id="74"/>
      <w:bookmarkEnd w:id="75"/>
      <w:bookmarkEnd w:id="76"/>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18.1投标人按本须知前附表第20项规定的份数递交投标文件。</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18.2招标文件附件中注明由投标人法定代表人亲自签署或印鉴、并加盖法人单位公章的，投标人均应按要求签章。</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18.3当正本与副本不一致时，以正本为准。如未注明正副本的，由评标委员会或工作人员随机抽签确定一本作为正本。</w:t>
      </w:r>
      <w:bookmarkStart w:id="77" w:name="_Toc500208480"/>
      <w:bookmarkStart w:id="78" w:name="_Toc20303"/>
      <w:bookmarkStart w:id="79" w:name="_Toc500209417"/>
    </w:p>
    <w:p>
      <w:pPr>
        <w:spacing w:line="400" w:lineRule="exact"/>
        <w:rPr>
          <w:rFonts w:ascii="宋体" w:hAnsi="宋体" w:eastAsia="宋体" w:cs="宋体"/>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color w:val="auto"/>
          <w:sz w:val="30"/>
          <w:szCs w:val="30"/>
        </w:rPr>
        <w:t>第四节  投标文件的递交</w:t>
      </w:r>
      <w:bookmarkEnd w:id="77"/>
      <w:bookmarkEnd w:id="78"/>
      <w:bookmarkEnd w:id="79"/>
      <w:bookmarkStart w:id="80" w:name="_Toc500208481"/>
      <w:bookmarkStart w:id="81" w:name="_Toc169487798"/>
      <w:bookmarkStart w:id="82" w:name="_Toc4467"/>
      <w:bookmarkStart w:id="83" w:name="_Toc155342551"/>
    </w:p>
    <w:p>
      <w:pPr>
        <w:spacing w:line="400" w:lineRule="exact"/>
        <w:jc w:val="center"/>
        <w:rPr>
          <w:rFonts w:ascii="宋体" w:hAnsi="宋体" w:eastAsia="宋体" w:cs="宋体"/>
          <w:b/>
          <w:color w:val="auto"/>
          <w:sz w:val="30"/>
          <w:szCs w:val="30"/>
        </w:rPr>
      </w:pPr>
    </w:p>
    <w:p>
      <w:pPr>
        <w:spacing w:line="400" w:lineRule="exact"/>
        <w:rPr>
          <w:rFonts w:ascii="宋体" w:hAnsi="宋体" w:eastAsia="宋体" w:cs="宋体"/>
          <w:b/>
          <w:color w:val="auto"/>
          <w:sz w:val="30"/>
          <w:szCs w:val="30"/>
        </w:rPr>
      </w:pPr>
      <w:r>
        <w:rPr>
          <w:rFonts w:hint="eastAsia" w:ascii="宋体" w:hAnsi="宋体" w:eastAsia="宋体" w:cs="宋体"/>
          <w:b/>
          <w:color w:val="auto"/>
          <w:sz w:val="30"/>
          <w:szCs w:val="30"/>
        </w:rPr>
        <w:t xml:space="preserve">   </w:t>
      </w:r>
      <w:r>
        <w:rPr>
          <w:rFonts w:hint="eastAsia" w:ascii="宋体" w:hAnsi="宋体" w:eastAsia="宋体"/>
          <w:b/>
          <w:color w:val="auto"/>
          <w:sz w:val="21"/>
          <w:szCs w:val="21"/>
        </w:rPr>
        <w:t>19、投标文件的装订、密封与标志</w:t>
      </w:r>
      <w:bookmarkEnd w:id="80"/>
      <w:bookmarkEnd w:id="81"/>
      <w:bookmarkEnd w:id="82"/>
      <w:bookmarkEnd w:id="83"/>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w:t>
      </w:r>
      <w:r>
        <w:rPr>
          <w:rFonts w:hint="eastAsia" w:ascii="宋体" w:hAnsi="宋体" w:eastAsia="宋体" w:cs="宋体"/>
          <w:color w:val="auto"/>
          <w:sz w:val="21"/>
          <w:lang w:val="en-US" w:eastAsia="zh-CN"/>
        </w:rPr>
        <w:t>9</w:t>
      </w:r>
      <w:r>
        <w:rPr>
          <w:rFonts w:hint="eastAsia" w:ascii="宋体" w:hAnsi="宋体" w:eastAsia="宋体" w:cs="宋体"/>
          <w:color w:val="auto"/>
          <w:sz w:val="21"/>
        </w:rPr>
        <w:t>.1投标人应将投标文件按规定密封，并注明项目（标段）名称、投标人名称及标函名称。</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w:t>
      </w:r>
      <w:r>
        <w:rPr>
          <w:rFonts w:hint="eastAsia" w:ascii="宋体" w:hAnsi="宋体" w:eastAsia="宋体" w:cs="宋体"/>
          <w:color w:val="auto"/>
          <w:sz w:val="21"/>
          <w:lang w:val="en-US" w:eastAsia="zh-CN"/>
        </w:rPr>
        <w:t>9</w:t>
      </w:r>
      <w:r>
        <w:rPr>
          <w:rFonts w:hint="eastAsia" w:ascii="宋体" w:hAnsi="宋体" w:eastAsia="宋体" w:cs="宋体"/>
          <w:color w:val="auto"/>
          <w:sz w:val="21"/>
        </w:rPr>
        <w:t>.2</w:t>
      </w:r>
      <w:r>
        <w:rPr>
          <w:rFonts w:ascii="宋体" w:hAnsi="宋体" w:eastAsia="宋体" w:cs="宋体"/>
          <w:color w:val="auto"/>
          <w:sz w:val="21"/>
        </w:rPr>
        <w:t>密封袋</w:t>
      </w:r>
      <w:r>
        <w:rPr>
          <w:rFonts w:hint="eastAsia" w:ascii="宋体" w:hAnsi="宋体" w:eastAsia="宋体" w:cs="宋体"/>
          <w:color w:val="auto"/>
          <w:sz w:val="21"/>
        </w:rPr>
        <w:t>封口处加盖单位公章或法人代表或委托代理人印章或签字。</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w:t>
      </w:r>
      <w:r>
        <w:rPr>
          <w:rFonts w:hint="eastAsia" w:ascii="宋体" w:hAnsi="宋体" w:eastAsia="宋体" w:cs="宋体"/>
          <w:color w:val="auto"/>
          <w:sz w:val="21"/>
          <w:lang w:val="en-US" w:eastAsia="zh-CN"/>
        </w:rPr>
        <w:t>9</w:t>
      </w:r>
      <w:r>
        <w:rPr>
          <w:rFonts w:hint="eastAsia" w:ascii="宋体" w:hAnsi="宋体" w:eastAsia="宋体" w:cs="宋体"/>
          <w:color w:val="auto"/>
          <w:sz w:val="21"/>
        </w:rPr>
        <w:t>.3投标文件的密封及装订要求详见本须知前附表第21项。</w:t>
      </w:r>
    </w:p>
    <w:p>
      <w:pPr>
        <w:spacing w:line="400" w:lineRule="exact"/>
        <w:rPr>
          <w:rFonts w:ascii="宋体" w:hAnsi="宋体" w:eastAsia="宋体"/>
          <w:b/>
          <w:color w:val="auto"/>
          <w:sz w:val="21"/>
          <w:szCs w:val="21"/>
        </w:rPr>
      </w:pPr>
      <w:bookmarkStart w:id="84" w:name="_Toc32353"/>
      <w:bookmarkStart w:id="85" w:name="_Toc155342552"/>
      <w:bookmarkStart w:id="86" w:name="_Toc169487799"/>
      <w:bookmarkStart w:id="87" w:name="_Toc500208482"/>
      <w:r>
        <w:rPr>
          <w:rFonts w:hint="eastAsia" w:ascii="宋体" w:hAnsi="宋体" w:eastAsia="宋体"/>
          <w:b/>
          <w:color w:val="auto"/>
          <w:sz w:val="21"/>
          <w:szCs w:val="21"/>
        </w:rPr>
        <w:t xml:space="preserve">   20、投标文件的递交</w:t>
      </w:r>
      <w:bookmarkEnd w:id="84"/>
      <w:bookmarkEnd w:id="85"/>
      <w:bookmarkEnd w:id="86"/>
    </w:p>
    <w:p>
      <w:pPr>
        <w:pStyle w:val="8"/>
        <w:pageBreakBefore w:val="0"/>
        <w:numPr>
          <w:ilvl w:val="0"/>
          <w:numId w:val="0"/>
        </w:numPr>
        <w:kinsoku/>
        <w:wordWrap/>
        <w:overflowPunct/>
        <w:topLinePunct w:val="0"/>
        <w:autoSpaceDE/>
        <w:autoSpaceDN/>
        <w:bidi w:val="0"/>
        <w:spacing w:line="440" w:lineRule="exact"/>
        <w:ind w:leftChars="200"/>
        <w:textAlignment w:val="auto"/>
        <w:rPr>
          <w:rFonts w:hint="eastAsia" w:ascii="宋体" w:hAnsi="宋体" w:eastAsia="宋体" w:cs="宋体"/>
          <w:color w:val="auto"/>
          <w:kern w:val="0"/>
          <w:sz w:val="21"/>
          <w:szCs w:val="20"/>
          <w:lang w:val="en-US" w:eastAsia="zh-CN" w:bidi="ar-SA"/>
        </w:rPr>
      </w:pPr>
      <w:r>
        <w:rPr>
          <w:rFonts w:hint="eastAsia" w:cs="宋体"/>
          <w:color w:val="auto"/>
          <w:kern w:val="0"/>
          <w:sz w:val="21"/>
          <w:szCs w:val="20"/>
          <w:lang w:val="en-US" w:eastAsia="zh-CN" w:bidi="ar-SA"/>
        </w:rPr>
        <w:t>20.1</w:t>
      </w:r>
      <w:r>
        <w:rPr>
          <w:rFonts w:hint="eastAsia" w:ascii="宋体" w:hAnsi="宋体" w:eastAsia="宋体" w:cs="宋体"/>
          <w:color w:val="auto"/>
          <w:kern w:val="0"/>
          <w:sz w:val="21"/>
          <w:szCs w:val="20"/>
          <w:lang w:val="en-US" w:eastAsia="zh-CN" w:bidi="ar-SA"/>
        </w:rPr>
        <w:t>投标人应按本须知前附表规定的地点，在本须知前附表规定的截止时间前提交投标文件</w:t>
      </w:r>
      <w:r>
        <w:rPr>
          <w:rFonts w:hint="eastAsia" w:cs="宋体"/>
          <w:color w:val="auto"/>
          <w:kern w:val="0"/>
          <w:sz w:val="21"/>
          <w:szCs w:val="20"/>
          <w:lang w:val="en-US" w:eastAsia="zh-CN" w:bidi="ar-SA"/>
        </w:rPr>
        <w:t>，</w:t>
      </w:r>
      <w:r>
        <w:rPr>
          <w:rFonts w:hint="eastAsia" w:ascii="宋体" w:hAnsi="宋体" w:eastAsia="宋体" w:cs="宋体"/>
          <w:color w:val="auto"/>
          <w:kern w:val="0"/>
          <w:sz w:val="21"/>
          <w:szCs w:val="20"/>
          <w:lang w:val="en-US" w:eastAsia="zh-CN" w:bidi="ar-SA"/>
        </w:rPr>
        <w:t>同时需满足以下要求，否则该投标文件予以拒收：</w:t>
      </w:r>
    </w:p>
    <w:p>
      <w:pPr>
        <w:pStyle w:val="3"/>
        <w:pageBreakBefore w:val="0"/>
        <w:kinsoku/>
        <w:wordWrap/>
        <w:overflowPunct/>
        <w:topLinePunct w:val="0"/>
        <w:autoSpaceDE/>
        <w:autoSpaceDN/>
        <w:bidi w:val="0"/>
        <w:spacing w:line="440" w:lineRule="exact"/>
        <w:ind w:left="-4" w:leftChars="-2" w:firstLineChars="200"/>
        <w:textAlignment w:val="auto"/>
        <w:rPr>
          <w:rFonts w:hint="eastAsia" w:ascii="宋体" w:hAnsi="宋体" w:eastAsia="宋体" w:cs="宋体"/>
          <w:color w:val="auto"/>
          <w:kern w:val="0"/>
          <w:sz w:val="21"/>
          <w:szCs w:val="20"/>
          <w:lang w:val="en-US" w:eastAsia="zh-CN" w:bidi="ar-SA"/>
        </w:rPr>
      </w:pPr>
      <w:r>
        <w:rPr>
          <w:rFonts w:hint="eastAsia" w:ascii="宋体" w:hAnsi="宋体" w:eastAsia="宋体" w:cs="宋体"/>
          <w:color w:val="auto"/>
          <w:kern w:val="0"/>
          <w:sz w:val="21"/>
          <w:szCs w:val="20"/>
          <w:lang w:val="en-US" w:eastAsia="zh-CN" w:bidi="ar-SA"/>
        </w:rPr>
        <w:t>（1）投标人提交投标保证金；</w:t>
      </w:r>
    </w:p>
    <w:p>
      <w:pPr>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kern w:val="0"/>
          <w:sz w:val="21"/>
          <w:szCs w:val="20"/>
          <w:lang w:val="en-US" w:eastAsia="zh-CN" w:bidi="ar-SA"/>
        </w:rPr>
      </w:pPr>
      <w:r>
        <w:rPr>
          <w:rFonts w:hint="eastAsia" w:ascii="宋体" w:hAnsi="宋体" w:eastAsia="宋体" w:cs="宋体"/>
          <w:color w:val="auto"/>
          <w:kern w:val="0"/>
          <w:sz w:val="21"/>
          <w:szCs w:val="20"/>
          <w:lang w:val="en-US" w:eastAsia="zh-CN" w:bidi="ar-SA"/>
        </w:rPr>
        <w:t>（2）投标文件递交时，投标人的法定代表人或项目负责人必须携带相应资料参加开标会议，再签名报到，以证明其出席开标会议，否则投标文件予以拒收，法定代表人或授权委托人应出示携带的相应资料：</w:t>
      </w:r>
    </w:p>
    <w:p>
      <w:pPr>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kern w:val="0"/>
          <w:sz w:val="21"/>
          <w:szCs w:val="20"/>
          <w:lang w:val="en-US" w:eastAsia="zh-CN" w:bidi="ar-SA"/>
        </w:rPr>
      </w:pPr>
      <w:r>
        <w:rPr>
          <w:rFonts w:hint="eastAsia" w:ascii="宋体" w:hAnsi="宋体" w:eastAsia="宋体" w:cs="宋体"/>
          <w:color w:val="auto"/>
          <w:kern w:val="0"/>
          <w:sz w:val="21"/>
          <w:szCs w:val="20"/>
          <w:lang w:val="en-US" w:eastAsia="zh-CN" w:bidi="ar-SA"/>
        </w:rPr>
        <w:t>1、如法定代表人参加的，必须持（1）本人有效身份证原件、（2）企业营业执照副本复印件（加盖单位公章）。</w:t>
      </w:r>
    </w:p>
    <w:p>
      <w:pPr>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kern w:val="0"/>
          <w:sz w:val="21"/>
          <w:szCs w:val="20"/>
          <w:lang w:val="en-US" w:eastAsia="zh-CN" w:bidi="ar-SA"/>
        </w:rPr>
      </w:pPr>
      <w:r>
        <w:rPr>
          <w:rFonts w:hint="eastAsia" w:ascii="宋体" w:hAnsi="宋体" w:eastAsia="宋体" w:cs="宋体"/>
          <w:color w:val="auto"/>
          <w:kern w:val="0"/>
          <w:sz w:val="21"/>
          <w:szCs w:val="20"/>
          <w:lang w:val="en-US" w:eastAsia="zh-CN" w:bidi="ar-SA"/>
        </w:rPr>
        <w:t>2、如项目负责人参加的，必须持（1）本人有效身份证原件、（2）法定代表人授权委托书原件（参考格式见附件），代理人必须为本单位投标项目负责人。</w:t>
      </w:r>
    </w:p>
    <w:p>
      <w:pPr>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kern w:val="0"/>
          <w:sz w:val="21"/>
          <w:szCs w:val="20"/>
          <w:lang w:val="en-US" w:eastAsia="zh-CN" w:bidi="ar-SA"/>
        </w:rPr>
      </w:pPr>
      <w:r>
        <w:rPr>
          <w:rFonts w:hint="eastAsia" w:ascii="宋体" w:hAnsi="宋体" w:eastAsia="宋体" w:cs="宋体"/>
          <w:color w:val="auto"/>
          <w:kern w:val="0"/>
          <w:sz w:val="21"/>
          <w:szCs w:val="20"/>
          <w:lang w:val="en-US" w:eastAsia="zh-CN" w:bidi="ar-SA"/>
        </w:rPr>
        <w:t xml:space="preserve">   相应资料不齐予以拒收，核对后，身份证原件当场退还。</w:t>
      </w:r>
    </w:p>
    <w:p>
      <w:pPr>
        <w:pStyle w:val="8"/>
        <w:pageBreakBefore w:val="0"/>
        <w:numPr>
          <w:ilvl w:val="0"/>
          <w:numId w:val="0"/>
        </w:numPr>
        <w:kinsoku/>
        <w:wordWrap/>
        <w:overflowPunct/>
        <w:topLinePunct w:val="0"/>
        <w:autoSpaceDE/>
        <w:autoSpaceDN/>
        <w:bidi w:val="0"/>
        <w:spacing w:line="440" w:lineRule="exact"/>
        <w:ind w:leftChars="200"/>
        <w:textAlignment w:val="auto"/>
        <w:rPr>
          <w:rFonts w:hint="eastAsia" w:ascii="宋体" w:hAnsi="宋体" w:eastAsia="宋体" w:cs="宋体"/>
          <w:color w:val="auto"/>
          <w:kern w:val="0"/>
          <w:sz w:val="21"/>
          <w:szCs w:val="20"/>
          <w:lang w:val="en-US" w:eastAsia="zh-CN" w:bidi="ar-SA"/>
        </w:rPr>
      </w:pPr>
      <w:r>
        <w:rPr>
          <w:rFonts w:hint="eastAsia" w:cs="宋体"/>
          <w:color w:val="auto"/>
          <w:kern w:val="0"/>
          <w:sz w:val="21"/>
          <w:szCs w:val="20"/>
          <w:lang w:val="en-US" w:eastAsia="zh-CN" w:bidi="ar-SA"/>
        </w:rPr>
        <w:t>20.2</w:t>
      </w:r>
      <w:r>
        <w:rPr>
          <w:rFonts w:hint="eastAsia" w:ascii="宋体" w:hAnsi="宋体" w:eastAsia="宋体" w:cs="宋体"/>
          <w:color w:val="auto"/>
          <w:kern w:val="0"/>
          <w:sz w:val="21"/>
          <w:szCs w:val="20"/>
          <w:lang w:val="en-US" w:eastAsia="zh-CN" w:bidi="ar-SA"/>
        </w:rPr>
        <w:t>投标文件的截止时间详见本须知前附表。</w:t>
      </w:r>
    </w:p>
    <w:p>
      <w:pPr>
        <w:spacing w:line="400" w:lineRule="exact"/>
        <w:ind w:firstLine="420" w:firstLineChars="200"/>
        <w:rPr>
          <w:rFonts w:hint="eastAsia" w:ascii="宋体" w:hAnsi="宋体" w:eastAsia="宋体" w:cs="宋体"/>
          <w:bCs/>
          <w:color w:val="auto"/>
          <w:sz w:val="21"/>
          <w:lang w:val="en-US" w:eastAsia="zh-CN"/>
        </w:rPr>
      </w:pPr>
      <w:r>
        <w:rPr>
          <w:rFonts w:hint="eastAsia" w:ascii="宋体" w:hAnsi="宋体" w:eastAsia="宋体" w:cs="宋体"/>
          <w:bCs/>
          <w:color w:val="auto"/>
          <w:sz w:val="21"/>
          <w:lang w:val="en-US" w:eastAsia="zh-CN"/>
        </w:rPr>
        <w:t>20.3招标人可以补充通知的方式，酌情延长提交投标文件的截止时间。在此情况下，投标人的所有权利和义务以及投标人受制约的截止时间，均以延长后新的投标截止时间为准。</w:t>
      </w:r>
    </w:p>
    <w:p>
      <w:pPr>
        <w:spacing w:line="400" w:lineRule="exact"/>
        <w:rPr>
          <w:rFonts w:hint="eastAsia" w:ascii="宋体" w:hAnsi="宋体" w:eastAsia="宋体" w:cs="宋体"/>
          <w:bCs/>
          <w:color w:val="auto"/>
          <w:kern w:val="0"/>
          <w:sz w:val="21"/>
          <w:szCs w:val="20"/>
          <w:lang w:val="en-US" w:eastAsia="zh-CN" w:bidi="ar-SA"/>
        </w:rPr>
      </w:pPr>
      <w:r>
        <w:rPr>
          <w:rFonts w:hint="eastAsia" w:ascii="宋体" w:hAnsi="宋体" w:eastAsia="宋体" w:cs="宋体"/>
          <w:bCs/>
          <w:color w:val="auto"/>
          <w:sz w:val="21"/>
          <w:lang w:val="en-US" w:eastAsia="zh-CN"/>
        </w:rPr>
        <w:t>到投标截止时间止，招标人收到的投</w:t>
      </w:r>
      <w:r>
        <w:rPr>
          <w:rFonts w:hint="eastAsia" w:ascii="宋体" w:hAnsi="宋体" w:eastAsia="宋体" w:cs="宋体"/>
          <w:bCs/>
          <w:color w:val="auto"/>
          <w:kern w:val="0"/>
          <w:sz w:val="21"/>
          <w:szCs w:val="20"/>
          <w:lang w:val="en-US" w:eastAsia="zh-CN" w:bidi="ar-SA"/>
        </w:rPr>
        <w:t>标文件少于3个的，招标人将依法重新组织招标。</w:t>
      </w:r>
    </w:p>
    <w:p>
      <w:pPr>
        <w:spacing w:line="400" w:lineRule="exact"/>
        <w:rPr>
          <w:rFonts w:ascii="宋体" w:hAnsi="宋体" w:eastAsia="宋体"/>
          <w:b/>
          <w:color w:val="auto"/>
          <w:sz w:val="21"/>
          <w:szCs w:val="21"/>
        </w:rPr>
      </w:pPr>
      <w:bookmarkStart w:id="88" w:name="_Toc169487800"/>
      <w:bookmarkStart w:id="89" w:name="_Toc155342553"/>
      <w:bookmarkStart w:id="90" w:name="_Toc116"/>
      <w:r>
        <w:rPr>
          <w:rFonts w:hint="eastAsia" w:ascii="宋体" w:hAnsi="宋体" w:eastAsia="宋体"/>
          <w:b/>
          <w:color w:val="auto"/>
          <w:sz w:val="21"/>
          <w:szCs w:val="21"/>
        </w:rPr>
        <w:t xml:space="preserve">    21、投标截止期</w:t>
      </w:r>
      <w:bookmarkEnd w:id="87"/>
      <w:bookmarkEnd w:id="88"/>
      <w:bookmarkEnd w:id="89"/>
      <w:bookmarkEnd w:id="90"/>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21.1投标文件的截止时间详见本须知前附表第23项。</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21.2招标人可以补充通知的方式，酌情延长提交投标文件的截止时间。在此情况下，投标人的所有权利和义务以及投标人受制约的截止时间，均以延长后新的投标截止时间为准。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21.3到投标截止时间止，招标人收到的投标文件少于3个的，招标人将依法重新组织招标。</w:t>
      </w:r>
    </w:p>
    <w:p>
      <w:pPr>
        <w:spacing w:line="400" w:lineRule="exact"/>
        <w:rPr>
          <w:rFonts w:ascii="宋体" w:hAnsi="宋体" w:eastAsia="宋体"/>
          <w:b/>
          <w:color w:val="auto"/>
          <w:sz w:val="21"/>
          <w:szCs w:val="21"/>
        </w:rPr>
      </w:pPr>
      <w:bookmarkStart w:id="91" w:name="_Toc14038"/>
      <w:bookmarkStart w:id="92" w:name="_Toc169487801"/>
      <w:bookmarkStart w:id="93" w:name="_Toc500208483"/>
      <w:bookmarkStart w:id="94" w:name="_Toc155342554"/>
      <w:r>
        <w:rPr>
          <w:rFonts w:hint="eastAsia" w:ascii="宋体" w:hAnsi="宋体" w:eastAsia="宋体"/>
          <w:b/>
          <w:color w:val="auto"/>
          <w:sz w:val="21"/>
          <w:szCs w:val="21"/>
        </w:rPr>
        <w:t xml:space="preserve">    22、投标文件的补充、修改与撤回</w:t>
      </w:r>
      <w:bookmarkEnd w:id="91"/>
      <w:bookmarkEnd w:id="92"/>
      <w:bookmarkEnd w:id="93"/>
      <w:bookmarkEnd w:id="94"/>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22.1投标人在提交投标文件以后，在规定的投标截止时间之前，可以书面形式补充修改或撤回已提交的投标文件，并以书面形式通知招标人。补充、修改的内容为投标文件的组成部分。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22.2投标人对投标文件的补充、修改，应按本节有关投标文件规定密封、标记和提交，并在投标文件密封袋上清楚标明“补充、修改”或“撤回”字样。</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22.3在投标截止时间之后，投标人不得补充、修改投标文件。</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22.4在投标截止时间至投标有效期满之前，投标人不得撤回其投标文件，否则其投标担保将被没收。</w:t>
      </w:r>
      <w:bookmarkStart w:id="95" w:name="_Toc500208484"/>
      <w:bookmarkStart w:id="96" w:name="_Toc22605"/>
      <w:bookmarkStart w:id="97" w:name="_Toc500209418"/>
    </w:p>
    <w:p>
      <w:pPr>
        <w:spacing w:line="400" w:lineRule="exact"/>
        <w:rPr>
          <w:rFonts w:ascii="宋体" w:hAnsi="宋体" w:eastAsia="宋体" w:cs="宋体"/>
          <w:bCs/>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bCs/>
          <w:color w:val="auto"/>
          <w:sz w:val="30"/>
          <w:szCs w:val="30"/>
        </w:rPr>
        <w:t xml:space="preserve">第五节  </w:t>
      </w:r>
      <w:r>
        <w:rPr>
          <w:rFonts w:hint="eastAsia" w:ascii="宋体" w:hAnsi="宋体" w:eastAsia="宋体" w:cs="宋体"/>
          <w:b/>
          <w:color w:val="auto"/>
          <w:sz w:val="30"/>
          <w:szCs w:val="30"/>
        </w:rPr>
        <w:t>开   标</w:t>
      </w:r>
      <w:bookmarkEnd w:id="95"/>
      <w:bookmarkEnd w:id="96"/>
      <w:bookmarkEnd w:id="97"/>
    </w:p>
    <w:p>
      <w:pPr>
        <w:spacing w:line="400" w:lineRule="exact"/>
        <w:jc w:val="center"/>
        <w:rPr>
          <w:rFonts w:ascii="宋体" w:hAnsi="宋体" w:eastAsia="宋体" w:cs="宋体"/>
          <w:b/>
          <w:bCs/>
          <w:color w:val="auto"/>
          <w:sz w:val="30"/>
          <w:szCs w:val="30"/>
        </w:rPr>
      </w:pPr>
    </w:p>
    <w:p>
      <w:pPr>
        <w:spacing w:line="400" w:lineRule="exact"/>
        <w:rPr>
          <w:rFonts w:ascii="宋体" w:hAnsi="宋体" w:eastAsia="宋体"/>
          <w:b/>
          <w:color w:val="auto"/>
          <w:sz w:val="21"/>
          <w:szCs w:val="21"/>
        </w:rPr>
      </w:pPr>
      <w:bookmarkStart w:id="98" w:name="_Toc500208485"/>
      <w:bookmarkStart w:id="99" w:name="_Toc169487803"/>
      <w:bookmarkStart w:id="100" w:name="_Toc30402"/>
      <w:bookmarkStart w:id="101" w:name="_Toc155342556"/>
      <w:r>
        <w:rPr>
          <w:rFonts w:hint="eastAsia" w:ascii="宋体" w:hAnsi="宋体" w:eastAsia="宋体"/>
          <w:b/>
          <w:color w:val="auto"/>
          <w:sz w:val="21"/>
          <w:szCs w:val="21"/>
        </w:rPr>
        <w:t xml:space="preserve">    23、开标</w:t>
      </w:r>
      <w:bookmarkEnd w:id="98"/>
      <w:bookmarkEnd w:id="99"/>
      <w:bookmarkEnd w:id="100"/>
      <w:bookmarkEnd w:id="101"/>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23.1招标人将于投标截止期的同一时间按本须知前附表第21项所规定的地点公开举行开标会议。</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23.2开标会议由招标人组织并主持。</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23.3开标顺序：开标直接开商务标。</w:t>
      </w:r>
    </w:p>
    <w:p>
      <w:pPr>
        <w:spacing w:line="400" w:lineRule="exact"/>
        <w:rPr>
          <w:rFonts w:ascii="宋体" w:hAnsi="宋体" w:eastAsia="宋体"/>
          <w:b/>
          <w:color w:val="auto"/>
          <w:sz w:val="21"/>
          <w:szCs w:val="21"/>
        </w:rPr>
      </w:pPr>
      <w:bookmarkStart w:id="102" w:name="_Toc155342557"/>
      <w:bookmarkStart w:id="103" w:name="_Toc24770"/>
      <w:bookmarkStart w:id="104" w:name="_Toc169487804"/>
      <w:r>
        <w:rPr>
          <w:rFonts w:hint="eastAsia" w:ascii="宋体" w:hAnsi="宋体" w:eastAsia="宋体"/>
          <w:b/>
          <w:color w:val="auto"/>
          <w:sz w:val="21"/>
          <w:szCs w:val="21"/>
        </w:rPr>
        <w:t xml:space="preserve">    24、投标文件公布</w:t>
      </w:r>
      <w:bookmarkEnd w:id="102"/>
      <w:bookmarkEnd w:id="103"/>
      <w:bookmarkEnd w:id="104"/>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24.1由投标人或其推选的代表检查投标文件的密封情况，未按本招标文件要求密封的投标文件则退还投标人，经确认无误后，由有关工作人员当众拆封，宣读投标承诺的主要内容。</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24.2招标人将对开标过程进行记录，以存档备查。</w:t>
      </w:r>
      <w:bookmarkStart w:id="105" w:name="_Toc500209419"/>
      <w:bookmarkStart w:id="106" w:name="_Toc500208488"/>
      <w:bookmarkStart w:id="107" w:name="_Toc10452"/>
    </w:p>
    <w:p>
      <w:pPr>
        <w:spacing w:line="400" w:lineRule="exact"/>
        <w:rPr>
          <w:rFonts w:ascii="宋体" w:hAnsi="宋体" w:eastAsia="宋体" w:cs="宋体"/>
          <w:bCs/>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bCs/>
          <w:color w:val="auto"/>
          <w:sz w:val="30"/>
          <w:szCs w:val="30"/>
        </w:rPr>
        <w:t xml:space="preserve">第六节  </w:t>
      </w:r>
      <w:r>
        <w:rPr>
          <w:rFonts w:hint="eastAsia" w:ascii="宋体" w:hAnsi="宋体" w:eastAsia="宋体" w:cs="宋体"/>
          <w:b/>
          <w:color w:val="auto"/>
          <w:sz w:val="30"/>
          <w:szCs w:val="30"/>
        </w:rPr>
        <w:t>评   标</w:t>
      </w:r>
      <w:bookmarkEnd w:id="105"/>
      <w:bookmarkEnd w:id="106"/>
      <w:bookmarkEnd w:id="107"/>
    </w:p>
    <w:p>
      <w:pPr>
        <w:spacing w:line="400" w:lineRule="exact"/>
        <w:jc w:val="center"/>
        <w:rPr>
          <w:rFonts w:ascii="宋体" w:hAnsi="宋体" w:eastAsia="宋体" w:cs="宋体"/>
          <w:b/>
          <w:bCs/>
          <w:color w:val="auto"/>
          <w:sz w:val="30"/>
          <w:szCs w:val="30"/>
        </w:rPr>
      </w:pPr>
    </w:p>
    <w:p>
      <w:pPr>
        <w:spacing w:line="400" w:lineRule="exact"/>
        <w:rPr>
          <w:rFonts w:ascii="宋体" w:hAnsi="宋体" w:eastAsia="宋体"/>
          <w:b/>
          <w:color w:val="auto"/>
          <w:sz w:val="21"/>
          <w:szCs w:val="21"/>
        </w:rPr>
      </w:pPr>
      <w:bookmarkStart w:id="108" w:name="_Toc169487807"/>
      <w:bookmarkStart w:id="109" w:name="_Toc155342560"/>
      <w:bookmarkStart w:id="110" w:name="_Toc31709"/>
      <w:r>
        <w:rPr>
          <w:rFonts w:hint="eastAsia" w:ascii="宋体" w:hAnsi="宋体" w:eastAsia="宋体"/>
          <w:b/>
          <w:color w:val="auto"/>
          <w:sz w:val="21"/>
          <w:szCs w:val="21"/>
        </w:rPr>
        <w:t xml:space="preserve">    25、评标会议</w:t>
      </w:r>
    </w:p>
    <w:p>
      <w:pPr>
        <w:spacing w:line="400" w:lineRule="exact"/>
        <w:rPr>
          <w:rFonts w:ascii="宋体" w:hAnsi="宋体" w:eastAsia="宋体"/>
          <w:color w:val="auto"/>
          <w:sz w:val="21"/>
        </w:rPr>
      </w:pPr>
      <w:r>
        <w:rPr>
          <w:rFonts w:hint="eastAsia" w:ascii="宋体" w:hAnsi="宋体" w:eastAsia="宋体"/>
          <w:color w:val="auto"/>
          <w:sz w:val="21"/>
        </w:rPr>
        <w:t xml:space="preserve">    25.1评标委员会由招标人依法组建，负责评标活动。</w:t>
      </w:r>
    </w:p>
    <w:p>
      <w:pPr>
        <w:spacing w:line="400" w:lineRule="exact"/>
        <w:rPr>
          <w:rFonts w:ascii="宋体" w:hAnsi="宋体" w:eastAsia="宋体"/>
          <w:b/>
          <w:color w:val="auto"/>
          <w:sz w:val="21"/>
          <w:szCs w:val="21"/>
        </w:rPr>
      </w:pPr>
      <w:r>
        <w:rPr>
          <w:rFonts w:hint="eastAsia" w:ascii="宋体" w:hAnsi="宋体" w:eastAsia="宋体"/>
          <w:color w:val="auto"/>
          <w:sz w:val="21"/>
        </w:rPr>
        <w:t xml:space="preserve">    25.2开标结束后，开始评标，评标采用保密方式进行</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26、评标过程的保密</w:t>
      </w:r>
      <w:bookmarkEnd w:id="108"/>
      <w:bookmarkEnd w:id="109"/>
      <w:bookmarkEnd w:id="110"/>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26.1开标后，直至授予中标人合同为止，凡属于对投标文件的审查、澄清、评价和比较的有关资料以及中标候选人的推荐情况，与评标有关的其他任何情况均严格保密。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26.2在投标文件的评审和比较、中标候选人推荐以及授予合同的过程中，投标人向招标人和评标委员会施加影响的任何行为，都将会导致其投标被拒绝。</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26.3中标人确定后，招标人不对未中标人就评标过程以及未能中标原因作出任何解释。未中标人不得向评标委员会组成人员或其他有关人员索问评标过程的情况和材料。</w:t>
      </w:r>
    </w:p>
    <w:p>
      <w:pPr>
        <w:spacing w:line="400" w:lineRule="exact"/>
        <w:rPr>
          <w:rFonts w:ascii="宋体" w:hAnsi="宋体" w:eastAsia="宋体"/>
          <w:b/>
          <w:color w:val="auto"/>
          <w:sz w:val="21"/>
          <w:szCs w:val="21"/>
        </w:rPr>
      </w:pPr>
      <w:bookmarkStart w:id="111" w:name="_Toc169487808"/>
      <w:bookmarkStart w:id="112" w:name="_Toc155342561"/>
      <w:bookmarkStart w:id="113" w:name="_Toc2230"/>
      <w:r>
        <w:rPr>
          <w:rFonts w:hint="eastAsia" w:ascii="宋体" w:hAnsi="宋体" w:eastAsia="宋体"/>
          <w:b/>
          <w:color w:val="auto"/>
          <w:sz w:val="21"/>
          <w:szCs w:val="21"/>
        </w:rPr>
        <w:t xml:space="preserve">    27、投标文件符合性鉴定</w:t>
      </w:r>
      <w:bookmarkEnd w:id="111"/>
      <w:bookmarkEnd w:id="112"/>
      <w:bookmarkEnd w:id="113"/>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27.1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27.2如果投标文件实质上不响应招标文件各项要求，评标委员会将予以拒绝，并且不允许投标人通过修改或撤消其不符合要求的差异或保留，使之成为具有响应性的投标。</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27.3中标人确定后，招标人不对未中标人就评标过程及未能中标原因作出任何解释。未中标人不得向评标委员会组成人员索问评标过程的情况和材料。</w:t>
      </w:r>
    </w:p>
    <w:p>
      <w:pPr>
        <w:spacing w:line="400" w:lineRule="exact"/>
        <w:rPr>
          <w:rFonts w:ascii="宋体" w:hAnsi="宋体" w:eastAsia="宋体"/>
          <w:b/>
          <w:color w:val="auto"/>
          <w:sz w:val="21"/>
          <w:szCs w:val="21"/>
        </w:rPr>
      </w:pPr>
      <w:bookmarkStart w:id="114" w:name="_Toc31036"/>
      <w:bookmarkStart w:id="115" w:name="_Toc155342562"/>
      <w:bookmarkStart w:id="116" w:name="_Toc169487809"/>
      <w:r>
        <w:rPr>
          <w:rFonts w:hint="eastAsia" w:ascii="宋体" w:hAnsi="宋体" w:eastAsia="宋体"/>
          <w:b/>
          <w:color w:val="auto"/>
          <w:sz w:val="21"/>
          <w:szCs w:val="21"/>
        </w:rPr>
        <w:t xml:space="preserve">    28、投标文件的澄清</w:t>
      </w:r>
      <w:bookmarkEnd w:id="114"/>
      <w:bookmarkEnd w:id="115"/>
      <w:bookmarkEnd w:id="116"/>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28.1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28.2评审过程中，评标委员会可能以书面形式通知投标人要求投标人就投标文件中的内容进行答辩，投标人应按要求进行答辩。</w:t>
      </w:r>
    </w:p>
    <w:p>
      <w:pPr>
        <w:spacing w:line="400" w:lineRule="exact"/>
        <w:rPr>
          <w:rFonts w:ascii="宋体" w:hAnsi="宋体" w:eastAsia="宋体"/>
          <w:b/>
          <w:color w:val="auto"/>
          <w:sz w:val="21"/>
          <w:szCs w:val="21"/>
        </w:rPr>
      </w:pPr>
      <w:bookmarkStart w:id="117" w:name="_Toc155342563"/>
      <w:bookmarkStart w:id="118" w:name="_Toc10155"/>
      <w:bookmarkStart w:id="119" w:name="_Toc169487810"/>
      <w:r>
        <w:rPr>
          <w:rFonts w:hint="eastAsia" w:ascii="宋体" w:hAnsi="宋体" w:eastAsia="宋体"/>
          <w:b/>
          <w:color w:val="auto"/>
          <w:sz w:val="21"/>
          <w:szCs w:val="21"/>
        </w:rPr>
        <w:t xml:space="preserve">    29、投标文件的评审</w:t>
      </w:r>
      <w:bookmarkEnd w:id="117"/>
      <w:bookmarkEnd w:id="118"/>
      <w:bookmarkEnd w:id="119"/>
    </w:p>
    <w:p>
      <w:pPr>
        <w:pStyle w:val="8"/>
        <w:adjustRightInd w:val="0"/>
        <w:snapToGrid w:val="0"/>
        <w:spacing w:line="400" w:lineRule="exact"/>
        <w:ind w:firstLine="422" w:firstLineChars="200"/>
        <w:rPr>
          <w:rFonts w:cs="宋体"/>
          <w:b/>
          <w:color w:val="auto"/>
        </w:rPr>
      </w:pPr>
      <w:r>
        <w:rPr>
          <w:rFonts w:hint="eastAsia" w:cs="宋体"/>
          <w:b/>
          <w:bCs/>
          <w:color w:val="auto"/>
        </w:rPr>
        <w:t>29.1</w:t>
      </w:r>
      <w:r>
        <w:rPr>
          <w:rFonts w:hint="eastAsia" w:cs="宋体"/>
          <w:b/>
          <w:color w:val="auto"/>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pStyle w:val="8"/>
        <w:adjustRightInd w:val="0"/>
        <w:snapToGrid w:val="0"/>
        <w:spacing w:line="400" w:lineRule="exact"/>
        <w:ind w:firstLine="420" w:firstLineChars="200"/>
        <w:rPr>
          <w:rFonts w:cs="宋体"/>
          <w:bCs/>
          <w:color w:val="auto"/>
        </w:rPr>
      </w:pPr>
      <w:r>
        <w:rPr>
          <w:rFonts w:hint="eastAsia" w:cs="宋体"/>
          <w:bCs/>
          <w:color w:val="auto"/>
        </w:rPr>
        <w:t>⑴投标文件内容存在错漏之处一致或异常雷同现象；</w:t>
      </w:r>
    </w:p>
    <w:p>
      <w:pPr>
        <w:pStyle w:val="8"/>
        <w:adjustRightInd w:val="0"/>
        <w:snapToGrid w:val="0"/>
        <w:spacing w:line="400" w:lineRule="exact"/>
        <w:ind w:firstLine="420" w:firstLineChars="200"/>
        <w:rPr>
          <w:rFonts w:cs="宋体"/>
          <w:bCs/>
          <w:color w:val="auto"/>
        </w:rPr>
      </w:pPr>
      <w:r>
        <w:rPr>
          <w:rFonts w:hint="eastAsia" w:cs="宋体"/>
          <w:bCs/>
          <w:color w:val="auto"/>
        </w:rPr>
        <w:t>⑵投标文件由同一单位或同一人编制；</w:t>
      </w:r>
    </w:p>
    <w:p>
      <w:pPr>
        <w:pStyle w:val="8"/>
        <w:adjustRightInd w:val="0"/>
        <w:snapToGrid w:val="0"/>
        <w:spacing w:line="400" w:lineRule="exact"/>
        <w:ind w:firstLine="420" w:firstLineChars="200"/>
        <w:rPr>
          <w:rFonts w:cs="宋体"/>
          <w:bCs/>
          <w:color w:val="auto"/>
        </w:rPr>
      </w:pPr>
      <w:r>
        <w:rPr>
          <w:rFonts w:hint="eastAsia" w:cs="宋体"/>
          <w:bCs/>
          <w:color w:val="auto"/>
        </w:rPr>
        <w:t>⑶投标文件中载明的项目管理班子系有同一人担任；</w:t>
      </w:r>
    </w:p>
    <w:p>
      <w:pPr>
        <w:pStyle w:val="8"/>
        <w:adjustRightInd w:val="0"/>
        <w:snapToGrid w:val="0"/>
        <w:spacing w:line="400" w:lineRule="exact"/>
        <w:ind w:firstLine="420" w:firstLineChars="200"/>
        <w:rPr>
          <w:rFonts w:cs="宋体"/>
          <w:bCs/>
          <w:color w:val="auto"/>
        </w:rPr>
      </w:pPr>
      <w:r>
        <w:rPr>
          <w:rFonts w:hint="eastAsia" w:cs="宋体"/>
          <w:bCs/>
          <w:color w:val="auto"/>
        </w:rPr>
        <w:t>⑷投标文件由同一台电脑编制或同一附属设备打印；</w:t>
      </w:r>
    </w:p>
    <w:p>
      <w:pPr>
        <w:pStyle w:val="8"/>
        <w:adjustRightInd w:val="0"/>
        <w:snapToGrid w:val="0"/>
        <w:spacing w:line="400" w:lineRule="exact"/>
        <w:ind w:firstLine="420" w:firstLineChars="200"/>
        <w:rPr>
          <w:rFonts w:cs="宋体"/>
          <w:bCs/>
          <w:color w:val="auto"/>
        </w:rPr>
      </w:pPr>
      <w:r>
        <w:rPr>
          <w:rFonts w:hint="eastAsia" w:cs="宋体"/>
          <w:bCs/>
          <w:color w:val="auto"/>
        </w:rPr>
        <w:t>⑸涉嫌故意拉高或压低投标报价。</w:t>
      </w:r>
    </w:p>
    <w:p>
      <w:pPr>
        <w:pStyle w:val="3"/>
        <w:spacing w:line="400" w:lineRule="exact"/>
        <w:rPr>
          <w:rFonts w:ascii="宋体" w:hAnsi="宋体" w:eastAsia="宋体" w:cs="宋体"/>
          <w:b/>
          <w:color w:val="auto"/>
        </w:rPr>
      </w:pPr>
      <w:r>
        <w:rPr>
          <w:rFonts w:hint="eastAsia" w:ascii="宋体" w:hAnsi="宋体" w:eastAsia="宋体" w:cs="宋体"/>
          <w:b/>
          <w:color w:val="auto"/>
          <w:sz w:val="21"/>
        </w:rPr>
        <w:t>29.2投标文件有下列情形之一的，由评标委员会初审后按无效标处理：</w:t>
      </w:r>
    </w:p>
    <w:p>
      <w:pPr>
        <w:pStyle w:val="8"/>
        <w:adjustRightInd w:val="0"/>
        <w:snapToGrid w:val="0"/>
        <w:spacing w:line="400" w:lineRule="exact"/>
        <w:ind w:firstLine="420" w:firstLineChars="200"/>
        <w:rPr>
          <w:rFonts w:cs="宋体"/>
          <w:bCs/>
          <w:color w:val="auto"/>
        </w:rPr>
      </w:pPr>
      <w:r>
        <w:rPr>
          <w:rFonts w:hint="eastAsia" w:cs="宋体"/>
          <w:bCs/>
          <w:color w:val="auto"/>
        </w:rPr>
        <w:t>⑴投标人递交两份或多份内容不同的投标文件，或在一份投标文件中对同一招标项目报有两个或多个报价，且未声明哪一个有效，按招标文件规定提交备选投标方案的除外；</w:t>
      </w:r>
    </w:p>
    <w:p>
      <w:pPr>
        <w:pStyle w:val="8"/>
        <w:adjustRightInd w:val="0"/>
        <w:snapToGrid w:val="0"/>
        <w:spacing w:line="400" w:lineRule="exact"/>
        <w:ind w:firstLine="420" w:firstLineChars="200"/>
        <w:rPr>
          <w:rFonts w:cs="宋体"/>
          <w:bCs/>
          <w:color w:val="auto"/>
        </w:rPr>
      </w:pPr>
      <w:r>
        <w:rPr>
          <w:rFonts w:hint="eastAsia" w:cs="宋体"/>
          <w:bCs/>
          <w:color w:val="auto"/>
        </w:rPr>
        <w:t>⑵投标文件未按招标文件签署条款要求签章的；</w:t>
      </w:r>
    </w:p>
    <w:p>
      <w:pPr>
        <w:pStyle w:val="8"/>
        <w:adjustRightInd w:val="0"/>
        <w:snapToGrid w:val="0"/>
        <w:spacing w:line="400" w:lineRule="exact"/>
        <w:ind w:firstLine="420" w:firstLineChars="200"/>
        <w:rPr>
          <w:rFonts w:cs="宋体"/>
          <w:bCs/>
          <w:color w:val="auto"/>
        </w:rPr>
      </w:pPr>
      <w:r>
        <w:rPr>
          <w:rFonts w:hint="eastAsia" w:cs="宋体"/>
          <w:bCs/>
          <w:color w:val="auto"/>
        </w:rPr>
        <w:t>⑶投标文件份数不符合招标文件前附表要求的；</w:t>
      </w:r>
    </w:p>
    <w:p>
      <w:pPr>
        <w:pStyle w:val="8"/>
        <w:adjustRightInd w:val="0"/>
        <w:snapToGrid w:val="0"/>
        <w:spacing w:line="400" w:lineRule="exact"/>
        <w:ind w:firstLine="420" w:firstLineChars="200"/>
        <w:rPr>
          <w:rFonts w:cs="宋体"/>
          <w:bCs/>
          <w:color w:val="auto"/>
        </w:rPr>
      </w:pPr>
      <w:r>
        <w:rPr>
          <w:rFonts w:hint="eastAsia" w:cs="宋体"/>
          <w:bCs/>
          <w:color w:val="auto"/>
        </w:rPr>
        <w:t>⑷投标文件组成不符合招标文件要求的；</w:t>
      </w:r>
    </w:p>
    <w:p>
      <w:pPr>
        <w:pStyle w:val="8"/>
        <w:adjustRightInd w:val="0"/>
        <w:snapToGrid w:val="0"/>
        <w:spacing w:line="400" w:lineRule="exact"/>
        <w:ind w:firstLine="420" w:firstLineChars="200"/>
        <w:rPr>
          <w:rFonts w:cs="宋体"/>
          <w:bCs/>
          <w:color w:val="auto"/>
        </w:rPr>
      </w:pPr>
      <w:r>
        <w:rPr>
          <w:rFonts w:hint="eastAsia" w:cs="宋体"/>
          <w:bCs/>
          <w:color w:val="auto"/>
        </w:rPr>
        <w:t>⑸法律法规规定无效标的。</w:t>
      </w:r>
    </w:p>
    <w:p>
      <w:pPr>
        <w:pStyle w:val="3"/>
        <w:spacing w:line="400" w:lineRule="exact"/>
        <w:ind w:left="-4" w:leftChars="-2" w:firstLine="422" w:firstLineChars="200"/>
        <w:rPr>
          <w:rFonts w:ascii="宋体" w:hAnsi="宋体" w:eastAsia="宋体" w:cs="宋体"/>
          <w:b/>
          <w:color w:val="auto"/>
          <w:sz w:val="21"/>
        </w:rPr>
      </w:pPr>
      <w:r>
        <w:rPr>
          <w:rFonts w:hint="eastAsia" w:ascii="宋体" w:hAnsi="宋体" w:eastAsia="宋体" w:cs="宋体"/>
          <w:b/>
          <w:bCs/>
          <w:color w:val="auto"/>
          <w:sz w:val="21"/>
        </w:rPr>
        <w:t>29.3</w:t>
      </w:r>
      <w:r>
        <w:rPr>
          <w:rFonts w:hint="eastAsia" w:ascii="宋体" w:hAnsi="宋体" w:eastAsia="宋体" w:cs="宋体"/>
          <w:b/>
          <w:color w:val="auto"/>
          <w:sz w:val="21"/>
        </w:rPr>
        <w:t>投标文件有下列情形之一的，由评标委员会进行实质性评审后按无效标处理：</w:t>
      </w:r>
    </w:p>
    <w:p>
      <w:pPr>
        <w:pStyle w:val="3"/>
        <w:spacing w:line="400" w:lineRule="exact"/>
        <w:ind w:left="-4" w:leftChars="-2" w:firstLineChars="200"/>
        <w:rPr>
          <w:rFonts w:ascii="宋体" w:hAnsi="宋体" w:eastAsia="宋体" w:cs="宋体"/>
          <w:b/>
          <w:color w:val="auto"/>
          <w:sz w:val="21"/>
        </w:rPr>
      </w:pPr>
      <w:r>
        <w:rPr>
          <w:rFonts w:hint="eastAsia" w:ascii="宋体" w:hAnsi="宋体" w:eastAsia="宋体" w:cs="宋体"/>
          <w:bCs/>
          <w:color w:val="auto"/>
          <w:sz w:val="21"/>
        </w:rPr>
        <w:t>⑴投标承诺的总报价、工期、质量、投标资格等不符合招标文件前附表要求的；</w:t>
      </w:r>
    </w:p>
    <w:p>
      <w:pPr>
        <w:pStyle w:val="8"/>
        <w:adjustRightInd w:val="0"/>
        <w:snapToGrid w:val="0"/>
        <w:spacing w:line="400" w:lineRule="exact"/>
        <w:ind w:firstLine="420" w:firstLineChars="200"/>
        <w:rPr>
          <w:rFonts w:cs="宋体"/>
          <w:bCs/>
          <w:color w:val="auto"/>
        </w:rPr>
      </w:pPr>
      <w:r>
        <w:rPr>
          <w:rFonts w:hint="eastAsia" w:cs="宋体"/>
          <w:bCs/>
          <w:color w:val="auto"/>
        </w:rPr>
        <w:t>⑵招标文件报价要求中规定作无效标的；</w:t>
      </w:r>
    </w:p>
    <w:p>
      <w:pPr>
        <w:pStyle w:val="8"/>
        <w:adjustRightInd w:val="0"/>
        <w:snapToGrid w:val="0"/>
        <w:spacing w:line="400" w:lineRule="exact"/>
        <w:ind w:firstLine="420" w:firstLineChars="200"/>
        <w:rPr>
          <w:rFonts w:cs="宋体"/>
          <w:bCs/>
          <w:color w:val="auto"/>
        </w:rPr>
      </w:pPr>
      <w:r>
        <w:rPr>
          <w:rFonts w:hint="eastAsia" w:cs="宋体"/>
          <w:bCs/>
          <w:color w:val="auto"/>
        </w:rPr>
        <w:t>⑶违反招标文件其他实质性条款规定的。</w:t>
      </w:r>
    </w:p>
    <w:p>
      <w:pPr>
        <w:pStyle w:val="3"/>
        <w:spacing w:line="400" w:lineRule="exact"/>
        <w:ind w:left="-4" w:leftChars="-2" w:firstLine="422" w:firstLineChars="200"/>
        <w:rPr>
          <w:rFonts w:ascii="宋体" w:hAnsi="宋体" w:eastAsia="宋体" w:cs="宋体"/>
          <w:b/>
          <w:color w:val="auto"/>
          <w:sz w:val="21"/>
          <w:szCs w:val="21"/>
        </w:rPr>
      </w:pPr>
      <w:r>
        <w:rPr>
          <w:rFonts w:hint="eastAsia" w:ascii="宋体" w:hAnsi="宋体" w:eastAsia="宋体" w:cs="宋体"/>
          <w:b/>
          <w:bCs/>
          <w:color w:val="auto"/>
          <w:sz w:val="21"/>
        </w:rPr>
        <w:t>29.4</w:t>
      </w:r>
      <w:r>
        <w:rPr>
          <w:rFonts w:hint="eastAsia" w:ascii="宋体" w:hAnsi="宋体" w:eastAsia="宋体" w:cs="宋体"/>
          <w:b/>
          <w:color w:val="auto"/>
          <w:sz w:val="21"/>
        </w:rPr>
        <w:t>投标文件有下列情形之一的，</w:t>
      </w:r>
      <w:r>
        <w:rPr>
          <w:rFonts w:hint="eastAsia" w:ascii="宋体" w:hAnsi="宋体" w:eastAsia="宋体" w:cs="宋体"/>
          <w:b/>
          <w:color w:val="auto"/>
          <w:sz w:val="21"/>
          <w:szCs w:val="21"/>
        </w:rPr>
        <w:t>经评标委员会详细评审后认定该投标文件对招标文件要求存在重大偏离的，则该投标文件按无效标处理：</w:t>
      </w:r>
    </w:p>
    <w:p>
      <w:pPr>
        <w:pStyle w:val="8"/>
        <w:spacing w:line="400" w:lineRule="exact"/>
        <w:ind w:firstLine="420" w:firstLineChars="200"/>
        <w:rPr>
          <w:rFonts w:cs="宋体"/>
          <w:color w:val="auto"/>
        </w:rPr>
      </w:pPr>
      <w:r>
        <w:rPr>
          <w:rFonts w:hint="eastAsia" w:cs="宋体"/>
          <w:bCs/>
          <w:color w:val="auto"/>
        </w:rPr>
        <w:t>⑴招标文件中</w:t>
      </w:r>
      <w:r>
        <w:rPr>
          <w:rFonts w:hint="eastAsia" w:cs="宋体"/>
          <w:color w:val="auto"/>
        </w:rPr>
        <w:t>其他内容明确规定作无效标的。</w:t>
      </w:r>
    </w:p>
    <w:p>
      <w:pPr>
        <w:pStyle w:val="8"/>
        <w:spacing w:line="400" w:lineRule="exact"/>
        <w:ind w:firstLine="422" w:firstLineChars="200"/>
        <w:rPr>
          <w:rFonts w:cs="宋体"/>
          <w:color w:val="auto"/>
        </w:rPr>
      </w:pPr>
      <w:r>
        <w:rPr>
          <w:rFonts w:hint="eastAsia" w:cs="宋体"/>
          <w:b/>
          <w:bCs/>
          <w:color w:val="auto"/>
        </w:rPr>
        <w:t>29.5</w:t>
      </w:r>
      <w:r>
        <w:rPr>
          <w:rFonts w:hint="eastAsia" w:cs="宋体"/>
          <w:color w:val="auto"/>
        </w:rPr>
        <w:t>如有效标不足三家使得投标明显缺乏竞争的，评标委员会可以否决全部投标。所有投标被否决的，则本次招标失败，重新组织招标。</w:t>
      </w:r>
    </w:p>
    <w:p>
      <w:pPr>
        <w:pStyle w:val="8"/>
        <w:spacing w:line="400" w:lineRule="exact"/>
        <w:ind w:firstLine="422" w:firstLineChars="200"/>
        <w:rPr>
          <w:b/>
          <w:color w:val="auto"/>
          <w:szCs w:val="21"/>
        </w:rPr>
      </w:pPr>
      <w:r>
        <w:rPr>
          <w:rFonts w:hint="eastAsia"/>
          <w:b/>
          <w:color w:val="auto"/>
          <w:szCs w:val="21"/>
        </w:rPr>
        <w:t>3</w:t>
      </w:r>
      <w:r>
        <w:rPr>
          <w:rFonts w:hint="eastAsia"/>
          <w:b/>
          <w:color w:val="auto"/>
          <w:szCs w:val="21"/>
          <w:lang w:val="en-US" w:eastAsia="zh-CN"/>
        </w:rPr>
        <w:t>0</w:t>
      </w:r>
      <w:r>
        <w:rPr>
          <w:rFonts w:hint="eastAsia"/>
          <w:b/>
          <w:color w:val="auto"/>
          <w:szCs w:val="21"/>
        </w:rPr>
        <w:t>、评标办法（以下计算，小数点保留两位，第三位四舍五入）</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3</w:t>
      </w:r>
      <w:r>
        <w:rPr>
          <w:rFonts w:hint="eastAsia" w:ascii="宋体" w:hAnsi="宋体" w:eastAsia="宋体" w:cs="宋体"/>
          <w:color w:val="auto"/>
          <w:sz w:val="21"/>
          <w:lang w:val="en-US" w:eastAsia="zh-CN"/>
        </w:rPr>
        <w:t>0</w:t>
      </w:r>
      <w:r>
        <w:rPr>
          <w:rFonts w:hint="eastAsia" w:ascii="宋体" w:hAnsi="宋体" w:eastAsia="宋体" w:cs="宋体"/>
          <w:color w:val="auto"/>
          <w:sz w:val="21"/>
        </w:rPr>
        <w:t>.1</w:t>
      </w:r>
      <w:r>
        <w:rPr>
          <w:rFonts w:hint="eastAsia" w:ascii="宋体" w:hAnsi="宋体" w:eastAsia="宋体" w:cs="宋体"/>
          <w:b/>
          <w:color w:val="auto"/>
          <w:sz w:val="21"/>
        </w:rPr>
        <w:t>评标标底浮动率的确定</w:t>
      </w:r>
      <w:r>
        <w:rPr>
          <w:rFonts w:hint="eastAsia" w:ascii="宋体" w:hAnsi="宋体" w:eastAsia="宋体" w:cs="宋体"/>
          <w:b/>
          <w:color w:val="auto"/>
          <w:sz w:val="24"/>
          <w:szCs w:val="24"/>
        </w:rPr>
        <w:t>：</w:t>
      </w:r>
      <w:r>
        <w:rPr>
          <w:rFonts w:hint="eastAsia" w:ascii="宋体" w:hAnsi="宋体" w:eastAsia="宋体" w:cs="宋体"/>
          <w:color w:val="auto"/>
          <w:sz w:val="21"/>
        </w:rPr>
        <w:t>评标标底下浮率（K％）：开标时现场公开由招标单位代表人在规定下浮幅度范围内随机抽取三次，每次分别依次在电脑里</w:t>
      </w:r>
      <w:r>
        <w:rPr>
          <w:rFonts w:hint="eastAsia" w:ascii="宋体" w:hAnsi="宋体" w:eastAsia="宋体" w:cs="宋体"/>
          <w:color w:val="auto"/>
          <w:sz w:val="21"/>
          <w:lang w:val="en-US" w:eastAsia="zh-CN"/>
        </w:rPr>
        <w:t>6</w:t>
      </w:r>
      <w:r>
        <w:rPr>
          <w:rFonts w:hint="eastAsia" w:ascii="宋体" w:hAnsi="宋体" w:eastAsia="宋体" w:cs="宋体"/>
          <w:color w:val="auto"/>
          <w:sz w:val="21"/>
        </w:rPr>
        <w:t>.0、</w:t>
      </w:r>
      <w:r>
        <w:rPr>
          <w:rFonts w:hint="eastAsia" w:ascii="宋体" w:hAnsi="宋体" w:eastAsia="宋体" w:cs="宋体"/>
          <w:color w:val="auto"/>
          <w:sz w:val="21"/>
          <w:lang w:val="en-US" w:eastAsia="zh-CN"/>
        </w:rPr>
        <w:t>6</w:t>
      </w:r>
      <w:r>
        <w:rPr>
          <w:rFonts w:hint="eastAsia" w:ascii="宋体" w:hAnsi="宋体" w:eastAsia="宋体" w:cs="宋体"/>
          <w:color w:val="auto"/>
          <w:sz w:val="21"/>
        </w:rPr>
        <w:t>.2、</w:t>
      </w:r>
      <w:r>
        <w:rPr>
          <w:rFonts w:hint="eastAsia" w:ascii="宋体" w:hAnsi="宋体" w:eastAsia="宋体" w:cs="宋体"/>
          <w:color w:val="auto"/>
          <w:sz w:val="21"/>
          <w:lang w:val="en-US" w:eastAsia="zh-CN"/>
        </w:rPr>
        <w:t>6</w:t>
      </w:r>
      <w:r>
        <w:rPr>
          <w:rFonts w:hint="eastAsia" w:ascii="宋体" w:hAnsi="宋体" w:eastAsia="宋体" w:cs="宋体"/>
          <w:color w:val="auto"/>
          <w:sz w:val="21"/>
        </w:rPr>
        <w:t>.4、……</w:t>
      </w:r>
      <w:r>
        <w:rPr>
          <w:rFonts w:hint="eastAsia" w:ascii="宋体" w:hAnsi="宋体" w:eastAsia="宋体" w:cs="宋体"/>
          <w:color w:val="auto"/>
          <w:sz w:val="21"/>
          <w:lang w:val="en-US" w:eastAsia="zh-CN"/>
        </w:rPr>
        <w:t>9</w:t>
      </w:r>
      <w:r>
        <w:rPr>
          <w:rFonts w:hint="eastAsia" w:ascii="宋体" w:hAnsi="宋体" w:eastAsia="宋体" w:cs="宋体"/>
          <w:color w:val="auto"/>
          <w:sz w:val="21"/>
        </w:rPr>
        <w:t>.6、</w:t>
      </w:r>
      <w:r>
        <w:rPr>
          <w:rFonts w:hint="eastAsia" w:ascii="宋体" w:hAnsi="宋体" w:eastAsia="宋体" w:cs="宋体"/>
          <w:color w:val="auto"/>
          <w:sz w:val="21"/>
          <w:lang w:val="en-US" w:eastAsia="zh-CN"/>
        </w:rPr>
        <w:t>9</w:t>
      </w:r>
      <w:r>
        <w:rPr>
          <w:rFonts w:hint="eastAsia" w:ascii="宋体" w:hAnsi="宋体" w:eastAsia="宋体" w:cs="宋体"/>
          <w:color w:val="auto"/>
          <w:sz w:val="21"/>
        </w:rPr>
        <w:t>.8、</w:t>
      </w:r>
      <w:r>
        <w:rPr>
          <w:rFonts w:hint="eastAsia" w:ascii="宋体" w:hAnsi="宋体" w:eastAsia="宋体" w:cs="宋体"/>
          <w:color w:val="auto"/>
          <w:sz w:val="21"/>
          <w:lang w:val="en-US" w:eastAsia="zh-CN"/>
        </w:rPr>
        <w:t>10</w:t>
      </w:r>
      <w:r>
        <w:rPr>
          <w:rFonts w:hint="eastAsia" w:ascii="宋体" w:hAnsi="宋体" w:eastAsia="宋体" w:cs="宋体"/>
          <w:color w:val="auto"/>
          <w:sz w:val="21"/>
        </w:rPr>
        <w:t>.0共21个数中随机抽定1个数值，取其平均值确定下浮率，作为评标标底下浮率（K%）。</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3</w:t>
      </w:r>
      <w:r>
        <w:rPr>
          <w:rFonts w:hint="eastAsia" w:ascii="宋体" w:hAnsi="宋体" w:eastAsia="宋体" w:cs="宋体"/>
          <w:color w:val="auto"/>
          <w:sz w:val="21"/>
          <w:lang w:val="en-US" w:eastAsia="zh-CN"/>
        </w:rPr>
        <w:t>0</w:t>
      </w:r>
      <w:r>
        <w:rPr>
          <w:rFonts w:hint="eastAsia" w:ascii="宋体" w:hAnsi="宋体" w:eastAsia="宋体" w:cs="宋体"/>
          <w:color w:val="auto"/>
          <w:sz w:val="21"/>
        </w:rPr>
        <w:t>.2中标价（合同价）=预算审核价×（1-评标标底下浮率）。</w:t>
      </w:r>
    </w:p>
    <w:p>
      <w:pPr>
        <w:tabs>
          <w:tab w:val="left" w:pos="574"/>
        </w:tabs>
        <w:spacing w:line="400" w:lineRule="exact"/>
        <w:ind w:left="158" w:leftChars="79" w:firstLine="211" w:firstLineChars="100"/>
        <w:rPr>
          <w:rFonts w:ascii="宋体" w:hAnsi="宋体" w:eastAsia="宋体" w:cs="宋体"/>
          <w:b/>
          <w:color w:val="auto"/>
          <w:sz w:val="21"/>
        </w:rPr>
      </w:pPr>
      <w:r>
        <w:rPr>
          <w:rFonts w:hint="eastAsia" w:ascii="宋体" w:hAnsi="宋体" w:eastAsia="宋体" w:cs="宋体"/>
          <w:b/>
          <w:color w:val="auto"/>
          <w:sz w:val="21"/>
        </w:rPr>
        <w:t>3</w:t>
      </w:r>
      <w:r>
        <w:rPr>
          <w:rFonts w:hint="eastAsia" w:ascii="宋体" w:hAnsi="宋体" w:eastAsia="宋体" w:cs="宋体"/>
          <w:b/>
          <w:color w:val="auto"/>
          <w:sz w:val="21"/>
          <w:lang w:val="en-US" w:eastAsia="zh-CN"/>
        </w:rPr>
        <w:t>1</w:t>
      </w:r>
      <w:r>
        <w:rPr>
          <w:rFonts w:hint="eastAsia" w:ascii="宋体" w:hAnsi="宋体" w:eastAsia="宋体" w:cs="宋体"/>
          <w:b/>
          <w:color w:val="auto"/>
          <w:sz w:val="21"/>
        </w:rPr>
        <w:t>、中标候选人的确定。</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bCs/>
          <w:color w:val="auto"/>
          <w:sz w:val="21"/>
        </w:rPr>
        <w:t>⑴</w:t>
      </w:r>
      <w:r>
        <w:rPr>
          <w:rFonts w:hint="eastAsia" w:ascii="宋体" w:hAnsi="宋体" w:eastAsia="宋体" w:cs="宋体"/>
          <w:color w:val="auto"/>
          <w:sz w:val="21"/>
        </w:rPr>
        <w:t>中标候选人的排名次序按投标人报价下浮率接近评标标底下浮率程度来确定，取最接近评标标底下浮率为第一中标候选人，如接近评标标底下浮率绝对值相同(同标底相比有上浮和下浮相同的)，取下浮率大者为优先中标候选人；如出现投标的下浮率完全相同的，则抽签确定。</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⑵招标人应当确定第一中标候选人为中标人。第一中标候选人放弃中标，或者因不可抗力提出不能履行合同，或招标文件规定应当提交履约担保而在规定的期限内未能提交，则本次招标失败，重新组织招标。</w:t>
      </w:r>
    </w:p>
    <w:p>
      <w:pPr>
        <w:pStyle w:val="3"/>
        <w:spacing w:line="288" w:lineRule="auto"/>
        <w:ind w:firstLine="0"/>
        <w:rPr>
          <w:rFonts w:ascii="宋体" w:hAnsi="宋体" w:eastAsia="宋体"/>
          <w:b/>
          <w:color w:val="auto"/>
          <w:sz w:val="21"/>
        </w:rPr>
      </w:pPr>
      <w:bookmarkStart w:id="120" w:name="_Toc31452"/>
      <w:r>
        <w:rPr>
          <w:rFonts w:hint="eastAsia" w:ascii="宋体" w:hAnsi="宋体" w:eastAsia="宋体"/>
          <w:color w:val="auto"/>
          <w:sz w:val="21"/>
        </w:rPr>
        <w:t xml:space="preserve">    </w:t>
      </w:r>
      <w:r>
        <w:rPr>
          <w:rFonts w:hint="eastAsia" w:ascii="宋体" w:hAnsi="宋体" w:eastAsia="宋体"/>
          <w:b/>
          <w:color w:val="auto"/>
          <w:sz w:val="21"/>
        </w:rPr>
        <w:t>3</w:t>
      </w:r>
      <w:r>
        <w:rPr>
          <w:rFonts w:hint="eastAsia" w:ascii="宋体" w:hAnsi="宋体" w:eastAsia="宋体"/>
          <w:b/>
          <w:color w:val="auto"/>
          <w:sz w:val="21"/>
          <w:lang w:val="en-US" w:eastAsia="zh-CN"/>
        </w:rPr>
        <w:t>2</w:t>
      </w:r>
      <w:r>
        <w:rPr>
          <w:rFonts w:hint="eastAsia" w:ascii="宋体" w:hAnsi="宋体" w:eastAsia="宋体"/>
          <w:b/>
          <w:color w:val="auto"/>
          <w:sz w:val="21"/>
        </w:rPr>
        <w:t>.中标候选人公示</w:t>
      </w:r>
    </w:p>
    <w:p>
      <w:pPr>
        <w:pStyle w:val="3"/>
        <w:spacing w:line="400" w:lineRule="exact"/>
        <w:rPr>
          <w:rFonts w:ascii="宋体" w:hAnsi="宋体" w:eastAsia="宋体" w:cs="宋体"/>
          <w:color w:val="auto"/>
          <w:sz w:val="21"/>
        </w:rPr>
      </w:pPr>
      <w:r>
        <w:rPr>
          <w:rFonts w:hint="eastAsia" w:ascii="宋体" w:hAnsi="宋体" w:eastAsia="宋体" w:cs="宋体"/>
          <w:color w:val="auto"/>
          <w:sz w:val="21"/>
        </w:rPr>
        <w:t>3</w:t>
      </w:r>
      <w:r>
        <w:rPr>
          <w:rFonts w:hint="eastAsia" w:ascii="宋体" w:hAnsi="宋体" w:eastAsia="宋体" w:cs="宋体"/>
          <w:color w:val="auto"/>
          <w:sz w:val="21"/>
          <w:lang w:val="en-US" w:eastAsia="zh-CN"/>
        </w:rPr>
        <w:t>2</w:t>
      </w:r>
      <w:r>
        <w:rPr>
          <w:rFonts w:hint="eastAsia" w:ascii="宋体" w:hAnsi="宋体" w:eastAsia="宋体" w:cs="宋体"/>
          <w:color w:val="auto"/>
          <w:sz w:val="21"/>
        </w:rPr>
        <w:t>.1招标人应当将评标委员会推荐的中标候选人在交易场所进行公示，公示期不得少于3日（最后一日为工作日）。</w:t>
      </w:r>
    </w:p>
    <w:p>
      <w:pPr>
        <w:pStyle w:val="3"/>
        <w:spacing w:line="400" w:lineRule="exact"/>
        <w:rPr>
          <w:rFonts w:ascii="宋体" w:hAnsi="宋体" w:eastAsia="宋体" w:cs="宋体"/>
          <w:color w:val="auto"/>
          <w:sz w:val="21"/>
        </w:rPr>
      </w:pPr>
      <w:r>
        <w:rPr>
          <w:rFonts w:hint="eastAsia" w:ascii="宋体" w:hAnsi="宋体" w:eastAsia="宋体" w:cs="宋体"/>
          <w:color w:val="auto"/>
          <w:sz w:val="21"/>
        </w:rPr>
        <w:t>3</w:t>
      </w:r>
      <w:r>
        <w:rPr>
          <w:rFonts w:hint="eastAsia" w:ascii="宋体" w:hAnsi="宋体" w:eastAsia="宋体" w:cs="宋体"/>
          <w:color w:val="auto"/>
          <w:sz w:val="21"/>
          <w:lang w:val="en-US" w:eastAsia="zh-CN"/>
        </w:rPr>
        <w:t>2</w:t>
      </w:r>
      <w:r>
        <w:rPr>
          <w:rFonts w:hint="eastAsia" w:ascii="宋体" w:hAnsi="宋体" w:eastAsia="宋体" w:cs="宋体"/>
          <w:color w:val="auto"/>
          <w:sz w:val="21"/>
        </w:rPr>
        <w:t>.2公示期间，投标人对评标结果有异议的，可向招标人（招标代理机构）提出，招标人（招标代理机构）应给予答复。投标人对答复不服或认为招标人（招标代理机构）有违反有关规定及其他弄虚作假情形的，可在接到答复之日起3日内向招标监管机构书面申请核查，并提交相关材料。</w:t>
      </w:r>
    </w:p>
    <w:p>
      <w:pPr>
        <w:tabs>
          <w:tab w:val="left" w:pos="574"/>
        </w:tabs>
        <w:spacing w:line="400" w:lineRule="exact"/>
        <w:ind w:firstLine="420" w:firstLineChars="200"/>
        <w:rPr>
          <w:rFonts w:ascii="宋体" w:hAnsi="宋体" w:eastAsia="宋体" w:cs="宋体"/>
          <w:color w:val="auto"/>
          <w:sz w:val="21"/>
        </w:rPr>
      </w:pPr>
    </w:p>
    <w:p>
      <w:pPr>
        <w:tabs>
          <w:tab w:val="left" w:pos="574"/>
        </w:tabs>
        <w:spacing w:line="400" w:lineRule="exact"/>
        <w:jc w:val="center"/>
        <w:rPr>
          <w:rFonts w:ascii="宋体" w:hAnsi="宋体" w:eastAsia="宋体" w:cs="宋体"/>
          <w:b/>
          <w:color w:val="auto"/>
          <w:sz w:val="30"/>
          <w:szCs w:val="30"/>
        </w:rPr>
      </w:pPr>
      <w:r>
        <w:rPr>
          <w:rFonts w:hint="eastAsia" w:ascii="宋体" w:hAnsi="宋体" w:eastAsia="宋体" w:cs="宋体"/>
          <w:b/>
          <w:color w:val="auto"/>
          <w:sz w:val="30"/>
          <w:szCs w:val="30"/>
        </w:rPr>
        <w:t>第七节  授予合同</w:t>
      </w:r>
      <w:bookmarkEnd w:id="120"/>
    </w:p>
    <w:p>
      <w:pPr>
        <w:tabs>
          <w:tab w:val="left" w:pos="574"/>
        </w:tabs>
        <w:spacing w:line="400" w:lineRule="exact"/>
        <w:jc w:val="center"/>
        <w:rPr>
          <w:rFonts w:ascii="宋体" w:hAnsi="宋体" w:eastAsia="宋体" w:cs="宋体"/>
          <w:b/>
          <w:color w:val="auto"/>
          <w:sz w:val="30"/>
          <w:szCs w:val="30"/>
        </w:rPr>
      </w:pPr>
    </w:p>
    <w:p>
      <w:pPr>
        <w:spacing w:line="400" w:lineRule="exact"/>
        <w:rPr>
          <w:rFonts w:ascii="宋体" w:hAnsi="宋体" w:eastAsia="宋体"/>
          <w:b/>
          <w:color w:val="auto"/>
          <w:sz w:val="21"/>
          <w:szCs w:val="21"/>
        </w:rPr>
      </w:pPr>
      <w:bookmarkStart w:id="121" w:name="_Toc155342567"/>
      <w:bookmarkStart w:id="122" w:name="_Toc169487814"/>
      <w:bookmarkStart w:id="123" w:name="_Toc19533"/>
      <w:r>
        <w:rPr>
          <w:rFonts w:hint="eastAsia" w:ascii="宋体" w:hAnsi="宋体" w:eastAsia="宋体"/>
          <w:b/>
          <w:color w:val="auto"/>
          <w:sz w:val="21"/>
          <w:szCs w:val="21"/>
        </w:rPr>
        <w:t xml:space="preserve">   </w:t>
      </w:r>
      <w:bookmarkEnd w:id="121"/>
      <w:bookmarkEnd w:id="122"/>
      <w:bookmarkEnd w:id="123"/>
      <w:bookmarkStart w:id="124" w:name="_Toc26921"/>
      <w:bookmarkStart w:id="125" w:name="_Toc169487816"/>
      <w:r>
        <w:rPr>
          <w:rFonts w:hint="eastAsia" w:ascii="宋体" w:hAnsi="宋体" w:eastAsia="宋体"/>
          <w:b/>
          <w:color w:val="auto"/>
          <w:sz w:val="21"/>
          <w:szCs w:val="21"/>
        </w:rPr>
        <w:t xml:space="preserve"> 34、中标通知书</w:t>
      </w:r>
      <w:bookmarkEnd w:id="124"/>
      <w:bookmarkEnd w:id="125"/>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34.1公示期间没有异议（投诉）或异议（投诉）不成立的，招标人应当向第一中标候选人发出《建设工程中标通知书》。如发现第一中标候选人资格无效，则本次招标失败。如涉及到其他投标人资格无效，则评标结果不作调整。</w:t>
      </w:r>
      <w:bookmarkStart w:id="126" w:name="_Toc169487817"/>
      <w:bookmarkStart w:id="127" w:name="_Toc155342569"/>
      <w:bookmarkStart w:id="128" w:name="_Toc50020849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34.2招标人应当确定第一中标候选人为中标人。第一中标候选人放弃中标，或者因不可抗力提出不能履行合同，或者因其他情形造成其资格无效的，本次招标失败，重新组织招标</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34.3中标人确定后，招标人应当向中标人发出《建设工程中标通知书》。</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34.4招标人在发出《建设工程中标通知书》的同时，应当将中标结果以书面形式通知所有未中标的投标人。</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34.5《建设工程中标通知书》对招标人和中标人具有法律约束力。《建设工程中标通知书》发出后，如中标人违反法律法规规定而中标无效的，应承担相应的法律责任，本次招标失败，应重新组织招标。</w:t>
      </w:r>
    </w:p>
    <w:p>
      <w:pPr>
        <w:spacing w:line="400" w:lineRule="exact"/>
        <w:rPr>
          <w:rFonts w:ascii="宋体" w:hAnsi="宋体" w:eastAsia="宋体"/>
          <w:b/>
          <w:color w:val="auto"/>
          <w:sz w:val="21"/>
          <w:szCs w:val="21"/>
        </w:rPr>
      </w:pPr>
      <w:bookmarkStart w:id="129" w:name="_Toc296354029"/>
      <w:bookmarkStart w:id="130" w:name="_Toc29308"/>
      <w:r>
        <w:rPr>
          <w:rFonts w:hint="eastAsia" w:ascii="宋体" w:hAnsi="宋体" w:eastAsia="宋体"/>
          <w:b/>
          <w:color w:val="auto"/>
          <w:sz w:val="21"/>
          <w:szCs w:val="21"/>
        </w:rPr>
        <w:t xml:space="preserve">    35、合同签订</w:t>
      </w:r>
      <w:bookmarkEnd w:id="126"/>
      <w:bookmarkEnd w:id="127"/>
      <w:bookmarkEnd w:id="129"/>
      <w:bookmarkEnd w:id="130"/>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35.1自《建设工程中标通知书》发出之日起</w:t>
      </w:r>
      <w:r>
        <w:rPr>
          <w:rFonts w:hint="eastAsia" w:ascii="宋体" w:hAnsi="宋体" w:eastAsia="宋体" w:cs="宋体"/>
          <w:color w:val="auto"/>
          <w:sz w:val="21"/>
          <w:lang w:val="en-US" w:eastAsia="zh-CN"/>
        </w:rPr>
        <w:t>30</w:t>
      </w:r>
      <w:r>
        <w:rPr>
          <w:rFonts w:hint="eastAsia" w:ascii="宋体" w:hAnsi="宋体" w:eastAsia="宋体" w:cs="宋体"/>
          <w:color w:val="auto"/>
          <w:sz w:val="21"/>
        </w:rPr>
        <w:t>日内，招标人应当与中标人按照本招标文件和中标人的投标文件订立书面合同，并到招标办办理备案手续。招标人与中标人不得再行订立背离合同实质性内容的其他协议。</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35.2招标人与中标人须根据国家、省、市建设工程施工合同管理的规定及招标文件、投标文件，草签施工合同，待合同管理部门审查后正式签订。</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35.3招标人与中标人应当按照《关于在我市工程建设领域推行廉政合同的通知》（台纪[2001]19号）的要求签订《廉政合同》。</w:t>
      </w:r>
    </w:p>
    <w:p>
      <w:pPr>
        <w:pStyle w:val="8"/>
        <w:ind w:firstLine="422" w:firstLineChars="200"/>
        <w:rPr>
          <w:b/>
          <w:color w:val="auto"/>
        </w:rPr>
      </w:pPr>
      <w:r>
        <w:rPr>
          <w:rFonts w:hint="eastAsia"/>
          <w:b/>
          <w:color w:val="auto"/>
        </w:rPr>
        <w:t>36．履约保证金</w:t>
      </w:r>
    </w:p>
    <w:p>
      <w:pPr>
        <w:pStyle w:val="8"/>
        <w:ind w:firstLine="420" w:firstLineChars="200"/>
        <w:rPr>
          <w:color w:val="auto"/>
        </w:rPr>
      </w:pPr>
      <w:r>
        <w:rPr>
          <w:rFonts w:hint="eastAsia"/>
          <w:color w:val="auto"/>
        </w:rPr>
        <w:t>中标人应在签定合同之前，将履约保证金按本招标文件规定汇入招标人指定帐户。如中标人不及时提交履约保证金或不按时与招标人签订合同，招标人将有充分理由废除授标，并没收其投标保证金。</w:t>
      </w:r>
    </w:p>
    <w:p>
      <w:pPr>
        <w:spacing w:line="400" w:lineRule="exact"/>
        <w:rPr>
          <w:rFonts w:ascii="宋体" w:hAnsi="宋体" w:eastAsia="宋体" w:cs="宋体"/>
          <w:color w:val="auto"/>
          <w:sz w:val="21"/>
        </w:rPr>
      </w:pPr>
    </w:p>
    <w:bookmarkEnd w:id="128"/>
    <w:p>
      <w:pPr>
        <w:spacing w:line="440" w:lineRule="exact"/>
        <w:rPr>
          <w:color w:val="auto"/>
          <w:sz w:val="21"/>
        </w:rPr>
      </w:pPr>
    </w:p>
    <w:p>
      <w:pPr>
        <w:jc w:val="center"/>
        <w:rPr>
          <w:rStyle w:val="21"/>
          <w:rFonts w:ascii="华文中宋" w:hAnsi="华文中宋" w:eastAsia="华文中宋" w:cs="宋体"/>
          <w:color w:val="auto"/>
          <w:sz w:val="44"/>
          <w:szCs w:val="44"/>
          <w:u w:val="none"/>
        </w:rPr>
      </w:pPr>
    </w:p>
    <w:p>
      <w:pPr>
        <w:jc w:val="center"/>
        <w:rPr>
          <w:rStyle w:val="21"/>
          <w:rFonts w:ascii="华文中宋" w:hAnsi="华文中宋" w:eastAsia="华文中宋" w:cs="宋体"/>
          <w:color w:val="auto"/>
          <w:sz w:val="44"/>
          <w:szCs w:val="44"/>
          <w:u w:val="none"/>
        </w:rPr>
      </w:pPr>
    </w:p>
    <w:p>
      <w:pPr>
        <w:jc w:val="center"/>
        <w:rPr>
          <w:rStyle w:val="21"/>
          <w:rFonts w:ascii="华文中宋" w:hAnsi="华文中宋" w:eastAsia="华文中宋" w:cs="宋体"/>
          <w:color w:val="auto"/>
          <w:sz w:val="44"/>
          <w:szCs w:val="44"/>
          <w:u w:val="none"/>
        </w:rPr>
      </w:pPr>
    </w:p>
    <w:p>
      <w:pPr>
        <w:jc w:val="center"/>
        <w:rPr>
          <w:rStyle w:val="21"/>
          <w:rFonts w:ascii="华文中宋" w:hAnsi="华文中宋" w:eastAsia="华文中宋" w:cs="宋体"/>
          <w:color w:val="auto"/>
          <w:sz w:val="44"/>
          <w:szCs w:val="44"/>
          <w:u w:val="none"/>
        </w:rPr>
      </w:pPr>
    </w:p>
    <w:p>
      <w:pPr>
        <w:jc w:val="center"/>
        <w:rPr>
          <w:rStyle w:val="21"/>
          <w:rFonts w:ascii="华文中宋" w:hAnsi="华文中宋" w:eastAsia="华文中宋" w:cs="宋体"/>
          <w:color w:val="auto"/>
          <w:sz w:val="44"/>
          <w:szCs w:val="44"/>
          <w:u w:val="none"/>
        </w:rPr>
      </w:pPr>
    </w:p>
    <w:p>
      <w:pPr>
        <w:jc w:val="center"/>
        <w:rPr>
          <w:rStyle w:val="21"/>
          <w:rFonts w:ascii="华文中宋" w:hAnsi="华文中宋" w:eastAsia="华文中宋" w:cs="宋体"/>
          <w:color w:val="auto"/>
          <w:sz w:val="44"/>
          <w:szCs w:val="44"/>
          <w:u w:val="none"/>
        </w:rPr>
      </w:pPr>
    </w:p>
    <w:p>
      <w:pPr>
        <w:pStyle w:val="2"/>
        <w:ind w:left="0" w:leftChars="0" w:firstLine="0" w:firstLineChars="0"/>
        <w:rPr>
          <w:rStyle w:val="21"/>
          <w:rFonts w:ascii="华文中宋" w:hAnsi="华文中宋" w:eastAsia="华文中宋" w:cs="宋体"/>
          <w:color w:val="auto"/>
          <w:sz w:val="44"/>
          <w:szCs w:val="44"/>
          <w:u w:val="none"/>
        </w:rPr>
      </w:pPr>
    </w:p>
    <w:p>
      <w:pPr>
        <w:pStyle w:val="3"/>
      </w:pPr>
    </w:p>
    <w:p>
      <w:pPr>
        <w:pStyle w:val="2"/>
      </w:pPr>
    </w:p>
    <w:p>
      <w:pPr>
        <w:pStyle w:val="3"/>
      </w:pPr>
    </w:p>
    <w:p>
      <w:pPr>
        <w:pStyle w:val="5"/>
        <w:jc w:val="center"/>
        <w:rPr>
          <w:rFonts w:ascii="Times New Roman" w:hAnsi="Times New Roman" w:eastAsia="黑体" w:cs="Times New Roman"/>
          <w:color w:val="auto"/>
          <w:szCs w:val="58"/>
        </w:rPr>
      </w:pPr>
      <w:bookmarkStart w:id="131" w:name="_Toc448481093"/>
      <w:bookmarkStart w:id="132" w:name="_Toc426899883"/>
      <w:bookmarkStart w:id="133" w:name="_Toc465775888"/>
      <w:bookmarkStart w:id="134" w:name="_Toc272503795"/>
      <w:r>
        <w:rPr>
          <w:rFonts w:ascii="Times New Roman" w:hAnsi="Times New Roman" w:eastAsia="黑体" w:cs="Times New Roman"/>
          <w:color w:val="auto"/>
          <w:szCs w:val="58"/>
        </w:rPr>
        <w:t>第</w:t>
      </w:r>
      <w:r>
        <w:rPr>
          <w:rFonts w:hint="eastAsia" w:ascii="Times New Roman" w:hAnsi="Times New Roman" w:eastAsia="黑体" w:cs="Times New Roman"/>
          <w:color w:val="auto"/>
          <w:szCs w:val="58"/>
        </w:rPr>
        <w:t>三</w:t>
      </w:r>
      <w:r>
        <w:rPr>
          <w:rFonts w:ascii="Times New Roman" w:hAnsi="Times New Roman" w:eastAsia="黑体" w:cs="Times New Roman"/>
          <w:color w:val="auto"/>
          <w:szCs w:val="58"/>
        </w:rPr>
        <w:t>章  合同条款及格式</w:t>
      </w:r>
      <w:bookmarkEnd w:id="131"/>
      <w:bookmarkEnd w:id="132"/>
      <w:bookmarkEnd w:id="133"/>
      <w:bookmarkEnd w:id="134"/>
    </w:p>
    <w:p>
      <w:pPr>
        <w:pStyle w:val="6"/>
        <w:ind w:left="288"/>
        <w:jc w:val="center"/>
        <w:rPr>
          <w:rFonts w:ascii="Times New Roman" w:hAnsi="Times New Roman" w:eastAsia="黑体"/>
          <w:b w:val="0"/>
          <w:color w:val="auto"/>
          <w:sz w:val="28"/>
          <w:szCs w:val="28"/>
        </w:rPr>
      </w:pPr>
      <w:bookmarkStart w:id="135" w:name="_Toc272503796"/>
      <w:bookmarkStart w:id="136" w:name="_Toc448481094"/>
      <w:bookmarkStart w:id="137" w:name="_Toc426899884"/>
      <w:bookmarkStart w:id="138" w:name="_Toc465775889"/>
      <w:r>
        <w:rPr>
          <w:rFonts w:ascii="Times New Roman" w:hAnsi="Times New Roman" w:eastAsia="黑体"/>
          <w:b w:val="0"/>
          <w:color w:val="auto"/>
          <w:sz w:val="28"/>
          <w:szCs w:val="28"/>
        </w:rPr>
        <w:t>第</w:t>
      </w:r>
      <w:r>
        <w:rPr>
          <w:rFonts w:hint="eastAsia" w:ascii="Times New Roman" w:hAnsi="Times New Roman" w:eastAsia="黑体"/>
          <w:b w:val="0"/>
          <w:color w:val="auto"/>
          <w:sz w:val="28"/>
          <w:szCs w:val="28"/>
        </w:rPr>
        <w:t>一部分</w:t>
      </w:r>
      <w:r>
        <w:rPr>
          <w:rFonts w:ascii="Times New Roman" w:hAnsi="Times New Roman" w:eastAsia="黑体"/>
          <w:b w:val="0"/>
          <w:color w:val="auto"/>
          <w:sz w:val="28"/>
          <w:szCs w:val="28"/>
        </w:rPr>
        <w:t xml:space="preserve"> 通用合同条款</w:t>
      </w:r>
      <w:bookmarkEnd w:id="135"/>
      <w:bookmarkEnd w:id="136"/>
      <w:bookmarkEnd w:id="137"/>
      <w:bookmarkEnd w:id="138"/>
    </w:p>
    <w:p>
      <w:pPr>
        <w:adjustRightInd w:val="0"/>
        <w:snapToGrid w:val="0"/>
        <w:spacing w:line="360" w:lineRule="auto"/>
        <w:ind w:firstLine="420"/>
        <w:rPr>
          <w:rFonts w:ascii="Times New Roman" w:hAnsi="Times New Roman"/>
          <w:color w:val="auto"/>
          <w:sz w:val="24"/>
          <w:szCs w:val="24"/>
        </w:rPr>
      </w:pPr>
      <w:r>
        <w:rPr>
          <w:rFonts w:ascii="Times New Roman" w:hAnsi="Times New Roman"/>
          <w:color w:val="auto"/>
          <w:sz w:val="24"/>
          <w:szCs w:val="24"/>
        </w:rPr>
        <w:t>使用浙江省水利厅、浙江省发展和改革委员会编制的《浙江省水利水电工程施工招标文件示范文本》（2014年版）中的通用合同条款。</w:t>
      </w:r>
    </w:p>
    <w:p>
      <w:pPr>
        <w:adjustRightInd w:val="0"/>
        <w:snapToGrid w:val="0"/>
        <w:spacing w:line="360" w:lineRule="auto"/>
        <w:ind w:firstLine="420"/>
        <w:rPr>
          <w:rFonts w:ascii="Times New Roman" w:hAnsi="Times New Roman"/>
          <w:color w:val="auto"/>
          <w:sz w:val="24"/>
          <w:szCs w:val="24"/>
        </w:rPr>
      </w:pPr>
    </w:p>
    <w:p>
      <w:pPr>
        <w:adjustRightInd w:val="0"/>
        <w:snapToGrid w:val="0"/>
        <w:spacing w:line="360" w:lineRule="auto"/>
        <w:ind w:firstLine="420"/>
        <w:rPr>
          <w:rFonts w:ascii="Times New Roman" w:hAnsi="Times New Roman"/>
          <w:color w:val="auto"/>
          <w:sz w:val="24"/>
          <w:szCs w:val="24"/>
        </w:rPr>
      </w:pPr>
    </w:p>
    <w:p>
      <w:pPr>
        <w:pStyle w:val="6"/>
        <w:ind w:left="288"/>
        <w:jc w:val="center"/>
        <w:rPr>
          <w:rFonts w:hint="eastAsia" w:ascii="宋体" w:hAnsi="宋体" w:eastAsia="宋体" w:cs="宋体"/>
          <w:color w:val="auto"/>
          <w:sz w:val="24"/>
          <w:szCs w:val="24"/>
        </w:rPr>
      </w:pPr>
      <w:r>
        <w:rPr>
          <w:rFonts w:ascii="Times New Roman" w:hAnsi="Times New Roman"/>
          <w:color w:val="auto"/>
          <w:sz w:val="24"/>
          <w:szCs w:val="24"/>
        </w:rPr>
        <w:br w:type="page"/>
      </w:r>
      <w:bookmarkStart w:id="139" w:name="_Toc465775890"/>
      <w:bookmarkStart w:id="140" w:name="_Toc272503797"/>
      <w:bookmarkStart w:id="141" w:name="_Toc426899885"/>
      <w:bookmarkStart w:id="142" w:name="_Toc448481095"/>
      <w:r>
        <w:rPr>
          <w:rFonts w:hint="eastAsia" w:ascii="宋体" w:hAnsi="宋体" w:eastAsia="宋体" w:cs="宋体"/>
          <w:color w:val="auto"/>
          <w:sz w:val="28"/>
          <w:szCs w:val="28"/>
        </w:rPr>
        <w:t>第2部分 专用合同条款</w:t>
      </w:r>
      <w:bookmarkEnd w:id="139"/>
      <w:bookmarkEnd w:id="140"/>
      <w:bookmarkEnd w:id="141"/>
      <w:bookmarkEnd w:id="142"/>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143" w:name="_Toc272503798"/>
      <w:bookmarkStart w:id="144" w:name="_Toc271202045"/>
      <w:bookmarkStart w:id="145" w:name="_Toc448481096"/>
      <w:r>
        <w:rPr>
          <w:rFonts w:hint="eastAsia" w:ascii="宋体" w:hAnsi="宋体" w:eastAsia="宋体" w:cs="宋体"/>
          <w:b/>
          <w:color w:val="auto"/>
          <w:szCs w:val="21"/>
        </w:rPr>
        <w:t>1  一般约定</w:t>
      </w:r>
      <w:bookmarkEnd w:id="143"/>
      <w:bookmarkEnd w:id="144"/>
      <w:bookmarkEnd w:id="145"/>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146" w:name="_Toc448481097"/>
      <w:bookmarkStart w:id="147" w:name="_Toc272503799"/>
      <w:bookmarkStart w:id="148" w:name="_Toc271578075"/>
      <w:bookmarkStart w:id="149" w:name="_Toc271202046"/>
      <w:bookmarkStart w:id="150" w:name="_Toc272503232"/>
      <w:bookmarkStart w:id="151" w:name="_Toc271240979"/>
      <w:bookmarkStart w:id="152" w:name="_Toc271015063"/>
      <w:r>
        <w:rPr>
          <w:rFonts w:hint="eastAsia" w:ascii="宋体" w:hAnsi="宋体" w:eastAsia="宋体" w:cs="宋体"/>
          <w:b/>
          <w:color w:val="auto"/>
          <w:szCs w:val="21"/>
        </w:rPr>
        <w:t>1.1  词语定义</w:t>
      </w:r>
      <w:bookmarkEnd w:id="146"/>
      <w:bookmarkEnd w:id="147"/>
      <w:bookmarkEnd w:id="148"/>
      <w:bookmarkEnd w:id="149"/>
      <w:bookmarkEnd w:id="150"/>
      <w:bookmarkEnd w:id="151"/>
      <w:bookmarkEnd w:id="152"/>
    </w:p>
    <w:p>
      <w:pPr>
        <w:keepNext w:val="0"/>
        <w:keepLines w:val="0"/>
        <w:pageBreakBefore w:val="0"/>
        <w:widowControl/>
        <w:kinsoku/>
        <w:wordWrap/>
        <w:overflowPunct/>
        <w:topLinePunct w:val="0"/>
        <w:autoSpaceDE/>
        <w:autoSpaceDN/>
        <w:bidi w:val="0"/>
        <w:spacing w:line="400" w:lineRule="exact"/>
        <w:rPr>
          <w:rFonts w:hint="eastAsia" w:ascii="宋体" w:hAnsi="宋体" w:eastAsia="宋体" w:cs="宋体"/>
          <w:color w:val="auto"/>
          <w:szCs w:val="21"/>
        </w:rPr>
      </w:pPr>
      <w:r>
        <w:rPr>
          <w:rFonts w:hint="eastAsia" w:ascii="宋体" w:hAnsi="宋体" w:eastAsia="宋体" w:cs="宋体"/>
          <w:color w:val="auto"/>
          <w:szCs w:val="21"/>
        </w:rPr>
        <w:t>1.1.2 合同当事人和人员</w:t>
      </w:r>
    </w:p>
    <w:p>
      <w:pPr>
        <w:keepNext w:val="0"/>
        <w:keepLines w:val="0"/>
        <w:pageBreakBefore w:val="0"/>
        <w:widowControl/>
        <w:kinsoku/>
        <w:wordWrap/>
        <w:overflowPunct/>
        <w:topLinePunct w:val="0"/>
        <w:autoSpaceDE/>
        <w:autoSpaceDN/>
        <w:bidi w:val="0"/>
        <w:adjustRightInd w:val="0"/>
        <w:snapToGrid w:val="0"/>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1.1.2.2 发包人：</w:t>
      </w:r>
      <w:r>
        <w:rPr>
          <w:rFonts w:hint="eastAsia" w:ascii="宋体" w:hAnsi="宋体" w:eastAsia="宋体" w:cs="Times New Roman"/>
          <w:b w:val="0"/>
          <w:bCs w:val="0"/>
          <w:color w:val="auto"/>
          <w:szCs w:val="21"/>
          <w:u w:val="single"/>
          <w:lang w:eastAsia="zh-CN"/>
        </w:rPr>
        <w:t>三门县亭旁镇人民政府</w:t>
      </w:r>
      <w:r>
        <w:rPr>
          <w:rFonts w:hint="eastAsia" w:ascii="宋体" w:hAnsi="宋体" w:eastAsia="宋体" w:cs="Times New Roman"/>
          <w:b w:val="0"/>
          <w:bCs w:val="0"/>
          <w:color w:val="auto"/>
          <w:szCs w:val="21"/>
          <w:u w:val="single"/>
          <w:lang w:val="en-US" w:eastAsia="zh-CN"/>
        </w:rPr>
        <w:t xml:space="preserve">  </w:t>
      </w:r>
      <w:r>
        <w:rPr>
          <w:rFonts w:hint="eastAsia" w:ascii="宋体" w:hAnsi="宋体" w:eastAsia="宋体" w:cs="Times New Roman"/>
          <w:b/>
          <w:bCs/>
          <w:color w:val="auto"/>
          <w:szCs w:val="21"/>
          <w:u w:val="single"/>
          <w:lang w:val="en-US" w:eastAsia="zh-CN"/>
        </w:rPr>
        <w:t xml:space="preserve">  </w:t>
      </w:r>
      <w:r>
        <w:rPr>
          <w:rFonts w:hint="eastAsia" w:ascii="宋体" w:hAnsi="宋体" w:eastAsia="宋体" w:cs="宋体"/>
          <w:color w:val="auto"/>
          <w:szCs w:val="21"/>
        </w:rPr>
        <w:t>。</w:t>
      </w:r>
    </w:p>
    <w:p>
      <w:pPr>
        <w:keepNext w:val="0"/>
        <w:keepLines w:val="0"/>
        <w:pageBreakBefore w:val="0"/>
        <w:widowControl/>
        <w:kinsoku/>
        <w:wordWrap/>
        <w:overflowPunct/>
        <w:topLinePunct w:val="0"/>
        <w:autoSpaceDE/>
        <w:autoSpaceDN/>
        <w:bidi w:val="0"/>
        <w:adjustRightInd w:val="0"/>
        <w:snapToGrid w:val="0"/>
        <w:spacing w:line="400" w:lineRule="exact"/>
        <w:ind w:firstLine="420"/>
        <w:rPr>
          <w:rFonts w:hint="eastAsia" w:ascii="宋体" w:hAnsi="宋体" w:eastAsia="宋体" w:cs="宋体"/>
          <w:color w:val="auto"/>
          <w:szCs w:val="21"/>
          <w:lang w:eastAsia="zh-CN"/>
        </w:rPr>
      </w:pPr>
      <w:r>
        <w:rPr>
          <w:rFonts w:hint="eastAsia" w:ascii="宋体" w:hAnsi="宋体" w:eastAsia="宋体" w:cs="宋体"/>
          <w:color w:val="auto"/>
          <w:szCs w:val="21"/>
        </w:rPr>
        <w:t>1.1.2.3 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400" w:lineRule="exact"/>
        <w:ind w:firstLine="420"/>
        <w:rPr>
          <w:rFonts w:hint="eastAsia" w:ascii="宋体" w:hAnsi="宋体" w:eastAsia="宋体" w:cs="宋体"/>
          <w:color w:val="auto"/>
          <w:szCs w:val="21"/>
          <w:lang w:eastAsia="zh-CN"/>
        </w:rPr>
      </w:pPr>
      <w:r>
        <w:rPr>
          <w:rFonts w:hint="eastAsia" w:ascii="宋体" w:hAnsi="宋体" w:eastAsia="宋体" w:cs="宋体"/>
          <w:color w:val="auto"/>
          <w:szCs w:val="21"/>
        </w:rPr>
        <w:t>1.1.2.5 分包人：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1.1.2.6 监理人：</w:t>
      </w:r>
      <w:r>
        <w:rPr>
          <w:rFonts w:hint="eastAsia" w:ascii="宋体" w:hAnsi="宋体" w:eastAsia="宋体" w:cs="宋体"/>
          <w:color w:val="auto"/>
          <w:szCs w:val="21"/>
          <w:u w:val="single"/>
        </w:rPr>
        <w:t xml:space="preserve">     </w:t>
      </w:r>
      <w:r>
        <w:rPr>
          <w:rFonts w:hint="eastAsia" w:ascii="宋体" w:hAnsi="宋体" w:eastAsia="宋体" w:cs="宋体"/>
          <w:snapToGrid w:val="0"/>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keepNext w:val="0"/>
        <w:keepLines w:val="0"/>
        <w:pageBreakBefore w:val="0"/>
        <w:widowControl/>
        <w:kinsoku/>
        <w:wordWrap/>
        <w:overflowPunct/>
        <w:topLinePunct w:val="0"/>
        <w:autoSpaceDE/>
        <w:autoSpaceDN/>
        <w:bidi w:val="0"/>
        <w:spacing w:line="400" w:lineRule="exact"/>
        <w:rPr>
          <w:rFonts w:hint="eastAsia" w:ascii="宋体" w:hAnsi="宋体" w:eastAsia="宋体" w:cs="宋体"/>
          <w:color w:val="auto"/>
          <w:szCs w:val="21"/>
        </w:rPr>
      </w:pPr>
      <w:r>
        <w:rPr>
          <w:rFonts w:hint="eastAsia" w:ascii="宋体" w:hAnsi="宋体" w:eastAsia="宋体" w:cs="宋体"/>
          <w:color w:val="auto"/>
          <w:szCs w:val="21"/>
        </w:rPr>
        <w:t>1.1.3工程和设备</w:t>
      </w:r>
    </w:p>
    <w:p>
      <w:pPr>
        <w:keepNext w:val="0"/>
        <w:keepLines w:val="0"/>
        <w:pageBreakBefore w:val="0"/>
        <w:widowControl/>
        <w:kinsoku/>
        <w:wordWrap/>
        <w:overflowPunct/>
        <w:topLinePunct w:val="0"/>
        <w:autoSpaceDE/>
        <w:autoSpaceDN/>
        <w:bidi w:val="0"/>
        <w:adjustRightInd w:val="0"/>
        <w:snapToGrid w:val="0"/>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1.1.3.4  单位工程：指经工程质量监督机构确认的工程项目划分表中确定的具有独立发挥作用或独立施工条件的永久建筑物。</w:t>
      </w:r>
    </w:p>
    <w:p>
      <w:pPr>
        <w:keepNext w:val="0"/>
        <w:keepLines w:val="0"/>
        <w:pageBreakBefore w:val="0"/>
        <w:widowControl/>
        <w:kinsoku/>
        <w:wordWrap/>
        <w:overflowPunct/>
        <w:topLinePunct w:val="0"/>
        <w:autoSpaceDE/>
        <w:autoSpaceDN/>
        <w:bidi w:val="0"/>
        <w:spacing w:line="400" w:lineRule="exact"/>
        <w:rPr>
          <w:rFonts w:hint="eastAsia" w:ascii="宋体" w:hAnsi="宋体" w:eastAsia="宋体" w:cs="宋体"/>
          <w:color w:val="auto"/>
          <w:szCs w:val="21"/>
        </w:rPr>
      </w:pPr>
      <w:r>
        <w:rPr>
          <w:rFonts w:hint="eastAsia" w:ascii="宋体" w:hAnsi="宋体" w:eastAsia="宋体" w:cs="宋体"/>
          <w:color w:val="auto"/>
          <w:szCs w:val="21"/>
        </w:rPr>
        <w:t>1.1.4 日期</w:t>
      </w:r>
    </w:p>
    <w:p>
      <w:pPr>
        <w:keepNext w:val="0"/>
        <w:keepLines w:val="0"/>
        <w:pageBreakBefore w:val="0"/>
        <w:widowControl/>
        <w:kinsoku/>
        <w:wordWrap/>
        <w:overflowPunct/>
        <w:topLinePunct w:val="0"/>
        <w:autoSpaceDE/>
        <w:autoSpaceDN/>
        <w:bidi w:val="0"/>
        <w:adjustRightInd w:val="0"/>
        <w:snapToGrid w:val="0"/>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1.1.4.5 缺陷责任期（工程质量保修期）：</w:t>
      </w:r>
      <w:r>
        <w:rPr>
          <w:rFonts w:hint="eastAsia" w:ascii="宋体" w:hAnsi="宋体" w:eastAsia="宋体" w:cs="宋体"/>
          <w:b/>
          <w:iCs/>
          <w:color w:val="auto"/>
          <w:szCs w:val="21"/>
          <w:u w:val="single"/>
        </w:rPr>
        <w:t xml:space="preserve">1 </w:t>
      </w:r>
      <w:r>
        <w:rPr>
          <w:rFonts w:hint="eastAsia" w:ascii="宋体" w:hAnsi="宋体" w:eastAsia="宋体" w:cs="宋体"/>
          <w:color w:val="auto"/>
          <w:szCs w:val="21"/>
        </w:rPr>
        <w:t>年。</w:t>
      </w:r>
    </w:p>
    <w:p>
      <w:pPr>
        <w:keepNext w:val="0"/>
        <w:keepLines w:val="0"/>
        <w:pageBreakBefore w:val="0"/>
        <w:widowControl/>
        <w:kinsoku/>
        <w:wordWrap/>
        <w:overflowPunct/>
        <w:topLinePunct w:val="0"/>
        <w:autoSpaceDE/>
        <w:autoSpaceDN/>
        <w:bidi w:val="0"/>
        <w:spacing w:line="400" w:lineRule="exact"/>
        <w:rPr>
          <w:rFonts w:hint="eastAsia" w:ascii="宋体" w:hAnsi="宋体" w:eastAsia="宋体" w:cs="宋体"/>
          <w:color w:val="auto"/>
          <w:szCs w:val="21"/>
        </w:rPr>
      </w:pPr>
      <w:r>
        <w:rPr>
          <w:rFonts w:hint="eastAsia" w:ascii="宋体" w:hAnsi="宋体" w:eastAsia="宋体" w:cs="宋体"/>
          <w:color w:val="auto"/>
          <w:szCs w:val="21"/>
        </w:rPr>
        <w:t>1.1.6  其他</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1.1.6.2完工验收：指《水利水电建设工程验收规程》中的合同工程完工验收。通用合同条款中“竣工验收”一词具有相同含义。</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153" w:name="_Toc271578076"/>
      <w:bookmarkStart w:id="154" w:name="_Toc271015064"/>
      <w:bookmarkStart w:id="155" w:name="_Toc271202047"/>
      <w:bookmarkStart w:id="156" w:name="_Toc272503233"/>
      <w:bookmarkStart w:id="157" w:name="_Toc271240980"/>
      <w:bookmarkStart w:id="158" w:name="_Toc272503800"/>
      <w:bookmarkStart w:id="159" w:name="_Toc448481098"/>
      <w:r>
        <w:rPr>
          <w:rFonts w:hint="eastAsia" w:ascii="宋体" w:hAnsi="宋体" w:eastAsia="宋体" w:cs="宋体"/>
          <w:b/>
          <w:color w:val="auto"/>
          <w:szCs w:val="21"/>
        </w:rPr>
        <w:t>1.4  合同文件的优先顺序</w:t>
      </w:r>
      <w:bookmarkEnd w:id="153"/>
      <w:bookmarkEnd w:id="154"/>
      <w:bookmarkEnd w:id="155"/>
      <w:bookmarkEnd w:id="156"/>
      <w:bookmarkEnd w:id="157"/>
      <w:bookmarkEnd w:id="158"/>
      <w:bookmarkEnd w:id="159"/>
    </w:p>
    <w:p>
      <w:pPr>
        <w:keepNext w:val="0"/>
        <w:keepLines w:val="0"/>
        <w:pageBreakBefore w:val="0"/>
        <w:widowControl/>
        <w:kinsoku/>
        <w:wordWrap/>
        <w:overflowPunct/>
        <w:topLinePunct w:val="0"/>
        <w:autoSpaceDE/>
        <w:autoSpaceDN/>
        <w:bidi w:val="0"/>
        <w:adjustRightInd w:val="0"/>
        <w:snapToGrid w:val="0"/>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lang w:val="zh-CN"/>
        </w:rPr>
        <w:t>除合同另有规定外，解释合同文件的优先顺序如下</w:t>
      </w:r>
      <w:r>
        <w:rPr>
          <w:rFonts w:hint="eastAsia" w:ascii="宋体" w:hAnsi="宋体" w:eastAsia="宋体" w:cs="宋体"/>
          <w:color w:val="auto"/>
          <w:szCs w:val="21"/>
        </w:rPr>
        <w:t>：</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（1）合同协议书（包括补充协议书）。</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（2）中标通知书。</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（3）投标函及投标函附录。</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（4）招投标文件澄清问题、澄清问题的复函、补充通知等相关资料。</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（5）专用合同条款。</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（6）通用合同条款。</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（7）技术标准和要求。</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（8）图纸。</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（9）已标价的工程量清单。</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（10）经双方确认迸人合同的其他文件。</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160" w:name="_Toc272503801"/>
      <w:bookmarkStart w:id="161" w:name="_Toc271578077"/>
      <w:bookmarkStart w:id="162" w:name="_Toc271202048"/>
      <w:bookmarkStart w:id="163" w:name="_Toc271015065"/>
      <w:bookmarkStart w:id="164" w:name="_Toc272503234"/>
      <w:bookmarkStart w:id="165" w:name="_Toc448481099"/>
      <w:bookmarkStart w:id="166" w:name="_Toc271240981"/>
      <w:r>
        <w:rPr>
          <w:rFonts w:hint="eastAsia" w:ascii="宋体" w:hAnsi="宋体" w:eastAsia="宋体" w:cs="宋体"/>
          <w:b/>
          <w:color w:val="auto"/>
          <w:szCs w:val="21"/>
        </w:rPr>
        <w:t>1.7  联络</w:t>
      </w:r>
      <w:bookmarkEnd w:id="160"/>
      <w:bookmarkEnd w:id="161"/>
      <w:bookmarkEnd w:id="162"/>
      <w:bookmarkEnd w:id="163"/>
      <w:bookmarkEnd w:id="164"/>
      <w:bookmarkEnd w:id="165"/>
      <w:bookmarkEnd w:id="166"/>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bookmarkStart w:id="167" w:name="_Toc265086108"/>
      <w:r>
        <w:rPr>
          <w:rFonts w:hint="eastAsia" w:ascii="宋体" w:hAnsi="宋体" w:eastAsia="宋体" w:cs="宋体"/>
          <w:color w:val="auto"/>
          <w:szCs w:val="21"/>
        </w:rPr>
        <w:t>1.7.2 来往函件均应按技术标准和要求（合同技术条款）约定的期限</w:t>
      </w:r>
      <w:r>
        <w:rPr>
          <w:rFonts w:hint="eastAsia" w:ascii="宋体" w:hAnsi="宋体" w:eastAsia="宋体" w:cs="宋体"/>
          <w:b/>
          <w:iCs/>
          <w:color w:val="auto"/>
          <w:szCs w:val="21"/>
          <w:u w:val="single"/>
        </w:rPr>
        <w:t>送达项目监理部</w:t>
      </w:r>
      <w:r>
        <w:rPr>
          <w:rFonts w:hint="eastAsia" w:ascii="宋体" w:hAnsi="宋体" w:eastAsia="宋体" w:cs="宋体"/>
          <w:iCs/>
          <w:color w:val="auto"/>
          <w:szCs w:val="21"/>
        </w:rPr>
        <w:t>。</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168" w:name="_Toc271202049"/>
      <w:bookmarkStart w:id="169" w:name="_Toc448481100"/>
      <w:bookmarkStart w:id="170" w:name="_Toc272503802"/>
      <w:r>
        <w:rPr>
          <w:rFonts w:hint="eastAsia" w:ascii="宋体" w:hAnsi="宋体" w:eastAsia="宋体" w:cs="宋体"/>
          <w:b/>
          <w:color w:val="auto"/>
          <w:szCs w:val="21"/>
        </w:rPr>
        <w:t>2  发包人义务</w:t>
      </w:r>
      <w:bookmarkEnd w:id="167"/>
      <w:bookmarkEnd w:id="168"/>
      <w:bookmarkEnd w:id="169"/>
      <w:bookmarkEnd w:id="170"/>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171" w:name="_Toc448481101"/>
      <w:bookmarkStart w:id="172" w:name="_Toc271202050"/>
      <w:bookmarkStart w:id="173" w:name="_Toc272503803"/>
      <w:bookmarkStart w:id="174" w:name="_Toc271240983"/>
      <w:bookmarkStart w:id="175" w:name="_Toc271578079"/>
      <w:bookmarkStart w:id="176" w:name="_Toc271015067"/>
      <w:bookmarkStart w:id="177" w:name="_Toc272503236"/>
      <w:r>
        <w:rPr>
          <w:rFonts w:hint="eastAsia" w:ascii="宋体" w:hAnsi="宋体" w:eastAsia="宋体" w:cs="宋体"/>
          <w:b/>
          <w:color w:val="auto"/>
          <w:szCs w:val="21"/>
        </w:rPr>
        <w:t>2.3  提供施工场地</w:t>
      </w:r>
      <w:bookmarkEnd w:id="171"/>
      <w:bookmarkEnd w:id="172"/>
      <w:bookmarkEnd w:id="173"/>
      <w:bookmarkEnd w:id="174"/>
      <w:bookmarkEnd w:id="175"/>
      <w:bookmarkEnd w:id="176"/>
      <w:bookmarkEnd w:id="177"/>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iCs/>
          <w:snapToGrid w:val="0"/>
          <w:color w:val="auto"/>
        </w:rPr>
      </w:pPr>
      <w:r>
        <w:rPr>
          <w:rFonts w:hint="eastAsia" w:ascii="宋体" w:hAnsi="宋体" w:eastAsia="宋体" w:cs="宋体"/>
          <w:color w:val="auto"/>
          <w:szCs w:val="21"/>
        </w:rPr>
        <w:t>2.3.2 发包人提供的用地范围为：</w:t>
      </w:r>
      <w:r>
        <w:rPr>
          <w:rFonts w:hint="eastAsia" w:ascii="宋体" w:hAnsi="宋体" w:eastAsia="宋体" w:cs="宋体"/>
          <w:b/>
          <w:iCs/>
          <w:snapToGrid w:val="0"/>
          <w:color w:val="auto"/>
          <w:u w:val="single"/>
        </w:rPr>
        <w:t>批准的工程红线范围，承包人应无条件接受现场条件。超出上述范围需要使用的场地，均由承包人自行解决，并自行办妥一切需要办理的手续，由此引起的一切纠纷、事故和赔偿责任，均由承包人承担</w:t>
      </w:r>
      <w:r>
        <w:rPr>
          <w:rFonts w:hint="eastAsia" w:ascii="宋体" w:hAnsi="宋体" w:eastAsia="宋体" w:cs="宋体"/>
          <w:iCs/>
          <w:snapToGrid w:val="0"/>
          <w:color w:val="auto"/>
        </w:rPr>
        <w:t>。</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lang w:val="zh-CN"/>
        </w:rPr>
      </w:pPr>
      <w:r>
        <w:rPr>
          <w:rFonts w:hint="eastAsia" w:ascii="宋体" w:hAnsi="宋体" w:eastAsia="宋体" w:cs="宋体"/>
          <w:color w:val="auto"/>
          <w:szCs w:val="21"/>
        </w:rPr>
        <w:t>2.3.3  承包人</w:t>
      </w:r>
      <w:r>
        <w:rPr>
          <w:rFonts w:hint="eastAsia" w:ascii="宋体" w:hAnsi="宋体" w:eastAsia="宋体" w:cs="宋体"/>
          <w:color w:val="auto"/>
          <w:szCs w:val="21"/>
          <w:lang w:val="zh-CN"/>
        </w:rPr>
        <w:t>自行勘察的施工场地范围为：</w:t>
      </w:r>
      <w:r>
        <w:rPr>
          <w:rFonts w:hint="eastAsia" w:ascii="宋体" w:hAnsi="宋体" w:eastAsia="宋体" w:cs="宋体"/>
          <w:color w:val="auto"/>
          <w:szCs w:val="21"/>
          <w:u w:val="single"/>
          <w:lang w:val="zh-CN"/>
        </w:rPr>
        <w:t xml:space="preserve"> </w:t>
      </w:r>
      <w:r>
        <w:rPr>
          <w:szCs w:val="21"/>
          <w:u w:val="single"/>
        </w:rPr>
        <w:t>在本工程范围内，由承包人结合实际情况确定</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iCs/>
          <w:color w:val="auto"/>
          <w:szCs w:val="21"/>
        </w:rPr>
      </w:pPr>
      <w:bookmarkStart w:id="178" w:name="_Toc271240984"/>
      <w:bookmarkStart w:id="179" w:name="_Toc272503237"/>
      <w:bookmarkStart w:id="180" w:name="_Toc271578080"/>
      <w:bookmarkStart w:id="181" w:name="_Toc448481102"/>
      <w:bookmarkStart w:id="182" w:name="_Toc272503804"/>
      <w:bookmarkStart w:id="183" w:name="_Toc271015068"/>
      <w:bookmarkStart w:id="184" w:name="_Toc271202051"/>
      <w:r>
        <w:rPr>
          <w:rFonts w:hint="eastAsia" w:ascii="宋体" w:hAnsi="宋体" w:eastAsia="宋体" w:cs="宋体"/>
          <w:b/>
          <w:iCs/>
          <w:color w:val="auto"/>
          <w:szCs w:val="21"/>
        </w:rPr>
        <w:t>2.8  其它义务</w:t>
      </w:r>
      <w:bookmarkEnd w:id="178"/>
      <w:bookmarkEnd w:id="179"/>
      <w:bookmarkEnd w:id="180"/>
      <w:bookmarkEnd w:id="181"/>
      <w:bookmarkEnd w:id="182"/>
      <w:bookmarkEnd w:id="183"/>
      <w:bookmarkEnd w:id="184"/>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iCs/>
          <w:color w:val="auto"/>
          <w:szCs w:val="21"/>
        </w:rPr>
      </w:pPr>
      <w:r>
        <w:rPr>
          <w:szCs w:val="21"/>
          <w:u w:val="single"/>
        </w:rPr>
        <w:t>（1）</w:t>
      </w:r>
      <w:r>
        <w:rPr>
          <w:rFonts w:hint="eastAsia"/>
          <w:u w:val="single"/>
        </w:rPr>
        <w:t>临时用地由承包人自行解决，期间所产生的费用投标人在报价时考虑，包括在投标价中</w:t>
      </w:r>
      <w:r>
        <w:rPr>
          <w:rFonts w:hint="eastAsia" w:ascii="宋体" w:hAnsi="宋体" w:eastAsia="宋体" w:cs="宋体"/>
          <w:iCs/>
          <w:color w:val="auto"/>
          <w:szCs w:val="21"/>
        </w:rPr>
        <w:t>。</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185" w:name="_Toc271202052"/>
      <w:bookmarkStart w:id="186" w:name="_Toc265086109"/>
      <w:bookmarkStart w:id="187" w:name="_Toc272503805"/>
      <w:bookmarkStart w:id="188" w:name="_Toc448481103"/>
      <w:r>
        <w:rPr>
          <w:rFonts w:hint="eastAsia" w:ascii="宋体" w:hAnsi="宋体" w:eastAsia="宋体" w:cs="宋体"/>
          <w:b/>
          <w:color w:val="auto"/>
          <w:szCs w:val="21"/>
        </w:rPr>
        <w:t>3  监理人</w:t>
      </w:r>
      <w:bookmarkEnd w:id="185"/>
      <w:bookmarkEnd w:id="186"/>
      <w:bookmarkEnd w:id="187"/>
      <w:bookmarkEnd w:id="188"/>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189" w:name="_Toc272503806"/>
      <w:bookmarkStart w:id="190" w:name="_Toc272503239"/>
      <w:bookmarkStart w:id="191" w:name="_Toc271578082"/>
      <w:bookmarkStart w:id="192" w:name="_Toc271240986"/>
      <w:bookmarkStart w:id="193" w:name="_Toc271202053"/>
      <w:bookmarkStart w:id="194" w:name="_Toc448481104"/>
      <w:bookmarkStart w:id="195" w:name="_Toc271015070"/>
      <w:r>
        <w:rPr>
          <w:rFonts w:hint="eastAsia" w:ascii="宋体" w:hAnsi="宋体" w:eastAsia="宋体" w:cs="宋体"/>
          <w:b/>
          <w:color w:val="auto"/>
          <w:szCs w:val="21"/>
        </w:rPr>
        <w:t>3.1  监理人的职责和权力</w:t>
      </w:r>
      <w:bookmarkEnd w:id="189"/>
      <w:bookmarkEnd w:id="190"/>
      <w:bookmarkEnd w:id="191"/>
      <w:bookmarkEnd w:id="192"/>
      <w:bookmarkEnd w:id="193"/>
      <w:bookmarkEnd w:id="194"/>
      <w:bookmarkEnd w:id="195"/>
    </w:p>
    <w:p>
      <w:pPr>
        <w:keepNext w:val="0"/>
        <w:keepLines w:val="0"/>
        <w:pageBreakBefore w:val="0"/>
        <w:widowControl/>
        <w:kinsoku/>
        <w:wordWrap/>
        <w:overflowPunct/>
        <w:topLinePunct w:val="0"/>
        <w:autoSpaceDE/>
        <w:autoSpaceDN/>
        <w:bidi w:val="0"/>
        <w:adjustRightInd w:val="0"/>
        <w:snapToGrid w:val="0"/>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 xml:space="preserve">3.1.1监理人须根据发包人事先批准的权力范围行使权力，发包人批准的权利范围（填写监理人须经发包人的批准才能行使的权利，以下示例供参考）： </w:t>
      </w:r>
    </w:p>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按第4.3款约定，批准工程的分包；</w:t>
      </w:r>
    </w:p>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按第11.3款约定，确定延长完工期限；</w:t>
      </w:r>
    </w:p>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按第15条规定，当变更引起的合同价格增减时作出变更决定；</w:t>
      </w:r>
    </w:p>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按第15.6款约定，批准暂列金额的使用。</w:t>
      </w:r>
    </w:p>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rPr>
          <w:rFonts w:hint="eastAsia" w:ascii="宋体" w:hAnsi="宋体" w:eastAsia="宋体" w:cs="宋体"/>
          <w:b/>
          <w:iCs/>
          <w:color w:val="auto"/>
          <w:szCs w:val="21"/>
        </w:rPr>
      </w:pPr>
      <w:r>
        <w:rPr>
          <w:rFonts w:hint="eastAsia" w:ascii="宋体" w:hAnsi="宋体" w:eastAsia="宋体" w:cs="宋体"/>
          <w:b/>
          <w:iCs/>
          <w:color w:val="auto"/>
          <w:szCs w:val="21"/>
        </w:rPr>
        <w:t>对承包人各类施工管理人员的管理与考核；</w:t>
      </w:r>
    </w:p>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rPr>
          <w:rFonts w:hint="eastAsia" w:ascii="宋体" w:hAnsi="宋体" w:eastAsia="宋体" w:cs="宋体"/>
          <w:b/>
          <w:iCs/>
          <w:color w:val="auto"/>
          <w:szCs w:val="21"/>
        </w:rPr>
      </w:pPr>
      <w:r>
        <w:rPr>
          <w:rFonts w:hint="eastAsia" w:ascii="宋体" w:hAnsi="宋体" w:eastAsia="宋体" w:cs="宋体"/>
          <w:b/>
          <w:iCs/>
          <w:color w:val="auto"/>
          <w:szCs w:val="21"/>
        </w:rPr>
        <w:t>对各类签证如实做好记录并签署真实意见；</w:t>
      </w:r>
    </w:p>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rPr>
          <w:rFonts w:hint="eastAsia" w:ascii="宋体" w:hAnsi="宋体" w:eastAsia="宋体" w:cs="宋体"/>
          <w:b/>
          <w:iCs/>
          <w:color w:val="auto"/>
          <w:szCs w:val="21"/>
        </w:rPr>
      </w:pPr>
      <w:r>
        <w:rPr>
          <w:rFonts w:hint="eastAsia" w:ascii="宋体" w:hAnsi="宋体" w:eastAsia="宋体" w:cs="宋体"/>
          <w:b/>
          <w:iCs/>
          <w:color w:val="auto"/>
          <w:szCs w:val="21"/>
        </w:rPr>
        <w:t>对承包人索赔事项作出初步意见，报发包人审批；</w:t>
      </w:r>
    </w:p>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rPr>
          <w:rFonts w:hint="eastAsia" w:ascii="宋体" w:hAnsi="宋体" w:eastAsia="宋体" w:cs="宋体"/>
          <w:b/>
          <w:iCs/>
          <w:color w:val="auto"/>
          <w:szCs w:val="21"/>
        </w:rPr>
      </w:pPr>
      <w:r>
        <w:rPr>
          <w:rFonts w:hint="eastAsia" w:ascii="宋体" w:hAnsi="宋体" w:eastAsia="宋体" w:cs="宋体"/>
          <w:b/>
          <w:iCs/>
          <w:color w:val="auto"/>
          <w:szCs w:val="21"/>
        </w:rPr>
        <w:t>对每月承包人上报的月工程量进行复核，并对支付的进度款做好复核。</w:t>
      </w:r>
    </w:p>
    <w:p>
      <w:pPr>
        <w:keepNext w:val="0"/>
        <w:keepLines w:val="0"/>
        <w:pageBreakBefore w:val="0"/>
        <w:widowControl/>
        <w:kinsoku/>
        <w:wordWrap/>
        <w:overflowPunct/>
        <w:topLinePunct w:val="0"/>
        <w:autoSpaceDE/>
        <w:autoSpaceDN/>
        <w:bidi w:val="0"/>
        <w:adjustRightInd w:val="0"/>
        <w:snapToGrid w:val="0"/>
        <w:spacing w:line="40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15条的规定增加相应的费用，并通知承包人、发包人。</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iCs/>
          <w:color w:val="auto"/>
          <w:szCs w:val="21"/>
        </w:rPr>
      </w:pPr>
      <w:bookmarkStart w:id="196" w:name="_Toc272503807"/>
      <w:bookmarkStart w:id="197" w:name="_Toc265086110"/>
      <w:bookmarkStart w:id="198" w:name="_Toc271202054"/>
      <w:bookmarkStart w:id="199" w:name="_Toc448481105"/>
      <w:r>
        <w:rPr>
          <w:rFonts w:hint="eastAsia" w:ascii="宋体" w:hAnsi="宋体" w:eastAsia="宋体" w:cs="宋体"/>
          <w:b/>
          <w:iCs/>
          <w:color w:val="auto"/>
          <w:szCs w:val="21"/>
        </w:rPr>
        <w:t>4  承包人</w:t>
      </w:r>
      <w:bookmarkEnd w:id="196"/>
      <w:bookmarkEnd w:id="197"/>
      <w:bookmarkEnd w:id="198"/>
      <w:bookmarkEnd w:id="199"/>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200" w:name="_Toc272503241"/>
      <w:bookmarkStart w:id="201" w:name="_Toc272503808"/>
      <w:bookmarkStart w:id="202" w:name="_Toc271015072"/>
      <w:bookmarkStart w:id="203" w:name="_Toc271578084"/>
      <w:bookmarkStart w:id="204" w:name="_Toc271240988"/>
      <w:bookmarkStart w:id="205" w:name="_Toc448481106"/>
      <w:bookmarkStart w:id="206" w:name="_Toc271202055"/>
      <w:r>
        <w:rPr>
          <w:rFonts w:hint="eastAsia" w:ascii="宋体" w:hAnsi="宋体" w:eastAsia="宋体" w:cs="宋体"/>
          <w:b/>
          <w:color w:val="auto"/>
          <w:szCs w:val="21"/>
        </w:rPr>
        <w:t>4.1  承包人的一般义务</w:t>
      </w:r>
      <w:bookmarkEnd w:id="200"/>
      <w:bookmarkEnd w:id="201"/>
      <w:bookmarkEnd w:id="202"/>
      <w:bookmarkEnd w:id="203"/>
      <w:bookmarkEnd w:id="204"/>
      <w:bookmarkEnd w:id="205"/>
      <w:bookmarkEnd w:id="206"/>
    </w:p>
    <w:p>
      <w:pPr>
        <w:keepNext w:val="0"/>
        <w:keepLines w:val="0"/>
        <w:pageBreakBefore w:val="0"/>
        <w:widowControl/>
        <w:kinsoku/>
        <w:wordWrap/>
        <w:overflowPunct/>
        <w:topLinePunct w:val="0"/>
        <w:autoSpaceDE/>
        <w:autoSpaceDN/>
        <w:bidi w:val="0"/>
        <w:adjustRightInd w:val="0"/>
        <w:snapToGrid w:val="0"/>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4.1.10 其它义务</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承包人应按照水利部和相关文件资料归档要求及时整理施工过程中的相关资料，做好资料归档工作，并根据发包人的要求按时提供，该项工作作为合同履约的组成部分。</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承包人修建的临时道路和交通设施，应免费提供给发包人和监理人使用。</w:t>
      </w:r>
    </w:p>
    <w:p>
      <w:pPr>
        <w:keepNext w:val="0"/>
        <w:keepLines w:val="0"/>
        <w:pageBreakBefore w:val="0"/>
        <w:widowControl/>
        <w:numPr>
          <w:ilvl w:val="0"/>
          <w:numId w:val="2"/>
        </w:numPr>
        <w:kinsoku/>
        <w:wordWrap/>
        <w:overflowPunct/>
        <w:topLinePunct w:val="0"/>
        <w:autoSpaceDE/>
        <w:autoSpaceDN/>
        <w:bidi w:val="0"/>
        <w:snapToGrid w:val="0"/>
        <w:spacing w:line="400" w:lineRule="exact"/>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pPr>
        <w:keepNext w:val="0"/>
        <w:keepLines w:val="0"/>
        <w:pageBreakBefore w:val="0"/>
        <w:widowControl/>
        <w:numPr>
          <w:ilvl w:val="0"/>
          <w:numId w:val="2"/>
        </w:numPr>
        <w:kinsoku/>
        <w:wordWrap/>
        <w:overflowPunct/>
        <w:topLinePunct w:val="0"/>
        <w:autoSpaceDE/>
        <w:autoSpaceDN/>
        <w:bidi w:val="0"/>
        <w:snapToGrid w:val="0"/>
        <w:spacing w:line="400" w:lineRule="exact"/>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pPr>
        <w:keepNext w:val="0"/>
        <w:keepLines w:val="0"/>
        <w:pageBreakBefore w:val="0"/>
        <w:widowControl/>
        <w:numPr>
          <w:ilvl w:val="0"/>
          <w:numId w:val="2"/>
        </w:numPr>
        <w:kinsoku/>
        <w:wordWrap/>
        <w:overflowPunct/>
        <w:topLinePunct w:val="0"/>
        <w:autoSpaceDE/>
        <w:autoSpaceDN/>
        <w:bidi w:val="0"/>
        <w:snapToGrid w:val="0"/>
        <w:spacing w:line="400" w:lineRule="exact"/>
        <w:textAlignment w:val="bottom"/>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施工现场清洁卫生的要求：保证施工场地清洁符合环境卫生管理的有关规定，竣工验收通过后30天内工完场清，并承担因自身原因违反有关规定造成的损失和罚款。</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rPr>
          <w:rFonts w:hint="eastAsia" w:ascii="宋体" w:hAnsi="宋体" w:eastAsia="宋体" w:cs="宋体"/>
          <w:b/>
          <w:iCs/>
          <w:snapToGrid w:val="0"/>
          <w:color w:val="auto"/>
          <w:szCs w:val="21"/>
          <w:u w:val="single"/>
        </w:rPr>
      </w:pPr>
      <w:r>
        <w:rPr>
          <w:rFonts w:hint="eastAsia" w:ascii="宋体" w:hAnsi="宋体" w:eastAsia="宋体" w:cs="宋体"/>
          <w:b/>
          <w:iCs/>
          <w:color w:val="auto"/>
          <w:szCs w:val="21"/>
          <w:u w:val="single"/>
        </w:rPr>
        <w:t>因承包人原因工程质量达不到投标承诺的质量标准，则无条件返工至协议书约定的质量标准，支付由此增加的第三方检测的所有费用。如出现两次及两次以上返工情况的，承包人还需支付违约金伍万元人民币。</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rPr>
          <w:rFonts w:hint="eastAsia" w:ascii="宋体" w:hAnsi="宋体" w:eastAsia="宋体" w:cs="宋体"/>
          <w:b/>
          <w:iCs/>
          <w:color w:val="auto"/>
          <w:szCs w:val="21"/>
          <w:u w:val="single"/>
        </w:rPr>
      </w:pPr>
      <w:r>
        <w:rPr>
          <w:rFonts w:hint="eastAsia" w:ascii="宋体" w:hAnsi="宋体" w:eastAsia="宋体" w:cs="宋体"/>
          <w:b/>
          <w:iCs/>
          <w:snapToGrid w:val="0"/>
          <w:color w:val="auto"/>
          <w:u w:val="single"/>
        </w:rPr>
        <w:t>上述（1）至（6）各条款涉及的各类费用均应包含在报价内，发包人不再向承包人另行支付。如因此类原因导致工期延误，工期不予顺延，并由承包人承担相应的责任及费用。</w:t>
      </w:r>
    </w:p>
    <w:p>
      <w:pPr>
        <w:keepNext w:val="0"/>
        <w:keepLines w:val="0"/>
        <w:pageBreakBefore w:val="0"/>
        <w:widowControl/>
        <w:kinsoku/>
        <w:wordWrap/>
        <w:overflowPunct/>
        <w:topLinePunct w:val="0"/>
        <w:autoSpaceDE/>
        <w:autoSpaceDN/>
        <w:bidi w:val="0"/>
        <w:adjustRightInd w:val="0"/>
        <w:snapToGrid w:val="0"/>
        <w:spacing w:line="400" w:lineRule="exact"/>
        <w:ind w:firstLine="402" w:firstLineChars="200"/>
        <w:rPr>
          <w:rFonts w:hint="eastAsia" w:ascii="宋体" w:hAnsi="宋体"/>
          <w:b/>
          <w:color w:val="000000"/>
          <w:szCs w:val="21"/>
          <w:u w:val="single"/>
        </w:rPr>
      </w:pPr>
      <w:r>
        <w:rPr>
          <w:rFonts w:hint="eastAsia" w:ascii="宋体" w:hAnsi="宋体"/>
          <w:b/>
          <w:color w:val="000000"/>
          <w:szCs w:val="21"/>
          <w:u w:val="single"/>
        </w:rPr>
        <w:t>（8）由于发包人政策处理不到位而导致工程延期，只考虑工期顺延，不增加费用；因承包人原因引起的工程延期，由此而增加的监理费用由投标人承担。</w:t>
      </w:r>
    </w:p>
    <w:p>
      <w:pPr>
        <w:keepNext w:val="0"/>
        <w:keepLines w:val="0"/>
        <w:pageBreakBefore w:val="0"/>
        <w:widowControl/>
        <w:kinsoku/>
        <w:wordWrap/>
        <w:overflowPunct/>
        <w:topLinePunct w:val="0"/>
        <w:autoSpaceDE/>
        <w:autoSpaceDN/>
        <w:bidi w:val="0"/>
        <w:adjustRightInd w:val="0"/>
        <w:snapToGrid w:val="0"/>
        <w:spacing w:line="400" w:lineRule="exact"/>
        <w:ind w:firstLine="402" w:firstLineChars="200"/>
        <w:textAlignment w:val="auto"/>
        <w:rPr>
          <w:rFonts w:hint="eastAsia"/>
          <w:u w:val="single"/>
        </w:rPr>
      </w:pPr>
      <w:r>
        <w:rPr>
          <w:rFonts w:hint="eastAsia" w:ascii="宋体" w:hAnsi="宋体"/>
          <w:b/>
          <w:snapToGrid w:val="0"/>
          <w:kern w:val="0"/>
          <w:szCs w:val="21"/>
          <w:u w:val="single"/>
        </w:rPr>
        <w:t>（</w:t>
      </w:r>
      <w:r>
        <w:rPr>
          <w:rFonts w:ascii="宋体" w:hAnsi="宋体"/>
          <w:b/>
          <w:snapToGrid w:val="0"/>
          <w:kern w:val="0"/>
          <w:szCs w:val="21"/>
          <w:u w:val="single"/>
        </w:rPr>
        <w:t>9</w:t>
      </w:r>
      <w:r>
        <w:rPr>
          <w:rFonts w:hint="eastAsia" w:ascii="宋体" w:hAnsi="宋体"/>
          <w:b/>
          <w:snapToGrid w:val="0"/>
          <w:kern w:val="0"/>
          <w:szCs w:val="21"/>
          <w:u w:val="single"/>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iCs/>
          <w:color w:val="auto"/>
          <w:szCs w:val="21"/>
        </w:rPr>
      </w:pPr>
      <w:bookmarkStart w:id="207" w:name="_Toc272503809"/>
      <w:bookmarkStart w:id="208" w:name="_Toc271015073"/>
      <w:bookmarkStart w:id="209" w:name="_Toc271578085"/>
      <w:bookmarkStart w:id="210" w:name="_Toc271202056"/>
      <w:bookmarkStart w:id="211" w:name="_Toc271240989"/>
      <w:bookmarkStart w:id="212" w:name="_Toc448481107"/>
      <w:bookmarkStart w:id="213" w:name="_Toc272503242"/>
      <w:r>
        <w:rPr>
          <w:rFonts w:hint="eastAsia" w:ascii="宋体" w:hAnsi="宋体" w:eastAsia="宋体" w:cs="宋体"/>
          <w:b/>
          <w:iCs/>
          <w:color w:val="auto"/>
          <w:szCs w:val="21"/>
        </w:rPr>
        <w:t>4.3  分包</w:t>
      </w:r>
      <w:bookmarkEnd w:id="207"/>
      <w:bookmarkEnd w:id="208"/>
      <w:bookmarkEnd w:id="209"/>
      <w:bookmarkEnd w:id="210"/>
      <w:bookmarkEnd w:id="211"/>
      <w:bookmarkEnd w:id="212"/>
      <w:bookmarkEnd w:id="213"/>
    </w:p>
    <w:p>
      <w:pPr>
        <w:keepNext w:val="0"/>
        <w:keepLines w:val="0"/>
        <w:pageBreakBefore w:val="0"/>
        <w:widowControl/>
        <w:kinsoku/>
        <w:wordWrap/>
        <w:overflowPunct/>
        <w:topLinePunct w:val="0"/>
        <w:autoSpaceDE/>
        <w:autoSpaceDN/>
        <w:bidi w:val="0"/>
        <w:adjustRightInd w:val="0"/>
        <w:snapToGrid w:val="0"/>
        <w:spacing w:line="400" w:lineRule="exact"/>
        <w:ind w:firstLine="402" w:firstLineChars="200"/>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删除本款内容，并代之以：本工程不允许分包，一经查实，将立即取消承包资格，并没收承包人的全部履约保证金。承包人承担由此引起的一切经济责任和法律责任。</w:t>
      </w:r>
    </w:p>
    <w:p>
      <w:pPr>
        <w:keepNext w:val="0"/>
        <w:keepLines w:val="0"/>
        <w:pageBreakBefore w:val="0"/>
        <w:widowControl/>
        <w:kinsoku/>
        <w:wordWrap/>
        <w:overflowPunct/>
        <w:topLinePunct w:val="0"/>
        <w:autoSpaceDE/>
        <w:autoSpaceDN/>
        <w:bidi w:val="0"/>
        <w:adjustRightInd w:val="0"/>
        <w:snapToGrid w:val="0"/>
        <w:spacing w:line="400" w:lineRule="exact"/>
        <w:rPr>
          <w:rFonts w:hint="eastAsia" w:ascii="宋体" w:hAnsi="宋体" w:eastAsia="宋体" w:cs="宋体"/>
          <w:b/>
          <w:iCs/>
          <w:color w:val="auto"/>
          <w:szCs w:val="21"/>
        </w:rPr>
      </w:pPr>
      <w:r>
        <w:rPr>
          <w:rFonts w:hint="eastAsia" w:ascii="宋体" w:hAnsi="宋体" w:eastAsia="宋体" w:cs="宋体"/>
          <w:b/>
          <w:iCs/>
          <w:color w:val="auto"/>
          <w:szCs w:val="21"/>
        </w:rPr>
        <w:t>4.4  履约担保</w:t>
      </w:r>
    </w:p>
    <w:p>
      <w:pPr>
        <w:keepNext w:val="0"/>
        <w:keepLines w:val="0"/>
        <w:pageBreakBefore w:val="0"/>
        <w:widowControl/>
        <w:kinsoku/>
        <w:wordWrap/>
        <w:overflowPunct/>
        <w:topLinePunct w:val="0"/>
        <w:autoSpaceDE/>
        <w:autoSpaceDN/>
        <w:bidi w:val="0"/>
        <w:adjustRightInd w:val="0"/>
        <w:snapToGrid w:val="0"/>
        <w:spacing w:line="400" w:lineRule="exact"/>
        <w:rPr>
          <w:rFonts w:hint="eastAsia" w:ascii="宋体" w:hAnsi="宋体" w:eastAsia="宋体" w:cs="宋体"/>
          <w:b/>
          <w:iCs/>
          <w:color w:val="auto"/>
          <w:szCs w:val="21"/>
          <w:u w:val="single"/>
        </w:rPr>
      </w:pPr>
      <w:r>
        <w:rPr>
          <w:rFonts w:hint="eastAsia" w:ascii="宋体" w:hAnsi="宋体" w:eastAsia="宋体" w:cs="宋体"/>
          <w:b/>
          <w:iCs/>
          <w:color w:val="auto"/>
          <w:szCs w:val="21"/>
        </w:rPr>
        <w:t xml:space="preserve">     增加：（1）</w:t>
      </w:r>
      <w:r>
        <w:rPr>
          <w:rFonts w:hint="eastAsia" w:ascii="宋体" w:hAnsi="宋体" w:eastAsia="宋体" w:cs="宋体"/>
          <w:b/>
          <w:iCs/>
          <w:color w:val="auto"/>
          <w:szCs w:val="21"/>
          <w:u w:val="single"/>
        </w:rPr>
        <w:t>履约保证金</w:t>
      </w:r>
      <w:r>
        <w:rPr>
          <w:rFonts w:hint="eastAsia" w:ascii="宋体" w:hAnsi="宋体" w:eastAsia="宋体" w:cs="宋体"/>
          <w:b/>
          <w:iCs/>
          <w:color w:val="auto"/>
          <w:szCs w:val="21"/>
          <w:u w:val="single"/>
          <w:lang w:val="en-US" w:eastAsia="zh-CN"/>
        </w:rPr>
        <w:t xml:space="preserve">  2  </w:t>
      </w:r>
      <w:r>
        <w:rPr>
          <w:rFonts w:hint="eastAsia" w:ascii="宋体" w:hAnsi="宋体" w:eastAsia="宋体" w:cs="宋体"/>
          <w:b/>
          <w:iCs/>
          <w:color w:val="auto"/>
          <w:szCs w:val="21"/>
          <w:u w:val="single"/>
        </w:rPr>
        <w:t>%</w:t>
      </w:r>
    </w:p>
    <w:p>
      <w:pPr>
        <w:keepNext w:val="0"/>
        <w:keepLines w:val="0"/>
        <w:pageBreakBefore w:val="0"/>
        <w:widowControl/>
        <w:kinsoku/>
        <w:wordWrap/>
        <w:overflowPunct/>
        <w:topLinePunct w:val="0"/>
        <w:autoSpaceDE/>
        <w:autoSpaceDN/>
        <w:bidi w:val="0"/>
        <w:adjustRightInd w:val="0"/>
        <w:snapToGrid w:val="0"/>
        <w:spacing w:line="400" w:lineRule="exact"/>
        <w:ind w:firstLine="1004" w:firstLineChars="500"/>
        <w:rPr>
          <w:rFonts w:hint="eastAsia" w:ascii="宋体" w:hAnsi="宋体" w:eastAsia="宋体" w:cs="宋体"/>
          <w:b/>
          <w:iCs/>
          <w:color w:val="auto"/>
          <w:szCs w:val="21"/>
        </w:rPr>
      </w:pPr>
      <w:r>
        <w:rPr>
          <w:rFonts w:hint="eastAsia" w:ascii="宋体" w:hAnsi="宋体" w:eastAsia="宋体" w:cs="宋体"/>
          <w:b/>
          <w:iCs/>
          <w:color w:val="auto"/>
          <w:szCs w:val="21"/>
        </w:rPr>
        <w:t>（2）</w:t>
      </w:r>
      <w:r>
        <w:rPr>
          <w:rFonts w:hint="eastAsia" w:ascii="宋体" w:hAnsi="宋体" w:eastAsia="宋体" w:cs="宋体"/>
          <w:b/>
          <w:iCs/>
          <w:color w:val="auto"/>
          <w:szCs w:val="21"/>
          <w:u w:val="single"/>
        </w:rPr>
        <w:t>担保形式：现金。</w:t>
      </w:r>
    </w:p>
    <w:p>
      <w:pPr>
        <w:keepNext w:val="0"/>
        <w:keepLines w:val="0"/>
        <w:pageBreakBefore w:val="0"/>
        <w:widowControl/>
        <w:kinsoku/>
        <w:wordWrap/>
        <w:overflowPunct/>
        <w:topLinePunct w:val="0"/>
        <w:autoSpaceDE/>
        <w:autoSpaceDN/>
        <w:bidi w:val="0"/>
        <w:adjustRightInd w:val="0"/>
        <w:snapToGrid w:val="0"/>
        <w:spacing w:line="400" w:lineRule="exact"/>
        <w:ind w:firstLine="1004" w:firstLineChars="500"/>
        <w:rPr>
          <w:rFonts w:hint="eastAsia" w:ascii="宋体" w:hAnsi="宋体" w:eastAsia="宋体" w:cs="宋体"/>
          <w:b/>
          <w:iCs/>
          <w:color w:val="auto"/>
          <w:szCs w:val="21"/>
          <w:u w:val="single"/>
        </w:rPr>
      </w:pPr>
      <w:r>
        <w:rPr>
          <w:rFonts w:hint="eastAsia" w:ascii="宋体" w:hAnsi="宋体" w:eastAsia="宋体" w:cs="宋体"/>
          <w:b/>
          <w:iCs/>
          <w:color w:val="auto"/>
          <w:szCs w:val="21"/>
        </w:rPr>
        <w:t>（3）</w:t>
      </w:r>
      <w:r>
        <w:rPr>
          <w:rFonts w:hint="eastAsia" w:ascii="宋体" w:hAnsi="宋体" w:eastAsia="宋体" w:cs="宋体"/>
          <w:b/>
          <w:iCs/>
          <w:color w:val="auto"/>
          <w:szCs w:val="21"/>
          <w:u w:val="single"/>
        </w:rPr>
        <w:t>退还时间：待获工程验收证书后10日内结清（不计息）。</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214" w:name="_Toc448481108"/>
      <w:bookmarkStart w:id="215" w:name="_Toc271202057"/>
      <w:bookmarkStart w:id="216" w:name="_Toc271578086"/>
      <w:bookmarkStart w:id="217" w:name="_Toc271015074"/>
      <w:bookmarkStart w:id="218" w:name="_Toc272503243"/>
      <w:bookmarkStart w:id="219" w:name="_Toc271240990"/>
      <w:bookmarkStart w:id="220" w:name="_Toc272503810"/>
      <w:r>
        <w:rPr>
          <w:rFonts w:hint="eastAsia" w:ascii="宋体" w:hAnsi="宋体" w:eastAsia="宋体" w:cs="宋体"/>
          <w:b/>
          <w:color w:val="auto"/>
          <w:szCs w:val="21"/>
        </w:rPr>
        <w:t>4.5承包人项目负责人</w:t>
      </w:r>
      <w:bookmarkEnd w:id="214"/>
    </w:p>
    <w:p>
      <w:pPr>
        <w:keepNext w:val="0"/>
        <w:keepLines w:val="0"/>
        <w:pageBreakBefore w:val="0"/>
        <w:widowControl/>
        <w:kinsoku/>
        <w:wordWrap/>
        <w:overflowPunct/>
        <w:topLinePunct w:val="0"/>
        <w:autoSpaceDE/>
        <w:autoSpaceDN/>
        <w:bidi w:val="0"/>
        <w:snapToGrid w:val="0"/>
        <w:spacing w:line="40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本章4.5.5款补充：</w:t>
      </w:r>
    </w:p>
    <w:p>
      <w:pPr>
        <w:keepNext w:val="0"/>
        <w:keepLines w:val="0"/>
        <w:pageBreakBefore w:val="0"/>
        <w:widowControl/>
        <w:kinsoku/>
        <w:wordWrap/>
        <w:overflowPunct/>
        <w:topLinePunct w:val="0"/>
        <w:autoSpaceDE/>
        <w:autoSpaceDN/>
        <w:bidi w:val="0"/>
        <w:snapToGrid w:val="0"/>
        <w:spacing w:line="40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项目负责人每月驻工地时间不得少于</w:t>
      </w:r>
      <w:r>
        <w:rPr>
          <w:rFonts w:hint="eastAsia" w:ascii="宋体" w:hAnsi="宋体" w:eastAsia="宋体" w:cs="宋体"/>
          <w:b/>
          <w:iCs/>
          <w:snapToGrid w:val="0"/>
          <w:color w:val="auto"/>
          <w:szCs w:val="21"/>
          <w:u w:val="single"/>
        </w:rPr>
        <w:t>22</w:t>
      </w:r>
      <w:r>
        <w:rPr>
          <w:rFonts w:hint="eastAsia" w:ascii="宋体" w:hAnsi="宋体" w:eastAsia="宋体" w:cs="宋体"/>
          <w:snapToGrid w:val="0"/>
          <w:color w:val="auto"/>
          <w:szCs w:val="21"/>
        </w:rPr>
        <w:t>天，每少一天支付违约金</w:t>
      </w:r>
      <w:r>
        <w:rPr>
          <w:rFonts w:hint="eastAsia" w:ascii="宋体" w:hAnsi="宋体" w:eastAsia="宋体" w:cs="宋体"/>
          <w:b/>
          <w:iCs/>
          <w:snapToGrid w:val="0"/>
          <w:color w:val="auto"/>
          <w:szCs w:val="21"/>
          <w:u w:val="single"/>
        </w:rPr>
        <w:t>1000</w:t>
      </w:r>
      <w:r>
        <w:rPr>
          <w:rFonts w:hint="eastAsia" w:ascii="宋体" w:hAnsi="宋体" w:eastAsia="宋体" w:cs="宋体"/>
          <w:snapToGrid w:val="0"/>
          <w:color w:val="auto"/>
          <w:szCs w:val="21"/>
        </w:rPr>
        <w:t>元，</w:t>
      </w:r>
      <w:r>
        <w:rPr>
          <w:rFonts w:hint="eastAsia" w:ascii="宋体" w:hAnsi="宋体" w:eastAsia="宋体" w:cs="宋体"/>
          <w:color w:val="auto"/>
          <w:szCs w:val="21"/>
          <w:lang w:val="zh-CN"/>
        </w:rPr>
        <w:t>，但扣款最终的累计总金额不应超过</w:t>
      </w:r>
      <w:r>
        <w:rPr>
          <w:rFonts w:hint="eastAsia" w:ascii="宋体" w:hAnsi="宋体" w:eastAsia="宋体" w:cs="宋体"/>
          <w:b/>
          <w:i/>
          <w:color w:val="auto"/>
          <w:szCs w:val="21"/>
          <w:u w:val="single"/>
          <w:lang w:val="zh-CN"/>
        </w:rPr>
        <w:t xml:space="preserve"> </w:t>
      </w:r>
      <w:r>
        <w:rPr>
          <w:rFonts w:hint="eastAsia" w:ascii="宋体" w:hAnsi="宋体" w:eastAsia="宋体" w:cs="宋体"/>
          <w:b/>
          <w:iCs/>
          <w:color w:val="auto"/>
          <w:szCs w:val="21"/>
          <w:u w:val="single"/>
          <w:lang w:val="zh-CN"/>
        </w:rPr>
        <w:t xml:space="preserve">10 </w:t>
      </w:r>
      <w:r>
        <w:rPr>
          <w:rFonts w:hint="eastAsia" w:ascii="宋体" w:hAnsi="宋体" w:eastAsia="宋体" w:cs="宋体"/>
          <w:iCs/>
          <w:color w:val="auto"/>
          <w:szCs w:val="21"/>
          <w:lang w:val="zh-CN"/>
        </w:rPr>
        <w:t>万</w:t>
      </w:r>
      <w:r>
        <w:rPr>
          <w:rFonts w:hint="eastAsia" w:ascii="宋体" w:hAnsi="宋体" w:eastAsia="宋体" w:cs="宋体"/>
          <w:color w:val="auto"/>
          <w:szCs w:val="21"/>
          <w:lang w:val="zh-CN"/>
        </w:rPr>
        <w:t>元。</w:t>
      </w:r>
    </w:p>
    <w:p>
      <w:pPr>
        <w:keepNext w:val="0"/>
        <w:keepLines w:val="0"/>
        <w:pageBreakBefore w:val="0"/>
        <w:widowControl/>
        <w:kinsoku/>
        <w:wordWrap/>
        <w:overflowPunct/>
        <w:topLinePunct w:val="0"/>
        <w:autoSpaceDE/>
        <w:autoSpaceDN/>
        <w:bidi w:val="0"/>
        <w:snapToGrid w:val="0"/>
        <w:spacing w:line="40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上述违约金在当月工程款中直接扣除，在工地工作天数按监理人实际考勤记录为准。</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snapToGrid w:val="0"/>
          <w:color w:val="auto"/>
          <w:szCs w:val="21"/>
        </w:rPr>
        <w:t>承包人的项目负责人连续</w:t>
      </w:r>
      <w:r>
        <w:rPr>
          <w:rFonts w:hint="eastAsia" w:ascii="宋体" w:hAnsi="宋体" w:eastAsia="宋体" w:cs="宋体"/>
          <w:b/>
          <w:iCs/>
          <w:snapToGrid w:val="0"/>
          <w:color w:val="auto"/>
          <w:szCs w:val="21"/>
          <w:u w:val="single"/>
        </w:rPr>
        <w:t>3</w:t>
      </w:r>
      <w:r>
        <w:rPr>
          <w:rFonts w:hint="eastAsia" w:ascii="宋体" w:hAnsi="宋体" w:eastAsia="宋体" w:cs="宋体"/>
          <w:snapToGrid w:val="0"/>
          <w:color w:val="auto"/>
          <w:szCs w:val="21"/>
        </w:rPr>
        <w:t>个月及以上每月驻工地的天数少于</w:t>
      </w:r>
      <w:r>
        <w:rPr>
          <w:rFonts w:hint="eastAsia" w:ascii="宋体" w:hAnsi="宋体" w:eastAsia="宋体" w:cs="宋体"/>
          <w:b/>
          <w:iCs/>
          <w:snapToGrid w:val="0"/>
          <w:color w:val="auto"/>
          <w:szCs w:val="21"/>
          <w:u w:val="single"/>
        </w:rPr>
        <w:t>22</w:t>
      </w:r>
      <w:r>
        <w:rPr>
          <w:rFonts w:hint="eastAsia" w:ascii="宋体" w:hAnsi="宋体" w:eastAsia="宋体" w:cs="宋体"/>
          <w:iCs/>
          <w:snapToGrid w:val="0"/>
          <w:color w:val="auto"/>
          <w:szCs w:val="21"/>
        </w:rPr>
        <w:t>天</w:t>
      </w:r>
      <w:r>
        <w:rPr>
          <w:rFonts w:hint="eastAsia" w:ascii="宋体" w:hAnsi="宋体" w:eastAsia="宋体" w:cs="宋体"/>
          <w:snapToGrid w:val="0"/>
          <w:color w:val="auto"/>
          <w:szCs w:val="21"/>
        </w:rPr>
        <w:t>，发包人有权解除合同。</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221" w:name="_Toc448481109"/>
      <w:r>
        <w:rPr>
          <w:rFonts w:hint="eastAsia" w:ascii="宋体" w:hAnsi="宋体" w:eastAsia="宋体" w:cs="宋体"/>
          <w:b/>
          <w:color w:val="auto"/>
          <w:szCs w:val="21"/>
        </w:rPr>
        <w:t>4.6承包人人员管理</w:t>
      </w:r>
      <w:bookmarkEnd w:id="221"/>
    </w:p>
    <w:p>
      <w:pPr>
        <w:keepNext w:val="0"/>
        <w:keepLines w:val="0"/>
        <w:pageBreakBefore w:val="0"/>
        <w:widowControl/>
        <w:kinsoku/>
        <w:wordWrap/>
        <w:overflowPunct/>
        <w:topLinePunct w:val="0"/>
        <w:autoSpaceDE/>
        <w:autoSpaceDN/>
        <w:bidi w:val="0"/>
        <w:snapToGrid w:val="0"/>
        <w:spacing w:line="40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本章4.6.3款补充：</w:t>
      </w:r>
    </w:p>
    <w:p>
      <w:pPr>
        <w:keepNext w:val="0"/>
        <w:keepLines w:val="0"/>
        <w:pageBreakBefore w:val="0"/>
        <w:widowControl/>
        <w:kinsoku/>
        <w:wordWrap/>
        <w:overflowPunct/>
        <w:topLinePunct w:val="0"/>
        <w:autoSpaceDE/>
        <w:autoSpaceDN/>
        <w:bidi w:val="0"/>
        <w:snapToGrid w:val="0"/>
        <w:spacing w:line="40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项目技术负责人每月驻工地时间不得少于</w:t>
      </w:r>
      <w:r>
        <w:rPr>
          <w:rFonts w:hint="eastAsia" w:ascii="宋体" w:hAnsi="宋体" w:eastAsia="宋体" w:cs="宋体"/>
          <w:b/>
          <w:i/>
          <w:snapToGrid w:val="0"/>
          <w:color w:val="auto"/>
          <w:szCs w:val="21"/>
          <w:u w:val="single"/>
        </w:rPr>
        <w:t>22</w:t>
      </w:r>
      <w:r>
        <w:rPr>
          <w:rFonts w:hint="eastAsia" w:ascii="宋体" w:hAnsi="宋体" w:eastAsia="宋体" w:cs="宋体"/>
          <w:snapToGrid w:val="0"/>
          <w:color w:val="auto"/>
          <w:szCs w:val="21"/>
        </w:rPr>
        <w:t>天，每少一天支付违约金</w:t>
      </w:r>
      <w:r>
        <w:rPr>
          <w:rFonts w:hint="eastAsia" w:ascii="宋体" w:hAnsi="宋体" w:eastAsia="宋体" w:cs="宋体"/>
          <w:b/>
          <w:iCs/>
          <w:snapToGrid w:val="0"/>
          <w:color w:val="auto"/>
          <w:szCs w:val="21"/>
          <w:u w:val="single"/>
        </w:rPr>
        <w:t>1000</w:t>
      </w:r>
      <w:r>
        <w:rPr>
          <w:rFonts w:hint="eastAsia" w:ascii="宋体" w:hAnsi="宋体" w:eastAsia="宋体" w:cs="宋体"/>
          <w:iCs/>
          <w:snapToGrid w:val="0"/>
          <w:color w:val="auto"/>
          <w:szCs w:val="21"/>
        </w:rPr>
        <w:t>元</w:t>
      </w:r>
      <w:r>
        <w:rPr>
          <w:rFonts w:hint="eastAsia" w:ascii="宋体" w:hAnsi="宋体" w:eastAsia="宋体" w:cs="宋体"/>
          <w:snapToGrid w:val="0"/>
          <w:color w:val="auto"/>
          <w:szCs w:val="21"/>
        </w:rPr>
        <w:t>,</w:t>
      </w:r>
      <w:r>
        <w:rPr>
          <w:rFonts w:hint="eastAsia" w:ascii="宋体" w:hAnsi="宋体" w:eastAsia="宋体" w:cs="宋体"/>
          <w:color w:val="auto"/>
        </w:rPr>
        <w:t xml:space="preserve"> </w:t>
      </w:r>
      <w:r>
        <w:rPr>
          <w:rFonts w:hint="eastAsia" w:ascii="宋体" w:hAnsi="宋体" w:eastAsia="宋体" w:cs="宋体"/>
          <w:snapToGrid w:val="0"/>
          <w:color w:val="auto"/>
          <w:szCs w:val="21"/>
        </w:rPr>
        <w:t>但扣款最终的累计总金额不应超过</w:t>
      </w:r>
      <w:r>
        <w:rPr>
          <w:rFonts w:hint="eastAsia" w:ascii="宋体" w:hAnsi="宋体" w:eastAsia="宋体" w:cs="宋体"/>
          <w:b/>
          <w:iCs/>
          <w:snapToGrid w:val="0"/>
          <w:color w:val="auto"/>
          <w:szCs w:val="21"/>
          <w:u w:val="single"/>
        </w:rPr>
        <w:t>10</w:t>
      </w:r>
      <w:r>
        <w:rPr>
          <w:rFonts w:hint="eastAsia" w:ascii="宋体" w:hAnsi="宋体" w:eastAsia="宋体" w:cs="宋体"/>
          <w:snapToGrid w:val="0"/>
          <w:color w:val="auto"/>
          <w:szCs w:val="21"/>
        </w:rPr>
        <w:t>万元。</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上述违约金在当月工程款中直接扣除，在工地工作天数按监理人实际考勤记录为准。</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222" w:name="_Toc448481110"/>
      <w:r>
        <w:rPr>
          <w:rFonts w:hint="eastAsia" w:ascii="宋体" w:hAnsi="宋体" w:eastAsia="宋体" w:cs="宋体"/>
          <w:b/>
          <w:color w:val="auto"/>
          <w:szCs w:val="21"/>
        </w:rPr>
        <w:t>4.7 撤换承包人项目负责人和其他人员</w:t>
      </w:r>
      <w:bookmarkEnd w:id="222"/>
    </w:p>
    <w:p>
      <w:pPr>
        <w:keepNext w:val="0"/>
        <w:keepLines w:val="0"/>
        <w:pageBreakBefore w:val="0"/>
        <w:widowControl/>
        <w:kinsoku/>
        <w:wordWrap/>
        <w:overflowPunct/>
        <w:topLinePunct w:val="0"/>
        <w:autoSpaceDE/>
        <w:autoSpaceDN/>
        <w:bidi w:val="0"/>
        <w:spacing w:line="40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补充条款：</w:t>
      </w:r>
    </w:p>
    <w:p>
      <w:pPr>
        <w:keepNext w:val="0"/>
        <w:keepLines w:val="0"/>
        <w:pageBreakBefore w:val="0"/>
        <w:widowControl/>
        <w:kinsoku/>
        <w:wordWrap/>
        <w:overflowPunct/>
        <w:topLinePunct w:val="0"/>
        <w:autoSpaceDE/>
        <w:autoSpaceDN/>
        <w:bidi w:val="0"/>
        <w:spacing w:line="40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项目负责人、技术负责人不得擅自更换。若承包人擅自更换的，除每人次需支付</w:t>
      </w:r>
      <w:r>
        <w:rPr>
          <w:rFonts w:hint="eastAsia" w:ascii="宋体" w:hAnsi="宋体" w:eastAsia="宋体" w:cs="宋体"/>
          <w:b/>
          <w:i/>
          <w:snapToGrid w:val="0"/>
          <w:color w:val="auto"/>
          <w:szCs w:val="21"/>
          <w:u w:val="single"/>
        </w:rPr>
        <w:t>5</w:t>
      </w:r>
      <w:r>
        <w:rPr>
          <w:rFonts w:hint="eastAsia" w:ascii="宋体" w:hAnsi="宋体" w:eastAsia="宋体" w:cs="宋体"/>
          <w:snapToGrid w:val="0"/>
          <w:color w:val="auto"/>
          <w:szCs w:val="21"/>
        </w:rPr>
        <w:t>万元的违约金外，发包人有权将其作为不良行为记录上报水行政主管部门；情节特别严重的，发包人有权中止合同。在合同工程未通过完工验收或合同解除前，项目负责人、技术负责人确需更换的，应征得发包人、原项目负责人备案主管部门同意，且更换后的人员不得低于原投标承诺人员所具有的资格和业绩条件。</w:t>
      </w:r>
    </w:p>
    <w:p>
      <w:pPr>
        <w:keepNext w:val="0"/>
        <w:keepLines w:val="0"/>
        <w:pageBreakBefore w:val="0"/>
        <w:widowControl/>
        <w:kinsoku/>
        <w:wordWrap/>
        <w:overflowPunct/>
        <w:topLinePunct w:val="0"/>
        <w:autoSpaceDE/>
        <w:autoSpaceDN/>
        <w:bidi w:val="0"/>
        <w:spacing w:line="40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承包人的安全员、质量员、施工员等人员擅自调换每一次需支付违约金</w:t>
      </w:r>
      <w:r>
        <w:rPr>
          <w:rFonts w:hint="eastAsia" w:ascii="宋体" w:hAnsi="宋体" w:eastAsia="宋体" w:cs="宋体"/>
          <w:b/>
          <w:iCs/>
          <w:snapToGrid w:val="0"/>
          <w:color w:val="auto"/>
          <w:szCs w:val="21"/>
          <w:u w:val="single"/>
        </w:rPr>
        <w:t>1</w:t>
      </w:r>
      <w:r>
        <w:rPr>
          <w:rFonts w:hint="eastAsia" w:ascii="宋体" w:hAnsi="宋体" w:eastAsia="宋体" w:cs="宋体"/>
          <w:snapToGrid w:val="0"/>
          <w:color w:val="auto"/>
          <w:szCs w:val="21"/>
        </w:rPr>
        <w:t>万元。违约金在工程进度付款中扣除。</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223" w:name="_Toc448481111"/>
      <w:r>
        <w:rPr>
          <w:rFonts w:hint="eastAsia" w:ascii="宋体" w:hAnsi="宋体" w:eastAsia="宋体" w:cs="宋体"/>
          <w:b/>
          <w:color w:val="auto"/>
          <w:szCs w:val="21"/>
        </w:rPr>
        <w:t>4.11  不利物质条件</w:t>
      </w:r>
      <w:bookmarkEnd w:id="215"/>
      <w:bookmarkEnd w:id="216"/>
      <w:bookmarkEnd w:id="217"/>
      <w:bookmarkEnd w:id="218"/>
      <w:bookmarkEnd w:id="219"/>
      <w:bookmarkEnd w:id="220"/>
      <w:bookmarkEnd w:id="223"/>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4.11.1  不利物质条件的范围：</w:t>
      </w:r>
      <w:r>
        <w:rPr>
          <w:rFonts w:hint="eastAsia" w:ascii="宋体" w:hAnsi="宋体" w:eastAsia="宋体" w:cs="宋体"/>
          <w:b/>
          <w:iCs/>
          <w:color w:val="auto"/>
          <w:szCs w:val="21"/>
          <w:u w:val="single"/>
        </w:rPr>
        <w:t>施工中遇到文物或古迹</w:t>
      </w:r>
      <w:r>
        <w:rPr>
          <w:rFonts w:hint="eastAsia" w:ascii="宋体" w:hAnsi="宋体" w:eastAsia="宋体" w:cs="宋体"/>
          <w:iCs/>
          <w:color w:val="auto"/>
          <w:szCs w:val="21"/>
        </w:rPr>
        <w:t>。</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iCs/>
          <w:color w:val="auto"/>
          <w:szCs w:val="21"/>
        </w:rPr>
      </w:pPr>
      <w:bookmarkStart w:id="224" w:name="_Toc265086111"/>
      <w:bookmarkStart w:id="225" w:name="_Toc448481112"/>
      <w:bookmarkStart w:id="226" w:name="_Toc272503811"/>
      <w:bookmarkStart w:id="227" w:name="_Toc271202058"/>
      <w:r>
        <w:rPr>
          <w:rFonts w:hint="eastAsia" w:ascii="宋体" w:hAnsi="宋体" w:eastAsia="宋体" w:cs="宋体"/>
          <w:b/>
          <w:iCs/>
          <w:color w:val="auto"/>
          <w:szCs w:val="21"/>
        </w:rPr>
        <w:t>5  材料和工程设备</w:t>
      </w:r>
      <w:bookmarkEnd w:id="224"/>
      <w:bookmarkEnd w:id="225"/>
      <w:bookmarkEnd w:id="226"/>
      <w:bookmarkEnd w:id="227"/>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iCs/>
          <w:color w:val="auto"/>
          <w:szCs w:val="21"/>
        </w:rPr>
      </w:pPr>
      <w:bookmarkStart w:id="228" w:name="_Toc271578088"/>
      <w:bookmarkStart w:id="229" w:name="_Toc271240992"/>
      <w:bookmarkStart w:id="230" w:name="_Toc272503812"/>
      <w:bookmarkStart w:id="231" w:name="_Toc272503245"/>
      <w:bookmarkStart w:id="232" w:name="_Toc271202059"/>
      <w:bookmarkStart w:id="233" w:name="_Toc448481113"/>
      <w:bookmarkStart w:id="234" w:name="_Toc271015076"/>
      <w:r>
        <w:rPr>
          <w:rFonts w:hint="eastAsia" w:ascii="宋体" w:hAnsi="宋体" w:eastAsia="宋体" w:cs="宋体"/>
          <w:b/>
          <w:iCs/>
          <w:color w:val="auto"/>
          <w:szCs w:val="21"/>
        </w:rPr>
        <w:t>5.2  发包人提供的材料和工程设备</w:t>
      </w:r>
      <w:bookmarkEnd w:id="228"/>
      <w:bookmarkEnd w:id="229"/>
      <w:bookmarkEnd w:id="230"/>
      <w:bookmarkEnd w:id="231"/>
      <w:bookmarkEnd w:id="232"/>
      <w:bookmarkEnd w:id="233"/>
      <w:bookmarkEnd w:id="234"/>
    </w:p>
    <w:p>
      <w:pPr>
        <w:keepNext w:val="0"/>
        <w:keepLines w:val="0"/>
        <w:pageBreakBefore w:val="0"/>
        <w:widowControl/>
        <w:kinsoku/>
        <w:wordWrap/>
        <w:overflowPunct/>
        <w:topLinePunct w:val="0"/>
        <w:autoSpaceDE/>
        <w:autoSpaceDN/>
        <w:bidi w:val="0"/>
        <w:adjustRightInd w:val="0"/>
        <w:snapToGrid w:val="0"/>
        <w:spacing w:line="400" w:lineRule="exact"/>
        <w:ind w:firstLine="420"/>
        <w:rPr>
          <w:rFonts w:hint="eastAsia"/>
        </w:rPr>
      </w:pPr>
      <w:r>
        <w:rPr>
          <w:szCs w:val="21"/>
        </w:rPr>
        <w:t>5.2.1  删去本款全文，并代之以：</w:t>
      </w:r>
      <w:r>
        <w:rPr>
          <w:rFonts w:hint="eastAsia" w:ascii="宋体" w:hAnsi="宋体" w:eastAsia="宋体" w:cs="宋体"/>
          <w:b/>
          <w:iCs/>
          <w:color w:val="auto"/>
          <w:szCs w:val="21"/>
        </w:rPr>
        <w:t>发包人无工程设备、材料提供。所有材料均由承包人自行采购。</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iCs/>
          <w:color w:val="auto"/>
          <w:szCs w:val="21"/>
        </w:rPr>
      </w:pPr>
      <w:bookmarkStart w:id="235" w:name="_Toc272503813"/>
      <w:bookmarkStart w:id="236" w:name="_Toc265086112"/>
      <w:bookmarkStart w:id="237" w:name="_Toc448481114"/>
      <w:bookmarkStart w:id="238" w:name="_Toc271202060"/>
      <w:r>
        <w:rPr>
          <w:rFonts w:hint="eastAsia" w:ascii="宋体" w:hAnsi="宋体" w:eastAsia="宋体" w:cs="宋体"/>
          <w:b/>
          <w:iCs/>
          <w:color w:val="auto"/>
          <w:szCs w:val="21"/>
        </w:rPr>
        <w:t>6  施工设备和临时设施</w:t>
      </w:r>
      <w:bookmarkEnd w:id="235"/>
      <w:bookmarkEnd w:id="236"/>
      <w:bookmarkEnd w:id="237"/>
      <w:bookmarkEnd w:id="238"/>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szCs w:val="21"/>
        </w:rPr>
      </w:pPr>
      <w:r>
        <w:rPr>
          <w:szCs w:val="21"/>
        </w:rPr>
        <w:t>6.1.1临时设施临时占地由发包人协助办理申请手续，费用由承包人承担。</w:t>
      </w:r>
    </w:p>
    <w:p>
      <w:pPr>
        <w:keepNext w:val="0"/>
        <w:keepLines w:val="0"/>
        <w:pageBreakBefore w:val="0"/>
        <w:widowControl/>
        <w:kinsoku/>
        <w:wordWrap/>
        <w:overflowPunct/>
        <w:topLinePunct w:val="0"/>
        <w:autoSpaceDE/>
        <w:autoSpaceDN/>
        <w:bidi w:val="0"/>
        <w:spacing w:line="400" w:lineRule="exact"/>
        <w:ind w:firstLine="400" w:firstLineChars="200"/>
        <w:rPr>
          <w:rFonts w:hint="eastAsia"/>
          <w:szCs w:val="21"/>
        </w:rPr>
      </w:pPr>
      <w:r>
        <w:rPr>
          <w:rFonts w:hint="eastAsia"/>
          <w:szCs w:val="21"/>
        </w:rPr>
        <w:t>6.1.2施工供电：承包人自行联系施工电源接入点，并负责设计、施工、采购、安装、调试、管理和维修施工电源接入点至所有施工区和生活区的变压器架设、高低压输电线路、计量装置、配电所及其全部配电装置和功率补偿装置，此外需配备足够容量的移动式自发电机组，以解决网点不足时的现场应急施工用电。具体由承包人自行联系解决，发包人配合协调。以上费用（包括用电需交纳的其他各项费用）计入临时工程量清单报价中，费用一次性包干。</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rPr>
      </w:pPr>
      <w:r>
        <w:rPr>
          <w:rFonts w:hint="eastAsia"/>
          <w:szCs w:val="21"/>
        </w:rPr>
        <w:t>6.1.3施工供水：承包人自行负责施工场地内、外供水管路的铺设、使用以及产生的费用，相关费用应计入临时工程量清单报价中，费用一次性包干。</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iCs/>
          <w:color w:val="auto"/>
          <w:szCs w:val="21"/>
        </w:rPr>
      </w:pPr>
      <w:bookmarkStart w:id="239" w:name="_Toc271015078"/>
      <w:bookmarkStart w:id="240" w:name="_Toc272503247"/>
      <w:bookmarkStart w:id="241" w:name="_Toc271578090"/>
      <w:bookmarkStart w:id="242" w:name="_Toc448481115"/>
      <w:bookmarkStart w:id="243" w:name="_Toc271240994"/>
      <w:bookmarkStart w:id="244" w:name="_Toc271202061"/>
      <w:bookmarkStart w:id="245" w:name="_Toc272503814"/>
      <w:r>
        <w:rPr>
          <w:rFonts w:hint="eastAsia" w:ascii="宋体" w:hAnsi="宋体" w:eastAsia="宋体" w:cs="宋体"/>
          <w:b/>
          <w:iCs/>
          <w:color w:val="auto"/>
          <w:szCs w:val="21"/>
        </w:rPr>
        <w:t>6.2  发包人提供的施工设备和临时设施</w:t>
      </w:r>
      <w:bookmarkEnd w:id="239"/>
      <w:bookmarkEnd w:id="240"/>
      <w:bookmarkEnd w:id="241"/>
      <w:bookmarkEnd w:id="242"/>
      <w:bookmarkEnd w:id="243"/>
      <w:bookmarkEnd w:id="244"/>
      <w:bookmarkEnd w:id="245"/>
    </w:p>
    <w:p>
      <w:pPr>
        <w:keepNext w:val="0"/>
        <w:keepLines w:val="0"/>
        <w:pageBreakBefore w:val="0"/>
        <w:widowControl/>
        <w:kinsoku/>
        <w:wordWrap/>
        <w:overflowPunct/>
        <w:topLinePunct w:val="0"/>
        <w:autoSpaceDE/>
        <w:autoSpaceDN/>
        <w:bidi w:val="0"/>
        <w:adjustRightInd w:val="0"/>
        <w:snapToGrid w:val="0"/>
        <w:spacing w:line="40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删去本款全文，并代之以：</w:t>
      </w:r>
    </w:p>
    <w:p>
      <w:pPr>
        <w:keepNext w:val="0"/>
        <w:keepLines w:val="0"/>
        <w:pageBreakBefore w:val="0"/>
        <w:widowControl/>
        <w:kinsoku/>
        <w:wordWrap/>
        <w:overflowPunct/>
        <w:topLinePunct w:val="0"/>
        <w:autoSpaceDE/>
        <w:autoSpaceDN/>
        <w:bidi w:val="0"/>
        <w:adjustRightInd w:val="0"/>
        <w:snapToGrid w:val="0"/>
        <w:spacing w:line="400" w:lineRule="exact"/>
        <w:ind w:firstLine="402" w:firstLineChars="200"/>
        <w:rPr>
          <w:rFonts w:hint="eastAsia" w:ascii="宋体" w:hAnsi="宋体" w:eastAsia="宋体" w:cs="宋体"/>
          <w:b/>
          <w:iCs/>
          <w:color w:val="auto"/>
          <w:szCs w:val="21"/>
          <w:u w:val="single"/>
        </w:rPr>
      </w:pPr>
      <w:r>
        <w:rPr>
          <w:rFonts w:hint="eastAsia" w:ascii="宋体" w:hAnsi="宋体" w:eastAsia="宋体" w:cs="宋体"/>
          <w:b/>
          <w:iCs/>
          <w:color w:val="auto"/>
          <w:szCs w:val="21"/>
        </w:rPr>
        <w:t>发包人无施工设备和临时设施提供，均需由承包人自行提供。</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246" w:name="_Toc271202062"/>
      <w:bookmarkStart w:id="247" w:name="_Toc272503815"/>
      <w:bookmarkStart w:id="248" w:name="_Toc265086113"/>
      <w:bookmarkStart w:id="249" w:name="_Toc448481116"/>
      <w:r>
        <w:rPr>
          <w:rFonts w:hint="eastAsia" w:ascii="宋体" w:hAnsi="宋体" w:eastAsia="宋体" w:cs="宋体"/>
          <w:b/>
          <w:color w:val="auto"/>
          <w:szCs w:val="21"/>
        </w:rPr>
        <w:t>7  交通运输</w:t>
      </w:r>
      <w:bookmarkEnd w:id="246"/>
      <w:bookmarkEnd w:id="247"/>
      <w:bookmarkEnd w:id="248"/>
      <w:bookmarkEnd w:id="249"/>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250" w:name="_Toc271015080"/>
      <w:bookmarkStart w:id="251" w:name="_Toc271240996"/>
      <w:bookmarkStart w:id="252" w:name="_Toc272503816"/>
      <w:bookmarkStart w:id="253" w:name="_Toc448481117"/>
      <w:bookmarkStart w:id="254" w:name="_Toc271578092"/>
      <w:bookmarkStart w:id="255" w:name="_Toc271202063"/>
      <w:bookmarkStart w:id="256" w:name="_Toc272503249"/>
      <w:r>
        <w:rPr>
          <w:rFonts w:hint="eastAsia" w:ascii="宋体" w:hAnsi="宋体" w:eastAsia="宋体" w:cs="宋体"/>
          <w:b/>
          <w:color w:val="auto"/>
          <w:szCs w:val="21"/>
        </w:rPr>
        <w:t>7.1  道路通行权和场外设施</w:t>
      </w:r>
      <w:bookmarkEnd w:id="250"/>
      <w:bookmarkEnd w:id="251"/>
      <w:bookmarkEnd w:id="252"/>
      <w:bookmarkEnd w:id="253"/>
      <w:bookmarkEnd w:id="254"/>
      <w:bookmarkEnd w:id="255"/>
      <w:bookmarkEnd w:id="256"/>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道路通行权和场外设施的约定：</w:t>
      </w:r>
    </w:p>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承包人自行协调场外道路及设施；</w:t>
      </w:r>
    </w:p>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承包方负责场内过境车辆的协调和分流工作；</w:t>
      </w:r>
    </w:p>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本条 1～2 款相关费用计入临时工程费，不再另行计费。</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iCs/>
          <w:color w:val="auto"/>
          <w:szCs w:val="21"/>
        </w:rPr>
      </w:pPr>
      <w:bookmarkStart w:id="257" w:name="_Toc448481118"/>
      <w:bookmarkStart w:id="258" w:name="_Toc272503817"/>
      <w:bookmarkStart w:id="259" w:name="_Toc271202064"/>
      <w:bookmarkStart w:id="260" w:name="_Toc265086114"/>
      <w:r>
        <w:rPr>
          <w:rFonts w:hint="eastAsia" w:ascii="宋体" w:hAnsi="宋体" w:eastAsia="宋体" w:cs="宋体"/>
          <w:b/>
          <w:iCs/>
          <w:color w:val="auto"/>
          <w:szCs w:val="21"/>
        </w:rPr>
        <w:t>8  测量放线</w:t>
      </w:r>
      <w:bookmarkEnd w:id="257"/>
      <w:bookmarkEnd w:id="258"/>
      <w:bookmarkEnd w:id="259"/>
      <w:bookmarkEnd w:id="260"/>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iCs/>
          <w:color w:val="auto"/>
          <w:szCs w:val="21"/>
        </w:rPr>
      </w:pPr>
      <w:bookmarkStart w:id="261" w:name="_Toc272503818"/>
      <w:bookmarkStart w:id="262" w:name="_Toc271240998"/>
      <w:bookmarkStart w:id="263" w:name="_Toc271202065"/>
      <w:bookmarkStart w:id="264" w:name="_Toc271015082"/>
      <w:bookmarkStart w:id="265" w:name="_Toc448481119"/>
      <w:bookmarkStart w:id="266" w:name="_Toc271578094"/>
      <w:bookmarkStart w:id="267" w:name="_Toc272503251"/>
      <w:r>
        <w:rPr>
          <w:rFonts w:hint="eastAsia" w:ascii="宋体" w:hAnsi="宋体" w:eastAsia="宋体" w:cs="宋体"/>
          <w:b/>
          <w:iCs/>
          <w:color w:val="auto"/>
          <w:szCs w:val="21"/>
        </w:rPr>
        <w:t>8.1  施工控制网</w:t>
      </w:r>
      <w:bookmarkEnd w:id="261"/>
      <w:bookmarkEnd w:id="262"/>
      <w:bookmarkEnd w:id="263"/>
      <w:bookmarkEnd w:id="264"/>
      <w:bookmarkEnd w:id="265"/>
      <w:bookmarkEnd w:id="266"/>
      <w:bookmarkEnd w:id="267"/>
    </w:p>
    <w:p>
      <w:pPr>
        <w:keepNext w:val="0"/>
        <w:keepLines w:val="0"/>
        <w:pageBreakBefore w:val="0"/>
        <w:widowControl/>
        <w:kinsoku/>
        <w:wordWrap/>
        <w:overflowPunct/>
        <w:topLinePunct w:val="0"/>
        <w:autoSpaceDE/>
        <w:autoSpaceDN/>
        <w:bidi w:val="0"/>
        <w:adjustRightInd w:val="0"/>
        <w:snapToGrid w:val="0"/>
        <w:spacing w:line="400" w:lineRule="exact"/>
        <w:ind w:firstLine="420"/>
        <w:rPr>
          <w:rFonts w:hint="eastAsia" w:ascii="宋体" w:hAnsi="宋体" w:eastAsia="宋体" w:cs="宋体"/>
          <w:iCs/>
          <w:color w:val="auto"/>
          <w:szCs w:val="21"/>
        </w:rPr>
      </w:pPr>
      <w:r>
        <w:rPr>
          <w:rFonts w:hint="eastAsia" w:ascii="宋体" w:hAnsi="宋体" w:eastAsia="宋体" w:cs="宋体"/>
          <w:iCs/>
          <w:color w:val="auto"/>
          <w:szCs w:val="21"/>
        </w:rPr>
        <w:t>8.1.1 施工控制网的约定：</w:t>
      </w:r>
    </w:p>
    <w:p>
      <w:pPr>
        <w:keepNext w:val="0"/>
        <w:keepLines w:val="0"/>
        <w:pageBreakBefore w:val="0"/>
        <w:widowControl/>
        <w:numPr>
          <w:ilvl w:val="0"/>
          <w:numId w:val="4"/>
        </w:numPr>
        <w:kinsoku/>
        <w:wordWrap/>
        <w:overflowPunct/>
        <w:topLinePunct w:val="0"/>
        <w:autoSpaceDE/>
        <w:autoSpaceDN/>
        <w:bidi w:val="0"/>
        <w:adjustRightInd w:val="0"/>
        <w:snapToGrid w:val="0"/>
        <w:spacing w:line="40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监理人应在开工日期前7天内提供给承包人。</w:t>
      </w:r>
    </w:p>
    <w:p>
      <w:pPr>
        <w:keepNext w:val="0"/>
        <w:keepLines w:val="0"/>
        <w:pageBreakBefore w:val="0"/>
        <w:widowControl/>
        <w:numPr>
          <w:ilvl w:val="0"/>
          <w:numId w:val="4"/>
        </w:numPr>
        <w:kinsoku/>
        <w:wordWrap/>
        <w:overflowPunct/>
        <w:topLinePunct w:val="0"/>
        <w:autoSpaceDE/>
        <w:autoSpaceDN/>
        <w:bidi w:val="0"/>
        <w:adjustRightInd w:val="0"/>
        <w:snapToGrid w:val="0"/>
        <w:spacing w:line="40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施工控制网资料承包人应在开工后10天内提供给监理人审批。</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iCs/>
          <w:color w:val="auto"/>
          <w:szCs w:val="21"/>
        </w:rPr>
      </w:pPr>
      <w:bookmarkStart w:id="268" w:name="_Toc272503819"/>
      <w:bookmarkStart w:id="269" w:name="_Toc448481120"/>
      <w:bookmarkStart w:id="270" w:name="_Toc265086115"/>
      <w:bookmarkStart w:id="271" w:name="_Toc271202066"/>
      <w:r>
        <w:rPr>
          <w:rFonts w:hint="eastAsia" w:ascii="宋体" w:hAnsi="宋体" w:eastAsia="宋体" w:cs="宋体"/>
          <w:b/>
          <w:iCs/>
          <w:color w:val="auto"/>
          <w:szCs w:val="21"/>
        </w:rPr>
        <w:t>9  施工安全、治安保卫和环境保护</w:t>
      </w:r>
      <w:bookmarkEnd w:id="268"/>
      <w:bookmarkEnd w:id="269"/>
      <w:bookmarkEnd w:id="270"/>
      <w:bookmarkEnd w:id="271"/>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272" w:name="_Toc271578096"/>
      <w:bookmarkStart w:id="273" w:name="_Toc271202067"/>
      <w:bookmarkStart w:id="274" w:name="_Toc272503820"/>
      <w:bookmarkStart w:id="275" w:name="_Toc448481121"/>
      <w:bookmarkStart w:id="276" w:name="_Toc272503253"/>
      <w:bookmarkStart w:id="277" w:name="_Toc271015084"/>
      <w:bookmarkStart w:id="278" w:name="_Toc271241000"/>
      <w:r>
        <w:rPr>
          <w:rFonts w:hint="eastAsia" w:ascii="宋体" w:hAnsi="宋体" w:eastAsia="宋体" w:cs="宋体"/>
          <w:b/>
          <w:color w:val="auto"/>
          <w:szCs w:val="21"/>
        </w:rPr>
        <w:t>9.1  发包人的施工安全责任</w:t>
      </w:r>
      <w:bookmarkEnd w:id="272"/>
      <w:bookmarkEnd w:id="273"/>
      <w:bookmarkEnd w:id="274"/>
      <w:bookmarkEnd w:id="275"/>
      <w:bookmarkEnd w:id="276"/>
      <w:bookmarkEnd w:id="277"/>
      <w:bookmarkEnd w:id="278"/>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9.1.4 发包人提供</w:t>
      </w:r>
      <w:r>
        <w:rPr>
          <w:rFonts w:hint="eastAsia" w:ascii="宋体" w:hAnsi="宋体" w:eastAsia="宋体" w:cs="宋体"/>
          <w:b/>
          <w:iCs/>
          <w:color w:val="auto"/>
          <w:szCs w:val="21"/>
          <w:u w:val="single"/>
        </w:rPr>
        <w:t>工程区域内的水文、地质</w:t>
      </w:r>
      <w:r>
        <w:rPr>
          <w:rFonts w:hint="eastAsia" w:ascii="宋体" w:hAnsi="宋体" w:eastAsia="宋体" w:cs="宋体"/>
          <w:iCs/>
          <w:color w:val="auto"/>
          <w:szCs w:val="21"/>
        </w:rPr>
        <w:t>资料，</w:t>
      </w:r>
      <w:r>
        <w:rPr>
          <w:rFonts w:hint="eastAsia" w:ascii="宋体" w:hAnsi="宋体" w:eastAsia="宋体" w:cs="宋体"/>
          <w:color w:val="auto"/>
          <w:szCs w:val="21"/>
        </w:rPr>
        <w:t>其余资料由承包人负责收集。</w:t>
      </w:r>
    </w:p>
    <w:p>
      <w:pPr>
        <w:keepNext w:val="0"/>
        <w:keepLines w:val="0"/>
        <w:pageBreakBefore w:val="0"/>
        <w:widowControl/>
        <w:kinsoku/>
        <w:wordWrap/>
        <w:overflowPunct/>
        <w:topLinePunct w:val="0"/>
        <w:autoSpaceDE/>
        <w:autoSpaceDN/>
        <w:bidi w:val="0"/>
        <w:adjustRightInd w:val="0"/>
        <w:snapToGrid w:val="0"/>
        <w:spacing w:line="400" w:lineRule="exact"/>
        <w:outlineLvl w:val="4"/>
        <w:rPr>
          <w:rFonts w:hint="eastAsia" w:ascii="宋体" w:hAnsi="宋体" w:eastAsia="宋体" w:cs="宋体"/>
          <w:b/>
          <w:color w:val="auto"/>
          <w:szCs w:val="21"/>
        </w:rPr>
      </w:pPr>
      <w:bookmarkStart w:id="279" w:name="_Toc271015085"/>
      <w:bookmarkStart w:id="280" w:name="_Toc271202068"/>
      <w:bookmarkStart w:id="281" w:name="_Toc272503821"/>
      <w:bookmarkStart w:id="282" w:name="_Toc272503254"/>
      <w:bookmarkStart w:id="283" w:name="_Toc271241001"/>
      <w:bookmarkStart w:id="284" w:name="_Toc271578097"/>
      <w:r>
        <w:rPr>
          <w:rFonts w:hint="eastAsia" w:ascii="宋体" w:hAnsi="宋体" w:eastAsia="宋体" w:cs="宋体"/>
          <w:b/>
          <w:color w:val="auto"/>
          <w:szCs w:val="21"/>
        </w:rPr>
        <w:t>9.2  承包人的施工安全责任</w:t>
      </w:r>
      <w:bookmarkEnd w:id="279"/>
      <w:bookmarkEnd w:id="280"/>
      <w:bookmarkEnd w:id="281"/>
      <w:bookmarkEnd w:id="282"/>
      <w:bookmarkEnd w:id="283"/>
      <w:bookmarkEnd w:id="284"/>
    </w:p>
    <w:p>
      <w:pPr>
        <w:keepNext w:val="0"/>
        <w:keepLines w:val="0"/>
        <w:pageBreakBefore w:val="0"/>
        <w:widowControl/>
        <w:kinsoku/>
        <w:wordWrap/>
        <w:overflowPunct/>
        <w:topLinePunct w:val="0"/>
        <w:autoSpaceDE/>
        <w:autoSpaceDN/>
        <w:bidi w:val="0"/>
        <w:spacing w:line="400" w:lineRule="exact"/>
        <w:ind w:right="248" w:firstLine="480"/>
        <w:rPr>
          <w:rFonts w:hint="eastAsia"/>
        </w:rPr>
      </w:pPr>
      <w:r>
        <w:t>9.2.6补充：补充：临时工程或临时工程的任何部分对土地的占用所造成的第三者财产损失，亦由承包人承担责任</w:t>
      </w:r>
      <w:r>
        <w:rPr>
          <w:rFonts w:hint="eastAsia"/>
        </w:rPr>
        <w:t>；</w:t>
      </w:r>
      <w:r>
        <w:t>非发包人原因引起的第三方财产损失等均由承包人承担。</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9.2.12 下列工程应编制专项施工方案： </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。其中</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应组织专家论证和审查。</w:t>
      </w:r>
    </w:p>
    <w:p>
      <w:pPr>
        <w:keepNext w:val="0"/>
        <w:keepLines w:val="0"/>
        <w:pageBreakBefore w:val="0"/>
        <w:widowControl/>
        <w:kinsoku/>
        <w:wordWrap/>
        <w:overflowPunct/>
        <w:topLinePunct w:val="0"/>
        <w:autoSpaceDE/>
        <w:autoSpaceDN/>
        <w:bidi w:val="0"/>
        <w:adjustRightInd w:val="0"/>
        <w:snapToGrid w:val="0"/>
        <w:spacing w:line="400" w:lineRule="exact"/>
        <w:outlineLvl w:val="4"/>
        <w:rPr>
          <w:rFonts w:hint="eastAsia" w:ascii="宋体" w:hAnsi="宋体" w:eastAsia="宋体" w:cs="宋体"/>
          <w:b/>
          <w:color w:val="auto"/>
          <w:szCs w:val="21"/>
        </w:rPr>
      </w:pPr>
      <w:bookmarkStart w:id="285" w:name="_Toc271578098"/>
      <w:bookmarkStart w:id="286" w:name="_Toc272503822"/>
      <w:bookmarkStart w:id="287" w:name="_Toc271202069"/>
      <w:bookmarkStart w:id="288" w:name="_Toc272503255"/>
      <w:bookmarkStart w:id="289" w:name="_Toc271241002"/>
      <w:bookmarkStart w:id="290" w:name="_Toc271015086"/>
      <w:r>
        <w:rPr>
          <w:rFonts w:hint="eastAsia" w:ascii="宋体" w:hAnsi="宋体" w:eastAsia="宋体" w:cs="宋体"/>
          <w:b/>
          <w:color w:val="auto"/>
          <w:szCs w:val="21"/>
        </w:rPr>
        <w:t>9.7  文明工地</w:t>
      </w:r>
      <w:bookmarkEnd w:id="285"/>
      <w:bookmarkEnd w:id="286"/>
      <w:bookmarkEnd w:id="287"/>
      <w:bookmarkEnd w:id="288"/>
      <w:bookmarkEnd w:id="289"/>
      <w:bookmarkEnd w:id="290"/>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9.7.1 本合同文明工地的约定：</w:t>
      </w:r>
      <w:r>
        <w:rPr>
          <w:rFonts w:hint="eastAsia" w:ascii="宋体" w:hAnsi="宋体" w:eastAsia="宋体" w:cs="宋体"/>
          <w:b/>
          <w:iCs/>
          <w:color w:val="auto"/>
          <w:szCs w:val="21"/>
          <w:u w:val="single"/>
        </w:rPr>
        <w:t>按工程所在地人民政府有关部门颁发的文明施工要求及招标文件中技术条款执行。</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291" w:name="_Toc448481122"/>
      <w:bookmarkStart w:id="292" w:name="_Toc405878929"/>
      <w:bookmarkStart w:id="293" w:name="_Toc272503825"/>
      <w:bookmarkStart w:id="294" w:name="_Toc271578101"/>
      <w:bookmarkStart w:id="295" w:name="_Toc272503258"/>
      <w:bookmarkStart w:id="296" w:name="_Toc271015089"/>
      <w:bookmarkStart w:id="297" w:name="_Toc271202072"/>
      <w:bookmarkStart w:id="298" w:name="_Toc271241005"/>
      <w:r>
        <w:rPr>
          <w:rFonts w:hint="eastAsia" w:ascii="宋体" w:hAnsi="宋体" w:eastAsia="宋体" w:cs="宋体"/>
          <w:b/>
          <w:color w:val="auto"/>
          <w:szCs w:val="21"/>
        </w:rPr>
        <w:t>11  开工和竣工（完工）</w:t>
      </w:r>
      <w:bookmarkEnd w:id="291"/>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299" w:name="_Toc448481123"/>
      <w:r>
        <w:rPr>
          <w:rFonts w:hint="eastAsia" w:ascii="宋体" w:hAnsi="宋体" w:eastAsia="宋体" w:cs="宋体"/>
          <w:b/>
          <w:color w:val="auto"/>
          <w:szCs w:val="21"/>
        </w:rPr>
        <w:t>11.4 异常恶劣的气候条件</w:t>
      </w:r>
      <w:bookmarkEnd w:id="292"/>
      <w:bookmarkEnd w:id="299"/>
    </w:p>
    <w:p>
      <w:pPr>
        <w:keepNext w:val="0"/>
        <w:keepLines w:val="0"/>
        <w:pageBreakBefore w:val="0"/>
        <w:widowControl/>
        <w:kinsoku/>
        <w:wordWrap/>
        <w:overflowPunct/>
        <w:topLinePunct w:val="0"/>
        <w:autoSpaceDE/>
        <w:autoSpaceDN/>
        <w:bidi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11.4.3 本合同工程界定异常恶劣气候条件的范围为：</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（1）日降雨量大于 </w:t>
      </w:r>
      <w:r>
        <w:rPr>
          <w:rFonts w:hint="eastAsia" w:ascii="宋体" w:hAnsi="宋体" w:eastAsia="宋体" w:cs="宋体"/>
          <w:b/>
          <w:i/>
          <w:color w:val="auto"/>
          <w:szCs w:val="21"/>
          <w:u w:val="single"/>
        </w:rPr>
        <w:t>50</w:t>
      </w:r>
      <w:r>
        <w:rPr>
          <w:rFonts w:hint="eastAsia" w:ascii="宋体" w:hAnsi="宋体" w:eastAsia="宋体" w:cs="宋体"/>
          <w:color w:val="auto"/>
          <w:szCs w:val="21"/>
        </w:rPr>
        <w:t xml:space="preserve"> mm的雨日超过</w:t>
      </w:r>
      <w:r>
        <w:rPr>
          <w:rFonts w:hint="eastAsia" w:ascii="宋体" w:hAnsi="宋体" w:eastAsia="宋体" w:cs="宋体"/>
          <w:b/>
          <w:i/>
          <w:color w:val="auto"/>
          <w:szCs w:val="21"/>
          <w:u w:val="single"/>
        </w:rPr>
        <w:t xml:space="preserve"> 1 </w:t>
      </w:r>
      <w:r>
        <w:rPr>
          <w:rFonts w:hint="eastAsia" w:ascii="宋体" w:hAnsi="宋体" w:eastAsia="宋体" w:cs="宋体"/>
          <w:color w:val="auto"/>
          <w:szCs w:val="21"/>
        </w:rPr>
        <w:t>天。</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（2）风速大于</w:t>
      </w:r>
      <w:r>
        <w:rPr>
          <w:rFonts w:hint="eastAsia" w:ascii="宋体" w:hAnsi="宋体" w:eastAsia="宋体" w:cs="宋体"/>
          <w:b/>
          <w:i/>
          <w:color w:val="auto"/>
          <w:szCs w:val="21"/>
          <w:u w:val="single"/>
        </w:rPr>
        <w:t xml:space="preserve"> 17</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m/s的</w:t>
      </w:r>
      <w:r>
        <w:rPr>
          <w:rFonts w:hint="eastAsia" w:ascii="宋体" w:hAnsi="宋体" w:eastAsia="宋体" w:cs="宋体"/>
          <w:b/>
          <w:i/>
          <w:color w:val="auto"/>
          <w:szCs w:val="21"/>
          <w:u w:val="single"/>
        </w:rPr>
        <w:t xml:space="preserve"> 7 </w:t>
      </w:r>
      <w:r>
        <w:rPr>
          <w:rFonts w:hint="eastAsia" w:ascii="宋体" w:hAnsi="宋体" w:eastAsia="宋体" w:cs="宋体"/>
          <w:color w:val="auto"/>
          <w:szCs w:val="21"/>
        </w:rPr>
        <w:t>级以上台风灾害。</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（3）日气温超过</w:t>
      </w:r>
      <w:r>
        <w:rPr>
          <w:rFonts w:hint="eastAsia" w:ascii="宋体" w:hAnsi="宋体" w:eastAsia="宋体" w:cs="宋体"/>
          <w:b/>
          <w:i/>
          <w:color w:val="auto"/>
          <w:szCs w:val="21"/>
          <w:u w:val="single"/>
        </w:rPr>
        <w:t xml:space="preserve"> 40 </w:t>
      </w:r>
      <w:r>
        <w:rPr>
          <w:rFonts w:hint="eastAsia" w:ascii="宋体" w:hAnsi="宋体" w:eastAsia="宋体" w:cs="宋体"/>
          <w:color w:val="auto"/>
          <w:szCs w:val="21"/>
        </w:rPr>
        <w:t>℃的高温大于</w:t>
      </w:r>
      <w:r>
        <w:rPr>
          <w:rFonts w:hint="eastAsia" w:ascii="宋体" w:hAnsi="宋体" w:eastAsia="宋体" w:cs="宋体"/>
          <w:b/>
          <w:i/>
          <w:color w:val="auto"/>
          <w:szCs w:val="21"/>
          <w:u w:val="single"/>
        </w:rPr>
        <w:t xml:space="preserve"> 3 </w:t>
      </w:r>
      <w:r>
        <w:rPr>
          <w:rFonts w:hint="eastAsia" w:ascii="宋体" w:hAnsi="宋体" w:eastAsia="宋体" w:cs="宋体"/>
          <w:color w:val="auto"/>
          <w:szCs w:val="21"/>
        </w:rPr>
        <w:t>天。</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（4）日气温低于</w:t>
      </w:r>
      <w:r>
        <w:rPr>
          <w:rFonts w:hint="eastAsia" w:ascii="宋体" w:hAnsi="宋体" w:eastAsia="宋体" w:cs="宋体"/>
          <w:b/>
          <w:i/>
          <w:color w:val="auto"/>
          <w:szCs w:val="21"/>
          <w:u w:val="single"/>
        </w:rPr>
        <w:t xml:space="preserve"> -5 </w:t>
      </w:r>
      <w:r>
        <w:rPr>
          <w:rFonts w:hint="eastAsia" w:ascii="宋体" w:hAnsi="宋体" w:eastAsia="宋体" w:cs="宋体"/>
          <w:color w:val="auto"/>
          <w:szCs w:val="21"/>
          <w:u w:val="single"/>
        </w:rPr>
        <w:t>℃</w:t>
      </w:r>
      <w:r>
        <w:rPr>
          <w:rFonts w:hint="eastAsia" w:ascii="宋体" w:hAnsi="宋体" w:eastAsia="宋体" w:cs="宋体"/>
          <w:color w:val="auto"/>
          <w:szCs w:val="21"/>
        </w:rPr>
        <w:t>的严寒大于</w:t>
      </w:r>
      <w:r>
        <w:rPr>
          <w:rFonts w:hint="eastAsia" w:ascii="宋体" w:hAnsi="宋体" w:eastAsia="宋体" w:cs="宋体"/>
          <w:b/>
          <w:i/>
          <w:color w:val="auto"/>
          <w:szCs w:val="21"/>
          <w:u w:val="single"/>
        </w:rPr>
        <w:t xml:space="preserve"> 3 </w:t>
      </w:r>
      <w:r>
        <w:rPr>
          <w:rFonts w:hint="eastAsia" w:ascii="宋体" w:hAnsi="宋体" w:eastAsia="宋体" w:cs="宋体"/>
          <w:color w:val="auto"/>
          <w:szCs w:val="21"/>
        </w:rPr>
        <w:t>天。</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（5）造成工程损失的冰雹和大雪灾害：</w:t>
      </w:r>
      <w:r>
        <w:rPr>
          <w:rFonts w:hint="eastAsia" w:ascii="宋体" w:hAnsi="宋体" w:eastAsia="宋体" w:cs="宋体"/>
          <w:b/>
          <w:iCs/>
          <w:color w:val="auto"/>
          <w:szCs w:val="21"/>
          <w:u w:val="single"/>
        </w:rPr>
        <w:t>冰雹和日降雪量超过10mm以上的天气</w:t>
      </w:r>
      <w:r>
        <w:rPr>
          <w:rFonts w:hint="eastAsia" w:ascii="宋体" w:hAnsi="宋体" w:eastAsia="宋体" w:cs="宋体"/>
          <w:color w:val="auto"/>
          <w:szCs w:val="21"/>
        </w:rPr>
        <w:t>。</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（6）其他异常恶劣气候灾害。</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300" w:name="_Toc448481124"/>
      <w:r>
        <w:rPr>
          <w:rFonts w:hint="eastAsia" w:ascii="宋体" w:hAnsi="宋体" w:eastAsia="宋体" w:cs="宋体"/>
          <w:b/>
          <w:color w:val="auto"/>
          <w:szCs w:val="21"/>
        </w:rPr>
        <w:t>11.5 承包人工期延误</w:t>
      </w:r>
      <w:bookmarkEnd w:id="293"/>
      <w:bookmarkEnd w:id="294"/>
      <w:bookmarkEnd w:id="295"/>
      <w:bookmarkEnd w:id="296"/>
      <w:bookmarkEnd w:id="297"/>
      <w:bookmarkEnd w:id="298"/>
      <w:bookmarkEnd w:id="300"/>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bookmarkStart w:id="301" w:name="_Toc272503827"/>
      <w:bookmarkStart w:id="302" w:name="_Toc265086117"/>
      <w:bookmarkStart w:id="303" w:name="_Toc271202074"/>
      <w:r>
        <w:rPr>
          <w:rFonts w:hint="eastAsia" w:ascii="宋体" w:hAnsi="宋体" w:eastAsia="宋体" w:cs="宋体"/>
          <w:color w:val="auto"/>
          <w:szCs w:val="21"/>
        </w:rPr>
        <w:t>（1）逾期完工违约金表。</w:t>
      </w:r>
    </w:p>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逾期完工违约金表</w:t>
      </w:r>
    </w:p>
    <w:tbl>
      <w:tblPr>
        <w:tblStyle w:val="1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911"/>
        <w:gridCol w:w="2911"/>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291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项目及其说明</w:t>
            </w:r>
          </w:p>
        </w:tc>
        <w:tc>
          <w:tcPr>
            <w:tcW w:w="291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要求完工日期</w:t>
            </w:r>
          </w:p>
        </w:tc>
        <w:tc>
          <w:tcPr>
            <w:tcW w:w="2909"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违约金（元/天）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
                <w:i/>
                <w:color w:val="auto"/>
                <w:szCs w:val="21"/>
              </w:rPr>
            </w:pPr>
            <w:r>
              <w:rPr>
                <w:rFonts w:hint="eastAsia" w:ascii="宋体" w:hAnsi="宋体" w:eastAsia="宋体" w:cs="宋体"/>
                <w:b/>
                <w:i/>
                <w:color w:val="auto"/>
                <w:szCs w:val="21"/>
              </w:rPr>
              <w:t>1</w:t>
            </w:r>
          </w:p>
        </w:tc>
        <w:tc>
          <w:tcPr>
            <w:tcW w:w="291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
                <w:iCs/>
                <w:color w:val="auto"/>
                <w:szCs w:val="21"/>
              </w:rPr>
            </w:pPr>
            <w:r>
              <w:rPr>
                <w:rFonts w:hint="eastAsia" w:ascii="宋体" w:hAnsi="宋体" w:eastAsia="宋体" w:cs="宋体"/>
                <w:b/>
                <w:iCs/>
                <w:color w:val="auto"/>
                <w:szCs w:val="21"/>
              </w:rPr>
              <w:t>全部工程</w:t>
            </w:r>
          </w:p>
        </w:tc>
        <w:tc>
          <w:tcPr>
            <w:tcW w:w="291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
                <w:iCs/>
                <w:color w:val="auto"/>
                <w:szCs w:val="21"/>
              </w:rPr>
            </w:pPr>
            <w:r>
              <w:rPr>
                <w:rFonts w:hint="eastAsia" w:ascii="宋体" w:hAnsi="宋体" w:eastAsia="宋体" w:cs="宋体"/>
                <w:b/>
                <w:iCs/>
                <w:color w:val="auto"/>
                <w:szCs w:val="21"/>
              </w:rPr>
              <w:t>开工令发出后</w:t>
            </w:r>
            <w:r>
              <w:rPr>
                <w:rFonts w:hint="eastAsia" w:ascii="宋体" w:hAnsi="宋体" w:eastAsia="宋体" w:cs="宋体"/>
                <w:b/>
                <w:iCs/>
                <w:color w:val="auto"/>
                <w:szCs w:val="21"/>
                <w:u w:val="single"/>
                <w:lang w:val="en-US" w:eastAsia="zh-CN"/>
              </w:rPr>
              <w:t xml:space="preserve">     </w:t>
            </w:r>
            <w:r>
              <w:rPr>
                <w:rFonts w:hint="eastAsia" w:ascii="宋体" w:hAnsi="宋体" w:eastAsia="宋体" w:cs="宋体"/>
                <w:b/>
                <w:iCs/>
                <w:color w:val="auto"/>
                <w:szCs w:val="21"/>
              </w:rPr>
              <w:t>日历天</w:t>
            </w:r>
          </w:p>
        </w:tc>
        <w:tc>
          <w:tcPr>
            <w:tcW w:w="2909"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default" w:ascii="宋体" w:hAnsi="宋体" w:eastAsia="宋体" w:cs="宋体"/>
                <w:b/>
                <w:i/>
                <w:color w:val="auto"/>
                <w:szCs w:val="21"/>
                <w:lang w:val="en-US" w:eastAsia="zh-CN"/>
              </w:rPr>
            </w:pPr>
            <w:r>
              <w:rPr>
                <w:rFonts w:hint="eastAsia" w:ascii="宋体" w:hAnsi="宋体" w:eastAsia="宋体"/>
                <w:sz w:val="21"/>
                <w:szCs w:val="21"/>
                <w:lang w:val="en-US" w:eastAsia="zh-CN"/>
              </w:rPr>
              <w:t>500</w:t>
            </w:r>
          </w:p>
        </w:tc>
      </w:tr>
    </w:tbl>
    <w:p>
      <w:pPr>
        <w:keepNext w:val="0"/>
        <w:keepLines w:val="0"/>
        <w:pageBreakBefore w:val="0"/>
        <w:widowControl/>
        <w:kinsoku/>
        <w:wordWrap/>
        <w:overflowPunct/>
        <w:topLinePunct w:val="0"/>
        <w:autoSpaceDE/>
        <w:autoSpaceDN/>
        <w:bidi w:val="0"/>
        <w:adjustRightInd w:val="0"/>
        <w:snapToGrid w:val="0"/>
        <w:spacing w:line="400" w:lineRule="exact"/>
        <w:rPr>
          <w:rFonts w:hint="eastAsia" w:ascii="宋体" w:hAnsi="宋体" w:eastAsia="宋体" w:cs="宋体"/>
          <w:color w:val="auto"/>
          <w:szCs w:val="21"/>
          <w:u w:val="single"/>
        </w:rPr>
      </w:pPr>
      <w:r>
        <w:rPr>
          <w:rFonts w:hint="eastAsia" w:ascii="宋体" w:hAnsi="宋体" w:eastAsia="宋体" w:cs="宋体"/>
          <w:color w:val="auto"/>
          <w:szCs w:val="21"/>
        </w:rPr>
        <w:t xml:space="preserve">    （2）全部逾期完工违约金的总限额为不超过签约合同价的</w:t>
      </w:r>
      <w:r>
        <w:rPr>
          <w:rFonts w:hint="eastAsia" w:ascii="宋体" w:hAnsi="宋体" w:eastAsia="宋体" w:cs="宋体"/>
          <w:b/>
          <w:i/>
          <w:color w:val="auto"/>
          <w:szCs w:val="21"/>
          <w:u w:val="single"/>
        </w:rPr>
        <w:t xml:space="preserve">2 </w:t>
      </w:r>
      <w:r>
        <w:rPr>
          <w:rFonts w:hint="eastAsia" w:ascii="宋体" w:hAnsi="宋体" w:eastAsia="宋体" w:cs="宋体"/>
          <w:color w:val="auto"/>
          <w:szCs w:val="21"/>
        </w:rPr>
        <w:t>%。</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304" w:name="_Toc405878931"/>
      <w:bookmarkStart w:id="305" w:name="_Toc448481125"/>
      <w:r>
        <w:rPr>
          <w:rFonts w:hint="eastAsia" w:ascii="宋体" w:hAnsi="宋体" w:eastAsia="宋体" w:cs="宋体"/>
          <w:b/>
          <w:color w:val="auto"/>
          <w:szCs w:val="21"/>
        </w:rPr>
        <w:t>11.6 工期提前</w:t>
      </w:r>
      <w:bookmarkEnd w:id="304"/>
      <w:bookmarkEnd w:id="305"/>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总工期提前的奖金约定：</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306" w:name="_Toc448481126"/>
      <w:r>
        <w:rPr>
          <w:rFonts w:hint="eastAsia" w:ascii="宋体" w:hAnsi="宋体" w:eastAsia="宋体" w:cs="宋体"/>
          <w:b/>
          <w:color w:val="auto"/>
          <w:szCs w:val="21"/>
        </w:rPr>
        <w:t>12  暂停施工</w:t>
      </w:r>
      <w:bookmarkEnd w:id="301"/>
      <w:bookmarkEnd w:id="302"/>
      <w:bookmarkEnd w:id="303"/>
      <w:bookmarkEnd w:id="306"/>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307" w:name="_Toc448481127"/>
      <w:bookmarkStart w:id="308" w:name="_Toc405878932"/>
      <w:r>
        <w:rPr>
          <w:rFonts w:hint="eastAsia" w:ascii="宋体" w:hAnsi="宋体" w:eastAsia="宋体" w:cs="宋体"/>
          <w:b/>
          <w:color w:val="auto"/>
          <w:szCs w:val="21"/>
        </w:rPr>
        <w:t>12.1 承包人暂停施工的责任</w:t>
      </w:r>
      <w:bookmarkEnd w:id="307"/>
      <w:bookmarkEnd w:id="308"/>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（5）承包人承担暂停施工责任的其它情形：</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309" w:name="_Toc448481128"/>
      <w:bookmarkStart w:id="310" w:name="_Toc405878933"/>
      <w:r>
        <w:rPr>
          <w:rFonts w:hint="eastAsia" w:ascii="宋体" w:hAnsi="宋体" w:eastAsia="宋体" w:cs="宋体"/>
          <w:b/>
          <w:color w:val="auto"/>
          <w:szCs w:val="21"/>
        </w:rPr>
        <w:t>12.2 发包人暂停施工的责任</w:t>
      </w:r>
      <w:bookmarkEnd w:id="309"/>
      <w:bookmarkEnd w:id="310"/>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（3）发包人承担暂停施工责任的其它情形：</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keepNext w:val="0"/>
        <w:keepLines w:val="0"/>
        <w:pageBreakBefore w:val="0"/>
        <w:widowControl/>
        <w:kinsoku/>
        <w:wordWrap/>
        <w:overflowPunct/>
        <w:topLinePunct w:val="0"/>
        <w:autoSpaceDE/>
        <w:autoSpaceDN/>
        <w:bidi w:val="0"/>
        <w:spacing w:line="400" w:lineRule="exact"/>
        <w:textAlignment w:val="auto"/>
        <w:outlineLvl w:val="3"/>
        <w:rPr>
          <w:rFonts w:hint="eastAsia" w:ascii="宋体" w:hAnsi="宋体" w:eastAsia="宋体" w:cs="宋体"/>
          <w:b/>
          <w:color w:val="auto"/>
          <w:szCs w:val="21"/>
        </w:rPr>
      </w:pPr>
      <w:bookmarkStart w:id="311" w:name="_Toc271202077"/>
      <w:bookmarkStart w:id="312" w:name="_Toc272503830"/>
      <w:bookmarkStart w:id="313" w:name="_Toc265086118"/>
      <w:bookmarkStart w:id="314" w:name="_Toc448481129"/>
      <w:r>
        <w:rPr>
          <w:rFonts w:hint="eastAsia" w:ascii="宋体" w:hAnsi="宋体" w:eastAsia="宋体" w:cs="宋体"/>
          <w:b/>
          <w:color w:val="auto"/>
          <w:szCs w:val="21"/>
        </w:rPr>
        <w:t>13  工程质量</w:t>
      </w:r>
      <w:bookmarkEnd w:id="311"/>
      <w:bookmarkEnd w:id="312"/>
      <w:bookmarkEnd w:id="313"/>
      <w:bookmarkEnd w:id="314"/>
    </w:p>
    <w:p>
      <w:pPr>
        <w:keepNext w:val="0"/>
        <w:keepLines w:val="0"/>
        <w:pageBreakBefore w:val="0"/>
        <w:widowControl/>
        <w:kinsoku/>
        <w:wordWrap/>
        <w:overflowPunct/>
        <w:topLinePunct w:val="0"/>
        <w:autoSpaceDE/>
        <w:autoSpaceDN/>
        <w:bidi w:val="0"/>
        <w:spacing w:line="400" w:lineRule="exact"/>
        <w:textAlignment w:val="auto"/>
        <w:outlineLvl w:val="3"/>
        <w:rPr>
          <w:rFonts w:hint="eastAsia" w:ascii="宋体" w:hAnsi="宋体" w:eastAsia="宋体" w:cs="宋体"/>
          <w:b/>
          <w:color w:val="auto"/>
          <w:szCs w:val="21"/>
        </w:rPr>
      </w:pPr>
      <w:bookmarkStart w:id="315" w:name="_Toc271202078"/>
      <w:bookmarkStart w:id="316" w:name="_Toc271015095"/>
      <w:bookmarkStart w:id="317" w:name="_Toc448481130"/>
      <w:bookmarkStart w:id="318" w:name="_Toc272503831"/>
      <w:bookmarkStart w:id="319" w:name="_Toc271241011"/>
      <w:bookmarkStart w:id="320" w:name="_Toc271578107"/>
      <w:bookmarkStart w:id="321" w:name="_Toc272503264"/>
      <w:r>
        <w:rPr>
          <w:rFonts w:hint="eastAsia" w:ascii="宋体" w:hAnsi="宋体" w:eastAsia="宋体" w:cs="宋体"/>
          <w:b/>
          <w:color w:val="auto"/>
          <w:szCs w:val="21"/>
        </w:rPr>
        <w:t>13.7  质量评定</w:t>
      </w:r>
      <w:bookmarkEnd w:id="315"/>
      <w:bookmarkEnd w:id="316"/>
      <w:bookmarkEnd w:id="317"/>
      <w:bookmarkEnd w:id="318"/>
      <w:bookmarkEnd w:id="319"/>
      <w:bookmarkEnd w:id="320"/>
      <w:bookmarkEnd w:id="321"/>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textAlignment w:val="auto"/>
        <w:rPr>
          <w:rFonts w:hint="eastAsia" w:ascii="宋体" w:hAnsi="宋体" w:eastAsia="宋体" w:cs="宋体"/>
          <w:b/>
          <w:color w:val="auto"/>
          <w:szCs w:val="21"/>
        </w:rPr>
      </w:pPr>
      <w:r>
        <w:rPr>
          <w:rFonts w:hint="eastAsia" w:ascii="宋体" w:hAnsi="宋体" w:eastAsia="宋体" w:cs="宋体"/>
          <w:color w:val="auto"/>
          <w:szCs w:val="21"/>
        </w:rPr>
        <w:t>13.7.7 工程质量等级标准为：</w:t>
      </w:r>
      <w:r>
        <w:rPr>
          <w:rFonts w:hint="eastAsia" w:ascii="宋体" w:hAnsi="宋体" w:eastAsia="宋体" w:cs="宋体"/>
          <w:b/>
          <w:iCs/>
          <w:color w:val="auto"/>
          <w:szCs w:val="21"/>
          <w:u w:val="single"/>
        </w:rPr>
        <w:t>合格</w:t>
      </w:r>
      <w:r>
        <w:rPr>
          <w:rFonts w:hint="eastAsia" w:ascii="宋体" w:hAnsi="宋体" w:eastAsia="宋体" w:cs="宋体"/>
          <w:iCs/>
          <w:color w:val="auto"/>
          <w:szCs w:val="21"/>
        </w:rPr>
        <w:t>；</w:t>
      </w:r>
      <w:r>
        <w:rPr>
          <w:rFonts w:hint="eastAsia" w:ascii="宋体" w:hAnsi="宋体" w:eastAsia="宋体" w:cs="宋体"/>
          <w:color w:val="auto"/>
          <w:szCs w:val="21"/>
        </w:rPr>
        <w:t>达到优良的奖金为：</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keepNext w:val="0"/>
        <w:keepLines w:val="0"/>
        <w:pageBreakBefore w:val="0"/>
        <w:widowControl/>
        <w:kinsoku/>
        <w:wordWrap/>
        <w:overflowPunct/>
        <w:topLinePunct w:val="0"/>
        <w:autoSpaceDE/>
        <w:autoSpaceDN/>
        <w:bidi w:val="0"/>
        <w:spacing w:line="400" w:lineRule="exact"/>
        <w:textAlignment w:val="auto"/>
        <w:outlineLvl w:val="3"/>
        <w:rPr>
          <w:rFonts w:hint="eastAsia" w:ascii="宋体" w:hAnsi="宋体" w:eastAsia="宋体" w:cs="宋体"/>
          <w:b/>
          <w:color w:val="auto"/>
          <w:szCs w:val="21"/>
        </w:rPr>
      </w:pPr>
      <w:bookmarkStart w:id="322" w:name="_Toc448481131"/>
      <w:bookmarkStart w:id="323" w:name="_Toc271202080"/>
      <w:bookmarkStart w:id="324" w:name="_Toc265086119"/>
      <w:bookmarkStart w:id="325" w:name="_Toc272503833"/>
      <w:r>
        <w:rPr>
          <w:rFonts w:hint="eastAsia" w:ascii="宋体" w:hAnsi="宋体" w:eastAsia="宋体" w:cs="宋体"/>
          <w:b/>
          <w:color w:val="auto"/>
          <w:szCs w:val="21"/>
        </w:rPr>
        <w:t>14  试验和检验</w:t>
      </w:r>
      <w:bookmarkEnd w:id="322"/>
      <w:bookmarkEnd w:id="323"/>
      <w:bookmarkEnd w:id="324"/>
      <w:bookmarkEnd w:id="325"/>
    </w:p>
    <w:p>
      <w:pPr>
        <w:keepNext w:val="0"/>
        <w:keepLines w:val="0"/>
        <w:pageBreakBefore w:val="0"/>
        <w:widowControl/>
        <w:kinsoku/>
        <w:wordWrap/>
        <w:overflowPunct/>
        <w:topLinePunct w:val="0"/>
        <w:autoSpaceDE/>
        <w:autoSpaceDN/>
        <w:bidi w:val="0"/>
        <w:spacing w:line="400" w:lineRule="exact"/>
        <w:textAlignment w:val="auto"/>
        <w:outlineLvl w:val="3"/>
        <w:rPr>
          <w:rFonts w:hint="eastAsia" w:ascii="宋体" w:hAnsi="宋体" w:eastAsia="宋体" w:cs="宋体"/>
          <w:b/>
          <w:color w:val="auto"/>
          <w:szCs w:val="21"/>
        </w:rPr>
      </w:pPr>
      <w:bookmarkStart w:id="326" w:name="_Toc271202081"/>
      <w:bookmarkStart w:id="327" w:name="_Toc271578110"/>
      <w:bookmarkStart w:id="328" w:name="_Toc271015098"/>
      <w:bookmarkStart w:id="329" w:name="_Toc271241014"/>
      <w:bookmarkStart w:id="330" w:name="_Toc272503834"/>
      <w:bookmarkStart w:id="331" w:name="_Toc272503267"/>
      <w:bookmarkStart w:id="332" w:name="_Toc448481132"/>
      <w:r>
        <w:rPr>
          <w:rFonts w:hint="eastAsia" w:ascii="宋体" w:hAnsi="宋体" w:eastAsia="宋体" w:cs="宋体"/>
          <w:b/>
          <w:color w:val="auto"/>
          <w:szCs w:val="21"/>
        </w:rPr>
        <w:t>14.1  材料、工程设备和工程的试验和检验</w:t>
      </w:r>
      <w:bookmarkEnd w:id="326"/>
      <w:bookmarkEnd w:id="327"/>
      <w:bookmarkEnd w:id="328"/>
      <w:bookmarkEnd w:id="329"/>
      <w:bookmarkEnd w:id="330"/>
      <w:bookmarkEnd w:id="331"/>
      <w:bookmarkEnd w:id="332"/>
    </w:p>
    <w:p>
      <w:pPr>
        <w:keepNext w:val="0"/>
        <w:keepLines w:val="0"/>
        <w:pageBreakBefore w:val="0"/>
        <w:widowControl/>
        <w:kinsoku/>
        <w:wordWrap/>
        <w:overflowPunct/>
        <w:topLinePunct w:val="0"/>
        <w:autoSpaceDE/>
        <w:autoSpaceDN/>
        <w:bidi w:val="0"/>
        <w:spacing w:line="400" w:lineRule="exact"/>
        <w:ind w:firstLine="400" w:firstLineChars="200"/>
        <w:textAlignment w:val="auto"/>
        <w:rPr>
          <w:rFonts w:hint="eastAsia" w:ascii="宋体" w:hAnsi="宋体" w:eastAsia="宋体" w:cs="宋体"/>
          <w:iCs/>
          <w:color w:val="auto"/>
          <w:szCs w:val="21"/>
        </w:rPr>
      </w:pPr>
      <w:r>
        <w:rPr>
          <w:rFonts w:hint="eastAsia" w:ascii="宋体" w:hAnsi="宋体" w:eastAsia="宋体" w:cs="宋体"/>
          <w:color w:val="auto"/>
          <w:szCs w:val="21"/>
        </w:rPr>
        <w:t>14.1.5 水工金属结构、启闭机及机电产品进场后的交货检查和验收中，承包人负责为</w:t>
      </w:r>
      <w:r>
        <w:rPr>
          <w:rFonts w:hint="eastAsia" w:ascii="宋体" w:hAnsi="宋体" w:eastAsia="宋体" w:cs="宋体"/>
          <w:b/>
          <w:iCs/>
          <w:color w:val="auto"/>
          <w:szCs w:val="21"/>
          <w:u w:val="single"/>
        </w:rPr>
        <w:t>监理人进行交货验收的监督检查提供一切方便。监理人参加交货验收不免除承包人在检验和交货验收中应负的责任。</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textAlignment w:val="auto"/>
        <w:rPr>
          <w:rFonts w:hint="eastAsia" w:ascii="宋体" w:hAnsi="宋体" w:eastAsia="宋体" w:cs="宋体"/>
          <w:iCs/>
          <w:color w:val="auto"/>
          <w:szCs w:val="21"/>
        </w:rPr>
      </w:pPr>
      <w:r>
        <w:rPr>
          <w:rFonts w:hint="eastAsia" w:ascii="宋体" w:hAnsi="宋体" w:eastAsia="宋体" w:cs="宋体"/>
          <w:iCs/>
          <w:color w:val="auto"/>
          <w:szCs w:val="21"/>
        </w:rPr>
        <w:t>14.1.6 本工程实行见证取样的试块、试件及有关材料：</w:t>
      </w:r>
      <w:r>
        <w:rPr>
          <w:rFonts w:hint="eastAsia" w:ascii="宋体" w:hAnsi="宋体" w:eastAsia="宋体" w:cs="宋体"/>
          <w:b/>
          <w:iCs/>
          <w:color w:val="auto"/>
          <w:u w:val="single"/>
        </w:rPr>
        <w:t>涉及结构安全的砼试块、砂浆试块，钢筋、水泥、砂石料试件均实行见证取样和送检</w:t>
      </w:r>
      <w:r>
        <w:rPr>
          <w:rFonts w:hint="eastAsia" w:ascii="宋体" w:hAnsi="宋体" w:eastAsia="宋体" w:cs="宋体"/>
          <w:iCs/>
          <w:color w:val="auto"/>
          <w:szCs w:val="21"/>
        </w:rPr>
        <w:t>。</w:t>
      </w:r>
    </w:p>
    <w:p>
      <w:pPr>
        <w:keepNext w:val="0"/>
        <w:keepLines w:val="0"/>
        <w:pageBreakBefore w:val="0"/>
        <w:widowControl/>
        <w:kinsoku/>
        <w:wordWrap/>
        <w:overflowPunct/>
        <w:topLinePunct w:val="0"/>
        <w:autoSpaceDE/>
        <w:autoSpaceDN/>
        <w:bidi w:val="0"/>
        <w:spacing w:line="400" w:lineRule="exact"/>
        <w:textAlignment w:val="auto"/>
        <w:outlineLvl w:val="3"/>
        <w:rPr>
          <w:rFonts w:hint="eastAsia" w:ascii="宋体" w:hAnsi="宋体" w:eastAsia="宋体" w:cs="宋体"/>
          <w:b/>
          <w:iCs/>
          <w:color w:val="auto"/>
          <w:szCs w:val="21"/>
        </w:rPr>
      </w:pPr>
      <w:bookmarkStart w:id="333" w:name="_Toc272503835"/>
      <w:bookmarkStart w:id="334" w:name="_Toc271202082"/>
      <w:bookmarkStart w:id="335" w:name="_Toc448481133"/>
      <w:bookmarkStart w:id="336" w:name="_Toc265086120"/>
      <w:r>
        <w:rPr>
          <w:rFonts w:hint="eastAsia" w:ascii="宋体" w:hAnsi="宋体" w:eastAsia="宋体" w:cs="宋体"/>
          <w:b/>
          <w:iCs/>
          <w:color w:val="auto"/>
          <w:szCs w:val="21"/>
        </w:rPr>
        <w:t>15  变更</w:t>
      </w:r>
      <w:bookmarkEnd w:id="333"/>
      <w:bookmarkEnd w:id="334"/>
      <w:bookmarkEnd w:id="335"/>
      <w:bookmarkEnd w:id="336"/>
    </w:p>
    <w:p>
      <w:pPr>
        <w:keepNext w:val="0"/>
        <w:keepLines w:val="0"/>
        <w:pageBreakBefore w:val="0"/>
        <w:widowControl/>
        <w:kinsoku/>
        <w:wordWrap/>
        <w:overflowPunct/>
        <w:topLinePunct w:val="0"/>
        <w:autoSpaceDE/>
        <w:autoSpaceDN/>
        <w:bidi w:val="0"/>
        <w:spacing w:line="400" w:lineRule="exact"/>
        <w:textAlignment w:val="auto"/>
        <w:outlineLvl w:val="3"/>
        <w:rPr>
          <w:rFonts w:hint="eastAsia" w:ascii="宋体" w:hAnsi="宋体" w:eastAsia="宋体" w:cs="宋体"/>
          <w:b/>
          <w:color w:val="auto"/>
          <w:szCs w:val="21"/>
        </w:rPr>
      </w:pPr>
      <w:bookmarkStart w:id="337" w:name="_Toc271241016"/>
      <w:bookmarkStart w:id="338" w:name="_Toc271202083"/>
      <w:bookmarkStart w:id="339" w:name="_Toc272503836"/>
      <w:bookmarkStart w:id="340" w:name="_Toc272503269"/>
      <w:bookmarkStart w:id="341" w:name="_Toc271578112"/>
      <w:bookmarkStart w:id="342" w:name="_Toc271015100"/>
      <w:bookmarkStart w:id="343" w:name="_Toc448481134"/>
      <w:r>
        <w:rPr>
          <w:rFonts w:hint="eastAsia" w:ascii="宋体" w:hAnsi="宋体" w:eastAsia="宋体" w:cs="宋体"/>
          <w:b/>
          <w:color w:val="auto"/>
          <w:szCs w:val="21"/>
        </w:rPr>
        <w:t>15.1  变更的范围和内容</w:t>
      </w:r>
      <w:bookmarkEnd w:id="337"/>
      <w:bookmarkEnd w:id="338"/>
      <w:bookmarkEnd w:id="339"/>
      <w:bookmarkEnd w:id="340"/>
      <w:bookmarkEnd w:id="341"/>
      <w:bookmarkEnd w:id="342"/>
      <w:bookmarkEnd w:id="343"/>
    </w:p>
    <w:p>
      <w:pPr>
        <w:keepNext w:val="0"/>
        <w:keepLines w:val="0"/>
        <w:pageBreakBefore w:val="0"/>
        <w:widowControl/>
        <w:kinsoku/>
        <w:wordWrap/>
        <w:overflowPunct/>
        <w:topLinePunct w:val="0"/>
        <w:autoSpaceDE/>
        <w:autoSpaceDN/>
        <w:bidi w:val="0"/>
        <w:spacing w:line="400" w:lineRule="exact"/>
        <w:ind w:right="248" w:firstLine="480"/>
        <w:textAlignment w:val="auto"/>
        <w:rPr>
          <w:szCs w:val="21"/>
        </w:rPr>
      </w:pPr>
      <w:bookmarkStart w:id="344" w:name="_Toc448481135"/>
      <w:r>
        <w:rPr>
          <w:szCs w:val="21"/>
        </w:rPr>
        <w:t>补充：本款（1）-（5）涉及的工程变更，均应出具设计变更单，</w:t>
      </w:r>
      <w:r>
        <w:rPr>
          <w:rFonts w:hAnsi="宋体"/>
          <w:b/>
          <w:i/>
          <w:snapToGrid w:val="0"/>
        </w:rPr>
        <w:t>按</w:t>
      </w:r>
      <w:r>
        <w:rPr>
          <w:rFonts w:hint="eastAsia" w:hAnsi="宋体"/>
          <w:b/>
          <w:i/>
          <w:snapToGrid w:val="0"/>
        </w:rPr>
        <w:t>三门县政府投资项目变更管理</w:t>
      </w:r>
      <w:r>
        <w:rPr>
          <w:rFonts w:hAnsi="宋体"/>
          <w:b/>
          <w:i/>
          <w:snapToGrid w:val="0"/>
        </w:rPr>
        <w:t>相关规定程序报批</w:t>
      </w:r>
      <w:r>
        <w:rPr>
          <w:szCs w:val="21"/>
        </w:rPr>
        <w:t>，经批准的设计变更单可作为变更调整的依据</w:t>
      </w:r>
      <w:r>
        <w:rPr>
          <w:rFonts w:hint="eastAsia"/>
          <w:szCs w:val="21"/>
        </w:rPr>
        <w:t>。</w:t>
      </w:r>
      <w:r>
        <w:rPr>
          <w:szCs w:val="21"/>
        </w:rPr>
        <w:t xml:space="preserve"> </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r>
        <w:rPr>
          <w:rFonts w:hint="eastAsia" w:ascii="宋体" w:hAnsi="宋体" w:eastAsia="宋体" w:cs="宋体"/>
          <w:b/>
          <w:color w:val="auto"/>
          <w:szCs w:val="21"/>
        </w:rPr>
        <w:t>15.4变更的估价原则</w:t>
      </w:r>
      <w:bookmarkEnd w:id="344"/>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szCs w:val="21"/>
        </w:rPr>
      </w:pPr>
      <w:bookmarkStart w:id="345" w:name="_Toc271578113"/>
      <w:bookmarkStart w:id="346" w:name="_Toc271202084"/>
      <w:bookmarkStart w:id="347" w:name="_Toc448481136"/>
      <w:bookmarkStart w:id="348" w:name="_Toc271015101"/>
      <w:bookmarkStart w:id="349" w:name="_Toc272503837"/>
      <w:bookmarkStart w:id="350" w:name="_Toc272503270"/>
      <w:bookmarkStart w:id="351" w:name="_Toc271241017"/>
      <w:r>
        <w:rPr>
          <w:szCs w:val="21"/>
        </w:rPr>
        <w:t>15.4.1适用于变更工作的子目单价，由发包人的</w:t>
      </w:r>
      <w:r>
        <w:rPr>
          <w:rFonts w:hint="eastAsia"/>
          <w:szCs w:val="21"/>
        </w:rPr>
        <w:t>最高投标限价审核</w:t>
      </w:r>
      <w:r>
        <w:rPr>
          <w:szCs w:val="21"/>
        </w:rPr>
        <w:t>单价并按承包人的中标下浮率下浮后确定。</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szCs w:val="21"/>
        </w:rPr>
      </w:pPr>
      <w:r>
        <w:rPr>
          <w:szCs w:val="21"/>
        </w:rPr>
        <w:t>15.4.2类似的子目单价由发包人</w:t>
      </w:r>
      <w:r>
        <w:rPr>
          <w:rFonts w:hint="eastAsia"/>
          <w:szCs w:val="21"/>
        </w:rPr>
        <w:t>最高投标限价审核</w:t>
      </w:r>
      <w:r>
        <w:rPr>
          <w:szCs w:val="21"/>
        </w:rPr>
        <w:t>单价中的类似子目单价并按承包人的中标下浮率下浮后确定。</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szCs w:val="21"/>
        </w:rPr>
      </w:pPr>
      <w:r>
        <w:rPr>
          <w:szCs w:val="21"/>
        </w:rPr>
        <w:t>15.4.3没有类似的子目单价的，由承包人参照</w:t>
      </w:r>
      <w:r>
        <w:rPr>
          <w:rFonts w:hint="eastAsia"/>
          <w:szCs w:val="21"/>
        </w:rPr>
        <w:t>最高投标限价审核书</w:t>
      </w:r>
      <w:r>
        <w:rPr>
          <w:szCs w:val="21"/>
        </w:rPr>
        <w:t>的组价方法、实际含量、市场价格</w:t>
      </w:r>
      <w:r>
        <w:rPr>
          <w:rFonts w:hint="eastAsia"/>
          <w:szCs w:val="21"/>
        </w:rPr>
        <w:t>按</w:t>
      </w:r>
      <w:r>
        <w:rPr>
          <w:szCs w:val="21"/>
        </w:rPr>
        <w:t>评标标底</w:t>
      </w:r>
      <w:r>
        <w:rPr>
          <w:rFonts w:hint="eastAsia"/>
          <w:szCs w:val="21"/>
        </w:rPr>
        <w:t>下浮率</w:t>
      </w:r>
      <w:r>
        <w:rPr>
          <w:szCs w:val="21"/>
        </w:rPr>
        <w:t>下浮幅度提出适当的单价，经发包人审定后执行。</w:t>
      </w:r>
    </w:p>
    <w:p>
      <w:pPr>
        <w:keepNext w:val="0"/>
        <w:keepLines w:val="0"/>
        <w:pageBreakBefore w:val="0"/>
        <w:widowControl/>
        <w:kinsoku/>
        <w:wordWrap/>
        <w:overflowPunct/>
        <w:topLinePunct w:val="0"/>
        <w:autoSpaceDE/>
        <w:autoSpaceDN/>
        <w:bidi w:val="0"/>
        <w:spacing w:line="400" w:lineRule="exact"/>
        <w:ind w:firstLine="402" w:firstLineChars="200"/>
        <w:outlineLvl w:val="3"/>
        <w:rPr>
          <w:rFonts w:hint="eastAsia"/>
          <w:kern w:val="0"/>
          <w:szCs w:val="21"/>
          <w:u w:val="single"/>
        </w:rPr>
      </w:pPr>
      <w:r>
        <w:rPr>
          <w:rFonts w:hint="eastAsia"/>
          <w:b/>
          <w:szCs w:val="21"/>
          <w:u w:val="single"/>
        </w:rPr>
        <w:t>工程中凡涉及工程项目变更管理均严格按《三门县政府投资项目变更管理办法》、《关于进一步规范报送工程变更资料的通知》执行，具体详见三门县政府性投资项目工程变更操作手册。</w:t>
      </w:r>
      <w:r>
        <w:rPr>
          <w:rFonts w:hint="eastAsia"/>
          <w:kern w:val="0"/>
          <w:szCs w:val="21"/>
          <w:u w:val="single"/>
        </w:rPr>
        <w:t>上述管理办法如有变动时，按从新原则执行。</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r>
        <w:rPr>
          <w:rFonts w:hint="eastAsia" w:ascii="宋体" w:hAnsi="宋体" w:eastAsia="宋体" w:cs="宋体"/>
          <w:b/>
          <w:color w:val="auto"/>
          <w:szCs w:val="21"/>
        </w:rPr>
        <w:t>15.5  承包人的合理化建议</w:t>
      </w:r>
      <w:bookmarkEnd w:id="345"/>
      <w:bookmarkEnd w:id="346"/>
      <w:bookmarkEnd w:id="347"/>
      <w:bookmarkEnd w:id="348"/>
      <w:bookmarkEnd w:id="349"/>
      <w:bookmarkEnd w:id="350"/>
      <w:bookmarkEnd w:id="351"/>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15.5.2承包人实现合理化建议的奖励金额为：</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352" w:name="_Toc271578114"/>
      <w:bookmarkStart w:id="353" w:name="_Toc271241018"/>
      <w:bookmarkStart w:id="354" w:name="_Toc448481137"/>
      <w:bookmarkStart w:id="355" w:name="_Toc271015102"/>
      <w:bookmarkStart w:id="356" w:name="_Toc272503271"/>
      <w:bookmarkStart w:id="357" w:name="_Toc272503838"/>
      <w:bookmarkStart w:id="358" w:name="_Toc271202085"/>
      <w:r>
        <w:rPr>
          <w:rFonts w:hint="eastAsia" w:ascii="宋体" w:hAnsi="宋体" w:eastAsia="宋体" w:cs="宋体"/>
          <w:b/>
          <w:color w:val="auto"/>
          <w:szCs w:val="21"/>
        </w:rPr>
        <w:t>15.8  暂估价</w:t>
      </w:r>
      <w:bookmarkEnd w:id="352"/>
      <w:bookmarkEnd w:id="353"/>
      <w:bookmarkEnd w:id="354"/>
      <w:bookmarkEnd w:id="355"/>
      <w:bookmarkEnd w:id="356"/>
      <w:bookmarkEnd w:id="357"/>
      <w:bookmarkEnd w:id="358"/>
    </w:p>
    <w:p>
      <w:pPr>
        <w:keepNext w:val="0"/>
        <w:keepLines w:val="0"/>
        <w:pageBreakBefore w:val="0"/>
        <w:widowControl/>
        <w:kinsoku/>
        <w:wordWrap/>
        <w:overflowPunct/>
        <w:topLinePunct w:val="0"/>
        <w:autoSpaceDE/>
        <w:autoSpaceDN/>
        <w:bidi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15.8.1（1）发包人和承包人组织招标的暂估价项目：</w:t>
      </w:r>
      <w:r>
        <w:rPr>
          <w:rFonts w:hint="eastAsia" w:ascii="宋体" w:hAnsi="宋体" w:eastAsia="宋体" w:cs="宋体"/>
          <w:b/>
          <w:i/>
          <w:color w:val="auto"/>
          <w:u w:val="single"/>
        </w:rPr>
        <w:t xml:space="preserve"> / </w:t>
      </w:r>
      <w:r>
        <w:rPr>
          <w:rFonts w:hint="eastAsia" w:ascii="宋体" w:hAnsi="宋体" w:eastAsia="宋体" w:cs="宋体"/>
          <w:color w:val="auto"/>
          <w:szCs w:val="21"/>
        </w:rPr>
        <w:t>；发包人组织招标的暂估价项目：</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（2）发包人和承包人以招标方式选择暂估价项目供应商或分包人时，双方的权利义务关系：</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w:t>
      </w:r>
      <w:r>
        <w:rPr>
          <w:rFonts w:hint="eastAsia" w:ascii="宋体" w:hAnsi="宋体" w:eastAsia="宋体" w:cs="宋体"/>
          <w:color w:val="auto"/>
          <w:szCs w:val="21"/>
        </w:rPr>
        <w:t>。</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359" w:name="_Toc271202086"/>
      <w:bookmarkStart w:id="360" w:name="_Toc448481138"/>
      <w:bookmarkStart w:id="361" w:name="_Toc265086121"/>
      <w:bookmarkStart w:id="362" w:name="_Toc272503839"/>
      <w:r>
        <w:rPr>
          <w:rFonts w:hint="eastAsia" w:ascii="宋体" w:hAnsi="宋体" w:eastAsia="宋体" w:cs="宋体"/>
          <w:b/>
          <w:color w:val="auto"/>
          <w:szCs w:val="21"/>
        </w:rPr>
        <w:t>16  价格调整</w:t>
      </w:r>
      <w:bookmarkEnd w:id="359"/>
      <w:bookmarkEnd w:id="360"/>
      <w:bookmarkEnd w:id="361"/>
      <w:bookmarkEnd w:id="362"/>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363" w:name="_Toc271202087"/>
      <w:bookmarkStart w:id="364" w:name="_Toc272503273"/>
      <w:bookmarkStart w:id="365" w:name="_Toc272503840"/>
      <w:bookmarkStart w:id="366" w:name="_Toc271015104"/>
      <w:bookmarkStart w:id="367" w:name="_Toc271578116"/>
      <w:bookmarkStart w:id="368" w:name="_Toc271241020"/>
      <w:bookmarkStart w:id="369" w:name="_Toc448481139"/>
      <w:r>
        <w:rPr>
          <w:rFonts w:hint="eastAsia" w:ascii="宋体" w:hAnsi="宋体" w:eastAsia="宋体" w:cs="宋体"/>
          <w:b/>
          <w:color w:val="auto"/>
          <w:szCs w:val="21"/>
        </w:rPr>
        <w:t>16.1  物价波动引起的价格调整</w:t>
      </w:r>
      <w:bookmarkEnd w:id="363"/>
      <w:bookmarkEnd w:id="364"/>
      <w:bookmarkEnd w:id="365"/>
      <w:bookmarkEnd w:id="366"/>
      <w:bookmarkEnd w:id="367"/>
      <w:bookmarkEnd w:id="368"/>
      <w:bookmarkEnd w:id="369"/>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bookmarkStart w:id="370" w:name="_Toc265086122"/>
      <w:bookmarkStart w:id="371" w:name="_Toc271202088"/>
      <w:bookmarkStart w:id="372" w:name="_Toc272503841"/>
      <w:r>
        <w:rPr>
          <w:rFonts w:hint="eastAsia" w:ascii="宋体" w:hAnsi="宋体"/>
          <w:szCs w:val="21"/>
        </w:rPr>
        <w:t>物价波动引起的价格调整范围与方法：本工程人工、材料、机械设备等在合同执行期间（包括工期拖延期间）的价格的上涨而引起工程施工成本增加的风险由承包人自行承担，合同价格不作调整。</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373" w:name="_Toc448481140"/>
      <w:r>
        <w:rPr>
          <w:rFonts w:hint="eastAsia" w:ascii="宋体" w:hAnsi="宋体" w:eastAsia="宋体" w:cs="宋体"/>
          <w:b/>
          <w:color w:val="auto"/>
          <w:szCs w:val="21"/>
        </w:rPr>
        <w:t>17  计量与支付</w:t>
      </w:r>
      <w:bookmarkEnd w:id="370"/>
      <w:bookmarkEnd w:id="371"/>
      <w:bookmarkEnd w:id="372"/>
      <w:bookmarkEnd w:id="373"/>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374" w:name="_Toc271202089"/>
      <w:bookmarkStart w:id="375" w:name="_Toc448481141"/>
      <w:bookmarkStart w:id="376" w:name="_Toc271241022"/>
      <w:bookmarkStart w:id="377" w:name="_Toc272503275"/>
      <w:bookmarkStart w:id="378" w:name="_Toc271015106"/>
      <w:bookmarkStart w:id="379" w:name="_Toc272503842"/>
      <w:bookmarkStart w:id="380" w:name="_Toc271578118"/>
      <w:r>
        <w:rPr>
          <w:rFonts w:hint="eastAsia" w:ascii="宋体" w:hAnsi="宋体" w:eastAsia="宋体" w:cs="宋体"/>
          <w:b/>
          <w:color w:val="auto"/>
          <w:szCs w:val="21"/>
        </w:rPr>
        <w:t>17.2  预付款</w:t>
      </w:r>
      <w:bookmarkEnd w:id="374"/>
      <w:bookmarkEnd w:id="375"/>
      <w:bookmarkEnd w:id="376"/>
      <w:bookmarkEnd w:id="377"/>
      <w:bookmarkEnd w:id="378"/>
      <w:bookmarkEnd w:id="379"/>
      <w:bookmarkEnd w:id="380"/>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bookmarkStart w:id="381" w:name="_Toc271202090"/>
      <w:bookmarkStart w:id="382" w:name="_Toc272503843"/>
      <w:bookmarkStart w:id="383" w:name="_Toc271241023"/>
      <w:bookmarkStart w:id="384" w:name="_Toc271578119"/>
      <w:bookmarkStart w:id="385" w:name="_Toc258848670"/>
      <w:bookmarkStart w:id="386" w:name="_Toc272503276"/>
      <w:bookmarkStart w:id="387" w:name="_Toc271015107"/>
      <w:r>
        <w:rPr>
          <w:rFonts w:hint="eastAsia" w:ascii="宋体" w:hAnsi="宋体" w:eastAsia="宋体" w:cs="宋体"/>
          <w:color w:val="auto"/>
          <w:szCs w:val="21"/>
        </w:rPr>
        <w:t>17.2.1 预付款</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color w:val="auto"/>
          <w:szCs w:val="21"/>
        </w:rPr>
      </w:pPr>
      <w:r>
        <w:rPr>
          <w:rFonts w:hint="eastAsia"/>
          <w:color w:val="auto"/>
          <w:szCs w:val="21"/>
        </w:rPr>
        <w:t>（1）工程预付款的总金额为签约合同价的</w:t>
      </w:r>
      <w:r>
        <w:rPr>
          <w:rFonts w:hint="eastAsia"/>
          <w:b/>
          <w:i/>
          <w:color w:val="auto"/>
          <w:szCs w:val="21"/>
          <w:u w:val="single"/>
        </w:rPr>
        <w:t xml:space="preserve"> </w:t>
      </w:r>
      <w:r>
        <w:rPr>
          <w:rFonts w:hint="eastAsia"/>
          <w:b/>
          <w:i/>
          <w:color w:val="auto"/>
          <w:szCs w:val="21"/>
          <w:u w:val="single"/>
          <w:lang w:val="en-US" w:eastAsia="zh-CN"/>
        </w:rPr>
        <w:t xml:space="preserve">  </w:t>
      </w:r>
      <w:r>
        <w:rPr>
          <w:rFonts w:hint="eastAsia"/>
          <w:b/>
          <w:i/>
          <w:color w:val="auto"/>
          <w:szCs w:val="21"/>
          <w:u w:val="single"/>
        </w:rPr>
        <w:t xml:space="preserve"> </w:t>
      </w:r>
      <w:r>
        <w:rPr>
          <w:rFonts w:hint="eastAsia"/>
          <w:b/>
          <w:i/>
          <w:color w:val="auto"/>
          <w:szCs w:val="21"/>
          <w:u w:val="single"/>
          <w:lang w:val="en-US" w:eastAsia="zh-CN"/>
        </w:rPr>
        <w:t xml:space="preserve">/  </w:t>
      </w:r>
      <w:r>
        <w:rPr>
          <w:rFonts w:hint="eastAsia"/>
          <w:b/>
          <w:i/>
          <w:color w:val="auto"/>
          <w:szCs w:val="21"/>
          <w:u w:val="single"/>
        </w:rPr>
        <w:t xml:space="preserve"> </w:t>
      </w:r>
      <w:r>
        <w:rPr>
          <w:rFonts w:hint="eastAsia"/>
          <w:color w:val="auto"/>
          <w:szCs w:val="21"/>
        </w:rPr>
        <w:t>%</w:t>
      </w:r>
      <w:r>
        <w:rPr>
          <w:color w:val="auto"/>
          <w:szCs w:val="21"/>
        </w:rPr>
        <w:t>。</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bCs/>
          <w:iCs/>
          <w:szCs w:val="21"/>
        </w:rPr>
      </w:pPr>
      <w:r>
        <w:rPr>
          <w:szCs w:val="21"/>
        </w:rPr>
        <w:t>各次预付款的支付额度和付款时间为：</w:t>
      </w:r>
      <w:r>
        <w:rPr>
          <w:rFonts w:hint="eastAsia"/>
          <w:szCs w:val="21"/>
          <w:u w:val="single"/>
          <w:lang w:val="en-US" w:eastAsia="zh-CN"/>
        </w:rPr>
        <w:t xml:space="preserve">  </w:t>
      </w:r>
      <w:r>
        <w:rPr>
          <w:rFonts w:hint="eastAsia"/>
          <w:bCs/>
          <w:iCs/>
          <w:szCs w:val="21"/>
          <w:u w:val="single"/>
        </w:rPr>
        <w:t>合同生效，承包人人员设备进场（人员、设备均到位）后，付该工程签约合同价的10%作为备料款；</w:t>
      </w:r>
    </w:p>
    <w:p>
      <w:pPr>
        <w:keepNext w:val="0"/>
        <w:keepLines w:val="0"/>
        <w:pageBreakBefore w:val="0"/>
        <w:widowControl/>
        <w:kinsoku/>
        <w:wordWrap/>
        <w:overflowPunct/>
        <w:topLinePunct w:val="0"/>
        <w:autoSpaceDE/>
        <w:autoSpaceDN/>
        <w:bidi w:val="0"/>
        <w:spacing w:line="400" w:lineRule="exact"/>
        <w:ind w:right="248" w:firstLine="480"/>
        <w:rPr>
          <w:rFonts w:hint="eastAsia" w:ascii="宋体" w:hAnsi="宋体"/>
          <w:szCs w:val="21"/>
        </w:rPr>
      </w:pPr>
      <w:r>
        <w:rPr>
          <w:color w:val="000000"/>
          <w:szCs w:val="21"/>
        </w:rPr>
        <w:t>（2）工程材料预付款的额度和预付办法约定为：</w:t>
      </w:r>
      <w:r>
        <w:rPr>
          <w:b/>
          <w:i/>
          <w:color w:val="000000"/>
          <w:szCs w:val="21"/>
          <w:u w:val="single"/>
        </w:rPr>
        <w:t xml:space="preserve">  无   </w:t>
      </w:r>
      <w:r>
        <w:rPr>
          <w:color w:val="000000"/>
          <w:szCs w:val="21"/>
        </w:rPr>
        <w:t>。</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color w:val="000000"/>
          <w:szCs w:val="21"/>
        </w:rPr>
      </w:pPr>
      <w:r>
        <w:rPr>
          <w:color w:val="000000"/>
          <w:szCs w:val="21"/>
        </w:rPr>
        <w:t>17.2.2 预付款保函（担保）</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b/>
          <w:i/>
          <w:color w:val="000000"/>
          <w:szCs w:val="21"/>
        </w:rPr>
      </w:pPr>
      <w:r>
        <w:rPr>
          <w:color w:val="000000"/>
          <w:szCs w:val="21"/>
        </w:rPr>
        <w:t>（2）工程材料预付款的担保约定为：</w:t>
      </w:r>
      <w:r>
        <w:rPr>
          <w:color w:val="000000"/>
          <w:szCs w:val="21"/>
          <w:u w:val="single"/>
        </w:rPr>
        <w:t xml:space="preserve">  </w:t>
      </w:r>
      <w:r>
        <w:rPr>
          <w:b/>
          <w:i/>
          <w:color w:val="000000"/>
          <w:szCs w:val="21"/>
          <w:u w:val="single"/>
        </w:rPr>
        <w:t xml:space="preserve">无 </w:t>
      </w:r>
      <w:r>
        <w:rPr>
          <w:color w:val="000000"/>
          <w:szCs w:val="21"/>
          <w:u w:val="single"/>
        </w:rPr>
        <w:t xml:space="preserve">   </w:t>
      </w:r>
      <w:r>
        <w:rPr>
          <w:color w:val="000000"/>
          <w:szCs w:val="21"/>
        </w:rPr>
        <w:t>。</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color w:val="000000"/>
          <w:szCs w:val="21"/>
        </w:rPr>
      </w:pPr>
      <w:r>
        <w:rPr>
          <w:color w:val="000000"/>
          <w:szCs w:val="21"/>
        </w:rPr>
        <w:t>17.2.3 预付款的扣回与还清</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color w:val="000000"/>
          <w:szCs w:val="21"/>
          <w:u w:val="single"/>
        </w:rPr>
      </w:pPr>
      <w:r>
        <w:rPr>
          <w:color w:val="000000"/>
          <w:szCs w:val="21"/>
        </w:rPr>
        <w:t>（1）工程预付款</w:t>
      </w:r>
      <w:r>
        <w:rPr>
          <w:rFonts w:hint="eastAsia"/>
          <w:color w:val="000000"/>
          <w:szCs w:val="21"/>
        </w:rPr>
        <w:t>：</w:t>
      </w:r>
      <w:r>
        <w:rPr>
          <w:color w:val="000000"/>
          <w:szCs w:val="21"/>
          <w:u w:val="single"/>
        </w:rPr>
        <w:t xml:space="preserve">  </w:t>
      </w:r>
      <w:r>
        <w:rPr>
          <w:rFonts w:hint="eastAsia"/>
          <w:b/>
          <w:i/>
          <w:color w:val="000000"/>
          <w:szCs w:val="21"/>
          <w:u w:val="single"/>
        </w:rPr>
        <w:t xml:space="preserve">不扣回   </w:t>
      </w:r>
    </w:p>
    <w:p>
      <w:pPr>
        <w:keepNext w:val="0"/>
        <w:keepLines w:val="0"/>
        <w:pageBreakBefore w:val="0"/>
        <w:widowControl/>
        <w:kinsoku/>
        <w:wordWrap/>
        <w:overflowPunct/>
        <w:topLinePunct w:val="0"/>
        <w:autoSpaceDE/>
        <w:autoSpaceDN/>
        <w:bidi w:val="0"/>
        <w:spacing w:line="400" w:lineRule="exact"/>
        <w:ind w:right="248" w:firstLine="480"/>
        <w:rPr>
          <w:rFonts w:hint="eastAsia" w:ascii="宋体" w:hAnsi="宋体" w:eastAsia="宋体" w:cs="宋体"/>
          <w:b/>
          <w:i/>
          <w:color w:val="auto"/>
          <w:szCs w:val="21"/>
        </w:rPr>
      </w:pPr>
      <w:r>
        <w:rPr>
          <w:color w:val="000000"/>
          <w:szCs w:val="21"/>
        </w:rPr>
        <w:t>（2）工程材料预付款的扣回与还清约定为：</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b/>
          <w:i/>
          <w:color w:val="000000"/>
          <w:szCs w:val="21"/>
          <w:u w:val="single"/>
        </w:rPr>
        <w:t>无</w:t>
      </w:r>
      <w:r>
        <w:rPr>
          <w:color w:val="000000"/>
          <w:szCs w:val="21"/>
          <w:u w:val="single"/>
        </w:rPr>
        <w:t xml:space="preserve">    </w:t>
      </w:r>
      <w:r>
        <w:rPr>
          <w:color w:val="000000"/>
          <w:szCs w:val="21"/>
        </w:rPr>
        <w:t xml:space="preserve"> 。</w:t>
      </w:r>
    </w:p>
    <w:p>
      <w:pPr>
        <w:keepNext w:val="0"/>
        <w:keepLines w:val="0"/>
        <w:pageBreakBefore w:val="0"/>
        <w:widowControl/>
        <w:kinsoku/>
        <w:wordWrap/>
        <w:overflowPunct/>
        <w:topLinePunct w:val="0"/>
        <w:autoSpaceDE/>
        <w:autoSpaceDN/>
        <w:bidi w:val="0"/>
        <w:spacing w:line="400" w:lineRule="exact"/>
        <w:textAlignment w:val="auto"/>
        <w:outlineLvl w:val="3"/>
        <w:rPr>
          <w:rFonts w:hint="eastAsia" w:ascii="宋体" w:hAnsi="宋体" w:eastAsia="宋体" w:cs="宋体"/>
          <w:b/>
          <w:color w:val="auto"/>
          <w:szCs w:val="21"/>
        </w:rPr>
      </w:pPr>
      <w:bookmarkStart w:id="388" w:name="_Toc448481142"/>
      <w:r>
        <w:rPr>
          <w:rFonts w:hint="eastAsia" w:ascii="宋体" w:hAnsi="宋体" w:eastAsia="宋体" w:cs="宋体"/>
          <w:b/>
          <w:color w:val="auto"/>
          <w:szCs w:val="21"/>
        </w:rPr>
        <w:t>17.3 工程进度付款</w:t>
      </w:r>
      <w:bookmarkEnd w:id="381"/>
      <w:bookmarkEnd w:id="382"/>
      <w:bookmarkEnd w:id="383"/>
      <w:bookmarkEnd w:id="384"/>
      <w:bookmarkEnd w:id="385"/>
      <w:bookmarkEnd w:id="386"/>
      <w:bookmarkEnd w:id="387"/>
      <w:bookmarkEnd w:id="388"/>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textAlignment w:val="auto"/>
        <w:rPr>
          <w:rFonts w:hint="eastAsia" w:ascii="宋体" w:hAnsi="宋体" w:eastAsia="宋体" w:cs="宋体"/>
          <w:color w:val="auto"/>
          <w:szCs w:val="21"/>
        </w:rPr>
      </w:pPr>
      <w:bookmarkStart w:id="389" w:name="_Toc271202091"/>
      <w:bookmarkStart w:id="390" w:name="_Toc272503844"/>
      <w:bookmarkStart w:id="391" w:name="_Toc271241024"/>
      <w:bookmarkStart w:id="392" w:name="_Toc271015108"/>
      <w:bookmarkStart w:id="393" w:name="_Toc272503277"/>
      <w:bookmarkStart w:id="394" w:name="_Toc271578120"/>
      <w:r>
        <w:rPr>
          <w:rFonts w:hint="eastAsia" w:ascii="宋体" w:hAnsi="宋体" w:eastAsia="宋体" w:cs="宋体"/>
          <w:color w:val="auto"/>
          <w:szCs w:val="21"/>
        </w:rPr>
        <w:t>17.3.2  承包人在每个付款周期末向监理人提交进度付款申请单的份数</w:t>
      </w:r>
      <w:r>
        <w:rPr>
          <w:rFonts w:hint="eastAsia" w:ascii="宋体" w:hAnsi="宋体" w:eastAsia="宋体" w:cs="宋体"/>
          <w:b/>
          <w:i/>
          <w:color w:val="auto"/>
          <w:szCs w:val="21"/>
          <w:u w:val="single"/>
        </w:rPr>
        <w:t xml:space="preserve"> 5 </w:t>
      </w:r>
      <w:r>
        <w:rPr>
          <w:rFonts w:hint="eastAsia" w:ascii="宋体" w:hAnsi="宋体" w:eastAsia="宋体" w:cs="宋体"/>
          <w:color w:val="auto"/>
          <w:szCs w:val="21"/>
        </w:rPr>
        <w:t>份。</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17.3.3 进度付款证书和支付时间</w:t>
      </w:r>
    </w:p>
    <w:p>
      <w:pPr>
        <w:keepNext w:val="0"/>
        <w:keepLines w:val="0"/>
        <w:pageBreakBefore w:val="0"/>
        <w:widowControl/>
        <w:kinsoku/>
        <w:wordWrap/>
        <w:overflowPunct/>
        <w:topLinePunct w:val="0"/>
        <w:autoSpaceDE/>
        <w:autoSpaceDN/>
        <w:bidi w:val="0"/>
        <w:adjustRightInd w:val="0"/>
        <w:snapToGrid w:val="0"/>
        <w:spacing w:line="400" w:lineRule="exact"/>
        <w:ind w:firstLine="517" w:firstLineChars="245"/>
        <w:textAlignment w:val="auto"/>
        <w:outlineLvl w:val="4"/>
        <w:rPr>
          <w:rFonts w:hint="eastAsia" w:ascii="宋体" w:hAnsi="宋体" w:eastAsia="宋体" w:cs="宋体"/>
          <w:b/>
          <w:bCs/>
          <w:color w:val="auto"/>
          <w:sz w:val="21"/>
          <w:szCs w:val="21"/>
          <w:u w:val="single"/>
          <w:lang w:val="en-US" w:eastAsia="zh-CN" w:bidi="ar-SA"/>
        </w:rPr>
      </w:pPr>
      <w:bookmarkStart w:id="395" w:name="_Toc448481143"/>
      <w:r>
        <w:rPr>
          <w:rFonts w:hint="eastAsia" w:ascii="宋体" w:hAnsi="宋体" w:eastAsia="宋体" w:cs="宋体"/>
          <w:b/>
          <w:bCs/>
          <w:color w:val="auto"/>
          <w:sz w:val="21"/>
          <w:szCs w:val="21"/>
          <w:u w:val="single"/>
          <w:lang w:val="en-US" w:eastAsia="zh-CN" w:bidi="ar-SA"/>
        </w:rPr>
        <w:t>工程完工结算经审定后待上级补助资金到位付至工程结算价款的 98.5%，余款作为质量保证金，待缺陷责任期满后同时竣工验收合格并签发签定书后付清。</w:t>
      </w:r>
    </w:p>
    <w:p>
      <w:pPr>
        <w:keepNext w:val="0"/>
        <w:keepLines w:val="0"/>
        <w:pageBreakBefore w:val="0"/>
        <w:widowControl/>
        <w:kinsoku/>
        <w:wordWrap/>
        <w:overflowPunct/>
        <w:topLinePunct w:val="0"/>
        <w:autoSpaceDE/>
        <w:autoSpaceDN/>
        <w:bidi w:val="0"/>
        <w:spacing w:line="400" w:lineRule="exact"/>
        <w:textAlignment w:val="auto"/>
        <w:outlineLvl w:val="3"/>
        <w:rPr>
          <w:rFonts w:hint="eastAsia" w:ascii="宋体" w:hAnsi="宋体" w:eastAsia="宋体" w:cs="宋体"/>
          <w:b/>
          <w:color w:val="auto"/>
          <w:szCs w:val="21"/>
        </w:rPr>
      </w:pPr>
      <w:r>
        <w:rPr>
          <w:rFonts w:hint="eastAsia" w:ascii="宋体" w:hAnsi="宋体" w:eastAsia="宋体" w:cs="宋体"/>
          <w:b/>
          <w:color w:val="auto"/>
          <w:szCs w:val="21"/>
        </w:rPr>
        <w:t>17.4 质量保证金</w:t>
      </w:r>
      <w:bookmarkEnd w:id="389"/>
      <w:bookmarkEnd w:id="390"/>
      <w:bookmarkEnd w:id="391"/>
      <w:bookmarkEnd w:id="392"/>
      <w:bookmarkEnd w:id="393"/>
      <w:bookmarkEnd w:id="394"/>
      <w:bookmarkEnd w:id="395"/>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textAlignment w:val="auto"/>
        <w:rPr>
          <w:rFonts w:hint="eastAsia" w:ascii="宋体" w:hAnsi="宋体" w:eastAsia="宋体" w:cs="宋体"/>
          <w:iCs/>
          <w:color w:val="auto"/>
          <w:szCs w:val="21"/>
        </w:rPr>
      </w:pPr>
      <w:r>
        <w:rPr>
          <w:rFonts w:hint="eastAsia" w:ascii="宋体" w:hAnsi="宋体" w:eastAsia="宋体" w:cs="宋体"/>
          <w:color w:val="auto"/>
          <w:szCs w:val="21"/>
        </w:rPr>
        <w:t xml:space="preserve">17.4.1  </w:t>
      </w:r>
      <w:r>
        <w:rPr>
          <w:rFonts w:hint="eastAsia" w:ascii="宋体" w:hAnsi="宋体" w:eastAsia="宋体" w:cs="宋体"/>
          <w:b/>
          <w:iCs/>
          <w:color w:val="auto"/>
          <w:szCs w:val="21"/>
        </w:rPr>
        <w:t>删除此条款，修改为：每个付款周期不扣留质量保证金，待</w:t>
      </w:r>
      <w:r>
        <w:rPr>
          <w:rFonts w:hint="eastAsia" w:ascii="宋体" w:hAnsi="宋体" w:eastAsia="宋体" w:cs="宋体"/>
          <w:b/>
          <w:iCs/>
          <w:snapToGrid w:val="0"/>
          <w:color w:val="auto"/>
          <w:szCs w:val="21"/>
        </w:rPr>
        <w:t>完成工程结算并经工程审价后，</w:t>
      </w:r>
      <w:r>
        <w:rPr>
          <w:rFonts w:hint="eastAsia" w:ascii="宋体" w:hAnsi="宋体" w:eastAsia="宋体" w:cs="宋体"/>
          <w:b/>
          <w:iCs/>
          <w:color w:val="auto"/>
          <w:szCs w:val="21"/>
        </w:rPr>
        <w:t>质量保证金在</w:t>
      </w:r>
      <w:r>
        <w:rPr>
          <w:rFonts w:hint="eastAsia" w:ascii="宋体" w:hAnsi="宋体" w:eastAsia="宋体" w:cs="宋体"/>
          <w:b/>
          <w:iCs/>
          <w:snapToGrid w:val="0"/>
          <w:color w:val="auto"/>
          <w:szCs w:val="21"/>
        </w:rPr>
        <w:t>支付剩余工程款时一次性扣留，</w:t>
      </w:r>
      <w:r>
        <w:rPr>
          <w:rFonts w:hint="eastAsia" w:ascii="宋体" w:hAnsi="宋体" w:eastAsia="宋体" w:cs="宋体"/>
          <w:b/>
          <w:iCs/>
          <w:color w:val="auto"/>
          <w:szCs w:val="21"/>
        </w:rPr>
        <w:t>扣留总额为结算审定价的</w:t>
      </w:r>
      <w:r>
        <w:rPr>
          <w:rFonts w:hint="eastAsia" w:ascii="宋体" w:hAnsi="宋体" w:eastAsia="宋体" w:cs="宋体"/>
          <w:b/>
          <w:iCs/>
          <w:color w:val="auto"/>
          <w:szCs w:val="21"/>
          <w:u w:val="single"/>
          <w:lang w:val="en-US" w:eastAsia="zh-CN"/>
        </w:rPr>
        <w:t>1.5</w:t>
      </w:r>
      <w:r>
        <w:rPr>
          <w:rFonts w:hint="eastAsia" w:ascii="宋体" w:hAnsi="宋体" w:eastAsia="宋体" w:cs="宋体"/>
          <w:b/>
          <w:iCs/>
          <w:color w:val="auto"/>
          <w:szCs w:val="21"/>
        </w:rPr>
        <w:t>％。</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iCs/>
          <w:color w:val="auto"/>
          <w:szCs w:val="21"/>
        </w:rPr>
      </w:pPr>
      <w:bookmarkStart w:id="396" w:name="_Toc271202092"/>
      <w:bookmarkStart w:id="397" w:name="_Toc271578121"/>
      <w:bookmarkStart w:id="398" w:name="_Toc448481144"/>
      <w:bookmarkStart w:id="399" w:name="_Toc272503845"/>
      <w:bookmarkStart w:id="400" w:name="_Toc272503278"/>
      <w:bookmarkStart w:id="401" w:name="_Toc271241025"/>
      <w:bookmarkStart w:id="402" w:name="_Toc271015109"/>
      <w:r>
        <w:rPr>
          <w:rFonts w:hint="eastAsia" w:ascii="宋体" w:hAnsi="宋体" w:eastAsia="宋体" w:cs="宋体"/>
          <w:b/>
          <w:iCs/>
          <w:color w:val="auto"/>
          <w:szCs w:val="21"/>
        </w:rPr>
        <w:t>17.5  竣工(完工)结算</w:t>
      </w:r>
      <w:bookmarkEnd w:id="396"/>
      <w:bookmarkEnd w:id="397"/>
      <w:bookmarkEnd w:id="398"/>
      <w:bookmarkEnd w:id="399"/>
      <w:bookmarkEnd w:id="400"/>
      <w:bookmarkEnd w:id="401"/>
      <w:bookmarkEnd w:id="402"/>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17.5.1 竣工（完工）付款申请单</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（1）承包人应提交完工付款申请单一式</w:t>
      </w:r>
      <w:r>
        <w:rPr>
          <w:rFonts w:hint="eastAsia" w:ascii="宋体" w:hAnsi="宋体" w:eastAsia="宋体" w:cs="宋体"/>
          <w:b/>
          <w:i/>
          <w:snapToGrid w:val="0"/>
          <w:color w:val="auto"/>
          <w:u w:val="single"/>
        </w:rPr>
        <w:t xml:space="preserve"> 5 </w:t>
      </w:r>
      <w:r>
        <w:rPr>
          <w:rFonts w:hint="eastAsia" w:ascii="宋体" w:hAnsi="宋体" w:eastAsia="宋体" w:cs="宋体"/>
          <w:color w:val="auto"/>
          <w:szCs w:val="21"/>
        </w:rPr>
        <w:t>份。</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403" w:name="_Toc272503279"/>
      <w:bookmarkStart w:id="404" w:name="_Toc271202093"/>
      <w:bookmarkStart w:id="405" w:name="_Toc271578122"/>
      <w:bookmarkStart w:id="406" w:name="_Toc271241026"/>
      <w:bookmarkStart w:id="407" w:name="_Toc272503846"/>
      <w:bookmarkStart w:id="408" w:name="_Toc271015110"/>
      <w:bookmarkStart w:id="409" w:name="_Toc448481145"/>
      <w:r>
        <w:rPr>
          <w:rFonts w:hint="eastAsia" w:ascii="宋体" w:hAnsi="宋体" w:eastAsia="宋体" w:cs="宋体"/>
          <w:b/>
          <w:color w:val="auto"/>
          <w:szCs w:val="21"/>
        </w:rPr>
        <w:t>17.6  最终结清</w:t>
      </w:r>
      <w:bookmarkEnd w:id="403"/>
      <w:bookmarkEnd w:id="404"/>
      <w:bookmarkEnd w:id="405"/>
      <w:bookmarkEnd w:id="406"/>
      <w:bookmarkEnd w:id="407"/>
      <w:bookmarkEnd w:id="408"/>
      <w:bookmarkEnd w:id="409"/>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17.6.1 最终结清申请单</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（1）承包人应提交最终结清申请单一式</w:t>
      </w:r>
      <w:r>
        <w:rPr>
          <w:rFonts w:hint="eastAsia" w:ascii="宋体" w:hAnsi="宋体" w:eastAsia="宋体" w:cs="宋体"/>
          <w:b/>
          <w:i/>
          <w:snapToGrid w:val="0"/>
          <w:color w:val="auto"/>
          <w:u w:val="single"/>
        </w:rPr>
        <w:t xml:space="preserve"> 5 </w:t>
      </w:r>
      <w:r>
        <w:rPr>
          <w:rFonts w:hint="eastAsia" w:ascii="宋体" w:hAnsi="宋体" w:eastAsia="宋体" w:cs="宋体"/>
          <w:color w:val="auto"/>
          <w:szCs w:val="21"/>
        </w:rPr>
        <w:t>份。</w:t>
      </w:r>
    </w:p>
    <w:p>
      <w:pPr>
        <w:keepNext w:val="0"/>
        <w:keepLines w:val="0"/>
        <w:pageBreakBefore w:val="0"/>
        <w:widowControl/>
        <w:kinsoku/>
        <w:wordWrap/>
        <w:overflowPunct/>
        <w:topLinePunct w:val="0"/>
        <w:autoSpaceDE/>
        <w:autoSpaceDN/>
        <w:bidi w:val="0"/>
        <w:adjustRightInd w:val="0"/>
        <w:snapToGrid w:val="0"/>
        <w:spacing w:line="40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（2）</w:t>
      </w:r>
      <w:r>
        <w:rPr>
          <w:rFonts w:hint="eastAsia" w:ascii="宋体" w:hAnsi="宋体" w:eastAsia="宋体" w:cs="宋体"/>
          <w:b/>
          <w:iCs/>
          <w:snapToGrid w:val="0"/>
          <w:color w:val="auto"/>
        </w:rPr>
        <w:t>工程</w:t>
      </w:r>
      <w:r>
        <w:rPr>
          <w:rFonts w:hint="eastAsia" w:ascii="宋体" w:hAnsi="宋体" w:eastAsia="宋体" w:cs="宋体"/>
          <w:b/>
          <w:iCs/>
          <w:color w:val="auto"/>
          <w:szCs w:val="21"/>
        </w:rPr>
        <w:t>最终</w:t>
      </w:r>
      <w:r>
        <w:rPr>
          <w:rFonts w:hint="eastAsia" w:ascii="宋体" w:hAnsi="宋体" w:eastAsia="宋体" w:cs="宋体"/>
          <w:b/>
          <w:iCs/>
          <w:snapToGrid w:val="0"/>
          <w:color w:val="auto"/>
        </w:rPr>
        <w:t>结算须经同级审批的审计部门审核，承包人送审的工程造价在核减超过5%以上部分的中介机构审计费用及核增工程价款的中介审计费用由承包人承担。</w:t>
      </w:r>
    </w:p>
    <w:p>
      <w:pPr>
        <w:keepNext w:val="0"/>
        <w:keepLines w:val="0"/>
        <w:pageBreakBefore w:val="0"/>
        <w:widowControl/>
        <w:kinsoku/>
        <w:wordWrap/>
        <w:overflowPunct/>
        <w:topLinePunct w:val="0"/>
        <w:autoSpaceDE/>
        <w:autoSpaceDN/>
        <w:bidi w:val="0"/>
        <w:adjustRightInd w:val="0"/>
        <w:snapToGrid w:val="0"/>
        <w:spacing w:line="400" w:lineRule="exact"/>
        <w:outlineLvl w:val="4"/>
        <w:rPr>
          <w:rFonts w:hint="eastAsia" w:ascii="宋体" w:hAnsi="宋体" w:eastAsia="宋体" w:cs="宋体"/>
          <w:b/>
          <w:color w:val="auto"/>
          <w:szCs w:val="21"/>
        </w:rPr>
      </w:pPr>
      <w:bookmarkStart w:id="410" w:name="_Toc271202094"/>
      <w:bookmarkStart w:id="411" w:name="_Toc271241027"/>
      <w:bookmarkStart w:id="412" w:name="_Toc271578123"/>
      <w:bookmarkStart w:id="413" w:name="_Toc272503280"/>
      <w:bookmarkStart w:id="414" w:name="_Toc272503847"/>
      <w:bookmarkStart w:id="415" w:name="_Toc271015111"/>
      <w:r>
        <w:rPr>
          <w:rFonts w:hint="eastAsia" w:ascii="宋体" w:hAnsi="宋体" w:eastAsia="宋体" w:cs="宋体"/>
          <w:b/>
          <w:color w:val="auto"/>
          <w:szCs w:val="21"/>
        </w:rPr>
        <w:t>17.7  竣工财务决算</w:t>
      </w:r>
      <w:bookmarkEnd w:id="410"/>
      <w:bookmarkEnd w:id="411"/>
      <w:bookmarkEnd w:id="412"/>
      <w:bookmarkEnd w:id="413"/>
      <w:bookmarkEnd w:id="414"/>
      <w:bookmarkEnd w:id="415"/>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承包人应为竣工财务决算编制提供的资料：</w:t>
      </w:r>
      <w:r>
        <w:rPr>
          <w:rFonts w:hint="eastAsia" w:ascii="宋体" w:hAnsi="宋体" w:eastAsia="宋体" w:cs="宋体"/>
          <w:b/>
          <w:iCs/>
          <w:color w:val="auto"/>
          <w:szCs w:val="21"/>
          <w:u w:val="single"/>
          <w:lang w:val="zh-CN"/>
        </w:rPr>
        <w:t>财务决算所需的一切资料</w:t>
      </w:r>
      <w:r>
        <w:rPr>
          <w:rFonts w:hint="eastAsia" w:ascii="宋体" w:hAnsi="宋体" w:eastAsia="宋体" w:cs="宋体"/>
          <w:iCs/>
          <w:color w:val="auto"/>
          <w:szCs w:val="21"/>
        </w:rPr>
        <w:t>。</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416" w:name="_Toc448481146"/>
      <w:bookmarkStart w:id="417" w:name="_Toc265086123"/>
      <w:bookmarkStart w:id="418" w:name="_Toc271202095"/>
      <w:bookmarkStart w:id="419" w:name="_Toc272503848"/>
      <w:r>
        <w:rPr>
          <w:rFonts w:hint="eastAsia" w:ascii="宋体" w:hAnsi="宋体" w:eastAsia="宋体" w:cs="宋体"/>
          <w:b/>
          <w:color w:val="auto"/>
          <w:szCs w:val="21"/>
        </w:rPr>
        <w:t>18  工程验收</w:t>
      </w:r>
      <w:bookmarkEnd w:id="416"/>
      <w:bookmarkEnd w:id="417"/>
      <w:bookmarkEnd w:id="418"/>
      <w:bookmarkEnd w:id="419"/>
    </w:p>
    <w:p>
      <w:pPr>
        <w:keepNext w:val="0"/>
        <w:keepLines w:val="0"/>
        <w:pageBreakBefore w:val="0"/>
        <w:widowControl/>
        <w:kinsoku/>
        <w:wordWrap/>
        <w:overflowPunct/>
        <w:topLinePunct w:val="0"/>
        <w:autoSpaceDE/>
        <w:autoSpaceDN/>
        <w:bidi w:val="0"/>
        <w:spacing w:line="400" w:lineRule="exact"/>
        <w:textAlignment w:val="auto"/>
        <w:outlineLvl w:val="3"/>
        <w:rPr>
          <w:rFonts w:hint="eastAsia" w:ascii="宋体" w:hAnsi="宋体" w:eastAsia="宋体" w:cs="宋体"/>
          <w:b/>
          <w:color w:val="auto"/>
          <w:szCs w:val="21"/>
        </w:rPr>
      </w:pPr>
      <w:bookmarkStart w:id="420" w:name="_Toc448481147"/>
      <w:bookmarkStart w:id="421" w:name="_Toc271241029"/>
      <w:bookmarkStart w:id="422" w:name="_Toc271202096"/>
      <w:bookmarkStart w:id="423" w:name="_Toc271578125"/>
      <w:bookmarkStart w:id="424" w:name="_Toc271015113"/>
      <w:bookmarkStart w:id="425" w:name="_Toc272503849"/>
      <w:bookmarkStart w:id="426" w:name="_Toc272503282"/>
      <w:r>
        <w:rPr>
          <w:rFonts w:hint="eastAsia" w:ascii="宋体" w:hAnsi="宋体" w:eastAsia="宋体" w:cs="宋体"/>
          <w:b/>
          <w:color w:val="auto"/>
          <w:szCs w:val="21"/>
        </w:rPr>
        <w:t>18.1  验收工作分类</w:t>
      </w:r>
      <w:bookmarkEnd w:id="420"/>
      <w:bookmarkEnd w:id="421"/>
      <w:bookmarkEnd w:id="422"/>
      <w:bookmarkEnd w:id="423"/>
      <w:bookmarkEnd w:id="424"/>
      <w:bookmarkEnd w:id="425"/>
      <w:bookmarkEnd w:id="426"/>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textAlignment w:val="auto"/>
        <w:rPr>
          <w:rFonts w:hint="eastAsia" w:ascii="宋体" w:hAnsi="宋体" w:eastAsia="宋体" w:cs="宋体"/>
          <w:iCs/>
          <w:color w:val="auto"/>
          <w:szCs w:val="21"/>
        </w:rPr>
      </w:pPr>
      <w:r>
        <w:rPr>
          <w:rFonts w:hint="eastAsia" w:ascii="宋体" w:hAnsi="宋体" w:eastAsia="宋体" w:cs="宋体"/>
          <w:color w:val="auto"/>
          <w:szCs w:val="21"/>
        </w:rPr>
        <w:t>本工程法人验收包括：</w:t>
      </w:r>
      <w:r>
        <w:rPr>
          <w:rFonts w:hint="eastAsia" w:ascii="宋体" w:hAnsi="宋体" w:eastAsia="宋体" w:cs="宋体"/>
          <w:b/>
          <w:iCs/>
          <w:color w:val="auto"/>
          <w:szCs w:val="21"/>
          <w:u w:val="single"/>
        </w:rPr>
        <w:t>分部工程、单位工程、单项合同工程完工验收</w:t>
      </w:r>
      <w:r>
        <w:rPr>
          <w:rFonts w:hint="eastAsia" w:ascii="宋体" w:hAnsi="宋体" w:eastAsia="宋体" w:cs="宋体"/>
          <w:iCs/>
          <w:color w:val="auto"/>
          <w:szCs w:val="21"/>
        </w:rPr>
        <w:t>；政府验收包括：</w:t>
      </w:r>
      <w:r>
        <w:rPr>
          <w:rFonts w:hint="eastAsia" w:ascii="宋体" w:hAnsi="宋体" w:eastAsia="宋体" w:cs="宋体"/>
          <w:b/>
          <w:iCs/>
          <w:color w:val="auto"/>
          <w:szCs w:val="21"/>
          <w:u w:val="single"/>
        </w:rPr>
        <w:t>专项验收、阶段验收、竣工验收</w:t>
      </w:r>
      <w:r>
        <w:rPr>
          <w:rFonts w:hint="eastAsia" w:ascii="宋体" w:hAnsi="宋体" w:eastAsia="宋体" w:cs="宋体"/>
          <w:iCs/>
          <w:color w:val="auto"/>
          <w:szCs w:val="21"/>
        </w:rPr>
        <w:t>。验收条件为：</w:t>
      </w:r>
      <w:r>
        <w:rPr>
          <w:rFonts w:hint="eastAsia" w:ascii="宋体" w:hAnsi="宋体" w:eastAsia="宋体" w:cs="宋体"/>
          <w:b/>
          <w:iCs/>
          <w:color w:val="auto"/>
          <w:szCs w:val="21"/>
          <w:u w:val="single"/>
        </w:rPr>
        <w:t>按《水利工程建设工程验收规程》（SL223-2008）</w:t>
      </w:r>
      <w:r>
        <w:rPr>
          <w:rFonts w:hint="eastAsia" w:ascii="宋体" w:hAnsi="宋体" w:eastAsia="宋体" w:cs="宋体"/>
          <w:b/>
          <w:iCs/>
          <w:color w:val="auto"/>
          <w:szCs w:val="21"/>
        </w:rPr>
        <w:t>。验收程序为</w:t>
      </w:r>
      <w:r>
        <w:rPr>
          <w:rFonts w:hint="eastAsia" w:ascii="宋体" w:hAnsi="宋体" w:eastAsia="宋体" w:cs="宋体"/>
          <w:b/>
          <w:iCs/>
          <w:color w:val="auto"/>
          <w:szCs w:val="21"/>
          <w:u w:val="single"/>
        </w:rPr>
        <w:t>按《水利工程建设工程验收规程》（SL223-2008）</w:t>
      </w:r>
      <w:r>
        <w:rPr>
          <w:rFonts w:hint="eastAsia" w:ascii="宋体" w:hAnsi="宋体" w:eastAsia="宋体" w:cs="宋体"/>
          <w:b/>
          <w:iCs/>
          <w:color w:val="auto"/>
          <w:szCs w:val="21"/>
        </w:rPr>
        <w:t>。</w:t>
      </w:r>
    </w:p>
    <w:p>
      <w:pPr>
        <w:keepNext w:val="0"/>
        <w:keepLines w:val="0"/>
        <w:pageBreakBefore w:val="0"/>
        <w:widowControl/>
        <w:kinsoku/>
        <w:wordWrap/>
        <w:overflowPunct/>
        <w:topLinePunct w:val="0"/>
        <w:autoSpaceDE/>
        <w:autoSpaceDN/>
        <w:bidi w:val="0"/>
        <w:spacing w:line="400" w:lineRule="exact"/>
        <w:textAlignment w:val="auto"/>
        <w:outlineLvl w:val="3"/>
        <w:rPr>
          <w:rFonts w:hint="eastAsia" w:ascii="宋体" w:hAnsi="宋体" w:eastAsia="宋体" w:cs="宋体"/>
          <w:b/>
          <w:color w:val="auto"/>
          <w:szCs w:val="21"/>
        </w:rPr>
      </w:pPr>
      <w:bookmarkStart w:id="427" w:name="_Toc272503850"/>
      <w:bookmarkStart w:id="428" w:name="_Toc272503283"/>
      <w:bookmarkStart w:id="429" w:name="_Toc271015114"/>
      <w:bookmarkStart w:id="430" w:name="_Toc271241030"/>
      <w:bookmarkStart w:id="431" w:name="_Toc271202097"/>
      <w:bookmarkStart w:id="432" w:name="_Toc271578126"/>
      <w:bookmarkStart w:id="433" w:name="_Toc448481148"/>
      <w:r>
        <w:rPr>
          <w:rFonts w:hint="eastAsia" w:ascii="宋体" w:hAnsi="宋体" w:eastAsia="宋体" w:cs="宋体"/>
          <w:b/>
          <w:color w:val="auto"/>
          <w:szCs w:val="21"/>
        </w:rPr>
        <w:t>18.2  分部工程验收</w:t>
      </w:r>
      <w:bookmarkEnd w:id="427"/>
      <w:bookmarkEnd w:id="428"/>
      <w:bookmarkEnd w:id="429"/>
      <w:bookmarkEnd w:id="430"/>
      <w:bookmarkEnd w:id="431"/>
      <w:bookmarkEnd w:id="432"/>
      <w:bookmarkEnd w:id="433"/>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18.2.2</w:t>
      </w:r>
      <w:r>
        <w:rPr>
          <w:rFonts w:hint="eastAsia" w:ascii="宋体" w:hAnsi="宋体" w:eastAsia="宋体" w:cs="宋体"/>
          <w:color w:val="auto"/>
          <w:szCs w:val="21"/>
          <w:lang w:val="zh-CN"/>
        </w:rPr>
        <w:t>本工程由监理人主持的分部工程验收在监理合同中约定，其余由发包人主持。</w:t>
      </w:r>
    </w:p>
    <w:p>
      <w:pPr>
        <w:keepNext w:val="0"/>
        <w:keepLines w:val="0"/>
        <w:pageBreakBefore w:val="0"/>
        <w:widowControl/>
        <w:kinsoku/>
        <w:wordWrap/>
        <w:overflowPunct/>
        <w:topLinePunct w:val="0"/>
        <w:autoSpaceDE/>
        <w:autoSpaceDN/>
        <w:bidi w:val="0"/>
        <w:spacing w:line="400" w:lineRule="exact"/>
        <w:textAlignment w:val="auto"/>
        <w:outlineLvl w:val="3"/>
        <w:rPr>
          <w:rFonts w:hint="eastAsia" w:ascii="宋体" w:hAnsi="宋体" w:eastAsia="宋体" w:cs="宋体"/>
          <w:b/>
          <w:color w:val="auto"/>
          <w:szCs w:val="21"/>
        </w:rPr>
      </w:pPr>
      <w:bookmarkStart w:id="434" w:name="_Toc271578127"/>
      <w:bookmarkStart w:id="435" w:name="_Toc272503284"/>
      <w:bookmarkStart w:id="436" w:name="_Toc272503851"/>
      <w:bookmarkStart w:id="437" w:name="_Toc271015115"/>
      <w:bookmarkStart w:id="438" w:name="_Toc448481149"/>
      <w:bookmarkStart w:id="439" w:name="_Toc271202098"/>
      <w:bookmarkStart w:id="440" w:name="_Toc271241031"/>
      <w:r>
        <w:rPr>
          <w:rFonts w:hint="eastAsia" w:ascii="宋体" w:hAnsi="宋体" w:eastAsia="宋体" w:cs="宋体"/>
          <w:b/>
          <w:color w:val="auto"/>
          <w:szCs w:val="21"/>
        </w:rPr>
        <w:t>18.3  单位工程验收</w:t>
      </w:r>
      <w:bookmarkEnd w:id="434"/>
      <w:bookmarkEnd w:id="435"/>
      <w:bookmarkEnd w:id="436"/>
      <w:bookmarkEnd w:id="437"/>
      <w:bookmarkEnd w:id="438"/>
      <w:bookmarkEnd w:id="439"/>
      <w:bookmarkEnd w:id="440"/>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18.3.4 提前投人使用的</w:t>
      </w:r>
      <w:r>
        <w:rPr>
          <w:rFonts w:hint="eastAsia" w:ascii="宋体" w:hAnsi="宋体" w:eastAsia="宋体" w:cs="宋体"/>
          <w:color w:val="auto"/>
          <w:szCs w:val="21"/>
          <w:lang w:val="zh-CN"/>
        </w:rPr>
        <w:t>单位工程包括：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keepNext w:val="0"/>
        <w:keepLines w:val="0"/>
        <w:pageBreakBefore w:val="0"/>
        <w:widowControl/>
        <w:kinsoku/>
        <w:wordWrap/>
        <w:overflowPunct/>
        <w:topLinePunct w:val="0"/>
        <w:autoSpaceDE/>
        <w:autoSpaceDN/>
        <w:bidi w:val="0"/>
        <w:spacing w:line="400" w:lineRule="exact"/>
        <w:textAlignment w:val="auto"/>
        <w:outlineLvl w:val="3"/>
        <w:rPr>
          <w:rFonts w:hint="eastAsia" w:ascii="宋体" w:hAnsi="宋体" w:eastAsia="宋体" w:cs="宋体"/>
          <w:b/>
          <w:color w:val="auto"/>
          <w:szCs w:val="21"/>
        </w:rPr>
      </w:pPr>
      <w:bookmarkStart w:id="441" w:name="_Toc271578128"/>
      <w:bookmarkStart w:id="442" w:name="_Toc272503285"/>
      <w:bookmarkStart w:id="443" w:name="_Toc272503852"/>
      <w:bookmarkStart w:id="444" w:name="_Toc271202099"/>
      <w:bookmarkStart w:id="445" w:name="_Toc448481150"/>
      <w:bookmarkStart w:id="446" w:name="_Toc271241032"/>
      <w:bookmarkStart w:id="447" w:name="_Toc271015116"/>
      <w:r>
        <w:rPr>
          <w:rFonts w:hint="eastAsia" w:ascii="宋体" w:hAnsi="宋体" w:eastAsia="宋体" w:cs="宋体"/>
          <w:b/>
          <w:color w:val="auto"/>
          <w:szCs w:val="21"/>
        </w:rPr>
        <w:t>18.5  阶段验收</w:t>
      </w:r>
      <w:bookmarkEnd w:id="441"/>
      <w:bookmarkEnd w:id="442"/>
      <w:bookmarkEnd w:id="443"/>
      <w:bookmarkEnd w:id="444"/>
      <w:bookmarkEnd w:id="445"/>
      <w:bookmarkEnd w:id="446"/>
      <w:bookmarkEnd w:id="447"/>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18.5.1 本合同工程阶</w:t>
      </w:r>
      <w:r>
        <w:rPr>
          <w:rFonts w:hint="eastAsia" w:ascii="宋体" w:hAnsi="宋体" w:eastAsia="宋体" w:cs="宋体"/>
          <w:color w:val="auto"/>
          <w:szCs w:val="21"/>
          <w:lang w:val="zh-CN"/>
        </w:rPr>
        <w:t>段验收类别包括：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keepNext w:val="0"/>
        <w:keepLines w:val="0"/>
        <w:pageBreakBefore w:val="0"/>
        <w:widowControl/>
        <w:kinsoku/>
        <w:wordWrap/>
        <w:overflowPunct/>
        <w:topLinePunct w:val="0"/>
        <w:autoSpaceDE/>
        <w:autoSpaceDN/>
        <w:bidi w:val="0"/>
        <w:spacing w:line="400" w:lineRule="exact"/>
        <w:textAlignment w:val="auto"/>
        <w:outlineLvl w:val="3"/>
        <w:rPr>
          <w:rFonts w:hint="eastAsia" w:ascii="宋体" w:hAnsi="宋体" w:eastAsia="宋体" w:cs="宋体"/>
          <w:b/>
          <w:color w:val="auto"/>
          <w:szCs w:val="21"/>
        </w:rPr>
      </w:pPr>
      <w:bookmarkStart w:id="448" w:name="_Toc272503286"/>
      <w:bookmarkStart w:id="449" w:name="_Toc271578129"/>
      <w:bookmarkStart w:id="450" w:name="_Toc271241033"/>
      <w:bookmarkStart w:id="451" w:name="_Toc271015117"/>
      <w:bookmarkStart w:id="452" w:name="_Toc272503853"/>
      <w:bookmarkStart w:id="453" w:name="_Toc448481151"/>
      <w:bookmarkStart w:id="454" w:name="_Toc271202100"/>
      <w:r>
        <w:rPr>
          <w:rFonts w:hint="eastAsia" w:ascii="宋体" w:hAnsi="宋体" w:eastAsia="宋体" w:cs="宋体"/>
          <w:b/>
          <w:color w:val="auto"/>
          <w:szCs w:val="21"/>
        </w:rPr>
        <w:t>18.6  专项验收</w:t>
      </w:r>
      <w:bookmarkEnd w:id="448"/>
      <w:bookmarkEnd w:id="449"/>
      <w:bookmarkEnd w:id="450"/>
      <w:bookmarkEnd w:id="451"/>
      <w:bookmarkEnd w:id="452"/>
      <w:bookmarkEnd w:id="453"/>
      <w:bookmarkEnd w:id="454"/>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18.6.2 本合同工程</w:t>
      </w:r>
      <w:r>
        <w:rPr>
          <w:rFonts w:hint="eastAsia" w:ascii="宋体" w:hAnsi="宋体" w:eastAsia="宋体" w:cs="宋体"/>
          <w:color w:val="auto"/>
          <w:szCs w:val="21"/>
          <w:lang w:val="zh-CN"/>
        </w:rPr>
        <w:t>专项验收类别包括：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keepNext w:val="0"/>
        <w:keepLines w:val="0"/>
        <w:pageBreakBefore w:val="0"/>
        <w:widowControl/>
        <w:kinsoku/>
        <w:wordWrap/>
        <w:overflowPunct/>
        <w:topLinePunct w:val="0"/>
        <w:autoSpaceDE/>
        <w:autoSpaceDN/>
        <w:bidi w:val="0"/>
        <w:spacing w:line="400" w:lineRule="exact"/>
        <w:textAlignment w:val="auto"/>
        <w:outlineLvl w:val="3"/>
        <w:rPr>
          <w:rFonts w:hint="eastAsia" w:ascii="宋体" w:hAnsi="宋体" w:eastAsia="宋体" w:cs="宋体"/>
          <w:b/>
          <w:color w:val="auto"/>
          <w:szCs w:val="21"/>
        </w:rPr>
      </w:pPr>
      <w:bookmarkStart w:id="455" w:name="_Toc272503854"/>
      <w:bookmarkStart w:id="456" w:name="_Toc271015118"/>
      <w:bookmarkStart w:id="457" w:name="_Toc448481152"/>
      <w:bookmarkStart w:id="458" w:name="_Toc272503287"/>
      <w:bookmarkStart w:id="459" w:name="_Toc271578130"/>
      <w:bookmarkStart w:id="460" w:name="_Toc271241034"/>
      <w:bookmarkStart w:id="461" w:name="_Toc271202101"/>
      <w:r>
        <w:rPr>
          <w:rFonts w:hint="eastAsia" w:ascii="宋体" w:hAnsi="宋体" w:eastAsia="宋体" w:cs="宋体"/>
          <w:b/>
          <w:color w:val="auto"/>
          <w:szCs w:val="21"/>
        </w:rPr>
        <w:t>18.7  竣工验收</w:t>
      </w:r>
      <w:bookmarkEnd w:id="455"/>
      <w:bookmarkEnd w:id="456"/>
      <w:bookmarkEnd w:id="457"/>
      <w:bookmarkEnd w:id="458"/>
      <w:bookmarkEnd w:id="459"/>
      <w:bookmarkEnd w:id="460"/>
      <w:bookmarkEnd w:id="461"/>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18.7.3 本工程</w:t>
      </w:r>
      <w:r>
        <w:rPr>
          <w:rFonts w:hint="eastAsia" w:ascii="宋体" w:hAnsi="宋体" w:eastAsia="宋体" w:cs="宋体"/>
          <w:b/>
          <w:i/>
          <w:color w:val="auto"/>
          <w:szCs w:val="21"/>
          <w:u w:val="single"/>
        </w:rPr>
        <w:t>不需要</w:t>
      </w:r>
      <w:r>
        <w:rPr>
          <w:rFonts w:hint="eastAsia" w:ascii="宋体" w:hAnsi="宋体" w:eastAsia="宋体" w:cs="宋体"/>
          <w:color w:val="auto"/>
          <w:szCs w:val="21"/>
        </w:rPr>
        <w:t>竣工验收技术鉴定（蓄水安全鉴定）。</w:t>
      </w:r>
    </w:p>
    <w:p>
      <w:pPr>
        <w:keepNext w:val="0"/>
        <w:keepLines w:val="0"/>
        <w:pageBreakBefore w:val="0"/>
        <w:widowControl/>
        <w:kinsoku/>
        <w:wordWrap/>
        <w:overflowPunct/>
        <w:topLinePunct w:val="0"/>
        <w:autoSpaceDE/>
        <w:autoSpaceDN/>
        <w:bidi w:val="0"/>
        <w:spacing w:line="400" w:lineRule="exact"/>
        <w:textAlignment w:val="auto"/>
        <w:outlineLvl w:val="3"/>
        <w:rPr>
          <w:rFonts w:hint="eastAsia" w:ascii="宋体" w:hAnsi="宋体" w:eastAsia="宋体" w:cs="宋体"/>
          <w:b/>
          <w:color w:val="auto"/>
          <w:szCs w:val="21"/>
        </w:rPr>
      </w:pPr>
      <w:bookmarkStart w:id="462" w:name="_Toc272503288"/>
      <w:bookmarkStart w:id="463" w:name="_Toc271015119"/>
      <w:bookmarkStart w:id="464" w:name="_Toc271578131"/>
      <w:bookmarkStart w:id="465" w:name="_Toc448481153"/>
      <w:bookmarkStart w:id="466" w:name="_Toc271241035"/>
      <w:bookmarkStart w:id="467" w:name="_Toc271202102"/>
      <w:bookmarkStart w:id="468" w:name="_Toc272503855"/>
      <w:r>
        <w:rPr>
          <w:rFonts w:hint="eastAsia" w:ascii="宋体" w:hAnsi="宋体" w:eastAsia="宋体" w:cs="宋体"/>
          <w:b/>
          <w:color w:val="auto"/>
          <w:szCs w:val="21"/>
        </w:rPr>
        <w:t>18.8  施工期运行</w:t>
      </w:r>
      <w:bookmarkEnd w:id="462"/>
      <w:bookmarkEnd w:id="463"/>
      <w:bookmarkEnd w:id="464"/>
      <w:bookmarkEnd w:id="465"/>
      <w:bookmarkEnd w:id="466"/>
      <w:bookmarkEnd w:id="467"/>
      <w:bookmarkEnd w:id="468"/>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textAlignment w:val="auto"/>
        <w:rPr>
          <w:rFonts w:hint="eastAsia" w:ascii="宋体" w:hAnsi="宋体" w:eastAsia="宋体" w:cs="宋体"/>
          <w:color w:val="auto"/>
          <w:szCs w:val="21"/>
          <w:u w:val="single"/>
        </w:rPr>
      </w:pPr>
      <w:r>
        <w:rPr>
          <w:rFonts w:hint="eastAsia" w:ascii="宋体" w:hAnsi="宋体" w:eastAsia="宋体" w:cs="宋体"/>
          <w:color w:val="auto"/>
          <w:szCs w:val="21"/>
        </w:rPr>
        <w:t>18.8.1 需要</w:t>
      </w:r>
      <w:r>
        <w:rPr>
          <w:rFonts w:hint="eastAsia" w:ascii="宋体" w:hAnsi="宋体" w:eastAsia="宋体" w:cs="宋体"/>
          <w:color w:val="auto"/>
          <w:szCs w:val="21"/>
          <w:lang w:val="zh-CN"/>
        </w:rPr>
        <w:t>在施工期运行的单位工程或工程设备为：</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keepNext w:val="0"/>
        <w:keepLines w:val="0"/>
        <w:pageBreakBefore w:val="0"/>
        <w:widowControl/>
        <w:kinsoku/>
        <w:wordWrap/>
        <w:overflowPunct/>
        <w:topLinePunct w:val="0"/>
        <w:autoSpaceDE/>
        <w:autoSpaceDN/>
        <w:bidi w:val="0"/>
        <w:spacing w:line="400" w:lineRule="exact"/>
        <w:textAlignment w:val="auto"/>
        <w:outlineLvl w:val="3"/>
        <w:rPr>
          <w:rFonts w:hint="eastAsia" w:ascii="宋体" w:hAnsi="宋体" w:eastAsia="宋体" w:cs="宋体"/>
          <w:b/>
          <w:color w:val="auto"/>
          <w:szCs w:val="21"/>
        </w:rPr>
      </w:pPr>
      <w:bookmarkStart w:id="469" w:name="_Toc271202103"/>
      <w:bookmarkStart w:id="470" w:name="_Toc272503289"/>
      <w:bookmarkStart w:id="471" w:name="_Toc448481154"/>
      <w:bookmarkStart w:id="472" w:name="_Toc271241036"/>
      <w:bookmarkStart w:id="473" w:name="_Toc271015120"/>
      <w:bookmarkStart w:id="474" w:name="_Toc271578132"/>
      <w:bookmarkStart w:id="475" w:name="_Toc272503856"/>
      <w:r>
        <w:rPr>
          <w:rFonts w:hint="eastAsia" w:ascii="宋体" w:hAnsi="宋体" w:eastAsia="宋体" w:cs="宋体"/>
          <w:b/>
          <w:color w:val="auto"/>
          <w:szCs w:val="21"/>
        </w:rPr>
        <w:t>18.9  试运行</w:t>
      </w:r>
      <w:bookmarkEnd w:id="469"/>
      <w:bookmarkEnd w:id="470"/>
      <w:bookmarkEnd w:id="471"/>
      <w:bookmarkEnd w:id="472"/>
      <w:bookmarkEnd w:id="473"/>
      <w:bookmarkEnd w:id="474"/>
      <w:bookmarkEnd w:id="475"/>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textAlignment w:val="auto"/>
        <w:rPr>
          <w:rFonts w:hint="eastAsia" w:ascii="宋体" w:hAnsi="宋体" w:eastAsia="宋体" w:cs="宋体"/>
          <w:color w:val="auto"/>
          <w:szCs w:val="21"/>
          <w:u w:val="single"/>
        </w:rPr>
      </w:pPr>
      <w:r>
        <w:rPr>
          <w:rFonts w:hint="eastAsia" w:ascii="宋体" w:hAnsi="宋体" w:eastAsia="宋体" w:cs="宋体"/>
          <w:color w:val="auto"/>
          <w:szCs w:val="21"/>
        </w:rPr>
        <w:t>18.9.1 试运行的组织：</w:t>
      </w:r>
      <w:r>
        <w:rPr>
          <w:rFonts w:hint="eastAsia" w:ascii="宋体" w:hAnsi="宋体" w:eastAsia="宋体" w:cs="宋体"/>
          <w:b/>
          <w:i/>
          <w:color w:val="auto"/>
          <w:szCs w:val="21"/>
          <w:u w:val="single"/>
        </w:rPr>
        <w:t>承包人</w:t>
      </w:r>
      <w:r>
        <w:rPr>
          <w:rFonts w:hint="eastAsia" w:ascii="宋体" w:hAnsi="宋体" w:eastAsia="宋体" w:cs="宋体"/>
          <w:color w:val="auto"/>
          <w:szCs w:val="21"/>
        </w:rPr>
        <w:t>；费用承担：</w:t>
      </w:r>
      <w:r>
        <w:rPr>
          <w:rFonts w:hint="eastAsia" w:ascii="宋体" w:hAnsi="宋体" w:eastAsia="宋体" w:cs="宋体"/>
          <w:b/>
          <w:i/>
          <w:color w:val="auto"/>
          <w:szCs w:val="21"/>
          <w:u w:val="single"/>
        </w:rPr>
        <w:t>承包人</w:t>
      </w:r>
      <w:r>
        <w:rPr>
          <w:rFonts w:hint="eastAsia" w:ascii="宋体" w:hAnsi="宋体" w:eastAsia="宋体" w:cs="宋体"/>
          <w:color w:val="auto"/>
          <w:szCs w:val="21"/>
        </w:rPr>
        <w:t>。</w:t>
      </w:r>
    </w:p>
    <w:p>
      <w:pPr>
        <w:keepNext w:val="0"/>
        <w:keepLines w:val="0"/>
        <w:pageBreakBefore w:val="0"/>
        <w:widowControl/>
        <w:kinsoku/>
        <w:wordWrap/>
        <w:overflowPunct/>
        <w:topLinePunct w:val="0"/>
        <w:autoSpaceDE/>
        <w:autoSpaceDN/>
        <w:bidi w:val="0"/>
        <w:spacing w:line="400" w:lineRule="exact"/>
        <w:textAlignment w:val="auto"/>
        <w:outlineLvl w:val="3"/>
        <w:rPr>
          <w:rFonts w:hint="eastAsia" w:ascii="宋体" w:hAnsi="宋体" w:eastAsia="宋体" w:cs="宋体"/>
          <w:b/>
          <w:color w:val="auto"/>
          <w:szCs w:val="21"/>
        </w:rPr>
      </w:pPr>
      <w:bookmarkStart w:id="476" w:name="_Toc265086124"/>
      <w:bookmarkStart w:id="477" w:name="_Toc448481155"/>
      <w:bookmarkStart w:id="478" w:name="_Toc272503857"/>
      <w:bookmarkStart w:id="479" w:name="_Toc271202104"/>
      <w:r>
        <w:rPr>
          <w:rFonts w:hint="eastAsia" w:ascii="宋体" w:hAnsi="宋体" w:eastAsia="宋体" w:cs="宋体"/>
          <w:b/>
          <w:color w:val="auto"/>
          <w:szCs w:val="21"/>
        </w:rPr>
        <w:t>19  缺陷责任与保修责任</w:t>
      </w:r>
      <w:bookmarkEnd w:id="476"/>
      <w:bookmarkEnd w:id="477"/>
      <w:bookmarkEnd w:id="478"/>
      <w:bookmarkEnd w:id="479"/>
    </w:p>
    <w:p>
      <w:pPr>
        <w:keepNext w:val="0"/>
        <w:keepLines w:val="0"/>
        <w:pageBreakBefore w:val="0"/>
        <w:widowControl/>
        <w:kinsoku/>
        <w:wordWrap/>
        <w:overflowPunct/>
        <w:topLinePunct w:val="0"/>
        <w:autoSpaceDE/>
        <w:autoSpaceDN/>
        <w:bidi w:val="0"/>
        <w:spacing w:line="400" w:lineRule="exact"/>
        <w:textAlignment w:val="auto"/>
        <w:outlineLvl w:val="3"/>
        <w:rPr>
          <w:rFonts w:hint="eastAsia" w:ascii="宋体" w:hAnsi="宋体" w:eastAsia="宋体" w:cs="宋体"/>
          <w:b/>
          <w:color w:val="auto"/>
          <w:szCs w:val="21"/>
        </w:rPr>
      </w:pPr>
      <w:bookmarkStart w:id="480" w:name="_Toc448481156"/>
      <w:bookmarkStart w:id="481" w:name="_Toc271241038"/>
      <w:bookmarkStart w:id="482" w:name="_Toc272503291"/>
      <w:bookmarkStart w:id="483" w:name="_Toc271578134"/>
      <w:bookmarkStart w:id="484" w:name="_Toc272503858"/>
      <w:bookmarkStart w:id="485" w:name="_Toc271015122"/>
      <w:bookmarkStart w:id="486" w:name="_Toc271202105"/>
      <w:r>
        <w:rPr>
          <w:rFonts w:hint="eastAsia" w:ascii="宋体" w:hAnsi="宋体" w:eastAsia="宋体" w:cs="宋体"/>
          <w:b/>
          <w:color w:val="auto"/>
          <w:szCs w:val="21"/>
        </w:rPr>
        <w:t>19.1  缺陷责任期(工程质量保修期)的起算时间</w:t>
      </w:r>
      <w:bookmarkEnd w:id="480"/>
    </w:p>
    <w:bookmarkEnd w:id="481"/>
    <w:bookmarkEnd w:id="482"/>
    <w:bookmarkEnd w:id="483"/>
    <w:bookmarkEnd w:id="484"/>
    <w:bookmarkEnd w:id="485"/>
    <w:bookmarkEnd w:id="486"/>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textAlignment w:val="auto"/>
        <w:rPr>
          <w:rFonts w:hint="eastAsia" w:ascii="宋体" w:hAnsi="宋体" w:eastAsia="宋体" w:cs="宋体"/>
          <w:color w:val="auto"/>
          <w:szCs w:val="21"/>
          <w:u w:val="single"/>
        </w:rPr>
      </w:pPr>
      <w:r>
        <w:rPr>
          <w:rFonts w:hint="eastAsia" w:ascii="宋体" w:hAnsi="宋体" w:eastAsia="宋体" w:cs="宋体"/>
          <w:color w:val="auto"/>
          <w:szCs w:val="21"/>
        </w:rPr>
        <w:t>本工程缺陷责任期（工程质量保修期）为</w:t>
      </w:r>
      <w:r>
        <w:rPr>
          <w:rFonts w:hint="eastAsia" w:ascii="宋体" w:hAnsi="宋体" w:eastAsia="宋体" w:cs="宋体"/>
          <w:b/>
          <w:i/>
          <w:color w:val="auto"/>
          <w:szCs w:val="21"/>
          <w:u w:val="single"/>
        </w:rPr>
        <w:t>1</w:t>
      </w:r>
      <w:r>
        <w:rPr>
          <w:rFonts w:hint="eastAsia" w:ascii="宋体" w:hAnsi="宋体" w:eastAsia="宋体" w:cs="宋体"/>
          <w:color w:val="auto"/>
          <w:szCs w:val="21"/>
        </w:rPr>
        <w:t>年。</w:t>
      </w:r>
    </w:p>
    <w:p>
      <w:pPr>
        <w:keepNext w:val="0"/>
        <w:keepLines w:val="0"/>
        <w:pageBreakBefore w:val="0"/>
        <w:widowControl/>
        <w:kinsoku/>
        <w:wordWrap/>
        <w:overflowPunct/>
        <w:topLinePunct w:val="0"/>
        <w:autoSpaceDE/>
        <w:autoSpaceDN/>
        <w:bidi w:val="0"/>
        <w:spacing w:line="400" w:lineRule="exact"/>
        <w:textAlignment w:val="auto"/>
        <w:outlineLvl w:val="3"/>
        <w:rPr>
          <w:rFonts w:hint="eastAsia" w:ascii="宋体" w:hAnsi="宋体" w:eastAsia="宋体" w:cs="宋体"/>
          <w:b/>
          <w:color w:val="auto"/>
          <w:szCs w:val="21"/>
        </w:rPr>
      </w:pPr>
      <w:bookmarkStart w:id="487" w:name="_Toc265086125"/>
      <w:bookmarkStart w:id="488" w:name="_Toc272503859"/>
      <w:bookmarkStart w:id="489" w:name="_Toc448481157"/>
      <w:bookmarkStart w:id="490" w:name="_Toc271202106"/>
      <w:r>
        <w:rPr>
          <w:rFonts w:hint="eastAsia" w:ascii="宋体" w:hAnsi="宋体" w:eastAsia="宋体" w:cs="宋体"/>
          <w:b/>
          <w:color w:val="auto"/>
          <w:szCs w:val="21"/>
        </w:rPr>
        <w:t>20  保险</w:t>
      </w:r>
      <w:bookmarkEnd w:id="487"/>
      <w:bookmarkEnd w:id="488"/>
      <w:bookmarkEnd w:id="489"/>
      <w:bookmarkEnd w:id="490"/>
    </w:p>
    <w:p>
      <w:pPr>
        <w:keepNext w:val="0"/>
        <w:keepLines w:val="0"/>
        <w:pageBreakBefore w:val="0"/>
        <w:widowControl/>
        <w:kinsoku/>
        <w:wordWrap/>
        <w:overflowPunct/>
        <w:topLinePunct w:val="0"/>
        <w:autoSpaceDE/>
        <w:autoSpaceDN/>
        <w:bidi w:val="0"/>
        <w:spacing w:line="400" w:lineRule="exact"/>
        <w:textAlignment w:val="auto"/>
        <w:outlineLvl w:val="3"/>
        <w:rPr>
          <w:rFonts w:hint="eastAsia" w:ascii="宋体" w:hAnsi="宋体" w:eastAsia="宋体" w:cs="宋体"/>
          <w:b/>
          <w:color w:val="auto"/>
          <w:szCs w:val="21"/>
        </w:rPr>
      </w:pPr>
      <w:bookmarkStart w:id="491" w:name="_Toc271202107"/>
      <w:bookmarkStart w:id="492" w:name="_Toc272503293"/>
      <w:bookmarkStart w:id="493" w:name="_Toc271015124"/>
      <w:bookmarkStart w:id="494" w:name="_Toc272503860"/>
      <w:bookmarkStart w:id="495" w:name="_Toc448481158"/>
      <w:bookmarkStart w:id="496" w:name="_Toc271241040"/>
      <w:bookmarkStart w:id="497" w:name="_Toc271578136"/>
      <w:r>
        <w:rPr>
          <w:rFonts w:hint="eastAsia" w:ascii="宋体" w:hAnsi="宋体" w:eastAsia="宋体" w:cs="宋体"/>
          <w:b/>
          <w:color w:val="auto"/>
          <w:szCs w:val="21"/>
        </w:rPr>
        <w:t>20.1  工程保险</w:t>
      </w:r>
      <w:bookmarkEnd w:id="491"/>
      <w:bookmarkEnd w:id="492"/>
      <w:bookmarkEnd w:id="493"/>
      <w:bookmarkEnd w:id="494"/>
      <w:bookmarkEnd w:id="495"/>
      <w:bookmarkEnd w:id="496"/>
      <w:bookmarkEnd w:id="497"/>
    </w:p>
    <w:p>
      <w:pPr>
        <w:keepNext w:val="0"/>
        <w:keepLines w:val="0"/>
        <w:pageBreakBefore w:val="0"/>
        <w:widowControl/>
        <w:kinsoku/>
        <w:wordWrap/>
        <w:overflowPunct/>
        <w:topLinePunct w:val="0"/>
        <w:autoSpaceDE/>
        <w:autoSpaceDN/>
        <w:bidi w:val="0"/>
        <w:spacing w:line="400" w:lineRule="exact"/>
        <w:ind w:firstLine="400" w:firstLineChars="200"/>
        <w:textAlignment w:val="auto"/>
        <w:rPr>
          <w:rFonts w:hint="eastAsia" w:ascii="宋体" w:hAnsi="宋体" w:eastAsia="宋体" w:cs="宋体"/>
          <w:color w:val="auto"/>
          <w:szCs w:val="21"/>
          <w:u w:val="single"/>
        </w:rPr>
      </w:pPr>
      <w:bookmarkStart w:id="498" w:name="_Toc221951323"/>
      <w:bookmarkStart w:id="499" w:name="_Toc271202109"/>
      <w:bookmarkStart w:id="500" w:name="_Toc271578138"/>
      <w:bookmarkStart w:id="501" w:name="_Toc271241042"/>
      <w:bookmarkStart w:id="502" w:name="_Toc271015126"/>
      <w:bookmarkStart w:id="503" w:name="_Toc272503295"/>
      <w:bookmarkStart w:id="504" w:name="_Toc272503862"/>
      <w:r>
        <w:rPr>
          <w:rFonts w:hint="eastAsia" w:ascii="宋体" w:hAnsi="宋体" w:eastAsia="宋体" w:cs="宋体"/>
          <w:color w:val="auto"/>
          <w:szCs w:val="21"/>
        </w:rPr>
        <w:t>建筑工程一切险（或）安装工程一切险投保人：</w:t>
      </w:r>
      <w:r>
        <w:rPr>
          <w:rFonts w:hint="eastAsia" w:ascii="宋体" w:hAnsi="宋体" w:eastAsia="宋体" w:cs="宋体"/>
          <w:b/>
          <w:color w:val="auto"/>
          <w:szCs w:val="21"/>
          <w:u w:val="single"/>
        </w:rPr>
        <w:t>承包人以发包人和承包人的共同名义投保；</w:t>
      </w:r>
    </w:p>
    <w:p>
      <w:pPr>
        <w:keepNext w:val="0"/>
        <w:keepLines w:val="0"/>
        <w:pageBreakBefore w:val="0"/>
        <w:widowControl/>
        <w:kinsoku/>
        <w:wordWrap/>
        <w:overflowPunct/>
        <w:topLinePunct w:val="0"/>
        <w:autoSpaceDE/>
        <w:autoSpaceDN/>
        <w:bidi w:val="0"/>
        <w:spacing w:line="400" w:lineRule="exact"/>
        <w:ind w:firstLine="400" w:firstLineChars="200"/>
        <w:textAlignment w:val="auto"/>
        <w:rPr>
          <w:rFonts w:hint="eastAsia" w:ascii="宋体" w:hAnsi="宋体" w:eastAsia="宋体" w:cs="宋体"/>
          <w:color w:val="auto"/>
          <w:szCs w:val="21"/>
          <w:u w:val="single"/>
        </w:rPr>
      </w:pPr>
      <w:r>
        <w:rPr>
          <w:rFonts w:hint="eastAsia" w:ascii="宋体" w:hAnsi="宋体" w:eastAsia="宋体" w:cs="宋体"/>
          <w:color w:val="auto"/>
          <w:szCs w:val="21"/>
        </w:rPr>
        <w:t>投保内容：</w:t>
      </w:r>
      <w:r>
        <w:rPr>
          <w:rFonts w:hint="eastAsia" w:ascii="宋体" w:hAnsi="宋体" w:eastAsia="宋体" w:cs="宋体"/>
          <w:b/>
          <w:color w:val="auto"/>
          <w:szCs w:val="21"/>
          <w:u w:val="single"/>
        </w:rPr>
        <w:t>为本合同工程的永久工程、临时工程和设备及已运至施工工地用于永久工程的材料和设备。</w:t>
      </w:r>
    </w:p>
    <w:bookmarkEnd w:id="498"/>
    <w:p>
      <w:pPr>
        <w:keepNext w:val="0"/>
        <w:keepLines w:val="0"/>
        <w:pageBreakBefore w:val="0"/>
        <w:widowControl/>
        <w:kinsoku/>
        <w:wordWrap/>
        <w:overflowPunct/>
        <w:topLinePunct w:val="0"/>
        <w:autoSpaceDE/>
        <w:autoSpaceDN/>
        <w:bidi w:val="0"/>
        <w:spacing w:line="400" w:lineRule="exact"/>
        <w:ind w:firstLine="400" w:firstLineChars="200"/>
        <w:textAlignment w:val="auto"/>
        <w:rPr>
          <w:rFonts w:hint="eastAsia" w:ascii="宋体" w:hAnsi="宋体" w:eastAsia="宋体" w:cs="宋体"/>
          <w:b/>
          <w:color w:val="auto"/>
          <w:szCs w:val="21"/>
          <w:u w:val="single"/>
        </w:rPr>
      </w:pPr>
      <w:r>
        <w:rPr>
          <w:rFonts w:hint="eastAsia" w:ascii="宋体" w:hAnsi="宋体" w:eastAsia="宋体" w:cs="宋体"/>
          <w:color w:val="auto"/>
          <w:szCs w:val="21"/>
        </w:rPr>
        <w:t>保险金额、保险费率和保险期限：</w:t>
      </w:r>
      <w:r>
        <w:rPr>
          <w:rFonts w:hint="eastAsia" w:ascii="宋体" w:hAnsi="宋体" w:eastAsia="宋体" w:cs="宋体"/>
          <w:b/>
          <w:color w:val="auto"/>
          <w:szCs w:val="21"/>
          <w:u w:val="single"/>
        </w:rPr>
        <w:t>保险费由承包人与保险人协商确定（自行报价），发包人在接到保险单后，发包人凭承包人提供的保险单按实支付，但最高不超过工程量清单中所列保险费用。保险期限：开工日起直至本合同工程签发缺陷责任终止证书止。</w:t>
      </w:r>
    </w:p>
    <w:p>
      <w:pPr>
        <w:keepNext w:val="0"/>
        <w:keepLines w:val="0"/>
        <w:pageBreakBefore w:val="0"/>
        <w:widowControl/>
        <w:kinsoku/>
        <w:wordWrap/>
        <w:overflowPunct/>
        <w:topLinePunct w:val="0"/>
        <w:autoSpaceDE/>
        <w:autoSpaceDN/>
        <w:bidi w:val="0"/>
        <w:spacing w:line="400" w:lineRule="exact"/>
        <w:textAlignment w:val="auto"/>
        <w:outlineLvl w:val="3"/>
        <w:rPr>
          <w:rFonts w:hint="eastAsia" w:ascii="宋体" w:hAnsi="宋体" w:eastAsia="宋体" w:cs="宋体"/>
          <w:b/>
          <w:color w:val="auto"/>
          <w:szCs w:val="21"/>
        </w:rPr>
      </w:pPr>
      <w:bookmarkStart w:id="505" w:name="_Toc448481159"/>
      <w:r>
        <w:rPr>
          <w:rFonts w:hint="eastAsia" w:ascii="宋体" w:hAnsi="宋体" w:eastAsia="宋体" w:cs="宋体"/>
          <w:b/>
          <w:color w:val="auto"/>
          <w:szCs w:val="21"/>
        </w:rPr>
        <w:t>20.4  第三者责任险</w:t>
      </w:r>
      <w:bookmarkEnd w:id="505"/>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color w:val="auto"/>
        </w:rPr>
      </w:pPr>
      <w:r>
        <w:rPr>
          <w:rFonts w:hint="eastAsia" w:ascii="宋体" w:hAnsi="宋体" w:eastAsia="宋体" w:cs="宋体"/>
          <w:color w:val="auto"/>
          <w:szCs w:val="21"/>
        </w:rPr>
        <w:t>20.4.2 第三者责任险保险费：</w:t>
      </w:r>
      <w:r>
        <w:rPr>
          <w:rFonts w:hint="eastAsia" w:ascii="宋体" w:hAnsi="宋体" w:eastAsia="宋体" w:cs="宋体"/>
          <w:b/>
          <w:color w:val="auto"/>
          <w:szCs w:val="21"/>
          <w:u w:val="single"/>
        </w:rPr>
        <w:t>保险费由承包人与保险人协商确定（自行报价），发包人在接到保险单后，发包人凭承包人提供的保险单按实支付，但最高不超过工程量清单中所列保险费用</w:t>
      </w:r>
      <w:r>
        <w:rPr>
          <w:rFonts w:hint="eastAsia" w:ascii="宋体" w:hAnsi="宋体" w:eastAsia="宋体" w:cs="宋体"/>
          <w:color w:val="auto"/>
        </w:rPr>
        <w:t>；</w:t>
      </w:r>
    </w:p>
    <w:p>
      <w:pPr>
        <w:keepNext w:val="0"/>
        <w:keepLines w:val="0"/>
        <w:pageBreakBefore w:val="0"/>
        <w:widowControl/>
        <w:kinsoku/>
        <w:wordWrap/>
        <w:overflowPunct/>
        <w:topLinePunct w:val="0"/>
        <w:autoSpaceDE/>
        <w:autoSpaceDN/>
        <w:bidi w:val="0"/>
        <w:spacing w:line="400" w:lineRule="exact"/>
        <w:ind w:firstLine="400" w:firstLineChars="200"/>
        <w:outlineLvl w:val="3"/>
        <w:rPr>
          <w:rFonts w:hint="eastAsia" w:ascii="宋体" w:hAnsi="宋体" w:eastAsia="宋体" w:cs="宋体"/>
          <w:color w:val="FF0000"/>
          <w:u w:val="single"/>
        </w:rPr>
      </w:pPr>
      <w:r>
        <w:rPr>
          <w:rFonts w:hint="eastAsia" w:ascii="宋体" w:hAnsi="宋体" w:eastAsia="宋体" w:cs="宋体"/>
          <w:color w:val="auto"/>
          <w:szCs w:val="21"/>
        </w:rPr>
        <w:t>第三者责任险保险金额：</w:t>
      </w:r>
      <w:r>
        <w:rPr>
          <w:rFonts w:hint="eastAsia" w:ascii="宋体" w:hAnsi="宋体" w:eastAsia="宋体" w:cs="宋体"/>
          <w:b/>
          <w:color w:val="auto"/>
          <w:szCs w:val="21"/>
          <w:u w:val="single"/>
        </w:rPr>
        <w:t>按不低于100万元/年，事故次数不限（不计免赔额）</w:t>
      </w:r>
      <w:r>
        <w:rPr>
          <w:rFonts w:hint="eastAsia" w:ascii="宋体" w:hAnsi="宋体" w:eastAsia="宋体" w:cs="宋体"/>
          <w:b/>
          <w:color w:val="auto"/>
          <w:szCs w:val="21"/>
        </w:rPr>
        <w:t>。</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506" w:name="_Toc448481160"/>
      <w:r>
        <w:rPr>
          <w:rFonts w:hint="eastAsia" w:ascii="宋体" w:hAnsi="宋体" w:eastAsia="宋体" w:cs="宋体"/>
          <w:b/>
          <w:color w:val="auto"/>
          <w:szCs w:val="21"/>
        </w:rPr>
        <w:t>20.5  其它保险</w:t>
      </w:r>
      <w:bookmarkEnd w:id="499"/>
      <w:bookmarkEnd w:id="500"/>
      <w:bookmarkEnd w:id="501"/>
      <w:bookmarkEnd w:id="502"/>
      <w:bookmarkEnd w:id="503"/>
      <w:bookmarkEnd w:id="504"/>
      <w:bookmarkEnd w:id="506"/>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需要投保的其它内容：</w:t>
      </w:r>
      <w:r>
        <w:rPr>
          <w:rFonts w:hint="eastAsia" w:ascii="宋体" w:hAnsi="宋体" w:eastAsia="宋体" w:cs="宋体"/>
          <w:b/>
          <w:snapToGrid w:val="0"/>
          <w:color w:val="auto"/>
          <w:u w:val="single"/>
        </w:rPr>
        <w:t>承包人应严格按照当地有关文件规定执行；</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保险金额、保险费率和保险期限：</w:t>
      </w:r>
      <w:r>
        <w:rPr>
          <w:rFonts w:hint="eastAsia" w:ascii="宋体" w:hAnsi="宋体" w:eastAsia="宋体" w:cs="宋体"/>
          <w:b/>
          <w:color w:val="auto"/>
          <w:szCs w:val="21"/>
          <w:u w:val="single"/>
        </w:rPr>
        <w:t>按投保内容自行考虑，保险费已包含在合同价内，不再另行计取。</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507" w:name="_Toc272503296"/>
      <w:bookmarkStart w:id="508" w:name="_Toc448481161"/>
      <w:bookmarkStart w:id="509" w:name="_Toc271202110"/>
      <w:bookmarkStart w:id="510" w:name="_Toc271015127"/>
      <w:bookmarkStart w:id="511" w:name="_Toc271241043"/>
      <w:bookmarkStart w:id="512" w:name="_Toc272503863"/>
      <w:bookmarkStart w:id="513" w:name="_Toc271578139"/>
      <w:r>
        <w:rPr>
          <w:rFonts w:hint="eastAsia" w:ascii="宋体" w:hAnsi="宋体" w:eastAsia="宋体" w:cs="宋体"/>
          <w:b/>
          <w:color w:val="auto"/>
          <w:szCs w:val="21"/>
        </w:rPr>
        <w:t>20.6  对各项保险的一般要求</w:t>
      </w:r>
      <w:bookmarkEnd w:id="507"/>
      <w:bookmarkEnd w:id="508"/>
      <w:bookmarkEnd w:id="509"/>
      <w:bookmarkEnd w:id="510"/>
      <w:bookmarkEnd w:id="511"/>
      <w:bookmarkEnd w:id="512"/>
      <w:bookmarkEnd w:id="513"/>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bookmarkStart w:id="514" w:name="_Toc272503864"/>
      <w:bookmarkStart w:id="515" w:name="_Toc265086126"/>
      <w:bookmarkStart w:id="516" w:name="_Toc271202111"/>
      <w:r>
        <w:rPr>
          <w:rFonts w:hint="eastAsia" w:ascii="宋体" w:hAnsi="宋体" w:eastAsia="宋体" w:cs="宋体"/>
          <w:color w:val="auto"/>
          <w:szCs w:val="21"/>
        </w:rPr>
        <w:t>20.6.1 保险凭证</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承包人提交保险凭证的期限：保险手续办理完毕后</w:t>
      </w:r>
      <w:r>
        <w:rPr>
          <w:rFonts w:hint="eastAsia" w:ascii="宋体" w:hAnsi="宋体" w:eastAsia="宋体" w:cs="宋体"/>
          <w:b/>
          <w:color w:val="auto"/>
          <w:szCs w:val="21"/>
          <w:u w:val="single"/>
        </w:rPr>
        <w:t xml:space="preserve"> 14 </w:t>
      </w:r>
      <w:r>
        <w:rPr>
          <w:rFonts w:hint="eastAsia" w:ascii="宋体" w:hAnsi="宋体" w:eastAsia="宋体" w:cs="宋体"/>
          <w:color w:val="auto"/>
          <w:szCs w:val="21"/>
        </w:rPr>
        <w:t>天内提交；</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保险条件：</w:t>
      </w:r>
      <w:r>
        <w:rPr>
          <w:rFonts w:hint="eastAsia" w:ascii="宋体" w:hAnsi="宋体" w:eastAsia="宋体" w:cs="宋体"/>
          <w:b/>
          <w:color w:val="auto"/>
          <w:szCs w:val="21"/>
          <w:u w:val="single"/>
        </w:rPr>
        <w:t>满足合同条款的规定。</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20.6.4 保险金不足的补偿</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承包人负责补偿的范围与金额：</w:t>
      </w:r>
      <w:r>
        <w:rPr>
          <w:rFonts w:hint="eastAsia" w:ascii="宋体" w:hAnsi="宋体" w:eastAsia="宋体" w:cs="宋体"/>
          <w:b/>
          <w:color w:val="auto"/>
          <w:szCs w:val="21"/>
          <w:u w:val="single"/>
        </w:rPr>
        <w:t>免赔额部分及保险金不足的补偿均由承包人负责；</w:t>
      </w:r>
    </w:p>
    <w:p>
      <w:pPr>
        <w:keepNext w:val="0"/>
        <w:keepLines w:val="0"/>
        <w:pageBreakBefore w:val="0"/>
        <w:widowControl/>
        <w:kinsoku/>
        <w:wordWrap/>
        <w:overflowPunct/>
        <w:topLinePunct w:val="0"/>
        <w:autoSpaceDE/>
        <w:autoSpaceDN/>
        <w:bidi w:val="0"/>
        <w:spacing w:line="400" w:lineRule="exact"/>
        <w:ind w:right="248" w:firstLine="480"/>
        <w:rPr>
          <w:rFonts w:hint="eastAsia" w:ascii="宋体" w:hAnsi="宋体" w:eastAsia="宋体" w:cs="宋体"/>
          <w:color w:val="auto"/>
          <w:szCs w:val="21"/>
        </w:rPr>
      </w:pPr>
      <w:r>
        <w:rPr>
          <w:rFonts w:hint="eastAsia" w:ascii="宋体" w:hAnsi="宋体" w:eastAsia="宋体" w:cs="宋体"/>
          <w:color w:val="auto"/>
          <w:szCs w:val="21"/>
        </w:rPr>
        <w:t>发包人负责补偿的范围与金额：</w:t>
      </w:r>
      <w:r>
        <w:rPr>
          <w:rFonts w:hint="eastAsia" w:ascii="宋体" w:hAnsi="宋体" w:eastAsia="宋体" w:cs="宋体"/>
          <w:b/>
          <w:color w:val="auto"/>
          <w:szCs w:val="21"/>
          <w:u w:val="single"/>
        </w:rPr>
        <w:t>由于本工程一切保险均由承包人负责投保，其费用均包含在报价中，故发包人不承担保险金不足的补偿</w:t>
      </w:r>
      <w:r>
        <w:rPr>
          <w:rFonts w:hint="eastAsia" w:ascii="宋体" w:hAnsi="宋体" w:eastAsia="宋体" w:cs="宋体"/>
          <w:b/>
          <w:color w:val="auto"/>
          <w:szCs w:val="21"/>
        </w:rPr>
        <w:t>。</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517" w:name="_Toc448481162"/>
      <w:r>
        <w:rPr>
          <w:rFonts w:hint="eastAsia" w:ascii="宋体" w:hAnsi="宋体" w:eastAsia="宋体" w:cs="宋体"/>
          <w:b/>
          <w:color w:val="auto"/>
          <w:szCs w:val="21"/>
        </w:rPr>
        <w:t>24  争议的解决</w:t>
      </w:r>
      <w:bookmarkEnd w:id="514"/>
      <w:bookmarkEnd w:id="515"/>
      <w:bookmarkEnd w:id="516"/>
      <w:bookmarkEnd w:id="517"/>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518" w:name="_Toc271202112"/>
      <w:bookmarkStart w:id="519" w:name="_Toc271015129"/>
      <w:bookmarkStart w:id="520" w:name="_Toc448481163"/>
      <w:bookmarkStart w:id="521" w:name="_Toc271241045"/>
      <w:bookmarkStart w:id="522" w:name="_Toc272503298"/>
      <w:bookmarkStart w:id="523" w:name="_Toc272503865"/>
      <w:bookmarkStart w:id="524" w:name="_Toc271578141"/>
      <w:r>
        <w:rPr>
          <w:rFonts w:hint="eastAsia" w:ascii="宋体" w:hAnsi="宋体" w:eastAsia="宋体" w:cs="宋体"/>
          <w:b/>
          <w:color w:val="auto"/>
          <w:szCs w:val="21"/>
        </w:rPr>
        <w:t>24.1  争议的解决方式</w:t>
      </w:r>
      <w:bookmarkEnd w:id="518"/>
      <w:bookmarkEnd w:id="519"/>
      <w:bookmarkEnd w:id="520"/>
      <w:bookmarkEnd w:id="521"/>
      <w:bookmarkEnd w:id="522"/>
      <w:bookmarkEnd w:id="523"/>
      <w:bookmarkEnd w:id="524"/>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snapToGrid w:val="0"/>
          <w:color w:val="auto"/>
          <w:szCs w:val="21"/>
          <w:u w:val="single"/>
        </w:rPr>
      </w:pPr>
      <w:r>
        <w:rPr>
          <w:rFonts w:hint="eastAsia" w:ascii="宋体" w:hAnsi="宋体" w:eastAsia="宋体" w:cs="宋体"/>
          <w:color w:val="auto"/>
          <w:szCs w:val="21"/>
        </w:rPr>
        <w:t>合同当事人友好协商解决不成、不愿提请争议评审或不接受争议评审组意见的，约定的合同争议解决方式：</w:t>
      </w:r>
      <w:r>
        <w:rPr>
          <w:rFonts w:hint="eastAsia" w:ascii="宋体" w:hAnsi="宋体" w:eastAsia="宋体" w:cs="宋体"/>
          <w:b/>
          <w:color w:val="auto"/>
          <w:szCs w:val="21"/>
          <w:u w:val="single"/>
        </w:rPr>
        <w:t>向三门县人民法院提起诉讼</w:t>
      </w:r>
      <w:r>
        <w:rPr>
          <w:rFonts w:hint="eastAsia" w:ascii="宋体" w:hAnsi="宋体" w:eastAsia="宋体" w:cs="宋体"/>
          <w:b/>
          <w:snapToGrid w:val="0"/>
          <w:color w:val="auto"/>
          <w:szCs w:val="21"/>
          <w:u w:val="single"/>
        </w:rPr>
        <w:t>。</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525" w:name="_Toc448481164"/>
      <w:r>
        <w:rPr>
          <w:rFonts w:hint="eastAsia" w:ascii="宋体" w:hAnsi="宋体" w:eastAsia="宋体" w:cs="宋体"/>
          <w:b/>
          <w:color w:val="auto"/>
          <w:szCs w:val="21"/>
        </w:rPr>
        <w:t>24.2  友好解决</w:t>
      </w:r>
      <w:bookmarkEnd w:id="525"/>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补充：合同当事人可以就争议请第三方或省水行政主管部门进行调解，调解达成协议的，经双方签字并盖章后作为合同补充条款，双方均应遵照执行。</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526" w:name="_Toc448481165"/>
      <w:r>
        <w:rPr>
          <w:rFonts w:hint="eastAsia" w:ascii="宋体" w:hAnsi="宋体" w:eastAsia="宋体" w:cs="宋体"/>
          <w:b/>
          <w:color w:val="auto"/>
          <w:szCs w:val="21"/>
        </w:rPr>
        <w:t>24.3  争议评审</w:t>
      </w:r>
      <w:bookmarkEnd w:id="526"/>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ascii="宋体" w:hAnsi="宋体" w:eastAsia="宋体" w:cs="宋体"/>
          <w:snapToGrid w:val="0"/>
          <w:color w:val="auto"/>
          <w:szCs w:val="21"/>
          <w:u w:val="single"/>
        </w:rPr>
      </w:pPr>
      <w:r>
        <w:rPr>
          <w:rFonts w:hint="eastAsia" w:ascii="宋体" w:hAnsi="宋体" w:eastAsia="宋体" w:cs="宋体"/>
          <w:color w:val="auto"/>
          <w:szCs w:val="21"/>
        </w:rPr>
        <w:t>24.3.7  补充：发包人或承包人不接受评审意见，可请省水行政主管部门进行调解。调解达成协议的，经双方签字并盖章后作为合同补充条款，双方均应遵照执行。</w:t>
      </w:r>
    </w:p>
    <w:p>
      <w:pPr>
        <w:keepNext w:val="0"/>
        <w:keepLines w:val="0"/>
        <w:pageBreakBefore w:val="0"/>
        <w:widowControl/>
        <w:kinsoku/>
        <w:wordWrap/>
        <w:overflowPunct/>
        <w:topLinePunct w:val="0"/>
        <w:autoSpaceDE/>
        <w:autoSpaceDN/>
        <w:bidi w:val="0"/>
        <w:spacing w:line="400" w:lineRule="exact"/>
        <w:outlineLvl w:val="3"/>
        <w:rPr>
          <w:rFonts w:hint="eastAsia" w:ascii="宋体" w:hAnsi="宋体" w:eastAsia="宋体" w:cs="宋体"/>
          <w:b/>
          <w:color w:val="auto"/>
          <w:szCs w:val="21"/>
        </w:rPr>
      </w:pPr>
      <w:bookmarkStart w:id="527" w:name="_Toc345521006"/>
      <w:bookmarkStart w:id="528" w:name="_Toc248838242"/>
      <w:bookmarkStart w:id="529" w:name="_Toc448481166"/>
      <w:bookmarkStart w:id="530" w:name="_Toc392253302"/>
      <w:bookmarkStart w:id="531" w:name="_Toc340157936"/>
      <w:bookmarkStart w:id="532" w:name="_Toc178843982"/>
      <w:bookmarkStart w:id="533" w:name="_Toc346610608"/>
      <w:r>
        <w:rPr>
          <w:rFonts w:hint="eastAsia" w:ascii="宋体" w:hAnsi="宋体" w:eastAsia="宋体" w:cs="宋体"/>
          <w:b/>
          <w:color w:val="auto"/>
          <w:szCs w:val="21"/>
        </w:rPr>
        <w:t>25 合同类型</w:t>
      </w:r>
      <w:bookmarkEnd w:id="527"/>
      <w:bookmarkEnd w:id="528"/>
      <w:bookmarkEnd w:id="529"/>
      <w:bookmarkEnd w:id="530"/>
      <w:bookmarkEnd w:id="531"/>
      <w:bookmarkEnd w:id="532"/>
      <w:bookmarkEnd w:id="533"/>
    </w:p>
    <w:p>
      <w:pPr>
        <w:keepNext w:val="0"/>
        <w:keepLines w:val="0"/>
        <w:pageBreakBefore w:val="0"/>
        <w:widowControl/>
        <w:kinsoku/>
        <w:wordWrap/>
        <w:overflowPunct/>
        <w:topLinePunct w:val="0"/>
        <w:autoSpaceDE/>
        <w:autoSpaceDN/>
        <w:bidi w:val="0"/>
        <w:spacing w:line="400" w:lineRule="exact"/>
        <w:ind w:firstLine="300" w:firstLineChars="150"/>
        <w:outlineLvl w:val="3"/>
        <w:rPr>
          <w:rFonts w:hint="eastAsia"/>
          <w:szCs w:val="21"/>
        </w:rPr>
      </w:pPr>
      <w:r>
        <w:rPr>
          <w:rFonts w:hint="eastAsia"/>
          <w:color w:val="000000"/>
          <w:szCs w:val="21"/>
        </w:rPr>
        <w:t>本合同工程采用单价合同（清单中另有说明的除外），在合同执行期间单价不得调整，</w:t>
      </w:r>
      <w:r>
        <w:rPr>
          <w:szCs w:val="21"/>
        </w:rPr>
        <w:t>工程量按实</w:t>
      </w:r>
      <w:r>
        <w:rPr>
          <w:rFonts w:hint="eastAsia"/>
          <w:szCs w:val="21"/>
        </w:rPr>
        <w:t>结算</w:t>
      </w:r>
      <w:r>
        <w:rPr>
          <w:rFonts w:hint="eastAsia"/>
          <w:color w:val="000000"/>
          <w:szCs w:val="21"/>
        </w:rPr>
        <w:t>，总价按评标标底下浮率下浮。</w:t>
      </w:r>
      <w:r>
        <w:rPr>
          <w:rFonts w:hint="eastAsia"/>
          <w:szCs w:val="21"/>
        </w:rPr>
        <w:t>措施项目（含临时工程）及其他费用（不包括安全施工费和预留金）采用总价承包，在合同执行期间不作调整。</w:t>
      </w:r>
    </w:p>
    <w:p>
      <w:pPr>
        <w:keepNext w:val="0"/>
        <w:keepLines w:val="0"/>
        <w:pageBreakBefore w:val="0"/>
        <w:widowControl/>
        <w:kinsoku/>
        <w:wordWrap/>
        <w:overflowPunct/>
        <w:topLinePunct w:val="0"/>
        <w:autoSpaceDE/>
        <w:autoSpaceDN/>
        <w:bidi w:val="0"/>
        <w:adjustRightInd w:val="0"/>
        <w:snapToGrid w:val="0"/>
        <w:spacing w:line="400" w:lineRule="exact"/>
        <w:ind w:firstLine="400" w:firstLineChars="200"/>
        <w:rPr>
          <w:rFonts w:hint="eastAsia"/>
        </w:rPr>
      </w:pPr>
      <w:r>
        <w:rPr>
          <w:rFonts w:hint="eastAsia"/>
          <w:color w:val="000000"/>
          <w:szCs w:val="21"/>
        </w:rPr>
        <w:t>工程量计算按照实际完成施工图纸范围内和经发包人同意增加的施工内容按实计算，工程量计算规则按照</w:t>
      </w:r>
      <w:r>
        <w:rPr>
          <w:rFonts w:hint="eastAsia"/>
          <w:color w:val="000000"/>
          <w:szCs w:val="21"/>
          <w:lang w:val="en-US" w:eastAsia="zh-CN"/>
        </w:rPr>
        <w:t>《浙江省水利水电工程费用定额及概（预）算编制规定》（2021年、以下简称《21编规》）；《浙江省水利水电建筑工程预算定额》（2021年）；《浙江省水利水电工程机械台班费定额》（2021年）；《浙江省水利工程工程量清单计价办法》</w:t>
      </w:r>
      <w:r>
        <w:rPr>
          <w:rFonts w:hint="eastAsia"/>
          <w:color w:val="000000"/>
          <w:szCs w:val="21"/>
        </w:rPr>
        <w:t>以及其它工程造价补充规定的通知，由承包人计量、发包人及有关部门审核。</w:t>
      </w:r>
    </w:p>
    <w:p>
      <w:pPr>
        <w:keepNext w:val="0"/>
        <w:keepLines w:val="0"/>
        <w:pageBreakBefore w:val="0"/>
        <w:widowControl/>
        <w:numPr>
          <w:ilvl w:val="0"/>
          <w:numId w:val="5"/>
        </w:numPr>
        <w:kinsoku/>
        <w:wordWrap/>
        <w:overflowPunct/>
        <w:topLinePunct w:val="0"/>
        <w:autoSpaceDE/>
        <w:autoSpaceDN/>
        <w:bidi w:val="0"/>
        <w:spacing w:line="400" w:lineRule="exact"/>
        <w:outlineLvl w:val="3"/>
        <w:rPr>
          <w:rFonts w:hint="eastAsia" w:ascii="宋体" w:hAnsi="宋体" w:eastAsia="宋体" w:cs="宋体"/>
          <w:b/>
          <w:color w:val="auto"/>
          <w:szCs w:val="21"/>
        </w:rPr>
      </w:pPr>
      <w:r>
        <w:rPr>
          <w:rFonts w:hint="eastAsia" w:ascii="宋体" w:hAnsi="宋体" w:eastAsia="宋体" w:cs="宋体"/>
          <w:b/>
          <w:color w:val="auto"/>
          <w:szCs w:val="21"/>
        </w:rPr>
        <w:t>其它</w:t>
      </w:r>
    </w:p>
    <w:p>
      <w:pPr>
        <w:keepNext w:val="0"/>
        <w:keepLines w:val="0"/>
        <w:pageBreakBefore w:val="0"/>
        <w:widowControl/>
        <w:kinsoku/>
        <w:wordWrap/>
        <w:overflowPunct/>
        <w:topLinePunct w:val="0"/>
        <w:autoSpaceDE/>
        <w:autoSpaceDN/>
        <w:bidi w:val="0"/>
        <w:adjustRightInd w:val="0"/>
        <w:snapToGrid w:val="0"/>
        <w:spacing w:line="400" w:lineRule="exact"/>
      </w:pPr>
      <w:r>
        <w:rPr>
          <w:rFonts w:hint="eastAsia" w:ascii="宋体" w:hAnsi="宋体" w:eastAsia="宋体" w:cs="宋体"/>
          <w:color w:val="auto"/>
          <w:lang w:val="en-US" w:eastAsia="zh-CN"/>
        </w:rPr>
        <w:t>1.在合同签订的同时</w:t>
      </w:r>
      <w:r>
        <w:t>，需另行签订《工程廉政责任书》和《安全生产协议书》</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rPr>
      </w:pPr>
      <w:bookmarkStart w:id="534" w:name="_Toc426899887"/>
      <w:bookmarkStart w:id="535" w:name="_Toc272503866"/>
      <w:bookmarkStart w:id="536" w:name="_Toc465775891"/>
      <w:bookmarkStart w:id="537" w:name="_Toc448481167"/>
      <w:bookmarkStart w:id="538" w:name="_Toc426899886"/>
      <w:r>
        <w:rPr>
          <w:rFonts w:hint="eastAsia" w:ascii="宋体" w:hAnsi="宋体" w:eastAsia="宋体" w:cs="宋体"/>
          <w:color w:val="auto"/>
        </w:rPr>
        <w:br w:type="page"/>
      </w:r>
      <w:bookmarkEnd w:id="534"/>
      <w:r>
        <w:rPr>
          <w:rFonts w:hint="eastAsia" w:ascii="宋体" w:hAnsi="宋体" w:eastAsia="宋体" w:cs="宋体"/>
          <w:b/>
          <w:color w:val="auto"/>
          <w:sz w:val="28"/>
          <w:szCs w:val="28"/>
          <w:lang w:val="en-US" w:eastAsia="zh-CN" w:bidi="ar-SA"/>
        </w:rPr>
        <w:t xml:space="preserve"> 第3部分 合同附件格式</w:t>
      </w:r>
      <w:bookmarkEnd w:id="535"/>
      <w:bookmarkEnd w:id="536"/>
      <w:bookmarkEnd w:id="537"/>
      <w:bookmarkEnd w:id="538"/>
    </w:p>
    <w:p>
      <w:pPr>
        <w:pStyle w:val="2"/>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sz w:val="28"/>
          <w:szCs w:val="28"/>
        </w:rPr>
      </w:pPr>
      <w:r>
        <w:rPr>
          <w:rFonts w:hint="eastAsia" w:ascii="宋体" w:hAnsi="宋体" w:eastAsia="宋体" w:cs="宋体"/>
          <w:b/>
          <w:color w:val="auto"/>
          <w:sz w:val="28"/>
          <w:szCs w:val="28"/>
          <w:lang w:val="en-US" w:eastAsia="zh-CN" w:bidi="ar-SA"/>
        </w:rPr>
        <w:t xml:space="preserve">附件一  </w:t>
      </w:r>
      <w:r>
        <w:rPr>
          <w:rFonts w:hint="eastAsia" w:ascii="宋体" w:hAnsi="宋体" w:eastAsia="宋体" w:cs="宋体"/>
          <w:color w:val="auto"/>
          <w:sz w:val="28"/>
          <w:szCs w:val="28"/>
        </w:rPr>
        <w:t xml:space="preserve"> </w:t>
      </w: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合同协议书</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（发包人名称，以下简称“发包人”）为实施</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（项目名称），已接受</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（承包人名称，以下简称“承包人”）对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（标段名称）的投标。发包人和承包人共同达成如下协议。</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 本协议书与下列文件一起构成合同文件：</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 中标通知书；</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 投标函及投标函附录；</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 专用合同条款；</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（4） 通用合同条款；</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（5） 技术标准和要求（合同技术条款）；</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（6） 图纸；</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（7） 已标价工程量清单；</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（8） 其他合同文件。</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 上述文件互相补充和解释，如有不明确或不一致之外，以合同约定次序在先者为准。</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 签约合同价：人民币（大写）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4. 承包人项目负责人：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 xml:space="preserve"> 5. 工程质量符合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标准。</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6. 承包人承诺按合同约定承担工程的实施、完成及缺陷修复。</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7. 发包人承诺按合同约定的条件、时间和方式向承包人支付合同价款。</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8. 承包人承诺执行监理人开工通知，计划工期为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日历天。</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9. 本协议书正本一式</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eastAsia="zh-CN"/>
        </w:rPr>
        <w:t>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份，合同双方各执</w:t>
      </w:r>
      <w:r>
        <w:rPr>
          <w:rFonts w:hint="eastAsia" w:ascii="宋体" w:hAnsi="宋体" w:eastAsia="宋体" w:cs="宋体"/>
          <w:color w:val="auto"/>
          <w:szCs w:val="21"/>
          <w:u w:val="single"/>
        </w:rPr>
        <w:t xml:space="preserve"> 壹 </w:t>
      </w:r>
      <w:r>
        <w:rPr>
          <w:rFonts w:hint="eastAsia" w:ascii="宋体" w:hAnsi="宋体" w:eastAsia="宋体" w:cs="宋体"/>
          <w:color w:val="auto"/>
          <w:szCs w:val="21"/>
        </w:rPr>
        <w:t>份，副本</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eastAsia="zh-CN"/>
        </w:rPr>
        <w:t>肆</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份，双方各执</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eastAsia="zh-CN"/>
        </w:rPr>
        <w:t>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w:t>
      </w:r>
    </w:p>
    <w:p>
      <w:pPr>
        <w:keepNext w:val="0"/>
        <w:keepLines w:val="0"/>
        <w:pageBreakBefore w:val="0"/>
        <w:widowControl/>
        <w:kinsoku/>
        <w:wordWrap/>
        <w:overflowPunct/>
        <w:topLinePunct w:val="0"/>
        <w:autoSpaceDE/>
        <w:autoSpaceDN/>
        <w:bidi w:val="0"/>
        <w:spacing w:line="380" w:lineRule="exact"/>
        <w:textAlignment w:val="auto"/>
        <w:rPr>
          <w:rFonts w:hint="eastAsia" w:ascii="宋体" w:hAnsi="宋体" w:eastAsia="宋体" w:cs="宋体"/>
          <w:color w:val="auto"/>
          <w:szCs w:val="21"/>
        </w:rPr>
      </w:pPr>
      <w:r>
        <w:rPr>
          <w:rFonts w:hint="eastAsia" w:ascii="宋体" w:hAnsi="宋体" w:eastAsia="宋体" w:cs="宋体"/>
          <w:color w:val="auto"/>
          <w:szCs w:val="21"/>
        </w:rPr>
        <w:t>10. 合同未尽事宜，双方另行签订补充协议。补充协议是合同的组成部分。</w:t>
      </w:r>
    </w:p>
    <w:p>
      <w:pPr>
        <w:pStyle w:val="3"/>
        <w:rPr>
          <w:rFonts w:hint="eastAsia"/>
        </w:rPr>
      </w:pPr>
    </w:p>
    <w:p>
      <w:pPr>
        <w:keepNext w:val="0"/>
        <w:keepLines w:val="0"/>
        <w:pageBreakBefore w:val="0"/>
        <w:widowControl/>
        <w:kinsoku/>
        <w:wordWrap/>
        <w:overflowPunct/>
        <w:topLinePunct w:val="0"/>
        <w:autoSpaceDE/>
        <w:autoSpaceDN/>
        <w:bidi w:val="0"/>
        <w:adjustRightInd w:val="0"/>
        <w:snapToGrid w:val="0"/>
        <w:spacing w:line="380" w:lineRule="exact"/>
        <w:ind w:firstLine="400" w:firstLineChars="200"/>
        <w:textAlignment w:val="auto"/>
        <w:rPr>
          <w:szCs w:val="21"/>
        </w:rPr>
      </w:pPr>
      <w:r>
        <w:rPr>
          <w:szCs w:val="21"/>
        </w:rPr>
        <w:t>发包人：</w:t>
      </w:r>
      <w:r>
        <w:rPr>
          <w:szCs w:val="21"/>
          <w:u w:val="single"/>
        </w:rPr>
        <w:t xml:space="preserve">              </w:t>
      </w:r>
      <w:r>
        <w:rPr>
          <w:szCs w:val="21"/>
        </w:rPr>
        <w:t>（盖单位章）     承包人：</w:t>
      </w:r>
      <w:r>
        <w:rPr>
          <w:szCs w:val="21"/>
          <w:u w:val="single"/>
        </w:rPr>
        <w:t xml:space="preserve">              </w:t>
      </w:r>
      <w:r>
        <w:rPr>
          <w:szCs w:val="21"/>
        </w:rPr>
        <w:t>（盖单位章）</w:t>
      </w:r>
    </w:p>
    <w:p>
      <w:pPr>
        <w:keepNext w:val="0"/>
        <w:keepLines w:val="0"/>
        <w:pageBreakBefore w:val="0"/>
        <w:widowControl/>
        <w:kinsoku/>
        <w:wordWrap/>
        <w:overflowPunct/>
        <w:topLinePunct w:val="0"/>
        <w:autoSpaceDE/>
        <w:autoSpaceDN/>
        <w:bidi w:val="0"/>
        <w:adjustRightInd w:val="0"/>
        <w:snapToGrid w:val="0"/>
        <w:spacing w:line="380" w:lineRule="exact"/>
        <w:ind w:firstLine="400" w:firstLineChars="200"/>
        <w:textAlignment w:val="auto"/>
        <w:rPr>
          <w:rFonts w:hint="eastAsia"/>
          <w:szCs w:val="21"/>
        </w:rPr>
      </w:pPr>
    </w:p>
    <w:p>
      <w:pPr>
        <w:keepNext w:val="0"/>
        <w:keepLines w:val="0"/>
        <w:pageBreakBefore w:val="0"/>
        <w:widowControl/>
        <w:kinsoku/>
        <w:wordWrap/>
        <w:overflowPunct/>
        <w:topLinePunct w:val="0"/>
        <w:autoSpaceDE/>
        <w:autoSpaceDN/>
        <w:bidi w:val="0"/>
        <w:adjustRightInd w:val="0"/>
        <w:snapToGrid w:val="0"/>
        <w:spacing w:line="380" w:lineRule="exact"/>
        <w:ind w:firstLine="400" w:firstLineChars="200"/>
        <w:textAlignment w:val="auto"/>
        <w:rPr>
          <w:szCs w:val="21"/>
          <w:u w:val="single"/>
        </w:rPr>
      </w:pPr>
      <w:r>
        <w:rPr>
          <w:szCs w:val="21"/>
        </w:rPr>
        <w:t>法定代表人或其委托代理人：</w:t>
      </w:r>
      <w:r>
        <w:rPr>
          <w:szCs w:val="21"/>
          <w:u w:val="single"/>
        </w:rPr>
        <w:t>（签字）</w:t>
      </w:r>
      <w:r>
        <w:rPr>
          <w:szCs w:val="21"/>
        </w:rPr>
        <w:t xml:space="preserve">      法定代表人或其委托代理人：</w:t>
      </w:r>
      <w:r>
        <w:rPr>
          <w:szCs w:val="21"/>
          <w:u w:val="single"/>
        </w:rPr>
        <w:t>（签字）</w:t>
      </w:r>
    </w:p>
    <w:p>
      <w:pPr>
        <w:keepNext w:val="0"/>
        <w:keepLines w:val="0"/>
        <w:pageBreakBefore w:val="0"/>
        <w:widowControl/>
        <w:kinsoku/>
        <w:wordWrap/>
        <w:overflowPunct/>
        <w:topLinePunct w:val="0"/>
        <w:autoSpaceDE/>
        <w:autoSpaceDN/>
        <w:bidi w:val="0"/>
        <w:adjustRightInd w:val="0"/>
        <w:snapToGrid w:val="0"/>
        <w:spacing w:line="380" w:lineRule="exact"/>
        <w:ind w:firstLine="400" w:firstLineChars="200"/>
        <w:textAlignment w:val="auto"/>
        <w:rPr>
          <w:szCs w:val="21"/>
        </w:rPr>
      </w:pPr>
    </w:p>
    <w:p>
      <w:pPr>
        <w:keepNext w:val="0"/>
        <w:keepLines w:val="0"/>
        <w:pageBreakBefore w:val="0"/>
        <w:widowControl/>
        <w:kinsoku/>
        <w:wordWrap/>
        <w:overflowPunct/>
        <w:topLinePunct w:val="0"/>
        <w:autoSpaceDE/>
        <w:autoSpaceDN/>
        <w:bidi w:val="0"/>
        <w:adjustRightInd w:val="0"/>
        <w:snapToGrid w:val="0"/>
        <w:spacing w:line="380" w:lineRule="exact"/>
        <w:ind w:firstLine="400" w:firstLineChars="200"/>
        <w:textAlignment w:val="auto"/>
        <w:rPr>
          <w:szCs w:val="21"/>
          <w:u w:val="single"/>
        </w:rPr>
      </w:pPr>
      <w:r>
        <w:rPr>
          <w:szCs w:val="21"/>
        </w:rPr>
        <w:t>电话：</w:t>
      </w:r>
      <w:r>
        <w:rPr>
          <w:szCs w:val="21"/>
          <w:u w:val="single"/>
        </w:rPr>
        <w:t xml:space="preserve">                           </w:t>
      </w:r>
      <w:r>
        <w:rPr>
          <w:szCs w:val="21"/>
        </w:rPr>
        <w:t xml:space="preserve">      电话：</w:t>
      </w:r>
      <w:r>
        <w:rPr>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line="380" w:lineRule="exact"/>
        <w:ind w:firstLine="400" w:firstLineChars="200"/>
        <w:textAlignment w:val="auto"/>
        <w:rPr>
          <w:szCs w:val="21"/>
          <w:u w:val="single"/>
        </w:rPr>
      </w:pPr>
    </w:p>
    <w:p>
      <w:pPr>
        <w:keepNext w:val="0"/>
        <w:keepLines w:val="0"/>
        <w:pageBreakBefore w:val="0"/>
        <w:widowControl/>
        <w:kinsoku/>
        <w:wordWrap/>
        <w:overflowPunct/>
        <w:topLinePunct w:val="0"/>
        <w:autoSpaceDE/>
        <w:autoSpaceDN/>
        <w:bidi w:val="0"/>
        <w:adjustRightInd w:val="0"/>
        <w:snapToGrid w:val="0"/>
        <w:spacing w:line="380" w:lineRule="exact"/>
        <w:ind w:firstLine="400" w:firstLineChars="200"/>
        <w:textAlignment w:val="auto"/>
        <w:rPr>
          <w:szCs w:val="21"/>
        </w:rPr>
      </w:pPr>
      <w:r>
        <w:rPr>
          <w:szCs w:val="21"/>
        </w:rPr>
        <w:t>地址：</w:t>
      </w:r>
      <w:r>
        <w:rPr>
          <w:szCs w:val="21"/>
          <w:u w:val="single"/>
        </w:rPr>
        <w:t xml:space="preserve">                           </w:t>
      </w:r>
      <w:r>
        <w:rPr>
          <w:szCs w:val="21"/>
        </w:rPr>
        <w:t xml:space="preserve">      地址：</w:t>
      </w:r>
      <w:r>
        <w:rPr>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line="380" w:lineRule="exact"/>
        <w:ind w:firstLine="400" w:firstLineChars="200"/>
        <w:textAlignment w:val="auto"/>
        <w:rPr>
          <w:szCs w:val="21"/>
        </w:rPr>
      </w:pPr>
    </w:p>
    <w:p>
      <w:pPr>
        <w:keepNext w:val="0"/>
        <w:keepLines w:val="0"/>
        <w:pageBreakBefore w:val="0"/>
        <w:widowControl/>
        <w:kinsoku/>
        <w:wordWrap/>
        <w:overflowPunct/>
        <w:topLinePunct w:val="0"/>
        <w:autoSpaceDE/>
        <w:autoSpaceDN/>
        <w:bidi w:val="0"/>
        <w:adjustRightInd w:val="0"/>
        <w:snapToGrid w:val="0"/>
        <w:spacing w:line="380" w:lineRule="exact"/>
        <w:ind w:firstLine="400" w:firstLineChars="200"/>
        <w:textAlignment w:val="auto"/>
        <w:rPr>
          <w:rFonts w:hint="eastAsia" w:ascii="宋体" w:hAnsi="宋体" w:eastAsia="宋体" w:cs="宋体"/>
          <w:color w:val="auto"/>
          <w:szCs w:val="21"/>
        </w:rPr>
      </w:pPr>
      <w:r>
        <w:rPr>
          <w:szCs w:val="21"/>
          <w:u w:val="single"/>
        </w:rPr>
        <w:t xml:space="preserve">       </w:t>
      </w:r>
      <w:r>
        <w:rPr>
          <w:szCs w:val="21"/>
        </w:rPr>
        <w:t xml:space="preserve"> 年</w:t>
      </w:r>
      <w:r>
        <w:rPr>
          <w:szCs w:val="21"/>
          <w:u w:val="single"/>
        </w:rPr>
        <w:t xml:space="preserve">       </w:t>
      </w:r>
      <w:r>
        <w:rPr>
          <w:szCs w:val="21"/>
        </w:rPr>
        <w:t xml:space="preserve"> 月 </w:t>
      </w:r>
      <w:r>
        <w:rPr>
          <w:szCs w:val="21"/>
          <w:u w:val="single"/>
        </w:rPr>
        <w:t xml:space="preserve">       </w:t>
      </w:r>
      <w:r>
        <w:rPr>
          <w:szCs w:val="21"/>
        </w:rPr>
        <w:t xml:space="preserve"> 日        </w:t>
      </w:r>
      <w:r>
        <w:rPr>
          <w:szCs w:val="21"/>
          <w:u w:val="single"/>
        </w:rPr>
        <w:t xml:space="preserve">       </w:t>
      </w:r>
      <w:r>
        <w:rPr>
          <w:szCs w:val="21"/>
        </w:rPr>
        <w:t xml:space="preserve"> 年</w:t>
      </w:r>
      <w:r>
        <w:rPr>
          <w:szCs w:val="21"/>
          <w:u w:val="single"/>
        </w:rPr>
        <w:t xml:space="preserve">       </w:t>
      </w:r>
      <w:r>
        <w:rPr>
          <w:szCs w:val="21"/>
        </w:rPr>
        <w:t xml:space="preserve"> 月 </w:t>
      </w:r>
      <w:r>
        <w:rPr>
          <w:szCs w:val="21"/>
          <w:u w:val="single"/>
        </w:rPr>
        <w:t xml:space="preserve">       </w:t>
      </w:r>
      <w:r>
        <w:rPr>
          <w:szCs w:val="21"/>
        </w:rPr>
        <w:t xml:space="preserve"> 日</w:t>
      </w:r>
    </w:p>
    <w:p>
      <w:pPr>
        <w:rPr>
          <w:rFonts w:hint="eastAsia" w:ascii="宋体" w:hAnsi="宋体" w:eastAsia="宋体" w:cs="宋体"/>
          <w:b/>
          <w:color w:val="auto"/>
          <w:sz w:val="32"/>
          <w:szCs w:val="32"/>
        </w:rPr>
      </w:pPr>
      <w:bookmarkStart w:id="539" w:name="_Toc370459081"/>
      <w:bookmarkStart w:id="540" w:name="_Toc381776174"/>
      <w:bookmarkStart w:id="541" w:name="_Toc362883305"/>
      <w:bookmarkStart w:id="542" w:name="_Toc320961027"/>
      <w:bookmarkStart w:id="543" w:name="_Toc389141956"/>
      <w:bookmarkStart w:id="544" w:name="_Toc227577499"/>
      <w:r>
        <w:rPr>
          <w:rFonts w:hint="eastAsia" w:ascii="宋体" w:hAnsi="宋体" w:eastAsia="宋体" w:cs="宋体"/>
          <w:b/>
          <w:color w:val="auto"/>
          <w:sz w:val="32"/>
          <w:szCs w:val="32"/>
        </w:rPr>
        <w:t>附件二  工程廉政责任书（格式）</w:t>
      </w:r>
      <w:bookmarkEnd w:id="539"/>
      <w:bookmarkEnd w:id="540"/>
      <w:bookmarkEnd w:id="541"/>
    </w:p>
    <w:p>
      <w:pPr>
        <w:spacing w:line="360" w:lineRule="auto"/>
        <w:jc w:val="center"/>
        <w:rPr>
          <w:rFonts w:hint="eastAsia" w:ascii="宋体" w:hAnsi="宋体" w:eastAsia="宋体" w:cs="宋体"/>
          <w:color w:val="auto"/>
          <w:sz w:val="32"/>
          <w:szCs w:val="32"/>
        </w:rPr>
      </w:pPr>
      <w:r>
        <w:rPr>
          <w:rFonts w:hint="eastAsia" w:ascii="宋体" w:hAnsi="宋体" w:eastAsia="宋体" w:cs="宋体"/>
          <w:b/>
          <w:color w:val="auto"/>
          <w:sz w:val="32"/>
          <w:szCs w:val="32"/>
        </w:rPr>
        <w:t>工程廉政责任书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为加强工程建设中的廉政建设，保证工程建设高效优质完成，保证建设资金的安全和有效使用，_______________（项目名称）的发包人_________________（以下称甲方）与承包人_______________ （以下称乙方）,特订立如下责任书。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第一条  甲乙双方的权利和义务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（一）严格遵守党和国家工程建设的有关法律法规及水利部门的有关规定。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（二）严格执行的合同文件，自觉按合同办事。</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（三）双方的业务活动坚持公开、公平、公正、诚信、透明的原则（除法律认定的商业秘密和合同文件另有规定之外），不得损害国家和集体利益，违反工程建设管理规定。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（四）建立健全廉政制度、监督制度和处罚制度，开展廉政教育，设立廉政告示牌，公布举报电话。</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（五）发现对方在业务活动中有违反廉政规定的行为，有及时提醒对方纠正的权利和义务。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（六）发现对方严重违反本责任书义务条款的行为，有向其上级有关部门举报、建议给予处理并要求告知处理结果的权利。</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第二条  甲方的义务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（一）甲方及其工作人员不得索要或接受乙方的礼金、礼券、有价证券和物品，不得到乙方报销任何由甲方或个人支付的费用等。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（二）申方不得有意刁难，拖延承包商工程款，不得违反规定批拨工程建设费用等。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（三）甲方工作人员不得参加乙方安排的宴请和娱乐活动；不得接受乙方提供的通信工具、交通工具和高档办公用品等。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（四）甲方及其工作人员不得要求或者接受乙方为其住房装修、操办婚丧嫁娶、安排配偶子女的工作以及尚国出境、旅游等。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（五）甲方工作人员的配偶、子女及下属单位不得从事与甲方工程有关的材料设备供应、工程分包、劳务等经济活动。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（六）甲方及其工作人员不得以任何理由问乙方推荐分包单位，不得要求乙方购买合同规定外的材料和设备。</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第三条  乙方义务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（一）乙方不得以任何理由向甲方及其下作人员行贿或馈赠礼金、礼券、有价证券、礼品。</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（二）乙方不得以任何名义为叫方及其工作人员报销应由甲方单位或个人支付的任何费用。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（三）乙方不得要求甲方违反规定，批拨、追加工程建设费用等。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（四）乙方不得以任何理由安排甲方工作人员参加宴请及娱乐活动。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（五）乙方不得为节方单位和个人购置或提供通信工具、交通工具和高档办公室用品等。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第四条  违约责任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（—）甲方及其工作人员违反本责任书第一、二条，按管理权限，依据有关规定给予党纪、政纪或组织处理；涉嫌犯罪的，移送司法机关追究刑事责任；给乙方单位造成经济损失的，应予以赔偿。</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乙方及其工作人员违反本责任书第一、三条，按管理权限，依据有关规定，给予党纪、政纪、组织处理或停止承接业务处理；给甲方单位造成经济损失的，应予以赔偿；情节严甲方建议有关工程建设主管部门给予乙方1～3年内不得参与工程建设项目投标的处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第五条  双方约定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本责任书由纪检监察机关负责监督执行。纪检监察机关对本责任书执行情况进行抽查。提出属于本责任书规定范围的处理意见。</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第六条  本责任书有效期同币乙双方签署之日起至该工程项目工程款支付完结时止。</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第七条  本责任书作为本工程施工承包合同的附件，与工程施工合同具有同等的法律效力，经甲、乙双方签署后生效。</w:t>
      </w:r>
    </w:p>
    <w:p>
      <w:pPr>
        <w:pStyle w:val="10"/>
        <w:spacing w:line="360" w:lineRule="auto"/>
        <w:ind w:firstLine="420" w:firstLineChars="200"/>
        <w:rPr>
          <w:rFonts w:ascii="Times New Roman" w:hAnsi="Times New Roman"/>
        </w:rPr>
      </w:pPr>
      <w:r>
        <w:rPr>
          <w:rFonts w:ascii="Times New Roman" w:hAnsi="Times New Roman"/>
        </w:rPr>
        <w:t>第八条  本合同一式</w:t>
      </w:r>
      <w:r>
        <w:rPr>
          <w:rFonts w:hint="eastAsia" w:ascii="Times New Roman" w:hAnsi="Times New Roman"/>
          <w:lang w:eastAsia="zh-CN"/>
        </w:rPr>
        <w:t>陆</w:t>
      </w:r>
      <w:r>
        <w:rPr>
          <w:rFonts w:ascii="Times New Roman" w:hAnsi="Times New Roman"/>
        </w:rPr>
        <w:t>份。其中正本</w:t>
      </w:r>
      <w:r>
        <w:rPr>
          <w:rFonts w:hint="eastAsia" w:ascii="Times New Roman" w:hAnsi="Times New Roman"/>
        </w:rPr>
        <w:t>二</w:t>
      </w:r>
      <w:r>
        <w:rPr>
          <w:rFonts w:ascii="Times New Roman" w:hAnsi="Times New Roman"/>
        </w:rPr>
        <w:t>份，甲、乙双方各执</w:t>
      </w:r>
      <w:r>
        <w:rPr>
          <w:rFonts w:hint="eastAsia" w:ascii="Times New Roman" w:hAnsi="Times New Roman"/>
        </w:rPr>
        <w:t>一</w:t>
      </w:r>
      <w:r>
        <w:rPr>
          <w:rFonts w:ascii="Times New Roman" w:hAnsi="Times New Roman"/>
        </w:rPr>
        <w:t>份，副本</w:t>
      </w:r>
      <w:r>
        <w:rPr>
          <w:rFonts w:hint="eastAsia" w:ascii="Times New Roman" w:hAnsi="Times New Roman"/>
          <w:lang w:eastAsia="zh-CN"/>
        </w:rPr>
        <w:t>四</w:t>
      </w:r>
      <w:r>
        <w:rPr>
          <w:rFonts w:ascii="Times New Roman" w:hAnsi="Times New Roman"/>
        </w:rPr>
        <w:t>份，甲、乙双方各执</w:t>
      </w:r>
      <w:r>
        <w:rPr>
          <w:rFonts w:hint="eastAsia" w:ascii="Times New Roman" w:hAnsi="Times New Roman"/>
          <w:lang w:eastAsia="zh-CN"/>
        </w:rPr>
        <w:t>二</w:t>
      </w:r>
      <w:r>
        <w:rPr>
          <w:rFonts w:ascii="Times New Roman" w:hAnsi="Times New Roman"/>
        </w:rPr>
        <w:t>份。</w:t>
      </w:r>
    </w:p>
    <w:p>
      <w:pPr>
        <w:spacing w:line="360" w:lineRule="auto"/>
        <w:rPr>
          <w:szCs w:val="21"/>
        </w:rPr>
      </w:pPr>
    </w:p>
    <w:p>
      <w:pPr>
        <w:spacing w:line="360" w:lineRule="auto"/>
        <w:rPr>
          <w:szCs w:val="21"/>
        </w:rPr>
      </w:pPr>
      <w:r>
        <w:rPr>
          <w:szCs w:val="21"/>
        </w:rPr>
        <w:t>甲方单位：</w:t>
      </w:r>
      <w:r>
        <w:rPr>
          <w:szCs w:val="21"/>
          <w:u w:val="single"/>
        </w:rPr>
        <w:t xml:space="preserve">               </w:t>
      </w:r>
      <w:r>
        <w:rPr>
          <w:szCs w:val="21"/>
        </w:rPr>
        <w:t>（盖单位章）    乙方单位：</w:t>
      </w:r>
      <w:r>
        <w:rPr>
          <w:szCs w:val="21"/>
          <w:u w:val="single"/>
        </w:rPr>
        <w:t xml:space="preserve">               </w:t>
      </w:r>
      <w:r>
        <w:rPr>
          <w:szCs w:val="21"/>
        </w:rPr>
        <w:t>（盖单位章）</w:t>
      </w:r>
    </w:p>
    <w:p>
      <w:pPr>
        <w:spacing w:line="360" w:lineRule="auto"/>
        <w:rPr>
          <w:szCs w:val="21"/>
        </w:rPr>
      </w:pPr>
      <w:r>
        <w:rPr>
          <w:szCs w:val="21"/>
        </w:rPr>
        <w:t>法定代表人或其委托代理人：</w:t>
      </w:r>
      <w:r>
        <w:rPr>
          <w:szCs w:val="21"/>
          <w:u w:val="single"/>
        </w:rPr>
        <w:t xml:space="preserve">   </w:t>
      </w:r>
      <w:r>
        <w:rPr>
          <w:szCs w:val="21"/>
        </w:rPr>
        <w:t xml:space="preserve"> (签字)     法定代表人或其委托代理人：</w:t>
      </w:r>
      <w:r>
        <w:rPr>
          <w:szCs w:val="21"/>
          <w:u w:val="single"/>
        </w:rPr>
        <w:t xml:space="preserve">   </w:t>
      </w:r>
      <w:r>
        <w:rPr>
          <w:szCs w:val="21"/>
        </w:rPr>
        <w:t xml:space="preserve"> (签字)</w:t>
      </w:r>
    </w:p>
    <w:p>
      <w:pPr>
        <w:spacing w:line="360" w:lineRule="auto"/>
        <w:rPr>
          <w:szCs w:val="21"/>
          <w:u w:val="single"/>
        </w:rPr>
      </w:pPr>
      <w:r>
        <w:rPr>
          <w:szCs w:val="21"/>
        </w:rPr>
        <w:t>地址：</w:t>
      </w:r>
      <w:r>
        <w:rPr>
          <w:szCs w:val="21"/>
          <w:u w:val="single"/>
        </w:rPr>
        <w:t xml:space="preserve">                              </w:t>
      </w:r>
      <w:r>
        <w:rPr>
          <w:szCs w:val="21"/>
        </w:rPr>
        <w:t xml:space="preserve">     地址：</w:t>
      </w:r>
      <w:r>
        <w:rPr>
          <w:szCs w:val="21"/>
          <w:u w:val="single"/>
        </w:rPr>
        <w:t xml:space="preserve">                              </w:t>
      </w:r>
    </w:p>
    <w:p>
      <w:pPr>
        <w:spacing w:line="360" w:lineRule="auto"/>
        <w:rPr>
          <w:szCs w:val="21"/>
          <w:u w:val="single"/>
        </w:rPr>
      </w:pPr>
      <w:r>
        <w:rPr>
          <w:szCs w:val="21"/>
        </w:rPr>
        <w:t>电话：</w:t>
      </w:r>
      <w:r>
        <w:rPr>
          <w:szCs w:val="21"/>
          <w:u w:val="single"/>
        </w:rPr>
        <w:t xml:space="preserve">                              </w:t>
      </w:r>
      <w:r>
        <w:rPr>
          <w:szCs w:val="21"/>
        </w:rPr>
        <w:t xml:space="preserve">     电话：</w:t>
      </w:r>
      <w:r>
        <w:rPr>
          <w:szCs w:val="21"/>
          <w:u w:val="single"/>
        </w:rPr>
        <w:t xml:space="preserve">                             </w:t>
      </w:r>
    </w:p>
    <w:p>
      <w:pPr>
        <w:spacing w:line="360" w:lineRule="auto"/>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360" w:lineRule="auto"/>
        <w:ind w:firstLine="588" w:firstLineChars="245"/>
        <w:rPr>
          <w:rFonts w:hint="eastAsia" w:ascii="宋体" w:hAnsi="宋体" w:eastAsia="宋体" w:cs="宋体"/>
          <w:color w:val="auto"/>
          <w:sz w:val="24"/>
        </w:rPr>
      </w:pPr>
      <w:r>
        <w:rPr>
          <w:rFonts w:hint="eastAsia" w:ascii="宋体" w:hAnsi="宋体" w:eastAsia="宋体" w:cs="宋体"/>
          <w:color w:val="auto"/>
          <w:sz w:val="24"/>
        </w:rPr>
        <w:t xml:space="preserve">   </w:t>
      </w:r>
      <w:bookmarkEnd w:id="542"/>
      <w:bookmarkEnd w:id="543"/>
      <w:bookmarkEnd w:id="544"/>
    </w:p>
    <w:p>
      <w:pPr>
        <w:pStyle w:val="3"/>
        <w:rPr>
          <w:rFonts w:hint="eastAsia" w:ascii="宋体" w:hAnsi="宋体" w:eastAsia="宋体" w:cs="宋体"/>
          <w:color w:val="auto"/>
          <w:sz w:val="24"/>
        </w:rPr>
      </w:pPr>
    </w:p>
    <w:p>
      <w:pPr>
        <w:rPr>
          <w:rFonts w:hint="eastAsia" w:ascii="宋体" w:hAnsi="宋体" w:eastAsia="宋体" w:cs="宋体"/>
          <w:color w:val="auto"/>
          <w:sz w:val="24"/>
        </w:rPr>
      </w:pPr>
    </w:p>
    <w:p>
      <w:pPr>
        <w:pStyle w:val="3"/>
        <w:rPr>
          <w:rFonts w:hint="eastAsia" w:ascii="宋体" w:hAnsi="宋体" w:eastAsia="宋体" w:cs="宋体"/>
          <w:color w:val="auto"/>
          <w:sz w:val="24"/>
        </w:rPr>
      </w:pPr>
    </w:p>
    <w:p>
      <w:pPr>
        <w:rPr>
          <w:rFonts w:hint="eastAsia" w:ascii="宋体" w:hAnsi="宋体" w:eastAsia="宋体" w:cs="宋体"/>
          <w:color w:val="auto"/>
          <w:sz w:val="24"/>
        </w:rPr>
      </w:pPr>
    </w:p>
    <w:p>
      <w:pPr>
        <w:pStyle w:val="3"/>
        <w:rPr>
          <w:rFonts w:hint="eastAsia"/>
        </w:rPr>
      </w:pPr>
    </w:p>
    <w:p>
      <w:pPr>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附件三：安全生产协议书（格式）</w:t>
      </w:r>
    </w:p>
    <w:p>
      <w:pPr>
        <w:spacing w:line="360" w:lineRule="auto"/>
        <w:jc w:val="center"/>
        <w:rPr>
          <w:rFonts w:hint="eastAsia" w:ascii="宋体" w:hAnsi="宋体" w:eastAsia="宋体" w:cs="宋体"/>
          <w:color w:val="auto"/>
          <w:sz w:val="32"/>
          <w:szCs w:val="32"/>
        </w:rPr>
      </w:pPr>
      <w:r>
        <w:rPr>
          <w:rFonts w:hint="eastAsia" w:ascii="宋体" w:hAnsi="宋体" w:eastAsia="宋体" w:cs="宋体"/>
          <w:b/>
          <w:color w:val="auto"/>
          <w:sz w:val="32"/>
          <w:szCs w:val="32"/>
        </w:rPr>
        <w:t>安全生产协议书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为在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（标段名称）施工合同的实施过程中创造安全、高效的施工环境，切实搞好本项目的安全管理工作，本项目的发包人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（以下简称“甲方”）与承包人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（以下简称“乙方”），特此签订安全生产协议书：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第一条  甲方职责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（一）遵守国家有关安全生产的法律法规，认真执行工程承包合同中的有关安全要求。</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（二）按照“安全第一、预防为主、综合治理”和坚持“管生产必须管安全”的原则进行安全生产管理，做到生产与安全工作同时计划、布置、检查、总结和评比。</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（三）重要的安全设施必须坚持与主体工程“三同时”的原则，即：同时设计、审批，同时施工，同时验收、投入使用。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（四）定期召开安全生产调度会，及时传达中央及地方有关安全生产的精神。</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（五）组织对乙方施工现场安全生产检查，监督乙方及时处理发现的各利安全隐患。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第二条  乙方职责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（一）严格遵守国家有关安全生产的法律法规、水利部颁发的有关工程施工安全技术规程的安全生产规定，认真执行工程承包合同中的有关安全要求。</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（四）乙方在任何时候都应采取各种合理的预防措施，防止其员工发生任何违法、违禁、暴力或妨碍治安的行为。因乙方管理等原因造成的安全生产责任事故所造成的后果及责任应由乙方自行承担。</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侍种作业无证操作现象时，项目负责人必须承担管理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（七）操作人员上岗，必须按规定穿戴防护用品。施工负责人和安全检查员应随时检查劳动防护用品的穿戴情况，不按规定穿戴防护用品的人员不得上岗。</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（八）所有施工机具设备和高空作业的设备均应定期检查，并有安全员的签字记录，保证其经常处于完好状态；不合格的机具、设备和劳动保护用品严禁使用。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（九）所有施工申采用新技术，新工艺、新设备、新材料时，必须制定相应的安全技术措施，施工现场必须具有相关的安全标志牌。</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十）乙方必须按照本工程项日特点，组织制定本工程实施中的生产安全事故应急救援预案；如果发生安全事故，应按照《国务院大于特大安全事故行政责任追究的规定》以及其他有关规定，及时上报有关部门，并坚持“四不放过”的原则，产肃处理相关责任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第三条  违约责任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如因甲方或乙方违约造成安全事故，将依法追究责任，并视事故轻重扣除一定比例的安全保证金。</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本合同正本一式二份，副本</w:t>
      </w:r>
      <w:r>
        <w:rPr>
          <w:rFonts w:hint="eastAsia" w:ascii="宋体" w:hAnsi="宋体" w:eastAsia="宋体" w:cs="宋体"/>
          <w:color w:val="auto"/>
          <w:szCs w:val="21"/>
          <w:lang w:eastAsia="zh-CN"/>
        </w:rPr>
        <w:t>四</w:t>
      </w:r>
      <w:r>
        <w:rPr>
          <w:rFonts w:hint="eastAsia" w:ascii="宋体" w:hAnsi="宋体" w:eastAsia="宋体" w:cs="宋体"/>
          <w:color w:val="auto"/>
          <w:szCs w:val="21"/>
        </w:rPr>
        <w:t>份，合同双方各执正本一份，副本</w:t>
      </w:r>
      <w:r>
        <w:rPr>
          <w:rFonts w:hint="eastAsia" w:ascii="宋体" w:hAnsi="宋体" w:eastAsia="宋体" w:cs="宋体"/>
          <w:color w:val="auto"/>
          <w:szCs w:val="21"/>
          <w:lang w:eastAsia="zh-CN"/>
        </w:rPr>
        <w:t>二</w:t>
      </w:r>
      <w:r>
        <w:rPr>
          <w:rFonts w:hint="eastAsia" w:ascii="宋体" w:hAnsi="宋体" w:eastAsia="宋体" w:cs="宋体"/>
          <w:color w:val="auto"/>
          <w:szCs w:val="21"/>
        </w:rPr>
        <w:t>份。由双方法定代表人或其授权的代理人签署与加盖公章后生效，全部工程竣工验收后生失效。</w:t>
      </w:r>
    </w:p>
    <w:tbl>
      <w:tblPr>
        <w:tblStyle w:val="18"/>
        <w:tblW w:w="9116" w:type="dxa"/>
        <w:tblInd w:w="0" w:type="dxa"/>
        <w:tblLayout w:type="fixed"/>
        <w:tblCellMar>
          <w:top w:w="0" w:type="dxa"/>
          <w:left w:w="108" w:type="dxa"/>
          <w:bottom w:w="0" w:type="dxa"/>
          <w:right w:w="108" w:type="dxa"/>
        </w:tblCellMar>
      </w:tblPr>
      <w:tblGrid>
        <w:gridCol w:w="4428"/>
        <w:gridCol w:w="540"/>
        <w:gridCol w:w="4148"/>
      </w:tblGrid>
      <w:tr>
        <w:tblPrEx>
          <w:tblCellMar>
            <w:top w:w="0" w:type="dxa"/>
            <w:left w:w="108" w:type="dxa"/>
            <w:bottom w:w="0" w:type="dxa"/>
            <w:right w:w="108" w:type="dxa"/>
          </w:tblCellMar>
        </w:tblPrEx>
        <w:tc>
          <w:tcPr>
            <w:tcW w:w="4428" w:type="dxa"/>
            <w:noWrap w:val="0"/>
            <w:vAlign w:val="top"/>
          </w:tcPr>
          <w:p>
            <w:pPr>
              <w:spacing w:line="360" w:lineRule="auto"/>
              <w:rPr>
                <w:color w:val="auto"/>
                <w:szCs w:val="21"/>
              </w:rPr>
            </w:pPr>
            <w:r>
              <w:rPr>
                <w:color w:val="auto"/>
                <w:szCs w:val="21"/>
              </w:rPr>
              <w:t>甲方：</w:t>
            </w:r>
            <w:r>
              <w:rPr>
                <w:bCs/>
                <w:snapToGrid w:val="0"/>
                <w:color w:val="auto"/>
                <w:szCs w:val="21"/>
                <w:u w:val="single"/>
              </w:rPr>
              <w:t xml:space="preserve">                       </w:t>
            </w:r>
            <w:r>
              <w:rPr>
                <w:color w:val="auto"/>
                <w:szCs w:val="21"/>
                <w:u w:val="single"/>
              </w:rPr>
              <w:t>（盖章）</w:t>
            </w:r>
            <w:r>
              <w:rPr>
                <w:bCs/>
                <w:snapToGrid w:val="0"/>
                <w:color w:val="auto"/>
                <w:szCs w:val="21"/>
                <w:u w:val="single"/>
              </w:rPr>
              <w:t xml:space="preserve">     </w:t>
            </w:r>
          </w:p>
        </w:tc>
        <w:tc>
          <w:tcPr>
            <w:tcW w:w="540" w:type="dxa"/>
            <w:noWrap w:val="0"/>
            <w:vAlign w:val="top"/>
          </w:tcPr>
          <w:p>
            <w:pPr>
              <w:spacing w:line="360" w:lineRule="auto"/>
              <w:rPr>
                <w:color w:val="auto"/>
                <w:szCs w:val="21"/>
              </w:rPr>
            </w:pPr>
          </w:p>
        </w:tc>
        <w:tc>
          <w:tcPr>
            <w:tcW w:w="4148" w:type="dxa"/>
            <w:noWrap w:val="0"/>
            <w:vAlign w:val="top"/>
          </w:tcPr>
          <w:p>
            <w:pPr>
              <w:spacing w:line="360" w:lineRule="auto"/>
              <w:rPr>
                <w:color w:val="auto"/>
                <w:szCs w:val="21"/>
              </w:rPr>
            </w:pPr>
            <w:r>
              <w:rPr>
                <w:color w:val="auto"/>
                <w:szCs w:val="21"/>
              </w:rPr>
              <w:t>乙方：</w:t>
            </w:r>
            <w:r>
              <w:rPr>
                <w:bCs/>
                <w:snapToGrid w:val="0"/>
                <w:color w:val="auto"/>
                <w:szCs w:val="21"/>
                <w:u w:val="single"/>
              </w:rPr>
              <w:t xml:space="preserve">                     </w:t>
            </w:r>
            <w:r>
              <w:rPr>
                <w:color w:val="auto"/>
                <w:szCs w:val="21"/>
                <w:u w:val="single"/>
              </w:rPr>
              <w:t>（盖章）</w:t>
            </w:r>
            <w:r>
              <w:rPr>
                <w:bCs/>
                <w:snapToGrid w:val="0"/>
                <w:color w:val="auto"/>
                <w:szCs w:val="21"/>
                <w:u w:val="single"/>
              </w:rPr>
              <w:t xml:space="preserve">       </w:t>
            </w:r>
            <w:r>
              <w:rPr>
                <w:b/>
                <w:bCs/>
                <w:snapToGrid w:val="0"/>
                <w:color w:val="auto"/>
                <w:szCs w:val="21"/>
                <w:u w:val="single"/>
              </w:rPr>
              <w:t xml:space="preserve"> </w:t>
            </w:r>
          </w:p>
        </w:tc>
      </w:tr>
      <w:tr>
        <w:tblPrEx>
          <w:tblCellMar>
            <w:top w:w="0" w:type="dxa"/>
            <w:left w:w="108" w:type="dxa"/>
            <w:bottom w:w="0" w:type="dxa"/>
            <w:right w:w="108" w:type="dxa"/>
          </w:tblCellMar>
        </w:tblPrEx>
        <w:tc>
          <w:tcPr>
            <w:tcW w:w="4428" w:type="dxa"/>
            <w:noWrap w:val="0"/>
            <w:vAlign w:val="top"/>
          </w:tcPr>
          <w:p>
            <w:pPr>
              <w:spacing w:line="360" w:lineRule="auto"/>
              <w:rPr>
                <w:color w:val="auto"/>
                <w:szCs w:val="21"/>
                <w:u w:val="single"/>
              </w:rPr>
            </w:pPr>
            <w:r>
              <w:rPr>
                <w:color w:val="auto"/>
                <w:szCs w:val="21"/>
              </w:rPr>
              <w:t>法定代表人：</w:t>
            </w:r>
            <w:r>
              <w:rPr>
                <w:color w:val="auto"/>
                <w:szCs w:val="21"/>
                <w:u w:val="single"/>
              </w:rPr>
              <w:t xml:space="preserve">                      </w:t>
            </w:r>
          </w:p>
        </w:tc>
        <w:tc>
          <w:tcPr>
            <w:tcW w:w="540" w:type="dxa"/>
            <w:noWrap w:val="0"/>
            <w:vAlign w:val="top"/>
          </w:tcPr>
          <w:p>
            <w:pPr>
              <w:spacing w:line="360" w:lineRule="auto"/>
              <w:rPr>
                <w:color w:val="auto"/>
                <w:szCs w:val="21"/>
              </w:rPr>
            </w:pPr>
          </w:p>
        </w:tc>
        <w:tc>
          <w:tcPr>
            <w:tcW w:w="4148" w:type="dxa"/>
            <w:noWrap w:val="0"/>
            <w:vAlign w:val="top"/>
          </w:tcPr>
          <w:p>
            <w:pPr>
              <w:spacing w:line="360" w:lineRule="auto"/>
              <w:rPr>
                <w:color w:val="auto"/>
                <w:szCs w:val="21"/>
                <w:u w:val="single"/>
              </w:rPr>
            </w:pPr>
            <w:r>
              <w:rPr>
                <w:color w:val="auto"/>
                <w:szCs w:val="21"/>
              </w:rPr>
              <w:t>法定代表人：</w:t>
            </w:r>
            <w:r>
              <w:rPr>
                <w:color w:val="auto"/>
                <w:szCs w:val="21"/>
                <w:u w:val="single"/>
              </w:rPr>
              <w:t xml:space="preserve">                    </w:t>
            </w:r>
          </w:p>
        </w:tc>
      </w:tr>
      <w:tr>
        <w:tblPrEx>
          <w:tblCellMar>
            <w:top w:w="0" w:type="dxa"/>
            <w:left w:w="108" w:type="dxa"/>
            <w:bottom w:w="0" w:type="dxa"/>
            <w:right w:w="108" w:type="dxa"/>
          </w:tblCellMar>
        </w:tblPrEx>
        <w:tc>
          <w:tcPr>
            <w:tcW w:w="4428" w:type="dxa"/>
            <w:noWrap w:val="0"/>
            <w:vAlign w:val="top"/>
          </w:tcPr>
          <w:p>
            <w:pPr>
              <w:spacing w:line="360" w:lineRule="auto"/>
              <w:rPr>
                <w:color w:val="auto"/>
                <w:szCs w:val="21"/>
              </w:rPr>
            </w:pPr>
            <w:r>
              <w:rPr>
                <w:color w:val="auto"/>
                <w:szCs w:val="21"/>
              </w:rPr>
              <w:t>或</w:t>
            </w:r>
          </w:p>
        </w:tc>
        <w:tc>
          <w:tcPr>
            <w:tcW w:w="540" w:type="dxa"/>
            <w:noWrap w:val="0"/>
            <w:vAlign w:val="top"/>
          </w:tcPr>
          <w:p>
            <w:pPr>
              <w:spacing w:line="360" w:lineRule="auto"/>
              <w:rPr>
                <w:color w:val="auto"/>
                <w:szCs w:val="21"/>
              </w:rPr>
            </w:pPr>
          </w:p>
        </w:tc>
        <w:tc>
          <w:tcPr>
            <w:tcW w:w="4148" w:type="dxa"/>
            <w:noWrap w:val="0"/>
            <w:vAlign w:val="top"/>
          </w:tcPr>
          <w:p>
            <w:pPr>
              <w:spacing w:line="360" w:lineRule="auto"/>
              <w:rPr>
                <w:color w:val="auto"/>
                <w:szCs w:val="21"/>
              </w:rPr>
            </w:pPr>
            <w:r>
              <w:rPr>
                <w:color w:val="auto"/>
                <w:szCs w:val="21"/>
              </w:rPr>
              <w:t>或</w:t>
            </w:r>
          </w:p>
        </w:tc>
      </w:tr>
      <w:tr>
        <w:tc>
          <w:tcPr>
            <w:tcW w:w="4428" w:type="dxa"/>
            <w:noWrap w:val="0"/>
            <w:vAlign w:val="top"/>
          </w:tcPr>
          <w:p>
            <w:pPr>
              <w:spacing w:line="360" w:lineRule="auto"/>
              <w:rPr>
                <w:color w:val="auto"/>
                <w:szCs w:val="21"/>
              </w:rPr>
            </w:pPr>
            <w:r>
              <w:rPr>
                <w:color w:val="auto"/>
                <w:szCs w:val="21"/>
              </w:rPr>
              <w:t>其授权的代理人：</w:t>
            </w:r>
            <w:r>
              <w:rPr>
                <w:color w:val="auto"/>
                <w:szCs w:val="21"/>
                <w:u w:val="single"/>
              </w:rPr>
              <w:t xml:space="preserve">                  </w:t>
            </w:r>
            <w:r>
              <w:rPr>
                <w:color w:val="auto"/>
                <w:szCs w:val="21"/>
              </w:rPr>
              <w:t>（签字）</w:t>
            </w:r>
          </w:p>
        </w:tc>
        <w:tc>
          <w:tcPr>
            <w:tcW w:w="540" w:type="dxa"/>
            <w:noWrap w:val="0"/>
            <w:vAlign w:val="top"/>
          </w:tcPr>
          <w:p>
            <w:pPr>
              <w:spacing w:line="360" w:lineRule="auto"/>
              <w:rPr>
                <w:color w:val="auto"/>
                <w:szCs w:val="21"/>
              </w:rPr>
            </w:pPr>
          </w:p>
        </w:tc>
        <w:tc>
          <w:tcPr>
            <w:tcW w:w="4148" w:type="dxa"/>
            <w:noWrap w:val="0"/>
            <w:vAlign w:val="top"/>
          </w:tcPr>
          <w:p>
            <w:pPr>
              <w:spacing w:line="360" w:lineRule="auto"/>
              <w:rPr>
                <w:color w:val="auto"/>
                <w:szCs w:val="21"/>
              </w:rPr>
            </w:pPr>
            <w:r>
              <w:rPr>
                <w:color w:val="auto"/>
                <w:szCs w:val="21"/>
              </w:rPr>
              <w:t>其授权的代理人：</w:t>
            </w:r>
            <w:r>
              <w:rPr>
                <w:color w:val="auto"/>
                <w:szCs w:val="21"/>
                <w:u w:val="single"/>
              </w:rPr>
              <w:t xml:space="preserve">                  </w:t>
            </w:r>
            <w:r>
              <w:rPr>
                <w:color w:val="auto"/>
                <w:szCs w:val="21"/>
              </w:rPr>
              <w:t>（签字）</w:t>
            </w:r>
          </w:p>
        </w:tc>
      </w:tr>
      <w:tr>
        <w:tblPrEx>
          <w:tblCellMar>
            <w:top w:w="0" w:type="dxa"/>
            <w:left w:w="108" w:type="dxa"/>
            <w:bottom w:w="0" w:type="dxa"/>
            <w:right w:w="108" w:type="dxa"/>
          </w:tblCellMar>
        </w:tblPrEx>
        <w:tc>
          <w:tcPr>
            <w:tcW w:w="4428" w:type="dxa"/>
            <w:noWrap w:val="0"/>
            <w:vAlign w:val="top"/>
          </w:tcPr>
          <w:p>
            <w:pPr>
              <w:spacing w:line="360" w:lineRule="auto"/>
              <w:rPr>
                <w:color w:val="auto"/>
                <w:szCs w:val="21"/>
              </w:rPr>
            </w:pPr>
            <w:r>
              <w:rPr>
                <w:color w:val="auto"/>
                <w:szCs w:val="21"/>
              </w:rPr>
              <w:t xml:space="preserve">地 址： </w:t>
            </w:r>
          </w:p>
        </w:tc>
        <w:tc>
          <w:tcPr>
            <w:tcW w:w="540" w:type="dxa"/>
            <w:noWrap w:val="0"/>
            <w:vAlign w:val="top"/>
          </w:tcPr>
          <w:p>
            <w:pPr>
              <w:spacing w:line="360" w:lineRule="auto"/>
              <w:rPr>
                <w:color w:val="auto"/>
                <w:szCs w:val="21"/>
              </w:rPr>
            </w:pPr>
          </w:p>
        </w:tc>
        <w:tc>
          <w:tcPr>
            <w:tcW w:w="4148" w:type="dxa"/>
            <w:noWrap w:val="0"/>
            <w:vAlign w:val="top"/>
          </w:tcPr>
          <w:p>
            <w:pPr>
              <w:spacing w:line="360" w:lineRule="auto"/>
              <w:rPr>
                <w:color w:val="auto"/>
                <w:szCs w:val="21"/>
              </w:rPr>
            </w:pPr>
            <w:r>
              <w:rPr>
                <w:color w:val="auto"/>
                <w:szCs w:val="21"/>
              </w:rPr>
              <w:t xml:space="preserve">地 址： </w:t>
            </w:r>
          </w:p>
        </w:tc>
      </w:tr>
      <w:tr>
        <w:tblPrEx>
          <w:tblCellMar>
            <w:top w:w="0" w:type="dxa"/>
            <w:left w:w="108" w:type="dxa"/>
            <w:bottom w:w="0" w:type="dxa"/>
            <w:right w:w="108" w:type="dxa"/>
          </w:tblCellMar>
        </w:tblPrEx>
        <w:tc>
          <w:tcPr>
            <w:tcW w:w="4428" w:type="dxa"/>
            <w:noWrap w:val="0"/>
            <w:vAlign w:val="top"/>
          </w:tcPr>
          <w:p>
            <w:pPr>
              <w:spacing w:line="360" w:lineRule="auto"/>
              <w:rPr>
                <w:color w:val="auto"/>
                <w:szCs w:val="21"/>
              </w:rPr>
            </w:pPr>
            <w:r>
              <w:rPr>
                <w:color w:val="auto"/>
                <w:szCs w:val="21"/>
              </w:rPr>
              <w:t>电 话：</w:t>
            </w:r>
          </w:p>
        </w:tc>
        <w:tc>
          <w:tcPr>
            <w:tcW w:w="540" w:type="dxa"/>
            <w:noWrap w:val="0"/>
            <w:vAlign w:val="top"/>
          </w:tcPr>
          <w:p>
            <w:pPr>
              <w:spacing w:line="360" w:lineRule="auto"/>
              <w:rPr>
                <w:color w:val="auto"/>
                <w:szCs w:val="21"/>
              </w:rPr>
            </w:pPr>
          </w:p>
        </w:tc>
        <w:tc>
          <w:tcPr>
            <w:tcW w:w="4148" w:type="dxa"/>
            <w:noWrap w:val="0"/>
            <w:vAlign w:val="top"/>
          </w:tcPr>
          <w:p>
            <w:pPr>
              <w:spacing w:line="360" w:lineRule="auto"/>
              <w:rPr>
                <w:color w:val="auto"/>
                <w:szCs w:val="21"/>
              </w:rPr>
            </w:pPr>
            <w:r>
              <w:rPr>
                <w:snapToGrid w:val="0"/>
                <w:color w:val="auto"/>
                <w:kern w:val="0"/>
                <w:szCs w:val="21"/>
              </w:rPr>
              <w:t>电 话：</w:t>
            </w:r>
          </w:p>
        </w:tc>
      </w:tr>
      <w:tr>
        <w:tblPrEx>
          <w:tblCellMar>
            <w:top w:w="0" w:type="dxa"/>
            <w:left w:w="108" w:type="dxa"/>
            <w:bottom w:w="0" w:type="dxa"/>
            <w:right w:w="108" w:type="dxa"/>
          </w:tblCellMar>
        </w:tblPrEx>
        <w:tc>
          <w:tcPr>
            <w:tcW w:w="4428" w:type="dxa"/>
            <w:noWrap w:val="0"/>
            <w:vAlign w:val="top"/>
          </w:tcPr>
          <w:p>
            <w:pPr>
              <w:spacing w:line="360" w:lineRule="auto"/>
              <w:rPr>
                <w:color w:val="auto"/>
                <w:szCs w:val="21"/>
              </w:rPr>
            </w:pPr>
            <w:r>
              <w:rPr>
                <w:color w:val="auto"/>
                <w:szCs w:val="21"/>
              </w:rPr>
              <w:t>日 期：        年   月   日</w:t>
            </w:r>
          </w:p>
        </w:tc>
        <w:tc>
          <w:tcPr>
            <w:tcW w:w="540" w:type="dxa"/>
            <w:noWrap w:val="0"/>
            <w:vAlign w:val="top"/>
          </w:tcPr>
          <w:p>
            <w:pPr>
              <w:spacing w:line="360" w:lineRule="auto"/>
              <w:rPr>
                <w:color w:val="auto"/>
                <w:szCs w:val="21"/>
              </w:rPr>
            </w:pPr>
          </w:p>
        </w:tc>
        <w:tc>
          <w:tcPr>
            <w:tcW w:w="4148" w:type="dxa"/>
            <w:noWrap w:val="0"/>
            <w:vAlign w:val="top"/>
          </w:tcPr>
          <w:p>
            <w:pPr>
              <w:spacing w:line="360" w:lineRule="auto"/>
              <w:rPr>
                <w:color w:val="auto"/>
                <w:szCs w:val="21"/>
              </w:rPr>
            </w:pPr>
            <w:r>
              <w:rPr>
                <w:color w:val="auto"/>
                <w:szCs w:val="21"/>
              </w:rPr>
              <w:t>日 期：        年   月   日</w:t>
            </w:r>
          </w:p>
        </w:tc>
      </w:tr>
    </w:tbl>
    <w:p>
      <w:pPr>
        <w:jc w:val="center"/>
        <w:rPr>
          <w:rFonts w:ascii="华文中宋" w:hAnsi="华文中宋" w:eastAsia="华文中宋"/>
          <w:color w:val="auto"/>
          <w:sz w:val="36"/>
          <w:szCs w:val="36"/>
        </w:rPr>
      </w:pPr>
      <w:r>
        <w:rPr>
          <w:rFonts w:hint="eastAsia" w:ascii="华文中宋" w:hAnsi="华文中宋" w:eastAsia="华文中宋"/>
          <w:color w:val="auto"/>
          <w:sz w:val="36"/>
          <w:szCs w:val="36"/>
        </w:rPr>
        <w:t>第四章  投标文件格式</w:t>
      </w:r>
    </w:p>
    <w:p>
      <w:pPr>
        <w:pStyle w:val="16"/>
        <w:jc w:val="both"/>
        <w:rPr>
          <w:rFonts w:ascii="宋体" w:hAnsi="宋体" w:cs="宋体"/>
          <w:b w:val="0"/>
          <w:bCs w:val="0"/>
          <w:color w:val="auto"/>
          <w:sz w:val="21"/>
          <w:szCs w:val="21"/>
        </w:rPr>
      </w:pPr>
      <w:r>
        <w:rPr>
          <w:rFonts w:hint="eastAsia" w:ascii="宋体" w:hAnsi="宋体" w:cs="宋体"/>
          <w:b w:val="0"/>
          <w:bCs w:val="0"/>
          <w:color w:val="auto"/>
          <w:sz w:val="21"/>
          <w:szCs w:val="21"/>
        </w:rPr>
        <w:t>附件一：</w:t>
      </w:r>
    </w:p>
    <w:p>
      <w:pPr>
        <w:jc w:val="center"/>
        <w:rPr>
          <w:rFonts w:hint="eastAsia" w:ascii="华文中宋" w:hAnsi="华文中宋" w:eastAsia="华文中宋" w:cs="宋体"/>
          <w:color w:val="auto"/>
          <w:sz w:val="36"/>
          <w:szCs w:val="36"/>
          <w:lang w:eastAsia="zh-CN"/>
        </w:rPr>
      </w:pPr>
      <w:r>
        <w:rPr>
          <w:rFonts w:hint="eastAsia" w:ascii="宋体" w:hAnsi="宋体" w:eastAsia="宋体" w:cs="宋体"/>
          <w:b/>
          <w:bCs/>
          <w:color w:val="auto"/>
          <w:sz w:val="28"/>
          <w:szCs w:val="28"/>
          <w:lang w:eastAsia="zh-CN"/>
        </w:rPr>
        <w:t>2022年三门县高标准农田（含粮食功能区）管护提升项目（亭旁镇）</w:t>
      </w:r>
      <w:r>
        <w:rPr>
          <w:rFonts w:hint="eastAsia" w:ascii="华文中宋" w:hAnsi="华文中宋" w:eastAsia="华文中宋" w:cs="宋体"/>
          <w:b/>
          <w:bCs/>
          <w:color w:val="auto"/>
          <w:sz w:val="36"/>
          <w:szCs w:val="36"/>
          <w:lang w:eastAsia="zh-CN"/>
        </w:rPr>
        <w:t xml:space="preserve"> </w:t>
      </w:r>
      <w:r>
        <w:rPr>
          <w:rFonts w:hint="eastAsia" w:ascii="华文中宋" w:hAnsi="华文中宋" w:eastAsia="华文中宋" w:cs="宋体"/>
          <w:color w:val="auto"/>
          <w:sz w:val="36"/>
          <w:szCs w:val="36"/>
          <w:lang w:eastAsia="zh-CN"/>
        </w:rPr>
        <w:t xml:space="preserve"> </w:t>
      </w:r>
    </w:p>
    <w:p>
      <w:pPr>
        <w:jc w:val="center"/>
        <w:rPr>
          <w:rFonts w:ascii="华文中宋" w:hAnsi="华文中宋" w:eastAsia="华文中宋" w:cs="宋体"/>
          <w:color w:val="auto"/>
          <w:sz w:val="36"/>
          <w:szCs w:val="36"/>
        </w:rPr>
      </w:pPr>
      <w:r>
        <w:rPr>
          <w:rFonts w:hint="eastAsia" w:ascii="华文中宋" w:hAnsi="华文中宋" w:eastAsia="华文中宋" w:cs="宋体"/>
          <w:color w:val="auto"/>
          <w:sz w:val="36"/>
          <w:szCs w:val="36"/>
        </w:rPr>
        <w:t>投 标 函</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color w:val="auto"/>
          <w:sz w:val="28"/>
          <w:szCs w:val="28"/>
          <w:u w:val="single"/>
        </w:rPr>
      </w:pPr>
      <w:r>
        <w:rPr>
          <w:rFonts w:hint="eastAsia" w:ascii="宋体" w:hAnsi="宋体" w:eastAsia="宋体" w:cs="宋体"/>
          <w:color w:val="auto"/>
          <w:sz w:val="24"/>
          <w:szCs w:val="24"/>
          <w:u w:val="single"/>
          <w:lang w:eastAsia="zh-CN"/>
        </w:rPr>
        <w:t>三门县亭旁镇人民政府</w:t>
      </w:r>
      <w:r>
        <w:rPr>
          <w:rFonts w:hint="eastAsia" w:ascii="宋体" w:hAnsi="宋体" w:eastAsia="宋体" w:cs="宋体"/>
          <w:color w:val="auto"/>
          <w:sz w:val="24"/>
          <w:szCs w:val="24"/>
          <w:u w:val="none"/>
          <w:lang w:eastAsia="zh-CN"/>
        </w:rPr>
        <w:t>：</w:t>
      </w:r>
    </w:p>
    <w:p>
      <w:pPr>
        <w:keepNext w:val="0"/>
        <w:keepLines w:val="0"/>
        <w:pageBreakBefore w:val="0"/>
        <w:widowControl/>
        <w:kinsoku/>
        <w:wordWrap/>
        <w:overflowPunct/>
        <w:topLinePunct w:val="0"/>
        <w:autoSpaceDE/>
        <w:autoSpaceDN/>
        <w:bidi w:val="0"/>
        <w:spacing w:line="480" w:lineRule="exact"/>
        <w:ind w:firstLine="600" w:firstLineChars="250"/>
        <w:textAlignment w:val="auto"/>
        <w:rPr>
          <w:rFonts w:ascii="宋体" w:hAnsi="宋体" w:eastAsia="宋体" w:cs="宋体"/>
          <w:color w:val="auto"/>
          <w:sz w:val="24"/>
          <w:szCs w:val="21"/>
        </w:rPr>
      </w:pPr>
      <w:r>
        <w:rPr>
          <w:rFonts w:hint="eastAsia" w:ascii="宋体" w:hAnsi="宋体" w:eastAsia="宋体" w:cs="宋体"/>
          <w:color w:val="auto"/>
          <w:sz w:val="24"/>
          <w:szCs w:val="24"/>
        </w:rPr>
        <w:t>一、我方已仔细研究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2022年三门县高标准农田（含粮食功能区）管护提升项目（亭旁镇）  </w:t>
      </w:r>
      <w:r>
        <w:rPr>
          <w:rFonts w:hint="eastAsia" w:ascii="宋体" w:hAnsi="宋体" w:eastAsia="宋体" w:cs="宋体"/>
          <w:color w:val="auto"/>
          <w:sz w:val="24"/>
          <w:szCs w:val="24"/>
        </w:rPr>
        <w:t xml:space="preserve">招标文件，经考察现场后，在全部同意招标文件内容前提下，我方保证： </w:t>
      </w:r>
    </w:p>
    <w:p>
      <w:pPr>
        <w:keepNext w:val="0"/>
        <w:keepLines w:val="0"/>
        <w:pageBreakBefore w:val="0"/>
        <w:widowControl/>
        <w:kinsoku/>
        <w:wordWrap/>
        <w:overflowPunct/>
        <w:topLinePunct w:val="0"/>
        <w:autoSpaceDE/>
        <w:autoSpaceDN/>
        <w:bidi w:val="0"/>
        <w:spacing w:line="480" w:lineRule="exact"/>
        <w:ind w:firstLine="57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1、我公司愿以预算造价</w:t>
      </w:r>
      <w:r>
        <w:rPr>
          <w:rFonts w:hint="eastAsia" w:ascii="宋体" w:hAnsi="宋体" w:eastAsia="宋体" w:cs="宋体"/>
          <w:color w:val="auto"/>
          <w:sz w:val="24"/>
          <w:szCs w:val="24"/>
          <w:u w:val="single"/>
          <w:lang w:eastAsia="zh-CN"/>
        </w:rPr>
        <w:t>345774</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元，下浮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％（百分号前保留二位小数，第三位四舍五入），并同意以招标文件规定计算合同价承包上述工程的施工、竣工和保修。</w:t>
      </w:r>
    </w:p>
    <w:p>
      <w:pPr>
        <w:pStyle w:val="2"/>
        <w:keepNext w:val="0"/>
        <w:keepLines w:val="0"/>
        <w:pageBreakBefore w:val="0"/>
        <w:widowControl/>
        <w:kinsoku/>
        <w:wordWrap/>
        <w:overflowPunct/>
        <w:topLinePunct w:val="0"/>
        <w:autoSpaceDE/>
        <w:autoSpaceDN/>
        <w:bidi w:val="0"/>
        <w:spacing w:line="480" w:lineRule="exact"/>
        <w:ind w:firstLine="240" w:firstLineChars="100"/>
        <w:textAlignment w:val="auto"/>
        <w:rPr>
          <w:rFonts w:hint="default" w:eastAsia="宋体"/>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日历天</w:t>
      </w:r>
    </w:p>
    <w:p>
      <w:pPr>
        <w:keepNext w:val="0"/>
        <w:keepLines w:val="0"/>
        <w:pageBreakBefore w:val="0"/>
        <w:widowControl/>
        <w:kinsoku/>
        <w:wordWrap/>
        <w:overflowPunct/>
        <w:topLinePunct w:val="0"/>
        <w:autoSpaceDE/>
        <w:autoSpaceDN/>
        <w:bidi w:val="0"/>
        <w:spacing w:line="480" w:lineRule="exact"/>
        <w:ind w:firstLine="585"/>
        <w:textAlignment w:val="auto"/>
        <w:rPr>
          <w:rFonts w:ascii="宋体" w:hAnsi="宋体" w:eastAsia="宋体" w:cs="宋体"/>
          <w:color w:val="auto"/>
          <w:sz w:val="24"/>
          <w:szCs w:val="24"/>
          <w:u w:val="single"/>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项目负责人：</w:t>
      </w:r>
      <w:r>
        <w:rPr>
          <w:rFonts w:hint="eastAsia" w:ascii="宋体" w:hAnsi="宋体" w:eastAsia="宋体" w:cs="宋体"/>
          <w:color w:val="auto"/>
          <w:sz w:val="24"/>
          <w:szCs w:val="24"/>
          <w:u w:val="single"/>
          <w:lang w:val="en-US" w:eastAsia="zh-CN"/>
        </w:rPr>
        <w:t xml:space="preserve">       </w:t>
      </w:r>
      <w:bookmarkStart w:id="563" w:name="_GoBack"/>
      <w:bookmarkEnd w:id="563"/>
    </w:p>
    <w:p>
      <w:pPr>
        <w:keepNext w:val="0"/>
        <w:keepLines w:val="0"/>
        <w:pageBreakBefore w:val="0"/>
        <w:widowControl/>
        <w:kinsoku/>
        <w:wordWrap/>
        <w:overflowPunct/>
        <w:topLinePunct w:val="0"/>
        <w:autoSpaceDE/>
        <w:autoSpaceDN/>
        <w:bidi w:val="0"/>
        <w:spacing w:line="480" w:lineRule="exact"/>
        <w:ind w:firstLine="585"/>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、工程质量等级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rPr>
        <w:t>合格</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spacing w:line="480" w:lineRule="exact"/>
        <w:ind w:left="600"/>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、人员设备按本投标文件的部署及时到位。</w:t>
      </w:r>
    </w:p>
    <w:p>
      <w:pPr>
        <w:keepNext w:val="0"/>
        <w:keepLines w:val="0"/>
        <w:pageBreakBefore w:val="0"/>
        <w:widowControl/>
        <w:kinsoku/>
        <w:wordWrap/>
        <w:overflowPunct/>
        <w:topLinePunct w:val="0"/>
        <w:autoSpaceDE/>
        <w:autoSpaceDN/>
        <w:bidi w:val="0"/>
        <w:spacing w:line="480" w:lineRule="exact"/>
        <w:ind w:firstLine="585"/>
        <w:textAlignment w:val="auto"/>
        <w:rPr>
          <w:rFonts w:ascii="宋体" w:hAnsi="宋体" w:eastAsia="宋体" w:cs="宋体"/>
          <w:color w:val="auto"/>
          <w:sz w:val="24"/>
          <w:szCs w:val="24"/>
        </w:rPr>
      </w:pPr>
      <w:r>
        <w:rPr>
          <w:rFonts w:hint="eastAsia" w:ascii="宋体" w:hAnsi="宋体" w:eastAsia="宋体" w:cs="宋体"/>
          <w:color w:val="auto"/>
          <w:sz w:val="24"/>
          <w:szCs w:val="24"/>
        </w:rPr>
        <w:t>二、如果我方中标，我方将按照招标文件规定提交履约担保，共同地和分别地承担责任。</w:t>
      </w:r>
    </w:p>
    <w:p>
      <w:pPr>
        <w:keepNext w:val="0"/>
        <w:keepLines w:val="0"/>
        <w:pageBreakBefore w:val="0"/>
        <w:widowControl/>
        <w:kinsoku/>
        <w:wordWrap/>
        <w:overflowPunct/>
        <w:topLinePunct w:val="0"/>
        <w:autoSpaceDE/>
        <w:autoSpaceDN/>
        <w:bidi w:val="0"/>
        <w:spacing w:line="480" w:lineRule="exact"/>
        <w:ind w:firstLine="530" w:firstLineChars="221"/>
        <w:textAlignment w:val="auto"/>
        <w:rPr>
          <w:rFonts w:ascii="宋体" w:hAnsi="宋体" w:eastAsia="宋体" w:cs="宋体"/>
          <w:color w:val="auto"/>
          <w:sz w:val="24"/>
          <w:szCs w:val="24"/>
        </w:rPr>
      </w:pPr>
      <w:r>
        <w:rPr>
          <w:rFonts w:hint="eastAsia" w:ascii="宋体" w:hAnsi="宋体" w:eastAsia="宋体" w:cs="宋体"/>
          <w:color w:val="auto"/>
          <w:sz w:val="24"/>
          <w:szCs w:val="24"/>
        </w:rPr>
        <w:t>三、除非另外达成协议并生效，你方的中标通知书和本投标文件将构成约束我们双方的合同。</w:t>
      </w:r>
    </w:p>
    <w:p>
      <w:pPr>
        <w:keepNext w:val="0"/>
        <w:keepLines w:val="0"/>
        <w:pageBreakBefore w:val="0"/>
        <w:widowControl/>
        <w:kinsoku/>
        <w:wordWrap/>
        <w:overflowPunct/>
        <w:topLinePunct w:val="0"/>
        <w:autoSpaceDE/>
        <w:autoSpaceDN/>
        <w:bidi w:val="0"/>
        <w:spacing w:line="480" w:lineRule="exact"/>
        <w:ind w:firstLine="530" w:firstLineChars="221"/>
        <w:textAlignment w:val="auto"/>
        <w:rPr>
          <w:rFonts w:ascii="宋体" w:hAnsi="宋体" w:eastAsia="宋体" w:cs="宋体"/>
          <w:color w:val="auto"/>
          <w:sz w:val="24"/>
          <w:szCs w:val="24"/>
        </w:rPr>
      </w:pPr>
      <w:r>
        <w:rPr>
          <w:rFonts w:hint="eastAsia" w:ascii="宋体" w:hAnsi="宋体" w:eastAsia="宋体" w:cs="宋体"/>
          <w:color w:val="auto"/>
          <w:sz w:val="24"/>
          <w:szCs w:val="24"/>
        </w:rPr>
        <w:t>四、我方的投标担保已按招标文件的要求递交。</w:t>
      </w:r>
    </w:p>
    <w:p>
      <w:pPr>
        <w:ind w:firstLine="480"/>
        <w:jc w:val="right"/>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right="480"/>
        <w:rPr>
          <w:rFonts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bookmarkStart w:id="545" w:name="_Toc31569"/>
    </w:p>
    <w:p>
      <w:pPr>
        <w:rPr>
          <w:rFonts w:hint="eastAsia" w:ascii="宋体" w:hAnsi="宋体" w:cs="宋体"/>
          <w:b w:val="0"/>
          <w:bCs w:val="0"/>
          <w:color w:val="auto"/>
          <w:sz w:val="21"/>
          <w:szCs w:val="21"/>
        </w:rPr>
      </w:pPr>
      <w:r>
        <w:rPr>
          <w:rFonts w:hint="eastAsia" w:ascii="宋体" w:hAnsi="宋体" w:cs="宋体"/>
          <w:b w:val="0"/>
          <w:bCs w:val="0"/>
          <w:color w:val="auto"/>
          <w:sz w:val="21"/>
          <w:szCs w:val="21"/>
        </w:rPr>
        <w:br w:type="page"/>
      </w:r>
    </w:p>
    <w:p>
      <w:pPr>
        <w:pStyle w:val="16"/>
        <w:jc w:val="both"/>
        <w:rPr>
          <w:rFonts w:ascii="宋体" w:hAnsi="宋体" w:cs="宋体"/>
          <w:b w:val="0"/>
          <w:bCs w:val="0"/>
          <w:color w:val="auto"/>
          <w:sz w:val="36"/>
          <w:szCs w:val="36"/>
        </w:rPr>
      </w:pPr>
      <w:r>
        <w:rPr>
          <w:rFonts w:hint="eastAsia" w:ascii="宋体" w:hAnsi="宋体" w:cs="宋体"/>
          <w:b w:val="0"/>
          <w:bCs w:val="0"/>
          <w:color w:val="auto"/>
          <w:sz w:val="21"/>
          <w:szCs w:val="21"/>
        </w:rPr>
        <w:t>附件二：</w:t>
      </w:r>
      <w:bookmarkEnd w:id="545"/>
    </w:p>
    <w:p>
      <w:pPr>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 xml:space="preserve">2022年三门县高标准农田（含粮食功能区）管护提升项目（亭旁镇）  </w:t>
      </w:r>
    </w:p>
    <w:p>
      <w:pPr>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项目管理机构配备表</w:t>
      </w:r>
    </w:p>
    <w:p>
      <w:pPr>
        <w:spacing w:line="240" w:lineRule="exact"/>
        <w:ind w:firstLine="533"/>
        <w:jc w:val="center"/>
        <w:rPr>
          <w:rFonts w:ascii="宋体" w:hAnsi="宋体" w:eastAsia="宋体" w:cs="宋体"/>
          <w:color w:val="auto"/>
          <w:sz w:val="28"/>
          <w:szCs w:val="28"/>
        </w:rPr>
      </w:pPr>
    </w:p>
    <w:tbl>
      <w:tblPr>
        <w:tblStyle w:val="18"/>
        <w:tblW w:w="8329"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876"/>
        <w:gridCol w:w="670"/>
        <w:gridCol w:w="669"/>
        <w:gridCol w:w="925"/>
        <w:gridCol w:w="775"/>
        <w:gridCol w:w="2232"/>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职务</w:t>
            </w:r>
          </w:p>
        </w:tc>
        <w:tc>
          <w:tcPr>
            <w:tcW w:w="876"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6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669"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925"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775"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本岗工龄</w:t>
            </w:r>
          </w:p>
        </w:tc>
        <w:tc>
          <w:tcPr>
            <w:tcW w:w="2232"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岗位证书号码</w:t>
            </w:r>
          </w:p>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身份证号码</w:t>
            </w:r>
          </w:p>
        </w:tc>
        <w:tc>
          <w:tcPr>
            <w:tcW w:w="758"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项目负责人</w:t>
            </w: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bl>
    <w:p>
      <w:pPr>
        <w:spacing w:line="240" w:lineRule="exact"/>
        <w:ind w:firstLine="533"/>
        <w:jc w:val="center"/>
        <w:rPr>
          <w:rFonts w:ascii="宋体" w:hAnsi="宋体" w:eastAsia="宋体" w:cs="宋体"/>
          <w:color w:val="auto"/>
          <w:sz w:val="28"/>
          <w:szCs w:val="28"/>
        </w:rPr>
      </w:pPr>
    </w:p>
    <w:p>
      <w:pPr>
        <w:tabs>
          <w:tab w:val="left" w:pos="6449"/>
        </w:tabs>
        <w:ind w:right="480"/>
        <w:rPr>
          <w:rFonts w:ascii="宋体" w:hAnsi="宋体" w:eastAsia="宋体" w:cs="宋体"/>
          <w:color w:val="auto"/>
          <w:sz w:val="28"/>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pStyle w:val="16"/>
        <w:jc w:val="both"/>
        <w:rPr>
          <w:rFonts w:ascii="宋体" w:hAnsi="宋体" w:cs="宋体"/>
          <w:b w:val="0"/>
          <w:bCs w:val="0"/>
          <w:color w:val="auto"/>
          <w:sz w:val="21"/>
          <w:szCs w:val="21"/>
        </w:rPr>
      </w:pPr>
      <w:bookmarkStart w:id="546" w:name="_Toc169487830"/>
      <w:bookmarkStart w:id="547" w:name="_Toc155342580"/>
      <w:bookmarkStart w:id="548" w:name="_Toc144975208"/>
      <w:bookmarkStart w:id="549" w:name="_Toc201383241"/>
      <w:bookmarkStart w:id="550" w:name="_Toc5638"/>
      <w:bookmarkStart w:id="551" w:name="_Toc106012815"/>
      <w:bookmarkStart w:id="552" w:name="_Toc106553077"/>
      <w:r>
        <w:rPr>
          <w:rFonts w:hint="eastAsia" w:ascii="宋体" w:hAnsi="宋体" w:cs="宋体"/>
          <w:b w:val="0"/>
          <w:bCs w:val="0"/>
          <w:color w:val="auto"/>
          <w:sz w:val="21"/>
          <w:szCs w:val="21"/>
        </w:rPr>
        <w:t>附件三：</w:t>
      </w:r>
      <w:bookmarkEnd w:id="546"/>
      <w:bookmarkEnd w:id="547"/>
      <w:bookmarkEnd w:id="548"/>
      <w:bookmarkEnd w:id="549"/>
      <w:bookmarkEnd w:id="550"/>
    </w:p>
    <w:bookmarkEnd w:id="551"/>
    <w:bookmarkEnd w:id="552"/>
    <w:p>
      <w:pPr>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 xml:space="preserve">2022年三门县高标准农田（含粮食功能区）管护提升项目（亭旁镇）  </w:t>
      </w:r>
    </w:p>
    <w:p>
      <w:pPr>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项目负责人简历表</w:t>
      </w:r>
    </w:p>
    <w:tbl>
      <w:tblPr>
        <w:tblStyle w:val="18"/>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74"/>
        <w:gridCol w:w="861"/>
        <w:gridCol w:w="861"/>
        <w:gridCol w:w="1096"/>
        <w:gridCol w:w="913"/>
        <w:gridCol w:w="1213"/>
        <w:gridCol w:w="851"/>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0" w:hRule="exact"/>
        </w:trPr>
        <w:tc>
          <w:tcPr>
            <w:tcW w:w="86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1435" w:type="dxa"/>
            <w:gridSpan w:val="2"/>
            <w:vAlign w:val="center"/>
          </w:tcPr>
          <w:p>
            <w:pPr>
              <w:jc w:val="center"/>
              <w:rPr>
                <w:rFonts w:ascii="宋体" w:hAnsi="宋体" w:eastAsia="宋体" w:cs="宋体"/>
                <w:color w:val="auto"/>
                <w:sz w:val="24"/>
                <w:szCs w:val="24"/>
              </w:rPr>
            </w:pPr>
          </w:p>
        </w:tc>
        <w:tc>
          <w:tcPr>
            <w:tcW w:w="86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1096" w:type="dxa"/>
            <w:vAlign w:val="center"/>
          </w:tcPr>
          <w:p>
            <w:pPr>
              <w:jc w:val="center"/>
              <w:rPr>
                <w:rFonts w:ascii="宋体" w:hAnsi="宋体" w:eastAsia="宋体" w:cs="宋体"/>
                <w:color w:val="auto"/>
                <w:sz w:val="24"/>
                <w:szCs w:val="24"/>
              </w:rPr>
            </w:pPr>
          </w:p>
        </w:tc>
        <w:tc>
          <w:tcPr>
            <w:tcW w:w="91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1213" w:type="dxa"/>
            <w:vAlign w:val="center"/>
          </w:tcPr>
          <w:p>
            <w:pPr>
              <w:jc w:val="center"/>
              <w:rPr>
                <w:rFonts w:ascii="宋体" w:hAnsi="宋体" w:eastAsia="宋体" w:cs="宋体"/>
                <w:color w:val="auto"/>
                <w:sz w:val="24"/>
                <w:szCs w:val="24"/>
              </w:rPr>
            </w:pPr>
          </w:p>
        </w:tc>
        <w:tc>
          <w:tcPr>
            <w:tcW w:w="8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专业</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435" w:type="dxa"/>
            <w:gridSpan w:val="2"/>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资质等级</w:t>
            </w:r>
          </w:p>
        </w:tc>
        <w:tc>
          <w:tcPr>
            <w:tcW w:w="1722" w:type="dxa"/>
            <w:gridSpan w:val="2"/>
            <w:vAlign w:val="center"/>
          </w:tcPr>
          <w:p>
            <w:pPr>
              <w:jc w:val="center"/>
              <w:rPr>
                <w:rFonts w:ascii="宋体" w:hAnsi="宋体" w:eastAsia="宋体" w:cs="宋体"/>
                <w:color w:val="auto"/>
                <w:sz w:val="24"/>
                <w:szCs w:val="24"/>
              </w:rPr>
            </w:pPr>
          </w:p>
        </w:tc>
        <w:tc>
          <w:tcPr>
            <w:tcW w:w="109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2126" w:type="dxa"/>
            <w:gridSpan w:val="2"/>
            <w:vAlign w:val="center"/>
          </w:tcPr>
          <w:p>
            <w:pPr>
              <w:jc w:val="center"/>
              <w:rPr>
                <w:rFonts w:ascii="宋体" w:hAnsi="宋体" w:eastAsia="宋体" w:cs="宋体"/>
                <w:color w:val="auto"/>
                <w:sz w:val="24"/>
                <w:szCs w:val="24"/>
              </w:rPr>
            </w:pPr>
          </w:p>
        </w:tc>
        <w:tc>
          <w:tcPr>
            <w:tcW w:w="8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学历</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2296" w:type="dxa"/>
            <w:gridSpan w:val="3"/>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参加工作时间</w:t>
            </w:r>
          </w:p>
        </w:tc>
        <w:tc>
          <w:tcPr>
            <w:tcW w:w="1957" w:type="dxa"/>
            <w:gridSpan w:val="2"/>
            <w:vAlign w:val="center"/>
          </w:tcPr>
          <w:p>
            <w:pPr>
              <w:jc w:val="center"/>
              <w:rPr>
                <w:rFonts w:ascii="宋体" w:hAnsi="宋体" w:eastAsia="宋体" w:cs="宋体"/>
                <w:color w:val="auto"/>
                <w:sz w:val="24"/>
                <w:szCs w:val="24"/>
              </w:rPr>
            </w:pPr>
          </w:p>
        </w:tc>
        <w:tc>
          <w:tcPr>
            <w:tcW w:w="2977" w:type="dxa"/>
            <w:gridSpan w:val="3"/>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从事项目负责人年限</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0" w:hRule="atLeast"/>
        </w:trPr>
        <w:tc>
          <w:tcPr>
            <w:tcW w:w="861" w:type="dxa"/>
            <w:vAlign w:val="center"/>
          </w:tcPr>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r>
              <w:rPr>
                <w:rFonts w:hint="eastAsia" w:ascii="宋体" w:hAnsi="宋体" w:eastAsia="宋体" w:cs="宋体"/>
                <w:color w:val="auto"/>
                <w:sz w:val="24"/>
                <w:szCs w:val="24"/>
              </w:rPr>
              <w:t>简</w:t>
            </w: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r>
              <w:rPr>
                <w:rFonts w:hint="eastAsia" w:ascii="宋体" w:hAnsi="宋体" w:eastAsia="宋体" w:cs="宋体"/>
                <w:color w:val="auto"/>
                <w:sz w:val="24"/>
                <w:szCs w:val="24"/>
              </w:rPr>
              <w:t>历</w:t>
            </w: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rPr>
                <w:rFonts w:ascii="宋体" w:hAnsi="宋体" w:eastAsia="宋体" w:cs="宋体"/>
                <w:color w:val="auto"/>
                <w:sz w:val="24"/>
                <w:szCs w:val="24"/>
              </w:rPr>
            </w:pPr>
          </w:p>
        </w:tc>
        <w:tc>
          <w:tcPr>
            <w:tcW w:w="7454" w:type="dxa"/>
            <w:gridSpan w:val="8"/>
          </w:tcPr>
          <w:p>
            <w:pPr>
              <w:rPr>
                <w:rFonts w:ascii="宋体" w:hAnsi="宋体" w:eastAsia="宋体" w:cs="宋体"/>
                <w:color w:val="auto"/>
                <w:sz w:val="24"/>
                <w:szCs w:val="24"/>
              </w:rPr>
            </w:pPr>
          </w:p>
        </w:tc>
      </w:tr>
    </w:tbl>
    <w:p>
      <w:pPr>
        <w:rPr>
          <w:rFonts w:ascii="宋体" w:hAnsi="宋体" w:eastAsia="宋体" w:cs="宋体"/>
          <w:color w:val="auto"/>
          <w:sz w:val="28"/>
        </w:rPr>
      </w:pPr>
    </w:p>
    <w:p>
      <w:pPr>
        <w:rPr>
          <w:rFonts w:ascii="宋体" w:hAnsi="宋体" w:eastAsia="宋体" w:cs="宋体"/>
          <w:color w:val="auto"/>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bookmarkStart w:id="553" w:name="_Toc20133"/>
      <w:bookmarkStart w:id="554" w:name="_Toc201383242"/>
    </w:p>
    <w:p>
      <w:pPr>
        <w:pStyle w:val="16"/>
        <w:jc w:val="both"/>
        <w:rPr>
          <w:rFonts w:hint="eastAsia" w:ascii="宋体" w:hAnsi="宋体" w:cs="宋体"/>
          <w:b w:val="0"/>
          <w:bCs w:val="0"/>
          <w:color w:val="auto"/>
          <w:sz w:val="21"/>
          <w:szCs w:val="21"/>
        </w:rPr>
      </w:pPr>
    </w:p>
    <w:p>
      <w:pPr>
        <w:pStyle w:val="16"/>
        <w:jc w:val="both"/>
        <w:rPr>
          <w:rFonts w:ascii="宋体" w:hAnsi="宋体" w:cs="宋体"/>
          <w:b w:val="0"/>
          <w:bCs w:val="0"/>
          <w:color w:val="auto"/>
          <w:sz w:val="21"/>
          <w:szCs w:val="21"/>
        </w:rPr>
      </w:pPr>
      <w:r>
        <w:rPr>
          <w:rFonts w:hint="eastAsia" w:ascii="宋体" w:hAnsi="宋体" w:cs="宋体"/>
          <w:b w:val="0"/>
          <w:bCs w:val="0"/>
          <w:color w:val="auto"/>
          <w:sz w:val="21"/>
          <w:szCs w:val="21"/>
        </w:rPr>
        <w:t>附件四：</w:t>
      </w:r>
      <w:bookmarkEnd w:id="553"/>
      <w:bookmarkEnd w:id="554"/>
    </w:p>
    <w:p>
      <w:pPr>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 xml:space="preserve">2022年三门县高标准农田（含粮食功能区）管护提升项目（亭旁镇）  </w:t>
      </w:r>
    </w:p>
    <w:p>
      <w:pPr>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主要施工机械设备表</w:t>
      </w:r>
    </w:p>
    <w:tbl>
      <w:tblPr>
        <w:tblStyle w:val="18"/>
        <w:tblW w:w="835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17"/>
        <w:gridCol w:w="1533"/>
        <w:gridCol w:w="784"/>
        <w:gridCol w:w="1651"/>
        <w:gridCol w:w="123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617"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设备名称</w:t>
            </w:r>
          </w:p>
        </w:tc>
        <w:tc>
          <w:tcPr>
            <w:tcW w:w="153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规格型号</w:t>
            </w:r>
          </w:p>
        </w:tc>
        <w:tc>
          <w:tcPr>
            <w:tcW w:w="78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6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设备能力</w:t>
            </w:r>
          </w:p>
        </w:tc>
        <w:tc>
          <w:tcPr>
            <w:tcW w:w="1232"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进场时间</w:t>
            </w:r>
          </w:p>
        </w:tc>
        <w:tc>
          <w:tcPr>
            <w:tcW w:w="75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bl>
    <w:p>
      <w:pPr>
        <w:rPr>
          <w:rFonts w:ascii="宋体" w:hAnsi="宋体" w:eastAsia="宋体" w:cs="宋体"/>
          <w:color w:val="auto"/>
          <w:sz w:val="28"/>
        </w:rPr>
      </w:pPr>
    </w:p>
    <w:p>
      <w:pPr>
        <w:rPr>
          <w:rFonts w:ascii="宋体" w:hAnsi="宋体" w:eastAsia="宋体" w:cs="宋体"/>
          <w:color w:val="auto"/>
          <w:sz w:val="28"/>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spacing w:line="420" w:lineRule="exact"/>
        <w:rPr>
          <w:rFonts w:asciiTheme="minorEastAsia" w:hAnsiTheme="minorEastAsia"/>
          <w:color w:val="auto"/>
          <w:sz w:val="21"/>
          <w:szCs w:val="21"/>
        </w:rPr>
      </w:pPr>
    </w:p>
    <w:p>
      <w:pPr>
        <w:pStyle w:val="16"/>
        <w:jc w:val="both"/>
        <w:rPr>
          <w:rFonts w:ascii="宋体" w:hAnsi="宋体" w:cs="宋体"/>
          <w:b w:val="0"/>
          <w:color w:val="auto"/>
          <w:sz w:val="44"/>
        </w:rPr>
      </w:pPr>
      <w:bookmarkStart w:id="555" w:name="_Toc155342588"/>
      <w:bookmarkStart w:id="556" w:name="_Toc20033"/>
      <w:bookmarkStart w:id="557" w:name="_Toc201383244"/>
      <w:bookmarkStart w:id="558" w:name="_Toc169487834"/>
      <w:r>
        <w:rPr>
          <w:rFonts w:hint="eastAsia" w:ascii="宋体" w:hAnsi="宋体" w:cs="宋体"/>
          <w:b w:val="0"/>
          <w:bCs w:val="0"/>
          <w:color w:val="auto"/>
          <w:sz w:val="21"/>
          <w:szCs w:val="21"/>
        </w:rPr>
        <w:t>附件五：</w:t>
      </w:r>
      <w:bookmarkEnd w:id="555"/>
      <w:bookmarkEnd w:id="556"/>
      <w:bookmarkEnd w:id="557"/>
      <w:bookmarkEnd w:id="558"/>
    </w:p>
    <w:p>
      <w:pPr>
        <w:spacing w:line="360" w:lineRule="auto"/>
        <w:jc w:val="center"/>
        <w:rPr>
          <w:rFonts w:ascii="宋体" w:hAnsi="宋体" w:eastAsia="宋体" w:cs="宋体"/>
          <w:bCs/>
          <w:color w:val="auto"/>
          <w:sz w:val="44"/>
        </w:rPr>
      </w:pPr>
      <w:r>
        <w:rPr>
          <w:rFonts w:hint="eastAsia" w:ascii="宋体" w:hAnsi="宋体" w:eastAsia="宋体" w:cs="宋体"/>
          <w:b/>
          <w:color w:val="auto"/>
          <w:sz w:val="44"/>
        </w:rPr>
        <w:t>台州市建设工程诚信投标承诺书</w:t>
      </w:r>
    </w:p>
    <w:p>
      <w:pPr>
        <w:adjustRightInd w:val="0"/>
        <w:snapToGrid w:val="0"/>
        <w:spacing w:line="360" w:lineRule="auto"/>
        <w:rPr>
          <w:rFonts w:ascii="宋体" w:hAnsi="宋体" w:eastAsia="宋体" w:cs="宋体"/>
          <w:color w:val="auto"/>
          <w:sz w:val="24"/>
        </w:rPr>
      </w:pPr>
    </w:p>
    <w:p>
      <w:pPr>
        <w:adjustRightInd w:val="0"/>
        <w:snapToGrid w:val="0"/>
        <w:spacing w:line="480" w:lineRule="exact"/>
        <w:ind w:firstLine="491" w:firstLineChars="205"/>
        <w:rPr>
          <w:rFonts w:ascii="宋体" w:hAnsi="宋体" w:eastAsia="宋体" w:cs="宋体"/>
          <w:color w:val="auto"/>
          <w:sz w:val="24"/>
          <w:szCs w:val="24"/>
        </w:rPr>
      </w:pPr>
      <w:r>
        <w:rPr>
          <w:rFonts w:hint="eastAsia" w:ascii="宋体" w:hAnsi="宋体" w:eastAsia="宋体" w:cs="宋体"/>
          <w:color w:val="auto"/>
          <w:sz w:val="24"/>
          <w:szCs w:val="24"/>
        </w:rPr>
        <w:t>本人以企业法定代表人的身份郑重承诺：</w:t>
      </w:r>
    </w:p>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一、将遵循公开、公平、公正和诚实信用的原则参加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2022年三门县高标准农田（含粮食功能区）管护提升项目（亭旁镇）</w:t>
      </w:r>
      <w:r>
        <w:rPr>
          <w:rFonts w:hint="eastAsia" w:ascii="宋体" w:hAnsi="宋体" w:eastAsia="宋体" w:cs="宋体"/>
          <w:color w:val="auto"/>
          <w:sz w:val="24"/>
          <w:szCs w:val="24"/>
        </w:rPr>
        <w:t>的投标；</w:t>
      </w:r>
    </w:p>
    <w:p>
      <w:pPr>
        <w:adjustRightInd w:val="0"/>
        <w:snapToGrid w:val="0"/>
        <w:spacing w:line="480" w:lineRule="exact"/>
        <w:ind w:firstLine="523" w:firstLineChars="218"/>
        <w:rPr>
          <w:rFonts w:ascii="宋体" w:hAnsi="宋体" w:eastAsia="宋体" w:cs="宋体"/>
          <w:color w:val="auto"/>
          <w:sz w:val="24"/>
          <w:szCs w:val="24"/>
        </w:rPr>
      </w:pPr>
      <w:r>
        <w:rPr>
          <w:rFonts w:hint="eastAsia" w:ascii="宋体" w:hAnsi="宋体" w:eastAsia="宋体" w:cs="宋体"/>
          <w:color w:val="auto"/>
          <w:sz w:val="24"/>
          <w:szCs w:val="24"/>
        </w:rPr>
        <w:t>二、所提供的一切材料都是真实、有效、合法的；</w:t>
      </w:r>
    </w:p>
    <w:p>
      <w:pPr>
        <w:adjustRightInd w:val="0"/>
        <w:snapToGrid w:val="0"/>
        <w:spacing w:line="480" w:lineRule="exact"/>
        <w:ind w:firstLine="535" w:firstLineChars="223"/>
        <w:rPr>
          <w:rFonts w:ascii="宋体" w:hAnsi="宋体" w:eastAsia="宋体" w:cs="宋体"/>
          <w:color w:val="auto"/>
          <w:sz w:val="24"/>
          <w:szCs w:val="24"/>
        </w:rPr>
      </w:pPr>
      <w:r>
        <w:rPr>
          <w:rFonts w:hint="eastAsia" w:ascii="宋体" w:hAnsi="宋体" w:eastAsia="宋体" w:cs="宋体"/>
          <w:color w:val="auto"/>
          <w:sz w:val="24"/>
          <w:szCs w:val="24"/>
        </w:rPr>
        <w:t>三、不与其他投标人相互串通投标报价，不排挤其他投标人的公平竞争，不损害招标人或其他投标人的合法权益；</w:t>
      </w:r>
    </w:p>
    <w:p>
      <w:pPr>
        <w:adjustRightInd w:val="0"/>
        <w:snapToGrid w:val="0"/>
        <w:spacing w:line="480" w:lineRule="exact"/>
        <w:ind w:firstLine="554" w:firstLineChars="231"/>
        <w:rPr>
          <w:rFonts w:ascii="宋体" w:hAnsi="宋体" w:eastAsia="宋体" w:cs="宋体"/>
          <w:color w:val="auto"/>
          <w:sz w:val="24"/>
          <w:szCs w:val="24"/>
        </w:rPr>
      </w:pPr>
      <w:r>
        <w:rPr>
          <w:rFonts w:hint="eastAsia" w:ascii="宋体" w:hAnsi="宋体" w:eastAsia="宋体" w:cs="宋体"/>
          <w:color w:val="auto"/>
          <w:sz w:val="24"/>
          <w:szCs w:val="24"/>
        </w:rPr>
        <w:t>四、不与招标人或招标代理机构串通投标，损害国家利益、社会公共利益或者他人的合法权益；</w:t>
      </w:r>
    </w:p>
    <w:p>
      <w:pPr>
        <w:adjustRightInd w:val="0"/>
        <w:snapToGrid w:val="0"/>
        <w:spacing w:line="480" w:lineRule="exact"/>
        <w:ind w:firstLine="554" w:firstLineChars="231"/>
        <w:rPr>
          <w:rFonts w:ascii="宋体" w:hAnsi="宋体" w:eastAsia="宋体" w:cs="宋体"/>
          <w:color w:val="auto"/>
          <w:sz w:val="24"/>
          <w:szCs w:val="24"/>
        </w:rPr>
      </w:pPr>
      <w:r>
        <w:rPr>
          <w:rFonts w:hint="eastAsia" w:ascii="宋体" w:hAnsi="宋体" w:eastAsia="宋体" w:cs="宋体"/>
          <w:color w:val="auto"/>
          <w:sz w:val="24"/>
          <w:szCs w:val="24"/>
        </w:rPr>
        <w:t>五、不向招标人或者评标委员会成员行贿以牟取中标；</w:t>
      </w:r>
    </w:p>
    <w:p>
      <w:pPr>
        <w:adjustRightInd w:val="0"/>
        <w:snapToGrid w:val="0"/>
        <w:spacing w:line="480" w:lineRule="exact"/>
        <w:ind w:firstLine="576" w:firstLineChars="240"/>
        <w:rPr>
          <w:rFonts w:ascii="宋体" w:hAnsi="宋体" w:eastAsia="宋体" w:cs="宋体"/>
          <w:color w:val="auto"/>
          <w:sz w:val="24"/>
          <w:szCs w:val="24"/>
        </w:rPr>
      </w:pPr>
      <w:r>
        <w:rPr>
          <w:rFonts w:hint="eastAsia" w:ascii="宋体" w:hAnsi="宋体" w:eastAsia="宋体" w:cs="宋体"/>
          <w:color w:val="auto"/>
          <w:sz w:val="24"/>
          <w:szCs w:val="24"/>
        </w:rPr>
        <w:t>六、不以他人名义投标或者以其他方式弄虚作假，骗取中标。</w:t>
      </w:r>
    </w:p>
    <w:p>
      <w:pPr>
        <w:adjustRightInd w:val="0"/>
        <w:snapToGrid w:val="0"/>
        <w:spacing w:line="480" w:lineRule="exact"/>
        <w:ind w:firstLine="619" w:firstLineChars="258"/>
        <w:rPr>
          <w:rFonts w:ascii="宋体" w:hAnsi="宋体" w:eastAsia="宋体" w:cs="宋体"/>
          <w:color w:val="auto"/>
          <w:sz w:val="24"/>
          <w:szCs w:val="24"/>
        </w:rPr>
      </w:pPr>
      <w:r>
        <w:rPr>
          <w:rFonts w:hint="eastAsia" w:ascii="宋体" w:hAnsi="宋体" w:eastAsia="宋体" w:cs="宋体"/>
          <w:color w:val="auto"/>
          <w:sz w:val="24"/>
          <w:szCs w:val="24"/>
        </w:rPr>
        <w:t>本公司若有违反本承诺内容的行为，愿意承担法律责任。如已中标的，自动放弃中标资格；给招标人造成损失的，依法承担赔偿责任。</w:t>
      </w:r>
    </w:p>
    <w:p>
      <w:pPr>
        <w:adjustRightInd w:val="0"/>
        <w:snapToGrid w:val="0"/>
        <w:spacing w:line="586" w:lineRule="exact"/>
        <w:rPr>
          <w:rFonts w:ascii="宋体" w:hAnsi="宋体" w:eastAsia="宋体" w:cs="宋体"/>
          <w:color w:val="auto"/>
          <w:sz w:val="28"/>
          <w:szCs w:val="28"/>
        </w:rPr>
      </w:pPr>
    </w:p>
    <w:p>
      <w:pPr>
        <w:adjustRightInd w:val="0"/>
        <w:snapToGrid w:val="0"/>
        <w:spacing w:line="586" w:lineRule="exact"/>
        <w:rPr>
          <w:rFonts w:ascii="宋体" w:hAnsi="宋体" w:eastAsia="宋体" w:cs="宋体"/>
          <w:color w:val="auto"/>
          <w:sz w:val="28"/>
          <w:szCs w:val="28"/>
        </w:rPr>
      </w:pPr>
    </w:p>
    <w:p>
      <w:pPr>
        <w:adjustRightInd w:val="0"/>
        <w:snapToGrid w:val="0"/>
        <w:spacing w:line="586" w:lineRule="exact"/>
        <w:rPr>
          <w:rFonts w:ascii="宋体" w:hAnsi="宋体" w:eastAsia="宋体" w:cs="宋体"/>
          <w:color w:val="auto"/>
          <w:sz w:val="28"/>
          <w:szCs w:val="28"/>
        </w:rPr>
      </w:pPr>
    </w:p>
    <w:p>
      <w:pPr>
        <w:rPr>
          <w:rFonts w:ascii="宋体" w:hAnsi="宋体" w:eastAsia="宋体" w:cs="宋体"/>
          <w:color w:val="auto"/>
          <w:sz w:val="28"/>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pStyle w:val="16"/>
        <w:jc w:val="both"/>
        <w:rPr>
          <w:rFonts w:hint="eastAsia" w:ascii="宋体" w:hAnsi="宋体" w:cs="宋体"/>
          <w:b w:val="0"/>
          <w:bCs w:val="0"/>
          <w:color w:val="auto"/>
          <w:sz w:val="21"/>
          <w:szCs w:val="21"/>
        </w:rPr>
      </w:pPr>
      <w:bookmarkStart w:id="559" w:name="_Toc169487835"/>
      <w:bookmarkStart w:id="560" w:name="_Toc155342591"/>
      <w:bookmarkStart w:id="561" w:name="_Toc201383245"/>
      <w:bookmarkStart w:id="562" w:name="_Toc18419"/>
    </w:p>
    <w:p>
      <w:pPr>
        <w:rPr>
          <w:rFonts w:hint="eastAsia" w:ascii="宋体" w:hAnsi="宋体" w:cs="宋体"/>
          <w:b w:val="0"/>
          <w:bCs w:val="0"/>
          <w:color w:val="auto"/>
          <w:sz w:val="21"/>
          <w:szCs w:val="21"/>
        </w:rPr>
      </w:pPr>
      <w:r>
        <w:rPr>
          <w:rFonts w:hint="eastAsia" w:ascii="宋体" w:hAnsi="宋体" w:cs="宋体"/>
          <w:b w:val="0"/>
          <w:bCs w:val="0"/>
          <w:color w:val="auto"/>
          <w:sz w:val="21"/>
          <w:szCs w:val="21"/>
        </w:rPr>
        <w:br w:type="page"/>
      </w:r>
    </w:p>
    <w:p>
      <w:pPr>
        <w:pStyle w:val="16"/>
        <w:jc w:val="both"/>
        <w:rPr>
          <w:rFonts w:ascii="宋体" w:hAnsi="宋体" w:cs="宋体"/>
          <w:color w:val="auto"/>
          <w:sz w:val="21"/>
          <w:szCs w:val="21"/>
        </w:rPr>
      </w:pPr>
      <w:r>
        <w:rPr>
          <w:rFonts w:hint="eastAsia" w:ascii="宋体" w:hAnsi="宋体" w:cs="宋体"/>
          <w:b w:val="0"/>
          <w:bCs w:val="0"/>
          <w:color w:val="auto"/>
          <w:sz w:val="21"/>
          <w:szCs w:val="21"/>
        </w:rPr>
        <w:t>附件六：</w:t>
      </w:r>
      <w:bookmarkEnd w:id="559"/>
      <w:bookmarkEnd w:id="560"/>
      <w:bookmarkEnd w:id="561"/>
      <w:bookmarkEnd w:id="562"/>
    </w:p>
    <w:p>
      <w:pPr>
        <w:adjustRightInd w:val="0"/>
        <w:snapToGrid w:val="0"/>
        <w:spacing w:beforeLines="50" w:line="360" w:lineRule="auto"/>
        <w:jc w:val="center"/>
        <w:rPr>
          <w:rFonts w:ascii="宋体" w:hAnsi="宋体" w:eastAsia="宋体" w:cs="宋体"/>
          <w:color w:val="auto"/>
          <w:sz w:val="44"/>
        </w:rPr>
      </w:pPr>
      <w:r>
        <w:rPr>
          <w:rFonts w:hint="eastAsia" w:ascii="宋体" w:hAnsi="宋体" w:eastAsia="宋体" w:cs="宋体"/>
          <w:color w:val="auto"/>
          <w:sz w:val="44"/>
        </w:rPr>
        <w:t>法定代表人授权委托书</w:t>
      </w:r>
    </w:p>
    <w:p>
      <w:pPr>
        <w:adjustRightInd w:val="0"/>
        <w:snapToGrid w:val="0"/>
        <w:spacing w:beforeLines="50" w:line="360" w:lineRule="auto"/>
        <w:jc w:val="center"/>
        <w:rPr>
          <w:rFonts w:ascii="宋体" w:hAnsi="宋体" w:eastAsia="宋体" w:cs="宋体"/>
          <w:color w:val="auto"/>
          <w:sz w:val="28"/>
        </w:rPr>
      </w:pPr>
      <w:r>
        <w:rPr>
          <w:rFonts w:hint="eastAsia" w:ascii="宋体" w:hAnsi="宋体" w:eastAsia="宋体" w:cs="宋体"/>
          <w:color w:val="auto"/>
          <w:sz w:val="28"/>
        </w:rPr>
        <w:t>（参考样张）</w:t>
      </w:r>
    </w:p>
    <w:p>
      <w:pPr>
        <w:adjustRightInd w:val="0"/>
        <w:snapToGrid w:val="0"/>
        <w:spacing w:beforeLines="50" w:line="360" w:lineRule="auto"/>
        <w:ind w:firstLine="600"/>
        <w:rPr>
          <w:rFonts w:ascii="宋体" w:hAnsi="宋体" w:eastAsia="宋体" w:cs="宋体"/>
          <w:color w:val="auto"/>
          <w:sz w:val="28"/>
          <w:u w:val="single"/>
        </w:rPr>
      </w:pPr>
      <w:r>
        <w:rPr>
          <w:rFonts w:hint="eastAsia" w:ascii="宋体" w:hAnsi="宋体" w:eastAsia="宋体" w:cs="宋体"/>
          <w:color w:val="auto"/>
          <w:sz w:val="28"/>
        </w:rPr>
        <w:t>本授权委托书声明：我</w:t>
      </w:r>
      <w:r>
        <w:rPr>
          <w:rFonts w:hint="eastAsia" w:ascii="宋体" w:hAnsi="宋体" w:eastAsia="宋体" w:cs="宋体"/>
          <w:color w:val="auto"/>
          <w:sz w:val="28"/>
          <w:u w:val="single"/>
        </w:rPr>
        <w:t xml:space="preserve">         </w:t>
      </w:r>
      <w:r>
        <w:rPr>
          <w:rFonts w:hint="eastAsia" w:ascii="宋体" w:hAnsi="宋体" w:eastAsia="宋体" w:cs="宋体"/>
          <w:color w:val="auto"/>
          <w:sz w:val="28"/>
        </w:rPr>
        <w:t>（姓名）系</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（投标人）的法定代表人，现授权委托我单位</w:t>
      </w:r>
      <w:r>
        <w:rPr>
          <w:rFonts w:hint="eastAsia" w:ascii="宋体" w:hAnsi="宋体" w:eastAsia="宋体" w:cs="宋体"/>
          <w:color w:val="auto"/>
          <w:sz w:val="28"/>
          <w:u w:val="single"/>
        </w:rPr>
        <w:t xml:space="preserve">        </w:t>
      </w:r>
      <w:r>
        <w:rPr>
          <w:rFonts w:hint="eastAsia" w:ascii="宋体" w:hAnsi="宋体" w:eastAsia="宋体" w:cs="宋体"/>
          <w:color w:val="auto"/>
          <w:sz w:val="28"/>
        </w:rPr>
        <w:t>（姓名）为我的代理人，以本单位的名义参加</w:t>
      </w:r>
      <w:r>
        <w:rPr>
          <w:rFonts w:hint="eastAsia" w:ascii="宋体" w:hAnsi="宋体" w:eastAsia="宋体" w:cs="宋体"/>
          <w:color w:val="auto"/>
          <w:sz w:val="28"/>
          <w:u w:val="single"/>
        </w:rPr>
        <w:t xml:space="preserve">                                </w:t>
      </w:r>
      <w:r>
        <w:rPr>
          <w:rFonts w:hint="eastAsia" w:ascii="宋体" w:hAnsi="宋体" w:eastAsia="宋体" w:cs="宋体"/>
          <w:color w:val="auto"/>
          <w:sz w:val="28"/>
        </w:rPr>
        <w:t>（招标人）的</w:t>
      </w:r>
      <w:r>
        <w:rPr>
          <w:rFonts w:hint="eastAsia" w:ascii="宋体" w:hAnsi="宋体" w:eastAsia="宋体" w:cs="宋体"/>
          <w:color w:val="auto"/>
          <w:sz w:val="28"/>
          <w:u w:val="single"/>
        </w:rPr>
        <w:t xml:space="preserve">                           </w:t>
      </w:r>
      <w:r>
        <w:rPr>
          <w:rFonts w:hint="eastAsia" w:ascii="宋体" w:hAnsi="宋体" w:eastAsia="宋体" w:cs="宋体"/>
          <w:color w:val="auto"/>
          <w:sz w:val="28"/>
        </w:rPr>
        <w:t>（工程名称）的投标。</w:t>
      </w:r>
      <w:r>
        <w:rPr>
          <w:rFonts w:hint="eastAsia" w:ascii="宋体" w:eastAsia="宋体"/>
          <w:color w:val="auto"/>
          <w:sz w:val="28"/>
        </w:rPr>
        <w:t>代理人为该工程的投标项目负责人，</w:t>
      </w:r>
      <w:r>
        <w:rPr>
          <w:rFonts w:hint="eastAsia" w:ascii="宋体" w:eastAsia="宋体"/>
          <w:color w:val="000000"/>
          <w:sz w:val="28"/>
        </w:rPr>
        <w:t>在招投标活动中的一切事务，</w:t>
      </w:r>
      <w:r>
        <w:rPr>
          <w:rFonts w:hint="eastAsia" w:ascii="宋体" w:hAnsi="宋体" w:eastAsia="宋体" w:cs="宋体"/>
          <w:color w:val="auto"/>
          <w:sz w:val="28"/>
        </w:rPr>
        <w:t>我均予以承认。</w:t>
      </w:r>
    </w:p>
    <w:p>
      <w:pPr>
        <w:adjustRightInd w:val="0"/>
        <w:snapToGrid w:val="0"/>
        <w:spacing w:beforeLines="50" w:line="360" w:lineRule="auto"/>
        <w:ind w:firstLine="560" w:firstLineChars="200"/>
        <w:rPr>
          <w:rFonts w:ascii="宋体" w:hAnsi="宋体" w:eastAsia="宋体" w:cs="宋体"/>
          <w:color w:val="auto"/>
          <w:sz w:val="28"/>
        </w:rPr>
      </w:pPr>
      <w:r>
        <w:rPr>
          <w:rFonts w:hint="eastAsia" w:ascii="宋体" w:hAnsi="宋体" w:eastAsia="宋体" w:cs="宋体"/>
          <w:color w:val="auto"/>
          <w:sz w:val="28"/>
        </w:rPr>
        <w:t>代理人无转委权，特此委托。</w:t>
      </w: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投标人（盖章）：</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法定代表人（盖章）：</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u w:val="single"/>
        </w:rPr>
      </w:pPr>
      <w:r>
        <w:rPr>
          <w:rFonts w:hint="eastAsia" w:ascii="宋体" w:hAnsi="宋体" w:eastAsia="宋体" w:cs="宋体"/>
          <w:color w:val="auto"/>
          <w:sz w:val="28"/>
        </w:rPr>
        <w:t>代理人：</w:t>
      </w:r>
      <w:r>
        <w:rPr>
          <w:rFonts w:hint="eastAsia" w:ascii="宋体" w:hAnsi="宋体" w:eastAsia="宋体" w:cs="宋体"/>
          <w:color w:val="auto"/>
          <w:sz w:val="28"/>
          <w:u w:val="single"/>
        </w:rPr>
        <w:t xml:space="preserve">              </w:t>
      </w:r>
      <w:r>
        <w:rPr>
          <w:rFonts w:hint="eastAsia" w:ascii="宋体" w:hAnsi="宋体" w:eastAsia="宋体" w:cs="宋体"/>
          <w:color w:val="auto"/>
          <w:sz w:val="28"/>
        </w:rPr>
        <w:t>性别：</w:t>
      </w:r>
      <w:r>
        <w:rPr>
          <w:rFonts w:hint="eastAsia" w:ascii="宋体" w:hAnsi="宋体" w:eastAsia="宋体" w:cs="宋体"/>
          <w:color w:val="auto"/>
          <w:sz w:val="28"/>
          <w:u w:val="single"/>
        </w:rPr>
        <w:t xml:space="preserve">              </w:t>
      </w:r>
      <w:r>
        <w:rPr>
          <w:rFonts w:hint="eastAsia" w:ascii="宋体" w:hAnsi="宋体" w:eastAsia="宋体" w:cs="宋体"/>
          <w:color w:val="auto"/>
          <w:sz w:val="28"/>
        </w:rPr>
        <w:t>年龄</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u w:val="single"/>
        </w:rPr>
      </w:pPr>
      <w:r>
        <w:rPr>
          <w:rFonts w:hint="eastAsia" w:ascii="宋体" w:hAnsi="宋体" w:eastAsia="宋体" w:cs="宋体"/>
          <w:color w:val="auto"/>
          <w:sz w:val="28"/>
        </w:rPr>
        <w:t>身份证号码：</w:t>
      </w:r>
      <w:r>
        <w:rPr>
          <w:rFonts w:hint="eastAsia" w:ascii="宋体" w:hAnsi="宋体" w:eastAsia="宋体" w:cs="宋体"/>
          <w:color w:val="auto"/>
          <w:sz w:val="28"/>
          <w:u w:val="single"/>
        </w:rPr>
        <w:t xml:space="preserve">                  </w:t>
      </w:r>
      <w:r>
        <w:rPr>
          <w:rFonts w:hint="eastAsia" w:ascii="宋体" w:hAnsi="宋体" w:eastAsia="宋体" w:cs="宋体"/>
          <w:color w:val="auto"/>
          <w:sz w:val="28"/>
        </w:rPr>
        <w:t>职务：</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授权委托日期：</w:t>
      </w:r>
      <w:r>
        <w:rPr>
          <w:rFonts w:hint="eastAsia" w:ascii="宋体" w:hAnsi="宋体" w:eastAsia="宋体" w:cs="宋体"/>
          <w:color w:val="auto"/>
          <w:sz w:val="28"/>
          <w:u w:val="single"/>
        </w:rPr>
        <w:t xml:space="preserve">            </w:t>
      </w:r>
      <w:r>
        <w:rPr>
          <w:rFonts w:hint="eastAsia" w:ascii="宋体" w:hAnsi="宋体" w:eastAsia="宋体" w:cs="宋体"/>
          <w:color w:val="auto"/>
          <w:sz w:val="28"/>
        </w:rPr>
        <w:t>年</w:t>
      </w:r>
      <w:r>
        <w:rPr>
          <w:rFonts w:hint="eastAsia" w:ascii="宋体" w:hAnsi="宋体" w:eastAsia="宋体" w:cs="宋体"/>
          <w:color w:val="auto"/>
          <w:sz w:val="28"/>
          <w:u w:val="single"/>
        </w:rPr>
        <w:t xml:space="preserve">            </w:t>
      </w:r>
      <w:r>
        <w:rPr>
          <w:rFonts w:hint="eastAsia" w:ascii="宋体" w:hAnsi="宋体" w:eastAsia="宋体" w:cs="宋体"/>
          <w:color w:val="auto"/>
          <w:sz w:val="28"/>
        </w:rPr>
        <w:t>月</w:t>
      </w:r>
      <w:r>
        <w:rPr>
          <w:rFonts w:hint="eastAsia" w:ascii="宋体" w:hAnsi="宋体" w:eastAsia="宋体" w:cs="宋体"/>
          <w:color w:val="auto"/>
          <w:sz w:val="28"/>
          <w:u w:val="single"/>
        </w:rPr>
        <w:t xml:space="preserve">             </w:t>
      </w:r>
      <w:r>
        <w:rPr>
          <w:rFonts w:hint="eastAsia" w:ascii="宋体" w:hAnsi="宋体" w:eastAsia="宋体" w:cs="宋体"/>
          <w:color w:val="auto"/>
          <w:sz w:val="28"/>
        </w:rPr>
        <w:t>日</w:t>
      </w: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00" w:lineRule="exact"/>
        <w:rPr>
          <w:rFonts w:ascii="宋体" w:hAnsi="宋体" w:eastAsia="宋体"/>
          <w:color w:val="auto"/>
          <w:sz w:val="21"/>
          <w:szCs w:val="21"/>
        </w:rPr>
      </w:pPr>
    </w:p>
    <w:sectPr>
      <w:footerReference r:id="rId4" w:type="default"/>
      <w:pgSz w:w="11906" w:h="16838"/>
      <w:pgMar w:top="1440" w:right="1644" w:bottom="1440" w:left="164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5992"/>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89527"/>
    </w:sdtPr>
    <w:sdt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49071"/>
    <w:multiLevelType w:val="singleLevel"/>
    <w:tmpl w:val="EBE49071"/>
    <w:lvl w:ilvl="0" w:tentative="0">
      <w:start w:val="26"/>
      <w:numFmt w:val="decimal"/>
      <w:lvlText w:val="%1."/>
      <w:lvlJc w:val="left"/>
      <w:pPr>
        <w:tabs>
          <w:tab w:val="left" w:pos="312"/>
        </w:tabs>
      </w:pPr>
    </w:lvl>
  </w:abstractNum>
  <w:abstractNum w:abstractNumId="1">
    <w:nsid w:val="013331FD"/>
    <w:multiLevelType w:val="multilevel"/>
    <w:tmpl w:val="013331FD"/>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2">
    <w:nsid w:val="049B5614"/>
    <w:multiLevelType w:val="multilevel"/>
    <w:tmpl w:val="049B5614"/>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3">
    <w:nsid w:val="29850570"/>
    <w:multiLevelType w:val="multilevel"/>
    <w:tmpl w:val="29850570"/>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4">
    <w:nsid w:val="4F5531DB"/>
    <w:multiLevelType w:val="multilevel"/>
    <w:tmpl w:val="4F5531DB"/>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NzMxZjQ1MDUwZDllOGUwZjBlNTBmMDVhYjU0MmMifQ=="/>
  </w:docVars>
  <w:rsids>
    <w:rsidRoot w:val="009F53FE"/>
    <w:rsid w:val="00007A69"/>
    <w:rsid w:val="00010D64"/>
    <w:rsid w:val="000112C1"/>
    <w:rsid w:val="0002229F"/>
    <w:rsid w:val="00027C8F"/>
    <w:rsid w:val="00030683"/>
    <w:rsid w:val="00037F6A"/>
    <w:rsid w:val="00042E8F"/>
    <w:rsid w:val="000439C2"/>
    <w:rsid w:val="000453E3"/>
    <w:rsid w:val="000465F9"/>
    <w:rsid w:val="000509CF"/>
    <w:rsid w:val="0005215E"/>
    <w:rsid w:val="00052B8E"/>
    <w:rsid w:val="00054FEA"/>
    <w:rsid w:val="0005532E"/>
    <w:rsid w:val="00060F73"/>
    <w:rsid w:val="000631E0"/>
    <w:rsid w:val="00064597"/>
    <w:rsid w:val="000759A1"/>
    <w:rsid w:val="00077BF0"/>
    <w:rsid w:val="00083748"/>
    <w:rsid w:val="000918E8"/>
    <w:rsid w:val="00096B7F"/>
    <w:rsid w:val="000A0A64"/>
    <w:rsid w:val="000A21FC"/>
    <w:rsid w:val="000B0B17"/>
    <w:rsid w:val="000C1360"/>
    <w:rsid w:val="000C6946"/>
    <w:rsid w:val="000D0034"/>
    <w:rsid w:val="000D25A6"/>
    <w:rsid w:val="000D29DF"/>
    <w:rsid w:val="000E40F5"/>
    <w:rsid w:val="000F0D65"/>
    <w:rsid w:val="000F361E"/>
    <w:rsid w:val="000F5AEA"/>
    <w:rsid w:val="001001B2"/>
    <w:rsid w:val="00125E3B"/>
    <w:rsid w:val="00135A79"/>
    <w:rsid w:val="00136DFD"/>
    <w:rsid w:val="00137FEE"/>
    <w:rsid w:val="001413AF"/>
    <w:rsid w:val="0014194F"/>
    <w:rsid w:val="00151C65"/>
    <w:rsid w:val="0015255E"/>
    <w:rsid w:val="0016113C"/>
    <w:rsid w:val="00163046"/>
    <w:rsid w:val="00170655"/>
    <w:rsid w:val="00177E93"/>
    <w:rsid w:val="001802E6"/>
    <w:rsid w:val="001870CF"/>
    <w:rsid w:val="001927E9"/>
    <w:rsid w:val="0019427C"/>
    <w:rsid w:val="0019563D"/>
    <w:rsid w:val="001A11A1"/>
    <w:rsid w:val="001A688C"/>
    <w:rsid w:val="001A6EC8"/>
    <w:rsid w:val="001A75C6"/>
    <w:rsid w:val="001B0555"/>
    <w:rsid w:val="001B457E"/>
    <w:rsid w:val="001B45B3"/>
    <w:rsid w:val="001C62EE"/>
    <w:rsid w:val="001D1214"/>
    <w:rsid w:val="001D272F"/>
    <w:rsid w:val="001D3B5F"/>
    <w:rsid w:val="001D6EB6"/>
    <w:rsid w:val="001E74E6"/>
    <w:rsid w:val="002002D7"/>
    <w:rsid w:val="002005C3"/>
    <w:rsid w:val="002075AC"/>
    <w:rsid w:val="0021524E"/>
    <w:rsid w:val="0022052E"/>
    <w:rsid w:val="002226A9"/>
    <w:rsid w:val="00224CA2"/>
    <w:rsid w:val="00237C4C"/>
    <w:rsid w:val="0024250E"/>
    <w:rsid w:val="00260B9F"/>
    <w:rsid w:val="00262615"/>
    <w:rsid w:val="00262FC2"/>
    <w:rsid w:val="00266843"/>
    <w:rsid w:val="00274876"/>
    <w:rsid w:val="00275F2C"/>
    <w:rsid w:val="00281CD3"/>
    <w:rsid w:val="00284E57"/>
    <w:rsid w:val="00285807"/>
    <w:rsid w:val="0028764A"/>
    <w:rsid w:val="0029007A"/>
    <w:rsid w:val="00293D54"/>
    <w:rsid w:val="00294A49"/>
    <w:rsid w:val="002A3EBE"/>
    <w:rsid w:val="002A4146"/>
    <w:rsid w:val="002A53C7"/>
    <w:rsid w:val="002B27CE"/>
    <w:rsid w:val="002B4900"/>
    <w:rsid w:val="002B669A"/>
    <w:rsid w:val="002C1D3F"/>
    <w:rsid w:val="002D1860"/>
    <w:rsid w:val="002D2DE8"/>
    <w:rsid w:val="002D68C2"/>
    <w:rsid w:val="002F3D16"/>
    <w:rsid w:val="0030041B"/>
    <w:rsid w:val="0030090D"/>
    <w:rsid w:val="003012A8"/>
    <w:rsid w:val="00302A30"/>
    <w:rsid w:val="003041E7"/>
    <w:rsid w:val="00304F6B"/>
    <w:rsid w:val="00305E76"/>
    <w:rsid w:val="0031640E"/>
    <w:rsid w:val="00330A45"/>
    <w:rsid w:val="00336433"/>
    <w:rsid w:val="00342D5D"/>
    <w:rsid w:val="003447DB"/>
    <w:rsid w:val="00360FED"/>
    <w:rsid w:val="00362C32"/>
    <w:rsid w:val="00366BEC"/>
    <w:rsid w:val="00371B63"/>
    <w:rsid w:val="0038677F"/>
    <w:rsid w:val="00386FE1"/>
    <w:rsid w:val="00394975"/>
    <w:rsid w:val="003A5CE7"/>
    <w:rsid w:val="003A5D9C"/>
    <w:rsid w:val="003A69F9"/>
    <w:rsid w:val="003B1FE2"/>
    <w:rsid w:val="003C1512"/>
    <w:rsid w:val="003C2D9E"/>
    <w:rsid w:val="003C6CE0"/>
    <w:rsid w:val="003E515A"/>
    <w:rsid w:val="003E5EF6"/>
    <w:rsid w:val="003F1103"/>
    <w:rsid w:val="003F11B8"/>
    <w:rsid w:val="003F2D7B"/>
    <w:rsid w:val="003F4D10"/>
    <w:rsid w:val="003F7DE1"/>
    <w:rsid w:val="004052FD"/>
    <w:rsid w:val="004128E9"/>
    <w:rsid w:val="00423F4E"/>
    <w:rsid w:val="00433525"/>
    <w:rsid w:val="00435C37"/>
    <w:rsid w:val="00436D07"/>
    <w:rsid w:val="00445C1D"/>
    <w:rsid w:val="00452F2F"/>
    <w:rsid w:val="004533C9"/>
    <w:rsid w:val="00454DBB"/>
    <w:rsid w:val="00455C5C"/>
    <w:rsid w:val="00461D49"/>
    <w:rsid w:val="00467AF6"/>
    <w:rsid w:val="00475263"/>
    <w:rsid w:val="00480896"/>
    <w:rsid w:val="0048103A"/>
    <w:rsid w:val="00492395"/>
    <w:rsid w:val="00492813"/>
    <w:rsid w:val="00497FD2"/>
    <w:rsid w:val="004A035F"/>
    <w:rsid w:val="004A1699"/>
    <w:rsid w:val="004A2C3C"/>
    <w:rsid w:val="004A320E"/>
    <w:rsid w:val="004A446C"/>
    <w:rsid w:val="004A6B8E"/>
    <w:rsid w:val="004A7D01"/>
    <w:rsid w:val="004B3F32"/>
    <w:rsid w:val="004B5EA2"/>
    <w:rsid w:val="004B682C"/>
    <w:rsid w:val="004C08FB"/>
    <w:rsid w:val="004C1917"/>
    <w:rsid w:val="004C2C67"/>
    <w:rsid w:val="004D58CD"/>
    <w:rsid w:val="004D6191"/>
    <w:rsid w:val="004E5D01"/>
    <w:rsid w:val="004F10E1"/>
    <w:rsid w:val="004F2E81"/>
    <w:rsid w:val="004F3C29"/>
    <w:rsid w:val="005001D1"/>
    <w:rsid w:val="00501078"/>
    <w:rsid w:val="0050300E"/>
    <w:rsid w:val="00503157"/>
    <w:rsid w:val="00507345"/>
    <w:rsid w:val="00516014"/>
    <w:rsid w:val="005167D9"/>
    <w:rsid w:val="005169E8"/>
    <w:rsid w:val="00517695"/>
    <w:rsid w:val="00536183"/>
    <w:rsid w:val="005403BC"/>
    <w:rsid w:val="00551128"/>
    <w:rsid w:val="005522AF"/>
    <w:rsid w:val="005525B6"/>
    <w:rsid w:val="00556F08"/>
    <w:rsid w:val="00561E2E"/>
    <w:rsid w:val="00565A73"/>
    <w:rsid w:val="00565B01"/>
    <w:rsid w:val="00565FAB"/>
    <w:rsid w:val="00570400"/>
    <w:rsid w:val="005725E6"/>
    <w:rsid w:val="00574169"/>
    <w:rsid w:val="00581764"/>
    <w:rsid w:val="005824F2"/>
    <w:rsid w:val="00584129"/>
    <w:rsid w:val="0058604C"/>
    <w:rsid w:val="00587648"/>
    <w:rsid w:val="005904AD"/>
    <w:rsid w:val="00592915"/>
    <w:rsid w:val="005A283C"/>
    <w:rsid w:val="005A341E"/>
    <w:rsid w:val="005A3F9C"/>
    <w:rsid w:val="005A681B"/>
    <w:rsid w:val="005B1272"/>
    <w:rsid w:val="005B5606"/>
    <w:rsid w:val="005C1014"/>
    <w:rsid w:val="005C38C6"/>
    <w:rsid w:val="005C7FD6"/>
    <w:rsid w:val="005D2B2F"/>
    <w:rsid w:val="005E4210"/>
    <w:rsid w:val="005E4E66"/>
    <w:rsid w:val="005E51CF"/>
    <w:rsid w:val="005E6378"/>
    <w:rsid w:val="005E6BB6"/>
    <w:rsid w:val="005F3843"/>
    <w:rsid w:val="005F45B6"/>
    <w:rsid w:val="005F4754"/>
    <w:rsid w:val="00606F89"/>
    <w:rsid w:val="0061645F"/>
    <w:rsid w:val="00620C69"/>
    <w:rsid w:val="006355EF"/>
    <w:rsid w:val="00635649"/>
    <w:rsid w:val="006442AD"/>
    <w:rsid w:val="00645ED2"/>
    <w:rsid w:val="006602DC"/>
    <w:rsid w:val="006638E3"/>
    <w:rsid w:val="006654B0"/>
    <w:rsid w:val="00666331"/>
    <w:rsid w:val="00671C27"/>
    <w:rsid w:val="00683025"/>
    <w:rsid w:val="0068330F"/>
    <w:rsid w:val="0069157F"/>
    <w:rsid w:val="00695F4A"/>
    <w:rsid w:val="006A3F20"/>
    <w:rsid w:val="006B4A7C"/>
    <w:rsid w:val="006D1951"/>
    <w:rsid w:val="006D6815"/>
    <w:rsid w:val="006E09AA"/>
    <w:rsid w:val="006E640E"/>
    <w:rsid w:val="006E72A4"/>
    <w:rsid w:val="006E7C44"/>
    <w:rsid w:val="006F1128"/>
    <w:rsid w:val="006F27E1"/>
    <w:rsid w:val="006F781F"/>
    <w:rsid w:val="00703506"/>
    <w:rsid w:val="00703E2B"/>
    <w:rsid w:val="007043FF"/>
    <w:rsid w:val="00706ABE"/>
    <w:rsid w:val="00710458"/>
    <w:rsid w:val="00712B94"/>
    <w:rsid w:val="00712F33"/>
    <w:rsid w:val="00721743"/>
    <w:rsid w:val="00724552"/>
    <w:rsid w:val="0073252B"/>
    <w:rsid w:val="00740FD7"/>
    <w:rsid w:val="00747D7D"/>
    <w:rsid w:val="007554A2"/>
    <w:rsid w:val="007611A8"/>
    <w:rsid w:val="007679F2"/>
    <w:rsid w:val="00781AEC"/>
    <w:rsid w:val="00782055"/>
    <w:rsid w:val="007912AC"/>
    <w:rsid w:val="00796ADB"/>
    <w:rsid w:val="007A29F3"/>
    <w:rsid w:val="007B1A6C"/>
    <w:rsid w:val="007B3FE2"/>
    <w:rsid w:val="007C07BB"/>
    <w:rsid w:val="007C30E8"/>
    <w:rsid w:val="007D5898"/>
    <w:rsid w:val="007E1C5F"/>
    <w:rsid w:val="007E53FC"/>
    <w:rsid w:val="007E626B"/>
    <w:rsid w:val="007E68AE"/>
    <w:rsid w:val="007F362B"/>
    <w:rsid w:val="007F36B0"/>
    <w:rsid w:val="007F4C96"/>
    <w:rsid w:val="008010B0"/>
    <w:rsid w:val="0080603F"/>
    <w:rsid w:val="0080702A"/>
    <w:rsid w:val="00807B5E"/>
    <w:rsid w:val="00812A82"/>
    <w:rsid w:val="00813514"/>
    <w:rsid w:val="00814EE1"/>
    <w:rsid w:val="0081629E"/>
    <w:rsid w:val="0081708F"/>
    <w:rsid w:val="00820B7C"/>
    <w:rsid w:val="00823560"/>
    <w:rsid w:val="00823748"/>
    <w:rsid w:val="00832181"/>
    <w:rsid w:val="008376BD"/>
    <w:rsid w:val="00843AFF"/>
    <w:rsid w:val="00843B27"/>
    <w:rsid w:val="008618DB"/>
    <w:rsid w:val="00861B46"/>
    <w:rsid w:val="00872941"/>
    <w:rsid w:val="00873654"/>
    <w:rsid w:val="0088060A"/>
    <w:rsid w:val="00883DFD"/>
    <w:rsid w:val="008A0012"/>
    <w:rsid w:val="008A3219"/>
    <w:rsid w:val="008A3E72"/>
    <w:rsid w:val="008A7065"/>
    <w:rsid w:val="008A71F3"/>
    <w:rsid w:val="008A75F0"/>
    <w:rsid w:val="008B19A4"/>
    <w:rsid w:val="008C0FB9"/>
    <w:rsid w:val="008C4927"/>
    <w:rsid w:val="008C77B7"/>
    <w:rsid w:val="008D2100"/>
    <w:rsid w:val="008E222A"/>
    <w:rsid w:val="008E30C3"/>
    <w:rsid w:val="008F2425"/>
    <w:rsid w:val="008F4F94"/>
    <w:rsid w:val="008F6610"/>
    <w:rsid w:val="00902684"/>
    <w:rsid w:val="00903BBA"/>
    <w:rsid w:val="00910592"/>
    <w:rsid w:val="00911250"/>
    <w:rsid w:val="00913694"/>
    <w:rsid w:val="00914A61"/>
    <w:rsid w:val="00914D4E"/>
    <w:rsid w:val="00915464"/>
    <w:rsid w:val="00917A81"/>
    <w:rsid w:val="00917C80"/>
    <w:rsid w:val="009206FC"/>
    <w:rsid w:val="00921444"/>
    <w:rsid w:val="00925F76"/>
    <w:rsid w:val="009278F8"/>
    <w:rsid w:val="00933FE5"/>
    <w:rsid w:val="0093697A"/>
    <w:rsid w:val="00936D31"/>
    <w:rsid w:val="00963420"/>
    <w:rsid w:val="009708D8"/>
    <w:rsid w:val="00970A65"/>
    <w:rsid w:val="00971081"/>
    <w:rsid w:val="0097236F"/>
    <w:rsid w:val="00980235"/>
    <w:rsid w:val="00984FBE"/>
    <w:rsid w:val="00985739"/>
    <w:rsid w:val="00993677"/>
    <w:rsid w:val="009A39A9"/>
    <w:rsid w:val="009A3F51"/>
    <w:rsid w:val="009B03F3"/>
    <w:rsid w:val="009B60EA"/>
    <w:rsid w:val="009C5500"/>
    <w:rsid w:val="009C7952"/>
    <w:rsid w:val="009C79EE"/>
    <w:rsid w:val="009D6728"/>
    <w:rsid w:val="009F0466"/>
    <w:rsid w:val="009F18EB"/>
    <w:rsid w:val="009F53FE"/>
    <w:rsid w:val="009F6544"/>
    <w:rsid w:val="00A03A77"/>
    <w:rsid w:val="00A06D0E"/>
    <w:rsid w:val="00A1558E"/>
    <w:rsid w:val="00A17960"/>
    <w:rsid w:val="00A2452A"/>
    <w:rsid w:val="00A24849"/>
    <w:rsid w:val="00A265BC"/>
    <w:rsid w:val="00A270BA"/>
    <w:rsid w:val="00A40E5D"/>
    <w:rsid w:val="00A42DE9"/>
    <w:rsid w:val="00A4413A"/>
    <w:rsid w:val="00A51D0E"/>
    <w:rsid w:val="00A5541B"/>
    <w:rsid w:val="00A554F0"/>
    <w:rsid w:val="00A6267D"/>
    <w:rsid w:val="00A67771"/>
    <w:rsid w:val="00A67C1D"/>
    <w:rsid w:val="00A7517D"/>
    <w:rsid w:val="00A754E5"/>
    <w:rsid w:val="00A77765"/>
    <w:rsid w:val="00A77A83"/>
    <w:rsid w:val="00A82B35"/>
    <w:rsid w:val="00A866DA"/>
    <w:rsid w:val="00A87B92"/>
    <w:rsid w:val="00A91B8C"/>
    <w:rsid w:val="00A9261C"/>
    <w:rsid w:val="00A94E21"/>
    <w:rsid w:val="00AA0B09"/>
    <w:rsid w:val="00AA16DA"/>
    <w:rsid w:val="00AB0F58"/>
    <w:rsid w:val="00AB4365"/>
    <w:rsid w:val="00AB791E"/>
    <w:rsid w:val="00AE7945"/>
    <w:rsid w:val="00AF065E"/>
    <w:rsid w:val="00AF11D7"/>
    <w:rsid w:val="00AF3199"/>
    <w:rsid w:val="00AF39B0"/>
    <w:rsid w:val="00AF5082"/>
    <w:rsid w:val="00AF50F9"/>
    <w:rsid w:val="00AF5CEC"/>
    <w:rsid w:val="00B146E8"/>
    <w:rsid w:val="00B158AD"/>
    <w:rsid w:val="00B34827"/>
    <w:rsid w:val="00B366CF"/>
    <w:rsid w:val="00B41D8C"/>
    <w:rsid w:val="00B43F7A"/>
    <w:rsid w:val="00B5139E"/>
    <w:rsid w:val="00B55C39"/>
    <w:rsid w:val="00B61543"/>
    <w:rsid w:val="00B6287A"/>
    <w:rsid w:val="00B65170"/>
    <w:rsid w:val="00B67A38"/>
    <w:rsid w:val="00B756A8"/>
    <w:rsid w:val="00B85D5B"/>
    <w:rsid w:val="00B901DB"/>
    <w:rsid w:val="00B90C37"/>
    <w:rsid w:val="00B95520"/>
    <w:rsid w:val="00B97605"/>
    <w:rsid w:val="00BA7138"/>
    <w:rsid w:val="00BC0508"/>
    <w:rsid w:val="00BC0E0E"/>
    <w:rsid w:val="00BC5030"/>
    <w:rsid w:val="00BD2DE3"/>
    <w:rsid w:val="00BD6AFB"/>
    <w:rsid w:val="00BE005D"/>
    <w:rsid w:val="00BE423A"/>
    <w:rsid w:val="00C01AF4"/>
    <w:rsid w:val="00C02853"/>
    <w:rsid w:val="00C02D15"/>
    <w:rsid w:val="00C03499"/>
    <w:rsid w:val="00C10955"/>
    <w:rsid w:val="00C121C9"/>
    <w:rsid w:val="00C14BC2"/>
    <w:rsid w:val="00C16B2B"/>
    <w:rsid w:val="00C16E36"/>
    <w:rsid w:val="00C20768"/>
    <w:rsid w:val="00C30D0F"/>
    <w:rsid w:val="00C3280B"/>
    <w:rsid w:val="00C413BA"/>
    <w:rsid w:val="00C43C77"/>
    <w:rsid w:val="00C63EB5"/>
    <w:rsid w:val="00C64AFD"/>
    <w:rsid w:val="00C64F36"/>
    <w:rsid w:val="00C6756F"/>
    <w:rsid w:val="00C70395"/>
    <w:rsid w:val="00C717E6"/>
    <w:rsid w:val="00C85BFE"/>
    <w:rsid w:val="00C912BE"/>
    <w:rsid w:val="00C94F45"/>
    <w:rsid w:val="00CA09D0"/>
    <w:rsid w:val="00CA29B4"/>
    <w:rsid w:val="00CA2A5E"/>
    <w:rsid w:val="00CA40C4"/>
    <w:rsid w:val="00CA7531"/>
    <w:rsid w:val="00CE09E4"/>
    <w:rsid w:val="00CF0C4F"/>
    <w:rsid w:val="00CF4302"/>
    <w:rsid w:val="00CF4743"/>
    <w:rsid w:val="00D014D4"/>
    <w:rsid w:val="00D07CBD"/>
    <w:rsid w:val="00D26722"/>
    <w:rsid w:val="00D31DEE"/>
    <w:rsid w:val="00D350A0"/>
    <w:rsid w:val="00D364DE"/>
    <w:rsid w:val="00D37A3B"/>
    <w:rsid w:val="00D40824"/>
    <w:rsid w:val="00D41DAF"/>
    <w:rsid w:val="00D445F0"/>
    <w:rsid w:val="00D47497"/>
    <w:rsid w:val="00D53D28"/>
    <w:rsid w:val="00D54707"/>
    <w:rsid w:val="00D64243"/>
    <w:rsid w:val="00D673A8"/>
    <w:rsid w:val="00D759E1"/>
    <w:rsid w:val="00D77DC0"/>
    <w:rsid w:val="00D80A7E"/>
    <w:rsid w:val="00D829CA"/>
    <w:rsid w:val="00D85A08"/>
    <w:rsid w:val="00D864ED"/>
    <w:rsid w:val="00D877C8"/>
    <w:rsid w:val="00D92175"/>
    <w:rsid w:val="00D93B2D"/>
    <w:rsid w:val="00D94AC5"/>
    <w:rsid w:val="00D969F1"/>
    <w:rsid w:val="00DA33B2"/>
    <w:rsid w:val="00DB1157"/>
    <w:rsid w:val="00DB2F55"/>
    <w:rsid w:val="00DC5EB8"/>
    <w:rsid w:val="00DC6C0F"/>
    <w:rsid w:val="00DD23D5"/>
    <w:rsid w:val="00DD3DDE"/>
    <w:rsid w:val="00DD5B0E"/>
    <w:rsid w:val="00DE146D"/>
    <w:rsid w:val="00DF720F"/>
    <w:rsid w:val="00E06F8E"/>
    <w:rsid w:val="00E21938"/>
    <w:rsid w:val="00E25779"/>
    <w:rsid w:val="00E370FA"/>
    <w:rsid w:val="00E41C6B"/>
    <w:rsid w:val="00E42024"/>
    <w:rsid w:val="00E42174"/>
    <w:rsid w:val="00E426C3"/>
    <w:rsid w:val="00E44539"/>
    <w:rsid w:val="00E47FBB"/>
    <w:rsid w:val="00E50DC4"/>
    <w:rsid w:val="00E558C6"/>
    <w:rsid w:val="00E637F4"/>
    <w:rsid w:val="00E64459"/>
    <w:rsid w:val="00E6599E"/>
    <w:rsid w:val="00E65F66"/>
    <w:rsid w:val="00E66166"/>
    <w:rsid w:val="00E83828"/>
    <w:rsid w:val="00E91B63"/>
    <w:rsid w:val="00E91FED"/>
    <w:rsid w:val="00E94221"/>
    <w:rsid w:val="00E971D1"/>
    <w:rsid w:val="00EA0673"/>
    <w:rsid w:val="00EA0710"/>
    <w:rsid w:val="00EA435C"/>
    <w:rsid w:val="00EB261C"/>
    <w:rsid w:val="00EC1384"/>
    <w:rsid w:val="00EC1D33"/>
    <w:rsid w:val="00ED01C7"/>
    <w:rsid w:val="00ED3DDF"/>
    <w:rsid w:val="00ED4FA9"/>
    <w:rsid w:val="00EE56E2"/>
    <w:rsid w:val="00EF1122"/>
    <w:rsid w:val="00EF3564"/>
    <w:rsid w:val="00EF385E"/>
    <w:rsid w:val="00EF5C15"/>
    <w:rsid w:val="00F02139"/>
    <w:rsid w:val="00F02628"/>
    <w:rsid w:val="00F02FB6"/>
    <w:rsid w:val="00F12542"/>
    <w:rsid w:val="00F12574"/>
    <w:rsid w:val="00F1292C"/>
    <w:rsid w:val="00F16770"/>
    <w:rsid w:val="00F16DF6"/>
    <w:rsid w:val="00F2228B"/>
    <w:rsid w:val="00F2641C"/>
    <w:rsid w:val="00F31ADD"/>
    <w:rsid w:val="00F347A7"/>
    <w:rsid w:val="00F4313A"/>
    <w:rsid w:val="00F44235"/>
    <w:rsid w:val="00F47033"/>
    <w:rsid w:val="00F53625"/>
    <w:rsid w:val="00F53827"/>
    <w:rsid w:val="00F54C3D"/>
    <w:rsid w:val="00F55B04"/>
    <w:rsid w:val="00F65E30"/>
    <w:rsid w:val="00F70E2F"/>
    <w:rsid w:val="00F7173C"/>
    <w:rsid w:val="00F83B1F"/>
    <w:rsid w:val="00F875DB"/>
    <w:rsid w:val="00FB0CA7"/>
    <w:rsid w:val="00FB62FB"/>
    <w:rsid w:val="00FC68B9"/>
    <w:rsid w:val="00FD2A2C"/>
    <w:rsid w:val="00FD6139"/>
    <w:rsid w:val="00FD7757"/>
    <w:rsid w:val="00FE332C"/>
    <w:rsid w:val="00FE481B"/>
    <w:rsid w:val="00FE4D1F"/>
    <w:rsid w:val="00FF3118"/>
    <w:rsid w:val="00FF3695"/>
    <w:rsid w:val="00FF5E5E"/>
    <w:rsid w:val="03BE1F77"/>
    <w:rsid w:val="05041D66"/>
    <w:rsid w:val="07BD1BA0"/>
    <w:rsid w:val="07E0785C"/>
    <w:rsid w:val="08585ABC"/>
    <w:rsid w:val="09393CEC"/>
    <w:rsid w:val="097C707C"/>
    <w:rsid w:val="0AFB52A8"/>
    <w:rsid w:val="0CDD4A79"/>
    <w:rsid w:val="0D1F7032"/>
    <w:rsid w:val="11760D08"/>
    <w:rsid w:val="135F480C"/>
    <w:rsid w:val="148D6A77"/>
    <w:rsid w:val="153C31AD"/>
    <w:rsid w:val="1B100797"/>
    <w:rsid w:val="1BBB46FD"/>
    <w:rsid w:val="1C1571EA"/>
    <w:rsid w:val="1C6C7EC7"/>
    <w:rsid w:val="1D4E01F6"/>
    <w:rsid w:val="1E575379"/>
    <w:rsid w:val="1E8652FE"/>
    <w:rsid w:val="21C342A6"/>
    <w:rsid w:val="22BB28D7"/>
    <w:rsid w:val="238A2172"/>
    <w:rsid w:val="26395548"/>
    <w:rsid w:val="2EF71E90"/>
    <w:rsid w:val="2FCF1CCF"/>
    <w:rsid w:val="30C70DCD"/>
    <w:rsid w:val="31697F8F"/>
    <w:rsid w:val="31A73B31"/>
    <w:rsid w:val="326A0BC6"/>
    <w:rsid w:val="327917B4"/>
    <w:rsid w:val="34BC13EB"/>
    <w:rsid w:val="35A52517"/>
    <w:rsid w:val="362423F8"/>
    <w:rsid w:val="37A27B09"/>
    <w:rsid w:val="37EE6336"/>
    <w:rsid w:val="38332AAA"/>
    <w:rsid w:val="38D741F2"/>
    <w:rsid w:val="3C5C20D6"/>
    <w:rsid w:val="3E0E4BF7"/>
    <w:rsid w:val="3E800C74"/>
    <w:rsid w:val="400C7BC5"/>
    <w:rsid w:val="40E01ACC"/>
    <w:rsid w:val="41027A79"/>
    <w:rsid w:val="4249440B"/>
    <w:rsid w:val="43AE09CA"/>
    <w:rsid w:val="45F95F9B"/>
    <w:rsid w:val="474C0A51"/>
    <w:rsid w:val="489B34E7"/>
    <w:rsid w:val="4C61584B"/>
    <w:rsid w:val="4E393555"/>
    <w:rsid w:val="4E497634"/>
    <w:rsid w:val="4F2108DE"/>
    <w:rsid w:val="4F3E2BAA"/>
    <w:rsid w:val="4F7708C7"/>
    <w:rsid w:val="50A91609"/>
    <w:rsid w:val="521C6643"/>
    <w:rsid w:val="522D5E43"/>
    <w:rsid w:val="52B741D8"/>
    <w:rsid w:val="580A6D7C"/>
    <w:rsid w:val="586B3C94"/>
    <w:rsid w:val="58CA1105"/>
    <w:rsid w:val="590B2DCB"/>
    <w:rsid w:val="59645C3E"/>
    <w:rsid w:val="5B4A12C1"/>
    <w:rsid w:val="5E4009D8"/>
    <w:rsid w:val="60083D7F"/>
    <w:rsid w:val="606F0A25"/>
    <w:rsid w:val="60B02D95"/>
    <w:rsid w:val="61E2209E"/>
    <w:rsid w:val="623926C8"/>
    <w:rsid w:val="63BB7B81"/>
    <w:rsid w:val="645B4799"/>
    <w:rsid w:val="65997201"/>
    <w:rsid w:val="665B11B3"/>
    <w:rsid w:val="66AB7BA1"/>
    <w:rsid w:val="66C64143"/>
    <w:rsid w:val="67E10ABE"/>
    <w:rsid w:val="6896075F"/>
    <w:rsid w:val="6983523B"/>
    <w:rsid w:val="69B31FE7"/>
    <w:rsid w:val="6AF63342"/>
    <w:rsid w:val="6BD42A8C"/>
    <w:rsid w:val="6D885811"/>
    <w:rsid w:val="6ED61447"/>
    <w:rsid w:val="6FFF11D8"/>
    <w:rsid w:val="72F30101"/>
    <w:rsid w:val="737D3836"/>
    <w:rsid w:val="73E70864"/>
    <w:rsid w:val="74F00006"/>
    <w:rsid w:val="762017F8"/>
    <w:rsid w:val="7D510187"/>
    <w:rsid w:val="7F8D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cs="Arial" w:eastAsiaTheme="minorEastAsia"/>
      <w:lang w:val="en-US" w:eastAsia="zh-CN" w:bidi="ar-SA"/>
    </w:rPr>
  </w:style>
  <w:style w:type="paragraph" w:styleId="4">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Normal Indent"/>
    <w:basedOn w:val="1"/>
    <w:next w:val="2"/>
    <w:qFormat/>
    <w:uiPriority w:val="0"/>
    <w:pPr>
      <w:widowControl w:val="0"/>
      <w:ind w:firstLine="420"/>
      <w:jc w:val="both"/>
    </w:pPr>
    <w:rPr>
      <w:rFonts w:ascii="Times New Roman" w:hAnsi="Times New Roman" w:eastAsia="仿宋_GB2312" w:cs="Times New Roman"/>
      <w:kern w:val="2"/>
      <w:sz w:val="32"/>
    </w:rPr>
  </w:style>
  <w:style w:type="paragraph" w:styleId="7">
    <w:name w:val="annotation text"/>
    <w:basedOn w:val="1"/>
    <w:link w:val="25"/>
    <w:semiHidden/>
    <w:unhideWhenUsed/>
    <w:qFormat/>
    <w:uiPriority w:val="99"/>
  </w:style>
  <w:style w:type="paragraph" w:styleId="8">
    <w:name w:val="Body Text"/>
    <w:basedOn w:val="1"/>
    <w:next w:val="9"/>
    <w:link w:val="35"/>
    <w:qFormat/>
    <w:uiPriority w:val="0"/>
    <w:pPr>
      <w:widowControl w:val="0"/>
      <w:tabs>
        <w:tab w:val="left" w:pos="574"/>
      </w:tabs>
      <w:spacing w:line="288" w:lineRule="auto"/>
      <w:jc w:val="both"/>
    </w:pPr>
    <w:rPr>
      <w:rFonts w:ascii="宋体" w:hAnsi="宋体" w:eastAsia="宋体" w:cstheme="minorBidi"/>
      <w:kern w:val="2"/>
      <w:sz w:val="21"/>
      <w:szCs w:val="22"/>
    </w:rPr>
  </w:style>
  <w:style w:type="paragraph" w:styleId="9">
    <w:name w:val="Body Text First Indent"/>
    <w:basedOn w:val="8"/>
    <w:next w:val="1"/>
    <w:qFormat/>
    <w:uiPriority w:val="0"/>
    <w:pPr>
      <w:spacing w:after="120" w:line="240" w:lineRule="auto"/>
      <w:ind w:firstLine="420" w:firstLineChars="100"/>
    </w:pPr>
    <w:rPr>
      <w:rFonts w:ascii="Calibri" w:hAnsi="Calibri"/>
      <w:sz w:val="21"/>
      <w:szCs w:val="22"/>
    </w:rPr>
  </w:style>
  <w:style w:type="paragraph" w:styleId="10">
    <w:name w:val="Plain Text"/>
    <w:basedOn w:val="1"/>
    <w:link w:val="37"/>
    <w:qFormat/>
    <w:uiPriority w:val="0"/>
    <w:pPr>
      <w:widowControl w:val="0"/>
      <w:jc w:val="both"/>
    </w:pPr>
    <w:rPr>
      <w:rFonts w:ascii="宋体" w:hAnsi="Courier New" w:eastAsia="宋体" w:cs="Courier New"/>
      <w:kern w:val="2"/>
      <w:sz w:val="21"/>
      <w:szCs w:val="21"/>
    </w:rPr>
  </w:style>
  <w:style w:type="paragraph" w:styleId="11">
    <w:name w:val="Body Text Indent 2"/>
    <w:basedOn w:val="1"/>
    <w:link w:val="39"/>
    <w:unhideWhenUsed/>
    <w:qFormat/>
    <w:uiPriority w:val="99"/>
    <w:pPr>
      <w:spacing w:after="120" w:line="480" w:lineRule="auto"/>
      <w:ind w:left="420" w:leftChars="200"/>
    </w:pPr>
  </w:style>
  <w:style w:type="paragraph" w:styleId="12">
    <w:name w:val="Balloon Text"/>
    <w:basedOn w:val="1"/>
    <w:link w:val="28"/>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pPr>
    <w:rPr>
      <w:sz w:val="18"/>
      <w:szCs w:val="18"/>
    </w:rPr>
  </w:style>
  <w:style w:type="paragraph" w:styleId="14">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38"/>
    <w:semiHidden/>
    <w:unhideWhenUsed/>
    <w:qFormat/>
    <w:uiPriority w:val="99"/>
    <w:pPr>
      <w:spacing w:after="120"/>
      <w:ind w:left="420" w:leftChars="200"/>
    </w:pPr>
    <w:rPr>
      <w:sz w:val="16"/>
      <w:szCs w:val="16"/>
    </w:rPr>
  </w:style>
  <w:style w:type="paragraph" w:styleId="16">
    <w:name w:val="Title"/>
    <w:basedOn w:val="1"/>
    <w:link w:val="32"/>
    <w:qFormat/>
    <w:uiPriority w:val="0"/>
    <w:pPr>
      <w:widowControl w:val="0"/>
      <w:spacing w:before="240" w:after="60"/>
      <w:jc w:val="center"/>
      <w:outlineLvl w:val="0"/>
    </w:pPr>
    <w:rPr>
      <w:rFonts w:ascii="Arial" w:hAnsi="Arial" w:eastAsia="宋体"/>
      <w:b/>
      <w:bCs/>
      <w:kern w:val="2"/>
      <w:sz w:val="32"/>
      <w:szCs w:val="32"/>
    </w:rPr>
  </w:style>
  <w:style w:type="paragraph" w:styleId="17">
    <w:name w:val="annotation subject"/>
    <w:basedOn w:val="7"/>
    <w:next w:val="7"/>
    <w:link w:val="26"/>
    <w:semiHidden/>
    <w:unhideWhenUsed/>
    <w:qFormat/>
    <w:uiPriority w:val="99"/>
    <w:rPr>
      <w:b/>
      <w:bCs/>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Hyperlink"/>
    <w:basedOn w:val="20"/>
    <w:qFormat/>
    <w:uiPriority w:val="0"/>
    <w:rPr>
      <w:color w:val="0000FF"/>
      <w:u w:val="single"/>
    </w:rPr>
  </w:style>
  <w:style w:type="character" w:styleId="22">
    <w:name w:val="annotation reference"/>
    <w:basedOn w:val="20"/>
    <w:semiHidden/>
    <w:unhideWhenUsed/>
    <w:qFormat/>
    <w:uiPriority w:val="99"/>
    <w:rPr>
      <w:sz w:val="21"/>
      <w:szCs w:val="21"/>
    </w:rPr>
  </w:style>
  <w:style w:type="character" w:customStyle="1" w:styleId="23">
    <w:name w:val="页眉 Char"/>
    <w:basedOn w:val="20"/>
    <w:link w:val="14"/>
    <w:semiHidden/>
    <w:qFormat/>
    <w:uiPriority w:val="99"/>
    <w:rPr>
      <w:rFonts w:ascii="Calibri" w:hAnsi="Calibri" w:cs="Arial"/>
      <w:kern w:val="0"/>
      <w:sz w:val="18"/>
      <w:szCs w:val="18"/>
    </w:rPr>
  </w:style>
  <w:style w:type="character" w:customStyle="1" w:styleId="24">
    <w:name w:val="页脚 Char"/>
    <w:basedOn w:val="20"/>
    <w:link w:val="13"/>
    <w:qFormat/>
    <w:uiPriority w:val="99"/>
    <w:rPr>
      <w:rFonts w:ascii="Calibri" w:hAnsi="Calibri" w:cs="Arial"/>
      <w:kern w:val="0"/>
      <w:sz w:val="18"/>
      <w:szCs w:val="18"/>
    </w:rPr>
  </w:style>
  <w:style w:type="character" w:customStyle="1" w:styleId="25">
    <w:name w:val="批注文字 Char"/>
    <w:basedOn w:val="20"/>
    <w:link w:val="7"/>
    <w:semiHidden/>
    <w:qFormat/>
    <w:uiPriority w:val="99"/>
    <w:rPr>
      <w:rFonts w:ascii="Calibri" w:hAnsi="Calibri" w:cs="Arial"/>
      <w:kern w:val="0"/>
      <w:sz w:val="20"/>
      <w:szCs w:val="20"/>
    </w:rPr>
  </w:style>
  <w:style w:type="character" w:customStyle="1" w:styleId="26">
    <w:name w:val="批注主题 Char"/>
    <w:basedOn w:val="25"/>
    <w:link w:val="17"/>
    <w:semiHidden/>
    <w:qFormat/>
    <w:uiPriority w:val="99"/>
    <w:rPr>
      <w:b/>
      <w:bCs/>
    </w:rPr>
  </w:style>
  <w:style w:type="paragraph" w:customStyle="1" w:styleId="27">
    <w:name w:val="修订1"/>
    <w:hidden/>
    <w:semiHidden/>
    <w:qFormat/>
    <w:uiPriority w:val="99"/>
    <w:rPr>
      <w:rFonts w:ascii="Calibri" w:hAnsi="Calibri" w:cs="Arial" w:eastAsiaTheme="minorEastAsia"/>
      <w:lang w:val="en-US" w:eastAsia="zh-CN" w:bidi="ar-SA"/>
    </w:rPr>
  </w:style>
  <w:style w:type="character" w:customStyle="1" w:styleId="28">
    <w:name w:val="批注框文本 Char"/>
    <w:basedOn w:val="20"/>
    <w:link w:val="12"/>
    <w:semiHidden/>
    <w:qFormat/>
    <w:uiPriority w:val="99"/>
    <w:rPr>
      <w:rFonts w:ascii="Calibri" w:hAnsi="Calibri" w:cs="Arial"/>
      <w:kern w:val="0"/>
      <w:sz w:val="18"/>
      <w:szCs w:val="18"/>
    </w:rPr>
  </w:style>
  <w:style w:type="paragraph" w:customStyle="1" w:styleId="29">
    <w:name w:val="样式 标题 2 + Times New Roman 四号 非加粗 段前: 5 磅 段后: 0 磅 行距: 固定值 20..."/>
    <w:basedOn w:val="5"/>
    <w:next w:val="7"/>
    <w:qFormat/>
    <w:uiPriority w:val="0"/>
    <w:pPr>
      <w:widowControl w:val="0"/>
      <w:spacing w:before="100" w:after="0" w:line="400" w:lineRule="exact"/>
      <w:jc w:val="both"/>
    </w:pPr>
    <w:rPr>
      <w:rFonts w:ascii="Times New Roman" w:hAnsi="Times New Roman" w:eastAsia="黑体" w:cs="宋体"/>
      <w:b w:val="0"/>
      <w:bCs w:val="0"/>
      <w:kern w:val="2"/>
      <w:sz w:val="28"/>
      <w:szCs w:val="20"/>
    </w:rPr>
  </w:style>
  <w:style w:type="character" w:customStyle="1" w:styleId="30">
    <w:name w:val="标题 2 Char"/>
    <w:basedOn w:val="20"/>
    <w:link w:val="5"/>
    <w:semiHidden/>
    <w:qFormat/>
    <w:uiPriority w:val="9"/>
    <w:rPr>
      <w:rFonts w:asciiTheme="majorHAnsi" w:hAnsiTheme="majorHAnsi" w:eastAsiaTheme="majorEastAsia" w:cstheme="majorBidi"/>
      <w:b/>
      <w:bCs/>
      <w:kern w:val="0"/>
      <w:sz w:val="32"/>
      <w:szCs w:val="32"/>
    </w:rPr>
  </w:style>
  <w:style w:type="character" w:customStyle="1" w:styleId="31">
    <w:name w:val="标题 Char"/>
    <w:link w:val="16"/>
    <w:qFormat/>
    <w:uiPriority w:val="0"/>
    <w:rPr>
      <w:rFonts w:ascii="Arial" w:hAnsi="Arial" w:eastAsia="宋体" w:cs="Arial"/>
      <w:b/>
      <w:bCs/>
      <w:sz w:val="32"/>
      <w:szCs w:val="32"/>
    </w:rPr>
  </w:style>
  <w:style w:type="character" w:customStyle="1" w:styleId="32">
    <w:name w:val="标题 Char1"/>
    <w:basedOn w:val="20"/>
    <w:link w:val="16"/>
    <w:qFormat/>
    <w:uiPriority w:val="10"/>
    <w:rPr>
      <w:rFonts w:eastAsia="宋体" w:asciiTheme="majorHAnsi" w:hAnsiTheme="majorHAnsi" w:cstheme="majorBidi"/>
      <w:b/>
      <w:bCs/>
      <w:kern w:val="0"/>
      <w:sz w:val="32"/>
      <w:szCs w:val="32"/>
    </w:rPr>
  </w:style>
  <w:style w:type="paragraph" w:customStyle="1" w:styleId="33">
    <w:name w:val="p0"/>
    <w:basedOn w:val="1"/>
    <w:qFormat/>
    <w:uiPriority w:val="0"/>
    <w:pPr>
      <w:spacing w:before="100" w:beforeAutospacing="1" w:after="100" w:afterAutospacing="1"/>
    </w:pPr>
    <w:rPr>
      <w:rFonts w:ascii="宋体" w:hAnsi="宋体" w:eastAsia="宋体" w:cs="宋体"/>
      <w:sz w:val="24"/>
      <w:szCs w:val="24"/>
    </w:rPr>
  </w:style>
  <w:style w:type="character" w:customStyle="1" w:styleId="34">
    <w:name w:val="正文文本 Char"/>
    <w:link w:val="8"/>
    <w:qFormat/>
    <w:uiPriority w:val="0"/>
    <w:rPr>
      <w:rFonts w:ascii="宋体" w:hAnsi="宋体" w:eastAsia="宋体"/>
    </w:rPr>
  </w:style>
  <w:style w:type="character" w:customStyle="1" w:styleId="35">
    <w:name w:val="正文文本 Char1"/>
    <w:basedOn w:val="20"/>
    <w:link w:val="8"/>
    <w:semiHidden/>
    <w:qFormat/>
    <w:uiPriority w:val="99"/>
    <w:rPr>
      <w:rFonts w:ascii="Calibri" w:hAnsi="Calibri" w:cs="Arial"/>
      <w:kern w:val="0"/>
      <w:sz w:val="20"/>
      <w:szCs w:val="20"/>
    </w:rPr>
  </w:style>
  <w:style w:type="character" w:customStyle="1" w:styleId="36">
    <w:name w:val="纯文本 Char"/>
    <w:basedOn w:val="20"/>
    <w:link w:val="10"/>
    <w:qFormat/>
    <w:uiPriority w:val="0"/>
    <w:rPr>
      <w:rFonts w:ascii="宋体" w:hAnsi="Courier New" w:eastAsia="宋体" w:cs="Courier New"/>
      <w:szCs w:val="21"/>
    </w:rPr>
  </w:style>
  <w:style w:type="character" w:customStyle="1" w:styleId="37">
    <w:name w:val="纯文本 Char1"/>
    <w:basedOn w:val="20"/>
    <w:link w:val="10"/>
    <w:semiHidden/>
    <w:qFormat/>
    <w:uiPriority w:val="99"/>
    <w:rPr>
      <w:rFonts w:ascii="宋体" w:hAnsi="Courier New" w:eastAsia="宋体" w:cs="Courier New"/>
      <w:kern w:val="0"/>
      <w:szCs w:val="21"/>
    </w:rPr>
  </w:style>
  <w:style w:type="character" w:customStyle="1" w:styleId="38">
    <w:name w:val="正文文本缩进 3 Char"/>
    <w:basedOn w:val="20"/>
    <w:link w:val="15"/>
    <w:semiHidden/>
    <w:qFormat/>
    <w:uiPriority w:val="99"/>
    <w:rPr>
      <w:rFonts w:ascii="Calibri" w:hAnsi="Calibri" w:cs="Arial"/>
      <w:kern w:val="0"/>
      <w:sz w:val="16"/>
      <w:szCs w:val="16"/>
    </w:rPr>
  </w:style>
  <w:style w:type="character" w:customStyle="1" w:styleId="39">
    <w:name w:val="正文文本缩进 2 Char"/>
    <w:basedOn w:val="20"/>
    <w:link w:val="11"/>
    <w:qFormat/>
    <w:uiPriority w:val="99"/>
    <w:rPr>
      <w:rFonts w:ascii="Calibri" w:hAnsi="Calibri" w:cs="Arial"/>
      <w:kern w:val="0"/>
      <w:sz w:val="20"/>
      <w:szCs w:val="20"/>
    </w:rPr>
  </w:style>
  <w:style w:type="character" w:customStyle="1" w:styleId="40">
    <w:name w:val="标题 1 Char"/>
    <w:basedOn w:val="20"/>
    <w:link w:val="4"/>
    <w:qFormat/>
    <w:uiPriority w:val="9"/>
    <w:rPr>
      <w:rFonts w:ascii="Calibri" w:hAnsi="Calibri" w:cs="Arial"/>
      <w:b/>
      <w:bCs/>
      <w:kern w:val="44"/>
      <w:sz w:val="44"/>
      <w:szCs w:val="44"/>
    </w:rPr>
  </w:style>
  <w:style w:type="paragraph" w:customStyle="1" w:styleId="41">
    <w:name w:val="样式 样式1 + 首行缩进:  2 字符"/>
    <w:basedOn w:val="1"/>
    <w:qFormat/>
    <w:uiPriority w:val="0"/>
    <w:pPr>
      <w:spacing w:line="360" w:lineRule="exact"/>
      <w:ind w:firstLine="420" w:firstLineChars="200"/>
    </w:pPr>
    <w:rPr>
      <w:rFonts w:ascii="Arial" w:hAnsi="Arial" w:cs="宋体"/>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D47AB-4E8D-499A-BBF5-CC817E320A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21840</Words>
  <Characters>22955</Characters>
  <Lines>174</Lines>
  <Paragraphs>49</Paragraphs>
  <TotalTime>0</TotalTime>
  <ScaleCrop>false</ScaleCrop>
  <LinksUpToDate>false</LinksUpToDate>
  <CharactersWithSpaces>25693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2019-03-01T01:32:00Z</dcterms:created>
  <dc:creator>PC</dc:creator>
  <cp:lastModifiedBy>WM</cp:lastModifiedBy>
  <cp:lastPrinted>2018-12-28T03:17:00Z</cp:lastPrinted>
  <dcterms:modified xsi:type="dcterms:W3CDTF">2022-11-03T06:31:10Z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9E6589C98AB04AAF85F5BD61D72B8F98</vt:lpwstr>
  </property>
</Properties>
</file>