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autoSpaceDE w:val="0"/>
        <w:autoSpaceDN w:val="0"/>
        <w:adjustRightInd w:val="0"/>
        <w:jc w:val="center"/>
        <w:rPr>
          <w:rFonts w:ascii="宋体" w:hAnsi="宋体"/>
          <w:color w:val="000000" w:themeColor="text1"/>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三门县浦坝港镇胜利塘木杓山（木屿山）生活垃圾临时周转场余量垃圾清运项目（二次招标）</w:t>
      </w:r>
    </w:p>
    <w:p>
      <w:pPr>
        <w:autoSpaceDE w:val="0"/>
        <w:autoSpaceDN w:val="0"/>
        <w:adjustRightInd w:val="0"/>
        <w:jc w:val="center"/>
        <w:rPr>
          <w:rFonts w:ascii="宋体" w:hAnsi="宋体"/>
          <w:color w:val="000000" w:themeColor="text1"/>
          <w:szCs w:val="36"/>
          <w:highlight w:val="none"/>
          <w14:textFill>
            <w14:solidFill>
              <w14:schemeClr w14:val="tx1"/>
            </w14:solidFill>
          </w14:textFill>
        </w:rPr>
      </w:pPr>
    </w:p>
    <w:p>
      <w:pPr>
        <w:autoSpaceDE w:val="0"/>
        <w:autoSpaceDN w:val="0"/>
        <w:adjustRightInd w:val="0"/>
        <w:jc w:val="center"/>
        <w:rPr>
          <w:rFonts w:ascii="宋体" w:hAnsi="宋体"/>
          <w:color w:val="000000" w:themeColor="text1"/>
          <w:szCs w:val="36"/>
          <w:highlight w:val="none"/>
          <w14:textFill>
            <w14:solidFill>
              <w14:schemeClr w14:val="tx1"/>
            </w14:solidFill>
          </w14:textFill>
        </w:rPr>
      </w:pPr>
    </w:p>
    <w:p>
      <w:pPr>
        <w:autoSpaceDE w:val="0"/>
        <w:autoSpaceDN w:val="0"/>
        <w:adjustRightInd w:val="0"/>
        <w:jc w:val="center"/>
        <w:rPr>
          <w:rFonts w:ascii="宋体" w:hAnsi="宋体"/>
          <w:color w:val="000000" w:themeColor="text1"/>
          <w:szCs w:val="36"/>
          <w:highlight w:val="none"/>
          <w14:textFill>
            <w14:solidFill>
              <w14:schemeClr w14:val="tx1"/>
            </w14:solidFill>
          </w14:textFill>
        </w:rPr>
      </w:pPr>
    </w:p>
    <w:p>
      <w:pPr>
        <w:adjustRightInd w:val="0"/>
        <w:snapToGrid w:val="0"/>
        <w:jc w:val="center"/>
        <w:rPr>
          <w:rFonts w:ascii="黑体" w:hAnsi="宋体" w:eastAsia="黑体"/>
          <w:b/>
          <w:bCs/>
          <w:color w:val="000000" w:themeColor="text1"/>
          <w:spacing w:val="36"/>
          <w:sz w:val="84"/>
          <w:szCs w:val="84"/>
          <w:highlight w:val="none"/>
          <w14:textFill>
            <w14:solidFill>
              <w14:schemeClr w14:val="tx1"/>
            </w14:solidFill>
          </w14:textFill>
        </w:rPr>
      </w:pPr>
      <w:r>
        <w:rPr>
          <w:rFonts w:hint="eastAsia" w:ascii="黑体" w:hAnsi="宋体" w:eastAsia="黑体"/>
          <w:b/>
          <w:bCs/>
          <w:color w:val="000000" w:themeColor="text1"/>
          <w:spacing w:val="36"/>
          <w:sz w:val="84"/>
          <w:szCs w:val="84"/>
          <w:highlight w:val="none"/>
          <w14:textFill>
            <w14:solidFill>
              <w14:schemeClr w14:val="tx1"/>
            </w14:solidFill>
          </w14:textFill>
        </w:rPr>
        <w:t>公开招标文件</w:t>
      </w:r>
    </w:p>
    <w:p>
      <w:pPr>
        <w:adjustRightInd w:val="0"/>
        <w:snapToGrid w:val="0"/>
        <w:jc w:val="center"/>
        <w:rPr>
          <w:rFonts w:ascii="华文行楷" w:hAnsi="宋体" w:eastAsia="华文行楷"/>
          <w:b/>
          <w:bCs/>
          <w:color w:val="000000" w:themeColor="text1"/>
          <w:spacing w:val="36"/>
          <w:sz w:val="24"/>
          <w:highlight w:val="none"/>
          <w14:textFill>
            <w14:solidFill>
              <w14:schemeClr w14:val="tx1"/>
            </w14:solidFill>
          </w14:textFill>
        </w:rPr>
      </w:pPr>
    </w:p>
    <w:p>
      <w:pPr>
        <w:adjustRightInd w:val="0"/>
        <w:snapToGrid w:val="0"/>
        <w:rPr>
          <w:rFonts w:ascii="华文行楷" w:hAnsi="宋体" w:eastAsia="华文行楷"/>
          <w:b/>
          <w:bCs/>
          <w:color w:val="000000" w:themeColor="text1"/>
          <w:spacing w:val="36"/>
          <w:sz w:val="24"/>
          <w:highlight w:val="none"/>
          <w14:textFill>
            <w14:solidFill>
              <w14:schemeClr w14:val="tx1"/>
            </w14:solidFill>
          </w14:textFill>
        </w:rPr>
      </w:pPr>
    </w:p>
    <w:p>
      <w:pPr>
        <w:adjustRightInd w:val="0"/>
        <w:snapToGrid w:val="0"/>
        <w:spacing w:line="480" w:lineRule="auto"/>
        <w:jc w:val="center"/>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项目编号：</w:t>
      </w:r>
      <w:r>
        <w:rPr>
          <w:rFonts w:hint="eastAsia" w:ascii="宋体" w:hAnsi="宋体"/>
          <w:b/>
          <w:color w:val="000000" w:themeColor="text1"/>
          <w:sz w:val="32"/>
          <w:szCs w:val="32"/>
          <w:highlight w:val="none"/>
          <w:lang w:eastAsia="zh-CN"/>
          <w14:textFill>
            <w14:solidFill>
              <w14:schemeClr w14:val="tx1"/>
            </w14:solidFill>
          </w14:textFill>
        </w:rPr>
        <w:t>三招采-2022-GK099-2号</w:t>
      </w:r>
    </w:p>
    <w:p>
      <w:pPr>
        <w:autoSpaceDE w:val="0"/>
        <w:autoSpaceDN w:val="0"/>
        <w:adjustRightInd w:val="0"/>
        <w:jc w:val="center"/>
        <w:rPr>
          <w:rFonts w:ascii="宋体" w:hAnsi="宋体"/>
          <w:color w:val="000000" w:themeColor="text1"/>
          <w:szCs w:val="36"/>
          <w:highlight w:val="none"/>
          <w14:textFill>
            <w14:solidFill>
              <w14:schemeClr w14:val="tx1"/>
            </w14:solidFill>
          </w14:textFill>
        </w:rPr>
      </w:pPr>
    </w:p>
    <w:p>
      <w:pPr>
        <w:autoSpaceDE w:val="0"/>
        <w:autoSpaceDN w:val="0"/>
        <w:adjustRightInd w:val="0"/>
        <w:jc w:val="center"/>
        <w:rPr>
          <w:rFonts w:ascii="黑体" w:eastAsia="黑体"/>
          <w:b/>
          <w:bCs/>
          <w:color w:val="000000" w:themeColor="text1"/>
          <w:sz w:val="52"/>
          <w:szCs w:val="72"/>
          <w:highlight w:val="none"/>
          <w14:textFill>
            <w14:solidFill>
              <w14:schemeClr w14:val="tx1"/>
            </w14:solidFill>
          </w14:textFill>
        </w:rPr>
      </w:pPr>
    </w:p>
    <w:p>
      <w:pPr>
        <w:autoSpaceDE w:val="0"/>
        <w:autoSpaceDN w:val="0"/>
        <w:adjustRightInd w:val="0"/>
        <w:jc w:val="center"/>
        <w:rPr>
          <w:rFonts w:ascii="黑体" w:eastAsia="黑体"/>
          <w:b/>
          <w:bCs/>
          <w:color w:val="000000" w:themeColor="text1"/>
          <w:sz w:val="52"/>
          <w:szCs w:val="72"/>
          <w:highlight w:val="none"/>
          <w14:textFill>
            <w14:solidFill>
              <w14:schemeClr w14:val="tx1"/>
            </w14:solidFill>
          </w14:textFill>
        </w:rPr>
      </w:pPr>
    </w:p>
    <w:p>
      <w:pPr>
        <w:autoSpaceDE w:val="0"/>
        <w:autoSpaceDN w:val="0"/>
        <w:adjustRightInd w:val="0"/>
        <w:jc w:val="center"/>
        <w:rPr>
          <w:rFonts w:ascii="黑体" w:eastAsia="黑体"/>
          <w:b/>
          <w:bCs/>
          <w:color w:val="000000" w:themeColor="text1"/>
          <w:sz w:val="52"/>
          <w:szCs w:val="72"/>
          <w:highlight w:val="none"/>
          <w14:textFill>
            <w14:solidFill>
              <w14:schemeClr w14:val="tx1"/>
            </w14:solidFill>
          </w14:textFill>
        </w:rPr>
      </w:pPr>
    </w:p>
    <w:p>
      <w:pPr>
        <w:tabs>
          <w:tab w:val="left" w:pos="1440"/>
        </w:tabs>
        <w:spacing w:line="216" w:lineRule="auto"/>
        <w:ind w:firstLine="1343" w:firstLineChars="446"/>
        <w:rPr>
          <w:rFonts w:ascii="宋体" w:hAnsi="宋体"/>
          <w:b/>
          <w:bCs/>
          <w:color w:val="000000" w:themeColor="text1"/>
          <w:sz w:val="30"/>
          <w:highlight w:val="none"/>
          <w14:textFill>
            <w14:solidFill>
              <w14:schemeClr w14:val="tx1"/>
            </w14:solidFill>
          </w14:textFill>
        </w:rPr>
      </w:pPr>
      <w:r>
        <w:rPr>
          <w:rFonts w:hint="eastAsia" w:ascii="宋体" w:hAnsi="宋体"/>
          <w:b/>
          <w:bCs/>
          <w:color w:val="000000" w:themeColor="text1"/>
          <w:sz w:val="30"/>
          <w:highlight w:val="none"/>
          <w14:textFill>
            <w14:solidFill>
              <w14:schemeClr w14:val="tx1"/>
            </w14:solidFill>
          </w14:textFill>
        </w:rPr>
        <w:t xml:space="preserve">  </w:t>
      </w:r>
    </w:p>
    <w:p>
      <w:pPr>
        <w:tabs>
          <w:tab w:val="left" w:pos="1440"/>
        </w:tabs>
        <w:spacing w:line="216" w:lineRule="auto"/>
        <w:rPr>
          <w:rFonts w:ascii="宋体" w:hAnsi="宋体"/>
          <w:b/>
          <w:bCs/>
          <w:color w:val="000000" w:themeColor="text1"/>
          <w:sz w:val="30"/>
          <w:highlight w:val="none"/>
          <w14:textFill>
            <w14:solidFill>
              <w14:schemeClr w14:val="tx1"/>
            </w14:solidFill>
          </w14:textFill>
        </w:rPr>
      </w:pPr>
      <w:r>
        <w:rPr>
          <w:rFonts w:hint="eastAsia" w:ascii="宋体" w:hAnsi="宋体"/>
          <w:b/>
          <w:bCs/>
          <w:color w:val="000000" w:themeColor="text1"/>
          <w:sz w:val="30"/>
          <w:highlight w:val="none"/>
          <w14:textFill>
            <w14:solidFill>
              <w14:schemeClr w14:val="tx1"/>
            </w14:solidFill>
          </w14:textFill>
        </w:rPr>
        <w:t xml:space="preserve">    </w:t>
      </w:r>
    </w:p>
    <w:p>
      <w:pPr>
        <w:spacing w:line="640" w:lineRule="exact"/>
        <w:jc w:val="left"/>
        <w:rPr>
          <w:rFonts w:ascii="宋体" w:hAnsi="宋体"/>
          <w:color w:val="000000" w:themeColor="text1"/>
          <w:spacing w:val="50"/>
          <w:sz w:val="32"/>
          <w:szCs w:val="20"/>
          <w:highlight w:val="none"/>
          <w14:textFill>
            <w14:solidFill>
              <w14:schemeClr w14:val="tx1"/>
            </w14:solidFill>
          </w14:textFill>
        </w:rPr>
      </w:pPr>
    </w:p>
    <w:tbl>
      <w:tblPr>
        <w:tblStyle w:val="23"/>
        <w:tblW w:w="0" w:type="auto"/>
        <w:jc w:val="center"/>
        <w:tblLayout w:type="fixed"/>
        <w:tblCellMar>
          <w:top w:w="0" w:type="dxa"/>
          <w:left w:w="108" w:type="dxa"/>
          <w:bottom w:w="0" w:type="dxa"/>
          <w:right w:w="108" w:type="dxa"/>
        </w:tblCellMar>
      </w:tblPr>
      <w:tblGrid>
        <w:gridCol w:w="1988"/>
        <w:gridCol w:w="257"/>
        <w:gridCol w:w="6111"/>
      </w:tblGrid>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采购</w:t>
            </w:r>
            <w:r>
              <w:rPr>
                <w:color w:val="000000" w:themeColor="text1"/>
                <w:sz w:val="32"/>
                <w:szCs w:val="32"/>
                <w:highlight w:val="none"/>
                <w14:textFill>
                  <w14:solidFill>
                    <w14:schemeClr w14:val="tx1"/>
                  </w14:solidFill>
                </w14:textFill>
              </w:rPr>
              <w:t>人</w:t>
            </w:r>
          </w:p>
        </w:tc>
        <w:tc>
          <w:tcPr>
            <w:tcW w:w="257" w:type="dxa"/>
            <w:vAlign w:val="center"/>
          </w:tcPr>
          <w:p>
            <w:pPr>
              <w:adjustRightInd w:val="0"/>
              <w:snapToGrid w:val="0"/>
              <w:spacing w:line="440" w:lineRule="exact"/>
              <w:jc w:val="distribute"/>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w:t>
            </w:r>
          </w:p>
        </w:tc>
        <w:tc>
          <w:tcPr>
            <w:tcW w:w="6111" w:type="dxa"/>
            <w:vAlign w:val="center"/>
          </w:tcPr>
          <w:p>
            <w:pPr>
              <w:adjustRightInd w:val="0"/>
              <w:snapToGrid w:val="0"/>
              <w:spacing w:line="440" w:lineRule="exact"/>
              <w:jc w:val="distribute"/>
              <w:rPr>
                <w:rFonts w:hint="eastAsia" w:eastAsia="宋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三门县浦坝港镇人民政府</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招标代理人</w:t>
            </w:r>
          </w:p>
        </w:tc>
        <w:tc>
          <w:tcPr>
            <w:tcW w:w="257" w:type="dxa"/>
            <w:vAlign w:val="center"/>
          </w:tcPr>
          <w:p>
            <w:pPr>
              <w:adjustRightInd w:val="0"/>
              <w:snapToGrid w:val="0"/>
              <w:spacing w:line="440" w:lineRule="exact"/>
              <w:jc w:val="distribute"/>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w:t>
            </w:r>
          </w:p>
        </w:tc>
        <w:tc>
          <w:tcPr>
            <w:tcW w:w="6111" w:type="dxa"/>
            <w:vAlign w:val="center"/>
          </w:tcPr>
          <w:p>
            <w:pPr>
              <w:adjustRightInd w:val="0"/>
              <w:snapToGrid w:val="0"/>
              <w:spacing w:line="440" w:lineRule="exact"/>
              <w:jc w:val="distribute"/>
              <w:rPr>
                <w:rFonts w:hint="eastAsia" w:eastAsia="宋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三门县熠橙工程管理有限公司</w:t>
            </w:r>
          </w:p>
        </w:tc>
      </w:tr>
    </w:tbl>
    <w:p>
      <w:pPr>
        <w:spacing w:line="640" w:lineRule="exact"/>
        <w:ind w:firstLine="1280" w:firstLineChars="400"/>
        <w:jc w:val="left"/>
        <w:rPr>
          <w:rFonts w:ascii="宋体" w:hAnsi="宋体"/>
          <w:color w:val="000000" w:themeColor="text1"/>
          <w:sz w:val="32"/>
          <w:szCs w:val="2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04"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pacing w:val="16"/>
          <w:sz w:val="32"/>
          <w:szCs w:val="20"/>
          <w:highlight w:val="none"/>
          <w14:textFill>
            <w14:solidFill>
              <w14:schemeClr w14:val="tx1"/>
            </w14:solidFill>
          </w14:textFill>
        </w:rPr>
        <w:t xml:space="preserve">二 ○ 二 </w:t>
      </w:r>
      <w:r>
        <w:rPr>
          <w:rFonts w:hint="eastAsia" w:ascii="宋体" w:hAnsi="宋体"/>
          <w:color w:val="000000" w:themeColor="text1"/>
          <w:spacing w:val="16"/>
          <w:sz w:val="32"/>
          <w:szCs w:val="20"/>
          <w:highlight w:val="none"/>
          <w:lang w:val="en-US" w:eastAsia="zh-CN"/>
          <w14:textFill>
            <w14:solidFill>
              <w14:schemeClr w14:val="tx1"/>
            </w14:solidFill>
          </w14:textFill>
        </w:rPr>
        <w:t>二</w:t>
      </w:r>
      <w:r>
        <w:rPr>
          <w:rFonts w:hint="eastAsia" w:ascii="宋体" w:hAnsi="宋体"/>
          <w:color w:val="000000" w:themeColor="text1"/>
          <w:spacing w:val="16"/>
          <w:sz w:val="32"/>
          <w:szCs w:val="20"/>
          <w:highlight w:val="none"/>
          <w14:textFill>
            <w14:solidFill>
              <w14:schemeClr w14:val="tx1"/>
            </w14:solidFill>
          </w14:textFill>
        </w:rPr>
        <w:t xml:space="preserve"> 年 </w:t>
      </w:r>
      <w:r>
        <w:rPr>
          <w:rFonts w:hint="eastAsia" w:ascii="宋体" w:hAnsi="宋体"/>
          <w:color w:val="000000" w:themeColor="text1"/>
          <w:spacing w:val="16"/>
          <w:sz w:val="32"/>
          <w:szCs w:val="20"/>
          <w:highlight w:val="none"/>
          <w:lang w:val="en-US" w:eastAsia="zh-CN"/>
          <w14:textFill>
            <w14:solidFill>
              <w14:schemeClr w14:val="tx1"/>
            </w14:solidFill>
          </w14:textFill>
        </w:rPr>
        <w:t>十</w:t>
      </w:r>
      <w:r>
        <w:rPr>
          <w:rFonts w:hint="eastAsia" w:ascii="宋体" w:hAnsi="宋体"/>
          <w:color w:val="000000" w:themeColor="text1"/>
          <w:spacing w:val="16"/>
          <w:sz w:val="32"/>
          <w:szCs w:val="20"/>
          <w:highlight w:val="none"/>
          <w14:textFill>
            <w14:solidFill>
              <w14:schemeClr w14:val="tx1"/>
            </w14:solidFill>
          </w14:textFill>
        </w:rPr>
        <w:t xml:space="preserve"> 月</w:t>
      </w:r>
    </w:p>
    <w:p>
      <w:pPr>
        <w:rPr>
          <w:rFonts w:hint="eastAsia"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br w:type="page"/>
      </w:r>
    </w:p>
    <w:p>
      <w:pPr>
        <w:pStyle w:val="19"/>
        <w:tabs>
          <w:tab w:val="right" w:leader="dot" w:pos="9040"/>
          <w:tab w:val="clear" w:pos="9628"/>
        </w:tabs>
        <w:rPr>
          <w:color w:val="000000" w:themeColor="text1"/>
          <w14:textFill>
            <w14:solidFill>
              <w14:schemeClr w14:val="tx1"/>
            </w14:solidFill>
          </w14:textFill>
        </w:rPr>
      </w:pPr>
    </w:p>
    <w:p>
      <w:pPr>
        <w:pStyle w:val="19"/>
        <w:tabs>
          <w:tab w:val="right" w:leader="dot" w:pos="9040"/>
          <w:tab w:val="clear" w:pos="9628"/>
        </w:tabs>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目录</w:t>
      </w:r>
    </w:p>
    <w:p>
      <w:pPr>
        <w:rPr>
          <w:rFonts w:hint="eastAsia" w:ascii="宋体" w:hAnsi="宋体" w:eastAsia="宋体" w:cs="宋体"/>
          <w:color w:val="000000" w:themeColor="text1"/>
          <w:sz w:val="32"/>
          <w:szCs w:val="32"/>
          <w:lang w:eastAsia="zh-CN"/>
          <w14:textFill>
            <w14:solidFill>
              <w14:schemeClr w14:val="tx1"/>
            </w14:solidFill>
          </w14:textFill>
        </w:rPr>
      </w:pP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TOC \o "1-1" \h \u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_Toc4675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第一章 公开招标采购公告</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3</w:t>
      </w:r>
      <w:r>
        <w:rPr>
          <w:rFonts w:hint="eastAsia" w:ascii="宋体" w:hAnsi="宋体" w:eastAsia="宋体" w:cs="宋体"/>
          <w:b w:val="0"/>
          <w:bCs/>
          <w:color w:val="000000" w:themeColor="text1"/>
          <w:sz w:val="32"/>
          <w:szCs w:val="32"/>
          <w14:textFill>
            <w14:solidFill>
              <w14:schemeClr w14:val="tx1"/>
            </w14:solidFill>
          </w14:textFill>
        </w:rPr>
        <w:fldChar w:fldCharType="end"/>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_Toc1743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第二章 投标人须知</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7</w:t>
      </w:r>
      <w:r>
        <w:rPr>
          <w:rFonts w:hint="eastAsia" w:ascii="宋体" w:hAnsi="宋体" w:eastAsia="宋体" w:cs="宋体"/>
          <w:b w:val="0"/>
          <w:bCs/>
          <w:color w:val="000000" w:themeColor="text1"/>
          <w:sz w:val="32"/>
          <w:szCs w:val="32"/>
          <w14:textFill>
            <w14:solidFill>
              <w14:schemeClr w14:val="tx1"/>
            </w14:solidFill>
          </w14:textFill>
        </w:rPr>
        <w:fldChar w:fldCharType="end"/>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_Toc21405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第三章 招标需求</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1</w:t>
      </w:r>
      <w:r>
        <w:rPr>
          <w:rFonts w:hint="eastAsia" w:ascii="宋体" w:hAnsi="宋体" w:eastAsia="宋体" w:cs="宋体"/>
          <w:b w:val="0"/>
          <w:bCs/>
          <w:color w:val="000000" w:themeColor="text1"/>
          <w:sz w:val="32"/>
          <w:szCs w:val="32"/>
          <w14:textFill>
            <w14:solidFill>
              <w14:schemeClr w14:val="tx1"/>
            </w14:solidFill>
          </w14:textFill>
        </w:rPr>
        <w:fldChar w:fldCharType="end"/>
      </w:r>
      <w:r>
        <w:rPr>
          <w:rFonts w:hint="eastAsia" w:ascii="宋体" w:hAnsi="宋体" w:eastAsia="宋体" w:cs="宋体"/>
          <w:b w:val="0"/>
          <w:bCs/>
          <w:color w:val="000000" w:themeColor="text1"/>
          <w:sz w:val="32"/>
          <w:szCs w:val="32"/>
          <w:lang w:val="en-US" w:eastAsia="zh-CN"/>
          <w14:textFill>
            <w14:solidFill>
              <w14:schemeClr w14:val="tx1"/>
            </w14:solidFill>
          </w14:textFill>
        </w:rPr>
        <w:t>6</w:t>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_Toc23842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第四章 评标办法及评分标准</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1</w:t>
      </w:r>
      <w:r>
        <w:rPr>
          <w:rFonts w:hint="eastAsia" w:ascii="宋体" w:hAnsi="宋体" w:eastAsia="宋体" w:cs="宋体"/>
          <w:b w:val="0"/>
          <w:bCs/>
          <w:color w:val="000000" w:themeColor="text1"/>
          <w:sz w:val="32"/>
          <w:szCs w:val="32"/>
          <w14:textFill>
            <w14:solidFill>
              <w14:schemeClr w14:val="tx1"/>
            </w14:solidFill>
          </w14:textFill>
        </w:rPr>
        <w:fldChar w:fldCharType="end"/>
      </w:r>
      <w:r>
        <w:rPr>
          <w:rFonts w:hint="eastAsia" w:ascii="宋体" w:hAnsi="宋体" w:eastAsia="宋体" w:cs="宋体"/>
          <w:b w:val="0"/>
          <w:bCs/>
          <w:color w:val="000000" w:themeColor="text1"/>
          <w:sz w:val="32"/>
          <w:szCs w:val="32"/>
          <w:lang w:val="en-US" w:eastAsia="zh-CN"/>
          <w14:textFill>
            <w14:solidFill>
              <w14:schemeClr w14:val="tx1"/>
            </w14:solidFill>
          </w14:textFill>
        </w:rPr>
        <w:t>9</w:t>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_Toc30454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第五章 政府采购合同主要条款指引</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2</w:t>
      </w:r>
      <w:r>
        <w:rPr>
          <w:rFonts w:hint="eastAsia" w:ascii="宋体" w:hAnsi="宋体" w:eastAsia="宋体" w:cs="宋体"/>
          <w:b w:val="0"/>
          <w:bCs/>
          <w:color w:val="000000" w:themeColor="text1"/>
          <w:sz w:val="32"/>
          <w:szCs w:val="32"/>
          <w14:textFill>
            <w14:solidFill>
              <w14:schemeClr w14:val="tx1"/>
            </w14:solidFill>
          </w14:textFill>
        </w:rPr>
        <w:fldChar w:fldCharType="end"/>
      </w:r>
      <w:r>
        <w:rPr>
          <w:rFonts w:hint="eastAsia" w:ascii="宋体" w:hAnsi="宋体" w:eastAsia="宋体" w:cs="宋体"/>
          <w:b w:val="0"/>
          <w:bCs/>
          <w:color w:val="000000" w:themeColor="text1"/>
          <w:sz w:val="32"/>
          <w:szCs w:val="32"/>
          <w:lang w:val="en-US" w:eastAsia="zh-CN"/>
          <w14:textFill>
            <w14:solidFill>
              <w14:schemeClr w14:val="tx1"/>
            </w14:solidFill>
          </w14:textFill>
        </w:rPr>
        <w:t>6</w:t>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_Toc4995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第六章 投标文件格式附件</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3</w:t>
      </w:r>
      <w:r>
        <w:rPr>
          <w:rFonts w:hint="eastAsia" w:ascii="宋体" w:hAnsi="宋体" w:eastAsia="宋体" w:cs="宋体"/>
          <w:b w:val="0"/>
          <w:bCs/>
          <w:color w:val="000000" w:themeColor="text1"/>
          <w:sz w:val="32"/>
          <w:szCs w:val="32"/>
          <w14:textFill>
            <w14:solidFill>
              <w14:schemeClr w14:val="tx1"/>
            </w14:solidFill>
          </w14:textFill>
        </w:rPr>
        <w:fldChar w:fldCharType="end"/>
      </w:r>
      <w:r>
        <w:rPr>
          <w:rFonts w:hint="eastAsia" w:ascii="宋体" w:hAnsi="宋体" w:eastAsia="宋体" w:cs="宋体"/>
          <w:b w:val="0"/>
          <w:bCs/>
          <w:color w:val="000000" w:themeColor="text1"/>
          <w:sz w:val="32"/>
          <w:szCs w:val="32"/>
          <w:lang w:val="en-US" w:eastAsia="zh-CN"/>
          <w14:textFill>
            <w14:solidFill>
              <w14:schemeClr w14:val="tx1"/>
            </w14:solidFill>
          </w14:textFill>
        </w:rPr>
        <w:t>1</w:t>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color w:val="000000" w:themeColor="text1"/>
          <w14:textFill>
            <w14:solidFill>
              <w14:schemeClr w14:val="tx1"/>
            </w14:solidFill>
          </w14:textFill>
        </w:rPr>
      </w:pPr>
      <w:bookmarkStart w:id="0" w:name="_Toc32568"/>
      <w:r>
        <w:rPr>
          <w:rFonts w:asciiTheme="majorEastAsia" w:hAnsiTheme="majorEastAsia" w:eastAsiaTheme="majorEastAsia"/>
          <w:b/>
          <w:color w:val="000000" w:themeColor="text1"/>
          <w:kern w:val="0"/>
          <w:sz w:val="36"/>
          <w:szCs w:val="36"/>
          <w:highlight w:val="none"/>
          <w14:textFill>
            <w14:solidFill>
              <w14:schemeClr w14:val="tx1"/>
            </w14:solidFill>
          </w14:textFill>
        </w:rPr>
        <w:br w:type="page"/>
      </w:r>
    </w:p>
    <w:p>
      <w:pPr>
        <w:pStyle w:val="5"/>
        <w:numPr>
          <w:ilvl w:val="0"/>
          <w:numId w:val="2"/>
        </w:numPr>
        <w:bidi w:val="0"/>
        <w:rPr>
          <w:color w:val="000000" w:themeColor="text1"/>
          <w14:textFill>
            <w14:solidFill>
              <w14:schemeClr w14:val="tx1"/>
            </w14:solidFill>
          </w14:textFill>
        </w:rPr>
      </w:pPr>
      <w:bookmarkStart w:id="1" w:name="_Toc4675"/>
      <w:r>
        <w:rPr>
          <w:rFonts w:hint="eastAsia"/>
          <w:color w:val="000000" w:themeColor="text1"/>
          <w14:textFill>
            <w14:solidFill>
              <w14:schemeClr w14:val="tx1"/>
            </w14:solidFill>
          </w14:textFill>
        </w:rPr>
        <w:t>公开招标采购公告</w:t>
      </w:r>
      <w:bookmarkEnd w:id="0"/>
      <w:bookmarkEnd w:id="1"/>
    </w:p>
    <w:p>
      <w:pPr>
        <w:pStyle w:val="20"/>
        <w:keepNext w:val="0"/>
        <w:keepLines w:val="0"/>
        <w:widowControl/>
        <w:suppressLineNumbers w:val="0"/>
        <w:pBdr>
          <w:top w:val="single" w:color="auto" w:sz="4" w:space="0"/>
          <w:left w:val="single" w:color="auto" w:sz="4" w:space="0"/>
          <w:bottom w:val="single" w:color="auto" w:sz="4" w:space="0"/>
          <w:right w:val="single" w:color="auto" w:sz="4" w:space="0"/>
        </w:pBd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pPr>
      <w:r>
        <w:rPr>
          <w:rFonts w:ascii="仿宋" w:hAnsi="仿宋" w:eastAsia="仿宋" w:cs="仿宋"/>
          <w:i w:val="0"/>
          <w:caps w:val="0"/>
          <w:color w:val="000000" w:themeColor="text1"/>
          <w:spacing w:val="0"/>
          <w:sz w:val="24"/>
          <w:szCs w:val="24"/>
          <w:highlight w:val="none"/>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项目概况       </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 xml:space="preserve">                                    </w:t>
      </w:r>
    </w:p>
    <w:p>
      <w:pPr>
        <w:pStyle w:val="20"/>
        <w:keepNext w:val="0"/>
        <w:keepLines w:val="0"/>
        <w:widowControl/>
        <w:suppressLineNumbers w:val="0"/>
        <w:pBdr>
          <w:top w:val="single" w:color="auto" w:sz="4" w:space="0"/>
          <w:left w:val="single" w:color="auto" w:sz="4" w:space="0"/>
          <w:bottom w:val="single" w:color="auto" w:sz="4" w:space="0"/>
          <w:right w:val="single" w:color="auto" w:sz="4" w:space="0"/>
        </w:pBdr>
        <w:ind w:firstLine="480" w:firstLineChars="200"/>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pPr>
      <w:r>
        <w:rPr>
          <w:rFonts w:hint="eastAsia" w:cs="宋体"/>
          <w:i w:val="0"/>
          <w:iCs w:val="0"/>
          <w:caps w:val="0"/>
          <w:color w:val="000000" w:themeColor="text1"/>
          <w:spacing w:val="0"/>
          <w:sz w:val="24"/>
          <w:szCs w:val="24"/>
          <w:highlight w:val="none"/>
          <w:u w:val="none"/>
          <w:lang w:eastAsia="zh-CN"/>
          <w14:textFill>
            <w14:solidFill>
              <w14:schemeClr w14:val="tx1"/>
            </w14:solidFill>
          </w14:textFill>
        </w:rPr>
        <w:t>三门县浦坝港镇胜利塘木杓山（木屿山）生活垃圾临时周转场余量垃圾清运项目（二次招标）</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的潜在投标人应在浙江省政府采购网获取（下载）招标文件，并于202</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年</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月</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日</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上午9</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 xml:space="preserve">0（北京时间）前递交（上传）投标文件。              </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一、项目基本情况</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项目编号：</w:t>
      </w:r>
      <w:r>
        <w:rPr>
          <w:rFonts w:hint="eastAsia" w:cs="宋体"/>
          <w:i w:val="0"/>
          <w:iCs w:val="0"/>
          <w:caps w:val="0"/>
          <w:color w:val="000000" w:themeColor="text1"/>
          <w:spacing w:val="0"/>
          <w:sz w:val="24"/>
          <w:szCs w:val="24"/>
          <w:highlight w:val="none"/>
          <w:lang w:eastAsia="zh-CN"/>
          <w14:textFill>
            <w14:solidFill>
              <w14:schemeClr w14:val="tx1"/>
            </w14:solidFill>
          </w14:textFill>
        </w:rPr>
        <w:t>三招采-2022-GK099-2号</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项目名称：</w:t>
      </w:r>
      <w:r>
        <w:rPr>
          <w:rFonts w:hint="eastAsia" w:cs="宋体"/>
          <w:i w:val="0"/>
          <w:iCs w:val="0"/>
          <w:caps w:val="0"/>
          <w:color w:val="000000" w:themeColor="text1"/>
          <w:spacing w:val="0"/>
          <w:sz w:val="24"/>
          <w:szCs w:val="24"/>
          <w:highlight w:val="none"/>
          <w:lang w:eastAsia="zh-CN"/>
          <w14:textFill>
            <w14:solidFill>
              <w14:schemeClr w14:val="tx1"/>
            </w14:solidFill>
          </w14:textFill>
        </w:rPr>
        <w:t>三门县浦坝港镇胜利塘木杓山（木屿山）生活垃圾临时周转场余量垃圾清运项目（二次招标）</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720"/>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预算金额（元）：</w:t>
      </w:r>
      <w:r>
        <w:rPr>
          <w:rFonts w:hint="eastAsia" w:cs="宋体"/>
          <w:i w:val="0"/>
          <w:iCs w:val="0"/>
          <w:caps w:val="0"/>
          <w:color w:val="000000" w:themeColor="text1"/>
          <w:spacing w:val="0"/>
          <w:sz w:val="24"/>
          <w:szCs w:val="24"/>
          <w:highlight w:val="none"/>
          <w:lang w:eastAsia="zh-CN"/>
          <w14:textFill>
            <w14:solidFill>
              <w14:schemeClr w14:val="tx1"/>
            </w14:solidFill>
          </w14:textFill>
        </w:rPr>
        <w:t>1938064</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720"/>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最高限价（元）：</w:t>
      </w:r>
      <w:r>
        <w:rPr>
          <w:rFonts w:hint="eastAsia" w:cs="宋体"/>
          <w:i w:val="0"/>
          <w:iCs w:val="0"/>
          <w:caps w:val="0"/>
          <w:color w:val="000000" w:themeColor="text1"/>
          <w:spacing w:val="0"/>
          <w:sz w:val="24"/>
          <w:szCs w:val="24"/>
          <w:highlight w:val="none"/>
          <w:lang w:eastAsia="zh-CN"/>
          <w14:textFill>
            <w14:solidFill>
              <w14:schemeClr w14:val="tx1"/>
            </w14:solidFill>
          </w14:textFill>
        </w:rPr>
        <w:t>1938064</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采购需求：详见采购文件</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标项名称: </w:t>
      </w:r>
      <w:r>
        <w:rPr>
          <w:rFonts w:hint="eastAsia" w:cs="宋体"/>
          <w:i w:val="0"/>
          <w:iCs w:val="0"/>
          <w:caps w:val="0"/>
          <w:color w:val="000000" w:themeColor="text1"/>
          <w:spacing w:val="0"/>
          <w:sz w:val="24"/>
          <w:szCs w:val="24"/>
          <w:highlight w:val="none"/>
          <w:lang w:eastAsia="zh-CN"/>
          <w14:textFill>
            <w14:solidFill>
              <w14:schemeClr w14:val="tx1"/>
            </w14:solidFill>
          </w14:textFill>
        </w:rPr>
        <w:t>三门县浦坝港镇胜利塘木杓山（木屿山）生活垃圾临时周转场余量垃圾清运项目（二次招标）</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数量:</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30000吨</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预算金额（元）:</w:t>
      </w:r>
      <w:r>
        <w:rPr>
          <w:rFonts w:hint="eastAsia" w:cs="宋体"/>
          <w:i w:val="0"/>
          <w:iCs w:val="0"/>
          <w:caps w:val="0"/>
          <w:color w:val="000000" w:themeColor="text1"/>
          <w:spacing w:val="0"/>
          <w:sz w:val="24"/>
          <w:szCs w:val="24"/>
          <w:highlight w:val="none"/>
          <w:lang w:eastAsia="zh-CN"/>
          <w14:textFill>
            <w14:solidFill>
              <w14:schemeClr w14:val="tx1"/>
            </w14:solidFill>
          </w14:textFill>
        </w:rPr>
        <w:t>1938064</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简要规格描述或项目基本概况介绍、用途：</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详见</w:t>
      </w:r>
      <w:r>
        <w:rPr>
          <w:rFonts w:hint="eastAsia" w:cs="宋体"/>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文件。</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备注： </w:t>
      </w:r>
    </w:p>
    <w:p>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yellow"/>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合同履约期限：按双方合同约定条款执行。</w:t>
      </w:r>
    </w:p>
    <w:p>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本项目（否）接受联合体投标。</w:t>
      </w:r>
    </w:p>
    <w:p>
      <w:pPr>
        <w:pStyle w:val="20"/>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二、申请人的资格要求：</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72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2.落实政府采购政策需满足的资格要求：(1)供应商为中小企业/小微企业</w:t>
      </w:r>
      <w:r>
        <w:rPr>
          <w:rFonts w:hint="eastAsia" w:cs="宋体"/>
          <w:i w:val="0"/>
          <w:iCs w:val="0"/>
          <w:caps w:val="0"/>
          <w:color w:val="000000" w:themeColor="text1"/>
          <w:spacing w:val="0"/>
          <w:sz w:val="24"/>
          <w:szCs w:val="24"/>
          <w:highlight w:val="none"/>
          <w:lang w:eastAsia="zh-CN"/>
          <w14:textFill>
            <w14:solidFill>
              <w14:schemeClr w14:val="tx1"/>
            </w14:solidFill>
          </w14:textFill>
        </w:rPr>
        <w:t>。</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14:textFill>
            <w14:solidFill>
              <w14:schemeClr w14:val="tx1"/>
            </w14:solidFill>
          </w14:textFill>
        </w:rPr>
        <w:t>    3.本项目的特定资格要求：</w:t>
      </w:r>
      <w:r>
        <w:rPr>
          <w:rFonts w:hint="eastAsia" w:cs="宋体"/>
          <w:b w:val="0"/>
          <w:bCs w:val="0"/>
          <w:i w:val="0"/>
          <w:iCs w:val="0"/>
          <w:caps w:val="0"/>
          <w:color w:val="000000" w:themeColor="text1"/>
          <w:spacing w:val="0"/>
          <w:sz w:val="24"/>
          <w:szCs w:val="24"/>
          <w:highlight w:val="none"/>
          <w:lang w:eastAsia="zh-CN"/>
          <w14:textFill>
            <w14:solidFill>
              <w14:schemeClr w14:val="tx1"/>
            </w14:solidFill>
          </w14:textFill>
        </w:rPr>
        <w:t>（</w:t>
      </w:r>
      <w:r>
        <w:rPr>
          <w:rFonts w:hint="eastAsia" w:cs="宋体"/>
          <w:b w:val="0"/>
          <w:bCs w:val="0"/>
          <w:i w:val="0"/>
          <w:iCs w:val="0"/>
          <w:caps w:val="0"/>
          <w:color w:val="000000" w:themeColor="text1"/>
          <w:spacing w:val="0"/>
          <w:sz w:val="24"/>
          <w:szCs w:val="24"/>
          <w:highlight w:val="none"/>
          <w:lang w:val="en-US" w:eastAsia="zh-CN"/>
          <w14:textFill>
            <w14:solidFill>
              <w14:schemeClr w14:val="tx1"/>
            </w14:solidFill>
          </w14:textFill>
        </w:rPr>
        <w:t>1</w:t>
      </w:r>
      <w:r>
        <w:rPr>
          <w:rFonts w:hint="eastAsia" w:cs="宋体"/>
          <w:b w:val="0"/>
          <w:bCs w:val="0"/>
          <w:i w:val="0"/>
          <w:iCs w:val="0"/>
          <w:caps w:val="0"/>
          <w:color w:val="000000" w:themeColor="text1"/>
          <w:spacing w:val="0"/>
          <w:sz w:val="24"/>
          <w:szCs w:val="24"/>
          <w:highlight w:val="none"/>
          <w:lang w:eastAsia="zh-CN"/>
          <w14:textFill>
            <w14:solidFill>
              <w14:schemeClr w14:val="tx1"/>
            </w14:solidFill>
          </w14:textFill>
        </w:rPr>
        <w:t>）具有道路运输经营许可证。</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三、获取招标文件</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时间</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：/至 202</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年</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月</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日，每天上午00:00至12:00，下午12:00至23:59（北京时间，线上获取法定节假日均可，线下获取文件法定节假日除外）</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地点（网址）：浙江省政府采购网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售价（元）：0 </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四、提交投标文件截止时间、开标时间和地点</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 提交投标</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文件截止时间：202</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年</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月</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日</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上</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午</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0</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时</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（北京时间）</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投标地点（网址）：通过“浙江政府采购云平台（http://zfcg.czt.zj.gov.cn/）”在线递交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default"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开标时间：202</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年</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月</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日</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上</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午</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0</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时</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开标地点：三门县广场路22号交通大楼四楼三门县公共资源交易中心</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五、公告期限</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自本公告发布之日起5个工作日。</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bookmarkStart w:id="2" w:name="_Toc35393626"/>
      <w:bookmarkStart w:id="3" w:name="_Toc35393795"/>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六、</w:t>
      </w:r>
      <w:bookmarkEnd w:id="2"/>
      <w:bookmarkEnd w:id="3"/>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注册报名</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投标人需登录浙江省政府采购网（https://zfcg.czt.zj.gov.cn/）进行注册后报名。</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七、投标保证金: 无</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八、投标与开标注意事项：</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1.本项目实行网上投标，采用电子投标文件。若供应商参与投标，自行承担投标一切费用。</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标前准备：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3.投标文件制作：</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3.1应按照本项目招标文件和政采云平台的要求编制、加密并递交投标文件。供应商在使用系统进行投标的过程中遇到涉及平台使用的任何问题，可致电政采云平台技术支持热线咨询，联系方式：400-881-7190。</w:t>
      </w:r>
      <w:bookmarkStart w:id="85" w:name="_GoBack"/>
      <w:bookmarkEnd w:id="85"/>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3.2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九、投标人信用信息查询渠道及截止时点、信用信息查询记录和证据留存的具体方式、信用信息的使用规则：</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1、查询渠道：信用中国（网址：</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instrText xml:space="preserve"> HYPERLINK "http://www.creditchina.gov.cn/" </w:instrTex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http://www.creditchina.gov.cn</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）、中国政府采购网(网址：http://www.ccgp.gov.cn）、国家企业信用信息公示系统（http://www.gsxt.gov.cn/index.html）。</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2、截止时点：开标后评标前。</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3、信用信息查询记录和证据留存的具体方式：由采购组织机构在规定查询时间内打印信用信息查询记录并归入项目档案。</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十、相关注意事项：</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2、根据《浙江省政府采购供应商注册及诚信管理暂行办法》浙财采监【2009】28号文件，请各投标供应商及时办理浙江政府采购网“政府采购供应商注册”手续。</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3、本项目所有公告发布网站：“浙江省政府采购网”（http://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instrText xml:space="preserve"> HYPERLINK "http://www.zjzfcg.gov.cn）和" </w:instrTex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www.zjzfcg.gov.cn）和“三门县公共资源交易中心网”</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end"/>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 http://www.sanmen.gov.cn/col/col1229610743/index.html）。</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cs="宋体"/>
          <w:i w:val="0"/>
          <w:iCs w:val="0"/>
          <w:caps w:val="0"/>
          <w:color w:val="000000" w:themeColor="text1"/>
          <w:spacing w:val="0"/>
          <w:sz w:val="24"/>
          <w:szCs w:val="24"/>
          <w:highlight w:val="none"/>
          <w:lang w:val="en-US" w:eastAsia="zh-CN"/>
          <w14:textFill>
            <w14:solidFill>
              <w14:schemeClr w14:val="tx1"/>
            </w14:solidFill>
          </w14:textFill>
        </w:rPr>
        <w:t>十一</w:t>
      </w: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、对本次采购提出询问、质疑、投诉，请按以下方式联系</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1.采购人信息</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名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称：</w:t>
      </w:r>
      <w:r>
        <w:rPr>
          <w:rFonts w:hint="eastAsia" w:cs="宋体"/>
          <w:i w:val="0"/>
          <w:iCs w:val="0"/>
          <w:caps w:val="0"/>
          <w:color w:val="000000" w:themeColor="text1"/>
          <w:spacing w:val="0"/>
          <w:sz w:val="24"/>
          <w:szCs w:val="24"/>
          <w:highlight w:val="none"/>
          <w:lang w:eastAsia="zh-CN"/>
          <w14:textFill>
            <w14:solidFill>
              <w14:schemeClr w14:val="tx1"/>
            </w14:solidFill>
          </w14:textFill>
        </w:rPr>
        <w:t>三门县浦坝港镇人民政府</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地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址：三门县浦坝港镇</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传  真：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项目联系人（询问）：</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 xml:space="preserve">张礼镯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项目联系方式（询问）：</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13968518968</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default" w:ascii="宋体" w:hAnsi="宋体" w:eastAsia="宋体" w:cs="宋体"/>
          <w:i w:val="0"/>
          <w:iCs w:val="0"/>
          <w:caps w:val="0"/>
          <w:color w:val="000000" w:themeColor="text1"/>
          <w:spacing w:val="0"/>
          <w:sz w:val="24"/>
          <w:szCs w:val="24"/>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质疑联系人：</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付鹏飞</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质疑联系方式：</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13968465463</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2.采购代理机构信息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名  称：</w:t>
      </w:r>
      <w:r>
        <w:rPr>
          <w:rFonts w:hint="eastAsia" w:cs="宋体"/>
          <w:i w:val="0"/>
          <w:iCs w:val="0"/>
          <w:caps w:val="0"/>
          <w:color w:val="000000" w:themeColor="text1"/>
          <w:spacing w:val="0"/>
          <w:sz w:val="24"/>
          <w:szCs w:val="24"/>
          <w:highlight w:val="none"/>
          <w:lang w:eastAsia="zh-CN"/>
          <w14:textFill>
            <w14:solidFill>
              <w14:schemeClr w14:val="tx1"/>
            </w14:solidFill>
          </w14:textFill>
        </w:rPr>
        <w:t>三门县熠橙工程管理有限公司</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7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地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址：浙江省台州市三门县海游街道梧桐路</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金茂大厦A幢</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传  真：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项目联系人（询问）</w:t>
      </w:r>
      <w:r>
        <w:rPr>
          <w:rFonts w:hint="eastAsia" w:cs="宋体"/>
          <w:i w:val="0"/>
          <w:iCs w:val="0"/>
          <w:caps w:val="0"/>
          <w:color w:val="000000" w:themeColor="text1"/>
          <w:spacing w:val="0"/>
          <w:sz w:val="24"/>
          <w:szCs w:val="24"/>
          <w:highlight w:val="none"/>
          <w:lang w:eastAsia="zh-CN"/>
          <w14:textFill>
            <w14:solidFill>
              <w14:schemeClr w14:val="tx1"/>
            </w14:solidFill>
          </w14:textFill>
        </w:rPr>
        <w:t>：</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黄安妮</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项目联系方式（询问）：</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13676625563</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质疑联系人：</w:t>
      </w:r>
      <w:r>
        <w:rPr>
          <w:rFonts w:hint="eastAsia" w:ascii="仿宋" w:hAnsi="仿宋" w:cs="宋体"/>
          <w:color w:val="000000" w:themeColor="text1"/>
          <w:kern w:val="0"/>
          <w:sz w:val="24"/>
          <w14:textFill>
            <w14:solidFill>
              <w14:schemeClr w14:val="tx1"/>
            </w14:solidFill>
          </w14:textFill>
        </w:rPr>
        <w:t>叶永芳</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质疑联系方式：15957633553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3.同级政府采购监督管理部门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名    称：三门县财政局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地    址：三门县海游街道湫水大道1号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监督投诉电话：0576-83305830           </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right="48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 CA问题联系电话（人工）：汇信CA 400-888-4636；天谷CA 400-087-8198</w:t>
      </w:r>
    </w:p>
    <w:p>
      <w:pPr>
        <w:rPr>
          <w:rFonts w:hint="eastAsia" w:ascii="宋体" w:hAnsi="宋体" w:eastAsia="宋体" w:cs="宋体"/>
          <w:b/>
          <w:color w:val="000000" w:themeColor="text1"/>
          <w:sz w:val="36"/>
          <w:szCs w:val="36"/>
          <w:highlight w:val="none"/>
          <w14:textFill>
            <w14:solidFill>
              <w14:schemeClr w14:val="tx1"/>
            </w14:solidFill>
          </w14:textFill>
        </w:rPr>
      </w:pPr>
      <w:bookmarkStart w:id="4" w:name="_Toc616"/>
      <w:r>
        <w:rPr>
          <w:rFonts w:hint="eastAsia" w:ascii="宋体" w:hAnsi="宋体" w:eastAsia="宋体" w:cs="宋体"/>
          <w:b/>
          <w:color w:val="000000" w:themeColor="text1"/>
          <w:sz w:val="36"/>
          <w:szCs w:val="36"/>
          <w:highlight w:val="none"/>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bookmarkStart w:id="5" w:name="_Toc1743"/>
      <w:r>
        <w:rPr>
          <w:rFonts w:hint="eastAsia"/>
          <w:color w:val="000000" w:themeColor="text1"/>
          <w14:textFill>
            <w14:solidFill>
              <w14:schemeClr w14:val="tx1"/>
            </w14:solidFill>
          </w14:textFill>
        </w:rPr>
        <w:t>投标人须知</w:t>
      </w:r>
      <w:bookmarkEnd w:id="4"/>
      <w:bookmarkEnd w:id="5"/>
    </w:p>
    <w:p>
      <w:pPr>
        <w:pStyle w:val="5"/>
        <w:numPr>
          <w:ilvl w:val="0"/>
          <w:numId w:val="0"/>
        </w:numPr>
        <w:bidi w:val="0"/>
        <w:jc w:val="left"/>
        <w:rPr>
          <w:color w:val="000000" w:themeColor="text1"/>
          <w:sz w:val="32"/>
          <w:szCs w:val="44"/>
          <w14:textFill>
            <w14:solidFill>
              <w14:schemeClr w14:val="tx1"/>
            </w14:solidFill>
          </w14:textFill>
        </w:rPr>
      </w:pPr>
      <w:r>
        <w:rPr>
          <w:rFonts w:hint="eastAsia"/>
          <w:color w:val="000000" w:themeColor="text1"/>
          <w:sz w:val="32"/>
          <w:szCs w:val="44"/>
          <w:lang w:val="en-US" w:eastAsia="zh-CN"/>
          <w14:textFill>
            <w14:solidFill>
              <w14:schemeClr w14:val="tx1"/>
            </w14:solidFill>
          </w14:textFill>
        </w:rPr>
        <w:t>一、前附表</w:t>
      </w:r>
    </w:p>
    <w:tbl>
      <w:tblPr>
        <w:tblStyle w:val="23"/>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0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    目</w:t>
            </w:r>
          </w:p>
        </w:tc>
        <w:tc>
          <w:tcPr>
            <w:tcW w:w="68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供应商特定资格要求</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答疑会或</w:t>
            </w:r>
            <w:r>
              <w:rPr>
                <w:rFonts w:hint="eastAsia" w:ascii="宋体" w:hAnsi="宋体"/>
                <w:color w:val="000000" w:themeColor="text1"/>
                <w:sz w:val="24"/>
                <w14:textFill>
                  <w14:solidFill>
                    <w14:schemeClr w14:val="tx1"/>
                  </w14:solidFill>
                </w14:textFill>
              </w:rPr>
              <w:t>现场踏勘</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本项目不统一组织现场踏勘。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投标有效期为开标后90天，</w:t>
            </w:r>
            <w:r>
              <w:rPr>
                <w:rFonts w:hint="eastAsia" w:ascii="宋体" w:hAnsi="宋体"/>
                <w:color w:val="000000" w:themeColor="text1"/>
                <w:kern w:val="0"/>
                <w:sz w:val="24"/>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投标文件的制作和投标</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请投标人在投标前仔细阅读“政府采购项目电子交易操作指南”。</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"http://www.zjzfcg.gov.cn/bidClientTemplate/2019-09-24/12975.html）。"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https://zfcg.czt.zj.gov.cn/download/index.html）。</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2.投标：投标人应当在投标截止时间前（开标当天北京时间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3.投标文件解密：投标人应在开标当天北京时间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备份投标文件的递交</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备份投标文件是通过政采云电子交易客户端制作投标文件产生的备份文件，请投标人自行妥善保管。</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1.使用前提：在解密截止时间前，投标人自行在线解密操作失败,又未能及时联系技术人员帮助解密，或者投标人寻求技术人员帮助仍无法完成解密。</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2.递交截止时间：开标当天</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3.投递邮箱：开标当天公布的指定邮箱。</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4.未按上述要求递交备份投标文件或所提供的备份投标文件不符合要求的视同放弃投标，仅提交备份投标文件的，投标无效。</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投标与开标</w:t>
            </w:r>
          </w:p>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注意事项</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1.本项目实行电子投标，投标人自行承担投标一切费用。</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信用信息</w:t>
            </w:r>
          </w:p>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查询渠道</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信用中国（网址：</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"http://www.creditchina.gov.cn"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http://www.creditchina.gov.cn</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中小企业预留</w:t>
            </w:r>
          </w:p>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份额情况</w:t>
            </w:r>
          </w:p>
        </w:tc>
        <w:tc>
          <w:tcPr>
            <w:tcW w:w="6804" w:type="dxa"/>
            <w:tcBorders>
              <w:top w:val="single" w:color="auto" w:sz="4" w:space="0"/>
              <w:left w:val="nil"/>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根据《政府采购促进中小企业发展管理办法》财库〔2020〕46号文件的规定，本项目(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14:textFill>
                  <w14:solidFill>
                    <w14:schemeClr w14:val="tx1"/>
                  </w14:solidFill>
                </w14:textFill>
              </w:rPr>
              <w:t>是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14:textFill>
                  <w14:solidFill>
                    <w14:schemeClr w14:val="tx1"/>
                  </w14:solidFill>
                </w14:textFill>
              </w:rPr>
              <w:t>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w:t>
            </w:r>
          </w:p>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优惠措施</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1.项目属性（服务类）</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2.中小企业划分标准所属行业（具体根据《中小企业划型标准规定》执行）。</w:t>
            </w:r>
          </w:p>
          <w:p>
            <w:pPr>
              <w:spacing w:line="30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采购标的：</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三门县浦坝港镇胜利塘木杓山（木屿山）生活垃圾临时周转场余量垃圾清运项目（二次招标）。</w:t>
            </w:r>
          </w:p>
          <w:p>
            <w:pPr>
              <w:spacing w:line="300" w:lineRule="auto"/>
              <w:ind w:firstLine="480" w:firstLineChars="200"/>
              <w:jc w:val="lef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所属行业：</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环境卫生管理。</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开标时间及地点</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时间：2022年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24"/>
                <w:szCs w:val="24"/>
                <w14:textFill>
                  <w14:solidFill>
                    <w14:schemeClr w14:val="tx1"/>
                  </w14:solidFill>
                </w14:textFill>
              </w:rPr>
              <w:t>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0时（北京时间）</w:t>
            </w:r>
          </w:p>
          <w:p>
            <w:pPr>
              <w:spacing w:after="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三门县广场路22号交通大楼四楼三门县公共资源交易中心大厅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投标保证金</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履约保证金</w:t>
            </w:r>
          </w:p>
        </w:tc>
        <w:tc>
          <w:tcPr>
            <w:tcW w:w="6804" w:type="dxa"/>
            <w:tcBorders>
              <w:top w:val="single" w:color="auto" w:sz="4" w:space="0"/>
              <w:left w:val="nil"/>
              <w:bottom w:val="single" w:color="auto" w:sz="4" w:space="0"/>
              <w:right w:val="single" w:color="auto" w:sz="4" w:space="0"/>
            </w:tcBorders>
            <w:vAlign w:val="center"/>
          </w:tcPr>
          <w:p>
            <w:pPr>
              <w:pStyle w:val="14"/>
              <w:spacing w:after="0" w:line="360" w:lineRule="auto"/>
              <w:ind w:left="0" w:left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如需合同履约保证金请合同双方在签定合同前商定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实质性条款</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带“</w:t>
            </w:r>
            <w:r>
              <w:rPr>
                <w:rFonts w:hint="eastAsia" w:asciiTheme="minorEastAsia" w:hAnsiTheme="minorEastAsia" w:eastAsiaTheme="minorEastAsia" w:cstheme="minorEastAsia"/>
                <w:color w:val="000000" w:themeColor="text1"/>
                <w:sz w:val="24"/>
                <w:szCs w:val="24"/>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t>▲最高限价</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本项目设有最高限价，最高限价为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1938064</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。如投标人的投标报价超过最高限价，其投标文件作无效标处理。</w:t>
            </w:r>
          </w:p>
          <w:p>
            <w:pPr>
              <w:autoSpaceDE w:val="0"/>
              <w:autoSpaceDN w:val="0"/>
              <w:adjustRightInd w:val="0"/>
              <w:spacing w:after="0" w:line="360" w:lineRule="auto"/>
              <w:rPr>
                <w:rFonts w:hint="default" w:eastAsia="宋体"/>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综合单价设有最高限价，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详见第三章招标需求，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如投标人的投标报价超过最高限价，其投标文件作无效标处理。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代理服务费</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本项目代理服务费计</w:t>
            </w:r>
            <w:r>
              <w:rPr>
                <w:rFonts w:hint="eastAsia" w:ascii="宋体" w:hAnsi="宋体" w:cs="宋体"/>
                <w:color w:val="000000" w:themeColor="text1"/>
                <w:kern w:val="0"/>
                <w:sz w:val="24"/>
                <w:lang w:val="en-US" w:eastAsia="zh-CN"/>
                <w14:textFill>
                  <w14:solidFill>
                    <w14:schemeClr w14:val="tx1"/>
                  </w14:solidFill>
                </w14:textFill>
              </w:rPr>
              <w:t>26000</w:t>
            </w:r>
            <w:r>
              <w:rPr>
                <w:rFonts w:hint="eastAsia" w:ascii="宋体" w:hAnsi="宋体" w:cs="宋体"/>
                <w:color w:val="000000" w:themeColor="text1"/>
                <w:kern w:val="0"/>
                <w:sz w:val="24"/>
                <w:lang w:val="zh-CN"/>
                <w14:textFill>
                  <w14:solidFill>
                    <w14:schemeClr w14:val="tx1"/>
                  </w14:solidFill>
                </w14:textFill>
              </w:rPr>
              <w:t>元，由中标供应商支付招标代理服务费。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解释权</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本招标文件解释权属于采购人和</w:t>
            </w:r>
            <w:r>
              <w:rPr>
                <w:rFonts w:hint="eastAsia" w:ascii="宋体" w:hAnsi="宋体" w:cs="Arial"/>
                <w:color w:val="000000" w:themeColor="text1"/>
                <w:sz w:val="24"/>
                <w14:textFill>
                  <w14:solidFill>
                    <w14:schemeClr w14:val="tx1"/>
                  </w14:solidFill>
                </w14:textFill>
              </w:rPr>
              <w:t>采购机构</w:t>
            </w:r>
            <w:r>
              <w:rPr>
                <w:rFonts w:hint="eastAsia" w:ascii="宋体" w:hAnsi="宋体" w:cs="Arial"/>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补充条款</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资格证明文件、商务与技术文件正本</w:t>
            </w:r>
            <w:r>
              <w:rPr>
                <w:rFonts w:hint="eastAsia" w:ascii="宋体" w:hAnsi="宋体" w:cs="Arial"/>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份、副本</w:t>
            </w:r>
            <w:r>
              <w:rPr>
                <w:rFonts w:ascii="宋体" w:hAnsi="宋体" w:cs="Arial"/>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份，报价文件正本</w:t>
            </w:r>
            <w:r>
              <w:rPr>
                <w:rFonts w:hint="eastAsia" w:ascii="宋体" w:hAnsi="宋体" w:cs="Arial"/>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份、副本</w:t>
            </w:r>
            <w:r>
              <w:rPr>
                <w:rFonts w:ascii="宋体" w:hAnsi="宋体" w:cs="Arial"/>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份。（纸质投标文件中标后提供）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18</w:t>
            </w:r>
          </w:p>
        </w:tc>
        <w:tc>
          <w:tcPr>
            <w:tcW w:w="150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宋体" w:hAnsi="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分包或转包</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（1）采购人不同意分包</w:t>
            </w:r>
          </w:p>
          <w:p>
            <w:pPr>
              <w:autoSpaceDE w:val="0"/>
              <w:autoSpaceDN w:val="0"/>
              <w:adjustRightInd w:val="0"/>
              <w:spacing w:after="0"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（2）本项目不得转包。</w:t>
            </w:r>
          </w:p>
        </w:tc>
      </w:tr>
    </w:tbl>
    <w:p>
      <w:pPr>
        <w:pStyle w:val="3"/>
        <w:rPr>
          <w:color w:val="000000" w:themeColor="text1"/>
          <w14:textFill>
            <w14:solidFill>
              <w14:schemeClr w14:val="tx1"/>
            </w14:solidFill>
          </w14:textFill>
        </w:rPr>
      </w:pPr>
    </w:p>
    <w:p>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、说 明</w:t>
      </w:r>
    </w:p>
    <w:p>
      <w:pPr>
        <w:pStyle w:val="14"/>
        <w:numPr>
          <w:ilvl w:val="0"/>
          <w:numId w:val="4"/>
        </w:numPr>
        <w:spacing w:line="360" w:lineRule="auto"/>
        <w:ind w:left="0" w:leftChars="0"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总则</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000000" w:themeColor="text1"/>
          <w:sz w:val="24"/>
          <w14:textFill>
            <w14:solidFill>
              <w14:schemeClr w14:val="tx1"/>
            </w14:solidFill>
          </w14:textFill>
        </w:rPr>
        <w:t>浙江省</w:t>
      </w:r>
      <w:r>
        <w:rPr>
          <w:rFonts w:asciiTheme="minorEastAsia" w:hAnsiTheme="minorEastAsia" w:eastAsiaTheme="minorEastAsia"/>
          <w:color w:val="000000" w:themeColor="text1"/>
          <w:sz w:val="24"/>
          <w14:textFill>
            <w14:solidFill>
              <w14:schemeClr w14:val="tx1"/>
            </w14:solidFill>
          </w14:textFill>
        </w:rPr>
        <w:t>有关法律、法规、规章编制。</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14:textFill>
            <w14:solidFill>
              <w14:schemeClr w14:val="tx1"/>
            </w14:solidFill>
          </w14:textFill>
        </w:rPr>
        <w:t>由此引起的一切后果应由</w:t>
      </w:r>
      <w:r>
        <w:rPr>
          <w:rFonts w:asciiTheme="minorEastAsia" w:hAnsiTheme="minorEastAsia" w:eastAsiaTheme="minorEastAsia"/>
          <w:color w:val="000000" w:themeColor="text1"/>
          <w:sz w:val="24"/>
          <w14:textFill>
            <w14:solidFill>
              <w14:schemeClr w14:val="tx1"/>
            </w14:solidFill>
          </w14:textFill>
        </w:rPr>
        <w:t>投标</w:t>
      </w:r>
      <w:r>
        <w:rPr>
          <w:rFonts w:hint="eastAsia" w:asciiTheme="minorEastAsia" w:hAnsiTheme="minorEastAsia" w:eastAsiaTheme="minorEastAsia"/>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承担。</w:t>
      </w:r>
    </w:p>
    <w:p>
      <w:pPr>
        <w:numPr>
          <w:ilvl w:val="0"/>
          <w:numId w:val="4"/>
        </w:num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适用范围</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pPr>
        <w:pStyle w:val="3"/>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本招标文件仅适用于本次招标公告中所涉及的项目和内容。</w:t>
      </w:r>
    </w:p>
    <w:p>
      <w:pPr>
        <w:snapToGrid w:val="0"/>
        <w:spacing w:beforeLines="50"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（三）当事人</w:t>
      </w:r>
    </w:p>
    <w:p>
      <w:pPr>
        <w:pStyle w:val="7"/>
        <w:keepNext w:val="0"/>
        <w:keepLines w:val="0"/>
        <w:tabs>
          <w:tab w:val="left" w:pos="0"/>
          <w:tab w:val="left" w:pos="851"/>
          <w:tab w:val="left" w:pos="8280"/>
        </w:tabs>
        <w:snapToGrid w:val="0"/>
        <w:spacing w:before="0" w:after="0" w:line="360" w:lineRule="auto"/>
        <w:ind w:firstLine="482" w:firstLineChars="200"/>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bCs w:val="0"/>
          <w:color w:val="000000" w:themeColor="text1"/>
          <w:sz w:val="24"/>
          <w:szCs w:val="24"/>
          <w:lang w:val="zh-CN"/>
          <w14:textFill>
            <w14:solidFill>
              <w14:schemeClr w14:val="tx1"/>
            </w14:solidFill>
          </w14:textFill>
        </w:rPr>
        <w:t>采购组织机构：</w:t>
      </w:r>
      <w:r>
        <w:rPr>
          <w:rFonts w:hint="eastAsia" w:asciiTheme="minorEastAsia" w:hAnsiTheme="minorEastAsia" w:eastAsiaTheme="minorEastAsia"/>
          <w:color w:val="000000" w:themeColor="text1"/>
          <w:sz w:val="24"/>
          <w:szCs w:val="24"/>
          <w14:textFill>
            <w14:solidFill>
              <w14:schemeClr w14:val="tx1"/>
            </w14:solidFill>
          </w14:textFill>
        </w:rPr>
        <w:t>是</w:t>
      </w:r>
      <w:r>
        <w:rPr>
          <w:rFonts w:hint="eastAsia"/>
          <w:bCs w:val="0"/>
          <w:color w:val="000000" w:themeColor="text1"/>
          <w:sz w:val="24"/>
          <w:szCs w:val="24"/>
          <w:lang w:val="zh-CN"/>
          <w14:textFill>
            <w14:solidFill>
              <w14:schemeClr w14:val="tx1"/>
            </w14:solidFill>
          </w14:textFill>
        </w:rPr>
        <w:t>指采购人委托组织招标的集中采购机构</w:t>
      </w:r>
      <w:r>
        <w:rPr>
          <w:rFonts w:hint="eastAsia" w:cs="Arial"/>
          <w:bCs w:val="0"/>
          <w:color w:val="000000" w:themeColor="text1"/>
          <w:sz w:val="24"/>
          <w:szCs w:val="24"/>
          <w14:textFill>
            <w14:solidFill>
              <w14:schemeClr w14:val="tx1"/>
            </w14:solidFill>
          </w14:textFill>
        </w:rPr>
        <w:t>或</w:t>
      </w:r>
      <w:r>
        <w:rPr>
          <w:rFonts w:hint="eastAsia"/>
          <w:bCs w:val="0"/>
          <w:color w:val="000000" w:themeColor="text1"/>
          <w:sz w:val="24"/>
          <w:szCs w:val="24"/>
          <w:lang w:val="zh-CN"/>
          <w14:textFill>
            <w14:solidFill>
              <w14:schemeClr w14:val="tx1"/>
            </w14:solidFill>
          </w14:textFill>
        </w:rPr>
        <w:t>采购代理机构。</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w:t>
      </w:r>
      <w:r>
        <w:rPr>
          <w:rFonts w:hint="eastAsia" w:asciiTheme="minorEastAsia" w:hAnsiTheme="minorEastAsia" w:eastAsiaTheme="minorEastAsia"/>
          <w:color w:val="000000" w:themeColor="text1"/>
          <w:sz w:val="24"/>
          <w14:textFill>
            <w14:solidFill>
              <w14:schemeClr w14:val="tx1"/>
            </w14:solidFill>
          </w14:textFill>
        </w:rPr>
        <w:t>响应招标、参加投标竞争的法人、其他组织或者自然人</w:t>
      </w:r>
      <w:r>
        <w:rPr>
          <w:rFonts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val="zh-CN"/>
          <w14:textFill>
            <w14:solidFill>
              <w14:schemeClr w14:val="tx1"/>
            </w14:solidFill>
          </w14:textFill>
        </w:rPr>
        <w:t>中标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：是指经评</w:t>
      </w:r>
      <w:r>
        <w:rPr>
          <w:rFonts w:hint="eastAsia" w:ascii="宋体" w:hAnsi="宋体"/>
          <w:color w:val="000000" w:themeColor="text1"/>
          <w:sz w:val="24"/>
          <w14:textFill>
            <w14:solidFill>
              <w14:schemeClr w14:val="tx1"/>
            </w14:solidFill>
          </w14:textFill>
        </w:rPr>
        <w:t>标</w:t>
      </w:r>
      <w:r>
        <w:rPr>
          <w:rFonts w:hint="eastAsia" w:ascii="宋体" w:hAnsi="宋体"/>
          <w:color w:val="000000" w:themeColor="text1"/>
          <w:sz w:val="24"/>
          <w:lang w:val="zh-CN"/>
          <w14:textFill>
            <w14:solidFill>
              <w14:schemeClr w14:val="tx1"/>
            </w14:solidFill>
          </w14:textFill>
        </w:rPr>
        <w:t>委员会评审确定的对招标文件</w:t>
      </w:r>
      <w:r>
        <w:rPr>
          <w:rFonts w:hint="eastAsia" w:ascii="宋体" w:hAnsi="宋体"/>
          <w:color w:val="000000" w:themeColor="text1"/>
          <w:sz w:val="24"/>
          <w14:textFill>
            <w14:solidFill>
              <w14:schemeClr w14:val="tx1"/>
            </w14:solidFill>
          </w14:textFill>
        </w:rPr>
        <w:t>作</w:t>
      </w:r>
      <w:r>
        <w:rPr>
          <w:rFonts w:hint="eastAsia" w:ascii="宋体" w:hAnsi="宋体"/>
          <w:color w:val="000000" w:themeColor="text1"/>
          <w:sz w:val="24"/>
          <w:lang w:val="zh-CN"/>
          <w14:textFill>
            <w14:solidFill>
              <w14:schemeClr w14:val="tx1"/>
            </w14:solidFill>
          </w14:textFill>
        </w:rPr>
        <w:t>出实质性响应，经采购人按照规定在评</w:t>
      </w:r>
      <w:r>
        <w:rPr>
          <w:rFonts w:hint="eastAsia" w:ascii="宋体" w:hAnsi="宋体"/>
          <w:color w:val="000000" w:themeColor="text1"/>
          <w:sz w:val="24"/>
          <w14:textFill>
            <w14:solidFill>
              <w14:schemeClr w14:val="tx1"/>
            </w14:solidFill>
          </w14:textFill>
        </w:rPr>
        <w:t>标</w:t>
      </w:r>
      <w:r>
        <w:rPr>
          <w:rFonts w:hint="eastAsia" w:ascii="宋体" w:hAnsi="宋体"/>
          <w:color w:val="000000" w:themeColor="text1"/>
          <w:sz w:val="24"/>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联合体：</w:t>
      </w:r>
      <w:r>
        <w:rPr>
          <w:rFonts w:hint="eastAsia"/>
          <w:color w:val="000000" w:themeColor="text1"/>
          <w:sz w:val="24"/>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（四）</w:t>
      </w:r>
      <w:r>
        <w:rPr>
          <w:b/>
          <w:bCs/>
          <w:color w:val="000000" w:themeColor="text1"/>
          <w:sz w:val="24"/>
          <w14:textFill>
            <w14:solidFill>
              <w14:schemeClr w14:val="tx1"/>
            </w14:solidFill>
          </w14:textFill>
        </w:rPr>
        <w:t>以联合体形式投标的，应符合以下规定：</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1.联</w:t>
      </w:r>
      <w:r>
        <w:rPr>
          <w:color w:val="000000" w:themeColor="text1"/>
          <w:sz w:val="24"/>
          <w14:textFill>
            <w14:solidFill>
              <w14:schemeClr w14:val="tx1"/>
            </w14:solidFill>
          </w14:textFill>
        </w:rPr>
        <w:t>合体各方应签订联合体协议书，明确联合体牵头人和各方权利义务，并作为投标文件组成分部分</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2.联</w:t>
      </w:r>
      <w:r>
        <w:rPr>
          <w:color w:val="000000" w:themeColor="text1"/>
          <w:sz w:val="24"/>
          <w14:textFill>
            <w14:solidFill>
              <w14:schemeClr w14:val="tx1"/>
            </w14:solidFill>
          </w14:textFill>
        </w:rPr>
        <w:t>合体各方均应当具备</w:t>
      </w:r>
      <w:r>
        <w:rPr>
          <w:rFonts w:hint="eastAsia" w:ascii="宋体" w:hAnsi="宋体"/>
          <w:color w:val="000000" w:themeColor="text1"/>
          <w:sz w:val="24"/>
          <w:lang w:val="zh-CN"/>
          <w14:textFill>
            <w14:solidFill>
              <w14:schemeClr w14:val="tx1"/>
            </w14:solidFill>
          </w14:textFill>
        </w:rPr>
        <w:t>《中华人民共和国政府采购法》</w:t>
      </w:r>
      <w:r>
        <w:rPr>
          <w:color w:val="000000" w:themeColor="text1"/>
          <w:sz w:val="24"/>
          <w14:textFill>
            <w14:solidFill>
              <w14:schemeClr w14:val="tx1"/>
            </w14:solidFill>
          </w14:textFill>
        </w:rPr>
        <w:t>第二十二条规定的条件，并在投标文件中提供联合体各方的相关证明材料</w:t>
      </w:r>
      <w:r>
        <w:rPr>
          <w:rFonts w:hint="eastAsia"/>
          <w:color w:val="000000" w:themeColor="text1"/>
          <w:sz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6.联合体各方应当共同与采购人签订采购合同，就合同约定的事项对采购人承担连带责任；</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7.投标</w:t>
      </w:r>
      <w:r>
        <w:rPr>
          <w:color w:val="000000" w:themeColor="text1"/>
          <w:sz w:val="24"/>
          <w14:textFill>
            <w14:solidFill>
              <w14:schemeClr w14:val="tx1"/>
            </w14:solidFill>
          </w14:textFill>
        </w:rPr>
        <w:t>时，应以联合体协议中确定的主体方名义投标，对联合体各方均具有约束力。</w:t>
      </w:r>
    </w:p>
    <w:p>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w:t>
      </w:r>
      <w:r>
        <w:rPr>
          <w:b/>
          <w:bCs/>
          <w:color w:val="000000" w:themeColor="text1"/>
          <w:sz w:val="24"/>
          <w14:textFill>
            <w14:solidFill>
              <w14:schemeClr w14:val="tx1"/>
            </w14:solidFill>
          </w14:textFill>
        </w:rPr>
        <w:t>语言文字以及度量衡单位</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1.投标文件以及投标人与</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采购机构/采购代理机构名称</w:t>
      </w:r>
      <w:r>
        <w:rPr>
          <w:rFonts w:hint="eastAsia" w:asciiTheme="minorEastAsia" w:hAnsiTheme="minorEastAsia" w:eastAsiaTheme="minorEastAsia"/>
          <w:color w:val="000000" w:themeColor="text1"/>
          <w:sz w:val="24"/>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2.所有计量均采用中国法定的计量单位。</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3.所有</w:t>
      </w:r>
      <w:r>
        <w:rPr>
          <w:color w:val="000000" w:themeColor="text1"/>
          <w:sz w:val="24"/>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（六）</w:t>
      </w:r>
      <w:r>
        <w:rPr>
          <w:b/>
          <w:bCs/>
          <w:color w:val="000000" w:themeColor="text1"/>
          <w:sz w:val="24"/>
          <w14:textFill>
            <w14:solidFill>
              <w14:schemeClr w14:val="tx1"/>
            </w14:solidFill>
          </w14:textFill>
        </w:rPr>
        <w:t>现场踏勘</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2.投标人自行承担踏勘现场发生的责任、风险和自身费用。</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3.采购人</w:t>
      </w:r>
      <w:r>
        <w:rPr>
          <w:color w:val="000000" w:themeColor="text1"/>
          <w:sz w:val="24"/>
          <w14:textFill>
            <w14:solidFill>
              <w14:schemeClr w14:val="tx1"/>
            </w14:solidFill>
          </w14:textFill>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（七）特别说明</w:t>
      </w:r>
    </w:p>
    <w:p>
      <w:pPr>
        <w:pStyle w:val="13"/>
        <w:snapToGrid w:val="0"/>
        <w:spacing w:line="360" w:lineRule="auto"/>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w:t>
      </w:r>
      <w:r>
        <w:rPr>
          <w:rFonts w:hint="eastAsia" w:asciiTheme="minorEastAsia" w:hAnsiTheme="minorEastAsia" w:eastAsiaTheme="minorEastAsia"/>
          <w:color w:val="000000" w:themeColor="text1"/>
          <w:sz w:val="24"/>
          <w14:textFill>
            <w14:solidFill>
              <w14:schemeClr w14:val="tx1"/>
            </w14:solidFill>
          </w14:textFill>
        </w:rPr>
        <w:t>且所提供的资料都是真实有效的</w:t>
      </w:r>
      <w:r>
        <w:rPr>
          <w:rFonts w:asciiTheme="minorEastAsia" w:hAnsiTheme="minorEastAsia" w:eastAsiaTheme="minorEastAsia"/>
          <w:color w:val="000000" w:themeColor="text1"/>
          <w:sz w:val="24"/>
          <w14:textFill>
            <w14:solidFill>
              <w14:schemeClr w14:val="tx1"/>
            </w14:solidFill>
          </w14:textFill>
        </w:rPr>
        <w:t>。投标人投标所使用的采购项目实施人员必须为本法人员工。</w:t>
      </w:r>
    </w:p>
    <w:p>
      <w:pPr>
        <w:pStyle w:val="41"/>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本招标文件中关于招投标内容、流程如与政采云系统中最新的内容、操作不一致的，以政采云系统中的要求为准。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三、招标文件</w:t>
      </w:r>
    </w:p>
    <w:p>
      <w:pPr>
        <w:pStyle w:val="4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（一）招标文件由招标文件目录所列内容组成。</w:t>
      </w:r>
    </w:p>
    <w:p>
      <w:pPr>
        <w:pStyle w:val="4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（二）投标人在规定的时间内未对招标文件提出疑问、质疑或要求澄清的，将视其为无异议。</w:t>
      </w:r>
    </w:p>
    <w:p>
      <w:pPr>
        <w:pStyle w:val="4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（三）对招标文件中描述有歧义或前后不一致的地方，评标委员会有权进行评判，但对同一条款的评判应适用于每个投标人。</w:t>
      </w:r>
    </w:p>
    <w:p>
      <w:pPr>
        <w:pStyle w:val="4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四、投标文件</w:t>
      </w:r>
    </w:p>
    <w:p>
      <w:pPr>
        <w:pStyle w:val="10"/>
        <w:spacing w:line="360" w:lineRule="auto"/>
        <w:ind w:firstLine="482" w:firstLineChars="200"/>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（一）投标文件的编制</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投标人获取招标文件后，按照采购组织机构的要求提供：资格证明文件、商务与技术文件和报价</w:t>
      </w:r>
      <w:r>
        <w:rPr>
          <w:rFonts w:hint="eastAsia" w:asciiTheme="minorEastAsia" w:hAnsiTheme="minorEastAsia" w:eastAsiaTheme="minorEastAsia"/>
          <w:color w:val="000000" w:themeColor="text1"/>
          <w:kern w:val="0"/>
          <w:sz w:val="24"/>
          <w:lang w:val="zh-CN"/>
          <w14:textFill>
            <w14:solidFill>
              <w14:schemeClr w14:val="tx1"/>
            </w14:solidFill>
          </w14:textFill>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widowControl/>
        <w:numPr>
          <w:ilvl w:val="0"/>
          <w:numId w:val="5"/>
        </w:numPr>
        <w:spacing w:line="360" w:lineRule="auto"/>
        <w:ind w:left="-52" w:leftChars="0" w:right="60" w:firstLine="472" w:firstLineChars="0"/>
        <w:jc w:val="left"/>
        <w:outlineLvl w:val="0"/>
        <w:rPr>
          <w:rFonts w:ascii="宋体" w:hAnsi="宋体" w:cs="宋体"/>
          <w:color w:val="000000" w:themeColor="text1"/>
          <w:sz w:val="24"/>
          <w:highlight w:val="none"/>
          <w14:textFill>
            <w14:solidFill>
              <w14:schemeClr w14:val="tx1"/>
            </w14:solidFill>
          </w14:textFill>
        </w:rPr>
      </w:pPr>
      <w:bookmarkStart w:id="6" w:name="_Toc30708"/>
      <w:bookmarkStart w:id="7" w:name="_Toc28379"/>
      <w:r>
        <w:rPr>
          <w:rFonts w:hint="eastAsia" w:ascii="宋体" w:hAnsi="宋体" w:cs="宋体"/>
          <w:color w:val="000000" w:themeColor="text1"/>
          <w:sz w:val="24"/>
          <w:highlight w:val="none"/>
          <w14:textFill>
            <w14:solidFill>
              <w14:schemeClr w14:val="tx1"/>
            </w14:solidFill>
          </w14:textFill>
        </w:rPr>
        <w:t>投标声明书（见附件</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bookmarkEnd w:id="6"/>
      <w:bookmarkEnd w:id="7"/>
    </w:p>
    <w:p>
      <w:pPr>
        <w:widowControl/>
        <w:numPr>
          <w:ilvl w:val="0"/>
          <w:numId w:val="5"/>
        </w:numPr>
        <w:spacing w:line="360" w:lineRule="auto"/>
        <w:ind w:left="-52" w:leftChars="0" w:right="60" w:firstLine="472" w:firstLineChars="0"/>
        <w:jc w:val="left"/>
        <w:outlineLvl w:val="0"/>
        <w:rPr>
          <w:rFonts w:ascii="宋体" w:hAnsi="宋体" w:cs="宋体"/>
          <w:color w:val="000000" w:themeColor="text1"/>
          <w:sz w:val="24"/>
          <w:highlight w:val="none"/>
          <w14:textFill>
            <w14:solidFill>
              <w14:schemeClr w14:val="tx1"/>
            </w14:solidFill>
          </w14:textFill>
        </w:rPr>
      </w:pPr>
      <w:bookmarkStart w:id="8" w:name="_Toc2523"/>
      <w:bookmarkStart w:id="9" w:name="_Toc21678"/>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授权委托书（法定代表人亲自办理投标事宜的，则无需提交)（见附件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bookmarkEnd w:id="8"/>
      <w:bookmarkEnd w:id="9"/>
    </w:p>
    <w:p>
      <w:pPr>
        <w:widowControl/>
        <w:numPr>
          <w:ilvl w:val="0"/>
          <w:numId w:val="5"/>
        </w:numPr>
        <w:spacing w:line="360" w:lineRule="auto"/>
        <w:ind w:left="-52" w:leftChars="0" w:right="60" w:firstLine="472" w:firstLineChars="0"/>
        <w:jc w:val="left"/>
        <w:outlineLvl w:val="0"/>
        <w:rPr>
          <w:rFonts w:ascii="宋体" w:hAnsi="宋体" w:cs="宋体"/>
          <w:color w:val="000000" w:themeColor="text1"/>
          <w:sz w:val="24"/>
          <w:highlight w:val="none"/>
          <w14:textFill>
            <w14:solidFill>
              <w14:schemeClr w14:val="tx1"/>
            </w14:solidFill>
          </w14:textFill>
        </w:rPr>
      </w:pPr>
      <w:bookmarkStart w:id="10" w:name="_Toc28436"/>
      <w:bookmarkStart w:id="11" w:name="_Toc14882"/>
      <w:r>
        <w:rPr>
          <w:rFonts w:hint="eastAsia" w:ascii="宋体" w:hAnsi="宋体" w:cs="宋体"/>
          <w:color w:val="000000" w:themeColor="text1"/>
          <w:sz w:val="24"/>
          <w:highlight w:val="none"/>
          <w14:textFill>
            <w14:solidFill>
              <w14:schemeClr w14:val="tx1"/>
            </w14:solidFill>
          </w14:textFill>
        </w:rPr>
        <w:t>法人或者其他组织的营业执照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道路运输经营许可证</w:t>
      </w:r>
      <w:r>
        <w:rPr>
          <w:rFonts w:hint="eastAsia" w:ascii="宋体" w:hAnsi="宋体" w:cs="宋体"/>
          <w:color w:val="000000" w:themeColor="text1"/>
          <w:sz w:val="24"/>
          <w:highlight w:val="none"/>
          <w14:textFill>
            <w14:solidFill>
              <w14:schemeClr w14:val="tx1"/>
            </w14:solidFill>
          </w14:textFill>
        </w:rPr>
        <w:t>等证明文件，自然人的身份证明；</w:t>
      </w:r>
      <w:bookmarkEnd w:id="10"/>
      <w:bookmarkEnd w:id="11"/>
    </w:p>
    <w:p>
      <w:pPr>
        <w:widowControl/>
        <w:numPr>
          <w:ilvl w:val="0"/>
          <w:numId w:val="5"/>
        </w:numPr>
        <w:spacing w:line="360" w:lineRule="auto"/>
        <w:ind w:left="-52" w:leftChars="0" w:right="60" w:firstLine="472" w:firstLineChars="0"/>
        <w:jc w:val="left"/>
        <w:outlineLvl w:val="0"/>
        <w:rPr>
          <w:rFonts w:hint="eastAsia" w:ascii="宋体" w:hAnsi="宋体" w:cs="宋体"/>
          <w:color w:val="000000" w:themeColor="text1"/>
          <w:sz w:val="24"/>
          <w:highlight w:val="none"/>
          <w14:textFill>
            <w14:solidFill>
              <w14:schemeClr w14:val="tx1"/>
            </w14:solidFill>
          </w14:textFill>
        </w:rPr>
      </w:pPr>
      <w:bookmarkStart w:id="12" w:name="_Toc15275"/>
      <w:bookmarkStart w:id="13" w:name="_Toc19918"/>
      <w:r>
        <w:rPr>
          <w:rFonts w:hint="eastAsia" w:ascii="宋体" w:hAnsi="宋体" w:cs="宋体"/>
          <w:color w:val="000000" w:themeColor="text1"/>
          <w:sz w:val="24"/>
          <w:highlight w:val="none"/>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bookmarkEnd w:id="12"/>
      <w:bookmarkEnd w:id="13"/>
    </w:p>
    <w:p>
      <w:pPr>
        <w:widowControl/>
        <w:numPr>
          <w:ilvl w:val="0"/>
          <w:numId w:val="5"/>
        </w:numPr>
        <w:spacing w:line="360" w:lineRule="auto"/>
        <w:ind w:left="-52" w:leftChars="0" w:right="60" w:firstLine="472" w:firstLineChars="0"/>
        <w:jc w:val="left"/>
        <w:outlineLvl w:val="0"/>
        <w:rPr>
          <w:rFonts w:hint="eastAsia" w:ascii="宋体" w:hAnsi="宋体" w:cs="宋体"/>
          <w:color w:val="000000" w:themeColor="text1"/>
          <w:sz w:val="24"/>
          <w:highlight w:val="none"/>
          <w:lang w:eastAsia="zh-CN"/>
          <w14:textFill>
            <w14:solidFill>
              <w14:schemeClr w14:val="tx1"/>
            </w14:solidFill>
          </w14:textFill>
        </w:rPr>
      </w:pPr>
      <w:bookmarkStart w:id="14" w:name="_Toc10462"/>
      <w:bookmarkStart w:id="15" w:name="_Toc32078"/>
      <w:r>
        <w:rPr>
          <w:rFonts w:hint="eastAsia" w:ascii="宋体" w:hAnsi="宋体" w:cs="宋体"/>
          <w:color w:val="000000" w:themeColor="text1"/>
          <w:sz w:val="24"/>
          <w:highlight w:val="none"/>
          <w:lang w:eastAsia="zh-CN"/>
          <w14:textFill>
            <w14:solidFill>
              <w14:schemeClr w14:val="tx1"/>
            </w14:solidFill>
          </w14:textFill>
        </w:rPr>
        <w:t>提供度财务状况报告</w:t>
      </w:r>
      <w:r>
        <w:rPr>
          <w:rFonts w:hint="eastAsia" w:ascii="宋体" w:hAnsi="宋体" w:cs="宋体"/>
          <w:color w:val="000000" w:themeColor="text1"/>
          <w:sz w:val="24"/>
          <w:highlight w:val="none"/>
          <w14:textFill>
            <w14:solidFill>
              <w14:schemeClr w14:val="tx1"/>
            </w14:solidFill>
          </w14:textFill>
        </w:rPr>
        <w:t>或基本开户行出具的资信证明（以联合体形式投标时，联合体各方均须满足该条款）</w:t>
      </w:r>
      <w:r>
        <w:rPr>
          <w:rFonts w:hint="eastAsia" w:ascii="宋体" w:hAnsi="宋体" w:cs="宋体"/>
          <w:color w:val="000000" w:themeColor="text1"/>
          <w:sz w:val="24"/>
          <w:highlight w:val="none"/>
          <w:lang w:eastAsia="zh-CN"/>
          <w14:textFill>
            <w14:solidFill>
              <w14:schemeClr w14:val="tx1"/>
            </w14:solidFill>
          </w14:textFill>
        </w:rPr>
        <w:t>；</w:t>
      </w:r>
      <w:bookmarkEnd w:id="14"/>
      <w:bookmarkEnd w:id="15"/>
    </w:p>
    <w:p>
      <w:pPr>
        <w:widowControl/>
        <w:numPr>
          <w:ilvl w:val="0"/>
          <w:numId w:val="5"/>
        </w:numPr>
        <w:spacing w:line="360" w:lineRule="auto"/>
        <w:ind w:left="-52" w:leftChars="0" w:right="60" w:firstLine="472" w:firstLineChars="0"/>
        <w:jc w:val="left"/>
        <w:outlineLvl w:val="0"/>
        <w:rPr>
          <w:rFonts w:hint="eastAsia" w:ascii="宋体" w:hAnsi="宋体" w:eastAsia="宋体" w:cs="宋体"/>
          <w:color w:val="000000" w:themeColor="text1"/>
          <w:sz w:val="24"/>
          <w:highlight w:val="none"/>
          <w:u w:val="single"/>
          <w14:textFill>
            <w14:solidFill>
              <w14:schemeClr w14:val="tx1"/>
            </w14:solidFill>
          </w14:textFill>
        </w:rPr>
      </w:pPr>
      <w:bookmarkStart w:id="16" w:name="_Toc17001"/>
      <w:bookmarkStart w:id="17" w:name="_Toc820"/>
      <w:r>
        <w:rPr>
          <w:rFonts w:hint="eastAsia" w:ascii="宋体" w:hAnsi="宋体" w:cs="宋体"/>
          <w:color w:val="000000" w:themeColor="text1"/>
          <w:sz w:val="24"/>
          <w:highlight w:val="none"/>
          <w14:textFill>
            <w14:solidFill>
              <w14:schemeClr w14:val="tx1"/>
            </w14:solidFill>
          </w14:textFill>
        </w:rPr>
        <w:t>提供采购公告</w:t>
      </w:r>
      <w:r>
        <w:rPr>
          <w:rFonts w:hint="eastAsia" w:ascii="宋体" w:hAnsi="宋体" w:eastAsia="宋体" w:cs="宋体"/>
          <w:color w:val="000000" w:themeColor="text1"/>
          <w:sz w:val="24"/>
          <w:highlight w:val="none"/>
          <w14:textFill>
            <w14:solidFill>
              <w14:schemeClr w14:val="tx1"/>
            </w14:solidFill>
          </w14:textFill>
        </w:rPr>
        <w:t>中符合供应商特定条件的有效资质证书扫描件以及需要说明的其他资料。</w:t>
      </w:r>
      <w:bookmarkEnd w:id="16"/>
      <w:bookmarkEnd w:id="17"/>
    </w:p>
    <w:p>
      <w:pPr>
        <w:widowControl/>
        <w:numPr>
          <w:ilvl w:val="0"/>
          <w:numId w:val="0"/>
        </w:numPr>
        <w:spacing w:line="360" w:lineRule="auto"/>
        <w:ind w:left="420" w:leftChars="0" w:right="60" w:rightChars="0"/>
        <w:jc w:val="left"/>
        <w:outlineLvl w:val="0"/>
        <w:rPr>
          <w:rFonts w:hint="eastAsia" w:ascii="宋体" w:hAnsi="宋体" w:eastAsia="宋体" w:cs="宋体"/>
          <w:color w:val="000000" w:themeColor="text1"/>
          <w:sz w:val="24"/>
          <w:highlight w:val="none"/>
          <w:u w:val="single"/>
          <w14:textFill>
            <w14:solidFill>
              <w14:schemeClr w14:val="tx1"/>
            </w14:solidFill>
          </w14:textFill>
        </w:rPr>
      </w:pPr>
      <w:bookmarkStart w:id="18" w:name="_Toc12238"/>
      <w:bookmarkStart w:id="19" w:name="_Toc8719"/>
      <w:r>
        <w:rPr>
          <w:rFonts w:hint="eastAsia" w:ascii="宋体" w:hAnsi="宋体" w:eastAsia="宋体" w:cs="宋体"/>
          <w:b/>
          <w:color w:val="000000" w:themeColor="text1"/>
          <w:sz w:val="24"/>
          <w:highlight w:val="none"/>
          <w14:textFill>
            <w14:solidFill>
              <w14:schemeClr w14:val="tx1"/>
            </w14:solidFill>
          </w14:textFill>
        </w:rPr>
        <w:t>2、商务与技术文件的组成：</w:t>
      </w:r>
      <w:bookmarkEnd w:id="18"/>
      <w:bookmarkEnd w:id="19"/>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第一部分  技术方案描述部分</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投标人基本情况表</w:t>
      </w:r>
      <w:r>
        <w:rPr>
          <w:rFonts w:hint="eastAsia" w:ascii="宋体" w:hAnsi="宋体" w:eastAsia="宋体" w:cs="宋体"/>
          <w:color w:val="000000" w:themeColor="text1"/>
          <w:sz w:val="24"/>
          <w:highlight w:val="none"/>
          <w14:textFill>
            <w14:solidFill>
              <w14:schemeClr w14:val="tx1"/>
            </w14:solidFill>
          </w14:textFill>
        </w:rPr>
        <w:t>（附件3）</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2.项目范围内清运的现状、存在的问题和垃圾清运的难点、要点等问题进行调查剖析</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3.项目的人员管理及人员培训方案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针对本项目</w:t>
      </w:r>
      <w:r>
        <w:rPr>
          <w:rFonts w:hint="eastAsia" w:ascii="宋体" w:hAnsi="宋体" w:eastAsia="宋体" w:cs="宋体"/>
          <w:color w:val="000000" w:themeColor="text1"/>
          <w:sz w:val="24"/>
          <w:highlight w:val="none"/>
          <w14:textFill>
            <w14:solidFill>
              <w14:schemeClr w14:val="tx1"/>
            </w14:solidFill>
          </w14:textFill>
        </w:rPr>
        <w:t>安全事故、防汛抗台、雨雪冰冻等突发事件的应急及配合方案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5.项目的服务承诺</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.技术需求响应表（附件4）</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.项目实施人员一览表（附件5）</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.项目负责人资格情况表（附件6）</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.投标人需要说明的其他内容（包括可能影响投标人技术性能评分项的各类证明材料）</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第二部分  商务响应及其他部分</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1.证书一览表（附件7）</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2.投标人项目</w:t>
      </w:r>
      <w:r>
        <w:rPr>
          <w:rFonts w:hint="eastAsia" w:ascii="宋体" w:hAnsi="宋体" w:cs="宋体"/>
          <w:color w:val="000000" w:themeColor="text1"/>
          <w:sz w:val="24"/>
          <w:highlight w:val="none"/>
          <w:lang w:eastAsia="zh-CN"/>
          <w14:textFill>
            <w14:solidFill>
              <w14:schemeClr w14:val="tx1"/>
            </w14:solidFill>
          </w14:textFill>
        </w:rPr>
        <w:t>业绩</w:t>
      </w:r>
      <w:r>
        <w:rPr>
          <w:rFonts w:hint="eastAsia" w:ascii="宋体" w:hAnsi="宋体" w:eastAsia="宋体" w:cs="宋体"/>
          <w:color w:val="000000" w:themeColor="text1"/>
          <w:sz w:val="24"/>
          <w:highlight w:val="none"/>
          <w14:textFill>
            <w14:solidFill>
              <w14:schemeClr w14:val="tx1"/>
            </w14:solidFill>
          </w14:textFill>
        </w:rPr>
        <w:t>情况一览表（附件8）</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3.商务需求响应表（附件9）</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3、报价文件的组成</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1.开标一览表（附件10）</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2.报价明细表（附件11）</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.中小企业声明函、残疾人福利性单位声明函（附件12）</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.针对报价投标人认为其他需要说明的</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（二）投标报价</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1.投标人应按照招标需求内容、责任范围以及合同条款进行报价。并按“开标一览表”和“报价明细表”规定的格式报出总价和分项价格。投标总价中不得包含招标文件要求以外的内容，否则，在评标时不予核</w:t>
      </w:r>
      <w:r>
        <w:rPr>
          <w:rFonts w:hint="eastAsia" w:asciiTheme="minorEastAsia" w:hAnsiTheme="minorEastAsia" w:eastAsiaTheme="minorEastAsia"/>
          <w:bCs/>
          <w:color w:val="000000" w:themeColor="text1"/>
          <w:kern w:val="0"/>
          <w:sz w:val="24"/>
          <w14:textFill>
            <w14:solidFill>
              <w14:schemeClr w14:val="tx1"/>
            </w14:solidFill>
          </w14:textFill>
        </w:rPr>
        <w:t>减。</w:t>
      </w:r>
    </w:p>
    <w:p>
      <w:pPr>
        <w:pStyle w:val="10"/>
        <w:spacing w:line="360" w:lineRule="auto"/>
        <w:ind w:firstLine="480" w:firstLineChars="200"/>
        <w:rPr>
          <w:rFonts w:hint="eastAsia" w:asciiTheme="minorEastAsia" w:hAnsiTheme="minorEastAsia" w:eastAsiaTheme="minorEastAsia"/>
          <w:bCs/>
          <w:color w:val="000000" w:themeColor="text1"/>
          <w:kern w:val="0"/>
          <w:sz w:val="24"/>
          <w:lang w:eastAsia="zh-CN"/>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2.投标报价包括本项目采购需求和投入使用的所有费用，包括但不限于人工费、机械台班费、水电费、油耗费、折旧费、修理费、工器具材料费、垃圾清运费、安全文明生产装备费、</w:t>
      </w:r>
      <w:r>
        <w:rPr>
          <w:rFonts w:hint="eastAsia" w:asciiTheme="minorEastAsia" w:hAnsiTheme="minorEastAsia" w:eastAsiaTheme="minorEastAsia"/>
          <w:bCs/>
          <w:color w:val="000000" w:themeColor="text1"/>
          <w:kern w:val="0"/>
          <w:sz w:val="24"/>
          <w:lang w:eastAsia="zh-CN"/>
          <w14:textFill>
            <w14:solidFill>
              <w14:schemeClr w14:val="tx1"/>
            </w14:solidFill>
          </w14:textFill>
        </w:rPr>
        <w:t>招标代理费、</w:t>
      </w:r>
      <w:r>
        <w:rPr>
          <w:rFonts w:hint="eastAsia" w:asciiTheme="minorEastAsia" w:hAnsiTheme="minorEastAsia" w:eastAsiaTheme="minorEastAsia"/>
          <w:bCs/>
          <w:color w:val="000000" w:themeColor="text1"/>
          <w:kern w:val="0"/>
          <w:sz w:val="24"/>
          <w14:textFill>
            <w14:solidFill>
              <w14:schemeClr w14:val="tx1"/>
            </w14:solidFill>
          </w14:textFill>
        </w:rPr>
        <w:t>企业应缴税金和应得利润、应急任务等完成合同所需的一切本身和不可或缺的所有工作开支、政策性文件规定及合同包含的所有风险、责任等各项全部费用，全部费用已包含在开标一览表的投标总报价中。</w:t>
      </w:r>
    </w:p>
    <w:p>
      <w:pPr>
        <w:pStyle w:val="10"/>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3.投标报价不得为选择性报价和附有条件的报价。</w:t>
      </w:r>
    </w:p>
    <w:p>
      <w:pPr>
        <w:pStyle w:val="10"/>
        <w:spacing w:line="360" w:lineRule="auto"/>
        <w:ind w:firstLine="480" w:firstLineChars="200"/>
        <w:rPr>
          <w:rFonts w:hint="default" w:asciiTheme="minorEastAsia" w:hAnsiTheme="minorEastAsia" w:eastAsiaTheme="minorEastAsia"/>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4.本次招标代理服务费为</w:t>
      </w:r>
      <w:r>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t>人民币26000元</w:t>
      </w: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 由中标供应商承担，在领取中标通知书时一次性付清。</w:t>
      </w:r>
    </w:p>
    <w:p>
      <w:pPr>
        <w:pStyle w:val="1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（三）投标文件的有效期</w:t>
      </w:r>
    </w:p>
    <w:p>
      <w:pPr>
        <w:pStyle w:val="10"/>
        <w:spacing w:line="360" w:lineRule="auto"/>
        <w:ind w:firstLine="480" w:firstLineChars="200"/>
        <w:rPr>
          <w:rFonts w:hint="eastAsia" w:asciiTheme="minorEastAsia" w:hAnsiTheme="minorEastAsia" w:eastAsiaTheme="minorEastAsia" w:cstheme="minorEastAsia"/>
          <w:color w:val="000000" w:themeColor="text1"/>
          <w:sz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1.投标文件有效期为</w:t>
      </w:r>
      <w:r>
        <w:rPr>
          <w:rFonts w:hint="eastAsia" w:asciiTheme="minorEastAsia" w:hAnsiTheme="minorEastAsia" w:eastAsiaTheme="minorEastAsia" w:cstheme="minorEastAsia"/>
          <w:color w:val="000000" w:themeColor="text1"/>
          <w:sz w:val="24"/>
          <w:lang w:val="en-GB"/>
          <w14:textFill>
            <w14:solidFill>
              <w14:schemeClr w14:val="tx1"/>
            </w14:solidFill>
          </w14:textFill>
        </w:rPr>
        <w:t>投标截止日起90天。</w:t>
      </w:r>
    </w:p>
    <w:p>
      <w:pPr>
        <w:pStyle w:val="10"/>
        <w:spacing w:line="360" w:lineRule="auto"/>
        <w:ind w:firstLine="480" w:firstLineChars="200"/>
        <w:rPr>
          <w:rFonts w:hint="eastAsia" w:asciiTheme="minorEastAsia" w:hAnsiTheme="minorEastAsia" w:eastAsiaTheme="minorEastAsia" w:cstheme="minorEastAsia"/>
          <w:color w:val="000000" w:themeColor="text1"/>
          <w:sz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en-GB"/>
          <w14:textFill>
            <w14:solidFill>
              <w14:schemeClr w14:val="tx1"/>
            </w14:solidFill>
          </w14:textFill>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（四）投标文件的签署</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2.投标文件中所有的插字、涂改和增删，必须由法定代表人或经其正式授权的代表在旁边签字或盖章才有效。</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（五）</w:t>
      </w:r>
      <w:r>
        <w:rPr>
          <w:rFonts w:hint="eastAsia" w:asciiTheme="minorEastAsia" w:hAnsiTheme="minorEastAsia" w:eastAsiaTheme="minorEastAsia"/>
          <w:b/>
          <w:bCs/>
          <w:color w:val="000000" w:themeColor="text1"/>
          <w:sz w:val="24"/>
          <w14:textFill>
            <w14:solidFill>
              <w14:schemeClr w14:val="tx1"/>
            </w14:solidFill>
          </w14:textFill>
        </w:rPr>
        <w:t>投标文件</w:t>
      </w:r>
      <w:r>
        <w:rPr>
          <w:rFonts w:hint="eastAsia" w:asciiTheme="minorEastAsia" w:hAnsiTheme="minorEastAsia"/>
          <w:b/>
          <w:bCs/>
          <w:color w:val="000000" w:themeColor="text1"/>
          <w:sz w:val="24"/>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14:textFill>
            <w14:solidFill>
              <w14:schemeClr w14:val="tx1"/>
            </w14:solidFill>
          </w14:textFill>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五、开标</w:t>
      </w:r>
    </w:p>
    <w:p>
      <w:pPr>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（一）开</w:t>
      </w:r>
      <w:r>
        <w:rPr>
          <w:rFonts w:hint="eastAsia" w:asciiTheme="minorEastAsia" w:hAnsiTheme="minorEastAsia" w:eastAsiaTheme="minorEastAsia"/>
          <w:b/>
          <w:color w:val="000000" w:themeColor="text1"/>
          <w:sz w:val="24"/>
          <w14:textFill>
            <w14:solidFill>
              <w14:schemeClr w14:val="tx1"/>
            </w14:solidFill>
          </w14:textFill>
        </w:rPr>
        <w:t>标</w:t>
      </w:r>
      <w:r>
        <w:rPr>
          <w:rFonts w:asciiTheme="minorEastAsia" w:hAnsiTheme="minorEastAsia" w:eastAsiaTheme="minorEastAsia"/>
          <w:b/>
          <w:color w:val="000000" w:themeColor="text1"/>
          <w:sz w:val="24"/>
          <w14:textFill>
            <w14:solidFill>
              <w14:schemeClr w14:val="tx1"/>
            </w14:solidFill>
          </w14:textFill>
        </w:rPr>
        <w:t>程序</w:t>
      </w:r>
    </w:p>
    <w:p>
      <w:pPr>
        <w:pStyle w:val="1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1.开标时间到后，主持人准时组织开标；</w:t>
      </w:r>
    </w:p>
    <w:p>
      <w:pPr>
        <w:pStyle w:val="1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2.宣布采购组织机构工作人员；</w:t>
      </w:r>
    </w:p>
    <w:p>
      <w:pPr>
        <w:pStyle w:val="1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3.投标人登录政采云平台，用“项目采购-开标评标”功能对投标文件进行在线解密，在线解密时间为开标时间起半个小时内；</w:t>
      </w:r>
    </w:p>
    <w:p>
      <w:pPr>
        <w:pStyle w:val="10"/>
        <w:spacing w:line="360" w:lineRule="auto"/>
        <w:ind w:firstLine="480" w:firstLineChars="200"/>
        <w:rPr>
          <w:color w:val="000000" w:themeColor="text1"/>
          <w:sz w:val="24"/>
          <w:szCs w:val="2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采购组织机构</w:t>
      </w:r>
      <w:r>
        <w:rPr>
          <w:rFonts w:hint="eastAsia"/>
          <w:color w:val="000000" w:themeColor="text1"/>
          <w:sz w:val="24"/>
          <w:szCs w:val="22"/>
          <w14:textFill>
            <w14:solidFill>
              <w14:schemeClr w14:val="tx1"/>
            </w14:solidFill>
          </w14:textFill>
        </w:rPr>
        <w:t>工作人员当众宣布投标人名称、投标价格和招标文件规定的需要宣布的其他内容（以开标一览表要求为准）；</w:t>
      </w:r>
    </w:p>
    <w:p>
      <w:pPr>
        <w:pStyle w:val="1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5.公布开标结果。</w:t>
      </w:r>
    </w:p>
    <w:p>
      <w:pPr>
        <w:pStyle w:val="10"/>
        <w:spacing w:line="360" w:lineRule="auto"/>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（二）开标异议</w:t>
      </w:r>
    </w:p>
    <w:p>
      <w:pPr>
        <w:pStyle w:val="1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0"/>
        <w:spacing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（三）</w:t>
      </w:r>
      <w:r>
        <w:rPr>
          <w:rFonts w:hint="eastAsia"/>
          <w:color w:val="000000" w:themeColor="text1"/>
          <w:sz w:val="24"/>
          <w:szCs w:val="22"/>
          <w14:textFill>
            <w14:solidFill>
              <w14:schemeClr w14:val="tx1"/>
            </w14:solidFill>
          </w14:textFill>
        </w:rPr>
        <w:t>投标人不足三家，不得开标。</w:t>
      </w:r>
    </w:p>
    <w:p>
      <w:pPr>
        <w:pStyle w:val="13"/>
        <w:snapToGrid w:val="0"/>
        <w:spacing w:line="360" w:lineRule="auto"/>
        <w:ind w:firstLine="482"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（一）</w:t>
      </w:r>
      <w:r>
        <w:rPr>
          <w:color w:val="000000" w:themeColor="text1"/>
          <w14:textFill>
            <w14:solidFill>
              <w14:schemeClr w14:val="tx1"/>
            </w14:solidFill>
          </w14:textFill>
        </w:rPr>
        <w:t>确定中标人。</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w:t>
      </w:r>
      <w:r>
        <w:rPr>
          <w:rFonts w:hint="eastAsia" w:ascii="宋体" w:hAnsi="宋体"/>
          <w:color w:val="000000" w:themeColor="text1"/>
          <w:kern w:val="0"/>
          <w:sz w:val="24"/>
          <w14:textFill>
            <w14:solidFill>
              <w14:schemeClr w14:val="tx1"/>
            </w14:solidFill>
          </w14:textFill>
        </w:rPr>
        <w:t>浙江</w:t>
      </w:r>
      <w:r>
        <w:rPr>
          <w:rFonts w:ascii="宋体" w:hAnsi="宋体"/>
          <w:color w:val="000000" w:themeColor="text1"/>
          <w:kern w:val="0"/>
          <w:sz w:val="24"/>
          <w14:textFill>
            <w14:solidFill>
              <w14:schemeClr w14:val="tx1"/>
            </w14:solidFill>
          </w14:textFill>
        </w:rPr>
        <w:t>省</w:t>
      </w:r>
      <w:r>
        <w:rPr>
          <w:rFonts w:hint="eastAsia" w:ascii="宋体" w:hAnsi="宋体"/>
          <w:color w:val="000000" w:themeColor="text1"/>
          <w:kern w:val="0"/>
          <w:sz w:val="24"/>
          <w14:textFill>
            <w14:solidFill>
              <w14:schemeClr w14:val="tx1"/>
            </w14:solidFill>
          </w14:textFill>
        </w:rPr>
        <w:t>政府采购</w:t>
      </w:r>
      <w:r>
        <w:rPr>
          <w:rFonts w:ascii="宋体" w:hAnsi="宋体"/>
          <w:color w:val="000000" w:themeColor="text1"/>
          <w:kern w:val="0"/>
          <w:sz w:val="24"/>
          <w14:textFill>
            <w14:solidFill>
              <w14:schemeClr w14:val="tx1"/>
            </w14:solidFill>
          </w14:textFill>
        </w:rPr>
        <w:t>网</w:t>
      </w:r>
      <w:r>
        <w:rPr>
          <w:rFonts w:hint="eastAsia" w:ascii="宋体" w:hAnsi="宋体"/>
          <w:color w:val="000000" w:themeColor="text1"/>
          <w:kern w:val="0"/>
          <w:sz w:val="24"/>
          <w14:textFill>
            <w14:solidFill>
              <w14:schemeClr w14:val="tx1"/>
            </w14:solidFill>
          </w14:textFill>
        </w:rPr>
        <w:t>和</w:t>
      </w:r>
      <w:r>
        <w:rPr>
          <w:rFonts w:hint="eastAsia" w:ascii="宋体" w:hAnsi="宋体"/>
          <w:color w:val="000000" w:themeColor="text1"/>
          <w:kern w:val="0"/>
          <w:sz w:val="24"/>
          <w:lang w:eastAsia="zh-CN"/>
          <w14:textFill>
            <w14:solidFill>
              <w14:schemeClr w14:val="tx1"/>
            </w14:solidFill>
          </w14:textFill>
        </w:rPr>
        <w:t>三门县</w:t>
      </w:r>
      <w:r>
        <w:rPr>
          <w:rFonts w:hint="eastAsia" w:ascii="宋体" w:hAnsi="宋体"/>
          <w:color w:val="000000" w:themeColor="text1"/>
          <w:kern w:val="0"/>
          <w:sz w:val="24"/>
          <w14:textFill>
            <w14:solidFill>
              <w14:schemeClr w14:val="tx1"/>
            </w14:solidFill>
          </w14:textFill>
        </w:rPr>
        <w:t>公共资源交易网上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w:t>
      </w:r>
      <w:r>
        <w:rPr>
          <w:color w:val="000000" w:themeColor="text1"/>
          <w:sz w:val="24"/>
          <w14:textFill>
            <w14:solidFill>
              <w14:schemeClr w14:val="tx1"/>
            </w14:solidFill>
          </w14:textFill>
        </w:rPr>
        <w:t>中标结果公告期为 1 个工作日</w:t>
      </w:r>
      <w:r>
        <w:rPr>
          <w:rFonts w:hint="eastAsia" w:ascii="宋体" w:hAnsi="宋体"/>
          <w:color w:val="000000" w:themeColor="text1"/>
          <w:kern w:val="0"/>
          <w:sz w:val="24"/>
          <w14:textFill>
            <w14:solidFill>
              <w14:schemeClr w14:val="tx1"/>
            </w14:solidFill>
          </w14:textFill>
        </w:rPr>
        <w:t>。</w:t>
      </w:r>
    </w:p>
    <w:p>
      <w:pPr>
        <w:pStyle w:val="11"/>
        <w:spacing w:line="360" w:lineRule="auto"/>
        <w:ind w:firstLine="480" w:firstLineChars="200"/>
        <w:jc w:val="both"/>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w:t>
      </w:r>
      <w:r>
        <w:rPr>
          <w:rFonts w:hint="eastAsia"/>
          <w:color w:val="000000" w:themeColor="text1"/>
          <w:sz w:val="24"/>
          <w14:textFill>
            <w14:solidFill>
              <w14:schemeClr w14:val="tx1"/>
            </w14:solidFill>
          </w14:textFill>
        </w:rPr>
        <w:t>发放中标通知书</w:t>
      </w:r>
      <w:r>
        <w:rPr>
          <w:rFonts w:hint="eastAsia" w:ascii="宋体" w:hAnsi="宋体"/>
          <w:color w:val="000000" w:themeColor="text1"/>
          <w:kern w:val="0"/>
          <w:sz w:val="24"/>
          <w14:textFill>
            <w14:solidFill>
              <w14:schemeClr w14:val="tx1"/>
            </w14:solidFill>
          </w14:textFill>
        </w:rPr>
        <w:t>。采购组织机构在发布中标结果公告的同时，</w:t>
      </w:r>
      <w:r>
        <w:rPr>
          <w:rFonts w:hint="eastAsia"/>
          <w:color w:val="000000" w:themeColor="text1"/>
          <w:sz w:val="24"/>
          <w14:textFill>
            <w14:solidFill>
              <w14:schemeClr w14:val="tx1"/>
            </w14:solidFill>
          </w14:textFill>
        </w:rPr>
        <w:t>通过政采云平台</w:t>
      </w:r>
      <w:r>
        <w:rPr>
          <w:rFonts w:hint="eastAsia" w:ascii="宋体" w:hAnsi="宋体"/>
          <w:color w:val="000000" w:themeColor="text1"/>
          <w:kern w:val="0"/>
          <w:sz w:val="24"/>
          <w14:textFill>
            <w14:solidFill>
              <w14:schemeClr w14:val="tx1"/>
            </w14:solidFill>
          </w14:textFill>
        </w:rPr>
        <w:t>向中标人发出中标通知书。</w:t>
      </w:r>
    </w:p>
    <w:p>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2.采购人不得向中标人提出任何不合理的要求作为签订合同的条件。</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3.中标人无故拖延、拒签合同的,将取消中标资格。</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5.询问或者质疑事项可能影响中标结果的，采购人应当暂停签订合同，已经签订合同的，应当中止履行合同。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12"/>
        <w:spacing w:after="0"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2.采购人应当自合同签订之日起7个工作日内，</w:t>
      </w:r>
      <w:r>
        <w:rPr>
          <w:rFonts w:hint="eastAsia"/>
          <w:color w:val="000000" w:themeColor="text1"/>
          <w:sz w:val="24"/>
          <w14:textFill>
            <w14:solidFill>
              <w14:schemeClr w14:val="tx1"/>
            </w14:solidFill>
          </w14:textFill>
        </w:rPr>
        <w:t>将合同通过政采云平台提交至</w:t>
      </w:r>
      <w:r>
        <w:rPr>
          <w:rFonts w:hint="eastAsia" w:ascii="宋体" w:hAnsi="宋体"/>
          <w:color w:val="000000" w:themeColor="text1"/>
          <w:sz w:val="24"/>
          <w14:textFill>
            <w14:solidFill>
              <w14:schemeClr w14:val="tx1"/>
            </w14:solidFill>
          </w14:textFill>
        </w:rPr>
        <w:t>同级人民政府财政部门备案存档。</w:t>
      </w:r>
    </w:p>
    <w:p>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八、询问、质疑与投诉</w:t>
      </w:r>
    </w:p>
    <w:p>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（一）询问</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（2）投标人对采购过程提出质疑的，应当在各采购程序环节结束之日起7个工作日内提出质疑；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（3）投标人对中标结果提出质疑的，应当在中标结果公告期限届满之日起7个工作日内提出质疑。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（三）投诉</w:t>
      </w:r>
    </w:p>
    <w:p>
      <w:pPr>
        <w:pStyle w:val="11"/>
        <w:spacing w:line="360" w:lineRule="auto"/>
        <w:ind w:firstLine="480" w:firstLineChars="200"/>
        <w:jc w:val="both"/>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pPr>
        <w:pStyle w:val="12"/>
        <w:spacing w:line="360" w:lineRule="auto"/>
        <w:ind w:left="0" w:leftChars="0" w:firstLine="480" w:firstLineChars="200"/>
        <w:rPr>
          <w:rFonts w:hint="eastAsia" w:ascii="宋体" w:hAnsi="宋体"/>
          <w:color w:val="000000" w:themeColor="text1"/>
          <w:sz w:val="24"/>
          <w:highlight w:val="none"/>
          <w14:textFill>
            <w14:solidFill>
              <w14:schemeClr w14:val="tx1"/>
            </w14:solidFill>
          </w14:textFill>
        </w:rPr>
      </w:pPr>
    </w:p>
    <w:p>
      <w:pPr>
        <w:spacing w:line="400" w:lineRule="exact"/>
        <w:ind w:firstLine="723" w:firstLineChars="300"/>
        <w:jc w:val="center"/>
        <w:rPr>
          <w:rFonts w:hint="eastAsia" w:ascii="宋体" w:hAnsi="宋体"/>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政府采购支持中小企业信用融资相关事项的通知</w:t>
      </w:r>
    </w:p>
    <w:p>
      <w:pPr>
        <w:spacing w:line="400" w:lineRule="exact"/>
        <w:ind w:firstLine="480" w:firstLineChars="200"/>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hint="eastAsia" w:ascii="宋体" w:hAnsi="宋体" w:cs="宋体"/>
          <w:b/>
          <w:bCs/>
          <w:color w:val="000000" w:themeColor="text1"/>
          <w:kern w:val="0"/>
          <w:sz w:val="28"/>
          <w:szCs w:val="28"/>
          <w14:textFill>
            <w14:solidFill>
              <w14:schemeClr w14:val="tx1"/>
            </w14:solidFill>
          </w14:textFill>
        </w:rPr>
      </w:pPr>
      <w:bookmarkStart w:id="20" w:name="_Toc16165"/>
    </w:p>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政采贷联系方式</w:t>
      </w:r>
    </w:p>
    <w:tbl>
      <w:tblPr>
        <w:tblStyle w:val="23"/>
        <w:tblW w:w="0" w:type="auto"/>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13958532211</w:t>
            </w:r>
          </w:p>
        </w:tc>
      </w:tr>
    </w:tbl>
    <w:p>
      <w:pPr>
        <w:widowControl/>
        <w:spacing w:line="360" w:lineRule="auto"/>
        <w:textAlignment w:val="center"/>
        <w:rPr>
          <w:rFonts w:ascii="宋体" w:hAnsi="宋体" w:cs="宋体"/>
          <w:b/>
          <w:color w:val="000000" w:themeColor="text1"/>
          <w:kern w:val="0"/>
          <w:sz w:val="22"/>
          <w:szCs w:val="22"/>
          <w14:textFill>
            <w14:solidFill>
              <w14:schemeClr w14:val="tx1"/>
            </w14:solidFill>
          </w14:textFill>
        </w:rPr>
      </w:pPr>
    </w:p>
    <w:p>
      <w:pPr>
        <w:widowControl/>
        <w:spacing w:line="360" w:lineRule="auto"/>
        <w:jc w:val="center"/>
        <w:textAlignment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政采保联系方式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合同（质量）履约按履约保证金年费率1%（1.5%</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，每单保函最低保险费为500元(300元)。</w:t>
            </w:r>
          </w:p>
        </w:tc>
        <w:tc>
          <w:tcPr>
            <w:tcW w:w="1134" w:type="dxa"/>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李来萍</w:t>
            </w:r>
          </w:p>
        </w:tc>
        <w:tc>
          <w:tcPr>
            <w:tcW w:w="1977" w:type="dxa"/>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13958525199</w:t>
            </w:r>
          </w:p>
        </w:tc>
      </w:tr>
    </w:tbl>
    <w:p>
      <w:pP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bookmarkStart w:id="21" w:name="_Toc21405"/>
      <w:r>
        <w:rPr>
          <w:rFonts w:hint="eastAsia"/>
          <w:color w:val="000000" w:themeColor="text1"/>
          <w14:textFill>
            <w14:solidFill>
              <w14:schemeClr w14:val="tx1"/>
            </w14:solidFill>
          </w14:textFill>
        </w:rPr>
        <w:t>招标需求</w:t>
      </w:r>
      <w:bookmarkEnd w:id="20"/>
      <w:bookmarkEnd w:id="21"/>
    </w:p>
    <w:p>
      <w:pPr>
        <w:tabs>
          <w:tab w:val="left" w:pos="8280"/>
        </w:tabs>
        <w:autoSpaceDE w:val="0"/>
        <w:autoSpaceDN w:val="0"/>
        <w:adjustRightInd w:val="0"/>
        <w:spacing w:line="360" w:lineRule="auto"/>
        <w:ind w:right="25"/>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第一节  技术要求</w:t>
      </w:r>
    </w:p>
    <w:p>
      <w:pPr>
        <w:keepNext w:val="0"/>
        <w:keepLines w:val="0"/>
        <w:pageBreakBefore w:val="0"/>
        <w:widowControl w:val="0"/>
        <w:kinsoku/>
        <w:wordWrap/>
        <w:overflowPunct/>
        <w:topLinePunct w:val="0"/>
        <w:bidi w:val="0"/>
        <w:spacing w:line="360" w:lineRule="auto"/>
        <w:textAlignment w:val="auto"/>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一、招标项目一览表</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、生活垃圾</w:t>
      </w:r>
      <w:r>
        <w:rPr>
          <w:rFonts w:hint="eastAsia" w:ascii="宋体" w:hAnsi="宋体" w:eastAsia="宋体" w:cs="宋体"/>
          <w:color w:val="000000" w:themeColor="text1"/>
          <w:sz w:val="24"/>
          <w:lang w:eastAsia="zh-CN"/>
          <w14:textFill>
            <w14:solidFill>
              <w14:schemeClr w14:val="tx1"/>
            </w14:solidFill>
          </w14:textFill>
        </w:rPr>
        <w:t>清运任务</w:t>
      </w:r>
    </w:p>
    <w:tbl>
      <w:tblPr>
        <w:tblStyle w:val="23"/>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2445"/>
        <w:gridCol w:w="27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54" w:type="dxa"/>
            <w:noWrap w:val="0"/>
            <w:vAlign w:val="center"/>
          </w:tcPr>
          <w:p>
            <w:pPr>
              <w:snapToGrid w:val="0"/>
              <w:spacing w:line="360" w:lineRule="auto"/>
              <w:jc w:val="center"/>
              <w:textAlignment w:val="baseline"/>
              <w:rPr>
                <w:rFonts w:hint="eastAsia" w:ascii="宋体" w:hAnsi="宋体" w:cs="宋体"/>
                <w:color w:val="000000" w:themeColor="text1"/>
                <w:sz w:val="24"/>
                <w14:textFill>
                  <w14:solidFill>
                    <w14:schemeClr w14:val="tx1"/>
                  </w14:solidFill>
                </w14:textFill>
              </w:rPr>
            </w:pPr>
          </w:p>
          <w:p>
            <w:pPr>
              <w:spacing w:line="360" w:lineRule="auto"/>
              <w:jc w:val="center"/>
              <w:textAlignment w:val="baseline"/>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清运任务</w:t>
            </w:r>
          </w:p>
        </w:tc>
        <w:tc>
          <w:tcPr>
            <w:tcW w:w="2445" w:type="dxa"/>
            <w:noWrap w:val="0"/>
            <w:vAlign w:val="center"/>
          </w:tcPr>
          <w:p>
            <w:pPr>
              <w:spacing w:line="360" w:lineRule="auto"/>
              <w:jc w:val="center"/>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每日须清理量</w:t>
            </w:r>
          </w:p>
        </w:tc>
        <w:tc>
          <w:tcPr>
            <w:tcW w:w="2775" w:type="dxa"/>
            <w:noWrap w:val="0"/>
            <w:vAlign w:val="center"/>
          </w:tcPr>
          <w:p>
            <w:pPr>
              <w:spacing w:line="360" w:lineRule="auto"/>
              <w:jc w:val="center"/>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采购需求车辆</w:t>
            </w:r>
          </w:p>
        </w:tc>
        <w:tc>
          <w:tcPr>
            <w:tcW w:w="1985" w:type="dxa"/>
            <w:noWrap w:val="0"/>
            <w:vAlign w:val="center"/>
          </w:tcPr>
          <w:p>
            <w:pPr>
              <w:spacing w:line="360" w:lineRule="auto"/>
              <w:jc w:val="center"/>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54" w:type="dxa"/>
            <w:noWrap w:val="0"/>
            <w:vAlign w:val="center"/>
          </w:tcPr>
          <w:p>
            <w:pPr>
              <w:pStyle w:val="3"/>
              <w:spacing w:before="156" w:beforeLines="50" w:after="0"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每日具体数量</w:t>
            </w:r>
          </w:p>
        </w:tc>
        <w:tc>
          <w:tcPr>
            <w:tcW w:w="2445" w:type="dxa"/>
            <w:noWrap w:val="0"/>
            <w:vAlign w:val="center"/>
          </w:tcPr>
          <w:p>
            <w:pPr>
              <w:pStyle w:val="3"/>
              <w:spacing w:before="156" w:beforeLines="50" w:after="0" w:line="360" w:lineRule="auto"/>
              <w:ind w:firstLine="480" w:firstLineChars="200"/>
              <w:jc w:val="left"/>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由中标单位和</w:t>
            </w:r>
            <w:r>
              <w:rPr>
                <w:rFonts w:hint="eastAsia" w:ascii="宋体" w:hAnsi="宋体" w:cs="宋体"/>
                <w:b w:val="0"/>
                <w:bCs w:val="0"/>
                <w:color w:val="000000" w:themeColor="text1"/>
                <w:sz w:val="24"/>
                <w:szCs w:val="24"/>
                <w:lang w:val="en-US" w:eastAsia="zh-CN"/>
                <w14:textFill>
                  <w14:solidFill>
                    <w14:schemeClr w14:val="tx1"/>
                  </w14:solidFill>
                </w14:textFill>
              </w:rPr>
              <w:t>三门</w:t>
            </w:r>
            <w:r>
              <w:rPr>
                <w:rFonts w:hint="eastAsia" w:ascii="宋体" w:hAnsi="宋体" w:eastAsia="宋体" w:cs="宋体"/>
                <w:b w:val="0"/>
                <w:bCs w:val="0"/>
                <w:color w:val="000000" w:themeColor="text1"/>
                <w:sz w:val="24"/>
                <w:szCs w:val="24"/>
                <w14:textFill>
                  <w14:solidFill>
                    <w14:schemeClr w14:val="tx1"/>
                  </w14:solidFill>
                </w14:textFill>
              </w:rPr>
              <w:t>康恒垃圾焚烧发电厂</w:t>
            </w:r>
            <w:r>
              <w:rPr>
                <w:rFonts w:hint="eastAsia" w:ascii="宋体" w:hAnsi="宋体" w:eastAsia="宋体" w:cs="宋体"/>
                <w:b w:val="0"/>
                <w:bCs w:val="0"/>
                <w:color w:val="000000" w:themeColor="text1"/>
                <w:sz w:val="24"/>
                <w:szCs w:val="24"/>
                <w:lang w:val="en-US" w:eastAsia="zh-CN"/>
                <w14:textFill>
                  <w14:solidFill>
                    <w14:schemeClr w14:val="tx1"/>
                  </w14:solidFill>
                </w14:textFill>
              </w:rPr>
              <w:t>自行协调</w:t>
            </w:r>
          </w:p>
        </w:tc>
        <w:tc>
          <w:tcPr>
            <w:tcW w:w="2775" w:type="dxa"/>
            <w:noWrap w:val="0"/>
            <w:vAlign w:val="center"/>
          </w:tcPr>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15吨及以上</w:t>
            </w:r>
            <w:r>
              <w:rPr>
                <w:rFonts w:hint="eastAsia" w:ascii="宋体" w:hAnsi="宋体" w:eastAsia="宋体" w:cs="宋体"/>
                <w:b w:val="0"/>
                <w:bCs w:val="0"/>
                <w:color w:val="000000" w:themeColor="text1"/>
                <w:sz w:val="24"/>
                <w:szCs w:val="24"/>
                <w:lang w:val="en-US" w:eastAsia="zh-CN"/>
                <w14:textFill>
                  <w14:solidFill>
                    <w14:schemeClr w14:val="tx1"/>
                  </w14:solidFill>
                </w14:textFill>
              </w:rPr>
              <w:t>重型密闭式垃圾压缩车</w:t>
            </w:r>
          </w:p>
        </w:tc>
        <w:tc>
          <w:tcPr>
            <w:tcW w:w="1985" w:type="dxa"/>
            <w:noWrap w:val="0"/>
            <w:vAlign w:val="center"/>
          </w:tcPr>
          <w:p>
            <w:pPr>
              <w:pStyle w:val="3"/>
              <w:spacing w:before="156" w:beforeLines="50" w:after="0" w:line="360" w:lineRule="auto"/>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约</w:t>
            </w:r>
            <w:r>
              <w:rPr>
                <w:rFonts w:hint="eastAsia" w:ascii="宋体" w:hAnsi="宋体" w:cs="宋体"/>
                <w:b w:val="0"/>
                <w:bCs w:val="0"/>
                <w:color w:val="000000" w:themeColor="text1"/>
                <w:sz w:val="24"/>
                <w:szCs w:val="24"/>
                <w:lang w:val="en-US" w:eastAsia="zh-CN"/>
                <w14:textFill>
                  <w14:solidFill>
                    <w14:schemeClr w14:val="tx1"/>
                  </w14:solidFill>
                </w14:textFill>
              </w:rPr>
              <w:t>28500</w:t>
            </w:r>
            <w:r>
              <w:rPr>
                <w:rFonts w:hint="eastAsia" w:ascii="宋体" w:hAnsi="宋体" w:eastAsia="宋体" w:cs="宋体"/>
                <w:b w:val="0"/>
                <w:bCs w:val="0"/>
                <w:color w:val="000000" w:themeColor="text1"/>
                <w:sz w:val="24"/>
                <w:szCs w:val="24"/>
                <w14:textFill>
                  <w14:solidFill>
                    <w14:schemeClr w14:val="tx1"/>
                  </w14:solidFill>
                </w14:textFill>
              </w:rPr>
              <w:t>吨</w:t>
            </w:r>
          </w:p>
        </w:tc>
      </w:tr>
    </w:tbl>
    <w:p>
      <w:pPr>
        <w:pStyle w:val="3"/>
        <w:spacing w:before="156" w:beforeLines="50" w:after="0"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分拣生活垃圾无法燃烧物质清运</w:t>
      </w:r>
      <w:r>
        <w:rPr>
          <w:rFonts w:hint="eastAsia" w:ascii="宋体" w:hAnsi="宋体" w:eastAsia="宋体" w:cs="宋体"/>
          <w:b w:val="0"/>
          <w:bCs w:val="0"/>
          <w:color w:val="000000" w:themeColor="text1"/>
          <w:sz w:val="24"/>
          <w:szCs w:val="24"/>
          <w:lang w:eastAsia="zh-CN"/>
          <w14:textFill>
            <w14:solidFill>
              <w14:schemeClr w14:val="tx1"/>
            </w14:solidFill>
          </w14:textFill>
        </w:rPr>
        <w:t>任务</w:t>
      </w:r>
    </w:p>
    <w:tbl>
      <w:tblPr>
        <w:tblStyle w:val="24"/>
        <w:tblpPr w:leftFromText="180" w:rightFromText="180" w:vertAnchor="text" w:horzAnchor="page" w:tblpX="1425" w:tblpY="307"/>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noWrap w:val="0"/>
            <w:vAlign w:val="top"/>
          </w:tcPr>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分拣生活垃圾无法燃烧物质清运</w:t>
            </w:r>
          </w:p>
        </w:tc>
        <w:tc>
          <w:tcPr>
            <w:tcW w:w="4621" w:type="dxa"/>
            <w:noWrap w:val="0"/>
            <w:vAlign w:val="top"/>
          </w:tcPr>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noWrap w:val="0"/>
            <w:vAlign w:val="top"/>
          </w:tcPr>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每次清运前须将</w:t>
            </w:r>
            <w:r>
              <w:rPr>
                <w:rFonts w:hint="eastAsia" w:ascii="宋体" w:hAnsi="宋体" w:eastAsia="宋体" w:cs="宋体"/>
                <w:b w:val="0"/>
                <w:bCs w:val="0"/>
                <w:color w:val="000000" w:themeColor="text1"/>
                <w:sz w:val="24"/>
                <w:szCs w:val="24"/>
                <w:lang w:val="en-US" w:eastAsia="zh-CN"/>
                <w14:textFill>
                  <w14:solidFill>
                    <w14:schemeClr w14:val="tx1"/>
                  </w14:solidFill>
                </w14:textFill>
              </w:rPr>
              <w:t>生活垃圾中参杂的石头等不符合</w:t>
            </w:r>
            <w:r>
              <w:rPr>
                <w:rFonts w:hint="eastAsia" w:ascii="宋体" w:hAnsi="宋体" w:eastAsia="宋体" w:cs="宋体"/>
                <w:b w:val="0"/>
                <w:bCs w:val="0"/>
                <w:color w:val="000000" w:themeColor="text1"/>
                <w:sz w:val="24"/>
                <w:szCs w:val="24"/>
                <w14:textFill>
                  <w14:solidFill>
                    <w14:schemeClr w14:val="tx1"/>
                  </w14:solidFill>
                </w14:textFill>
              </w:rPr>
              <w:t>三门康恒垃圾焚烧发电厂</w:t>
            </w:r>
            <w:r>
              <w:rPr>
                <w:rFonts w:hint="eastAsia" w:ascii="宋体" w:hAnsi="宋体" w:eastAsia="宋体" w:cs="宋体"/>
                <w:b w:val="0"/>
                <w:bCs w:val="0"/>
                <w:color w:val="000000" w:themeColor="text1"/>
                <w:sz w:val="24"/>
                <w:szCs w:val="24"/>
                <w:lang w:val="en-US" w:eastAsia="zh-CN"/>
                <w14:textFill>
                  <w14:solidFill>
                    <w14:schemeClr w14:val="tx1"/>
                  </w14:solidFill>
                </w14:textFill>
              </w:rPr>
              <w:t>焚烧要求的物质分拣出来堆放在</w:t>
            </w:r>
            <w:r>
              <w:rPr>
                <w:rFonts w:hint="eastAsia" w:ascii="宋体" w:hAnsi="宋体" w:eastAsia="宋体" w:cs="宋体"/>
                <w:b w:val="0"/>
                <w:bCs w:val="0"/>
                <w:color w:val="000000" w:themeColor="text1"/>
                <w:sz w:val="24"/>
                <w:szCs w:val="24"/>
                <w14:textFill>
                  <w14:solidFill>
                    <w14:schemeClr w14:val="tx1"/>
                  </w14:solidFill>
                </w14:textFill>
              </w:rPr>
              <w:t>甲方</w:t>
            </w:r>
            <w:r>
              <w:rPr>
                <w:rFonts w:hint="eastAsia" w:ascii="宋体" w:hAnsi="宋体" w:eastAsia="宋体" w:cs="宋体"/>
                <w:b w:val="0"/>
                <w:bCs w:val="0"/>
                <w:color w:val="000000" w:themeColor="text1"/>
                <w:sz w:val="24"/>
                <w:szCs w:val="24"/>
                <w:lang w:eastAsia="zh-CN"/>
                <w14:textFill>
                  <w14:solidFill>
                    <w14:schemeClr w14:val="tx1"/>
                  </w14:solidFill>
                </w14:textFill>
              </w:rPr>
              <w:t>指定地点</w:t>
            </w:r>
          </w:p>
        </w:tc>
        <w:tc>
          <w:tcPr>
            <w:tcW w:w="4621" w:type="dxa"/>
            <w:noWrap w:val="0"/>
            <w:vAlign w:val="top"/>
          </w:tcPr>
          <w:p>
            <w:pPr>
              <w:pStyle w:val="3"/>
              <w:spacing w:before="156" w:beforeLines="50" w:after="0" w:line="360" w:lineRule="auto"/>
              <w:ind w:firstLine="480" w:firstLineChars="2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约</w:t>
            </w:r>
            <w:r>
              <w:rPr>
                <w:rFonts w:hint="eastAsia" w:ascii="宋体" w:hAnsi="宋体" w:cs="宋体"/>
                <w:b w:val="0"/>
                <w:bCs w:val="0"/>
                <w:color w:val="000000" w:themeColor="text1"/>
                <w:sz w:val="24"/>
                <w:szCs w:val="24"/>
                <w:lang w:val="en-US" w:eastAsia="zh-CN"/>
                <w14:textFill>
                  <w14:solidFill>
                    <w14:schemeClr w14:val="tx1"/>
                  </w14:solidFill>
                </w14:textFill>
              </w:rPr>
              <w:t>1500</w:t>
            </w:r>
            <w:r>
              <w:rPr>
                <w:rFonts w:hint="eastAsia" w:ascii="宋体" w:hAnsi="宋体" w:eastAsia="宋体" w:cs="宋体"/>
                <w:b w:val="0"/>
                <w:bCs w:val="0"/>
                <w:color w:val="000000" w:themeColor="text1"/>
                <w:sz w:val="24"/>
                <w:szCs w:val="24"/>
                <w:lang w:val="en-US" w:eastAsia="zh-CN"/>
                <w14:textFill>
                  <w14:solidFill>
                    <w14:schemeClr w14:val="tx1"/>
                  </w14:solidFill>
                </w14:textFill>
              </w:rPr>
              <w:t>吨</w:t>
            </w:r>
          </w:p>
        </w:tc>
      </w:tr>
    </w:tbl>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lang w:eastAsia="zh-CN"/>
          <w14:textFill>
            <w14:solidFill>
              <w14:schemeClr w14:val="tx1"/>
            </w14:solidFill>
          </w14:textFill>
        </w:rPr>
        <w:t>各投标人应自行考察运输路线及安排符合要求的车辆运输作业，营运过程中发生一切后果由中标人自行承担。并保证将每日须清理生活垃圾量全部运输到位，结算以三门康恒垃圾焚烧发电厂过磅为准。本次清运项目</w:t>
      </w:r>
      <w:r>
        <w:rPr>
          <w:rFonts w:hint="eastAsia" w:ascii="宋体" w:hAnsi="宋体" w:eastAsia="宋体" w:cs="宋体"/>
          <w:b w:val="0"/>
          <w:bCs w:val="0"/>
          <w:color w:val="000000" w:themeColor="text1"/>
          <w:sz w:val="24"/>
          <w:szCs w:val="24"/>
          <w:lang w:val="en-US" w:eastAsia="zh-CN"/>
          <w14:textFill>
            <w14:solidFill>
              <w14:schemeClr w14:val="tx1"/>
            </w14:solidFill>
          </w14:textFill>
        </w:rPr>
        <w:t>具体日清理量由</w:t>
      </w:r>
      <w:r>
        <w:rPr>
          <w:rFonts w:hint="eastAsia" w:ascii="宋体" w:hAnsi="宋体" w:eastAsia="宋体" w:cs="宋体"/>
          <w:b w:val="0"/>
          <w:bCs w:val="0"/>
          <w:color w:val="000000" w:themeColor="text1"/>
          <w:sz w:val="24"/>
          <w:szCs w:val="24"/>
          <w:lang w:eastAsia="zh-CN"/>
          <w14:textFill>
            <w14:solidFill>
              <w14:schemeClr w14:val="tx1"/>
            </w14:solidFill>
          </w14:textFill>
        </w:rPr>
        <w:t>三门康恒垃圾焚烧发电厂统一调配。</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投标人应</w:t>
      </w:r>
      <w:r>
        <w:rPr>
          <w:rFonts w:hint="eastAsia" w:ascii="宋体" w:hAnsi="宋体" w:eastAsia="宋体" w:cs="宋体"/>
          <w:b w:val="0"/>
          <w:bCs w:val="0"/>
          <w:color w:val="000000" w:themeColor="text1"/>
          <w:sz w:val="24"/>
          <w:szCs w:val="24"/>
          <w:lang w:eastAsia="zh-CN"/>
          <w14:textFill>
            <w14:solidFill>
              <w14:schemeClr w14:val="tx1"/>
            </w14:solidFill>
          </w14:textFill>
        </w:rPr>
        <w:t>考虑三门康恒垃圾焚烧发电厂日处理量上限，做好与三门康恒垃圾焚烧发电厂对接工作，安排好项目总体工期及日运输量。</w:t>
      </w:r>
    </w:p>
    <w:p>
      <w:pPr>
        <w:pStyle w:val="3"/>
        <w:spacing w:before="156" w:beforeLines="50" w:after="0" w:line="360" w:lineRule="auto"/>
        <w:ind w:firstLine="480" w:firstLineChars="2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2.2如遇特殊情况，垃圾需清运至采购人指定地点（除三门康恒垃圾焚烧发电厂），则投标人须无条件配合，并保证将每日须清理生活垃圾量全部运输到采购人指定地点，结算以采购人指定地点过磅为准，具体日清理量由采购人统一调配。</w:t>
      </w:r>
    </w:p>
    <w:p>
      <w:pPr>
        <w:pStyle w:val="3"/>
        <w:spacing w:before="156" w:beforeLines="50" w:after="0" w:line="360"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保洁作业质量标准按照《三门县生活垃圾清运管理考核细则》执行。在</w:t>
      </w:r>
      <w:r>
        <w:rPr>
          <w:rFonts w:hint="eastAsia" w:ascii="宋体" w:hAnsi="宋体" w:cs="宋体"/>
          <w:b w:val="0"/>
          <w:bCs w:val="0"/>
          <w:color w:val="000000" w:themeColor="text1"/>
          <w:sz w:val="24"/>
          <w:szCs w:val="24"/>
          <w14:textFill>
            <w14:solidFill>
              <w14:schemeClr w14:val="tx1"/>
            </w14:solidFill>
          </w14:textFill>
        </w:rPr>
        <w:t>考核作业质量的同时，考核作业人员落实（到位）情况，劳动纪律（规定）执行情况以及其他如综合治理等情况。建立随机抽查考核，日常巡查考核制度；建立考核台帐，按月公布成绩。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垃圾</w:t>
      </w:r>
      <w:r>
        <w:rPr>
          <w:rFonts w:hint="eastAsia" w:ascii="宋体" w:hAnsi="宋体"/>
          <w:color w:val="000000" w:themeColor="text1"/>
          <w:sz w:val="24"/>
          <w:lang w:eastAsia="zh-CN"/>
          <w14:textFill>
            <w14:solidFill>
              <w14:schemeClr w14:val="tx1"/>
            </w14:solidFill>
          </w14:textFill>
        </w:rPr>
        <w:t>清运</w:t>
      </w:r>
      <w:r>
        <w:rPr>
          <w:rFonts w:hint="eastAsia" w:ascii="宋体" w:hAnsi="宋体"/>
          <w:color w:val="000000" w:themeColor="text1"/>
          <w:sz w:val="24"/>
          <w14:textFill>
            <w14:solidFill>
              <w14:schemeClr w14:val="tx1"/>
            </w14:solidFill>
          </w14:textFill>
        </w:rPr>
        <w:t>综合单价</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3.1生活垃圾清运任务</w:t>
      </w:r>
      <w:r>
        <w:rPr>
          <w:rFonts w:hint="eastAsia" w:ascii="宋体" w:hAnsi="宋体"/>
          <w:color w:val="000000" w:themeColor="text1"/>
          <w:sz w:val="24"/>
          <w14:textFill>
            <w14:solidFill>
              <w14:schemeClr w14:val="tx1"/>
            </w14:solidFill>
          </w14:textFill>
        </w:rPr>
        <w:t>综合单价的最高限价为：人民币</w:t>
      </w:r>
      <w:r>
        <w:rPr>
          <w:rFonts w:hint="eastAsia" w:ascii="宋体" w:hAnsi="宋体"/>
          <w:color w:val="000000" w:themeColor="text1"/>
          <w:sz w:val="24"/>
          <w:lang w:val="en-US" w:eastAsia="zh-CN"/>
          <w14:textFill>
            <w14:solidFill>
              <w14:schemeClr w14:val="tx1"/>
            </w14:solidFill>
          </w14:textFill>
        </w:rPr>
        <w:t>63</w:t>
      </w:r>
      <w:r>
        <w:rPr>
          <w:rFonts w:hint="eastAsia" w:ascii="宋体" w:hAnsi="宋体"/>
          <w:color w:val="000000" w:themeColor="text1"/>
          <w:sz w:val="24"/>
          <w14:textFill>
            <w14:solidFill>
              <w14:schemeClr w14:val="tx1"/>
            </w14:solidFill>
          </w14:textFill>
        </w:rPr>
        <w:t>元/吨，</w:t>
      </w:r>
      <w:r>
        <w:rPr>
          <w:rFonts w:hint="eastAsia" w:ascii="宋体" w:hAnsi="宋体"/>
          <w:color w:val="000000" w:themeColor="text1"/>
          <w:sz w:val="24"/>
          <w:lang w:eastAsia="zh-CN"/>
          <w14:textFill>
            <w14:solidFill>
              <w14:schemeClr w14:val="tx1"/>
            </w14:solidFill>
          </w14:textFill>
        </w:rPr>
        <w:t>分拣生活垃圾无法燃烧物质清运</w:t>
      </w:r>
      <w:r>
        <w:rPr>
          <w:rFonts w:hint="eastAsia" w:ascii="宋体" w:hAnsi="宋体" w:eastAsia="宋体" w:cs="宋体"/>
          <w:b w:val="0"/>
          <w:bCs w:val="0"/>
          <w:color w:val="000000" w:themeColor="text1"/>
          <w:sz w:val="24"/>
          <w:szCs w:val="24"/>
          <w:lang w:eastAsia="zh-CN"/>
          <w14:textFill>
            <w14:solidFill>
              <w14:schemeClr w14:val="tx1"/>
            </w14:solidFill>
          </w14:textFill>
        </w:rPr>
        <w:t>任务</w:t>
      </w:r>
      <w:r>
        <w:rPr>
          <w:rFonts w:hint="eastAsia" w:ascii="宋体" w:hAnsi="宋体"/>
          <w:color w:val="000000" w:themeColor="text1"/>
          <w:sz w:val="24"/>
          <w14:textFill>
            <w14:solidFill>
              <w14:schemeClr w14:val="tx1"/>
            </w14:solidFill>
          </w14:textFill>
        </w:rPr>
        <w:t>综合单价的最高限价为：人民币</w:t>
      </w:r>
      <w:r>
        <w:rPr>
          <w:rFonts w:hint="eastAsia" w:ascii="宋体" w:hAnsi="宋体"/>
          <w:color w:val="000000" w:themeColor="text1"/>
          <w:sz w:val="24"/>
          <w:lang w:val="en-US" w:eastAsia="zh-CN"/>
          <w14:textFill>
            <w14:solidFill>
              <w14:schemeClr w14:val="tx1"/>
            </w14:solidFill>
          </w14:textFill>
        </w:rPr>
        <w:t>95</w:t>
      </w:r>
      <w:r>
        <w:rPr>
          <w:rFonts w:hint="eastAsia" w:ascii="宋体" w:hAnsi="宋体"/>
          <w:color w:val="000000" w:themeColor="text1"/>
          <w:sz w:val="24"/>
          <w14:textFill>
            <w14:solidFill>
              <w14:schemeClr w14:val="tx1"/>
            </w14:solidFill>
          </w14:textFill>
        </w:rPr>
        <w:t>元/吨，以上价格</w:t>
      </w:r>
      <w:r>
        <w:rPr>
          <w:rFonts w:hint="eastAsia" w:ascii="宋体" w:hAnsi="宋体"/>
          <w:color w:val="000000" w:themeColor="text1"/>
          <w:sz w:val="24"/>
          <w:lang w:val="en-US" w:eastAsia="zh-CN"/>
          <w14:textFill>
            <w14:solidFill>
              <w14:schemeClr w14:val="tx1"/>
            </w14:solidFill>
          </w14:textFill>
        </w:rPr>
        <w:t>均</w:t>
      </w:r>
      <w:r>
        <w:rPr>
          <w:rFonts w:hint="eastAsia" w:ascii="宋体" w:hAnsi="宋体"/>
          <w:color w:val="000000" w:themeColor="text1"/>
          <w:sz w:val="24"/>
          <w14:textFill>
            <w14:solidFill>
              <w14:schemeClr w14:val="tx1"/>
            </w14:solidFill>
          </w14:textFill>
        </w:rPr>
        <w:t>为综合单价包干，包括但不限于挖装运卸、进场道路维修、场内施工便道铺设、钢板租赁、机械设备进退场费、有毒气体防护、除臭、每日土工膜起撬及覆盖、抽渗滤液至池内等及一切所有税费</w:t>
      </w:r>
    </w:p>
    <w:p>
      <w:pPr>
        <w:spacing w:line="360" w:lineRule="auto"/>
        <w:ind w:firstLine="480" w:firstLineChars="200"/>
        <w:rPr>
          <w:rFonts w:hint="default" w:ascii="宋体" w:hAnsi="宋体"/>
          <w:color w:val="000000" w:themeColor="text1"/>
          <w:sz w:val="24"/>
          <w:lang w:val="en-US"/>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3.2如遇特殊情况，垃圾需清运到采购人指定地点，挖生活垃圾综合单价的最高限价为：人民币48元/吨，包括但不限于挖装车、进场道路维修、场内施工便道铺设、钢板租赁、机械设备进退场费、有毒气体防护、除臭、每日土工膜起撬及覆盖、抽渗滤液至池内等及一切所有税费；生活垃圾运输综合单价的最高限价为：人民币15元/吨/10km，包括但不限于卸车等及一切所有税费；生活垃圾增加运输综合单价的最高限价为：人民币1元/吨/km，包括但不限于卸车等及一切所有税费。</w:t>
      </w:r>
    </w:p>
    <w:p>
      <w:pPr>
        <w:pStyle w:val="5"/>
        <w:spacing w:before="312" w:beforeLines="100" w:after="156" w:afterLines="50" w:line="36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二、技术要求</w:t>
      </w:r>
    </w:p>
    <w:p>
      <w:pPr>
        <w:pStyle w:val="5"/>
        <w:spacing w:before="0" w:after="156" w:afterLines="50" w:line="360" w:lineRule="auto"/>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项目</w:t>
      </w:r>
      <w:r>
        <w:rPr>
          <w:rFonts w:hint="eastAsia" w:ascii="宋体" w:hAnsi="宋体" w:cs="宋体"/>
          <w:color w:val="000000" w:themeColor="text1"/>
          <w:sz w:val="24"/>
          <w:szCs w:val="24"/>
          <w:lang w:eastAsia="zh-CN"/>
          <w14:textFill>
            <w14:solidFill>
              <w14:schemeClr w14:val="tx1"/>
            </w14:solidFill>
          </w14:textFill>
        </w:rPr>
        <w:t>概况</w:t>
      </w:r>
      <w:bookmarkStart w:id="22" w:name="_Toc35891733"/>
      <w:bookmarkStart w:id="23" w:name="_Toc54620495"/>
      <w:bookmarkStart w:id="24" w:name="_Toc3384934"/>
      <w:bookmarkStart w:id="25" w:name="_Toc418501837"/>
    </w:p>
    <w:p>
      <w:pPr>
        <w:pStyle w:val="5"/>
        <w:spacing w:line="360" w:lineRule="auto"/>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为落实台州市综合行政执法局《关于报送生活垃圾“零填埋”实施方案的函》台综合办便函【2020】178号，</w:t>
      </w:r>
      <w:r>
        <w:rPr>
          <w:rFonts w:hint="eastAsia" w:ascii="宋体" w:hAnsi="宋体" w:cs="宋体"/>
          <w:b w:val="0"/>
          <w:bCs w:val="0"/>
          <w:color w:val="000000" w:themeColor="text1"/>
          <w:sz w:val="24"/>
          <w:szCs w:val="24"/>
          <w:lang w:eastAsia="zh-CN"/>
          <w14:textFill>
            <w14:solidFill>
              <w14:schemeClr w14:val="tx1"/>
            </w14:solidFill>
          </w14:textFill>
        </w:rPr>
        <w:t>现将三门县浦坝港镇胜利塘木杓山（木屿山）生活垃圾临时周转场</w:t>
      </w:r>
      <w:r>
        <w:rPr>
          <w:rFonts w:hint="eastAsia" w:ascii="宋体" w:hAnsi="宋体" w:cs="宋体"/>
          <w:b w:val="0"/>
          <w:bCs w:val="0"/>
          <w:color w:val="000000" w:themeColor="text1"/>
          <w:sz w:val="24"/>
          <w:szCs w:val="24"/>
          <w:lang w:val="en-US" w:eastAsia="zh-CN"/>
          <w14:textFill>
            <w14:solidFill>
              <w14:schemeClr w14:val="tx1"/>
            </w14:solidFill>
          </w14:textFill>
        </w:rPr>
        <w:t>余量</w:t>
      </w:r>
      <w:r>
        <w:rPr>
          <w:rFonts w:hint="eastAsia" w:ascii="宋体" w:hAnsi="宋体" w:cs="宋体"/>
          <w:b w:val="0"/>
          <w:bCs w:val="0"/>
          <w:color w:val="000000" w:themeColor="text1"/>
          <w:sz w:val="24"/>
          <w:szCs w:val="24"/>
          <w:lang w:eastAsia="zh-CN"/>
          <w14:textFill>
            <w14:solidFill>
              <w14:schemeClr w14:val="tx1"/>
            </w14:solidFill>
          </w14:textFill>
        </w:rPr>
        <w:t>垃圾清运至</w:t>
      </w:r>
      <w:r>
        <w:rPr>
          <w:rFonts w:hint="eastAsia" w:ascii="宋体" w:hAnsi="宋体" w:cs="宋体"/>
          <w:b w:val="0"/>
          <w:color w:val="000000" w:themeColor="text1"/>
          <w:sz w:val="24"/>
          <w:szCs w:val="24"/>
          <w:lang w:eastAsia="zh-CN"/>
          <w14:textFill>
            <w14:solidFill>
              <w14:schemeClr w14:val="tx1"/>
            </w14:solidFill>
          </w14:textFill>
        </w:rPr>
        <w:t>三门康恒垃圾焚烧发电厂</w:t>
      </w:r>
      <w:r>
        <w:rPr>
          <w:rFonts w:hint="eastAsia" w:ascii="宋体" w:hAnsi="宋体" w:cs="宋体"/>
          <w:b w:val="0"/>
          <w:bCs w:val="0"/>
          <w:color w:val="000000" w:themeColor="text1"/>
          <w:sz w:val="24"/>
          <w:szCs w:val="24"/>
          <w14:textFill>
            <w14:solidFill>
              <w14:schemeClr w14:val="tx1"/>
            </w14:solidFill>
          </w14:textFill>
        </w:rPr>
        <w:t>。</w:t>
      </w:r>
    </w:p>
    <w:bookmarkEnd w:id="22"/>
    <w:bookmarkEnd w:id="23"/>
    <w:bookmarkEnd w:id="24"/>
    <w:bookmarkEnd w:id="25"/>
    <w:p>
      <w:pPr>
        <w:pStyle w:val="5"/>
        <w:spacing w:before="312" w:beforeLines="100" w:after="156" w:afterLines="50" w:line="360" w:lineRule="auto"/>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（二）、项目要求</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bookmarkStart w:id="26" w:name="_Toc35891744"/>
      <w:bookmarkStart w:id="27" w:name="_Toc3384938"/>
      <w:bookmarkStart w:id="28" w:name="_Toc54620507"/>
      <w:r>
        <w:rPr>
          <w:rFonts w:hint="eastAsia" w:ascii="宋体" w:hAnsi="宋体" w:cs="宋体"/>
          <w:bCs/>
          <w:color w:val="000000" w:themeColor="text1"/>
          <w:sz w:val="24"/>
          <w14:textFill>
            <w14:solidFill>
              <w14:schemeClr w14:val="tx1"/>
            </w14:solidFill>
          </w14:textFill>
        </w:rPr>
        <w:t>中标方应确保合同签订之日后7日内作业车辆、设备及人员到位。中标方必须按照作业规范标准执行，服从管理部门的各项考核及检查并积极配合各项临时性任务。</w:t>
      </w:r>
    </w:p>
    <w:p>
      <w:pPr>
        <w:spacing w:line="460" w:lineRule="exact"/>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1、生活垃圾清运的要求</w:t>
      </w:r>
      <w:r>
        <w:rPr>
          <w:rFonts w:hint="eastAsia" w:ascii="宋体" w:hAnsi="宋体" w:cs="宋体"/>
          <w:b/>
          <w:color w:val="000000" w:themeColor="text1"/>
          <w:sz w:val="24"/>
          <w:lang w:eastAsia="zh-CN"/>
          <w14:textFill>
            <w14:solidFill>
              <w14:schemeClr w14:val="tx1"/>
            </w14:solidFill>
          </w14:textFill>
        </w:rPr>
        <w:t>（包括但不限于）</w:t>
      </w:r>
      <w:r>
        <w:rPr>
          <w:rFonts w:hint="eastAsia" w:ascii="宋体" w:hAnsi="宋体" w:cs="宋体"/>
          <w:b/>
          <w:color w:val="000000" w:themeColor="text1"/>
          <w:sz w:val="24"/>
          <w14:textFill>
            <w14:solidFill>
              <w14:schemeClr w14:val="tx1"/>
            </w14:solidFill>
          </w14:textFill>
        </w:rPr>
        <w:t>：</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1.</w:t>
      </w:r>
      <w:r>
        <w:rPr>
          <w:rFonts w:hint="eastAsia" w:ascii="宋体" w:hAnsi="宋体" w:eastAsia="宋体" w:cs="Times New Roman"/>
          <w:bCs/>
          <w:color w:val="000000" w:themeColor="text1"/>
          <w:sz w:val="24"/>
          <w:lang w:val="en-US" w:eastAsia="zh-CN"/>
          <w14:textFill>
            <w14:solidFill>
              <w14:schemeClr w14:val="tx1"/>
            </w14:solidFill>
          </w14:textFill>
        </w:rPr>
        <w:t>1</w:t>
      </w:r>
      <w:r>
        <w:rPr>
          <w:rFonts w:hint="eastAsia" w:ascii="宋体" w:hAnsi="宋体" w:eastAsia="宋体" w:cs="Times New Roman"/>
          <w:bCs/>
          <w:color w:val="000000" w:themeColor="text1"/>
          <w:sz w:val="24"/>
          <w14:textFill>
            <w14:solidFill>
              <w14:schemeClr w14:val="tx1"/>
            </w14:solidFill>
          </w14:textFill>
        </w:rPr>
        <w:t xml:space="preserve">、垃圾清运车辆应印有编号、监督电话、责任单位等信息，清运垃圾的车辆要按规定的路线行驶，规定地点停放，确保运行安全。 </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1.</w:t>
      </w:r>
      <w:r>
        <w:rPr>
          <w:rFonts w:hint="eastAsia" w:ascii="宋体" w:hAnsi="宋体" w:eastAsia="宋体" w:cs="Times New Roman"/>
          <w:bCs/>
          <w:color w:val="000000" w:themeColor="text1"/>
          <w:sz w:val="24"/>
          <w:lang w:val="en-US" w:eastAsia="zh-CN"/>
          <w14:textFill>
            <w14:solidFill>
              <w14:schemeClr w14:val="tx1"/>
            </w14:solidFill>
          </w14:textFill>
        </w:rPr>
        <w:t>2</w:t>
      </w:r>
      <w:r>
        <w:rPr>
          <w:rFonts w:hint="eastAsia" w:ascii="宋体" w:hAnsi="宋体" w:eastAsia="宋体" w:cs="Times New Roman"/>
          <w:bCs/>
          <w:color w:val="000000" w:themeColor="text1"/>
          <w:sz w:val="24"/>
          <w14:textFill>
            <w14:solidFill>
              <w14:schemeClr w14:val="tx1"/>
            </w14:solidFill>
          </w14:textFill>
        </w:rPr>
        <w:t>、垃圾清运车辆运输过程中不得滴漏污水。车辆应匀速行驶，不得急停急起，防止污水外溢。</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1.</w:t>
      </w:r>
      <w:r>
        <w:rPr>
          <w:rFonts w:hint="eastAsia" w:ascii="宋体" w:hAnsi="宋体" w:eastAsia="宋体" w:cs="Times New Roman"/>
          <w:bCs/>
          <w:color w:val="000000" w:themeColor="text1"/>
          <w:sz w:val="24"/>
          <w:lang w:val="en-US" w:eastAsia="zh-CN"/>
          <w14:textFill>
            <w14:solidFill>
              <w14:schemeClr w14:val="tx1"/>
            </w14:solidFill>
          </w14:textFill>
        </w:rPr>
        <w:t>3</w:t>
      </w:r>
      <w:r>
        <w:rPr>
          <w:rFonts w:hint="eastAsia" w:ascii="宋体" w:hAnsi="宋体" w:eastAsia="宋体" w:cs="Times New Roman"/>
          <w:bCs/>
          <w:color w:val="000000" w:themeColor="text1"/>
          <w:sz w:val="24"/>
          <w14:textFill>
            <w14:solidFill>
              <w14:schemeClr w14:val="tx1"/>
            </w14:solidFill>
          </w14:textFill>
        </w:rPr>
        <w:t>、垃圾清运车辆车容车貌整洁，无破损，运输过程中应密闭运输，无吊挂，无抛、撒垃圾现象。</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1.</w:t>
      </w:r>
      <w:r>
        <w:rPr>
          <w:rFonts w:hint="eastAsia" w:ascii="宋体" w:hAnsi="宋体" w:eastAsia="宋体" w:cs="Times New Roman"/>
          <w:bCs/>
          <w:color w:val="000000" w:themeColor="text1"/>
          <w:sz w:val="24"/>
          <w:lang w:val="en-US" w:eastAsia="zh-CN"/>
          <w14:textFill>
            <w14:solidFill>
              <w14:schemeClr w14:val="tx1"/>
            </w14:solidFill>
          </w14:textFill>
        </w:rPr>
        <w:t>4</w:t>
      </w:r>
      <w:r>
        <w:rPr>
          <w:rFonts w:hint="eastAsia" w:ascii="宋体" w:hAnsi="宋体" w:eastAsia="宋体" w:cs="Times New Roman"/>
          <w:bCs/>
          <w:color w:val="000000" w:themeColor="text1"/>
          <w:sz w:val="24"/>
          <w14:textFill>
            <w14:solidFill>
              <w14:schemeClr w14:val="tx1"/>
            </w14:solidFill>
          </w14:textFill>
        </w:rPr>
        <w:t>将甲方场内的生活垃圾整齐的装载上车运输至三门康恒垃圾焚烧发电厂，每</w:t>
      </w:r>
      <w:r>
        <w:rPr>
          <w:rFonts w:hint="eastAsia" w:ascii="宋体" w:hAnsi="宋体" w:eastAsia="宋体" w:cs="Times New Roman"/>
          <w:bCs/>
          <w:color w:val="000000" w:themeColor="text1"/>
          <w:sz w:val="24"/>
          <w:lang w:val="en-US" w:eastAsia="zh-CN"/>
          <w14:textFill>
            <w14:solidFill>
              <w14:schemeClr w14:val="tx1"/>
            </w14:solidFill>
          </w14:textFill>
        </w:rPr>
        <w:t>天</w:t>
      </w:r>
      <w:r>
        <w:rPr>
          <w:rFonts w:hint="eastAsia" w:ascii="宋体" w:hAnsi="宋体" w:eastAsia="宋体" w:cs="Times New Roman"/>
          <w:bCs/>
          <w:color w:val="000000" w:themeColor="text1"/>
          <w:sz w:val="24"/>
          <w14:textFill>
            <w14:solidFill>
              <w14:schemeClr w14:val="tx1"/>
            </w14:solidFill>
          </w14:textFill>
        </w:rPr>
        <w:t>装车完毕需将</w:t>
      </w:r>
      <w:r>
        <w:rPr>
          <w:rFonts w:hint="eastAsia" w:ascii="宋体" w:hAnsi="宋体" w:eastAsia="宋体" w:cs="Times New Roman"/>
          <w:bCs/>
          <w:color w:val="000000" w:themeColor="text1"/>
          <w:sz w:val="24"/>
          <w:lang w:eastAsia="zh-CN"/>
          <w14:textFill>
            <w14:solidFill>
              <w14:schemeClr w14:val="tx1"/>
            </w14:solidFill>
          </w14:textFill>
        </w:rPr>
        <w:t>土工</w:t>
      </w:r>
      <w:r>
        <w:rPr>
          <w:rFonts w:hint="eastAsia" w:ascii="宋体" w:hAnsi="宋体" w:eastAsia="宋体" w:cs="Times New Roman"/>
          <w:bCs/>
          <w:color w:val="000000" w:themeColor="text1"/>
          <w:sz w:val="24"/>
          <w14:textFill>
            <w14:solidFill>
              <w14:schemeClr w14:val="tx1"/>
            </w14:solidFill>
          </w14:textFill>
        </w:rPr>
        <w:t>膜盖回密封使未装车部分生活垃圾不裸露在外</w:t>
      </w:r>
      <w:r>
        <w:rPr>
          <w:rFonts w:hint="eastAsia" w:ascii="宋体" w:hAnsi="宋体" w:eastAsia="宋体" w:cs="Times New Roman"/>
          <w:bCs/>
          <w:color w:val="000000" w:themeColor="text1"/>
          <w:sz w:val="24"/>
          <w:lang w:eastAsia="zh-CN"/>
          <w14:textFill>
            <w14:solidFill>
              <w14:schemeClr w14:val="tx1"/>
            </w14:solidFill>
          </w14:textFill>
        </w:rPr>
        <w:t>，</w:t>
      </w:r>
      <w:r>
        <w:rPr>
          <w:rFonts w:hint="eastAsia" w:ascii="宋体" w:hAnsi="宋体" w:eastAsia="宋体" w:cs="Times New Roman"/>
          <w:bCs/>
          <w:color w:val="000000" w:themeColor="text1"/>
          <w:sz w:val="24"/>
          <w:lang w:val="en-US" w:eastAsia="zh-CN"/>
          <w14:textFill>
            <w14:solidFill>
              <w14:schemeClr w14:val="tx1"/>
            </w14:solidFill>
          </w14:textFill>
        </w:rPr>
        <w:t>每日将场内渗滤液抽至池内。现场开挖须配合镇政府相关部门及环卫主管部门监督检查。</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5</w:t>
      </w:r>
      <w:r>
        <w:rPr>
          <w:rFonts w:hint="eastAsia" w:ascii="宋体" w:hAnsi="宋体"/>
          <w:bCs/>
          <w:color w:val="000000" w:themeColor="text1"/>
          <w:sz w:val="24"/>
          <w14:textFill>
            <w14:solidFill>
              <w14:schemeClr w14:val="tx1"/>
            </w14:solidFill>
          </w14:textFill>
        </w:rPr>
        <w:t>现场施工人员及装载人员须做好针对有害气体的防护措施，出现任何后果由</w:t>
      </w:r>
      <w:r>
        <w:rPr>
          <w:rFonts w:hint="eastAsia" w:ascii="宋体" w:hAnsi="宋体" w:cs="宋体"/>
          <w:color w:val="000000" w:themeColor="text1"/>
          <w:sz w:val="24"/>
          <w14:textFill>
            <w14:solidFill>
              <w14:schemeClr w14:val="tx1"/>
            </w14:solidFill>
          </w14:textFill>
        </w:rPr>
        <w:t>中标人</w:t>
      </w:r>
      <w:r>
        <w:rPr>
          <w:rFonts w:hint="eastAsia" w:ascii="宋体" w:hAnsi="宋体"/>
          <w:bCs/>
          <w:color w:val="000000" w:themeColor="text1"/>
          <w:sz w:val="24"/>
          <w14:textFill>
            <w14:solidFill>
              <w14:schemeClr w14:val="tx1"/>
            </w14:solidFill>
          </w14:textFill>
        </w:rPr>
        <w:t>自行承担。</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中标人</w:t>
      </w:r>
      <w:r>
        <w:rPr>
          <w:rFonts w:hint="eastAsia" w:ascii="宋体" w:hAnsi="宋体"/>
          <w:bCs/>
          <w:color w:val="000000" w:themeColor="text1"/>
          <w:sz w:val="24"/>
          <w14:textFill>
            <w14:solidFill>
              <w14:schemeClr w14:val="tx1"/>
            </w14:solidFill>
          </w14:textFill>
        </w:rPr>
        <w:t>须自行搭建施工便道，中标价包含施工便道费用（投标人自行考虑报价）。</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7</w:t>
      </w:r>
      <w:r>
        <w:rPr>
          <w:rFonts w:hint="eastAsia" w:ascii="宋体" w:hAnsi="宋体"/>
          <w:bCs/>
          <w:color w:val="000000" w:themeColor="text1"/>
          <w:sz w:val="24"/>
          <w14:textFill>
            <w14:solidFill>
              <w14:schemeClr w14:val="tx1"/>
            </w14:solidFill>
          </w14:textFill>
        </w:rPr>
        <w:t>由办事员报现场监管中心人员和厂区相关部门过磅，营运时间及进场时间由</w:t>
      </w:r>
      <w:r>
        <w:rPr>
          <w:rFonts w:hint="eastAsia" w:ascii="宋体" w:hAnsi="宋体" w:cs="宋体"/>
          <w:color w:val="000000" w:themeColor="text1"/>
          <w:sz w:val="24"/>
          <w14:textFill>
            <w14:solidFill>
              <w14:schemeClr w14:val="tx1"/>
            </w14:solidFill>
          </w14:textFill>
        </w:rPr>
        <w:t>中标人</w:t>
      </w:r>
      <w:r>
        <w:rPr>
          <w:rFonts w:hint="eastAsia" w:ascii="宋体" w:hAnsi="宋体"/>
          <w:bCs/>
          <w:color w:val="000000" w:themeColor="text1"/>
          <w:sz w:val="24"/>
          <w14:textFill>
            <w14:solidFill>
              <w14:schemeClr w14:val="tx1"/>
            </w14:solidFill>
          </w14:textFill>
        </w:rPr>
        <w:t>自行与</w:t>
      </w:r>
      <w:r>
        <w:rPr>
          <w:rFonts w:hint="eastAsia" w:ascii="宋体" w:hAnsi="宋体" w:eastAsia="宋体" w:cs="Times New Roman"/>
          <w:bCs/>
          <w:color w:val="000000" w:themeColor="text1"/>
          <w:sz w:val="24"/>
          <w14:textFill>
            <w14:solidFill>
              <w14:schemeClr w14:val="tx1"/>
            </w14:solidFill>
          </w14:textFill>
        </w:rPr>
        <w:t>三门康恒垃圾焚烧发电厂</w:t>
      </w:r>
      <w:r>
        <w:rPr>
          <w:rFonts w:hint="eastAsia" w:ascii="宋体" w:hAnsi="宋体"/>
          <w:bCs/>
          <w:color w:val="000000" w:themeColor="text1"/>
          <w:sz w:val="24"/>
          <w14:textFill>
            <w14:solidFill>
              <w14:schemeClr w14:val="tx1"/>
            </w14:solidFill>
          </w14:textFill>
        </w:rPr>
        <w:t>对接。</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8</w:t>
      </w:r>
      <w:r>
        <w:rPr>
          <w:rFonts w:hint="eastAsia" w:ascii="宋体" w:hAnsi="宋体"/>
          <w:bCs/>
          <w:color w:val="000000" w:themeColor="text1"/>
          <w:sz w:val="24"/>
          <w14:textFill>
            <w14:solidFill>
              <w14:schemeClr w14:val="tx1"/>
            </w14:solidFill>
          </w14:textFill>
        </w:rPr>
        <w:t xml:space="preserve"> 负责</w:t>
      </w:r>
      <w:r>
        <w:rPr>
          <w:rFonts w:hint="eastAsia" w:ascii="宋体" w:hAnsi="宋体" w:eastAsia="宋体" w:cs="Times New Roman"/>
          <w:bCs/>
          <w:color w:val="000000" w:themeColor="text1"/>
          <w:sz w:val="24"/>
          <w14:textFill>
            <w14:solidFill>
              <w14:schemeClr w14:val="tx1"/>
            </w14:solidFill>
          </w14:textFill>
        </w:rPr>
        <w:t>现场环境保洁清理。施工现场及康恒厂区严禁烟火，出现任何后果由中标人自行承担。</w:t>
      </w:r>
    </w:p>
    <w:p>
      <w:pPr>
        <w:pStyle w:val="3"/>
        <w:ind w:left="480" w:hanging="480" w:hangingChars="200"/>
        <w:rPr>
          <w:rFonts w:hint="default" w:eastAsia="宋体"/>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 xml:space="preserve">   </w:t>
      </w:r>
      <w:r>
        <w:rPr>
          <w:rFonts w:hint="eastAsia" w:ascii="宋体" w:hAnsi="宋体" w:eastAsia="宋体" w:cs="Times New Roman"/>
          <w:bCs/>
          <w:color w:val="000000" w:themeColor="text1"/>
          <w:kern w:val="2"/>
          <w:sz w:val="24"/>
          <w:szCs w:val="20"/>
          <w:lang w:val="en-US" w:eastAsia="zh-CN" w:bidi="ar-SA"/>
          <w14:textFill>
            <w14:solidFill>
              <w14:schemeClr w14:val="tx1"/>
            </w14:solidFill>
          </w14:textFill>
        </w:rPr>
        <w:t xml:space="preserve"> 1.9开挖出的垃圾须经初步机械分拣才可装车运输，分拣出来岩石、砖块等无法燃烧物质的方数另按实际方量或重量另外计费支付，计量以业主现场审核签证为准，分拣费用投标人报价时自行考虑。</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1.10机械分选生活垃圾中参杂的石头等不符合</w:t>
      </w:r>
      <w:r>
        <w:rPr>
          <w:rFonts w:hint="eastAsia" w:ascii="宋体" w:hAnsi="宋体" w:eastAsia="宋体" w:cs="Times New Roman"/>
          <w:bCs/>
          <w:color w:val="000000" w:themeColor="text1"/>
          <w:sz w:val="24"/>
          <w14:textFill>
            <w14:solidFill>
              <w14:schemeClr w14:val="tx1"/>
            </w14:solidFill>
          </w14:textFill>
        </w:rPr>
        <w:t>三门康恒垃圾焚烧发电厂</w:t>
      </w:r>
      <w:r>
        <w:rPr>
          <w:rFonts w:hint="eastAsia" w:ascii="宋体" w:hAnsi="宋体" w:eastAsia="宋体" w:cs="Times New Roman"/>
          <w:bCs/>
          <w:color w:val="000000" w:themeColor="text1"/>
          <w:sz w:val="24"/>
          <w:lang w:val="en-US" w:eastAsia="zh-CN"/>
          <w14:textFill>
            <w14:solidFill>
              <w14:schemeClr w14:val="tx1"/>
            </w14:solidFill>
          </w14:textFill>
        </w:rPr>
        <w:t>焚烧要求的物质，并堆放在甲方指定地点，若发现有未分拣被三门康恒垃圾焚烧发电厂退回的，一切后果及费用由中标人自行承担。</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1.11严禁运输非本项目范围内的垃圾。如有发现，甲方有权按照相关规定进行处理；负有刑事责任的，依法移交司法机关处理；情节严重的，甲方有权终止合同并没收履约保证金。</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1.12本项目服务期须严格把控，如中标后无法按时完成清运任务的，业主有权对中标单位做出相应惩罚。</w:t>
      </w:r>
    </w:p>
    <w:p>
      <w:pPr>
        <w:spacing w:line="460" w:lineRule="exact"/>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2、台帐资料管理</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2.1、承包单位年度、季度、月度有报表、工作计划，年终有总结。</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2.2、承包单位与主管单位有工作联系单制度和工作落实情况记录。</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承包单位本着该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2.4、承包单位要建立巡查制度，完善巡查日报，建立月报制度。</w:t>
      </w:r>
    </w:p>
    <w:p>
      <w:pPr>
        <w:spacing w:line="460" w:lineRule="exact"/>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3、组织管理</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3.1、发包单位负责清洁工作的牵头管理、业务指导、监管考核评定、随机检查等。</w:t>
      </w:r>
      <w:r>
        <w:rPr>
          <w:rFonts w:hint="eastAsia" w:ascii="宋体" w:hAnsi="宋体" w:cs="宋体"/>
          <w:color w:val="000000" w:themeColor="text1"/>
          <w:sz w:val="24"/>
          <w14:textFill>
            <w14:solidFill>
              <w14:schemeClr w14:val="tx1"/>
            </w14:solidFill>
          </w14:textFill>
        </w:rPr>
        <w:t>若承包单位未按约定履行，有权视情节扣除部分承包款、设备及责任保证金或解除承包合同。</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3.2、承包单位应强化内部作业和管理制度，加强对内部人员的安全和责任教育，建立完善的作业和巡查登记制度，强化责任考核和整改制度，自觉接受政府、媒体和社会团体的监督。</w:t>
      </w:r>
      <w:r>
        <w:rPr>
          <w:rFonts w:hint="eastAsia" w:ascii="宋体" w:hAnsi="宋体" w:cs="宋体"/>
          <w:color w:val="000000" w:themeColor="text1"/>
          <w:sz w:val="24"/>
          <w14:textFill>
            <w14:solidFill>
              <w14:schemeClr w14:val="tx1"/>
            </w14:solidFill>
          </w14:textFill>
        </w:rPr>
        <w:t>如遇</w:t>
      </w:r>
      <w:r>
        <w:rPr>
          <w:rFonts w:hint="eastAsia" w:ascii="宋体" w:hAnsi="宋体" w:cs="宋体"/>
          <w:bCs/>
          <w:color w:val="000000" w:themeColor="text1"/>
          <w:sz w:val="24"/>
          <w14:textFill>
            <w14:solidFill>
              <w14:schemeClr w14:val="tx1"/>
            </w14:solidFill>
          </w14:textFill>
        </w:rPr>
        <w:t>重要宾客来访及</w:t>
      </w:r>
      <w:r>
        <w:rPr>
          <w:rFonts w:hint="eastAsia" w:ascii="宋体" w:hAnsi="宋体" w:cs="宋体"/>
          <w:color w:val="000000" w:themeColor="text1"/>
          <w:sz w:val="24"/>
          <w14:textFill>
            <w14:solidFill>
              <w14:schemeClr w14:val="tx1"/>
            </w14:solidFill>
          </w14:textFill>
        </w:rPr>
        <w:t>上级部门检查复评考核出现卫生保洁、垃圾清运等方面的问题由乙方承担责任。</w:t>
      </w:r>
    </w:p>
    <w:p>
      <w:pPr>
        <w:tabs>
          <w:tab w:val="left" w:pos="1050"/>
        </w:tabs>
        <w:spacing w:line="460" w:lineRule="exact"/>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4、其他：</w:t>
      </w:r>
    </w:p>
    <w:p>
      <w:pPr>
        <w:tabs>
          <w:tab w:val="left" w:pos="1050"/>
        </w:tabs>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4.1、承包方必须按照《三门县生活垃圾清运管理考核细则》和本招标文件进行作业。如在合同期内，行业主管部门颁发新的检查考核标准则以最新文件标准作业为准。</w:t>
      </w:r>
    </w:p>
    <w:p>
      <w:pPr>
        <w:pStyle w:val="15"/>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4.2、作业人员须参加各类保险。其中人身意外险必须在签订合同后一个月内办理完毕并提交招标人审核，否则招标人有权终止合同。</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4.3、作业人员的收入待遇应按《三门县人民政府办公厅关于进一步解决环卫工人实际困难保障其合法权益的意见》[2008]14号文件执行。足额发放人员工资、法定假日加班工资、夏季高温补贴。不得随意苛扣、拖延、漏发。</w:t>
      </w:r>
    </w:p>
    <w:p>
      <w:pPr>
        <w:tabs>
          <w:tab w:val="left" w:pos="1050"/>
        </w:tabs>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4.4作业时遵守交通管理法规，保证安全。确保车辆整洁，设施完好，密闭运输，如有破损及时修复。发生各种事故由承包方自行解决，所产生的费用全部由承包方自行承担。</w:t>
      </w:r>
    </w:p>
    <w:p>
      <w:pPr>
        <w:tabs>
          <w:tab w:val="left" w:pos="1050"/>
        </w:tabs>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4.5、规范管理，文明作业，自觉接受各级领导的检查和社会舆论的监督，对不在承包范围内的企业单位垃圾、生活垃圾、建筑垃圾和其他工作量可按相关政策另行收费。</w:t>
      </w:r>
    </w:p>
    <w:p>
      <w:pPr>
        <w:tabs>
          <w:tab w:val="left" w:pos="1050"/>
        </w:tabs>
        <w:spacing w:line="360" w:lineRule="auto"/>
        <w:ind w:firstLine="480" w:firstLineChars="200"/>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4.6承包方不得将本项目分包转包给其他任何单位或个人。</w:t>
      </w:r>
    </w:p>
    <w:bookmarkEnd w:id="26"/>
    <w:bookmarkEnd w:id="27"/>
    <w:bookmarkEnd w:id="28"/>
    <w:p>
      <w:pPr>
        <w:pStyle w:val="3"/>
        <w:rPr>
          <w:rFonts w:hint="eastAsia" w:ascii="宋体" w:hAnsi="宋体" w:cs="宋体"/>
          <w:b/>
          <w:color w:val="000000" w:themeColor="text1"/>
          <w:sz w:val="24"/>
          <w14:textFill>
            <w14:solidFill>
              <w14:schemeClr w14:val="tx1"/>
            </w14:solidFill>
          </w14:textFill>
        </w:rPr>
      </w:pPr>
    </w:p>
    <w:p>
      <w:pPr>
        <w:pStyle w:val="2"/>
        <w:ind w:firstLine="240"/>
        <w:rPr>
          <w:rFonts w:hint="eastAsia" w:ascii="宋体" w:hAnsi="宋体" w:cs="宋体"/>
          <w:color w:val="000000" w:themeColor="text1"/>
          <w:sz w:val="24"/>
          <w:szCs w:val="24"/>
          <w14:textFill>
            <w14:solidFill>
              <w14:schemeClr w14:val="tx1"/>
            </w14:solidFill>
          </w14:textFill>
        </w:rPr>
      </w:pPr>
    </w:p>
    <w:p>
      <w:pPr>
        <w:spacing w:line="36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第二节 商务需求</w:t>
      </w:r>
    </w:p>
    <w:p>
      <w:pPr>
        <w:spacing w:line="360" w:lineRule="exact"/>
        <w:jc w:val="center"/>
        <w:rPr>
          <w:rFonts w:hint="eastAsia" w:ascii="宋体" w:hAnsi="宋体" w:cs="宋体"/>
          <w:b/>
          <w:color w:val="000000" w:themeColor="text1"/>
          <w:sz w:val="24"/>
          <w14:textFill>
            <w14:solidFill>
              <w14:schemeClr w14:val="tx1"/>
            </w14:solidFill>
          </w14:textFill>
        </w:rPr>
      </w:pPr>
    </w:p>
    <w:p>
      <w:pPr>
        <w:spacing w:line="360" w:lineRule="auto"/>
        <w:ind w:firstLine="249" w:firstLineChars="10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1、服务期：</w:t>
      </w:r>
      <w:r>
        <w:rPr>
          <w:rFonts w:hint="eastAsia" w:ascii="宋体" w:hAnsi="宋体" w:cs="宋体"/>
          <w:color w:val="000000" w:themeColor="text1"/>
          <w:sz w:val="24"/>
          <w:lang w:val="en-US" w:eastAsia="zh-CN"/>
          <w14:textFill>
            <w14:solidFill>
              <w14:schemeClr w14:val="tx1"/>
            </w14:solidFill>
          </w14:textFill>
        </w:rPr>
        <w:t>6个月内</w:t>
      </w:r>
      <w:r>
        <w:rPr>
          <w:rFonts w:hint="eastAsia" w:ascii="宋体" w:hAnsi="宋体" w:cs="宋体"/>
          <w:color w:val="000000" w:themeColor="text1"/>
          <w:sz w:val="24"/>
          <w14:textFill>
            <w14:solidFill>
              <w14:schemeClr w14:val="tx1"/>
            </w14:solidFill>
          </w14:textFill>
        </w:rPr>
        <w:t>，自合同签订后开始计算</w:t>
      </w:r>
      <w:r>
        <w:rPr>
          <w:rFonts w:hint="eastAsia" w:ascii="宋体" w:hAnsi="宋体" w:cs="宋体"/>
          <w:color w:val="000000" w:themeColor="text1"/>
          <w:sz w:val="24"/>
          <w:lang w:eastAsia="zh-CN"/>
          <w14:textFill>
            <w14:solidFill>
              <w14:schemeClr w14:val="tx1"/>
            </w14:solidFill>
          </w14:textFill>
        </w:rPr>
        <w:t>，直至清运完毕为止</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left="284"/>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2、服务地点：三门县浦坝港镇胜利塘木杓山（木屿山）生活垃圾临时周转场</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left="28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3、运输地点：三门县浦坝港镇胜利塘木杓山（木屿山）生活垃圾临时周转场至三门康恒垃圾焚烧发电厂。</w:t>
      </w:r>
    </w:p>
    <w:p>
      <w:pPr>
        <w:pStyle w:val="3"/>
        <w:spacing w:line="360" w:lineRule="auto"/>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4、运程：约10km</w:t>
      </w:r>
    </w:p>
    <w:p>
      <w:pPr>
        <w:adjustRightInd w:val="0"/>
        <w:snapToGrid w:val="0"/>
        <w:spacing w:line="360" w:lineRule="auto"/>
        <w:ind w:left="28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5、付款方式：</w:t>
      </w:r>
    </w:p>
    <w:p>
      <w:pPr>
        <w:adjustRightInd w:val="0"/>
        <w:snapToGrid w:val="0"/>
        <w:spacing w:line="360" w:lineRule="auto"/>
        <w:ind w:left="283"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按月结算，于次月 15日前支付上月实际结算金额的 100%，最后一个月的费用在合同结束后15日内结清。（遇节假日顺延）。</w:t>
      </w:r>
    </w:p>
    <w:p>
      <w:pPr>
        <w:adjustRightInd w:val="0"/>
        <w:snapToGrid w:val="0"/>
        <w:spacing w:line="360" w:lineRule="auto"/>
        <w:ind w:left="283"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结算金额＝</w:t>
      </w:r>
      <w:r>
        <w:rPr>
          <w:rFonts w:hint="eastAsia" w:ascii="宋体" w:hAnsi="宋体" w:cs="宋体"/>
          <w:color w:val="000000" w:themeColor="text1"/>
          <w:sz w:val="24"/>
          <w:lang w:eastAsia="zh-CN"/>
          <w14:textFill>
            <w14:solidFill>
              <w14:schemeClr w14:val="tx1"/>
            </w14:solidFill>
          </w14:textFill>
        </w:rPr>
        <w:t>实际完成清运量</w:t>
      </w:r>
      <w:r>
        <w:rPr>
          <w:rFonts w:hint="eastAsia" w:ascii="宋体" w:hAnsi="宋体" w:cs="宋体"/>
          <w:color w:val="000000" w:themeColor="text1"/>
          <w:sz w:val="24"/>
          <w14:textFill>
            <w14:solidFill>
              <w14:schemeClr w14:val="tx1"/>
            </w14:solidFill>
          </w14:textFill>
        </w:rPr>
        <w:t>×中标综合单价；</w:t>
      </w:r>
    </w:p>
    <w:p>
      <w:pPr>
        <w:adjustRightInd w:val="0"/>
        <w:snapToGrid w:val="0"/>
        <w:spacing w:line="360" w:lineRule="auto"/>
        <w:ind w:left="283" w:firstLine="720" w:firstLineChars="3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结算金额（采购人指定地点）=综合单价的最高限价*【1-下浮率%（投标总报价中注明的下浮率%）】*</w:t>
      </w:r>
      <w:r>
        <w:rPr>
          <w:rFonts w:hint="eastAsia" w:ascii="宋体" w:hAnsi="宋体" w:cs="宋体"/>
          <w:color w:val="000000" w:themeColor="text1"/>
          <w:sz w:val="24"/>
          <w:lang w:eastAsia="zh-CN"/>
          <w14:textFill>
            <w14:solidFill>
              <w14:schemeClr w14:val="tx1"/>
            </w14:solidFill>
          </w14:textFill>
        </w:rPr>
        <w:t>实际完成清运量</w:t>
      </w:r>
      <w:r>
        <w:rPr>
          <w:rFonts w:hint="eastAsia" w:ascii="宋体" w:hAnsi="宋体" w:cs="宋体"/>
          <w:color w:val="000000" w:themeColor="text1"/>
          <w:sz w:val="24"/>
          <w:lang w:val="en-US" w:eastAsia="zh-CN"/>
          <w14:textFill>
            <w14:solidFill>
              <w14:schemeClr w14:val="tx1"/>
            </w14:solidFill>
          </w14:textFill>
        </w:rPr>
        <w:t>。</w:t>
      </w:r>
    </w:p>
    <w:p>
      <w:pPr>
        <w:adjustRightInd w:val="0"/>
        <w:snapToGrid w:val="0"/>
        <w:spacing w:line="360" w:lineRule="auto"/>
        <w:ind w:left="283"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5.3 </w:t>
      </w:r>
      <w:r>
        <w:rPr>
          <w:rFonts w:hint="eastAsia" w:ascii="宋体" w:hAnsi="宋体" w:eastAsia="宋体" w:cs="宋体"/>
          <w:color w:val="000000" w:themeColor="text1"/>
          <w:sz w:val="24"/>
          <w:lang w:val="en-US" w:eastAsia="zh-CN"/>
          <w14:textFill>
            <w14:solidFill>
              <w14:schemeClr w14:val="tx1"/>
            </w14:solidFill>
          </w14:textFill>
        </w:rPr>
        <w:t>分拣量以现场实测实量为准，</w:t>
      </w:r>
      <w:r>
        <w:rPr>
          <w:rFonts w:hint="eastAsia" w:ascii="宋体" w:hAnsi="宋体" w:cs="宋体"/>
          <w:color w:val="000000" w:themeColor="text1"/>
          <w:sz w:val="24"/>
          <w14:textFill>
            <w14:solidFill>
              <w14:schemeClr w14:val="tx1"/>
            </w14:solidFill>
          </w14:textFill>
        </w:rPr>
        <w:t>清</w:t>
      </w:r>
      <w:r>
        <w:rPr>
          <w:rFonts w:hint="eastAsia" w:ascii="宋体" w:hAnsi="宋体" w:cs="宋体"/>
          <w:color w:val="000000" w:themeColor="text1"/>
          <w:sz w:val="24"/>
          <w:lang w:eastAsia="zh-CN"/>
          <w14:textFill>
            <w14:solidFill>
              <w14:schemeClr w14:val="tx1"/>
            </w14:solidFill>
          </w14:textFill>
        </w:rPr>
        <w:t>运</w:t>
      </w:r>
      <w:r>
        <w:rPr>
          <w:rFonts w:hint="eastAsia" w:ascii="宋体" w:hAnsi="宋体" w:cs="宋体"/>
          <w:color w:val="000000" w:themeColor="text1"/>
          <w:sz w:val="24"/>
          <w14:textFill>
            <w14:solidFill>
              <w14:schemeClr w14:val="tx1"/>
            </w14:solidFill>
          </w14:textFill>
        </w:rPr>
        <w:t>量以三门康恒垃圾焚烧发电厂过磅为准</w:t>
      </w:r>
      <w:r>
        <w:rPr>
          <w:rFonts w:hint="eastAsia" w:ascii="宋体" w:hAnsi="宋体" w:cs="宋体"/>
          <w:color w:val="000000" w:themeColor="text1"/>
          <w:sz w:val="24"/>
          <w:lang w:eastAsia="zh-CN"/>
          <w14:textFill>
            <w14:solidFill>
              <w14:schemeClr w14:val="tx1"/>
            </w14:solidFill>
          </w14:textFill>
        </w:rPr>
        <w:t>；清运至采购人指定地点的以指定地点</w:t>
      </w:r>
      <w:r>
        <w:rPr>
          <w:rFonts w:hint="eastAsia" w:ascii="宋体" w:hAnsi="宋体" w:cs="宋体"/>
          <w:color w:val="000000" w:themeColor="text1"/>
          <w:sz w:val="24"/>
          <w14:textFill>
            <w14:solidFill>
              <w14:schemeClr w14:val="tx1"/>
            </w14:solidFill>
          </w14:textFill>
        </w:rPr>
        <w:t>过磅为准。</w:t>
      </w:r>
    </w:p>
    <w:p>
      <w:pPr>
        <w:adjustRightInd w:val="0"/>
        <w:snapToGrid w:val="0"/>
        <w:spacing w:line="360" w:lineRule="auto"/>
        <w:ind w:left="284"/>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6、安全责任：</w:t>
      </w:r>
      <w:r>
        <w:rPr>
          <w:rFonts w:hint="eastAsia" w:ascii="宋体" w:hAnsi="宋体" w:eastAsia="宋体" w:cs="宋体"/>
          <w:color w:val="000000" w:themeColor="text1"/>
          <w:sz w:val="24"/>
          <w14:textFill>
            <w14:solidFill>
              <w14:schemeClr w14:val="tx1"/>
            </w14:solidFill>
          </w14:textFill>
        </w:rPr>
        <w:t>作业人员外出作业期间发生的人身意外事故由其自行负责，与采购人无关。</w:t>
      </w:r>
    </w:p>
    <w:p>
      <w:pPr>
        <w:adjustRightInd w:val="0"/>
        <w:snapToGrid w:val="0"/>
        <w:spacing w:line="360" w:lineRule="auto"/>
        <w:ind w:left="284"/>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7、投标人报价时按投标单价*数量进行报价，须对分拣生活垃圾无法燃烧物质清运任务和生活垃圾清运任务分别进行报价，最后形成投标总价。</w:t>
      </w:r>
    </w:p>
    <w:p>
      <w:pPr>
        <w:adjustRightInd w:val="0"/>
        <w:snapToGrid w:val="0"/>
        <w:spacing w:line="360" w:lineRule="auto"/>
        <w:ind w:left="284"/>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8、若发现承包方有分包转包行为，采购人有权终止合同。</w:t>
      </w:r>
    </w:p>
    <w:p>
      <w:pPr>
        <w:pStyle w:val="6"/>
        <w:rPr>
          <w:rFonts w:hint="eastAsia"/>
          <w:color w:val="000000" w:themeColor="text1"/>
          <w:lang w:val="en-US" w:eastAsia="zh-CN"/>
          <w14:textFill>
            <w14:solidFill>
              <w14:schemeClr w14:val="tx1"/>
            </w14:solidFill>
          </w14:textFill>
        </w:rPr>
      </w:pPr>
    </w:p>
    <w:p>
      <w:pPr>
        <w:rPr>
          <w:color w:val="000000" w:themeColor="text1"/>
          <w14:textFill>
            <w14:solidFill>
              <w14:schemeClr w14:val="tx1"/>
            </w14:solidFill>
          </w14:textFill>
        </w:rPr>
      </w:pPr>
      <w:bookmarkStart w:id="29" w:name="_Toc23842"/>
      <w:bookmarkStart w:id="30" w:name="_Toc19681"/>
      <w:r>
        <w:rPr>
          <w:rFonts w:hint="eastAsia"/>
          <w:color w:val="000000" w:themeColor="text1"/>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评标办法及评分标准</w:t>
      </w:r>
      <w:bookmarkEnd w:id="29"/>
      <w:bookmarkEnd w:id="30"/>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一、评标原则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二、评标方法</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22"/>
        <w:spacing w:after="0" w:line="360" w:lineRule="auto"/>
        <w:ind w:left="0" w:leftChars="0"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三、评标委员会</w:t>
      </w:r>
    </w:p>
    <w:p>
      <w:pPr>
        <w:pStyle w:val="1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（一）本项目评标委员会由采购人代表和评审专家组成。</w:t>
      </w:r>
    </w:p>
    <w:p>
      <w:pPr>
        <w:pStyle w:val="1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（二）评标委员会成员与参与投标的供应商有下列情形之一的，应当回避：</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1.参加采购活动前3年内与供应商存在劳动关系；</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2.参加采购活动前3年内担任供应商的董事、监事；</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3.参加采购活动前3年内是供应商的控股股东或者实际控制人；</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4.与供应商的法定代表人或者负责人有夫妻、直系血亲、三代以内旁系血亲或者近姻亲关系；</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5.与供应商有其他可能影响政府采购活动公平、公正进行的关系；</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6.法律法规规定的其他情形。</w:t>
      </w:r>
    </w:p>
    <w:p>
      <w:pPr>
        <w:pStyle w:val="10"/>
        <w:spacing w:line="360" w:lineRule="auto"/>
        <w:ind w:firstLine="480" w:firstLineChars="200"/>
        <w:rPr>
          <w:rFonts w:asciiTheme="minorEastAsia" w:hAnsiTheme="minorEastAsia" w:eastAsiaTheme="minorEastAsia"/>
          <w:b w:val="0"/>
          <w:bCs w:val="0"/>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sz w:val="24"/>
          <w14:textFill>
            <w14:solidFill>
              <w14:schemeClr w14:val="tx1"/>
            </w14:solidFill>
          </w14:textFill>
        </w:rPr>
        <w:t>（三）评标委员会负责具体评标事务，并独立履行下列职责：</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1.审查、评价投标文件是否符合招标文件的商务、技术等实质性要求；</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2.要求投标人对投标文件有关事项作出澄清或者说明；</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3.对投标文件进行比较和评价；</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4.确定中标候选人名单，以及根据采购人委托直接确定中标人；</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5.向采购人、采购组织机构或者有关部门报告评标中发现的违法行为；</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四、无效标情形</w:t>
      </w:r>
    </w:p>
    <w:p>
      <w:pPr>
        <w:adjustRightInd w:val="0"/>
        <w:snapToGrid w:val="0"/>
        <w:spacing w:line="360" w:lineRule="auto"/>
        <w:ind w:firstLine="480"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（一）在资格证明文件或商务与技术文件中出现投标报价的，或者报价文件中报价的服务跟商务与技术文件中的投标服务出现重大偏差的；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（二）不具备招标文件中规定的资格要求的；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kern w:val="0"/>
          <w:sz w:val="24"/>
          <w:lang w:eastAsia="zh-CN"/>
          <w14:textFill>
            <w14:solidFill>
              <w14:schemeClr w14:val="tx1"/>
            </w14:solidFill>
          </w14:textFill>
        </w:rPr>
        <w:t>六</w:t>
      </w:r>
      <w:r>
        <w:rPr>
          <w:rFonts w:hint="eastAsia" w:asciiTheme="minorEastAsia" w:hAnsiTheme="minorEastAsia" w:eastAsiaTheme="minorEastAsia"/>
          <w:color w:val="000000" w:themeColor="text1"/>
          <w:kern w:val="0"/>
          <w:sz w:val="24"/>
          <w14:textFill>
            <w14:solidFill>
              <w14:schemeClr w14:val="tx1"/>
            </w14:solidFill>
          </w14:textFill>
        </w:rPr>
        <w:t xml:space="preserve">）投标文件存在虚假材料的；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kern w:val="0"/>
          <w:sz w:val="24"/>
          <w:lang w:eastAsia="zh-CN"/>
          <w14:textFill>
            <w14:solidFill>
              <w14:schemeClr w14:val="tx1"/>
            </w14:solidFill>
          </w14:textFill>
        </w:rPr>
        <w:t>七</w:t>
      </w:r>
      <w:r>
        <w:rPr>
          <w:rFonts w:hint="eastAsia" w:asciiTheme="minorEastAsia" w:hAnsiTheme="minorEastAsia" w:eastAsiaTheme="minorEastAsia"/>
          <w:color w:val="000000" w:themeColor="text1"/>
          <w:kern w:val="0"/>
          <w:sz w:val="24"/>
          <w14:textFill>
            <w14:solidFill>
              <w14:schemeClr w14:val="tx1"/>
            </w14:solidFill>
          </w14:textFill>
        </w:rPr>
        <w:t>）有</w:t>
      </w:r>
      <w:r>
        <w:rPr>
          <w:rFonts w:asciiTheme="minorEastAsia" w:hAnsiTheme="minorEastAsia" w:eastAsiaTheme="minorEastAsia"/>
          <w:color w:val="000000" w:themeColor="text1"/>
          <w:kern w:val="0"/>
          <w:sz w:val="24"/>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（十）</w:t>
      </w:r>
      <w:r>
        <w:rPr>
          <w:rFonts w:cs="宋体"/>
          <w:color w:val="000000" w:themeColor="text1"/>
          <w14:textFill>
            <w14:solidFill>
              <w14:schemeClr w14:val="tx1"/>
            </w14:solidFill>
          </w14:textFill>
        </w:rPr>
        <w:t>实质性要求（招标文件中打“▲”内容）不响应的；</w:t>
      </w:r>
    </w:p>
    <w:p>
      <w:pPr>
        <w:pStyle w:val="10"/>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（十一）商务条款不响应的；</w:t>
      </w:r>
    </w:p>
    <w:p>
      <w:pPr>
        <w:pStyle w:val="10"/>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（十二）投标文件有效期不足的；</w:t>
      </w:r>
    </w:p>
    <w:p>
      <w:pPr>
        <w:pStyle w:val="10"/>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（十三）逾期或未按要求提交投标文件的；</w:t>
      </w:r>
    </w:p>
    <w:p>
      <w:pPr>
        <w:pStyle w:val="10"/>
        <w:spacing w:line="360" w:lineRule="auto"/>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（十四）其他</w:t>
      </w:r>
      <w:r>
        <w:rPr>
          <w:rFonts w:ascii="宋体" w:hAnsi="宋体" w:cs="宋体"/>
          <w:color w:val="000000" w:themeColor="text1"/>
          <w:sz w:val="24"/>
          <w:szCs w:val="24"/>
          <w14:textFill>
            <w14:solidFill>
              <w14:schemeClr w14:val="tx1"/>
            </w14:solidFill>
          </w14:textFill>
        </w:rPr>
        <w:t>不符合法律法规相关规定的</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五、废标情形</w:t>
      </w:r>
    </w:p>
    <w:p>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（一）</w:t>
      </w:r>
      <w:r>
        <w:rPr>
          <w:rFonts w:cs="宋体"/>
          <w:color w:val="000000" w:themeColor="text1"/>
          <w14:textFill>
            <w14:solidFill>
              <w14:schemeClr w14:val="tx1"/>
            </w14:solidFill>
          </w14:textFill>
        </w:rPr>
        <w:t>出现影响采购公正的违法、违规行为的；</w:t>
      </w:r>
    </w:p>
    <w:p>
      <w:pPr>
        <w:pStyle w:val="20"/>
        <w:spacing w:before="0" w:beforeAutospacing="0" w:after="0" w:afterAutospacing="0" w:line="360" w:lineRule="auto"/>
        <w:ind w:firstLine="480" w:firstLineChars="200"/>
        <w:jc w:val="both"/>
        <w:rPr>
          <w:rFonts w:hint="default" w:cs="宋体"/>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（二）</w:t>
      </w:r>
      <w:r>
        <w:rPr>
          <w:rFonts w:cs="宋体"/>
          <w:color w:val="000000" w:themeColor="text1"/>
          <w14:textFill>
            <w14:solidFill>
              <w14:schemeClr w14:val="tx1"/>
            </w14:solidFill>
          </w14:textFill>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（三）</w:t>
      </w:r>
      <w:r>
        <w:rPr>
          <w:rFonts w:cs="宋体"/>
          <w:color w:val="000000" w:themeColor="text1"/>
          <w14:textFill>
            <w14:solidFill>
              <w14:schemeClr w14:val="tx1"/>
            </w14:solidFill>
          </w14:textFill>
        </w:rPr>
        <w:t>因重大变故，采购任务取消的；</w:t>
      </w:r>
    </w:p>
    <w:p>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（四）</w:t>
      </w:r>
      <w:r>
        <w:rPr>
          <w:rFonts w:cs="宋体"/>
          <w:color w:val="000000" w:themeColor="text1"/>
          <w14:textFill>
            <w14:solidFill>
              <w14:schemeClr w14:val="tx1"/>
            </w14:solidFill>
          </w14:textFill>
        </w:rPr>
        <w:t>法律、法规和招标文件规定的其他导致评标结果无效的。</w:t>
      </w:r>
    </w:p>
    <w:p>
      <w:pPr>
        <w:pStyle w:val="13"/>
        <w:snapToGrid w:val="0"/>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六、评标过程的监控</w:t>
      </w:r>
    </w:p>
    <w:p>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七、政府采购政策落实</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14:textFill>
            <w14:solidFill>
              <w14:schemeClr w14:val="tx1"/>
            </w14:solidFill>
          </w14:textFill>
        </w:rPr>
        <w:t>（一）</w:t>
      </w:r>
      <w:r>
        <w:rPr>
          <w:rFonts w:cs="宋体"/>
          <w:color w:val="000000" w:themeColor="text1"/>
          <w:lang w:val="zh-CN"/>
          <w14:textFill>
            <w14:solidFill>
              <w14:schemeClr w14:val="tx1"/>
            </w14:solidFill>
          </w14:textFill>
        </w:rPr>
        <w:t>政府采购政策：</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1.</w:t>
      </w:r>
      <w:r>
        <w:rPr>
          <w:rFonts w:cs="宋体"/>
          <w:color w:val="000000" w:themeColor="text1"/>
          <w:lang w:val="zh-CN"/>
          <w14:textFill>
            <w14:solidFill>
              <w14:schemeClr w14:val="tx1"/>
            </w14:solidFill>
          </w14:textFill>
        </w:rPr>
        <w:t>关于小型、微型企业（简称小微企业）投标：小微企业投标是指符合《中小企业划型标准规定》的供应商，通过投标提供本企业制造的货物、承担的工程或者服务，或者提供其他小微企业制造的货物。本项所指货物不包括使用大、中型企业注册商标的货物。小微企业投标应提供《</w:t>
      </w:r>
      <w:r>
        <w:rPr>
          <w:rFonts w:cs="宋体"/>
          <w:color w:val="000000" w:themeColor="text1"/>
          <w14:textFill>
            <w14:solidFill>
              <w14:schemeClr w14:val="tx1"/>
            </w14:solidFill>
          </w14:textFill>
        </w:rPr>
        <w:t>中</w:t>
      </w:r>
      <w:r>
        <w:rPr>
          <w:rFonts w:cs="宋体"/>
          <w:color w:val="000000" w:themeColor="text1"/>
          <w:lang w:val="zh-CN"/>
          <w14:textFill>
            <w14:solidFill>
              <w14:schemeClr w14:val="tx1"/>
            </w14:solidFill>
          </w14:textFill>
        </w:rPr>
        <w:t>小企业声明函》（</w:t>
      </w:r>
      <w:r>
        <w:rPr>
          <w:rFonts w:cs="宋体"/>
          <w:color w:val="000000" w:themeColor="text1"/>
          <w14:textFill>
            <w14:solidFill>
              <w14:schemeClr w14:val="tx1"/>
            </w14:solidFill>
          </w14:textFill>
        </w:rPr>
        <w:t>见附件</w:t>
      </w:r>
      <w:r>
        <w:rPr>
          <w:rFonts w:cs="宋体"/>
          <w:color w:val="000000" w:themeColor="text1"/>
          <w:lang w:val="zh-CN"/>
          <w14:textFill>
            <w14:solidFill>
              <w14:schemeClr w14:val="tx1"/>
            </w14:solidFill>
          </w14:textFill>
        </w:rPr>
        <w:t>），</w:t>
      </w:r>
      <w:r>
        <w:rPr>
          <w:rFonts w:cs="宋体"/>
          <w:color w:val="000000" w:themeColor="text1"/>
          <w14:textFill>
            <w14:solidFill>
              <w14:schemeClr w14:val="tx1"/>
            </w14:solidFill>
          </w14:textFill>
        </w:rPr>
        <w:t>供应商未提供以上资料或者经</w:t>
      </w:r>
      <w:r>
        <w:rPr>
          <w:rFonts w:cs="宋体"/>
          <w:color w:val="000000" w:themeColor="text1"/>
          <w:lang w:val="zh-CN"/>
          <w14:textFill>
            <w14:solidFill>
              <w14:schemeClr w14:val="tx1"/>
            </w14:solidFill>
          </w14:textFill>
        </w:rPr>
        <w:t>评标委员会核查不符的</w:t>
      </w:r>
      <w:r>
        <w:rPr>
          <w:rFonts w:cs="宋体"/>
          <w:color w:val="000000" w:themeColor="text1"/>
          <w14:textFill>
            <w14:solidFill>
              <w14:schemeClr w14:val="tx1"/>
            </w14:solidFill>
          </w14:textFill>
        </w:rPr>
        <w:t>，将不能享受相应的小微企业优惠政策；</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14:textFill>
            <w14:solidFill>
              <w14:schemeClr w14:val="tx1"/>
            </w14:solidFill>
          </w14:textFill>
        </w:rPr>
        <w:t>2.</w:t>
      </w:r>
      <w:r>
        <w:rPr>
          <w:rFonts w:cs="宋体"/>
          <w:color w:val="000000" w:themeColor="text1"/>
          <w:lang w:val="zh-CN"/>
          <w14:textFill>
            <w14:solidFill>
              <w14:schemeClr w14:val="tx1"/>
            </w14:solidFill>
          </w14:textFill>
        </w:rPr>
        <w:t>监狱企业参加政府采购活动时，应当提供由省级以上监狱管理局、戒毒管理局（含新疆生产建设兵团）出具的属于监狱企业的证明文件，视同小型、微型企业，享受小微企业政府采购优惠政策；</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14:textFill>
            <w14:solidFill>
              <w14:schemeClr w14:val="tx1"/>
            </w14:solidFill>
          </w14:textFill>
        </w:rPr>
        <w:t>3.</w:t>
      </w:r>
      <w:r>
        <w:rPr>
          <w:rFonts w:cs="宋体"/>
          <w:color w:val="000000" w:themeColor="text1"/>
          <w:lang w:val="zh-CN"/>
          <w14:textFill>
            <w14:solidFill>
              <w14:schemeClr w14:val="tx1"/>
            </w14:solidFill>
          </w14:textFill>
        </w:rPr>
        <w:t>残疾人福利性单位在参加政府采购活动时，应提供《残疾人福利性单位声明函》（见附件），视同小型、微型企业，享受小微企业政府采购优惠政策。</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14:textFill>
            <w14:solidFill>
              <w14:schemeClr w14:val="tx1"/>
            </w14:solidFill>
          </w14:textFill>
        </w:rPr>
        <w:t>（二）政府采购政策优惠措施：</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lang w:val="zh-CN"/>
          <w14:textFill>
            <w14:solidFill>
              <w14:schemeClr w14:val="tx1"/>
            </w14:solidFill>
          </w14:textFill>
        </w:rPr>
        <w:t>经主管预算单位统筹后未预留份额专门面向中小企业采购的采购项目，以及预留份额项目中的非预留部分采购包，采购单位、采购代理机构应当对符合规定的小微企业报价按最高优惠幅度（货物和服务项目为20%、工程项目为5%) 给予扣除，用扣除后的价格参加评审。对于联合协议或者分包意向协议约定小微企业的合同份额占到合同总金额 30%以上的，采购单位、采购代理机构应当对联合体或者大中型企业的报价按最高优惠幅度（货物和服务项目为3%、工程项目为2%) 给予扣除，用扣除后的价格参加评审。同一供应商（包括联合体），小微企业、监狱企业、残疾人福利性单位价格扣除优惠只享受一次，不得重复享受。</w:t>
      </w:r>
    </w:p>
    <w:p>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八、</w:t>
      </w:r>
      <w:r>
        <w:rPr>
          <w:rFonts w:asciiTheme="minorEastAsia" w:hAnsiTheme="minorEastAsia" w:eastAsiaTheme="minorEastAsia"/>
          <w:b/>
          <w:bCs/>
          <w:color w:val="000000" w:themeColor="text1"/>
          <w:sz w:val="24"/>
          <w14:textFill>
            <w14:solidFill>
              <w14:schemeClr w14:val="tx1"/>
            </w14:solidFill>
          </w14:textFill>
        </w:rPr>
        <w:t>评标程序</w:t>
      </w:r>
    </w:p>
    <w:p>
      <w:pPr>
        <w:snapToGrid w:val="0"/>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（一）资格</w:t>
      </w:r>
      <w:r>
        <w:rPr>
          <w:rFonts w:asciiTheme="minorEastAsia" w:hAnsiTheme="minorEastAsia" w:eastAsiaTheme="minorEastAsia"/>
          <w:b/>
          <w:bCs/>
          <w:color w:val="000000" w:themeColor="text1"/>
          <w:sz w:val="24"/>
          <w14:textFill>
            <w14:solidFill>
              <w14:schemeClr w14:val="tx1"/>
            </w14:solidFill>
          </w14:textFill>
        </w:rPr>
        <w:t>审查</w:t>
      </w:r>
    </w:p>
    <w:p>
      <w:pPr>
        <w:pStyle w:val="11"/>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投标文件解密后</w:t>
      </w:r>
      <w:r>
        <w:rPr>
          <w:rFonts w:asciiTheme="minorEastAsia" w:hAnsiTheme="minorEastAsia" w:eastAsiaTheme="minorEastAsia"/>
          <w:color w:val="000000" w:themeColor="text1"/>
          <w:sz w:val="24"/>
          <w14:textFill>
            <w14:solidFill>
              <w14:schemeClr w14:val="tx1"/>
            </w14:solidFill>
          </w14:textFill>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无效投标的投标人名单、投标无效的原因。</w:t>
      </w:r>
    </w:p>
    <w:p>
      <w:pPr>
        <w:pStyle w:val="11"/>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p>
    <w:p>
      <w:pPr>
        <w:pStyle w:val="11"/>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p>
    <w:p>
      <w:pPr>
        <w:pStyle w:val="11"/>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p>
    <w:tbl>
      <w:tblPr>
        <w:tblStyle w:val="2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rFonts w:hint="default" w:eastAsia="宋体"/>
                <w:color w:val="000000" w:themeColor="text1"/>
                <w:spacing w:val="0"/>
                <w:w w:val="100"/>
                <w:szCs w:val="21"/>
                <w:lang w:val="en-US" w:eastAsia="zh-CN"/>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投标声明书</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hint="default" w:eastAsia="宋体"/>
                <w:color w:val="000000" w:themeColor="text1"/>
                <w:spacing w:val="0"/>
                <w:w w:val="100"/>
                <w:szCs w:val="21"/>
                <w:lang w:val="en-US" w:eastAsia="zh-CN"/>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rFonts w:hint="default" w:eastAsia="宋体"/>
                <w:color w:val="000000" w:themeColor="text1"/>
                <w:spacing w:val="0"/>
                <w:w w:val="100"/>
                <w:szCs w:val="21"/>
                <w:lang w:val="en-US" w:eastAsia="zh-CN"/>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授权委托书</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具有独立承担民事责任的能力</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提供投标截止日</w:t>
            </w:r>
            <w:r>
              <w:rPr>
                <w:rFonts w:hint="eastAsia"/>
                <w:b/>
                <w:bCs/>
                <w:color w:val="000000" w:themeColor="text1"/>
                <w:spacing w:val="0"/>
                <w:w w:val="100"/>
                <w:szCs w:val="21"/>
                <w14:textFill>
                  <w14:solidFill>
                    <w14:schemeClr w14:val="tx1"/>
                  </w14:solidFill>
                </w14:textFill>
              </w:rPr>
              <w:t>前6个月内任意1个月</w:t>
            </w:r>
            <w:r>
              <w:rPr>
                <w:rFonts w:hint="eastAsia"/>
                <w:color w:val="000000" w:themeColor="text1"/>
                <w:spacing w:val="0"/>
                <w:w w:val="100"/>
                <w:szCs w:val="21"/>
                <w14:textFill>
                  <w14:solidFill>
                    <w14:schemeClr w14:val="tx1"/>
                  </w14:solidFill>
                </w14:textFill>
              </w:rPr>
              <w:t>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具有良好的商业信誉和健全的财务会计制度</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17"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lang w:eastAsia="zh-CN"/>
                <w14:textFill>
                  <w14:solidFill>
                    <w14:schemeClr w14:val="tx1"/>
                  </w14:solidFill>
                </w14:textFill>
              </w:rPr>
              <w:t>提供度财务状况报告</w:t>
            </w:r>
            <w:r>
              <w:rPr>
                <w:rFonts w:hint="eastAsia"/>
                <w:color w:val="000000" w:themeColor="text1"/>
                <w:spacing w:val="0"/>
                <w:w w:val="100"/>
                <w:szCs w:val="21"/>
                <w14:textFill>
                  <w14:solidFill>
                    <w14:schemeClr w14:val="tx1"/>
                  </w14:solidFill>
                </w14:textFill>
              </w:rPr>
              <w:t>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参加采购活动前3年内，在经营活动中没有重大违法记录</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信用记录</w:t>
            </w:r>
          </w:p>
        </w:tc>
        <w:tc>
          <w:tcPr>
            <w:tcW w:w="7092"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color w:val="000000" w:themeColor="text1"/>
                <w:spacing w:val="0"/>
                <w:w w:val="100"/>
                <w:szCs w:val="21"/>
                <w14:textFill>
                  <w14:solidFill>
                    <w14:schemeClr w14:val="tx1"/>
                  </w14:solidFill>
                </w14:textFill>
              </w:rPr>
            </w:pPr>
            <w:r>
              <w:rPr>
                <w:rFonts w:hint="eastAsia"/>
                <w:color w:val="000000" w:themeColor="text1"/>
                <w:spacing w:val="0"/>
                <w:w w:val="100"/>
                <w14:textFill>
                  <w14:solidFill>
                    <w14:schemeClr w14:val="tx1"/>
                  </w14:solidFill>
                </w14:textFill>
              </w:rPr>
              <w:t>1.</w:t>
            </w:r>
            <w:r>
              <w:rPr>
                <w:color w:val="000000" w:themeColor="text1"/>
                <w:spacing w:val="0"/>
                <w:w w:val="100"/>
                <w14:textFill>
                  <w14:solidFill>
                    <w14:schemeClr w14:val="tx1"/>
                  </w14:solidFill>
                </w14:textFill>
              </w:rPr>
              <w:t>截止时点：</w:t>
            </w:r>
            <w:r>
              <w:rPr>
                <w:rFonts w:hint="eastAsia"/>
                <w:color w:val="000000" w:themeColor="text1"/>
                <w:spacing w:val="0"/>
                <w:w w:val="100"/>
                <w14:textFill>
                  <w14:solidFill>
                    <w14:schemeClr w14:val="tx1"/>
                  </w14:solidFill>
                </w14:textFill>
              </w:rPr>
              <w:t>开标后评标前</w:t>
            </w:r>
            <w:r>
              <w:rPr>
                <w:color w:val="000000" w:themeColor="text1"/>
                <w:spacing w:val="0"/>
                <w:w w:val="10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hint="eastAsia" w:eastAsia="宋体"/>
                <w:color w:val="000000" w:themeColor="text1"/>
                <w:spacing w:val="0"/>
                <w:w w:val="100"/>
                <w:lang w:eastAsia="zh-CN"/>
                <w14:textFill>
                  <w14:solidFill>
                    <w14:schemeClr w14:val="tx1"/>
                  </w14:solidFill>
                </w14:textFill>
              </w:rPr>
            </w:pPr>
            <w:r>
              <w:rPr>
                <w:rFonts w:hint="eastAsia"/>
                <w:color w:val="000000" w:themeColor="text1"/>
                <w:spacing w:val="0"/>
                <w:w w:val="100"/>
                <w14:textFill>
                  <w14:solidFill>
                    <w14:schemeClr w14:val="tx1"/>
                  </w14:solidFill>
                </w14:textFill>
              </w:rPr>
              <w:t>2.</w:t>
            </w:r>
            <w:r>
              <w:rPr>
                <w:color w:val="000000" w:themeColor="text1"/>
                <w:spacing w:val="0"/>
                <w:w w:val="100"/>
                <w14:textFill>
                  <w14:solidFill>
                    <w14:schemeClr w14:val="tx1"/>
                  </w14:solidFill>
                </w14:textFill>
              </w:rPr>
              <w:t>信用信息查询记录和证据留存的具体方式：由采购组织机构在规定查询时间内打印信用信息查询记录并归入项目档案。</w:t>
            </w:r>
          </w:p>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color w:val="000000" w:themeColor="text1"/>
                <w:spacing w:val="0"/>
                <w:w w:val="100"/>
                <w:szCs w:val="21"/>
                <w14:textFill>
                  <w14:solidFill>
                    <w14:schemeClr w14:val="tx1"/>
                  </w14:solidFill>
                </w14:textFill>
              </w:rPr>
            </w:pPr>
            <w:r>
              <w:rPr>
                <w:rFonts w:hint="eastAsia"/>
                <w:color w:val="000000" w:themeColor="text1"/>
                <w:spacing w:val="0"/>
                <w:w w:val="100"/>
                <w14:textFill>
                  <w14:solidFill>
                    <w14:schemeClr w14:val="tx1"/>
                  </w14:solidFill>
                </w14:textFill>
              </w:rPr>
              <w:t>3.</w:t>
            </w:r>
            <w:r>
              <w:rPr>
                <w:color w:val="000000" w:themeColor="text1"/>
                <w:spacing w:val="0"/>
                <w:w w:val="100"/>
                <w14:textFill>
                  <w14:solidFill>
                    <w14:schemeClr w14:val="tx1"/>
                  </w14:solidFill>
                </w14:textFill>
              </w:rPr>
              <w:t>使用规则</w:t>
            </w:r>
            <w:r>
              <w:rPr>
                <w:rFonts w:hint="eastAsia"/>
                <w:color w:val="000000" w:themeColor="text1"/>
                <w:spacing w:val="0"/>
                <w:w w:val="100"/>
                <w14:textFill>
                  <w14:solidFill>
                    <w14:schemeClr w14:val="tx1"/>
                  </w14:solidFill>
                </w14:textFill>
              </w:rPr>
              <w:t>：投标人</w:t>
            </w:r>
            <w:r>
              <w:rPr>
                <w:color w:val="000000" w:themeColor="text1"/>
                <w:spacing w:val="0"/>
                <w:w w:val="100"/>
                <w14:textFill>
                  <w14:solidFill>
                    <w14:schemeClr w14:val="tx1"/>
                  </w14:solidFill>
                </w14:textFill>
              </w:rPr>
              <w:t>未被列入“信用中国”失信被执行人或重大税收违法案件当事人名单；</w:t>
            </w:r>
            <w:r>
              <w:rPr>
                <w:rFonts w:hint="eastAsia"/>
                <w:color w:val="000000" w:themeColor="text1"/>
                <w:spacing w:val="0"/>
                <w:w w:val="100"/>
                <w14:textFill>
                  <w14:solidFill>
                    <w14:schemeClr w14:val="tx1"/>
                  </w14:solidFill>
                </w14:textFill>
              </w:rPr>
              <w:t>未</w:t>
            </w:r>
            <w:r>
              <w:rPr>
                <w:color w:val="000000" w:themeColor="text1"/>
                <w:spacing w:val="0"/>
                <w:w w:val="10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spacing w:val="0"/>
                <w:w w:val="10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1.单位负责人为同一人或者存在直接控股、管理关系的不同供应商，不得同时参加本项目投标。</w:t>
            </w:r>
          </w:p>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2.为本项目提供整体设计、规范编制或者项目管理、监理、检测等服务的供应商，不得再参与本项目投标。</w:t>
            </w:r>
          </w:p>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资质</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rFonts w:hint="eastAsia" w:eastAsia="宋体"/>
                <w:color w:val="000000" w:themeColor="text1"/>
                <w:spacing w:val="0"/>
                <w:w w:val="100"/>
                <w:szCs w:val="21"/>
                <w:lang w:eastAsia="zh-CN"/>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根据采购文件要求提供相关资质证书扫描件；若采购文件无资质要求可不提供。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913" w:type="dxa"/>
            <w:tcMar>
              <w:top w:w="57" w:type="dxa"/>
              <w:left w:w="108" w:type="dxa"/>
              <w:bottom w:w="0" w:type="dxa"/>
              <w:right w:w="108" w:type="dxa"/>
            </w:tcMar>
            <w:vAlign w:val="center"/>
          </w:tcPr>
          <w:p>
            <w:pPr>
              <w:pStyle w:val="63"/>
              <w:spacing w:line="300" w:lineRule="auto"/>
              <w:ind w:right="3" w:rightChars="0" w:hanging="10" w:firstLineChars="0"/>
              <w:jc w:val="center"/>
              <w:rPr>
                <w:rFonts w:hint="eastAsia"/>
                <w:color w:val="000000" w:themeColor="text1"/>
                <w:spacing w:val="0"/>
                <w:w w:val="100"/>
                <w:szCs w:val="21"/>
                <w14:textFill>
                  <w14:solidFill>
                    <w14:schemeClr w14:val="tx1"/>
                  </w14:solidFill>
                </w14:textFill>
              </w:rPr>
            </w:pPr>
            <w:r>
              <w:rPr>
                <w:rFonts w:hint="eastAsia"/>
                <w:color w:val="000000" w:themeColor="text1"/>
                <w:szCs w:val="21"/>
                <w14:textFill>
                  <w14:solidFill>
                    <w14:schemeClr w14:val="tx1"/>
                  </w14:solidFill>
                </w14:textFill>
              </w:rPr>
              <w:t>落实政府采购政策需满足的资格要求</w:t>
            </w:r>
          </w:p>
        </w:tc>
        <w:tc>
          <w:tcPr>
            <w:tcW w:w="7092" w:type="dxa"/>
            <w:tcMar>
              <w:top w:w="57" w:type="dxa"/>
              <w:left w:w="108" w:type="dxa"/>
              <w:bottom w:w="0" w:type="dxa"/>
              <w:right w:w="108" w:type="dxa"/>
            </w:tcMar>
            <w:vAlign w:val="center"/>
          </w:tcPr>
          <w:p>
            <w:pPr>
              <w:pStyle w:val="11"/>
              <w:spacing w:line="300" w:lineRule="auto"/>
              <w:ind w:right="-17" w:rightChars="-8"/>
              <w:jc w:val="both"/>
              <w:rPr>
                <w:rFonts w:hint="eastAsia" w:eastAsia="宋体"/>
                <w:color w:val="000000" w:themeColor="text1"/>
                <w:spacing w:val="0"/>
                <w:w w:val="100"/>
                <w:szCs w:val="21"/>
                <w:lang w:val="en-US" w:eastAsia="zh-CN"/>
                <w14:textFill>
                  <w14:solidFill>
                    <w14:schemeClr w14:val="tx1"/>
                  </w14:solidFill>
                </w14:textFill>
              </w:rPr>
            </w:pPr>
            <w:r>
              <w:rPr>
                <w:rFonts w:hint="eastAsia"/>
                <w:color w:val="000000" w:themeColor="text1"/>
                <w14:textFill>
                  <w14:solidFill>
                    <w14:schemeClr w14:val="tx1"/>
                  </w14:solidFill>
                </w14:textFill>
              </w:rPr>
              <w:t>根据实际情形设置</w:t>
            </w:r>
          </w:p>
        </w:tc>
      </w:tr>
    </w:tbl>
    <w:p>
      <w:pPr>
        <w:pStyle w:val="11"/>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w:t>
      </w:r>
      <w:r>
        <w:rPr>
          <w:rFonts w:asciiTheme="minorEastAsia" w:hAnsiTheme="minorEastAsia" w:eastAsiaTheme="minorEastAsia"/>
          <w:b/>
          <w:bCs/>
          <w:color w:val="000000" w:themeColor="text1"/>
          <w:sz w:val="24"/>
          <w14:textFill>
            <w14:solidFill>
              <w14:schemeClr w14:val="tx1"/>
            </w14:solidFill>
          </w14:textFill>
        </w:rPr>
        <w:t>符合性审查</w:t>
      </w:r>
    </w:p>
    <w:p>
      <w:pPr>
        <w:pStyle w:val="11"/>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在政采云平台公布无效投标的投标人名单、投标无效的原因</w:t>
      </w:r>
      <w:r>
        <w:rPr>
          <w:rFonts w:hint="eastAsia" w:asciiTheme="minorEastAsia" w:hAnsiTheme="minorEastAsia" w:eastAsiaTheme="minorEastAsia"/>
          <w:color w:val="000000" w:themeColor="text1"/>
          <w:sz w:val="24"/>
          <w14:textFill>
            <w14:solidFill>
              <w14:schemeClr w14:val="tx1"/>
            </w14:solidFill>
          </w14:textFill>
        </w:rPr>
        <w:t>。</w:t>
      </w:r>
    </w:p>
    <w:tbl>
      <w:tblPr>
        <w:tblStyle w:val="2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投标文件</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法定代表人/负责人授权委托书</w:t>
            </w:r>
          </w:p>
        </w:tc>
        <w:tc>
          <w:tcPr>
            <w:tcW w:w="7183" w:type="dxa"/>
            <w:shd w:val="clear" w:color="auto" w:fill="F6F6F6"/>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附加条件</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投标文件未含有采购人不可接受的附加条件。</w:t>
            </w:r>
          </w:p>
        </w:tc>
      </w:tr>
    </w:tbl>
    <w:p>
      <w:pPr>
        <w:pStyle w:val="20"/>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（三）</w:t>
      </w:r>
      <w:r>
        <w:rPr>
          <w:rFonts w:ascii="Arial" w:hAnsi="Arial" w:cs="Arial" w:eastAsiaTheme="minorEastAsia"/>
          <w:b/>
          <w:bCs/>
          <w:color w:val="000000" w:themeColor="text1"/>
          <w14:textFill>
            <w14:solidFill>
              <w14:schemeClr w14:val="tx1"/>
            </w14:solidFill>
          </w14:textFill>
        </w:rPr>
        <w:t>商务技术及价格评审</w:t>
      </w:r>
    </w:p>
    <w:p>
      <w:pPr>
        <w:autoSpaceDE w:val="0"/>
        <w:autoSpaceDN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三门县浦坝港镇胜利塘木杓山（木屿山）生活垃圾临时周转场余量垃圾清运项目（二次招标）</w:t>
      </w:r>
      <w:r>
        <w:rPr>
          <w:rFonts w:hint="eastAsia" w:asciiTheme="minorEastAsia" w:hAnsiTheme="minorEastAsia" w:eastAsiaTheme="minorEastAsia"/>
          <w:color w:val="000000" w:themeColor="text1"/>
          <w:kern w:val="0"/>
          <w:sz w:val="24"/>
          <w14:textFill>
            <w14:solidFill>
              <w14:schemeClr w14:val="tx1"/>
            </w14:solidFill>
          </w14:textFill>
        </w:rPr>
        <w:t>评标方法为综合评分法，总计100分，评标按以下标准及要求进行：</w:t>
      </w:r>
    </w:p>
    <w:p>
      <w:pPr>
        <w:numPr>
          <w:ilvl w:val="0"/>
          <w:numId w:val="6"/>
        </w:numPr>
        <w:autoSpaceDE w:val="0"/>
        <w:autoSpaceDN w:val="0"/>
        <w:adjustRightInd w:val="0"/>
        <w:spacing w:line="360" w:lineRule="auto"/>
        <w:ind w:right="85" w:firstLine="482" w:firstLineChars="200"/>
        <w:rPr>
          <w:color w:val="000000" w:themeColor="text1"/>
          <w14:textFill>
            <w14:solidFill>
              <w14:schemeClr w14:val="tx1"/>
            </w14:solidFill>
          </w14:textFill>
        </w:rPr>
      </w:pPr>
      <w:r>
        <w:rPr>
          <w:rFonts w:hint="eastAsia" w:ascii="宋体"/>
          <w:b/>
          <w:bCs/>
          <w:color w:val="000000" w:themeColor="text1"/>
          <w:sz w:val="24"/>
          <w14:textFill>
            <w14:solidFill>
              <w14:schemeClr w14:val="tx1"/>
            </w14:solidFill>
          </w14:textFill>
        </w:rPr>
        <w:t>评分标准</w:t>
      </w:r>
    </w:p>
    <w:tbl>
      <w:tblPr>
        <w:tblStyle w:val="23"/>
        <w:tblpPr w:leftFromText="181" w:rightFromText="181" w:bottomFromText="170" w:vertAnchor="text" w:tblpXSpec="center" w:tblpY="1"/>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44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965" w:type="dxa"/>
            <w:shd w:val="clear" w:color="auto" w:fill="BEBEB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评分项目</w:t>
            </w:r>
          </w:p>
        </w:tc>
        <w:tc>
          <w:tcPr>
            <w:tcW w:w="6446" w:type="dxa"/>
            <w:shd w:val="clear" w:color="auto" w:fill="BEBEB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评分细则</w:t>
            </w:r>
          </w:p>
        </w:tc>
        <w:tc>
          <w:tcPr>
            <w:tcW w:w="740" w:type="dxa"/>
            <w:shd w:val="clear" w:color="auto" w:fill="BEBEB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65" w:type="dxa"/>
            <w:vMerge w:val="restart"/>
            <w:noWrap w:val="0"/>
            <w:tcMar>
              <w:top w:w="57" w:type="dxa"/>
              <w:left w:w="108" w:type="dxa"/>
              <w:bottom w:w="57" w:type="dxa"/>
              <w:right w:w="108" w:type="dxa"/>
            </w:tcMar>
            <w:vAlign w:val="center"/>
          </w:tcPr>
          <w:p>
            <w:pPr>
              <w:pStyle w:val="10"/>
              <w:keepNext w:val="0"/>
              <w:keepLines w:val="0"/>
              <w:pageBreakBefore w:val="0"/>
              <w:kinsoku/>
              <w:wordWrap/>
              <w:overflowPunct/>
              <w:topLinePunct w:val="0"/>
              <w:bidi w:val="0"/>
              <w:adjustRightInd/>
              <w:snapToGrid/>
              <w:spacing w:line="300" w:lineRule="auto"/>
              <w:ind w:firstLine="0"/>
              <w:jc w:val="center"/>
              <w:textAlignment w:val="auto"/>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技术性能</w:t>
            </w:r>
          </w:p>
          <w:p>
            <w:pPr>
              <w:keepNext w:val="0"/>
              <w:keepLines w:val="0"/>
              <w:pageBreakBefore w:val="0"/>
              <w:kinsoku/>
              <w:wordWrap/>
              <w:overflowPunct/>
              <w:topLinePunct w:val="0"/>
              <w:bidi w:val="0"/>
              <w:adjustRightInd/>
              <w:snapToGrid/>
              <w:spacing w:line="300" w:lineRule="auto"/>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65</w:t>
            </w:r>
            <w:r>
              <w:rPr>
                <w:rFonts w:hint="eastAsia" w:ascii="宋体" w:hAnsi="宋体" w:cs="宋体"/>
                <w:b/>
                <w:bCs/>
                <w:color w:val="000000" w:themeColor="text1"/>
                <w:sz w:val="21"/>
                <w:szCs w:val="21"/>
                <w14:textFill>
                  <w14:solidFill>
                    <w14:schemeClr w14:val="tx1"/>
                  </w14:solidFill>
                </w14:textFill>
              </w:rPr>
              <w:t>分</w:t>
            </w:r>
          </w:p>
        </w:tc>
        <w:tc>
          <w:tcPr>
            <w:tcW w:w="6446"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人员配备：</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拟派项目负责人：</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获得过省级及以上环卫部门颁发环卫工作荣誉的得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分；获得过省级以下（不含省级）环卫部门颁发环卫工作荣誉的得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分；本项按最高级别奖项得分计取，不得累加计分</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最高得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2、具有应急管理局颁发的安全生产负责人资格证书的得1分。</w:t>
            </w:r>
          </w:p>
          <w:p>
            <w:pPr>
              <w:keepNext w:val="0"/>
              <w:keepLines w:val="0"/>
              <w:pageBreakBefore w:val="0"/>
              <w:kinsoku/>
              <w:wordWrap/>
              <w:overflowPunct/>
              <w:topLinePunct w:val="0"/>
              <w:bidi w:val="0"/>
              <w:adjustRightInd/>
              <w:snapToGrid/>
              <w:spacing w:line="300" w:lineRule="auto"/>
              <w:jc w:val="left"/>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3、具有害生物防治员证书的得1分。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（注：投标文件中须提供以下证明材料复印件（加盖投标人公章）：①相关荣誉证明；②投标人为其缴纳的近6个月社保证明；不提供或提供不全不得分。）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拟派项目</w:t>
            </w:r>
            <w:r>
              <w:rPr>
                <w:rFonts w:hint="eastAsia" w:ascii="宋体" w:hAnsi="宋体" w:cs="宋体"/>
                <w:b/>
                <w:bCs/>
                <w:color w:val="000000" w:themeColor="text1"/>
                <w:sz w:val="21"/>
                <w:szCs w:val="21"/>
                <w:lang w:val="en-US" w:eastAsia="zh-CN"/>
                <w14:textFill>
                  <w14:solidFill>
                    <w14:schemeClr w14:val="tx1"/>
                  </w14:solidFill>
                </w14:textFill>
              </w:rPr>
              <w:t>其他</w:t>
            </w:r>
            <w:r>
              <w:rPr>
                <w:rFonts w:hint="eastAsia" w:ascii="宋体" w:hAnsi="宋体" w:eastAsia="宋体" w:cs="宋体"/>
                <w:b/>
                <w:bCs/>
                <w:color w:val="000000" w:themeColor="text1"/>
                <w:sz w:val="21"/>
                <w:szCs w:val="21"/>
                <w:lang w:val="en-US" w:eastAsia="zh-CN"/>
                <w14:textFill>
                  <w14:solidFill>
                    <w14:schemeClr w14:val="tx1"/>
                  </w14:solidFill>
                </w14:textFill>
              </w:rPr>
              <w:t>管理人员</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numPr>
                <w:ilvl w:val="0"/>
                <w:numId w:val="7"/>
              </w:numPr>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管理人员具有垃圾分类处理等方面的岗位证书的得1分</w:t>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numPr>
                <w:ilvl w:val="0"/>
                <w:numId w:val="7"/>
              </w:numPr>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管理人员具备文明城市、国家卫生镇和小城镇创建等管理经验得1分</w:t>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numPr>
                <w:ilvl w:val="0"/>
                <w:numId w:val="7"/>
              </w:numPr>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管理人员具有应急管理局颁发的安全生产管理人员资格证书的得1分。</w:t>
            </w:r>
          </w:p>
          <w:p>
            <w:pPr>
              <w:keepNext w:val="0"/>
              <w:keepLines w:val="0"/>
              <w:pageBreakBefore w:val="0"/>
              <w:numPr>
                <w:ilvl w:val="0"/>
                <w:numId w:val="7"/>
              </w:numPr>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管理人员具有环卫、保洁、安全生产管理类等相关专业资格证书得1分。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（注：投标文件中须提供以下证明材料复印件（加盖投标人公章）：</w:t>
            </w:r>
            <w:r>
              <w:rPr>
                <w:rFonts w:hint="eastAsia" w:ascii="宋体" w:hAnsi="宋体" w:eastAsia="宋体" w:cs="宋体"/>
                <w:color w:val="000000" w:themeColor="text1"/>
                <w:sz w:val="21"/>
                <w:szCs w:val="21"/>
                <w:lang w:val="en-US" w:eastAsia="zh-CN"/>
                <w14:textFill>
                  <w14:solidFill>
                    <w14:schemeClr w14:val="tx1"/>
                  </w14:solidFill>
                </w14:textFill>
              </w:rPr>
              <w:t>①</w:t>
            </w:r>
            <w:r>
              <w:rPr>
                <w:rFonts w:hint="eastAsia" w:ascii="宋体" w:hAnsi="宋体" w:cs="宋体"/>
                <w:color w:val="000000" w:themeColor="text1"/>
                <w:sz w:val="21"/>
                <w:szCs w:val="21"/>
                <w:lang w:val="en-US" w:eastAsia="zh-CN"/>
                <w14:textFill>
                  <w14:solidFill>
                    <w14:schemeClr w14:val="tx1"/>
                  </w14:solidFill>
                </w14:textFill>
              </w:rPr>
              <w:t>相关证书等证明材料复印件</w:t>
            </w:r>
            <w:r>
              <w:rPr>
                <w:rFonts w:hint="eastAsia" w:ascii="宋体" w:hAnsi="宋体" w:eastAsia="宋体" w:cs="宋体"/>
                <w:color w:val="000000" w:themeColor="text1"/>
                <w:sz w:val="21"/>
                <w:szCs w:val="21"/>
                <w:lang w:val="en-US" w:eastAsia="zh-CN"/>
                <w14:textFill>
                  <w14:solidFill>
                    <w14:schemeClr w14:val="tx1"/>
                  </w14:solidFill>
                </w14:textFill>
              </w:rPr>
              <w:t>②</w:t>
            </w:r>
            <w:r>
              <w:rPr>
                <w:rFonts w:hint="eastAsia" w:ascii="宋体" w:hAnsi="宋体" w:cs="宋体"/>
                <w:color w:val="000000" w:themeColor="text1"/>
                <w:sz w:val="21"/>
                <w:szCs w:val="21"/>
                <w:lang w:val="en-US" w:eastAsia="zh-CN"/>
                <w14:textFill>
                  <w14:solidFill>
                    <w14:schemeClr w14:val="tx1"/>
                  </w14:solidFill>
                </w14:textFill>
              </w:rPr>
              <w:t>投标人为其缴纳的近6个月社保证明；不提供或提供不全不得分。）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center"/>
          </w:tcPr>
          <w:p>
            <w:pPr>
              <w:spacing w:line="360" w:lineRule="auto"/>
              <w:ind w:right="-61" w:rightChars="0"/>
              <w:jc w:val="left"/>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车辆配备：</w:t>
            </w:r>
          </w:p>
          <w:p>
            <w:pPr>
              <w:pStyle w:val="3"/>
              <w:numPr>
                <w:ilvl w:val="0"/>
                <w:numId w:val="8"/>
              </w:num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投标人提供15 吨及以上重型密闭式垃圾压缩车，自有的每辆得 1 分，租赁的每辆得 0.5 分，最高得</w:t>
            </w:r>
            <w:r>
              <w:rPr>
                <w:rFonts w:hint="eastAsia" w:ascii="宋体" w:hAnsi="宋体" w:cs="宋体"/>
                <w:color w:val="000000" w:themeColor="text1"/>
                <w:kern w:val="2"/>
                <w:sz w:val="21"/>
                <w:szCs w:val="21"/>
                <w:lang w:val="en-US" w:eastAsia="zh-CN" w:bidi="ar-SA"/>
                <w14:textFill>
                  <w14:solidFill>
                    <w14:schemeClr w14:val="tx1"/>
                  </w14:solidFill>
                </w14:textFill>
              </w:rPr>
              <w:t>17</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w:t>
            </w:r>
          </w:p>
          <w:p>
            <w:pPr>
              <w:pStyle w:val="3"/>
              <w:numPr>
                <w:ilvl w:val="0"/>
                <w:numId w:val="0"/>
              </w:num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3、投标人提供200型挖掘机，自有的每台得 1 分，租赁的每台得 0.5 分，最高得 2 分。</w:t>
            </w:r>
          </w:p>
          <w:p>
            <w:pPr>
              <w:pStyle w:val="3"/>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注：自有车辆投标文件中需提供车辆行驶证、购置发票复印件并加盖</w:t>
            </w:r>
            <w:r>
              <w:rPr>
                <w:rFonts w:hint="eastAsia" w:ascii="宋体" w:hAnsi="宋体" w:cs="宋体"/>
                <w:color w:val="000000" w:themeColor="text1"/>
                <w:kern w:val="2"/>
                <w:sz w:val="21"/>
                <w:szCs w:val="21"/>
                <w:lang w:val="en-US" w:eastAsia="zh-CN" w:bidi="ar-SA"/>
                <w14:textFill>
                  <w14:solidFill>
                    <w14:schemeClr w14:val="tx1"/>
                  </w14:solidFill>
                </w14:textFill>
              </w:rPr>
              <w:t>投标人公章</w:t>
            </w:r>
            <w:r>
              <w:rPr>
                <w:rFonts w:hint="eastAsia" w:ascii="宋体" w:hAnsi="宋体" w:eastAsia="宋体" w:cs="宋体"/>
                <w:color w:val="000000" w:themeColor="text1"/>
                <w:kern w:val="2"/>
                <w:sz w:val="21"/>
                <w:szCs w:val="21"/>
                <w:lang w:val="en-US" w:eastAsia="zh-CN" w:bidi="ar-SA"/>
                <w14:textFill>
                  <w14:solidFill>
                    <w14:schemeClr w14:val="tx1"/>
                  </w14:solidFill>
                </w14:textFill>
              </w:rPr>
              <w:t>，否则不得分；租赁车辆投标文件中需提供车辆租赁合同、车辆行驶证、租赁发票复印件并加盖</w:t>
            </w:r>
            <w:r>
              <w:rPr>
                <w:rFonts w:hint="eastAsia" w:ascii="宋体" w:hAnsi="宋体" w:cs="宋体"/>
                <w:color w:val="000000" w:themeColor="text1"/>
                <w:kern w:val="2"/>
                <w:sz w:val="21"/>
                <w:szCs w:val="21"/>
                <w:lang w:val="en-US" w:eastAsia="zh-CN" w:bidi="ar-SA"/>
                <w14:textFill>
                  <w14:solidFill>
                    <w14:schemeClr w14:val="tx1"/>
                  </w14:solidFill>
                </w14:textFill>
              </w:rPr>
              <w:t>投标人公章</w:t>
            </w:r>
            <w:r>
              <w:rPr>
                <w:rFonts w:hint="eastAsia" w:ascii="宋体" w:hAnsi="宋体" w:eastAsia="宋体" w:cs="宋体"/>
                <w:color w:val="000000" w:themeColor="text1"/>
                <w:kern w:val="2"/>
                <w:sz w:val="21"/>
                <w:szCs w:val="21"/>
                <w:lang w:val="en-US" w:eastAsia="zh-CN" w:bidi="ar-SA"/>
                <w14:textFill>
                  <w14:solidFill>
                    <w14:schemeClr w14:val="tx1"/>
                  </w14:solidFill>
                </w14:textFill>
              </w:rPr>
              <w:t>，否则不得分。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7186" w:type="dxa"/>
            <w:gridSpan w:val="2"/>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center"/>
          </w:tcPr>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根据投标人对项目范围内清运的现状、存在的问题和垃圾清运的难点、要点以及针对此所提出的建议可行性，相应的解决措施可操作性等是否科学合理进行综合评分。</w:t>
            </w:r>
          </w:p>
          <w:p>
            <w:pPr>
              <w:pStyle w:val="3"/>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优：10-7.5分；良：7.4-5.0分；中：4.9-2.5分；差：2.4-0分。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top"/>
          </w:tcPr>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根据投标人对本项目的人员管理及人员培训提出的方案内容和针对性等方面进行综合评分。</w:t>
            </w:r>
          </w:p>
          <w:p>
            <w:pPr>
              <w:pStyle w:val="3"/>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优：10-7.5分；良：7.4-5.0分；中：4.9-2.5分；差：2.4-0分。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top"/>
          </w:tcPr>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根据投标人提供的针对安全事故、防汛抗台、雨雪冰冻等突发事件的</w:t>
            </w:r>
          </w:p>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应急及配合提出的方案内容和针对性等方面进行综合评分。</w:t>
            </w:r>
          </w:p>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优：8-6分；良：5.9-4分；中：3.9-2分；差：1.9-0分。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top"/>
          </w:tcPr>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根据投标人提出的针对本项目的服务承诺进行综合评分。</w:t>
            </w:r>
          </w:p>
          <w:p>
            <w:pPr>
              <w:spacing w:line="360" w:lineRule="auto"/>
              <w:ind w:right="-61" w:rightChars="0"/>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优：10-7.5分；良：7.4-5.0分；中：4.9-2.5分；差：2.4-0分。</w:t>
            </w:r>
          </w:p>
        </w:tc>
        <w:tc>
          <w:tcPr>
            <w:tcW w:w="740" w:type="dxa"/>
            <w:noWrap w:val="0"/>
            <w:tcMar>
              <w:top w:w="57" w:type="dxa"/>
              <w:left w:w="108" w:type="dxa"/>
              <w:bottom w:w="57" w:type="dxa"/>
              <w:right w:w="108" w:type="dxa"/>
            </w:tcMar>
            <w:vAlign w:val="center"/>
          </w:tcPr>
          <w:p>
            <w:pPr>
              <w:autoSpaceDE w:val="0"/>
              <w:autoSpaceDN w:val="0"/>
              <w:adjustRightInd w:val="0"/>
              <w:spacing w:line="440" w:lineRule="exact"/>
              <w:ind w:right="-61" w:rightChars="-29"/>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965" w:type="dxa"/>
            <w:vMerge w:val="restart"/>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ascii="宋体" w:hAnsi="宋体" w:cs="Arial"/>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商务资信</w:t>
            </w:r>
            <w:r>
              <w:rPr>
                <w:rFonts w:hint="eastAsia" w:ascii="宋体" w:hAnsi="宋体" w:cs="Arial"/>
                <w:b/>
                <w:bCs/>
                <w:color w:val="000000" w:themeColor="text1"/>
                <w:sz w:val="21"/>
                <w:szCs w:val="21"/>
                <w:lang w:val="en-US" w:eastAsia="zh-CN"/>
                <w14:textFill>
                  <w14:solidFill>
                    <w14:schemeClr w14:val="tx1"/>
                  </w14:solidFill>
                </w14:textFill>
              </w:rPr>
              <w:t>5</w:t>
            </w:r>
            <w:r>
              <w:rPr>
                <w:rFonts w:hint="eastAsia" w:ascii="宋体" w:hAnsi="宋体" w:cs="Arial"/>
                <w:b/>
                <w:bCs/>
                <w:color w:val="000000" w:themeColor="text1"/>
                <w:sz w:val="21"/>
                <w:szCs w:val="21"/>
                <w14:textFill>
                  <w14:solidFill>
                    <w14:schemeClr w14:val="tx1"/>
                  </w14:solidFill>
                </w14:textFill>
              </w:rPr>
              <w:t>分</w:t>
            </w:r>
          </w:p>
        </w:tc>
        <w:tc>
          <w:tcPr>
            <w:tcW w:w="6446"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企业荣誉：</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lang w:val="en-US" w:eastAsia="zh-CN"/>
                <w14:textFill>
                  <w14:solidFill>
                    <w14:schemeClr w14:val="tx1"/>
                  </w14:solidFill>
                </w14:textFill>
              </w:rPr>
              <w:t>具有城市生活垃圾经营性清扫、收集、运输服务许可证的得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注：投标文件中须附证书复印件并加盖</w:t>
            </w:r>
            <w:r>
              <w:rPr>
                <w:rFonts w:hint="eastAsia" w:ascii="宋体" w:hAnsi="宋体" w:cs="宋体"/>
                <w:color w:val="000000" w:themeColor="text1"/>
                <w:sz w:val="21"/>
                <w:szCs w:val="21"/>
                <w:lang w:val="en-US" w:eastAsia="zh-CN"/>
                <w14:textFill>
                  <w14:solidFill>
                    <w14:schemeClr w14:val="tx1"/>
                  </w14:solidFill>
                </w14:textFill>
              </w:rPr>
              <w:t>投标人</w:t>
            </w:r>
            <w:r>
              <w:rPr>
                <w:rFonts w:hint="eastAsia" w:ascii="宋体" w:hAnsi="宋体" w:cs="宋体"/>
                <w:color w:val="000000" w:themeColor="text1"/>
                <w:sz w:val="21"/>
                <w:szCs w:val="21"/>
                <w:lang w:eastAsia="zh-CN"/>
                <w14:textFill>
                  <w14:solidFill>
                    <w14:schemeClr w14:val="tx1"/>
                  </w14:solidFill>
                </w14:textFill>
              </w:rPr>
              <w:t>公章</w:t>
            </w:r>
            <w:r>
              <w:rPr>
                <w:rFonts w:hint="eastAsia" w:ascii="宋体" w:hAnsi="宋体" w:cs="宋体"/>
                <w:color w:val="000000" w:themeColor="text1"/>
                <w:sz w:val="21"/>
                <w:szCs w:val="21"/>
                <w14:textFill>
                  <w14:solidFill>
                    <w14:schemeClr w14:val="tx1"/>
                  </w14:solidFill>
                </w14:textFill>
              </w:rPr>
              <w:t>，否则不得分。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Arial"/>
                <w:b/>
                <w:bCs/>
                <w:color w:val="000000" w:themeColor="text1"/>
                <w:sz w:val="21"/>
                <w:szCs w:val="21"/>
                <w14:textFill>
                  <w14:solidFill>
                    <w14:schemeClr w14:val="tx1"/>
                  </w14:solidFill>
                </w14:textFill>
              </w:rPr>
            </w:pPr>
          </w:p>
        </w:tc>
        <w:tc>
          <w:tcPr>
            <w:tcW w:w="6446"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企业</w:t>
            </w:r>
            <w:r>
              <w:rPr>
                <w:rFonts w:hint="eastAsia"/>
                <w:color w:val="000000" w:themeColor="text1"/>
                <w:lang w:eastAsia="zh-CN"/>
                <w14:textFill>
                  <w14:solidFill>
                    <w14:schemeClr w14:val="tx1"/>
                  </w14:solidFill>
                </w14:textFill>
              </w:rPr>
              <w:t>业绩：</w:t>
            </w:r>
          </w:p>
          <w:p>
            <w:pPr>
              <w:keepNext w:val="0"/>
              <w:keepLines w:val="0"/>
              <w:pageBreakBefore w:val="0"/>
              <w:kinsoku/>
              <w:wordWrap/>
              <w:overflowPunct/>
              <w:topLinePunct w:val="0"/>
              <w:bidi w:val="0"/>
              <w:adjustRightInd/>
              <w:snapToGrid/>
              <w:spacing w:line="300" w:lineRule="auto"/>
              <w:jc w:val="lef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投标人具有 2019 年 1 月 1 日以来（以合同签订日期为准）垃圾清运相关业绩的，每提供一项合同得</w:t>
            </w:r>
            <w:r>
              <w:rPr>
                <w:rFonts w:hint="eastAsia"/>
                <w:color w:val="000000" w:themeColor="text1"/>
                <w:lang w:val="en-US" w:eastAsia="zh-CN"/>
                <w14:textFill>
                  <w14:solidFill>
                    <w14:schemeClr w14:val="tx1"/>
                  </w14:solidFill>
                </w14:textFill>
              </w:rPr>
              <w:t>0.5</w:t>
            </w:r>
            <w:r>
              <w:rPr>
                <w:rFonts w:hint="eastAsia"/>
                <w:color w:val="000000" w:themeColor="text1"/>
                <w:lang w:eastAsia="zh-CN"/>
                <w14:textFill>
                  <w14:solidFill>
                    <w14:schemeClr w14:val="tx1"/>
                  </w14:solidFill>
                </w14:textFill>
              </w:rPr>
              <w:t>分，最高得</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分。</w:t>
            </w:r>
          </w:p>
          <w:p>
            <w:pPr>
              <w:keepNext w:val="0"/>
              <w:keepLines w:val="0"/>
              <w:pageBreakBefore w:val="0"/>
              <w:kinsoku/>
              <w:wordWrap/>
              <w:overflowPunct/>
              <w:topLinePunct w:val="0"/>
              <w:bidi w:val="0"/>
              <w:adjustRightInd/>
              <w:snapToGrid/>
              <w:spacing w:line="300" w:lineRule="auto"/>
              <w:jc w:val="lef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注：1.投标文件中须附合同复印件并加盖</w:t>
            </w:r>
            <w:r>
              <w:rPr>
                <w:rFonts w:hint="eastAsia"/>
                <w:color w:val="000000" w:themeColor="text1"/>
                <w:lang w:val="en-US" w:eastAsia="zh-CN"/>
                <w14:textFill>
                  <w14:solidFill>
                    <w14:schemeClr w14:val="tx1"/>
                  </w14:solidFill>
                </w14:textFill>
              </w:rPr>
              <w:t>投标人</w:t>
            </w:r>
            <w:r>
              <w:rPr>
                <w:rFonts w:hint="eastAsia"/>
                <w:color w:val="000000" w:themeColor="text1"/>
                <w:lang w:eastAsia="zh-CN"/>
                <w14:textFill>
                  <w14:solidFill>
                    <w14:schemeClr w14:val="tx1"/>
                  </w14:solidFill>
                </w14:textFill>
              </w:rPr>
              <w:t>公章，否则不得分。2.合同甲方为同一业主且合同为同一个项目名称又分多个年份签订 的只能算一项业绩。</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65"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bidi w:val="0"/>
              <w:adjustRightInd/>
              <w:snapToGrid/>
              <w:spacing w:line="300" w:lineRule="auto"/>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价格</w:t>
            </w:r>
            <w:r>
              <w:rPr>
                <w:rFonts w:hint="eastAsia" w:ascii="宋体" w:hAnsi="宋体" w:cs="宋体"/>
                <w:b/>
                <w:color w:val="000000" w:themeColor="text1"/>
                <w:sz w:val="21"/>
                <w:szCs w:val="21"/>
                <w:lang w:val="en-US" w:eastAsia="zh-CN"/>
                <w14:textFill>
                  <w14:solidFill>
                    <w14:schemeClr w14:val="tx1"/>
                  </w14:solidFill>
                </w14:textFill>
              </w:rPr>
              <w:t>30</w:t>
            </w:r>
            <w:r>
              <w:rPr>
                <w:rFonts w:hint="eastAsia" w:ascii="宋体" w:hAnsi="宋体" w:cs="宋体"/>
                <w:b/>
                <w:color w:val="000000" w:themeColor="text1"/>
                <w:sz w:val="21"/>
                <w:szCs w:val="21"/>
                <w14:textFill>
                  <w14:solidFill>
                    <w14:schemeClr w14:val="tx1"/>
                  </w14:solidFill>
                </w14:textFill>
              </w:rPr>
              <w:t>分</w:t>
            </w:r>
          </w:p>
        </w:tc>
        <w:tc>
          <w:tcPr>
            <w:tcW w:w="6446"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满足招标文件要求且投标报价最低的投标报价为评标基准价，其价格分为满分。</w:t>
            </w:r>
          </w:p>
          <w:p>
            <w:pPr>
              <w:keepNext w:val="0"/>
              <w:keepLines w:val="0"/>
              <w:pageBreakBefore w:val="0"/>
              <w:kinsoku/>
              <w:wordWrap/>
              <w:overflowPunct/>
              <w:topLinePunct w:val="0"/>
              <w:bidi w:val="0"/>
              <w:adjustRightInd/>
              <w:snapToGrid/>
              <w:spacing w:line="300" w:lineRule="auto"/>
              <w:jc w:val="left"/>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其他磋商响应供应商的价格分统一按照下列公式计算：投标报价得分=（评标基准价/投标报价）*30。</w:t>
            </w:r>
          </w:p>
        </w:tc>
        <w:tc>
          <w:tcPr>
            <w:tcW w:w="740" w:type="dxa"/>
            <w:noWrap w:val="0"/>
            <w:tcMar>
              <w:top w:w="57" w:type="dxa"/>
              <w:left w:w="108" w:type="dxa"/>
              <w:bottom w:w="57" w:type="dxa"/>
              <w:right w:w="108" w:type="dxa"/>
            </w:tcMar>
            <w:vAlign w:val="center"/>
          </w:tcPr>
          <w:p>
            <w:pPr>
              <w:snapToGrid w:val="0"/>
              <w:spacing w:line="40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30分</w:t>
            </w:r>
          </w:p>
        </w:tc>
      </w:tr>
    </w:tbl>
    <w:p>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2.评审要求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(1)评标委员会应当按照招标文件中规定的评标方法和标准，对符合性审查合格的投标文件的商务部分和技术部分进行综合比较与评价，其中</w:t>
      </w:r>
      <w:r>
        <w:rPr>
          <w:rFonts w:hint="eastAsia" w:ascii="宋体"/>
          <w:bCs/>
          <w:color w:val="000000" w:themeColor="text1"/>
          <w:sz w:val="24"/>
          <w:lang w:val="zh-CN"/>
          <w14:textFill>
            <w14:solidFill>
              <w14:schemeClr w14:val="tx1"/>
            </w14:solidFill>
          </w14:textFill>
        </w:rPr>
        <w:t>客观</w:t>
      </w:r>
      <w:r>
        <w:rPr>
          <w:rFonts w:hint="eastAsia" w:ascii="宋体"/>
          <w:bCs/>
          <w:color w:val="000000" w:themeColor="text1"/>
          <w:sz w:val="24"/>
          <w14:textFill>
            <w14:solidFill>
              <w14:schemeClr w14:val="tx1"/>
            </w14:solidFill>
          </w14:textFill>
        </w:rPr>
        <w:t>评分项的分值</w:t>
      </w:r>
      <w:r>
        <w:rPr>
          <w:rFonts w:hint="eastAsia" w:ascii="宋体"/>
          <w:bCs/>
          <w:color w:val="000000" w:themeColor="text1"/>
          <w:sz w:val="24"/>
          <w:lang w:val="zh-CN"/>
          <w14:textFill>
            <w14:solidFill>
              <w14:schemeClr w14:val="tx1"/>
            </w14:solidFill>
          </w14:textFill>
        </w:rPr>
        <w:t>应当一致。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(2)对于投标文件报价出现前后不一致的，除招标文件另有规定外，按照下列规定修正：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②投标文件中开标一览表（报价表）内容与投标文件中相应内容不一致的，以开标一览表（报价表）为准；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③大写金额和小写金额不一致的，以大写金额为准；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④单价金额小数点或者百分比有明显错位的，以开标一览表的总价为准，并修改单价；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5 \* GB3 \* MERGEFORMAT </w:instrText>
      </w:r>
      <w:r>
        <w:rPr>
          <w:rFonts w:hint="eastAsia" w:ascii="宋体" w:hAnsi="宋体" w:cs="宋体"/>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⑤</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总价金额与按单价汇总金额不一致的，以单价金额计算结果为准。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同时出现两种以上不一致的，按照前款规定的顺序修正。修正应当采用询标的形式，并加盖公章。</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（四）结果汇总及排序</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评标结果按评审后综合得分由高到低顺序排列。</w:t>
      </w:r>
      <w:r>
        <w:rPr>
          <w:rFonts w:hint="eastAsia" w:ascii="宋体" w:hAnsi="宋体" w:cs="宋体"/>
          <w:color w:val="000000" w:themeColor="text1"/>
          <w:sz w:val="24"/>
          <w:lang w:val="zh-CN"/>
          <w14:textFill>
            <w14:solidFill>
              <w14:schemeClr w14:val="tx1"/>
            </w14:solidFill>
          </w14:textFill>
        </w:rPr>
        <w:t>得分相同</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w:t>
      </w:r>
      <w:r>
        <w:rPr>
          <w:rFonts w:hint="eastAsia" w:ascii="宋体" w:hAnsi="宋体" w:cs="宋体"/>
          <w:color w:val="000000" w:themeColor="text1"/>
          <w:sz w:val="24"/>
          <w:lang w:val="zh-CN"/>
          <w14:textFill>
            <w14:solidFill>
              <w14:schemeClr w14:val="tx1"/>
            </w14:solidFill>
          </w14:textFill>
        </w:rPr>
        <w:t>投标报价</w:t>
      </w:r>
      <w:r>
        <w:rPr>
          <w:rFonts w:hint="eastAsia" w:ascii="宋体" w:hAnsi="宋体" w:cs="宋体"/>
          <w:color w:val="000000" w:themeColor="text1"/>
          <w:sz w:val="24"/>
          <w14:textFill>
            <w14:solidFill>
              <w14:schemeClr w14:val="tx1"/>
            </w14:solidFill>
          </w14:textFill>
        </w:rPr>
        <w:t>由</w:t>
      </w:r>
      <w:r>
        <w:rPr>
          <w:rFonts w:hint="eastAsia" w:ascii="宋体" w:hAnsi="宋体" w:cs="宋体"/>
          <w:color w:val="000000" w:themeColor="text1"/>
          <w:sz w:val="24"/>
          <w:lang w:val="zh-CN"/>
          <w14:textFill>
            <w14:solidFill>
              <w14:schemeClr w14:val="tx1"/>
            </w14:solidFill>
          </w14:textFill>
        </w:rPr>
        <w:t>低</w:t>
      </w:r>
      <w:r>
        <w:rPr>
          <w:rFonts w:hint="eastAsia" w:ascii="宋体" w:hAnsi="宋体" w:cs="宋体"/>
          <w:color w:val="000000" w:themeColor="text1"/>
          <w:sz w:val="24"/>
          <w14:textFill>
            <w14:solidFill>
              <w14:schemeClr w14:val="tx1"/>
            </w14:solidFill>
          </w14:textFill>
        </w:rPr>
        <w:t>到高顺序排列。</w:t>
      </w:r>
      <w:r>
        <w:rPr>
          <w:rFonts w:hint="eastAsia" w:ascii="宋体" w:hAnsi="宋体" w:cs="宋体"/>
          <w:color w:val="000000" w:themeColor="text1"/>
          <w:sz w:val="24"/>
          <w:lang w:val="zh-CN"/>
          <w14:textFill>
            <w14:solidFill>
              <w14:schemeClr w14:val="tx1"/>
            </w14:solidFill>
          </w14:textFill>
        </w:rPr>
        <w:t>得分且投标报价相同的</w:t>
      </w:r>
      <w:r>
        <w:rPr>
          <w:rFonts w:hint="eastAsia" w:ascii="宋体" w:hAnsi="宋体" w:cs="宋体"/>
          <w:color w:val="000000" w:themeColor="text1"/>
          <w:sz w:val="24"/>
          <w14:textFill>
            <w14:solidFill>
              <w14:schemeClr w14:val="tx1"/>
            </w14:solidFill>
          </w14:textFill>
        </w:rPr>
        <w:t>并列</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（五）评标报告撰写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评标委员会根据全体评标成员签字的原始评标记录和评标结果编写评标报告。</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bookmarkStart w:id="31" w:name="_Toc16090"/>
      <w:bookmarkStart w:id="32" w:name="_Toc30454"/>
      <w:r>
        <w:rPr>
          <w:rFonts w:hint="eastAsia"/>
          <w:color w:val="000000" w:themeColor="text1"/>
          <w14:textFill>
            <w14:solidFill>
              <w14:schemeClr w14:val="tx1"/>
            </w14:solidFill>
          </w14:textFill>
        </w:rPr>
        <w:t>政府采购合同主要条款指引</w:t>
      </w:r>
      <w:bookmarkEnd w:id="31"/>
      <w:bookmarkEnd w:id="32"/>
    </w:p>
    <w:p>
      <w:pPr>
        <w:snapToGrid w:val="0"/>
        <w:spacing w:beforeLines="50" w:afterLines="50"/>
        <w:jc w:val="center"/>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服务类</w:t>
      </w: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生活垃圾清运合同</w:t>
      </w: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 w:val="48"/>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签订时间：</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签订地点：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合同编号:</w:t>
      </w:r>
    </w:p>
    <w:p>
      <w:pPr>
        <w:spacing w:line="360" w:lineRule="auto"/>
        <w:rPr>
          <w:rFonts w:ascii="宋体" w:hAnsi="宋体"/>
          <w:b/>
          <w:i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甲方（托运方）： </w:t>
      </w:r>
    </w:p>
    <w:p>
      <w:pPr>
        <w:spacing w:line="360" w:lineRule="auto"/>
        <w:rPr>
          <w:rFonts w:ascii="宋体" w:hAnsi="宋体"/>
          <w:i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乙方（承运方）： </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甲乙双方本着平等互利的原则，依据《中华人民共和国合同法》的有关规定，经充分协商,达成如下一致条款，以资双方共同遵守：</w:t>
      </w:r>
    </w:p>
    <w:p>
      <w:pPr>
        <w:tabs>
          <w:tab w:val="left" w:pos="840"/>
        </w:tabs>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一、服务内容及合作关系</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1、在乙方确保为甲方提供优质服务的前提下，甲方委托乙方为其生活垃圾（以下简称“货物</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提供清运服务。</w:t>
      </w:r>
    </w:p>
    <w:p>
      <w:pPr>
        <w:pStyle w:val="3"/>
        <w:rPr>
          <w:rFonts w:hint="default" w:eastAsia="宋体"/>
          <w:color w:val="000000" w:themeColor="text1"/>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1.1服务期限：</w:t>
      </w:r>
      <w:r>
        <w:rPr>
          <w:rFonts w:hint="eastAsia" w:ascii="宋体" w:hAnsi="宋体" w:cs="宋体"/>
          <w:color w:val="000000" w:themeColor="text1"/>
          <w:sz w:val="24"/>
          <w:lang w:val="en-US" w:eastAsia="zh-CN"/>
          <w14:textFill>
            <w14:solidFill>
              <w14:schemeClr w14:val="tx1"/>
            </w14:solidFill>
          </w14:textFill>
        </w:rPr>
        <w:t>6个月内</w:t>
      </w:r>
      <w:r>
        <w:rPr>
          <w:rFonts w:hint="eastAsia" w:ascii="宋体" w:hAnsi="宋体" w:cs="宋体"/>
          <w:color w:val="000000" w:themeColor="text1"/>
          <w:sz w:val="24"/>
          <w14:textFill>
            <w14:solidFill>
              <w14:schemeClr w14:val="tx1"/>
            </w14:solidFill>
          </w14:textFill>
        </w:rPr>
        <w:t>，自合同签订后开始计算</w:t>
      </w:r>
      <w:r>
        <w:rPr>
          <w:rFonts w:hint="eastAsia" w:ascii="宋体" w:hAnsi="宋体" w:cs="宋体"/>
          <w:color w:val="000000" w:themeColor="text1"/>
          <w:sz w:val="24"/>
          <w:lang w:eastAsia="zh-CN"/>
          <w14:textFill>
            <w14:solidFill>
              <w14:schemeClr w14:val="tx1"/>
            </w14:solidFill>
          </w14:textFill>
        </w:rPr>
        <w:t>，直至清运完毕为止</w:t>
      </w:r>
      <w:r>
        <w:rPr>
          <w:rFonts w:hint="eastAsia" w:ascii="宋体" w:hAnsi="宋体" w:cs="宋体"/>
          <w:color w:val="000000" w:themeColor="text1"/>
          <w:sz w:val="24"/>
          <w14:textFill>
            <w14:solidFill>
              <w14:schemeClr w14:val="tx1"/>
            </w14:solidFill>
          </w14:textFill>
        </w:rPr>
        <w:t>。</w:t>
      </w:r>
    </w:p>
    <w:p>
      <w:pPr>
        <w:tabs>
          <w:tab w:val="left" w:pos="840"/>
        </w:tabs>
        <w:spacing w:line="360" w:lineRule="auto"/>
        <w:ind w:left="357" w:leftChars="170" w:firstLine="120" w:firstLineChars="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2、服务内容：</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 xml:space="preserve">、垃圾清运车辆应印有编号、监督电话、责任单位等信息，清运垃圾的车辆要按规定的路线行驶，规定地点停放，确保运行安全。 </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2.</w:t>
      </w:r>
      <w:r>
        <w:rPr>
          <w:rFonts w:hint="eastAsia" w:ascii="宋体" w:hAnsi="宋体" w:eastAsia="宋体" w:cs="Times New Roman"/>
          <w:bCs/>
          <w:color w:val="000000" w:themeColor="text1"/>
          <w:sz w:val="24"/>
          <w:lang w:val="en-US" w:eastAsia="zh-CN"/>
          <w14:textFill>
            <w14:solidFill>
              <w14:schemeClr w14:val="tx1"/>
            </w14:solidFill>
          </w14:textFill>
        </w:rPr>
        <w:t>2</w:t>
      </w:r>
      <w:r>
        <w:rPr>
          <w:rFonts w:hint="eastAsia" w:ascii="宋体" w:hAnsi="宋体" w:eastAsia="宋体" w:cs="Times New Roman"/>
          <w:bCs/>
          <w:color w:val="000000" w:themeColor="text1"/>
          <w:sz w:val="24"/>
          <w14:textFill>
            <w14:solidFill>
              <w14:schemeClr w14:val="tx1"/>
            </w14:solidFill>
          </w14:textFill>
        </w:rPr>
        <w:t>、垃圾清运车辆运输过程中不得滴漏污水。车辆应匀速行驶，不得急停急起，防止污水外溢。</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2.</w:t>
      </w:r>
      <w:r>
        <w:rPr>
          <w:rFonts w:hint="eastAsia" w:ascii="宋体" w:hAnsi="宋体" w:eastAsia="宋体" w:cs="Times New Roman"/>
          <w:bCs/>
          <w:color w:val="000000" w:themeColor="text1"/>
          <w:sz w:val="24"/>
          <w:lang w:val="en-US" w:eastAsia="zh-CN"/>
          <w14:textFill>
            <w14:solidFill>
              <w14:schemeClr w14:val="tx1"/>
            </w14:solidFill>
          </w14:textFill>
        </w:rPr>
        <w:t>3</w:t>
      </w:r>
      <w:r>
        <w:rPr>
          <w:rFonts w:hint="eastAsia" w:ascii="宋体" w:hAnsi="宋体" w:eastAsia="宋体" w:cs="Times New Roman"/>
          <w:bCs/>
          <w:color w:val="000000" w:themeColor="text1"/>
          <w:sz w:val="24"/>
          <w14:textFill>
            <w14:solidFill>
              <w14:schemeClr w14:val="tx1"/>
            </w14:solidFill>
          </w14:textFill>
        </w:rPr>
        <w:t>、垃圾清运车辆车容车貌整洁，无破损，运输过程中应密闭运输，无吊挂，无抛、撒垃圾现象。</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2.</w:t>
      </w:r>
      <w:r>
        <w:rPr>
          <w:rFonts w:hint="eastAsia" w:ascii="宋体" w:hAnsi="宋体" w:eastAsia="宋体" w:cs="Times New Roman"/>
          <w:bCs/>
          <w:color w:val="000000" w:themeColor="text1"/>
          <w:sz w:val="24"/>
          <w:lang w:val="en-US" w:eastAsia="zh-CN"/>
          <w14:textFill>
            <w14:solidFill>
              <w14:schemeClr w14:val="tx1"/>
            </w14:solidFill>
          </w14:textFill>
        </w:rPr>
        <w:t>4</w:t>
      </w:r>
      <w:r>
        <w:rPr>
          <w:rFonts w:hint="eastAsia" w:ascii="宋体" w:hAnsi="宋体" w:eastAsia="宋体" w:cs="Times New Roman"/>
          <w:bCs/>
          <w:color w:val="000000" w:themeColor="text1"/>
          <w:sz w:val="24"/>
          <w14:textFill>
            <w14:solidFill>
              <w14:schemeClr w14:val="tx1"/>
            </w14:solidFill>
          </w14:textFill>
        </w:rPr>
        <w:t>将甲方场内的生活垃圾整齐的装载上车运输至三门康恒垃圾焚烧发电厂，每</w:t>
      </w:r>
      <w:r>
        <w:rPr>
          <w:rFonts w:hint="eastAsia" w:ascii="宋体" w:hAnsi="宋体" w:eastAsia="宋体" w:cs="Times New Roman"/>
          <w:bCs/>
          <w:color w:val="000000" w:themeColor="text1"/>
          <w:sz w:val="24"/>
          <w:lang w:val="en-US" w:eastAsia="zh-CN"/>
          <w14:textFill>
            <w14:solidFill>
              <w14:schemeClr w14:val="tx1"/>
            </w14:solidFill>
          </w14:textFill>
        </w:rPr>
        <w:t>天</w:t>
      </w:r>
      <w:r>
        <w:rPr>
          <w:rFonts w:hint="eastAsia" w:ascii="宋体" w:hAnsi="宋体" w:eastAsia="宋体" w:cs="Times New Roman"/>
          <w:bCs/>
          <w:color w:val="000000" w:themeColor="text1"/>
          <w:sz w:val="24"/>
          <w14:textFill>
            <w14:solidFill>
              <w14:schemeClr w14:val="tx1"/>
            </w14:solidFill>
          </w14:textFill>
        </w:rPr>
        <w:t>装车完毕需将</w:t>
      </w:r>
      <w:r>
        <w:rPr>
          <w:rFonts w:hint="eastAsia" w:ascii="宋体" w:hAnsi="宋体" w:eastAsia="宋体" w:cs="Times New Roman"/>
          <w:bCs/>
          <w:color w:val="000000" w:themeColor="text1"/>
          <w:sz w:val="24"/>
          <w:lang w:eastAsia="zh-CN"/>
          <w14:textFill>
            <w14:solidFill>
              <w14:schemeClr w14:val="tx1"/>
            </w14:solidFill>
          </w14:textFill>
        </w:rPr>
        <w:t>土工</w:t>
      </w:r>
      <w:r>
        <w:rPr>
          <w:rFonts w:hint="eastAsia" w:ascii="宋体" w:hAnsi="宋体" w:eastAsia="宋体" w:cs="Times New Roman"/>
          <w:bCs/>
          <w:color w:val="000000" w:themeColor="text1"/>
          <w:sz w:val="24"/>
          <w14:textFill>
            <w14:solidFill>
              <w14:schemeClr w14:val="tx1"/>
            </w14:solidFill>
          </w14:textFill>
        </w:rPr>
        <w:t>膜盖回密封使未装车部分生活垃圾不裸露在外</w:t>
      </w:r>
      <w:r>
        <w:rPr>
          <w:rFonts w:hint="eastAsia" w:ascii="宋体" w:hAnsi="宋体" w:eastAsia="宋体" w:cs="Times New Roman"/>
          <w:bCs/>
          <w:color w:val="000000" w:themeColor="text1"/>
          <w:sz w:val="24"/>
          <w:lang w:eastAsia="zh-CN"/>
          <w14:textFill>
            <w14:solidFill>
              <w14:schemeClr w14:val="tx1"/>
            </w14:solidFill>
          </w14:textFill>
        </w:rPr>
        <w:t>，</w:t>
      </w:r>
      <w:r>
        <w:rPr>
          <w:rFonts w:hint="eastAsia" w:ascii="宋体" w:hAnsi="宋体" w:eastAsia="宋体" w:cs="Times New Roman"/>
          <w:bCs/>
          <w:color w:val="000000" w:themeColor="text1"/>
          <w:sz w:val="24"/>
          <w:lang w:val="en-US" w:eastAsia="zh-CN"/>
          <w14:textFill>
            <w14:solidFill>
              <w14:schemeClr w14:val="tx1"/>
            </w14:solidFill>
          </w14:textFill>
        </w:rPr>
        <w:t>每日将场内渗滤液抽至池内。现场开挖须配合镇政府相关部门及环卫主管部门监督检查。</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2.</w:t>
      </w:r>
      <w:r>
        <w:rPr>
          <w:rFonts w:hint="eastAsia" w:ascii="宋体" w:hAnsi="宋体" w:eastAsia="宋体" w:cs="Times New Roman"/>
          <w:bCs/>
          <w:color w:val="000000" w:themeColor="text1"/>
          <w:sz w:val="24"/>
          <w:lang w:val="en-US" w:eastAsia="zh-CN"/>
          <w14:textFill>
            <w14:solidFill>
              <w14:schemeClr w14:val="tx1"/>
            </w14:solidFill>
          </w14:textFill>
        </w:rPr>
        <w:t>5</w:t>
      </w:r>
      <w:r>
        <w:rPr>
          <w:rFonts w:hint="eastAsia" w:ascii="宋体" w:hAnsi="宋体" w:eastAsia="宋体" w:cs="Times New Roman"/>
          <w:bCs/>
          <w:color w:val="000000" w:themeColor="text1"/>
          <w:sz w:val="24"/>
          <w14:textFill>
            <w14:solidFill>
              <w14:schemeClr w14:val="tx1"/>
            </w14:solidFill>
          </w14:textFill>
        </w:rPr>
        <w:t>现场施工人员及装载人员须</w:t>
      </w:r>
      <w:r>
        <w:rPr>
          <w:rFonts w:hint="eastAsia" w:ascii="宋体" w:hAnsi="宋体"/>
          <w:bCs/>
          <w:color w:val="000000" w:themeColor="text1"/>
          <w:sz w:val="24"/>
          <w14:textFill>
            <w14:solidFill>
              <w14:schemeClr w14:val="tx1"/>
            </w14:solidFill>
          </w14:textFill>
        </w:rPr>
        <w:t>做好针对有害气体的防护措施，出现任何后果由乙方自行承担。</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bCs/>
          <w:color w:val="000000" w:themeColor="text1"/>
          <w:sz w:val="24"/>
          <w:lang w:val="en-US" w:eastAsia="zh-CN"/>
          <w14:textFill>
            <w14:solidFill>
              <w14:schemeClr w14:val="tx1"/>
            </w14:solidFill>
          </w14:textFill>
        </w:rPr>
        <w:t>6</w:t>
      </w:r>
      <w:r>
        <w:rPr>
          <w:rFonts w:hint="eastAsia" w:ascii="宋体" w:hAnsi="宋体"/>
          <w:bCs/>
          <w:color w:val="000000" w:themeColor="text1"/>
          <w:sz w:val="24"/>
          <w14:textFill>
            <w14:solidFill>
              <w14:schemeClr w14:val="tx1"/>
            </w14:solidFill>
          </w14:textFill>
        </w:rPr>
        <w:t>乙方须自行搭建施工便道，合同价包含施工便道费用。</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bCs/>
          <w:color w:val="000000" w:themeColor="text1"/>
          <w:sz w:val="24"/>
          <w:lang w:val="en-US" w:eastAsia="zh-CN"/>
          <w14:textFill>
            <w14:solidFill>
              <w14:schemeClr w14:val="tx1"/>
            </w14:solidFill>
          </w14:textFill>
        </w:rPr>
        <w:t>7</w:t>
      </w:r>
      <w:r>
        <w:rPr>
          <w:rFonts w:hint="eastAsia" w:ascii="宋体" w:hAnsi="宋体"/>
          <w:bCs/>
          <w:color w:val="000000" w:themeColor="text1"/>
          <w:sz w:val="24"/>
          <w14:textFill>
            <w14:solidFill>
              <w14:schemeClr w14:val="tx1"/>
            </w14:solidFill>
          </w14:textFill>
        </w:rPr>
        <w:t>由办事员报现场监管中心人员和厂区相关部门过磅，营运时间及进场时间由乙方自行与</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bCs/>
          <w:color w:val="000000" w:themeColor="text1"/>
          <w:sz w:val="24"/>
          <w14:textFill>
            <w14:solidFill>
              <w14:schemeClr w14:val="tx1"/>
            </w14:solidFill>
          </w14:textFill>
        </w:rPr>
        <w:t>对接。</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bCs/>
          <w:color w:val="000000" w:themeColor="text1"/>
          <w:sz w:val="24"/>
          <w:lang w:val="en-US" w:eastAsia="zh-CN"/>
          <w14:textFill>
            <w14:solidFill>
              <w14:schemeClr w14:val="tx1"/>
            </w14:solidFill>
          </w14:textFill>
        </w:rPr>
        <w:t>8</w:t>
      </w:r>
      <w:r>
        <w:rPr>
          <w:rFonts w:hint="eastAsia" w:ascii="宋体" w:hAnsi="宋体"/>
          <w:bCs/>
          <w:color w:val="000000" w:themeColor="text1"/>
          <w:sz w:val="24"/>
          <w14:textFill>
            <w14:solidFill>
              <w14:schemeClr w14:val="tx1"/>
            </w14:solidFill>
          </w14:textFill>
        </w:rPr>
        <w:t xml:space="preserve"> 负责现场环境</w:t>
      </w:r>
      <w:r>
        <w:rPr>
          <w:rFonts w:hint="eastAsia" w:ascii="宋体" w:hAnsi="宋体" w:eastAsia="宋体" w:cs="Times New Roman"/>
          <w:bCs/>
          <w:color w:val="000000" w:themeColor="text1"/>
          <w:sz w:val="24"/>
          <w14:textFill>
            <w14:solidFill>
              <w14:schemeClr w14:val="tx1"/>
            </w14:solidFill>
          </w14:textFill>
        </w:rPr>
        <w:t>保洁清理。施工现场、运输途中及三门康恒垃圾焚烧发电厂厂区严禁烟火，出现任何后果由中标人自行承担。</w:t>
      </w:r>
    </w:p>
    <w:p>
      <w:pPr>
        <w:tabs>
          <w:tab w:val="left" w:pos="840"/>
        </w:tabs>
        <w:spacing w:line="360" w:lineRule="auto"/>
        <w:ind w:left="357" w:leftChars="170" w:firstLine="120" w:firstLineChars="50"/>
        <w:rPr>
          <w:rFonts w:hint="default"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2.9开挖出的垃圾须经初步分拣才可装车运输，分拣出来岩石、砖块等无法燃烧物质的方数另按实际方量或重量另外计费支付，计量以业主现场审核签证为准，分拣费用投标人报价时自行考虑。</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2.10机械分选生活垃圾中参杂的石头等不符合三门康恒垃圾焚烧发电厂焚烧要求的物质，并堆放在甲方指定地点，若发现有未分拣被三门康恒垃圾焚烧发电厂退回的，一切后果及费用由中标人自行承担。</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2.11严禁运输非本项目范围内的垃圾。如有发现，甲方有权按照相关规定进行处理；负有刑事责任的，依法移交司法机关处理；情节严重的，甲方有权终止合同并没收履约保证金。</w:t>
      </w:r>
    </w:p>
    <w:p>
      <w:pPr>
        <w:tabs>
          <w:tab w:val="left" w:pos="840"/>
        </w:tabs>
        <w:spacing w:line="360" w:lineRule="auto"/>
        <w:ind w:left="357" w:leftChars="170" w:firstLine="120" w:firstLineChars="5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1.12本项目服务期须严格把控，如乙方无法按时完成清运任务的，业主有权对中标单位做出相应惩罚。</w:t>
      </w:r>
    </w:p>
    <w:p>
      <w:pPr>
        <w:tabs>
          <w:tab w:val="left" w:pos="840"/>
        </w:tabs>
        <w:spacing w:line="360" w:lineRule="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二、甲方的权利和义务</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、经甲、乙双方确认的货运计划双方不得擅自更改；如需变更计划，需在出货前书面向双方确认。</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、甲方负责提供每次清运生活垃圾的单号和批次。</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、甲方负责与</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color w:val="000000" w:themeColor="text1"/>
          <w:sz w:val="24"/>
          <w14:textFill>
            <w14:solidFill>
              <w14:schemeClr w14:val="tx1"/>
            </w14:solidFill>
          </w14:textFill>
        </w:rPr>
        <w:t>就货物接受达成协议。</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、甲方负责提供正确的资料。</w:t>
      </w:r>
    </w:p>
    <w:p>
      <w:pPr>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5、甲方有权对乙方运输车辆进行检查，如发现其车辆及工作人员存在其它危险操作和承载非本次服务内容范围的，甲方有权终止乙方车辆继续实施清运任务。</w:t>
      </w:r>
    </w:p>
    <w:p>
      <w:pPr>
        <w:spacing w:line="360" w:lineRule="auto"/>
        <w:ind w:firstLine="482" w:firstLineChars="200"/>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三、乙方的权利和义务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1、乙方保证其具有道路清运货物的经营许可证（并维持有效），经营资质完全合法,开始清运之前，乙方将相关证件复印件盖章后提供甲方备案。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2、乙方保证其承运甲方货物的车辆状况及车辆的设施配置状况，均符合本合同履行过程中的最新法律法规要求，车辆</w:t>
      </w:r>
      <w:r>
        <w:rPr>
          <w:rFonts w:ascii="ˎ̥" w:hAnsi="ˎ̥"/>
          <w:color w:val="000000" w:themeColor="text1"/>
          <w:sz w:val="24"/>
          <w14:textFill>
            <w14:solidFill>
              <w14:schemeClr w14:val="tx1"/>
            </w14:solidFill>
          </w14:textFill>
        </w:rPr>
        <w:t>根据所运货物的性质</w:t>
      </w:r>
      <w:r>
        <w:rPr>
          <w:rFonts w:hint="eastAsia" w:ascii="ˎ̥" w:hAnsi="ˎ̥"/>
          <w:color w:val="000000" w:themeColor="text1"/>
          <w:sz w:val="24"/>
          <w14:textFill>
            <w14:solidFill>
              <w14:schemeClr w14:val="tx1"/>
            </w14:solidFill>
          </w14:textFill>
        </w:rPr>
        <w:t>，</w:t>
      </w:r>
      <w:r>
        <w:rPr>
          <w:rFonts w:ascii="ˎ̥" w:hAnsi="ˎ̥"/>
          <w:color w:val="000000" w:themeColor="text1"/>
          <w:sz w:val="24"/>
          <w14:textFill>
            <w14:solidFill>
              <w14:schemeClr w14:val="tx1"/>
            </w14:solidFill>
          </w14:textFill>
        </w:rPr>
        <w:t>配备必需的应急处理器材和安全防护设施设备</w:t>
      </w:r>
      <w:r>
        <w:rPr>
          <w:rFonts w:hint="eastAsia" w:ascii="宋体" w:hAnsi="宋体"/>
          <w:color w:val="000000" w:themeColor="text1"/>
          <w:sz w:val="24"/>
          <w14:textFill>
            <w14:solidFill>
              <w14:schemeClr w14:val="tx1"/>
            </w14:solidFill>
          </w14:textFill>
        </w:rPr>
        <w:t>。开始清运之前，乙方应当将车辆的《行驶证》及相关证件复印件盖章后提供给甲方备案。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3、乙方从业人员符合从事货物清运的要求:</w:t>
      </w:r>
      <w:r>
        <w:rPr>
          <w:rFonts w:ascii="ˎ̥" w:hAnsi="ˎ̥"/>
          <w:color w:val="000000" w:themeColor="text1"/>
          <w:sz w:val="24"/>
          <w14:textFill>
            <w14:solidFill>
              <w14:schemeClr w14:val="tx1"/>
            </w14:solidFill>
          </w14:textFill>
        </w:rPr>
        <w:t xml:space="preserve"> 驾驶人员、装卸管理人员</w:t>
      </w:r>
      <w:r>
        <w:rPr>
          <w:rFonts w:hint="eastAsia" w:ascii="宋体" w:hAnsi="宋体"/>
          <w:color w:val="000000" w:themeColor="text1"/>
          <w:sz w:val="24"/>
          <w14:textFill>
            <w14:solidFill>
              <w14:schemeClr w14:val="tx1"/>
            </w14:solidFill>
          </w14:textFill>
        </w:rPr>
        <w:t>均应具有相应的从业资格证，相关从业资格证、身份证、驾驶证、联系方式等复印件均盖章后提供给甲方备案及联系。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4、乙方负责将甲方货物从甲方指定地点运送至甲方指定接收地。</w:t>
      </w:r>
    </w:p>
    <w:p>
      <w:pPr>
        <w:tabs>
          <w:tab w:val="left" w:pos="840"/>
        </w:tabs>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5、乙方负责协商与</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color w:val="000000" w:themeColor="text1"/>
          <w:sz w:val="24"/>
          <w14:textFill>
            <w14:solidFill>
              <w14:schemeClr w14:val="tx1"/>
            </w14:solidFill>
          </w14:textFill>
        </w:rPr>
        <w:t>的接受工作及办理相关手续。</w:t>
      </w:r>
    </w:p>
    <w:p>
      <w:pPr>
        <w:spacing w:line="360" w:lineRule="auto"/>
        <w:ind w:firstLine="480" w:firstLineChars="200"/>
        <w:rPr>
          <w:rFonts w:ascii="宋体" w:hAnsi="宋体"/>
          <w:iCs/>
          <w:color w:val="000000" w:themeColor="text1"/>
          <w:sz w:val="24"/>
          <w14:textFill>
            <w14:solidFill>
              <w14:schemeClr w14:val="tx1"/>
            </w14:solidFill>
          </w14:textFill>
        </w:rPr>
      </w:pPr>
      <w:r>
        <w:rPr>
          <w:rFonts w:hint="eastAsia" w:ascii="宋体" w:hAnsi="宋体"/>
          <w:iCs/>
          <w:color w:val="000000" w:themeColor="text1"/>
          <w:sz w:val="24"/>
          <w14:textFill>
            <w14:solidFill>
              <w14:schemeClr w14:val="tx1"/>
            </w14:solidFill>
          </w14:textFill>
        </w:rPr>
        <w:t>6、如甲方在出货当天增加清运任务,乙方应当积极组织运力完成。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ˎ̥" w:hAnsi="ˎ̥"/>
          <w:color w:val="000000" w:themeColor="text1"/>
          <w:sz w:val="24"/>
          <w14:textFill>
            <w14:solidFill>
              <w14:schemeClr w14:val="tx1"/>
            </w14:solidFill>
          </w14:textFill>
        </w:rPr>
        <w:t>7、</w:t>
      </w:r>
      <w:r>
        <w:rPr>
          <w:rFonts w:ascii="ˎ̥" w:hAnsi="ˎ̥"/>
          <w:color w:val="000000" w:themeColor="text1"/>
          <w:sz w:val="24"/>
          <w14:textFill>
            <w14:solidFill>
              <w14:schemeClr w14:val="tx1"/>
            </w14:solidFill>
          </w14:textFill>
        </w:rPr>
        <w:t>严禁违反国家有关规定超载、超限清运。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ˎ̥" w:hAnsi="ˎ̥"/>
          <w:color w:val="000000" w:themeColor="text1"/>
          <w:sz w:val="24"/>
          <w14:textFill>
            <w14:solidFill>
              <w14:schemeClr w14:val="tx1"/>
            </w14:solidFill>
          </w14:textFill>
        </w:rPr>
        <w:t>8、乙方</w:t>
      </w:r>
      <w:r>
        <w:rPr>
          <w:rFonts w:ascii="ˎ̥" w:hAnsi="ˎ̥"/>
          <w:color w:val="000000" w:themeColor="text1"/>
          <w:sz w:val="24"/>
          <w14:textFill>
            <w14:solidFill>
              <w14:schemeClr w14:val="tx1"/>
            </w14:solidFill>
          </w14:textFill>
        </w:rPr>
        <w:t>在清运货物时，遵守有关部门关于货物清运线路、时间、速度方面的有关规定</w:t>
      </w:r>
      <w:r>
        <w:rPr>
          <w:rFonts w:hint="eastAsia" w:ascii="ˎ̥" w:hAnsi="ˎ̥"/>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确保将货物安全、及时、无损运抵指定地点。</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9、确保现</w:t>
      </w:r>
      <w:r>
        <w:rPr>
          <w:rFonts w:hint="eastAsia" w:ascii="宋体" w:hAnsi="宋体" w:eastAsia="宋体" w:cs="Times New Roman"/>
          <w:color w:val="000000" w:themeColor="text1"/>
          <w:sz w:val="24"/>
          <w14:textFill>
            <w14:solidFill>
              <w14:schemeClr w14:val="tx1"/>
            </w14:solidFill>
          </w14:textFill>
        </w:rPr>
        <w:t>场作业的后续卫生，负责清理现场，保持干净。</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10、如遇下雨、下雪天气等特殊天气或不可抗力因素情况下，乙方须与三门康恒垃圾焚烧发电厂对接，乙方在接到三门康恒垃圾焚烧发电厂允许进场通知后方进场。</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11、乙方运输单位进入三门康恒垃圾焚烧发电厂时按照要求进行登记、称重过磅。由甲方指定专人对乙方运输生活垃圾过磅数量，拉运生活垃圾量按照三门康恒垃圾焚烧发电厂计量磅称重数量为准。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12、乙方生活垃圾运输单位</w:t>
      </w:r>
      <w:r>
        <w:rPr>
          <w:rFonts w:hint="eastAsia" w:ascii="宋体" w:hAnsi="宋体"/>
          <w:color w:val="000000" w:themeColor="text1"/>
          <w:sz w:val="24"/>
          <w14:textFill>
            <w14:solidFill>
              <w14:schemeClr w14:val="tx1"/>
            </w14:solidFill>
          </w14:textFill>
        </w:rPr>
        <w:t>须具有危险废物运输资质，危险废物运输车须具备公路运输管理部门核发的运输许可证。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13、乙方应采用符合规范的车辆进行运输，禁止运输途中发生“跑冒滴漏”现象，否则一切后果由乙方承担。</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4、乙方运输车辆及驾驶人员进入甲方指定填埋场后须遵守各项规章制度，听从指挥，不得擅自停放车辆。</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15、乙方每个自然日到甲方清运，乙方办理签收手续，乙方签收联应提交甲方存档。乙方如发现清运通知内容中，有任何不符合安全清运要求的，应及时事先通知甲方。</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四</w:t>
      </w:r>
      <w:r>
        <w:rPr>
          <w:rFonts w:hint="eastAsia" w:ascii="宋体" w:hAnsi="宋体" w:eastAsia="宋体" w:cs="Times New Roman"/>
          <w:color w:val="000000" w:themeColor="text1"/>
          <w:sz w:val="24"/>
          <w14:textFill>
            <w14:solidFill>
              <w14:schemeClr w14:val="tx1"/>
            </w14:solidFill>
          </w14:textFill>
        </w:rPr>
        <w:t>、转包或分包</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不允许转包。</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不</w:t>
      </w:r>
      <w:r>
        <w:rPr>
          <w:rFonts w:hint="eastAsia" w:ascii="宋体" w:hAnsi="宋体" w:eastAsia="宋体" w:cs="Times New Roman"/>
          <w:color w:val="000000" w:themeColor="text1"/>
          <w:sz w:val="24"/>
          <w14:textFill>
            <w14:solidFill>
              <w14:schemeClr w14:val="tx1"/>
            </w14:solidFill>
          </w14:textFill>
        </w:rPr>
        <w:t>允许分包。</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如乙方将项目转包或将不允许分包部分进行了分包，甲方有权解除合同并追究乙方的违约责任。</w:t>
      </w:r>
    </w:p>
    <w:p>
      <w:pPr>
        <w:pStyle w:val="6"/>
        <w:rPr>
          <w:color w:val="000000" w:themeColor="text1"/>
          <w14:textFill>
            <w14:solidFill>
              <w14:schemeClr w14:val="tx1"/>
            </w14:solidFill>
          </w14:textFill>
        </w:rPr>
      </w:pPr>
    </w:p>
    <w:p>
      <w:pPr>
        <w:tabs>
          <w:tab w:val="left" w:pos="840"/>
        </w:tabs>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、乙方清运车辆、司机的操作要求。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1、车辆车况（如车箱、轮胎、防火罩等）完好，不得有破损等现象。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2、清运途中，应密切注意车辆所装载的货物动态，根据货物性质，发现问题及时采取措施妥善处理，并向甲方调度汇报情况。</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3、车辆中途临时停靠，安排人员看管；需要停车住宿或者遇无法正常清运的情况时，及时通知甲方。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4、遵守甲方所指定收货、卸货的厂区内的各项规章制度，按照指定线路及要求行驶速度行车，配合厂区内的各项临时安排；如因乙方违反以上各条规定引起厂区作出的相关处罚，应由乙方自行承担。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5、禁止酒后或服违禁药品上岗。</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6、禁止在指定厂区内使用手机。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7、禁止无证驾驶机动车辆。</w:t>
      </w:r>
    </w:p>
    <w:p>
      <w:pPr>
        <w:spacing w:line="360" w:lineRule="auto"/>
        <w:ind w:left="360" w:firstLine="120" w:firstLineChar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8、禁止在指定吸烟点外吸烟。</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六</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货物及相关单据交接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1、乙方必须在责任范围内妥善清运和保管承运车箱内货物。货物清运至甲方指定地点后，乙方需如实办理相关凭证，由</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color w:val="000000" w:themeColor="text1"/>
          <w:sz w:val="24"/>
          <w14:textFill>
            <w14:solidFill>
              <w14:schemeClr w14:val="tx1"/>
            </w14:solidFill>
          </w14:textFill>
        </w:rPr>
        <w:t>地磅签字确认。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2、乙方负责将</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color w:val="000000" w:themeColor="text1"/>
          <w:sz w:val="24"/>
          <w14:textFill>
            <w14:solidFill>
              <w14:schemeClr w14:val="tx1"/>
            </w14:solidFill>
          </w14:textFill>
        </w:rPr>
        <w:t>签字确认后的回单完好无损的交回甲方指定人员。</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七</w:t>
      </w:r>
      <w:r>
        <w:rPr>
          <w:rFonts w:hint="eastAsia" w:ascii="宋体" w:hAnsi="宋体"/>
          <w:b/>
          <w:color w:val="000000" w:themeColor="text1"/>
          <w:sz w:val="24"/>
          <w14:textFill>
            <w14:solidFill>
              <w14:schemeClr w14:val="tx1"/>
            </w14:solidFill>
          </w14:textFill>
        </w:rPr>
        <w:t>、违约责任</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乙方不按合同规定的时间和要求配车发运的，乙方向甲方支付违约金【1000】元/次。服务期</w:t>
      </w:r>
      <w:r>
        <w:rPr>
          <w:rFonts w:hint="eastAsia" w:ascii="宋体" w:hAnsi="宋体" w:eastAsia="宋体" w:cs="Times New Roman"/>
          <w:color w:val="000000" w:themeColor="text1"/>
          <w:sz w:val="24"/>
          <w14:textFill>
            <w14:solidFill>
              <w14:schemeClr w14:val="tx1"/>
            </w14:solidFill>
          </w14:textFill>
        </w:rPr>
        <w:t>限内连续超过【3】次未按照合同规定清运的，甲方有权解除本合同，甲方有权要求乙方承担30万元的违约金并赔偿甲方损失。</w:t>
      </w:r>
    </w:p>
    <w:p>
      <w:pPr>
        <w:spacing w:line="360" w:lineRule="auto"/>
        <w:ind w:firstLine="480" w:firstLineChars="200"/>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1.2乙方超出合同约定的服务期（</w:t>
      </w:r>
      <w:r>
        <w:rPr>
          <w:rFonts w:hint="eastAsia" w:ascii="宋体" w:hAnsi="宋体" w:cs="Times New Roman"/>
          <w:color w:val="000000" w:themeColor="text1"/>
          <w:sz w:val="24"/>
          <w:lang w:val="en-US" w:eastAsia="zh-CN"/>
          <w14:textFill>
            <w14:solidFill>
              <w14:schemeClr w14:val="tx1"/>
            </w14:solidFill>
          </w14:textFill>
        </w:rPr>
        <w:t>6个月内</w:t>
      </w:r>
      <w:r>
        <w:rPr>
          <w:rFonts w:hint="eastAsia" w:ascii="宋体" w:hAnsi="宋体" w:eastAsia="宋体" w:cs="Times New Roman"/>
          <w:color w:val="000000" w:themeColor="text1"/>
          <w:sz w:val="24"/>
          <w:lang w:val="en-US" w:eastAsia="zh-CN"/>
          <w14:textFill>
            <w14:solidFill>
              <w14:schemeClr w14:val="tx1"/>
            </w14:solidFill>
          </w14:textFill>
        </w:rPr>
        <w:t>）的，甲方有权对乙方按超出时间每日</w:t>
      </w: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000】</w:t>
      </w:r>
      <w:r>
        <w:rPr>
          <w:rFonts w:hint="eastAsia" w:ascii="宋体" w:hAnsi="宋体" w:eastAsia="宋体" w:cs="Times New Roman"/>
          <w:color w:val="000000" w:themeColor="text1"/>
          <w:sz w:val="24"/>
          <w:lang w:val="en-US" w:eastAsia="zh-CN"/>
          <w14:textFill>
            <w14:solidFill>
              <w14:schemeClr w14:val="tx1"/>
            </w14:solidFill>
          </w14:textFill>
        </w:rPr>
        <w:t>元罚款。超出服务期15天后的，</w:t>
      </w:r>
      <w:r>
        <w:rPr>
          <w:rFonts w:hint="eastAsia" w:ascii="宋体" w:hAnsi="宋体" w:eastAsia="宋体" w:cs="Times New Roman"/>
          <w:color w:val="000000" w:themeColor="text1"/>
          <w:sz w:val="24"/>
          <w14:textFill>
            <w14:solidFill>
              <w14:schemeClr w14:val="tx1"/>
            </w14:solidFill>
          </w14:textFill>
        </w:rPr>
        <w:t>甲方有权解除本合同，甲方有权要求乙方承担</w:t>
      </w:r>
      <w:r>
        <w:rPr>
          <w:rFonts w:hint="eastAsia" w:ascii="宋体" w:hAnsi="宋体" w:eastAsia="宋体" w:cs="Times New Roman"/>
          <w:color w:val="000000" w:themeColor="text1"/>
          <w:sz w:val="24"/>
          <w:lang w:val="en-US" w:eastAsia="zh-CN"/>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0万元的违约金并赔偿甲方损失。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2．乙方如将货物错运到货地点或接货人，应无偿运至合同规定的到货地点或接货人；并承担所发生的一切费用及给甲方造成的损失。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3．清运过程中货物灭失、短少、变质、污染、损坏，乙方承担所发生的一切费用。</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4.由于下</w:t>
      </w:r>
      <w:r>
        <w:rPr>
          <w:rFonts w:hint="eastAsia" w:ascii="宋体" w:hAnsi="宋体" w:eastAsia="宋体" w:cs="Times New Roman"/>
          <w:color w:val="000000" w:themeColor="text1"/>
          <w:sz w:val="24"/>
          <w14:textFill>
            <w14:solidFill>
              <w14:schemeClr w14:val="tx1"/>
            </w14:solidFill>
          </w14:textFill>
        </w:rPr>
        <w:t xml:space="preserve">列原因造成货物灭失、减少、变质、损坏的，乙方不承担责任：法律规定的不可抗力（包括但不限于自然灾害、台风、地震、战争等）免责情形； </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5.如不配合镇政府相关部门及环卫主管部门监督检查的，甲方有权处罚乙方每次</w:t>
      </w: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000】</w:t>
      </w:r>
      <w:r>
        <w:rPr>
          <w:rFonts w:hint="eastAsia" w:ascii="宋体" w:hAnsi="宋体" w:eastAsia="宋体" w:cs="Times New Roman"/>
          <w:color w:val="000000" w:themeColor="text1"/>
          <w:sz w:val="24"/>
          <w:lang w:val="en-US" w:eastAsia="zh-CN"/>
          <w14:textFill>
            <w14:solidFill>
              <w14:schemeClr w14:val="tx1"/>
            </w14:solidFill>
          </w14:textFill>
        </w:rPr>
        <w:t>元整罚款，镇政府相关部门及环卫主管部门处罚乙方自行承担。</w:t>
      </w:r>
    </w:p>
    <w:p>
      <w:pPr>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八</w:t>
      </w:r>
      <w:r>
        <w:rPr>
          <w:rFonts w:hint="eastAsia" w:ascii="宋体" w:hAnsi="宋体"/>
          <w:b/>
          <w:bCs/>
          <w:color w:val="000000" w:themeColor="text1"/>
          <w:sz w:val="24"/>
          <w14:textFill>
            <w14:solidFill>
              <w14:schemeClr w14:val="tx1"/>
            </w14:solidFill>
          </w14:textFill>
        </w:rPr>
        <w:t>、费用及结算</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9"/>
        <w:gridCol w:w="1755"/>
        <w:gridCol w:w="19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pStyle w:val="13"/>
              <w:snapToGrid w:val="0"/>
              <w:spacing w:beforeLines="0" w:afterLines="0" w:line="480" w:lineRule="exact"/>
              <w:rPr>
                <w:rFonts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合同标的（暂估）</w:t>
            </w:r>
          </w:p>
        </w:tc>
        <w:tc>
          <w:tcPr>
            <w:tcW w:w="1755"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数量</w:t>
            </w:r>
          </w:p>
        </w:tc>
        <w:tc>
          <w:tcPr>
            <w:tcW w:w="198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r>
              <w:rPr>
                <w:rFonts w:hint="eastAsia" w:hAnsi="宋体"/>
                <w:bCs/>
                <w:color w:val="000000" w:themeColor="text1"/>
                <w:lang w:val="en-US" w:eastAsia="zh-CN"/>
                <w14:textFill>
                  <w14:solidFill>
                    <w14:schemeClr w14:val="tx1"/>
                  </w14:solidFill>
                </w14:textFill>
              </w:rPr>
              <w:t>单价（￥ 元/吨）</w:t>
            </w:r>
          </w:p>
        </w:tc>
        <w:tc>
          <w:tcPr>
            <w:tcW w:w="1440" w:type="dxa"/>
            <w:noWrap w:val="0"/>
            <w:vAlign w:val="top"/>
          </w:tcPr>
          <w:p>
            <w:pPr>
              <w:pStyle w:val="13"/>
              <w:snapToGrid w:val="0"/>
              <w:spacing w:beforeLines="0" w:afterLines="0" w:line="480" w:lineRule="exact"/>
              <w:rPr>
                <w:rFonts w:hint="eastAsia" w:hAnsi="宋体"/>
                <w:bCs/>
                <w:color w:val="000000" w:themeColor="text1"/>
                <w:lang w:val="en-US" w:eastAsia="zh-CN"/>
                <w14:textFill>
                  <w14:solidFill>
                    <w14:schemeClr w14:val="tx1"/>
                  </w14:solidFill>
                </w14:textFill>
              </w:rPr>
            </w:pPr>
            <w:r>
              <w:rPr>
                <w:rFonts w:hint="eastAsia" w:hAnsi="宋体"/>
                <w:bCs/>
                <w:color w:val="000000" w:themeColor="text1"/>
                <w:lang w:val="en-US" w:eastAsia="zh-CN"/>
                <w14:textFill>
                  <w14:solidFill>
                    <w14:schemeClr w14:val="tx1"/>
                  </w14:solidFill>
                </w14:textFill>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pStyle w:val="13"/>
              <w:snapToGrid w:val="0"/>
              <w:spacing w:beforeLines="0" w:afterLines="0" w:line="480" w:lineRule="exact"/>
              <w:rPr>
                <w:rFonts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生活垃圾清运</w:t>
            </w:r>
          </w:p>
        </w:tc>
        <w:tc>
          <w:tcPr>
            <w:tcW w:w="1755"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约</w:t>
            </w:r>
            <w:r>
              <w:rPr>
                <w:rFonts w:hint="eastAsia" w:hAnsi="宋体" w:cs="Times New Roman"/>
                <w:bCs/>
                <w:color w:val="000000" w:themeColor="text1"/>
                <w:lang w:val="en-US" w:eastAsia="zh-CN"/>
                <w14:textFill>
                  <w14:solidFill>
                    <w14:schemeClr w14:val="tx1"/>
                  </w14:solidFill>
                </w14:textFill>
              </w:rPr>
              <w:t>28500</w:t>
            </w:r>
            <w:r>
              <w:rPr>
                <w:rFonts w:hint="eastAsia" w:ascii="宋体" w:hAnsi="宋体" w:eastAsia="宋体" w:cs="Times New Roman"/>
                <w:bCs/>
                <w:color w:val="000000" w:themeColor="text1"/>
                <w:lang w:val="en-US" w:eastAsia="zh-CN"/>
                <w14:textFill>
                  <w14:solidFill>
                    <w14:schemeClr w14:val="tx1"/>
                  </w14:solidFill>
                </w14:textFill>
              </w:rPr>
              <w:t>吨</w:t>
            </w:r>
          </w:p>
        </w:tc>
        <w:tc>
          <w:tcPr>
            <w:tcW w:w="198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c>
          <w:tcPr>
            <w:tcW w:w="144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pStyle w:val="13"/>
              <w:snapToGrid w:val="0"/>
              <w:spacing w:beforeLines="0" w:afterLines="0" w:line="480" w:lineRule="exact"/>
              <w:rPr>
                <w:rFonts w:hint="default"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分拣生活垃圾无法燃烧物质清运</w:t>
            </w:r>
          </w:p>
        </w:tc>
        <w:tc>
          <w:tcPr>
            <w:tcW w:w="1755" w:type="dxa"/>
            <w:noWrap w:val="0"/>
            <w:vAlign w:val="top"/>
          </w:tcPr>
          <w:p>
            <w:pPr>
              <w:pStyle w:val="13"/>
              <w:snapToGrid w:val="0"/>
              <w:spacing w:beforeLines="0" w:afterLines="0" w:line="480" w:lineRule="exact"/>
              <w:rPr>
                <w:rFonts w:hint="eastAsia" w:hAnsi="宋体"/>
                <w:bCs/>
                <w:color w:val="000000" w:themeColor="text1"/>
                <w:lang w:val="en-US" w:eastAsia="zh-CN"/>
                <w14:textFill>
                  <w14:solidFill>
                    <w14:schemeClr w14:val="tx1"/>
                  </w14:solidFill>
                </w14:textFill>
              </w:rPr>
            </w:pPr>
            <w:r>
              <w:rPr>
                <w:rFonts w:hint="eastAsia" w:hAnsi="宋体"/>
                <w:bCs/>
                <w:color w:val="000000" w:themeColor="text1"/>
                <w:lang w:val="en-US" w:eastAsia="zh-CN"/>
                <w14:textFill>
                  <w14:solidFill>
                    <w14:schemeClr w14:val="tx1"/>
                  </w14:solidFill>
                </w14:textFill>
              </w:rPr>
              <w:t>约1500吨</w:t>
            </w:r>
          </w:p>
        </w:tc>
        <w:tc>
          <w:tcPr>
            <w:tcW w:w="198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c>
          <w:tcPr>
            <w:tcW w:w="144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合计</w:t>
            </w:r>
          </w:p>
        </w:tc>
        <w:tc>
          <w:tcPr>
            <w:tcW w:w="5175" w:type="dxa"/>
            <w:gridSpan w:val="3"/>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4" w:type="dxa"/>
            <w:gridSpan w:val="4"/>
            <w:noWrap w:val="0"/>
            <w:vAlign w:val="top"/>
          </w:tcPr>
          <w:p>
            <w:pPr>
              <w:pStyle w:val="13"/>
              <w:snapToGrid w:val="0"/>
              <w:spacing w:beforeLines="0" w:afterLines="0" w:line="480" w:lineRule="exact"/>
              <w:rPr>
                <w:rFonts w:hint="eastAsia" w:hAnsi="宋体"/>
                <w:bCs/>
                <w:color w:val="000000" w:themeColor="text1"/>
                <w:lang w:val="en-US" w:eastAsia="zh-CN"/>
                <w14:textFill>
                  <w14:solidFill>
                    <w14:schemeClr w14:val="tx1"/>
                  </w14:solidFill>
                </w14:textFill>
              </w:rPr>
            </w:pPr>
            <w:r>
              <w:rPr>
                <w:rFonts w:hint="eastAsia" w:hAnsi="宋体"/>
                <w:bCs/>
                <w:color w:val="000000" w:themeColor="text1"/>
                <w:lang w:val="en-US" w:eastAsia="zh-CN"/>
                <w14:textFill>
                  <w14:solidFill>
                    <w14:schemeClr w14:val="tx1"/>
                  </w14:solidFill>
                </w14:textFill>
              </w:rPr>
              <w:t>备注：结算时，固定单价，工程量按实结算。</w:t>
            </w:r>
          </w:p>
        </w:tc>
      </w:tr>
    </w:tbl>
    <w:p>
      <w:pPr>
        <w:pStyle w:val="3"/>
        <w:rPr>
          <w:color w:val="000000" w:themeColor="text1"/>
          <w14:textFill>
            <w14:solidFill>
              <w14:schemeClr w14:val="tx1"/>
            </w14:solidFill>
          </w14:textFill>
        </w:rPr>
      </w:pPr>
    </w:p>
    <w:p>
      <w:pPr>
        <w:tabs>
          <w:tab w:val="left" w:pos="180"/>
          <w:tab w:val="left" w:pos="360"/>
        </w:tabs>
        <w:spacing w:line="36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1、甲乙双方经商议执行</w:t>
      </w:r>
      <w:r>
        <w:rPr>
          <w:rFonts w:hint="eastAsia" w:ascii="宋体" w:hAnsi="宋体"/>
          <w:color w:val="000000" w:themeColor="text1"/>
          <w:sz w:val="24"/>
          <w14:textFill>
            <w14:solidFill>
              <w14:schemeClr w14:val="tx1"/>
            </w14:solidFill>
          </w14:textFill>
        </w:rPr>
        <w:t>含税</w:t>
      </w:r>
      <w:r>
        <w:rPr>
          <w:rFonts w:hint="eastAsia" w:ascii="宋体" w:hAnsi="宋体"/>
          <w:color w:val="000000" w:themeColor="text1"/>
          <w:sz w:val="24"/>
          <w:lang w:eastAsia="zh-CN"/>
          <w14:textFill>
            <w14:solidFill>
              <w14:schemeClr w14:val="tx1"/>
            </w14:solidFill>
          </w14:textFill>
        </w:rPr>
        <w:t>生活垃圾</w:t>
      </w:r>
      <w:r>
        <w:rPr>
          <w:rFonts w:hint="eastAsia" w:ascii="宋体" w:hAnsi="宋体"/>
          <w:color w:val="000000" w:themeColor="text1"/>
          <w:sz w:val="24"/>
          <w14:textFill>
            <w14:solidFill>
              <w14:schemeClr w14:val="tx1"/>
            </w14:solidFill>
          </w14:textFill>
        </w:rPr>
        <w:t>清运价为￥【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吨</w:t>
      </w:r>
      <w:r>
        <w:rPr>
          <w:rFonts w:hint="eastAsia" w:ascii="宋体" w:hAnsi="宋体"/>
          <w:color w:val="000000" w:themeColor="text1"/>
          <w:sz w:val="24"/>
          <w14:textFill>
            <w14:solidFill>
              <w14:schemeClr w14:val="tx1"/>
            </w14:solidFill>
          </w14:textFill>
        </w:rPr>
        <w:t xml:space="preserve">（大写： </w:t>
      </w:r>
      <w:r>
        <w:rPr>
          <w:rFonts w:ascii="宋体" w:hAnsi="宋体"/>
          <w:color w:val="000000" w:themeColor="text1"/>
          <w:sz w:val="24"/>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吨</w:t>
      </w:r>
      <w:r>
        <w:rPr>
          <w:rFonts w:hint="eastAsia" w:ascii="宋体" w:hAnsi="宋体"/>
          <w:color w:val="000000" w:themeColor="text1"/>
          <w:sz w:val="24"/>
          <w14:textFill>
            <w14:solidFill>
              <w14:schemeClr w14:val="tx1"/>
            </w14:solidFill>
          </w14:textFill>
        </w:rPr>
        <w:t>）（含【</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】%增值税，乙方应向甲方开具【</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】%增值税专用发票）</w:t>
      </w:r>
      <w:r>
        <w:rPr>
          <w:rFonts w:hint="eastAsia" w:ascii="宋体" w:hAnsi="宋体"/>
          <w:color w:val="000000" w:themeColor="text1"/>
          <w:sz w:val="24"/>
          <w:lang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价格</w:t>
      </w:r>
      <w:r>
        <w:rPr>
          <w:rFonts w:hint="eastAsia" w:ascii="宋体" w:hAnsi="宋体"/>
          <w:bCs/>
          <w:color w:val="000000" w:themeColor="text1"/>
          <w:sz w:val="24"/>
          <w:lang w:eastAsia="zh-CN"/>
          <w14:textFill>
            <w14:solidFill>
              <w14:schemeClr w14:val="tx1"/>
            </w14:solidFill>
          </w14:textFill>
        </w:rPr>
        <w:t>组成包括但不限于（</w:t>
      </w:r>
      <w:r>
        <w:rPr>
          <w:rFonts w:hint="eastAsia" w:ascii="宋体" w:hAnsi="宋体"/>
          <w:color w:val="000000" w:themeColor="text1"/>
          <w:sz w:val="24"/>
          <w14:textFill>
            <w14:solidFill>
              <w14:schemeClr w14:val="tx1"/>
            </w14:solidFill>
          </w14:textFill>
        </w:rPr>
        <w:t>包括但不限于挖装运卸、</w:t>
      </w:r>
      <w:r>
        <w:rPr>
          <w:rFonts w:hint="eastAsia" w:ascii="宋体" w:hAnsi="宋体"/>
          <w:color w:val="000000" w:themeColor="text1"/>
          <w:sz w:val="24"/>
          <w:lang w:val="en-US" w:eastAsia="zh-CN"/>
          <w14:textFill>
            <w14:solidFill>
              <w14:schemeClr w14:val="tx1"/>
            </w14:solidFill>
          </w14:textFill>
        </w:rPr>
        <w:t>进场</w:t>
      </w:r>
      <w:r>
        <w:rPr>
          <w:rFonts w:hint="eastAsia" w:ascii="宋体" w:hAnsi="宋体"/>
          <w:color w:val="000000" w:themeColor="text1"/>
          <w:sz w:val="24"/>
          <w14:textFill>
            <w14:solidFill>
              <w14:schemeClr w14:val="tx1"/>
            </w14:solidFill>
          </w14:textFill>
        </w:rPr>
        <w:t>道路</w:t>
      </w:r>
      <w:r>
        <w:rPr>
          <w:rFonts w:hint="eastAsia" w:ascii="宋体" w:hAnsi="宋体"/>
          <w:color w:val="000000" w:themeColor="text1"/>
          <w:sz w:val="24"/>
          <w:lang w:val="en-US" w:eastAsia="zh-CN"/>
          <w14:textFill>
            <w14:solidFill>
              <w14:schemeClr w14:val="tx1"/>
            </w14:solidFill>
          </w14:textFill>
        </w:rPr>
        <w:t>维修</w:t>
      </w:r>
      <w:r>
        <w:rPr>
          <w:rFonts w:hint="eastAsia" w:ascii="宋体" w:hAnsi="宋体"/>
          <w:color w:val="000000" w:themeColor="text1"/>
          <w:sz w:val="24"/>
          <w14:textFill>
            <w14:solidFill>
              <w14:schemeClr w14:val="tx1"/>
            </w14:solidFill>
          </w14:textFill>
        </w:rPr>
        <w:t>、场内施工便道铺设、钢板租赁、有毒气体防护、除臭、每日土工膜起撬及覆盖、抽渗滤液至池内等及一切所有税费</w:t>
      </w:r>
      <w:r>
        <w:rPr>
          <w:rFonts w:hint="eastAsia" w:ascii="宋体" w:hAnsi="宋体"/>
          <w:bCs/>
          <w:color w:val="000000" w:themeColor="text1"/>
          <w:sz w:val="24"/>
          <w:lang w:eastAsia="zh-CN"/>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w:t>
      </w:r>
    </w:p>
    <w:p>
      <w:pPr>
        <w:tabs>
          <w:tab w:val="left" w:pos="180"/>
          <w:tab w:val="left" w:pos="36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甲乙双方经商议执行</w:t>
      </w:r>
      <w:r>
        <w:rPr>
          <w:rFonts w:hint="eastAsia" w:ascii="宋体" w:hAnsi="宋体"/>
          <w:color w:val="000000" w:themeColor="text1"/>
          <w:sz w:val="24"/>
          <w14:textFill>
            <w14:solidFill>
              <w14:schemeClr w14:val="tx1"/>
            </w14:solidFill>
          </w14:textFill>
        </w:rPr>
        <w:t>含税</w:t>
      </w:r>
      <w:r>
        <w:rPr>
          <w:rFonts w:hint="eastAsia" w:ascii="宋体" w:hAnsi="宋体"/>
          <w:color w:val="000000" w:themeColor="text1"/>
          <w:sz w:val="24"/>
          <w:lang w:eastAsia="zh-CN"/>
          <w14:textFill>
            <w14:solidFill>
              <w14:schemeClr w14:val="tx1"/>
            </w14:solidFill>
          </w14:textFill>
        </w:rPr>
        <w:t>分拣生活垃圾无法燃烧物质清运</w:t>
      </w:r>
      <w:r>
        <w:rPr>
          <w:rFonts w:hint="eastAsia" w:ascii="宋体" w:hAnsi="宋体"/>
          <w:color w:val="000000" w:themeColor="text1"/>
          <w:sz w:val="24"/>
          <w14:textFill>
            <w14:solidFill>
              <w14:schemeClr w14:val="tx1"/>
            </w14:solidFill>
          </w14:textFill>
        </w:rPr>
        <w:t>价为￥【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吨</w:t>
      </w:r>
      <w:r>
        <w:rPr>
          <w:rFonts w:hint="eastAsia" w:ascii="宋体" w:hAnsi="宋体"/>
          <w:color w:val="000000" w:themeColor="text1"/>
          <w:sz w:val="24"/>
          <w14:textFill>
            <w14:solidFill>
              <w14:schemeClr w14:val="tx1"/>
            </w14:solidFill>
          </w14:textFill>
        </w:rPr>
        <w:t xml:space="preserve">（大写： </w:t>
      </w:r>
      <w:r>
        <w:rPr>
          <w:rFonts w:ascii="宋体" w:hAnsi="宋体"/>
          <w:color w:val="000000" w:themeColor="text1"/>
          <w:sz w:val="24"/>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吨</w:t>
      </w:r>
      <w:r>
        <w:rPr>
          <w:rFonts w:hint="eastAsia" w:ascii="宋体" w:hAnsi="宋体"/>
          <w:color w:val="000000" w:themeColor="text1"/>
          <w:sz w:val="24"/>
          <w14:textFill>
            <w14:solidFill>
              <w14:schemeClr w14:val="tx1"/>
            </w14:solidFill>
          </w14:textFill>
        </w:rPr>
        <w:t>）（含【</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】%增值税，乙方应向甲方开具【</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】%增值税专用发票），</w:t>
      </w:r>
      <w:r>
        <w:rPr>
          <w:rFonts w:hint="eastAsia" w:ascii="宋体" w:hAnsi="宋体"/>
          <w:bCs/>
          <w:color w:val="000000" w:themeColor="text1"/>
          <w:sz w:val="24"/>
          <w14:textFill>
            <w14:solidFill>
              <w14:schemeClr w14:val="tx1"/>
            </w14:solidFill>
          </w14:textFill>
        </w:rPr>
        <w:t>价格</w:t>
      </w:r>
      <w:r>
        <w:rPr>
          <w:rFonts w:hint="eastAsia" w:ascii="宋体" w:hAnsi="宋体"/>
          <w:bCs/>
          <w:color w:val="000000" w:themeColor="text1"/>
          <w:sz w:val="24"/>
          <w:lang w:eastAsia="zh-CN"/>
          <w14:textFill>
            <w14:solidFill>
              <w14:schemeClr w14:val="tx1"/>
            </w14:solidFill>
          </w14:textFill>
        </w:rPr>
        <w:t>组成包括但不限于（包括但不限于挖装运卸、</w:t>
      </w:r>
      <w:r>
        <w:rPr>
          <w:rFonts w:hint="eastAsia" w:ascii="宋体" w:hAnsi="宋体"/>
          <w:color w:val="000000" w:themeColor="text1"/>
          <w:sz w:val="24"/>
          <w:lang w:val="en-US" w:eastAsia="zh-CN"/>
          <w14:textFill>
            <w14:solidFill>
              <w14:schemeClr w14:val="tx1"/>
            </w14:solidFill>
          </w14:textFill>
        </w:rPr>
        <w:t>进场</w:t>
      </w:r>
      <w:r>
        <w:rPr>
          <w:rFonts w:hint="eastAsia" w:ascii="宋体" w:hAnsi="宋体"/>
          <w:color w:val="000000" w:themeColor="text1"/>
          <w:sz w:val="24"/>
          <w14:textFill>
            <w14:solidFill>
              <w14:schemeClr w14:val="tx1"/>
            </w14:solidFill>
          </w14:textFill>
        </w:rPr>
        <w:t>道路</w:t>
      </w:r>
      <w:r>
        <w:rPr>
          <w:rFonts w:hint="eastAsia" w:ascii="宋体" w:hAnsi="宋体"/>
          <w:color w:val="000000" w:themeColor="text1"/>
          <w:sz w:val="24"/>
          <w:lang w:val="en-US" w:eastAsia="zh-CN"/>
          <w14:textFill>
            <w14:solidFill>
              <w14:schemeClr w14:val="tx1"/>
            </w14:solidFill>
          </w14:textFill>
        </w:rPr>
        <w:t>维修</w:t>
      </w:r>
      <w:r>
        <w:rPr>
          <w:rFonts w:hint="eastAsia" w:ascii="宋体" w:hAnsi="宋体"/>
          <w:bCs/>
          <w:color w:val="000000" w:themeColor="text1"/>
          <w:sz w:val="24"/>
          <w:lang w:eastAsia="zh-CN"/>
          <w14:textFill>
            <w14:solidFill>
              <w14:schemeClr w14:val="tx1"/>
            </w14:solidFill>
          </w14:textFill>
        </w:rPr>
        <w:t>、场内施工便道铺设、钢板租赁、有毒气体防护、除臭、每日土工膜起撬及覆盖、抽渗滤液至池内等及一切所有税费）</w:t>
      </w:r>
      <w:r>
        <w:rPr>
          <w:rFonts w:hint="eastAsia" w:ascii="宋体" w:hAnsi="宋体"/>
          <w:bCs/>
          <w:color w:val="000000" w:themeColor="text1"/>
          <w:sz w:val="24"/>
          <w14:textFill>
            <w14:solidFill>
              <w14:schemeClr w14:val="tx1"/>
            </w14:solidFill>
          </w14:textFill>
        </w:rPr>
        <w:t>。</w:t>
      </w:r>
    </w:p>
    <w:p>
      <w:pPr>
        <w:widowControl/>
        <w:shd w:val="clear" w:color="auto" w:fill="FFFFFF"/>
        <w:spacing w:line="360" w:lineRule="auto"/>
        <w:ind w:firstLine="480"/>
        <w:rPr>
          <w:color w:val="000000" w:themeColor="text1"/>
          <w:szCs w:val="2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2、双方运费的结算方式：</w:t>
      </w:r>
    </w:p>
    <w:p>
      <w:pPr>
        <w:widowControl/>
        <w:shd w:val="clear" w:color="auto" w:fill="FFFFFF"/>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乙方每月</w:t>
      </w: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lang w:val="en-US" w:eastAsia="zh-CN"/>
          <w14:textFill>
            <w14:solidFill>
              <w14:schemeClr w14:val="tx1"/>
            </w14:solidFill>
          </w14:textFill>
        </w:rPr>
        <w:t>25</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号前将上个月完成的</w:t>
      </w:r>
      <w:r>
        <w:rPr>
          <w:rFonts w:hint="eastAsia" w:ascii="宋体" w:hAnsi="宋体" w:cs="宋体"/>
          <w:color w:val="000000" w:themeColor="text1"/>
          <w:kern w:val="0"/>
          <w:sz w:val="24"/>
          <w:lang w:eastAsia="zh-CN"/>
          <w14:textFill>
            <w14:solidFill>
              <w14:schemeClr w14:val="tx1"/>
            </w14:solidFill>
          </w14:textFill>
        </w:rPr>
        <w:t>分拣和</w:t>
      </w:r>
      <w:r>
        <w:rPr>
          <w:rFonts w:hint="eastAsia" w:ascii="宋体" w:hAnsi="宋体" w:cs="宋体"/>
          <w:color w:val="000000" w:themeColor="text1"/>
          <w:kern w:val="0"/>
          <w:sz w:val="24"/>
          <w14:textFill>
            <w14:solidFill>
              <w14:schemeClr w14:val="tx1"/>
            </w14:solidFill>
          </w14:textFill>
        </w:rPr>
        <w:t>清运业务对账单传送给甲方；甲方在</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lang w:val="en-US" w:eastAsia="zh-CN"/>
          <w14:textFill>
            <w14:solidFill>
              <w14:schemeClr w14:val="tx1"/>
            </w14:solidFill>
          </w14:textFill>
        </w:rPr>
        <w:t>15</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个工作日内核对，核对无误确认后，通知乙方向甲方开具</w:t>
      </w:r>
      <w:r>
        <w:rPr>
          <w:rFonts w:hint="eastAsia" w:ascii="宋体" w:hAnsi="宋体" w:cs="宋体"/>
          <w:color w:val="000000" w:themeColor="text1"/>
          <w:kern w:val="0"/>
          <w:sz w:val="24"/>
          <w:lang w:eastAsia="zh-CN"/>
          <w14:textFill>
            <w14:solidFill>
              <w14:schemeClr w14:val="tx1"/>
            </w14:solidFill>
          </w14:textFill>
        </w:rPr>
        <w:t>分拣和</w:t>
      </w:r>
      <w:r>
        <w:rPr>
          <w:rFonts w:hint="eastAsia" w:ascii="宋体" w:hAnsi="宋体" w:cs="宋体"/>
          <w:color w:val="000000" w:themeColor="text1"/>
          <w:kern w:val="0"/>
          <w:sz w:val="24"/>
          <w14:textFill>
            <w14:solidFill>
              <w14:schemeClr w14:val="tx1"/>
            </w14:solidFill>
          </w14:textFill>
        </w:rPr>
        <w:t>清运发票（税率9%）；甲方接到发票后在</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lang w:val="en-US" w:eastAsia="zh-CN"/>
          <w14:textFill>
            <w14:solidFill>
              <w14:schemeClr w14:val="tx1"/>
            </w14:solidFill>
          </w14:textFill>
        </w:rPr>
        <w:t>7</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日内</w:t>
      </w:r>
      <w:r>
        <w:rPr>
          <w:rFonts w:hint="eastAsia" w:ascii="宋体" w:hAnsi="宋体" w:cs="宋体"/>
          <w:color w:val="000000" w:themeColor="text1"/>
          <w:kern w:val="0"/>
          <w:sz w:val="24"/>
          <w:lang w:eastAsia="zh-CN"/>
          <w14:textFill>
            <w14:solidFill>
              <w14:schemeClr w14:val="tx1"/>
            </w14:solidFill>
          </w14:textFill>
        </w:rPr>
        <w:t>付至</w:t>
      </w:r>
      <w:r>
        <w:rPr>
          <w:rFonts w:hint="eastAsia" w:ascii="宋体" w:hAnsi="宋体" w:cs="宋体"/>
          <w:color w:val="000000" w:themeColor="text1"/>
          <w:kern w:val="0"/>
          <w:sz w:val="24"/>
          <w:lang w:val="en-US" w:eastAsia="zh-CN"/>
          <w14:textFill>
            <w14:solidFill>
              <w14:schemeClr w14:val="tx1"/>
            </w14:solidFill>
          </w14:textFill>
        </w:rPr>
        <w:t>上</w:t>
      </w:r>
      <w:r>
        <w:rPr>
          <w:rFonts w:hint="eastAsia" w:ascii="宋体" w:hAnsi="宋体" w:cs="宋体"/>
          <w:color w:val="000000" w:themeColor="text1"/>
          <w:kern w:val="0"/>
          <w:sz w:val="24"/>
          <w:lang w:eastAsia="zh-CN"/>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实际</w:t>
      </w:r>
      <w:r>
        <w:rPr>
          <w:rFonts w:hint="eastAsia" w:ascii="宋体" w:hAnsi="宋体" w:cs="宋体"/>
          <w:color w:val="000000" w:themeColor="text1"/>
          <w:kern w:val="0"/>
          <w:sz w:val="24"/>
          <w:lang w:eastAsia="zh-CN"/>
          <w14:textFill>
            <w14:solidFill>
              <w14:schemeClr w14:val="tx1"/>
            </w14:solidFill>
          </w14:textFill>
        </w:rPr>
        <w:t>结算金额的</w:t>
      </w:r>
      <w:r>
        <w:rPr>
          <w:rFonts w:hint="eastAsia" w:ascii="宋体" w:hAnsi="宋体" w:cs="宋体"/>
          <w:color w:val="000000" w:themeColor="text1"/>
          <w:kern w:val="0"/>
          <w:sz w:val="24"/>
          <w:lang w:val="en-US" w:eastAsia="zh-CN"/>
          <w14:textFill>
            <w14:solidFill>
              <w14:schemeClr w14:val="tx1"/>
            </w14:solidFill>
          </w14:textFill>
        </w:rPr>
        <w:t>100%</w:t>
      </w:r>
      <w:r>
        <w:rPr>
          <w:rFonts w:hint="eastAsia" w:ascii="宋体" w:hAnsi="宋体" w:cs="宋体"/>
          <w:color w:val="000000" w:themeColor="text1"/>
          <w:kern w:val="0"/>
          <w:sz w:val="24"/>
          <w14:textFill>
            <w14:solidFill>
              <w14:schemeClr w14:val="tx1"/>
            </w14:solidFill>
          </w14:textFill>
        </w:rPr>
        <w:t>，最后一个月的费用在合同结束后15日内结清。（遇节假日顺延）</w:t>
      </w:r>
    </w:p>
    <w:p>
      <w:pPr>
        <w:widowControl/>
        <w:shd w:val="clear" w:color="auto" w:fill="FFFFFF"/>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付款前乙方提供符合甲方要求的合法有效的全额增值税专用发票，否则甲方有权暂不予以付款且不用承担逾期付款的违约责任。</w:t>
      </w:r>
    </w:p>
    <w:p>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九</w:t>
      </w:r>
      <w:r>
        <w:rPr>
          <w:rFonts w:hint="eastAsia" w:ascii="宋体" w:hAnsi="宋体"/>
          <w:b/>
          <w:bCs/>
          <w:color w:val="000000" w:themeColor="text1"/>
          <w:sz w:val="24"/>
          <w14:textFill>
            <w14:solidFill>
              <w14:schemeClr w14:val="tx1"/>
            </w14:solidFill>
          </w14:textFill>
        </w:rPr>
        <w:t>、保密及廉洁协议</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1、本合同任何一方在合作过程中所知悉的对方未向社会公开的技术情报、经营信息、客户信息等商业秘密负有保密义务，未经对方书面许可，任何一方不得将其泄露给第三方。</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本合同签订后，乙方不得以任何形式宴请甲方工作人员，不得以任何名目向甲方工作人员赠送钱财、物品或输送利益；如有违此条款,甲方随时终止合同；乙方在签订本合同的同时，必须签订并愿意遵守甲方的供应商守则。</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3、本合同终止后，双方仍需遵照本协议之条款，履行其所承诺的保密和廉洁的义务，直到双方同意解除此项义务，或事实上不会因违反本合同的保密条款而给对方造成任何形式的损害为止。</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4、任何一方违反前述1、2、3项之一的，守约方有权提前解除本合同，对由此所造成守约方的损失，违约方应予以赔偿。</w:t>
      </w:r>
    </w:p>
    <w:p>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十</w:t>
      </w:r>
      <w:r>
        <w:rPr>
          <w:rFonts w:hint="eastAsia" w:ascii="宋体" w:hAnsi="宋体"/>
          <w:b/>
          <w:bCs/>
          <w:color w:val="000000" w:themeColor="text1"/>
          <w:sz w:val="24"/>
          <w14:textFill>
            <w14:solidFill>
              <w14:schemeClr w14:val="tx1"/>
            </w14:solidFill>
          </w14:textFill>
        </w:rPr>
        <w:t>、风险划分及赔偿</w:t>
      </w:r>
    </w:p>
    <w:p>
      <w:pPr>
        <w:tabs>
          <w:tab w:val="left" w:pos="90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1、乙方承担清运工作中由乙方及乙方操作人员造成的损失。</w:t>
      </w:r>
    </w:p>
    <w:p>
      <w:pPr>
        <w:tabs>
          <w:tab w:val="left" w:pos="90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2、在清运过程中，如因乙方人为操作不当等原因，导致甲方托运货物损失的，甲方有权按照本合同第六条的约定向乙方追究违约责任。</w:t>
      </w:r>
    </w:p>
    <w:p>
      <w:pPr>
        <w:tabs>
          <w:tab w:val="left" w:pos="90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3、如在清运过程中，货物由于不可抗力造成的损失或污染，乙方负责与货物出险处有关部门办妥相关的货运记录，及时通知甲方，乙方负责处理相关事宜。</w:t>
      </w:r>
    </w:p>
    <w:p>
      <w:pPr>
        <w:tabs>
          <w:tab w:val="left" w:pos="840"/>
        </w:tabs>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w:t>
      </w:r>
      <w:r>
        <w:rPr>
          <w:rFonts w:hint="eastAsia" w:ascii="宋体" w:hAnsi="宋体"/>
          <w:b/>
          <w:bCs/>
          <w:color w:val="000000" w:themeColor="text1"/>
          <w:sz w:val="24"/>
          <w:lang w:val="en-US" w:eastAsia="zh-CN"/>
          <w14:textFill>
            <w14:solidFill>
              <w14:schemeClr w14:val="tx1"/>
            </w14:solidFill>
          </w14:textFill>
        </w:rPr>
        <w:t>一</w:t>
      </w:r>
      <w:r>
        <w:rPr>
          <w:rFonts w:hint="eastAsia" w:ascii="宋体" w:hAnsi="宋体"/>
          <w:b/>
          <w:bCs/>
          <w:color w:val="000000" w:themeColor="text1"/>
          <w:sz w:val="24"/>
          <w14:textFill>
            <w14:solidFill>
              <w14:schemeClr w14:val="tx1"/>
            </w14:solidFill>
          </w14:textFill>
        </w:rPr>
        <w:t>、不可抗力</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不可抗力是指本协议双方不可预见并不能避免的客观情况，该事件妨碍、影响或延误任何一方根据本协议履行其全部或部分义务，该事件包括：地震、台风、洪水、火灾或其它自然灾害、战争或任何其他类似事件；</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2、如发生不可抗力事件，遭受该事件的一方应立即用最快捷的方式通知另一方该事件发生的详细情况及处理方案，以及该事件阻碍通知方履行本合同规定义务的程度；一方应当举证证明其遭受了不可抗力。</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3、遭受不可抗力事件的一方可暂时中止履行本合同规定的义务直至不可抗力事件的影响消除为止，但应尽最大努力克服该事件并减轻其负面影响。</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w:t>
      </w:r>
      <w:r>
        <w:rPr>
          <w:rFonts w:hint="eastAsia" w:ascii="宋体" w:hAnsi="宋体"/>
          <w:b/>
          <w:bCs/>
          <w:color w:val="000000" w:themeColor="text1"/>
          <w:sz w:val="24"/>
          <w:lang w:val="en-US" w:eastAsia="zh-CN"/>
          <w14:textFill>
            <w14:solidFill>
              <w14:schemeClr w14:val="tx1"/>
            </w14:solidFill>
          </w14:textFill>
        </w:rPr>
        <w:t>二</w:t>
      </w:r>
      <w:r>
        <w:rPr>
          <w:rFonts w:hint="eastAsia" w:ascii="宋体" w:hAnsi="宋体"/>
          <w:b/>
          <w:bCs/>
          <w:color w:val="000000" w:themeColor="text1"/>
          <w:sz w:val="24"/>
          <w14:textFill>
            <w14:solidFill>
              <w14:schemeClr w14:val="tx1"/>
            </w14:solidFill>
          </w14:textFill>
        </w:rPr>
        <w:t>、合同的生效、修改、续约及提前终止</w:t>
      </w:r>
    </w:p>
    <w:p>
      <w:pPr>
        <w:spacing w:line="360" w:lineRule="auto"/>
        <w:ind w:firstLine="480" w:firstLineChars="20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1、本合同经由甲乙双方法定人代表或其授权人签名并加盖公章后生效，生</w:t>
      </w:r>
    </w:p>
    <w:p>
      <w:pPr>
        <w:spacing w:line="360" w:lineRule="auto"/>
        <w:ind w:firstLine="480" w:firstLineChars="20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效日期为合同规定生效日期；</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2、合同的任何一方出现下列任何情形，另一方有权以书面通知的形式单方</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提前终止本合同：</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2.1一方盗卖货物行为的；</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2.2一方违约，并且在守约方依本协议有关条款发出书面通知后十日内仍不</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纠正其违约行为或未采取充分、有效、及时的措施消除违约后果并赔偿守约方因违约方之违约行为而遭致的损失。</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2.3一方由于不可抗力事件而无法继续履行本合同。</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3、合同执行期间如因乙方服务质量及安全规范无法满足甲方要求并经甲方要求整改仍无改进，甲方将以书面通知形式单方面提前终止本合同。</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4、前款所述的书面通知中应列明提前终止本合同的理由，自该书面通知发出之日起，本合同即告终止。</w:t>
      </w:r>
    </w:p>
    <w:p>
      <w:pPr>
        <w:spacing w:line="360" w:lineRule="auto"/>
        <w:ind w:firstLine="480" w:firstLineChars="200"/>
        <w:rPr>
          <w:rFonts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5、本合同的解除不影响双方于解除日之前根据本协议已产生的权利和义务。</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lang w:val="en-US" w:eastAsia="zh-CN"/>
          <w14:textFill>
            <w14:solidFill>
              <w14:schemeClr w14:val="tx1"/>
            </w14:solidFill>
          </w14:textFill>
        </w:rPr>
        <w:t>三</w:t>
      </w:r>
      <w:r>
        <w:rPr>
          <w:rFonts w:hAnsi="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解决争议的方法</w:t>
      </w:r>
    </w:p>
    <w:p>
      <w:pPr>
        <w:pStyle w:val="13"/>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如双方在履行合同时发生纠纷，应协商解决；协商不成时，可提请政府采购管理部门调解；调解不成的通过</w:t>
      </w:r>
      <w:r>
        <w:rPr>
          <w:rFonts w:hint="eastAsia" w:asciiTheme="minorEastAsia" w:hAnsiTheme="minorEastAsia" w:eastAsiaTheme="minorEastAsia"/>
          <w:color w:val="000000" w:themeColor="text1"/>
          <w:sz w:val="24"/>
          <w14:textFill>
            <w14:solidFill>
              <w14:schemeClr w14:val="tx1"/>
            </w14:solidFill>
          </w14:textFill>
        </w:rPr>
        <w:t xml:space="preserve">以下第（ </w:t>
      </w:r>
      <w:r>
        <w:rPr>
          <w:rFonts w:hint="eastAsia" w:asciiTheme="minorEastAsia" w:hAnsiTheme="minorEastAsia" w:eastAsiaTheme="minorEastAsia"/>
          <w:color w:val="000000" w:themeColor="text1"/>
          <w:sz w:val="24"/>
          <w:lang w:eastAsia="zh-CN"/>
          <w14:textFill>
            <w14:solidFill>
              <w14:schemeClr w14:val="tx1"/>
            </w14:solidFill>
          </w14:textFill>
        </w:rPr>
        <w:t>二</w:t>
      </w:r>
      <w:r>
        <w:rPr>
          <w:rFonts w:hint="eastAsia" w:asciiTheme="minorEastAsia" w:hAnsiTheme="minorEastAsia" w:eastAsiaTheme="minorEastAsia"/>
          <w:color w:val="000000" w:themeColor="text1"/>
          <w:sz w:val="24"/>
          <w14:textFill>
            <w14:solidFill>
              <w14:schemeClr w14:val="tx1"/>
            </w14:solidFill>
          </w14:textFill>
        </w:rPr>
        <w:t xml:space="preserve"> ）方式解决</w:t>
      </w:r>
      <w:r>
        <w:rPr>
          <w:rFonts w:asciiTheme="minorEastAsia" w:hAnsiTheme="minorEastAsia" w:eastAsiaTheme="minorEastAsia"/>
          <w:color w:val="000000" w:themeColor="text1"/>
          <w:sz w:val="24"/>
          <w14:textFill>
            <w14:solidFill>
              <w14:schemeClr w14:val="tx1"/>
            </w14:solidFill>
          </w14:textFill>
        </w:rPr>
        <w:t>：</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w:t>
      </w:r>
      <w:r>
        <w:rPr>
          <w:rFonts w:ascii="宋体" w:hAnsi="宋体" w:cs="宋体"/>
          <w:color w:val="000000" w:themeColor="text1"/>
          <w:kern w:val="0"/>
          <w:sz w:val="24"/>
          <w14:textFill>
            <w14:solidFill>
              <w14:schemeClr w14:val="tx1"/>
            </w14:solidFill>
          </w14:textFill>
        </w:rPr>
        <w:t>提交</w:t>
      </w:r>
      <w:r>
        <w:rPr>
          <w:rFonts w:hAnsi="宋体"/>
          <w:color w:val="000000" w:themeColor="text1"/>
          <w:sz w:val="24"/>
          <w:u w:val="single"/>
          <w14:textFill>
            <w14:solidFill>
              <w14:schemeClr w14:val="tx1"/>
            </w14:solidFill>
          </w14:textFill>
        </w:rPr>
        <w:t>台州</w:t>
      </w:r>
      <w:r>
        <w:rPr>
          <w:rFonts w:ascii="宋体" w:hAnsi="宋体" w:cs="宋体"/>
          <w:color w:val="000000" w:themeColor="text1"/>
          <w:kern w:val="0"/>
          <w:sz w:val="24"/>
          <w14:textFill>
            <w14:solidFill>
              <w14:schemeClr w14:val="tx1"/>
            </w14:solidFill>
          </w14:textFill>
        </w:rPr>
        <w:t>仲裁委员会仲裁。</w:t>
      </w:r>
    </w:p>
    <w:p>
      <w:pPr>
        <w:widowControl/>
        <w:spacing w:line="360" w:lineRule="auto"/>
        <w:ind w:firstLine="480" w:firstLineChars="200"/>
        <w:rPr>
          <w:rFonts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w:t>
      </w:r>
      <w:r>
        <w:rPr>
          <w:rFonts w:ascii="宋体" w:hAnsi="宋体" w:cs="宋体"/>
          <w:color w:val="000000" w:themeColor="text1"/>
          <w:kern w:val="0"/>
          <w:sz w:val="24"/>
          <w14:textFill>
            <w14:solidFill>
              <w14:schemeClr w14:val="tx1"/>
            </w14:solidFill>
          </w14:textFill>
        </w:rPr>
        <w:t>依法向</w:t>
      </w:r>
      <w:r>
        <w:rPr>
          <w:rFonts w:hint="eastAsia" w:ascii="宋体" w:hAnsi="宋体" w:cs="宋体"/>
          <w:color w:val="000000" w:themeColor="text1"/>
          <w:kern w:val="0"/>
          <w:sz w:val="24"/>
          <w:lang w:eastAsia="zh-CN"/>
          <w14:textFill>
            <w14:solidFill>
              <w14:schemeClr w14:val="tx1"/>
            </w14:solidFill>
          </w14:textFill>
        </w:rPr>
        <w:t>三门县</w:t>
      </w:r>
      <w:r>
        <w:rPr>
          <w:rFonts w:ascii="宋体" w:hAnsi="宋体" w:cs="宋体"/>
          <w:color w:val="000000" w:themeColor="text1"/>
          <w:kern w:val="0"/>
          <w:sz w:val="24"/>
          <w14:textFill>
            <w14:solidFill>
              <w14:schemeClr w14:val="tx1"/>
            </w14:solidFill>
          </w14:textFill>
        </w:rPr>
        <w:t xml:space="preserve">人民法院提起诉讼。 </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lang w:val="en-US" w:eastAsia="zh-CN"/>
          <w14:textFill>
            <w14:solidFill>
              <w14:schemeClr w14:val="tx1"/>
            </w14:solidFill>
          </w14:textFill>
        </w:rPr>
        <w:t>四</w:t>
      </w:r>
      <w:r>
        <w:rPr>
          <w:rFonts w:hAnsi="宋体"/>
          <w:b/>
          <w:color w:val="000000" w:themeColor="text1"/>
          <w:sz w:val="24"/>
          <w14:textFill>
            <w14:solidFill>
              <w14:schemeClr w14:val="tx1"/>
            </w14:solidFill>
          </w14:textFill>
        </w:rPr>
        <w:t>、合同生效及其它</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14:textFill>
            <w14:solidFill>
              <w14:schemeClr w14:val="tx1"/>
            </w14:solidFill>
          </w14:textFill>
        </w:rPr>
        <w:t>一</w:t>
      </w:r>
      <w:r>
        <w:rPr>
          <w:rFonts w:hAnsi="宋体" w:cs="宋体"/>
          <w:color w:val="000000" w:themeColor="text1"/>
          <w:kern w:val="0"/>
          <w:sz w:val="24"/>
          <w14:textFill>
            <w14:solidFill>
              <w14:schemeClr w14:val="tx1"/>
            </w14:solidFill>
          </w14:textFill>
        </w:rPr>
        <w:t>）</w:t>
      </w:r>
      <w:r>
        <w:rPr>
          <w:rFonts w:hAnsi="宋体"/>
          <w:color w:val="000000" w:themeColor="text1"/>
          <w:sz w:val="24"/>
          <w14:textFill>
            <w14:solidFill>
              <w14:schemeClr w14:val="tx1"/>
            </w14:solidFill>
          </w14:textFill>
        </w:rPr>
        <w:t>合同经双方法定代表人或授权代表</w:t>
      </w:r>
      <w:r>
        <w:rPr>
          <w:rFonts w:hint="eastAsia" w:hAnsi="宋体"/>
          <w:color w:val="000000" w:themeColor="text1"/>
          <w:sz w:val="24"/>
          <w14:textFill>
            <w14:solidFill>
              <w14:schemeClr w14:val="tx1"/>
            </w14:solidFill>
          </w14:textFill>
        </w:rPr>
        <w:t>签字</w:t>
      </w:r>
      <w:r>
        <w:rPr>
          <w:rFonts w:hAnsi="宋体"/>
          <w:color w:val="000000" w:themeColor="text1"/>
          <w:sz w:val="24"/>
          <w14:textFill>
            <w14:solidFill>
              <w14:schemeClr w14:val="tx1"/>
            </w14:solidFill>
          </w14:textFill>
        </w:rPr>
        <w:t>并加盖单位公章后生效。</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14:textFill>
            <w14:solidFill>
              <w14:schemeClr w14:val="tx1"/>
            </w14:solidFill>
          </w14:textFill>
        </w:rPr>
        <w:t>二</w:t>
      </w:r>
      <w:r>
        <w:rPr>
          <w:rFonts w:hAnsi="宋体" w:cs="宋体"/>
          <w:color w:val="000000" w:themeColor="text1"/>
          <w:kern w:val="0"/>
          <w:sz w:val="24"/>
          <w14:textFill>
            <w14:solidFill>
              <w14:schemeClr w14:val="tx1"/>
            </w14:solidFill>
          </w14:textFill>
        </w:rPr>
        <w:t>）</w:t>
      </w:r>
      <w:r>
        <w:rPr>
          <w:rFonts w:hAnsi="宋体"/>
          <w:color w:val="000000" w:themeColor="text1"/>
          <w:sz w:val="24"/>
          <w14:textFill>
            <w14:solidFill>
              <w14:schemeClr w14:val="tx1"/>
            </w14:solidFill>
          </w14:textFill>
        </w:rPr>
        <w:t>本合同未尽事宜，遵照《</w:t>
      </w:r>
      <w:r>
        <w:rPr>
          <w:rFonts w:hint="eastAsia" w:hAnsi="宋体"/>
          <w:color w:val="000000" w:themeColor="text1"/>
          <w:sz w:val="24"/>
          <w14:textFill>
            <w14:solidFill>
              <w14:schemeClr w14:val="tx1"/>
            </w14:solidFill>
          </w14:textFill>
        </w:rPr>
        <w:t>中华人民共和国民法典</w:t>
      </w:r>
      <w:r>
        <w:rPr>
          <w:rFonts w:hAnsi="宋体"/>
          <w:color w:val="000000" w:themeColor="text1"/>
          <w:sz w:val="24"/>
          <w14:textFill>
            <w14:solidFill>
              <w14:schemeClr w14:val="tx1"/>
            </w14:solidFill>
          </w14:textFill>
        </w:rPr>
        <w:t>》有关条文执行。</w:t>
      </w:r>
    </w:p>
    <w:p>
      <w:pPr>
        <w:widowControl/>
        <w:spacing w:line="360" w:lineRule="auto"/>
        <w:ind w:firstLine="480" w:firstLineChars="200"/>
        <w:rPr>
          <w:rFonts w:ascii="宋体" w:hAnsi="宋体" w:cstheme="minorBidi"/>
          <w:color w:val="000000" w:themeColor="text1"/>
          <w:sz w:val="24"/>
          <w14:textFill>
            <w14:solidFill>
              <w14:schemeClr w14:val="tx1"/>
            </w14:solidFill>
          </w14:textFill>
        </w:rPr>
      </w:pPr>
      <w:r>
        <w:rPr>
          <w:rFonts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14:textFill>
            <w14:solidFill>
              <w14:schemeClr w14:val="tx1"/>
            </w14:solidFill>
          </w14:textFill>
        </w:rPr>
        <w:t>三</w:t>
      </w:r>
      <w:r>
        <w:rPr>
          <w:rFonts w:hAnsi="宋体" w:cs="宋体"/>
          <w:color w:val="000000" w:themeColor="text1"/>
          <w:kern w:val="0"/>
          <w:sz w:val="24"/>
          <w14:textFill>
            <w14:solidFill>
              <w14:schemeClr w14:val="tx1"/>
            </w14:solidFill>
          </w14:textFill>
        </w:rPr>
        <w:t>）</w:t>
      </w:r>
      <w:r>
        <w:rPr>
          <w:rFonts w:hint="eastAsia" w:ascii="宋体" w:hAnsi="宋体" w:cstheme="minorBidi"/>
          <w:color w:val="000000" w:themeColor="text1"/>
          <w:sz w:val="24"/>
          <w14:textFill>
            <w14:solidFill>
              <w14:schemeClr w14:val="tx1"/>
            </w14:solidFill>
          </w14:textFill>
        </w:rPr>
        <w:t>本合同一式</w:t>
      </w:r>
      <w:r>
        <w:rPr>
          <w:rFonts w:hint="eastAsia" w:ascii="宋体" w:hAnsi="宋体" w:cstheme="minorBidi"/>
          <w:color w:val="000000" w:themeColor="text1"/>
          <w:sz w:val="24"/>
          <w:lang w:eastAsia="zh-CN"/>
          <w14:textFill>
            <w14:solidFill>
              <w14:schemeClr w14:val="tx1"/>
            </w14:solidFill>
          </w14:textFill>
        </w:rPr>
        <w:t>四</w:t>
      </w:r>
      <w:r>
        <w:rPr>
          <w:rFonts w:hint="eastAsia" w:ascii="宋体" w:hAnsi="宋体" w:cstheme="minorBidi"/>
          <w:color w:val="000000" w:themeColor="text1"/>
          <w:sz w:val="24"/>
          <w14:textFill>
            <w14:solidFill>
              <w14:schemeClr w14:val="tx1"/>
            </w14:solidFill>
          </w14:textFill>
        </w:rPr>
        <w:t>份。甲、乙双方各执</w:t>
      </w:r>
      <w:r>
        <w:rPr>
          <w:rFonts w:hint="eastAsia" w:ascii="宋体" w:hAnsi="宋体" w:cstheme="minorBidi"/>
          <w:color w:val="000000" w:themeColor="text1"/>
          <w:sz w:val="24"/>
          <w:lang w:eastAsia="zh-CN"/>
          <w14:textFill>
            <w14:solidFill>
              <w14:schemeClr w14:val="tx1"/>
            </w14:solidFill>
          </w14:textFill>
        </w:rPr>
        <w:t>二</w:t>
      </w:r>
      <w:r>
        <w:rPr>
          <w:rFonts w:hint="eastAsia" w:ascii="宋体" w:hAnsi="宋体" w:cstheme="minorBidi"/>
          <w:color w:val="000000" w:themeColor="text1"/>
          <w:sz w:val="24"/>
          <w14:textFill>
            <w14:solidFill>
              <w14:schemeClr w14:val="tx1"/>
            </w14:solidFill>
          </w14:textFill>
        </w:rPr>
        <w:t>份。本项目未尽事宜以招标文件、投标文件及澄清文件等为准。</w:t>
      </w:r>
    </w:p>
    <w:p>
      <w:pPr>
        <w:widowControl/>
        <w:spacing w:line="360" w:lineRule="auto"/>
        <w:rPr>
          <w:rFonts w:ascii="宋体" w:hAnsi="宋体"/>
          <w:b/>
          <w:color w:val="000000" w:themeColor="text1"/>
          <w:sz w:val="24"/>
          <w14:textFill>
            <w14:solidFill>
              <w14:schemeClr w14:val="tx1"/>
            </w14:solidFill>
          </w14:textFill>
        </w:rPr>
      </w:pPr>
    </w:p>
    <w:p>
      <w:pPr>
        <w:pStyle w:val="3"/>
        <w:rPr>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甲方（盖章）                                     乙方（盖章）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                                           账号：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地址及邮编：                                     地址及邮编：</w:t>
      </w:r>
    </w:p>
    <w:p>
      <w:pPr>
        <w:spacing w:line="360" w:lineRule="auto"/>
        <w:rPr>
          <w:rFonts w:ascii="宋体" w:hAnsi="宋体"/>
          <w:color w:val="000000" w:themeColor="text1"/>
          <w:sz w:val="24"/>
          <w14:textFill>
            <w14:solidFill>
              <w14:schemeClr w14:val="tx1"/>
            </w14:solidFill>
          </w14:textFill>
        </w:rPr>
      </w:pPr>
    </w:p>
    <w:p>
      <w:pPr>
        <w:spacing w:line="360" w:lineRule="auto"/>
        <w:ind w:firstLine="4920" w:firstLineChars="20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    年   月    日</w:t>
      </w:r>
    </w:p>
    <w:p>
      <w:pPr>
        <w:jc w:val="center"/>
        <w:rPr>
          <w:rFonts w:asciiTheme="majorEastAsia" w:hAnsiTheme="majorEastAsia" w:eastAsiaTheme="majorEastAsia"/>
          <w:b/>
          <w:color w:val="000000" w:themeColor="text1"/>
          <w:sz w:val="36"/>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r>
        <w:rPr>
          <w:rFonts w:hint="eastAsia" w:asciiTheme="majorEastAsia" w:hAnsiTheme="majorEastAsia" w:eastAsiaTheme="majorEastAsia"/>
          <w:b/>
          <w:color w:val="000000" w:themeColor="text1"/>
          <w:sz w:val="36"/>
          <w14:textFill>
            <w14:solidFill>
              <w14:schemeClr w14:val="tx1"/>
            </w14:solidFill>
          </w14:textFill>
        </w:rPr>
        <w:t>专用条款</w:t>
      </w:r>
    </w:p>
    <w:p>
      <w:pPr>
        <w:spacing w:line="360" w:lineRule="auto"/>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36"/>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color w:val="000000" w:themeColor="text1"/>
          <w:sz w:val="36"/>
          <w:szCs w:val="36"/>
          <w:highlight w:val="none"/>
          <w14:textFill>
            <w14:solidFill>
              <w14:schemeClr w14:val="tx1"/>
            </w14:solidFill>
          </w14:textFill>
        </w:rPr>
      </w:pPr>
    </w:p>
    <w:p>
      <w:pP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bookmarkStart w:id="33" w:name="_Toc27671"/>
      <w:bookmarkStart w:id="34" w:name="_Toc4995"/>
      <w:r>
        <w:rPr>
          <w:rFonts w:hint="eastAsia"/>
          <w:color w:val="000000" w:themeColor="text1"/>
          <w14:textFill>
            <w14:solidFill>
              <w14:schemeClr w14:val="tx1"/>
            </w14:solidFill>
          </w14:textFill>
        </w:rPr>
        <w:t>投标文件格式附件</w:t>
      </w:r>
      <w:bookmarkEnd w:id="33"/>
      <w:bookmarkEnd w:id="34"/>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　　　</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outlineLvl w:val="0"/>
        <w:rPr>
          <w:rFonts w:ascii="宋体" w:hAnsi="宋体"/>
          <w:color w:val="000000" w:themeColor="text1"/>
          <w:spacing w:val="40"/>
          <w:sz w:val="52"/>
          <w:szCs w:val="52"/>
          <w:highlight w:val="none"/>
          <w14:textFill>
            <w14:solidFill>
              <w14:schemeClr w14:val="tx1"/>
            </w14:solidFill>
          </w14:textFill>
        </w:rPr>
      </w:pPr>
      <w:bookmarkStart w:id="35" w:name="_Toc6187"/>
      <w:bookmarkStart w:id="36" w:name="_Toc7384"/>
      <w:r>
        <w:rPr>
          <w:rFonts w:hint="eastAsia" w:ascii="宋体" w:hAnsi="宋体"/>
          <w:color w:val="000000" w:themeColor="text1"/>
          <w:spacing w:val="40"/>
          <w:sz w:val="52"/>
          <w:szCs w:val="52"/>
          <w:highlight w:val="none"/>
          <w14:textFill>
            <w14:solidFill>
              <w14:schemeClr w14:val="tx1"/>
            </w14:solidFill>
          </w14:textFill>
        </w:rPr>
        <w:t>项目名称</w:t>
      </w:r>
      <w:bookmarkEnd w:id="35"/>
      <w:bookmarkEnd w:id="36"/>
    </w:p>
    <w:p>
      <w:pPr>
        <w:spacing w:before="312" w:beforeLines="100"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widowControl/>
        <w:numPr>
          <w:ilvl w:val="0"/>
          <w:numId w:val="9"/>
        </w:numPr>
        <w:spacing w:line="360" w:lineRule="auto"/>
        <w:ind w:left="-52" w:leftChars="0" w:right="60" w:rightChars="0" w:firstLine="472" w:firstLineChars="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投标声明书（见附件</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p>
    <w:p>
      <w:pPr>
        <w:widowControl/>
        <w:numPr>
          <w:ilvl w:val="0"/>
          <w:numId w:val="9"/>
        </w:numPr>
        <w:spacing w:line="360" w:lineRule="auto"/>
        <w:ind w:left="-52" w:leftChars="0" w:right="60" w:rightChars="0" w:firstLine="472" w:firstLineChars="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授权委托书（法定代表人亲自办理投标事宜的，则无需提交)（见附件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p>
    <w:p>
      <w:pPr>
        <w:widowControl/>
        <w:numPr>
          <w:ilvl w:val="0"/>
          <w:numId w:val="9"/>
        </w:numPr>
        <w:spacing w:line="360" w:lineRule="auto"/>
        <w:ind w:left="-52" w:leftChars="0" w:right="60" w:rightChars="0" w:firstLine="472" w:firstLineChars="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道路运输经营许可证</w:t>
      </w:r>
      <w:r>
        <w:rPr>
          <w:rFonts w:hint="eastAsia" w:ascii="宋体" w:hAnsi="宋体" w:cs="宋体"/>
          <w:color w:val="000000" w:themeColor="text1"/>
          <w:sz w:val="24"/>
          <w:highlight w:val="none"/>
          <w14:textFill>
            <w14:solidFill>
              <w14:schemeClr w14:val="tx1"/>
            </w14:solidFill>
          </w14:textFill>
        </w:rPr>
        <w:t>等证明文件，自然人的身份证明；</w:t>
      </w:r>
    </w:p>
    <w:p>
      <w:pPr>
        <w:widowControl/>
        <w:numPr>
          <w:ilvl w:val="0"/>
          <w:numId w:val="9"/>
        </w:numPr>
        <w:spacing w:line="360" w:lineRule="auto"/>
        <w:ind w:left="-52" w:leftChars="0" w:right="60" w:rightChars="0" w:firstLine="472" w:firstLineChars="0"/>
        <w:jc w:val="left"/>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p>
    <w:p>
      <w:pPr>
        <w:widowControl/>
        <w:numPr>
          <w:ilvl w:val="0"/>
          <w:numId w:val="9"/>
        </w:numPr>
        <w:spacing w:line="360" w:lineRule="auto"/>
        <w:ind w:left="-52" w:leftChars="0" w:right="60" w:rightChars="0" w:firstLine="472" w:firstLineChars="0"/>
        <w:jc w:val="left"/>
        <w:outlineLvl w:val="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提供度财务状况报告</w:t>
      </w:r>
      <w:r>
        <w:rPr>
          <w:rFonts w:hint="eastAsia" w:ascii="宋体" w:hAnsi="宋体" w:cs="宋体"/>
          <w:color w:val="000000" w:themeColor="text1"/>
          <w:sz w:val="24"/>
          <w:highlight w:val="none"/>
          <w14:textFill>
            <w14:solidFill>
              <w14:schemeClr w14:val="tx1"/>
            </w14:solidFill>
          </w14:textFill>
        </w:rPr>
        <w:t>或基本开户行出具的资信证明（以联合体形式投标时，联合体各方均须满足该条款）</w:t>
      </w:r>
      <w:r>
        <w:rPr>
          <w:rFonts w:hint="eastAsia" w:ascii="宋体" w:hAnsi="宋体" w:cs="宋体"/>
          <w:color w:val="000000" w:themeColor="text1"/>
          <w:sz w:val="24"/>
          <w:highlight w:val="none"/>
          <w:lang w:eastAsia="zh-CN"/>
          <w14:textFill>
            <w14:solidFill>
              <w14:schemeClr w14:val="tx1"/>
            </w14:solidFill>
          </w14:textFill>
        </w:rPr>
        <w:t>；</w:t>
      </w:r>
    </w:p>
    <w:p>
      <w:pPr>
        <w:widowControl/>
        <w:numPr>
          <w:ilvl w:val="0"/>
          <w:numId w:val="9"/>
        </w:numPr>
        <w:spacing w:line="360" w:lineRule="auto"/>
        <w:ind w:left="-52" w:leftChars="0" w:right="60" w:rightChars="0" w:firstLine="472" w:firstLineChars="0"/>
        <w:jc w:val="left"/>
        <w:outlineLvl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提供采购公告中符合供应商特定条件的有效资质证书扫描件以及需要说明的其他资料。</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29"/>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ind w:left="420"/>
        <w:outlineLvl w:val="0"/>
        <w:rPr>
          <w:rFonts w:hint="eastAsia" w:ascii="宋体" w:hAnsi="宋体" w:eastAsia="宋体"/>
          <w:b/>
          <w:color w:val="000000" w:themeColor="text1"/>
          <w:sz w:val="28"/>
          <w:highlight w:val="none"/>
          <w:lang w:eastAsia="zh-CN"/>
          <w14:textFill>
            <w14:solidFill>
              <w14:schemeClr w14:val="tx1"/>
            </w14:solidFill>
          </w14:textFill>
        </w:rPr>
      </w:pPr>
      <w:bookmarkStart w:id="37" w:name="_Toc32553"/>
      <w:bookmarkStart w:id="38" w:name="_Toc13676"/>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w:t>
      </w:r>
      <w:bookmarkEnd w:id="37"/>
      <w:bookmarkEnd w:id="38"/>
    </w:p>
    <w:p>
      <w:pPr>
        <w:adjustRightInd w:val="0"/>
        <w:snapToGrid w:val="0"/>
        <w:spacing w:line="360"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Lines="50" w:after="50" w:line="312" w:lineRule="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（投标人名称）系中华人民共和国合法企业，</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经营地址</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招标项目名称</w:t>
      </w:r>
      <w:r>
        <w:rPr>
          <w:rFonts w:hint="eastAsia" w:ascii="宋体" w:hAnsi="宋体" w:cs="宋体"/>
          <w:color w:val="000000" w:themeColor="text1"/>
          <w:kern w:val="0"/>
          <w:sz w:val="24"/>
          <w14:textFill>
            <w14:solidFill>
              <w14:schemeClr w14:val="tx1"/>
            </w14:solidFill>
          </w14:textFill>
        </w:rPr>
        <w:t>）（编号为</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）的投标，为此，我公司就本次投标有关事项郑重声明如下：</w:t>
      </w:r>
    </w:p>
    <w:p>
      <w:pPr>
        <w:numPr>
          <w:ilvl w:val="0"/>
          <w:numId w:val="10"/>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0"/>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0"/>
        </w:numPr>
        <w:snapToGrid w:val="0"/>
        <w:spacing w:line="360" w:lineRule="auto"/>
        <w:ind w:left="5" w:firstLine="415"/>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numPr>
          <w:ilvl w:val="0"/>
          <w:numId w:val="10"/>
        </w:numPr>
        <w:snapToGrid w:val="0"/>
        <w:spacing w:line="360" w:lineRule="auto"/>
        <w:ind w:left="5" w:firstLine="415"/>
        <w:rPr>
          <w:rFonts w:ascii="宋体" w:hAnsi="宋体"/>
          <w:color w:val="000000" w:themeColor="text1"/>
          <w:kern w:val="0"/>
          <w:sz w:val="24"/>
          <w:lang w:val="af-Z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numPr>
          <w:ilvl w:val="0"/>
          <w:numId w:val="10"/>
        </w:numPr>
        <w:snapToGrid w:val="0"/>
        <w:spacing w:line="360" w:lineRule="auto"/>
        <w:ind w:left="5" w:firstLine="415"/>
        <w:rPr>
          <w:rFonts w:ascii="仿宋_GB2312" w:hAnsi="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numPr>
          <w:ilvl w:val="0"/>
          <w:numId w:val="10"/>
        </w:numPr>
        <w:snapToGrid w:val="0"/>
        <w:spacing w:line="360" w:lineRule="auto"/>
        <w:ind w:left="5" w:firstLine="41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pStyle w:val="22"/>
        <w:ind w:left="0" w:leftChars="0" w:firstLine="0" w:firstLineChars="0"/>
        <w:rPr>
          <w:rFonts w:hint="eastAsia"/>
          <w:color w:val="000000" w:themeColor="text1"/>
          <w:lang w:val="en-US" w:eastAsia="zh-CN"/>
          <w14:textFill>
            <w14:solidFill>
              <w14:schemeClr w14:val="tx1"/>
            </w14:solidFill>
          </w14:textFill>
        </w:rPr>
      </w:pPr>
    </w:p>
    <w:p>
      <w:pPr>
        <w:pStyle w:val="22"/>
        <w:ind w:left="0" w:leftChars="0" w:firstLine="0" w:firstLineChars="0"/>
        <w:rPr>
          <w:rFonts w:hint="eastAsia"/>
          <w:color w:val="000000" w:themeColor="text1"/>
          <w:lang w:val="en-US" w:eastAsia="zh-CN"/>
          <w14:textFill>
            <w14:solidFill>
              <w14:schemeClr w14:val="tx1"/>
            </w14:solidFill>
          </w14:textFill>
        </w:rPr>
      </w:pPr>
    </w:p>
    <w:p>
      <w:pPr>
        <w:adjustRightInd w:val="0"/>
        <w:snapToGrid w:val="0"/>
        <w:spacing w:line="360" w:lineRule="auto"/>
        <w:ind w:left="0" w:leftChars="0" w:firstLine="4838" w:firstLineChars="2016"/>
        <w:jc w:val="both"/>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投标人名称(公章)：</w:t>
      </w:r>
    </w:p>
    <w:p>
      <w:pPr>
        <w:adjustRightInd w:val="0"/>
        <w:snapToGrid w:val="0"/>
        <w:spacing w:line="360" w:lineRule="auto"/>
        <w:ind w:left="0" w:leftChars="0" w:firstLine="4838" w:firstLineChars="2016"/>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法定代表人或授权委托人签字：</w:t>
      </w:r>
    </w:p>
    <w:p>
      <w:pPr>
        <w:adjustRightInd w:val="0"/>
        <w:snapToGrid w:val="0"/>
        <w:spacing w:line="360" w:lineRule="auto"/>
        <w:ind w:left="0" w:leftChars="0" w:firstLine="4838" w:firstLineChars="2016"/>
        <w:jc w:val="both"/>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月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日</w:t>
      </w:r>
    </w:p>
    <w:p>
      <w:pPr>
        <w:pStyle w:val="3"/>
        <w:rPr>
          <w:rFonts w:hint="eastAsia" w:ascii="宋体" w:hAnsi="宋体" w:cs="仿宋_GB2312"/>
          <w:color w:val="000000" w:themeColor="text1"/>
          <w:kern w:val="0"/>
          <w:sz w:val="24"/>
          <w:highlight w:val="none"/>
          <w:lang w:val="zh-CN"/>
          <w14:textFill>
            <w14:solidFill>
              <w14:schemeClr w14:val="tx1"/>
            </w14:solidFill>
          </w14:textFill>
        </w:rPr>
      </w:pPr>
    </w:p>
    <w:p>
      <w:pPr>
        <w:adjustRightInd w:val="0"/>
        <w:snapToGrid w:val="0"/>
        <w:spacing w:line="360" w:lineRule="auto"/>
        <w:ind w:right="480"/>
        <w:outlineLvl w:val="0"/>
        <w:rPr>
          <w:rFonts w:hint="eastAsia" w:ascii="宋体" w:eastAsia="宋体"/>
          <w:b/>
          <w:color w:val="000000" w:themeColor="text1"/>
          <w:sz w:val="30"/>
          <w:szCs w:val="30"/>
          <w:highlight w:val="none"/>
          <w:lang w:val="en-US" w:eastAsia="zh-CN"/>
          <w14:textFill>
            <w14:solidFill>
              <w14:schemeClr w14:val="tx1"/>
            </w14:solidFill>
          </w14:textFill>
        </w:rPr>
      </w:pPr>
      <w:bookmarkStart w:id="39" w:name="_Toc20776"/>
      <w:bookmarkStart w:id="40" w:name="_Toc25745"/>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bookmarkEnd w:id="39"/>
      <w:bookmarkEnd w:id="40"/>
    </w:p>
    <w:p>
      <w:pPr>
        <w:spacing w:line="360" w:lineRule="auto"/>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Lines="50" w:after="50" w:line="360" w:lineRule="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采购机构/采购代理机构名称）：</w:t>
      </w:r>
    </w:p>
    <w:p>
      <w:pPr>
        <w:pStyle w:val="13"/>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（投标人全称）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1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投标人全称（公章）：                              日期：</w:t>
      </w:r>
    </w:p>
    <w:p>
      <w:pPr>
        <w:spacing w:line="360" w:lineRule="auto"/>
        <w:rPr>
          <w:color w:val="000000" w:themeColor="text1"/>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hint="eastAsia" w:ascii="宋体" w:eastAsia="宋体"/>
                <w:b/>
                <w:color w:val="000000" w:themeColor="text1"/>
                <w:sz w:val="24"/>
                <w:lang w:val="en-US" w:eastAsia="zh-CN"/>
                <w14:textFill>
                  <w14:solidFill>
                    <w14:schemeClr w14:val="tx1"/>
                  </w14:solidFill>
                </w14:textFill>
              </w:rPr>
            </w:pPr>
            <w:r>
              <w:rPr>
                <w:rFonts w:hint="eastAsia" w:ascii="宋体"/>
                <w:b/>
                <w:color w:val="000000" w:themeColor="text1"/>
                <w:sz w:val="24"/>
                <w14:textFill>
                  <w14:solidFill>
                    <w14:schemeClr w14:val="tx1"/>
                  </w14:solidFill>
                </w14:textFill>
              </w:rPr>
              <w:t>法定代表身份证</w:t>
            </w:r>
            <w:r>
              <w:rPr>
                <w:rFonts w:hint="eastAsia" w:ascii="宋体"/>
                <w:b/>
                <w:color w:val="000000" w:themeColor="text1"/>
                <w:sz w:val="24"/>
                <w:lang w:val="en-US" w:eastAsia="zh-CN"/>
                <w14:textFill>
                  <w14:solidFill>
                    <w14:schemeClr w14:val="tx1"/>
                  </w14:solidFill>
                </w14:textFill>
              </w:rPr>
              <w:t>正反面</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hint="eastAsia" w:ascii="宋体" w:eastAsia="宋体"/>
                <w:b/>
                <w:color w:val="000000" w:themeColor="text1"/>
                <w:sz w:val="24"/>
                <w:lang w:val="en-US" w:eastAsia="zh-CN"/>
                <w14:textFill>
                  <w14:solidFill>
                    <w14:schemeClr w14:val="tx1"/>
                  </w14:solidFill>
                </w14:textFill>
              </w:rPr>
            </w:pPr>
            <w:r>
              <w:rPr>
                <w:rFonts w:hint="eastAsia" w:ascii="宋体"/>
                <w:b/>
                <w:color w:val="000000" w:themeColor="text1"/>
                <w:sz w:val="24"/>
                <w14:textFill>
                  <w14:solidFill>
                    <w14:schemeClr w14:val="tx1"/>
                  </w14:solidFill>
                </w14:textFill>
              </w:rPr>
              <w:t>全权代表身份证</w:t>
            </w:r>
            <w:r>
              <w:rPr>
                <w:rFonts w:hint="eastAsia" w:ascii="宋体"/>
                <w:b/>
                <w:color w:val="000000" w:themeColor="text1"/>
                <w:sz w:val="24"/>
                <w:lang w:val="en-US" w:eastAsia="zh-CN"/>
                <w14:textFill>
                  <w14:solidFill>
                    <w14:schemeClr w14:val="tx1"/>
                  </w14:solidFill>
                </w14:textFill>
              </w:rPr>
              <w:t>正反面</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82" w:firstLineChars="200"/>
        <w:rPr>
          <w:b/>
          <w:bCs/>
          <w:color w:val="000000" w:themeColor="text1"/>
          <w:sz w:val="24"/>
          <w:szCs w:val="24"/>
          <w14:textFill>
            <w14:solidFill>
              <w14:schemeClr w14:val="tx1"/>
            </w14:solidFill>
          </w14:textFill>
        </w:rPr>
      </w:pPr>
      <w:bookmarkStart w:id="41" w:name="_Toc20529_WPSOffice_Level1"/>
      <w:bookmarkStart w:id="42" w:name="_Toc21250_WPSOffice_Level1"/>
      <w:r>
        <w:rPr>
          <w:rFonts w:hint="eastAsia"/>
          <w:b/>
          <w:bCs/>
          <w:color w:val="000000" w:themeColor="text1"/>
          <w:sz w:val="24"/>
          <w:szCs w:val="24"/>
          <w14:textFill>
            <w14:solidFill>
              <w14:schemeClr w14:val="tx1"/>
            </w14:solidFill>
          </w14:textFill>
        </w:rPr>
        <w:t>第一部分  技术方案描述部分</w:t>
      </w:r>
      <w:bookmarkEnd w:id="41"/>
      <w:bookmarkEnd w:id="42"/>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1.投标人基本情况表（附件3）</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2.项目范围内清运的现状、存在的问题和垃圾清运的难点、要点等问题进行调查剖析</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3.项目的人员管理及人员培训方案</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4.针对本项目安全事故、防汛抗台、雨雪冰冻等突发事件的应急及配合方案</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5.项目的服务承诺</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6.技术需求响应表（附件4）</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7.项目实施人员一览表（附件5）</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8.项目负责人资格情况表（附件6）</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9.投标人需要说明的其他内容（包括可能影响投标人技术性能评分项的各类证明材料）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第二部分  商务响应及其他部分</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1.证书一览表（附件7）</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2.投标人项目业绩情况一览表（附件8）</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highlight w:val="none"/>
          <w:lang w:val="zh-CN"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3.商务需求响应表（附件9）</w:t>
      </w: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rPr>
          <w:rFonts w:hint="eastAsia"/>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br w:type="page"/>
      </w:r>
    </w:p>
    <w:p>
      <w:pPr>
        <w:pStyle w:val="45"/>
        <w:shd w:val="clear" w:color="auto" w:fill="FFFFFF"/>
        <w:spacing w:before="0" w:beforeAutospacing="0" w:after="0" w:afterAutospacing="0" w:line="360" w:lineRule="auto"/>
        <w:outlineLvl w:val="0"/>
        <w:rPr>
          <w:rFonts w:hint="eastAsia" w:eastAsia="宋体"/>
          <w:b/>
          <w:color w:val="000000" w:themeColor="text1"/>
          <w:sz w:val="28"/>
          <w:highlight w:val="none"/>
          <w:lang w:val="en-US" w:eastAsia="zh-CN"/>
          <w14:textFill>
            <w14:solidFill>
              <w14:schemeClr w14:val="tx1"/>
            </w14:solidFill>
          </w14:textFill>
        </w:rPr>
      </w:pPr>
      <w:bookmarkStart w:id="43" w:name="_Toc10033"/>
      <w:bookmarkStart w:id="44" w:name="_Toc22521"/>
      <w:r>
        <w:rPr>
          <w:rFonts w:hint="eastAsia"/>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3</w:t>
      </w:r>
      <w:bookmarkEnd w:id="43"/>
      <w:bookmarkEnd w:id="44"/>
    </w:p>
    <w:p>
      <w:pPr>
        <w:spacing w:line="360" w:lineRule="auto"/>
        <w:ind w:left="480"/>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14:textFill>
            <w14:solidFill>
              <w14:schemeClr w14:val="tx1"/>
            </w14:solidFill>
          </w14:textFill>
        </w:rPr>
        <w:t xml:space="preserve">  投标人基本情况表</w:t>
      </w:r>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企业名称</w:t>
            </w:r>
          </w:p>
        </w:tc>
        <w:tc>
          <w:tcPr>
            <w:tcW w:w="3979" w:type="dxa"/>
            <w:gridSpan w:val="6"/>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法人代表</w:t>
            </w:r>
          </w:p>
        </w:tc>
        <w:tc>
          <w:tcPr>
            <w:tcW w:w="2151"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地址</w:t>
            </w:r>
          </w:p>
        </w:tc>
        <w:tc>
          <w:tcPr>
            <w:tcW w:w="3979" w:type="dxa"/>
            <w:gridSpan w:val="6"/>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企业性质</w:t>
            </w:r>
          </w:p>
        </w:tc>
        <w:tc>
          <w:tcPr>
            <w:tcW w:w="2151"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股东姓名</w:t>
            </w:r>
          </w:p>
        </w:tc>
        <w:tc>
          <w:tcPr>
            <w:tcW w:w="701" w:type="dxa"/>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910" w:type="dxa"/>
            <w:gridSpan w:val="2"/>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股东关系</w:t>
            </w:r>
          </w:p>
        </w:tc>
        <w:tc>
          <w:tcPr>
            <w:tcW w:w="2151"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联系人姓名</w:t>
            </w:r>
          </w:p>
        </w:tc>
        <w:tc>
          <w:tcPr>
            <w:tcW w:w="701" w:type="dxa"/>
            <w:vMerge w:val="restart"/>
            <w:tcBorders>
              <w:top w:val="nil"/>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传真</w:t>
            </w:r>
          </w:p>
        </w:tc>
        <w:tc>
          <w:tcPr>
            <w:tcW w:w="2151" w:type="dxa"/>
            <w:gridSpan w:val="2"/>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vMerge w:val="continue"/>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910" w:type="dxa"/>
            <w:gridSpan w:val="2"/>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手机</w:t>
            </w:r>
          </w:p>
        </w:tc>
        <w:tc>
          <w:tcPr>
            <w:tcW w:w="2368" w:type="dxa"/>
            <w:gridSpan w:val="3"/>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151" w:type="dxa"/>
            <w:gridSpan w:val="2"/>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概</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况</w:t>
            </w:r>
          </w:p>
        </w:tc>
        <w:tc>
          <w:tcPr>
            <w:tcW w:w="701" w:type="dxa"/>
            <w:tcBorders>
              <w:top w:val="nil"/>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职工人数</w:t>
            </w:r>
          </w:p>
        </w:tc>
        <w:tc>
          <w:tcPr>
            <w:tcW w:w="910" w:type="dxa"/>
            <w:gridSpan w:val="2"/>
            <w:tcBorders>
              <w:top w:val="nil"/>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163" w:type="dxa"/>
            <w:tcBorders>
              <w:top w:val="nil"/>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占地面积</w:t>
            </w:r>
          </w:p>
        </w:tc>
        <w:tc>
          <w:tcPr>
            <w:tcW w:w="910"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16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建筑面积</w:t>
            </w:r>
          </w:p>
        </w:tc>
        <w:tc>
          <w:tcPr>
            <w:tcW w:w="1205"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平方米</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□自有</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□租赁</w:t>
            </w: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生产经营场所及场所的设施与设备</w:t>
            </w:r>
          </w:p>
        </w:tc>
        <w:tc>
          <w:tcPr>
            <w:tcW w:w="2151"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注册资金</w:t>
            </w:r>
          </w:p>
        </w:tc>
        <w:tc>
          <w:tcPr>
            <w:tcW w:w="910"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16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218"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公司成立时间</w:t>
            </w:r>
          </w:p>
        </w:tc>
        <w:tc>
          <w:tcPr>
            <w:tcW w:w="93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8131" w:type="dxa"/>
            <w:gridSpan w:val="11"/>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企业有关资质获证情况</w:t>
            </w:r>
          </w:p>
        </w:tc>
        <w:tc>
          <w:tcPr>
            <w:tcW w:w="1553" w:type="dxa"/>
            <w:gridSpan w:val="2"/>
            <w:vMerge w:val="restart"/>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41"/>
                <w14:textFill>
                  <w14:solidFill>
                    <w14:schemeClr w14:val="tx1"/>
                  </w14:solidFill>
                </w14:textFill>
              </w:rPr>
              <w:t>企业获得其他资质</w:t>
            </w:r>
            <w:r>
              <w:rPr>
                <w:rFonts w:hint="eastAsia"/>
                <w:bCs/>
                <w:color w:val="000000" w:themeColor="text1"/>
                <w:spacing w:val="11"/>
                <w14:textFill>
                  <w14:solidFill>
                    <w14:schemeClr w14:val="tx1"/>
                  </w14:solidFill>
                </w14:textFill>
              </w:rPr>
              <w:t>认证情况</w:t>
            </w:r>
          </w:p>
        </w:tc>
        <w:tc>
          <w:tcPr>
            <w:tcW w:w="1333" w:type="dxa"/>
            <w:gridSpan w:val="3"/>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资质名称</w:t>
            </w:r>
          </w:p>
        </w:tc>
        <w:tc>
          <w:tcPr>
            <w:tcW w:w="1418" w:type="dxa"/>
            <w:gridSpan w:val="2"/>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553" w:type="dxa"/>
            <w:gridSpan w:val="2"/>
            <w:vMerge w:val="continue"/>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1333" w:type="dxa"/>
            <w:gridSpan w:val="3"/>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1418" w:type="dxa"/>
            <w:gridSpan w:val="2"/>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1276" w:type="dxa"/>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1618" w:type="dxa"/>
            <w:gridSpan w:val="2"/>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933" w:type="dxa"/>
            <w:tcMar>
              <w:top w:w="57" w:type="dxa"/>
              <w:left w:w="85" w:type="dxa"/>
              <w:bottom w:w="0" w:type="dxa"/>
              <w:right w:w="85" w:type="dxa"/>
            </w:tcMar>
            <w:vAlign w:val="center"/>
          </w:tcPr>
          <w:p>
            <w:pPr>
              <w:pStyle w:val="45"/>
              <w:spacing w:before="0" w:beforeAutospacing="0" w:after="0" w:afterAutospacing="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553"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企业获得专利情况</w:t>
            </w:r>
          </w:p>
        </w:tc>
        <w:tc>
          <w:tcPr>
            <w:tcW w:w="6578" w:type="dxa"/>
            <w:gridSpan w:val="9"/>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bl>
    <w:p>
      <w:pPr>
        <w:pStyle w:val="45"/>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45"/>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24" w:firstLineChars="177"/>
        <w:rPr>
          <w:rFonts w:ascii="宋体" w:hAnsi="宋体"/>
          <w:color w:val="000000" w:themeColor="text1"/>
          <w:sz w:val="24"/>
          <w:highlight w:val="none"/>
          <w14:textFill>
            <w14:solidFill>
              <w14:schemeClr w14:val="tx1"/>
            </w14:solidFill>
          </w14:textFill>
        </w:rPr>
      </w:pPr>
    </w:p>
    <w:p>
      <w:pPr>
        <w:rPr>
          <w:rFonts w:hint="eastAsia"/>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br w:type="page"/>
      </w:r>
    </w:p>
    <w:p>
      <w:pPr>
        <w:spacing w:line="360" w:lineRule="auto"/>
        <w:outlineLvl w:val="0"/>
        <w:rPr>
          <w:rFonts w:hint="eastAsia" w:ascii="宋体" w:hAnsi="宋体" w:eastAsia="宋体"/>
          <w:b/>
          <w:color w:val="000000" w:themeColor="text1"/>
          <w:sz w:val="28"/>
          <w:lang w:eastAsia="zh-CN"/>
          <w14:textFill>
            <w14:solidFill>
              <w14:schemeClr w14:val="tx1"/>
            </w14:solidFill>
          </w14:textFill>
        </w:rPr>
      </w:pPr>
      <w:bookmarkStart w:id="45" w:name="_Toc248"/>
      <w:bookmarkStart w:id="46" w:name="_Toc23786"/>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4</w:t>
      </w:r>
      <w:bookmarkEnd w:id="45"/>
      <w:bookmarkEnd w:id="46"/>
    </w:p>
    <w:p>
      <w:pPr>
        <w:spacing w:line="360" w:lineRule="auto"/>
        <w:jc w:val="center"/>
        <w:rPr>
          <w:rFonts w:ascii="宋体" w:hAnsi="宋体"/>
          <w:color w:val="000000" w:themeColor="text1"/>
          <w:sz w:val="24"/>
          <w14:textFill>
            <w14:solidFill>
              <w14:schemeClr w14:val="tx1"/>
            </w14:solidFill>
          </w14:textFill>
        </w:rPr>
      </w:pPr>
      <w:bookmarkStart w:id="47" w:name="_Toc26601_WPSOffice_Level1"/>
      <w:bookmarkStart w:id="48" w:name="_Toc12856_WPSOffice_Level1"/>
      <w:r>
        <w:rPr>
          <w:rFonts w:ascii="宋体" w:hAnsi="宋体"/>
          <w:b/>
          <w:bCs/>
          <w:color w:val="000000" w:themeColor="text1"/>
          <w:kern w:val="0"/>
          <w:sz w:val="32"/>
          <w:szCs w:val="32"/>
          <w14:textFill>
            <w14:solidFill>
              <w14:schemeClr w14:val="tx1"/>
            </w14:solidFill>
          </w14:textFill>
        </w:rPr>
        <w:t>技术</w:t>
      </w:r>
      <w:r>
        <w:rPr>
          <w:rFonts w:hint="eastAsia" w:ascii="宋体" w:hAnsi="宋体"/>
          <w:b/>
          <w:bCs/>
          <w:color w:val="000000" w:themeColor="text1"/>
          <w:kern w:val="0"/>
          <w:sz w:val="32"/>
          <w:szCs w:val="32"/>
          <w14:textFill>
            <w14:solidFill>
              <w14:schemeClr w14:val="tx1"/>
            </w14:solidFill>
          </w14:textFill>
        </w:rPr>
        <w:t>需求</w:t>
      </w:r>
      <w:r>
        <w:rPr>
          <w:rFonts w:ascii="宋体" w:hAnsi="宋体"/>
          <w:b/>
          <w:bCs/>
          <w:color w:val="000000" w:themeColor="text1"/>
          <w:kern w:val="0"/>
          <w:sz w:val="32"/>
          <w:szCs w:val="32"/>
          <w14:textFill>
            <w14:solidFill>
              <w14:schemeClr w14:val="tx1"/>
            </w14:solidFill>
          </w14:textFill>
        </w:rPr>
        <w:t>响应表</w:t>
      </w:r>
      <w:bookmarkEnd w:id="47"/>
      <w:bookmarkEnd w:id="48"/>
    </w:p>
    <w:tbl>
      <w:tblPr>
        <w:tblStyle w:val="2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pStyle w:val="47"/>
        <w:tabs>
          <w:tab w:val="left" w:pos="360"/>
        </w:tabs>
        <w:spacing w:line="360" w:lineRule="auto"/>
        <w:ind w:right="84" w:rightChars="4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要求：</w:t>
      </w:r>
    </w:p>
    <w:p>
      <w:pPr>
        <w:pStyle w:val="47"/>
        <w:tabs>
          <w:tab w:val="left" w:pos="360"/>
        </w:tabs>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 本表的名称须与《报价明细表》一致。</w:t>
      </w:r>
    </w:p>
    <w:p>
      <w:pPr>
        <w:pStyle w:val="47"/>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2.本表参照本招标文件第二部分“招标需求”内第二条“具体技术需求”填制，投标人应根据投标设备的性能指标、服务指标，对照招标文件要求在“偏离情况”栏注明“正偏离”、“负偏离”或“无偏离”。</w:t>
      </w:r>
    </w:p>
    <w:p>
      <w:pPr>
        <w:pStyle w:val="47"/>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color w:val="000000" w:themeColor="text1"/>
          <w:sz w:val="24"/>
          <w14:textFill>
            <w14:solidFill>
              <w14:schemeClr w14:val="tx1"/>
            </w14:solidFill>
          </w14:textFill>
        </w:rPr>
      </w:pPr>
    </w:p>
    <w:p>
      <w:pPr>
        <w:pStyle w:val="22"/>
        <w:rPr>
          <w:color w:val="000000" w:themeColor="text1"/>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spacing w:line="360" w:lineRule="auto"/>
        <w:outlineLvl w:val="0"/>
        <w:rPr>
          <w:rFonts w:hint="eastAsia" w:ascii="宋体" w:hAnsi="宋体" w:eastAsia="宋体"/>
          <w:color w:val="000000" w:themeColor="text1"/>
          <w:sz w:val="24"/>
          <w:lang w:eastAsia="zh-CN"/>
          <w14:textFill>
            <w14:solidFill>
              <w14:schemeClr w14:val="tx1"/>
            </w14:solidFill>
          </w14:textFill>
        </w:rPr>
      </w:pPr>
      <w:bookmarkStart w:id="49" w:name="_Toc19348"/>
      <w:bookmarkStart w:id="50" w:name="_Toc24610"/>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5</w:t>
      </w:r>
      <w:bookmarkEnd w:id="49"/>
      <w:bookmarkEnd w:id="5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000000" w:themeColor="text1"/>
          <w:sz w:val="32"/>
          <w:szCs w:val="32"/>
          <w14:textFill>
            <w14:solidFill>
              <w14:schemeClr w14:val="tx1"/>
            </w14:solidFill>
          </w14:textFill>
        </w:rPr>
      </w:pPr>
      <w:bookmarkStart w:id="51" w:name="_Toc23671_WPSOffice_Level1"/>
      <w:bookmarkStart w:id="52" w:name="_Toc20569_WPSOffice_Level1"/>
      <w:r>
        <w:rPr>
          <w:rFonts w:hint="eastAsia" w:ascii="宋体" w:hAnsi="宋体"/>
          <w:b/>
          <w:color w:val="000000" w:themeColor="text1"/>
          <w:sz w:val="32"/>
          <w:szCs w:val="32"/>
          <w14:textFill>
            <w14:solidFill>
              <w14:schemeClr w14:val="tx1"/>
            </w14:solidFill>
          </w14:textFill>
        </w:rPr>
        <w:t>项目实施人员一览表</w:t>
      </w:r>
      <w:bookmarkEnd w:id="51"/>
      <w:bookmarkEnd w:id="52"/>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color w:val="000000" w:themeColor="text1"/>
                <w:sz w:val="21"/>
                <w:szCs w:val="21"/>
                <w:lang w:eastAsia="zh-CN"/>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color w:val="000000" w:themeColor="text1"/>
                <w:kern w:val="44"/>
                <w:sz w:val="21"/>
                <w:szCs w:val="21"/>
                <w:lang w:eastAsia="zh-CN"/>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color w:val="000000" w:themeColor="text1"/>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1.在填</w:t>
      </w:r>
      <w:r>
        <w:rPr>
          <w:rFonts w:hint="eastAsia" w:ascii="宋体" w:hAnsi="宋体"/>
          <w:color w:val="000000" w:themeColor="text1"/>
          <w:szCs w:val="21"/>
          <w14:textFill>
            <w14:solidFill>
              <w14:schemeClr w14:val="tx1"/>
            </w14:solidFill>
          </w14:textFill>
        </w:rPr>
        <w:t>写时，如本表格不适合投标单位的实际情况，可根据本表格式自行划表填写。</w:t>
      </w:r>
    </w:p>
    <w:p>
      <w:pPr>
        <w:pStyle w:val="46"/>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w:t>
      </w:r>
    </w:p>
    <w:p>
      <w:pPr>
        <w:pStyle w:val="46"/>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w:t>
      </w:r>
      <w:r>
        <w:rPr>
          <w:rFonts w:ascii="宋体" w:hAnsi="宋体"/>
          <w:color w:val="000000" w:themeColor="text1"/>
          <w:szCs w:val="21"/>
          <w14:textFill>
            <w14:solidFill>
              <w14:schemeClr w14:val="tx1"/>
            </w14:solidFill>
          </w14:textFill>
        </w:rPr>
        <w:t>投标截止日之前六个月以内的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napToGrid w:val="0"/>
        <w:spacing w:before="50" w:afterLines="50" w:line="360" w:lineRule="auto"/>
        <w:jc w:val="left"/>
        <w:rPr>
          <w:rFonts w:ascii="宋体" w:hAnsi="宋体"/>
          <w:color w:val="000000" w:themeColor="text1"/>
          <w:sz w:val="24"/>
          <w:szCs w:val="20"/>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outlineLvl w:val="0"/>
        <w:rPr>
          <w:rFonts w:hint="eastAsia" w:ascii="宋体" w:hAnsi="宋体" w:eastAsia="宋体"/>
          <w:color w:val="000000" w:themeColor="text1"/>
          <w:lang w:eastAsia="zh-CN"/>
          <w14:textFill>
            <w14:solidFill>
              <w14:schemeClr w14:val="tx1"/>
            </w14:solidFill>
          </w14:textFill>
        </w:rPr>
      </w:pPr>
      <w:bookmarkStart w:id="53" w:name="_Toc18645"/>
      <w:bookmarkStart w:id="54" w:name="_Toc27155"/>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6</w:t>
      </w:r>
      <w:bookmarkEnd w:id="53"/>
      <w:bookmarkEnd w:id="54"/>
    </w:p>
    <w:p>
      <w:pPr>
        <w:spacing w:beforeLines="50" w:afterLines="50" w:line="360" w:lineRule="auto"/>
        <w:ind w:right="-10"/>
        <w:jc w:val="center"/>
        <w:rPr>
          <w:rFonts w:ascii="宋体" w:hAnsi="宋体"/>
          <w:b/>
          <w:bCs/>
          <w:color w:val="000000" w:themeColor="text1"/>
          <w:sz w:val="32"/>
          <w:szCs w:val="32"/>
          <w14:textFill>
            <w14:solidFill>
              <w14:schemeClr w14:val="tx1"/>
            </w14:solidFill>
          </w14:textFill>
        </w:rPr>
      </w:pPr>
      <w:bookmarkStart w:id="55" w:name="_Toc12710_WPSOffice_Level1"/>
      <w:bookmarkStart w:id="56" w:name="_Toc23055_WPSOffice_Level1"/>
      <w:r>
        <w:rPr>
          <w:rFonts w:hint="eastAsia" w:ascii="宋体" w:hAnsi="宋体"/>
          <w:b/>
          <w:bCs/>
          <w:color w:val="000000" w:themeColor="text1"/>
          <w:sz w:val="32"/>
          <w:szCs w:val="32"/>
          <w14:textFill>
            <w14:solidFill>
              <w14:schemeClr w14:val="tx1"/>
            </w14:solidFill>
          </w14:textFill>
        </w:rPr>
        <w:t>项目负责人资格情况表</w:t>
      </w:r>
      <w:bookmarkEnd w:id="55"/>
      <w:bookmarkEnd w:id="56"/>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hint="eastAsia" w:ascii="宋体" w:hAnsi="宋体"/>
          <w:b/>
          <w:color w:val="000000" w:themeColor="text1"/>
          <w:sz w:val="28"/>
          <w14:textFill>
            <w14:solidFill>
              <w14:schemeClr w14:val="tx1"/>
            </w14:solidFill>
          </w14:textFill>
        </w:rPr>
      </w:pPr>
    </w:p>
    <w:p>
      <w:pPr>
        <w:snapToGrid w:val="0"/>
        <w:spacing w:before="50" w:after="50" w:line="360" w:lineRule="auto"/>
        <w:outlineLvl w:val="0"/>
        <w:rPr>
          <w:rFonts w:hint="eastAsia" w:hAnsi="宋体" w:eastAsia="宋体"/>
          <w:b/>
          <w:color w:val="000000" w:themeColor="text1"/>
          <w:sz w:val="28"/>
          <w:lang w:eastAsia="zh-CN"/>
          <w14:textFill>
            <w14:solidFill>
              <w14:schemeClr w14:val="tx1"/>
            </w14:solidFill>
          </w14:textFill>
        </w:rPr>
      </w:pPr>
      <w:bookmarkStart w:id="57" w:name="_Toc26192"/>
      <w:bookmarkStart w:id="58" w:name="_Toc22805"/>
      <w:r>
        <w:rPr>
          <w:rFonts w:hint="eastAsia" w:hAnsi="宋体"/>
          <w:b/>
          <w:color w:val="000000" w:themeColor="text1"/>
          <w:sz w:val="28"/>
          <w14:textFill>
            <w14:solidFill>
              <w14:schemeClr w14:val="tx1"/>
            </w14:solidFill>
          </w14:textFill>
        </w:rPr>
        <w:t>附件</w:t>
      </w:r>
      <w:r>
        <w:rPr>
          <w:rFonts w:hint="eastAsia" w:hAnsi="宋体"/>
          <w:b/>
          <w:color w:val="000000" w:themeColor="text1"/>
          <w:sz w:val="28"/>
          <w:lang w:val="en-US" w:eastAsia="zh-CN"/>
          <w14:textFill>
            <w14:solidFill>
              <w14:schemeClr w14:val="tx1"/>
            </w14:solidFill>
          </w14:textFill>
        </w:rPr>
        <w:t>7</w:t>
      </w:r>
      <w:bookmarkEnd w:id="57"/>
      <w:bookmarkEnd w:id="58"/>
    </w:p>
    <w:p>
      <w:pPr>
        <w:pStyle w:val="49"/>
        <w:spacing w:line="360" w:lineRule="auto"/>
        <w:jc w:val="center"/>
        <w:rPr>
          <w:rFonts w:ascii="宋体" w:hAnsi="宋体" w:cs="Arial"/>
          <w:color w:val="000000" w:themeColor="text1"/>
          <w:sz w:val="28"/>
          <w:szCs w:val="28"/>
          <w14:textFill>
            <w14:solidFill>
              <w14:schemeClr w14:val="tx1"/>
            </w14:solidFill>
          </w14:textFill>
        </w:rPr>
      </w:pPr>
      <w:bookmarkStart w:id="59" w:name="_Toc11030_WPSOffice_Level1"/>
      <w:bookmarkStart w:id="60" w:name="_Toc17604_WPSOffice_Level1"/>
      <w:r>
        <w:rPr>
          <w:rFonts w:hint="eastAsia" w:ascii="宋体" w:hAnsi="宋体"/>
          <w:b/>
          <w:color w:val="000000" w:themeColor="text1"/>
          <w:sz w:val="32"/>
          <w:szCs w:val="32"/>
          <w14:textFill>
            <w14:solidFill>
              <w14:schemeClr w14:val="tx1"/>
            </w14:solidFill>
          </w14:textFill>
        </w:rPr>
        <w:t>证书一览表</w:t>
      </w:r>
      <w:bookmarkEnd w:id="59"/>
      <w:bookmarkEnd w:id="60"/>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bl>
    <w:p>
      <w:pPr>
        <w:pStyle w:val="49"/>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49"/>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1.填写投标人获得资质、认证或企业信誉证书。</w:t>
      </w:r>
    </w:p>
    <w:p>
      <w:pPr>
        <w:pStyle w:val="49"/>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2.附所列证书或其他证明材料。</w:t>
      </w:r>
    </w:p>
    <w:p>
      <w:pPr>
        <w:pStyle w:val="49"/>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49"/>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45"/>
        <w:shd w:val="clear" w:color="auto" w:fill="FFFFFF"/>
        <w:spacing w:before="0" w:beforeAutospacing="0" w:after="0" w:afterAutospacing="0" w:line="360" w:lineRule="auto"/>
        <w:ind w:firstLine="424" w:firstLineChars="177"/>
        <w:rPr>
          <w:b/>
          <w:bCs/>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ind w:firstLine="435"/>
        <w:outlineLvl w:val="0"/>
        <w:rPr>
          <w:rFonts w:hint="default" w:ascii="宋体" w:hAnsi="宋体" w:eastAsia="宋体"/>
          <w:b/>
          <w:color w:val="000000" w:themeColor="text1"/>
          <w:sz w:val="28"/>
          <w:lang w:val="en-US" w:eastAsia="zh-CN"/>
          <w14:textFill>
            <w14:solidFill>
              <w14:schemeClr w14:val="tx1"/>
            </w14:solidFill>
          </w14:textFill>
        </w:rPr>
      </w:pPr>
      <w:bookmarkStart w:id="61" w:name="_Toc29307"/>
      <w:bookmarkStart w:id="62" w:name="_Toc25814"/>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8</w:t>
      </w:r>
      <w:bookmarkEnd w:id="61"/>
      <w:bookmarkEnd w:id="62"/>
    </w:p>
    <w:p>
      <w:pPr>
        <w:spacing w:line="360" w:lineRule="auto"/>
        <w:jc w:val="center"/>
        <w:rPr>
          <w:rFonts w:hint="eastAsia" w:ascii="宋体" w:hAnsi="宋体"/>
          <w:b/>
          <w:bCs/>
          <w:color w:val="000000" w:themeColor="text1"/>
          <w:kern w:val="0"/>
          <w:sz w:val="32"/>
          <w:szCs w:val="32"/>
          <w14:textFill>
            <w14:solidFill>
              <w14:schemeClr w14:val="tx1"/>
            </w14:solidFill>
          </w14:textFill>
        </w:rPr>
      </w:pPr>
      <w:bookmarkStart w:id="63" w:name="_Toc7134_WPSOffice_Level1"/>
      <w:bookmarkStart w:id="64" w:name="_Toc19231_WPSOffice_Level1"/>
      <w:r>
        <w:rPr>
          <w:rFonts w:hint="eastAsia" w:ascii="宋体" w:hAnsi="宋体"/>
          <w:b/>
          <w:bCs/>
          <w:color w:val="000000" w:themeColor="text1"/>
          <w:kern w:val="0"/>
          <w:sz w:val="32"/>
          <w:szCs w:val="32"/>
          <w14:textFill>
            <w14:solidFill>
              <w14:schemeClr w14:val="tx1"/>
            </w14:solidFill>
          </w14:textFill>
        </w:rPr>
        <w:t>投标人</w:t>
      </w:r>
      <w:bookmarkEnd w:id="63"/>
      <w:bookmarkEnd w:id="64"/>
      <w:r>
        <w:rPr>
          <w:rFonts w:hint="eastAsia" w:ascii="宋体" w:hAnsi="宋体"/>
          <w:b/>
          <w:bCs/>
          <w:color w:val="000000" w:themeColor="text1"/>
          <w:kern w:val="0"/>
          <w:sz w:val="32"/>
          <w:szCs w:val="32"/>
          <w14:textFill>
            <w14:solidFill>
              <w14:schemeClr w14:val="tx1"/>
            </w14:solidFill>
          </w14:textFill>
        </w:rPr>
        <w:t>项目业绩情况一览表</w:t>
      </w:r>
    </w:p>
    <w:tbl>
      <w:tblPr>
        <w:tblStyle w:val="23"/>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autoSpaceDE w:val="0"/>
        <w:autoSpaceDN w:val="0"/>
        <w:adjustRightInd w:val="0"/>
        <w:spacing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Lines="50" w:line="360" w:lineRule="auto"/>
        <w:ind w:firstLine="420" w:firstLineChars="200"/>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可只提供首页、含金额页、盖章页并加盖投标人公章</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pStyle w:val="22"/>
        <w:rPr>
          <w:color w:val="000000" w:themeColor="text1"/>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rPr>
          <w:rFonts w:hint="eastAsia"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br w:type="page"/>
      </w:r>
    </w:p>
    <w:p>
      <w:pPr>
        <w:spacing w:line="360" w:lineRule="auto"/>
        <w:outlineLvl w:val="0"/>
        <w:rPr>
          <w:rFonts w:hint="default" w:hAnsi="宋体" w:eastAsia="宋体"/>
          <w:b/>
          <w:color w:val="000000" w:themeColor="text1"/>
          <w:sz w:val="28"/>
          <w:lang w:val="en-US" w:eastAsia="zh-CN"/>
          <w14:textFill>
            <w14:solidFill>
              <w14:schemeClr w14:val="tx1"/>
            </w14:solidFill>
          </w14:textFill>
        </w:rPr>
      </w:pPr>
      <w:bookmarkStart w:id="65" w:name="_Toc3143"/>
      <w:bookmarkStart w:id="66" w:name="_Toc24640"/>
      <w:r>
        <w:rPr>
          <w:rFonts w:hint="eastAsia" w:hAnsi="宋体"/>
          <w:b/>
          <w:color w:val="000000" w:themeColor="text1"/>
          <w:sz w:val="28"/>
          <w14:textFill>
            <w14:solidFill>
              <w14:schemeClr w14:val="tx1"/>
            </w14:solidFill>
          </w14:textFill>
        </w:rPr>
        <w:t>附件</w:t>
      </w:r>
      <w:r>
        <w:rPr>
          <w:rFonts w:hint="eastAsia" w:hAnsi="宋体"/>
          <w:b/>
          <w:color w:val="000000" w:themeColor="text1"/>
          <w:sz w:val="28"/>
          <w:lang w:val="en-US" w:eastAsia="zh-CN"/>
          <w14:textFill>
            <w14:solidFill>
              <w14:schemeClr w14:val="tx1"/>
            </w14:solidFill>
          </w14:textFill>
        </w:rPr>
        <w:t>9</w:t>
      </w:r>
      <w:bookmarkEnd w:id="65"/>
      <w:bookmarkEnd w:id="66"/>
    </w:p>
    <w:p>
      <w:pPr>
        <w:spacing w:line="360" w:lineRule="auto"/>
        <w:ind w:left="549" w:hanging="549" w:hangingChars="171"/>
        <w:jc w:val="center"/>
        <w:rPr>
          <w:rFonts w:hint="eastAsia" w:ascii="宋体" w:hAnsi="宋体" w:eastAsia="宋体"/>
          <w:b/>
          <w:color w:val="000000" w:themeColor="text1"/>
          <w:sz w:val="18"/>
          <w:szCs w:val="18"/>
          <w:lang w:val="en-US" w:eastAsia="zh-CN"/>
          <w14:textFill>
            <w14:solidFill>
              <w14:schemeClr w14:val="tx1"/>
            </w14:solidFill>
          </w14:textFill>
        </w:rPr>
      </w:pPr>
      <w:bookmarkStart w:id="67" w:name="_Toc3068_WPSOffice_Level1"/>
      <w:bookmarkStart w:id="68" w:name="_Toc21582_WPSOffice_Level1"/>
      <w:r>
        <w:rPr>
          <w:rFonts w:hint="eastAsia" w:ascii="宋体" w:hAnsi="宋体"/>
          <w:b/>
          <w:color w:val="000000" w:themeColor="text1"/>
          <w:sz w:val="32"/>
          <w:szCs w:val="32"/>
          <w14:textFill>
            <w14:solidFill>
              <w14:schemeClr w14:val="tx1"/>
            </w14:solidFill>
          </w14:textFill>
        </w:rPr>
        <w:t>商务需求响应表</w:t>
      </w:r>
      <w:bookmarkEnd w:id="67"/>
      <w:bookmarkEnd w:id="68"/>
      <w:r>
        <w:rPr>
          <w:rFonts w:hint="eastAsia" w:ascii="宋体" w:hAnsi="宋体"/>
          <w:b/>
          <w:color w:val="000000" w:themeColor="text1"/>
          <w:sz w:val="32"/>
          <w:szCs w:val="32"/>
          <w:lang w:val="en-US" w:eastAsia="zh-CN"/>
          <w14:textFill>
            <w14:solidFill>
              <w14:schemeClr w14:val="tx1"/>
            </w14:solidFill>
          </w14:textFill>
        </w:rPr>
        <w:t xml:space="preserve"> </w:t>
      </w:r>
    </w:p>
    <w:tbl>
      <w:tblPr>
        <w:tblStyle w:val="23"/>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534" w:type="dxa"/>
            <w:tcMar>
              <w:top w:w="57" w:type="dxa"/>
              <w:left w:w="108" w:type="dxa"/>
              <w:bottom w:w="0" w:type="dxa"/>
              <w:right w:w="108" w:type="dxa"/>
            </w:tcMar>
            <w:vAlign w:val="center"/>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招标需求</w:t>
            </w:r>
          </w:p>
        </w:tc>
        <w:tc>
          <w:tcPr>
            <w:tcW w:w="1365" w:type="dxa"/>
            <w:tcMar>
              <w:top w:w="57" w:type="dxa"/>
              <w:left w:w="108" w:type="dxa"/>
              <w:bottom w:w="0" w:type="dxa"/>
              <w:right w:w="108" w:type="dxa"/>
            </w:tcMar>
            <w:vAlign w:val="center"/>
          </w:tcPr>
          <w:p>
            <w:pPr>
              <w:ind w:left="152"/>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是否响应</w:t>
            </w:r>
          </w:p>
        </w:tc>
        <w:tc>
          <w:tcPr>
            <w:tcW w:w="2625" w:type="dxa"/>
            <w:tcMar>
              <w:top w:w="57" w:type="dxa"/>
              <w:left w:w="108" w:type="dxa"/>
              <w:bottom w:w="0" w:type="dxa"/>
              <w:right w:w="108" w:type="dxa"/>
            </w:tcMar>
            <w:vAlign w:val="center"/>
          </w:tcPr>
          <w:p>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w:t>
            </w: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服务时间及地点</w:t>
            </w: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付款条件</w:t>
            </w: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hint="eastAsia" w:ascii="宋体" w:hAnsi="宋体" w:eastAsia="宋体"/>
                <w:color w:val="000000" w:themeColor="text1"/>
                <w:sz w:val="21"/>
                <w:szCs w:val="21"/>
                <w:lang w:val="en-US" w:eastAsia="zh-CN"/>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312" w:beforeLines="100"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项目编号：（标段）</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pacing w:val="40"/>
          <w:sz w:val="84"/>
          <w:szCs w:val="84"/>
          <w:highlight w:val="none"/>
          <w:lang w:val="en-US" w:eastAsia="zh-CN"/>
          <w14:textFill>
            <w14:solidFill>
              <w14:schemeClr w14:val="tx1"/>
            </w14:solidFill>
          </w14:textFill>
        </w:rPr>
        <w:t xml:space="preserve"> </w:t>
      </w: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69" w:name="_Toc29988_WPSOffice_Level1"/>
      <w:bookmarkStart w:id="70" w:name="_Toc6778_WPSOffice_Level1"/>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开标一览表（附件1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69"/>
      <w:bookmarkEnd w:id="70"/>
    </w:p>
    <w:p>
      <w:pPr>
        <w:spacing w:line="360" w:lineRule="auto"/>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1" w:name="_Toc11601_WPSOffice_Level1"/>
      <w:bookmarkStart w:id="72" w:name="_Toc15601_WPSOffice_Level1"/>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报价明细表（附件1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71"/>
      <w:bookmarkEnd w:id="72"/>
    </w:p>
    <w:p>
      <w:pPr>
        <w:pStyle w:val="13"/>
        <w:spacing w:line="360" w:lineRule="auto"/>
        <w:jc w:val="both"/>
        <w:outlineLvl w:val="1"/>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3" w:name="_Toc17543_WPSOffice_Level1"/>
      <w:bookmarkStart w:id="74" w:name="_Toc45_WPSOffice_Level1"/>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3.中小企业声明函、</w:t>
      </w:r>
      <w:r>
        <w:rPr>
          <w:rFonts w:hint="eastAsia" w:asciiTheme="minorEastAsia" w:hAnsiTheme="minorEastAsia" w:eastAsiaTheme="minorEastAsia" w:cstheme="minorEastAsia"/>
          <w:color w:val="000000" w:themeColor="text1"/>
          <w:kern w:val="2"/>
          <w:sz w:val="28"/>
          <w:szCs w:val="28"/>
          <w:lang w:val="en-GB" w:eastAsia="zh-CN" w:bidi="ar-SA"/>
          <w14:textFill>
            <w14:solidFill>
              <w14:schemeClr w14:val="tx1"/>
            </w14:solidFill>
          </w14:textFill>
        </w:rPr>
        <w:t>残疾人福利性单位声明函</w:t>
      </w:r>
      <w:r>
        <w:rPr>
          <w:rFonts w:hint="eastAsia" w:asciiTheme="minorEastAsia" w:hAnsiTheme="minorEastAsia" w:eastAsiaTheme="minorEastAsia" w:cstheme="minorEastAsia"/>
          <w:color w:val="000000" w:themeColor="text1"/>
          <w:sz w:val="28"/>
          <w:szCs w:val="28"/>
          <w14:textFill>
            <w14:solidFill>
              <w14:schemeClr w14:val="tx1"/>
            </w14:solidFill>
          </w14:textFill>
        </w:rPr>
        <w:t>（附件1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73"/>
      <w:bookmarkEnd w:id="74"/>
    </w:p>
    <w:p>
      <w:pPr>
        <w:spacing w:line="360" w:lineRule="auto"/>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5" w:name="_Toc3001_WPSOffice_Level1"/>
      <w:bookmarkStart w:id="76" w:name="_Toc14672_WPSOffice_Level1"/>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针对报价投标人认为其他需要说明的</w:t>
      </w:r>
      <w:bookmarkEnd w:id="75"/>
      <w:bookmarkEnd w:id="76"/>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outlineLvl w:val="0"/>
        <w:rPr>
          <w:rFonts w:hint="default" w:ascii="宋体" w:hAnsi="宋体" w:eastAsia="宋体"/>
          <w:b/>
          <w:color w:val="000000" w:themeColor="text1"/>
          <w:sz w:val="28"/>
          <w:highlight w:val="none"/>
          <w:lang w:val="en-US" w:eastAsia="zh-CN"/>
          <w14:textFill>
            <w14:solidFill>
              <w14:schemeClr w14:val="tx1"/>
            </w14:solidFill>
          </w14:textFill>
        </w:rPr>
      </w:pPr>
      <w:bookmarkStart w:id="77" w:name="_Toc32668"/>
      <w:bookmarkStart w:id="78" w:name="_Toc22274"/>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0</w:t>
      </w:r>
      <w:bookmarkEnd w:id="77"/>
      <w:bookmarkEnd w:id="78"/>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pPr>
        <w:pStyle w:val="13"/>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54"/>
        <w:spacing w:line="360" w:lineRule="auto"/>
        <w:ind w:right="480"/>
        <w:jc w:val="left"/>
        <w:rPr>
          <w:rFonts w:hint="eastAsia" w:ascii="宋体" w:hAnsi="宋体" w:eastAsia="宋体" w:cs="Times New Roman"/>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w:t>
      </w:r>
      <w:r>
        <w:rPr>
          <w:rFonts w:hint="eastAsia" w:ascii="宋体" w:hAnsi="宋体" w:eastAsia="宋体" w:cs="Times New Roman"/>
          <w:color w:val="000000" w:themeColor="text1"/>
          <w:sz w:val="24"/>
          <w:highlight w:val="none"/>
          <w14:textFill>
            <w14:solidFill>
              <w14:schemeClr w14:val="tx1"/>
            </w14:solidFill>
          </w14:textFill>
        </w:rPr>
        <w:t>元]</w:t>
      </w:r>
    </w:p>
    <w:tbl>
      <w:tblPr>
        <w:tblStyle w:val="23"/>
        <w:tblW w:w="102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2912"/>
        <w:gridCol w:w="2558"/>
        <w:gridCol w:w="2440"/>
        <w:gridCol w:w="1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91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采购内容</w:t>
            </w:r>
          </w:p>
        </w:tc>
        <w:tc>
          <w:tcPr>
            <w:tcW w:w="255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投标总报价(元)</w:t>
            </w:r>
          </w:p>
        </w:tc>
        <w:tc>
          <w:tcPr>
            <w:tcW w:w="24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投标总报价下浮率%</w:t>
            </w:r>
          </w:p>
        </w:tc>
        <w:tc>
          <w:tcPr>
            <w:tcW w:w="151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12" w:type="dxa"/>
            <w:tcBorders>
              <w:top w:val="single" w:color="auto" w:sz="4" w:space="0"/>
              <w:left w:val="single" w:color="auto" w:sz="4" w:space="0"/>
              <w:right w:val="single" w:color="auto" w:sz="4" w:space="0"/>
            </w:tcBorders>
            <w:noWrap/>
            <w:vAlign w:val="center"/>
          </w:tcPr>
          <w:p>
            <w:pPr>
              <w:autoSpaceDN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三门县浦坝港镇胜利塘木杓山（木屿山）生活垃圾临时周转场余量垃圾清运</w:t>
            </w:r>
          </w:p>
        </w:tc>
        <w:tc>
          <w:tcPr>
            <w:tcW w:w="255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p>
        </w:tc>
        <w:tc>
          <w:tcPr>
            <w:tcW w:w="2440" w:type="dxa"/>
            <w:tcBorders>
              <w:top w:val="single" w:color="auto" w:sz="4" w:space="0"/>
              <w:left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p>
        </w:tc>
        <w:tc>
          <w:tcPr>
            <w:tcW w:w="1510" w:type="dxa"/>
            <w:tcBorders>
              <w:top w:val="single" w:color="auto" w:sz="4" w:space="0"/>
              <w:left w:val="single" w:color="auto" w:sz="4" w:space="0"/>
              <w:right w:val="single" w:color="auto" w:sz="4" w:space="0"/>
            </w:tcBorders>
            <w:noWrap/>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8773"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投标总报价</w:t>
            </w:r>
            <w:r>
              <w:rPr>
                <w:rFonts w:hint="eastAsia" w:ascii="宋体" w:hAnsi="宋体" w:eastAsia="宋体" w:cs="宋体"/>
                <w:color w:val="000000" w:themeColor="text1"/>
                <w:sz w:val="24"/>
                <w:szCs w:val="24"/>
                <w14:textFill>
                  <w14:solidFill>
                    <w14:schemeClr w14:val="tx1"/>
                  </w14:solidFill>
                </w14:textFill>
              </w:rPr>
              <w:t>（大写）：</w:t>
            </w:r>
          </w:p>
        </w:tc>
        <w:tc>
          <w:tcPr>
            <w:tcW w:w="151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注</w:t>
      </w:r>
      <w:r>
        <w:rPr>
          <w:rFonts w:hint="eastAsia" w:ascii="宋体" w:hAnsi="宋体"/>
          <w:b/>
          <w:color w:val="000000" w:themeColor="text1"/>
          <w:szCs w:val="21"/>
          <w:highlight w:val="none"/>
          <w14:textFill>
            <w14:solidFill>
              <w14:schemeClr w14:val="tx1"/>
            </w14:solidFill>
          </w14:textFill>
        </w:rPr>
        <w:t>：</w:t>
      </w:r>
    </w:p>
    <w:p>
      <w:pPr>
        <w:pStyle w:val="10"/>
        <w:numPr>
          <w:ilvl w:val="0"/>
          <w:numId w:val="11"/>
        </w:num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报价包括本项目采购需求和投入使用的所有费用，包括但不限于人工费、机械台班费、水电费、油耗费、折旧费、修理费、工器具材料费、垃圾清运费、安全文明生产装备费、招标代理费、企业应缴税金和应得利润、应急任务等完成合同所需的一切本身和不可或缺的所有工作开支、政策性文件规定及合同包含的所有风险、责任等各项全部费用，全部费用已包含在开标一览表的投标总报价中。</w:t>
      </w:r>
    </w:p>
    <w:p>
      <w:pPr>
        <w:pStyle w:val="10"/>
        <w:numPr>
          <w:ilvl w:val="0"/>
          <w:numId w:val="11"/>
        </w:numPr>
        <w:spacing w:line="360" w:lineRule="auto"/>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投标总报价=本项目最高限价*（1-下浮率%）；投标总报价须注明下浮率%（百分号前保留两位小数）。</w:t>
      </w:r>
    </w:p>
    <w:p>
      <w:pPr>
        <w:pStyle w:val="10"/>
        <w:numPr>
          <w:ilvl w:val="0"/>
          <w:numId w:val="0"/>
        </w:num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3、结算金额（采购人指定地点）=综合单价的最高限价*【1-下浮率%（投标总报价中注明的下浮率%）】*实际完成清运量。</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outlineLvl w:val="0"/>
        <w:rPr>
          <w:rFonts w:hint="eastAsia" w:ascii="宋体" w:hAnsi="宋体" w:eastAsia="宋体"/>
          <w:b/>
          <w:color w:val="000000" w:themeColor="text1"/>
          <w:sz w:val="28"/>
          <w:highlight w:val="none"/>
          <w:lang w:val="en-US" w:eastAsia="zh-CN"/>
          <w14:textFill>
            <w14:solidFill>
              <w14:schemeClr w14:val="tx1"/>
            </w14:solidFill>
          </w14:textFill>
        </w:rPr>
      </w:pPr>
      <w:bookmarkStart w:id="79" w:name="_Toc3563"/>
      <w:bookmarkStart w:id="80" w:name="_Toc19297"/>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1</w:t>
      </w:r>
      <w:bookmarkEnd w:id="79"/>
      <w:bookmarkEnd w:id="80"/>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23"/>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958"/>
        <w:gridCol w:w="757"/>
        <w:gridCol w:w="829"/>
        <w:gridCol w:w="1343"/>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958"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项目内容</w:t>
            </w:r>
          </w:p>
        </w:tc>
        <w:tc>
          <w:tcPr>
            <w:tcW w:w="757"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829"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w:t>
            </w:r>
          </w:p>
        </w:tc>
        <w:tc>
          <w:tcPr>
            <w:tcW w:w="1343"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单价（元）</w:t>
            </w:r>
          </w:p>
        </w:tc>
        <w:tc>
          <w:tcPr>
            <w:tcW w:w="1110"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总</w:t>
            </w:r>
            <w:r>
              <w:rPr>
                <w:rFonts w:hint="eastAsia" w:ascii="宋体" w:hAnsi="宋体" w:cs="宋体"/>
                <w:color w:val="000000" w:themeColor="text1"/>
                <w:sz w:val="21"/>
                <w:szCs w:val="21"/>
                <w14:textFill>
                  <w14:solidFill>
                    <w14:schemeClr w14:val="tx1"/>
                  </w14:solidFill>
                </w14:textFill>
              </w:rPr>
              <w:t>价（元）</w:t>
            </w:r>
          </w:p>
        </w:tc>
        <w:tc>
          <w:tcPr>
            <w:tcW w:w="1110" w:type="dxa"/>
            <w:noWrap w:val="0"/>
            <w:vAlign w:val="bottom"/>
          </w:tcPr>
          <w:p>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2958"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生活垃圾清运</w:t>
            </w:r>
          </w:p>
        </w:tc>
        <w:tc>
          <w:tcPr>
            <w:tcW w:w="757" w:type="dxa"/>
            <w:noWrap w:val="0"/>
            <w:vAlign w:val="center"/>
          </w:tcPr>
          <w:p>
            <w:pPr>
              <w:pStyle w:val="13"/>
              <w:snapToGrid w:val="0"/>
              <w:spacing w:beforeLines="0" w:afterLines="0" w:line="480" w:lineRule="exact"/>
              <w:rPr>
                <w:rFonts w:hint="default" w:ascii="宋体" w:hAnsi="宋体" w:eastAsia="宋体" w:cs="Times New Roman"/>
                <w:bCs/>
                <w:color w:val="000000" w:themeColor="text1"/>
                <w:lang w:val="en-US" w:eastAsia="zh-CN"/>
                <w14:textFill>
                  <w14:solidFill>
                    <w14:schemeClr w14:val="tx1"/>
                  </w14:solidFill>
                </w14:textFill>
              </w:rPr>
            </w:pPr>
            <w:r>
              <w:rPr>
                <w:rFonts w:hint="eastAsia" w:hAnsi="宋体" w:cs="Times New Roman"/>
                <w:bCs/>
                <w:color w:val="000000" w:themeColor="text1"/>
                <w:lang w:val="en-US" w:eastAsia="zh-CN"/>
                <w14:textFill>
                  <w14:solidFill>
                    <w14:schemeClr w14:val="tx1"/>
                  </w14:solidFill>
                </w14:textFill>
              </w:rPr>
              <w:t>28500</w:t>
            </w:r>
          </w:p>
        </w:tc>
        <w:tc>
          <w:tcPr>
            <w:tcW w:w="829" w:type="dxa"/>
            <w:noWrap w:val="0"/>
            <w:vAlign w:val="center"/>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吨</w:t>
            </w: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2958"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分拣生活垃圾无法燃烧物</w:t>
            </w:r>
            <w:r>
              <w:rPr>
                <w:rFonts w:hint="eastAsia" w:ascii="宋体" w:hAnsi="宋体"/>
                <w:color w:val="000000" w:themeColor="text1"/>
                <w:sz w:val="24"/>
                <w:lang w:eastAsia="zh-CN"/>
                <w14:textFill>
                  <w14:solidFill>
                    <w14:schemeClr w14:val="tx1"/>
                  </w14:solidFill>
                </w14:textFill>
              </w:rPr>
              <w:t>质清运</w:t>
            </w:r>
          </w:p>
        </w:tc>
        <w:tc>
          <w:tcPr>
            <w:tcW w:w="757" w:type="dxa"/>
            <w:noWrap w:val="0"/>
            <w:vAlign w:val="center"/>
          </w:tcPr>
          <w:p>
            <w:pPr>
              <w:pStyle w:val="13"/>
              <w:snapToGrid w:val="0"/>
              <w:spacing w:beforeLines="0" w:afterLines="0" w:line="480" w:lineRule="exact"/>
              <w:rPr>
                <w:rFonts w:hint="default" w:ascii="宋体" w:hAnsi="宋体" w:eastAsia="宋体" w:cs="Times New Roman"/>
                <w:bCs/>
                <w:color w:val="000000" w:themeColor="text1"/>
                <w:lang w:val="en-US" w:eastAsia="zh-CN"/>
                <w14:textFill>
                  <w14:solidFill>
                    <w14:schemeClr w14:val="tx1"/>
                  </w14:solidFill>
                </w14:textFill>
              </w:rPr>
            </w:pPr>
            <w:r>
              <w:rPr>
                <w:rFonts w:hint="eastAsia" w:hAnsi="宋体" w:cs="Times New Roman"/>
                <w:bCs/>
                <w:color w:val="000000" w:themeColor="text1"/>
                <w:lang w:val="en-US" w:eastAsia="zh-CN"/>
                <w14:textFill>
                  <w14:solidFill>
                    <w14:schemeClr w14:val="tx1"/>
                  </w14:solidFill>
                </w14:textFill>
              </w:rPr>
              <w:t>1500</w:t>
            </w:r>
          </w:p>
        </w:tc>
        <w:tc>
          <w:tcPr>
            <w:tcW w:w="829" w:type="dxa"/>
            <w:noWrap w:val="0"/>
            <w:vAlign w:val="center"/>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吨</w:t>
            </w: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c>
          <w:tcPr>
            <w:tcW w:w="2958" w:type="dxa"/>
            <w:noWrap w:val="0"/>
            <w:vAlign w:val="top"/>
          </w:tcPr>
          <w:p>
            <w:pPr>
              <w:pStyle w:val="13"/>
              <w:snapToGrid w:val="0"/>
              <w:spacing w:beforeLines="0" w:afterLines="0" w:line="480" w:lineRule="exact"/>
              <w:rPr>
                <w:rFonts w:hint="default" w:ascii="宋体" w:hAnsi="宋体" w:eastAsia="宋体" w:cs="Times New Roman"/>
                <w:bCs/>
                <w:color w:val="000000" w:themeColor="text1"/>
                <w:kern w:val="2"/>
                <w:sz w:val="21"/>
                <w:lang w:val="en-IE" w:eastAsia="zh-CN" w:bidi="ar-SA"/>
                <w14:textFill>
                  <w14:solidFill>
                    <w14:schemeClr w14:val="tx1"/>
                  </w14:solidFill>
                </w14:textFill>
              </w:rPr>
            </w:pPr>
          </w:p>
        </w:tc>
        <w:tc>
          <w:tcPr>
            <w:tcW w:w="757"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829"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2958" w:type="dxa"/>
            <w:noWrap w:val="0"/>
            <w:vAlign w:val="top"/>
          </w:tcPr>
          <w:p>
            <w:pPr>
              <w:pStyle w:val="13"/>
              <w:snapToGrid w:val="0"/>
              <w:spacing w:beforeLines="0" w:afterLines="0" w:line="480" w:lineRule="exact"/>
              <w:rPr>
                <w:rFonts w:hint="default" w:ascii="宋体" w:hAnsi="宋体"/>
                <w:bCs/>
                <w:color w:val="000000" w:themeColor="text1"/>
                <w:kern w:val="2"/>
                <w:sz w:val="21"/>
                <w:lang w:val="en-IE" w:eastAsia="zh-CN" w:bidi="ar-SA"/>
                <w14:textFill>
                  <w14:solidFill>
                    <w14:schemeClr w14:val="tx1"/>
                  </w14:solidFill>
                </w14:textFill>
              </w:rPr>
            </w:pPr>
          </w:p>
        </w:tc>
        <w:tc>
          <w:tcPr>
            <w:tcW w:w="757"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829"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2958" w:type="dxa"/>
            <w:noWrap w:val="0"/>
            <w:vAlign w:val="center"/>
          </w:tcPr>
          <w:p>
            <w:pPr>
              <w:rPr>
                <w:color w:val="000000" w:themeColor="text1"/>
                <w:sz w:val="21"/>
                <w:szCs w:val="21"/>
                <w:lang w:val="en-IE"/>
                <w14:textFill>
                  <w14:solidFill>
                    <w14:schemeClr w14:val="tx1"/>
                  </w14:solidFill>
                </w14:textFill>
              </w:rPr>
            </w:pPr>
          </w:p>
        </w:tc>
        <w:tc>
          <w:tcPr>
            <w:tcW w:w="757"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829"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2958" w:type="dxa"/>
            <w:noWrap w:val="0"/>
            <w:vAlign w:val="center"/>
          </w:tcPr>
          <w:p>
            <w:pPr>
              <w:rPr>
                <w:color w:val="000000" w:themeColor="text1"/>
                <w:sz w:val="21"/>
                <w:szCs w:val="21"/>
                <w:lang w:val="en-IE"/>
                <w14:textFill>
                  <w14:solidFill>
                    <w14:schemeClr w14:val="tx1"/>
                  </w14:solidFill>
                </w14:textFill>
              </w:rPr>
            </w:pPr>
          </w:p>
        </w:tc>
        <w:tc>
          <w:tcPr>
            <w:tcW w:w="757"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829"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523" w:type="dxa"/>
            <w:gridSpan w:val="5"/>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  （取整数，单位：元）</w:t>
            </w:r>
          </w:p>
        </w:tc>
        <w:tc>
          <w:tcPr>
            <w:tcW w:w="2220" w:type="dxa"/>
            <w:gridSpan w:val="2"/>
            <w:noWrap w:val="0"/>
            <w:vAlign w:val="top"/>
          </w:tcPr>
          <w:p>
            <w:pPr>
              <w:rPr>
                <w:rFonts w:ascii="宋体" w:hAnsi="宋体" w:cs="宋体"/>
                <w:color w:val="000000" w:themeColor="text1"/>
                <w:sz w:val="21"/>
                <w:szCs w:val="21"/>
                <w14:textFill>
                  <w14:solidFill>
                    <w14:schemeClr w14:val="tx1"/>
                  </w14:solidFill>
                </w14:textFill>
              </w:rPr>
            </w:pPr>
          </w:p>
        </w:tc>
      </w:tr>
    </w:tbl>
    <w:p>
      <w:pPr>
        <w:pStyle w:val="3"/>
        <w:rPr>
          <w:rFonts w:hint="eastAsia"/>
          <w:color w:val="000000" w:themeColor="text1"/>
          <w14:textFill>
            <w14:solidFill>
              <w14:schemeClr w14:val="tx1"/>
            </w14:solidFill>
          </w14:textFill>
        </w:rPr>
      </w:pP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注</w:t>
      </w:r>
      <w:r>
        <w:rPr>
          <w:rFonts w:hint="eastAsia" w:ascii="宋体" w:hAnsi="宋体"/>
          <w:b/>
          <w:color w:val="000000" w:themeColor="text1"/>
          <w:szCs w:val="21"/>
          <w:highlight w:val="none"/>
          <w14:textFill>
            <w14:solidFill>
              <w14:schemeClr w14:val="tx1"/>
            </w14:solidFill>
          </w14:textFill>
        </w:rPr>
        <w:t>：</w:t>
      </w:r>
    </w:p>
    <w:p>
      <w:p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336" w:lineRule="auto"/>
        <w:ind w:left="435"/>
        <w:textAlignment w:val="auto"/>
        <w:rPr>
          <w:rFonts w:ascii="宋体"/>
          <w:color w:val="000000" w:themeColor="text1"/>
          <w:szCs w:val="21"/>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left="42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keepNext w:val="0"/>
        <w:keepLines w:val="0"/>
        <w:pageBreakBefore w:val="0"/>
        <w:widowControl w:val="0"/>
        <w:kinsoku/>
        <w:wordWrap/>
        <w:overflowPunct/>
        <w:topLinePunct w:val="0"/>
        <w:autoSpaceDE/>
        <w:autoSpaceDN/>
        <w:bidi w:val="0"/>
        <w:adjustRightInd/>
        <w:snapToGrid/>
        <w:spacing w:line="336" w:lineRule="auto"/>
        <w:ind w:left="420"/>
        <w:textAlignment w:val="auto"/>
        <w:rPr>
          <w:rFonts w:ascii="宋体" w:hAnsi="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pStyle w:val="3"/>
        <w:rPr>
          <w:rFonts w:hint="eastAsia"/>
          <w:color w:val="000000" w:themeColor="text1"/>
          <w14:textFill>
            <w14:solidFill>
              <w14:schemeClr w14:val="tx1"/>
            </w14:solidFill>
          </w14:textFill>
        </w:rPr>
      </w:pPr>
    </w:p>
    <w:p>
      <w:pPr>
        <w:snapToGrid w:val="0"/>
        <w:spacing w:before="156" w:beforeLines="50" w:after="50" w:line="360" w:lineRule="auto"/>
        <w:outlineLvl w:val="0"/>
        <w:rPr>
          <w:rFonts w:hint="eastAsia" w:ascii="仿宋_GB2312" w:hAnsi="宋体" w:eastAsia="宋体"/>
          <w:bCs/>
          <w:color w:val="000000" w:themeColor="text1"/>
          <w:sz w:val="30"/>
          <w:szCs w:val="30"/>
          <w:highlight w:val="none"/>
          <w:lang w:eastAsia="zh-CN"/>
          <w14:textFill>
            <w14:solidFill>
              <w14:schemeClr w14:val="tx1"/>
            </w14:solidFill>
          </w14:textFill>
        </w:rPr>
      </w:pPr>
      <w:bookmarkStart w:id="81" w:name="_Toc32502"/>
      <w:bookmarkStart w:id="82" w:name="_Toc21774"/>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2</w:t>
      </w:r>
      <w:bookmarkEnd w:id="81"/>
      <w:bookmarkEnd w:id="82"/>
    </w:p>
    <w:p>
      <w:pPr>
        <w:pStyle w:val="55"/>
        <w:spacing w:line="360" w:lineRule="auto"/>
        <w:jc w:val="center"/>
        <w:rPr>
          <w:rFonts w:ascii="宋体" w:hAnsi="宋体"/>
          <w:b/>
          <w:color w:val="000000" w:themeColor="text1"/>
          <w:sz w:val="32"/>
          <w:szCs w:val="32"/>
          <w:lang w:val="en-GB"/>
          <w14:textFill>
            <w14:solidFill>
              <w14:schemeClr w14:val="tx1"/>
            </w14:solidFill>
          </w14:textFill>
        </w:rPr>
      </w:pPr>
      <w:r>
        <w:rPr>
          <w:rFonts w:hint="eastAsia" w:ascii="宋体" w:hAnsi="宋体"/>
          <w:b/>
          <w:color w:val="000000" w:themeColor="text1"/>
          <w:sz w:val="32"/>
          <w:szCs w:val="32"/>
          <w:lang w:val="en-GB"/>
          <w14:textFill>
            <w14:solidFill>
              <w14:schemeClr w14:val="tx1"/>
            </w14:solidFill>
          </w14:textFill>
        </w:rPr>
        <w:t>中小企业声明函</w:t>
      </w:r>
    </w:p>
    <w:p>
      <w:pPr>
        <w:pStyle w:val="55"/>
        <w:spacing w:line="360" w:lineRule="auto"/>
        <w:jc w:val="center"/>
        <w:rPr>
          <w:rFonts w:ascii="宋体" w:hAnsi="宋体"/>
          <w:b/>
          <w:color w:val="000000" w:themeColor="text1"/>
          <w:sz w:val="24"/>
          <w:lang w:val="en-GB"/>
          <w14:textFill>
            <w14:solidFill>
              <w14:schemeClr w14:val="tx1"/>
            </w14:solidFill>
          </w14:textFill>
        </w:rPr>
      </w:pPr>
    </w:p>
    <w:p>
      <w:pPr>
        <w:pStyle w:val="55"/>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55"/>
        <w:numPr>
          <w:ilvl w:val="0"/>
          <w:numId w:val="12"/>
        </w:num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（招标文件中明确的所属行业）</w:t>
      </w:r>
      <w:r>
        <w:rPr>
          <w:rFonts w:hint="eastAsia" w:ascii="宋体" w:hAnsi="宋体"/>
          <w:color w:val="000000" w:themeColor="text1"/>
          <w:sz w:val="24"/>
          <w14:textFill>
            <w14:solidFill>
              <w14:schemeClr w14:val="tx1"/>
            </w14:solidFill>
          </w14:textFill>
        </w:rPr>
        <w:t>；承建（承接）企业为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，属于（中型企业、小型企业、微型企业）；</w:t>
      </w:r>
    </w:p>
    <w:p>
      <w:pPr>
        <w:pStyle w:val="55"/>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（招标文件中明确的所属行业）</w:t>
      </w:r>
      <w:r>
        <w:rPr>
          <w:rFonts w:hint="eastAsia" w:ascii="宋体" w:hAnsi="宋体"/>
          <w:color w:val="000000" w:themeColor="text1"/>
          <w:sz w:val="24"/>
          <w14:textFill>
            <w14:solidFill>
              <w14:schemeClr w14:val="tx1"/>
            </w14:solidFill>
          </w14:textFill>
        </w:rPr>
        <w:t>；承建（承接）企业为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万元，属于（中型企业、小型企业、微型企业）；</w:t>
      </w:r>
    </w:p>
    <w:p>
      <w:pPr>
        <w:pStyle w:val="55"/>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pStyle w:val="55"/>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本企业对上述声明内容的真实性负责。如有虚假，将依法承担相应责任。</w:t>
      </w:r>
    </w:p>
    <w:p>
      <w:pPr>
        <w:pStyle w:val="55"/>
        <w:spacing w:line="360" w:lineRule="auto"/>
        <w:ind w:firstLine="480" w:firstLineChars="200"/>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信息查询</w:t>
      </w:r>
      <w:r>
        <w:rPr>
          <w:rFonts w:hint="eastAsia" w:ascii="宋体" w:hAnsi="宋体" w:cs="Arial"/>
          <w:bCs/>
          <w:color w:val="000000" w:themeColor="text1"/>
          <w:sz w:val="24"/>
          <w14:textFill>
            <w14:solidFill>
              <w14:schemeClr w14:val="tx1"/>
            </w14:solidFill>
          </w14:textFill>
        </w:rPr>
        <w:t>网址为：</w:t>
      </w:r>
    </w:p>
    <w:p>
      <w:pPr>
        <w:spacing w:line="360" w:lineRule="auto"/>
        <w:rPr>
          <w:rFonts w:ascii="宋体" w:hAnsi="宋体"/>
          <w:color w:val="000000" w:themeColor="text1"/>
          <w:spacing w:val="6"/>
          <w:sz w:val="24"/>
          <w14:textFill>
            <w14:solidFill>
              <w14:schemeClr w14:val="tx1"/>
            </w14:solidFill>
          </w14:textFill>
        </w:rPr>
      </w:pPr>
    </w:p>
    <w:p>
      <w:pPr>
        <w:pStyle w:val="55"/>
        <w:spacing w:line="360" w:lineRule="auto"/>
        <w:ind w:firstLine="480" w:firstLineChars="200"/>
        <w:rPr>
          <w:rFonts w:ascii="宋体" w:hAnsi="宋体" w:cs="Arial"/>
          <w:bCs/>
          <w:color w:val="000000" w:themeColor="text1"/>
          <w:sz w:val="24"/>
          <w14:textFill>
            <w14:solidFill>
              <w14:schemeClr w14:val="tx1"/>
            </w14:solidFill>
          </w14:textFill>
        </w:rPr>
      </w:pPr>
    </w:p>
    <w:p>
      <w:pPr>
        <w:pStyle w:val="55"/>
        <w:spacing w:line="360" w:lineRule="auto"/>
        <w:rPr>
          <w:rFonts w:ascii="宋体" w:hAnsi="宋体"/>
          <w:color w:val="000000" w:themeColor="text1"/>
          <w:sz w:val="24"/>
          <w14:textFill>
            <w14:solidFill>
              <w14:schemeClr w14:val="tx1"/>
            </w14:solidFill>
          </w14:textFill>
        </w:rPr>
      </w:pPr>
    </w:p>
    <w:p>
      <w:pPr>
        <w:pStyle w:val="55"/>
        <w:spacing w:line="360" w:lineRule="auto"/>
        <w:ind w:firstLine="4800" w:firstLineChars="20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企业名称（盖章）：</w:t>
      </w:r>
      <w:r>
        <w:rPr>
          <w:rFonts w:hint="eastAsia" w:ascii="宋体" w:hAnsi="宋体"/>
          <w:color w:val="000000" w:themeColor="text1"/>
          <w:sz w:val="24"/>
          <w:lang w:val="en-US" w:eastAsia="zh-CN"/>
          <w14:textFill>
            <w14:solidFill>
              <w14:schemeClr w14:val="tx1"/>
            </w14:solidFill>
          </w14:textFill>
        </w:rPr>
        <w:t xml:space="preserve">              </w:t>
      </w:r>
    </w:p>
    <w:p>
      <w:pPr>
        <w:pStyle w:val="55"/>
        <w:spacing w:line="360" w:lineRule="auto"/>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pPr>
        <w:pStyle w:val="10"/>
        <w:rPr>
          <w:rFonts w:ascii="宋体" w:hAnsi="宋体" w:cs="宋体"/>
          <w:color w:val="000000" w:themeColor="text1"/>
          <w:sz w:val="24"/>
          <w:szCs w:val="24"/>
          <w14:textFill>
            <w14:solidFill>
              <w14:schemeClr w14:val="tx1"/>
            </w14:solidFill>
          </w14:textFill>
        </w:rPr>
      </w:pPr>
    </w:p>
    <w:p>
      <w:pPr>
        <w:pStyle w:val="10"/>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pPr>
        <w:rPr>
          <w:rFonts w:ascii="宋体" w:hAnsi="宋体" w:cs="宋体"/>
          <w:color w:val="000000" w:themeColor="text1"/>
          <w:sz w:val="24"/>
          <w14:textFill>
            <w14:solidFill>
              <w14:schemeClr w14:val="tx1"/>
            </w14:solidFill>
          </w14:textFill>
        </w:rPr>
        <w:sectPr>
          <w:headerReference r:id="rId3" w:type="first"/>
          <w:footerReference r:id="rId4" w:type="default"/>
          <w:pgSz w:w="11906" w:h="16838"/>
          <w:pgMar w:top="1701" w:right="1248" w:bottom="1531" w:left="1418" w:header="851" w:footer="851" w:gutter="0"/>
          <w:cols w:space="720" w:num="1"/>
          <w:docGrid w:linePitch="312" w:charSpace="0"/>
        </w:sectPr>
      </w:pPr>
      <w:r>
        <w:rPr>
          <w:rFonts w:hint="eastAsia" w:ascii="宋体" w:hAnsi="宋体" w:cs="宋体"/>
          <w:color w:val="000000" w:themeColor="text1"/>
          <w:sz w:val="24"/>
          <w14:textFill>
            <w14:solidFill>
              <w14:schemeClr w14:val="tx1"/>
            </w14:solidFill>
          </w14:textFill>
        </w:rPr>
        <w:t>②本声明函将随中标结果公开，接受社会监督。</w:t>
      </w:r>
    </w:p>
    <w:p>
      <w:pPr>
        <w:pStyle w:val="13"/>
        <w:spacing w:line="360" w:lineRule="auto"/>
        <w:jc w:val="center"/>
        <w:outlineLvl w:val="1"/>
        <w:rPr>
          <w:rFonts w:hAnsi="宋体" w:cs="宋体"/>
          <w:b/>
          <w:color w:val="000000" w:themeColor="text1"/>
          <w:sz w:val="32"/>
          <w:szCs w:val="32"/>
          <w:lang w:val="en-GB"/>
          <w14:textFill>
            <w14:solidFill>
              <w14:schemeClr w14:val="tx1"/>
            </w14:solidFill>
          </w14:textFill>
        </w:rPr>
      </w:pPr>
      <w:bookmarkStart w:id="83" w:name="_Toc17646_WPSOffice_Level1"/>
      <w:bookmarkStart w:id="84" w:name="_Toc27483_WPSOffice_Level1"/>
      <w:r>
        <w:rPr>
          <w:rFonts w:hint="eastAsia" w:hAnsi="宋体" w:cs="宋体"/>
          <w:b/>
          <w:color w:val="000000" w:themeColor="text1"/>
          <w:sz w:val="32"/>
          <w:szCs w:val="32"/>
          <w:lang w:val="en-GB"/>
          <w14:textFill>
            <w14:solidFill>
              <w14:schemeClr w14:val="tx1"/>
            </w14:solidFill>
          </w14:textFill>
        </w:rPr>
        <w:t>残疾人福利性单位声明函</w:t>
      </w:r>
      <w:bookmarkEnd w:id="83"/>
      <w:bookmarkEnd w:id="84"/>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pStyle w:val="22"/>
        <w:rPr>
          <w:color w:val="000000" w:themeColor="text1"/>
          <w14:textFill>
            <w14:solidFill>
              <w14:schemeClr w14:val="tx1"/>
            </w14:solidFill>
          </w14:textFill>
        </w:rPr>
      </w:pPr>
    </w:p>
    <w:p>
      <w:pPr>
        <w:tabs>
          <w:tab w:val="left" w:pos="4860"/>
        </w:tabs>
        <w:spacing w:line="588" w:lineRule="exact"/>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55"/>
        <w:spacing w:line="360" w:lineRule="auto"/>
        <w:ind w:left="4788" w:leftChars="2280"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55"/>
        <w:spacing w:line="360" w:lineRule="auto"/>
        <w:ind w:left="4788" w:leftChars="2280"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单位名称（盖章）：</w:t>
      </w:r>
    </w:p>
    <w:p>
      <w:pPr>
        <w:pStyle w:val="55"/>
        <w:spacing w:line="360" w:lineRule="auto"/>
        <w:ind w:left="3591" w:leftChars="1710" w:firstLine="1200" w:firstLineChars="5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  ：</w:t>
      </w:r>
    </w:p>
    <w:p>
      <w:pPr>
        <w:rPr>
          <w:color w:val="000000" w:themeColor="text1"/>
          <w:highlight w:val="none"/>
          <w14:textFill>
            <w14:solidFill>
              <w14:schemeClr w14:val="tx1"/>
            </w14:solidFill>
          </w14:textFill>
        </w:rPr>
      </w:pPr>
    </w:p>
    <w:sectPr>
      <w:headerReference r:id="rId5" w:type="default"/>
      <w:pgSz w:w="11906" w:h="16838"/>
      <w:pgMar w:top="1440" w:right="1191"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right"/>
      <w:rPr>
        <w:b/>
        <w:color w:val="000000" w:themeColor="text1"/>
        <w:sz w:val="10"/>
        <w:u w:val="single"/>
        <w14:textFill>
          <w14:solidFill>
            <w14:schemeClr w14:val="tx1"/>
          </w14:solidFill>
        </w14:textFill>
      </w:rPr>
    </w:pPr>
    <w:r>
      <w:rPr>
        <w:rFonts w:hint="eastAsia"/>
        <w:b/>
        <w:color w:val="000000" w:themeColor="text1"/>
        <w:kern w:val="0"/>
        <w:sz w:val="18"/>
        <w:u w:val="single"/>
        <w:lang w:eastAsia="zh-CN"/>
        <w14:textFill>
          <w14:solidFill>
            <w14:schemeClr w14:val="tx1"/>
          </w14:solidFill>
        </w14:textFill>
      </w:rPr>
      <w:t>三门县浦坝港镇胜利塘木杓山（木屿山）生活垃圾临时周转场余量垃圾清运项目（二次招标）</w:t>
    </w:r>
    <w:r>
      <w:rPr>
        <w:rFonts w:hint="eastAsia"/>
        <w:b/>
        <w:color w:val="000000" w:themeColor="text1"/>
        <w:kern w:val="0"/>
        <w:sz w:val="18"/>
        <w:u w:val="single"/>
        <w14:textFill>
          <w14:solidFill>
            <w14:schemeClr w14:val="tx1"/>
          </w14:solidFill>
        </w14:textFill>
      </w:rPr>
      <w:t>招标文件</w:t>
    </w:r>
    <w:r>
      <w:rPr>
        <w:rFonts w:hint="eastAsia"/>
        <w:b/>
        <w:color w:val="000000" w:themeColor="text1"/>
        <w:kern w:val="0"/>
        <w:sz w:val="18"/>
        <w:u w:val="single"/>
        <w:lang w:val="en-US" w:eastAsia="zh-CN"/>
        <w14:textFill>
          <w14:solidFill>
            <w14:schemeClr w14:val="tx1"/>
          </w14:solidFill>
        </w14:textFill>
      </w:rPr>
      <w:t xml:space="preserve">    </w:t>
    </w:r>
    <w:r>
      <w:rPr>
        <w:rFonts w:hint="eastAsia"/>
        <w:b/>
        <w:color w:val="000000" w:themeColor="text1"/>
        <w:spacing w:val="-20"/>
        <w:kern w:val="0"/>
        <w:sz w:val="18"/>
        <w:u w:val="single"/>
        <w14:textFill>
          <w14:solidFill>
            <w14:schemeClr w14:val="tx1"/>
          </w14:solidFill>
        </w14:textFill>
      </w:rPr>
      <w:t>第</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37</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页共</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49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C35D8"/>
    <w:multiLevelType w:val="singleLevel"/>
    <w:tmpl w:val="9E2C35D8"/>
    <w:lvl w:ilvl="0" w:tentative="0">
      <w:start w:val="1"/>
      <w:numFmt w:val="decimal"/>
      <w:lvlText w:val="(%1)"/>
      <w:lvlJc w:val="left"/>
      <w:pPr>
        <w:ind w:left="425" w:hanging="425"/>
      </w:pPr>
      <w:rPr>
        <w:rFonts w:hint="default"/>
      </w:rPr>
    </w:lvl>
  </w:abstractNum>
  <w:abstractNum w:abstractNumId="1">
    <w:nsid w:val="AE2D8F7B"/>
    <w:multiLevelType w:val="singleLevel"/>
    <w:tmpl w:val="AE2D8F7B"/>
    <w:lvl w:ilvl="0" w:tentative="0">
      <w:start w:val="1"/>
      <w:numFmt w:val="decimal"/>
      <w:pStyle w:val="9"/>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pPr>
        <w:ind w:left="-52"/>
      </w:p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2578168A"/>
    <w:multiLevelType w:val="singleLevel"/>
    <w:tmpl w:val="2578168A"/>
    <w:lvl w:ilvl="0" w:tentative="0">
      <w:start w:val="1"/>
      <w:numFmt w:val="decimal"/>
      <w:suff w:val="nothing"/>
      <w:lvlText w:val="%1、"/>
      <w:lvlJc w:val="left"/>
    </w:lvl>
  </w:abstractNum>
  <w:abstractNum w:abstractNumId="5">
    <w:nsid w:val="340BC594"/>
    <w:multiLevelType w:val="singleLevel"/>
    <w:tmpl w:val="340BC594"/>
    <w:lvl w:ilvl="0" w:tentative="0">
      <w:start w:val="1"/>
      <w:numFmt w:val="decimal"/>
      <w:suff w:val="nothing"/>
      <w:lvlText w:val="%1、"/>
      <w:lvlJc w:val="left"/>
    </w:lvl>
  </w:abstractNum>
  <w:abstractNum w:abstractNumId="6">
    <w:nsid w:val="3CEB21C5"/>
    <w:multiLevelType w:val="singleLevel"/>
    <w:tmpl w:val="3CEB21C5"/>
    <w:lvl w:ilvl="0" w:tentative="0">
      <w:start w:val="1"/>
      <w:numFmt w:val="decimal"/>
      <w:lvlText w:val="%1."/>
      <w:lvlJc w:val="left"/>
      <w:pPr>
        <w:tabs>
          <w:tab w:val="left" w:pos="312"/>
        </w:tabs>
      </w:p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53F985B4"/>
    <w:multiLevelType w:val="singleLevel"/>
    <w:tmpl w:val="53F985B4"/>
    <w:lvl w:ilvl="0" w:tentative="0">
      <w:start w:val="1"/>
      <w:numFmt w:val="decimal"/>
      <w:lvlText w:val="%1."/>
      <w:lvlJc w:val="left"/>
      <w:pPr>
        <w:tabs>
          <w:tab w:val="left" w:pos="312"/>
        </w:tabs>
      </w:pPr>
    </w:lvl>
  </w:abstractNum>
  <w:abstractNum w:abstractNumId="9">
    <w:nsid w:val="588BE6D7"/>
    <w:multiLevelType w:val="singleLevel"/>
    <w:tmpl w:val="588BE6D7"/>
    <w:lvl w:ilvl="0" w:tentative="0">
      <w:start w:val="1"/>
      <w:numFmt w:val="chineseCounting"/>
      <w:suff w:val="space"/>
      <w:lvlText w:val="第%1章"/>
      <w:lvlJc w:val="left"/>
      <w:rPr>
        <w:rFonts w:hint="eastAsia"/>
      </w:r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B6A520A"/>
    <w:multiLevelType w:val="singleLevel"/>
    <w:tmpl w:val="6B6A520A"/>
    <w:lvl w:ilvl="0" w:tentative="0">
      <w:start w:val="1"/>
      <w:numFmt w:val="decimal"/>
      <w:suff w:val="nothing"/>
      <w:lvlText w:val="%1、"/>
      <w:lvlJc w:val="left"/>
    </w:lvl>
  </w:abstractNum>
  <w:num w:numId="1">
    <w:abstractNumId w:val="1"/>
  </w:num>
  <w:num w:numId="2">
    <w:abstractNumId w:val="9"/>
  </w:num>
  <w:num w:numId="3">
    <w:abstractNumId w:val="7"/>
  </w:num>
  <w:num w:numId="4">
    <w:abstractNumId w:val="3"/>
  </w:num>
  <w:num w:numId="5">
    <w:abstractNumId w:val="2"/>
  </w:num>
  <w:num w:numId="6">
    <w:abstractNumId w:val="6"/>
  </w:num>
  <w:num w:numId="7">
    <w:abstractNumId w:val="11"/>
  </w:num>
  <w:num w:numId="8">
    <w:abstractNumId w:val="4"/>
  </w:num>
  <w:num w:numId="9">
    <w:abstractNumId w:val="0"/>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YjA5YmRmOTQzMmE0ZDI0OWZjYzZmNTkyNDNlY2MifQ=="/>
  </w:docVars>
  <w:rsids>
    <w:rsidRoot w:val="004A50F8"/>
    <w:rsid w:val="0000342B"/>
    <w:rsid w:val="00013AB4"/>
    <w:rsid w:val="00017CFA"/>
    <w:rsid w:val="00026F9B"/>
    <w:rsid w:val="00027AA6"/>
    <w:rsid w:val="000305E3"/>
    <w:rsid w:val="000341F5"/>
    <w:rsid w:val="00044A1C"/>
    <w:rsid w:val="000479F9"/>
    <w:rsid w:val="00053293"/>
    <w:rsid w:val="00053E56"/>
    <w:rsid w:val="000558A0"/>
    <w:rsid w:val="00072C34"/>
    <w:rsid w:val="00083B34"/>
    <w:rsid w:val="0009793C"/>
    <w:rsid w:val="000A1AE8"/>
    <w:rsid w:val="000B7AB8"/>
    <w:rsid w:val="000C119D"/>
    <w:rsid w:val="000C7400"/>
    <w:rsid w:val="000D2827"/>
    <w:rsid w:val="000D5CDF"/>
    <w:rsid w:val="000F1694"/>
    <w:rsid w:val="000F17C9"/>
    <w:rsid w:val="000F209B"/>
    <w:rsid w:val="000F63FE"/>
    <w:rsid w:val="001007A3"/>
    <w:rsid w:val="00100918"/>
    <w:rsid w:val="00100FFB"/>
    <w:rsid w:val="001101CB"/>
    <w:rsid w:val="00113FF1"/>
    <w:rsid w:val="0013249C"/>
    <w:rsid w:val="001325C3"/>
    <w:rsid w:val="00144F8B"/>
    <w:rsid w:val="00153832"/>
    <w:rsid w:val="001568DF"/>
    <w:rsid w:val="00160518"/>
    <w:rsid w:val="00164D3A"/>
    <w:rsid w:val="0016511A"/>
    <w:rsid w:val="00167A1E"/>
    <w:rsid w:val="001726E0"/>
    <w:rsid w:val="001732EB"/>
    <w:rsid w:val="001978A3"/>
    <w:rsid w:val="001A7625"/>
    <w:rsid w:val="001B532E"/>
    <w:rsid w:val="001B5EC1"/>
    <w:rsid w:val="001B6958"/>
    <w:rsid w:val="001C3EFD"/>
    <w:rsid w:val="001C5C38"/>
    <w:rsid w:val="001D6A90"/>
    <w:rsid w:val="001E1894"/>
    <w:rsid w:val="001E2DAC"/>
    <w:rsid w:val="001F180D"/>
    <w:rsid w:val="00204247"/>
    <w:rsid w:val="00211F70"/>
    <w:rsid w:val="0021500E"/>
    <w:rsid w:val="00225C49"/>
    <w:rsid w:val="00227C55"/>
    <w:rsid w:val="00233DA6"/>
    <w:rsid w:val="002460B5"/>
    <w:rsid w:val="00247599"/>
    <w:rsid w:val="00276E33"/>
    <w:rsid w:val="00277C56"/>
    <w:rsid w:val="0028607E"/>
    <w:rsid w:val="00290F06"/>
    <w:rsid w:val="002A3557"/>
    <w:rsid w:val="002A59DE"/>
    <w:rsid w:val="002A69F1"/>
    <w:rsid w:val="002A7B40"/>
    <w:rsid w:val="002B11AB"/>
    <w:rsid w:val="002B2E71"/>
    <w:rsid w:val="002B403E"/>
    <w:rsid w:val="002B4EDD"/>
    <w:rsid w:val="002D0DA2"/>
    <w:rsid w:val="002D269B"/>
    <w:rsid w:val="002D6BC9"/>
    <w:rsid w:val="002E3390"/>
    <w:rsid w:val="002F757E"/>
    <w:rsid w:val="002F7D40"/>
    <w:rsid w:val="0031076D"/>
    <w:rsid w:val="00314AFA"/>
    <w:rsid w:val="0032436F"/>
    <w:rsid w:val="00325AE2"/>
    <w:rsid w:val="00332A91"/>
    <w:rsid w:val="003340FA"/>
    <w:rsid w:val="00334889"/>
    <w:rsid w:val="00337543"/>
    <w:rsid w:val="00345637"/>
    <w:rsid w:val="003479D6"/>
    <w:rsid w:val="00353386"/>
    <w:rsid w:val="003542FE"/>
    <w:rsid w:val="00362D27"/>
    <w:rsid w:val="00372283"/>
    <w:rsid w:val="003A440E"/>
    <w:rsid w:val="003A6F02"/>
    <w:rsid w:val="003B2DE3"/>
    <w:rsid w:val="003B5DDA"/>
    <w:rsid w:val="003B7CE0"/>
    <w:rsid w:val="003D094C"/>
    <w:rsid w:val="003E2DC2"/>
    <w:rsid w:val="003E43E4"/>
    <w:rsid w:val="003E6014"/>
    <w:rsid w:val="003F138E"/>
    <w:rsid w:val="00401AE7"/>
    <w:rsid w:val="00415168"/>
    <w:rsid w:val="00415E49"/>
    <w:rsid w:val="00417393"/>
    <w:rsid w:val="004237A6"/>
    <w:rsid w:val="00433FB4"/>
    <w:rsid w:val="0044693C"/>
    <w:rsid w:val="00447086"/>
    <w:rsid w:val="0044718C"/>
    <w:rsid w:val="00450FB6"/>
    <w:rsid w:val="00455F10"/>
    <w:rsid w:val="00461DF2"/>
    <w:rsid w:val="00464C76"/>
    <w:rsid w:val="00473CAF"/>
    <w:rsid w:val="00473EB4"/>
    <w:rsid w:val="004747DF"/>
    <w:rsid w:val="00476784"/>
    <w:rsid w:val="004956CA"/>
    <w:rsid w:val="004A50F8"/>
    <w:rsid w:val="004B5994"/>
    <w:rsid w:val="004C1204"/>
    <w:rsid w:val="004C268A"/>
    <w:rsid w:val="004C40A9"/>
    <w:rsid w:val="004D1AF7"/>
    <w:rsid w:val="004D2D9F"/>
    <w:rsid w:val="004E79A7"/>
    <w:rsid w:val="004F2BBB"/>
    <w:rsid w:val="00500839"/>
    <w:rsid w:val="00501718"/>
    <w:rsid w:val="00502221"/>
    <w:rsid w:val="00510158"/>
    <w:rsid w:val="0051134D"/>
    <w:rsid w:val="00525815"/>
    <w:rsid w:val="0054197A"/>
    <w:rsid w:val="00543BCE"/>
    <w:rsid w:val="00551C57"/>
    <w:rsid w:val="0056601C"/>
    <w:rsid w:val="0057308C"/>
    <w:rsid w:val="0057563B"/>
    <w:rsid w:val="005776BC"/>
    <w:rsid w:val="005824EA"/>
    <w:rsid w:val="005877F9"/>
    <w:rsid w:val="005934D2"/>
    <w:rsid w:val="005D77E2"/>
    <w:rsid w:val="005F7491"/>
    <w:rsid w:val="00600784"/>
    <w:rsid w:val="00603FC6"/>
    <w:rsid w:val="00606AF7"/>
    <w:rsid w:val="0060758C"/>
    <w:rsid w:val="00611E55"/>
    <w:rsid w:val="00624C3E"/>
    <w:rsid w:val="00634B8B"/>
    <w:rsid w:val="00643459"/>
    <w:rsid w:val="00644E10"/>
    <w:rsid w:val="006638EF"/>
    <w:rsid w:val="006724B5"/>
    <w:rsid w:val="0067527B"/>
    <w:rsid w:val="006765F5"/>
    <w:rsid w:val="00686261"/>
    <w:rsid w:val="006965A7"/>
    <w:rsid w:val="006A417A"/>
    <w:rsid w:val="006A74F7"/>
    <w:rsid w:val="006B371C"/>
    <w:rsid w:val="006B5341"/>
    <w:rsid w:val="006C2302"/>
    <w:rsid w:val="006E0D3C"/>
    <w:rsid w:val="006E4EAA"/>
    <w:rsid w:val="006F6DA0"/>
    <w:rsid w:val="00700480"/>
    <w:rsid w:val="00705FD1"/>
    <w:rsid w:val="00707467"/>
    <w:rsid w:val="00711EDA"/>
    <w:rsid w:val="00713130"/>
    <w:rsid w:val="00714E33"/>
    <w:rsid w:val="007219E0"/>
    <w:rsid w:val="00724399"/>
    <w:rsid w:val="00726101"/>
    <w:rsid w:val="00727F74"/>
    <w:rsid w:val="00731B97"/>
    <w:rsid w:val="007448E0"/>
    <w:rsid w:val="00747902"/>
    <w:rsid w:val="007547EE"/>
    <w:rsid w:val="00770566"/>
    <w:rsid w:val="00773FB3"/>
    <w:rsid w:val="00782478"/>
    <w:rsid w:val="007859EF"/>
    <w:rsid w:val="00790122"/>
    <w:rsid w:val="00795CCE"/>
    <w:rsid w:val="007A7A3D"/>
    <w:rsid w:val="007C1BCA"/>
    <w:rsid w:val="007C6F2E"/>
    <w:rsid w:val="007D57A4"/>
    <w:rsid w:val="007E0C8D"/>
    <w:rsid w:val="007E7115"/>
    <w:rsid w:val="007F01BA"/>
    <w:rsid w:val="007F236E"/>
    <w:rsid w:val="007F436E"/>
    <w:rsid w:val="007F47A9"/>
    <w:rsid w:val="00815677"/>
    <w:rsid w:val="00827E31"/>
    <w:rsid w:val="00835D8B"/>
    <w:rsid w:val="00846954"/>
    <w:rsid w:val="008566B8"/>
    <w:rsid w:val="00857D32"/>
    <w:rsid w:val="00873055"/>
    <w:rsid w:val="00877207"/>
    <w:rsid w:val="0088789B"/>
    <w:rsid w:val="0089153D"/>
    <w:rsid w:val="0089727F"/>
    <w:rsid w:val="008B0791"/>
    <w:rsid w:val="008B16B9"/>
    <w:rsid w:val="008B2567"/>
    <w:rsid w:val="008B2CF9"/>
    <w:rsid w:val="008C2B5A"/>
    <w:rsid w:val="008C39FD"/>
    <w:rsid w:val="008D0A29"/>
    <w:rsid w:val="008D1A3A"/>
    <w:rsid w:val="008D5066"/>
    <w:rsid w:val="008F6FD9"/>
    <w:rsid w:val="00904C37"/>
    <w:rsid w:val="00905B87"/>
    <w:rsid w:val="00910AD9"/>
    <w:rsid w:val="0092059E"/>
    <w:rsid w:val="0092108B"/>
    <w:rsid w:val="0092716B"/>
    <w:rsid w:val="0094250F"/>
    <w:rsid w:val="0094300A"/>
    <w:rsid w:val="00947992"/>
    <w:rsid w:val="00954C33"/>
    <w:rsid w:val="0096282E"/>
    <w:rsid w:val="00962ADB"/>
    <w:rsid w:val="00967CFA"/>
    <w:rsid w:val="00983729"/>
    <w:rsid w:val="0099719E"/>
    <w:rsid w:val="009A17E2"/>
    <w:rsid w:val="009A1A7D"/>
    <w:rsid w:val="009A2AFB"/>
    <w:rsid w:val="009A4A5D"/>
    <w:rsid w:val="009B2386"/>
    <w:rsid w:val="009B654E"/>
    <w:rsid w:val="009C72D9"/>
    <w:rsid w:val="009D233E"/>
    <w:rsid w:val="009D796C"/>
    <w:rsid w:val="009E770E"/>
    <w:rsid w:val="009F7044"/>
    <w:rsid w:val="00A01396"/>
    <w:rsid w:val="00A01449"/>
    <w:rsid w:val="00A03C52"/>
    <w:rsid w:val="00A11272"/>
    <w:rsid w:val="00A30ECF"/>
    <w:rsid w:val="00A45158"/>
    <w:rsid w:val="00A55201"/>
    <w:rsid w:val="00A66897"/>
    <w:rsid w:val="00A72558"/>
    <w:rsid w:val="00A85200"/>
    <w:rsid w:val="00A852FE"/>
    <w:rsid w:val="00A86348"/>
    <w:rsid w:val="00A913D3"/>
    <w:rsid w:val="00A943CA"/>
    <w:rsid w:val="00A94B91"/>
    <w:rsid w:val="00AA4BAC"/>
    <w:rsid w:val="00AD270B"/>
    <w:rsid w:val="00AD5319"/>
    <w:rsid w:val="00AD6E97"/>
    <w:rsid w:val="00AF0AB4"/>
    <w:rsid w:val="00AF3289"/>
    <w:rsid w:val="00B144E8"/>
    <w:rsid w:val="00B20612"/>
    <w:rsid w:val="00B21C9D"/>
    <w:rsid w:val="00B355D0"/>
    <w:rsid w:val="00B4159E"/>
    <w:rsid w:val="00B446DF"/>
    <w:rsid w:val="00B64AAE"/>
    <w:rsid w:val="00B73D82"/>
    <w:rsid w:val="00B762F0"/>
    <w:rsid w:val="00B8005A"/>
    <w:rsid w:val="00B811A1"/>
    <w:rsid w:val="00B87EBD"/>
    <w:rsid w:val="00B910EC"/>
    <w:rsid w:val="00B92F65"/>
    <w:rsid w:val="00B953D7"/>
    <w:rsid w:val="00BB124D"/>
    <w:rsid w:val="00BB2B05"/>
    <w:rsid w:val="00BB4125"/>
    <w:rsid w:val="00BB725E"/>
    <w:rsid w:val="00BD09EB"/>
    <w:rsid w:val="00BE6E98"/>
    <w:rsid w:val="00BF3AAC"/>
    <w:rsid w:val="00BF4DCE"/>
    <w:rsid w:val="00BF6FA5"/>
    <w:rsid w:val="00C01553"/>
    <w:rsid w:val="00C01FBF"/>
    <w:rsid w:val="00C2212F"/>
    <w:rsid w:val="00C269BF"/>
    <w:rsid w:val="00C347FE"/>
    <w:rsid w:val="00C5353B"/>
    <w:rsid w:val="00C555B6"/>
    <w:rsid w:val="00C61430"/>
    <w:rsid w:val="00C61B72"/>
    <w:rsid w:val="00C61D6D"/>
    <w:rsid w:val="00C63AE8"/>
    <w:rsid w:val="00C72D3E"/>
    <w:rsid w:val="00C755DE"/>
    <w:rsid w:val="00C76030"/>
    <w:rsid w:val="00C872A0"/>
    <w:rsid w:val="00CC19F0"/>
    <w:rsid w:val="00CC3F3A"/>
    <w:rsid w:val="00CC62CC"/>
    <w:rsid w:val="00CE2562"/>
    <w:rsid w:val="00CE4378"/>
    <w:rsid w:val="00CE4ABB"/>
    <w:rsid w:val="00CF2116"/>
    <w:rsid w:val="00D13BC6"/>
    <w:rsid w:val="00D1714F"/>
    <w:rsid w:val="00D247AB"/>
    <w:rsid w:val="00D2505C"/>
    <w:rsid w:val="00D377FF"/>
    <w:rsid w:val="00D432DB"/>
    <w:rsid w:val="00D4450D"/>
    <w:rsid w:val="00D456F2"/>
    <w:rsid w:val="00D507BB"/>
    <w:rsid w:val="00D52498"/>
    <w:rsid w:val="00D53297"/>
    <w:rsid w:val="00D66A44"/>
    <w:rsid w:val="00D723AA"/>
    <w:rsid w:val="00D73EBD"/>
    <w:rsid w:val="00D75289"/>
    <w:rsid w:val="00D84233"/>
    <w:rsid w:val="00D86A9D"/>
    <w:rsid w:val="00DA442F"/>
    <w:rsid w:val="00DB20AE"/>
    <w:rsid w:val="00DC1FAA"/>
    <w:rsid w:val="00DD76FD"/>
    <w:rsid w:val="00DE22A9"/>
    <w:rsid w:val="00DE26F8"/>
    <w:rsid w:val="00DF40D9"/>
    <w:rsid w:val="00E049F3"/>
    <w:rsid w:val="00E05C4F"/>
    <w:rsid w:val="00E0610F"/>
    <w:rsid w:val="00E13CC2"/>
    <w:rsid w:val="00E236D6"/>
    <w:rsid w:val="00E4237F"/>
    <w:rsid w:val="00E830B4"/>
    <w:rsid w:val="00E84034"/>
    <w:rsid w:val="00E86590"/>
    <w:rsid w:val="00E933FD"/>
    <w:rsid w:val="00EB65AC"/>
    <w:rsid w:val="00EB6CA2"/>
    <w:rsid w:val="00EC5FF2"/>
    <w:rsid w:val="00EE0AF0"/>
    <w:rsid w:val="00EE49F8"/>
    <w:rsid w:val="00EE5D41"/>
    <w:rsid w:val="00EE730C"/>
    <w:rsid w:val="00EF4DB8"/>
    <w:rsid w:val="00EF4E79"/>
    <w:rsid w:val="00F018CF"/>
    <w:rsid w:val="00F03820"/>
    <w:rsid w:val="00F13592"/>
    <w:rsid w:val="00F17D27"/>
    <w:rsid w:val="00F20A74"/>
    <w:rsid w:val="00F20E8E"/>
    <w:rsid w:val="00F220C5"/>
    <w:rsid w:val="00F36B3F"/>
    <w:rsid w:val="00F41307"/>
    <w:rsid w:val="00F41BA5"/>
    <w:rsid w:val="00F43AA5"/>
    <w:rsid w:val="00F44E4F"/>
    <w:rsid w:val="00F458A7"/>
    <w:rsid w:val="00F50A22"/>
    <w:rsid w:val="00F50DAC"/>
    <w:rsid w:val="00F66723"/>
    <w:rsid w:val="00F71F35"/>
    <w:rsid w:val="00F73672"/>
    <w:rsid w:val="00F93E78"/>
    <w:rsid w:val="00FA3269"/>
    <w:rsid w:val="00FA33B4"/>
    <w:rsid w:val="00FC3E1B"/>
    <w:rsid w:val="00FC6030"/>
    <w:rsid w:val="00FD1A4B"/>
    <w:rsid w:val="00FD2E82"/>
    <w:rsid w:val="00FD5A52"/>
    <w:rsid w:val="00FE3EFE"/>
    <w:rsid w:val="00FF64ED"/>
    <w:rsid w:val="019D73AC"/>
    <w:rsid w:val="022F232C"/>
    <w:rsid w:val="027345B1"/>
    <w:rsid w:val="02745A8B"/>
    <w:rsid w:val="02D85C34"/>
    <w:rsid w:val="03351867"/>
    <w:rsid w:val="03C926DB"/>
    <w:rsid w:val="03D67953"/>
    <w:rsid w:val="03DA48E8"/>
    <w:rsid w:val="03F359AA"/>
    <w:rsid w:val="041D2A27"/>
    <w:rsid w:val="0438160E"/>
    <w:rsid w:val="043C6486"/>
    <w:rsid w:val="045D72C7"/>
    <w:rsid w:val="05301F04"/>
    <w:rsid w:val="05774D28"/>
    <w:rsid w:val="05BD626F"/>
    <w:rsid w:val="05C808A9"/>
    <w:rsid w:val="05CB0B23"/>
    <w:rsid w:val="05E5131B"/>
    <w:rsid w:val="05F642F3"/>
    <w:rsid w:val="06844DBB"/>
    <w:rsid w:val="073B6B48"/>
    <w:rsid w:val="07481B68"/>
    <w:rsid w:val="076D5A73"/>
    <w:rsid w:val="07B354B4"/>
    <w:rsid w:val="081303C8"/>
    <w:rsid w:val="081946F6"/>
    <w:rsid w:val="083D5445"/>
    <w:rsid w:val="0858402D"/>
    <w:rsid w:val="08A82A27"/>
    <w:rsid w:val="08B84F8B"/>
    <w:rsid w:val="08E663D0"/>
    <w:rsid w:val="08F85810"/>
    <w:rsid w:val="08FA58EA"/>
    <w:rsid w:val="0913264A"/>
    <w:rsid w:val="094D369D"/>
    <w:rsid w:val="09722ECD"/>
    <w:rsid w:val="097E5D15"/>
    <w:rsid w:val="0992531D"/>
    <w:rsid w:val="09D57604"/>
    <w:rsid w:val="09DF1F01"/>
    <w:rsid w:val="0A04589A"/>
    <w:rsid w:val="0A3C1AA6"/>
    <w:rsid w:val="0A5F7997"/>
    <w:rsid w:val="0B6E1DBA"/>
    <w:rsid w:val="0B90763B"/>
    <w:rsid w:val="0BFA0288"/>
    <w:rsid w:val="0C4B4B1E"/>
    <w:rsid w:val="0C567236"/>
    <w:rsid w:val="0C9870EE"/>
    <w:rsid w:val="0D2A2F58"/>
    <w:rsid w:val="0D63594E"/>
    <w:rsid w:val="0D8256A8"/>
    <w:rsid w:val="0D894C89"/>
    <w:rsid w:val="0E664FCA"/>
    <w:rsid w:val="0E76520D"/>
    <w:rsid w:val="0ED00685"/>
    <w:rsid w:val="0EDE69F7"/>
    <w:rsid w:val="0EEC5D22"/>
    <w:rsid w:val="0F565292"/>
    <w:rsid w:val="0FBE7F96"/>
    <w:rsid w:val="0FCA7590"/>
    <w:rsid w:val="0FDF6DE2"/>
    <w:rsid w:val="104355BF"/>
    <w:rsid w:val="107A6B0B"/>
    <w:rsid w:val="10EB19F1"/>
    <w:rsid w:val="10F10022"/>
    <w:rsid w:val="11373826"/>
    <w:rsid w:val="114C083A"/>
    <w:rsid w:val="11AD4A8B"/>
    <w:rsid w:val="11BD75F7"/>
    <w:rsid w:val="12B409FA"/>
    <w:rsid w:val="12E806A4"/>
    <w:rsid w:val="13251FF4"/>
    <w:rsid w:val="13C7475D"/>
    <w:rsid w:val="142C5B93"/>
    <w:rsid w:val="145C6C53"/>
    <w:rsid w:val="14F25C28"/>
    <w:rsid w:val="151067F3"/>
    <w:rsid w:val="1525798D"/>
    <w:rsid w:val="15347BD0"/>
    <w:rsid w:val="1552494F"/>
    <w:rsid w:val="15875F52"/>
    <w:rsid w:val="15C471A6"/>
    <w:rsid w:val="15C56A7A"/>
    <w:rsid w:val="168E3310"/>
    <w:rsid w:val="16C805D0"/>
    <w:rsid w:val="17342109"/>
    <w:rsid w:val="177B7D38"/>
    <w:rsid w:val="17D9680D"/>
    <w:rsid w:val="181D494B"/>
    <w:rsid w:val="18574301"/>
    <w:rsid w:val="185B53F0"/>
    <w:rsid w:val="187C78C4"/>
    <w:rsid w:val="188E3A9B"/>
    <w:rsid w:val="188F2F63"/>
    <w:rsid w:val="18AB1F57"/>
    <w:rsid w:val="18F41B50"/>
    <w:rsid w:val="19157D18"/>
    <w:rsid w:val="192A37C4"/>
    <w:rsid w:val="1991582D"/>
    <w:rsid w:val="19A05834"/>
    <w:rsid w:val="19CC3320"/>
    <w:rsid w:val="19F416DC"/>
    <w:rsid w:val="1A22449B"/>
    <w:rsid w:val="1A2C3D77"/>
    <w:rsid w:val="1A2D5086"/>
    <w:rsid w:val="1A5F749D"/>
    <w:rsid w:val="1AD20EFE"/>
    <w:rsid w:val="1AFC2F3E"/>
    <w:rsid w:val="1B82640B"/>
    <w:rsid w:val="1B83540D"/>
    <w:rsid w:val="1B91080C"/>
    <w:rsid w:val="1BBB0703"/>
    <w:rsid w:val="1BBB3021"/>
    <w:rsid w:val="1BBC7788"/>
    <w:rsid w:val="1BD73063"/>
    <w:rsid w:val="1C3C3A85"/>
    <w:rsid w:val="1C905377"/>
    <w:rsid w:val="1CA53161"/>
    <w:rsid w:val="1CB02232"/>
    <w:rsid w:val="1D632E00"/>
    <w:rsid w:val="1D752B34"/>
    <w:rsid w:val="1D847D7E"/>
    <w:rsid w:val="1D8C0846"/>
    <w:rsid w:val="1DCD0BC2"/>
    <w:rsid w:val="1E4F1E09"/>
    <w:rsid w:val="1F1C595D"/>
    <w:rsid w:val="1F5F5706"/>
    <w:rsid w:val="1FD47FE6"/>
    <w:rsid w:val="203D1CAC"/>
    <w:rsid w:val="20790B8D"/>
    <w:rsid w:val="2088460C"/>
    <w:rsid w:val="20BB73F7"/>
    <w:rsid w:val="213007D4"/>
    <w:rsid w:val="21536794"/>
    <w:rsid w:val="216B1B27"/>
    <w:rsid w:val="218B4C94"/>
    <w:rsid w:val="21D342CD"/>
    <w:rsid w:val="224F7DF7"/>
    <w:rsid w:val="22625D7D"/>
    <w:rsid w:val="22DA1DB7"/>
    <w:rsid w:val="230706D2"/>
    <w:rsid w:val="23404EA5"/>
    <w:rsid w:val="235A1CC0"/>
    <w:rsid w:val="236D5E84"/>
    <w:rsid w:val="237D6149"/>
    <w:rsid w:val="238D507B"/>
    <w:rsid w:val="23AF009A"/>
    <w:rsid w:val="23DC1B5F"/>
    <w:rsid w:val="24193874"/>
    <w:rsid w:val="242F4323"/>
    <w:rsid w:val="245E2574"/>
    <w:rsid w:val="24BA057D"/>
    <w:rsid w:val="24D45DFB"/>
    <w:rsid w:val="25781413"/>
    <w:rsid w:val="25A246E2"/>
    <w:rsid w:val="25C1725E"/>
    <w:rsid w:val="263A7B43"/>
    <w:rsid w:val="26B36DE6"/>
    <w:rsid w:val="26BB1EFF"/>
    <w:rsid w:val="274176DD"/>
    <w:rsid w:val="275D152A"/>
    <w:rsid w:val="27AC0103"/>
    <w:rsid w:val="27FE7EE5"/>
    <w:rsid w:val="28072F22"/>
    <w:rsid w:val="287C56BE"/>
    <w:rsid w:val="28C25976"/>
    <w:rsid w:val="28DB23E5"/>
    <w:rsid w:val="28DE3C83"/>
    <w:rsid w:val="296028EA"/>
    <w:rsid w:val="29626662"/>
    <w:rsid w:val="29695641"/>
    <w:rsid w:val="296D20B4"/>
    <w:rsid w:val="2B28528C"/>
    <w:rsid w:val="2B2F4C6A"/>
    <w:rsid w:val="2BCC070B"/>
    <w:rsid w:val="2C271DE5"/>
    <w:rsid w:val="2C753177"/>
    <w:rsid w:val="2C82433C"/>
    <w:rsid w:val="2C9034E6"/>
    <w:rsid w:val="2D294446"/>
    <w:rsid w:val="2D32459D"/>
    <w:rsid w:val="2D326C16"/>
    <w:rsid w:val="2DE53D06"/>
    <w:rsid w:val="2DFB52D7"/>
    <w:rsid w:val="2E312AA7"/>
    <w:rsid w:val="2E7C01C6"/>
    <w:rsid w:val="2EFF0D91"/>
    <w:rsid w:val="2F25085E"/>
    <w:rsid w:val="2FC35981"/>
    <w:rsid w:val="2FC8743B"/>
    <w:rsid w:val="3036631D"/>
    <w:rsid w:val="30DD3A27"/>
    <w:rsid w:val="314174A5"/>
    <w:rsid w:val="31666F0B"/>
    <w:rsid w:val="318F6462"/>
    <w:rsid w:val="31CF685F"/>
    <w:rsid w:val="31DB5983"/>
    <w:rsid w:val="32944ACC"/>
    <w:rsid w:val="32A33E96"/>
    <w:rsid w:val="32DD7A9F"/>
    <w:rsid w:val="32DE0046"/>
    <w:rsid w:val="32F6606D"/>
    <w:rsid w:val="33122EA7"/>
    <w:rsid w:val="33557238"/>
    <w:rsid w:val="33EB36F8"/>
    <w:rsid w:val="3420633D"/>
    <w:rsid w:val="34AF4725"/>
    <w:rsid w:val="34E41A9A"/>
    <w:rsid w:val="34F119A0"/>
    <w:rsid w:val="35026F4B"/>
    <w:rsid w:val="352275ED"/>
    <w:rsid w:val="3542559A"/>
    <w:rsid w:val="35AD5109"/>
    <w:rsid w:val="35BA15D4"/>
    <w:rsid w:val="36283544"/>
    <w:rsid w:val="3664256F"/>
    <w:rsid w:val="370451FC"/>
    <w:rsid w:val="37117732"/>
    <w:rsid w:val="374761DD"/>
    <w:rsid w:val="374970B3"/>
    <w:rsid w:val="375C6DE7"/>
    <w:rsid w:val="375F2433"/>
    <w:rsid w:val="376637C1"/>
    <w:rsid w:val="37B24C58"/>
    <w:rsid w:val="37C11135"/>
    <w:rsid w:val="37D20E57"/>
    <w:rsid w:val="37ED6E8B"/>
    <w:rsid w:val="37FE3130"/>
    <w:rsid w:val="384F06F9"/>
    <w:rsid w:val="38AF73EA"/>
    <w:rsid w:val="38D1110E"/>
    <w:rsid w:val="38E52E0C"/>
    <w:rsid w:val="38EC013B"/>
    <w:rsid w:val="39974106"/>
    <w:rsid w:val="39D4614D"/>
    <w:rsid w:val="39E23A7E"/>
    <w:rsid w:val="39EB73C8"/>
    <w:rsid w:val="3A3A07E7"/>
    <w:rsid w:val="3A726921"/>
    <w:rsid w:val="3A8B1791"/>
    <w:rsid w:val="3A9F52DE"/>
    <w:rsid w:val="3AC151B3"/>
    <w:rsid w:val="3ADE3FB6"/>
    <w:rsid w:val="3BAE1BDB"/>
    <w:rsid w:val="3BC509E7"/>
    <w:rsid w:val="3BEC3BFB"/>
    <w:rsid w:val="3BED2703"/>
    <w:rsid w:val="3C3519B4"/>
    <w:rsid w:val="3C430575"/>
    <w:rsid w:val="3C4D6CFE"/>
    <w:rsid w:val="3C7069EA"/>
    <w:rsid w:val="3CCF1E09"/>
    <w:rsid w:val="3D0F2205"/>
    <w:rsid w:val="3D1D2B74"/>
    <w:rsid w:val="3D1E4B3E"/>
    <w:rsid w:val="3D261FC1"/>
    <w:rsid w:val="3D540560"/>
    <w:rsid w:val="3D7C34EE"/>
    <w:rsid w:val="3D8175A7"/>
    <w:rsid w:val="3E483C21"/>
    <w:rsid w:val="3E6D3687"/>
    <w:rsid w:val="3E8D5AD7"/>
    <w:rsid w:val="3ECF56DC"/>
    <w:rsid w:val="3EED6576"/>
    <w:rsid w:val="3F4D76DD"/>
    <w:rsid w:val="3F4F05CB"/>
    <w:rsid w:val="410C362B"/>
    <w:rsid w:val="413154C6"/>
    <w:rsid w:val="41B31CF9"/>
    <w:rsid w:val="41EC7336"/>
    <w:rsid w:val="41FD2F74"/>
    <w:rsid w:val="420662CD"/>
    <w:rsid w:val="42EA799C"/>
    <w:rsid w:val="42F02AD9"/>
    <w:rsid w:val="43362BE2"/>
    <w:rsid w:val="435C3CCA"/>
    <w:rsid w:val="436A288B"/>
    <w:rsid w:val="43B803F8"/>
    <w:rsid w:val="44240C8C"/>
    <w:rsid w:val="446D68C4"/>
    <w:rsid w:val="448829B1"/>
    <w:rsid w:val="449D459A"/>
    <w:rsid w:val="44B10046"/>
    <w:rsid w:val="44BA339E"/>
    <w:rsid w:val="44DE52DF"/>
    <w:rsid w:val="45436227"/>
    <w:rsid w:val="454F7F8B"/>
    <w:rsid w:val="455B3CB6"/>
    <w:rsid w:val="46A704B5"/>
    <w:rsid w:val="46BA3205"/>
    <w:rsid w:val="46E34171"/>
    <w:rsid w:val="472904E0"/>
    <w:rsid w:val="478A7058"/>
    <w:rsid w:val="479E7B92"/>
    <w:rsid w:val="47DC6722"/>
    <w:rsid w:val="485F6737"/>
    <w:rsid w:val="48EE67CF"/>
    <w:rsid w:val="490A4993"/>
    <w:rsid w:val="495C4A24"/>
    <w:rsid w:val="49696E97"/>
    <w:rsid w:val="49AA1C33"/>
    <w:rsid w:val="49BE56DF"/>
    <w:rsid w:val="4A0B283B"/>
    <w:rsid w:val="4A0D2E4D"/>
    <w:rsid w:val="4A121587"/>
    <w:rsid w:val="4A1277D9"/>
    <w:rsid w:val="4AB261C9"/>
    <w:rsid w:val="4AC1362E"/>
    <w:rsid w:val="4B5864C0"/>
    <w:rsid w:val="4B840262"/>
    <w:rsid w:val="4B9D30D2"/>
    <w:rsid w:val="4C5916EF"/>
    <w:rsid w:val="4CC624B4"/>
    <w:rsid w:val="4CDA65BF"/>
    <w:rsid w:val="4D147384"/>
    <w:rsid w:val="4D1D096E"/>
    <w:rsid w:val="4D3B2BA3"/>
    <w:rsid w:val="4D4533A9"/>
    <w:rsid w:val="4DA97689"/>
    <w:rsid w:val="4E802F63"/>
    <w:rsid w:val="4E816CDB"/>
    <w:rsid w:val="4EB946C7"/>
    <w:rsid w:val="4ECE600A"/>
    <w:rsid w:val="4EE94653"/>
    <w:rsid w:val="4F220095"/>
    <w:rsid w:val="4F910B07"/>
    <w:rsid w:val="500D0826"/>
    <w:rsid w:val="501D708F"/>
    <w:rsid w:val="50243DC2"/>
    <w:rsid w:val="502B2929"/>
    <w:rsid w:val="509034E1"/>
    <w:rsid w:val="50B60EBE"/>
    <w:rsid w:val="50BF0306"/>
    <w:rsid w:val="50D457E8"/>
    <w:rsid w:val="50E97E5B"/>
    <w:rsid w:val="510C6D30"/>
    <w:rsid w:val="512C1E2C"/>
    <w:rsid w:val="518974F7"/>
    <w:rsid w:val="518D681E"/>
    <w:rsid w:val="51934B13"/>
    <w:rsid w:val="52A147F0"/>
    <w:rsid w:val="532A3E6E"/>
    <w:rsid w:val="54136627"/>
    <w:rsid w:val="54183C3E"/>
    <w:rsid w:val="543C16DA"/>
    <w:rsid w:val="543F566E"/>
    <w:rsid w:val="54660E4D"/>
    <w:rsid w:val="54997F4D"/>
    <w:rsid w:val="559612BE"/>
    <w:rsid w:val="559B5B16"/>
    <w:rsid w:val="565F3DA6"/>
    <w:rsid w:val="5663392B"/>
    <w:rsid w:val="56C63E25"/>
    <w:rsid w:val="56DC5715"/>
    <w:rsid w:val="56DE25EF"/>
    <w:rsid w:val="57161D68"/>
    <w:rsid w:val="575C4260"/>
    <w:rsid w:val="57675C91"/>
    <w:rsid w:val="580E78B7"/>
    <w:rsid w:val="58333D38"/>
    <w:rsid w:val="583A23D4"/>
    <w:rsid w:val="588042F8"/>
    <w:rsid w:val="58BE39D4"/>
    <w:rsid w:val="58C425E6"/>
    <w:rsid w:val="59407EBE"/>
    <w:rsid w:val="594159E5"/>
    <w:rsid w:val="59AC0168"/>
    <w:rsid w:val="59EB5E6D"/>
    <w:rsid w:val="5A113609"/>
    <w:rsid w:val="5A511C57"/>
    <w:rsid w:val="5A6279C1"/>
    <w:rsid w:val="5AA004E9"/>
    <w:rsid w:val="5AC12325"/>
    <w:rsid w:val="5B031DBE"/>
    <w:rsid w:val="5B0F4344"/>
    <w:rsid w:val="5B2D6220"/>
    <w:rsid w:val="5B9173B6"/>
    <w:rsid w:val="5BA74BA6"/>
    <w:rsid w:val="5BB93E04"/>
    <w:rsid w:val="5BE24B0A"/>
    <w:rsid w:val="5C451348"/>
    <w:rsid w:val="5C5F065B"/>
    <w:rsid w:val="5CA17583"/>
    <w:rsid w:val="5CF039A9"/>
    <w:rsid w:val="5D1C5001"/>
    <w:rsid w:val="5D243653"/>
    <w:rsid w:val="5D3E4715"/>
    <w:rsid w:val="5DC50992"/>
    <w:rsid w:val="5EA63722"/>
    <w:rsid w:val="5EF05EE3"/>
    <w:rsid w:val="5F36141C"/>
    <w:rsid w:val="5F3C2ED6"/>
    <w:rsid w:val="5F867FE8"/>
    <w:rsid w:val="5FB108CB"/>
    <w:rsid w:val="5FCB6008"/>
    <w:rsid w:val="5FF76DFD"/>
    <w:rsid w:val="600B453E"/>
    <w:rsid w:val="60B403B7"/>
    <w:rsid w:val="60BC7D26"/>
    <w:rsid w:val="610C0686"/>
    <w:rsid w:val="61357307"/>
    <w:rsid w:val="615564D1"/>
    <w:rsid w:val="61712CAD"/>
    <w:rsid w:val="61B00C53"/>
    <w:rsid w:val="61E17D65"/>
    <w:rsid w:val="62155164"/>
    <w:rsid w:val="628F7574"/>
    <w:rsid w:val="629A0DC4"/>
    <w:rsid w:val="62C73BB0"/>
    <w:rsid w:val="62CC27C3"/>
    <w:rsid w:val="63CC0247"/>
    <w:rsid w:val="64031BE9"/>
    <w:rsid w:val="642C179D"/>
    <w:rsid w:val="6434013F"/>
    <w:rsid w:val="64380161"/>
    <w:rsid w:val="64B74DAD"/>
    <w:rsid w:val="65530F79"/>
    <w:rsid w:val="658078DB"/>
    <w:rsid w:val="65D976D1"/>
    <w:rsid w:val="65DF280D"/>
    <w:rsid w:val="667E3DD4"/>
    <w:rsid w:val="67193AFD"/>
    <w:rsid w:val="672A5D0A"/>
    <w:rsid w:val="6732696D"/>
    <w:rsid w:val="673D5A3D"/>
    <w:rsid w:val="6740552D"/>
    <w:rsid w:val="674E673B"/>
    <w:rsid w:val="674F51B3"/>
    <w:rsid w:val="675E59B4"/>
    <w:rsid w:val="676F5C63"/>
    <w:rsid w:val="67A27F96"/>
    <w:rsid w:val="67A94E81"/>
    <w:rsid w:val="67C73559"/>
    <w:rsid w:val="68324E76"/>
    <w:rsid w:val="6833299C"/>
    <w:rsid w:val="68811557"/>
    <w:rsid w:val="689C6793"/>
    <w:rsid w:val="68D44374"/>
    <w:rsid w:val="692F552A"/>
    <w:rsid w:val="69513A22"/>
    <w:rsid w:val="69715E72"/>
    <w:rsid w:val="6991711B"/>
    <w:rsid w:val="69E46644"/>
    <w:rsid w:val="6A020EB7"/>
    <w:rsid w:val="6A0D5B9B"/>
    <w:rsid w:val="6AE13F24"/>
    <w:rsid w:val="6AEB755E"/>
    <w:rsid w:val="6B566076"/>
    <w:rsid w:val="6B8B3621"/>
    <w:rsid w:val="6BBD539F"/>
    <w:rsid w:val="6BFB4772"/>
    <w:rsid w:val="6C224890"/>
    <w:rsid w:val="6C4C4B00"/>
    <w:rsid w:val="6C847C6A"/>
    <w:rsid w:val="6CDA788A"/>
    <w:rsid w:val="6CF22E26"/>
    <w:rsid w:val="6D5D6BE2"/>
    <w:rsid w:val="6D655CEE"/>
    <w:rsid w:val="6DAD31F1"/>
    <w:rsid w:val="6DD95D94"/>
    <w:rsid w:val="6E182D60"/>
    <w:rsid w:val="6E1F40EF"/>
    <w:rsid w:val="6E845927"/>
    <w:rsid w:val="6EDD18B4"/>
    <w:rsid w:val="6EE27A2D"/>
    <w:rsid w:val="6F0E7CBF"/>
    <w:rsid w:val="6F515E97"/>
    <w:rsid w:val="6F7075CC"/>
    <w:rsid w:val="6FC508C7"/>
    <w:rsid w:val="6FD827A7"/>
    <w:rsid w:val="7073119C"/>
    <w:rsid w:val="707D50FC"/>
    <w:rsid w:val="70876EAC"/>
    <w:rsid w:val="72402296"/>
    <w:rsid w:val="735F60C2"/>
    <w:rsid w:val="73924B53"/>
    <w:rsid w:val="73AF1A71"/>
    <w:rsid w:val="73F41B79"/>
    <w:rsid w:val="740D49E9"/>
    <w:rsid w:val="743E1047"/>
    <w:rsid w:val="74416441"/>
    <w:rsid w:val="74512B28"/>
    <w:rsid w:val="747A6A39"/>
    <w:rsid w:val="74831E68"/>
    <w:rsid w:val="749A2380"/>
    <w:rsid w:val="74DD040D"/>
    <w:rsid w:val="75291CE2"/>
    <w:rsid w:val="75F751B8"/>
    <w:rsid w:val="760A11E0"/>
    <w:rsid w:val="762878B8"/>
    <w:rsid w:val="766A6123"/>
    <w:rsid w:val="7682346D"/>
    <w:rsid w:val="768767E1"/>
    <w:rsid w:val="76A553AD"/>
    <w:rsid w:val="76FA74A7"/>
    <w:rsid w:val="77073972"/>
    <w:rsid w:val="773504DF"/>
    <w:rsid w:val="77446974"/>
    <w:rsid w:val="774E15A1"/>
    <w:rsid w:val="7766154E"/>
    <w:rsid w:val="77FC2DAB"/>
    <w:rsid w:val="780B56E4"/>
    <w:rsid w:val="78197102"/>
    <w:rsid w:val="781E0F73"/>
    <w:rsid w:val="7831514A"/>
    <w:rsid w:val="78C7785D"/>
    <w:rsid w:val="78F0220F"/>
    <w:rsid w:val="7920715A"/>
    <w:rsid w:val="79BC0A44"/>
    <w:rsid w:val="79CC7EDE"/>
    <w:rsid w:val="79F0693F"/>
    <w:rsid w:val="7A2860D9"/>
    <w:rsid w:val="7A3F54DE"/>
    <w:rsid w:val="7AC53797"/>
    <w:rsid w:val="7AD149C3"/>
    <w:rsid w:val="7B8B2DC3"/>
    <w:rsid w:val="7B9F23CB"/>
    <w:rsid w:val="7C2F7BF3"/>
    <w:rsid w:val="7C63789C"/>
    <w:rsid w:val="7CCD11BA"/>
    <w:rsid w:val="7D513B99"/>
    <w:rsid w:val="7D5A0C9F"/>
    <w:rsid w:val="7DA95783"/>
    <w:rsid w:val="7DE443F5"/>
    <w:rsid w:val="7EA43A6B"/>
    <w:rsid w:val="7EBE700C"/>
    <w:rsid w:val="7F065208"/>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Autospacing="1" w:after="0" w:afterAutospacing="1"/>
      <w:jc w:val="center"/>
      <w:outlineLvl w:val="0"/>
    </w:pPr>
    <w:rPr>
      <w:rFonts w:hint="eastAsia" w:ascii="微软雅黑" w:hAnsi="微软雅黑" w:eastAsia="宋体"/>
      <w:b/>
      <w:kern w:val="44"/>
      <w:sz w:val="36"/>
      <w:szCs w:val="48"/>
    </w:rPr>
  </w:style>
  <w:style w:type="paragraph" w:styleId="6">
    <w:name w:val="heading 2"/>
    <w:basedOn w:val="1"/>
    <w:next w:val="1"/>
    <w:link w:val="6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8">
    <w:name w:val="heading 7"/>
    <w:basedOn w:val="1"/>
    <w:next w:val="1"/>
    <w:link w:val="57"/>
    <w:qFormat/>
    <w:uiPriority w:val="0"/>
    <w:pPr>
      <w:keepNext/>
      <w:keepLines/>
      <w:spacing w:before="240" w:after="64" w:line="320" w:lineRule="auto"/>
      <w:outlineLvl w:val="6"/>
    </w:pPr>
    <w:rPr>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next w:val="2"/>
    <w:link w:val="35"/>
    <w:qFormat/>
    <w:uiPriority w:val="0"/>
    <w:pPr>
      <w:spacing w:line="360" w:lineRule="exact"/>
    </w:pPr>
    <w:rPr>
      <w:sz w:val="24"/>
    </w:rPr>
  </w:style>
  <w:style w:type="paragraph" w:styleId="4">
    <w:name w:val="toc 6"/>
    <w:basedOn w:val="1"/>
    <w:next w:val="1"/>
    <w:unhideWhenUsed/>
    <w:qFormat/>
    <w:uiPriority w:val="39"/>
    <w:pPr>
      <w:ind w:left="2100" w:leftChars="1000"/>
    </w:pPr>
    <w:rPr>
      <w:rFonts w:ascii="Calibri" w:hAnsi="Calibri"/>
      <w:szCs w:val="22"/>
    </w:rPr>
  </w:style>
  <w:style w:type="paragraph" w:styleId="9">
    <w:name w:val="List Number"/>
    <w:basedOn w:val="1"/>
    <w:qFormat/>
    <w:uiPriority w:val="0"/>
    <w:pPr>
      <w:numPr>
        <w:ilvl w:val="0"/>
        <w:numId w:val="1"/>
      </w:numPr>
    </w:pPr>
  </w:style>
  <w:style w:type="paragraph" w:styleId="10">
    <w:name w:val="Normal Indent"/>
    <w:basedOn w:val="1"/>
    <w:link w:val="59"/>
    <w:qFormat/>
    <w:uiPriority w:val="0"/>
    <w:pPr>
      <w:ind w:firstLine="420"/>
    </w:pPr>
    <w:rPr>
      <w:szCs w:val="20"/>
    </w:rPr>
  </w:style>
  <w:style w:type="paragraph" w:styleId="11">
    <w:name w:val="annotation text"/>
    <w:basedOn w:val="1"/>
    <w:link w:val="33"/>
    <w:unhideWhenUsed/>
    <w:qFormat/>
    <w:uiPriority w:val="0"/>
    <w:pPr>
      <w:jc w:val="left"/>
    </w:pPr>
  </w:style>
  <w:style w:type="paragraph" w:styleId="12">
    <w:name w:val="Body Text Indent"/>
    <w:basedOn w:val="1"/>
    <w:next w:val="1"/>
    <w:link w:val="36"/>
    <w:qFormat/>
    <w:uiPriority w:val="0"/>
    <w:pPr>
      <w:spacing w:after="120"/>
      <w:ind w:left="420" w:leftChars="200"/>
    </w:pPr>
  </w:style>
  <w:style w:type="paragraph" w:styleId="13">
    <w:name w:val="Plain Text"/>
    <w:basedOn w:val="1"/>
    <w:next w:val="14"/>
    <w:link w:val="37"/>
    <w:qFormat/>
    <w:uiPriority w:val="0"/>
    <w:rPr>
      <w:rFonts w:ascii="宋体" w:hAnsi="Courier New" w:cstheme="minorBidi"/>
    </w:rPr>
  </w:style>
  <w:style w:type="paragraph" w:styleId="14">
    <w:name w:val="Date"/>
    <w:basedOn w:val="1"/>
    <w:next w:val="1"/>
    <w:link w:val="38"/>
    <w:qFormat/>
    <w:uiPriority w:val="0"/>
    <w:pPr>
      <w:ind w:left="2500" w:leftChars="2500"/>
    </w:pPr>
    <w:rPr>
      <w:rFonts w:eastAsia="楷体_GB2312" w:asciiTheme="minorHAnsi" w:hAnsiTheme="minorHAnsi" w:cstheme="minorBidi"/>
      <w:sz w:val="32"/>
      <w:szCs w:val="22"/>
    </w:rPr>
  </w:style>
  <w:style w:type="paragraph" w:styleId="15">
    <w:name w:val="Body Text Indent 2"/>
    <w:basedOn w:val="1"/>
    <w:qFormat/>
    <w:uiPriority w:val="0"/>
    <w:pPr>
      <w:spacing w:after="120" w:afterLines="0" w:line="480" w:lineRule="auto"/>
      <w:ind w:left="420" w:leftChars="200"/>
    </w:pPr>
    <w:rPr>
      <w:rFonts w:hint="default"/>
      <w:sz w:val="36"/>
      <w:szCs w:val="24"/>
    </w:rPr>
  </w:style>
  <w:style w:type="paragraph" w:styleId="16">
    <w:name w:val="Balloon Text"/>
    <w:basedOn w:val="1"/>
    <w:link w:val="39"/>
    <w:qFormat/>
    <w:uiPriority w:val="0"/>
    <w:rPr>
      <w:sz w:val="18"/>
      <w:szCs w:val="18"/>
    </w:rPr>
  </w:style>
  <w:style w:type="paragraph" w:styleId="17">
    <w:name w:val="footer"/>
    <w:basedOn w:val="1"/>
    <w:link w:val="31"/>
    <w:unhideWhenUsed/>
    <w:qFormat/>
    <w:uiPriority w:val="0"/>
    <w:pPr>
      <w:tabs>
        <w:tab w:val="center" w:pos="4153"/>
        <w:tab w:val="right" w:pos="8306"/>
      </w:tabs>
      <w:snapToGrid w:val="0"/>
      <w:jc w:val="left"/>
    </w:pPr>
    <w:rPr>
      <w:sz w:val="18"/>
      <w:szCs w:val="18"/>
    </w:rPr>
  </w:style>
  <w:style w:type="paragraph" w:styleId="18">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9628"/>
      </w:tabs>
      <w:jc w:val="center"/>
    </w:pPr>
    <w:rPr>
      <w:b/>
      <w:sz w:val="52"/>
      <w:szCs w:val="52"/>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annotation subject"/>
    <w:basedOn w:val="11"/>
    <w:next w:val="11"/>
    <w:link w:val="34"/>
    <w:qFormat/>
    <w:uiPriority w:val="0"/>
    <w:rPr>
      <w:b/>
      <w:bCs/>
    </w:rPr>
  </w:style>
  <w:style w:type="paragraph" w:styleId="22">
    <w:name w:val="Body Text First Indent 2"/>
    <w:basedOn w:val="12"/>
    <w:next w:val="1"/>
    <w:qFormat/>
    <w:uiPriority w:val="0"/>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qFormat/>
    <w:uiPriority w:val="99"/>
    <w:rPr>
      <w:color w:val="0000FF"/>
      <w:u w:val="single"/>
    </w:rPr>
  </w:style>
  <w:style w:type="character" w:styleId="28">
    <w:name w:val="annotation reference"/>
    <w:basedOn w:val="25"/>
    <w:qFormat/>
    <w:uiPriority w:val="0"/>
    <w:rPr>
      <w:sz w:val="21"/>
      <w:szCs w:val="21"/>
    </w:rPr>
  </w:style>
  <w:style w:type="paragraph" w:customStyle="1" w:styleId="29">
    <w:name w:val="表格文字"/>
    <w:basedOn w:val="1"/>
    <w:next w:val="3"/>
    <w:qFormat/>
    <w:uiPriority w:val="99"/>
    <w:pPr>
      <w:spacing w:line="420" w:lineRule="atLeast"/>
      <w:textAlignment w:val="baseline"/>
    </w:pPr>
    <w:rPr>
      <w:rFonts w:ascii="Calibri" w:hAnsi="Calibri"/>
      <w:sz w:val="21"/>
    </w:rPr>
  </w:style>
  <w:style w:type="character" w:customStyle="1" w:styleId="30">
    <w:name w:val="页眉 Char"/>
    <w:basedOn w:val="25"/>
    <w:link w:val="18"/>
    <w:semiHidden/>
    <w:qFormat/>
    <w:uiPriority w:val="99"/>
    <w:rPr>
      <w:sz w:val="18"/>
      <w:szCs w:val="18"/>
    </w:rPr>
  </w:style>
  <w:style w:type="character" w:customStyle="1" w:styleId="31">
    <w:name w:val="页脚 Char"/>
    <w:basedOn w:val="25"/>
    <w:link w:val="17"/>
    <w:semiHidden/>
    <w:qFormat/>
    <w:uiPriority w:val="99"/>
    <w:rPr>
      <w:sz w:val="18"/>
      <w:szCs w:val="18"/>
    </w:rPr>
  </w:style>
  <w:style w:type="character" w:customStyle="1" w:styleId="32">
    <w:name w:val="标题 3 Char"/>
    <w:basedOn w:val="25"/>
    <w:link w:val="7"/>
    <w:semiHidden/>
    <w:qFormat/>
    <w:uiPriority w:val="0"/>
    <w:rPr>
      <w:rFonts w:ascii="Times New Roman" w:hAnsi="Times New Roman" w:eastAsia="宋体" w:cs="Times New Roman"/>
      <w:b/>
      <w:bCs/>
      <w:sz w:val="32"/>
      <w:szCs w:val="32"/>
    </w:rPr>
  </w:style>
  <w:style w:type="character" w:customStyle="1" w:styleId="33">
    <w:name w:val="批注文字 Char"/>
    <w:basedOn w:val="25"/>
    <w:link w:val="11"/>
    <w:qFormat/>
    <w:uiPriority w:val="0"/>
    <w:rPr>
      <w:rFonts w:ascii="Times New Roman" w:hAnsi="Times New Roman" w:eastAsia="宋体" w:cs="Times New Roman"/>
      <w:szCs w:val="24"/>
    </w:rPr>
  </w:style>
  <w:style w:type="character" w:customStyle="1" w:styleId="34">
    <w:name w:val="批注主题 Char"/>
    <w:basedOn w:val="33"/>
    <w:link w:val="21"/>
    <w:qFormat/>
    <w:uiPriority w:val="0"/>
    <w:rPr>
      <w:rFonts w:ascii="Times New Roman" w:hAnsi="Times New Roman" w:eastAsia="宋体" w:cs="Times New Roman"/>
      <w:b/>
      <w:bCs/>
      <w:szCs w:val="24"/>
    </w:rPr>
  </w:style>
  <w:style w:type="character" w:customStyle="1" w:styleId="35">
    <w:name w:val="正文文本 Char"/>
    <w:basedOn w:val="25"/>
    <w:link w:val="3"/>
    <w:qFormat/>
    <w:uiPriority w:val="0"/>
    <w:rPr>
      <w:rFonts w:ascii="Times New Roman" w:hAnsi="Times New Roman" w:eastAsia="宋体" w:cs="Times New Roman"/>
      <w:sz w:val="24"/>
      <w:szCs w:val="24"/>
    </w:rPr>
  </w:style>
  <w:style w:type="character" w:customStyle="1" w:styleId="36">
    <w:name w:val="正文文本缩进 Char"/>
    <w:basedOn w:val="25"/>
    <w:link w:val="12"/>
    <w:qFormat/>
    <w:uiPriority w:val="0"/>
    <w:rPr>
      <w:rFonts w:ascii="Times New Roman" w:hAnsi="Times New Roman" w:eastAsia="宋体" w:cs="Times New Roman"/>
      <w:szCs w:val="24"/>
    </w:rPr>
  </w:style>
  <w:style w:type="character" w:customStyle="1" w:styleId="37">
    <w:name w:val="纯文本 Char"/>
    <w:basedOn w:val="25"/>
    <w:link w:val="13"/>
    <w:qFormat/>
    <w:uiPriority w:val="0"/>
    <w:rPr>
      <w:rFonts w:ascii="宋体" w:hAnsi="Courier New" w:eastAsia="宋体"/>
      <w:szCs w:val="24"/>
    </w:rPr>
  </w:style>
  <w:style w:type="character" w:customStyle="1" w:styleId="38">
    <w:name w:val="日期 Char"/>
    <w:basedOn w:val="25"/>
    <w:link w:val="14"/>
    <w:qFormat/>
    <w:uiPriority w:val="0"/>
    <w:rPr>
      <w:rFonts w:eastAsia="楷体_GB2312"/>
      <w:sz w:val="32"/>
    </w:rPr>
  </w:style>
  <w:style w:type="character" w:customStyle="1" w:styleId="39">
    <w:name w:val="批注框文本 Char"/>
    <w:basedOn w:val="25"/>
    <w:link w:val="16"/>
    <w:qFormat/>
    <w:uiPriority w:val="0"/>
    <w:rPr>
      <w:rFonts w:ascii="Times New Roman" w:hAnsi="Times New Roman" w:eastAsia="宋体" w:cs="Times New Roman"/>
      <w:sz w:val="18"/>
      <w:szCs w:val="18"/>
    </w:rPr>
  </w:style>
  <w:style w:type="paragraph" w:customStyle="1" w:styleId="4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无间隔1"/>
    <w:qFormat/>
    <w:uiPriority w:val="99"/>
    <w:pPr>
      <w:adjustRightInd w:val="0"/>
      <w:snapToGrid w:val="0"/>
    </w:pPr>
    <w:rPr>
      <w:rFonts w:ascii="Tahoma" w:hAnsi="Tahoma" w:eastAsia="微软雅黑" w:cstheme="minorBidi"/>
      <w:kern w:val="0"/>
      <w:sz w:val="22"/>
      <w:szCs w:val="22"/>
      <w:lang w:val="en-US" w:eastAsia="zh-CN" w:bidi="ar-SA"/>
    </w:rPr>
  </w:style>
  <w:style w:type="paragraph" w:customStyle="1" w:styleId="43">
    <w:name w:val="列出段落1"/>
    <w:basedOn w:val="1"/>
    <w:qFormat/>
    <w:uiPriority w:val="0"/>
    <w:pPr>
      <w:ind w:firstLine="420" w:firstLineChars="200"/>
    </w:pPr>
    <w:rPr>
      <w:rFonts w:ascii="Calibri" w:hAnsi="Calibri"/>
      <w:kern w:val="0"/>
      <w:szCs w:val="20"/>
    </w:rPr>
  </w:style>
  <w:style w:type="paragraph" w:customStyle="1" w:styleId="44">
    <w:name w:val="无间隔11"/>
    <w:qFormat/>
    <w:uiPriority w:val="0"/>
    <w:pPr>
      <w:adjustRightInd w:val="0"/>
      <w:snapToGrid w:val="0"/>
    </w:pPr>
    <w:rPr>
      <w:rFonts w:ascii="Tahoma" w:hAnsi="Tahoma" w:eastAsia="微软雅黑" w:cstheme="minorBidi"/>
      <w:kern w:val="0"/>
      <w:sz w:val="22"/>
      <w:szCs w:val="22"/>
      <w:lang w:val="en-US" w:eastAsia="zh-CN" w:bidi="ar-SA"/>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4"/>
    <w:qFormat/>
    <w:uiPriority w:val="0"/>
    <w:rPr>
      <w:rFonts w:ascii="Times New Roman" w:hAnsi="Times New Roman" w:eastAsia="宋体" w:cs="Times New Roman"/>
      <w:kern w:val="0"/>
      <w:sz w:val="21"/>
      <w:szCs w:val="22"/>
      <w:lang w:val="en-US" w:eastAsia="zh-CN" w:bidi="ar-SA"/>
    </w:rPr>
  </w:style>
  <w:style w:type="paragraph" w:customStyle="1" w:styleId="4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3"/>
    <w:basedOn w:val="50"/>
    <w:qFormat/>
    <w:uiPriority w:val="0"/>
    <w:pPr>
      <w:widowControl/>
      <w:jc w:val="left"/>
    </w:pPr>
    <w:rPr>
      <w:rFonts w:ascii="宋体" w:hAnsi="Courier New" w:eastAsiaTheme="minorEastAsia" w:cstheme="minorBidi"/>
      <w:szCs w:val="21"/>
    </w:rPr>
  </w:style>
  <w:style w:type="paragraph" w:customStyle="1" w:styleId="52">
    <w:name w:val="纯文本_0_1"/>
    <w:basedOn w:val="1"/>
    <w:qFormat/>
    <w:uiPriority w:val="0"/>
    <w:pPr>
      <w:widowControl/>
      <w:jc w:val="left"/>
    </w:pPr>
    <w:rPr>
      <w:rFonts w:ascii="宋体" w:hAnsi="Courier New" w:eastAsiaTheme="minorEastAsia" w:cstheme="minorBidi"/>
      <w:szCs w:val="21"/>
    </w:rPr>
  </w:style>
  <w:style w:type="paragraph" w:customStyle="1" w:styleId="5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标题 7 Char"/>
    <w:basedOn w:val="25"/>
    <w:link w:val="8"/>
    <w:qFormat/>
    <w:uiPriority w:val="0"/>
    <w:rPr>
      <w:rFonts w:ascii="Times New Roman" w:hAnsi="Times New Roman" w:eastAsia="宋体" w:cs="Times New Roman"/>
      <w:b/>
      <w:bCs/>
      <w:sz w:val="24"/>
      <w:szCs w:val="24"/>
    </w:rPr>
  </w:style>
  <w:style w:type="character" w:customStyle="1" w:styleId="58">
    <w:name w:val="纯文本 Char2"/>
    <w:qFormat/>
    <w:uiPriority w:val="0"/>
    <w:rPr>
      <w:rFonts w:ascii="宋体" w:hAnsi="Courier New" w:eastAsia="宋体"/>
    </w:rPr>
  </w:style>
  <w:style w:type="character" w:customStyle="1" w:styleId="59">
    <w:name w:val="正文缩进 Char"/>
    <w:link w:val="10"/>
    <w:qFormat/>
    <w:uiPriority w:val="0"/>
    <w:rPr>
      <w:rFonts w:ascii="Times New Roman" w:hAnsi="Times New Roman" w:eastAsia="宋体" w:cs="Times New Roman"/>
      <w:szCs w:val="20"/>
    </w:rPr>
  </w:style>
  <w:style w:type="character" w:customStyle="1" w:styleId="60">
    <w:name w:val="标题 1 Char"/>
    <w:basedOn w:val="25"/>
    <w:qFormat/>
    <w:uiPriority w:val="0"/>
    <w:rPr>
      <w:rFonts w:ascii="Times New Roman" w:hAnsi="Times New Roman" w:eastAsia="宋体" w:cs="Times New Roman"/>
      <w:b/>
      <w:bCs/>
      <w:kern w:val="44"/>
      <w:sz w:val="44"/>
      <w:szCs w:val="44"/>
    </w:rPr>
  </w:style>
  <w:style w:type="character" w:customStyle="1" w:styleId="61">
    <w:name w:val="标题 2 Char"/>
    <w:basedOn w:val="25"/>
    <w:link w:val="6"/>
    <w:semiHidden/>
    <w:qFormat/>
    <w:uiPriority w:val="9"/>
    <w:rPr>
      <w:rFonts w:asciiTheme="majorHAnsi" w:hAnsiTheme="majorHAnsi" w:eastAsiaTheme="majorEastAsia" w:cstheme="majorBidi"/>
      <w:b/>
      <w:bCs/>
      <w:sz w:val="32"/>
      <w:szCs w:val="32"/>
    </w:rPr>
  </w:style>
  <w:style w:type="paragraph" w:customStyle="1" w:styleId="62">
    <w:name w:val="表格正文"/>
    <w:basedOn w:val="1"/>
    <w:qFormat/>
    <w:uiPriority w:val="0"/>
    <w:pPr>
      <w:widowControl/>
      <w:jc w:val="center"/>
    </w:pPr>
    <w:rPr>
      <w:rFonts w:ascii="宋体" w:hAnsi="宋体" w:cs="宋体"/>
      <w:color w:val="000000"/>
      <w:kern w:val="0"/>
      <w:szCs w:val="21"/>
    </w:rPr>
  </w:style>
  <w:style w:type="paragraph" w:customStyle="1" w:styleId="63">
    <w:name w:val="Table Paragraph"/>
    <w:basedOn w:val="1"/>
    <w:qFormat/>
    <w:uiPriority w:val="1"/>
    <w:rPr>
      <w:rFonts w:ascii="宋体" w:hAnsi="宋体" w:cs="宋体"/>
    </w:rPr>
  </w:style>
  <w:style w:type="paragraph" w:customStyle="1" w:styleId="64">
    <w:name w:val="默认段落字体 Para Char Char Char Char Char Char Char Char Char1 Char Char Char Char"/>
    <w:basedOn w:val="1"/>
    <w:qFormat/>
    <w:uiPriority w:val="0"/>
    <w:rPr>
      <w:rFonts w:ascii="Tahoma" w:hAnsi="Tahoma"/>
      <w:sz w:val="24"/>
      <w:szCs w:val="20"/>
    </w:rPr>
  </w:style>
  <w:style w:type="paragraph" w:customStyle="1" w:styleId="65">
    <w:name w:val="WPSOffice手动目录 1"/>
    <w:qFormat/>
    <w:uiPriority w:val="0"/>
    <w:pPr>
      <w:ind w:leftChars="0"/>
    </w:pPr>
    <w:rPr>
      <w:rFonts w:ascii="Times New Roman" w:hAnsi="Times New Roman" w:eastAsia="宋体" w:cs="Times New Roman"/>
      <w:sz w:val="20"/>
      <w:szCs w:val="20"/>
    </w:rPr>
  </w:style>
  <w:style w:type="character" w:customStyle="1" w:styleId="66">
    <w:name w:val="qowt-font4"/>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8B2FD-559E-4D71-93A7-2070C3362DF2}">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26171</Words>
  <Characters>27415</Characters>
  <Lines>177</Lines>
  <Paragraphs>49</Paragraphs>
  <TotalTime>31</TotalTime>
  <ScaleCrop>false</ScaleCrop>
  <LinksUpToDate>false</LinksUpToDate>
  <CharactersWithSpaces>28858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2019-02-28T07:12:00Z</dcterms:created>
  <dc:creator>ASUS</dc:creator>
  <cp:lastModifiedBy>Anni</cp:lastModifiedBy>
  <cp:lastPrinted>2022-09-08T10:07:00Z</cp:lastPrinted>
  <dcterms:modified xsi:type="dcterms:W3CDTF">2022-10-09T09:57:29Z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AD0F0340149C4256B506787E7BA8E946</vt:lpwstr>
  </property>
</Properties>
</file>