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eastAsiaTheme="minorEastAsia"/>
          <w:lang w:eastAsia="zh-CN"/>
        </w:rPr>
        <w:drawing>
          <wp:inline distT="0" distB="0" distL="114300" distR="114300">
            <wp:extent cx="1121410" cy="1121410"/>
            <wp:effectExtent l="0" t="0" r="2540" b="2540"/>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8"/>
                    <a:stretch>
                      <a:fillRect/>
                    </a:stretch>
                  </pic:blipFill>
                  <pic:spPr>
                    <a:xfrm>
                      <a:off x="0" y="0"/>
                      <a:ext cx="1121410" cy="1121410"/>
                    </a:xfrm>
                    <a:prstGeom prst="rect">
                      <a:avLst/>
                    </a:prstGeom>
                  </pic:spPr>
                </pic:pic>
              </a:graphicData>
            </a:graphic>
          </wp:inline>
        </w:drawing>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b/>
          <w:kern w:val="0"/>
          <w:sz w:val="32"/>
          <w:lang w:val="en-US" w:eastAsia="zh-CN"/>
        </w:rPr>
        <w:t>宁波守诚【2022】-035</w:t>
      </w:r>
      <w:r>
        <w:rPr>
          <w:rFonts w:hint="eastAsia" w:ascii="宋体"/>
          <w:b/>
          <w:kern w:val="0"/>
          <w:sz w:val="32"/>
        </w:rPr>
        <w:t>号</w:t>
      </w:r>
    </w:p>
    <w:p>
      <w:pPr>
        <w:tabs>
          <w:tab w:val="left" w:pos="8385"/>
        </w:tabs>
        <w:autoSpaceDE w:val="0"/>
        <w:autoSpaceDN w:val="0"/>
        <w:adjustRightInd w:val="0"/>
        <w:spacing w:line="360" w:lineRule="auto"/>
        <w:jc w:val="left"/>
        <w:rPr>
          <w:rFonts w:ascii="宋体"/>
          <w:kern w:val="0"/>
          <w:sz w:val="28"/>
        </w:rPr>
      </w:pPr>
    </w:p>
    <w:p>
      <w:pPr>
        <w:pStyle w:val="43"/>
        <w:ind w:left="0" w:leftChars="0" w:firstLine="0" w:firstLineChars="0"/>
        <w:rPr>
          <w:rFonts w:ascii="宋体"/>
          <w:kern w:val="0"/>
          <w:sz w:val="28"/>
        </w:rPr>
      </w:pPr>
    </w:p>
    <w:p>
      <w:pPr>
        <w:autoSpaceDE w:val="0"/>
        <w:autoSpaceDN w:val="0"/>
        <w:adjustRightInd w:val="0"/>
        <w:spacing w:line="360" w:lineRule="auto"/>
        <w:ind w:firstLine="1120" w:firstLineChars="400"/>
        <w:jc w:val="left"/>
        <w:rPr>
          <w:rFonts w:hint="eastAsia" w:ascii="宋体"/>
          <w:kern w:val="0"/>
          <w:sz w:val="28"/>
          <w:lang w:eastAsia="zh-CN"/>
        </w:rPr>
      </w:pPr>
      <w:r>
        <w:rPr>
          <w:rFonts w:hint="eastAsia" w:ascii="宋体"/>
          <w:kern w:val="0"/>
          <w:sz w:val="28"/>
        </w:rPr>
        <w:t>采购项目：</w:t>
      </w:r>
      <w:r>
        <w:rPr>
          <w:rFonts w:hint="eastAsia" w:ascii="宋体"/>
          <w:kern w:val="0"/>
          <w:sz w:val="28"/>
          <w:lang w:eastAsia="zh-CN"/>
        </w:rPr>
        <w:t>三门县亭旁镇电动游览观光车采购项目</w:t>
      </w:r>
    </w:p>
    <w:p>
      <w:pPr>
        <w:pStyle w:val="43"/>
        <w:rPr>
          <w:rFonts w:hint="eastAsia" w:ascii="宋体"/>
          <w:kern w:val="0"/>
          <w:sz w:val="28"/>
          <w:lang w:eastAsia="zh-CN"/>
        </w:rPr>
      </w:pPr>
    </w:p>
    <w:p>
      <w:pPr>
        <w:rPr>
          <w:rFonts w:hint="eastAsia" w:ascii="宋体"/>
          <w:kern w:val="0"/>
          <w:sz w:val="28"/>
          <w:lang w:eastAsia="zh-CN"/>
        </w:rPr>
      </w:pPr>
    </w:p>
    <w:p>
      <w:pPr>
        <w:rPr>
          <w:rFonts w:hint="eastAsia"/>
          <w:lang w:eastAsia="zh-CN"/>
        </w:rPr>
      </w:pPr>
    </w:p>
    <w:p>
      <w:pPr>
        <w:pStyle w:val="43"/>
        <w:rPr>
          <w:rFonts w:hint="eastAsia"/>
          <w:lang w:eastAsia="zh-CN"/>
        </w:rPr>
      </w:pPr>
    </w:p>
    <w:p>
      <w:pPr>
        <w:pStyle w:val="43"/>
        <w:rPr>
          <w:rFonts w:hint="eastAsia"/>
          <w:lang w:eastAsia="zh-CN"/>
        </w:rPr>
      </w:pPr>
    </w:p>
    <w:p>
      <w:pPr>
        <w:autoSpaceDE w:val="0"/>
        <w:autoSpaceDN w:val="0"/>
        <w:adjustRightInd w:val="0"/>
        <w:spacing w:line="360" w:lineRule="auto"/>
        <w:ind w:firstLine="1120" w:firstLineChars="400"/>
        <w:jc w:val="left"/>
        <w:rPr>
          <w:rFonts w:hint="eastAsia" w:ascii="宋体" w:eastAsia="宋体"/>
          <w:kern w:val="0"/>
          <w:sz w:val="28"/>
          <w:lang w:eastAsia="zh-CN"/>
        </w:rPr>
      </w:pPr>
      <w:r>
        <w:rPr>
          <w:rFonts w:hint="eastAsia" w:ascii="宋体"/>
          <w:kern w:val="0"/>
          <w:sz w:val="28"/>
        </w:rPr>
        <w:t>采购人：</w:t>
      </w:r>
      <w:r>
        <w:rPr>
          <w:rFonts w:hint="eastAsia" w:ascii="宋体"/>
          <w:kern w:val="0"/>
          <w:sz w:val="28"/>
          <w:lang w:eastAsia="zh-CN"/>
        </w:rPr>
        <w:t>三门县亭旁镇芹溪村股份经济合作社</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753" w:firstLineChars="269"/>
        <w:jc w:val="both"/>
        <w:rPr>
          <w:rFonts w:hint="eastAsia"/>
          <w:lang w:val="en-US" w:eastAsia="zh-CN"/>
        </w:rPr>
      </w:pPr>
      <w:r>
        <w:rPr>
          <w:rFonts w:hint="eastAsia" w:ascii="宋体" w:hAnsi="宋体" w:cs="宋体"/>
          <w:kern w:val="0"/>
          <w:sz w:val="28"/>
          <w:szCs w:val="28"/>
          <w:lang w:val="en-US" w:eastAsia="zh-CN"/>
        </w:rPr>
        <w:t>招标代理机构：</w:t>
      </w:r>
      <w:r>
        <w:rPr>
          <w:rFonts w:hint="eastAsia" w:ascii="宋体" w:hAnsi="宋体" w:cs="宋体"/>
          <w:kern w:val="0"/>
          <w:sz w:val="28"/>
          <w:szCs w:val="28"/>
        </w:rPr>
        <w:t>宁波守诚项目管理有限公司</w:t>
      </w:r>
    </w:p>
    <w:p>
      <w:pPr>
        <w:pStyle w:val="19"/>
        <w:ind w:firstLine="1400" w:firstLineChars="500"/>
        <w:rPr>
          <w:rFonts w:hint="default" w:eastAsia="宋体"/>
          <w:lang w:val="en-US" w:eastAsia="zh-CN"/>
        </w:rPr>
      </w:pPr>
      <w:r>
        <w:rPr>
          <w:rFonts w:hint="eastAsia" w:ascii="宋体" w:hAnsi="宋体" w:eastAsia="宋体" w:cs="宋体"/>
          <w:kern w:val="0"/>
          <w:sz w:val="28"/>
          <w:szCs w:val="28"/>
          <w:lang w:val="en-US" w:eastAsia="zh-CN" w:bidi="ar-SA"/>
        </w:rPr>
        <w:t>招标监管机构：</w:t>
      </w:r>
      <w:r>
        <w:rPr>
          <w:rFonts w:hint="eastAsia" w:ascii="宋体"/>
          <w:kern w:val="0"/>
          <w:sz w:val="28"/>
          <w:lang w:eastAsia="zh-CN"/>
        </w:rPr>
        <w:t>三门县亭旁镇</w:t>
      </w:r>
      <w:r>
        <w:rPr>
          <w:rFonts w:hint="eastAsia" w:ascii="宋体"/>
          <w:kern w:val="0"/>
          <w:sz w:val="28"/>
          <w:lang w:val="en-US" w:eastAsia="zh-CN"/>
        </w:rPr>
        <w:t>公共资源交易中心</w:t>
      </w:r>
    </w:p>
    <w:p>
      <w:pPr>
        <w:pStyle w:val="42"/>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sz w:val="28"/>
          <w:szCs w:val="28"/>
        </w:rPr>
        <w:t>2</w:t>
      </w:r>
      <w:r>
        <w:rPr>
          <w:rFonts w:ascii="宋体" w:hAnsi="宋体"/>
          <w:sz w:val="28"/>
          <w:szCs w:val="28"/>
        </w:rPr>
        <w:t>0</w:t>
      </w:r>
      <w:r>
        <w:rPr>
          <w:rFonts w:hint="eastAsia" w:ascii="宋体" w:hAnsi="宋体"/>
          <w:sz w:val="28"/>
          <w:szCs w:val="28"/>
        </w:rPr>
        <w:t>22</w:t>
      </w:r>
      <w:r>
        <w:rPr>
          <w:rFonts w:hint="eastAsia" w:ascii="宋体" w:hAnsi="宋体" w:cs="宋体"/>
          <w:kern w:val="0"/>
          <w:sz w:val="28"/>
          <w:szCs w:val="28"/>
        </w:rPr>
        <w:t>年</w:t>
      </w:r>
      <w:r>
        <w:rPr>
          <w:rFonts w:hint="eastAsia" w:ascii="宋体" w:hAnsi="宋体" w:cs="宋体"/>
          <w:kern w:val="0"/>
          <w:sz w:val="28"/>
          <w:szCs w:val="28"/>
          <w:lang w:val="en-US" w:eastAsia="zh-CN"/>
        </w:rPr>
        <w:t>08</w:t>
      </w:r>
      <w:r>
        <w:rPr>
          <w:rFonts w:hint="eastAsia" w:ascii="宋体" w:hAnsi="宋体" w:cs="宋体"/>
          <w:kern w:val="0"/>
          <w:sz w:val="28"/>
          <w:szCs w:val="28"/>
        </w:rPr>
        <w:t>月</w:t>
      </w:r>
    </w:p>
    <w:p>
      <w:pPr>
        <w:spacing w:line="360" w:lineRule="auto"/>
      </w:pPr>
    </w:p>
    <w:p>
      <w:pPr>
        <w:jc w:val="center"/>
        <w:rPr>
          <w:rFonts w:ascii="宋体" w:hAnsi="宋体" w:cs="Arial"/>
          <w:b/>
          <w:bCs/>
          <w:sz w:val="36"/>
          <w:szCs w:val="36"/>
        </w:rPr>
      </w:pPr>
      <w:r>
        <w:rPr>
          <w:rFonts w:hint="eastAsia" w:ascii="宋体" w:hAnsi="宋体" w:cs="Arial"/>
          <w:b/>
          <w:bCs/>
          <w:sz w:val="36"/>
          <w:szCs w:val="36"/>
        </w:rPr>
        <w:t>目    录</w:t>
      </w:r>
    </w:p>
    <w:p>
      <w:pPr>
        <w:jc w:val="center"/>
        <w:rPr>
          <w:rFonts w:ascii="宋体" w:hAnsi="宋体" w:cs="Arial"/>
          <w:b/>
          <w:bCs/>
          <w:sz w:val="36"/>
          <w:szCs w:val="36"/>
        </w:rPr>
      </w:pP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公开招标采购公告</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项目需求</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投标人须知</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评标办法及评分标准</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政府采购合同主要条款指引</w:t>
      </w:r>
    </w:p>
    <w:p>
      <w:pPr>
        <w:numPr>
          <w:ilvl w:val="0"/>
          <w:numId w:val="1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left"/>
      </w:pPr>
      <w:r>
        <w:br w:type="page"/>
      </w:r>
    </w:p>
    <w:p>
      <w:pPr>
        <w:adjustRightInd w:val="0"/>
        <w:snapToGrid w:val="0"/>
        <w:spacing w:line="480" w:lineRule="exact"/>
        <w:jc w:val="center"/>
        <w:outlineLvl w:val="0"/>
        <w:rPr>
          <w:b/>
          <w:sz w:val="32"/>
          <w:szCs w:val="32"/>
        </w:rPr>
      </w:pPr>
      <w:r>
        <w:rPr>
          <w:rFonts w:hint="eastAsia" w:asciiTheme="majorEastAsia" w:hAnsiTheme="majorEastAsia" w:eastAsiaTheme="majorEastAsia"/>
          <w:b/>
          <w:color w:val="auto"/>
          <w:kern w:val="0"/>
          <w:sz w:val="36"/>
          <w:szCs w:val="36"/>
        </w:rPr>
        <w:t xml:space="preserve">第一章 </w:t>
      </w:r>
      <w:r>
        <w:rPr>
          <w:rFonts w:hint="eastAsia" w:asciiTheme="majorEastAsia" w:hAnsiTheme="majorEastAsia" w:eastAsiaTheme="majorEastAsia"/>
          <w:b/>
          <w:color w:val="FF0000"/>
          <w:kern w:val="0"/>
          <w:sz w:val="36"/>
          <w:szCs w:val="36"/>
        </w:rPr>
        <w:t xml:space="preserve"> </w:t>
      </w:r>
      <w:r>
        <w:rPr>
          <w:rFonts w:hint="eastAsia"/>
          <w:b/>
          <w:sz w:val="32"/>
          <w:szCs w:val="32"/>
        </w:rPr>
        <w:t>竞争性磋商</w:t>
      </w:r>
      <w:r>
        <w:rPr>
          <w:b/>
          <w:sz w:val="32"/>
          <w:szCs w:val="32"/>
        </w:rPr>
        <w:t>公告</w:t>
      </w:r>
    </w:p>
    <w:p>
      <w:pPr>
        <w:tabs>
          <w:tab w:val="left" w:pos="180"/>
          <w:tab w:val="left" w:pos="360"/>
          <w:tab w:val="left" w:pos="540"/>
          <w:tab w:val="left" w:pos="8820"/>
        </w:tabs>
        <w:autoSpaceDE w:val="0"/>
        <w:autoSpaceDN w:val="0"/>
        <w:adjustRightInd w:val="0"/>
        <w:spacing w:before="240" w:beforeLines="100" w:line="440" w:lineRule="exact"/>
        <w:ind w:left="-283" w:leftChars="-135" w:right="-143" w:rightChars="-68" w:firstLine="480" w:firstLineChars="200"/>
        <w:jc w:val="left"/>
        <w:rPr>
          <w:rFonts w:ascii="宋体"/>
          <w:kern w:val="0"/>
          <w:sz w:val="24"/>
          <w:szCs w:val="24"/>
        </w:rPr>
      </w:pPr>
      <w:bookmarkStart w:id="0" w:name="_Toc306901436"/>
      <w:r>
        <w:rPr>
          <w:rFonts w:hint="eastAsia" w:ascii="宋体"/>
          <w:kern w:val="0"/>
          <w:sz w:val="24"/>
          <w:szCs w:val="24"/>
        </w:rPr>
        <w:t>根据相关规定，受</w:t>
      </w:r>
      <w:r>
        <w:rPr>
          <w:rFonts w:hint="eastAsia" w:ascii="宋体"/>
          <w:kern w:val="0"/>
          <w:sz w:val="24"/>
          <w:szCs w:val="24"/>
          <w:lang w:val="en-US" w:eastAsia="zh-CN"/>
        </w:rPr>
        <w:t>三门县亭旁镇芹溪村股份经济合作社</w:t>
      </w:r>
      <w:r>
        <w:rPr>
          <w:rFonts w:hint="eastAsia" w:ascii="宋体"/>
          <w:kern w:val="0"/>
          <w:sz w:val="24"/>
          <w:szCs w:val="24"/>
        </w:rPr>
        <w:t>的委托，现就</w:t>
      </w:r>
      <w:r>
        <w:rPr>
          <w:rFonts w:hint="eastAsia" w:ascii="宋体"/>
          <w:kern w:val="0"/>
          <w:sz w:val="24"/>
          <w:szCs w:val="24"/>
          <w:u w:val="single"/>
        </w:rPr>
        <w:t>三门县亭旁镇电动游览观光车采购项目</w:t>
      </w:r>
      <w:r>
        <w:rPr>
          <w:rFonts w:hint="eastAsia" w:ascii="宋体"/>
          <w:kern w:val="0"/>
          <w:sz w:val="24"/>
          <w:szCs w:val="24"/>
        </w:rPr>
        <w:t>进行竞争性磋商采购。凡具备本项目报价人的资质要求且能够及时提供相关服务的供应商均可参加投标。</w:t>
      </w:r>
    </w:p>
    <w:p>
      <w:pPr>
        <w:tabs>
          <w:tab w:val="left" w:pos="945"/>
          <w:tab w:val="left" w:pos="1575"/>
          <w:tab w:val="left" w:pos="8820"/>
        </w:tabs>
        <w:autoSpaceDE w:val="0"/>
        <w:autoSpaceDN w:val="0"/>
        <w:adjustRightInd w:val="0"/>
        <w:spacing w:before="100" w:line="440" w:lineRule="exact"/>
        <w:ind w:left="-283" w:leftChars="-135" w:right="-143" w:rightChars="-68"/>
        <w:jc w:val="left"/>
        <w:rPr>
          <w:rFonts w:hint="eastAsia" w:ascii="宋体"/>
          <w:kern w:val="0"/>
          <w:sz w:val="24"/>
          <w:szCs w:val="24"/>
        </w:rPr>
      </w:pPr>
      <w:r>
        <w:rPr>
          <w:rFonts w:hint="eastAsia" w:ascii="宋体"/>
          <w:kern w:val="0"/>
          <w:sz w:val="24"/>
          <w:szCs w:val="24"/>
        </w:rPr>
        <w:t>一、项目编号：</w:t>
      </w:r>
      <w:r>
        <w:rPr>
          <w:rFonts w:hint="eastAsia" w:ascii="宋体"/>
          <w:color w:val="auto"/>
          <w:kern w:val="0"/>
          <w:sz w:val="24"/>
          <w:szCs w:val="24"/>
          <w:lang w:val="en-US" w:eastAsia="zh-CN"/>
        </w:rPr>
        <w:t>守诚</w:t>
      </w:r>
      <w:r>
        <w:rPr>
          <w:rFonts w:hint="eastAsia" w:ascii="宋体"/>
          <w:color w:val="auto"/>
          <w:kern w:val="0"/>
          <w:sz w:val="24"/>
          <w:szCs w:val="24"/>
        </w:rPr>
        <w:t>招备[2022]</w:t>
      </w:r>
      <w:r>
        <w:rPr>
          <w:rFonts w:hint="eastAsia" w:ascii="宋体"/>
          <w:color w:val="auto"/>
          <w:kern w:val="0"/>
          <w:sz w:val="24"/>
          <w:szCs w:val="24"/>
          <w:lang w:val="en-US" w:eastAsia="zh-CN"/>
        </w:rPr>
        <w:t xml:space="preserve"> 035</w:t>
      </w:r>
      <w:r>
        <w:rPr>
          <w:rFonts w:hint="eastAsia" w:ascii="宋体"/>
          <w:color w:val="auto"/>
          <w:kern w:val="0"/>
          <w:sz w:val="24"/>
          <w:szCs w:val="24"/>
        </w:rPr>
        <w:t>号</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kern w:val="0"/>
          <w:sz w:val="24"/>
          <w:szCs w:val="24"/>
        </w:rPr>
      </w:pPr>
      <w:r>
        <w:rPr>
          <w:rFonts w:hint="eastAsia" w:ascii="宋体"/>
          <w:kern w:val="0"/>
          <w:sz w:val="24"/>
          <w:szCs w:val="24"/>
        </w:rPr>
        <w:t>二、磋商内容：</w:t>
      </w:r>
    </w:p>
    <w:tbl>
      <w:tblPr>
        <w:tblStyle w:val="45"/>
        <w:tblW w:w="9524" w:type="dxa"/>
        <w:tblCellSpacing w:w="7" w:type="dxa"/>
        <w:tblInd w:w="-2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20"/>
        <w:gridCol w:w="3402"/>
        <w:gridCol w:w="1418"/>
        <w:gridCol w:w="1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项目名称</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ascii="宋体"/>
                <w:kern w:val="0"/>
                <w:sz w:val="24"/>
                <w:szCs w:val="24"/>
              </w:rPr>
            </w:pPr>
            <w:r>
              <w:rPr>
                <w:rFonts w:hint="eastAsia" w:ascii="宋体" w:hAnsi="宋体" w:cs="宋体"/>
                <w:sz w:val="24"/>
                <w:szCs w:val="24"/>
              </w:rPr>
              <w:t>具体</w:t>
            </w:r>
            <w:r>
              <w:rPr>
                <w:rFonts w:hint="eastAsia" w:ascii="宋体" w:hAnsi="宋体" w:cs="宋体"/>
                <w:sz w:val="24"/>
                <w:szCs w:val="24"/>
                <w:lang w:val="en-US" w:eastAsia="zh-CN"/>
              </w:rPr>
              <w:t>采购</w:t>
            </w:r>
            <w:r>
              <w:rPr>
                <w:rFonts w:hint="eastAsia" w:ascii="宋体" w:hAnsi="宋体" w:cs="宋体"/>
                <w:sz w:val="24"/>
                <w:szCs w:val="24"/>
              </w:rPr>
              <w:t>内容</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spacing w:line="340" w:lineRule="exact"/>
              <w:jc w:val="center"/>
              <w:rPr>
                <w:rFonts w:ascii="宋体"/>
                <w:kern w:val="0"/>
                <w:sz w:val="24"/>
                <w:szCs w:val="24"/>
              </w:rPr>
            </w:pPr>
            <w:r>
              <w:rPr>
                <w:rFonts w:hint="eastAsia" w:ascii="宋体"/>
                <w:kern w:val="0"/>
                <w:sz w:val="24"/>
                <w:szCs w:val="24"/>
              </w:rPr>
              <w:t>最高限价</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ascii="宋体" w:hAnsi="宋体" w:cs="宋体"/>
                <w:sz w:val="24"/>
                <w:szCs w:val="24"/>
              </w:rPr>
            </w:pPr>
            <w:r>
              <w:rPr>
                <w:rFonts w:hint="eastAsia" w:ascii="宋体"/>
                <w:kern w:val="0"/>
                <w:sz w:val="24"/>
                <w:szCs w:val="24"/>
              </w:rPr>
              <w:t>三门县亭旁镇电动游览观光车采购项目</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Arial"/>
                <w:kern w:val="0"/>
                <w:sz w:val="24"/>
                <w:szCs w:val="24"/>
                <w:lang w:val="en-US" w:eastAsia="zh-CN"/>
              </w:rPr>
            </w:pPr>
            <w:r>
              <w:rPr>
                <w:rFonts w:hint="eastAsia" w:ascii="宋体" w:hAnsi="宋体" w:cs="Arial"/>
                <w:kern w:val="0"/>
                <w:sz w:val="24"/>
                <w:szCs w:val="24"/>
                <w:lang w:val="en-US" w:eastAsia="zh-CN"/>
              </w:rPr>
              <w:t>9辆14座电动观光车；1辆6座电动观光车。</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68万</w:t>
            </w:r>
            <w:r>
              <w:rPr>
                <w:rFonts w:hint="eastAsia" w:ascii="宋体" w:hAnsi="宋体" w:cs="Arial"/>
                <w:kern w:val="0"/>
                <w:sz w:val="24"/>
                <w:szCs w:val="24"/>
                <w:lang w:eastAsia="zh-CN"/>
              </w:rPr>
              <w:t>元</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ascii="宋体" w:hAnsi="宋体" w:cs="Arial"/>
                <w:kern w:val="0"/>
                <w:sz w:val="24"/>
                <w:szCs w:val="24"/>
              </w:rPr>
            </w:pPr>
          </w:p>
        </w:tc>
      </w:tr>
    </w:tbl>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kern w:val="0"/>
          <w:sz w:val="24"/>
          <w:szCs w:val="24"/>
        </w:rPr>
      </w:pPr>
      <w:r>
        <w:rPr>
          <w:rFonts w:hint="eastAsia" w:ascii="宋体" w:hAnsi="宋体"/>
          <w:sz w:val="24"/>
          <w:szCs w:val="24"/>
        </w:rPr>
        <w:t>三、合格磋商供应商需符合以下条件：</w:t>
      </w:r>
    </w:p>
    <w:p>
      <w:pPr>
        <w:pStyle w:val="55"/>
        <w:adjustRightInd w:val="0"/>
        <w:snapToGrid w:val="0"/>
        <w:spacing w:before="0" w:line="360" w:lineRule="auto"/>
        <w:ind w:left="103" w:leftChars="49" w:right="102" w:firstLine="240" w:firstLineChars="100"/>
        <w:rPr>
          <w:rFonts w:ascii="宋体" w:eastAsia="宋体"/>
          <w:sz w:val="24"/>
          <w:szCs w:val="24"/>
        </w:rPr>
      </w:pPr>
      <w:r>
        <w:rPr>
          <w:rFonts w:hint="eastAsia" w:ascii="宋体" w:eastAsia="宋体"/>
          <w:sz w:val="24"/>
          <w:szCs w:val="24"/>
        </w:rPr>
        <w:t>（一）符合《中华人民共和国政府采购法》第二十二条规定的</w:t>
      </w:r>
      <w:r>
        <w:rPr>
          <w:rFonts w:hint="eastAsia" w:ascii="宋体"/>
          <w:sz w:val="24"/>
          <w:szCs w:val="24"/>
        </w:rPr>
        <w:t>磋商</w:t>
      </w:r>
      <w:r>
        <w:rPr>
          <w:rFonts w:hint="eastAsia" w:ascii="宋体" w:eastAsia="宋体"/>
          <w:sz w:val="24"/>
          <w:szCs w:val="24"/>
        </w:rPr>
        <w:t>供应商资格条件。</w:t>
      </w:r>
    </w:p>
    <w:p>
      <w:pPr>
        <w:tabs>
          <w:tab w:val="left" w:pos="180"/>
          <w:tab w:val="left" w:pos="360"/>
          <w:tab w:val="left" w:pos="540"/>
          <w:tab w:val="left" w:pos="8820"/>
        </w:tabs>
        <w:autoSpaceDE w:val="0"/>
        <w:autoSpaceDN w:val="0"/>
        <w:adjustRightInd w:val="0"/>
        <w:spacing w:before="100" w:line="440" w:lineRule="exact"/>
        <w:ind w:left="-283" w:leftChars="-135" w:right="-143" w:rightChars="-68" w:firstLine="480" w:firstLineChars="200"/>
        <w:jc w:val="left"/>
        <w:rPr>
          <w:rFonts w:ascii="宋体" w:hAnsi="宋体" w:cs="Arial"/>
          <w:color w:val="000000"/>
          <w:sz w:val="24"/>
          <w:szCs w:val="24"/>
        </w:rPr>
      </w:pPr>
      <w:r>
        <w:rPr>
          <w:rFonts w:hint="eastAsia" w:ascii="宋体" w:hAnsi="宋体" w:cs="Arial"/>
          <w:color w:val="000000"/>
          <w:sz w:val="24"/>
          <w:szCs w:val="24"/>
        </w:rPr>
        <w:t>（</w:t>
      </w:r>
      <w:r>
        <w:rPr>
          <w:rFonts w:hint="eastAsia" w:ascii="宋体" w:hAnsi="宋体" w:cs="Arial"/>
          <w:color w:val="000000"/>
          <w:sz w:val="24"/>
          <w:szCs w:val="24"/>
          <w:lang w:val="en-US" w:eastAsia="zh-CN"/>
        </w:rPr>
        <w:t>二</w:t>
      </w:r>
      <w:r>
        <w:rPr>
          <w:rFonts w:hint="eastAsia" w:ascii="宋体" w:hAnsi="宋体" w:cs="Arial"/>
          <w:color w:val="000000"/>
          <w:sz w:val="24"/>
          <w:szCs w:val="24"/>
        </w:rPr>
        <w:t>）</w:t>
      </w:r>
      <w:r>
        <w:rPr>
          <w:rFonts w:ascii="宋体" w:hAnsi="宋体" w:cs="Arial"/>
          <w:color w:val="000000"/>
          <w:sz w:val="24"/>
          <w:szCs w:val="24"/>
        </w:rPr>
        <w:t>本次招标不接受联合体投标。</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sz w:val="24"/>
          <w:szCs w:val="24"/>
        </w:rPr>
        <w:t>四、磋商文件获取的方式、时间：</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cs="Arial"/>
          <w:color w:val="000000"/>
          <w:sz w:val="24"/>
          <w:szCs w:val="24"/>
        </w:rPr>
      </w:pPr>
      <w:r>
        <w:rPr>
          <w:rFonts w:hint="eastAsia" w:ascii="宋体" w:hAnsi="宋体" w:cs="Arial"/>
          <w:color w:val="000000"/>
          <w:sz w:val="24"/>
          <w:szCs w:val="24"/>
        </w:rPr>
        <w:t>1．磋商文件将于公告发布之日起在三门县公共资源交易中心 “网址：http://www.sanmen.gov.cn/col/col1229610743/index.html”上发布并供下载，磋商文件以书面为准。</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cs="Arial"/>
          <w:color w:val="000000"/>
          <w:sz w:val="24"/>
          <w:szCs w:val="24"/>
        </w:rPr>
      </w:pPr>
      <w:r>
        <w:rPr>
          <w:rFonts w:hint="eastAsia" w:ascii="宋体" w:hAnsi="宋体" w:cs="Arial"/>
          <w:color w:val="000000"/>
          <w:sz w:val="24"/>
          <w:szCs w:val="24"/>
        </w:rPr>
        <w:t>2．</w:t>
      </w:r>
      <w:r>
        <w:rPr>
          <w:rFonts w:hint="eastAsia" w:ascii="宋体" w:hAnsi="宋体" w:cs="Arial"/>
          <w:color w:val="000000"/>
          <w:sz w:val="24"/>
          <w:szCs w:val="24"/>
          <w:lang w:eastAsia="zh-CN"/>
        </w:rPr>
        <w:t>供应商</w:t>
      </w:r>
      <w:r>
        <w:rPr>
          <w:rFonts w:hint="eastAsia" w:ascii="宋体" w:hAnsi="宋体" w:cs="Arial"/>
          <w:color w:val="000000"/>
          <w:sz w:val="24"/>
          <w:szCs w:val="24"/>
        </w:rPr>
        <w:t>网上免费下载招标文件，不收取任何工本费。</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sz w:val="24"/>
          <w:szCs w:val="24"/>
        </w:rPr>
        <w:t>五、招标答疑会：无</w:t>
      </w:r>
    </w:p>
    <w:p>
      <w:pPr>
        <w:tabs>
          <w:tab w:val="left" w:pos="180"/>
          <w:tab w:val="left" w:pos="360"/>
          <w:tab w:val="left" w:pos="540"/>
          <w:tab w:val="left" w:pos="8820"/>
        </w:tabs>
        <w:autoSpaceDE w:val="0"/>
        <w:autoSpaceDN w:val="0"/>
        <w:adjustRightInd w:val="0"/>
        <w:spacing w:before="100" w:line="440" w:lineRule="exact"/>
        <w:ind w:left="-283" w:leftChars="-135" w:right="-143" w:rightChars="-68"/>
        <w:jc w:val="left"/>
        <w:rPr>
          <w:rFonts w:hint="eastAsia" w:ascii="宋体" w:hAnsi="宋体"/>
          <w:sz w:val="24"/>
          <w:szCs w:val="24"/>
        </w:rPr>
      </w:pPr>
      <w:r>
        <w:rPr>
          <w:rFonts w:hint="eastAsia" w:ascii="宋体" w:hAnsi="宋体"/>
          <w:color w:val="000000"/>
          <w:sz w:val="24"/>
          <w:szCs w:val="24"/>
        </w:rPr>
        <w:t>六</w:t>
      </w:r>
      <w:r>
        <w:rPr>
          <w:rFonts w:hint="eastAsia" w:ascii="宋体" w:hAnsi="宋体"/>
          <w:sz w:val="24"/>
          <w:szCs w:val="24"/>
        </w:rPr>
        <w:t>、磋商响应文件递交截止时间及磋商开始时间、地点：</w:t>
      </w:r>
    </w:p>
    <w:p>
      <w:pPr>
        <w:tabs>
          <w:tab w:val="left" w:pos="180"/>
          <w:tab w:val="left" w:pos="360"/>
          <w:tab w:val="left" w:pos="540"/>
          <w:tab w:val="left" w:pos="8820"/>
        </w:tabs>
        <w:autoSpaceDE w:val="0"/>
        <w:autoSpaceDN w:val="0"/>
        <w:adjustRightInd w:val="0"/>
        <w:spacing w:before="100" w:line="440" w:lineRule="exact"/>
        <w:ind w:left="-283" w:leftChars="-135" w:right="-143" w:rightChars="-68" w:firstLine="480" w:firstLineChars="200"/>
        <w:jc w:val="left"/>
        <w:rPr>
          <w:rFonts w:hint="eastAsia" w:ascii="宋体" w:hAnsi="宋体" w:cs="Arial"/>
          <w:color w:val="000000"/>
          <w:sz w:val="24"/>
          <w:szCs w:val="24"/>
        </w:rPr>
      </w:pPr>
      <w:r>
        <w:rPr>
          <w:rFonts w:hint="eastAsia" w:ascii="宋体" w:hAnsi="宋体" w:cs="Arial"/>
          <w:color w:val="000000"/>
          <w:sz w:val="24"/>
          <w:szCs w:val="24"/>
        </w:rPr>
        <w:t>本次磋商将于</w:t>
      </w:r>
      <w:r>
        <w:rPr>
          <w:rFonts w:hint="eastAsia" w:ascii="宋体" w:hAnsi="宋体" w:cs="Arial"/>
          <w:color w:val="auto"/>
          <w:sz w:val="24"/>
          <w:szCs w:val="24"/>
        </w:rPr>
        <w:t>2022年</w:t>
      </w:r>
      <w:r>
        <w:rPr>
          <w:rFonts w:hint="eastAsia" w:ascii="宋体" w:hAnsi="宋体" w:cs="Arial"/>
          <w:color w:val="auto"/>
          <w:sz w:val="24"/>
          <w:szCs w:val="24"/>
          <w:lang w:val="en-US" w:eastAsia="zh-CN"/>
        </w:rPr>
        <w:t>8</w:t>
      </w:r>
      <w:r>
        <w:rPr>
          <w:rFonts w:hint="eastAsia" w:ascii="宋体" w:hAnsi="宋体" w:cs="Arial"/>
          <w:color w:val="auto"/>
          <w:sz w:val="24"/>
          <w:szCs w:val="24"/>
        </w:rPr>
        <w:t>月</w:t>
      </w:r>
      <w:r>
        <w:rPr>
          <w:rFonts w:hint="eastAsia" w:ascii="宋体" w:hAnsi="宋体" w:cs="Arial"/>
          <w:color w:val="auto"/>
          <w:sz w:val="24"/>
          <w:szCs w:val="24"/>
          <w:lang w:val="en-US" w:eastAsia="zh-CN"/>
        </w:rPr>
        <w:t>18</w:t>
      </w:r>
      <w:r>
        <w:rPr>
          <w:rFonts w:hint="eastAsia" w:ascii="宋体" w:hAnsi="宋体" w:cs="Arial"/>
          <w:color w:val="auto"/>
          <w:sz w:val="24"/>
          <w:szCs w:val="24"/>
        </w:rPr>
        <w:t>日9时00整</w:t>
      </w:r>
      <w:r>
        <w:rPr>
          <w:rFonts w:hint="eastAsia" w:ascii="宋体" w:hAnsi="宋体" w:cs="Arial"/>
          <w:color w:val="000000"/>
          <w:sz w:val="24"/>
          <w:szCs w:val="24"/>
        </w:rPr>
        <w:t>在</w:t>
      </w:r>
      <w:r>
        <w:rPr>
          <w:rFonts w:hint="eastAsia" w:ascii="宋体" w:hAnsi="宋体" w:cs="Arial"/>
          <w:color w:val="000000"/>
          <w:sz w:val="24"/>
          <w:szCs w:val="24"/>
          <w:lang w:val="en-US" w:eastAsia="zh-CN"/>
        </w:rPr>
        <w:t>三门县亭旁镇人民政府五</w:t>
      </w:r>
      <w:r>
        <w:rPr>
          <w:rFonts w:hint="eastAsia" w:ascii="宋体" w:hAnsi="宋体" w:cs="Arial"/>
          <w:color w:val="000000"/>
          <w:sz w:val="24"/>
          <w:szCs w:val="24"/>
        </w:rPr>
        <w:t>楼会议室，请在此时间前将响应文件送达开标地点，逾期或不符合规定的响应文件恕不接受。</w:t>
      </w:r>
    </w:p>
    <w:p>
      <w:pPr>
        <w:numPr>
          <w:ilvl w:val="0"/>
          <w:numId w:val="0"/>
        </w:numPr>
        <w:tabs>
          <w:tab w:val="left" w:pos="180"/>
          <w:tab w:val="left" w:pos="360"/>
          <w:tab w:val="left" w:pos="540"/>
          <w:tab w:val="left" w:pos="8820"/>
        </w:tabs>
        <w:autoSpaceDE w:val="0"/>
        <w:autoSpaceDN w:val="0"/>
        <w:adjustRightInd w:val="0"/>
        <w:spacing w:before="100" w:line="440" w:lineRule="exact"/>
        <w:ind w:left="360" w:leftChars="0" w:right="-143" w:rightChars="-68"/>
        <w:jc w:val="left"/>
        <w:rPr>
          <w:rFonts w:hint="eastAsia" w:ascii="宋体" w:hAnsi="宋体"/>
          <w:sz w:val="24"/>
          <w:szCs w:val="24"/>
          <w:lang w:val="en-US" w:eastAsia="zh-CN"/>
        </w:rPr>
      </w:pPr>
      <w:r>
        <w:rPr>
          <w:rFonts w:hint="eastAsia" w:ascii="宋体" w:hAnsi="宋体"/>
          <w:sz w:val="24"/>
          <w:szCs w:val="24"/>
          <w:lang w:val="en-US" w:eastAsia="zh-CN"/>
        </w:rPr>
        <w:t>七、</w:t>
      </w:r>
      <w:r>
        <w:rPr>
          <w:rFonts w:hint="eastAsia" w:ascii="宋体" w:hAnsi="宋体"/>
          <w:sz w:val="24"/>
          <w:szCs w:val="24"/>
        </w:rPr>
        <w:t>磋商保证金：</w:t>
      </w:r>
      <w:r>
        <w:rPr>
          <w:rFonts w:hint="eastAsia" w:ascii="宋体" w:hAnsi="宋体"/>
          <w:sz w:val="24"/>
          <w:szCs w:val="24"/>
          <w:lang w:val="en-US" w:eastAsia="zh-CN"/>
        </w:rPr>
        <w:t>/</w:t>
      </w:r>
    </w:p>
    <w:p>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八、</w:t>
      </w:r>
      <w:r>
        <w:rPr>
          <w:rFonts w:hint="eastAsia" w:ascii="宋体" w:hAnsi="宋体" w:cs="Arial"/>
          <w:b/>
          <w:color w:val="000000"/>
          <w:sz w:val="24"/>
        </w:rPr>
        <w:t>相关注意事项</w:t>
      </w:r>
      <w:r>
        <w:rPr>
          <w:rFonts w:hint="eastAsia" w:ascii="宋体" w:hAnsi="宋体" w:cs="Arial"/>
          <w:color w:val="000000"/>
          <w:sz w:val="24"/>
        </w:rPr>
        <w:t>：</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供应商认为采购文件使自己的权益受到损害的，可以自收到采购文件之日（获取/发售截止日之后收到采购文件的，以获取/发售截止日为准）起至采购响应截止时间之前，以书面形式一次性向采购人和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snapToGrid w:val="0"/>
        <w:spacing w:line="360" w:lineRule="auto"/>
        <w:ind w:firstLine="480" w:firstLineChars="200"/>
        <w:jc w:val="left"/>
        <w:rPr>
          <w:rFonts w:hint="eastAsia"/>
          <w:lang w:val="en-US" w:eastAsia="zh-CN"/>
        </w:rPr>
      </w:pPr>
      <w:r>
        <w:rPr>
          <w:rFonts w:hint="eastAsia" w:ascii="宋体" w:hAnsi="宋体" w:cs="Arial"/>
          <w:color w:val="000000"/>
          <w:sz w:val="24"/>
          <w:lang w:val="en-US" w:eastAsia="zh-CN"/>
        </w:rPr>
        <w:t>2</w:t>
      </w:r>
      <w:r>
        <w:rPr>
          <w:rFonts w:hint="eastAsia" w:ascii="宋体" w:hAnsi="宋体" w:cs="Arial"/>
          <w:color w:val="000000"/>
          <w:sz w:val="24"/>
        </w:rPr>
        <w:t>、本项目所有公告发布网站：</w:t>
      </w:r>
      <w:r>
        <w:rPr>
          <w:rFonts w:hint="eastAsia" w:ascii="宋体" w:hAnsi="宋体" w:cs="Arial"/>
          <w:color w:val="000000"/>
          <w:sz w:val="24"/>
          <w:lang w:eastAsia="zh-CN"/>
        </w:rPr>
        <w:t>三门县公共资源交易中心</w:t>
      </w:r>
      <w:r>
        <w:rPr>
          <w:rFonts w:hint="eastAsia" w:ascii="宋体" w:hAnsi="宋体" w:cs="Arial"/>
          <w:color w:val="000000"/>
          <w:sz w:val="24"/>
        </w:rPr>
        <w:t>官网</w:t>
      </w:r>
      <w:r>
        <w:rPr>
          <w:rFonts w:hint="eastAsia" w:ascii="宋体" w:hAnsi="宋体" w:cs="Arial"/>
          <w:color w:val="000000"/>
          <w:sz w:val="24"/>
          <w:lang w:eastAsia="zh-CN"/>
        </w:rPr>
        <w:t>（</w:t>
      </w:r>
      <w:r>
        <w:rPr>
          <w:rFonts w:hint="eastAsia" w:ascii="宋体" w:hAnsi="宋体" w:cs="Arial"/>
          <w:b w:val="0"/>
          <w:bCs/>
          <w:color w:val="000000"/>
          <w:sz w:val="24"/>
        </w:rPr>
        <w:t>http://www.sanmen.gov.cn/col/col1229610956/index.html</w:t>
      </w:r>
      <w:r>
        <w:rPr>
          <w:rFonts w:hint="eastAsia" w:ascii="宋体" w:hAnsi="宋体" w:cs="Arial"/>
          <w:b w:val="0"/>
          <w:bCs/>
          <w:color w:val="000000"/>
          <w:sz w:val="24"/>
          <w:lang w:eastAsia="zh-CN"/>
        </w:rPr>
        <w:t>）</w:t>
      </w:r>
    </w:p>
    <w:p>
      <w:pPr>
        <w:snapToGrid w:val="0"/>
        <w:spacing w:line="360" w:lineRule="auto"/>
        <w:ind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九</w:t>
      </w:r>
      <w:r>
        <w:rPr>
          <w:rFonts w:hint="eastAsia" w:ascii="宋体" w:hAnsi="宋体" w:cs="Arial"/>
          <w:b/>
          <w:color w:val="000000"/>
          <w:sz w:val="24"/>
        </w:rPr>
        <w:t>、</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因疫情防控需要，各投标人限派 1 名代表参加现场开标活动，进入开标场地的人员必须全程佩戴口罩，自觉接受体温检测、出示“浙江健康码（绿码）、行程码（带*不得入场）以及</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天内核酸检测报告（以出报告时间为准，检测结果未出视为无效）”接受防疫询问并如实报告、登记情况。开标厅人员座位隔空就座，排队等候前后间隔一米五以上，请各投标人提前到达，因预留时间不足、未佩戴口罩或体温异常等导致的后果，由各投标人自行承担。</w:t>
      </w:r>
    </w:p>
    <w:p>
      <w:pPr>
        <w:snapToGrid w:val="0"/>
        <w:spacing w:line="360" w:lineRule="auto"/>
        <w:ind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十</w:t>
      </w:r>
      <w:r>
        <w:rPr>
          <w:rFonts w:hint="eastAsia" w:ascii="宋体" w:hAnsi="宋体" w:cs="Arial"/>
          <w:b/>
          <w:color w:val="000000"/>
          <w:sz w:val="24"/>
        </w:rPr>
        <w:t>、</w:t>
      </w:r>
      <w:r>
        <w:rPr>
          <w:rFonts w:hint="eastAsia" w:ascii="宋体" w:hAnsi="宋体" w:cs="Arial"/>
          <w:b/>
          <w:color w:val="000000"/>
          <w:sz w:val="24"/>
        </w:rPr>
        <w:t>联系方式：</w:t>
      </w:r>
    </w:p>
    <w:p>
      <w:pPr>
        <w:spacing w:line="440" w:lineRule="exact"/>
        <w:rPr>
          <w:rFonts w:hint="eastAsia" w:ascii="宋体" w:hAnsi="宋体"/>
          <w:b/>
          <w:sz w:val="24"/>
          <w:szCs w:val="24"/>
        </w:rPr>
      </w:pPr>
      <w:r>
        <w:rPr>
          <w:rFonts w:hint="eastAsia" w:ascii="宋体" w:hAnsi="宋体"/>
          <w:b/>
          <w:sz w:val="24"/>
          <w:szCs w:val="24"/>
        </w:rPr>
        <w:t>（一）采购代理机构</w:t>
      </w:r>
    </w:p>
    <w:p>
      <w:pPr>
        <w:snapToGrid w:val="0"/>
        <w:spacing w:line="440" w:lineRule="exact"/>
        <w:rPr>
          <w:rFonts w:hint="default" w:ascii="宋体" w:hAnsi="宋体" w:eastAsia="宋体" w:cs="Arial"/>
          <w:sz w:val="24"/>
          <w:szCs w:val="24"/>
          <w:lang w:val="en-US" w:eastAsia="zh-CN"/>
        </w:rPr>
      </w:pPr>
      <w:r>
        <w:rPr>
          <w:rFonts w:hint="eastAsia" w:ascii="宋体" w:hAnsi="宋体" w:cs="Arial"/>
          <w:sz w:val="24"/>
          <w:szCs w:val="24"/>
          <w:lang w:val="en-US" w:eastAsia="zh-CN"/>
        </w:rPr>
        <w:t>招标代理机构：宁波守诚项目管理有限公司</w:t>
      </w:r>
    </w:p>
    <w:p>
      <w:pPr>
        <w:spacing w:line="440" w:lineRule="exact"/>
        <w:rPr>
          <w:rFonts w:hint="default" w:ascii="宋体" w:hAnsi="宋体" w:eastAsia="宋体" w:cs="Arial"/>
          <w:sz w:val="24"/>
          <w:szCs w:val="24"/>
          <w:lang w:val="en-US" w:eastAsia="zh-CN"/>
        </w:rPr>
      </w:pPr>
      <w:r>
        <w:rPr>
          <w:rFonts w:hint="eastAsia" w:ascii="宋体" w:hAnsi="宋体" w:cs="Arial"/>
          <w:sz w:val="24"/>
          <w:szCs w:val="24"/>
        </w:rPr>
        <w:t>地址：</w:t>
      </w:r>
      <w:r>
        <w:rPr>
          <w:rFonts w:hint="eastAsia" w:ascii="宋体" w:hAnsi="宋体" w:cs="Arial"/>
          <w:sz w:val="24"/>
          <w:szCs w:val="24"/>
          <w:lang w:val="en-US" w:eastAsia="zh-CN"/>
        </w:rPr>
        <w:t>三门县海游街道湫水大道36-27号</w:t>
      </w:r>
    </w:p>
    <w:p>
      <w:pPr>
        <w:snapToGrid w:val="0"/>
        <w:spacing w:line="440" w:lineRule="exact"/>
        <w:rPr>
          <w:rFonts w:hint="default" w:ascii="宋体" w:hAnsi="宋体" w:eastAsia="宋体" w:cs="Arial"/>
          <w:sz w:val="24"/>
          <w:szCs w:val="24"/>
          <w:lang w:val="en-US" w:eastAsia="zh-CN"/>
        </w:rPr>
      </w:pPr>
      <w:r>
        <w:rPr>
          <w:rFonts w:hint="eastAsia" w:ascii="宋体" w:hAnsi="宋体" w:cs="Arial"/>
          <w:sz w:val="24"/>
          <w:szCs w:val="24"/>
        </w:rPr>
        <w:t>项目联系人：</w:t>
      </w:r>
      <w:r>
        <w:rPr>
          <w:rFonts w:hint="eastAsia" w:ascii="宋体" w:hAnsi="宋体" w:cs="Arial"/>
          <w:sz w:val="24"/>
          <w:szCs w:val="24"/>
          <w:lang w:val="en-US" w:eastAsia="zh-CN"/>
        </w:rPr>
        <w:t>谢紫凌</w:t>
      </w:r>
      <w:r>
        <w:rPr>
          <w:rFonts w:hint="eastAsia" w:ascii="宋体" w:hAnsi="宋体" w:cs="Arial"/>
          <w:sz w:val="24"/>
          <w:szCs w:val="24"/>
        </w:rPr>
        <w:t xml:space="preserve">         联系电话：</w:t>
      </w:r>
      <w:r>
        <w:rPr>
          <w:rFonts w:hint="eastAsia" w:ascii="宋体" w:hAnsi="宋体" w:cs="Arial"/>
          <w:sz w:val="24"/>
          <w:szCs w:val="24"/>
          <w:lang w:val="en-US" w:eastAsia="zh-CN"/>
        </w:rPr>
        <w:t>15967086022</w:t>
      </w:r>
    </w:p>
    <w:p>
      <w:pPr>
        <w:snapToGrid w:val="0"/>
        <w:spacing w:line="440" w:lineRule="exact"/>
        <w:rPr>
          <w:rFonts w:hint="eastAsia" w:ascii="宋体" w:hAnsi="宋体"/>
          <w:b/>
          <w:sz w:val="24"/>
          <w:szCs w:val="24"/>
        </w:rPr>
      </w:pPr>
      <w:r>
        <w:rPr>
          <w:rFonts w:hint="eastAsia" w:ascii="宋体" w:hAnsi="宋体"/>
          <w:b/>
          <w:sz w:val="24"/>
          <w:szCs w:val="24"/>
        </w:rPr>
        <w:t>（二）采购人</w:t>
      </w:r>
      <w:r>
        <w:rPr>
          <w:rFonts w:hint="eastAsia" w:ascii="宋体" w:hAnsi="宋体" w:cs="Arial"/>
          <w:sz w:val="24"/>
          <w:szCs w:val="24"/>
        </w:rPr>
        <w:t xml:space="preserve">（受理招标文件相关质疑及答复） </w:t>
      </w:r>
      <w:bookmarkStart w:id="4" w:name="_GoBack"/>
      <w:bookmarkEnd w:id="4"/>
    </w:p>
    <w:p>
      <w:pPr>
        <w:snapToGrid w:val="0"/>
        <w:spacing w:line="440" w:lineRule="exact"/>
        <w:rPr>
          <w:rFonts w:hint="default" w:ascii="宋体" w:hAnsi="宋体" w:cs="Arial"/>
          <w:sz w:val="24"/>
          <w:szCs w:val="24"/>
          <w:lang w:val="en-US" w:eastAsia="zh-CN"/>
        </w:rPr>
      </w:pPr>
      <w:r>
        <w:rPr>
          <w:rFonts w:hint="eastAsia" w:ascii="宋体" w:hAnsi="宋体" w:cs="Arial"/>
          <w:sz w:val="24"/>
          <w:szCs w:val="24"/>
        </w:rPr>
        <w:t>采购人名称：</w:t>
      </w:r>
      <w:r>
        <w:rPr>
          <w:rFonts w:hint="eastAsia" w:ascii="宋体" w:hAnsi="宋体" w:cs="Arial"/>
          <w:sz w:val="24"/>
          <w:szCs w:val="24"/>
          <w:lang w:val="en-US" w:eastAsia="zh-CN"/>
        </w:rPr>
        <w:t>三门县亭旁镇芹溪村股份经济合作社</w:t>
      </w:r>
    </w:p>
    <w:p>
      <w:pPr>
        <w:spacing w:line="440" w:lineRule="exact"/>
        <w:rPr>
          <w:rFonts w:hint="eastAsia" w:ascii="宋体" w:hAnsi="宋体" w:cs="Arial"/>
          <w:sz w:val="24"/>
          <w:szCs w:val="24"/>
          <w:lang w:val="en-US" w:eastAsia="zh-CN"/>
        </w:rPr>
      </w:pPr>
      <w:r>
        <w:rPr>
          <w:rFonts w:hint="eastAsia" w:ascii="宋体" w:hAnsi="宋体" w:cs="Arial"/>
          <w:sz w:val="24"/>
          <w:szCs w:val="24"/>
        </w:rPr>
        <w:t>地址：</w:t>
      </w:r>
      <w:r>
        <w:rPr>
          <w:rFonts w:hint="eastAsia" w:ascii="宋体" w:hAnsi="宋体" w:cs="Arial"/>
          <w:sz w:val="24"/>
          <w:szCs w:val="24"/>
          <w:lang w:val="en-US" w:eastAsia="zh-CN"/>
        </w:rPr>
        <w:t>三门县亭旁镇芹溪村</w:t>
      </w:r>
    </w:p>
    <w:p>
      <w:pPr>
        <w:snapToGrid w:val="0"/>
        <w:spacing w:line="440" w:lineRule="exact"/>
        <w:rPr>
          <w:rFonts w:hint="eastAsia" w:ascii="宋体" w:hAnsi="宋体" w:cs="Arial"/>
          <w:sz w:val="24"/>
          <w:szCs w:val="24"/>
          <w:lang w:val="en-US" w:eastAsia="zh-CN"/>
        </w:rPr>
      </w:pPr>
      <w:r>
        <w:rPr>
          <w:rFonts w:hint="eastAsia" w:ascii="宋体" w:hAnsi="宋体" w:cs="Arial"/>
          <w:sz w:val="24"/>
          <w:szCs w:val="24"/>
          <w:lang w:val="en-US" w:eastAsia="zh-CN"/>
        </w:rPr>
        <w:t xml:space="preserve">联系人：卢永军    联系电话：13605747552 </w:t>
      </w:r>
    </w:p>
    <w:p>
      <w:pPr>
        <w:tabs>
          <w:tab w:val="left" w:pos="8820"/>
        </w:tabs>
        <w:spacing w:before="100" w:line="440" w:lineRule="exact"/>
        <w:ind w:left="-283" w:leftChars="-135" w:right="-143" w:rightChars="-68"/>
        <w:jc w:val="right"/>
        <w:rPr>
          <w:rFonts w:hint="eastAsia" w:ascii="宋体"/>
          <w:kern w:val="0"/>
          <w:sz w:val="24"/>
          <w:szCs w:val="24"/>
        </w:rPr>
      </w:pPr>
      <w:r>
        <w:rPr>
          <w:rFonts w:hint="eastAsia" w:ascii="宋体"/>
          <w:kern w:val="0"/>
          <w:sz w:val="24"/>
          <w:szCs w:val="24"/>
          <w:lang w:val="en-US" w:eastAsia="zh-CN"/>
        </w:rPr>
        <w:t>三门县亭旁镇芹溪村股份经济合作社</w:t>
      </w:r>
    </w:p>
    <w:p>
      <w:pPr>
        <w:tabs>
          <w:tab w:val="left" w:pos="8820"/>
        </w:tabs>
        <w:spacing w:before="100" w:line="440" w:lineRule="exact"/>
        <w:ind w:right="-143" w:rightChars="-68"/>
        <w:jc w:val="right"/>
        <w:rPr>
          <w:rFonts w:hint="eastAsia" w:ascii="宋体"/>
          <w:kern w:val="0"/>
          <w:sz w:val="24"/>
          <w:szCs w:val="24"/>
        </w:rPr>
      </w:pPr>
      <w:r>
        <w:rPr>
          <w:rFonts w:hint="eastAsia" w:ascii="宋体"/>
          <w:kern w:val="0"/>
          <w:sz w:val="24"/>
          <w:szCs w:val="24"/>
        </w:rPr>
        <w:t>宁波守诚项目管理有限公司</w:t>
      </w:r>
    </w:p>
    <w:p>
      <w:pPr>
        <w:pStyle w:val="43"/>
        <w:jc w:val="right"/>
        <w:rPr>
          <w:rFonts w:hint="eastAsia" w:ascii="宋体"/>
          <w:kern w:val="0"/>
          <w:sz w:val="24"/>
          <w:szCs w:val="24"/>
          <w:lang w:val="en-US" w:eastAsia="zh-CN"/>
        </w:rPr>
      </w:pPr>
      <w:r>
        <w:rPr>
          <w:rFonts w:hint="eastAsia" w:ascii="宋体"/>
          <w:kern w:val="0"/>
          <w:sz w:val="24"/>
          <w:szCs w:val="24"/>
          <w:lang w:val="en-US" w:eastAsia="zh-CN"/>
        </w:rPr>
        <w:t>三门县亭旁镇公共资源交易中心</w:t>
      </w:r>
    </w:p>
    <w:p>
      <w:pPr>
        <w:pStyle w:val="43"/>
        <w:jc w:val="right"/>
        <w:rPr>
          <w:rFonts w:hint="eastAsia" w:ascii="宋体"/>
          <w:kern w:val="0"/>
          <w:sz w:val="24"/>
          <w:szCs w:val="24"/>
        </w:rPr>
      </w:pPr>
      <w:r>
        <w:rPr>
          <w:rFonts w:hint="eastAsia" w:ascii="宋体"/>
          <w:kern w:val="0"/>
          <w:sz w:val="24"/>
          <w:szCs w:val="24"/>
        </w:rPr>
        <w:t>2022年</w:t>
      </w:r>
      <w:r>
        <w:rPr>
          <w:rFonts w:hint="eastAsia" w:ascii="宋体"/>
          <w:kern w:val="0"/>
          <w:sz w:val="24"/>
          <w:szCs w:val="24"/>
          <w:lang w:val="en-US" w:eastAsia="zh-CN"/>
        </w:rPr>
        <w:t>8</w:t>
      </w:r>
      <w:r>
        <w:rPr>
          <w:rFonts w:hint="eastAsia" w:ascii="宋体"/>
          <w:kern w:val="0"/>
          <w:sz w:val="24"/>
          <w:szCs w:val="24"/>
        </w:rPr>
        <w:t>月</w:t>
      </w:r>
      <w:r>
        <w:rPr>
          <w:rFonts w:hint="eastAsia" w:ascii="宋体"/>
          <w:kern w:val="0"/>
          <w:sz w:val="24"/>
          <w:szCs w:val="24"/>
          <w:lang w:val="en-US" w:eastAsia="zh-CN"/>
        </w:rPr>
        <w:t>4</w:t>
      </w:r>
      <w:r>
        <w:rPr>
          <w:rFonts w:hint="eastAsia" w:ascii="宋体"/>
          <w:kern w:val="0"/>
          <w:sz w:val="24"/>
          <w:szCs w:val="24"/>
        </w:rPr>
        <w:t>日</w:t>
      </w:r>
    </w:p>
    <w:bookmarkEnd w:id="0"/>
    <w:p>
      <w:pPr>
        <w:jc w:val="both"/>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宋体" w:hAnsi="宋体"/>
          <w:b/>
          <w:sz w:val="24"/>
        </w:rPr>
      </w:pPr>
      <w:r>
        <w:rPr>
          <w:rFonts w:hint="eastAsia" w:ascii="宋体" w:hAnsi="宋体"/>
          <w:b/>
          <w:sz w:val="24"/>
        </w:rPr>
        <w:t>前附表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磋商响应文件包装要求</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sz w:val="24"/>
              </w:rPr>
              <w:t>正</w:t>
            </w:r>
            <w:r>
              <w:rPr>
                <w:rFonts w:hint="eastAsia" w:ascii="宋体" w:hAnsi="宋体" w:cs="宋体"/>
                <w:color w:val="000000"/>
                <w:sz w:val="24"/>
              </w:rPr>
              <w:t>本</w:t>
            </w:r>
            <w:r>
              <w:rPr>
                <w:rFonts w:hint="eastAsia" w:ascii="宋体" w:hAnsi="宋体" w:cs="Arial"/>
                <w:color w:val="000000"/>
                <w:sz w:val="24"/>
              </w:rPr>
              <w:t>1</w:t>
            </w:r>
            <w:r>
              <w:rPr>
                <w:rFonts w:hint="eastAsia" w:ascii="宋体" w:hAnsi="宋体" w:cs="宋体"/>
                <w:color w:val="000000"/>
                <w:sz w:val="24"/>
              </w:rPr>
              <w:t>份、副本</w:t>
            </w:r>
            <w:r>
              <w:rPr>
                <w:rFonts w:hint="eastAsia" w:ascii="宋体" w:hAnsi="宋体" w:cs="Arial"/>
                <w:color w:val="000000"/>
                <w:sz w:val="24"/>
                <w:lang w:val="en-US" w:eastAsia="zh-CN"/>
              </w:rPr>
              <w:t>3</w:t>
            </w:r>
            <w:r>
              <w:rPr>
                <w:rFonts w:hint="eastAsia" w:ascii="宋体" w:hAnsi="宋体" w:cs="宋体"/>
                <w:color w:val="000000"/>
                <w:sz w:val="24"/>
              </w:rPr>
              <w:t>份，正</w:t>
            </w:r>
            <w:r>
              <w:rPr>
                <w:rFonts w:hint="eastAsia" w:ascii="宋体" w:hAnsi="宋体" w:cs="宋体"/>
                <w:sz w:val="24"/>
              </w:rPr>
              <w:t>副本分开装订成册，</w:t>
            </w:r>
            <w:r>
              <w:rPr>
                <w:rFonts w:hint="eastAsia" w:ascii="宋体"/>
                <w:bCs/>
                <w:color w:val="000000"/>
                <w:sz w:val="24"/>
                <w:lang w:val="zh-CN"/>
              </w:rPr>
              <w:t>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磋商响应文件有效期</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磋商响应</w:t>
            </w:r>
            <w:r>
              <w:rPr>
                <w:rFonts w:hint="eastAsia" w:ascii="宋体" w:hAnsi="宋体" w:cs="宋体"/>
                <w:sz w:val="24"/>
              </w:rPr>
              <w:t>有效期为磋商后90天，</w:t>
            </w:r>
            <w:r>
              <w:rPr>
                <w:rFonts w:hint="eastAsia" w:ascii="宋体" w:hAnsi="宋体" w:cs="宋体"/>
                <w:color w:val="000000"/>
                <w:sz w:val="24"/>
              </w:rPr>
              <w:t>磋商响应</w:t>
            </w:r>
            <w:r>
              <w:rPr>
                <w:rFonts w:hint="eastAsia" w:ascii="宋体" w:hAnsi="宋体" w:cs="宋体"/>
                <w:kern w:val="0"/>
                <w:sz w:val="24"/>
              </w:rPr>
              <w:t>有效期从提交</w:t>
            </w:r>
            <w:r>
              <w:rPr>
                <w:rFonts w:hint="eastAsia" w:ascii="宋体" w:hAnsi="宋体" w:cs="宋体"/>
                <w:color w:val="000000"/>
                <w:sz w:val="24"/>
              </w:rPr>
              <w:t>磋商响应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磋商响应文件递交</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截止时间：北京时间2022年</w:t>
            </w:r>
            <w:r>
              <w:rPr>
                <w:rFonts w:hint="eastAsia" w:ascii="宋体" w:hAnsi="宋体" w:cs="宋体"/>
                <w:color w:val="000000"/>
                <w:sz w:val="24"/>
                <w:lang w:val="en-US" w:eastAsia="zh-CN"/>
              </w:rPr>
              <w:t>08</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w:t>
            </w:r>
            <w:r>
              <w:rPr>
                <w:rFonts w:hint="eastAsia" w:ascii="宋体" w:hAnsi="宋体" w:cs="宋体"/>
                <w:color w:val="000000"/>
                <w:sz w:val="24"/>
                <w:lang w:val="en-US" w:eastAsia="zh-CN"/>
              </w:rPr>
              <w:t>0</w:t>
            </w:r>
            <w:r>
              <w:rPr>
                <w:rFonts w:hint="eastAsia" w:ascii="宋体" w:hAnsi="宋体" w:cs="宋体"/>
                <w:color w:val="000000"/>
                <w:sz w:val="24"/>
              </w:rPr>
              <w:t>0分</w:t>
            </w:r>
          </w:p>
          <w:p>
            <w:pPr>
              <w:spacing w:line="360" w:lineRule="auto"/>
              <w:rPr>
                <w:rFonts w:hint="default" w:ascii="宋体" w:hAnsi="宋体" w:cs="宋体"/>
                <w:color w:val="000000"/>
                <w:sz w:val="24"/>
                <w:lang w:val="en-US"/>
              </w:rPr>
            </w:pPr>
            <w:r>
              <w:rPr>
                <w:rFonts w:hint="eastAsia" w:ascii="宋体" w:hAnsi="宋体" w:cs="宋体"/>
                <w:color w:val="000000"/>
                <w:sz w:val="24"/>
              </w:rPr>
              <w:t>递交地点：</w:t>
            </w:r>
            <w:r>
              <w:rPr>
                <w:rFonts w:hint="eastAsia" w:ascii="宋体" w:hAnsi="宋体" w:cs="宋体"/>
                <w:color w:val="000000"/>
                <w:sz w:val="24"/>
                <w:lang w:val="en-US" w:eastAsia="zh-CN"/>
              </w:rPr>
              <w:t>三门县亭旁镇人民政府五楼会议室</w:t>
            </w:r>
          </w:p>
          <w:p>
            <w:pPr>
              <w:spacing w:line="360" w:lineRule="auto"/>
              <w:rPr>
                <w:rFonts w:ascii="宋体" w:hAnsi="宋体" w:cs="宋体"/>
                <w:color w:val="000000"/>
                <w:sz w:val="24"/>
              </w:rPr>
            </w:pPr>
            <w:r>
              <w:rPr>
                <w:rFonts w:hint="eastAsia" w:ascii="宋体" w:hAnsi="宋体" w:cs="宋体"/>
                <w:color w:val="000000"/>
                <w:sz w:val="24"/>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磋商时间及地点</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r>
              <w:rPr>
                <w:rFonts w:hint="eastAsia" w:ascii="宋体" w:hAnsi="宋体" w:cs="宋体"/>
                <w:color w:val="000000"/>
                <w:sz w:val="24"/>
              </w:rPr>
              <w:t>时间：北京时间2022年</w:t>
            </w:r>
            <w:r>
              <w:rPr>
                <w:rFonts w:hint="eastAsia" w:ascii="宋体" w:hAnsi="宋体" w:cs="宋体"/>
                <w:color w:val="000000"/>
                <w:sz w:val="24"/>
                <w:lang w:val="en-US" w:eastAsia="zh-CN"/>
              </w:rPr>
              <w:t>08</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w:t>
            </w:r>
            <w:r>
              <w:rPr>
                <w:rFonts w:hint="eastAsia" w:ascii="宋体" w:hAnsi="宋体" w:cs="宋体"/>
                <w:color w:val="000000"/>
                <w:sz w:val="24"/>
                <w:lang w:val="en-US" w:eastAsia="zh-CN"/>
              </w:rPr>
              <w:t>9</w:t>
            </w:r>
            <w:r>
              <w:rPr>
                <w:rFonts w:hint="eastAsia" w:ascii="宋体" w:hAnsi="宋体" w:cs="宋体"/>
                <w:color w:val="000000"/>
                <w:sz w:val="24"/>
              </w:rPr>
              <w:t>时</w:t>
            </w:r>
            <w:r>
              <w:rPr>
                <w:rFonts w:hint="eastAsia" w:ascii="宋体" w:hAnsi="宋体" w:cs="宋体"/>
                <w:color w:val="000000"/>
                <w:sz w:val="24"/>
                <w:lang w:val="en-US" w:eastAsia="zh-CN"/>
              </w:rPr>
              <w:t>00</w:t>
            </w:r>
            <w:r>
              <w:rPr>
                <w:rFonts w:hint="eastAsia" w:ascii="宋体" w:hAnsi="宋体" w:cs="宋体"/>
                <w:color w:val="000000"/>
                <w:sz w:val="24"/>
              </w:rPr>
              <w:t>分</w:t>
            </w:r>
          </w:p>
          <w:p>
            <w:pPr>
              <w:spacing w:line="360" w:lineRule="auto"/>
              <w:rPr>
                <w:rFonts w:ascii="宋体" w:hAnsi="宋体" w:cs="宋体"/>
                <w:color w:val="000000"/>
                <w:sz w:val="24"/>
              </w:rPr>
            </w:pPr>
            <w:r>
              <w:rPr>
                <w:rFonts w:hint="eastAsia" w:ascii="宋体" w:hAnsi="宋体" w:cs="宋体"/>
                <w:color w:val="000000"/>
                <w:sz w:val="24"/>
              </w:rPr>
              <w:t>地点：</w:t>
            </w:r>
            <w:r>
              <w:rPr>
                <w:rFonts w:hint="eastAsia" w:ascii="宋体" w:hAnsi="宋体" w:cs="宋体"/>
                <w:color w:val="000000"/>
                <w:sz w:val="24"/>
                <w:lang w:eastAsia="zh-CN"/>
              </w:rPr>
              <w:t>三门县亭旁镇人民政府</w:t>
            </w:r>
            <w:r>
              <w:rPr>
                <w:rFonts w:hint="eastAsia" w:ascii="宋体" w:hAnsi="宋体" w:cs="宋体"/>
                <w:color w:val="000000"/>
                <w:sz w:val="24"/>
                <w:lang w:val="en-US" w:eastAsia="zh-CN"/>
              </w:rPr>
              <w:t>五</w:t>
            </w:r>
            <w:r>
              <w:rPr>
                <w:rFonts w:hint="eastAsia" w:ascii="宋体" w:hAnsi="宋体" w:cs="宋体"/>
                <w:color w:val="000000"/>
                <w:sz w:val="24"/>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履约保证金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ind w:left="0" w:left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1050" w:hanging="1050"/>
              <w:jc w:val="left"/>
              <w:rPr>
                <w:rFonts w:ascii="宋体" w:hAnsi="宋体" w:cs="宋体"/>
                <w:color w:val="000000"/>
                <w:kern w:val="0"/>
                <w:sz w:val="24"/>
                <w:lang w:val="zh-CN"/>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▲”的条款是实质性条款，磋商</w:t>
            </w:r>
            <w:r>
              <w:rPr>
                <w:rFonts w:hint="eastAsia" w:ascii="宋体" w:hAnsi="宋体" w:cs="宋体"/>
                <w:color w:val="000000"/>
                <w:sz w:val="24"/>
              </w:rPr>
              <w:t>响应</w:t>
            </w:r>
            <w:r>
              <w:rPr>
                <w:rFonts w:hint="eastAsia" w:ascii="宋体" w:hAnsi="宋体" w:cs="宋体"/>
                <w:bCs/>
                <w:color w:val="000000"/>
                <w:sz w:val="24"/>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本磋商文件解释权属于采购人和</w:t>
            </w:r>
            <w:r>
              <w:rPr>
                <w:rFonts w:hint="eastAsia" w:ascii="宋体" w:hAnsi="宋体" w:cs="Arial"/>
                <w:color w:val="000000"/>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投标保证金</w:t>
            </w:r>
          </w:p>
        </w:tc>
        <w:tc>
          <w:tcPr>
            <w:tcW w:w="62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00000"/>
                <w:kern w:val="0"/>
                <w:sz w:val="24"/>
                <w:lang w:eastAsia="zh-CN"/>
              </w:rPr>
            </w:pPr>
            <w:r>
              <w:rPr>
                <w:rFonts w:hint="eastAsia" w:ascii="宋体" w:hAnsi="宋体" w:cs="Arial"/>
                <w:sz w:val="24"/>
                <w:lang w:val="en-US" w:eastAsia="zh-CN"/>
              </w:rPr>
              <w:t>/</w:t>
            </w:r>
          </w:p>
        </w:tc>
      </w:tr>
    </w:tbl>
    <w:p>
      <w:pPr>
        <w:pStyle w:val="24"/>
        <w:snapToGrid w:val="0"/>
        <w:spacing w:before="120" w:after="120" w:line="360" w:lineRule="auto"/>
        <w:jc w:val="left"/>
        <w:rPr>
          <w:rFonts w:hint="eastAsia" w:hAnsi="宋体"/>
          <w:b/>
          <w:sz w:val="24"/>
        </w:rPr>
      </w:pPr>
    </w:p>
    <w:p>
      <w:pPr>
        <w:pStyle w:val="25"/>
        <w:rPr>
          <w:rFonts w:hint="eastAsia"/>
        </w:rPr>
      </w:pPr>
    </w:p>
    <w:p>
      <w:pPr>
        <w:pStyle w:val="24"/>
        <w:snapToGrid w:val="0"/>
        <w:spacing w:before="120" w:after="120" w:line="360" w:lineRule="auto"/>
        <w:jc w:val="left"/>
        <w:rPr>
          <w:rFonts w:hAnsi="宋体"/>
          <w:b/>
          <w:sz w:val="24"/>
        </w:rPr>
      </w:pPr>
      <w:r>
        <w:rPr>
          <w:rFonts w:hint="eastAsia" w:hAnsi="宋体"/>
          <w:b/>
          <w:sz w:val="24"/>
        </w:rPr>
        <w:t>一 、总  则</w:t>
      </w:r>
    </w:p>
    <w:p>
      <w:pPr>
        <w:pStyle w:val="24"/>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磋商文件</w:t>
      </w:r>
      <w:r>
        <w:rPr>
          <w:rFonts w:hint="eastAsia" w:ascii="宋体" w:hAnsi="宋体"/>
          <w:sz w:val="24"/>
        </w:rPr>
        <w:t>适用于</w:t>
      </w:r>
      <w:r>
        <w:rPr>
          <w:rFonts w:hint="eastAsia" w:ascii="宋体" w:hAnsi="宋体"/>
          <w:bCs/>
          <w:sz w:val="24"/>
        </w:rPr>
        <w:t>本次</w:t>
      </w:r>
      <w:r>
        <w:rPr>
          <w:rFonts w:hint="eastAsia" w:ascii="宋体" w:hAnsi="宋体"/>
          <w:sz w:val="24"/>
        </w:rPr>
        <w:t>项目的磋商、</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sz w:val="24"/>
          <w:szCs w:val="24"/>
        </w:rPr>
      </w:pPr>
      <w:r>
        <w:rPr>
          <w:rFonts w:hint="eastAsia" w:ascii="宋体" w:hAnsi="宋体" w:eastAsia="宋体"/>
          <w:b w:val="0"/>
          <w:bCs w:val="0"/>
          <w:sz w:val="24"/>
          <w:szCs w:val="24"/>
        </w:rPr>
        <w:t>1、</w:t>
      </w:r>
      <w:r>
        <w:rPr>
          <w:rFonts w:hint="eastAsia" w:ascii="宋体" w:hAnsi="宋体" w:eastAsia="宋体"/>
          <w:b w:val="0"/>
          <w:bCs w:val="0"/>
          <w:sz w:val="24"/>
          <w:szCs w:val="24"/>
          <w:lang w:val="zh-CN"/>
        </w:rPr>
        <w:t>“采购组织机构”指采购人委托组织磋商的集中采购机构或采购代理机构。</w:t>
      </w:r>
    </w:p>
    <w:p>
      <w:pPr>
        <w:snapToGrid w:val="0"/>
        <w:spacing w:line="360" w:lineRule="auto"/>
        <w:ind w:firstLine="566" w:firstLineChars="236"/>
        <w:rPr>
          <w:rFonts w:ascii="宋体" w:hAnsi="宋体"/>
          <w:color w:val="000000"/>
          <w:sz w:val="24"/>
        </w:rPr>
      </w:pPr>
      <w:r>
        <w:rPr>
          <w:rFonts w:hint="eastAsia" w:ascii="宋体" w:hAnsi="宋体"/>
          <w:sz w:val="24"/>
        </w:rPr>
        <w:t>2、采购人：</w:t>
      </w:r>
      <w:r>
        <w:rPr>
          <w:rFonts w:hint="eastAsia" w:ascii="宋体" w:hAnsi="宋体"/>
          <w:color w:val="000000"/>
          <w:sz w:val="24"/>
        </w:rPr>
        <w:t>是指委托</w:t>
      </w:r>
      <w:r>
        <w:rPr>
          <w:rFonts w:hint="eastAsia" w:ascii="宋体" w:hAnsi="宋体"/>
          <w:color w:val="000000"/>
          <w:sz w:val="24"/>
          <w:lang w:val="zh-CN"/>
        </w:rPr>
        <w:t>集中采购机构或</w:t>
      </w:r>
      <w:r>
        <w:rPr>
          <w:rFonts w:hint="eastAsia" w:ascii="宋体" w:hAnsi="宋体"/>
          <w:color w:val="000000"/>
          <w:sz w:val="24"/>
        </w:rPr>
        <w:t>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3、磋商供应商：是指向</w:t>
      </w:r>
      <w:r>
        <w:rPr>
          <w:rFonts w:hint="eastAsia" w:ascii="宋体" w:hAnsi="宋体"/>
          <w:sz w:val="24"/>
          <w:lang w:val="zh-CN"/>
        </w:rPr>
        <w:t>采购组织机构</w:t>
      </w:r>
      <w:r>
        <w:rPr>
          <w:rFonts w:hint="eastAsia" w:ascii="宋体" w:hAnsi="宋体"/>
          <w:sz w:val="24"/>
        </w:rPr>
        <w:t>提交磋商响应文件的单位或个人。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w:t>
      </w:r>
      <w:r>
        <w:rPr>
          <w:rFonts w:hint="eastAsia" w:ascii="宋体" w:hAnsi="宋体"/>
          <w:sz w:val="24"/>
          <w:lang w:eastAsia="zh-CN"/>
        </w:rPr>
        <w:t>项目</w:t>
      </w:r>
      <w:r>
        <w:rPr>
          <w:rFonts w:hint="eastAsia" w:ascii="宋体" w:hAnsi="宋体"/>
          <w:sz w:val="24"/>
        </w:rPr>
        <w:t>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before="156" w:beforeLines="50" w:line="360" w:lineRule="auto"/>
        <w:ind w:firstLine="472" w:firstLineChars="196"/>
        <w:jc w:val="left"/>
        <w:outlineLvl w:val="1"/>
        <w:rPr>
          <w:rFonts w:ascii="宋体" w:hAnsi="宋体"/>
          <w:b/>
          <w:color w:val="000000"/>
          <w:sz w:val="24"/>
        </w:rPr>
      </w:pPr>
      <w:r>
        <w:rPr>
          <w:rFonts w:hint="eastAsia" w:ascii="宋体" w:hAnsi="宋体"/>
          <w:b/>
          <w:color w:val="000000"/>
          <w:sz w:val="24"/>
        </w:rPr>
        <w:t>（三）磋商费用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1、不论磋商结果如何，供应商均应自行承担所有与磋商有关的全部费用（</w:t>
      </w:r>
      <w:r>
        <w:rPr>
          <w:rFonts w:hint="eastAsia" w:ascii="宋体" w:hAnsi="宋体"/>
          <w:bCs/>
          <w:color w:val="000000"/>
          <w:sz w:val="24"/>
        </w:rPr>
        <w:t>磋商文件</w:t>
      </w:r>
      <w:r>
        <w:rPr>
          <w:rFonts w:hint="eastAsia" w:ascii="宋体" w:hAnsi="宋体"/>
          <w:color w:val="000000"/>
          <w:sz w:val="24"/>
        </w:rPr>
        <w:t>有相关规定除外）。</w:t>
      </w:r>
    </w:p>
    <w:p>
      <w:pPr>
        <w:snapToGrid w:val="0"/>
        <w:spacing w:line="360" w:lineRule="auto"/>
        <w:ind w:firstLine="482" w:firstLineChars="200"/>
        <w:jc w:val="left"/>
        <w:rPr>
          <w:rFonts w:ascii="宋体" w:hAnsi="宋体"/>
          <w:b/>
          <w:bCs/>
          <w:color w:val="000000"/>
          <w:sz w:val="24"/>
        </w:rPr>
      </w:pPr>
      <w:r>
        <w:rPr>
          <w:rFonts w:hint="eastAsia" w:ascii="宋体" w:hAnsi="宋体"/>
          <w:b/>
          <w:bCs/>
          <w:color w:val="000000"/>
          <w:sz w:val="24"/>
        </w:rPr>
        <w:t xml:space="preserve">2、 </w:t>
      </w:r>
      <w:r>
        <w:rPr>
          <w:rFonts w:hint="eastAsia" w:ascii="宋体" w:hAnsi="宋体"/>
          <w:b/>
          <w:bCs/>
          <w:sz w:val="24"/>
        </w:rPr>
        <w:t>本项目代理费由中标单位支付，收费金额为</w:t>
      </w:r>
      <w:r>
        <w:rPr>
          <w:rFonts w:hint="eastAsia" w:ascii="宋体" w:hAnsi="宋体"/>
          <w:b/>
          <w:bCs/>
          <w:sz w:val="24"/>
          <w:lang w:val="en-US" w:eastAsia="zh-CN"/>
        </w:rPr>
        <w:t>10000</w:t>
      </w:r>
      <w:r>
        <w:rPr>
          <w:rFonts w:hint="eastAsia" w:ascii="宋体" w:hAnsi="宋体"/>
          <w:b/>
          <w:bCs/>
          <w:sz w:val="24"/>
        </w:rPr>
        <w:t>元，供应商报价时自行考虑，代理费在领取中标通知书前付清。</w:t>
      </w:r>
    </w:p>
    <w:p>
      <w:pPr>
        <w:pStyle w:val="24"/>
        <w:snapToGrid w:val="0"/>
        <w:spacing w:line="360" w:lineRule="auto"/>
        <w:ind w:left="2" w:leftChars="1" w:firstLine="482" w:firstLineChars="200"/>
        <w:rPr>
          <w:rFonts w:hAnsi="宋体"/>
          <w:b/>
          <w:color w:val="000000"/>
          <w:sz w:val="24"/>
        </w:rPr>
      </w:pPr>
      <w:r>
        <w:rPr>
          <w:rFonts w:hint="eastAsia" w:hAnsi="宋体"/>
          <w:b/>
          <w:color w:val="000000"/>
          <w:sz w:val="24"/>
        </w:rPr>
        <w:t>（四）特别说明</w:t>
      </w:r>
    </w:p>
    <w:p>
      <w:pPr>
        <w:pStyle w:val="24"/>
        <w:snapToGrid w:val="0"/>
        <w:spacing w:line="360" w:lineRule="auto"/>
        <w:ind w:left="2" w:leftChars="1" w:firstLine="480" w:firstLineChars="200"/>
        <w:rPr>
          <w:rFonts w:hAnsi="宋体"/>
          <w:color w:val="000000"/>
          <w:sz w:val="24"/>
        </w:rPr>
      </w:pPr>
      <w:r>
        <w:rPr>
          <w:rFonts w:hint="eastAsia" w:hAnsi="宋体"/>
          <w:color w:val="000000"/>
          <w:sz w:val="24"/>
        </w:rPr>
        <w:t>1、供应商</w:t>
      </w:r>
      <w:r>
        <w:rPr>
          <w:rFonts w:hAnsi="宋体"/>
          <w:color w:val="000000"/>
          <w:sz w:val="24"/>
        </w:rPr>
        <w:t>磋商所使用的资格、信誉、荣誉、业绩与企业认证必须为本法人所拥有。</w:t>
      </w:r>
      <w:r>
        <w:rPr>
          <w:rFonts w:hint="eastAsia" w:hAnsi="宋体"/>
          <w:color w:val="000000"/>
          <w:sz w:val="24"/>
        </w:rPr>
        <w:t>供应商</w:t>
      </w:r>
      <w:r>
        <w:rPr>
          <w:rFonts w:hAnsi="宋体"/>
          <w:color w:val="000000"/>
          <w:sz w:val="24"/>
        </w:rPr>
        <w:t>磋商所使用的采购项目实施人员必须为本法人员工（</w:t>
      </w:r>
      <w:r>
        <w:rPr>
          <w:rFonts w:hint="eastAsia" w:hAnsi="宋体"/>
          <w:color w:val="000000"/>
          <w:sz w:val="24"/>
        </w:rPr>
        <w:t>指</w:t>
      </w:r>
      <w:r>
        <w:rPr>
          <w:rFonts w:hAnsi="宋体"/>
          <w:color w:val="000000"/>
          <w:sz w:val="24"/>
        </w:rPr>
        <w:t>必须为本法人或控股公司正式员工）。</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hAnsi="宋体"/>
          <w:color w:val="000000"/>
          <w:sz w:val="24"/>
        </w:rPr>
        <w:t>、供应商所标产品除</w:t>
      </w:r>
      <w:r>
        <w:rPr>
          <w:rFonts w:hint="eastAsia" w:ascii="宋体" w:hAnsi="宋体"/>
          <w:bCs/>
          <w:color w:val="000000"/>
          <w:sz w:val="24"/>
        </w:rPr>
        <w:t>磋商文件</w:t>
      </w:r>
      <w:r>
        <w:rPr>
          <w:rFonts w:hint="eastAsia" w:hAnsi="宋体"/>
          <w:color w:val="000000"/>
          <w:sz w:val="24"/>
        </w:rPr>
        <w:t>中明确规定要求“提供官网截图或相应检测报告的证明材料”以外，所有技术参数描述均以</w:t>
      </w:r>
      <w:r>
        <w:rPr>
          <w:rFonts w:hint="eastAsia" w:ascii="宋体" w:hAnsi="宋体"/>
          <w:color w:val="000000"/>
          <w:sz w:val="24"/>
        </w:rPr>
        <w:t>磋商响应文件</w:t>
      </w:r>
      <w:r>
        <w:rPr>
          <w:rFonts w:hint="eastAsia" w:hAnsi="宋体"/>
          <w:color w:val="000000"/>
          <w:sz w:val="24"/>
        </w:rPr>
        <w:t>为准。</w:t>
      </w:r>
      <w:r>
        <w:rPr>
          <w:rFonts w:hint="eastAsia" w:hAnsi="宋体"/>
          <w:b/>
          <w:color w:val="000000"/>
          <w:sz w:val="24"/>
        </w:rPr>
        <w:t>磋商供应商对所标产品技术参数的真实性承担法律责任。</w:t>
      </w:r>
      <w:r>
        <w:rPr>
          <w:rFonts w:hint="eastAsia" w:hAnsi="宋体"/>
          <w:color w:val="000000"/>
          <w:sz w:val="24"/>
        </w:rPr>
        <w:t>项目</w:t>
      </w:r>
      <w:r>
        <w:rPr>
          <w:rFonts w:hint="eastAsia" w:ascii="宋体" w:hAnsi="宋体"/>
          <w:bCs/>
          <w:color w:val="000000"/>
          <w:sz w:val="24"/>
        </w:rPr>
        <w:t>磋商</w:t>
      </w:r>
      <w:r>
        <w:rPr>
          <w:rFonts w:hint="eastAsia" w:hAnsi="宋体"/>
          <w:color w:val="000000"/>
          <w:sz w:val="24"/>
        </w:rPr>
        <w:t>结束后、质疑期限内，如有质疑供应商认为成交供应商所标产品、</w:t>
      </w:r>
      <w:r>
        <w:rPr>
          <w:rFonts w:hint="eastAsia" w:ascii="宋体" w:hAnsi="宋体"/>
          <w:color w:val="000000"/>
          <w:sz w:val="24"/>
        </w:rPr>
        <w:t>磋商响应文件</w:t>
      </w:r>
      <w:r>
        <w:rPr>
          <w:rFonts w:hint="eastAsia" w:hAnsi="宋体"/>
          <w:color w:val="000000"/>
          <w:sz w:val="24"/>
        </w:rPr>
        <w:t>技术参数与采购需求存在重大偏离、错误、甚至造假的情况，应提供具体有效的证明材料。</w:t>
      </w:r>
      <w:r>
        <w:rPr>
          <w:rFonts w:hint="eastAsia"/>
          <w:color w:val="000000"/>
          <w:sz w:val="24"/>
        </w:rPr>
        <w:tab/>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3、供应商</w:t>
      </w:r>
      <w:r>
        <w:rPr>
          <w:rFonts w:ascii="宋体" w:hAnsi="宋体"/>
          <w:color w:val="000000"/>
          <w:sz w:val="24"/>
          <w:szCs w:val="24"/>
        </w:rPr>
        <w:t>在</w:t>
      </w:r>
      <w:r>
        <w:rPr>
          <w:rFonts w:hint="eastAsia" w:ascii="宋体" w:hAnsi="宋体"/>
          <w:bCs/>
          <w:color w:val="000000"/>
          <w:sz w:val="24"/>
          <w:szCs w:val="24"/>
        </w:rPr>
        <w:t>磋商</w:t>
      </w:r>
      <w:r>
        <w:rPr>
          <w:rFonts w:ascii="宋体" w:hAnsi="宋体"/>
          <w:color w:val="000000"/>
          <w:sz w:val="24"/>
          <w:szCs w:val="24"/>
        </w:rPr>
        <w:t>活动中提供任何虚假材料</w:t>
      </w:r>
      <w:r>
        <w:rPr>
          <w:rFonts w:hint="eastAsia" w:ascii="宋体" w:hAnsi="宋体"/>
          <w:color w:val="000000"/>
          <w:sz w:val="24"/>
          <w:szCs w:val="24"/>
        </w:rPr>
        <w:t>,</w:t>
      </w:r>
      <w:r>
        <w:rPr>
          <w:rFonts w:ascii="宋体" w:hAnsi="宋体"/>
          <w:color w:val="000000"/>
          <w:sz w:val="24"/>
          <w:szCs w:val="24"/>
        </w:rPr>
        <w:t>其</w:t>
      </w:r>
      <w:r>
        <w:rPr>
          <w:rFonts w:hint="eastAsia" w:ascii="宋体" w:hAnsi="宋体"/>
          <w:color w:val="000000"/>
          <w:sz w:val="24"/>
          <w:szCs w:val="24"/>
        </w:rPr>
        <w:t>响应</w:t>
      </w:r>
      <w:r>
        <w:rPr>
          <w:rFonts w:ascii="宋体" w:hAnsi="宋体"/>
          <w:color w:val="000000"/>
          <w:sz w:val="24"/>
          <w:szCs w:val="24"/>
        </w:rPr>
        <w:t>无效，并报监管部门查处；</w:t>
      </w:r>
      <w:r>
        <w:rPr>
          <w:rFonts w:hint="eastAsia" w:ascii="宋体" w:hAnsi="宋体"/>
          <w:color w:val="000000"/>
          <w:sz w:val="24"/>
          <w:szCs w:val="24"/>
        </w:rPr>
        <w:t>成交</w:t>
      </w:r>
      <w:r>
        <w:rPr>
          <w:rFonts w:ascii="宋体" w:hAnsi="宋体"/>
          <w:color w:val="000000"/>
          <w:sz w:val="24"/>
          <w:szCs w:val="24"/>
        </w:rPr>
        <w:t>后发现的,成交人须依照根据《中华人民共和国政府采购法》第七十七条第一款第一项之规定</w:t>
      </w:r>
      <w:r>
        <w:rPr>
          <w:rFonts w:hint="eastAsia" w:ascii="宋体" w:hAnsi="宋体"/>
          <w:color w:val="000000"/>
          <w:sz w:val="24"/>
          <w:szCs w:val="24"/>
        </w:rPr>
        <w:t>，</w:t>
      </w:r>
      <w:r>
        <w:rPr>
          <w:rFonts w:ascii="宋体" w:hAnsi="宋体"/>
          <w:color w:val="000000"/>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sz w:val="24"/>
          <w:szCs w:val="24"/>
        </w:rPr>
        <w:t>。</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5、为采购项目提供整体设计、规范编制或者项目管理、监理、</w:t>
      </w:r>
      <w:r>
        <w:rPr>
          <w:rFonts w:hint="eastAsia" w:ascii="宋体" w:hAnsi="宋体" w:eastAsia="宋体" w:cs="Times New Roman"/>
          <w:color w:val="000000"/>
          <w:sz w:val="24"/>
          <w:szCs w:val="24"/>
          <w:lang w:val="en-US" w:eastAsia="zh-CN"/>
        </w:rPr>
        <w:t>监测</w:t>
      </w:r>
      <w:r>
        <w:rPr>
          <w:rFonts w:hint="eastAsia" w:ascii="宋体" w:hAnsi="宋体"/>
          <w:color w:val="000000"/>
          <w:sz w:val="24"/>
          <w:szCs w:val="24"/>
        </w:rPr>
        <w:t>等服务的供应商，不得再参加该采购项目的其他采购活动。</w:t>
      </w:r>
    </w:p>
    <w:p>
      <w:pPr>
        <w:pStyle w:val="56"/>
        <w:snapToGrid w:val="0"/>
        <w:spacing w:line="360" w:lineRule="auto"/>
        <w:ind w:firstLineChars="0"/>
        <w:rPr>
          <w:rFonts w:ascii="宋体" w:hAnsi="宋体"/>
          <w:color w:val="000000"/>
          <w:sz w:val="24"/>
          <w:szCs w:val="24"/>
        </w:rPr>
      </w:pPr>
      <w:r>
        <w:rPr>
          <w:rFonts w:hint="eastAsia" w:ascii="宋体" w:hAnsi="宋体"/>
          <w:color w:val="000000"/>
          <w:sz w:val="24"/>
          <w:szCs w:val="24"/>
        </w:rPr>
        <w:t>6、磋商响应文件格式中的表格式样可以根据项目差别做适当调整,但应当保持表格样式基本形态不变。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sz w:val="24"/>
          <w:szCs w:val="24"/>
        </w:rPr>
      </w:pPr>
      <w:r>
        <w:rPr>
          <w:rFonts w:hint="eastAsia" w:ascii="宋体" w:hAnsi="宋体" w:eastAsia="宋体"/>
          <w:b w:val="0"/>
          <w:bCs w:val="0"/>
          <w:color w:val="000000"/>
          <w:sz w:val="24"/>
          <w:szCs w:val="24"/>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ind w:firstLine="480"/>
        <w:rPr>
          <w:rFonts w:hAnsi="仿宋_GB2312" w:cs="仿宋_GB2312"/>
          <w:color w:val="000000"/>
          <w:sz w:val="24"/>
          <w:szCs w:val="24"/>
          <w:shd w:val="clear" w:color="FFFFFF" w:fill="D9D9D9"/>
        </w:rPr>
      </w:pPr>
      <w:r>
        <w:rPr>
          <w:rFonts w:hint="eastAsia" w:ascii="宋体" w:hAnsi="宋体" w:eastAsia="宋体"/>
          <w:b w:val="0"/>
          <w:bCs w:val="0"/>
          <w:color w:val="000000"/>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二、磋商</w:t>
      </w:r>
      <w:r>
        <w:rPr>
          <w:rFonts w:ascii="宋体" w:hAnsi="宋体"/>
          <w:b/>
          <w:color w:val="000000"/>
          <w:kern w:val="0"/>
          <w:sz w:val="24"/>
        </w:rPr>
        <w:t>响应</w:t>
      </w:r>
      <w:r>
        <w:rPr>
          <w:rFonts w:hint="eastAsia" w:ascii="宋体" w:hAnsi="宋体"/>
          <w:b/>
          <w:color w:val="000000"/>
          <w:kern w:val="0"/>
          <w:sz w:val="24"/>
        </w:rPr>
        <w:t>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（一）磋商</w:t>
      </w:r>
      <w:r>
        <w:rPr>
          <w:rFonts w:ascii="宋体" w:hAnsi="宋体"/>
          <w:b/>
          <w:color w:val="000000"/>
          <w:kern w:val="0"/>
          <w:sz w:val="24"/>
        </w:rPr>
        <w:t>响应文件的</w:t>
      </w:r>
      <w:r>
        <w:rPr>
          <w:rFonts w:hint="eastAsia" w:ascii="宋体" w:hAnsi="宋体"/>
          <w:b/>
          <w:color w:val="000000"/>
          <w:kern w:val="0"/>
          <w:sz w:val="24"/>
        </w:rPr>
        <w:t>组成</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宋体"/>
          <w:color w:val="000000"/>
          <w:kern w:val="0"/>
          <w:sz w:val="24"/>
        </w:rPr>
        <w:t>供应商应仔细阅读磋商采购文件的所有内容，按磋商采购文件的要求，详细编制磋商响应文件</w:t>
      </w:r>
      <w:r>
        <w:rPr>
          <w:rFonts w:hAnsi="宋体"/>
          <w:color w:val="000000"/>
          <w:sz w:val="24"/>
        </w:rPr>
        <w:t>。</w:t>
      </w:r>
      <w:r>
        <w:rPr>
          <w:rFonts w:hint="eastAsia" w:ascii="宋体" w:hAnsi="宋体"/>
          <w:color w:val="000000"/>
          <w:kern w:val="0"/>
          <w:sz w:val="24"/>
          <w:lang w:val="zh-CN"/>
        </w:rPr>
        <w:t>【特别提示：如有要求提供资料原件的，原件另行包装，并与磋商响应文件一起提交，磋商响应截止时间后所有原件不予接收。资料原件也可以用与原件相符的公证原件替代】</w:t>
      </w:r>
    </w:p>
    <w:p>
      <w:pPr>
        <w:snapToGrid w:val="0"/>
        <w:spacing w:line="360" w:lineRule="auto"/>
        <w:ind w:firstLine="482" w:firstLineChars="200"/>
        <w:rPr>
          <w:rFonts w:ascii="宋体" w:hAnsi="宋体"/>
          <w:color w:val="auto"/>
          <w:kern w:val="0"/>
          <w:sz w:val="24"/>
        </w:rPr>
      </w:pPr>
      <w:r>
        <w:rPr>
          <w:rFonts w:hint="eastAsia" w:ascii="宋体" w:hAnsi="宋体"/>
          <w:b/>
          <w:color w:val="auto"/>
          <w:sz w:val="24"/>
        </w:rPr>
        <w:t>1、资格证明内容的组成：</w:t>
      </w:r>
    </w:p>
    <w:p>
      <w:pPr>
        <w:pStyle w:val="36"/>
        <w:ind w:left="0" w:leftChars="0" w:firstLine="470"/>
        <w:rPr>
          <w:rFonts w:hint="eastAsia" w:ascii="宋体" w:hAnsi="宋体" w:eastAsia="宋体" w:cs="宋体"/>
          <w:b w:val="0"/>
          <w:bCs w:val="0"/>
          <w:smallCaps w:val="0"/>
          <w:color w:val="auto"/>
          <w:kern w:val="2"/>
          <w:sz w:val="24"/>
          <w:szCs w:val="24"/>
          <w:lang w:val="en-US" w:eastAsia="zh-CN" w:bidi="ar-SA"/>
        </w:rPr>
      </w:pPr>
      <w:r>
        <w:rPr>
          <w:rFonts w:hint="eastAsia" w:ascii="宋体" w:hAnsi="宋体" w:eastAsia="宋体" w:cs="宋体"/>
          <w:b w:val="0"/>
          <w:bCs w:val="0"/>
          <w:smallCaps w:val="0"/>
          <w:color w:val="auto"/>
          <w:kern w:val="2"/>
          <w:sz w:val="24"/>
          <w:szCs w:val="24"/>
          <w:lang w:val="en-US" w:eastAsia="zh-CN" w:bidi="ar-SA"/>
        </w:rPr>
        <w:t>（1）磋商声明书（见附件2）</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（2）授权委托书（法定代表人亲自办理磋商响应事宜的，则无需提交)</w:t>
      </w:r>
      <w:r>
        <w:rPr>
          <w:rFonts w:hint="eastAsia"/>
          <w:b w:val="0"/>
          <w:bCs w:val="0"/>
          <w:color w:val="auto"/>
        </w:rPr>
        <w:t xml:space="preserve"> </w:t>
      </w:r>
      <w:r>
        <w:rPr>
          <w:rFonts w:hint="eastAsia" w:ascii="宋体" w:hAnsi="宋体" w:cs="宋体"/>
          <w:b w:val="0"/>
          <w:bCs w:val="0"/>
          <w:color w:val="auto"/>
          <w:sz w:val="24"/>
        </w:rPr>
        <w:t>（见附件3）；</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（3）法人或者其他组织的营业执照等证明文件，自然人的身份证明；</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（4）提供最近年度的财务状况报告，提供投标截止时间前六个月内（至少提供其中一个月）依法缴纳税收和社会保障资金的相关材料；</w:t>
      </w:r>
    </w:p>
    <w:p>
      <w:pPr>
        <w:snapToGri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b w:val="0"/>
          <w:bCs w:val="0"/>
          <w:color w:val="auto"/>
          <w:sz w:val="24"/>
        </w:rPr>
      </w:pPr>
      <w:r>
        <w:rPr>
          <w:rFonts w:hint="eastAsia" w:ascii="宋体" w:hAnsi="宋体" w:cs="宋体"/>
          <w:b w:val="0"/>
          <w:bCs w:val="0"/>
          <w:color w:val="auto"/>
          <w:sz w:val="24"/>
        </w:rPr>
        <w:t>（6）提供采购公告中符合供应商特定条件的有效资质证书复印件（磋商供应商特定条件中有要求的必须提供），以及需要说明的其他资料；</w:t>
      </w:r>
    </w:p>
    <w:p>
      <w:pPr>
        <w:snapToGrid w:val="0"/>
        <w:spacing w:line="360" w:lineRule="auto"/>
        <w:ind w:firstLine="480" w:firstLineChars="200"/>
        <w:rPr>
          <w:rFonts w:ascii="宋体" w:hAnsi="宋体" w:cs="宋体"/>
          <w:b w:val="0"/>
          <w:bCs w:val="0"/>
          <w:color w:val="auto"/>
          <w:sz w:val="24"/>
          <w:u w:val="single"/>
        </w:rPr>
      </w:pPr>
      <w:r>
        <w:rPr>
          <w:rFonts w:hint="eastAsia" w:ascii="宋体" w:hAnsi="宋体"/>
          <w:b w:val="0"/>
          <w:bCs w:val="0"/>
          <w:color w:val="auto"/>
          <w:sz w:val="24"/>
        </w:rPr>
        <w:t>2、商务与技术内容的组成：</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b w:val="0"/>
          <w:bCs w:val="0"/>
          <w:color w:val="auto"/>
          <w:kern w:val="0"/>
          <w:sz w:val="24"/>
        </w:rPr>
      </w:pPr>
      <w:r>
        <w:rPr>
          <w:rFonts w:hint="eastAsia" w:ascii="宋体" w:hAnsi="宋体"/>
          <w:b w:val="0"/>
          <w:bCs w:val="0"/>
          <w:color w:val="auto"/>
          <w:kern w:val="0"/>
          <w:sz w:val="24"/>
        </w:rPr>
        <w:t>（1）投标人情况介绍（人员与技术力量、企业规模、经营业绩等）(附件4)。</w:t>
      </w:r>
    </w:p>
    <w:p>
      <w:pPr>
        <w:pStyle w:val="2"/>
        <w:widowControl/>
        <w:adjustRightInd w:val="0"/>
        <w:snapToGrid w:val="0"/>
        <w:spacing w:line="360" w:lineRule="auto"/>
        <w:rPr>
          <w:rFonts w:hint="eastAsia" w:ascii="宋体" w:hAnsi="宋体" w:cs="宋体"/>
          <w:b w:val="0"/>
          <w:bCs w:val="0"/>
          <w:color w:val="auto"/>
          <w:sz w:val="24"/>
          <w:szCs w:val="24"/>
        </w:rPr>
      </w:pPr>
      <w:r>
        <w:rPr>
          <w:rFonts w:hint="eastAsia" w:ascii="宋体" w:hAnsi="宋体"/>
          <w:b w:val="0"/>
          <w:bCs w:val="0"/>
          <w:color w:val="auto"/>
          <w:kern w:val="0"/>
          <w:sz w:val="24"/>
        </w:rPr>
        <w:t>（2）</w:t>
      </w:r>
      <w:r>
        <w:rPr>
          <w:rFonts w:hint="eastAsia" w:ascii="宋体" w:hAnsi="宋体" w:cs="宋体"/>
          <w:b w:val="0"/>
          <w:bCs w:val="0"/>
          <w:color w:val="auto"/>
          <w:sz w:val="24"/>
        </w:rPr>
        <w:t>磋商响应方案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hint="eastAsia" w:ascii="宋体" w:hAnsi="宋体"/>
          <w:b w:val="0"/>
          <w:bCs w:val="0"/>
          <w:color w:val="auto"/>
          <w:kern w:val="0"/>
          <w:sz w:val="24"/>
        </w:rPr>
      </w:pPr>
      <w:r>
        <w:rPr>
          <w:rFonts w:hint="eastAsia" w:ascii="宋体" w:hAnsi="宋体"/>
          <w:b w:val="0"/>
          <w:bCs w:val="0"/>
          <w:color w:val="auto"/>
          <w:kern w:val="0"/>
          <w:sz w:val="24"/>
        </w:rPr>
        <w:t>（3）商务及技术响应表(附件5)</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b w:val="0"/>
          <w:bCs w:val="0"/>
          <w:color w:val="auto"/>
          <w:kern w:val="0"/>
          <w:sz w:val="24"/>
        </w:rPr>
      </w:pPr>
      <w:r>
        <w:rPr>
          <w:rFonts w:hint="eastAsia" w:ascii="宋体" w:hAnsi="宋体"/>
          <w:b w:val="0"/>
          <w:bCs w:val="0"/>
          <w:color w:val="auto"/>
          <w:kern w:val="0"/>
          <w:sz w:val="24"/>
        </w:rPr>
        <w:t>(4)近三年来类似项目的成功案例（附件6）</w:t>
      </w:r>
    </w:p>
    <w:p>
      <w:pPr>
        <w:snapToGrid w:val="0"/>
        <w:spacing w:line="360" w:lineRule="auto"/>
        <w:ind w:firstLine="240" w:firstLineChars="100"/>
        <w:jc w:val="left"/>
        <w:rPr>
          <w:rFonts w:hint="eastAsia"/>
          <w:b w:val="0"/>
          <w:bCs w:val="0"/>
          <w:color w:val="auto"/>
          <w:sz w:val="28"/>
        </w:rPr>
      </w:pPr>
      <w:r>
        <w:rPr>
          <w:rFonts w:hint="eastAsia" w:ascii="宋体" w:hAnsi="宋体"/>
          <w:b w:val="0"/>
          <w:bCs w:val="0"/>
          <w:color w:val="auto"/>
          <w:kern w:val="0"/>
          <w:sz w:val="24"/>
        </w:rPr>
        <w:t>（</w:t>
      </w:r>
      <w:r>
        <w:rPr>
          <w:rFonts w:hint="eastAsia" w:ascii="宋体" w:hAnsi="宋体"/>
          <w:b w:val="0"/>
          <w:bCs w:val="0"/>
          <w:color w:val="auto"/>
          <w:kern w:val="0"/>
          <w:sz w:val="24"/>
          <w:lang w:val="en-US" w:eastAsia="zh-CN"/>
        </w:rPr>
        <w:t>5</w:t>
      </w:r>
      <w:r>
        <w:rPr>
          <w:rFonts w:hint="eastAsia" w:ascii="宋体" w:hAnsi="宋体"/>
          <w:b w:val="0"/>
          <w:bCs w:val="0"/>
          <w:color w:val="auto"/>
          <w:kern w:val="0"/>
          <w:sz w:val="24"/>
        </w:rPr>
        <w:t>）</w:t>
      </w:r>
      <w:r>
        <w:rPr>
          <w:rFonts w:hint="eastAsia" w:ascii="宋体" w:hAnsi="宋体"/>
          <w:b w:val="0"/>
          <w:bCs w:val="0"/>
          <w:color w:val="auto"/>
          <w:sz w:val="24"/>
        </w:rPr>
        <w:t>投标人需要说明的其他资料（对照相应项目评分标准，由投标人自行考虑）</w:t>
      </w:r>
      <w:r>
        <w:rPr>
          <w:rFonts w:hint="eastAsia" w:ascii="宋体" w:hAnsi="宋体"/>
          <w:b w:val="0"/>
          <w:bCs w:val="0"/>
          <w:color w:val="auto"/>
          <w:kern w:val="0"/>
          <w:sz w:val="24"/>
        </w:rPr>
        <w:t>。</w:t>
      </w:r>
    </w:p>
    <w:p>
      <w:pPr>
        <w:autoSpaceDE w:val="0"/>
        <w:autoSpaceDN w:val="0"/>
        <w:adjustRightInd w:val="0"/>
        <w:spacing w:line="360" w:lineRule="auto"/>
        <w:ind w:left="426" w:firstLine="64" w:firstLineChars="27"/>
        <w:rPr>
          <w:rFonts w:ascii="宋体" w:hAnsi="宋体"/>
          <w:b w:val="0"/>
          <w:bCs w:val="0"/>
          <w:color w:val="auto"/>
          <w:kern w:val="0"/>
          <w:sz w:val="24"/>
        </w:rPr>
      </w:pPr>
      <w:r>
        <w:rPr>
          <w:rFonts w:hint="eastAsia" w:ascii="宋体" w:hAnsi="宋体"/>
          <w:b w:val="0"/>
          <w:bCs w:val="0"/>
          <w:color w:val="auto"/>
          <w:kern w:val="0"/>
          <w:sz w:val="24"/>
        </w:rPr>
        <w:t>3、报价内容的组成</w:t>
      </w:r>
    </w:p>
    <w:p>
      <w:pPr>
        <w:pStyle w:val="36"/>
        <w:ind w:left="0" w:leftChars="0"/>
        <w:rPr>
          <w:b w:val="0"/>
          <w:bCs w:val="0"/>
          <w:color w:val="auto"/>
          <w:kern w:val="0"/>
        </w:rPr>
      </w:pPr>
      <w:r>
        <w:rPr>
          <w:rFonts w:hint="eastAsia"/>
          <w:b w:val="0"/>
          <w:bCs w:val="0"/>
          <w:color w:val="auto"/>
          <w:kern w:val="0"/>
        </w:rPr>
        <w:t>（1）报价内容的组成。</w:t>
      </w:r>
    </w:p>
    <w:p>
      <w:pPr>
        <w:autoSpaceDE w:val="0"/>
        <w:autoSpaceDN w:val="0"/>
        <w:adjustRightInd w:val="0"/>
        <w:spacing w:line="360" w:lineRule="auto"/>
        <w:ind w:firstLine="420" w:firstLineChars="200"/>
        <w:rPr>
          <w:rFonts w:ascii="宋体" w:hAnsi="宋体"/>
          <w:b w:val="0"/>
          <w:bCs w:val="0"/>
          <w:color w:val="auto"/>
          <w:kern w:val="0"/>
          <w:sz w:val="24"/>
        </w:rPr>
      </w:pPr>
      <w:r>
        <w:rPr>
          <w:rFonts w:hint="eastAsia"/>
          <w:b w:val="0"/>
          <w:bCs w:val="0"/>
          <w:color w:val="auto"/>
        </w:rPr>
        <w:t xml:space="preserve">   </w:t>
      </w:r>
      <w:r>
        <w:rPr>
          <w:rFonts w:hint="eastAsia" w:ascii="宋体" w:hAnsi="宋体"/>
          <w:b w:val="0"/>
          <w:bCs w:val="0"/>
          <w:color w:val="auto"/>
          <w:kern w:val="0"/>
          <w:sz w:val="24"/>
        </w:rPr>
        <w:t xml:space="preserve">  ①首次报价一览表（附件7）；</w:t>
      </w:r>
    </w:p>
    <w:p>
      <w:pPr>
        <w:autoSpaceDE w:val="0"/>
        <w:autoSpaceDN w:val="0"/>
        <w:adjustRightInd w:val="0"/>
        <w:spacing w:line="360" w:lineRule="auto"/>
        <w:ind w:firstLine="960" w:firstLineChars="400"/>
        <w:rPr>
          <w:color w:val="auto"/>
        </w:rPr>
      </w:pPr>
      <w:r>
        <w:rPr>
          <w:rFonts w:hint="eastAsia" w:ascii="宋体" w:hAnsi="宋体"/>
          <w:b w:val="0"/>
          <w:bCs w:val="0"/>
          <w:color w:val="auto"/>
          <w:kern w:val="0"/>
          <w:sz w:val="24"/>
        </w:rPr>
        <w:t>②报价明细表 （见附件8）；</w:t>
      </w:r>
    </w:p>
    <w:p>
      <w:pPr>
        <w:autoSpaceDE w:val="0"/>
        <w:autoSpaceDN w:val="0"/>
        <w:adjustRightInd w:val="0"/>
        <w:spacing w:line="360" w:lineRule="auto"/>
        <w:ind w:firstLine="960" w:firstLineChars="400"/>
        <w:rPr>
          <w:rFonts w:ascii="宋体" w:hAnsi="宋体"/>
          <w:b w:val="0"/>
          <w:bCs w:val="0"/>
          <w:color w:val="auto"/>
          <w:kern w:val="0"/>
          <w:sz w:val="24"/>
        </w:rPr>
      </w:pPr>
      <w:r>
        <w:rPr>
          <w:rFonts w:hint="eastAsia" w:ascii="宋体" w:hAnsi="宋体"/>
          <w:b w:val="0"/>
          <w:bCs w:val="0"/>
          <w:color w:val="auto"/>
          <w:kern w:val="0"/>
          <w:sz w:val="24"/>
        </w:rPr>
        <w:t>③投标人认为其他需要说明的内容</w:t>
      </w:r>
    </w:p>
    <w:p>
      <w:pPr>
        <w:snapToGrid w:val="0"/>
        <w:spacing w:line="360" w:lineRule="auto"/>
        <w:ind w:firstLine="480" w:firstLineChars="200"/>
        <w:rPr>
          <w:rFonts w:ascii="宋体" w:hAnsi="宋体"/>
          <w:b w:val="0"/>
          <w:bCs w:val="0"/>
          <w:color w:val="auto"/>
          <w:kern w:val="0"/>
          <w:sz w:val="24"/>
        </w:rPr>
      </w:pPr>
      <w:r>
        <w:rPr>
          <w:rFonts w:hint="eastAsia" w:ascii="宋体" w:hAnsi="宋体"/>
          <w:b w:val="0"/>
          <w:bCs w:val="0"/>
          <w:color w:val="auto"/>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hint="eastAsia"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3</w:t>
      </w:r>
      <w:r>
        <w:rPr>
          <w:rFonts w:hint="eastAsia" w:ascii="宋体" w:hAnsi="宋体"/>
          <w:color w:val="000000"/>
          <w:kern w:val="0"/>
          <w:sz w:val="24"/>
          <w:lang w:val="zh-CN"/>
        </w:rPr>
        <w:t>）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4</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（5）相关报价表需打印或用不退色的墨水填写， 磋商响应报价表不得涂改和增删，如有错漏必须修改，修改处须由同一签署人签字或盖章。由于字迹模糊或表达不清引起的后果由供应商负责。</w:t>
      </w:r>
    </w:p>
    <w:p>
      <w:pPr>
        <w:numPr>
          <w:ilvl w:val="0"/>
          <w:numId w:val="11"/>
        </w:numPr>
        <w:snapToGrid w:val="0"/>
        <w:spacing w:line="360" w:lineRule="auto"/>
        <w:rPr>
          <w:rFonts w:ascii="宋体" w:hAnsi="宋体" w:cs="宋体"/>
          <w:sz w:val="24"/>
          <w:lang w:val="zh-CN"/>
        </w:rPr>
      </w:pP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磋商采购</w:t>
      </w:r>
      <w:r>
        <w:rPr>
          <w:rFonts w:ascii="宋体" w:hAnsi="宋体"/>
          <w:color w:val="000000"/>
          <w:sz w:val="24"/>
        </w:rPr>
        <w:t>文件中相关附表格式填写。</w:t>
      </w:r>
    </w:p>
    <w:p>
      <w:pPr>
        <w:numPr>
          <w:ilvl w:val="0"/>
          <w:numId w:val="12"/>
        </w:numPr>
        <w:snapToGrid w:val="0"/>
        <w:spacing w:line="360" w:lineRule="auto"/>
        <w:rPr>
          <w:rFonts w:ascii="宋体" w:hAnsi="宋体" w:cs="宋体"/>
          <w:sz w:val="24"/>
          <w:lang w:val="zh-CN"/>
        </w:rPr>
      </w:pPr>
      <w:r>
        <w:rPr>
          <w:rFonts w:hint="eastAsia" w:ascii="宋体" w:hAnsi="宋体"/>
          <w:b/>
          <w:bCs/>
          <w:kern w:val="0"/>
          <w:sz w:val="24"/>
        </w:rPr>
        <w:t>磋商响应文件的制作、封装及递交要求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1、磋商响应文件的制作要求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（1）供应商应按照磋商响应文件组成内容及项目磋商需求制作磋商响应文件，</w:t>
      </w:r>
      <w:r>
        <w:rPr>
          <w:rFonts w:hint="eastAsia" w:ascii="宋体" w:hAnsi="宋体"/>
          <w:color w:val="000000"/>
          <w:kern w:val="0"/>
          <w:sz w:val="24"/>
        </w:rPr>
        <w:t>不按</w:t>
      </w:r>
      <w:r>
        <w:rPr>
          <w:rFonts w:hint="eastAsia" w:ascii="宋体" w:hAnsi="宋体"/>
          <w:bCs/>
          <w:sz w:val="24"/>
        </w:rPr>
        <w:t>磋商采购文件</w:t>
      </w:r>
      <w:r>
        <w:rPr>
          <w:rFonts w:hint="eastAsia" w:ascii="宋体" w:hAnsi="宋体"/>
          <w:color w:val="000000"/>
          <w:kern w:val="0"/>
          <w:sz w:val="24"/>
        </w:rPr>
        <w:t>要求制作</w:t>
      </w:r>
      <w:r>
        <w:rPr>
          <w:rFonts w:hint="eastAsia" w:ascii="宋体" w:hAnsi="宋体"/>
          <w:color w:val="000000"/>
          <w:sz w:val="24"/>
        </w:rPr>
        <w:t>磋商响应文件</w:t>
      </w:r>
      <w:r>
        <w:rPr>
          <w:rFonts w:hint="eastAsia" w:ascii="宋体" w:hAnsi="宋体"/>
          <w:color w:val="000000"/>
          <w:kern w:val="0"/>
          <w:sz w:val="24"/>
        </w:rPr>
        <w:t>的将视情处理（拒收、扣分等），由此产生的责任由</w:t>
      </w:r>
      <w:r>
        <w:rPr>
          <w:rFonts w:hint="eastAsia" w:ascii="宋体" w:hAnsi="宋体"/>
          <w:color w:val="000000"/>
          <w:sz w:val="24"/>
        </w:rPr>
        <w:t>磋商供应商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（2）供应商应对所提供的全部资料的真实性承担法律责任，磋商响应文件</w:t>
      </w:r>
      <w:r>
        <w:rPr>
          <w:rFonts w:hint="eastAsia" w:ascii="宋体" w:hAnsi="宋体"/>
          <w:kern w:val="0"/>
          <w:sz w:val="24"/>
          <w:lang w:val="zh-CN"/>
        </w:rPr>
        <w:t>内容中有要求盖章或签字的地方，必须加盖</w:t>
      </w:r>
      <w:r>
        <w:rPr>
          <w:rFonts w:hint="eastAsia" w:ascii="宋体" w:hAnsi="宋体"/>
          <w:color w:val="000000"/>
          <w:sz w:val="24"/>
        </w:rPr>
        <w:t>磋商供应商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w:t>
      </w:r>
      <w:r>
        <w:rPr>
          <w:rFonts w:hint="eastAsia" w:ascii="宋体" w:hAnsi="宋体"/>
          <w:sz w:val="24"/>
        </w:rPr>
        <w:t>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磋商响应文件</w:t>
      </w:r>
      <w:r>
        <w:rPr>
          <w:rFonts w:ascii="宋体" w:hAnsi="宋体"/>
          <w:sz w:val="24"/>
        </w:rPr>
        <w:t>以及</w:t>
      </w:r>
      <w:r>
        <w:rPr>
          <w:rFonts w:hint="eastAsia" w:ascii="宋体" w:hAnsi="宋体"/>
          <w:sz w:val="24"/>
        </w:rPr>
        <w:t>磋商供应商</w:t>
      </w:r>
      <w:r>
        <w:rPr>
          <w:rFonts w:ascii="宋体" w:hAnsi="宋体"/>
          <w:sz w:val="24"/>
        </w:rPr>
        <w:t>与</w:t>
      </w:r>
      <w:r>
        <w:rPr>
          <w:rFonts w:hint="eastAsia" w:ascii="宋体" w:hAnsi="宋体"/>
          <w:sz w:val="24"/>
        </w:rPr>
        <w:t>采购组织机构</w:t>
      </w:r>
      <w:r>
        <w:rPr>
          <w:rFonts w:ascii="宋体" w:hAnsi="宋体"/>
          <w:sz w:val="24"/>
        </w:rPr>
        <w:t>就有关磋商</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磋商响应文件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磋商计量单位，</w:t>
      </w:r>
      <w:r>
        <w:rPr>
          <w:rFonts w:hint="eastAsia" w:ascii="宋体" w:hAnsi="宋体"/>
          <w:bCs/>
          <w:sz w:val="24"/>
        </w:rPr>
        <w:t>磋商采购文件</w:t>
      </w:r>
      <w:r>
        <w:rPr>
          <w:rFonts w:ascii="宋体" w:hAnsi="宋体"/>
          <w:color w:val="000000"/>
          <w:sz w:val="24"/>
        </w:rPr>
        <w:t>已有明确规定的，使用</w:t>
      </w:r>
      <w:r>
        <w:rPr>
          <w:rFonts w:hint="eastAsia" w:ascii="宋体" w:hAnsi="宋体"/>
          <w:bCs/>
          <w:sz w:val="24"/>
        </w:rPr>
        <w:t>磋商采购文件</w:t>
      </w:r>
      <w:r>
        <w:rPr>
          <w:rFonts w:ascii="宋体" w:hAnsi="宋体"/>
          <w:color w:val="000000"/>
          <w:sz w:val="24"/>
        </w:rPr>
        <w:t>规定的计量单位；</w:t>
      </w:r>
      <w:r>
        <w:rPr>
          <w:rFonts w:hint="eastAsia" w:ascii="宋体" w:hAnsi="宋体"/>
          <w:bCs/>
          <w:sz w:val="24"/>
        </w:rPr>
        <w:t>磋商采购文件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磋商供应商</w:t>
      </w:r>
      <w:r>
        <w:rPr>
          <w:rFonts w:ascii="宋体" w:hAnsi="宋体"/>
          <w:color w:val="000000"/>
          <w:sz w:val="24"/>
        </w:rPr>
        <w:t>不按采购文件的要求提供资格审查材料，其风险由</w:t>
      </w:r>
      <w:r>
        <w:rPr>
          <w:rFonts w:hint="eastAsia" w:ascii="宋体" w:hAnsi="宋体"/>
          <w:color w:val="000000"/>
          <w:sz w:val="24"/>
        </w:rPr>
        <w:t>磋商供应商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2、磋商响应文件的封装要求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（1）磋商响应文件份数：</w:t>
      </w:r>
      <w:r>
        <w:rPr>
          <w:rFonts w:hint="eastAsia" w:ascii="宋体"/>
          <w:bCs/>
          <w:color w:val="000000"/>
          <w:sz w:val="24"/>
          <w:lang w:val="zh-CN"/>
        </w:rPr>
        <w:t>磋商响应文件共</w:t>
      </w:r>
      <w:r>
        <w:rPr>
          <w:rFonts w:hint="eastAsia" w:ascii="宋体" w:hAnsi="宋体"/>
          <w:bCs/>
          <w:color w:val="000000"/>
          <w:sz w:val="24"/>
          <w:u w:val="single"/>
          <w:lang w:val="zh-CN"/>
        </w:rPr>
        <w:t xml:space="preserve"> </w:t>
      </w:r>
      <w:r>
        <w:rPr>
          <w:rFonts w:hint="eastAsia" w:ascii="宋体" w:hAnsi="宋体"/>
          <w:bCs/>
          <w:color w:val="000000"/>
          <w:sz w:val="24"/>
          <w:u w:val="single"/>
        </w:rPr>
        <w:t>3</w:t>
      </w:r>
      <w:r>
        <w:rPr>
          <w:rFonts w:hint="eastAsia" w:ascii="宋体" w:hAnsi="宋体"/>
          <w:bCs/>
          <w:color w:val="000000"/>
          <w:sz w:val="24"/>
          <w:u w:val="single"/>
          <w:lang w:val="zh-CN"/>
        </w:rPr>
        <w:t xml:space="preserve"> </w:t>
      </w:r>
      <w:r>
        <w:rPr>
          <w:rFonts w:hint="eastAsia" w:ascii="宋体" w:hAnsi="宋体"/>
          <w:bCs/>
          <w:color w:val="000000"/>
          <w:sz w:val="24"/>
          <w:lang w:val="zh-CN"/>
        </w:rPr>
        <w:t>份</w:t>
      </w:r>
      <w:r>
        <w:rPr>
          <w:rFonts w:hint="eastAsia" w:ascii="宋体"/>
          <w:bCs/>
          <w:color w:val="000000"/>
          <w:sz w:val="24"/>
          <w:lang w:val="zh-CN"/>
        </w:rPr>
        <w:t>（</w:t>
      </w:r>
      <w:r>
        <w:rPr>
          <w:rFonts w:hint="eastAsia" w:ascii="宋体" w:hAnsi="宋体"/>
          <w:bCs/>
          <w:color w:val="000000"/>
          <w:sz w:val="24"/>
          <w:u w:val="single"/>
        </w:rPr>
        <w:t xml:space="preserve"> 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2</w:t>
      </w:r>
      <w:r>
        <w:rPr>
          <w:rFonts w:hint="eastAsia" w:ascii="宋体" w:hAnsi="宋体"/>
          <w:bCs/>
          <w:color w:val="000000"/>
          <w:sz w:val="24"/>
          <w:u w:val="single"/>
          <w:lang w:val="zh-CN"/>
        </w:rPr>
        <w:t xml:space="preserve"> </w:t>
      </w:r>
      <w:r>
        <w:rPr>
          <w:rFonts w:hint="eastAsia" w:ascii="宋体"/>
          <w:bCs/>
          <w:color w:val="000000"/>
          <w:sz w:val="24"/>
          <w:lang w:val="zh-CN"/>
        </w:rPr>
        <w:t>副本，封装成一袋）</w:t>
      </w:r>
      <w:r>
        <w:rPr>
          <w:rFonts w:hint="eastAsia" w:ascii="宋体" w:hAnsi="宋体"/>
          <w:bCs/>
          <w:color w:val="000000"/>
          <w:sz w:val="24"/>
          <w:lang w:val="zh-CN"/>
        </w:rPr>
        <w:t>。磋商响应文件的正本封面必须注明“正本”字样，副本可以采用正本的复印件。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（2）所有磋商响应资料按磋商采购文件的组成所列内容及顺序装订成册，</w:t>
      </w:r>
      <w:r>
        <w:rPr>
          <w:rFonts w:hint="eastAsia" w:ascii="宋体" w:hAnsi="宋体"/>
          <w:sz w:val="24"/>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kern w:val="0"/>
          <w:sz w:val="24"/>
        </w:rPr>
        <w:t>（3）请在密封袋的封口处应有磋商供应商公章或磋商全权代表签字。封皮上写明项目编号、标段、磋商采购项目名称、供应商名称，并注明“磋商响应文件名称”、“磋商时启封”字样，未按上述要求密封及加写标记，采购组织机构</w:t>
      </w:r>
      <w:r>
        <w:rPr>
          <w:rFonts w:hint="eastAsia" w:ascii="宋体" w:hAnsi="宋体"/>
          <w:color w:val="000000"/>
          <w:kern w:val="0"/>
          <w:sz w:val="24"/>
        </w:rPr>
        <w:t>对磋商响应文件的误投和提前启封不负责任。</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rPr>
        <w:t>（5）</w:t>
      </w:r>
      <w:r>
        <w:rPr>
          <w:rFonts w:hint="eastAsia" w:ascii="宋体" w:hAnsi="宋体"/>
          <w:color w:val="000000"/>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kern w:val="0"/>
          <w:sz w:val="24"/>
        </w:rPr>
        <w:t>3、</w:t>
      </w:r>
      <w:r>
        <w:rPr>
          <w:rFonts w:hint="eastAsia" w:ascii="宋体" w:hAnsi="宋体"/>
          <w:b/>
          <w:color w:val="000000"/>
          <w:sz w:val="24"/>
        </w:rPr>
        <w:t>磋商响应文件的递交要求</w:t>
      </w:r>
    </w:p>
    <w:p>
      <w:p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（1）磋商响应文件必须在规定时间前派人送达指定的磋商地点。磋商响应文件在截止时间后提交，采购组织机构将将拒绝接收。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color w:val="000000"/>
          <w:kern w:val="0"/>
          <w:sz w:val="24"/>
        </w:rPr>
      </w:pPr>
      <w:r>
        <w:rPr>
          <w:rFonts w:hint="eastAsia" w:ascii="宋体" w:hAnsi="宋体"/>
          <w:b/>
          <w:color w:val="000000"/>
          <w:kern w:val="0"/>
          <w:sz w:val="24"/>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（1）供应商如需对上交的磋商响应文件进行补充、修改或撤回的，必须在磋商响应截止时间</w:t>
      </w:r>
      <w:r>
        <w:rPr>
          <w:rFonts w:hint="eastAsia" w:ascii="宋体"/>
          <w:color w:val="000000"/>
          <w:kern w:val="0"/>
          <w:sz w:val="24"/>
        </w:rPr>
        <w:t>以前将书面的修改文件或撤消通知送达</w:t>
      </w:r>
      <w:r>
        <w:rPr>
          <w:rFonts w:hint="eastAsia" w:ascii="宋体" w:hAnsi="宋体"/>
          <w:color w:val="000000"/>
          <w:kern w:val="0"/>
          <w:sz w:val="24"/>
        </w:rPr>
        <w:t>采购组织机构</w:t>
      </w:r>
      <w:r>
        <w:rPr>
          <w:rFonts w:hint="eastAsia" w:ascii="宋体"/>
          <w:color w:val="000000"/>
          <w:kern w:val="0"/>
          <w:sz w:val="24"/>
        </w:rPr>
        <w:t>。</w:t>
      </w:r>
    </w:p>
    <w:p>
      <w:pPr>
        <w:numPr>
          <w:ilvl w:val="0"/>
          <w:numId w:val="13"/>
        </w:numPr>
        <w:tabs>
          <w:tab w:val="left" w:pos="1418"/>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color w:val="000000"/>
          <w:kern w:val="0"/>
          <w:sz w:val="24"/>
        </w:rPr>
      </w:pPr>
      <w:r>
        <w:rPr>
          <w:rFonts w:hint="eastAsia" w:ascii="宋体" w:hAnsi="宋体"/>
          <w:b/>
          <w:color w:val="000000"/>
          <w:kern w:val="0"/>
          <w:sz w:val="24"/>
        </w:rPr>
        <w:t>（三）磋商响应文件的有效期</w:t>
      </w:r>
    </w:p>
    <w:p>
      <w:pPr>
        <w:pStyle w:val="15"/>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olor w:val="000000"/>
          <w:szCs w:val="24"/>
          <w:lang w:val="en-GB"/>
        </w:rPr>
      </w:pPr>
      <w:r>
        <w:rPr>
          <w:rFonts w:hint="eastAsia" w:ascii="宋体" w:hAnsi="宋体"/>
          <w:color w:val="000000"/>
          <w:szCs w:val="24"/>
        </w:rPr>
        <w:t>1、</w:t>
      </w:r>
      <w:r>
        <w:rPr>
          <w:rFonts w:hint="eastAsia" w:ascii="宋体" w:hAnsi="宋体"/>
          <w:color w:val="000000"/>
          <w:szCs w:val="24"/>
          <w:lang w:val="en-GB"/>
        </w:rPr>
        <w:t>自磋商响应截止日起90天磋商响应文件应保持有效。有效期不足的磋商响应文件将被拒绝。</w:t>
      </w:r>
    </w:p>
    <w:p>
      <w:pPr>
        <w:pStyle w:val="15"/>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olor w:val="000000"/>
          <w:szCs w:val="24"/>
        </w:rPr>
      </w:pPr>
      <w:r>
        <w:rPr>
          <w:rFonts w:hint="eastAsia" w:ascii="宋体" w:hAnsi="宋体"/>
          <w:color w:val="000000"/>
          <w:szCs w:val="24"/>
        </w:rPr>
        <w:t>2、在特殊情况下，采购人可与磋商供应商协商延长磋商响应文件的有效期，这种要求和答复均以书面形式进行。</w:t>
      </w:r>
    </w:p>
    <w:p>
      <w:pPr>
        <w:pStyle w:val="15"/>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olor w:val="000000"/>
          <w:szCs w:val="24"/>
        </w:rPr>
      </w:pPr>
      <w:r>
        <w:rPr>
          <w:rFonts w:hint="eastAsia" w:ascii="宋体" w:hAnsi="宋体"/>
          <w:color w:val="000000"/>
          <w:szCs w:val="24"/>
        </w:rPr>
        <w:t>3、磋商供应商可拒绝接受延期要求，同意延长有效期的磋商供应商</w:t>
      </w:r>
      <w:r>
        <w:rPr>
          <w:rFonts w:ascii="宋体" w:hAnsi="宋体"/>
          <w:color w:val="000000"/>
          <w:szCs w:val="24"/>
        </w:rPr>
        <w:t>不能修改</w:t>
      </w:r>
      <w:r>
        <w:rPr>
          <w:rFonts w:hint="eastAsia" w:ascii="宋体" w:hAnsi="宋体"/>
          <w:color w:val="000000"/>
          <w:szCs w:val="24"/>
        </w:rPr>
        <w:t>磋商响应文件</w:t>
      </w:r>
      <w:r>
        <w:rPr>
          <w:rFonts w:ascii="宋体" w:hAnsi="宋体"/>
          <w:color w:val="000000"/>
          <w:szCs w:val="24"/>
        </w:rPr>
        <w:t xml:space="preserve">。 </w:t>
      </w:r>
    </w:p>
    <w:p>
      <w:pPr>
        <w:snapToGrid w:val="0"/>
        <w:spacing w:line="360" w:lineRule="auto"/>
        <w:ind w:firstLine="480" w:firstLineChars="200"/>
        <w:jc w:val="left"/>
        <w:outlineLvl w:val="0"/>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.成交供应商</w:t>
      </w:r>
      <w:r>
        <w:rPr>
          <w:rFonts w:ascii="宋体" w:hAnsi="宋体"/>
          <w:color w:val="000000"/>
          <w:kern w:val="0"/>
          <w:sz w:val="24"/>
        </w:rPr>
        <w:t>的</w:t>
      </w:r>
      <w:r>
        <w:rPr>
          <w:rFonts w:hint="eastAsia" w:ascii="宋体" w:hAnsi="宋体"/>
          <w:color w:val="000000"/>
          <w:sz w:val="24"/>
        </w:rPr>
        <w:t>磋商响应文件</w:t>
      </w:r>
      <w:r>
        <w:rPr>
          <w:rFonts w:ascii="宋体" w:hAnsi="宋体"/>
          <w:color w:val="000000"/>
          <w:kern w:val="0"/>
          <w:sz w:val="24"/>
        </w:rPr>
        <w:t>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kern w:val="0"/>
          <w:sz w:val="24"/>
        </w:rPr>
      </w:pPr>
      <w:r>
        <w:rPr>
          <w:rFonts w:hint="eastAsia" w:ascii="宋体" w:hAnsi="宋体" w:cs="宋体"/>
          <w:b/>
          <w:kern w:val="0"/>
          <w:sz w:val="24"/>
        </w:rPr>
        <w:t>三、磋商</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w:t>
      </w:r>
      <w:r>
        <w:rPr>
          <w:rFonts w:hint="eastAsia" w:ascii="宋体" w:hAnsi="宋体"/>
          <w:b/>
          <w:color w:val="000000"/>
          <w:sz w:val="24"/>
        </w:rPr>
        <w:t>（一）磋商程序</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3、采购组织机构工作人员接收磋商响应文件并登记，并由供应商代表对递交记录情况进行签字确认。</w:t>
      </w:r>
    </w:p>
    <w:p>
      <w:pPr>
        <w:pStyle w:val="24"/>
        <w:snapToGrid w:val="0"/>
        <w:spacing w:line="360" w:lineRule="auto"/>
        <w:ind w:firstLine="480" w:firstLineChars="200"/>
        <w:rPr>
          <w:rFonts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w:t>
      </w:r>
    </w:p>
    <w:p>
      <w:pPr>
        <w:pStyle w:val="24"/>
        <w:snapToGrid w:val="0"/>
        <w:spacing w:line="360" w:lineRule="auto"/>
        <w:ind w:firstLine="480" w:firstLineChars="200"/>
        <w:rPr>
          <w:rFonts w:hAnsi="宋体"/>
          <w:color w:val="000000"/>
          <w:sz w:val="24"/>
        </w:rPr>
      </w:pPr>
      <w:r>
        <w:rPr>
          <w:rFonts w:hint="eastAsia" w:hAnsi="宋体"/>
          <w:color w:val="000000"/>
          <w:sz w:val="24"/>
        </w:rPr>
        <w:t>5、</w:t>
      </w:r>
      <w:r>
        <w:rPr>
          <w:rFonts w:hAnsi="宋体"/>
          <w:color w:val="000000"/>
          <w:sz w:val="24"/>
        </w:rPr>
        <w:t>提请</w:t>
      </w:r>
      <w:r>
        <w:rPr>
          <w:rFonts w:hint="eastAsia" w:hAnsi="宋体"/>
          <w:color w:val="000000"/>
          <w:sz w:val="24"/>
        </w:rPr>
        <w:t>供应商</w:t>
      </w:r>
      <w:r>
        <w:rPr>
          <w:rFonts w:hAnsi="宋体"/>
          <w:color w:val="000000"/>
          <w:sz w:val="24"/>
        </w:rPr>
        <w:t>代表查验</w:t>
      </w:r>
      <w:r>
        <w:rPr>
          <w:rFonts w:hint="eastAsia" w:hAnsi="宋体"/>
          <w:color w:val="000000"/>
          <w:sz w:val="24"/>
        </w:rPr>
        <w:t>磋商响应文件</w:t>
      </w:r>
      <w:r>
        <w:rPr>
          <w:rFonts w:hAnsi="宋体"/>
          <w:color w:val="000000"/>
          <w:sz w:val="24"/>
        </w:rPr>
        <w:t xml:space="preserve">密封情况。 </w:t>
      </w:r>
    </w:p>
    <w:p>
      <w:pPr>
        <w:spacing w:line="360" w:lineRule="auto"/>
        <w:ind w:firstLine="480" w:firstLineChars="200"/>
        <w:rPr>
          <w:rFonts w:ascii="宋体" w:hAnsi="宋体" w:cs="宋体"/>
          <w:sz w:val="24"/>
        </w:rPr>
      </w:pPr>
      <w:r>
        <w:rPr>
          <w:rFonts w:hint="eastAsia" w:ascii="宋体" w:hAnsi="宋体" w:cs="宋体"/>
          <w:sz w:val="24"/>
        </w:rPr>
        <w:t>6、主持人按磋商响应供应商签到的先后顺序当场拆封磋商文件，并送至评审场所。</w:t>
      </w:r>
    </w:p>
    <w:p>
      <w:pPr>
        <w:spacing w:line="360" w:lineRule="auto"/>
        <w:ind w:firstLine="480" w:firstLineChars="200"/>
        <w:rPr>
          <w:rFonts w:ascii="宋体" w:hAnsi="宋体" w:cs="宋体"/>
          <w:sz w:val="24"/>
        </w:rPr>
      </w:pPr>
      <w:r>
        <w:rPr>
          <w:rFonts w:hint="eastAsia" w:ascii="宋体" w:hAnsi="宋体" w:cs="宋体"/>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rPr>
      </w:pPr>
      <w:r>
        <w:rPr>
          <w:rFonts w:hint="eastAsia" w:ascii="宋体" w:hAnsi="宋体" w:cs="宋体"/>
          <w:sz w:val="24"/>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rPr>
      </w:pPr>
      <w:r>
        <w:rPr>
          <w:rFonts w:hint="eastAsia" w:ascii="宋体" w:hAnsi="宋体" w:cs="宋体"/>
          <w:sz w:val="24"/>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rPr>
      </w:pPr>
      <w:r>
        <w:rPr>
          <w:rFonts w:hint="eastAsia" w:ascii="宋体" w:hAnsi="宋体" w:cs="宋体"/>
          <w:sz w:val="24"/>
        </w:rPr>
        <w:t>11、经磋商确定最终采购需求和提交最后报价的供应商后，由磋商小组采用综合评分法对提交最后报价的供应商的响应文件和最后报价进行综合评分。</w:t>
      </w:r>
    </w:p>
    <w:p>
      <w:pPr>
        <w:pStyle w:val="24"/>
        <w:snapToGrid w:val="0"/>
        <w:spacing w:line="360" w:lineRule="auto"/>
        <w:ind w:firstLine="480" w:firstLineChars="200"/>
        <w:rPr>
          <w:rFonts w:hAnsi="宋体" w:cs="宋体"/>
          <w:sz w:val="24"/>
        </w:rPr>
      </w:pPr>
      <w:r>
        <w:rPr>
          <w:rFonts w:hint="eastAsia" w:hAnsi="宋体" w:cs="宋体"/>
          <w:sz w:val="24"/>
        </w:rPr>
        <w:t>12、磋商小组</w:t>
      </w:r>
      <w:r>
        <w:rPr>
          <w:rFonts w:hAnsi="宋体" w:cs="宋体"/>
          <w:sz w:val="24"/>
        </w:rPr>
        <w:t>根据综合评分情况，按照评审得分由高到低顺序</w:t>
      </w:r>
      <w:r>
        <w:rPr>
          <w:rFonts w:hint="eastAsia" w:hAnsi="宋体" w:cs="宋体"/>
          <w:sz w:val="24"/>
        </w:rPr>
        <w:t>确定预成交供应商，编写评审报告。</w:t>
      </w:r>
    </w:p>
    <w:p>
      <w:pPr>
        <w:pStyle w:val="24"/>
        <w:snapToGrid w:val="0"/>
        <w:spacing w:line="360" w:lineRule="auto"/>
        <w:ind w:firstLine="480" w:firstLineChars="200"/>
        <w:rPr>
          <w:rFonts w:hAnsi="宋体" w:cs="宋体"/>
          <w:sz w:val="24"/>
        </w:rPr>
      </w:pPr>
      <w:r>
        <w:rPr>
          <w:rFonts w:hint="eastAsia" w:hAnsi="宋体" w:cs="宋体"/>
          <w:sz w:val="24"/>
        </w:rPr>
        <w:t>13、采购组织机构对磋商小组专家成员进行评价；</w:t>
      </w:r>
    </w:p>
    <w:p>
      <w:pPr>
        <w:pStyle w:val="24"/>
        <w:snapToGrid w:val="0"/>
        <w:spacing w:line="360" w:lineRule="auto"/>
        <w:ind w:left="719" w:leftChars="228" w:hanging="240" w:hangingChars="100"/>
        <w:rPr>
          <w:rFonts w:hAnsi="宋体"/>
          <w:sz w:val="24"/>
        </w:rPr>
      </w:pPr>
      <w:r>
        <w:rPr>
          <w:rFonts w:hint="eastAsia" w:hAnsi="宋体"/>
          <w:sz w:val="24"/>
        </w:rPr>
        <w:t>14、</w:t>
      </w:r>
      <w:r>
        <w:rPr>
          <w:rFonts w:hint="eastAsia" w:hAnsi="宋体" w:cs="宋体"/>
          <w:sz w:val="24"/>
        </w:rPr>
        <w:t>主持人</w:t>
      </w:r>
      <w:r>
        <w:rPr>
          <w:rFonts w:hint="eastAsia" w:hAnsi="宋体"/>
          <w:sz w:val="24"/>
        </w:rPr>
        <w:t>到磋商采购会现场宣布磋商结果（含技术得分、最后报价、报价得分及总得分），磋商采购会议结束。</w:t>
      </w:r>
    </w:p>
    <w:p>
      <w:pPr>
        <w:pStyle w:val="24"/>
        <w:snapToGrid w:val="0"/>
        <w:spacing w:line="360" w:lineRule="auto"/>
        <w:ind w:left="720" w:leftChars="228" w:hanging="241" w:hangingChars="100"/>
        <w:rPr>
          <w:rFonts w:hAnsi="宋体"/>
          <w:sz w:val="24"/>
        </w:rPr>
      </w:pPr>
      <w:r>
        <w:rPr>
          <w:rFonts w:hint="eastAsia" w:hAnsi="宋体"/>
          <w:b/>
          <w:color w:val="000000"/>
          <w:sz w:val="24"/>
        </w:rPr>
        <w:t>（二）澄清问题的形式</w:t>
      </w:r>
    </w:p>
    <w:p>
      <w:pPr>
        <w:snapToGrid w:val="0"/>
        <w:spacing w:line="360" w:lineRule="auto"/>
        <w:ind w:firstLine="480" w:firstLineChars="200"/>
        <w:rPr>
          <w:rFonts w:ascii="宋体" w:hAnsi="宋体"/>
          <w:color w:val="000000"/>
          <w:sz w:val="24"/>
        </w:rPr>
      </w:pPr>
      <w:r>
        <w:rPr>
          <w:rFonts w:hint="eastAsia" w:ascii="宋体" w:hAnsi="宋体"/>
          <w:color w:val="000000"/>
          <w:sz w:val="24"/>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sz w:val="24"/>
        </w:rPr>
      </w:pPr>
      <w:r>
        <w:rPr>
          <w:rFonts w:hint="eastAsia" w:hAnsi="宋体"/>
          <w:b/>
          <w:color w:val="000000"/>
          <w:sz w:val="24"/>
        </w:rPr>
        <w:t>（三）错误修正</w:t>
      </w:r>
    </w:p>
    <w:p>
      <w:pPr>
        <w:pStyle w:val="39"/>
        <w:spacing w:before="0" w:beforeAutospacing="0" w:after="0" w:afterAutospacing="0" w:line="360" w:lineRule="auto"/>
        <w:ind w:firstLine="480" w:firstLineChars="200"/>
        <w:jc w:val="both"/>
        <w:rPr>
          <w:rFonts w:hint="default"/>
          <w:color w:val="000000"/>
        </w:rPr>
      </w:pPr>
      <w:r>
        <w:rPr>
          <w:color w:val="000000"/>
        </w:rPr>
        <w:t>磋商响应文件报价出现前后不一致的，除</w:t>
      </w:r>
      <w:r>
        <w:rPr>
          <w:bCs/>
        </w:rPr>
        <w:t>磋商采购文件</w:t>
      </w:r>
      <w:r>
        <w:rPr>
          <w:color w:val="000000"/>
        </w:rPr>
        <w:t>另有规定外，按照下列规定修正：</w:t>
      </w:r>
    </w:p>
    <w:p>
      <w:pPr>
        <w:pStyle w:val="39"/>
        <w:spacing w:before="0" w:beforeAutospacing="0" w:after="0" w:afterAutospacing="0" w:line="360" w:lineRule="auto"/>
        <w:jc w:val="both"/>
        <w:rPr>
          <w:rFonts w:hint="default"/>
          <w:color w:val="000000"/>
        </w:rPr>
      </w:pPr>
      <w:r>
        <w:rPr>
          <w:color w:val="000000"/>
        </w:rPr>
        <w:t>　　1、磋商响应文件中首次报价一览表内容与磋商响应文件中相应内容不一致的，以首次报价一览表为准；</w:t>
      </w:r>
    </w:p>
    <w:p>
      <w:pPr>
        <w:pStyle w:val="39"/>
        <w:spacing w:before="0" w:beforeAutospacing="0" w:after="0" w:afterAutospacing="0" w:line="360" w:lineRule="auto"/>
        <w:jc w:val="both"/>
        <w:rPr>
          <w:rFonts w:hint="default"/>
          <w:color w:val="000000"/>
        </w:rPr>
      </w:pPr>
      <w:r>
        <w:rPr>
          <w:color w:val="000000"/>
        </w:rPr>
        <w:t>　　2、大写金额和小写金额不一致的，以大写金额为准；</w:t>
      </w:r>
    </w:p>
    <w:p>
      <w:pPr>
        <w:pStyle w:val="39"/>
        <w:spacing w:before="0" w:beforeAutospacing="0" w:after="0" w:afterAutospacing="0" w:line="360" w:lineRule="auto"/>
        <w:jc w:val="both"/>
        <w:rPr>
          <w:rFonts w:hint="default"/>
          <w:color w:val="000000"/>
        </w:rPr>
      </w:pPr>
      <w:r>
        <w:rPr>
          <w:color w:val="000000"/>
        </w:rPr>
        <w:t>　　3、单价金额小数点或者百分比有明显错位的，以首次报价一览表的总价为准，并修改单价；</w:t>
      </w:r>
    </w:p>
    <w:p>
      <w:pPr>
        <w:pStyle w:val="39"/>
        <w:spacing w:before="0" w:beforeAutospacing="0" w:after="0" w:afterAutospacing="0" w:line="360" w:lineRule="auto"/>
        <w:jc w:val="both"/>
        <w:rPr>
          <w:rFonts w:hint="default"/>
          <w:color w:val="000000"/>
        </w:rPr>
      </w:pPr>
      <w:r>
        <w:rPr>
          <w:color w:val="000000"/>
        </w:rPr>
        <w:t>　　4、总价金额与按单价汇总金额不一致的，以单价金额计算结果为准。</w:t>
      </w:r>
    </w:p>
    <w:p>
      <w:pPr>
        <w:pStyle w:val="39"/>
        <w:spacing w:before="0" w:beforeAutospacing="0" w:after="0" w:afterAutospacing="0" w:line="360" w:lineRule="auto"/>
        <w:ind w:firstLine="480"/>
        <w:jc w:val="both"/>
        <w:rPr>
          <w:rFonts w:hint="default"/>
          <w:color w:val="000000"/>
        </w:rPr>
      </w:pPr>
      <w:r>
        <w:rPr>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39"/>
        <w:spacing w:before="0" w:beforeAutospacing="0" w:after="0" w:afterAutospacing="0" w:line="360" w:lineRule="auto"/>
        <w:ind w:firstLine="480"/>
        <w:rPr>
          <w:rFonts w:hint="default"/>
          <w:color w:val="000000"/>
        </w:rPr>
      </w:pPr>
      <w:r>
        <w:rPr>
          <w:b/>
          <w:bCs/>
          <w:color w:val="000000"/>
        </w:rPr>
        <w:t>（四）</w:t>
      </w:r>
      <w:r>
        <w:rPr>
          <w:b/>
          <w:color w:val="000000"/>
        </w:rPr>
        <w:t>磋商供应商存在下列情况之一的，响应无效，终止磋商</w:t>
      </w:r>
    </w:p>
    <w:p>
      <w:pPr>
        <w:adjustRightInd w:val="0"/>
        <w:snapToGrid w:val="0"/>
        <w:spacing w:line="360" w:lineRule="auto"/>
        <w:ind w:firstLine="480" w:firstLineChars="200"/>
        <w:jc w:val="left"/>
        <w:rPr>
          <w:rFonts w:ascii="宋体" w:hAnsi="宋体"/>
          <w:b/>
          <w:bCs/>
          <w:sz w:val="24"/>
        </w:rPr>
      </w:pPr>
      <w:r>
        <w:rPr>
          <w:rFonts w:hint="eastAsia" w:ascii="宋体" w:hAnsi="宋体"/>
          <w:kern w:val="0"/>
          <w:sz w:val="24"/>
        </w:rPr>
        <w:t>1、磋商响应文件中的报价货物跟商务与技术内容中的</w:t>
      </w:r>
      <w:r>
        <w:rPr>
          <w:rFonts w:hint="eastAsia" w:ascii="宋体" w:hAnsi="宋体"/>
          <w:color w:val="000000"/>
          <w:kern w:val="0"/>
          <w:sz w:val="24"/>
        </w:rPr>
        <w:t>供应货物</w:t>
      </w:r>
      <w:r>
        <w:rPr>
          <w:rFonts w:hint="eastAsia" w:ascii="宋体" w:hAnsi="宋体"/>
          <w:kern w:val="0"/>
          <w:sz w:val="24"/>
        </w:rPr>
        <w:t>出现重大偏差的；</w:t>
      </w:r>
    </w:p>
    <w:p>
      <w:pPr>
        <w:pStyle w:val="39"/>
        <w:tabs>
          <w:tab w:val="left" w:pos="7380"/>
        </w:tabs>
        <w:adjustRightInd w:val="0"/>
        <w:snapToGrid w:val="0"/>
        <w:spacing w:before="0" w:beforeAutospacing="0" w:after="0" w:afterAutospacing="0" w:line="360" w:lineRule="auto"/>
        <w:ind w:firstLine="480" w:firstLineChars="200"/>
        <w:rPr>
          <w:rFonts w:hint="default"/>
        </w:rPr>
      </w:pPr>
      <w:r>
        <w:t>2、不具备磋商采购文件中规定的资格要求的。</w:t>
      </w:r>
    </w:p>
    <w:p>
      <w:pPr>
        <w:pStyle w:val="39"/>
        <w:adjustRightInd w:val="0"/>
        <w:snapToGrid w:val="0"/>
        <w:spacing w:before="0" w:beforeAutospacing="0" w:after="0" w:afterAutospacing="0" w:line="360" w:lineRule="auto"/>
        <w:ind w:firstLine="480" w:firstLineChars="200"/>
        <w:rPr>
          <w:rFonts w:hint="default"/>
        </w:rPr>
      </w:pPr>
      <w:r>
        <w:t>3、磋商响应文件含有采购人不能接受的附加条件的。</w:t>
      </w:r>
    </w:p>
    <w:p>
      <w:pPr>
        <w:adjustRightInd w:val="0"/>
        <w:snapToGrid w:val="0"/>
        <w:spacing w:line="360" w:lineRule="auto"/>
        <w:ind w:firstLine="480" w:firstLineChars="200"/>
        <w:jc w:val="left"/>
        <w:rPr>
          <w:rFonts w:ascii="宋体" w:hAnsi="宋体"/>
          <w:bCs/>
          <w:kern w:val="0"/>
          <w:sz w:val="24"/>
        </w:rPr>
      </w:pPr>
      <w:r>
        <w:rPr>
          <w:rFonts w:hint="eastAsia" w:ascii="宋体" w:hAnsi="宋体"/>
          <w:kern w:val="0"/>
          <w:sz w:val="24"/>
        </w:rPr>
        <w:t>4</w:t>
      </w:r>
      <w:r>
        <w:rPr>
          <w:rFonts w:hint="eastAsia" w:ascii="宋体" w:hAnsi="宋体"/>
          <w:sz w:val="24"/>
        </w:rPr>
        <w:t>、供应商代表人未能出具身份证明或与法定代表人授权委托人身份不符的；</w:t>
      </w:r>
    </w:p>
    <w:p>
      <w:pPr>
        <w:pStyle w:val="39"/>
        <w:adjustRightInd w:val="0"/>
        <w:snapToGrid w:val="0"/>
        <w:spacing w:before="0" w:beforeAutospacing="0" w:after="0" w:afterAutospacing="0" w:line="360" w:lineRule="auto"/>
        <w:ind w:firstLine="480" w:firstLineChars="200"/>
        <w:rPr>
          <w:rFonts w:hint="default"/>
        </w:rPr>
      </w:pPr>
      <w: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39"/>
        <w:adjustRightInd w:val="0"/>
        <w:snapToGrid w:val="0"/>
        <w:spacing w:before="0" w:beforeAutospacing="0" w:after="0" w:afterAutospacing="0" w:line="360" w:lineRule="auto"/>
        <w:ind w:firstLine="480" w:firstLineChars="200"/>
        <w:rPr>
          <w:rFonts w:hint="default"/>
        </w:rPr>
      </w:pPr>
      <w:r>
        <w:t>6、报价超过磋商采购文件中规定的预算金额 。</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7、磋商响应文件提供虚假材料的。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8</w:t>
      </w:r>
      <w:r>
        <w:rPr>
          <w:rFonts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文件由同一单位或者个人编制；</w:t>
      </w:r>
    </w:p>
    <w:p>
      <w:pPr>
        <w:pStyle w:val="39"/>
        <w:spacing w:before="0" w:beforeAutospacing="0" w:after="0" w:afterAutospacing="0" w:line="360" w:lineRule="auto"/>
        <w:ind w:firstLine="480" w:firstLineChars="200"/>
        <w:rPr>
          <w:rFonts w:hint="default"/>
        </w:rPr>
      </w:pPr>
      <w:r>
        <w:t>9、不同供应商委托同一单位或者个人办理磋商事宜；</w:t>
      </w:r>
    </w:p>
    <w:p>
      <w:pPr>
        <w:pStyle w:val="39"/>
        <w:spacing w:before="0" w:beforeAutospacing="0" w:after="0" w:afterAutospacing="0" w:line="360" w:lineRule="auto"/>
        <w:ind w:firstLine="480" w:firstLineChars="200"/>
        <w:rPr>
          <w:rFonts w:hint="default"/>
        </w:rPr>
      </w:pPr>
      <w:r>
        <w:t>10、不同供应商的磋商响应文件载明的项目管理成员或者联系人员为同一人；</w:t>
      </w:r>
    </w:p>
    <w:p>
      <w:pPr>
        <w:pStyle w:val="39"/>
        <w:spacing w:before="0" w:beforeAutospacing="0" w:after="0" w:afterAutospacing="0" w:line="360" w:lineRule="auto"/>
        <w:ind w:firstLine="480" w:firstLineChars="200"/>
        <w:rPr>
          <w:rFonts w:hint="default"/>
        </w:rPr>
      </w:pPr>
      <w:r>
        <w:t>11、不同供应商的磋商响应文件异常一致或者报价呈规律性差异；</w:t>
      </w:r>
    </w:p>
    <w:p>
      <w:pPr>
        <w:pStyle w:val="39"/>
        <w:spacing w:before="0" w:beforeAutospacing="0" w:after="0" w:afterAutospacing="0" w:line="360" w:lineRule="auto"/>
        <w:ind w:firstLine="480" w:firstLineChars="200"/>
        <w:rPr>
          <w:rFonts w:hint="default"/>
        </w:rPr>
      </w:pPr>
      <w:r>
        <w:t>12、不同供应商的磋商响应文件相互混装；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13、不符合法律、法规和磋商采购文件中规定的其他实质性要求的（磋商采购文件中打“▲”内容及被拒绝的条款）。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000000"/>
          <w:kern w:val="0"/>
          <w:sz w:val="24"/>
        </w:rPr>
      </w:pPr>
      <w:r>
        <w:rPr>
          <w:rFonts w:hint="eastAsia" w:ascii="宋体" w:hAnsi="宋体"/>
          <w:b/>
          <w:kern w:val="0"/>
          <w:sz w:val="24"/>
        </w:rPr>
        <w:t>（五）有下列情况之一的，本次磋商终止。</w:t>
      </w:r>
    </w:p>
    <w:p>
      <w:pPr>
        <w:pStyle w:val="39"/>
        <w:spacing w:before="0" w:beforeAutospacing="0" w:after="0" w:afterAutospacing="0" w:line="360" w:lineRule="auto"/>
        <w:ind w:firstLine="600" w:firstLineChars="250"/>
        <w:jc w:val="both"/>
        <w:rPr>
          <w:rFonts w:hint="default"/>
          <w:color w:val="000000"/>
        </w:rPr>
      </w:pPr>
      <w:r>
        <w:rPr>
          <w:color w:val="000000"/>
        </w:rPr>
        <w:t>1、出现影响采购公正的违法、违规行为的；</w:t>
      </w:r>
    </w:p>
    <w:p>
      <w:pPr>
        <w:pStyle w:val="39"/>
        <w:spacing w:before="0" w:beforeAutospacing="0" w:after="0" w:afterAutospacing="0" w:line="360" w:lineRule="auto"/>
        <w:ind w:firstLine="600" w:firstLineChars="250"/>
        <w:jc w:val="both"/>
        <w:rPr>
          <w:rFonts w:hint="default"/>
          <w:color w:val="000000"/>
        </w:rPr>
      </w:pPr>
      <w:r>
        <w:rPr>
          <w:color w:val="000000"/>
        </w:rPr>
        <w:t xml:space="preserve">2、磋商小组发现磋商文件存在歧义、重大缺陷导致评审工作无法进行，或者磋商文件内容违反国家有关强制性规定的； </w:t>
      </w:r>
    </w:p>
    <w:p>
      <w:pPr>
        <w:pStyle w:val="39"/>
        <w:spacing w:before="0" w:beforeAutospacing="0" w:after="0" w:afterAutospacing="0" w:line="360" w:lineRule="auto"/>
        <w:ind w:firstLine="600" w:firstLineChars="250"/>
        <w:jc w:val="both"/>
        <w:rPr>
          <w:rFonts w:hint="default"/>
          <w:color w:val="000000"/>
        </w:rPr>
      </w:pPr>
      <w:r>
        <w:rPr>
          <w:color w:val="000000"/>
        </w:rPr>
        <w:t>3、因重大变故，采购任务取消的；</w:t>
      </w:r>
    </w:p>
    <w:p>
      <w:pPr>
        <w:pStyle w:val="39"/>
        <w:spacing w:before="0" w:beforeAutospacing="0" w:after="0" w:afterAutospacing="0" w:line="360" w:lineRule="auto"/>
        <w:ind w:firstLine="600" w:firstLineChars="250"/>
        <w:jc w:val="both"/>
        <w:rPr>
          <w:rFonts w:hint="default"/>
          <w:color w:val="000000"/>
        </w:rPr>
      </w:pPr>
      <w:r>
        <w:rPr>
          <w:color w:val="000000"/>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color w:val="000000"/>
          <w:kern w:val="0"/>
          <w:sz w:val="24"/>
        </w:rPr>
      </w:pPr>
      <w:r>
        <w:rPr>
          <w:rFonts w:hint="eastAsia" w:ascii="宋体"/>
          <w:b/>
          <w:color w:val="000000"/>
          <w:kern w:val="0"/>
          <w:sz w:val="24"/>
        </w:rPr>
        <w:t>（六）磋商原则和方法</w:t>
      </w:r>
    </w:p>
    <w:p>
      <w:pPr>
        <w:pStyle w:val="24"/>
        <w:snapToGrid w:val="0"/>
        <w:spacing w:line="360" w:lineRule="auto"/>
        <w:ind w:firstLine="600" w:firstLineChars="250"/>
        <w:rPr>
          <w:rFonts w:hAnsi="宋体"/>
          <w:sz w:val="24"/>
        </w:rPr>
      </w:pPr>
      <w:r>
        <w:rPr>
          <w:rFonts w:hAnsi="宋体"/>
          <w:sz w:val="24"/>
        </w:rPr>
        <w:t>1</w:t>
      </w:r>
      <w:r>
        <w:rPr>
          <w:rFonts w:hint="eastAsia" w:hAnsi="宋体"/>
          <w:sz w:val="24"/>
        </w:rPr>
        <w:t>、磋商</w:t>
      </w:r>
      <w:r>
        <w:rPr>
          <w:rFonts w:hAnsi="宋体"/>
          <w:sz w:val="24"/>
        </w:rPr>
        <w:t>原则。磋商小组必须公平、公正、客观，不带任何倾向性和启发性；不得向外界透露任何与评</w:t>
      </w:r>
      <w:r>
        <w:rPr>
          <w:color w:val="000000"/>
          <w:sz w:val="24"/>
        </w:rPr>
        <w:t>审</w:t>
      </w:r>
      <w:r>
        <w:rPr>
          <w:rFonts w:hAnsi="宋体"/>
          <w:sz w:val="24"/>
        </w:rPr>
        <w:t>有关的内容；任何单位和个人不得干扰、影响评</w:t>
      </w:r>
      <w:r>
        <w:rPr>
          <w:color w:val="000000"/>
          <w:sz w:val="24"/>
        </w:rPr>
        <w:t>审</w:t>
      </w:r>
      <w:r>
        <w:rPr>
          <w:rFonts w:hAnsi="宋体"/>
          <w:sz w:val="24"/>
        </w:rPr>
        <w:t>的正常进行；磋商小组及有关工作人员不得私下与</w:t>
      </w:r>
      <w:r>
        <w:rPr>
          <w:rFonts w:hint="eastAsia" w:hAnsi="宋体"/>
          <w:color w:val="000000"/>
          <w:sz w:val="24"/>
        </w:rPr>
        <w:t>磋商供应商</w:t>
      </w:r>
      <w:r>
        <w:rPr>
          <w:rFonts w:hAnsi="宋体"/>
          <w:sz w:val="24"/>
        </w:rPr>
        <w:t>接触。</w:t>
      </w:r>
    </w:p>
    <w:p>
      <w:pPr>
        <w:pStyle w:val="24"/>
        <w:snapToGrid w:val="0"/>
        <w:spacing w:line="360" w:lineRule="auto"/>
        <w:ind w:firstLine="600" w:firstLineChars="250"/>
        <w:rPr>
          <w:rFonts w:hAnsi="宋体"/>
          <w:sz w:val="24"/>
        </w:rPr>
      </w:pPr>
      <w:r>
        <w:rPr>
          <w:rFonts w:hAnsi="宋体"/>
          <w:sz w:val="24"/>
        </w:rPr>
        <w:t>2</w:t>
      </w:r>
      <w:r>
        <w:rPr>
          <w:rFonts w:hint="eastAsia" w:hAnsi="宋体"/>
          <w:sz w:val="24"/>
        </w:rPr>
        <w:t>、磋商</w:t>
      </w:r>
      <w:r>
        <w:rPr>
          <w:rFonts w:hAnsi="宋体"/>
          <w:sz w:val="24"/>
        </w:rPr>
        <w:t>办法。具体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24"/>
        <w:snapToGrid w:val="0"/>
        <w:spacing w:line="360" w:lineRule="auto"/>
        <w:ind w:firstLine="602" w:firstLineChars="250"/>
        <w:rPr>
          <w:rFonts w:hAnsi="宋体"/>
          <w:sz w:val="24"/>
        </w:rPr>
      </w:pPr>
      <w:r>
        <w:rPr>
          <w:rFonts w:hAnsi="宋体"/>
          <w:b/>
          <w:color w:val="000000"/>
          <w:sz w:val="24"/>
        </w:rPr>
        <w:t>（</w:t>
      </w:r>
      <w:r>
        <w:rPr>
          <w:rFonts w:hint="eastAsia" w:hAnsi="宋体"/>
          <w:b/>
          <w:color w:val="000000"/>
          <w:sz w:val="24"/>
        </w:rPr>
        <w:t>七</w:t>
      </w:r>
      <w:r>
        <w:rPr>
          <w:rFonts w:hAnsi="宋体"/>
          <w:b/>
          <w:color w:val="000000"/>
          <w:sz w:val="24"/>
        </w:rPr>
        <w:t>）评审过程的监控</w:t>
      </w:r>
    </w:p>
    <w:p>
      <w:pPr>
        <w:pStyle w:val="39"/>
        <w:spacing w:before="0" w:beforeAutospacing="0" w:after="0" w:afterAutospacing="0" w:line="360" w:lineRule="auto"/>
        <w:ind w:firstLine="480" w:firstLineChars="200"/>
        <w:jc w:val="both"/>
        <w:rPr>
          <w:rFonts w:hint="default"/>
        </w:rPr>
      </w:pPr>
      <w:r>
        <w:t>本项目评审过程实行全程录音、录像监控，政府采购监管部门视情进行现场监督，供应商在评审过程中所进行的试图影响评审结果的不公正活动，可能导致其被拒绝磋商。</w:t>
      </w:r>
    </w:p>
    <w:p>
      <w:pPr>
        <w:pStyle w:val="39"/>
        <w:spacing w:before="0" w:beforeAutospacing="0" w:after="0" w:afterAutospacing="0" w:line="360" w:lineRule="auto"/>
        <w:ind w:firstLine="482" w:firstLineChars="200"/>
        <w:jc w:val="both"/>
        <w:rPr>
          <w:rFonts w:hint="default"/>
        </w:rPr>
      </w:pPr>
      <w:r>
        <w:rPr>
          <w:b/>
        </w:rPr>
        <w:t>四、磋商结果确定</w:t>
      </w:r>
    </w:p>
    <w:p>
      <w:pPr>
        <w:pStyle w:val="39"/>
        <w:spacing w:before="0" w:beforeAutospacing="0" w:after="0" w:afterAutospacing="0" w:line="360" w:lineRule="auto"/>
        <w:ind w:firstLine="600" w:firstLineChars="250"/>
        <w:jc w:val="both"/>
        <w:rPr>
          <w:rFonts w:hint="default"/>
        </w:rPr>
      </w:pPr>
      <w: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成交结果，并将磋商文件随同公告。</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rPr>
        <w:t>五、合同签订及公告</w:t>
      </w:r>
    </w:p>
    <w:p>
      <w:pPr>
        <w:pStyle w:val="3"/>
        <w:tabs>
          <w:tab w:val="left" w:pos="720"/>
          <w:tab w:val="left" w:pos="1260"/>
          <w:tab w:val="left" w:pos="2160"/>
          <w:tab w:val="left" w:pos="2880"/>
          <w:tab w:val="left" w:pos="3600"/>
          <w:tab w:val="left" w:pos="4320"/>
          <w:tab w:val="left" w:pos="5040"/>
          <w:tab w:val="left" w:pos="5760"/>
        </w:tabs>
        <w:ind w:firstLine="422" w:firstLineChars="200"/>
        <w:rPr>
          <w:rFonts w:hAnsi="宋体"/>
          <w:b/>
          <w:color w:val="auto"/>
          <w:szCs w:val="24"/>
        </w:rPr>
      </w:pPr>
      <w:r>
        <w:rPr>
          <w:rFonts w:hint="eastAsia"/>
          <w:b/>
          <w:szCs w:val="24"/>
        </w:rPr>
        <w:t>（一）</w:t>
      </w:r>
      <w:r>
        <w:rPr>
          <w:rFonts w:hint="eastAsia" w:hAnsi="宋体"/>
          <w:b/>
          <w:color w:val="auto"/>
          <w:szCs w:val="24"/>
        </w:rPr>
        <w:t>签订合同</w:t>
      </w: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color w:val="auto"/>
          <w:szCs w:val="24"/>
        </w:rPr>
      </w:pPr>
      <w:r>
        <w:rPr>
          <w:rFonts w:hint="eastAsia" w:hAnsi="宋体"/>
          <w:color w:val="auto"/>
          <w:szCs w:val="24"/>
        </w:rPr>
        <w:t>1、采购人应当自成交通知书发出之日起10个工作日内，</w:t>
      </w:r>
      <w:r>
        <w:rPr>
          <w:szCs w:val="24"/>
        </w:rPr>
        <w:t>按照磋商采购文件</w:t>
      </w:r>
      <w:r>
        <w:rPr>
          <w:rFonts w:hint="eastAsia"/>
          <w:szCs w:val="24"/>
        </w:rPr>
        <w:t>确定的合同文本以及采购标的、规格型号、采购金额、采购数量和服务要求等事项签订政府采购合同。</w:t>
      </w:r>
    </w:p>
    <w:p>
      <w:pPr>
        <w:pStyle w:val="39"/>
        <w:spacing w:before="0" w:beforeAutospacing="0" w:after="0" w:afterAutospacing="0" w:line="360" w:lineRule="auto"/>
        <w:ind w:firstLine="600" w:firstLineChars="250"/>
        <w:jc w:val="both"/>
        <w:rPr>
          <w:rFonts w:hint="default"/>
        </w:rPr>
      </w:pPr>
      <w: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39"/>
        <w:spacing w:before="0" w:beforeAutospacing="0" w:after="0" w:afterAutospacing="0" w:line="360" w:lineRule="auto"/>
        <w:ind w:firstLine="600" w:firstLineChars="250"/>
        <w:jc w:val="both"/>
        <w:rPr>
          <w:rFonts w:hint="default"/>
        </w:rPr>
      </w:pPr>
      <w:r>
        <w:t>3、成交供应商无故拖延、拒签合同的,将取消成交资格。</w:t>
      </w:r>
    </w:p>
    <w:p>
      <w:pPr>
        <w:pStyle w:val="39"/>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39"/>
        <w:spacing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420" w:firstLineChars="200"/>
        <w:rPr>
          <w:rFonts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pStyle w:val="3"/>
        <w:tabs>
          <w:tab w:val="left" w:pos="720"/>
          <w:tab w:val="left" w:pos="1260"/>
          <w:tab w:val="left" w:pos="2160"/>
          <w:tab w:val="left" w:pos="2880"/>
          <w:tab w:val="left" w:pos="3600"/>
          <w:tab w:val="left" w:pos="4320"/>
          <w:tab w:val="left" w:pos="5040"/>
          <w:tab w:val="left" w:pos="5760"/>
        </w:tabs>
        <w:ind w:firstLine="0" w:firstLineChars="0"/>
        <w:rPr>
          <w:rFonts w:hint="eastAsia" w:hAnsi="宋体"/>
        </w:r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第三章 </w:t>
      </w:r>
      <w:r>
        <w:rPr>
          <w:rFonts w:asciiTheme="minorEastAsia" w:hAnsiTheme="minorEastAsia" w:eastAsiaTheme="minorEastAsia"/>
          <w:b/>
          <w:sz w:val="36"/>
          <w:szCs w:val="36"/>
        </w:rPr>
        <w:t>项目需求</w:t>
      </w:r>
    </w:p>
    <w:p>
      <w:pPr>
        <w:keepNext/>
        <w:keepLines/>
        <w:wordWrap w:val="0"/>
        <w:spacing w:line="360" w:lineRule="auto"/>
        <w:textAlignment w:val="baseline"/>
        <w:outlineLvl w:val="1"/>
        <w:rPr>
          <w:rFonts w:hint="eastAsia"/>
          <w:b/>
          <w:bCs/>
          <w:color w:val="000000"/>
          <w:sz w:val="30"/>
          <w:szCs w:val="32"/>
        </w:rPr>
      </w:pPr>
      <w:r>
        <w:rPr>
          <w:rFonts w:hint="eastAsia"/>
          <w:b/>
          <w:bCs/>
          <w:color w:val="000000"/>
          <w:sz w:val="30"/>
          <w:szCs w:val="32"/>
        </w:rPr>
        <w:t>一、招标项目一览表：</w:t>
      </w:r>
    </w:p>
    <w:tbl>
      <w:tblPr>
        <w:tblStyle w:val="45"/>
        <w:tblW w:w="9524" w:type="dxa"/>
        <w:tblCellSpacing w:w="7" w:type="dxa"/>
        <w:tblInd w:w="-2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20"/>
        <w:gridCol w:w="3402"/>
        <w:gridCol w:w="1418"/>
        <w:gridCol w:w="19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项目名称</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ascii="宋体"/>
                <w:kern w:val="0"/>
                <w:sz w:val="24"/>
                <w:szCs w:val="24"/>
              </w:rPr>
            </w:pPr>
            <w:r>
              <w:rPr>
                <w:rFonts w:hint="eastAsia" w:ascii="宋体" w:hAnsi="宋体" w:cs="宋体"/>
                <w:sz w:val="24"/>
                <w:szCs w:val="24"/>
              </w:rPr>
              <w:t>具体</w:t>
            </w:r>
            <w:r>
              <w:rPr>
                <w:rFonts w:hint="eastAsia" w:ascii="宋体" w:hAnsi="宋体" w:cs="宋体"/>
                <w:sz w:val="24"/>
                <w:szCs w:val="24"/>
                <w:lang w:val="en-US" w:eastAsia="zh-CN"/>
              </w:rPr>
              <w:t>采购</w:t>
            </w:r>
            <w:r>
              <w:rPr>
                <w:rFonts w:hint="eastAsia" w:ascii="宋体" w:hAnsi="宋体" w:cs="宋体"/>
                <w:sz w:val="24"/>
                <w:szCs w:val="24"/>
              </w:rPr>
              <w:t>内容</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spacing w:line="340" w:lineRule="exact"/>
              <w:jc w:val="center"/>
              <w:rPr>
                <w:rFonts w:ascii="宋体"/>
                <w:kern w:val="0"/>
                <w:sz w:val="24"/>
                <w:szCs w:val="24"/>
              </w:rPr>
            </w:pPr>
            <w:r>
              <w:rPr>
                <w:rFonts w:hint="eastAsia" w:ascii="宋体"/>
                <w:kern w:val="0"/>
                <w:sz w:val="24"/>
                <w:szCs w:val="24"/>
              </w:rPr>
              <w:t>最高限价</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val="en-US" w:eastAsia="zh-CN"/>
              </w:rPr>
            </w:pPr>
            <w:r>
              <w:rPr>
                <w:rFonts w:hint="eastAsia" w:ascii="宋体" w:hAnsi="宋体" w:cs="Arial"/>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tblCellSpacing w:w="7" w:type="dxa"/>
        </w:trPr>
        <w:tc>
          <w:tcPr>
            <w:tcW w:w="2699" w:type="dxa"/>
            <w:tcBorders>
              <w:top w:val="single" w:color="auto" w:sz="2" w:space="0"/>
              <w:left w:val="single" w:color="auto" w:sz="2" w:space="0"/>
              <w:bottom w:val="single" w:color="auto" w:sz="2" w:space="0"/>
              <w:right w:val="single" w:color="auto" w:sz="2" w:space="0"/>
            </w:tcBorders>
            <w:noWrap w:val="0"/>
            <w:tcMar>
              <w:top w:w="15" w:type="dxa"/>
              <w:left w:w="15" w:type="dxa"/>
              <w:bottom w:w="15" w:type="dxa"/>
              <w:right w:w="15" w:type="dxa"/>
            </w:tcMar>
            <w:vAlign w:val="center"/>
          </w:tcPr>
          <w:p>
            <w:pPr>
              <w:widowControl/>
              <w:spacing w:line="340" w:lineRule="exact"/>
              <w:jc w:val="center"/>
              <w:rPr>
                <w:rFonts w:ascii="宋体" w:hAnsi="宋体" w:cs="宋体"/>
                <w:sz w:val="24"/>
                <w:szCs w:val="24"/>
              </w:rPr>
            </w:pPr>
            <w:r>
              <w:rPr>
                <w:rFonts w:hint="eastAsia" w:ascii="宋体"/>
                <w:kern w:val="0"/>
                <w:sz w:val="24"/>
                <w:szCs w:val="24"/>
              </w:rPr>
              <w:t>三门县亭旁镇电动游览观光车采购项目</w:t>
            </w:r>
          </w:p>
        </w:tc>
        <w:tc>
          <w:tcPr>
            <w:tcW w:w="3388" w:type="dxa"/>
            <w:tcBorders>
              <w:top w:val="single" w:color="auto" w:sz="2" w:space="0"/>
              <w:left w:val="single" w:color="auto" w:sz="4" w:space="0"/>
              <w:bottom w:val="single" w:color="auto" w:sz="2" w:space="0"/>
              <w:right w:val="single" w:color="auto" w:sz="4" w:space="0"/>
            </w:tcBorders>
            <w:noWrap w:val="0"/>
            <w:tcMar>
              <w:top w:w="15" w:type="dxa"/>
              <w:left w:w="15" w:type="dxa"/>
              <w:bottom w:w="15" w:type="dxa"/>
              <w:right w:w="15" w:type="dxa"/>
            </w:tcMar>
            <w:vAlign w:val="center"/>
          </w:tcPr>
          <w:p>
            <w:pPr>
              <w:widowControl/>
              <w:spacing w:line="340" w:lineRule="exact"/>
              <w:jc w:val="center"/>
              <w:rPr>
                <w:rFonts w:hint="default" w:ascii="宋体" w:hAnsi="宋体" w:eastAsia="宋体" w:cs="Arial"/>
                <w:kern w:val="0"/>
                <w:sz w:val="24"/>
                <w:szCs w:val="24"/>
                <w:lang w:val="en-US" w:eastAsia="zh-CN"/>
              </w:rPr>
            </w:pPr>
            <w:r>
              <w:rPr>
                <w:rFonts w:hint="eastAsia" w:ascii="宋体" w:hAnsi="宋体" w:cs="Arial"/>
                <w:kern w:val="0"/>
                <w:sz w:val="24"/>
                <w:szCs w:val="24"/>
                <w:lang w:val="en-US" w:eastAsia="zh-CN"/>
              </w:rPr>
              <w:t>9辆14座电动观光车；1辆6座电动观光车。</w:t>
            </w:r>
          </w:p>
        </w:tc>
        <w:tc>
          <w:tcPr>
            <w:tcW w:w="1404"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hint="eastAsia" w:ascii="宋体" w:hAnsi="宋体" w:eastAsia="宋体" w:cs="Arial"/>
                <w:kern w:val="0"/>
                <w:sz w:val="24"/>
                <w:szCs w:val="24"/>
                <w:lang w:eastAsia="zh-CN"/>
              </w:rPr>
            </w:pPr>
            <w:r>
              <w:rPr>
                <w:rFonts w:hint="eastAsia" w:ascii="宋体" w:hAnsi="宋体" w:cs="Arial"/>
                <w:kern w:val="0"/>
                <w:sz w:val="24"/>
                <w:szCs w:val="24"/>
                <w:lang w:val="en-US" w:eastAsia="zh-CN"/>
              </w:rPr>
              <w:t>68万</w:t>
            </w:r>
            <w:r>
              <w:rPr>
                <w:rFonts w:hint="eastAsia" w:ascii="宋体" w:hAnsi="宋体" w:cs="Arial"/>
                <w:kern w:val="0"/>
                <w:sz w:val="24"/>
                <w:szCs w:val="24"/>
                <w:lang w:eastAsia="zh-CN"/>
              </w:rPr>
              <w:t>元</w:t>
            </w:r>
          </w:p>
        </w:tc>
        <w:tc>
          <w:tcPr>
            <w:tcW w:w="1963" w:type="dxa"/>
            <w:tcBorders>
              <w:top w:val="single" w:color="auto" w:sz="2" w:space="0"/>
              <w:left w:val="single" w:color="auto" w:sz="4" w:space="0"/>
              <w:bottom w:val="single" w:color="auto" w:sz="2" w:space="0"/>
              <w:right w:val="single" w:color="auto" w:sz="4" w:space="0"/>
            </w:tcBorders>
            <w:noWrap w:val="0"/>
            <w:vAlign w:val="center"/>
          </w:tcPr>
          <w:p>
            <w:pPr>
              <w:widowControl/>
              <w:spacing w:line="340" w:lineRule="exact"/>
              <w:jc w:val="center"/>
              <w:rPr>
                <w:rFonts w:ascii="宋体" w:hAnsi="宋体" w:cs="Arial"/>
                <w:kern w:val="0"/>
                <w:sz w:val="24"/>
                <w:szCs w:val="24"/>
              </w:rPr>
            </w:pPr>
          </w:p>
        </w:tc>
      </w:tr>
    </w:tbl>
    <w:p>
      <w:pPr>
        <w:pStyle w:val="42"/>
      </w:pPr>
    </w:p>
    <w:p>
      <w:pPr>
        <w:pStyle w:val="42"/>
        <w:ind w:left="0" w:leftChars="0" w:firstLine="0" w:firstLineChars="0"/>
        <w:rPr>
          <w:rFonts w:hint="eastAsia" w:ascii="宋体" w:hAnsi="宋体" w:eastAsia="宋体" w:cs="宋体"/>
          <w:b/>
          <w:color w:val="000000"/>
          <w:spacing w:val="-4"/>
          <w:sz w:val="24"/>
          <w:szCs w:val="24"/>
          <w:lang w:eastAsia="zh-CN"/>
        </w:rPr>
      </w:pPr>
      <w:r>
        <w:rPr>
          <w:rFonts w:hint="eastAsia"/>
          <w:b/>
          <w:bCs/>
          <w:color w:val="000000"/>
          <w:sz w:val="30"/>
          <w:szCs w:val="32"/>
        </w:rPr>
        <w:t>二、</w:t>
      </w:r>
      <w:bookmarkStart w:id="1" w:name="_Hlk79607380"/>
      <w:bookmarkStart w:id="2" w:name="_Hlk80434249"/>
      <w:r>
        <w:rPr>
          <w:rFonts w:hint="eastAsia" w:ascii="Times New Roman" w:hAnsi="Times New Roman" w:eastAsia="宋体" w:cs="Times New Roman"/>
          <w:b/>
          <w:bCs/>
          <w:color w:val="000000"/>
          <w:kern w:val="2"/>
          <w:sz w:val="30"/>
          <w:szCs w:val="32"/>
          <w:lang w:val="en-US" w:eastAsia="zh-CN" w:bidi="ar-SA"/>
        </w:rPr>
        <w:t>设备技术参数要求：</w:t>
      </w:r>
    </w:p>
    <w:bookmarkEnd w:id="1"/>
    <w:p>
      <w:pPr>
        <w:jc w:val="center"/>
        <w:rPr>
          <w:rFonts w:hint="default"/>
          <w:lang w:val="en-US" w:eastAsia="zh-CN"/>
        </w:rPr>
      </w:pPr>
      <w:r>
        <w:rPr>
          <w:rFonts w:hint="eastAsia" w:ascii="宋体" w:hAnsi="宋体" w:eastAsia="宋体" w:cs="宋体"/>
          <w:b/>
          <w:sz w:val="44"/>
          <w:szCs w:val="44"/>
          <w:lang w:val="en-US" w:eastAsia="zh-CN"/>
        </w:rPr>
        <w:t>14座电</w:t>
      </w:r>
      <w:r>
        <w:rPr>
          <w:rFonts w:hint="eastAsia" w:ascii="宋体" w:hAnsi="宋体" w:eastAsia="宋体" w:cs="宋体"/>
          <w:b/>
          <w:sz w:val="44"/>
          <w:szCs w:val="44"/>
          <w:lang w:eastAsia="zh-CN"/>
        </w:rPr>
        <w:t>动</w:t>
      </w:r>
      <w:r>
        <w:rPr>
          <w:rFonts w:hint="eastAsia" w:ascii="宋体" w:hAnsi="宋体" w:eastAsia="宋体" w:cs="宋体"/>
          <w:b/>
          <w:sz w:val="44"/>
          <w:szCs w:val="44"/>
          <w:lang w:val="en-US" w:eastAsia="zh-CN"/>
        </w:rPr>
        <w:t>观光车参数配置</w:t>
      </w:r>
    </w:p>
    <w:tbl>
      <w:tblPr>
        <w:tblStyle w:val="45"/>
        <w:tblW w:w="5000" w:type="pct"/>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1957"/>
        <w:gridCol w:w="2275"/>
        <w:gridCol w:w="2533"/>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电气系统</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控制器</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72V交流系统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电池</w:t>
            </w:r>
          </w:p>
        </w:tc>
        <w:tc>
          <w:tcPr>
            <w:tcW w:w="378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磷酸铁锂电池72V250AH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电动机</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交流15KW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充电机</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车载充电器,72V/40A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r>
              <w:rPr>
                <w:rFonts w:hint="eastAsia" w:ascii="宋体" w:hAnsi="宋体" w:eastAsia="宋体" w:cs="宋体"/>
                <w:b/>
                <w:sz w:val="24"/>
                <w:szCs w:val="24"/>
              </w:rPr>
              <w:t>车身配置</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前挡及雨刷</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夹胶玻璃配雨刮器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顶棚</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铝合金框架+ABS板材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座椅</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高回弹整体汽车座椅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地板</w:t>
            </w:r>
          </w:p>
        </w:tc>
        <w:tc>
          <w:tcPr>
            <w:tcW w:w="378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汽车专用防滑地板革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车身</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高强度碳钢焊接钢架和钣金一体冲压成型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jc w:val="both"/>
              <w:rPr>
                <w:rFonts w:hint="eastAsia" w:ascii="宋体" w:hAnsi="宋体" w:eastAsia="宋体" w:cs="Times New Roman"/>
                <w:sz w:val="24"/>
                <w:szCs w:val="24"/>
                <w:lang w:val="en-US" w:eastAsia="zh-CN"/>
              </w:rPr>
            </w:pPr>
            <w:r>
              <w:rPr>
                <w:rFonts w:hint="eastAsia"/>
                <w:sz w:val="24"/>
                <w:szCs w:val="24"/>
              </w:rPr>
              <w:t>车架</w:t>
            </w:r>
          </w:p>
        </w:tc>
        <w:tc>
          <w:tcPr>
            <w:tcW w:w="3781" w:type="pct"/>
            <w:gridSpan w:val="3"/>
            <w:noWrap w:val="0"/>
            <w:vAlign w:val="center"/>
          </w:tcPr>
          <w:p>
            <w:pPr>
              <w:rPr>
                <w:sz w:val="24"/>
                <w:szCs w:val="24"/>
              </w:rPr>
            </w:pPr>
            <w:r>
              <w:rPr>
                <w:rStyle w:val="386"/>
                <w:rFonts w:hint="eastAsia" w:ascii="宋体" w:hAnsi="宋体" w:cs="宋体"/>
                <w:szCs w:val="21"/>
              </w:rPr>
              <w:t>★</w:t>
            </w:r>
            <w:r>
              <w:rPr>
                <w:rFonts w:hint="eastAsia"/>
                <w:sz w:val="24"/>
                <w:szCs w:val="24"/>
              </w:rPr>
              <w:t>增强</w:t>
            </w:r>
            <w:r>
              <w:rPr>
                <w:rFonts w:hint="eastAsia"/>
                <w:sz w:val="24"/>
                <w:szCs w:val="24"/>
                <w:lang w:eastAsia="zh-CN"/>
              </w:rPr>
              <w:t>型</w:t>
            </w:r>
            <w:r>
              <w:rPr>
                <w:rFonts w:hint="eastAsia"/>
                <w:sz w:val="24"/>
                <w:szCs w:val="24"/>
              </w:rPr>
              <w:t>汽车底盘技术，高强度方钢焊接优质中碳钢，钢材拉伸强度大，拉伸强度达520Mpa，</w:t>
            </w:r>
            <w:r>
              <w:rPr>
                <w:rFonts w:hint="eastAsia" w:ascii="宋体" w:hAnsi="宋体" w:cs="宋体"/>
                <w:sz w:val="24"/>
                <w:szCs w:val="24"/>
              </w:rPr>
              <w:t>弯曲角度达180°或以上</w:t>
            </w:r>
            <w:r>
              <w:rPr>
                <w:rFonts w:hint="eastAsia" w:ascii="宋体" w:hAnsi="宋体" w:cs="宋体"/>
                <w:sz w:val="24"/>
                <w:szCs w:val="24"/>
                <w:lang w:eastAsia="zh-CN"/>
              </w:rPr>
              <w:t>，</w:t>
            </w:r>
            <w:r>
              <w:rPr>
                <w:rFonts w:hint="eastAsia"/>
                <w:sz w:val="24"/>
                <w:szCs w:val="24"/>
              </w:rPr>
              <w:t>优化防锈烤漆处理、耐腐蚀，载重量大，避震技术设计优良，具有很好的稳定性和安全性。</w:t>
            </w:r>
          </w:p>
          <w:p>
            <w:pPr>
              <w:rPr>
                <w:rFonts w:hint="eastAsia" w:ascii="宋体" w:hAnsi="宋体" w:cs="宋体"/>
                <w:b/>
                <w:sz w:val="24"/>
                <w:szCs w:val="24"/>
              </w:rPr>
            </w:pPr>
            <w:r>
              <w:rPr>
                <w:rFonts w:hint="eastAsia"/>
                <w:sz w:val="24"/>
                <w:szCs w:val="24"/>
              </w:rPr>
              <w:t>车辆制造厂需</w:t>
            </w:r>
            <w:r>
              <w:rPr>
                <w:sz w:val="24"/>
                <w:szCs w:val="24"/>
              </w:rPr>
              <w:t>具备</w:t>
            </w:r>
            <w:r>
              <w:rPr>
                <w:rFonts w:hint="eastAsia"/>
                <w:sz w:val="24"/>
                <w:szCs w:val="24"/>
              </w:rPr>
              <w:t>第三方检测机构出具的观光车</w:t>
            </w:r>
            <w:r>
              <w:rPr>
                <w:sz w:val="24"/>
                <w:szCs w:val="24"/>
              </w:rPr>
              <w:t>车架</w:t>
            </w:r>
            <w:r>
              <w:rPr>
                <w:rFonts w:hint="eastAsia"/>
                <w:sz w:val="24"/>
                <w:szCs w:val="24"/>
              </w:rPr>
              <w:t>及相关证明材料，</w:t>
            </w:r>
            <w:r>
              <w:rPr>
                <w:sz w:val="24"/>
                <w:szCs w:val="24"/>
              </w:rPr>
              <w:t>以</w:t>
            </w:r>
            <w:r>
              <w:rPr>
                <w:rFonts w:hint="eastAsia"/>
                <w:sz w:val="24"/>
                <w:szCs w:val="24"/>
              </w:rPr>
              <w:t>证明</w:t>
            </w:r>
            <w:r>
              <w:rPr>
                <w:sz w:val="24"/>
                <w:szCs w:val="24"/>
              </w:rPr>
              <w:t>上述数据的真实性</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灯光及信号</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LED灯具（含远/近光灯、转向灯、倒车灯、行车灯、刹车灯、安全警示灯等）、倒车蜂鸣器</w:t>
            </w:r>
            <w:r>
              <w:rPr>
                <w:rFonts w:hint="eastAsia" w:ascii="宋体" w:hAnsi="宋体" w:cs="Times New Roman"/>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仪表台</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液晶屏组合仪表包含：里程表、电流表、电量表、电压表、车速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方向系统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b/>
                <w:bCs/>
                <w:sz w:val="24"/>
                <w:szCs w:val="24"/>
                <w:lang w:val="en-US" w:eastAsia="zh-CN"/>
              </w:rPr>
              <w:t>方向助力</w:t>
            </w:r>
            <w:r>
              <w:rPr>
                <w:rFonts w:hint="eastAsia" w:ascii="宋体" w:hAnsi="宋体" w:eastAsia="宋体" w:cs="Times New Roman"/>
                <w:sz w:val="24"/>
                <w:szCs w:val="24"/>
                <w:lang w:val="en-US" w:eastAsia="zh-CN"/>
              </w:rPr>
              <w:t>，齿轮齿条式转向系统，有自动调节间隙使方向转动轻便的功能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b/>
                <w:bCs/>
                <w:sz w:val="24"/>
                <w:szCs w:val="24"/>
                <w:lang w:val="en-US" w:eastAsia="zh-CN"/>
              </w:rPr>
              <w:t>刹车助力</w:t>
            </w:r>
            <w:r>
              <w:rPr>
                <w:rFonts w:hint="eastAsia" w:ascii="宋体" w:hAnsi="宋体" w:eastAsia="宋体" w:cs="Times New Roman"/>
                <w:sz w:val="24"/>
                <w:szCs w:val="24"/>
                <w:lang w:val="en-US" w:eastAsia="zh-CN"/>
              </w:rPr>
              <w:t>，液压双管路制动，前后鼓式车轮制动器，驻车制动为机械式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前悬挂麦弗逊独立悬挂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后悬挂系统</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后悬挂为多片钢板弹簧，筒式液压减震器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轮胎规格</w:t>
            </w:r>
          </w:p>
        </w:tc>
        <w:tc>
          <w:tcPr>
            <w:tcW w:w="378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165/70R13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技术参数</w:t>
            </w: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长（mm）</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5180±5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宽（mm）</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1510±5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高（mm）</w:t>
            </w:r>
          </w:p>
        </w:tc>
        <w:tc>
          <w:tcPr>
            <w:tcW w:w="1142"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2050±5</w:t>
            </w:r>
          </w:p>
        </w:tc>
        <w:tc>
          <w:tcPr>
            <w:tcW w:w="1271"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额定乘员（人）</w:t>
            </w:r>
          </w:p>
        </w:tc>
        <w:tc>
          <w:tcPr>
            <w:tcW w:w="1368"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c>
          <w:tcPr>
            <w:tcW w:w="1271"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368" w:type="pct"/>
            <w:noWrap w:val="0"/>
            <w:vAlign w:val="center"/>
          </w:tcPr>
          <w:p>
            <w:pPr>
              <w:numPr>
                <w:ilvl w:val="0"/>
                <w:numId w:val="0"/>
              </w:numPr>
              <w:ind w:left="0" w:leftChars="0" w:firstLine="0" w:firstLineChars="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续驶里程(km)</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≥80</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轴距</w:t>
            </w:r>
          </w:p>
        </w:tc>
        <w:tc>
          <w:tcPr>
            <w:tcW w:w="1368"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2760mm±5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最大爬坡(满载)</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轮距</w:t>
            </w:r>
          </w:p>
        </w:tc>
        <w:tc>
          <w:tcPr>
            <w:tcW w:w="1368"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前1340/后1310mm±5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驻坡性能（空载）</w:t>
            </w:r>
          </w:p>
        </w:tc>
        <w:tc>
          <w:tcPr>
            <w:tcW w:w="114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最小离地间隙（mm）</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105mm±5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6" w:type="pct"/>
            <w:vMerge w:val="continue"/>
            <w:noWrap w:val="0"/>
            <w:vAlign w:val="center"/>
          </w:tcPr>
          <w:p>
            <w:pPr>
              <w:jc w:val="both"/>
              <w:rPr>
                <w:rFonts w:hint="eastAsia" w:ascii="宋体" w:hAnsi="宋体" w:eastAsia="宋体" w:cs="宋体"/>
                <w:sz w:val="24"/>
                <w:szCs w:val="24"/>
              </w:rPr>
            </w:pPr>
          </w:p>
        </w:tc>
        <w:tc>
          <w:tcPr>
            <w:tcW w:w="982"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最小转弯半径</w:t>
            </w:r>
          </w:p>
        </w:tc>
        <w:tc>
          <w:tcPr>
            <w:tcW w:w="1142"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c>
          <w:tcPr>
            <w:tcW w:w="1271"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制动距离</w:t>
            </w:r>
          </w:p>
        </w:tc>
        <w:tc>
          <w:tcPr>
            <w:tcW w:w="1368"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r>
    </w:tbl>
    <w:p>
      <w:pPr>
        <w:rPr>
          <w:rFonts w:hint="default"/>
          <w:lang w:val="en-US" w:eastAsia="zh-CN"/>
        </w:rPr>
      </w:pPr>
      <w:r>
        <w:rPr>
          <w:rFonts w:hint="eastAsia"/>
          <w:b/>
          <w:sz w:val="28"/>
          <w:szCs w:val="28"/>
        </w:rPr>
        <w:t xml:space="preserve">                   </w:t>
      </w:r>
      <w:r>
        <w:rPr>
          <w:rFonts w:hint="eastAsia" w:ascii="宋体" w:hAnsi="宋体" w:eastAsia="宋体" w:cs="宋体"/>
          <w:b/>
          <w:sz w:val="44"/>
          <w:szCs w:val="44"/>
          <w:lang w:val="en-US" w:eastAsia="zh-CN"/>
        </w:rPr>
        <w:t>6座电</w:t>
      </w:r>
      <w:r>
        <w:rPr>
          <w:rFonts w:hint="eastAsia" w:ascii="宋体" w:hAnsi="宋体" w:eastAsia="宋体" w:cs="宋体"/>
          <w:b/>
          <w:sz w:val="44"/>
          <w:szCs w:val="44"/>
          <w:lang w:eastAsia="zh-CN"/>
        </w:rPr>
        <w:t>动</w:t>
      </w:r>
      <w:r>
        <w:rPr>
          <w:rFonts w:hint="eastAsia" w:ascii="宋体" w:hAnsi="宋体" w:cs="宋体"/>
          <w:b/>
          <w:sz w:val="44"/>
          <w:szCs w:val="44"/>
          <w:lang w:val="en-US" w:eastAsia="zh-CN"/>
        </w:rPr>
        <w:t>观光车</w:t>
      </w:r>
      <w:r>
        <w:rPr>
          <w:rFonts w:hint="eastAsia" w:ascii="宋体" w:hAnsi="宋体" w:eastAsia="宋体" w:cs="宋体"/>
          <w:b/>
          <w:sz w:val="44"/>
          <w:szCs w:val="44"/>
          <w:lang w:val="en-US" w:eastAsia="zh-CN"/>
        </w:rPr>
        <w:t>参数配置</w:t>
      </w:r>
    </w:p>
    <w:tbl>
      <w:tblPr>
        <w:tblStyle w:val="45"/>
        <w:tblW w:w="4911" w:type="pct"/>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2012"/>
        <w:gridCol w:w="2221"/>
        <w:gridCol w:w="2535"/>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电气系统</w:t>
            </w:r>
          </w:p>
        </w:tc>
        <w:tc>
          <w:tcPr>
            <w:tcW w:w="1028" w:type="pct"/>
            <w:noWrap w:val="0"/>
            <w:vAlign w:val="center"/>
          </w:tcPr>
          <w:p>
            <w:pPr>
              <w:jc w:val="both"/>
              <w:rPr>
                <w:rFonts w:hint="eastAsia" w:ascii="宋体" w:hAnsi="宋体" w:eastAsia="宋体" w:cs="宋体"/>
                <w:sz w:val="24"/>
                <w:szCs w:val="24"/>
              </w:rPr>
            </w:pPr>
            <w:r>
              <w:rPr>
                <w:rFonts w:hint="eastAsia" w:ascii="宋体" w:hAnsi="宋体"/>
                <w:sz w:val="24"/>
                <w:szCs w:val="24"/>
              </w:rPr>
              <w:t>控制器</w:t>
            </w:r>
          </w:p>
        </w:tc>
        <w:tc>
          <w:tcPr>
            <w:tcW w:w="3731" w:type="pct"/>
            <w:gridSpan w:val="3"/>
            <w:noWrap w:val="0"/>
            <w:vAlign w:val="center"/>
          </w:tcPr>
          <w:p>
            <w:pPr>
              <w:spacing w:line="360" w:lineRule="auto"/>
              <w:jc w:val="left"/>
              <w:rPr>
                <w:rFonts w:hint="eastAsia" w:ascii="宋体" w:hAnsi="宋体" w:eastAsia="宋体" w:cs="宋体"/>
                <w:b w:val="0"/>
                <w:bCs w:val="0"/>
                <w:sz w:val="24"/>
                <w:szCs w:val="24"/>
                <w:lang w:val="en-US" w:eastAsia="zh-CN"/>
              </w:rPr>
            </w:pPr>
            <w:r>
              <w:rPr>
                <w:rFonts w:hint="eastAsia" w:ascii="宋体" w:hAnsi="宋体"/>
                <w:b/>
                <w:bCs w:val="0"/>
                <w:sz w:val="24"/>
                <w:szCs w:val="24"/>
                <w:lang w:val="en-US" w:eastAsia="zh-CN"/>
              </w:rPr>
              <w:t>72</w:t>
            </w:r>
            <w:r>
              <w:rPr>
                <w:rFonts w:hint="eastAsia" w:ascii="宋体" w:hAnsi="宋体"/>
                <w:b/>
                <w:bCs w:val="0"/>
                <w:sz w:val="24"/>
                <w:szCs w:val="24"/>
              </w:rPr>
              <w:t>V交流系统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电池</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宋体"/>
                <w:szCs w:val="21"/>
              </w:rPr>
              <w:t>★</w:t>
            </w:r>
            <w:r>
              <w:rPr>
                <w:rFonts w:hint="eastAsia" w:ascii="宋体" w:hAnsi="宋体" w:eastAsia="宋体" w:cs="Times New Roman"/>
                <w:sz w:val="24"/>
                <w:szCs w:val="24"/>
                <w:lang w:val="en-US" w:eastAsia="zh-CN"/>
              </w:rPr>
              <w:t>免维护电池8V/150AH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电动机</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交流7.5KW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充电机</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车载充电器,72V/25A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p>
          <w:p>
            <w:pPr>
              <w:jc w:val="both"/>
              <w:rPr>
                <w:rFonts w:hint="eastAsia" w:ascii="宋体" w:hAnsi="宋体" w:eastAsia="宋体" w:cs="宋体"/>
                <w:b/>
                <w:sz w:val="24"/>
                <w:szCs w:val="24"/>
              </w:rPr>
            </w:pPr>
            <w:r>
              <w:rPr>
                <w:rFonts w:hint="eastAsia" w:ascii="宋体" w:hAnsi="宋体" w:eastAsia="宋体" w:cs="宋体"/>
                <w:b/>
                <w:sz w:val="24"/>
                <w:szCs w:val="24"/>
              </w:rPr>
              <w:t>车身配置</w:t>
            </w: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前挡及雨刷</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钢化玻璃+雨刮器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顶棚</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吸塑一体式顶棚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座椅</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高回弹整体汽车座椅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地板</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汽车专用防滑地板革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车身</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sz w:val="24"/>
                <w:szCs w:val="24"/>
              </w:rPr>
              <w:t>钢制车架＋玻璃钢外壳+ABS工程塑料成型件。钢结构经过烤漆处理，玻璃钢材料符合国家标准，弯曲强度达到250 Mpa或以上，拉伸强度达到140Mpa或以上，采用国际名牌汽车漆（注：提供车辆制造商的由第三方检测机构出具的玻璃钢件测试报告扫描件，且可证明玻璃钢件弯曲强度达到250 Mpa或以上，拉伸强度达到140Mpa或以上）。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jc w:val="both"/>
              <w:rPr>
                <w:rFonts w:hint="eastAsia" w:ascii="宋体" w:hAnsi="宋体" w:eastAsia="宋体" w:cs="Times New Roman"/>
                <w:sz w:val="24"/>
                <w:szCs w:val="24"/>
                <w:lang w:val="en-US" w:eastAsia="zh-CN"/>
              </w:rPr>
            </w:pPr>
            <w:r>
              <w:rPr>
                <w:rFonts w:hint="eastAsia"/>
                <w:sz w:val="24"/>
                <w:szCs w:val="24"/>
              </w:rPr>
              <w:t>车架</w:t>
            </w:r>
          </w:p>
        </w:tc>
        <w:tc>
          <w:tcPr>
            <w:tcW w:w="3731" w:type="pct"/>
            <w:gridSpan w:val="3"/>
            <w:noWrap w:val="0"/>
            <w:vAlign w:val="center"/>
          </w:tcPr>
          <w:p>
            <w:pPr>
              <w:rPr>
                <w:sz w:val="24"/>
                <w:szCs w:val="24"/>
              </w:rPr>
            </w:pPr>
            <w:r>
              <w:rPr>
                <w:rStyle w:val="386"/>
                <w:rFonts w:hint="eastAsia" w:ascii="宋体" w:hAnsi="宋体" w:cs="宋体"/>
                <w:szCs w:val="21"/>
              </w:rPr>
              <w:t>★</w:t>
            </w:r>
            <w:r>
              <w:rPr>
                <w:rFonts w:hint="eastAsia"/>
                <w:sz w:val="24"/>
                <w:szCs w:val="24"/>
              </w:rPr>
              <w:t>增强</w:t>
            </w:r>
            <w:r>
              <w:rPr>
                <w:rFonts w:hint="eastAsia"/>
                <w:sz w:val="24"/>
                <w:szCs w:val="24"/>
                <w:lang w:eastAsia="zh-CN"/>
              </w:rPr>
              <w:t>型</w:t>
            </w:r>
            <w:r>
              <w:rPr>
                <w:rFonts w:hint="eastAsia"/>
                <w:sz w:val="24"/>
                <w:szCs w:val="24"/>
              </w:rPr>
              <w:t>汽车底盘技术，高强度方钢焊接优质中碳钢，钢材拉伸强度大，拉伸强度达520Mpa，弯曲角度达180。优化防锈烤漆处理、耐腐蚀，载重量大，避震技术设计优良，具有很好的稳定性和安全性。</w:t>
            </w:r>
          </w:p>
          <w:p>
            <w:pPr>
              <w:rPr>
                <w:rFonts w:hint="eastAsia" w:ascii="宋体" w:hAnsi="宋体" w:cs="宋体"/>
                <w:b/>
                <w:sz w:val="24"/>
                <w:szCs w:val="24"/>
              </w:rPr>
            </w:pPr>
            <w:r>
              <w:rPr>
                <w:rFonts w:hint="eastAsia"/>
                <w:sz w:val="24"/>
                <w:szCs w:val="24"/>
              </w:rPr>
              <w:t>车辆制造厂需</w:t>
            </w:r>
            <w:r>
              <w:rPr>
                <w:sz w:val="24"/>
                <w:szCs w:val="24"/>
              </w:rPr>
              <w:t>具备</w:t>
            </w:r>
            <w:r>
              <w:rPr>
                <w:rFonts w:hint="eastAsia"/>
                <w:sz w:val="24"/>
                <w:szCs w:val="24"/>
              </w:rPr>
              <w:t>第三方检测机构出具的</w:t>
            </w:r>
            <w:r>
              <w:rPr>
                <w:sz w:val="24"/>
                <w:szCs w:val="24"/>
              </w:rPr>
              <w:t>车架</w:t>
            </w:r>
            <w:r>
              <w:rPr>
                <w:rFonts w:hint="eastAsia"/>
                <w:sz w:val="24"/>
                <w:szCs w:val="24"/>
              </w:rPr>
              <w:t>及相关证明材料，</w:t>
            </w:r>
            <w:r>
              <w:rPr>
                <w:sz w:val="24"/>
                <w:szCs w:val="24"/>
              </w:rPr>
              <w:t>以</w:t>
            </w:r>
            <w:r>
              <w:rPr>
                <w:rFonts w:hint="eastAsia"/>
                <w:sz w:val="24"/>
                <w:szCs w:val="24"/>
              </w:rPr>
              <w:t>证明</w:t>
            </w:r>
            <w:r>
              <w:rPr>
                <w:sz w:val="24"/>
                <w:szCs w:val="24"/>
              </w:rPr>
              <w:t>上述数据的真实性</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灯光及信号</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LED灯具（含远/近光灯、转向灯、倒车灯、行车灯、刹车灯、安全警示灯等）、倒车蜂鸣器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仪表台</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液晶屏组合仪表包含：里程表、电流表、电量表、电压表、车速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方向系统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齿轮齿条式转向系统，有自动调节间隙使方向转动轻便的功能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液压双管路制动，前后鼓式车轮制动器，驻车制动为机械式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前悬挂麦弗逊独立悬挂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后悬挂系统</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后悬挂为拖曳臂式悬架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轮胎规格</w:t>
            </w:r>
          </w:p>
        </w:tc>
        <w:tc>
          <w:tcPr>
            <w:tcW w:w="3731" w:type="pct"/>
            <w:gridSpan w:val="3"/>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185/70R13 86T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其他</w:t>
            </w:r>
          </w:p>
        </w:tc>
        <w:tc>
          <w:tcPr>
            <w:tcW w:w="3731" w:type="pct"/>
            <w:gridSpan w:val="3"/>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加装一套警务系统含长排红蓝警灯，喊话机。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240" w:type="pct"/>
            <w:vMerge w:val="restart"/>
            <w:noWrap w:val="0"/>
            <w:vAlign w:val="center"/>
          </w:tcPr>
          <w:p>
            <w:pPr>
              <w:jc w:val="both"/>
              <w:rPr>
                <w:rFonts w:hint="eastAsia" w:ascii="宋体" w:hAnsi="宋体" w:eastAsia="宋体" w:cs="宋体"/>
                <w:b/>
                <w:sz w:val="24"/>
                <w:szCs w:val="24"/>
              </w:rPr>
            </w:pPr>
          </w:p>
          <w:p>
            <w:pPr>
              <w:jc w:val="both"/>
              <w:rPr>
                <w:rFonts w:hint="eastAsia" w:ascii="宋体" w:hAnsi="宋体" w:eastAsia="宋体" w:cs="宋体"/>
                <w:sz w:val="24"/>
                <w:szCs w:val="24"/>
              </w:rPr>
            </w:pPr>
            <w:r>
              <w:rPr>
                <w:rFonts w:hint="eastAsia" w:ascii="宋体" w:hAnsi="宋体" w:eastAsia="宋体" w:cs="宋体"/>
                <w:b/>
                <w:sz w:val="24"/>
                <w:szCs w:val="24"/>
              </w:rPr>
              <w:t>技术参数</w:t>
            </w: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长（mm）</w:t>
            </w:r>
          </w:p>
        </w:tc>
        <w:tc>
          <w:tcPr>
            <w:tcW w:w="1134"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4000±5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宽（mm）</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1520±5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b/>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高（mm）</w:t>
            </w:r>
          </w:p>
        </w:tc>
        <w:tc>
          <w:tcPr>
            <w:tcW w:w="1134" w:type="pct"/>
            <w:noWrap w:val="0"/>
            <w:vAlign w:val="center"/>
          </w:tcPr>
          <w:p>
            <w:pPr>
              <w:numPr>
                <w:ilvl w:val="0"/>
                <w:numId w:val="0"/>
              </w:numPr>
              <w:jc w:val="both"/>
              <w:rPr>
                <w:rFonts w:hint="eastAsia" w:ascii="宋体" w:hAnsi="宋体" w:cs="宋体"/>
                <w:b/>
                <w:szCs w:val="21"/>
              </w:rPr>
            </w:pPr>
            <w:r>
              <w:rPr>
                <w:rStyle w:val="386"/>
                <w:rFonts w:hint="eastAsia" w:ascii="宋体" w:hAnsi="宋体" w:cs="宋体"/>
                <w:szCs w:val="21"/>
              </w:rPr>
              <w:t>★</w:t>
            </w:r>
            <w:r>
              <w:rPr>
                <w:rFonts w:hint="eastAsia" w:ascii="宋体" w:hAnsi="宋体" w:eastAsia="宋体" w:cs="Times New Roman"/>
                <w:sz w:val="24"/>
                <w:szCs w:val="24"/>
                <w:lang w:val="en-US" w:eastAsia="zh-CN"/>
              </w:rPr>
              <w:t>2130±5</w:t>
            </w:r>
          </w:p>
        </w:tc>
        <w:tc>
          <w:tcPr>
            <w:tcW w:w="1295"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整车重量(kg)</w:t>
            </w:r>
          </w:p>
        </w:tc>
        <w:tc>
          <w:tcPr>
            <w:tcW w:w="1300" w:type="pct"/>
            <w:noWrap w:val="0"/>
            <w:vAlign w:val="center"/>
          </w:tcPr>
          <w:p>
            <w:pPr>
              <w:numPr>
                <w:ilvl w:val="0"/>
                <w:numId w:val="0"/>
              </w:numPr>
              <w:ind w:left="0" w:leftChars="0" w:firstLine="0" w:firstLineChars="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额定乘员（人）</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货箱尺寸（mm）</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1360*420*310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最高速度(km/h)</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货箱载重(kg)</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续驶里程(km)</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≥80</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轴距</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2850mm±5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最大爬坡(满载)</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轮距</w:t>
            </w:r>
          </w:p>
        </w:tc>
        <w:tc>
          <w:tcPr>
            <w:tcW w:w="1300" w:type="pct"/>
            <w:noWrap w:val="0"/>
            <w:vAlign w:val="center"/>
          </w:tcPr>
          <w:p>
            <w:pPr>
              <w:numPr>
                <w:ilvl w:val="0"/>
                <w:numId w:val="0"/>
              </w:numPr>
              <w:jc w:val="both"/>
              <w:rPr>
                <w:rFonts w:hint="eastAsia"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前1270/后1230mm±5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驻坡性能（空载）</w:t>
            </w:r>
          </w:p>
        </w:tc>
        <w:tc>
          <w:tcPr>
            <w:tcW w:w="1134"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最小离地间隙（mm）</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Style w:val="386"/>
                <w:rFonts w:hint="eastAsia" w:ascii="宋体" w:hAnsi="宋体" w:cs="宋体"/>
                <w:szCs w:val="21"/>
              </w:rPr>
              <w:t>★</w:t>
            </w:r>
            <w:r>
              <w:rPr>
                <w:rFonts w:hint="eastAsia" w:ascii="宋体" w:hAnsi="宋体" w:eastAsia="宋体" w:cs="Times New Roman"/>
                <w:sz w:val="24"/>
                <w:szCs w:val="24"/>
                <w:lang w:val="en-US" w:eastAsia="zh-CN"/>
              </w:rPr>
              <w:t>170mm±5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Merge w:val="continue"/>
            <w:noWrap w:val="0"/>
            <w:vAlign w:val="center"/>
          </w:tcPr>
          <w:p>
            <w:pPr>
              <w:jc w:val="both"/>
              <w:rPr>
                <w:rFonts w:hint="eastAsia" w:ascii="宋体" w:hAnsi="宋体" w:eastAsia="宋体" w:cs="宋体"/>
                <w:sz w:val="24"/>
                <w:szCs w:val="24"/>
              </w:rPr>
            </w:pPr>
          </w:p>
        </w:tc>
        <w:tc>
          <w:tcPr>
            <w:tcW w:w="1028"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最小转弯半径</w:t>
            </w:r>
          </w:p>
        </w:tc>
        <w:tc>
          <w:tcPr>
            <w:tcW w:w="1134"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6M</w:t>
            </w:r>
          </w:p>
        </w:tc>
        <w:tc>
          <w:tcPr>
            <w:tcW w:w="1295" w:type="pct"/>
            <w:noWrap w:val="0"/>
            <w:vAlign w:val="center"/>
          </w:tcPr>
          <w:p>
            <w:pPr>
              <w:numPr>
                <w:ilvl w:val="0"/>
                <w:numId w:val="0"/>
              </w:numPr>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制动距离</w:t>
            </w:r>
          </w:p>
        </w:tc>
        <w:tc>
          <w:tcPr>
            <w:tcW w:w="1300" w:type="pct"/>
            <w:noWrap w:val="0"/>
            <w:vAlign w:val="center"/>
          </w:tcPr>
          <w:p>
            <w:pPr>
              <w:numPr>
                <w:ilvl w:val="0"/>
                <w:numId w:val="0"/>
              </w:numPr>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≤5.5M</w:t>
            </w:r>
          </w:p>
        </w:tc>
      </w:tr>
    </w:tbl>
    <w:p>
      <w:pPr>
        <w:spacing w:line="400" w:lineRule="exact"/>
        <w:textAlignment w:val="baseline"/>
        <w:rPr>
          <w:rFonts w:ascii="宋体" w:hAnsi="宋体" w:cs="宋体"/>
          <w:color w:val="000000"/>
          <w:sz w:val="24"/>
        </w:rPr>
      </w:pPr>
    </w:p>
    <w:p>
      <w:pPr>
        <w:keepNext/>
        <w:keepLines/>
        <w:wordWrap w:val="0"/>
        <w:spacing w:line="360" w:lineRule="auto"/>
        <w:ind w:left="210"/>
        <w:textAlignment w:val="baseline"/>
        <w:outlineLvl w:val="2"/>
        <w:rPr>
          <w:b/>
          <w:bCs/>
          <w:color w:val="000000"/>
          <w:sz w:val="28"/>
          <w:szCs w:val="20"/>
        </w:rPr>
      </w:pPr>
      <w:r>
        <w:rPr>
          <w:rFonts w:hint="eastAsia"/>
          <w:b/>
          <w:bCs/>
          <w:color w:val="000000"/>
          <w:sz w:val="28"/>
          <w:szCs w:val="20"/>
        </w:rPr>
        <w:t>验收标准</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（一）货物若有国家标准按照国家标准验收，若无国家标准按行业标准验收，为原厂商制造的全新产品，整机无污染、表面无划损、无任何缺陷隐患，在中国境内可依常规安全、合法地使用、不存在侵权嫌疑。</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（二）货物为原厂商未启封的全新包装，配有出厂合格证，序列号、包装箱号与出厂批号一致，并可追索查阅。所有随设备的附件必须齐全。</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（三）乙方应将关键主机设备的用户手册、保修手册、有关单证资料及配备件、随机工具等交付给甲方，使用操作及安全须知等重要资料应附有中文说明。</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（四）验收时乙方需提供的资料：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1、设备清单；</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2、产品的中文详细技术资料、使用说明书、安装手册、操作手册、维修及保养手册等；</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3、与实施情况相吻合的竣工图等资料；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4、招标文件、合同及甲方要求的其它资料；</w:t>
      </w:r>
    </w:p>
    <w:p>
      <w:pPr>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以上资料在项目验收前各提供 2 套原件及 1 套电子文件供存档使用。</w:t>
      </w:r>
    </w:p>
    <w:p>
      <w:pPr>
        <w:numPr>
          <w:ilvl w:val="0"/>
          <w:numId w:val="14"/>
        </w:numPr>
        <w:spacing w:line="400" w:lineRule="exact"/>
        <w:ind w:firstLine="480" w:firstLineChars="200"/>
        <w:textAlignment w:val="baseline"/>
        <w:rPr>
          <w:color w:val="000000"/>
          <w:sz w:val="24"/>
        </w:rPr>
      </w:pPr>
      <w:r>
        <w:rPr>
          <w:rFonts w:hint="eastAsia" w:ascii="宋体" w:hAnsi="宋体" w:cs="宋体"/>
          <w:color w:val="000000"/>
          <w:sz w:val="24"/>
        </w:rPr>
        <w:t>货物验收合格后，填写《验收单》，并由甲乙双方共同盖章后方可生效。</w:t>
      </w:r>
    </w:p>
    <w:p>
      <w:pPr>
        <w:keepNext/>
        <w:keepLines/>
        <w:wordWrap w:val="0"/>
        <w:spacing w:line="400" w:lineRule="exact"/>
        <w:ind w:left="210"/>
        <w:textAlignment w:val="baseline"/>
        <w:outlineLvl w:val="2"/>
        <w:rPr>
          <w:b/>
          <w:bCs/>
          <w:color w:val="000000"/>
          <w:sz w:val="24"/>
        </w:rPr>
      </w:pPr>
      <w:r>
        <w:rPr>
          <w:rFonts w:hint="eastAsia"/>
          <w:b/>
          <w:bCs/>
          <w:color w:val="000000"/>
          <w:sz w:val="24"/>
        </w:rPr>
        <w:t>商务条款</w:t>
      </w:r>
    </w:p>
    <w:p>
      <w:pPr>
        <w:keepNext/>
        <w:keepLines/>
        <w:wordWrap w:val="0"/>
        <w:spacing w:line="400" w:lineRule="exact"/>
        <w:textAlignment w:val="baseline"/>
        <w:outlineLvl w:val="3"/>
        <w:rPr>
          <w:b/>
          <w:bCs/>
          <w:color w:val="000000"/>
          <w:sz w:val="24"/>
        </w:rPr>
      </w:pPr>
      <w:r>
        <w:rPr>
          <w:rFonts w:hint="eastAsia"/>
          <w:b/>
          <w:bCs/>
          <w:color w:val="000000"/>
          <w:sz w:val="24"/>
        </w:rPr>
        <w:t>1</w:t>
      </w:r>
      <w:r>
        <w:rPr>
          <w:rFonts w:hint="eastAsia"/>
          <w:b/>
          <w:bCs/>
          <w:color w:val="000000"/>
          <w:sz w:val="24"/>
          <w:lang w:val="en-US" w:eastAsia="zh-CN"/>
        </w:rPr>
        <w:t>质保</w:t>
      </w:r>
      <w:r>
        <w:rPr>
          <w:rFonts w:hint="eastAsia"/>
          <w:b/>
          <w:bCs/>
          <w:color w:val="000000"/>
          <w:sz w:val="24"/>
        </w:rPr>
        <w:t>期</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u w:val="single"/>
        </w:rPr>
      </w:pPr>
      <w:r>
        <w:rPr>
          <w:rFonts w:hint="eastAsia" w:ascii="宋体" w:hAnsi="宋体" w:cs="宋体"/>
          <w:color w:val="000000"/>
          <w:sz w:val="24"/>
          <w:u w:val="none"/>
        </w:rPr>
        <w:t>1.1、</w:t>
      </w:r>
      <w:r>
        <w:rPr>
          <w:rFonts w:hint="eastAsia" w:ascii="宋体" w:hAnsi="宋体" w:cs="宋体"/>
          <w:color w:val="000000"/>
          <w:sz w:val="24"/>
          <w:u w:val="single"/>
          <w:lang w:val="en-US" w:eastAsia="zh-CN"/>
        </w:rPr>
        <w:t>观光车</w:t>
      </w:r>
      <w:r>
        <w:rPr>
          <w:rFonts w:hint="eastAsia" w:ascii="宋体" w:hAnsi="宋体" w:cs="宋体"/>
          <w:color w:val="000000"/>
          <w:sz w:val="24"/>
          <w:u w:val="single"/>
        </w:rPr>
        <w:t>里程20000公里内，因产品本身缺陷（非人为因素）而造成的任何产品质量问题或故障应由供应商免费技术服务和维修</w:t>
      </w:r>
      <w:r>
        <w:rPr>
          <w:rFonts w:hint="eastAsia" w:ascii="宋体" w:hAnsi="宋体" w:cs="宋体"/>
          <w:color w:val="000000"/>
          <w:sz w:val="24"/>
          <w:u w:val="none"/>
        </w:rPr>
        <w:t>。</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1.2、供应商在投标文件中说明质量保修期内提供的服务计划。</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1.3、质量保修期内，要求供应商7×24小时电话响应技术咨询；除非招标文件另有规定，供应商须在接到采购人维修要求电话后，12小时内派技术人员到现场维修，直至设备修复。</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1.4、在质保期内，中标供应商应负责对其提供的设备进行免费现场维修、损坏件更换，不收取费用（人为损坏除外）。</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1.5、中标供应商在免费质保期内每年至少一次主动现场维护、巡视。</w:t>
      </w:r>
    </w:p>
    <w:p>
      <w:pPr>
        <w:keepNext/>
        <w:keepLines/>
        <w:wordWrap w:val="0"/>
        <w:spacing w:line="400" w:lineRule="exact"/>
        <w:textAlignment w:val="baseline"/>
        <w:outlineLvl w:val="3"/>
        <w:rPr>
          <w:b/>
          <w:bCs/>
          <w:color w:val="000000"/>
          <w:sz w:val="24"/>
        </w:rPr>
      </w:pPr>
      <w:r>
        <w:rPr>
          <w:rFonts w:hint="eastAsia"/>
          <w:b/>
          <w:bCs/>
          <w:color w:val="000000"/>
          <w:sz w:val="24"/>
        </w:rPr>
        <w:t xml:space="preserve">2付款方式： </w:t>
      </w:r>
    </w:p>
    <w:p>
      <w:pPr>
        <w:spacing w:line="400" w:lineRule="exact"/>
        <w:ind w:firstLine="460" w:firstLineChars="191"/>
        <w:textAlignment w:val="baseline"/>
        <w:rPr>
          <w:rFonts w:ascii="宋体" w:hAnsi="宋体" w:cs="宋体"/>
          <w:b/>
          <w:bCs/>
          <w:color w:val="auto"/>
          <w:sz w:val="24"/>
        </w:rPr>
      </w:pPr>
      <w:r>
        <w:rPr>
          <w:rFonts w:hint="eastAsia" w:ascii="宋体" w:hAnsi="宋体" w:cs="宋体"/>
          <w:b/>
          <w:bCs/>
          <w:color w:val="auto"/>
          <w:sz w:val="24"/>
        </w:rPr>
        <w:t>交货完成并验收审查通过后付至合同价的30%，剩余资金待上级拨款到位后付至合同价的97.5%，剩余2.5%的质保金待免费质保期满后付清。</w:t>
      </w:r>
    </w:p>
    <w:p>
      <w:pPr>
        <w:spacing w:line="400" w:lineRule="exact"/>
        <w:textAlignment w:val="baseline"/>
        <w:rPr>
          <w:b/>
          <w:bCs/>
          <w:color w:val="auto"/>
          <w:sz w:val="24"/>
        </w:rPr>
      </w:pPr>
      <w:r>
        <w:rPr>
          <w:rFonts w:hint="eastAsia"/>
          <w:b/>
          <w:bCs/>
          <w:color w:val="auto"/>
          <w:sz w:val="24"/>
        </w:rPr>
        <w:t>3安装调试</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3.1.安装地点：按采购单位要求。</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3.2.质量标准：符合我国国家有关技术规范要求和技术标准。</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3.3.送货、安装过程中发生的费用由中标供应商负责。</w:t>
      </w:r>
    </w:p>
    <w:p>
      <w:pPr>
        <w:widowControl/>
        <w:autoSpaceDE w:val="0"/>
        <w:autoSpaceDN w:val="0"/>
        <w:adjustRightInd w:val="0"/>
        <w:snapToGrid w:val="0"/>
        <w:spacing w:line="400" w:lineRule="exact"/>
        <w:ind w:firstLine="480" w:firstLineChars="200"/>
        <w:textAlignment w:val="bottom"/>
        <w:rPr>
          <w:rFonts w:ascii="宋体" w:hAnsi="宋体" w:cs="宋体"/>
          <w:color w:val="000000"/>
          <w:sz w:val="24"/>
        </w:rPr>
      </w:pPr>
      <w:r>
        <w:rPr>
          <w:rFonts w:hint="eastAsia" w:ascii="宋体" w:hAnsi="宋体" w:cs="宋体"/>
          <w:color w:val="000000"/>
          <w:sz w:val="24"/>
        </w:rPr>
        <w:t>3.4.供应商应在投标文件中提出其安装调试过程中使用单位需配合的内容。</w:t>
      </w:r>
    </w:p>
    <w:p>
      <w:pPr>
        <w:keepNext/>
        <w:keepLines/>
        <w:wordWrap w:val="0"/>
        <w:spacing w:line="400" w:lineRule="exact"/>
        <w:textAlignment w:val="baseline"/>
        <w:outlineLvl w:val="3"/>
        <w:rPr>
          <w:b/>
          <w:bCs/>
          <w:color w:val="000000"/>
          <w:sz w:val="24"/>
        </w:rPr>
      </w:pPr>
      <w:r>
        <w:rPr>
          <w:rFonts w:hint="eastAsia"/>
          <w:b/>
          <w:bCs/>
          <w:color w:val="000000"/>
          <w:sz w:val="24"/>
        </w:rPr>
        <w:t>4</w:t>
      </w:r>
      <w:r>
        <w:rPr>
          <w:rFonts w:hint="eastAsia"/>
          <w:b/>
          <w:bCs/>
          <w:color w:val="000000"/>
          <w:sz w:val="24"/>
          <w:lang w:val="en-US" w:eastAsia="zh-CN"/>
        </w:rPr>
        <w:t>供货</w:t>
      </w:r>
      <w:r>
        <w:rPr>
          <w:rFonts w:hint="eastAsia"/>
          <w:b/>
          <w:bCs/>
          <w:color w:val="000000"/>
          <w:sz w:val="24"/>
        </w:rPr>
        <w:t>期</w:t>
      </w:r>
    </w:p>
    <w:p>
      <w:pPr>
        <w:keepNext/>
        <w:keepLines/>
        <w:wordWrap w:val="0"/>
        <w:spacing w:line="400" w:lineRule="exact"/>
        <w:textAlignment w:val="baseline"/>
        <w:outlineLvl w:val="3"/>
        <w:rPr>
          <w:rFonts w:hint="eastAsia" w:ascii="宋体" w:hAnsi="宋体" w:cs="宋体"/>
          <w:color w:val="auto"/>
          <w:sz w:val="24"/>
          <w:u w:val="single"/>
        </w:rPr>
      </w:pPr>
      <w:bookmarkStart w:id="3" w:name="_Toc157410887"/>
      <w:r>
        <w:rPr>
          <w:rFonts w:hint="eastAsia" w:ascii="宋体" w:hAnsi="宋体" w:cs="宋体"/>
          <w:color w:val="auto"/>
          <w:sz w:val="24"/>
          <w:u w:val="single"/>
        </w:rPr>
        <w:t>供应商在签订合同之日起20日历天内完成交货并通过验收审查</w:t>
      </w:r>
      <w:r>
        <w:rPr>
          <w:rFonts w:hint="eastAsia" w:ascii="宋体" w:hAnsi="宋体" w:cs="宋体"/>
          <w:color w:val="auto"/>
          <w:sz w:val="24"/>
          <w:u w:val="none"/>
        </w:rPr>
        <w:t>。</w:t>
      </w:r>
    </w:p>
    <w:p>
      <w:pPr>
        <w:keepNext/>
        <w:keepLines/>
        <w:wordWrap w:val="0"/>
        <w:spacing w:line="400" w:lineRule="exact"/>
        <w:textAlignment w:val="baseline"/>
        <w:outlineLvl w:val="3"/>
        <w:rPr>
          <w:b/>
          <w:bCs/>
          <w:color w:val="000000"/>
          <w:sz w:val="24"/>
        </w:rPr>
      </w:pPr>
      <w:r>
        <w:rPr>
          <w:rFonts w:hint="eastAsia"/>
          <w:b/>
          <w:bCs/>
          <w:color w:val="000000"/>
          <w:sz w:val="24"/>
        </w:rPr>
        <w:t>5工作范围</w:t>
      </w:r>
      <w:bookmarkEnd w:id="3"/>
    </w:p>
    <w:p>
      <w:pPr>
        <w:adjustRightInd w:val="0"/>
        <w:snapToGrid w:val="0"/>
        <w:spacing w:line="400" w:lineRule="exact"/>
        <w:ind w:firstLine="480" w:firstLineChars="200"/>
        <w:textAlignment w:val="baseline"/>
        <w:rPr>
          <w:rFonts w:ascii="宋体" w:hAnsi="宋体" w:cs="宋体"/>
          <w:color w:val="000000"/>
          <w:sz w:val="24"/>
        </w:rPr>
      </w:pPr>
      <w:r>
        <w:rPr>
          <w:rFonts w:hint="eastAsia" w:ascii="宋体" w:hAnsi="宋体" w:cs="宋体"/>
          <w:color w:val="000000"/>
          <w:sz w:val="24"/>
        </w:rPr>
        <w:t>根据招标文件，各供应商须按国家有关标准及规范完成下列工作：</w:t>
      </w:r>
    </w:p>
    <w:p>
      <w:pPr>
        <w:tabs>
          <w:tab w:val="left" w:pos="1740"/>
        </w:tabs>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1.提供完整成套的货物</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2.产品及相关附件的提供、运输、装卸、就位、安装、调试、检验、通过验收；</w:t>
      </w:r>
    </w:p>
    <w:p>
      <w:pPr>
        <w:tabs>
          <w:tab w:val="left" w:pos="1740"/>
        </w:tabs>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3.完成各项安装、调试、检验、测试等工作，并在采购人的配合下通过的验收；提供各种数据资料；直至通过验收。</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4.对最终使用单位的操作人员及维修人员进行技术培训；</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5.质保期内维保及维修及质保期后终身维修；</w:t>
      </w:r>
    </w:p>
    <w:p>
      <w:pPr>
        <w:adjustRightInd w:val="0"/>
        <w:snapToGrid w:val="0"/>
        <w:spacing w:line="400" w:lineRule="exact"/>
        <w:ind w:firstLine="470" w:firstLineChars="196"/>
        <w:textAlignment w:val="baseline"/>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6.售后服务的措施及承诺。</w:t>
      </w:r>
    </w:p>
    <w:p>
      <w:pPr>
        <w:pStyle w:val="34"/>
        <w:spacing w:line="400" w:lineRule="exact"/>
        <w:textAlignment w:val="baseline"/>
        <w:rPr>
          <w:rFonts w:ascii="宋体" w:hAnsi="宋体" w:cs="宋体"/>
          <w:color w:val="000000"/>
          <w:sz w:val="24"/>
          <w:szCs w:val="24"/>
        </w:rPr>
      </w:pPr>
      <w:r>
        <w:rPr>
          <w:rFonts w:hint="eastAsia" w:ascii="宋体" w:hAnsi="宋体" w:cs="宋体"/>
          <w:color w:val="000000"/>
          <w:sz w:val="24"/>
          <w:szCs w:val="24"/>
          <w:u w:val="single"/>
        </w:rPr>
        <w:t>以上工作内容的费用均包含在投标总价中。</w:t>
      </w:r>
      <w:bookmarkEnd w:id="2"/>
    </w:p>
    <w:p>
      <w:pPr>
        <w:pStyle w:val="40"/>
        <w:jc w:val="both"/>
      </w:pPr>
    </w:p>
    <w:p>
      <w:pPr>
        <w:widowControl/>
        <w:spacing w:after="0" w:line="240" w:lineRule="auto"/>
        <w:jc w:val="left"/>
        <w:rPr>
          <w:rFonts w:hint="eastAsia" w:asciiTheme="minorEastAsia" w:hAnsiTheme="minorEastAsia" w:eastAsiaTheme="minorEastAsia"/>
          <w:b/>
          <w:sz w:val="36"/>
          <w:szCs w:val="36"/>
        </w:rPr>
      </w:pPr>
    </w:p>
    <w:p>
      <w:pPr>
        <w:pStyle w:val="4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42"/>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42"/>
        <w:rPr>
          <w:rFonts w:hint="eastAsia"/>
        </w:rPr>
      </w:pPr>
    </w:p>
    <w:p>
      <w:pPr>
        <w:pStyle w:val="42"/>
        <w:ind w:firstLine="220"/>
        <w:rPr>
          <w:rFonts w:hint="eastAsia"/>
        </w:rPr>
      </w:pPr>
    </w:p>
    <w:p>
      <w:pPr>
        <w:pStyle w:val="42"/>
        <w:ind w:firstLine="220"/>
        <w:rPr>
          <w:rFonts w:hint="eastAsia"/>
        </w:rPr>
      </w:pPr>
    </w:p>
    <w:p>
      <w:pPr>
        <w:pStyle w:val="42"/>
        <w:ind w:left="0" w:leftChars="0" w:firstLine="0" w:firstLineChars="0"/>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第四章评标办法及评分标准</w:t>
      </w:r>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一、采购组织机构将组织</w:t>
      </w:r>
      <w:r>
        <w:rPr>
          <w:rFonts w:hint="eastAsia" w:ascii="宋体" w:hAnsi="宋体"/>
          <w:color w:val="000000"/>
          <w:sz w:val="24"/>
        </w:rPr>
        <w:t>磋商小组</w:t>
      </w:r>
      <w:r>
        <w:rPr>
          <w:rFonts w:hint="eastAsia" w:ascii="宋体" w:hAnsi="宋体"/>
          <w:kern w:val="0"/>
          <w:sz w:val="24"/>
        </w:rPr>
        <w:t>，对</w:t>
      </w:r>
      <w:r>
        <w:rPr>
          <w:rFonts w:hint="eastAsia" w:ascii="宋体" w:hAnsi="宋体"/>
          <w:color w:val="000000"/>
          <w:sz w:val="24"/>
        </w:rPr>
        <w:t>供应商</w:t>
      </w:r>
      <w:r>
        <w:rPr>
          <w:rFonts w:hint="eastAsia" w:ascii="宋体" w:hAnsi="宋体"/>
          <w:kern w:val="0"/>
          <w:sz w:val="24"/>
        </w:rPr>
        <w:t>提供的</w:t>
      </w:r>
      <w:r>
        <w:rPr>
          <w:rFonts w:hint="eastAsia" w:ascii="宋体" w:hAnsi="宋体"/>
          <w:color w:val="000000"/>
          <w:sz w:val="24"/>
        </w:rPr>
        <w:t>磋商响应文件</w:t>
      </w:r>
      <w:r>
        <w:rPr>
          <w:rFonts w:hint="eastAsia" w:ascii="宋体" w:hAnsi="宋体"/>
          <w:kern w:val="0"/>
          <w:sz w:val="24"/>
        </w:rPr>
        <w:t>进行综合评审。</w:t>
      </w:r>
      <w:r>
        <w:rPr>
          <w:rFonts w:ascii="宋体" w:hAnsi="宋体"/>
          <w:kern w:val="0"/>
          <w:sz w:val="24"/>
        </w:rPr>
        <w:t xml:space="preserve">   </w:t>
      </w:r>
    </w:p>
    <w:p>
      <w:pPr>
        <w:autoSpaceDE w:val="0"/>
        <w:autoSpaceDN w:val="0"/>
        <w:adjustRightInd w:val="0"/>
        <w:spacing w:line="360" w:lineRule="auto"/>
        <w:ind w:left="359" w:leftChars="171" w:firstLine="120" w:firstLineChars="50"/>
        <w:jc w:val="left"/>
        <w:rPr>
          <w:rFonts w:ascii="宋体" w:hAnsi="宋体"/>
          <w:kern w:val="0"/>
          <w:sz w:val="24"/>
        </w:rPr>
      </w:pPr>
      <w:r>
        <w:rPr>
          <w:rFonts w:hint="eastAsia" w:ascii="宋体" w:hAnsi="宋体"/>
          <w:kern w:val="0"/>
          <w:sz w:val="24"/>
        </w:rPr>
        <w:t>二、本次招标项目的评标方法为</w:t>
      </w:r>
      <w:r>
        <w:rPr>
          <w:rFonts w:hint="eastAsia" w:ascii="宋体" w:hAnsi="宋体"/>
          <w:color w:val="000000"/>
          <w:kern w:val="0"/>
          <w:sz w:val="24"/>
        </w:rPr>
        <w:t>综合评分法，总计100分</w:t>
      </w:r>
      <w:r>
        <w:rPr>
          <w:rFonts w:hint="eastAsia" w:ascii="宋体"/>
          <w:bCs/>
          <w:color w:val="000000"/>
          <w:sz w:val="24"/>
          <w:lang w:val="zh-CN"/>
        </w:rPr>
        <w:t>(商务与技术文件为</w:t>
      </w:r>
      <w:r>
        <w:rPr>
          <w:rFonts w:hint="eastAsia" w:ascii="宋体"/>
          <w:bCs/>
          <w:color w:val="000000"/>
          <w:sz w:val="24"/>
          <w:u w:val="single"/>
          <w:lang w:val="en-US" w:eastAsia="zh-CN"/>
        </w:rPr>
        <w:t>7</w:t>
      </w:r>
      <w:r>
        <w:rPr>
          <w:rFonts w:hint="eastAsia" w:ascii="宋体"/>
          <w:bCs/>
          <w:color w:val="000000"/>
          <w:sz w:val="24"/>
          <w:u w:val="single"/>
        </w:rPr>
        <w:t>0</w:t>
      </w:r>
      <w:r>
        <w:rPr>
          <w:rFonts w:hint="eastAsia" w:ascii="宋体"/>
          <w:bCs/>
          <w:color w:val="000000"/>
          <w:sz w:val="24"/>
          <w:lang w:val="zh-CN"/>
        </w:rPr>
        <w:t>分，报价文件为</w:t>
      </w:r>
      <w:r>
        <w:rPr>
          <w:rFonts w:hint="eastAsia" w:ascii="宋体"/>
          <w:bCs/>
          <w:color w:val="000000"/>
          <w:sz w:val="24"/>
          <w:u w:val="single"/>
          <w:lang w:val="en-US" w:eastAsia="zh-CN"/>
        </w:rPr>
        <w:t>3</w:t>
      </w:r>
      <w:r>
        <w:rPr>
          <w:rFonts w:hint="eastAsia" w:ascii="宋体"/>
          <w:bCs/>
          <w:color w:val="000000"/>
          <w:sz w:val="24"/>
          <w:u w:val="single"/>
        </w:rPr>
        <w:t>0</w:t>
      </w:r>
      <w:r>
        <w:rPr>
          <w:rFonts w:hint="eastAsia" w:ascii="宋体"/>
          <w:bCs/>
          <w:color w:val="000000"/>
          <w:sz w:val="24"/>
          <w:lang w:val="zh-CN"/>
        </w:rPr>
        <w:t>分)</w:t>
      </w:r>
      <w:r>
        <w:rPr>
          <w:rFonts w:hint="eastAsia" w:ascii="宋体" w:hAnsi="宋体"/>
          <w:color w:val="000000"/>
          <w:kern w:val="0"/>
          <w:sz w:val="24"/>
        </w:rPr>
        <w:t>。</w:t>
      </w:r>
      <w:r>
        <w:rPr>
          <w:rFonts w:hint="eastAsia" w:ascii="宋体"/>
          <w:bCs/>
          <w:color w:val="000000"/>
          <w:sz w:val="24"/>
          <w:lang w:val="zh-CN"/>
        </w:rPr>
        <w:t>各投标人的综合得分为其商务与技术文件得分与报价文件得分之和，即综合得分=</w:t>
      </w:r>
      <w:r>
        <w:rPr>
          <w:rFonts w:hint="eastAsia" w:ascii="宋体"/>
          <w:bCs/>
          <w:sz w:val="24"/>
          <w:lang w:val="zh-CN"/>
        </w:rPr>
        <w:t>商务与技术文件得分+报价文件得分。</w:t>
      </w:r>
    </w:p>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w:t>
      </w:r>
      <w:r>
        <w:rPr>
          <w:rFonts w:hint="eastAsia" w:ascii="宋体" w:hAnsi="宋体"/>
          <w:color w:val="000000"/>
          <w:sz w:val="24"/>
        </w:rPr>
        <w:t>磋商小组</w:t>
      </w:r>
      <w:r>
        <w:rPr>
          <w:rFonts w:hint="eastAsia" w:ascii="宋体"/>
          <w:bCs/>
          <w:color w:val="000000"/>
          <w:sz w:val="24"/>
          <w:lang w:val="zh-CN"/>
        </w:rPr>
        <w:t>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（二）各磋商供应商商务与技术文件</w:t>
      </w:r>
      <w:r>
        <w:rPr>
          <w:rFonts w:hint="eastAsia" w:ascii="宋体"/>
          <w:color w:val="000000"/>
          <w:kern w:val="0"/>
          <w:sz w:val="24"/>
          <w:lang w:val="zh-CN"/>
        </w:rPr>
        <w:t>得分按照</w:t>
      </w:r>
      <w:r>
        <w:rPr>
          <w:rFonts w:hint="eastAsia" w:ascii="宋体" w:hAnsi="宋体"/>
          <w:color w:val="000000"/>
          <w:sz w:val="24"/>
        </w:rPr>
        <w:t>磋商小组</w:t>
      </w:r>
      <w:r>
        <w:rPr>
          <w:rFonts w:hint="eastAsia" w:ascii="宋体"/>
          <w:color w:val="000000"/>
          <w:kern w:val="0"/>
          <w:sz w:val="24"/>
          <w:lang w:val="zh-CN"/>
        </w:rPr>
        <w:t>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color w:val="000000"/>
          <w:sz w:val="24"/>
          <w:u w:val="single"/>
        </w:rPr>
        <w:t>综合评分法中的价格分统一</w:t>
      </w:r>
      <w:r>
        <w:rPr>
          <w:rFonts w:hint="eastAsia" w:ascii="宋体"/>
          <w:color w:val="000000"/>
          <w:sz w:val="24"/>
          <w:lang w:val="zh-CN"/>
        </w:rPr>
        <w:t>采用低价优先法计算，即满足磋商文件要求且最后总报价最低的供应商的价格作为磋商基准价，其报价得满分。其他供应商的价格分统一按照下列公式计算：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bCs/>
          <w:color w:val="FF0000"/>
          <w:sz w:val="24"/>
          <w:shd w:val="clear" w:color="FFFFFF" w:fill="D9D9D9"/>
          <w:lang w:val="zh-CN"/>
        </w:rPr>
      </w:pPr>
      <w:r>
        <w:rPr>
          <w:rFonts w:hint="eastAsia"/>
          <w:color w:val="000000"/>
          <w:sz w:val="24"/>
          <w:u w:val="single"/>
        </w:rPr>
        <w:t>磋商报价得</w:t>
      </w:r>
      <w:r>
        <w:rPr>
          <w:color w:val="000000"/>
          <w:sz w:val="24"/>
          <w:u w:val="single"/>
        </w:rPr>
        <w:t>分=</w:t>
      </w:r>
      <w:r>
        <w:rPr>
          <w:sz w:val="24"/>
          <w:u w:val="single"/>
        </w:rPr>
        <w:t>(</w:t>
      </w:r>
      <w:r>
        <w:rPr>
          <w:rFonts w:hint="eastAsia" w:ascii="宋体"/>
          <w:sz w:val="24"/>
          <w:u w:val="single"/>
          <w:lang w:val="zh-CN"/>
        </w:rPr>
        <w:t>磋商基准价</w:t>
      </w:r>
      <w:r>
        <w:rPr>
          <w:sz w:val="24"/>
          <w:u w:val="single"/>
        </w:rPr>
        <w:t>／</w:t>
      </w:r>
      <w:r>
        <w:rPr>
          <w:rFonts w:hint="eastAsia"/>
          <w:sz w:val="24"/>
          <w:u w:val="single"/>
        </w:rPr>
        <w:t>最后磋商总</w:t>
      </w:r>
      <w:r>
        <w:rPr>
          <w:rFonts w:ascii="宋体" w:hAnsi="宋体"/>
          <w:sz w:val="24"/>
          <w:u w:val="single"/>
        </w:rPr>
        <w:t>报价)×</w:t>
      </w:r>
      <w:r>
        <w:rPr>
          <w:rFonts w:hint="eastAsia" w:ascii="宋体" w:hAnsi="宋体"/>
          <w:color w:val="000000"/>
          <w:sz w:val="24"/>
          <w:u w:val="single"/>
          <w:lang w:val="en-US" w:eastAsia="zh-CN"/>
        </w:rPr>
        <w:t>3</w:t>
      </w:r>
      <w:r>
        <w:rPr>
          <w:rFonts w:hint="eastAsia" w:ascii="宋体" w:hAnsi="宋体"/>
          <w:color w:val="000000"/>
          <w:sz w:val="24"/>
          <w:u w:val="single"/>
        </w:rPr>
        <w:t>0%</w:t>
      </w:r>
      <w:r>
        <w:rPr>
          <w:rFonts w:ascii="宋体" w:hAnsi="宋体"/>
          <w:color w:val="000000"/>
          <w:sz w:val="24"/>
          <w:u w:val="single"/>
        </w:rPr>
        <w:t>×100</w:t>
      </w:r>
      <w:r>
        <w:rPr>
          <w:rFonts w:hint="eastAsia" w:ascii="宋体" w:hAnsi="宋体"/>
          <w:color w:val="000000"/>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三、在最大限度地满足磋商文件实质性要求前提下，</w:t>
      </w:r>
      <w:r>
        <w:rPr>
          <w:rFonts w:hint="eastAsia" w:ascii="宋体" w:hAnsi="宋体"/>
          <w:sz w:val="24"/>
        </w:rPr>
        <w:t>磋商小组</w:t>
      </w:r>
      <w:r>
        <w:rPr>
          <w:rFonts w:hint="eastAsia" w:ascii="宋体"/>
          <w:sz w:val="24"/>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hint="eastAsia" w:ascii="宋体"/>
          <w:sz w:val="24"/>
          <w:lang w:val="zh-CN"/>
        </w:rPr>
      </w:pPr>
      <w:r>
        <w:rPr>
          <w:rFonts w:hint="eastAsia" w:ascii="宋体"/>
          <w:sz w:val="24"/>
          <w:lang w:val="zh-CN"/>
        </w:rPr>
        <w:t>四、如综合得分相同，最后总报价低者为先；如综合得分且最后总报价相同的，以业绩得分较高者为先。</w:t>
      </w:r>
    </w:p>
    <w:p>
      <w:pPr>
        <w:pStyle w:val="24"/>
        <w:snapToGrid w:val="0"/>
        <w:spacing w:line="360" w:lineRule="auto"/>
        <w:ind w:firstLine="480" w:firstLineChars="200"/>
        <w:rPr>
          <w:rFonts w:hAnsi="宋体" w:cs="宋体"/>
          <w:b/>
          <w:bCs/>
          <w:sz w:val="24"/>
        </w:rPr>
      </w:pPr>
      <w:r>
        <w:rPr>
          <w:rFonts w:hint="eastAsia" w:ascii="宋体" w:hAnsi="Times New Roman" w:eastAsia="宋体" w:cs="Times New Roman"/>
          <w:kern w:val="2"/>
          <w:sz w:val="24"/>
          <w:szCs w:val="24"/>
          <w:lang w:val="en-US" w:eastAsia="zh-CN" w:bidi="ar-SA"/>
        </w:rPr>
        <w:t>五、</w:t>
      </w:r>
      <w:r>
        <w:rPr>
          <w:rFonts w:hint="eastAsia" w:ascii="宋体" w:hAnsi="Times New Roman" w:eastAsia="宋体" w:cs="Times New Roman"/>
          <w:b/>
          <w:bCs/>
          <w:color w:val="auto"/>
          <w:kern w:val="2"/>
          <w:sz w:val="24"/>
          <w:szCs w:val="24"/>
          <w:lang w:val="zh-CN" w:eastAsia="zh-CN" w:bidi="ar-SA"/>
        </w:rPr>
        <w:t>政</w:t>
      </w:r>
      <w:r>
        <w:rPr>
          <w:rFonts w:hint="eastAsia" w:hAnsi="宋体" w:cs="宋体"/>
          <w:b/>
          <w:bCs/>
          <w:color w:val="auto"/>
          <w:sz w:val="24"/>
        </w:rPr>
        <w:t>府</w:t>
      </w:r>
      <w:r>
        <w:rPr>
          <w:rFonts w:hint="eastAsia" w:hAnsi="宋体" w:cs="宋体"/>
          <w:b/>
          <w:bCs/>
          <w:sz w:val="24"/>
        </w:rPr>
        <w:t>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hint="eastAsia" w:eastAsiaTheme="minorEastAsia"/>
          <w:lang w:val="en-US" w:eastAsia="zh-CN"/>
        </w:rPr>
      </w:pPr>
      <w:r>
        <w:rPr>
          <w:rFonts w:hint="eastAsia" w:ascii="宋体"/>
          <w:sz w:val="24"/>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w:t>
      </w:r>
      <w:r>
        <w:rPr>
          <w:rFonts w:ascii="宋体"/>
          <w:sz w:val="24"/>
          <w:lang w:val="zh-CN"/>
        </w:rPr>
        <w:t>%</w:t>
      </w:r>
      <w:r>
        <w:rPr>
          <w:rFonts w:hint="eastAsia" w:ascii="宋体"/>
          <w:sz w:val="24"/>
          <w:lang w:val="zh-CN"/>
        </w:rPr>
        <w:t>、工程项目为</w:t>
      </w:r>
      <w:r>
        <w:rPr>
          <w:rFonts w:ascii="宋体"/>
          <w:sz w:val="24"/>
          <w:lang w:val="zh-CN"/>
        </w:rPr>
        <w:t xml:space="preserve">5%) </w:t>
      </w:r>
      <w:r>
        <w:rPr>
          <w:rFonts w:hint="eastAsia" w:ascii="宋体"/>
          <w:sz w:val="24"/>
          <w:lang w:val="zh-CN"/>
        </w:rPr>
        <w:t xml:space="preserve">给予扣除， 用扣除后的价格参加评审。对于联合协议或者分包意向协议约定小微企业的合同份额占到合同总金额 </w:t>
      </w:r>
      <w:r>
        <w:rPr>
          <w:rFonts w:ascii="宋体"/>
          <w:sz w:val="24"/>
          <w:lang w:val="zh-CN"/>
        </w:rPr>
        <w:t>30%</w:t>
      </w:r>
      <w:r>
        <w:rPr>
          <w:rFonts w:hint="eastAsia" w:ascii="宋体"/>
          <w:sz w:val="24"/>
          <w:lang w:val="zh-CN"/>
        </w:rPr>
        <w:t>以上的， 采购单位、采购代 理机构应当对联合体或者大中型企业的报价按最高优惠幅度（货物和服务项目为</w:t>
      </w:r>
      <w:r>
        <w:rPr>
          <w:rFonts w:ascii="宋体"/>
          <w:sz w:val="24"/>
          <w:lang w:val="zh-CN"/>
        </w:rPr>
        <w:t>3%</w:t>
      </w:r>
      <w:r>
        <w:rPr>
          <w:rFonts w:hint="eastAsia" w:ascii="宋体"/>
          <w:sz w:val="24"/>
          <w:lang w:val="zh-CN"/>
        </w:rPr>
        <w:t>、工程项目为</w:t>
      </w:r>
      <w:r>
        <w:rPr>
          <w:rFonts w:hint="eastAsia" w:ascii="宋体"/>
          <w:sz w:val="24"/>
          <w:lang w:val="zh-CN"/>
        </w:rPr>
        <w:tab/>
      </w:r>
      <w:r>
        <w:rPr>
          <w:rFonts w:ascii="宋体"/>
          <w:sz w:val="24"/>
          <w:lang w:val="zh-CN"/>
        </w:rPr>
        <w:t xml:space="preserve">2%) </w:t>
      </w:r>
      <w:r>
        <w:rPr>
          <w:rFonts w:hint="eastAsia" w:ascii="宋体"/>
          <w:sz w:val="24"/>
          <w:lang w:val="zh-CN"/>
        </w:rPr>
        <w:t>给予扣除，用扣除后的价格参加评审。同一</w:t>
      </w:r>
      <w:r>
        <w:rPr>
          <w:rFonts w:hint="eastAsia" w:ascii="宋体" w:hAnsi="宋体"/>
          <w:sz w:val="24"/>
        </w:rPr>
        <w:t>供应商</w:t>
      </w:r>
      <w:r>
        <w:rPr>
          <w:rFonts w:hint="eastAsia" w:ascii="宋体"/>
          <w:sz w:val="24"/>
          <w:lang w:val="zh-CN"/>
        </w:rPr>
        <w:t>（包括联合体），小微企业、监狱企业、残疾人福利性单位价格扣除优惠只享受一次，不得重复享受。</w:t>
      </w:r>
    </w:p>
    <w:p>
      <w:pPr>
        <w:autoSpaceDE w:val="0"/>
        <w:autoSpaceDN w:val="0"/>
        <w:adjustRightInd w:val="0"/>
        <w:spacing w:line="360" w:lineRule="auto"/>
        <w:ind w:firstLine="480" w:firstLineChars="200"/>
        <w:jc w:val="left"/>
        <w:rPr>
          <w:rFonts w:ascii="宋体" w:hAnsi="宋体"/>
          <w:color w:val="33CCCC"/>
          <w:kern w:val="0"/>
          <w:sz w:val="24"/>
        </w:rPr>
      </w:pPr>
      <w:r>
        <w:rPr>
          <w:rFonts w:hint="eastAsia" w:ascii="宋体" w:hAnsi="宋体"/>
          <w:kern w:val="0"/>
          <w:sz w:val="24"/>
          <w:lang w:val="en-US" w:eastAsia="zh-CN"/>
        </w:rPr>
        <w:t>六</w:t>
      </w:r>
      <w:r>
        <w:rPr>
          <w:rFonts w:hint="eastAsia" w:ascii="宋体" w:hAnsi="宋体"/>
          <w:kern w:val="0"/>
          <w:sz w:val="24"/>
        </w:rPr>
        <w:t>、</w:t>
      </w:r>
      <w:r>
        <w:rPr>
          <w:rFonts w:hint="eastAsia" w:ascii="宋体"/>
          <w:bCs/>
          <w:color w:val="000000"/>
          <w:sz w:val="24"/>
          <w:lang w:val="zh-CN"/>
        </w:rPr>
        <w:t>商务与技术</w:t>
      </w:r>
      <w:r>
        <w:rPr>
          <w:rFonts w:hint="eastAsia" w:ascii="宋体" w:hAnsi="宋体"/>
          <w:kern w:val="0"/>
          <w:sz w:val="24"/>
        </w:rPr>
        <w:t>评分具体分值细化条款如下表：</w:t>
      </w:r>
      <w:r>
        <w:rPr>
          <w:rFonts w:hint="eastAsia" w:ascii="宋体" w:hAnsi="宋体"/>
          <w:color w:val="33CCCC"/>
          <w:kern w:val="0"/>
          <w:sz w:val="24"/>
        </w:rPr>
        <w:t xml:space="preserve"> </w:t>
      </w:r>
    </w:p>
    <w:p>
      <w:pPr>
        <w:numPr>
          <w:ilvl w:val="0"/>
          <w:numId w:val="15"/>
        </w:numPr>
        <w:autoSpaceDE w:val="0"/>
        <w:autoSpaceDN w:val="0"/>
        <w:adjustRightInd w:val="0"/>
        <w:spacing w:line="360" w:lineRule="auto"/>
        <w:ind w:right="85" w:firstLine="482" w:firstLineChars="200"/>
      </w:pPr>
      <w:r>
        <w:rPr>
          <w:rFonts w:hint="eastAsia" w:ascii="宋体"/>
          <w:b/>
          <w:bCs/>
          <w:sz w:val="24"/>
        </w:rPr>
        <w:t>评分标准</w:t>
      </w:r>
    </w:p>
    <w:tbl>
      <w:tblPr>
        <w:tblStyle w:val="45"/>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27"/>
        <w:gridCol w:w="1432"/>
        <w:gridCol w:w="69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9" w:type="dxa"/>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序号</w:t>
            </w:r>
          </w:p>
        </w:tc>
        <w:tc>
          <w:tcPr>
            <w:tcW w:w="927" w:type="dxa"/>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评审项目</w:t>
            </w:r>
          </w:p>
        </w:tc>
        <w:tc>
          <w:tcPr>
            <w:tcW w:w="8414" w:type="dxa"/>
            <w:gridSpan w:val="2"/>
            <w:noWrap w:val="0"/>
            <w:vAlign w:val="center"/>
          </w:tcPr>
          <w:p>
            <w:pPr>
              <w:pStyle w:val="2"/>
              <w:spacing w:line="360" w:lineRule="auto"/>
              <w:ind w:firstLine="0"/>
              <w:jc w:val="center"/>
              <w:rPr>
                <w:rFonts w:ascii="宋体" w:hAnsi="宋体"/>
                <w:b/>
                <w:color w:val="000000"/>
                <w:kern w:val="0"/>
                <w:sz w:val="24"/>
              </w:rPr>
            </w:pPr>
            <w:r>
              <w:rPr>
                <w:rFonts w:hint="eastAsia" w:ascii="宋体" w:hAnsi="宋体"/>
                <w:b/>
                <w:color w:val="000000"/>
                <w:kern w:val="0"/>
                <w:sz w:val="24"/>
              </w:rPr>
              <w:t>评    分    细   则</w:t>
            </w:r>
          </w:p>
        </w:tc>
        <w:tc>
          <w:tcPr>
            <w:tcW w:w="782" w:type="dxa"/>
            <w:noWrap w:val="0"/>
            <w:vAlign w:val="center"/>
          </w:tcPr>
          <w:p>
            <w:pPr>
              <w:widowControl/>
              <w:jc w:val="center"/>
              <w:rPr>
                <w:rFonts w:ascii="宋体" w:hAns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9" w:type="dxa"/>
            <w:noWrap w:val="0"/>
            <w:vAlign w:val="center"/>
          </w:tcPr>
          <w:p>
            <w:pPr>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927" w:type="dxa"/>
            <w:noWrap w:val="0"/>
            <w:vAlign w:val="center"/>
          </w:tcPr>
          <w:p>
            <w:pPr>
              <w:autoSpaceDN w:val="0"/>
              <w:spacing w:line="360" w:lineRule="auto"/>
              <w:jc w:val="center"/>
              <w:textAlignment w:val="center"/>
              <w:rPr>
                <w:rFonts w:hint="eastAsia" w:ascii="宋体" w:hAnsi="宋体" w:eastAsia="宋体"/>
                <w:b/>
                <w:color w:val="000000"/>
                <w:sz w:val="24"/>
                <w:lang w:eastAsia="zh-CN"/>
              </w:rPr>
            </w:pPr>
            <w:r>
              <w:rPr>
                <w:rFonts w:hint="eastAsia" w:ascii="宋体" w:hAnsi="宋体"/>
                <w:b w:val="0"/>
                <w:bCs/>
                <w:color w:val="000000"/>
                <w:sz w:val="24"/>
                <w:lang w:val="en-US" w:eastAsia="zh-CN"/>
              </w:rPr>
              <w:t>报价分</w:t>
            </w:r>
          </w:p>
        </w:tc>
        <w:tc>
          <w:tcPr>
            <w:tcW w:w="8414" w:type="dxa"/>
            <w:gridSpan w:val="2"/>
            <w:noWrap w:val="0"/>
            <w:vAlign w:val="center"/>
          </w:tcPr>
          <w:p>
            <w:pPr>
              <w:autoSpaceDN w:val="0"/>
              <w:spacing w:line="360" w:lineRule="auto"/>
              <w:textAlignment w:val="center"/>
              <w:rPr>
                <w:rFonts w:ascii="宋体" w:hAnsi="宋体"/>
                <w:b/>
                <w:color w:val="000000"/>
                <w:sz w:val="24"/>
              </w:rPr>
            </w:pPr>
            <w:r>
              <w:rPr>
                <w:rFonts w:hint="eastAsia" w:ascii="宋体" w:hAnsi="宋体"/>
                <w:color w:val="000000"/>
                <w:kern w:val="0"/>
                <w:sz w:val="24"/>
              </w:rPr>
              <w:t>价格评审满分占30分，为客观计算得分。满足招标文件要求且最低的有效报价为评标基准报价，其价格为满分</w:t>
            </w:r>
            <w:r>
              <w:rPr>
                <w:rFonts w:hint="eastAsia" w:ascii="宋体" w:hAnsi="宋体"/>
                <w:color w:val="000000"/>
                <w:kern w:val="0"/>
                <w:sz w:val="24"/>
                <w:lang w:val="en-US" w:eastAsia="zh-CN"/>
              </w:rPr>
              <w:t>3</w:t>
            </w:r>
            <w:r>
              <w:rPr>
                <w:rFonts w:hint="eastAsia" w:ascii="宋体" w:hAnsi="宋体"/>
                <w:color w:val="000000"/>
                <w:kern w:val="0"/>
                <w:sz w:val="24"/>
              </w:rPr>
              <w:t>0分。其他投标人的价格分统一按照下列公式计算：投标报价得分=（评标基准价/投标报价）×价格权重×100</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Merge w:val="restart"/>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c>
          <w:tcPr>
            <w:tcW w:w="927" w:type="dxa"/>
            <w:vMerge w:val="restart"/>
            <w:noWrap w:val="0"/>
            <w:vAlign w:val="center"/>
          </w:tcPr>
          <w:p>
            <w:pPr>
              <w:autoSpaceDN w:val="0"/>
              <w:spacing w:line="360" w:lineRule="auto"/>
              <w:jc w:val="center"/>
              <w:textAlignment w:val="center"/>
              <w:rPr>
                <w:rFonts w:ascii="宋体" w:hAnsi="宋体"/>
                <w:b/>
                <w:color w:val="000000"/>
                <w:sz w:val="24"/>
              </w:rPr>
            </w:pPr>
            <w:r>
              <w:rPr>
                <w:rFonts w:ascii="宋体" w:hAnsi="宋体"/>
                <w:b w:val="0"/>
                <w:bCs/>
                <w:color w:val="000000"/>
                <w:sz w:val="24"/>
              </w:rPr>
              <w:t>技术</w:t>
            </w:r>
            <w:r>
              <w:rPr>
                <w:rFonts w:hint="eastAsia" w:ascii="宋体" w:hAnsi="宋体"/>
                <w:b w:val="0"/>
                <w:bCs/>
                <w:color w:val="000000"/>
                <w:sz w:val="24"/>
              </w:rPr>
              <w:t>部分</w:t>
            </w:r>
          </w:p>
        </w:tc>
        <w:tc>
          <w:tcPr>
            <w:tcW w:w="1432" w:type="dxa"/>
            <w:noWrap w:val="0"/>
            <w:vAlign w:val="center"/>
          </w:tcPr>
          <w:p>
            <w:pPr>
              <w:widowControl/>
              <w:rPr>
                <w:rFonts w:hint="eastAsia" w:ascii="宋体" w:hAnsi="宋体" w:eastAsia="宋体"/>
                <w:color w:val="000000"/>
                <w:kern w:val="0"/>
                <w:sz w:val="24"/>
                <w:lang w:eastAsia="zh-CN"/>
              </w:rPr>
            </w:pPr>
            <w:r>
              <w:rPr>
                <w:rFonts w:hint="eastAsia" w:ascii="宋体" w:hAnsi="宋体"/>
                <w:color w:val="000000"/>
                <w:kern w:val="0"/>
                <w:sz w:val="24"/>
              </w:rPr>
              <w:t>技术参数</w:t>
            </w:r>
            <w:r>
              <w:rPr>
                <w:rFonts w:hint="eastAsia" w:ascii="宋体" w:hAnsi="宋体"/>
                <w:color w:val="000000"/>
                <w:kern w:val="0"/>
                <w:sz w:val="24"/>
                <w:lang w:eastAsia="zh-CN"/>
              </w:rPr>
              <w:t>和车型</w:t>
            </w:r>
          </w:p>
        </w:tc>
        <w:tc>
          <w:tcPr>
            <w:tcW w:w="6982" w:type="dxa"/>
            <w:noWrap w:val="0"/>
            <w:vAlign w:val="center"/>
          </w:tcPr>
          <w:p>
            <w:pPr>
              <w:widowControl/>
              <w:rPr>
                <w:rFonts w:hint="eastAsia" w:ascii="宋体" w:hAnsi="宋体" w:eastAsia="宋体"/>
                <w:color w:val="000000"/>
                <w:kern w:val="0"/>
                <w:sz w:val="24"/>
                <w:lang w:eastAsia="zh-CN"/>
              </w:rPr>
            </w:pPr>
            <w:r>
              <w:rPr>
                <w:rFonts w:hint="eastAsia" w:ascii="宋体" w:hAnsi="宋体"/>
                <w:color w:val="auto"/>
                <w:kern w:val="0"/>
                <w:sz w:val="24"/>
                <w:szCs w:val="24"/>
                <w:lang w:eastAsia="zh-CN"/>
              </w:rPr>
              <w:t>以投标文件《技术规格偏离表》为评价依据，完全符合招标要求的，得30分，有不符合招标要求普通参数（或缺漏）的，每项扣</w:t>
            </w:r>
            <w:r>
              <w:rPr>
                <w:rFonts w:hint="eastAsia" w:ascii="宋体" w:hAnsi="宋体"/>
                <w:color w:val="auto"/>
                <w:kern w:val="0"/>
                <w:sz w:val="24"/>
                <w:szCs w:val="24"/>
                <w:lang w:val="en-US" w:eastAsia="zh-CN"/>
              </w:rPr>
              <w:t>1</w:t>
            </w:r>
            <w:r>
              <w:rPr>
                <w:rFonts w:hint="eastAsia" w:ascii="宋体" w:hAnsi="宋体"/>
                <w:color w:val="auto"/>
                <w:kern w:val="0"/>
                <w:sz w:val="24"/>
                <w:szCs w:val="24"/>
                <w:lang w:eastAsia="zh-CN"/>
              </w:rPr>
              <w:t>分；有不符合招标要求标“</w:t>
            </w:r>
            <w:r>
              <w:rPr>
                <w:rStyle w:val="386"/>
                <w:rFonts w:hint="eastAsia" w:ascii="宋体" w:hAnsi="宋体" w:cs="宋体"/>
                <w:color w:val="auto"/>
                <w:szCs w:val="21"/>
              </w:rPr>
              <w:t>★</w:t>
            </w:r>
            <w:r>
              <w:rPr>
                <w:rFonts w:hint="eastAsia" w:ascii="宋体" w:hAnsi="宋体"/>
                <w:color w:val="auto"/>
                <w:kern w:val="0"/>
                <w:sz w:val="24"/>
                <w:szCs w:val="24"/>
                <w:lang w:eastAsia="zh-CN"/>
              </w:rPr>
              <w:t>”参数（或缺漏）的，每项扣</w:t>
            </w:r>
            <w:r>
              <w:rPr>
                <w:rFonts w:hint="eastAsia" w:ascii="宋体" w:hAnsi="宋体"/>
                <w:color w:val="auto"/>
                <w:kern w:val="0"/>
                <w:sz w:val="24"/>
                <w:szCs w:val="24"/>
                <w:lang w:val="en-US" w:eastAsia="zh-CN"/>
              </w:rPr>
              <w:t>2</w:t>
            </w:r>
            <w:r>
              <w:rPr>
                <w:rFonts w:hint="eastAsia" w:ascii="宋体" w:hAnsi="宋体"/>
                <w:color w:val="auto"/>
                <w:kern w:val="0"/>
                <w:sz w:val="24"/>
                <w:szCs w:val="24"/>
                <w:lang w:eastAsia="zh-CN"/>
              </w:rPr>
              <w:t>分，扣完为止，最低0分。（注：14座观光车以特种设备型式试验报告为准，须提供14座观光车特种设备型式试验报告的</w:t>
            </w:r>
            <w:r>
              <w:rPr>
                <w:rFonts w:hint="eastAsia" w:ascii="宋体" w:hAnsi="宋体"/>
                <w:color w:val="auto"/>
                <w:kern w:val="0"/>
                <w:sz w:val="24"/>
                <w:szCs w:val="24"/>
                <w:lang w:val="en-US" w:eastAsia="zh-CN"/>
              </w:rPr>
              <w:t>复印件</w:t>
            </w:r>
            <w:r>
              <w:rPr>
                <w:rFonts w:hint="eastAsia" w:ascii="宋体" w:hAnsi="宋体"/>
                <w:color w:val="auto"/>
                <w:kern w:val="0"/>
                <w:sz w:val="24"/>
                <w:szCs w:val="24"/>
                <w:lang w:eastAsia="zh-CN"/>
              </w:rPr>
              <w:t>，须提供制造厂商加盖公章的关于车辆技术参数的确认函，原件备查，未提供</w:t>
            </w:r>
            <w:r>
              <w:rPr>
                <w:rFonts w:hint="eastAsia" w:ascii="宋体" w:hAnsi="宋体"/>
                <w:color w:val="auto"/>
                <w:kern w:val="0"/>
                <w:sz w:val="24"/>
                <w:szCs w:val="24"/>
                <w:lang w:val="en-US" w:eastAsia="zh-CN"/>
              </w:rPr>
              <w:t>原件</w:t>
            </w:r>
            <w:r>
              <w:rPr>
                <w:rFonts w:hint="eastAsia" w:ascii="宋体" w:hAnsi="宋体"/>
                <w:color w:val="auto"/>
                <w:kern w:val="0"/>
                <w:sz w:val="24"/>
                <w:szCs w:val="24"/>
                <w:lang w:eastAsia="zh-CN"/>
              </w:rPr>
              <w:t>或提供不符合的，不得分。）</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30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29" w:type="dxa"/>
            <w:vMerge w:val="continue"/>
            <w:noWrap w:val="0"/>
            <w:vAlign w:val="center"/>
          </w:tcPr>
          <w:p>
            <w:pPr>
              <w:autoSpaceDN w:val="0"/>
              <w:spacing w:line="360" w:lineRule="auto"/>
              <w:jc w:val="center"/>
              <w:textAlignment w:val="center"/>
              <w:rPr>
                <w:rFonts w:ascii="宋体" w:hAnsi="宋体"/>
                <w:color w:val="000000"/>
                <w:sz w:val="24"/>
              </w:rPr>
            </w:pPr>
          </w:p>
        </w:tc>
        <w:tc>
          <w:tcPr>
            <w:tcW w:w="927" w:type="dxa"/>
            <w:vMerge w:val="continue"/>
            <w:noWrap w:val="0"/>
            <w:vAlign w:val="center"/>
          </w:tcPr>
          <w:p>
            <w:pPr>
              <w:autoSpaceDN w:val="0"/>
              <w:spacing w:line="360" w:lineRule="auto"/>
              <w:jc w:val="center"/>
              <w:textAlignment w:val="center"/>
              <w:rPr>
                <w:rFonts w:ascii="宋体" w:hAnsi="宋体"/>
                <w:b/>
                <w:color w:val="000000"/>
                <w:sz w:val="24"/>
              </w:rPr>
            </w:pPr>
          </w:p>
        </w:tc>
        <w:tc>
          <w:tcPr>
            <w:tcW w:w="1432" w:type="dxa"/>
            <w:noWrap w:val="0"/>
            <w:vAlign w:val="center"/>
          </w:tcPr>
          <w:p>
            <w:pPr>
              <w:widowControl/>
              <w:rPr>
                <w:rFonts w:ascii="宋体" w:hAnsi="宋体"/>
                <w:color w:val="000000"/>
                <w:kern w:val="0"/>
                <w:sz w:val="24"/>
              </w:rPr>
            </w:pPr>
            <w:r>
              <w:rPr>
                <w:rFonts w:hint="eastAsia" w:ascii="宋体" w:hAnsi="宋体"/>
                <w:color w:val="000000"/>
                <w:kern w:val="0"/>
                <w:sz w:val="24"/>
              </w:rPr>
              <w:t>产品先进性、可维护性、</w:t>
            </w:r>
            <w:r>
              <w:rPr>
                <w:rFonts w:hint="eastAsia" w:ascii="宋体" w:hAnsi="宋体"/>
                <w:color w:val="000000"/>
                <w:kern w:val="0"/>
                <w:sz w:val="24"/>
                <w:lang w:eastAsia="zh-CN"/>
              </w:rPr>
              <w:t>舒适</w:t>
            </w:r>
            <w:r>
              <w:rPr>
                <w:rFonts w:hint="eastAsia" w:ascii="宋体" w:hAnsi="宋体"/>
                <w:color w:val="000000"/>
                <w:kern w:val="0"/>
                <w:sz w:val="24"/>
              </w:rPr>
              <w:t>性</w:t>
            </w:r>
          </w:p>
        </w:tc>
        <w:tc>
          <w:tcPr>
            <w:tcW w:w="6982" w:type="dxa"/>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eastAsia="zh-CN"/>
              </w:rPr>
              <w:t>投标人</w:t>
            </w:r>
            <w:r>
              <w:rPr>
                <w:rFonts w:hint="eastAsia" w:ascii="宋体" w:hAnsi="宋体"/>
                <w:color w:val="000000"/>
                <w:kern w:val="0"/>
                <w:sz w:val="24"/>
              </w:rPr>
              <w:t>所投产品的先进性、可维护性</w:t>
            </w:r>
            <w:r>
              <w:rPr>
                <w:rFonts w:hint="eastAsia" w:ascii="宋体" w:hAnsi="宋体"/>
                <w:color w:val="000000"/>
                <w:kern w:val="0"/>
                <w:sz w:val="24"/>
                <w:lang w:val="en-US" w:eastAsia="zh-CN"/>
              </w:rPr>
              <w:t>高</w:t>
            </w:r>
            <w:r>
              <w:rPr>
                <w:rFonts w:hint="eastAsia" w:ascii="宋体" w:hAnsi="宋体"/>
                <w:color w:val="000000"/>
                <w:kern w:val="0"/>
                <w:sz w:val="24"/>
              </w:rPr>
              <w:t>、</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强的得5.4-8分；</w:t>
            </w:r>
            <w:r>
              <w:rPr>
                <w:rFonts w:hint="eastAsia" w:ascii="宋体" w:hAnsi="宋体"/>
                <w:color w:val="000000"/>
                <w:kern w:val="0"/>
                <w:sz w:val="24"/>
              </w:rPr>
              <w:t>所投产品的先进性、可维护性</w:t>
            </w:r>
            <w:r>
              <w:rPr>
                <w:rFonts w:hint="eastAsia" w:ascii="宋体" w:hAnsi="宋体"/>
                <w:color w:val="000000"/>
                <w:kern w:val="0"/>
                <w:sz w:val="24"/>
                <w:lang w:val="en-US" w:eastAsia="zh-CN"/>
              </w:rPr>
              <w:t>较高</w:t>
            </w:r>
            <w:r>
              <w:rPr>
                <w:rFonts w:hint="eastAsia" w:ascii="宋体" w:hAnsi="宋体"/>
                <w:color w:val="000000"/>
                <w:kern w:val="0"/>
                <w:sz w:val="24"/>
              </w:rPr>
              <w:t>、</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较强的得2.7-5.3分；</w:t>
            </w:r>
            <w:r>
              <w:rPr>
                <w:rFonts w:hint="eastAsia" w:ascii="宋体" w:hAnsi="宋体"/>
                <w:color w:val="000000"/>
                <w:kern w:val="0"/>
                <w:sz w:val="24"/>
              </w:rPr>
              <w:t>所投产品的先进性、可维护性、</w:t>
            </w:r>
            <w:r>
              <w:rPr>
                <w:rFonts w:hint="eastAsia" w:ascii="宋体" w:hAnsi="宋体"/>
                <w:color w:val="000000"/>
                <w:kern w:val="0"/>
                <w:sz w:val="24"/>
                <w:lang w:eastAsia="zh-CN"/>
              </w:rPr>
              <w:t>舒适</w:t>
            </w:r>
            <w:r>
              <w:rPr>
                <w:rFonts w:hint="eastAsia" w:ascii="宋体" w:hAnsi="宋体"/>
                <w:color w:val="000000"/>
                <w:kern w:val="0"/>
                <w:sz w:val="24"/>
              </w:rPr>
              <w:t>性</w:t>
            </w:r>
            <w:r>
              <w:rPr>
                <w:rFonts w:hint="eastAsia" w:ascii="宋体" w:hAnsi="宋体"/>
                <w:color w:val="000000"/>
                <w:kern w:val="0"/>
                <w:sz w:val="24"/>
                <w:lang w:val="en-US" w:eastAsia="zh-CN"/>
              </w:rPr>
              <w:t>一般的得0-2.6分</w:t>
            </w:r>
          </w:p>
        </w:tc>
        <w:tc>
          <w:tcPr>
            <w:tcW w:w="782" w:type="dxa"/>
            <w:noWrap w:val="0"/>
            <w:vAlign w:val="center"/>
          </w:tcPr>
          <w:p>
            <w:pPr>
              <w:jc w:val="center"/>
              <w:rPr>
                <w:color w:val="000000"/>
              </w:rPr>
            </w:pPr>
            <w:r>
              <w:rPr>
                <w:rFonts w:hint="eastAsia" w:ascii="宋体" w:hAnsi="宋体"/>
                <w:color w:val="000000"/>
                <w:sz w:val="24"/>
                <w:lang w:val="en-US" w:eastAsia="zh-CN"/>
              </w:rPr>
              <w:t>8</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29" w:type="dxa"/>
            <w:vMerge w:val="continue"/>
            <w:noWrap w:val="0"/>
            <w:vAlign w:val="center"/>
          </w:tcPr>
          <w:p>
            <w:pPr>
              <w:autoSpaceDN w:val="0"/>
              <w:spacing w:line="360" w:lineRule="auto"/>
              <w:jc w:val="center"/>
              <w:textAlignment w:val="center"/>
              <w:rPr>
                <w:rFonts w:ascii="宋体" w:hAnsi="宋体"/>
                <w:color w:val="000000"/>
                <w:sz w:val="24"/>
              </w:rPr>
            </w:pPr>
          </w:p>
        </w:tc>
        <w:tc>
          <w:tcPr>
            <w:tcW w:w="927" w:type="dxa"/>
            <w:vMerge w:val="continue"/>
            <w:noWrap w:val="0"/>
            <w:vAlign w:val="center"/>
          </w:tcPr>
          <w:p>
            <w:pPr>
              <w:autoSpaceDN w:val="0"/>
              <w:spacing w:line="360" w:lineRule="auto"/>
              <w:jc w:val="center"/>
              <w:textAlignment w:val="center"/>
              <w:rPr>
                <w:rFonts w:ascii="宋体" w:hAnsi="宋体"/>
                <w:b/>
                <w:color w:val="000000"/>
                <w:sz w:val="24"/>
              </w:rPr>
            </w:pPr>
          </w:p>
        </w:tc>
        <w:tc>
          <w:tcPr>
            <w:tcW w:w="143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olor w:val="000000"/>
                <w:kern w:val="0"/>
                <w:sz w:val="24"/>
              </w:rPr>
            </w:pPr>
            <w:r>
              <w:rPr>
                <w:rFonts w:hint="eastAsia" w:ascii="宋体" w:hAnsi="宋体"/>
                <w:color w:val="000000"/>
                <w:kern w:val="0"/>
                <w:sz w:val="24"/>
              </w:rPr>
              <w:t>产品的生产</w:t>
            </w:r>
            <w:r>
              <w:rPr>
                <w:rFonts w:hint="eastAsia" w:ascii="宋体" w:hAnsi="宋体"/>
                <w:color w:val="000000"/>
                <w:kern w:val="0"/>
                <w:sz w:val="24"/>
                <w:lang w:eastAsia="zh-CN"/>
              </w:rPr>
              <w:t>、</w:t>
            </w:r>
            <w:r>
              <w:rPr>
                <w:rFonts w:hint="eastAsia" w:ascii="宋体" w:hAnsi="宋体"/>
                <w:color w:val="000000"/>
                <w:kern w:val="0"/>
                <w:sz w:val="24"/>
              </w:rPr>
              <w:t>检测</w:t>
            </w:r>
            <w:r>
              <w:rPr>
                <w:rFonts w:hint="eastAsia" w:ascii="宋体" w:hAnsi="宋体"/>
                <w:color w:val="000000"/>
                <w:kern w:val="0"/>
                <w:sz w:val="24"/>
                <w:lang w:eastAsia="zh-CN"/>
              </w:rPr>
              <w:t>、</w:t>
            </w:r>
            <w:r>
              <w:rPr>
                <w:rFonts w:hint="eastAsia" w:ascii="宋体" w:hAnsi="宋体"/>
                <w:color w:val="000000"/>
                <w:kern w:val="0"/>
                <w:sz w:val="24"/>
              </w:rPr>
              <w:t>工艺</w:t>
            </w:r>
          </w:p>
        </w:tc>
        <w:tc>
          <w:tcPr>
            <w:tcW w:w="6982"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olor w:val="000000"/>
                <w:kern w:val="0"/>
                <w:sz w:val="24"/>
              </w:rPr>
            </w:pPr>
            <w:r>
              <w:rPr>
                <w:rFonts w:hint="eastAsia" w:ascii="宋体" w:hAnsi="宋体"/>
                <w:color w:val="000000"/>
                <w:kern w:val="0"/>
                <w:sz w:val="24"/>
              </w:rPr>
              <w:t>对投标人所投产品的生产</w:t>
            </w:r>
            <w:r>
              <w:rPr>
                <w:rFonts w:hint="eastAsia" w:ascii="宋体" w:hAnsi="宋体"/>
                <w:color w:val="000000"/>
                <w:kern w:val="0"/>
                <w:sz w:val="24"/>
                <w:lang w:eastAsia="zh-CN"/>
              </w:rPr>
              <w:t>、</w:t>
            </w:r>
            <w:r>
              <w:rPr>
                <w:rFonts w:hint="eastAsia" w:ascii="宋体" w:hAnsi="宋体"/>
                <w:color w:val="000000"/>
                <w:kern w:val="0"/>
                <w:sz w:val="24"/>
              </w:rPr>
              <w:t>检测</w:t>
            </w:r>
            <w:r>
              <w:rPr>
                <w:rFonts w:hint="eastAsia" w:ascii="宋体" w:hAnsi="宋体"/>
                <w:color w:val="000000"/>
                <w:kern w:val="0"/>
                <w:sz w:val="24"/>
                <w:lang w:eastAsia="zh-CN"/>
              </w:rPr>
              <w:t>、</w:t>
            </w:r>
            <w:r>
              <w:rPr>
                <w:rFonts w:hint="eastAsia" w:ascii="宋体" w:hAnsi="宋体"/>
                <w:color w:val="000000"/>
                <w:kern w:val="0"/>
                <w:sz w:val="24"/>
              </w:rPr>
              <w:t>工艺进行评比</w:t>
            </w:r>
            <w:r>
              <w:rPr>
                <w:rFonts w:hint="eastAsia" w:ascii="宋体" w:hAnsi="宋体"/>
                <w:color w:val="000000"/>
                <w:kern w:val="0"/>
                <w:sz w:val="24"/>
                <w:lang w:eastAsia="zh-CN"/>
              </w:rPr>
              <w:t>，需提供生产设备佐证材料（图片</w:t>
            </w:r>
            <w:r>
              <w:rPr>
                <w:rFonts w:hint="eastAsia" w:ascii="宋体" w:hAnsi="宋体"/>
                <w:color w:val="000000"/>
                <w:kern w:val="0"/>
                <w:sz w:val="24"/>
                <w:lang w:val="en-US" w:eastAsia="zh-CN"/>
              </w:rPr>
              <w:t>+购置发票，</w:t>
            </w:r>
            <w:r>
              <w:rPr>
                <w:rFonts w:hint="eastAsia" w:ascii="宋体" w:hAnsi="宋体"/>
                <w:color w:val="000000"/>
                <w:kern w:val="0"/>
                <w:sz w:val="24"/>
                <w:lang w:eastAsia="zh-CN"/>
              </w:rPr>
              <w:t>未提供不得分），</w:t>
            </w:r>
            <w:r>
              <w:rPr>
                <w:rFonts w:hint="eastAsia" w:ascii="宋体" w:hAnsi="宋体"/>
                <w:color w:val="000000"/>
                <w:kern w:val="0"/>
                <w:sz w:val="24"/>
              </w:rPr>
              <w:t>优</w:t>
            </w:r>
            <w:r>
              <w:rPr>
                <w:rFonts w:hint="eastAsia" w:ascii="宋体" w:hAnsi="宋体"/>
                <w:color w:val="000000"/>
                <w:kern w:val="0"/>
                <w:sz w:val="24"/>
                <w:lang w:val="en-US" w:eastAsia="zh-CN"/>
              </w:rPr>
              <w:t>6-10</w:t>
            </w:r>
            <w:r>
              <w:rPr>
                <w:rFonts w:hint="eastAsia" w:ascii="宋体" w:hAnsi="宋体"/>
                <w:color w:val="000000"/>
                <w:kern w:val="0"/>
                <w:sz w:val="24"/>
              </w:rPr>
              <w:t>分，良</w:t>
            </w:r>
            <w:r>
              <w:rPr>
                <w:rFonts w:hint="eastAsia" w:ascii="宋体" w:hAnsi="宋体"/>
                <w:color w:val="000000"/>
                <w:kern w:val="0"/>
                <w:sz w:val="24"/>
                <w:lang w:val="en-US" w:eastAsia="zh-CN"/>
              </w:rPr>
              <w:t>3-5</w:t>
            </w:r>
            <w:r>
              <w:rPr>
                <w:rFonts w:hint="eastAsia" w:ascii="宋体" w:hAnsi="宋体"/>
                <w:color w:val="000000"/>
                <w:kern w:val="0"/>
                <w:sz w:val="24"/>
              </w:rPr>
              <w:t>分，差1</w:t>
            </w:r>
            <w:r>
              <w:rPr>
                <w:rFonts w:hint="eastAsia" w:ascii="宋体" w:hAnsi="宋体"/>
                <w:color w:val="000000"/>
                <w:kern w:val="0"/>
                <w:sz w:val="24"/>
                <w:lang w:val="en-US" w:eastAsia="zh-CN"/>
              </w:rPr>
              <w:t>-2</w:t>
            </w:r>
            <w:r>
              <w:rPr>
                <w:rFonts w:hint="eastAsia" w:ascii="宋体" w:hAnsi="宋体"/>
                <w:color w:val="000000"/>
                <w:kern w:val="0"/>
                <w:sz w:val="24"/>
              </w:rPr>
              <w:t>分</w:t>
            </w:r>
            <w:r>
              <w:rPr>
                <w:rFonts w:hint="eastAsia" w:ascii="宋体" w:hAnsi="宋体"/>
                <w:color w:val="000000"/>
                <w:kern w:val="0"/>
                <w:sz w:val="24"/>
                <w:lang w:eastAsia="zh-CN"/>
              </w:rPr>
              <w:t>。</w:t>
            </w:r>
          </w:p>
        </w:tc>
        <w:tc>
          <w:tcPr>
            <w:tcW w:w="782" w:type="dxa"/>
            <w:noWrap w:val="0"/>
            <w:vAlign w:val="center"/>
          </w:tcPr>
          <w:p>
            <w:pPr>
              <w:autoSpaceDN w:val="0"/>
              <w:spacing w:line="360" w:lineRule="auto"/>
              <w:jc w:val="center"/>
              <w:textAlignment w:val="center"/>
              <w:rPr>
                <w:rFonts w:ascii="宋体" w:hAnsi="宋体"/>
                <w:color w:val="000000"/>
                <w:sz w:val="24"/>
              </w:rPr>
            </w:pP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629" w:type="dxa"/>
            <w:vMerge w:val="restart"/>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3</w:t>
            </w:r>
          </w:p>
        </w:tc>
        <w:tc>
          <w:tcPr>
            <w:tcW w:w="927" w:type="dxa"/>
            <w:vMerge w:val="restart"/>
            <w:noWrap w:val="0"/>
            <w:vAlign w:val="center"/>
          </w:tcPr>
          <w:p>
            <w:pPr>
              <w:spacing w:line="360" w:lineRule="auto"/>
              <w:jc w:val="center"/>
              <w:rPr>
                <w:rFonts w:hint="eastAsia" w:ascii="宋体" w:hAnsi="宋体" w:eastAsia="宋体"/>
                <w:b w:val="0"/>
                <w:bCs/>
                <w:color w:val="000000"/>
                <w:sz w:val="24"/>
                <w:highlight w:val="none"/>
                <w:lang w:eastAsia="zh-CN"/>
              </w:rPr>
            </w:pPr>
            <w:r>
              <w:rPr>
                <w:rFonts w:hint="eastAsia" w:ascii="宋体" w:hAnsi="宋体"/>
                <w:b w:val="0"/>
                <w:bCs/>
                <w:color w:val="000000"/>
                <w:sz w:val="24"/>
                <w:highlight w:val="none"/>
                <w:lang w:eastAsia="zh-CN"/>
              </w:rPr>
              <w:t>商务部分</w:t>
            </w:r>
          </w:p>
        </w:tc>
        <w:tc>
          <w:tcPr>
            <w:tcW w:w="8414"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olor w:val="000000"/>
                <w:sz w:val="24"/>
                <w:highlight w:val="none"/>
                <w:lang w:val="en-US" w:eastAsia="zh-CN"/>
              </w:rPr>
            </w:pPr>
            <w:r>
              <w:rPr>
                <w:rFonts w:hint="eastAsia" w:ascii="宋体" w:hAnsi="宋体"/>
                <w:color w:val="000000"/>
                <w:sz w:val="24"/>
                <w:lang w:eastAsia="zh-CN"/>
              </w:rPr>
              <w:t>提供投标人或所投品牌制造厂家</w:t>
            </w:r>
            <w:r>
              <w:rPr>
                <w:rFonts w:hint="eastAsia" w:ascii="宋体" w:hAnsi="宋体"/>
                <w:color w:val="000000"/>
                <w:sz w:val="24"/>
                <w:highlight w:val="none"/>
                <w:shd w:val="clear"/>
                <w:lang w:eastAsia="zh-CN"/>
              </w:rPr>
              <w:t>所投产品第三方</w:t>
            </w:r>
            <w:r>
              <w:rPr>
                <w:rFonts w:hint="eastAsia" w:ascii="宋体" w:hAnsi="宋体"/>
                <w:color w:val="000000"/>
                <w:sz w:val="24"/>
                <w:highlight w:val="none"/>
                <w:shd w:val="clear"/>
                <w:lang w:val="en-US" w:eastAsia="zh-CN"/>
              </w:rPr>
              <w:t>检测报告</w:t>
            </w:r>
            <w:r>
              <w:rPr>
                <w:rFonts w:hint="eastAsia" w:ascii="宋体" w:hAnsi="宋体"/>
                <w:color w:val="000000"/>
                <w:sz w:val="24"/>
                <w:highlight w:val="none"/>
                <w:lang w:val="en-US" w:eastAsia="zh-CN"/>
              </w:rPr>
              <w:t>的得2分；</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color w:val="000000"/>
                <w:sz w:val="24"/>
                <w:highlight w:val="none"/>
                <w:lang w:val="en-US" w:eastAsia="zh-CN"/>
              </w:rPr>
            </w:pPr>
            <w:r>
              <w:rPr>
                <w:rFonts w:hint="eastAsia" w:ascii="宋体" w:hAnsi="宋体"/>
                <w:color w:val="000000"/>
                <w:sz w:val="24"/>
                <w:lang w:eastAsia="zh-CN"/>
              </w:rPr>
              <w:t>投标人或所投品牌制造厂家</w:t>
            </w:r>
            <w:r>
              <w:rPr>
                <w:rFonts w:hint="eastAsia" w:ascii="宋体" w:hAnsi="宋体"/>
                <w:color w:val="000000"/>
                <w:sz w:val="24"/>
                <w:highlight w:val="none"/>
                <w:lang w:val="en-US" w:eastAsia="zh-CN"/>
              </w:rPr>
              <w:t>具备特种设备生产许可证的得2分；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highlight w:val="none"/>
                <w:lang w:val="en-US" w:eastAsia="zh-CN"/>
              </w:rPr>
            </w:pPr>
            <w:r>
              <w:rPr>
                <w:rFonts w:hint="eastAsia" w:ascii="宋体" w:hAnsi="宋体"/>
                <w:color w:val="000000"/>
                <w:sz w:val="24"/>
                <w:lang w:eastAsia="zh-CN"/>
              </w:rPr>
              <w:t>投标人或所投品牌制造厂家</w:t>
            </w:r>
            <w:r>
              <w:rPr>
                <w:rFonts w:hint="eastAsia" w:ascii="宋体" w:hAnsi="宋体"/>
                <w:color w:val="000000"/>
                <w:sz w:val="24"/>
                <w:highlight w:val="none"/>
                <w:lang w:eastAsia="zh-CN"/>
              </w:rPr>
              <w:t>获得省级以上省高新技术企业得</w:t>
            </w:r>
            <w:r>
              <w:rPr>
                <w:rFonts w:hint="eastAsia" w:ascii="宋体" w:hAnsi="宋体"/>
                <w:color w:val="000000"/>
                <w:sz w:val="24"/>
                <w:highlight w:val="none"/>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color w:val="000000"/>
                <w:sz w:val="24"/>
                <w:lang w:val="en-US" w:eastAsia="zh-CN"/>
              </w:rPr>
            </w:pPr>
            <w:r>
              <w:rPr>
                <w:rFonts w:hint="eastAsia" w:ascii="宋体" w:hAnsi="宋体"/>
                <w:color w:val="000000"/>
                <w:sz w:val="24"/>
                <w:lang w:eastAsia="zh-CN"/>
              </w:rPr>
              <w:t>投标人或所投品牌制造厂家计算机软件著作权登记证书（车载终端控制系统、电池管理、驱动控制系统其中任意一种）的得</w:t>
            </w:r>
            <w:r>
              <w:rPr>
                <w:rFonts w:hint="eastAsia" w:ascii="宋体" w:hAnsi="宋体"/>
                <w:color w:val="000000"/>
                <w:sz w:val="24"/>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eastAsia="zh-CN"/>
              </w:rPr>
              <w:t>投标人或所投品牌制造厂家具有七星售后服务认证证书的得</w:t>
            </w:r>
            <w:r>
              <w:rPr>
                <w:rFonts w:hint="eastAsia" w:ascii="宋体" w:hAnsi="宋体"/>
                <w:color w:val="000000"/>
                <w:sz w:val="24"/>
                <w:lang w:val="en-US" w:eastAsia="zh-CN"/>
              </w:rPr>
              <w:t>2分；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eastAsia="zh-CN"/>
              </w:rPr>
              <w:t>提供投标人或所投品牌制造厂家专利认证证书的</w:t>
            </w:r>
            <w:r>
              <w:rPr>
                <w:rFonts w:hint="eastAsia" w:ascii="宋体" w:hAnsi="宋体"/>
                <w:color w:val="000000"/>
                <w:sz w:val="24"/>
                <w:lang w:val="en-US" w:eastAsia="zh-CN"/>
              </w:rPr>
              <w:t>1份1分，最多3分。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000000"/>
                <w:sz w:val="24"/>
                <w:lang w:val="en-US" w:eastAsia="zh-CN"/>
              </w:rPr>
            </w:pPr>
            <w:r>
              <w:rPr>
                <w:rFonts w:hint="eastAsia" w:ascii="宋体" w:hAnsi="宋体"/>
                <w:color w:val="000000"/>
                <w:sz w:val="24"/>
                <w:lang w:val="en-US" w:eastAsia="zh-CN"/>
              </w:rPr>
              <w:t>（以上文件需提供原件，否则不得分)</w:t>
            </w:r>
          </w:p>
        </w:tc>
        <w:tc>
          <w:tcPr>
            <w:tcW w:w="782" w:type="dxa"/>
            <w:noWrap w:val="0"/>
            <w:vAlign w:val="center"/>
          </w:tcPr>
          <w:p>
            <w:pPr>
              <w:autoSpaceDN w:val="0"/>
              <w:spacing w:line="360" w:lineRule="auto"/>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29" w:type="dxa"/>
            <w:vMerge w:val="continue"/>
            <w:noWrap w:val="0"/>
            <w:vAlign w:val="center"/>
          </w:tcPr>
          <w:p>
            <w:pPr>
              <w:spacing w:line="360" w:lineRule="auto"/>
              <w:jc w:val="center"/>
              <w:rPr>
                <w:rFonts w:hint="eastAsia" w:ascii="宋体" w:hAnsi="宋体"/>
                <w:color w:val="000000"/>
                <w:sz w:val="24"/>
              </w:rPr>
            </w:pPr>
          </w:p>
        </w:tc>
        <w:tc>
          <w:tcPr>
            <w:tcW w:w="927" w:type="dxa"/>
            <w:vMerge w:val="continue"/>
            <w:noWrap w:val="0"/>
            <w:vAlign w:val="center"/>
          </w:tcPr>
          <w:p>
            <w:pPr>
              <w:spacing w:line="360" w:lineRule="auto"/>
              <w:jc w:val="center"/>
              <w:rPr>
                <w:rFonts w:ascii="宋体" w:hAnsi="宋体"/>
                <w:b w:val="0"/>
                <w:bCs/>
                <w:color w:val="000000"/>
                <w:sz w:val="24"/>
              </w:rPr>
            </w:pPr>
          </w:p>
        </w:tc>
        <w:tc>
          <w:tcPr>
            <w:tcW w:w="8414" w:type="dxa"/>
            <w:gridSpan w:val="2"/>
            <w:noWrap w:val="0"/>
            <w:vAlign w:val="center"/>
          </w:tcPr>
          <w:p>
            <w:pPr>
              <w:rPr>
                <w:rFonts w:hint="eastAsia" w:ascii="宋体" w:hAnsi="宋体" w:eastAsia="宋体"/>
                <w:color w:val="000000"/>
                <w:sz w:val="24"/>
                <w:lang w:eastAsia="zh-CN"/>
              </w:rPr>
            </w:pPr>
            <w:r>
              <w:rPr>
                <w:rFonts w:hint="eastAsia" w:ascii="宋体" w:hAnsi="宋体"/>
                <w:color w:val="000000"/>
                <w:sz w:val="24"/>
                <w:lang w:eastAsia="zh-CN"/>
              </w:rPr>
              <w:t>提供投标人或所投品牌制造厂家</w:t>
            </w:r>
            <w:r>
              <w:rPr>
                <w:rFonts w:hint="eastAsia" w:ascii="宋体" w:hAnsi="宋体"/>
                <w:color w:val="000000"/>
                <w:sz w:val="24"/>
                <w:lang w:val="en-US" w:eastAsia="zh-CN"/>
              </w:rPr>
              <w:t>同类产品采购项目合同，每个得1分最多得5分（需提供合同原件或中标通知书原件，否则不得分）</w:t>
            </w:r>
          </w:p>
        </w:tc>
        <w:tc>
          <w:tcPr>
            <w:tcW w:w="782" w:type="dxa"/>
            <w:noWrap w:val="0"/>
            <w:vAlign w:val="center"/>
          </w:tcPr>
          <w:p>
            <w:pPr>
              <w:autoSpaceDN w:val="0"/>
              <w:spacing w:line="360" w:lineRule="auto"/>
              <w:rPr>
                <w:rFonts w:hint="eastAsia" w:ascii="宋体" w:hAnsi="宋体" w:eastAsia="宋体"/>
                <w:color w:val="000000"/>
                <w:sz w:val="24"/>
                <w:lang w:val="en-US" w:eastAsia="zh-CN"/>
              </w:rPr>
            </w:pPr>
            <w:r>
              <w:rPr>
                <w:rFonts w:hint="eastAsia" w:ascii="宋体" w:hAnsi="宋体"/>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29" w:type="dxa"/>
            <w:noWrap w:val="0"/>
            <w:vAlign w:val="center"/>
          </w:tcPr>
          <w:p>
            <w:pPr>
              <w:spacing w:line="360" w:lineRule="auto"/>
              <w:jc w:val="center"/>
              <w:rPr>
                <w:rFonts w:hint="eastAsia" w:ascii="宋体" w:hAnsi="宋体" w:eastAsia="宋体"/>
                <w:color w:val="000000"/>
                <w:sz w:val="24"/>
                <w:lang w:val="en-US" w:eastAsia="zh-CN"/>
              </w:rPr>
            </w:pPr>
            <w:r>
              <w:rPr>
                <w:rFonts w:hint="eastAsia" w:ascii="宋体" w:hAnsi="宋体"/>
                <w:color w:val="000000"/>
                <w:sz w:val="24"/>
                <w:lang w:val="en-US" w:eastAsia="zh-CN"/>
              </w:rPr>
              <w:t>4</w:t>
            </w:r>
          </w:p>
        </w:tc>
        <w:tc>
          <w:tcPr>
            <w:tcW w:w="927" w:type="dxa"/>
            <w:noWrap w:val="0"/>
            <w:vAlign w:val="center"/>
          </w:tcPr>
          <w:p>
            <w:pPr>
              <w:spacing w:line="360" w:lineRule="auto"/>
              <w:jc w:val="center"/>
              <w:rPr>
                <w:rFonts w:ascii="宋体" w:hAnsi="宋体"/>
                <w:b w:val="0"/>
                <w:bCs/>
                <w:color w:val="000000"/>
                <w:sz w:val="24"/>
              </w:rPr>
            </w:pPr>
            <w:r>
              <w:rPr>
                <w:rFonts w:hint="eastAsia" w:ascii="宋体" w:hAnsi="宋体"/>
                <w:b w:val="0"/>
                <w:bCs/>
                <w:color w:val="000000"/>
                <w:sz w:val="24"/>
              </w:rPr>
              <w:t>售后</w:t>
            </w:r>
            <w:r>
              <w:rPr>
                <w:rFonts w:ascii="宋体" w:hAnsi="宋体"/>
                <w:b w:val="0"/>
                <w:bCs/>
                <w:color w:val="000000"/>
                <w:sz w:val="24"/>
              </w:rPr>
              <w:t>服务</w:t>
            </w:r>
          </w:p>
        </w:tc>
        <w:tc>
          <w:tcPr>
            <w:tcW w:w="8414" w:type="dxa"/>
            <w:gridSpan w:val="2"/>
            <w:noWrap w:val="0"/>
            <w:vAlign w:val="center"/>
          </w:tcPr>
          <w:p>
            <w:pPr>
              <w:rPr>
                <w:rFonts w:ascii="宋体" w:hAnsi="宋体"/>
                <w:color w:val="000000"/>
                <w:kern w:val="0"/>
                <w:sz w:val="24"/>
              </w:rPr>
            </w:pPr>
            <w:r>
              <w:rPr>
                <w:rFonts w:hint="eastAsia" w:ascii="宋体" w:hAnsi="宋体"/>
                <w:color w:val="000000"/>
                <w:kern w:val="0"/>
                <w:sz w:val="24"/>
              </w:rPr>
              <w:t>对投标人的售后服务体系比较：（包括：三包期、配件、培训内容等）、售后服务保证及其保障措施进行对比评分：</w:t>
            </w:r>
            <w:r>
              <w:rPr>
                <w:rFonts w:hint="eastAsia" w:ascii="宋体" w:hAnsi="宋体"/>
                <w:color w:val="000000"/>
                <w:sz w:val="24"/>
              </w:rPr>
              <w:t>优</w:t>
            </w:r>
            <w:r>
              <w:rPr>
                <w:rFonts w:hint="eastAsia" w:ascii="宋体" w:hAnsi="宋体"/>
                <w:color w:val="000000"/>
                <w:sz w:val="24"/>
                <w:lang w:val="en-US" w:eastAsia="zh-CN"/>
              </w:rPr>
              <w:t>2-3</w:t>
            </w:r>
            <w:r>
              <w:rPr>
                <w:rFonts w:hint="eastAsia" w:ascii="宋体" w:hAnsi="宋体"/>
                <w:color w:val="000000"/>
                <w:sz w:val="24"/>
              </w:rPr>
              <w:t>分，良</w:t>
            </w:r>
            <w:r>
              <w:rPr>
                <w:rFonts w:hint="eastAsia" w:ascii="宋体" w:hAnsi="宋体"/>
                <w:color w:val="000000"/>
                <w:sz w:val="24"/>
                <w:lang w:val="en-US" w:eastAsia="zh-CN"/>
              </w:rPr>
              <w:t>1.9-1</w:t>
            </w:r>
            <w:r>
              <w:rPr>
                <w:rFonts w:hint="eastAsia" w:ascii="宋体" w:hAnsi="宋体"/>
                <w:color w:val="000000"/>
                <w:sz w:val="24"/>
              </w:rPr>
              <w:t>分，差</w:t>
            </w:r>
            <w:r>
              <w:rPr>
                <w:rFonts w:hint="eastAsia" w:ascii="宋体" w:hAnsi="宋体"/>
                <w:color w:val="000000"/>
                <w:sz w:val="24"/>
                <w:lang w:val="en-US" w:eastAsia="zh-CN"/>
              </w:rPr>
              <w:t>0.9-0</w:t>
            </w:r>
            <w:r>
              <w:rPr>
                <w:rFonts w:hint="eastAsia" w:ascii="宋体" w:hAnsi="宋体"/>
                <w:color w:val="000000"/>
                <w:sz w:val="24"/>
              </w:rPr>
              <w:t>分。</w:t>
            </w:r>
          </w:p>
        </w:tc>
        <w:tc>
          <w:tcPr>
            <w:tcW w:w="782" w:type="dxa"/>
            <w:noWrap w:val="0"/>
            <w:vAlign w:val="center"/>
          </w:tcPr>
          <w:p>
            <w:pPr>
              <w:autoSpaceDN w:val="0"/>
              <w:spacing w:line="360" w:lineRule="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分</w:t>
            </w:r>
          </w:p>
        </w:tc>
      </w:tr>
    </w:tbl>
    <w:p>
      <w:pPr>
        <w:spacing w:line="360" w:lineRule="auto"/>
        <w:rPr>
          <w:rFonts w:hint="eastAsia"/>
          <w:b/>
          <w:bCs/>
        </w:rPr>
      </w:pPr>
    </w:p>
    <w:p>
      <w:pPr>
        <w:spacing w:line="360" w:lineRule="auto"/>
        <w:rPr>
          <w:rFonts w:hint="eastAsia" w:asciiTheme="minorEastAsia" w:hAnsiTheme="minorEastAsia" w:eastAsiaTheme="minorEastAsia"/>
          <w:b/>
          <w:sz w:val="36"/>
          <w:szCs w:val="36"/>
        </w:rPr>
      </w:pPr>
      <w:r>
        <w:rPr>
          <w:rFonts w:hint="eastAsia"/>
          <w:b/>
          <w:bCs/>
        </w:rPr>
        <w:t>注</w:t>
      </w:r>
      <w:r>
        <w:rPr>
          <w:rFonts w:hint="eastAsia"/>
        </w:rPr>
        <w:t>：①请</w:t>
      </w:r>
      <w:r>
        <w:rPr>
          <w:rFonts w:hint="eastAsia"/>
          <w:lang w:val="en-US" w:eastAsia="zh-CN"/>
        </w:rPr>
        <w:t>提供</w:t>
      </w:r>
      <w:r>
        <w:rPr>
          <w:rFonts w:hint="eastAsia"/>
        </w:rPr>
        <w:t>合同、证书及其他相关证明材料的</w:t>
      </w:r>
      <w:r>
        <w:rPr>
          <w:rFonts w:hint="eastAsia"/>
          <w:lang w:val="en-US" w:eastAsia="zh-CN"/>
        </w:rPr>
        <w:t>复印件</w:t>
      </w:r>
      <w:r>
        <w:rPr>
          <w:rFonts w:hint="eastAsia"/>
        </w:rPr>
        <w:t>，并加盖公章。</w:t>
      </w:r>
    </w:p>
    <w:p>
      <w:pPr>
        <w:widowControl/>
        <w:spacing w:after="0" w:line="240" w:lineRule="auto"/>
        <w:jc w:val="center"/>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pStyle w:val="3"/>
        <w:rPr>
          <w:rFonts w:hint="eastAsia" w:asciiTheme="minorEastAsia" w:hAnsiTheme="minorEastAsia" w:eastAsiaTheme="minorEastAsia"/>
          <w:b/>
          <w:sz w:val="36"/>
          <w:szCs w:val="36"/>
        </w:rPr>
      </w:pPr>
    </w:p>
    <w:p>
      <w:pPr>
        <w:rPr>
          <w:rFonts w:hint="eastAsia" w:asciiTheme="minorEastAsia" w:hAnsiTheme="minorEastAsia" w:eastAsiaTheme="minorEastAsia"/>
          <w:b/>
          <w:sz w:val="36"/>
          <w:szCs w:val="36"/>
        </w:rPr>
      </w:pPr>
    </w:p>
    <w:p>
      <w:pPr>
        <w:pStyle w:val="2"/>
        <w:rPr>
          <w:rFonts w:hint="eastAsia"/>
        </w:rPr>
      </w:pPr>
    </w:p>
    <w:p>
      <w:pPr>
        <w:widowControl/>
        <w:spacing w:after="0" w:line="240" w:lineRule="auto"/>
        <w:jc w:val="center"/>
        <w:rPr>
          <w:rFonts w:ascii="宋体" w:hAnsi="宋体"/>
          <w:b/>
          <w:sz w:val="36"/>
          <w:szCs w:val="36"/>
        </w:rPr>
      </w:pPr>
      <w:r>
        <w:rPr>
          <w:rFonts w:hint="eastAsia" w:asciiTheme="minorEastAsia" w:hAnsiTheme="minorEastAsia" w:eastAsiaTheme="minorEastAsia"/>
          <w:b/>
          <w:sz w:val="36"/>
          <w:szCs w:val="36"/>
        </w:rPr>
        <w:t>第五章</w:t>
      </w:r>
      <w:r>
        <w:rPr>
          <w:rFonts w:hint="eastAsia" w:ascii="宋体" w:hAnsi="宋体"/>
          <w:b/>
          <w:sz w:val="36"/>
          <w:szCs w:val="36"/>
        </w:rPr>
        <w:t>政府采购合同主要条款指引</w:t>
      </w:r>
    </w:p>
    <w:p>
      <w:pPr>
        <w:spacing w:line="400" w:lineRule="exact"/>
        <w:ind w:firstLine="480" w:firstLineChars="200"/>
        <w:rPr>
          <w:rFonts w:hint="eastAsia" w:hAnsi="宋体" w:eastAsia="宋体"/>
          <w:snapToGrid w:val="0"/>
          <w:sz w:val="24"/>
          <w:u w:val="single"/>
          <w:lang w:eastAsia="zh-CN"/>
        </w:rPr>
      </w:pPr>
      <w:r>
        <w:rPr>
          <w:rFonts w:hint="eastAsia" w:hAnsi="宋体"/>
          <w:snapToGrid w:val="0"/>
          <w:sz w:val="24"/>
        </w:rPr>
        <w:t>甲方：</w:t>
      </w:r>
      <w:r>
        <w:rPr>
          <w:rFonts w:hint="eastAsia" w:hAnsi="宋体"/>
          <w:snapToGrid w:val="0"/>
          <w:sz w:val="24"/>
          <w:u w:val="single"/>
          <w:lang w:eastAsia="zh-CN"/>
        </w:rPr>
        <w:t>三门县亭旁镇芹溪村股份经济合作社</w:t>
      </w:r>
    </w:p>
    <w:p>
      <w:pPr>
        <w:pStyle w:val="24"/>
        <w:snapToGrid w:val="0"/>
        <w:spacing w:line="400" w:lineRule="exact"/>
        <w:ind w:firstLine="480" w:firstLineChars="200"/>
        <w:textAlignment w:val="baseline"/>
        <w:rPr>
          <w:rFonts w:hAnsi="宋体"/>
          <w:snapToGrid w:val="0"/>
          <w:sz w:val="24"/>
          <w:u w:val="single"/>
        </w:rPr>
      </w:pPr>
      <w:r>
        <w:rPr>
          <w:rFonts w:hint="eastAsia" w:hAnsi="宋体"/>
          <w:snapToGrid w:val="0"/>
          <w:sz w:val="24"/>
        </w:rPr>
        <w:t>乙方：</w:t>
      </w:r>
    </w:p>
    <w:p>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24"/>
        <w:snapToGrid w:val="0"/>
        <w:spacing w:before="120" w:after="120" w:line="360" w:lineRule="auto"/>
        <w:rPr>
          <w:rFonts w:hAnsi="宋体"/>
          <w:sz w:val="24"/>
        </w:rPr>
      </w:pPr>
      <w:r>
        <w:rPr>
          <w:rFonts w:hAnsi="宋体"/>
          <w:sz w:val="24"/>
        </w:rPr>
        <w:t>项目名称：                                    项目编号：</w:t>
      </w:r>
    </w:p>
    <w:p>
      <w:pPr>
        <w:pStyle w:val="24"/>
        <w:snapToGrid w:val="0"/>
        <w:spacing w:before="120" w:after="120" w:line="360" w:lineRule="auto"/>
        <w:rPr>
          <w:rFonts w:hAnsi="宋体"/>
          <w:sz w:val="24"/>
        </w:rPr>
      </w:pPr>
      <w:r>
        <w:rPr>
          <w:rFonts w:hAnsi="宋体"/>
          <w:sz w:val="24"/>
        </w:rPr>
        <w:t>甲方：（</w:t>
      </w:r>
      <w:r>
        <w:rPr>
          <w:rFonts w:hint="eastAsia" w:hAnsi="宋体"/>
          <w:sz w:val="24"/>
        </w:rPr>
        <w:t>采购单位</w:t>
      </w:r>
      <w:r>
        <w:rPr>
          <w:rFonts w:hAnsi="宋体"/>
          <w:sz w:val="24"/>
        </w:rPr>
        <w:t xml:space="preserve">）                            所在地：                              </w:t>
      </w:r>
    </w:p>
    <w:p>
      <w:pPr>
        <w:pStyle w:val="24"/>
        <w:snapToGrid w:val="0"/>
        <w:spacing w:before="120" w:after="120" w:line="360" w:lineRule="auto"/>
        <w:rPr>
          <w:rFonts w:hAnsi="宋体"/>
          <w:sz w:val="24"/>
        </w:rPr>
      </w:pPr>
      <w:r>
        <w:rPr>
          <w:rFonts w:hAnsi="宋体"/>
          <w:sz w:val="24"/>
        </w:rPr>
        <w:t>乙方：（</w:t>
      </w:r>
      <w:r>
        <w:rPr>
          <w:rFonts w:hint="eastAsia" w:hAnsi="宋体"/>
          <w:sz w:val="24"/>
        </w:rPr>
        <w:t>中标供应商</w:t>
      </w:r>
      <w:r>
        <w:rPr>
          <w:rFonts w:hAnsi="宋体"/>
          <w:sz w:val="24"/>
        </w:rPr>
        <w:t>）                          所在地：</w:t>
      </w:r>
    </w:p>
    <w:p>
      <w:pPr>
        <w:pStyle w:val="24"/>
        <w:snapToGrid w:val="0"/>
        <w:spacing w:before="120" w:after="120" w:line="360" w:lineRule="auto"/>
        <w:rPr>
          <w:rFonts w:hAnsi="宋体"/>
          <w:b/>
          <w:sz w:val="24"/>
        </w:rPr>
      </w:pPr>
      <w:r>
        <w:rPr>
          <w:rFonts w:hAnsi="宋体"/>
          <w:sz w:val="24"/>
        </w:rPr>
        <w:t>甲、乙双方根据</w:t>
      </w:r>
      <w:r>
        <w:rPr>
          <w:rFonts w:hint="eastAsia" w:hAnsi="宋体" w:cs="Arial"/>
          <w:sz w:val="24"/>
        </w:rPr>
        <w:t>××</w:t>
      </w:r>
      <w:r>
        <w:rPr>
          <w:rFonts w:hAnsi="宋体"/>
          <w:sz w:val="24"/>
        </w:rPr>
        <w:t>(采购组织机构名称）关于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pPr>
        <w:spacing w:line="360" w:lineRule="auto"/>
        <w:rPr>
          <w:rFonts w:ascii="宋体"/>
          <w:sz w:val="24"/>
          <w:lang w:val="zh-CN"/>
        </w:rPr>
      </w:pPr>
      <w:r>
        <w:rPr>
          <w:rFonts w:hint="eastAsia" w:ascii="宋体"/>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1.合同条款。</w:t>
      </w:r>
    </w:p>
    <w:p>
      <w:pPr>
        <w:spacing w:line="360" w:lineRule="auto"/>
        <w:ind w:firstLine="480" w:firstLineChars="200"/>
        <w:rPr>
          <w:rFonts w:ascii="宋体"/>
          <w:sz w:val="24"/>
          <w:lang w:val="zh-CN"/>
        </w:rPr>
      </w:pPr>
      <w:r>
        <w:rPr>
          <w:rFonts w:hint="eastAsia" w:ascii="宋体"/>
          <w:sz w:val="24"/>
          <w:lang w:val="zh-CN"/>
        </w:rPr>
        <w:t>2.中标通知书。</w:t>
      </w:r>
    </w:p>
    <w:p>
      <w:pPr>
        <w:spacing w:line="360" w:lineRule="auto"/>
        <w:ind w:firstLine="480" w:firstLineChars="200"/>
        <w:rPr>
          <w:rFonts w:ascii="宋体"/>
          <w:sz w:val="24"/>
          <w:lang w:val="zh-CN"/>
        </w:rPr>
      </w:pPr>
      <w:r>
        <w:rPr>
          <w:rFonts w:hint="eastAsia" w:ascii="宋体"/>
          <w:sz w:val="24"/>
          <w:lang w:val="zh-CN"/>
        </w:rPr>
        <w:t>3.更正补充文件。</w:t>
      </w:r>
    </w:p>
    <w:p>
      <w:pPr>
        <w:spacing w:line="360" w:lineRule="auto"/>
        <w:ind w:firstLine="480" w:firstLineChars="200"/>
        <w:rPr>
          <w:rFonts w:ascii="宋体"/>
          <w:sz w:val="24"/>
          <w:lang w:val="zh-CN"/>
        </w:rPr>
      </w:pPr>
      <w:r>
        <w:rPr>
          <w:rFonts w:hint="eastAsia" w:ascii="宋体"/>
          <w:sz w:val="24"/>
          <w:lang w:val="zh-CN"/>
        </w:rPr>
        <w:t>4.招标文件。</w:t>
      </w:r>
    </w:p>
    <w:p>
      <w:pPr>
        <w:spacing w:line="360" w:lineRule="auto"/>
        <w:ind w:firstLine="480" w:firstLineChars="200"/>
        <w:rPr>
          <w:rFonts w:ascii="宋体"/>
          <w:sz w:val="24"/>
          <w:lang w:val="zh-CN"/>
        </w:rPr>
      </w:pPr>
      <w:r>
        <w:rPr>
          <w:rFonts w:hint="eastAsia" w:ascii="宋体"/>
          <w:sz w:val="24"/>
          <w:lang w:val="zh-CN"/>
        </w:rPr>
        <w:t>5.中标供应商投标文件。</w:t>
      </w:r>
    </w:p>
    <w:p>
      <w:pPr>
        <w:spacing w:line="360" w:lineRule="auto"/>
        <w:ind w:firstLine="480" w:firstLineChars="200"/>
        <w:rPr>
          <w:rFonts w:ascii="宋体"/>
          <w:sz w:val="24"/>
          <w:lang w:val="zh-CN"/>
        </w:rPr>
      </w:pPr>
      <w:r>
        <w:rPr>
          <w:rFonts w:hint="eastAsia" w:ascii="宋体"/>
          <w:sz w:val="24"/>
          <w:lang w:val="zh-CN"/>
        </w:rPr>
        <w:t>6.其他。</w:t>
      </w:r>
    </w:p>
    <w:p>
      <w:pPr>
        <w:pStyle w:val="24"/>
        <w:snapToGrid w:val="0"/>
        <w:spacing w:line="360" w:lineRule="auto"/>
        <w:ind w:firstLine="480" w:firstLineChars="200"/>
        <w:rPr>
          <w:rFonts w:hAnsi="Times New Roman"/>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r>
        <w:rPr>
          <w:rFonts w:hint="eastAsia" w:ascii="宋体" w:hAnsi="宋体" w:cs="Arial"/>
          <w:b/>
          <w:kern w:val="0"/>
          <w:sz w:val="24"/>
        </w:rPr>
        <w:t>：</w:t>
      </w:r>
      <w:r>
        <w:rPr>
          <w:rFonts w:ascii="宋体" w:hAnsi="宋体" w:cs="Arial"/>
          <w:kern w:val="0"/>
          <w:sz w:val="24"/>
        </w:rPr>
        <w:t>（具体见项目需求）</w:t>
      </w:r>
    </w:p>
    <w:p>
      <w:pPr>
        <w:pStyle w:val="24"/>
        <w:snapToGrid w:val="0"/>
        <w:spacing w:before="120" w:after="120" w:line="360" w:lineRule="auto"/>
        <w:rPr>
          <w:rFonts w:hAnsi="宋体"/>
          <w:b/>
          <w:sz w:val="24"/>
        </w:rPr>
      </w:pPr>
      <w:r>
        <w:rPr>
          <w:rFonts w:hint="eastAsia" w:hAnsi="宋体"/>
          <w:b/>
          <w:sz w:val="24"/>
        </w:rPr>
        <w:t>三</w:t>
      </w:r>
      <w:r>
        <w:rPr>
          <w:rFonts w:hAnsi="宋体"/>
          <w:b/>
          <w:sz w:val="24"/>
        </w:rPr>
        <w:t>、合同金额</w:t>
      </w:r>
    </w:p>
    <w:p>
      <w:pPr>
        <w:pStyle w:val="24"/>
        <w:snapToGrid w:val="0"/>
        <w:spacing w:before="120" w:after="120" w:line="360" w:lineRule="auto"/>
        <w:ind w:left="410" w:hanging="410" w:hangingChars="171"/>
        <w:rPr>
          <w:rFonts w:hAnsi="宋体"/>
          <w:sz w:val="24"/>
        </w:rPr>
      </w:pPr>
      <w:r>
        <w:rPr>
          <w:rFonts w:hAnsi="宋体"/>
          <w:sz w:val="24"/>
        </w:rPr>
        <w:t>本合同金额为（大写）：_________________元（￥___________元）人民币。</w:t>
      </w:r>
    </w:p>
    <w:p>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39"/>
        <w:shd w:val="clear" w:color="auto" w:fill="FFFFFF"/>
        <w:spacing w:before="0" w:beforeAutospacing="0" w:after="150" w:afterAutospacing="0" w:line="375" w:lineRule="atLeast"/>
        <w:ind w:firstLine="480"/>
        <w:rPr>
          <w:rFonts w:hint="default" w:cs="Arial"/>
        </w:rPr>
      </w:pPr>
      <w:r>
        <w:rPr>
          <w:rFonts w:cs="Arial"/>
        </w:rPr>
        <w:t>（一）甲方责任：</w:t>
      </w:r>
      <w:r>
        <w:rPr>
          <w:rFonts w:hAnsi="Courier New"/>
          <w:lang w:val="zh-CN"/>
        </w:rPr>
        <w:t>甲方负责提供采购清单，按期组织验收。</w:t>
      </w:r>
    </w:p>
    <w:p>
      <w:pPr>
        <w:pStyle w:val="39"/>
        <w:shd w:val="clear" w:color="auto" w:fill="FFFFFF"/>
        <w:spacing w:before="0" w:beforeAutospacing="0" w:after="150" w:afterAutospacing="0" w:line="375" w:lineRule="atLeast"/>
        <w:ind w:firstLine="480"/>
        <w:rPr>
          <w:rFonts w:hint="default"/>
        </w:rPr>
      </w:pPr>
      <w:r>
        <w:rPr>
          <w:rFonts w:cs="Arial"/>
        </w:rPr>
        <w:t>（二）乙方责任：</w:t>
      </w:r>
      <w:r>
        <w:rPr>
          <w:rFonts w:hAnsi="Courier New"/>
        </w:rPr>
        <w:t>乙方必须按照本项目特点，自行组织、制定本工程实施中的生产安全事故应急救援预案；乙方施工人员人身安全由乙方自行负责。</w:t>
      </w:r>
    </w:p>
    <w:p>
      <w:pPr>
        <w:pStyle w:val="24"/>
        <w:snapToGrid w:val="0"/>
        <w:spacing w:before="120" w:after="120" w:line="360" w:lineRule="auto"/>
        <w:rPr>
          <w:rFonts w:hAnsi="宋体"/>
          <w:b/>
          <w:sz w:val="24"/>
        </w:rPr>
      </w:pPr>
      <w:r>
        <w:rPr>
          <w:rFonts w:hint="eastAsia" w:hAnsi="宋体"/>
          <w:b/>
          <w:sz w:val="24"/>
        </w:rPr>
        <w:t>五</w:t>
      </w:r>
      <w:r>
        <w:rPr>
          <w:rFonts w:hAnsi="宋体"/>
          <w:b/>
          <w:sz w:val="24"/>
        </w:rPr>
        <w:t>、技术资料</w:t>
      </w:r>
    </w:p>
    <w:p>
      <w:pPr>
        <w:pStyle w:val="24"/>
        <w:snapToGrid w:val="0"/>
        <w:spacing w:before="120" w:after="120" w:line="360" w:lineRule="auto"/>
        <w:ind w:left="410" w:hanging="410" w:hangingChars="171"/>
        <w:rPr>
          <w:rFonts w:hAnsi="宋体"/>
          <w:sz w:val="24"/>
        </w:rPr>
      </w:pPr>
      <w:r>
        <w:rPr>
          <w:rFonts w:hAnsi="宋体"/>
          <w:sz w:val="24"/>
        </w:rPr>
        <w:t>1.乙方应按招标文件规定的时间向甲方提供有关技术资料。</w:t>
      </w:r>
    </w:p>
    <w:p>
      <w:pPr>
        <w:pStyle w:val="24"/>
        <w:snapToGrid w:val="0"/>
        <w:spacing w:before="120" w:after="120" w:line="360" w:lineRule="auto"/>
        <w:ind w:left="410" w:hanging="410" w:hangingChars="171"/>
        <w:rPr>
          <w:rFonts w:hAnsi="宋体"/>
          <w:sz w:val="24"/>
        </w:rPr>
      </w:pPr>
      <w:r>
        <w:rPr>
          <w:rFonts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line="360" w:lineRule="auto"/>
        <w:ind w:left="412" w:hanging="412" w:hangingChars="171"/>
        <w:rPr>
          <w:rFonts w:hAnsi="宋体"/>
          <w:b/>
          <w:sz w:val="24"/>
        </w:rPr>
      </w:pPr>
      <w:r>
        <w:rPr>
          <w:rFonts w:hint="eastAsia" w:hAnsi="宋体"/>
          <w:b/>
          <w:sz w:val="24"/>
        </w:rPr>
        <w:t>六</w:t>
      </w:r>
      <w:r>
        <w:rPr>
          <w:rFonts w:hAnsi="宋体"/>
          <w:b/>
          <w:sz w:val="24"/>
        </w:rPr>
        <w:t>、知识产权</w:t>
      </w:r>
    </w:p>
    <w:p>
      <w:pPr>
        <w:pStyle w:val="24"/>
        <w:snapToGrid w:val="0"/>
        <w:spacing w:before="120" w:after="120" w:line="360" w:lineRule="auto"/>
        <w:ind w:left="410" w:hanging="410" w:hangingChars="171"/>
        <w:rPr>
          <w:rFonts w:hAnsi="宋体"/>
          <w:b/>
          <w:bCs/>
          <w:sz w:val="24"/>
        </w:rPr>
      </w:pPr>
      <w:r>
        <w:rPr>
          <w:rFonts w:hAnsi="宋体"/>
          <w:sz w:val="24"/>
        </w:rPr>
        <w:t>乙方应保证提供服务过程中不会侵犯任何第三方的知识产权。</w:t>
      </w:r>
    </w:p>
    <w:p>
      <w:pPr>
        <w:pStyle w:val="24"/>
        <w:snapToGrid w:val="0"/>
        <w:spacing w:before="120" w:after="120" w:line="360" w:lineRule="auto"/>
        <w:ind w:left="410" w:hanging="410" w:hangingChars="170"/>
        <w:rPr>
          <w:rFonts w:hAnsi="宋体"/>
          <w:b/>
          <w:sz w:val="24"/>
        </w:rPr>
      </w:pPr>
      <w:r>
        <w:rPr>
          <w:rFonts w:hint="eastAsia" w:hAnsi="宋体"/>
          <w:b/>
          <w:sz w:val="24"/>
        </w:rPr>
        <w:t>七</w:t>
      </w:r>
      <w:r>
        <w:rPr>
          <w:rFonts w:hAnsi="宋体"/>
          <w:b/>
          <w:sz w:val="24"/>
        </w:rPr>
        <w:t>、履约保证金</w:t>
      </w:r>
      <w:r>
        <w:rPr>
          <w:rFonts w:hint="eastAsia" w:hAnsi="宋体"/>
          <w:b/>
          <w:sz w:val="24"/>
        </w:rPr>
        <w:t>：/</w:t>
      </w:r>
    </w:p>
    <w:p>
      <w:pPr>
        <w:snapToGrid w:val="0"/>
        <w:spacing w:before="120" w:beforeLines="50" w:after="120" w:afterLines="50" w:line="360" w:lineRule="auto"/>
        <w:rPr>
          <w:rFonts w:ascii="宋体" w:hAnsi="宋体"/>
          <w:b/>
          <w:sz w:val="24"/>
        </w:rPr>
      </w:pPr>
      <w:r>
        <w:rPr>
          <w:rFonts w:hint="eastAsia" w:ascii="宋体" w:hAnsi="宋体"/>
          <w:b/>
          <w:sz w:val="24"/>
        </w:rPr>
        <w:t>八、转包或分包</w:t>
      </w:r>
    </w:p>
    <w:p>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before="120" w:beforeLines="50" w:after="120" w:afterLines="50" w:line="360" w:lineRule="auto"/>
        <w:rPr>
          <w:rFonts w:hint="eastAsia"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pPr>
        <w:pStyle w:val="42"/>
        <w:ind w:left="0" w:leftChars="0" w:firstLine="0" w:firstLineChars="0"/>
        <w:rPr>
          <w:rFonts w:hint="eastAsia" w:eastAsiaTheme="minorEastAsia"/>
          <w:lang w:val="en-US" w:eastAsia="zh-CN"/>
        </w:rPr>
      </w:pPr>
      <w:r>
        <w:rPr>
          <w:rFonts w:hint="eastAsia" w:ascii="宋体" w:hAnsi="宋体" w:eastAsia="宋体" w:cs="Times New Roman"/>
          <w:b/>
          <w:kern w:val="2"/>
          <w:sz w:val="24"/>
          <w:szCs w:val="24"/>
          <w:lang w:val="en-US" w:eastAsia="zh-CN" w:bidi="ar-SA"/>
        </w:rPr>
        <w:t>八、供货期：</w:t>
      </w:r>
      <w:r>
        <w:rPr>
          <w:rFonts w:hint="eastAsia" w:ascii="宋体" w:hAnsi="宋体" w:cs="宋体"/>
          <w:color w:val="auto"/>
          <w:sz w:val="24"/>
          <w:u w:val="none"/>
        </w:rPr>
        <w:t>供应商在签订合同之日起20日历天内完成交货并通过验收审查</w:t>
      </w:r>
      <w:r>
        <w:rPr>
          <w:rFonts w:hint="eastAsia" w:ascii="宋体" w:hAnsi="宋体" w:cs="宋体"/>
          <w:color w:val="auto"/>
          <w:sz w:val="24"/>
          <w:u w:val="none"/>
          <w:lang w:eastAsia="zh-CN"/>
        </w:rPr>
        <w:t>。</w:t>
      </w:r>
    </w:p>
    <w:p>
      <w:pPr>
        <w:pStyle w:val="24"/>
        <w:snapToGrid w:val="0"/>
        <w:spacing w:before="120" w:after="120" w:line="360" w:lineRule="auto"/>
        <w:rPr>
          <w:rFonts w:hAnsi="宋体"/>
          <w:b/>
          <w:sz w:val="24"/>
        </w:rPr>
      </w:pPr>
      <w:r>
        <w:rPr>
          <w:rFonts w:hint="eastAsia" w:hAnsi="宋体"/>
          <w:b/>
          <w:sz w:val="24"/>
        </w:rPr>
        <w:t>九</w:t>
      </w:r>
      <w:r>
        <w:rPr>
          <w:rFonts w:hAnsi="宋体"/>
          <w:b/>
          <w:sz w:val="24"/>
        </w:rPr>
        <w:t>、</w:t>
      </w:r>
      <w:r>
        <w:rPr>
          <w:rFonts w:hint="eastAsia" w:hAnsi="宋体"/>
          <w:b/>
          <w:sz w:val="24"/>
        </w:rPr>
        <w:t>免费服务期</w:t>
      </w:r>
    </w:p>
    <w:p>
      <w:pPr>
        <w:pStyle w:val="24"/>
        <w:snapToGrid w:val="0"/>
        <w:spacing w:before="120" w:after="120" w:line="360" w:lineRule="auto"/>
        <w:rPr>
          <w:rFonts w:hAnsi="宋体"/>
          <w:color w:val="auto"/>
          <w:sz w:val="24"/>
        </w:rPr>
      </w:pPr>
      <w:r>
        <w:rPr>
          <w:rFonts w:hAnsi="宋体"/>
          <w:color w:val="auto"/>
          <w:sz w:val="24"/>
        </w:rPr>
        <w:t xml:space="preserve">1. </w:t>
      </w:r>
      <w:r>
        <w:rPr>
          <w:rFonts w:hint="eastAsia" w:hAnsi="宋体"/>
          <w:color w:val="auto"/>
          <w:sz w:val="24"/>
        </w:rPr>
        <w:t>观光车里程20000公里内，因产品本身缺陷（非人为因素）而造成的任何产品质量问题或故障应由供应商免费技术服务和维修。</w:t>
      </w:r>
    </w:p>
    <w:p>
      <w:pPr>
        <w:pStyle w:val="24"/>
        <w:snapToGrid w:val="0"/>
        <w:spacing w:before="120" w:after="120" w:line="360" w:lineRule="auto"/>
        <w:rPr>
          <w:rFonts w:hAnsi="宋体"/>
          <w:b/>
          <w:sz w:val="24"/>
        </w:rPr>
      </w:pPr>
      <w:r>
        <w:rPr>
          <w:rFonts w:hint="eastAsia" w:hAnsi="宋体"/>
          <w:b/>
          <w:sz w:val="24"/>
        </w:rPr>
        <w:t>十</w:t>
      </w:r>
      <w:r>
        <w:rPr>
          <w:rFonts w:hAnsi="宋体"/>
          <w:b/>
          <w:sz w:val="24"/>
        </w:rPr>
        <w:t>、合同履行时间、履行方式及履行地点</w:t>
      </w:r>
    </w:p>
    <w:p>
      <w:pPr>
        <w:pStyle w:val="19"/>
        <w:rPr>
          <w:rFonts w:ascii="Tahoma" w:hAnsi="Tahoma" w:eastAsia="仿宋_GB2312"/>
          <w:kern w:val="0"/>
          <w:sz w:val="28"/>
          <w:szCs w:val="28"/>
        </w:rPr>
      </w:pPr>
      <w:r>
        <w:rPr>
          <w:rFonts w:hAnsi="宋体"/>
          <w:bCs/>
        </w:rPr>
        <w:t>1.</w:t>
      </w:r>
      <w:r>
        <w:rPr>
          <w:rFonts w:hAnsi="宋体"/>
        </w:rPr>
        <w:t>履行时间</w:t>
      </w:r>
      <w:r>
        <w:rPr>
          <w:rFonts w:hAnsi="宋体"/>
          <w:bCs/>
        </w:rPr>
        <w:t>：</w:t>
      </w:r>
    </w:p>
    <w:p>
      <w:pPr>
        <w:pStyle w:val="24"/>
        <w:snapToGrid w:val="0"/>
        <w:spacing w:before="120" w:after="120" w:line="360" w:lineRule="auto"/>
        <w:rPr>
          <w:rFonts w:hAnsi="宋体"/>
          <w:bCs/>
          <w:sz w:val="24"/>
        </w:rPr>
      </w:pPr>
      <w:r>
        <w:rPr>
          <w:rFonts w:hAnsi="宋体"/>
          <w:bCs/>
          <w:sz w:val="24"/>
        </w:rPr>
        <w:t>2.</w:t>
      </w:r>
      <w:r>
        <w:rPr>
          <w:rFonts w:hAnsi="宋体"/>
          <w:sz w:val="24"/>
        </w:rPr>
        <w:t>履行方式</w:t>
      </w:r>
      <w:r>
        <w:rPr>
          <w:rFonts w:hAnsi="宋体"/>
          <w:bCs/>
          <w:sz w:val="24"/>
        </w:rPr>
        <w:t>：</w:t>
      </w:r>
    </w:p>
    <w:p>
      <w:pPr>
        <w:pStyle w:val="24"/>
        <w:snapToGrid w:val="0"/>
        <w:spacing w:before="120" w:after="120" w:line="360" w:lineRule="auto"/>
        <w:rPr>
          <w:rFonts w:hAnsi="宋体"/>
          <w:sz w:val="24"/>
        </w:rPr>
      </w:pPr>
      <w:r>
        <w:rPr>
          <w:rFonts w:hAnsi="宋体"/>
          <w:bCs/>
          <w:sz w:val="24"/>
        </w:rPr>
        <w:t>3.</w:t>
      </w:r>
      <w:r>
        <w:rPr>
          <w:rFonts w:hAnsi="宋体"/>
          <w:sz w:val="24"/>
        </w:rPr>
        <w:t>履行地点</w:t>
      </w:r>
      <w:r>
        <w:rPr>
          <w:rFonts w:hAnsi="宋体"/>
          <w:bCs/>
          <w:sz w:val="24"/>
        </w:rPr>
        <w:t>：</w:t>
      </w:r>
    </w:p>
    <w:p>
      <w:pPr>
        <w:pStyle w:val="24"/>
        <w:snapToGrid w:val="0"/>
        <w:spacing w:before="120" w:after="120" w:line="360" w:lineRule="auto"/>
        <w:rPr>
          <w:rFonts w:hAnsi="宋体"/>
          <w:b/>
          <w:sz w:val="24"/>
        </w:rPr>
      </w:pPr>
      <w:r>
        <w:rPr>
          <w:rFonts w:hint="eastAsia" w:hAnsi="宋体"/>
          <w:b/>
          <w:sz w:val="24"/>
        </w:rPr>
        <w:t>十一</w:t>
      </w:r>
      <w:r>
        <w:rPr>
          <w:rFonts w:hAnsi="宋体"/>
          <w:b/>
          <w:sz w:val="24"/>
        </w:rPr>
        <w:t>、款项支付</w:t>
      </w:r>
    </w:p>
    <w:p>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付款方式：</w:t>
      </w:r>
    </w:p>
    <w:p>
      <w:pPr>
        <w:spacing w:line="360" w:lineRule="auto"/>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交货完成并验收审查通过后付至合同价的30%，剩余资金待上级拨款到位后付至合同价的97.5%，剩余2.5%的质保金待免费质保期满后付清。</w:t>
      </w:r>
    </w:p>
    <w:p>
      <w:pPr>
        <w:spacing w:line="360" w:lineRule="auto"/>
        <w:ind w:firstLine="240"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2、当采购数量与实际使用数量不一致时，投标人应根据实际使用量供货，合同的最终结算金额按实际使用量乘以成交单价进行计算。</w:t>
      </w:r>
    </w:p>
    <w:p>
      <w:pPr>
        <w:overflowPunct w:val="0"/>
        <w:spacing w:line="400" w:lineRule="exact"/>
        <w:rPr>
          <w:rFonts w:ascii="宋体" w:hAnsi="宋体"/>
          <w:b/>
          <w:sz w:val="24"/>
        </w:rPr>
      </w:pPr>
      <w:r>
        <w:rPr>
          <w:rFonts w:hint="eastAsia" w:ascii="宋体" w:hAnsi="宋体"/>
          <w:b/>
          <w:sz w:val="24"/>
        </w:rPr>
        <w:t>十二、税费</w:t>
      </w:r>
    </w:p>
    <w:p>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4"/>
        <w:snapToGrid w:val="0"/>
        <w:spacing w:before="120" w:after="120" w:line="360" w:lineRule="auto"/>
        <w:ind w:left="412" w:hanging="412" w:hangingChars="171"/>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2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乙方应按招标文件规定向甲方提供服务。</w:t>
      </w:r>
    </w:p>
    <w:p>
      <w:pPr>
        <w:pStyle w:val="24"/>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 xml:space="preserve"> 乙方提供的服务成果在服务质量保证期内发生故障，乙方应负责免费提供后续服务。对达不到要求者，根据实际情况，经双方协商，可按以下办法处理：</w:t>
      </w:r>
    </w:p>
    <w:p>
      <w:pPr>
        <w:pStyle w:val="24"/>
        <w:snapToGrid w:val="0"/>
        <w:spacing w:before="120" w:after="120" w:line="360" w:lineRule="auto"/>
        <w:ind w:firstLine="420"/>
        <w:rPr>
          <w:rFonts w:hAnsi="宋体"/>
          <w:sz w:val="24"/>
        </w:rPr>
      </w:pPr>
      <w:r>
        <w:rPr>
          <w:rFonts w:hAnsi="宋体"/>
          <w:sz w:val="24"/>
        </w:rPr>
        <w:t>⑴重做：由乙方承担所发生的全部费用。</w:t>
      </w:r>
    </w:p>
    <w:p>
      <w:pPr>
        <w:pStyle w:val="24"/>
        <w:snapToGrid w:val="0"/>
        <w:spacing w:before="120" w:after="120" w:line="360" w:lineRule="auto"/>
        <w:ind w:firstLine="420"/>
        <w:rPr>
          <w:rFonts w:hAnsi="宋体"/>
          <w:sz w:val="24"/>
        </w:rPr>
      </w:pPr>
      <w:r>
        <w:rPr>
          <w:rFonts w:hAnsi="宋体"/>
          <w:sz w:val="24"/>
        </w:rPr>
        <w:t>⑵贬值处理：由甲乙双方合议定价。</w:t>
      </w:r>
    </w:p>
    <w:p>
      <w:pPr>
        <w:pStyle w:val="24"/>
        <w:snapToGrid w:val="0"/>
        <w:spacing w:before="120" w:after="120" w:line="360" w:lineRule="auto"/>
        <w:ind w:left="420" w:leftChars="200"/>
        <w:rPr>
          <w:rFonts w:hAnsi="宋体"/>
          <w:sz w:val="24"/>
        </w:rPr>
      </w:pPr>
      <w:r>
        <w:rPr>
          <w:rFonts w:hAnsi="宋体"/>
          <w:sz w:val="24"/>
        </w:rPr>
        <w:t>⑶解除合同。</w:t>
      </w:r>
    </w:p>
    <w:p>
      <w:pPr>
        <w:pStyle w:val="2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如在使用过程中发生问题，乙方在接到甲方通知后在48小时内到达甲方现场。</w:t>
      </w:r>
    </w:p>
    <w:p>
      <w:pPr>
        <w:pStyle w:val="24"/>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在</w:t>
      </w:r>
      <w:r>
        <w:rPr>
          <w:rFonts w:hAnsi="宋体"/>
          <w:b/>
          <w:sz w:val="24"/>
        </w:rPr>
        <w:t>服务质量保证期</w:t>
      </w:r>
      <w:r>
        <w:rPr>
          <w:rFonts w:hAnsi="宋体"/>
          <w:sz w:val="24"/>
        </w:rPr>
        <w:t>内，乙方应对出现的质量及安全问题负责处理解决并承担</w:t>
      </w:r>
    </w:p>
    <w:p>
      <w:pPr>
        <w:pStyle w:val="24"/>
        <w:snapToGrid w:val="0"/>
        <w:spacing w:before="120" w:after="120" w:line="360" w:lineRule="auto"/>
        <w:ind w:firstLine="360" w:firstLineChars="150"/>
        <w:rPr>
          <w:rFonts w:hAnsi="宋体"/>
          <w:sz w:val="24"/>
        </w:rPr>
      </w:pPr>
      <w:r>
        <w:rPr>
          <w:rFonts w:hAnsi="宋体"/>
          <w:sz w:val="24"/>
        </w:rPr>
        <w:t>一切费用。</w:t>
      </w:r>
    </w:p>
    <w:p>
      <w:pPr>
        <w:pStyle w:val="24"/>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pPr>
        <w:pStyle w:val="2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4"/>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4"/>
        <w:snapToGrid w:val="0"/>
        <w:spacing w:before="120" w:after="120" w:line="360" w:lineRule="auto"/>
        <w:ind w:left="410" w:hanging="410" w:hangingChars="171"/>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24"/>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24"/>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24"/>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24"/>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2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pPr>
        <w:pStyle w:val="24"/>
        <w:snapToGrid w:val="0"/>
        <w:spacing w:before="120" w:after="120" w:line="360" w:lineRule="auto"/>
        <w:ind w:firstLine="360" w:firstLineChars="150"/>
        <w:rPr>
          <w:rFonts w:hAnsi="宋体"/>
          <w:sz w:val="24"/>
        </w:rPr>
      </w:pPr>
      <w:r>
        <w:rPr>
          <w:rFonts w:hAnsi="宋体"/>
          <w:sz w:val="24"/>
        </w:rPr>
        <w:t>同。</w:t>
      </w:r>
    </w:p>
    <w:p>
      <w:pPr>
        <w:pStyle w:val="24"/>
        <w:snapToGrid w:val="0"/>
        <w:spacing w:before="120" w:after="120" w:line="360" w:lineRule="auto"/>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pPr>
        <w:pStyle w:val="24"/>
        <w:snapToGrid w:val="0"/>
        <w:spacing w:before="120" w:after="120" w:line="360" w:lineRule="auto"/>
        <w:rPr>
          <w:rFonts w:hint="eastAsia" w:hAnsi="宋体" w:eastAsia="宋体" w:cs="宋体"/>
          <w:kern w:val="0"/>
          <w:sz w:val="24"/>
          <w:lang w:eastAsia="zh-CN"/>
        </w:rPr>
      </w:pPr>
      <w:r>
        <w:rPr>
          <w:rFonts w:hAnsi="宋体" w:cs="宋体"/>
          <w:kern w:val="0"/>
          <w:sz w:val="24"/>
        </w:rPr>
        <w:t>1. 如双方在履行合同时发生纠纷，应协商解决；协商不成时，可提请政府采购管理部门调解；调解不成的通过以下</w:t>
      </w:r>
      <w:r>
        <w:rPr>
          <w:rFonts w:hint="eastAsia" w:hAnsi="宋体" w:cs="宋体"/>
          <w:kern w:val="0"/>
          <w:sz w:val="24"/>
        </w:rPr>
        <w:t>（2）</w:t>
      </w:r>
      <w:r>
        <w:rPr>
          <w:rFonts w:hAnsi="宋体" w:cs="宋体"/>
          <w:kern w:val="0"/>
          <w:sz w:val="24"/>
        </w:rPr>
        <w:t>方式解决：</w:t>
      </w:r>
    </w:p>
    <w:p>
      <w:pPr>
        <w:pStyle w:val="24"/>
        <w:snapToGrid w:val="0"/>
        <w:spacing w:before="120" w:after="120" w:line="360" w:lineRule="auto"/>
        <w:rPr>
          <w:rFonts w:hint="eastAsia" w:hAnsi="宋体" w:eastAsia="宋体" w:cs="宋体"/>
          <w:kern w:val="0"/>
          <w:sz w:val="24"/>
          <w:lang w:eastAsia="zh-CN"/>
        </w:rPr>
      </w:pPr>
      <w:r>
        <w:rPr>
          <w:rFonts w:hAnsi="宋体" w:cs="宋体"/>
          <w:kern w:val="0"/>
          <w:sz w:val="24"/>
        </w:rPr>
        <w:t>（1） 提交三门县仲裁委员会仲裁。</w:t>
      </w:r>
    </w:p>
    <w:p>
      <w:pPr>
        <w:pStyle w:val="24"/>
        <w:snapToGrid w:val="0"/>
        <w:spacing w:before="120" w:after="120" w:line="360" w:lineRule="auto"/>
        <w:rPr>
          <w:rFonts w:hAnsi="宋体" w:cs="宋体"/>
          <w:kern w:val="0"/>
          <w:sz w:val="24"/>
        </w:rPr>
      </w:pPr>
      <w:r>
        <w:rPr>
          <w:rFonts w:hAnsi="宋体" w:cs="宋体"/>
          <w:kern w:val="0"/>
          <w:sz w:val="24"/>
        </w:rPr>
        <w:t>（2） 依法向</w:t>
      </w:r>
      <w:r>
        <w:rPr>
          <w:rFonts w:hint="eastAsia" w:hAnsi="宋体" w:cs="宋体"/>
          <w:kern w:val="0"/>
          <w:sz w:val="24"/>
        </w:rPr>
        <w:t>三门县</w:t>
      </w:r>
      <w:r>
        <w:rPr>
          <w:rFonts w:hAnsi="宋体" w:cs="宋体"/>
          <w:kern w:val="0"/>
          <w:sz w:val="24"/>
        </w:rPr>
        <w:t>人民法院提起诉讼。</w:t>
      </w:r>
    </w:p>
    <w:p>
      <w:pPr>
        <w:pStyle w:val="24"/>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24"/>
        <w:snapToGrid w:val="0"/>
        <w:spacing w:before="120" w:after="120" w:line="360" w:lineRule="auto"/>
        <w:rPr>
          <w:rFonts w:hAnsi="宋体"/>
          <w:sz w:val="24"/>
        </w:rPr>
      </w:pPr>
      <w:r>
        <w:rPr>
          <w:rFonts w:hAnsi="宋体"/>
          <w:sz w:val="24"/>
        </w:rPr>
        <w:t>1. 合同经双方法定代表人或授权代表</w:t>
      </w:r>
      <w:r>
        <w:rPr>
          <w:rFonts w:hint="eastAsia" w:hAnsi="宋体"/>
          <w:sz w:val="24"/>
        </w:rPr>
        <w:t>签字</w:t>
      </w:r>
      <w:r>
        <w:rPr>
          <w:rFonts w:hAnsi="宋体"/>
          <w:sz w:val="24"/>
        </w:rPr>
        <w:t>并加盖单位公章后生效。</w:t>
      </w:r>
    </w:p>
    <w:p>
      <w:pPr>
        <w:pStyle w:val="24"/>
        <w:snapToGrid w:val="0"/>
        <w:spacing w:before="120" w:after="120" w:line="360" w:lineRule="auto"/>
        <w:ind w:left="480" w:hanging="480" w:hangingChars="200"/>
        <w:rPr>
          <w:rFonts w:hAnsi="宋体"/>
          <w:sz w:val="24"/>
        </w:rPr>
      </w:pPr>
      <w:r>
        <w:rPr>
          <w:rFonts w:hAnsi="宋体"/>
          <w:sz w:val="24"/>
        </w:rPr>
        <w:t>2. 本合同未尽事宜，遵照《</w:t>
      </w:r>
      <w:r>
        <w:rPr>
          <w:rFonts w:hint="eastAsia" w:hAnsi="宋体"/>
          <w:sz w:val="24"/>
        </w:rPr>
        <w:t>民法典</w:t>
      </w:r>
      <w:r>
        <w:rPr>
          <w:rFonts w:hAnsi="宋体"/>
          <w:sz w:val="24"/>
        </w:rPr>
        <w:t>》有关条文执行。</w:t>
      </w:r>
    </w:p>
    <w:p>
      <w:pPr>
        <w:widowControl/>
        <w:spacing w:line="360" w:lineRule="auto"/>
        <w:rPr>
          <w:rFonts w:ascii="宋体" w:hAnsi="宋体"/>
          <w:sz w:val="24"/>
        </w:rPr>
      </w:pPr>
      <w:r>
        <w:rPr>
          <w:rFonts w:ascii="宋体" w:hAnsi="宋体"/>
          <w:sz w:val="24"/>
        </w:rPr>
        <w:t xml:space="preserve">3. </w:t>
      </w:r>
      <w:r>
        <w:rPr>
          <w:rFonts w:hint="eastAsia" w:ascii="宋体" w:hAnsi="宋体"/>
          <w:sz w:val="24"/>
        </w:rPr>
        <w:t>本合同一式四份。甲、乙双方各执一份，采购组织机构及同级人民政府财政部门各执一份。本项目未尽事宜以招标文件、投标文件及澄清文件等为准。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pPr>
              <w:spacing w:line="360" w:lineRule="auto"/>
              <w:rPr>
                <w:rFonts w:ascii="宋体" w:hAnsi="宋体"/>
                <w:sz w:val="24"/>
              </w:rPr>
            </w:pPr>
            <w:r>
              <w:rPr>
                <w:rFonts w:hint="eastAsia" w:ascii="宋体" w:hAnsi="宋体"/>
                <w:sz w:val="24"/>
              </w:rPr>
              <w:t>甲方（公章）</w:t>
            </w:r>
          </w:p>
        </w:tc>
        <w:tc>
          <w:tcPr>
            <w:tcW w:w="4199" w:type="dxa"/>
            <w:shd w:val="clear" w:color="auto" w:fill="auto"/>
          </w:tcPr>
          <w:p>
            <w:pPr>
              <w:spacing w:line="360" w:lineRule="auto"/>
              <w:rPr>
                <w:rFonts w:ascii="宋体" w:hAnsi="宋体"/>
                <w:sz w:val="24"/>
              </w:rPr>
            </w:pPr>
            <w:r>
              <w:rPr>
                <w:rFonts w:hint="eastAsia" w:ascii="宋体" w:hAnsi="宋体"/>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法定代表人：</w:t>
            </w:r>
          </w:p>
        </w:tc>
        <w:tc>
          <w:tcPr>
            <w:tcW w:w="4199" w:type="dxa"/>
            <w:shd w:val="clear" w:color="auto" w:fill="auto"/>
          </w:tcPr>
          <w:p>
            <w:pPr>
              <w:spacing w:line="360" w:lineRule="auto"/>
              <w:rPr>
                <w:rFonts w:ascii="宋体" w:hAnsi="宋体"/>
                <w:sz w:val="24"/>
              </w:rPr>
            </w:pPr>
            <w:r>
              <w:rPr>
                <w:rFonts w:ascii="宋体" w:hAnsi="宋体"/>
                <w:sz w:val="24"/>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委托代理人：</w:t>
            </w:r>
          </w:p>
        </w:tc>
        <w:tc>
          <w:tcPr>
            <w:tcW w:w="4199" w:type="dxa"/>
            <w:shd w:val="clear" w:color="auto" w:fill="auto"/>
          </w:tcPr>
          <w:p>
            <w:pPr>
              <w:spacing w:line="360" w:lineRule="auto"/>
              <w:rPr>
                <w:rFonts w:ascii="宋体" w:hAnsi="宋体"/>
                <w:sz w:val="24"/>
              </w:rPr>
            </w:pPr>
            <w:r>
              <w:rPr>
                <w:rFonts w:ascii="宋体" w:hAnsi="宋体"/>
                <w:sz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联系电话：</w:t>
            </w:r>
          </w:p>
        </w:tc>
        <w:tc>
          <w:tcPr>
            <w:tcW w:w="4199" w:type="dxa"/>
            <w:shd w:val="clear" w:color="auto" w:fill="auto"/>
          </w:tcPr>
          <w:p>
            <w:pPr>
              <w:spacing w:line="360" w:lineRule="auto"/>
              <w:rPr>
                <w:rFonts w:ascii="宋体" w:hAnsi="宋体"/>
                <w:sz w:val="24"/>
              </w:rPr>
            </w:pPr>
            <w:r>
              <w:rPr>
                <w:rFonts w:ascii="宋体" w:hAnsi="宋体"/>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开户银行：</w:t>
            </w:r>
          </w:p>
        </w:tc>
        <w:tc>
          <w:tcPr>
            <w:tcW w:w="4199" w:type="dxa"/>
            <w:shd w:val="clear" w:color="auto" w:fill="auto"/>
          </w:tcPr>
          <w:p>
            <w:pPr>
              <w:spacing w:line="360" w:lineRule="auto"/>
              <w:rPr>
                <w:rFonts w:ascii="宋体" w:hAnsi="宋体"/>
                <w:sz w:val="24"/>
              </w:rPr>
            </w:pPr>
            <w:r>
              <w:rPr>
                <w:rFonts w:ascii="宋体" w:hAnsi="宋体"/>
                <w:sz w:val="24"/>
              </w:rPr>
              <w:t xml:space="preserve"> 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4080" w:type="dxa"/>
            <w:shd w:val="clear" w:color="auto" w:fill="auto"/>
          </w:tcPr>
          <w:p>
            <w:pPr>
              <w:spacing w:line="360" w:lineRule="auto"/>
              <w:rPr>
                <w:rFonts w:ascii="宋体" w:hAnsi="宋体"/>
                <w:sz w:val="24"/>
              </w:rPr>
            </w:pPr>
            <w:r>
              <w:rPr>
                <w:rFonts w:hint="eastAsia" w:ascii="宋体" w:hAnsi="宋体"/>
                <w:sz w:val="24"/>
              </w:rPr>
              <w:t>帐号：</w:t>
            </w:r>
          </w:p>
        </w:tc>
        <w:tc>
          <w:tcPr>
            <w:tcW w:w="4199" w:type="dxa"/>
            <w:shd w:val="clear" w:color="auto" w:fill="auto"/>
          </w:tcPr>
          <w:p>
            <w:pPr>
              <w:spacing w:line="360" w:lineRule="auto"/>
              <w:rPr>
                <w:rFonts w:ascii="宋体" w:hAnsi="宋体"/>
                <w:sz w:val="24"/>
              </w:rPr>
            </w:pPr>
            <w:r>
              <w:rPr>
                <w:rFonts w:hint="eastAsia" w:ascii="宋体" w:hAnsi="宋体"/>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pPr>
              <w:spacing w:line="360" w:lineRule="auto"/>
              <w:rPr>
                <w:rFonts w:ascii="宋体" w:hAnsi="宋体"/>
                <w:sz w:val="24"/>
              </w:rPr>
            </w:pPr>
            <w:r>
              <w:rPr>
                <w:rFonts w:hint="eastAsia" w:ascii="宋体" w:hAnsi="宋体"/>
                <w:sz w:val="24"/>
              </w:rPr>
              <w:t>地址及邮编：</w:t>
            </w:r>
          </w:p>
        </w:tc>
        <w:tc>
          <w:tcPr>
            <w:tcW w:w="4199" w:type="dxa"/>
            <w:shd w:val="clear" w:color="auto" w:fill="auto"/>
          </w:tcPr>
          <w:p>
            <w:pPr>
              <w:spacing w:line="360" w:lineRule="auto"/>
              <w:rPr>
                <w:rFonts w:ascii="宋体" w:hAnsi="宋体"/>
                <w:sz w:val="24"/>
              </w:rPr>
            </w:pPr>
            <w:r>
              <w:rPr>
                <w:rFonts w:ascii="宋体" w:hAnsi="宋体"/>
                <w:sz w:val="24"/>
              </w:rPr>
              <w:t xml:space="preserve"> 地址及邮编：</w:t>
            </w:r>
          </w:p>
        </w:tc>
      </w:tr>
    </w:tbl>
    <w:p>
      <w:pPr>
        <w:spacing w:line="360" w:lineRule="auto"/>
        <w:rPr>
          <w:rFonts w:asciiTheme="minorEastAsia" w:hAnsiTheme="minorEastAsia" w:eastAsiaTheme="minorEastAsia"/>
          <w:b/>
          <w:sz w:val="36"/>
          <w:szCs w:val="36"/>
        </w:rPr>
      </w:pPr>
      <w:r>
        <w:rPr>
          <w:rFonts w:ascii="宋体" w:hAnsi="宋体"/>
          <w:sz w:val="24"/>
        </w:rPr>
        <w:t xml:space="preserve">                                   签订时间：  年  月  日 </w:t>
      </w:r>
    </w:p>
    <w:p>
      <w:pPr>
        <w:jc w:val="both"/>
        <w:rPr>
          <w:rFonts w:hint="eastAsia" w:ascii="宋体" w:hAnsi="宋体"/>
          <w:b/>
          <w:sz w:val="36"/>
          <w:szCs w:val="36"/>
        </w:rPr>
      </w:pPr>
    </w:p>
    <w:p>
      <w:pPr>
        <w:jc w:val="both"/>
        <w:rPr>
          <w:rFonts w:ascii="宋体" w:hAnsi="宋体"/>
          <w:color w:val="000000"/>
          <w:kern w:val="0"/>
          <w:sz w:val="24"/>
        </w:rPr>
      </w:pPr>
      <w:r>
        <w:rPr>
          <w:rFonts w:hint="eastAsia" w:ascii="宋体" w:hAnsi="宋体"/>
          <w:b/>
          <w:sz w:val="36"/>
          <w:szCs w:val="36"/>
        </w:rPr>
        <w:t>第六章：响应文件格式附件</w:t>
      </w:r>
    </w:p>
    <w:p>
      <w:pPr>
        <w:rPr>
          <w:rFonts w:ascii="宋体" w:hAnsi="宋体"/>
          <w:spacing w:val="40"/>
          <w:sz w:val="52"/>
          <w:szCs w:val="52"/>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firstLine="720" w:firstLineChars="200"/>
        <w:rPr>
          <w:rFonts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 xml:space="preserve">     </w:t>
      </w:r>
      <w:r>
        <w:rPr>
          <w:rFonts w:ascii="宋体" w:hAnsi="宋体"/>
          <w:color w:val="000000"/>
          <w:sz w:val="36"/>
          <w:szCs w:val="36"/>
          <w:u w:val="single"/>
        </w:rPr>
        <w:t xml:space="preserve">  </w:t>
      </w:r>
      <w:r>
        <w:rPr>
          <w:rFonts w:hint="eastAsia" w:ascii="宋体" w:hAnsi="宋体"/>
          <w:color w:val="000000"/>
          <w:sz w:val="36"/>
          <w:szCs w:val="36"/>
        </w:rPr>
        <w:t>标项：</w:t>
      </w:r>
      <w:r>
        <w:rPr>
          <w:rFonts w:ascii="宋体" w:hAnsi="宋体"/>
          <w:color w:val="000000"/>
          <w:sz w:val="36"/>
          <w:szCs w:val="36"/>
          <w:u w:val="single"/>
        </w:rPr>
        <w:t xml:space="preserve">      </w:t>
      </w:r>
      <w:r>
        <w:rPr>
          <w:rFonts w:ascii="宋体" w:hAnsi="宋体"/>
          <w:color w:val="000000"/>
          <w:sz w:val="36"/>
          <w:szCs w:val="36"/>
        </w:rPr>
        <w:t xml:space="preserve"> </w:t>
      </w:r>
    </w:p>
    <w:p>
      <w:pPr>
        <w:spacing w:before="312" w:beforeLines="100" w:line="240" w:lineRule="atLeast"/>
        <w:ind w:right="-108"/>
        <w:jc w:val="center"/>
        <w:rPr>
          <w:rFonts w:ascii="宋体" w:hAnsi="宋体"/>
          <w:sz w:val="32"/>
          <w:szCs w:val="32"/>
        </w:rPr>
      </w:pP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磋</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sz w:val="36"/>
          <w:szCs w:val="36"/>
        </w:rPr>
      </w:pPr>
      <w:r>
        <w:rPr>
          <w:rFonts w:hint="eastAsia" w:ascii="宋体" w:hAnsi="宋体"/>
          <w:b/>
          <w:color w:val="000000"/>
          <w:spacing w:val="40"/>
          <w:sz w:val="72"/>
          <w:szCs w:val="72"/>
        </w:rPr>
        <w:t>件</w:t>
      </w: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pPr>
      <w:r>
        <w:rPr>
          <w:rFonts w:hint="eastAsia" w:ascii="宋体" w:hAnsi="宋体"/>
          <w:sz w:val="36"/>
          <w:szCs w:val="36"/>
        </w:rPr>
        <w:t>时    间：</w:t>
      </w:r>
    </w:p>
    <w:p>
      <w:pPr>
        <w:snapToGrid w:val="0"/>
        <w:spacing w:before="50" w:after="50" w:line="360" w:lineRule="auto"/>
        <w:jc w:val="center"/>
        <w:rPr>
          <w:rFonts w:hint="eastAsia" w:ascii="宋体" w:hAnsi="宋体"/>
          <w:b/>
          <w:bCs/>
          <w:color w:val="000000"/>
          <w:sz w:val="36"/>
          <w:szCs w:val="36"/>
        </w:rPr>
      </w:pPr>
    </w:p>
    <w:p>
      <w:pPr>
        <w:snapToGrid w:val="0"/>
        <w:spacing w:before="50" w:after="50" w:line="360" w:lineRule="auto"/>
        <w:jc w:val="center"/>
        <w:rPr>
          <w:rFonts w:hint="eastAsia" w:ascii="宋体" w:hAnsi="宋体"/>
          <w:b/>
          <w:bCs/>
          <w:color w:val="000000"/>
          <w:sz w:val="36"/>
          <w:szCs w:val="36"/>
        </w:rPr>
      </w:pPr>
      <w:r>
        <w:rPr>
          <w:rFonts w:hint="eastAsia" w:ascii="宋体" w:hAnsi="宋体"/>
          <w:b/>
          <w:bCs/>
          <w:color w:val="000000"/>
          <w:sz w:val="36"/>
          <w:szCs w:val="36"/>
        </w:rPr>
        <w:t>磋商响应文件目录</w:t>
      </w:r>
    </w:p>
    <w:p>
      <w:pPr>
        <w:snapToGrid w:val="0"/>
        <w:spacing w:before="50" w:after="50" w:line="360" w:lineRule="auto"/>
        <w:ind w:firstLine="422" w:firstLineChars="150"/>
        <w:rPr>
          <w:rFonts w:hint="eastAsia" w:ascii="宋体" w:hAnsi="宋体" w:cs="宋体"/>
          <w:b/>
          <w:bCs/>
          <w:sz w:val="28"/>
          <w:szCs w:val="28"/>
        </w:rPr>
      </w:pPr>
      <w:r>
        <w:rPr>
          <w:rFonts w:hint="eastAsia" w:ascii="宋体" w:hAnsi="宋体" w:cs="宋体"/>
          <w:b/>
          <w:bCs/>
          <w:sz w:val="28"/>
          <w:szCs w:val="28"/>
        </w:rPr>
        <w:t>第一部分：资格证明部分</w:t>
      </w:r>
    </w:p>
    <w:p>
      <w:pPr>
        <w:pStyle w:val="36"/>
        <w:ind w:left="0" w:leftChars="0" w:firstLine="470"/>
        <w:rPr>
          <w:rFonts w:hint="eastAsia" w:ascii="宋体" w:hAnsi="宋体" w:eastAsia="宋体" w:cs="宋体"/>
          <w:smallCaps w:val="0"/>
          <w:color w:val="000000"/>
          <w:kern w:val="2"/>
          <w:sz w:val="24"/>
          <w:szCs w:val="24"/>
          <w:lang w:val="en-US" w:eastAsia="zh-CN" w:bidi="ar-SA"/>
        </w:rPr>
      </w:pPr>
      <w:r>
        <w:rPr>
          <w:rFonts w:hint="eastAsia" w:ascii="宋体" w:hAnsi="宋体" w:eastAsia="宋体" w:cs="宋体"/>
          <w:smallCaps w:val="0"/>
          <w:color w:val="000000"/>
          <w:kern w:val="2"/>
          <w:sz w:val="24"/>
          <w:szCs w:val="24"/>
          <w:lang w:val="en-US" w:eastAsia="zh-CN" w:bidi="ar-SA"/>
        </w:rPr>
        <w:t>（1）磋商声明书（见附件2）</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（2）授权委托书（法定代表人亲自办理磋商响应事宜的，则无需提交)</w:t>
      </w:r>
      <w:r>
        <w:rPr>
          <w:rFonts w:hint="eastAsia"/>
          <w:color w:val="000000"/>
        </w:rPr>
        <w:t xml:space="preserve"> </w:t>
      </w:r>
      <w:r>
        <w:rPr>
          <w:rFonts w:hint="eastAsia" w:ascii="宋体" w:hAnsi="宋体" w:cs="宋体"/>
          <w:color w:val="000000"/>
          <w:sz w:val="24"/>
        </w:rPr>
        <w:t>（见附件3）；</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（4）提供最近年度的财务状况报告，提供投标截止时间前六个月内（至少提供其中一个月）依法缴纳税收和社会保障资金的相关材料；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sz w:val="24"/>
        </w:rPr>
      </w:pPr>
      <w:r>
        <w:rPr>
          <w:rFonts w:hint="eastAsia" w:ascii="宋体" w:hAnsi="宋体" w:cs="宋体"/>
          <w:color w:val="000000"/>
          <w:sz w:val="24"/>
        </w:rPr>
        <w:t>（6）提供采购公告中符合供应商特定条件的有效资质证书复印件（磋商供应商特定条件中有要求的必须提供），以及需要说明的其他资料；</w:t>
      </w:r>
    </w:p>
    <w:p>
      <w:pPr>
        <w:snapToGrid w:val="0"/>
        <w:spacing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（1）投标人情况介绍（人员与技术力量、企业规模、经营业绩等）(附件4)。</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（2）</w:t>
      </w:r>
      <w:r>
        <w:rPr>
          <w:rFonts w:hint="eastAsia" w:ascii="宋体" w:hAnsi="宋体" w:cs="宋体"/>
          <w:color w:val="000000"/>
          <w:sz w:val="24"/>
        </w:rPr>
        <w:t>磋商响应方案描述</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hint="eastAsia" w:ascii="宋体" w:hAnsi="宋体"/>
          <w:color w:val="000000"/>
          <w:kern w:val="0"/>
          <w:sz w:val="24"/>
        </w:rPr>
      </w:pPr>
      <w:r>
        <w:rPr>
          <w:rFonts w:hint="eastAsia" w:ascii="宋体" w:hAnsi="宋体"/>
          <w:color w:val="000000"/>
          <w:kern w:val="0"/>
          <w:sz w:val="24"/>
        </w:rPr>
        <w:t>（3）商务及技术响应表(附件5)</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400" w:lineRule="exact"/>
        <w:ind w:right="-61" w:firstLine="360" w:firstLineChars="150"/>
        <w:jc w:val="left"/>
        <w:outlineLvl w:val="0"/>
        <w:rPr>
          <w:rFonts w:ascii="宋体" w:hAnsi="宋体"/>
          <w:color w:val="000000"/>
          <w:kern w:val="0"/>
          <w:sz w:val="24"/>
        </w:rPr>
      </w:pPr>
      <w:r>
        <w:rPr>
          <w:rFonts w:hint="eastAsia" w:ascii="宋体" w:hAnsi="宋体"/>
          <w:color w:val="000000"/>
          <w:kern w:val="0"/>
          <w:sz w:val="24"/>
        </w:rPr>
        <w:t>(4)近三年来类似项目的成功案例（附件6）</w:t>
      </w:r>
    </w:p>
    <w:p>
      <w:pPr>
        <w:snapToGrid w:val="0"/>
        <w:spacing w:line="360" w:lineRule="auto"/>
        <w:ind w:firstLine="240" w:firstLineChars="100"/>
        <w:jc w:val="left"/>
        <w:rPr>
          <w:rFonts w:hint="eastAsia"/>
          <w:b/>
          <w:sz w:val="28"/>
        </w:rPr>
      </w:pPr>
      <w:r>
        <w:rPr>
          <w:rFonts w:hint="eastAsia" w:ascii="宋体" w:hAnsi="宋体"/>
          <w:color w:val="000000"/>
          <w:kern w:val="0"/>
          <w:sz w:val="24"/>
        </w:rPr>
        <w:t>（</w:t>
      </w:r>
      <w:r>
        <w:rPr>
          <w:rFonts w:hint="eastAsia" w:ascii="宋体" w:hAnsi="宋体"/>
          <w:color w:val="000000"/>
          <w:kern w:val="0"/>
          <w:sz w:val="24"/>
          <w:lang w:val="en-US" w:eastAsia="zh-CN"/>
        </w:rPr>
        <w:t>5</w:t>
      </w:r>
      <w:r>
        <w:rPr>
          <w:rFonts w:hint="eastAsia" w:ascii="宋体" w:hAnsi="宋体"/>
          <w:color w:val="000000"/>
          <w:kern w:val="0"/>
          <w:sz w:val="24"/>
        </w:rPr>
        <w:t>）</w:t>
      </w:r>
      <w:r>
        <w:rPr>
          <w:rFonts w:hint="eastAsia" w:ascii="宋体" w:hAnsi="宋体"/>
          <w:sz w:val="24"/>
        </w:rPr>
        <w:t>投标人需要说明的其他资料（对照相应项目评分标准，由投标人自行考虑）</w:t>
      </w:r>
      <w:r>
        <w:rPr>
          <w:rFonts w:hint="eastAsia" w:ascii="宋体" w:hAnsi="宋体"/>
          <w:color w:val="000000"/>
          <w:kern w:val="0"/>
          <w:sz w:val="24"/>
        </w:rPr>
        <w:t>。</w:t>
      </w:r>
    </w:p>
    <w:p>
      <w:pPr>
        <w:spacing w:line="360" w:lineRule="auto"/>
        <w:ind w:right="-108" w:firstLine="562" w:firstLineChars="20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报价</w:t>
      </w:r>
      <w:r>
        <w:rPr>
          <w:rFonts w:hint="eastAsia" w:ascii="宋体" w:hAnsi="宋体" w:cs="宋体"/>
          <w:b/>
          <w:bCs/>
          <w:sz w:val="28"/>
          <w:szCs w:val="28"/>
        </w:rPr>
        <w:t>部分</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rPr>
        <w:t>1、首次报价一览表 （附件7）；</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rPr>
        <w:t>2、报价明细表（附件8）；</w:t>
      </w:r>
    </w:p>
    <w:p>
      <w:pPr>
        <w:spacing w:line="360" w:lineRule="auto"/>
        <w:ind w:left="216" w:leftChars="103" w:right="-108" w:firstLine="172" w:firstLineChars="72"/>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、投标人认为其他需要说明的 。</w:t>
      </w:r>
    </w:p>
    <w:p>
      <w:pPr>
        <w:spacing w:line="360" w:lineRule="auto"/>
        <w:ind w:left="216" w:leftChars="103" w:right="-108" w:firstLine="202" w:firstLineChars="72"/>
        <w:rPr>
          <w:rFonts w:ascii="宋体" w:hAnsi="宋体" w:cs="宋体"/>
          <w:sz w:val="24"/>
        </w:rPr>
      </w:pPr>
      <w:r>
        <w:rPr>
          <w:rFonts w:hint="eastAsia" w:ascii="宋体" w:hAnsi="宋体" w:cs="宋体"/>
          <w:b/>
          <w:bCs/>
          <w:kern w:val="0"/>
          <w:sz w:val="28"/>
          <w:szCs w:val="28"/>
        </w:rPr>
        <w:t>第四部分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1、针对磋商，响应供应商认为其他需要说明的；</w:t>
      </w:r>
    </w:p>
    <w:p>
      <w:pPr>
        <w:snapToGrid w:val="0"/>
        <w:spacing w:line="360" w:lineRule="auto"/>
        <w:ind w:left="837" w:leftChars="223" w:hanging="369" w:hangingChars="154"/>
        <w:rPr>
          <w:rFonts w:hint="eastAsia" w:ascii="宋体" w:hAnsi="宋体"/>
          <w:b/>
          <w:sz w:val="28"/>
        </w:rPr>
      </w:pPr>
      <w:r>
        <w:rPr>
          <w:rFonts w:hint="eastAsia" w:ascii="宋体" w:hAnsi="宋体" w:cs="宋体"/>
          <w:kern w:val="0"/>
          <w:sz w:val="24"/>
        </w:rPr>
        <w:t>（以上内容具体描述详见“第二章 供应商须知”中“二、磋商响应文件”的组成说明）</w:t>
      </w:r>
    </w:p>
    <w:p>
      <w:pPr>
        <w:spacing w:line="360" w:lineRule="auto"/>
        <w:ind w:left="420"/>
        <w:rPr>
          <w:rFonts w:ascii="宋体" w:hAnsi="宋体"/>
          <w:b/>
          <w:sz w:val="28"/>
        </w:rPr>
      </w:pPr>
      <w:r>
        <w:rPr>
          <w:rFonts w:hint="eastAsia" w:ascii="宋体" w:hAnsi="宋体"/>
          <w:b/>
          <w:sz w:val="28"/>
        </w:rPr>
        <w:t>附件2</w:t>
      </w:r>
    </w:p>
    <w:p>
      <w:pPr>
        <w:snapToGrid w:val="0"/>
        <w:spacing w:before="156" w:beforeLines="50" w:after="50" w:line="360" w:lineRule="auto"/>
        <w:ind w:firstLine="643" w:firstLineChars="200"/>
        <w:jc w:val="center"/>
        <w:rPr>
          <w:rStyle w:val="51"/>
          <w:rFonts w:hint="eastAsia"/>
          <w:b/>
          <w:color w:val="000000"/>
          <w:sz w:val="32"/>
          <w:szCs w:val="32"/>
          <w:u w:val="none"/>
        </w:rPr>
      </w:pPr>
    </w:p>
    <w:p>
      <w:pPr>
        <w:snapToGrid w:val="0"/>
        <w:spacing w:before="156" w:beforeLines="50" w:after="50" w:line="360" w:lineRule="auto"/>
        <w:ind w:firstLine="643" w:firstLineChars="200"/>
        <w:jc w:val="center"/>
        <w:rPr>
          <w:rStyle w:val="51"/>
          <w:b/>
          <w:color w:val="000000"/>
          <w:sz w:val="32"/>
          <w:szCs w:val="32"/>
          <w:u w:val="none"/>
        </w:rPr>
      </w:pPr>
      <w:r>
        <w:rPr>
          <w:rStyle w:val="51"/>
          <w:rFonts w:hint="eastAsia"/>
          <w:b/>
          <w:color w:val="000000"/>
          <w:sz w:val="32"/>
          <w:szCs w:val="32"/>
          <w:u w:val="none"/>
        </w:rPr>
        <w:t>磋商声明书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u w:val="single"/>
        </w:rPr>
        <w:t>项目名称</w:t>
      </w:r>
      <w:r>
        <w:rPr>
          <w:rFonts w:hint="eastAsia" w:ascii="宋体" w:hAnsi="宋体" w:cs="宋体"/>
          <w:kern w:val="0"/>
          <w:sz w:val="24"/>
        </w:rPr>
        <w:t xml:space="preserve">）（编号为 </w:t>
      </w:r>
      <w:r>
        <w:rPr>
          <w:rFonts w:hint="eastAsia" w:ascii="宋体" w:hAnsi="宋体" w:cs="宋体"/>
          <w:kern w:val="0"/>
          <w:sz w:val="24"/>
          <w:u w:val="single"/>
        </w:rPr>
        <w:t xml:space="preserve">     </w:t>
      </w:r>
      <w:r>
        <w:rPr>
          <w:rFonts w:hint="eastAsia" w:ascii="宋体" w:hAnsi="宋体" w:cs="宋体"/>
          <w:kern w:val="0"/>
          <w:sz w:val="24"/>
        </w:rPr>
        <w:t>）的磋商，为此，我公司就本次磋商有关事项郑重声明如下：</w:t>
      </w:r>
    </w:p>
    <w:p>
      <w:pPr>
        <w:numPr>
          <w:ilvl w:val="0"/>
          <w:numId w:val="16"/>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16"/>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hint="eastAsia"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24"/>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24"/>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4"/>
        <w:spacing w:line="500" w:lineRule="exact"/>
        <w:ind w:left="139" w:leftChars="66" w:firstLine="480" w:firstLineChars="200"/>
        <w:rPr>
          <w:sz w:val="24"/>
        </w:rPr>
      </w:pPr>
      <w:r>
        <w:rPr>
          <w:rFonts w:hint="eastAsia" w:hAnsi="宋体"/>
          <w:sz w:val="24"/>
        </w:rPr>
        <w:t>全权代表无转委托权，特此委托。</w:t>
      </w: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4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240" w:lineRule="auto"/>
        <w:rPr>
          <w:sz w:val="24"/>
        </w:rPr>
      </w:pPr>
      <w:r>
        <w:rPr>
          <w:rFonts w:hint="eastAsia" w:ascii="宋体"/>
          <w:sz w:val="24"/>
        </w:rPr>
        <w:t xml:space="preserve">法定代表人姓名：                                 </w:t>
      </w:r>
    </w:p>
    <w:p>
      <w:pPr>
        <w:spacing w:line="240" w:lineRule="auto"/>
        <w:rPr>
          <w:sz w:val="24"/>
        </w:rPr>
      </w:pPr>
      <w:r>
        <w:rPr>
          <w:rFonts w:hint="eastAsia" w:ascii="宋体"/>
          <w:sz w:val="24"/>
        </w:rPr>
        <w:t>传真：</w:t>
      </w:r>
    </w:p>
    <w:p>
      <w:pPr>
        <w:spacing w:line="240" w:lineRule="auto"/>
        <w:rPr>
          <w:rFonts w:ascii="宋体"/>
          <w:sz w:val="24"/>
        </w:rPr>
      </w:pPr>
      <w:r>
        <w:rPr>
          <w:rFonts w:hint="eastAsia" w:ascii="宋体"/>
          <w:sz w:val="24"/>
        </w:rPr>
        <w:t>电话：</w:t>
      </w:r>
    </w:p>
    <w:p>
      <w:pPr>
        <w:spacing w:line="240" w:lineRule="auto"/>
        <w:rPr>
          <w:sz w:val="24"/>
        </w:rPr>
      </w:pPr>
      <w:r>
        <w:rPr>
          <w:rFonts w:hint="eastAsia" w:ascii="宋体"/>
          <w:sz w:val="24"/>
        </w:rPr>
        <w:t>详细通讯地址：</w:t>
      </w:r>
    </w:p>
    <w:p>
      <w:pPr>
        <w:spacing w:line="240" w:lineRule="auto"/>
        <w:rPr>
          <w:b/>
          <w:sz w:val="24"/>
        </w:rPr>
      </w:pPr>
      <w:r>
        <w:rPr>
          <w:rFonts w:hint="eastAsia" w:ascii="宋体"/>
          <w:sz w:val="24"/>
        </w:rPr>
        <w:t>邮政编码：</w:t>
      </w:r>
    </w:p>
    <w:tbl>
      <w:tblPr>
        <w:tblStyle w:val="4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240" w:lineRule="auto"/>
              <w:rPr>
                <w:rFonts w:ascii="宋体"/>
                <w:b/>
                <w:sz w:val="24"/>
              </w:rPr>
            </w:pPr>
          </w:p>
          <w:p>
            <w:pPr>
              <w:spacing w:line="240" w:lineRule="auto"/>
              <w:ind w:firstLine="361" w:firstLineChars="150"/>
              <w:rPr>
                <w:rFonts w:ascii="宋体"/>
                <w:b/>
                <w:sz w:val="24"/>
              </w:rPr>
            </w:pPr>
            <w:r>
              <w:rPr>
                <w:rFonts w:hint="eastAsia" w:ascii="宋体"/>
                <w:b/>
                <w:sz w:val="24"/>
              </w:rPr>
              <w:t>全权代表身份证复印件粘帖处</w:t>
            </w:r>
          </w:p>
        </w:tc>
      </w:tr>
    </w:tbl>
    <w:p>
      <w:pPr>
        <w:spacing w:line="240" w:lineRule="auto"/>
        <w:rPr>
          <w:rFonts w:ascii="宋体"/>
          <w:sz w:val="24"/>
        </w:rPr>
      </w:pPr>
      <w:r>
        <w:rPr>
          <w:rFonts w:hint="eastAsia" w:ascii="宋体"/>
          <w:sz w:val="24"/>
        </w:rPr>
        <w:t xml:space="preserve">全权代表姓名：       </w:t>
      </w:r>
    </w:p>
    <w:p>
      <w:pPr>
        <w:spacing w:line="240" w:lineRule="auto"/>
        <w:rPr>
          <w:sz w:val="24"/>
        </w:rPr>
      </w:pPr>
      <w:r>
        <w:rPr>
          <w:rFonts w:hint="eastAsia" w:ascii="宋体"/>
          <w:sz w:val="24"/>
        </w:rPr>
        <w:t xml:space="preserve">职务：                           </w:t>
      </w:r>
    </w:p>
    <w:p>
      <w:pPr>
        <w:spacing w:line="240" w:lineRule="auto"/>
        <w:rPr>
          <w:sz w:val="24"/>
        </w:rPr>
      </w:pPr>
      <w:r>
        <w:rPr>
          <w:rFonts w:hint="eastAsia" w:ascii="宋体"/>
          <w:sz w:val="24"/>
        </w:rPr>
        <w:t>传真：</w:t>
      </w:r>
    </w:p>
    <w:p>
      <w:pPr>
        <w:spacing w:line="240" w:lineRule="auto"/>
        <w:rPr>
          <w:rFonts w:ascii="宋体"/>
          <w:sz w:val="24"/>
        </w:rPr>
      </w:pPr>
      <w:r>
        <w:rPr>
          <w:rFonts w:hint="eastAsia" w:ascii="宋体"/>
          <w:sz w:val="24"/>
        </w:rPr>
        <w:t>电话：</w:t>
      </w:r>
    </w:p>
    <w:p>
      <w:pPr>
        <w:spacing w:line="240" w:lineRule="auto"/>
        <w:rPr>
          <w:sz w:val="24"/>
        </w:rPr>
      </w:pPr>
      <w:r>
        <w:rPr>
          <w:rFonts w:hint="eastAsia" w:ascii="宋体"/>
          <w:sz w:val="24"/>
        </w:rPr>
        <w:t>详细通讯地址：</w:t>
      </w:r>
    </w:p>
    <w:p>
      <w:pPr>
        <w:spacing w:line="240" w:lineRule="auto"/>
        <w:rPr>
          <w:rFonts w:hint="eastAsia"/>
          <w:b/>
          <w:color w:val="000000"/>
          <w:sz w:val="28"/>
        </w:rPr>
      </w:pPr>
      <w:r>
        <w:rPr>
          <w:rFonts w:hint="eastAsia" w:ascii="宋体"/>
          <w:sz w:val="24"/>
        </w:rPr>
        <w:t>邮政编码：</w:t>
      </w:r>
    </w:p>
    <w:p>
      <w:pPr>
        <w:pStyle w:val="60"/>
        <w:shd w:val="clear" w:color="auto" w:fill="FFFFFF"/>
        <w:spacing w:before="0" w:beforeAutospacing="0" w:after="0" w:afterAutospacing="0" w:line="360" w:lineRule="auto"/>
        <w:rPr>
          <w:rFonts w:hint="eastAsia"/>
          <w:b/>
          <w:color w:val="000000"/>
          <w:sz w:val="28"/>
        </w:rPr>
      </w:pPr>
    </w:p>
    <w:p>
      <w:pPr>
        <w:pStyle w:val="60"/>
        <w:shd w:val="clear" w:color="auto" w:fill="FFFFFF"/>
        <w:spacing w:before="0" w:beforeAutospacing="0" w:after="0" w:afterAutospacing="0" w:line="360" w:lineRule="auto"/>
        <w:rPr>
          <w:b/>
          <w:color w:val="000000"/>
          <w:sz w:val="28"/>
        </w:rPr>
      </w:pPr>
      <w:r>
        <w:rPr>
          <w:rFonts w:hint="eastAsia"/>
          <w:b/>
          <w:color w:val="000000"/>
          <w:sz w:val="28"/>
        </w:rPr>
        <w:t>附件4</w:t>
      </w:r>
      <w:r>
        <w:rPr>
          <w:rFonts w:hint="eastAsia"/>
          <w:b/>
          <w:color w:val="000000"/>
          <w:sz w:val="28"/>
          <w:lang w:val="en-US" w:eastAsia="zh-CN"/>
        </w:rPr>
        <w:t>-1</w:t>
      </w:r>
      <w:r>
        <w:rPr>
          <w:rFonts w:hint="eastAsia"/>
          <w:b/>
          <w:color w:val="000000"/>
          <w:sz w:val="28"/>
        </w:rPr>
        <w:t xml:space="preserve">：       </w:t>
      </w:r>
    </w:p>
    <w:p>
      <w:pPr>
        <w:pStyle w:val="60"/>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661"/>
        <w:gridCol w:w="839"/>
        <w:gridCol w:w="96"/>
        <w:gridCol w:w="967"/>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93" w:type="dxa"/>
            <w:noWrap w:val="0"/>
            <w:vAlign w:val="top"/>
          </w:tcPr>
          <w:p>
            <w:pPr>
              <w:pStyle w:val="60"/>
              <w:shd w:val="clear" w:color="auto" w:fill="FFFFFF"/>
              <w:spacing w:line="360" w:lineRule="auto"/>
              <w:rPr>
                <w:bCs/>
                <w:color w:val="000000"/>
              </w:rPr>
            </w:pPr>
            <w:r>
              <w:rPr>
                <w:rFonts w:hint="eastAsia"/>
                <w:bCs/>
                <w:color w:val="000000"/>
                <w:spacing w:val="27"/>
              </w:rPr>
              <w:t>企业名称</w:t>
            </w:r>
          </w:p>
        </w:tc>
        <w:tc>
          <w:tcPr>
            <w:tcW w:w="3768" w:type="dxa"/>
            <w:gridSpan w:val="6"/>
            <w:noWrap w:val="0"/>
            <w:vAlign w:val="top"/>
          </w:tcPr>
          <w:p>
            <w:pPr>
              <w:pStyle w:val="60"/>
              <w:shd w:val="clear" w:color="auto" w:fill="FFFFFF"/>
              <w:spacing w:line="360" w:lineRule="auto"/>
              <w:rPr>
                <w:bCs/>
                <w:color w:val="000000"/>
              </w:rPr>
            </w:pPr>
          </w:p>
        </w:tc>
        <w:tc>
          <w:tcPr>
            <w:tcW w:w="2001" w:type="dxa"/>
            <w:gridSpan w:val="3"/>
            <w:noWrap w:val="0"/>
            <w:vAlign w:val="top"/>
          </w:tcPr>
          <w:p>
            <w:pPr>
              <w:pStyle w:val="60"/>
              <w:shd w:val="clear" w:color="auto" w:fill="FFFFFF"/>
              <w:spacing w:line="360" w:lineRule="auto"/>
              <w:rPr>
                <w:bCs/>
                <w:color w:val="000000"/>
              </w:rPr>
            </w:pPr>
            <w:r>
              <w:rPr>
                <w:rFonts w:hint="eastAsia"/>
                <w:bCs/>
                <w:color w:val="000000"/>
                <w:spacing w:val="16"/>
              </w:rPr>
              <w:t>法人代表</w:t>
            </w:r>
          </w:p>
        </w:tc>
        <w:tc>
          <w:tcPr>
            <w:tcW w:w="2151" w:type="dxa"/>
            <w:gridSpan w:val="2"/>
            <w:noWrap w:val="0"/>
            <w:vAlign w:val="top"/>
          </w:tcPr>
          <w:p>
            <w:pPr>
              <w:pStyle w:val="60"/>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3" w:type="dxa"/>
            <w:noWrap w:val="0"/>
            <w:vAlign w:val="top"/>
          </w:tcPr>
          <w:p>
            <w:pPr>
              <w:pStyle w:val="60"/>
              <w:shd w:val="clear" w:color="auto" w:fill="FFFFFF"/>
              <w:spacing w:line="360" w:lineRule="auto"/>
              <w:rPr>
                <w:bCs/>
                <w:color w:val="000000"/>
                <w:spacing w:val="16"/>
              </w:rPr>
            </w:pPr>
            <w:r>
              <w:rPr>
                <w:rFonts w:hint="eastAsia"/>
                <w:bCs/>
                <w:color w:val="000000"/>
                <w:spacing w:val="27"/>
              </w:rPr>
              <w:t>地址</w:t>
            </w:r>
          </w:p>
        </w:tc>
        <w:tc>
          <w:tcPr>
            <w:tcW w:w="3768" w:type="dxa"/>
            <w:gridSpan w:val="6"/>
            <w:tcBorders>
              <w:bottom w:val="single" w:color="auto" w:sz="4" w:space="0"/>
            </w:tcBorders>
            <w:noWrap w:val="0"/>
            <w:vAlign w:val="top"/>
          </w:tcPr>
          <w:p>
            <w:pPr>
              <w:pStyle w:val="60"/>
              <w:shd w:val="clear" w:color="auto" w:fill="FFFFFF"/>
              <w:spacing w:line="360" w:lineRule="auto"/>
              <w:rPr>
                <w:bCs/>
                <w:color w:val="000000"/>
                <w:spacing w:val="16"/>
              </w:rPr>
            </w:pPr>
          </w:p>
        </w:tc>
        <w:tc>
          <w:tcPr>
            <w:tcW w:w="2001" w:type="dxa"/>
            <w:gridSpan w:val="3"/>
            <w:noWrap w:val="0"/>
            <w:vAlign w:val="top"/>
          </w:tcPr>
          <w:p>
            <w:pPr>
              <w:pStyle w:val="60"/>
              <w:shd w:val="clear" w:color="auto" w:fill="FFFFFF"/>
              <w:spacing w:line="360" w:lineRule="auto"/>
              <w:rPr>
                <w:bCs/>
                <w:color w:val="000000"/>
                <w:spacing w:val="16"/>
              </w:rPr>
            </w:pPr>
            <w:r>
              <w:rPr>
                <w:rFonts w:hint="eastAsia"/>
                <w:bCs/>
                <w:color w:val="000000"/>
                <w:spacing w:val="16"/>
              </w:rPr>
              <w:t>企业性质</w:t>
            </w:r>
          </w:p>
        </w:tc>
        <w:tc>
          <w:tcPr>
            <w:tcW w:w="2151" w:type="dxa"/>
            <w:gridSpan w:val="2"/>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3" w:type="dxa"/>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27"/>
              </w:rPr>
              <w:t>股东姓名</w:t>
            </w:r>
          </w:p>
        </w:tc>
        <w:tc>
          <w:tcPr>
            <w:tcW w:w="661" w:type="dxa"/>
            <w:tcBorders>
              <w:bottom w:val="single" w:color="auto" w:sz="4" w:space="0"/>
            </w:tcBorders>
            <w:noWrap w:val="0"/>
            <w:vAlign w:val="top"/>
          </w:tcPr>
          <w:p>
            <w:pPr>
              <w:pStyle w:val="60"/>
              <w:shd w:val="clear" w:color="auto" w:fill="FFFFFF"/>
              <w:spacing w:before="0" w:beforeAutospacing="0" w:after="0" w:afterAutospacing="0" w:line="360" w:lineRule="auto"/>
              <w:rPr>
                <w:bCs/>
                <w:color w:val="000000"/>
                <w:spacing w:val="16"/>
              </w:rPr>
            </w:pPr>
          </w:p>
        </w:tc>
        <w:tc>
          <w:tcPr>
            <w:tcW w:w="935" w:type="dxa"/>
            <w:gridSpan w:val="2"/>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股权结构（%）</w:t>
            </w:r>
          </w:p>
        </w:tc>
        <w:tc>
          <w:tcPr>
            <w:tcW w:w="2172" w:type="dxa"/>
            <w:gridSpan w:val="3"/>
            <w:tcBorders>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noWrap w:val="0"/>
            <w:vAlign w:val="top"/>
          </w:tcPr>
          <w:p>
            <w:pPr>
              <w:pStyle w:val="60"/>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noWrap w:val="0"/>
            <w:vAlign w:val="top"/>
          </w:tcPr>
          <w:p>
            <w:pPr>
              <w:pStyle w:val="60"/>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vMerge w:val="restart"/>
            <w:noWrap w:val="0"/>
            <w:vAlign w:val="top"/>
          </w:tcPr>
          <w:p>
            <w:pPr>
              <w:pStyle w:val="60"/>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661" w:type="dxa"/>
            <w:vMerge w:val="restart"/>
            <w:tcBorders>
              <w:top w:val="nil"/>
            </w:tcBorders>
            <w:noWrap w:val="0"/>
            <w:vAlign w:val="top"/>
          </w:tcPr>
          <w:p>
            <w:pPr>
              <w:pStyle w:val="60"/>
              <w:shd w:val="clear" w:color="auto" w:fill="FFFFFF"/>
              <w:spacing w:line="360" w:lineRule="auto"/>
              <w:rPr>
                <w:bCs/>
                <w:color w:val="000000"/>
                <w:spacing w:val="16"/>
              </w:rPr>
            </w:pPr>
          </w:p>
        </w:tc>
        <w:tc>
          <w:tcPr>
            <w:tcW w:w="935" w:type="dxa"/>
            <w:gridSpan w:val="2"/>
            <w:tcBorders>
              <w:top w:val="nil"/>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固定电话</w:t>
            </w:r>
          </w:p>
        </w:tc>
        <w:tc>
          <w:tcPr>
            <w:tcW w:w="2172" w:type="dxa"/>
            <w:gridSpan w:val="3"/>
            <w:tcBorders>
              <w:top w:val="nil"/>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vMerge w:val="restart"/>
            <w:noWrap w:val="0"/>
            <w:vAlign w:val="top"/>
          </w:tcPr>
          <w:p>
            <w:pPr>
              <w:pStyle w:val="60"/>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93" w:type="dxa"/>
            <w:vMerge w:val="continue"/>
            <w:tcBorders>
              <w:bottom w:val="single" w:color="auto" w:sz="4" w:space="0"/>
            </w:tcBorders>
            <w:noWrap w:val="0"/>
            <w:vAlign w:val="top"/>
          </w:tcPr>
          <w:p>
            <w:pPr>
              <w:pStyle w:val="60"/>
              <w:shd w:val="clear" w:color="auto" w:fill="FFFFFF"/>
              <w:spacing w:line="360" w:lineRule="auto"/>
              <w:ind w:left="107"/>
              <w:rPr>
                <w:bCs/>
                <w:color w:val="000000"/>
              </w:rPr>
            </w:pPr>
          </w:p>
        </w:tc>
        <w:tc>
          <w:tcPr>
            <w:tcW w:w="661" w:type="dxa"/>
            <w:vMerge w:val="continue"/>
            <w:tcBorders>
              <w:bottom w:val="single" w:color="auto" w:sz="4" w:space="0"/>
            </w:tcBorders>
            <w:noWrap w:val="0"/>
            <w:vAlign w:val="top"/>
          </w:tcPr>
          <w:p>
            <w:pPr>
              <w:pStyle w:val="60"/>
              <w:shd w:val="clear" w:color="auto" w:fill="FFFFFF"/>
              <w:spacing w:line="360" w:lineRule="auto"/>
              <w:rPr>
                <w:bCs/>
                <w:color w:val="000000"/>
                <w:spacing w:val="16"/>
              </w:rPr>
            </w:pPr>
          </w:p>
        </w:tc>
        <w:tc>
          <w:tcPr>
            <w:tcW w:w="935" w:type="dxa"/>
            <w:gridSpan w:val="2"/>
            <w:tcBorders>
              <w:bottom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27"/>
              </w:rPr>
              <w:t>手机</w:t>
            </w:r>
          </w:p>
        </w:tc>
        <w:tc>
          <w:tcPr>
            <w:tcW w:w="2172" w:type="dxa"/>
            <w:gridSpan w:val="3"/>
            <w:tcBorders>
              <w:bottom w:val="single" w:color="auto" w:sz="4" w:space="0"/>
            </w:tcBorders>
            <w:noWrap w:val="0"/>
            <w:vAlign w:val="top"/>
          </w:tcPr>
          <w:p>
            <w:pPr>
              <w:pStyle w:val="60"/>
              <w:shd w:val="clear" w:color="auto" w:fill="FFFFFF"/>
              <w:spacing w:line="360" w:lineRule="auto"/>
              <w:rPr>
                <w:bCs/>
                <w:color w:val="000000"/>
                <w:spacing w:val="16"/>
              </w:rPr>
            </w:pPr>
          </w:p>
        </w:tc>
        <w:tc>
          <w:tcPr>
            <w:tcW w:w="2001" w:type="dxa"/>
            <w:gridSpan w:val="3"/>
            <w:vMerge w:val="continue"/>
            <w:tcBorders>
              <w:bottom w:val="single" w:color="auto" w:sz="4" w:space="0"/>
            </w:tcBorders>
            <w:noWrap w:val="0"/>
            <w:vAlign w:val="top"/>
          </w:tcPr>
          <w:p>
            <w:pPr>
              <w:pStyle w:val="60"/>
              <w:shd w:val="clear" w:color="auto" w:fill="FFFFFF"/>
              <w:spacing w:line="360" w:lineRule="auto"/>
              <w:rPr>
                <w:bCs/>
                <w:color w:val="000000"/>
                <w:spacing w:val="16"/>
              </w:rPr>
            </w:pPr>
          </w:p>
        </w:tc>
        <w:tc>
          <w:tcPr>
            <w:tcW w:w="2151" w:type="dxa"/>
            <w:gridSpan w:val="2"/>
            <w:vMerge w:val="continue"/>
            <w:tcBorders>
              <w:bottom w:val="single" w:color="auto" w:sz="4" w:space="0"/>
            </w:tcBorders>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93" w:type="dxa"/>
            <w:vMerge w:val="restart"/>
            <w:tcBorders>
              <w:top w:val="single" w:color="auto" w:sz="4" w:space="0"/>
            </w:tcBorders>
            <w:noWrap w:val="0"/>
            <w:vAlign w:val="top"/>
          </w:tcPr>
          <w:p>
            <w:pPr>
              <w:pStyle w:val="60"/>
              <w:shd w:val="clear" w:color="auto" w:fill="FFFFFF"/>
              <w:spacing w:line="360" w:lineRule="auto"/>
              <w:ind w:left="107"/>
              <w:rPr>
                <w:bCs/>
                <w:color w:val="000000"/>
              </w:rPr>
            </w:pPr>
            <w:r>
              <w:rPr>
                <w:bCs/>
                <w:color w:val="000000"/>
              </w:rPr>
              <w:t>1</w:t>
            </w:r>
            <w:r>
              <w:rPr>
                <w:rFonts w:hint="eastAsia"/>
                <w:bCs/>
                <w:color w:val="000000"/>
              </w:rPr>
              <w:t>.</w:t>
            </w:r>
          </w:p>
          <w:p>
            <w:pPr>
              <w:pStyle w:val="60"/>
              <w:shd w:val="clear" w:color="auto" w:fill="FFFFFF"/>
              <w:spacing w:line="360" w:lineRule="auto"/>
              <w:ind w:left="107"/>
              <w:rPr>
                <w:bCs/>
                <w:color w:val="000000"/>
              </w:rPr>
            </w:pPr>
            <w:r>
              <w:rPr>
                <w:rFonts w:hint="eastAsia"/>
                <w:bCs/>
                <w:color w:val="000000"/>
              </w:rPr>
              <w:t>企</w:t>
            </w:r>
          </w:p>
          <w:p>
            <w:pPr>
              <w:pStyle w:val="60"/>
              <w:shd w:val="clear" w:color="auto" w:fill="FFFFFF"/>
              <w:spacing w:line="360" w:lineRule="auto"/>
              <w:ind w:left="107"/>
              <w:rPr>
                <w:bCs/>
                <w:color w:val="000000"/>
              </w:rPr>
            </w:pPr>
            <w:r>
              <w:rPr>
                <w:rFonts w:hint="eastAsia"/>
                <w:bCs/>
                <w:color w:val="000000"/>
              </w:rPr>
              <w:t>业</w:t>
            </w:r>
          </w:p>
          <w:p>
            <w:pPr>
              <w:pStyle w:val="60"/>
              <w:shd w:val="clear" w:color="auto" w:fill="FFFFFF"/>
              <w:spacing w:line="360" w:lineRule="auto"/>
              <w:ind w:left="107"/>
              <w:rPr>
                <w:bCs/>
                <w:color w:val="000000"/>
                <w:spacing w:val="27"/>
              </w:rPr>
            </w:pPr>
            <w:r>
              <w:rPr>
                <w:rFonts w:hint="eastAsia"/>
                <w:bCs/>
                <w:color w:val="000000"/>
                <w:spacing w:val="27"/>
              </w:rPr>
              <w:t>概</w:t>
            </w:r>
          </w:p>
          <w:p>
            <w:pPr>
              <w:pStyle w:val="60"/>
              <w:shd w:val="clear" w:color="auto" w:fill="FFFFFF"/>
              <w:spacing w:line="360" w:lineRule="auto"/>
              <w:ind w:left="107"/>
              <w:rPr>
                <w:bCs/>
                <w:color w:val="000000"/>
              </w:rPr>
            </w:pPr>
            <w:r>
              <w:rPr>
                <w:rFonts w:hint="eastAsia"/>
                <w:bCs/>
                <w:color w:val="000000"/>
                <w:spacing w:val="27"/>
              </w:rPr>
              <w:t>况</w:t>
            </w:r>
          </w:p>
        </w:tc>
        <w:tc>
          <w:tcPr>
            <w:tcW w:w="661" w:type="dxa"/>
            <w:tcBorders>
              <w:top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16"/>
              </w:rPr>
              <w:t>职工人数</w:t>
            </w:r>
          </w:p>
        </w:tc>
        <w:tc>
          <w:tcPr>
            <w:tcW w:w="935" w:type="dxa"/>
            <w:gridSpan w:val="2"/>
            <w:tcBorders>
              <w:top w:val="single" w:color="auto" w:sz="4" w:space="0"/>
            </w:tcBorders>
            <w:noWrap w:val="0"/>
            <w:vAlign w:val="top"/>
          </w:tcPr>
          <w:p>
            <w:pPr>
              <w:pStyle w:val="60"/>
              <w:shd w:val="clear" w:color="auto" w:fill="FFFFFF"/>
              <w:spacing w:line="360" w:lineRule="auto"/>
              <w:rPr>
                <w:bCs/>
                <w:color w:val="000000"/>
                <w:spacing w:val="16"/>
              </w:rPr>
            </w:pPr>
          </w:p>
        </w:tc>
        <w:tc>
          <w:tcPr>
            <w:tcW w:w="967" w:type="dxa"/>
            <w:tcBorders>
              <w:top w:val="single" w:color="auto" w:sz="4" w:space="0"/>
            </w:tcBorders>
            <w:noWrap w:val="0"/>
            <w:vAlign w:val="top"/>
          </w:tcPr>
          <w:p>
            <w:pPr>
              <w:pStyle w:val="60"/>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c>
          <w:tcPr>
            <w:tcW w:w="2001" w:type="dxa"/>
            <w:gridSpan w:val="3"/>
            <w:tcBorders>
              <w:top w:val="single" w:color="auto" w:sz="4" w:space="0"/>
            </w:tcBorders>
            <w:noWrap w:val="0"/>
            <w:vAlign w:val="top"/>
          </w:tcPr>
          <w:p>
            <w:pPr>
              <w:pStyle w:val="60"/>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rPr>
                <w:bCs/>
                <w:color w:val="000000"/>
              </w:rPr>
            </w:pPr>
            <w:r>
              <w:rPr>
                <w:rFonts w:hint="eastAsia"/>
                <w:bCs/>
                <w:color w:val="000000"/>
                <w:spacing w:val="16"/>
              </w:rPr>
              <w:t>占地面积</w:t>
            </w:r>
          </w:p>
        </w:tc>
        <w:tc>
          <w:tcPr>
            <w:tcW w:w="935" w:type="dxa"/>
            <w:gridSpan w:val="2"/>
            <w:noWrap w:val="0"/>
            <w:vAlign w:val="top"/>
          </w:tcPr>
          <w:p>
            <w:pPr>
              <w:pStyle w:val="60"/>
              <w:shd w:val="clear" w:color="auto" w:fill="FFFFFF"/>
              <w:spacing w:line="360" w:lineRule="auto"/>
              <w:rPr>
                <w:bCs/>
                <w:color w:val="000000"/>
              </w:rPr>
            </w:pPr>
          </w:p>
        </w:tc>
        <w:tc>
          <w:tcPr>
            <w:tcW w:w="967" w:type="dxa"/>
            <w:noWrap w:val="0"/>
            <w:vAlign w:val="top"/>
          </w:tcPr>
          <w:p>
            <w:pPr>
              <w:pStyle w:val="60"/>
              <w:shd w:val="clear" w:color="auto" w:fill="FFFFFF"/>
              <w:spacing w:line="360" w:lineRule="auto"/>
              <w:rPr>
                <w:bCs/>
                <w:color w:val="000000"/>
              </w:rPr>
            </w:pPr>
            <w:r>
              <w:rPr>
                <w:rFonts w:hint="eastAsia"/>
                <w:bCs/>
                <w:color w:val="000000"/>
                <w:spacing w:val="16"/>
              </w:rPr>
              <w:t>建筑面积</w:t>
            </w:r>
          </w:p>
        </w:tc>
        <w:tc>
          <w:tcPr>
            <w:tcW w:w="1205" w:type="dxa"/>
            <w:gridSpan w:val="2"/>
            <w:noWrap w:val="0"/>
            <w:vAlign w:val="top"/>
          </w:tcPr>
          <w:p>
            <w:pPr>
              <w:pStyle w:val="60"/>
              <w:shd w:val="clear" w:color="auto" w:fill="FFFFFF"/>
              <w:spacing w:line="360" w:lineRule="auto"/>
              <w:ind w:firstLine="480" w:firstLineChars="200"/>
              <w:rPr>
                <w:bCs/>
                <w:color w:val="000000"/>
              </w:rPr>
            </w:pPr>
            <w:r>
              <w:rPr>
                <w:rFonts w:hint="eastAsia"/>
                <w:bCs/>
                <w:color w:val="000000"/>
              </w:rPr>
              <w:t xml:space="preserve">平方米 </w:t>
            </w:r>
          </w:p>
          <w:p>
            <w:pPr>
              <w:pStyle w:val="60"/>
              <w:shd w:val="clear" w:color="auto" w:fill="FFFFFF"/>
              <w:spacing w:line="360" w:lineRule="auto"/>
              <w:rPr>
                <w:bCs/>
                <w:color w:val="000000"/>
              </w:rPr>
            </w:pPr>
            <w:r>
              <w:rPr>
                <w:rFonts w:hint="eastAsia"/>
                <w:bCs/>
                <w:color w:val="000000"/>
                <w:spacing w:val="16"/>
              </w:rPr>
              <w:t>□自有□租賃</w:t>
            </w:r>
          </w:p>
        </w:tc>
        <w:tc>
          <w:tcPr>
            <w:tcW w:w="2001" w:type="dxa"/>
            <w:gridSpan w:val="3"/>
            <w:noWrap w:val="0"/>
            <w:vAlign w:val="top"/>
          </w:tcPr>
          <w:p>
            <w:pPr>
              <w:pStyle w:val="60"/>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noWrap w:val="0"/>
            <w:vAlign w:val="top"/>
          </w:tcPr>
          <w:p>
            <w:pPr>
              <w:pStyle w:val="60"/>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ind w:left="2"/>
              <w:rPr>
                <w:bCs/>
                <w:color w:val="000000"/>
                <w:spacing w:val="16"/>
              </w:rPr>
            </w:pPr>
            <w:r>
              <w:rPr>
                <w:rFonts w:hint="eastAsia"/>
                <w:bCs/>
                <w:color w:val="000000"/>
                <w:spacing w:val="16"/>
              </w:rPr>
              <w:t>注册资金</w:t>
            </w:r>
          </w:p>
        </w:tc>
        <w:tc>
          <w:tcPr>
            <w:tcW w:w="935" w:type="dxa"/>
            <w:gridSpan w:val="2"/>
            <w:noWrap w:val="0"/>
            <w:vAlign w:val="top"/>
          </w:tcPr>
          <w:p>
            <w:pPr>
              <w:pStyle w:val="60"/>
              <w:shd w:val="clear" w:color="auto" w:fill="FFFFFF"/>
              <w:spacing w:line="360" w:lineRule="auto"/>
              <w:ind w:left="2"/>
              <w:rPr>
                <w:bCs/>
                <w:color w:val="000000"/>
              </w:rPr>
            </w:pPr>
          </w:p>
        </w:tc>
        <w:tc>
          <w:tcPr>
            <w:tcW w:w="967" w:type="dxa"/>
            <w:noWrap w:val="0"/>
            <w:vAlign w:val="top"/>
          </w:tcPr>
          <w:p>
            <w:pPr>
              <w:pStyle w:val="60"/>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top"/>
          </w:tcPr>
          <w:p>
            <w:pPr>
              <w:widowControl/>
              <w:spacing w:line="360" w:lineRule="auto"/>
              <w:jc w:val="left"/>
              <w:rPr>
                <w:rFonts w:ascii="宋体" w:hAnsi="宋体" w:cs="宋体"/>
                <w:bCs/>
                <w:color w:val="000000"/>
                <w:kern w:val="0"/>
                <w:sz w:val="24"/>
              </w:rPr>
            </w:pPr>
          </w:p>
          <w:p>
            <w:pPr>
              <w:pStyle w:val="60"/>
              <w:shd w:val="clear" w:color="auto" w:fill="FFFFFF"/>
              <w:spacing w:line="360" w:lineRule="auto"/>
              <w:ind w:left="107"/>
              <w:rPr>
                <w:bCs/>
                <w:color w:val="000000"/>
              </w:rPr>
            </w:pPr>
          </w:p>
        </w:tc>
        <w:tc>
          <w:tcPr>
            <w:tcW w:w="1218" w:type="dxa"/>
            <w:noWrap w:val="0"/>
            <w:vAlign w:val="top"/>
          </w:tcPr>
          <w:p>
            <w:pPr>
              <w:pStyle w:val="60"/>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noWrap w:val="0"/>
            <w:vAlign w:val="top"/>
          </w:tcPr>
          <w:p>
            <w:pPr>
              <w:pStyle w:val="60"/>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93" w:type="dxa"/>
            <w:vMerge w:val="continue"/>
            <w:noWrap w:val="0"/>
            <w:vAlign w:val="top"/>
          </w:tcPr>
          <w:p>
            <w:pPr>
              <w:pStyle w:val="60"/>
              <w:shd w:val="clear" w:color="auto" w:fill="FFFFFF"/>
              <w:spacing w:line="360" w:lineRule="auto"/>
              <w:ind w:left="107"/>
              <w:rPr>
                <w:bCs/>
                <w:color w:val="000000"/>
              </w:rPr>
            </w:pPr>
          </w:p>
        </w:tc>
        <w:tc>
          <w:tcPr>
            <w:tcW w:w="661" w:type="dxa"/>
            <w:noWrap w:val="0"/>
            <w:vAlign w:val="top"/>
          </w:tcPr>
          <w:p>
            <w:pPr>
              <w:pStyle w:val="60"/>
              <w:shd w:val="clear" w:color="auto" w:fill="FFFFFF"/>
              <w:spacing w:line="360" w:lineRule="auto"/>
              <w:ind w:left="2"/>
              <w:rPr>
                <w:bCs/>
                <w:color w:val="000000"/>
              </w:rPr>
            </w:pPr>
            <w:r>
              <w:rPr>
                <w:rFonts w:hint="eastAsia"/>
                <w:bCs/>
                <w:color w:val="000000"/>
              </w:rPr>
              <w:t>核准经营范围</w:t>
            </w:r>
          </w:p>
        </w:tc>
        <w:tc>
          <w:tcPr>
            <w:tcW w:w="7259" w:type="dxa"/>
            <w:gridSpan w:val="10"/>
            <w:noWrap w:val="0"/>
            <w:vAlign w:val="top"/>
          </w:tcPr>
          <w:p>
            <w:pPr>
              <w:pStyle w:val="60"/>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93" w:type="dxa"/>
            <w:vMerge w:val="continue"/>
            <w:noWrap w:val="0"/>
            <w:vAlign w:val="top"/>
          </w:tcPr>
          <w:p>
            <w:pPr>
              <w:pStyle w:val="60"/>
              <w:shd w:val="clear" w:color="auto" w:fill="FFFFFF"/>
              <w:spacing w:line="360" w:lineRule="auto"/>
              <w:ind w:left="107"/>
              <w:rPr>
                <w:bCs/>
                <w:color w:val="000000"/>
              </w:rPr>
            </w:pPr>
          </w:p>
        </w:tc>
        <w:tc>
          <w:tcPr>
            <w:tcW w:w="7920" w:type="dxa"/>
            <w:gridSpan w:val="11"/>
            <w:noWrap w:val="0"/>
            <w:vAlign w:val="top"/>
          </w:tcPr>
          <w:p>
            <w:pPr>
              <w:pStyle w:val="60"/>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3" w:type="dxa"/>
            <w:vMerge w:val="restart"/>
            <w:noWrap w:val="0"/>
            <w:vAlign w:val="top"/>
          </w:tcPr>
          <w:p>
            <w:pPr>
              <w:pStyle w:val="60"/>
              <w:shd w:val="clear" w:color="auto" w:fill="FFFFFF"/>
              <w:spacing w:line="360" w:lineRule="auto"/>
              <w:ind w:left="107"/>
              <w:rPr>
                <w:bCs/>
                <w:color w:val="000000"/>
              </w:rPr>
            </w:pPr>
            <w:r>
              <w:rPr>
                <w:bCs/>
                <w:color w:val="000000"/>
              </w:rPr>
              <w:t>2</w:t>
            </w:r>
            <w:r>
              <w:rPr>
                <w:rFonts w:hint="eastAsia"/>
                <w:bCs/>
                <w:color w:val="000000"/>
              </w:rPr>
              <w:t>．</w:t>
            </w:r>
          </w:p>
          <w:p>
            <w:pPr>
              <w:pStyle w:val="60"/>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00" w:type="dxa"/>
            <w:gridSpan w:val="2"/>
            <w:vMerge w:val="restart"/>
            <w:noWrap w:val="0"/>
            <w:vAlign w:val="top"/>
          </w:tcPr>
          <w:p>
            <w:pPr>
              <w:pStyle w:val="60"/>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175" w:type="dxa"/>
            <w:gridSpan w:val="3"/>
            <w:noWrap w:val="0"/>
            <w:vAlign w:val="top"/>
          </w:tcPr>
          <w:p>
            <w:pPr>
              <w:pStyle w:val="60"/>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noWrap w:val="0"/>
            <w:vAlign w:val="top"/>
          </w:tcPr>
          <w:p>
            <w:pPr>
              <w:pStyle w:val="60"/>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noWrap w:val="0"/>
            <w:vAlign w:val="top"/>
          </w:tcPr>
          <w:p>
            <w:pPr>
              <w:pStyle w:val="60"/>
              <w:shd w:val="clear" w:color="auto" w:fill="FFFFFF"/>
              <w:spacing w:line="360" w:lineRule="auto"/>
              <w:jc w:val="center"/>
              <w:rPr>
                <w:bCs/>
                <w:color w:val="000000"/>
              </w:rPr>
            </w:pPr>
            <w:r>
              <w:rPr>
                <w:rFonts w:hint="eastAsia"/>
                <w:bCs/>
                <w:color w:val="000000"/>
                <w:spacing w:val="27"/>
              </w:rPr>
              <w:t>编号</w:t>
            </w:r>
          </w:p>
        </w:tc>
        <w:tc>
          <w:tcPr>
            <w:tcW w:w="1618" w:type="dxa"/>
            <w:gridSpan w:val="2"/>
            <w:noWrap w:val="0"/>
            <w:vAlign w:val="top"/>
          </w:tcPr>
          <w:p>
            <w:pPr>
              <w:pStyle w:val="60"/>
              <w:shd w:val="clear" w:color="auto" w:fill="FFFFFF"/>
              <w:spacing w:line="360" w:lineRule="auto"/>
              <w:jc w:val="center"/>
              <w:rPr>
                <w:bCs/>
                <w:color w:val="000000"/>
              </w:rPr>
            </w:pPr>
            <w:r>
              <w:rPr>
                <w:rFonts w:hint="eastAsia"/>
                <w:bCs/>
                <w:color w:val="000000"/>
                <w:spacing w:val="16"/>
              </w:rPr>
              <w:t>发证时间</w:t>
            </w:r>
          </w:p>
        </w:tc>
        <w:tc>
          <w:tcPr>
            <w:tcW w:w="933" w:type="dxa"/>
            <w:noWrap w:val="0"/>
            <w:vAlign w:val="top"/>
          </w:tcPr>
          <w:p>
            <w:pPr>
              <w:pStyle w:val="60"/>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93" w:type="dxa"/>
            <w:vMerge w:val="continue"/>
            <w:noWrap w:val="0"/>
            <w:vAlign w:val="top"/>
          </w:tcPr>
          <w:p>
            <w:pPr>
              <w:pStyle w:val="60"/>
              <w:shd w:val="clear" w:color="auto" w:fill="FFFFFF"/>
              <w:spacing w:line="360" w:lineRule="auto"/>
              <w:ind w:left="107"/>
              <w:rPr>
                <w:bCs/>
                <w:color w:val="000000"/>
              </w:rPr>
            </w:pPr>
          </w:p>
        </w:tc>
        <w:tc>
          <w:tcPr>
            <w:tcW w:w="1500" w:type="dxa"/>
            <w:gridSpan w:val="2"/>
            <w:vMerge w:val="continue"/>
            <w:noWrap w:val="0"/>
            <w:vAlign w:val="top"/>
          </w:tcPr>
          <w:p>
            <w:pPr>
              <w:pStyle w:val="60"/>
              <w:shd w:val="clear" w:color="auto" w:fill="FFFFFF"/>
              <w:spacing w:line="360" w:lineRule="auto"/>
              <w:rPr>
                <w:bCs/>
                <w:color w:val="000000"/>
              </w:rPr>
            </w:pPr>
          </w:p>
        </w:tc>
        <w:tc>
          <w:tcPr>
            <w:tcW w:w="1175" w:type="dxa"/>
            <w:gridSpan w:val="3"/>
            <w:noWrap w:val="0"/>
            <w:vAlign w:val="top"/>
          </w:tcPr>
          <w:p>
            <w:pPr>
              <w:pStyle w:val="60"/>
              <w:shd w:val="clear" w:color="auto" w:fill="FFFFFF"/>
              <w:spacing w:line="360" w:lineRule="auto"/>
              <w:rPr>
                <w:bCs/>
                <w:color w:val="000000"/>
              </w:rPr>
            </w:pPr>
          </w:p>
        </w:tc>
        <w:tc>
          <w:tcPr>
            <w:tcW w:w="1418" w:type="dxa"/>
            <w:gridSpan w:val="2"/>
            <w:noWrap w:val="0"/>
            <w:vAlign w:val="top"/>
          </w:tcPr>
          <w:p>
            <w:pPr>
              <w:pStyle w:val="60"/>
              <w:shd w:val="clear" w:color="auto" w:fill="FFFFFF"/>
              <w:spacing w:line="360" w:lineRule="auto"/>
              <w:rPr>
                <w:bCs/>
                <w:color w:val="000000"/>
              </w:rPr>
            </w:pPr>
          </w:p>
        </w:tc>
        <w:tc>
          <w:tcPr>
            <w:tcW w:w="1276" w:type="dxa"/>
            <w:noWrap w:val="0"/>
            <w:vAlign w:val="top"/>
          </w:tcPr>
          <w:p>
            <w:pPr>
              <w:pStyle w:val="60"/>
              <w:shd w:val="clear" w:color="auto" w:fill="FFFFFF"/>
              <w:spacing w:line="360" w:lineRule="auto"/>
              <w:rPr>
                <w:bCs/>
                <w:color w:val="000000"/>
              </w:rPr>
            </w:pPr>
          </w:p>
        </w:tc>
        <w:tc>
          <w:tcPr>
            <w:tcW w:w="2551" w:type="dxa"/>
            <w:gridSpan w:val="3"/>
            <w:noWrap w:val="0"/>
            <w:vAlign w:val="top"/>
          </w:tcPr>
          <w:p>
            <w:pPr>
              <w:pStyle w:val="60"/>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3" w:type="dxa"/>
            <w:vMerge w:val="continue"/>
            <w:noWrap w:val="0"/>
            <w:vAlign w:val="top"/>
          </w:tcPr>
          <w:p>
            <w:pPr>
              <w:pStyle w:val="60"/>
              <w:shd w:val="clear" w:color="auto" w:fill="FFFFFF"/>
              <w:spacing w:line="360" w:lineRule="auto"/>
              <w:ind w:left="107"/>
              <w:rPr>
                <w:bCs/>
                <w:color w:val="000000"/>
                <w:spacing w:val="16"/>
              </w:rPr>
            </w:pPr>
          </w:p>
        </w:tc>
        <w:tc>
          <w:tcPr>
            <w:tcW w:w="1500" w:type="dxa"/>
            <w:gridSpan w:val="2"/>
            <w:noWrap w:val="0"/>
            <w:vAlign w:val="top"/>
          </w:tcPr>
          <w:p>
            <w:pPr>
              <w:pStyle w:val="60"/>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420" w:type="dxa"/>
            <w:gridSpan w:val="9"/>
            <w:noWrap w:val="0"/>
            <w:vAlign w:val="top"/>
          </w:tcPr>
          <w:p>
            <w:pPr>
              <w:pStyle w:val="60"/>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3" w:type="dxa"/>
            <w:vMerge w:val="continue"/>
            <w:noWrap w:val="0"/>
            <w:vAlign w:val="top"/>
          </w:tcPr>
          <w:p>
            <w:pPr>
              <w:pStyle w:val="60"/>
              <w:shd w:val="clear" w:color="auto" w:fill="FFFFFF"/>
              <w:spacing w:line="360" w:lineRule="auto"/>
              <w:ind w:left="107"/>
              <w:rPr>
                <w:bCs/>
                <w:color w:val="000000"/>
                <w:spacing w:val="27"/>
              </w:rPr>
            </w:pPr>
          </w:p>
        </w:tc>
        <w:tc>
          <w:tcPr>
            <w:tcW w:w="1500" w:type="dxa"/>
            <w:gridSpan w:val="2"/>
            <w:noWrap w:val="0"/>
            <w:vAlign w:val="top"/>
          </w:tcPr>
          <w:p>
            <w:pPr>
              <w:pStyle w:val="60"/>
              <w:shd w:val="clear" w:color="auto" w:fill="FFFFFF"/>
              <w:spacing w:line="360" w:lineRule="auto"/>
              <w:rPr>
                <w:bCs/>
                <w:color w:val="000000"/>
                <w:spacing w:val="16"/>
              </w:rPr>
            </w:pPr>
            <w:r>
              <w:rPr>
                <w:rFonts w:hint="eastAsia"/>
                <w:bCs/>
                <w:color w:val="000000"/>
                <w:spacing w:val="10"/>
              </w:rPr>
              <w:t>企业获得专利情况</w:t>
            </w:r>
          </w:p>
        </w:tc>
        <w:tc>
          <w:tcPr>
            <w:tcW w:w="6420" w:type="dxa"/>
            <w:gridSpan w:val="9"/>
            <w:noWrap w:val="0"/>
            <w:vAlign w:val="top"/>
          </w:tcPr>
          <w:p>
            <w:pPr>
              <w:pStyle w:val="60"/>
              <w:shd w:val="clear" w:color="auto" w:fill="FFFFFF"/>
              <w:spacing w:line="360" w:lineRule="auto"/>
              <w:rPr>
                <w:bCs/>
                <w:color w:val="000000"/>
                <w:spacing w:val="16"/>
              </w:rPr>
            </w:pPr>
          </w:p>
        </w:tc>
      </w:tr>
    </w:tbl>
    <w:p>
      <w:pPr>
        <w:pStyle w:val="60"/>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60"/>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ind w:firstLine="420" w:firstLineChars="200"/>
        <w:rPr>
          <w:rFonts w:ascii="宋体" w:hAnsi="宋体"/>
          <w:color w:val="000000"/>
          <w:sz w:val="24"/>
        </w:rPr>
      </w:pPr>
      <w:r>
        <w:rPr>
          <w:rFonts w:hint="eastAsia" w:ascii="宋体" w:hAnsi="宋体" w:cs="宋体"/>
          <w:color w:val="000000"/>
          <w:kern w:val="0"/>
          <w:szCs w:val="21"/>
        </w:rPr>
        <w:t>2.在填写时，如本表格不适合投标单位的实际情况，可根据本表格式自行划表填写。</w:t>
      </w: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ind w:firstLine="435"/>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pacing w:before="0" w:beforeAutospacing="0" w:after="0" w:afterAutospacing="0"/>
        <w:ind w:firstLine="424" w:firstLineChars="177"/>
        <w:rPr>
          <w:rFonts w:hint="eastAsia"/>
          <w:color w:val="000000"/>
          <w:u w:val="single"/>
        </w:rPr>
      </w:pPr>
      <w:r>
        <w:rPr>
          <w:rFonts w:hint="eastAsia"/>
          <w:color w:val="000000"/>
        </w:rPr>
        <w:t>日        期：</w:t>
      </w:r>
      <w:r>
        <w:rPr>
          <w:rFonts w:hint="eastAsia"/>
          <w:color w:val="000000"/>
          <w:u w:val="single"/>
        </w:rPr>
        <w:t xml:space="preserve">                            </w:t>
      </w:r>
    </w:p>
    <w:p>
      <w:pPr>
        <w:spacing w:line="360" w:lineRule="auto"/>
        <w:ind w:firstLine="435"/>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4-2：</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r>
        <w:rPr>
          <w:rFonts w:hint="eastAsia" w:ascii="宋体" w:hAnsi="宋体"/>
          <w:b/>
          <w:color w:val="33CCCC"/>
          <w:sz w:val="32"/>
          <w:szCs w:val="32"/>
        </w:rPr>
        <w:t xml:space="preserve"> </w:t>
      </w:r>
    </w:p>
    <w:p>
      <w:pPr>
        <w:snapToGrid w:val="0"/>
        <w:spacing w:before="156"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4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25"/>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5"/>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61"/>
        <w:spacing w:line="360" w:lineRule="auto"/>
        <w:ind w:left="424" w:leftChars="202"/>
        <w:rPr>
          <w:rFonts w:ascii="宋体" w:hAnsi="宋体"/>
          <w:szCs w:val="21"/>
        </w:rPr>
      </w:pPr>
      <w:r>
        <w:rPr>
          <w:rFonts w:hint="eastAsia" w:ascii="宋体" w:hAnsi="宋体"/>
          <w:szCs w:val="21"/>
        </w:rPr>
        <w:t>2.附人员证书复印件；</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pStyle w:val="42"/>
        <w:ind w:left="0" w:leftChars="0" w:firstLine="0" w:firstLineChars="0"/>
      </w:pPr>
    </w:p>
    <w:p>
      <w:pPr>
        <w:spacing w:line="360" w:lineRule="auto"/>
        <w:ind w:firstLine="435"/>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4-3：</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4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lang w:val="zh-CN"/>
              </w:rPr>
            </w:pPr>
          </w:p>
        </w:tc>
      </w:tr>
    </w:tbl>
    <w:p>
      <w:pPr>
        <w:pStyle w:val="60"/>
        <w:shd w:val="clear" w:color="auto" w:fill="FFFFFF"/>
        <w:spacing w:before="0" w:beforeAutospacing="0" w:after="0" w:afterAutospacing="0" w:line="360" w:lineRule="auto"/>
        <w:ind w:firstLine="424" w:firstLineChars="202"/>
        <w:rPr>
          <w:color w:val="000000"/>
          <w:sz w:val="21"/>
          <w:szCs w:val="21"/>
        </w:rPr>
      </w:pPr>
      <w:r>
        <w:rPr>
          <w:rFonts w:hint="eastAsia"/>
          <w:color w:val="000000"/>
          <w:sz w:val="21"/>
          <w:szCs w:val="21"/>
        </w:rPr>
        <w:t>1.在填写时，如本表格不适合投标单位的实际情况，可根据本表格式自行划表填写。</w:t>
      </w: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b/>
          <w:color w:val="000000"/>
          <w:sz w:val="28"/>
        </w:rPr>
      </w:pPr>
      <w:r>
        <w:rPr>
          <w:rFonts w:hint="eastAsia" w:ascii="宋体" w:hAnsi="宋体"/>
          <w:b/>
          <w:color w:val="000000"/>
          <w:sz w:val="28"/>
        </w:rPr>
        <w:t>附件5：</w:t>
      </w:r>
    </w:p>
    <w:p>
      <w:pPr>
        <w:pStyle w:val="24"/>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24"/>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45"/>
        <w:tblW w:w="0" w:type="auto"/>
        <w:tblInd w:w="0" w:type="dxa"/>
        <w:tblLayout w:type="fixed"/>
        <w:tblCellMar>
          <w:top w:w="0" w:type="dxa"/>
          <w:left w:w="108" w:type="dxa"/>
          <w:bottom w:w="0" w:type="dxa"/>
          <w:right w:w="108" w:type="dxa"/>
        </w:tblCellMar>
      </w:tblPr>
      <w:tblGrid>
        <w:gridCol w:w="1202"/>
        <w:gridCol w:w="1600"/>
        <w:gridCol w:w="2391"/>
        <w:gridCol w:w="2127"/>
        <w:gridCol w:w="1472"/>
      </w:tblGrid>
      <w:tr>
        <w:tblPrEx>
          <w:tblCellMar>
            <w:top w:w="0" w:type="dxa"/>
            <w:left w:w="108" w:type="dxa"/>
            <w:bottom w:w="0" w:type="dxa"/>
            <w:right w:w="108" w:type="dxa"/>
          </w:tblCellMar>
        </w:tblPrEx>
        <w:trPr>
          <w:trHeight w:val="841"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磋商文件产品技术要求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hint="eastAsia" w:ascii="宋体" w:hAnsi="宋体"/>
                <w:sz w:val="24"/>
                <w:lang w:eastAsia="zh-CN"/>
              </w:rPr>
              <w:t>工</w:t>
            </w:r>
            <w:r>
              <w:rPr>
                <w:rFonts w:hint="eastAsia" w:ascii="宋体" w:hAnsi="宋体"/>
                <w:sz w:val="24"/>
              </w:rPr>
              <w:t>期</w:t>
            </w: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39" w:hRule="atLeast"/>
        </w:trPr>
        <w:tc>
          <w:tcPr>
            <w:tcW w:w="12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hint="eastAsia" w:ascii="宋体" w:hAnsi="宋体"/>
                <w:sz w:val="24"/>
              </w:rPr>
              <w:t>付款条件</w:t>
            </w: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51"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名称</w:t>
            </w:r>
          </w:p>
        </w:tc>
        <w:tc>
          <w:tcPr>
            <w:tcW w:w="2391"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s="宋体"/>
                <w:color w:val="000000"/>
                <w:kern w:val="0"/>
                <w:sz w:val="22"/>
                <w:szCs w:val="22"/>
              </w:rPr>
            </w:pPr>
            <w:r>
              <w:rPr>
                <w:rFonts w:hint="eastAsia" w:hAnsi="宋体" w:cs="宋体"/>
                <w:color w:val="000000"/>
                <w:kern w:val="0"/>
                <w:sz w:val="22"/>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360" w:lineRule="auto"/>
              <w:jc w:val="center"/>
              <w:rPr>
                <w:rFonts w:hAnsi="宋体"/>
                <w:color w:val="000000"/>
                <w:spacing w:val="20"/>
                <w:sz w:val="24"/>
              </w:rPr>
            </w:pPr>
          </w:p>
        </w:tc>
      </w:tr>
    </w:tbl>
    <w:p>
      <w:pPr>
        <w:pStyle w:val="24"/>
        <w:adjustRightInd w:val="0"/>
        <w:snapToGrid w:val="0"/>
        <w:spacing w:line="360" w:lineRule="auto"/>
        <w:rPr>
          <w:rFonts w:hAnsi="宋体"/>
          <w:color w:val="000000"/>
          <w:sz w:val="24"/>
        </w:rPr>
      </w:pPr>
      <w:r>
        <w:rPr>
          <w:rFonts w:hint="eastAsia" w:hAnsi="宋体"/>
          <w:color w:val="000000"/>
          <w:sz w:val="24"/>
        </w:rPr>
        <w:t>备注：1、供应商在填写其中的“磋商响应文件产品技术响应”内容时，对照本磋商文件“技术要求”中说明。</w:t>
      </w:r>
    </w:p>
    <w:p>
      <w:pPr>
        <w:pStyle w:val="24"/>
        <w:adjustRightInd w:val="0"/>
        <w:snapToGrid w:val="0"/>
        <w:spacing w:line="360" w:lineRule="auto"/>
        <w:rPr>
          <w:rFonts w:hAnsi="宋体"/>
          <w:color w:val="000000"/>
          <w:sz w:val="24"/>
        </w:rPr>
      </w:pPr>
      <w:r>
        <w:rPr>
          <w:rFonts w:hint="eastAsia" w:hAnsi="宋体"/>
          <w:color w:val="000000"/>
          <w:sz w:val="24"/>
        </w:rPr>
        <w:t>2、如不填写，则视完全响应本磋商文件的要求。</w:t>
      </w: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pacing w:before="0" w:beforeAutospacing="0" w:after="0" w:afterAutospacing="0"/>
        <w:ind w:firstLine="424" w:firstLineChars="177"/>
        <w:rPr>
          <w:rFonts w:ascii="宋体" w:hAnsi="宋体"/>
          <w:b/>
          <w:color w:val="000000"/>
          <w:sz w:val="28"/>
        </w:rPr>
      </w:pPr>
      <w:r>
        <w:rPr>
          <w:rFonts w:hint="eastAsia"/>
          <w:color w:val="000000"/>
        </w:rPr>
        <w:t>日        期：</w:t>
      </w:r>
      <w:r>
        <w:rPr>
          <w:rFonts w:hint="eastAsia"/>
          <w:color w:val="000000"/>
          <w:u w:val="single"/>
        </w:rPr>
        <w:t xml:space="preserve">                            </w:t>
      </w:r>
    </w:p>
    <w:p>
      <w:pPr>
        <w:spacing w:line="360" w:lineRule="auto"/>
        <w:rPr>
          <w:rFonts w:ascii="宋体" w:hAnsi="宋体"/>
          <w:b/>
          <w:color w:val="000000"/>
          <w:sz w:val="28"/>
        </w:rPr>
      </w:pPr>
      <w:r>
        <w:rPr>
          <w:rFonts w:hint="eastAsia" w:ascii="宋体" w:hAnsi="宋体"/>
          <w:b/>
          <w:color w:val="000000"/>
          <w:sz w:val="28"/>
        </w:rPr>
        <w:t>附件6:</w:t>
      </w:r>
    </w:p>
    <w:p>
      <w:pPr>
        <w:pStyle w:val="63"/>
        <w:spacing w:line="360" w:lineRule="auto"/>
        <w:jc w:val="center"/>
        <w:rPr>
          <w:rFonts w:ascii="宋体" w:hAnsi="宋体"/>
          <w:b/>
          <w:color w:val="000000"/>
          <w:sz w:val="32"/>
          <w:szCs w:val="32"/>
        </w:rPr>
      </w:pPr>
      <w:r>
        <w:rPr>
          <w:rFonts w:ascii="宋体" w:hAnsi="宋体"/>
          <w:b/>
          <w:color w:val="000000"/>
          <w:sz w:val="32"/>
          <w:szCs w:val="32"/>
        </w:rPr>
        <w:t>近三年来类似项目的成功案例</w:t>
      </w:r>
    </w:p>
    <w:p>
      <w:pPr>
        <w:pStyle w:val="63"/>
        <w:spacing w:line="360" w:lineRule="auto"/>
        <w:jc w:val="center"/>
        <w:rPr>
          <w:rFonts w:ascii="仿宋_GB2312" w:eastAsia="仿宋_GB2312"/>
          <w:b/>
          <w:color w:val="000000"/>
          <w:sz w:val="28"/>
          <w:szCs w:val="28"/>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940"/>
        <w:gridCol w:w="1762"/>
        <w:gridCol w:w="1500"/>
        <w:gridCol w:w="1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6"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序号</w:t>
            </w:r>
          </w:p>
        </w:tc>
        <w:tc>
          <w:tcPr>
            <w:tcW w:w="1940"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项目名称</w:t>
            </w:r>
          </w:p>
        </w:tc>
        <w:tc>
          <w:tcPr>
            <w:tcW w:w="1762"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项目地址</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合同总价</w:t>
            </w:r>
          </w:p>
        </w:tc>
        <w:tc>
          <w:tcPr>
            <w:tcW w:w="1815" w:type="dxa"/>
            <w:tcBorders>
              <w:top w:val="single" w:color="auto" w:sz="6" w:space="0"/>
              <w:left w:val="single" w:color="auto" w:sz="6" w:space="0"/>
              <w:bottom w:val="single" w:color="auto" w:sz="6" w:space="0"/>
              <w:right w:val="single" w:color="auto" w:sz="6" w:space="0"/>
            </w:tcBorders>
            <w:noWrap w:val="0"/>
            <w:vAlign w:val="center"/>
          </w:tcPr>
          <w:p>
            <w:pPr>
              <w:pStyle w:val="63"/>
              <w:spacing w:line="360" w:lineRule="auto"/>
              <w:jc w:val="center"/>
              <w:rPr>
                <w:rFonts w:ascii="宋体" w:hAnsi="宋体" w:cs="Arial"/>
                <w:b/>
                <w:bCs/>
                <w:color w:val="000000"/>
                <w:sz w:val="24"/>
              </w:rPr>
            </w:pPr>
            <w:r>
              <w:rPr>
                <w:rFonts w:hint="eastAsia" w:ascii="宋体" w:hAnsi="宋体" w:cs="Arial"/>
                <w:b/>
                <w:bCs/>
                <w:color w:val="000000"/>
                <w:sz w:val="24"/>
              </w:rPr>
              <w:t>实施时间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1</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2</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jc w:val="center"/>
              <w:rPr>
                <w:rFonts w:ascii="宋体" w:hAnsi="宋体" w:cs="Arial"/>
                <w:color w:val="000000"/>
                <w:sz w:val="24"/>
              </w:rPr>
            </w:pPr>
            <w:r>
              <w:rPr>
                <w:rFonts w:hint="eastAsia" w:ascii="宋体" w:hAnsi="宋体" w:cs="Arial"/>
                <w:color w:val="000000"/>
                <w:sz w:val="24"/>
              </w:rPr>
              <w:t>3</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r>
              <w:rPr>
                <w:rFonts w:hint="eastAsia" w:ascii="宋体" w:hAnsi="宋体" w:cs="Arial"/>
                <w:color w:val="000000"/>
                <w:sz w:val="24"/>
              </w:rPr>
              <w:t>…</w:t>
            </w: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76"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94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762"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c>
          <w:tcPr>
            <w:tcW w:w="1815" w:type="dxa"/>
            <w:tcBorders>
              <w:top w:val="single" w:color="auto" w:sz="6" w:space="0"/>
              <w:left w:val="single" w:color="auto" w:sz="6" w:space="0"/>
              <w:bottom w:val="single" w:color="auto" w:sz="6" w:space="0"/>
              <w:right w:val="single" w:color="auto" w:sz="6" w:space="0"/>
            </w:tcBorders>
            <w:noWrap w:val="0"/>
            <w:vAlign w:val="top"/>
          </w:tcPr>
          <w:p>
            <w:pPr>
              <w:pStyle w:val="63"/>
              <w:spacing w:line="360" w:lineRule="auto"/>
              <w:rPr>
                <w:rFonts w:ascii="宋体" w:hAnsi="宋体" w:cs="Arial"/>
                <w:color w:val="000000"/>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w:t>
      </w:r>
    </w:p>
    <w:p>
      <w:pPr>
        <w:spacing w:line="360" w:lineRule="auto"/>
        <w:ind w:firstLine="424" w:firstLineChars="202"/>
        <w:jc w:val="left"/>
        <w:rPr>
          <w:rFonts w:ascii="宋体" w:hAnsi="宋体"/>
          <w:color w:val="000000"/>
          <w:sz w:val="22"/>
          <w:szCs w:val="22"/>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w:t>
      </w:r>
      <w:r>
        <w:rPr>
          <w:rFonts w:hint="eastAsia"/>
          <w:color w:val="000000"/>
          <w:szCs w:val="21"/>
        </w:rPr>
        <w:t>根据本表格式自行划表填写</w:t>
      </w:r>
      <w:r>
        <w:rPr>
          <w:rFonts w:hint="eastAsia" w:ascii="宋体" w:hAnsi="宋体" w:cs="Arial"/>
          <w:color w:val="000000"/>
          <w:szCs w:val="21"/>
        </w:rPr>
        <w:t>。</w:t>
      </w:r>
    </w:p>
    <w:p>
      <w:pPr>
        <w:spacing w:line="360" w:lineRule="auto"/>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35"/>
        <w:rPr>
          <w:rFonts w:hint="eastAsia"/>
        </w:rPr>
      </w:pPr>
      <w:r>
        <w:rPr>
          <w:rFonts w:hint="eastAsia" w:ascii="宋体" w:hAnsi="宋体"/>
          <w:color w:val="000000"/>
          <w:sz w:val="24"/>
        </w:rPr>
        <w:t>日        期：</w:t>
      </w:r>
      <w:r>
        <w:rPr>
          <w:rFonts w:hint="eastAsia" w:ascii="宋体" w:hAnsi="宋体"/>
          <w:color w:val="000000"/>
          <w:sz w:val="24"/>
          <w:u w:val="single"/>
        </w:rPr>
        <w:t xml:space="preserve">                             </w:t>
      </w:r>
    </w:p>
    <w:p>
      <w:pPr>
        <w:snapToGrid w:val="0"/>
        <w:spacing w:before="156" w:beforeLines="50" w:after="50" w:line="360" w:lineRule="auto"/>
        <w:rPr>
          <w:rFonts w:ascii="仿宋_GB2312" w:hAnsi="宋体" w:eastAsia="仿宋_GB2312"/>
          <w:b/>
          <w:color w:val="000000"/>
          <w:sz w:val="30"/>
          <w:szCs w:val="30"/>
        </w:rPr>
      </w:pPr>
      <w:r>
        <w:rPr>
          <w:rFonts w:hint="eastAsia" w:ascii="宋体" w:hAnsi="宋体"/>
          <w:b/>
          <w:color w:val="000000"/>
          <w:sz w:val="28"/>
        </w:rPr>
        <w:t>附件7：</w:t>
      </w:r>
      <w:r>
        <w:rPr>
          <w:rFonts w:hint="eastAsia" w:ascii="仿宋_GB2312" w:hAnsi="宋体" w:eastAsia="仿宋_GB2312"/>
          <w:b/>
          <w:color w:val="000000"/>
          <w:sz w:val="30"/>
          <w:szCs w:val="30"/>
        </w:rPr>
        <w:t xml:space="preserve">                                     </w:t>
      </w:r>
    </w:p>
    <w:p>
      <w:pPr>
        <w:spacing w:line="360" w:lineRule="auto"/>
        <w:ind w:left="-2" w:hanging="2"/>
        <w:jc w:val="center"/>
        <w:rPr>
          <w:rFonts w:hAnsi="宋体"/>
          <w:b/>
          <w:color w:val="000000"/>
          <w:sz w:val="24"/>
        </w:rPr>
      </w:pPr>
      <w:r>
        <w:rPr>
          <w:rFonts w:hint="eastAsia" w:ascii="宋体" w:hAnsi="宋体"/>
          <w:b/>
          <w:sz w:val="32"/>
          <w:szCs w:val="32"/>
        </w:rPr>
        <w:t>首次报价一览表</w:t>
      </w:r>
    </w:p>
    <w:p>
      <w:pPr>
        <w:pStyle w:val="24"/>
        <w:spacing w:line="320" w:lineRule="exact"/>
        <w:rPr>
          <w:rFonts w:hAnsi="宋体"/>
          <w:b/>
          <w:color w:val="000000"/>
          <w:sz w:val="24"/>
          <w:u w:val="single"/>
        </w:rPr>
      </w:pPr>
      <w:r>
        <w:rPr>
          <w:rFonts w:hAnsi="宋体"/>
          <w:b/>
          <w:color w:val="000000"/>
          <w:sz w:val="24"/>
        </w:rPr>
        <w:t>项目编号：</w:t>
      </w:r>
      <w:r>
        <w:rPr>
          <w:rFonts w:hint="eastAsia" w:hAnsi="宋体"/>
          <w:b/>
          <w:color w:val="000000"/>
          <w:sz w:val="24"/>
          <w:u w:val="single"/>
        </w:rPr>
        <w:t xml:space="preserve">               </w:t>
      </w:r>
    </w:p>
    <w:p>
      <w:pPr>
        <w:pStyle w:val="69"/>
        <w:spacing w:line="360" w:lineRule="auto"/>
        <w:ind w:right="480"/>
        <w:jc w:val="left"/>
        <w:rPr>
          <w:rFonts w:hAnsi="宋体"/>
          <w:color w:val="000000"/>
          <w:sz w:val="24"/>
        </w:rPr>
      </w:pPr>
      <w:r>
        <w:rPr>
          <w:rFonts w:hAnsi="宋体"/>
          <w:b/>
          <w:color w:val="000000"/>
          <w:sz w:val="24"/>
        </w:rPr>
        <w:t>项目名称：</w:t>
      </w:r>
      <w:r>
        <w:rPr>
          <w:rFonts w:hint="eastAsia" w:hAnsi="宋体"/>
          <w:b/>
          <w:color w:val="000000"/>
          <w:sz w:val="24"/>
          <w:u w:val="single"/>
        </w:rPr>
        <w:t xml:space="preserve">               </w:t>
      </w:r>
      <w:r>
        <w:rPr>
          <w:rFonts w:hint="eastAsia" w:ascii="宋体" w:hAnsi="宋体"/>
          <w:sz w:val="24"/>
        </w:rPr>
        <w:t xml:space="preserve">                    [货币单位：人民币元]</w:t>
      </w:r>
    </w:p>
    <w:tbl>
      <w:tblPr>
        <w:tblStyle w:val="4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sz w:val="24"/>
        </w:rPr>
      </w:pPr>
      <w:r>
        <w:rPr>
          <w:rFonts w:hint="eastAsia" w:ascii="宋体" w:hAnsi="宋体"/>
          <w:b/>
          <w:szCs w:val="21"/>
        </w:rPr>
        <w:t>填报要求：</w:t>
      </w:r>
    </w:p>
    <w:p>
      <w:pPr>
        <w:pStyle w:val="2"/>
        <w:spacing w:line="360" w:lineRule="auto"/>
        <w:ind w:firstLineChars="200"/>
        <w:rPr>
          <w:rFonts w:hint="eastAsia" w:ascii="宋体" w:hAnsi="宋体"/>
          <w:kern w:val="0"/>
          <w:szCs w:val="21"/>
        </w:rPr>
      </w:pPr>
      <w:r>
        <w:rPr>
          <w:rFonts w:hint="eastAsia" w:ascii="宋体" w:hAnsi="宋体"/>
          <w:kern w:val="0"/>
          <w:szCs w:val="21"/>
        </w:rPr>
        <w:t>1.投标报价是包含完成本项目工作任务所发生的一切费用（完成本项目的人员、资料制作及服务所需一切费用，以及相关的一切费税、代理费等）及不可预见费等所需的全部费用，全部费用已包含在首次报价一览表的投标总报价中。如有漏项，视同已包含在本项目的总报价中。</w:t>
      </w:r>
    </w:p>
    <w:p>
      <w:pPr>
        <w:spacing w:line="360" w:lineRule="auto"/>
        <w:ind w:firstLine="420" w:firstLineChars="200"/>
        <w:rPr>
          <w:rFonts w:ascii="宋体" w:hAnsi="宋体"/>
          <w:sz w:val="24"/>
        </w:rPr>
      </w:pPr>
      <w:r>
        <w:rPr>
          <w:rFonts w:hint="eastAsia" w:ascii="宋体" w:hAnsi="宋体"/>
          <w:kern w:val="0"/>
          <w:szCs w:val="21"/>
        </w:rPr>
        <w:t>2.报价一经涂改，应在涂改处加盖单位公章，或者由法定代表人或全权代表签字或盖章，否则作无效标处理。</w:t>
      </w:r>
    </w:p>
    <w:p>
      <w:pPr>
        <w:spacing w:line="320" w:lineRule="exact"/>
        <w:ind w:left="420"/>
        <w:rPr>
          <w:rFonts w:ascii="宋体" w:hAnsi="宋体"/>
          <w:color w:val="000000"/>
          <w:sz w:val="24"/>
        </w:rPr>
      </w:pPr>
    </w:p>
    <w:p>
      <w:pPr>
        <w:spacing w:line="320" w:lineRule="exact"/>
        <w:ind w:left="420"/>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pacing w:line="320" w:lineRule="exact"/>
        <w:ind w:left="420"/>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ascii="宋体" w:hAnsi="宋体"/>
          <w:color w:val="000000"/>
          <w:sz w:val="24"/>
        </w:rPr>
      </w:pPr>
    </w:p>
    <w:p>
      <w:pPr>
        <w:spacing w:line="320" w:lineRule="exact"/>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adjustRightInd w:val="0"/>
        <w:snapToGrid w:val="0"/>
        <w:spacing w:line="360" w:lineRule="auto"/>
        <w:ind w:right="480"/>
        <w:jc w:val="center"/>
        <w:rPr>
          <w:rFonts w:ascii="宋体" w:hAnsi="宋体" w:cs="仿宋_GB2312"/>
          <w:kern w:val="0"/>
          <w:sz w:val="24"/>
          <w:lang w:val="zh-CN"/>
        </w:rPr>
      </w:pPr>
    </w:p>
    <w:p>
      <w:pPr>
        <w:spacing w:line="360" w:lineRule="atLeast"/>
        <w:ind w:left="480"/>
        <w:rPr>
          <w:rFonts w:ascii="宋体" w:hAnsi="宋体"/>
          <w:b/>
          <w:color w:val="000000"/>
          <w:sz w:val="28"/>
        </w:rPr>
      </w:pPr>
    </w:p>
    <w:p>
      <w:pPr>
        <w:spacing w:line="360" w:lineRule="atLeast"/>
        <w:ind w:left="480"/>
        <w:rPr>
          <w:rFonts w:hint="eastAsia" w:ascii="宋体" w:hAnsi="宋体"/>
          <w:b/>
          <w:color w:val="000000"/>
          <w:sz w:val="28"/>
        </w:rPr>
      </w:pPr>
      <w:r>
        <w:rPr>
          <w:rFonts w:hint="eastAsia" w:ascii="宋体" w:hAnsi="宋体"/>
          <w:b/>
          <w:color w:val="000000"/>
          <w:sz w:val="28"/>
        </w:rPr>
        <w:t xml:space="preserve">附件8:              </w:t>
      </w:r>
    </w:p>
    <w:p>
      <w:pPr>
        <w:spacing w:line="360" w:lineRule="atLeast"/>
        <w:ind w:left="480" w:firstLine="2570" w:firstLineChars="800"/>
      </w:pPr>
      <w:r>
        <w:rPr>
          <w:rFonts w:hint="eastAsia" w:ascii="宋体" w:hAnsi="宋体"/>
          <w:b/>
          <w:sz w:val="32"/>
          <w:szCs w:val="32"/>
        </w:rPr>
        <w:t>报价明细表</w:t>
      </w:r>
      <w:r>
        <w:rPr>
          <w:rFonts w:hint="eastAsia" w:ascii="宋体" w:hAnsi="宋体"/>
          <w:b/>
          <w:color w:val="33CCCC"/>
          <w:sz w:val="32"/>
          <w:szCs w:val="32"/>
        </w:rPr>
        <w:t xml:space="preserve"> </w:t>
      </w:r>
    </w:p>
    <w:p>
      <w:pPr>
        <w:spacing w:line="360" w:lineRule="auto"/>
        <w:rPr>
          <w:rFonts w:hint="eastAsia" w:ascii="宋体" w:hAnsi="宋体"/>
          <w:sz w:val="24"/>
        </w:rPr>
      </w:pPr>
      <w:r>
        <w:rPr>
          <w:rFonts w:hint="eastAsia" w:ascii="宋体" w:hAnsi="宋体"/>
          <w:sz w:val="24"/>
        </w:rPr>
        <w:t xml:space="preserve">  项目编号：                 标项：            [货币单位：人民币元]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1799"/>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pPr>
              <w:jc w:val="center"/>
              <w:rPr>
                <w:rFonts w:ascii="宋体" w:hAnsi="宋体"/>
                <w:sz w:val="24"/>
              </w:rPr>
            </w:pPr>
            <w:r>
              <w:rPr>
                <w:rFonts w:hint="eastAsia" w:ascii="宋体" w:hAnsi="宋体"/>
                <w:sz w:val="24"/>
              </w:rPr>
              <w:t>名称</w:t>
            </w:r>
          </w:p>
        </w:tc>
        <w:tc>
          <w:tcPr>
            <w:tcW w:w="1799" w:type="dxa"/>
            <w:noWrap w:val="0"/>
            <w:vAlign w:val="top"/>
          </w:tcPr>
          <w:p>
            <w:pPr>
              <w:jc w:val="center"/>
              <w:rPr>
                <w:rFonts w:ascii="宋体" w:hAnsi="宋体"/>
                <w:sz w:val="24"/>
              </w:rPr>
            </w:pPr>
            <w:r>
              <w:rPr>
                <w:rFonts w:hint="eastAsia" w:ascii="宋体" w:hAnsi="宋体"/>
                <w:sz w:val="24"/>
              </w:rPr>
              <w:t>数量</w:t>
            </w:r>
          </w:p>
        </w:tc>
        <w:tc>
          <w:tcPr>
            <w:tcW w:w="1134" w:type="dxa"/>
            <w:noWrap w:val="0"/>
            <w:vAlign w:val="top"/>
          </w:tcPr>
          <w:p>
            <w:pPr>
              <w:jc w:val="center"/>
              <w:rPr>
                <w:rFonts w:ascii="宋体" w:hAnsi="宋体"/>
                <w:sz w:val="24"/>
              </w:rPr>
            </w:pPr>
            <w:r>
              <w:rPr>
                <w:rFonts w:hint="eastAsia" w:ascii="宋体" w:hAnsi="宋体"/>
                <w:sz w:val="24"/>
              </w:rPr>
              <w:t>单位</w:t>
            </w:r>
          </w:p>
        </w:tc>
        <w:tc>
          <w:tcPr>
            <w:tcW w:w="1134" w:type="dxa"/>
            <w:noWrap w:val="0"/>
            <w:vAlign w:val="top"/>
          </w:tcPr>
          <w:p>
            <w:pPr>
              <w:rPr>
                <w:rFonts w:ascii="宋体" w:hAnsi="宋体"/>
                <w:sz w:val="24"/>
              </w:rPr>
            </w:pPr>
            <w:r>
              <w:rPr>
                <w:rFonts w:hint="eastAsia" w:ascii="宋体" w:hAnsi="宋体"/>
                <w:sz w:val="24"/>
              </w:rPr>
              <w:t>单价</w:t>
            </w:r>
          </w:p>
        </w:tc>
        <w:tc>
          <w:tcPr>
            <w:tcW w:w="1418" w:type="dxa"/>
            <w:noWrap w:val="0"/>
            <w:vAlign w:val="top"/>
          </w:tcPr>
          <w:p>
            <w:pPr>
              <w:rPr>
                <w:rFonts w:hint="eastAsia" w:ascii="宋体" w:hAnsi="宋体"/>
                <w:sz w:val="24"/>
              </w:rPr>
            </w:pPr>
            <w:r>
              <w:rPr>
                <w:rFonts w:hint="eastAsia" w:ascii="宋体"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pPr>
              <w:jc w:val="center"/>
              <w:rPr>
                <w:rFonts w:ascii="宋体" w:hAnsi="宋体"/>
                <w:sz w:val="24"/>
              </w:rPr>
            </w:pPr>
            <w:r>
              <w:rPr>
                <w:rFonts w:ascii="宋体" w:hAnsi="宋体"/>
                <w:sz w:val="24"/>
              </w:rPr>
              <w:t xml:space="preserve"> </w:t>
            </w:r>
          </w:p>
        </w:tc>
        <w:tc>
          <w:tcPr>
            <w:tcW w:w="1134" w:type="dxa"/>
            <w:noWrap w:val="0"/>
            <w:vAlign w:val="top"/>
          </w:tcPr>
          <w:p>
            <w:pPr>
              <w:jc w:val="center"/>
              <w:rPr>
                <w:rFonts w:hint="eastAsia"/>
                <w:sz w:val="24"/>
              </w:rPr>
            </w:pPr>
            <w:r>
              <w:rPr>
                <w:sz w:val="24"/>
              </w:rP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pPr>
              <w:rPr>
                <w:rFonts w:ascii="宋体" w:hAnsi="宋体"/>
                <w:sz w:val="24"/>
              </w:rPr>
            </w:pPr>
            <w:r>
              <w:rPr>
                <w:rFonts w:hint="eastAsia" w:ascii="仿宋" w:hAnsi="仿宋" w:eastAsia="仿宋" w:cs="黑体"/>
                <w:sz w:val="24"/>
                <w:lang w:bidi="ar"/>
              </w:rP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pPr>
              <w:jc w:val="center"/>
              <w:rPr>
                <w:rFonts w:hint="eastAsia"/>
                <w:sz w:val="24"/>
              </w:rPr>
            </w:pPr>
            <w:r>
              <w:rPr>
                <w:rFonts w:hint="eastAsia"/>
                <w:sz w:val="24"/>
              </w:rP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8" w:type="dxa"/>
            <w:noWrap w:val="0"/>
            <w:vAlign w:val="top"/>
          </w:tcPr>
          <w:p>
            <w:r>
              <w:t xml:space="preserve"> </w:t>
            </w:r>
          </w:p>
        </w:tc>
        <w:tc>
          <w:tcPr>
            <w:tcW w:w="1799" w:type="dxa"/>
            <w:noWrap w:val="0"/>
            <w:vAlign w:val="top"/>
          </w:tcPr>
          <w:p>
            <w:r>
              <w:t xml:space="preserve"> </w:t>
            </w:r>
          </w:p>
        </w:tc>
        <w:tc>
          <w:tcPr>
            <w:tcW w:w="1134" w:type="dxa"/>
            <w:noWrap w:val="0"/>
            <w:vAlign w:val="top"/>
          </w:tcPr>
          <w:p>
            <w:r>
              <w:t xml:space="preserve"> </w:t>
            </w:r>
          </w:p>
        </w:tc>
        <w:tc>
          <w:tcPr>
            <w:tcW w:w="1134" w:type="dxa"/>
            <w:noWrap w:val="0"/>
            <w:vAlign w:val="top"/>
          </w:tcPr>
          <w:p>
            <w:r>
              <w:t xml:space="preserve"> </w:t>
            </w:r>
          </w:p>
        </w:tc>
        <w:tc>
          <w:tcPr>
            <w:tcW w:w="1418"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485" w:type="dxa"/>
            <w:gridSpan w:val="4"/>
            <w:noWrap w:val="0"/>
            <w:vAlign w:val="top"/>
          </w:tcPr>
          <w:p>
            <w:pPr>
              <w:jc w:val="center"/>
              <w:rPr>
                <w:rFonts w:hint="eastAsia"/>
                <w:sz w:val="24"/>
              </w:rPr>
            </w:pPr>
            <w:r>
              <w:rPr>
                <w:rFonts w:hint="eastAsia"/>
                <w:sz w:val="24"/>
              </w:rPr>
              <w:t>报价合计（元）</w:t>
            </w:r>
          </w:p>
        </w:tc>
        <w:tc>
          <w:tcPr>
            <w:tcW w:w="1418" w:type="dxa"/>
            <w:noWrap w:val="0"/>
            <w:vAlign w:val="top"/>
          </w:tcPr>
          <w:p>
            <w:pPr>
              <w:rPr>
                <w:rFonts w:hint="eastAsia" w:ascii="宋体" w:hAnsi="宋体"/>
                <w:sz w:val="24"/>
              </w:rPr>
            </w:pPr>
          </w:p>
        </w:tc>
      </w:tr>
    </w:tbl>
    <w:p>
      <w:pPr>
        <w:spacing w:line="360" w:lineRule="auto"/>
        <w:rPr>
          <w:rFonts w:ascii="宋体" w:hAnsi="宋体"/>
          <w:b/>
          <w:szCs w:val="21"/>
        </w:rPr>
      </w:pPr>
      <w:r>
        <w:rPr>
          <w:rFonts w:hint="eastAsia" w:ascii="宋体" w:hAnsi="宋体"/>
          <w:b/>
          <w:szCs w:val="21"/>
        </w:rPr>
        <w:t>要求：</w:t>
      </w:r>
    </w:p>
    <w:p>
      <w:pPr>
        <w:spacing w:line="360" w:lineRule="auto"/>
        <w:rPr>
          <w:rFonts w:ascii="宋体" w:hAnsi="宋体"/>
          <w:color w:val="000000"/>
          <w:sz w:val="24"/>
        </w:rPr>
      </w:pPr>
      <w:r>
        <w:rPr>
          <w:rFonts w:hint="eastAsia" w:ascii="宋体" w:hAnsi="宋体"/>
          <w:color w:val="000000"/>
          <w:sz w:val="24"/>
        </w:rPr>
        <w:t>1. 本表为《首次报价一览表》的报价明细表，如有缺项、漏项，视为投标报价中已包含相关费用，采购人无需另外支付任何费用。</w:t>
      </w:r>
    </w:p>
    <w:p>
      <w:pPr>
        <w:spacing w:line="360" w:lineRule="auto"/>
        <w:rPr>
          <w:rFonts w:ascii="宋体" w:hAnsi="宋体"/>
          <w:color w:val="000000"/>
          <w:sz w:val="24"/>
        </w:rPr>
      </w:pPr>
      <w:r>
        <w:rPr>
          <w:rFonts w:hint="eastAsia" w:ascii="宋体" w:hAnsi="宋体"/>
          <w:color w:val="000000"/>
          <w:sz w:val="24"/>
        </w:rPr>
        <w:t>2.“报价明细表”中的报价合计应与“首次报价一览表”中的投标总报价相一致，不一致时，以首次报价一览表为准。</w:t>
      </w:r>
    </w:p>
    <w:p>
      <w:pPr>
        <w:snapToGrid w:val="0"/>
        <w:spacing w:before="156" w:beforeLines="50" w:after="156" w:afterLines="50" w:line="360" w:lineRule="auto"/>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snapToGrid w:val="0"/>
        <w:spacing w:before="156" w:beforeLines="50" w:after="156" w:afterLines="50" w:line="360" w:lineRule="auto"/>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snapToGrid w:val="0"/>
        <w:spacing w:before="156" w:beforeLines="50" w:after="156" w:afterLines="50" w:line="360" w:lineRule="auto"/>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60"/>
        <w:shd w:val="clear" w:color="auto" w:fill="FFFFFF"/>
        <w:snapToGrid w:val="0"/>
        <w:spacing w:before="156" w:beforeLines="50" w:beforeAutospacing="0" w:after="156" w:afterLines="50" w:afterAutospacing="0" w:line="360" w:lineRule="auto"/>
        <w:rPr>
          <w:rFonts w:hint="eastAsia"/>
          <w:color w:val="000000"/>
          <w:u w:val="single"/>
        </w:rPr>
      </w:pPr>
      <w:r>
        <w:rPr>
          <w:rFonts w:hint="eastAsia"/>
          <w:color w:val="000000"/>
        </w:rPr>
        <w:t>日        期：</w:t>
      </w:r>
      <w:r>
        <w:rPr>
          <w:rFonts w:hint="eastAsia"/>
          <w:color w:val="000000"/>
          <w:u w:val="single"/>
        </w:rPr>
        <w:t xml:space="preserve">                            </w:t>
      </w:r>
    </w:p>
    <w:p>
      <w:pPr>
        <w:spacing w:line="360" w:lineRule="atLeast"/>
        <w:ind w:left="480"/>
        <w:rPr>
          <w:rFonts w:ascii="宋体" w:hAnsi="宋体"/>
        </w:rPr>
      </w:pPr>
      <w:r>
        <w:rPr>
          <w:rFonts w:hint="eastAsia" w:ascii="宋体" w:hAnsi="宋体"/>
          <w:b/>
          <w:sz w:val="32"/>
          <w:szCs w:val="32"/>
        </w:rPr>
        <w:t>附：最终报价一览表</w:t>
      </w:r>
      <w:r>
        <w:rPr>
          <w:rFonts w:hint="eastAsia" w:ascii="宋体" w:hAnsi="宋体"/>
          <w:b/>
          <w:color w:val="FF0000"/>
          <w:sz w:val="32"/>
          <w:szCs w:val="32"/>
        </w:rPr>
        <w:t>（提供格式 ）</w:t>
      </w:r>
    </w:p>
    <w:p>
      <w:pPr>
        <w:pStyle w:val="24"/>
        <w:spacing w:line="320" w:lineRule="exact"/>
        <w:rPr>
          <w:rFonts w:hAnsi="宋体"/>
          <w:b/>
          <w:color w:val="000000"/>
          <w:sz w:val="24"/>
          <w:u w:val="single"/>
        </w:rPr>
      </w:pPr>
      <w:r>
        <w:rPr>
          <w:rFonts w:hAnsi="宋体"/>
          <w:b/>
          <w:color w:val="000000"/>
          <w:sz w:val="24"/>
        </w:rPr>
        <w:t>项目编号：</w:t>
      </w:r>
    </w:p>
    <w:p>
      <w:pPr>
        <w:pStyle w:val="69"/>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4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2"/>
        <w:spacing w:line="360" w:lineRule="auto"/>
        <w:ind w:firstLineChars="200"/>
        <w:rPr>
          <w:rFonts w:ascii="宋体" w:hAnsi="宋体"/>
          <w:kern w:val="0"/>
          <w:szCs w:val="21"/>
        </w:rPr>
      </w:pPr>
      <w:r>
        <w:rPr>
          <w:rFonts w:hint="eastAsia" w:ascii="宋体" w:hAnsi="宋体"/>
          <w:kern w:val="0"/>
          <w:szCs w:val="21"/>
        </w:rPr>
        <w:t>1.总价包干，该费用包括完成</w:t>
      </w:r>
      <w:r>
        <w:rPr>
          <w:rFonts w:hint="eastAsia" w:ascii="宋体" w:hAnsi="宋体"/>
          <w:kern w:val="0"/>
          <w:szCs w:val="21"/>
          <w:lang w:eastAsia="zh-CN"/>
        </w:rPr>
        <w:t>三门县健跳镇下叶水库安全鉴定项目</w:t>
      </w:r>
      <w:r>
        <w:rPr>
          <w:rFonts w:hint="eastAsia" w:ascii="宋体" w:hAnsi="宋体"/>
          <w:kern w:val="0"/>
          <w:szCs w:val="21"/>
        </w:rPr>
        <w:t>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sz w:val="24"/>
        </w:rPr>
      </w:pPr>
      <w:r>
        <w:rPr>
          <w:rFonts w:hint="eastAsia" w:ascii="宋体" w:hAnsi="宋体"/>
          <w:color w:val="000000"/>
          <w:sz w:val="24"/>
        </w:rPr>
        <w:t>日        期：</w:t>
      </w:r>
    </w:p>
    <w:p>
      <w:pPr>
        <w:spacing w:line="360" w:lineRule="auto"/>
        <w:ind w:firstLine="43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注：投标人自行准备。</w:t>
      </w:r>
    </w:p>
    <w:p>
      <w:pPr>
        <w:snapToGrid w:val="0"/>
        <w:spacing w:before="156" w:beforeLines="50" w:after="50" w:line="360" w:lineRule="auto"/>
        <w:rPr>
          <w:rFonts w:hint="eastAsia" w:ascii="仿宋_GB2312" w:hAnsi="宋体" w:eastAsia="宋体"/>
          <w:bCs/>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9</w:t>
      </w:r>
    </w:p>
    <w:p>
      <w:pPr>
        <w:spacing w:line="360" w:lineRule="auto"/>
        <w:ind w:right="-110"/>
        <w:jc w:val="center"/>
        <w:rPr>
          <w:rFonts w:ascii="宋体"/>
          <w:b/>
          <w:color w:val="auto"/>
          <w:sz w:val="32"/>
          <w:szCs w:val="32"/>
        </w:rPr>
      </w:pPr>
      <w:r>
        <w:rPr>
          <w:rFonts w:hint="eastAsia" w:ascii="宋体" w:hAnsi="宋体"/>
          <w:b/>
          <w:color w:val="auto"/>
          <w:sz w:val="32"/>
          <w:szCs w:val="32"/>
        </w:rPr>
        <w:t>小</w:t>
      </w:r>
      <w:r>
        <w:rPr>
          <w:rFonts w:hint="eastAsia" w:ascii="宋体" w:hAnsi="宋体"/>
          <w:b/>
          <w:color w:val="auto"/>
          <w:sz w:val="32"/>
          <w:szCs w:val="32"/>
          <w:lang w:val="en-GB"/>
        </w:rPr>
        <w:t>微</w:t>
      </w:r>
      <w:r>
        <w:rPr>
          <w:rFonts w:hint="eastAsia" w:ascii="宋体" w:hAnsi="宋体"/>
          <w:b/>
          <w:color w:val="auto"/>
          <w:sz w:val="32"/>
          <w:szCs w:val="32"/>
        </w:rPr>
        <w:t>企业声明函</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本公司郑重声明，根据《政府采购促进中小企业发展暂行办法》（财库</w:t>
      </w:r>
      <w:r>
        <w:rPr>
          <w:rFonts w:ascii="宋体" w:hAnsi="宋体"/>
          <w:color w:val="auto"/>
          <w:spacing w:val="6"/>
          <w:sz w:val="24"/>
        </w:rPr>
        <w:t>[2011]181</w:t>
      </w:r>
      <w:r>
        <w:rPr>
          <w:rFonts w:hint="eastAsia" w:ascii="宋体" w:hAnsi="宋体"/>
          <w:color w:val="auto"/>
          <w:spacing w:val="6"/>
          <w:sz w:val="24"/>
        </w:rPr>
        <w:t>号）的规定，本公司为</w:t>
      </w:r>
      <w:r>
        <w:rPr>
          <w:rFonts w:ascii="宋体" w:hAnsi="宋体"/>
          <w:color w:val="auto"/>
          <w:spacing w:val="6"/>
          <w:sz w:val="24"/>
        </w:rPr>
        <w:t>______</w:t>
      </w:r>
      <w:r>
        <w:rPr>
          <w:rFonts w:hint="eastAsia" w:ascii="宋体" w:hAnsi="宋体"/>
          <w:color w:val="auto"/>
          <w:spacing w:val="6"/>
          <w:sz w:val="24"/>
        </w:rPr>
        <w:t>（请填写：小型、微型）企业。即，本公司同时满足以下条件：</w:t>
      </w:r>
    </w:p>
    <w:p>
      <w:pPr>
        <w:pStyle w:val="70"/>
        <w:spacing w:line="360" w:lineRule="auto"/>
        <w:ind w:firstLine="504" w:firstLineChars="200"/>
        <w:rPr>
          <w:rFonts w:ascii="宋体"/>
          <w:color w:val="auto"/>
          <w:spacing w:val="6"/>
          <w:sz w:val="24"/>
        </w:rPr>
      </w:pPr>
      <w:r>
        <w:rPr>
          <w:rFonts w:ascii="宋体" w:hAnsi="宋体"/>
          <w:color w:val="auto"/>
          <w:spacing w:val="6"/>
          <w:sz w:val="24"/>
        </w:rPr>
        <w:t>1.</w:t>
      </w:r>
      <w:r>
        <w:rPr>
          <w:rFonts w:hint="eastAsia" w:ascii="宋体" w:hAnsi="宋体"/>
          <w:color w:val="auto"/>
          <w:spacing w:val="6"/>
          <w:sz w:val="24"/>
        </w:rPr>
        <w:t>根据《工业和信息化部、国家统计局、国家发展和改革委员会、财政部关于印发中小企业划型标准规定的通知》（工信部联企业</w:t>
      </w:r>
      <w:r>
        <w:rPr>
          <w:rFonts w:ascii="宋体" w:hAnsi="宋体"/>
          <w:color w:val="auto"/>
          <w:spacing w:val="6"/>
          <w:sz w:val="24"/>
        </w:rPr>
        <w:t>[2011]300</w:t>
      </w:r>
      <w:r>
        <w:rPr>
          <w:rFonts w:hint="eastAsia" w:ascii="宋体" w:hAnsi="宋体"/>
          <w:color w:val="auto"/>
          <w:spacing w:val="6"/>
          <w:sz w:val="24"/>
        </w:rPr>
        <w:t>号）规定的划分标准：第四条第</w:t>
      </w:r>
      <w:r>
        <w:rPr>
          <w:rFonts w:ascii="宋体" w:hAnsi="宋体"/>
          <w:color w:val="auto"/>
          <w:spacing w:val="6"/>
          <w:sz w:val="24"/>
        </w:rPr>
        <w:t>______</w:t>
      </w:r>
      <w:r>
        <w:rPr>
          <w:rFonts w:hint="eastAsia" w:ascii="宋体" w:hAnsi="宋体"/>
          <w:color w:val="auto"/>
          <w:spacing w:val="6"/>
          <w:sz w:val="24"/>
        </w:rPr>
        <w:t>项</w:t>
      </w:r>
      <w:r>
        <w:rPr>
          <w:rFonts w:ascii="宋体" w:hAnsi="宋体"/>
          <w:color w:val="auto"/>
          <w:spacing w:val="6"/>
          <w:sz w:val="24"/>
        </w:rPr>
        <w:t>______</w:t>
      </w:r>
      <w:r>
        <w:rPr>
          <w:rFonts w:hint="eastAsia" w:ascii="宋体" w:hAnsi="宋体"/>
          <w:color w:val="auto"/>
          <w:spacing w:val="6"/>
          <w:sz w:val="24"/>
        </w:rPr>
        <w:t>行业，本公司</w:t>
      </w:r>
      <w:r>
        <w:rPr>
          <w:rFonts w:hint="eastAsia" w:ascii="宋体" w:hAnsi="宋体"/>
          <w:i/>
          <w:color w:val="auto"/>
          <w:spacing w:val="6"/>
          <w:sz w:val="24"/>
          <w:u w:val="dash"/>
        </w:rPr>
        <w:t>（此处填写从业人员和营业收入的具体数据）</w:t>
      </w:r>
      <w:r>
        <w:rPr>
          <w:rFonts w:hint="eastAsia" w:ascii="宋体" w:hAnsi="宋体"/>
          <w:color w:val="auto"/>
          <w:spacing w:val="6"/>
          <w:sz w:val="24"/>
        </w:rPr>
        <w:t>，为</w:t>
      </w:r>
      <w:r>
        <w:rPr>
          <w:rFonts w:ascii="宋体" w:hAnsi="宋体"/>
          <w:color w:val="auto"/>
          <w:spacing w:val="6"/>
          <w:sz w:val="24"/>
        </w:rPr>
        <w:t>______</w:t>
      </w:r>
      <w:r>
        <w:rPr>
          <w:rFonts w:hint="eastAsia" w:ascii="宋体" w:hAnsi="宋体"/>
          <w:color w:val="auto"/>
          <w:spacing w:val="6"/>
          <w:sz w:val="24"/>
        </w:rPr>
        <w:t>（请填写：小型、微型）企业。</w:t>
      </w:r>
    </w:p>
    <w:p>
      <w:pPr>
        <w:pStyle w:val="70"/>
        <w:spacing w:line="360" w:lineRule="auto"/>
        <w:ind w:firstLine="504" w:firstLineChars="200"/>
        <w:rPr>
          <w:rFonts w:ascii="宋体"/>
          <w:color w:val="auto"/>
          <w:spacing w:val="6"/>
          <w:sz w:val="24"/>
        </w:rPr>
      </w:pPr>
      <w:r>
        <w:rPr>
          <w:rFonts w:ascii="宋体" w:hAnsi="宋体"/>
          <w:color w:val="auto"/>
          <w:spacing w:val="6"/>
          <w:sz w:val="24"/>
        </w:rPr>
        <w:t>2.</w:t>
      </w:r>
      <w:r>
        <w:rPr>
          <w:rFonts w:hint="eastAsia" w:ascii="宋体" w:hAnsi="宋体"/>
          <w:color w:val="auto"/>
          <w:spacing w:val="6"/>
          <w:sz w:val="24"/>
        </w:rPr>
        <w:t>本公司参加</w:t>
      </w:r>
      <w:r>
        <w:rPr>
          <w:rFonts w:hint="eastAsia" w:ascii="宋体" w:hAnsi="宋体"/>
          <w:color w:val="auto"/>
          <w:sz w:val="24"/>
        </w:rPr>
        <w:t>×××政府采购中心组织</w:t>
      </w:r>
      <w:r>
        <w:rPr>
          <w:rFonts w:hint="eastAsia" w:ascii="宋体" w:hAnsi="宋体"/>
          <w:color w:val="auto"/>
          <w:spacing w:val="6"/>
          <w:sz w:val="24"/>
        </w:rPr>
        <w:t>的采购项目（项目编号：</w:t>
      </w:r>
      <w:r>
        <w:rPr>
          <w:rFonts w:ascii="宋体" w:hAnsi="宋体"/>
          <w:color w:val="auto"/>
          <w:spacing w:val="6"/>
          <w:sz w:val="24"/>
        </w:rPr>
        <w:t xml:space="preserve"> </w:t>
      </w:r>
      <w:r>
        <w:rPr>
          <w:rFonts w:hint="eastAsia" w:ascii="宋体" w:hAnsi="宋体"/>
          <w:color w:val="auto"/>
          <w:spacing w:val="6"/>
          <w:sz w:val="24"/>
        </w:rPr>
        <w:t>）采购活动提供本企业制造的货物，由本企业承担工程、提供服务，或者提供其他</w:t>
      </w:r>
      <w:r>
        <w:rPr>
          <w:rFonts w:ascii="宋体" w:hAnsi="宋体"/>
          <w:color w:val="auto"/>
          <w:spacing w:val="6"/>
          <w:sz w:val="24"/>
        </w:rPr>
        <w:t>______</w:t>
      </w:r>
      <w:r>
        <w:rPr>
          <w:rFonts w:hint="eastAsia" w:ascii="宋体" w:hAnsi="宋体"/>
          <w:color w:val="auto"/>
          <w:spacing w:val="6"/>
          <w:sz w:val="24"/>
        </w:rPr>
        <w:t>（请填写：小型、微型）企业制造的货物。本条所称货物不包括使用大型企业注册商标的货物。</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本公司对上述声明的真实性负责。如有虚假，将依法承担相应责任。</w:t>
      </w:r>
    </w:p>
    <w:p>
      <w:pPr>
        <w:pStyle w:val="70"/>
        <w:spacing w:line="360" w:lineRule="auto"/>
        <w:ind w:firstLine="504" w:firstLineChars="200"/>
        <w:rPr>
          <w:rFonts w:ascii="宋体"/>
          <w:color w:val="auto"/>
          <w:spacing w:val="6"/>
          <w:sz w:val="24"/>
        </w:rPr>
      </w:pPr>
    </w:p>
    <w:p>
      <w:pPr>
        <w:pStyle w:val="70"/>
        <w:spacing w:line="360" w:lineRule="auto"/>
        <w:ind w:left="4253" w:leftChars="2025"/>
        <w:rPr>
          <w:rFonts w:ascii="宋体"/>
          <w:color w:val="auto"/>
          <w:sz w:val="24"/>
        </w:rPr>
      </w:pPr>
      <w:r>
        <w:rPr>
          <w:rFonts w:hint="eastAsia" w:ascii="宋体" w:hAnsi="宋体"/>
          <w:color w:val="auto"/>
          <w:sz w:val="24"/>
        </w:rPr>
        <w:t>投</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人（单位公章）：</w:t>
      </w:r>
    </w:p>
    <w:p>
      <w:pPr>
        <w:pStyle w:val="70"/>
        <w:spacing w:line="360" w:lineRule="auto"/>
        <w:ind w:left="4253" w:leftChars="2025" w:right="360"/>
        <w:jc w:val="right"/>
        <w:rPr>
          <w:rFonts w:ascii="宋体"/>
          <w:color w:val="auto"/>
          <w:spacing w:val="6"/>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s="Arial"/>
          <w:color w:val="auto"/>
          <w:sz w:val="24"/>
        </w:rPr>
        <w:t>年</w:t>
      </w:r>
      <w:r>
        <w:rPr>
          <w:rFonts w:ascii="宋体" w:hAnsi="宋体"/>
          <w:color w:val="auto"/>
          <w:sz w:val="24"/>
          <w:u w:val="single"/>
        </w:rPr>
        <w:t xml:space="preserve">    </w:t>
      </w:r>
      <w:r>
        <w:rPr>
          <w:rFonts w:hint="eastAsia" w:ascii="宋体" w:hAnsi="宋体" w:cs="Arial"/>
          <w:color w:val="auto"/>
          <w:sz w:val="24"/>
        </w:rPr>
        <w:t>月</w:t>
      </w:r>
      <w:r>
        <w:rPr>
          <w:rFonts w:ascii="宋体" w:hAnsi="宋体"/>
          <w:color w:val="auto"/>
          <w:sz w:val="24"/>
          <w:u w:val="single"/>
        </w:rPr>
        <w:t xml:space="preserve">    </w:t>
      </w:r>
      <w:r>
        <w:rPr>
          <w:rFonts w:hint="eastAsia" w:ascii="宋体" w:hAnsi="宋体" w:cs="Arial"/>
          <w:color w:val="auto"/>
          <w:sz w:val="24"/>
        </w:rPr>
        <w:t>日</w:t>
      </w:r>
    </w:p>
    <w:p>
      <w:pPr>
        <w:pStyle w:val="70"/>
        <w:spacing w:line="360" w:lineRule="auto"/>
        <w:rPr>
          <w:rFonts w:ascii="宋体"/>
          <w:color w:val="auto"/>
          <w:sz w:val="24"/>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hint="eastAsia" w:ascii="宋体" w:hAnsi="宋体"/>
          <w:b/>
          <w:color w:val="auto"/>
          <w:sz w:val="32"/>
          <w:szCs w:val="32"/>
          <w:lang w:val="en-GB"/>
        </w:rPr>
      </w:pPr>
    </w:p>
    <w:p>
      <w:pPr>
        <w:pStyle w:val="70"/>
        <w:spacing w:line="360" w:lineRule="auto"/>
        <w:jc w:val="center"/>
        <w:rPr>
          <w:rFonts w:ascii="宋体"/>
          <w:b/>
          <w:color w:val="auto"/>
          <w:spacing w:val="6"/>
          <w:sz w:val="32"/>
          <w:szCs w:val="32"/>
        </w:rPr>
      </w:pPr>
      <w:r>
        <w:rPr>
          <w:rFonts w:hint="eastAsia" w:ascii="宋体" w:hAnsi="宋体"/>
          <w:b/>
          <w:color w:val="auto"/>
          <w:sz w:val="32"/>
          <w:szCs w:val="32"/>
          <w:lang w:val="en-GB"/>
        </w:rPr>
        <w:t>小微企业声明函（制造商）</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本公司郑重声明，根据《政府采购促进中小企业发展暂行办法》（财库</w:t>
      </w:r>
      <w:r>
        <w:rPr>
          <w:rFonts w:ascii="宋体" w:hAnsi="宋体"/>
          <w:color w:val="auto"/>
          <w:spacing w:val="6"/>
          <w:sz w:val="24"/>
        </w:rPr>
        <w:t>[2011]181</w:t>
      </w:r>
      <w:r>
        <w:rPr>
          <w:rFonts w:hint="eastAsia" w:ascii="宋体" w:hAnsi="宋体"/>
          <w:color w:val="auto"/>
          <w:spacing w:val="6"/>
          <w:sz w:val="24"/>
        </w:rPr>
        <w:t>号）的规定和《工业和信息化部、国家统计局、国家发展和改革委员会、财政部关于印发中小企业划型标准规定的通知》（工信部联企业</w:t>
      </w:r>
      <w:r>
        <w:rPr>
          <w:rFonts w:ascii="宋体" w:hAnsi="宋体"/>
          <w:color w:val="auto"/>
          <w:spacing w:val="6"/>
          <w:sz w:val="24"/>
        </w:rPr>
        <w:t>[2011]300</w:t>
      </w:r>
      <w:r>
        <w:rPr>
          <w:rFonts w:hint="eastAsia" w:ascii="宋体" w:hAnsi="宋体"/>
          <w:color w:val="auto"/>
          <w:spacing w:val="6"/>
          <w:sz w:val="24"/>
        </w:rPr>
        <w:t>号）规定的划分标准：第四条第</w:t>
      </w:r>
      <w:r>
        <w:rPr>
          <w:rFonts w:ascii="宋体" w:hAnsi="宋体"/>
          <w:color w:val="auto"/>
          <w:spacing w:val="6"/>
          <w:sz w:val="24"/>
        </w:rPr>
        <w:t>______</w:t>
      </w:r>
      <w:r>
        <w:rPr>
          <w:rFonts w:hint="eastAsia" w:ascii="宋体" w:hAnsi="宋体"/>
          <w:color w:val="auto"/>
          <w:spacing w:val="6"/>
          <w:sz w:val="24"/>
        </w:rPr>
        <w:t>项</w:t>
      </w:r>
      <w:r>
        <w:rPr>
          <w:rFonts w:ascii="宋体" w:hAnsi="宋体"/>
          <w:color w:val="auto"/>
          <w:spacing w:val="6"/>
          <w:sz w:val="24"/>
        </w:rPr>
        <w:t>______</w:t>
      </w:r>
      <w:r>
        <w:rPr>
          <w:rFonts w:hint="eastAsia" w:ascii="宋体" w:hAnsi="宋体"/>
          <w:color w:val="auto"/>
          <w:spacing w:val="6"/>
          <w:sz w:val="24"/>
        </w:rPr>
        <w:t>行业，本公司（此处填写营业收入和从业人员的具体数据），为</w:t>
      </w:r>
      <w:r>
        <w:rPr>
          <w:rFonts w:ascii="宋体" w:hAnsi="宋体"/>
          <w:color w:val="auto"/>
          <w:spacing w:val="6"/>
          <w:sz w:val="24"/>
        </w:rPr>
        <w:t>______</w:t>
      </w:r>
      <w:r>
        <w:rPr>
          <w:rFonts w:hint="eastAsia" w:ascii="宋体" w:hAnsi="宋体"/>
          <w:color w:val="auto"/>
          <w:spacing w:val="6"/>
          <w:sz w:val="24"/>
        </w:rPr>
        <w:t>（请填写：小型、微型）企业。</w:t>
      </w:r>
    </w:p>
    <w:p>
      <w:pPr>
        <w:pStyle w:val="70"/>
        <w:spacing w:line="360" w:lineRule="auto"/>
        <w:ind w:firstLine="504" w:firstLineChars="200"/>
        <w:rPr>
          <w:rFonts w:ascii="宋体"/>
          <w:color w:val="auto"/>
          <w:spacing w:val="6"/>
          <w:sz w:val="24"/>
        </w:rPr>
      </w:pPr>
      <w:r>
        <w:rPr>
          <w:rFonts w:hint="eastAsia" w:ascii="宋体" w:hAnsi="宋体"/>
          <w:color w:val="auto"/>
          <w:spacing w:val="6"/>
          <w:sz w:val="24"/>
        </w:rPr>
        <w:t>本公司对上述声明的真实性负责。如有虚假，将依法承担相应责任。</w:t>
      </w:r>
    </w:p>
    <w:p>
      <w:pPr>
        <w:pStyle w:val="70"/>
        <w:spacing w:line="360" w:lineRule="auto"/>
        <w:ind w:firstLine="504" w:firstLineChars="200"/>
        <w:rPr>
          <w:rFonts w:ascii="宋体"/>
          <w:color w:val="auto"/>
          <w:spacing w:val="6"/>
          <w:sz w:val="24"/>
        </w:rPr>
      </w:pPr>
    </w:p>
    <w:p>
      <w:pPr>
        <w:pStyle w:val="70"/>
        <w:spacing w:line="360" w:lineRule="auto"/>
        <w:ind w:firstLine="504" w:firstLineChars="200"/>
        <w:jc w:val="center"/>
        <w:rPr>
          <w:rFonts w:ascii="宋体"/>
          <w:color w:val="auto"/>
          <w:spacing w:val="6"/>
          <w:sz w:val="24"/>
        </w:rPr>
      </w:pPr>
      <w:r>
        <w:rPr>
          <w:rFonts w:hint="eastAsia" w:ascii="宋体" w:hAnsi="宋体"/>
          <w:color w:val="auto"/>
          <w:spacing w:val="6"/>
          <w:sz w:val="24"/>
        </w:rPr>
        <w:t>企业名称（单位公章）：</w:t>
      </w:r>
    </w:p>
    <w:p>
      <w:pPr>
        <w:pStyle w:val="70"/>
        <w:spacing w:line="360" w:lineRule="auto"/>
        <w:ind w:left="4253" w:leftChars="2025" w:right="360"/>
        <w:jc w:val="right"/>
        <w:rPr>
          <w:rFonts w:ascii="宋体"/>
          <w:color w:val="auto"/>
          <w:spacing w:val="6"/>
          <w:sz w:val="24"/>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s="Arial"/>
          <w:color w:val="auto"/>
          <w:sz w:val="24"/>
        </w:rPr>
        <w:t>年</w:t>
      </w:r>
      <w:r>
        <w:rPr>
          <w:rFonts w:ascii="宋体" w:hAnsi="宋体"/>
          <w:color w:val="auto"/>
          <w:sz w:val="24"/>
          <w:u w:val="single"/>
        </w:rPr>
        <w:t xml:space="preserve">    </w:t>
      </w:r>
      <w:r>
        <w:rPr>
          <w:rFonts w:hint="eastAsia" w:ascii="宋体" w:hAnsi="宋体" w:cs="Arial"/>
          <w:color w:val="auto"/>
          <w:sz w:val="24"/>
        </w:rPr>
        <w:t>月</w:t>
      </w:r>
      <w:r>
        <w:rPr>
          <w:rFonts w:ascii="宋体" w:hAnsi="宋体"/>
          <w:color w:val="auto"/>
          <w:sz w:val="24"/>
          <w:u w:val="single"/>
        </w:rPr>
        <w:t xml:space="preserve">    </w:t>
      </w:r>
      <w:r>
        <w:rPr>
          <w:rFonts w:hint="eastAsia" w:ascii="宋体" w:hAnsi="宋体" w:cs="Arial"/>
          <w:color w:val="auto"/>
          <w:sz w:val="24"/>
        </w:rPr>
        <w:t>日</w:t>
      </w:r>
    </w:p>
    <w:p>
      <w:pPr>
        <w:bidi w:val="0"/>
        <w:jc w:val="center"/>
        <w:rPr>
          <w:rFonts w:hAnsi="宋体"/>
          <w:b/>
          <w:color w:val="auto"/>
          <w:szCs w:val="32"/>
          <w:lang w:val="en-GB"/>
        </w:rPr>
      </w:pPr>
      <w:r>
        <w:rPr>
          <w:rFonts w:hint="eastAsia"/>
          <w:b/>
          <w:bCs/>
          <w:sz w:val="28"/>
          <w:szCs w:val="28"/>
          <w:lang w:val="en-GB"/>
        </w:rPr>
        <w:t>残疾人福利性单位声明函</w:t>
      </w:r>
    </w:p>
    <w:p>
      <w:pPr>
        <w:spacing w:line="588" w:lineRule="exact"/>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color w:val="auto"/>
          <w:spacing w:val="6"/>
          <w:sz w:val="24"/>
        </w:rPr>
      </w:pPr>
    </w:p>
    <w:p>
      <w:pPr>
        <w:tabs>
          <w:tab w:val="left" w:pos="4860"/>
        </w:tabs>
        <w:spacing w:line="588" w:lineRule="exact"/>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70"/>
        <w:spacing w:line="360" w:lineRule="auto"/>
        <w:rPr>
          <w:rFonts w:ascii="宋体"/>
          <w:b/>
          <w:color w:val="auto"/>
          <w:sz w:val="28"/>
          <w:szCs w:val="28"/>
        </w:rPr>
      </w:pPr>
    </w:p>
    <w:p>
      <w:pPr>
        <w:pStyle w:val="70"/>
        <w:spacing w:line="360" w:lineRule="auto"/>
        <w:rPr>
          <w:rFonts w:ascii="宋体"/>
          <w:b/>
          <w:color w:val="auto"/>
          <w:sz w:val="28"/>
          <w:szCs w:val="28"/>
        </w:rPr>
      </w:pPr>
    </w:p>
    <w:p>
      <w:pPr>
        <w:rPr>
          <w:rFonts w:hint="default" w:ascii="宋体" w:eastAsia="宋体"/>
          <w:b/>
          <w:color w:val="auto"/>
          <w:sz w:val="28"/>
          <w:szCs w:val="28"/>
          <w:lang w:val="en-US" w:eastAsia="zh-CN"/>
        </w:rPr>
      </w:pPr>
      <w:r>
        <w:rPr>
          <w:rFonts w:hint="eastAsia" w:ascii="宋体" w:hAnsi="宋体"/>
          <w:b/>
          <w:color w:val="auto"/>
          <w:sz w:val="28"/>
          <w:szCs w:val="28"/>
        </w:rPr>
        <w:t>附件</w:t>
      </w:r>
      <w:r>
        <w:rPr>
          <w:rFonts w:hint="eastAsia" w:ascii="宋体" w:hAnsi="宋体"/>
          <w:b/>
          <w:color w:val="auto"/>
          <w:sz w:val="28"/>
          <w:szCs w:val="28"/>
          <w:lang w:val="en-US" w:eastAsia="zh-CN"/>
        </w:rPr>
        <w:t>10</w:t>
      </w:r>
    </w:p>
    <w:p>
      <w:pPr>
        <w:pStyle w:val="71"/>
        <w:spacing w:line="360" w:lineRule="auto"/>
        <w:rPr>
          <w:color w:val="auto"/>
        </w:rPr>
      </w:pPr>
    </w:p>
    <w:p>
      <w:pPr>
        <w:pStyle w:val="68"/>
        <w:spacing w:line="360" w:lineRule="auto"/>
        <w:jc w:val="center"/>
        <w:rPr>
          <w:rFonts w:ascii="宋体"/>
          <w:b/>
          <w:color w:val="auto"/>
          <w:sz w:val="32"/>
          <w:szCs w:val="32"/>
          <w:lang w:val="en-GB"/>
        </w:rPr>
      </w:pPr>
      <w:r>
        <w:rPr>
          <w:rFonts w:hint="eastAsia" w:ascii="宋体" w:hAnsi="宋体"/>
          <w:b/>
          <w:color w:val="auto"/>
          <w:sz w:val="32"/>
          <w:szCs w:val="32"/>
          <w:lang w:val="en-GB"/>
        </w:rPr>
        <w:t>产品适用政府采购政策情况表</w:t>
      </w:r>
    </w:p>
    <w:p>
      <w:pPr>
        <w:pStyle w:val="68"/>
        <w:spacing w:line="360" w:lineRule="auto"/>
        <w:jc w:val="center"/>
        <w:rPr>
          <w:rFonts w:ascii="宋体"/>
          <w:b/>
          <w:color w:val="auto"/>
          <w:sz w:val="32"/>
          <w:szCs w:val="32"/>
          <w:lang w:val="en-GB"/>
        </w:rPr>
      </w:pPr>
    </w:p>
    <w:tbl>
      <w:tblPr>
        <w:tblStyle w:val="4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小微企业扶持政策</w:t>
            </w:r>
          </w:p>
        </w:tc>
        <w:tc>
          <w:tcPr>
            <w:tcW w:w="8111" w:type="dxa"/>
            <w:gridSpan w:val="3"/>
            <w:vAlign w:val="center"/>
          </w:tcPr>
          <w:tbl>
            <w:tblPr>
              <w:tblStyle w:val="4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68"/>
                    <w:tabs>
                      <w:tab w:val="left" w:pos="1260"/>
                    </w:tabs>
                    <w:spacing w:line="360" w:lineRule="auto"/>
                    <w:rPr>
                      <w:rFonts w:ascii="宋体"/>
                      <w:color w:val="auto"/>
                      <w:sz w:val="24"/>
                    </w:rPr>
                  </w:pPr>
                  <w:r>
                    <w:rPr>
                      <w:rFonts w:hint="eastAsia" w:ascii="宋体" w:hAnsi="宋体"/>
                      <w:b/>
                      <w:bCs/>
                      <w:color w:val="auto"/>
                      <w:sz w:val="24"/>
                    </w:rPr>
                    <w:t>小型、微型企业投标且所投产品（指货物、工程、服务）由本企业制造，或者所投产品（仅指货物）含有其他小型、微型企业制造的，应</w:t>
                  </w:r>
                  <w:r>
                    <w:rPr>
                      <w:rFonts w:hint="eastAsia" w:ascii="宋体" w:hAnsi="宋体"/>
                      <w:b/>
                      <w:bCs/>
                      <w:color w:val="auto"/>
                      <w:sz w:val="24"/>
                      <w:lang w:val="en-GB"/>
                    </w:rPr>
                    <w:t>按要求列出具体产品与金额。</w:t>
                  </w:r>
                </w:p>
              </w:tc>
            </w:tr>
          </w:tbl>
          <w:p>
            <w:pPr>
              <w:pStyle w:val="68"/>
              <w:tabs>
                <w:tab w:val="left" w:pos="1260"/>
              </w:tabs>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产品名称（品牌、型号）</w:t>
            </w:r>
          </w:p>
        </w:tc>
        <w:tc>
          <w:tcPr>
            <w:tcW w:w="3811"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制造企业名称</w:t>
            </w:r>
          </w:p>
        </w:tc>
        <w:tc>
          <w:tcPr>
            <w:tcW w:w="1621" w:type="dxa"/>
            <w:vAlign w:val="center"/>
          </w:tcPr>
          <w:p>
            <w:pPr>
              <w:pStyle w:val="68"/>
              <w:tabs>
                <w:tab w:val="left" w:pos="1260"/>
              </w:tabs>
              <w:jc w:val="center"/>
              <w:rPr>
                <w:rFonts w:ascii="宋体"/>
                <w:color w:val="auto"/>
                <w:sz w:val="24"/>
                <w:lang w:val="en-GB"/>
              </w:rPr>
            </w:pPr>
            <w:r>
              <w:rPr>
                <w:rFonts w:hint="eastAsia" w:ascii="宋体" w:hAnsi="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2679" w:type="dxa"/>
            <w:vAlign w:val="center"/>
          </w:tcPr>
          <w:p>
            <w:pPr>
              <w:pStyle w:val="68"/>
              <w:tabs>
                <w:tab w:val="left" w:pos="1260"/>
              </w:tabs>
              <w:jc w:val="center"/>
              <w:rPr>
                <w:rFonts w:ascii="宋体"/>
                <w:color w:val="auto"/>
                <w:sz w:val="24"/>
                <w:lang w:val="en-GB"/>
              </w:rPr>
            </w:pPr>
          </w:p>
        </w:tc>
        <w:tc>
          <w:tcPr>
            <w:tcW w:w="3811" w:type="dxa"/>
            <w:vAlign w:val="center"/>
          </w:tcPr>
          <w:p>
            <w:pPr>
              <w:pStyle w:val="68"/>
              <w:tabs>
                <w:tab w:val="left" w:pos="1260"/>
              </w:tabs>
              <w:jc w:val="center"/>
              <w:rPr>
                <w:rFonts w:ascii="宋体"/>
                <w:color w:val="auto"/>
                <w:sz w:val="24"/>
                <w:lang w:val="en-GB"/>
              </w:rPr>
            </w:pPr>
          </w:p>
        </w:tc>
        <w:tc>
          <w:tcPr>
            <w:tcW w:w="1621" w:type="dxa"/>
            <w:vAlign w:val="center"/>
          </w:tcPr>
          <w:p>
            <w:pPr>
              <w:pStyle w:val="68"/>
              <w:tabs>
                <w:tab w:val="left" w:pos="1260"/>
              </w:tabs>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8"/>
              <w:tabs>
                <w:tab w:val="left" w:pos="1260"/>
              </w:tabs>
              <w:jc w:val="center"/>
              <w:rPr>
                <w:rFonts w:ascii="宋体"/>
                <w:color w:val="auto"/>
                <w:sz w:val="24"/>
                <w:lang w:val="en-GB"/>
              </w:rPr>
            </w:pPr>
          </w:p>
        </w:tc>
        <w:tc>
          <w:tcPr>
            <w:tcW w:w="6490" w:type="dxa"/>
            <w:gridSpan w:val="2"/>
            <w:vAlign w:val="center"/>
          </w:tcPr>
          <w:p>
            <w:pPr>
              <w:pStyle w:val="68"/>
              <w:tabs>
                <w:tab w:val="left" w:pos="1260"/>
              </w:tabs>
              <w:jc w:val="center"/>
              <w:rPr>
                <w:color w:val="auto"/>
              </w:rPr>
            </w:pPr>
            <w:r>
              <w:rPr>
                <w:rFonts w:hint="eastAsia" w:ascii="宋体" w:hAnsi="宋体"/>
                <w:color w:val="auto"/>
                <w:sz w:val="24"/>
              </w:rPr>
              <w:t>小型、微型企业产品</w:t>
            </w:r>
            <w:r>
              <w:rPr>
                <w:rFonts w:hint="eastAsia" w:ascii="宋体" w:hAnsi="宋体"/>
                <w:color w:val="auto"/>
                <w:sz w:val="24"/>
                <w:lang w:val="en-GB"/>
              </w:rPr>
              <w:t>金额合计（元）</w:t>
            </w:r>
          </w:p>
        </w:tc>
        <w:tc>
          <w:tcPr>
            <w:tcW w:w="1621" w:type="dxa"/>
            <w:vAlign w:val="center"/>
          </w:tcPr>
          <w:p>
            <w:pPr>
              <w:pStyle w:val="68"/>
              <w:tabs>
                <w:tab w:val="left" w:pos="1260"/>
              </w:tabs>
              <w:jc w:val="center"/>
              <w:rPr>
                <w:rFonts w:ascii="宋体"/>
                <w:color w:val="auto"/>
                <w:sz w:val="24"/>
                <w:lang w:val="en-GB"/>
              </w:rPr>
            </w:pPr>
          </w:p>
        </w:tc>
      </w:tr>
    </w:tbl>
    <w:p>
      <w:pPr>
        <w:pStyle w:val="68"/>
        <w:spacing w:line="360" w:lineRule="auto"/>
        <w:rPr>
          <w:rFonts w:ascii="宋体"/>
          <w:color w:val="auto"/>
          <w:szCs w:val="21"/>
          <w:lang w:val="en-GB"/>
        </w:rPr>
      </w:pPr>
    </w:p>
    <w:p>
      <w:pPr>
        <w:pStyle w:val="68"/>
        <w:spacing w:line="360" w:lineRule="auto"/>
        <w:rPr>
          <w:rFonts w:ascii="宋体"/>
          <w:color w:val="auto"/>
          <w:szCs w:val="21"/>
          <w:lang w:val="en-GB"/>
        </w:rPr>
      </w:pPr>
      <w:r>
        <w:rPr>
          <w:rFonts w:hint="eastAsia" w:ascii="宋体" w:hAnsi="宋体"/>
          <w:color w:val="auto"/>
          <w:szCs w:val="21"/>
          <w:lang w:val="en-GB"/>
        </w:rPr>
        <w:t>填报要求：</w:t>
      </w:r>
    </w:p>
    <w:p>
      <w:pPr>
        <w:pStyle w:val="68"/>
        <w:widowControl/>
        <w:numPr>
          <w:ilvl w:val="0"/>
          <w:numId w:val="17"/>
        </w:numPr>
        <w:spacing w:line="360" w:lineRule="auto"/>
        <w:ind w:right="84" w:rightChars="40"/>
        <w:jc w:val="left"/>
        <w:rPr>
          <w:rFonts w:ascii="宋体"/>
          <w:color w:val="auto"/>
          <w:szCs w:val="21"/>
          <w:lang w:val="en-GB"/>
        </w:rPr>
      </w:pPr>
      <w:r>
        <w:rPr>
          <w:rFonts w:hint="eastAsia" w:ascii="宋体" w:hAnsi="宋体"/>
          <w:color w:val="auto"/>
          <w:szCs w:val="21"/>
          <w:lang w:val="en-GB"/>
        </w:rPr>
        <w:t>本表的产品名称、规格型号和注册商标、金额要与《报价明细表》一致。</w:t>
      </w:r>
    </w:p>
    <w:p>
      <w:pPr>
        <w:pStyle w:val="68"/>
        <w:widowControl/>
        <w:numPr>
          <w:ilvl w:val="0"/>
          <w:numId w:val="17"/>
        </w:numPr>
        <w:tabs>
          <w:tab w:val="left" w:pos="360"/>
        </w:tabs>
        <w:spacing w:line="360" w:lineRule="auto"/>
        <w:ind w:left="360" w:right="84" w:rightChars="40" w:hanging="360"/>
        <w:jc w:val="left"/>
        <w:rPr>
          <w:rFonts w:ascii="宋体"/>
          <w:color w:val="auto"/>
          <w:szCs w:val="21"/>
          <w:lang w:val="en-GB"/>
        </w:rPr>
      </w:pPr>
      <w:r>
        <w:rPr>
          <w:rFonts w:hint="eastAsia" w:ascii="宋体" w:hAnsi="宋体"/>
          <w:color w:val="auto"/>
          <w:szCs w:val="21"/>
          <w:lang w:val="en-GB"/>
        </w:rPr>
        <w:t>制造商为小型或微型企业时才需要填“制造商企业类型”栏，填写内容为“小型”或“微型”。</w:t>
      </w:r>
    </w:p>
    <w:p>
      <w:pPr>
        <w:pStyle w:val="68"/>
        <w:widowControl/>
        <w:numPr>
          <w:ilvl w:val="0"/>
          <w:numId w:val="17"/>
        </w:numPr>
        <w:spacing w:line="360" w:lineRule="auto"/>
        <w:ind w:right="84" w:rightChars="40"/>
        <w:jc w:val="left"/>
        <w:rPr>
          <w:color w:val="auto"/>
        </w:rPr>
      </w:pPr>
      <w:r>
        <w:rPr>
          <w:rFonts w:hint="eastAsia" w:ascii="宋体" w:hAnsi="宋体"/>
          <w:color w:val="auto"/>
          <w:szCs w:val="21"/>
          <w:lang w:val="en-GB"/>
        </w:rPr>
        <w:t>请</w:t>
      </w:r>
      <w:r>
        <w:rPr>
          <w:rFonts w:hint="eastAsia" w:ascii="宋体" w:hAnsi="宋体"/>
          <w:color w:val="auto"/>
          <w:szCs w:val="21"/>
          <w:lang w:val="en-GB" w:eastAsia="zh-CN"/>
        </w:rPr>
        <w:t>供应商</w:t>
      </w:r>
      <w:r>
        <w:rPr>
          <w:rFonts w:hint="eastAsia" w:ascii="宋体" w:hAnsi="宋体"/>
          <w:color w:val="auto"/>
          <w:szCs w:val="21"/>
          <w:lang w:val="en-GB"/>
        </w:rPr>
        <w:t>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68"/>
        <w:widowControl/>
        <w:numPr>
          <w:ilvl w:val="0"/>
          <w:numId w:val="0"/>
        </w:numPr>
        <w:tabs>
          <w:tab w:val="left" w:pos="420"/>
        </w:tabs>
        <w:spacing w:line="360" w:lineRule="auto"/>
        <w:ind w:right="84" w:rightChars="40"/>
        <w:jc w:val="left"/>
        <w:rPr>
          <w:rFonts w:hint="eastAsia" w:ascii="宋体" w:hAnsi="宋体"/>
          <w:color w:val="auto"/>
          <w:szCs w:val="21"/>
          <w:lang w:val="en-GB"/>
        </w:rPr>
      </w:pPr>
    </w:p>
    <w:p>
      <w:pPr>
        <w:pStyle w:val="42"/>
        <w:rPr>
          <w:rFonts w:hint="eastAsia"/>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Noto Sans Mono CJK JP Regular">
    <w:altName w:val="Calibri"/>
    <w:panose1 w:val="00000000000000000000"/>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87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2185"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261620"/>
                      </a:xfrm>
                      <a:prstGeom prst="rect">
                        <a:avLst/>
                      </a:prstGeom>
                      <a:noFill/>
                      <a:ln w="6350">
                        <a:noFill/>
                      </a:ln>
                    </wps:spPr>
                    <wps:txbx>
                      <w:txbxContent>
                        <w:p>
                          <w:pPr>
                            <w:pStyle w:val="2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6pt;width:76.55pt;mso-position-horizontal:right;mso-position-horizontal-relative:margin;mso-wrap-style:none;z-index:251659264;mso-width-relative:page;mso-height-relative:page;" filled="f" stroked="f" coordsize="21600,21600" o:gfxdata="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bgctIAAAAEAQAADwAAAAAAAAABACAAAAAiAAAAZHJzL2Rvd25yZXYueG1sUEsBAhQAFAAA&#10;AAgAh07iQIZq6uouAgAAUwQAAA4AAAAAAAAAAQAgAAAAIQEAAGRycy9lMm9Eb2MueG1sUEsFBgAA&#10;AAAGAAYAWQEAAMEFA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i/>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2">
    <w:nsid w:val="00000001"/>
    <w:multiLevelType w:val="multilevel"/>
    <w:tmpl w:val="00000001"/>
    <w:lvl w:ilvl="0" w:tentative="0">
      <w:start w:val="5"/>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pStyle w:val="290"/>
      <w:lvlText w:val=""/>
      <w:lvlJc w:val="left"/>
      <w:pPr>
        <w:tabs>
          <w:tab w:val="left" w:pos="360"/>
        </w:tabs>
      </w:pPr>
    </w:lvl>
    <w:lvl w:ilvl="3" w:tentative="0">
      <w:start w:val="0"/>
      <w:numFmt w:val="none"/>
      <w:pStyle w:val="242"/>
      <w:lvlText w:val=""/>
      <w:lvlJc w:val="left"/>
      <w:pPr>
        <w:tabs>
          <w:tab w:val="left" w:pos="360"/>
        </w:tabs>
      </w:pPr>
    </w:lvl>
    <w:lvl w:ilvl="4" w:tentative="0">
      <w:start w:val="0"/>
      <w:numFmt w:val="none"/>
      <w:pStyle w:val="257"/>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00000012"/>
    <w:multiLevelType w:val="multilevel"/>
    <w:tmpl w:val="00000012"/>
    <w:lvl w:ilvl="0" w:tentative="0">
      <w:start w:val="1"/>
      <w:numFmt w:val="bullet"/>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pStyle w:val="171"/>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EE354D"/>
    <w:multiLevelType w:val="multilevel"/>
    <w:tmpl w:val="01EE354D"/>
    <w:lvl w:ilvl="0" w:tentative="0">
      <w:start w:val="1"/>
      <w:numFmt w:val="decimal"/>
      <w:pStyle w:val="383"/>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5">
    <w:nsid w:val="0A760F1C"/>
    <w:multiLevelType w:val="multilevel"/>
    <w:tmpl w:val="0A760F1C"/>
    <w:lvl w:ilvl="0" w:tentative="0">
      <w:start w:val="1"/>
      <w:numFmt w:val="decimal"/>
      <w:pStyle w:val="316"/>
      <w:suff w:val="space"/>
      <w:lvlText w:val="第%1章"/>
      <w:lvlJc w:val="center"/>
      <w:pPr>
        <w:ind w:left="0" w:firstLine="288"/>
      </w:pPr>
      <w:rPr>
        <w:rFonts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144"/>
      <w:suff w:val="space"/>
      <w:lvlText w:val="%1.%2"/>
      <w:lvlJc w:val="left"/>
      <w:pPr>
        <w:ind w:left="0" w:firstLine="0"/>
      </w:pPr>
      <w:rPr>
        <w:rFonts w:hint="eastAsia" w:ascii="宋体" w:hAnsi="宋体" w:eastAsia="宋体"/>
        <w:sz w:val="32"/>
        <w:szCs w:val="32"/>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pStyle w:val="228"/>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198"/>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9581791"/>
    <w:multiLevelType w:val="multilevel"/>
    <w:tmpl w:val="39581791"/>
    <w:lvl w:ilvl="0" w:tentative="0">
      <w:start w:val="1"/>
      <w:numFmt w:val="chineseCountingThousand"/>
      <w:pStyle w:val="270"/>
      <w:lvlText w:val="第%1部分"/>
      <w:lvlJc w:val="center"/>
      <w:pPr>
        <w:ind w:left="0" w:firstLine="0"/>
      </w:pPr>
      <w:rPr>
        <w:rFonts w:hint="eastAsia" w:eastAsia="仿宋"/>
        <w:sz w:val="44"/>
        <w:lang w:val="en-US"/>
      </w:rPr>
    </w:lvl>
    <w:lvl w:ilvl="1" w:tentative="0">
      <w:start w:val="1"/>
      <w:numFmt w:val="decimal"/>
      <w:pStyle w:val="209"/>
      <w:lvlText w:val="%2."/>
      <w:lvlJc w:val="left"/>
      <w:pPr>
        <w:ind w:left="0" w:firstLine="0"/>
      </w:pPr>
      <w:rPr>
        <w:rFonts w:hint="eastAsia" w:eastAsia="仿宋"/>
        <w:b/>
        <w:i w:val="0"/>
        <w:sz w:val="36"/>
      </w:rPr>
    </w:lvl>
    <w:lvl w:ilvl="2" w:tentative="0">
      <w:start w:val="1"/>
      <w:numFmt w:val="decimal"/>
      <w:lvlText w:val="%2.%3."/>
      <w:lvlJc w:val="right"/>
      <w:pPr>
        <w:ind w:left="0" w:firstLine="0"/>
      </w:pPr>
      <w:rPr>
        <w:rFonts w:hint="eastAsia" w:eastAsia="仿宋"/>
        <w:b/>
        <w:i w:val="0"/>
        <w:snapToGrid w:val="0"/>
        <w:kern w:val="0"/>
        <w:sz w:val="30"/>
      </w:rPr>
    </w:lvl>
    <w:lvl w:ilvl="3" w:tentative="0">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3CEB21C5"/>
    <w:multiLevelType w:val="singleLevel"/>
    <w:tmpl w:val="3CEB21C5"/>
    <w:lvl w:ilvl="0" w:tentative="0">
      <w:start w:val="1"/>
      <w:numFmt w:val="decimal"/>
      <w:lvlText w:val="%1."/>
      <w:lvlJc w:val="left"/>
      <w:pPr>
        <w:tabs>
          <w:tab w:val="left" w:pos="312"/>
        </w:tabs>
      </w:p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4969F691"/>
    <w:multiLevelType w:val="singleLevel"/>
    <w:tmpl w:val="4969F691"/>
    <w:lvl w:ilvl="0" w:tentative="0">
      <w:start w:val="2"/>
      <w:numFmt w:val="decimal"/>
      <w:suff w:val="nothing"/>
      <w:lvlText w:val="（%1）"/>
      <w:lvlJc w:val="left"/>
    </w:lvl>
  </w:abstractNum>
  <w:abstractNum w:abstractNumId="11">
    <w:nsid w:val="4CA75A52"/>
    <w:multiLevelType w:val="multilevel"/>
    <w:tmpl w:val="4CA75A52"/>
    <w:lvl w:ilvl="0" w:tentative="0">
      <w:start w:val="1"/>
      <w:numFmt w:val="decimal"/>
      <w:pStyle w:val="160"/>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2">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1E7303A"/>
    <w:multiLevelType w:val="multilevel"/>
    <w:tmpl w:val="61E7303A"/>
    <w:lvl w:ilvl="0" w:tentative="0">
      <w:start w:val="1"/>
      <w:numFmt w:val="decimal"/>
      <w:pStyle w:val="326"/>
      <w:lvlText w:val="%1)"/>
      <w:lvlJc w:val="left"/>
      <w:pPr>
        <w:ind w:left="902"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6F6101"/>
    <w:multiLevelType w:val="multilevel"/>
    <w:tmpl w:val="6E6F6101"/>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4"/>
        </w:tabs>
        <w:ind w:left="-4" w:hanging="420"/>
      </w:pPr>
      <w:rPr>
        <w:rFonts w:cs="Times New Roman"/>
      </w:rPr>
    </w:lvl>
    <w:lvl w:ilvl="2" w:tentative="0">
      <w:start w:val="1"/>
      <w:numFmt w:val="lowerRoman"/>
      <w:lvlText w:val="%3."/>
      <w:lvlJc w:val="right"/>
      <w:pPr>
        <w:tabs>
          <w:tab w:val="left" w:pos="416"/>
        </w:tabs>
        <w:ind w:left="416" w:hanging="420"/>
      </w:pPr>
      <w:rPr>
        <w:rFonts w:cs="Times New Roman"/>
      </w:rPr>
    </w:lvl>
    <w:lvl w:ilvl="3" w:tentative="0">
      <w:start w:val="1"/>
      <w:numFmt w:val="decimal"/>
      <w:lvlText w:val="%4."/>
      <w:lvlJc w:val="left"/>
      <w:pPr>
        <w:tabs>
          <w:tab w:val="left" w:pos="836"/>
        </w:tabs>
        <w:ind w:left="836" w:hanging="420"/>
      </w:pPr>
      <w:rPr>
        <w:rFonts w:cs="Times New Roman"/>
      </w:rPr>
    </w:lvl>
    <w:lvl w:ilvl="4" w:tentative="0">
      <w:start w:val="1"/>
      <w:numFmt w:val="lowerLetter"/>
      <w:lvlText w:val="%5)"/>
      <w:lvlJc w:val="left"/>
      <w:pPr>
        <w:tabs>
          <w:tab w:val="left" w:pos="1256"/>
        </w:tabs>
        <w:ind w:left="1256" w:hanging="420"/>
      </w:pPr>
      <w:rPr>
        <w:rFonts w:cs="Times New Roman"/>
      </w:rPr>
    </w:lvl>
    <w:lvl w:ilvl="5" w:tentative="0">
      <w:start w:val="1"/>
      <w:numFmt w:val="lowerRoman"/>
      <w:lvlText w:val="%6."/>
      <w:lvlJc w:val="right"/>
      <w:pPr>
        <w:tabs>
          <w:tab w:val="left" w:pos="1676"/>
        </w:tabs>
        <w:ind w:left="1676" w:hanging="420"/>
      </w:pPr>
      <w:rPr>
        <w:rFonts w:cs="Times New Roman"/>
      </w:rPr>
    </w:lvl>
    <w:lvl w:ilvl="6" w:tentative="0">
      <w:start w:val="1"/>
      <w:numFmt w:val="decimal"/>
      <w:lvlText w:val="%7."/>
      <w:lvlJc w:val="left"/>
      <w:pPr>
        <w:tabs>
          <w:tab w:val="left" w:pos="2096"/>
        </w:tabs>
        <w:ind w:left="2096" w:hanging="420"/>
      </w:pPr>
      <w:rPr>
        <w:rFonts w:cs="Times New Roman"/>
      </w:rPr>
    </w:lvl>
    <w:lvl w:ilvl="7" w:tentative="0">
      <w:start w:val="1"/>
      <w:numFmt w:val="lowerLetter"/>
      <w:lvlText w:val="%8)"/>
      <w:lvlJc w:val="left"/>
      <w:pPr>
        <w:tabs>
          <w:tab w:val="left" w:pos="2516"/>
        </w:tabs>
        <w:ind w:left="2516" w:hanging="420"/>
      </w:pPr>
      <w:rPr>
        <w:rFonts w:cs="Times New Roman"/>
      </w:rPr>
    </w:lvl>
    <w:lvl w:ilvl="8" w:tentative="0">
      <w:start w:val="1"/>
      <w:numFmt w:val="lowerRoman"/>
      <w:lvlText w:val="%9."/>
      <w:lvlJc w:val="right"/>
      <w:pPr>
        <w:tabs>
          <w:tab w:val="left" w:pos="2936"/>
        </w:tabs>
        <w:ind w:left="2936" w:hanging="420"/>
      </w:pPr>
      <w:rPr>
        <w:rFonts w:cs="Times New Roman"/>
      </w:rPr>
    </w:lvl>
  </w:abstractNum>
  <w:abstractNum w:abstractNumId="15">
    <w:nsid w:val="79E75356"/>
    <w:multiLevelType w:val="multilevel"/>
    <w:tmpl w:val="79E75356"/>
    <w:lvl w:ilvl="0" w:tentative="0">
      <w:start w:val="6"/>
      <w:numFmt w:val="decimal"/>
      <w:lvlText w:val="（%1）"/>
      <w:lvlJc w:val="left"/>
      <w:pPr>
        <w:ind w:left="1200" w:hanging="720"/>
      </w:pPr>
      <w:rPr>
        <w:rFonts w:hint="default"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269EF1"/>
    <w:multiLevelType w:val="singleLevel"/>
    <w:tmpl w:val="7C269EF1"/>
    <w:lvl w:ilvl="0" w:tentative="0">
      <w:start w:val="5"/>
      <w:numFmt w:val="chineseCounting"/>
      <w:suff w:val="nothing"/>
      <w:lvlText w:val="（%1）"/>
      <w:lvlJc w:val="left"/>
      <w:rPr>
        <w:rFonts w:hint="eastAsia"/>
      </w:rPr>
    </w:lvl>
  </w:abstractNum>
  <w:num w:numId="1">
    <w:abstractNumId w:val="1"/>
  </w:num>
  <w:num w:numId="2">
    <w:abstractNumId w:val="5"/>
  </w:num>
  <w:num w:numId="3">
    <w:abstractNumId w:val="11"/>
  </w:num>
  <w:num w:numId="4">
    <w:abstractNumId w:val="3"/>
  </w:num>
  <w:num w:numId="5">
    <w:abstractNumId w:val="6"/>
  </w:num>
  <w:num w:numId="6">
    <w:abstractNumId w:val="7"/>
  </w:num>
  <w:num w:numId="7">
    <w:abstractNumId w:val="2"/>
  </w:num>
  <w:num w:numId="8">
    <w:abstractNumId w:val="13"/>
  </w:num>
  <w:num w:numId="9">
    <w:abstractNumId w:val="4"/>
  </w:num>
  <w:num w:numId="10">
    <w:abstractNumId w:val="9"/>
  </w:num>
  <w:num w:numId="11">
    <w:abstractNumId w:val="15"/>
  </w:num>
  <w:num w:numId="12">
    <w:abstractNumId w:val="12"/>
  </w:num>
  <w:num w:numId="13">
    <w:abstractNumId w:val="10"/>
  </w:num>
  <w:num w:numId="14">
    <w:abstractNumId w:val="16"/>
  </w:num>
  <w:num w:numId="15">
    <w:abstractNumId w:val="8"/>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NGY5YjRkYWYyMTMxYmU2OTQ0YjA4MWRmMzU0MWMifQ=="/>
  </w:docVars>
  <w:rsids>
    <w:rsidRoot w:val="0E970358"/>
    <w:rsid w:val="00004D19"/>
    <w:rsid w:val="00005179"/>
    <w:rsid w:val="000200E7"/>
    <w:rsid w:val="00020223"/>
    <w:rsid w:val="000221E6"/>
    <w:rsid w:val="00026A3F"/>
    <w:rsid w:val="000311A4"/>
    <w:rsid w:val="00037207"/>
    <w:rsid w:val="00040750"/>
    <w:rsid w:val="00042E5B"/>
    <w:rsid w:val="0004307B"/>
    <w:rsid w:val="00047C20"/>
    <w:rsid w:val="00057372"/>
    <w:rsid w:val="0006294D"/>
    <w:rsid w:val="00062AB3"/>
    <w:rsid w:val="0006643F"/>
    <w:rsid w:val="00071612"/>
    <w:rsid w:val="00073A35"/>
    <w:rsid w:val="00073A3F"/>
    <w:rsid w:val="00080790"/>
    <w:rsid w:val="00080F6A"/>
    <w:rsid w:val="0008213A"/>
    <w:rsid w:val="00086FAF"/>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304F1"/>
    <w:rsid w:val="00130C3C"/>
    <w:rsid w:val="0014432F"/>
    <w:rsid w:val="00146F3E"/>
    <w:rsid w:val="00147546"/>
    <w:rsid w:val="0015054A"/>
    <w:rsid w:val="00153279"/>
    <w:rsid w:val="00165F2A"/>
    <w:rsid w:val="00167314"/>
    <w:rsid w:val="001705F1"/>
    <w:rsid w:val="001712E8"/>
    <w:rsid w:val="00172364"/>
    <w:rsid w:val="0017280D"/>
    <w:rsid w:val="0018070F"/>
    <w:rsid w:val="001816F8"/>
    <w:rsid w:val="00181850"/>
    <w:rsid w:val="00184960"/>
    <w:rsid w:val="001849FD"/>
    <w:rsid w:val="001934E0"/>
    <w:rsid w:val="0019447A"/>
    <w:rsid w:val="00195B2B"/>
    <w:rsid w:val="00197692"/>
    <w:rsid w:val="001A4CB7"/>
    <w:rsid w:val="001B179D"/>
    <w:rsid w:val="001C265B"/>
    <w:rsid w:val="001C4ACF"/>
    <w:rsid w:val="001C4E10"/>
    <w:rsid w:val="001C5C3D"/>
    <w:rsid w:val="001D3245"/>
    <w:rsid w:val="001D7AA2"/>
    <w:rsid w:val="001E3051"/>
    <w:rsid w:val="001E46FA"/>
    <w:rsid w:val="001F038F"/>
    <w:rsid w:val="001F78DA"/>
    <w:rsid w:val="00201D62"/>
    <w:rsid w:val="00203F9B"/>
    <w:rsid w:val="00204D0A"/>
    <w:rsid w:val="00206634"/>
    <w:rsid w:val="0021318F"/>
    <w:rsid w:val="002223B1"/>
    <w:rsid w:val="00223082"/>
    <w:rsid w:val="002450C9"/>
    <w:rsid w:val="002463A4"/>
    <w:rsid w:val="00254CD9"/>
    <w:rsid w:val="0025590B"/>
    <w:rsid w:val="00263B86"/>
    <w:rsid w:val="00272EFC"/>
    <w:rsid w:val="0027334C"/>
    <w:rsid w:val="0027493C"/>
    <w:rsid w:val="00274DFD"/>
    <w:rsid w:val="00280FB0"/>
    <w:rsid w:val="002878AD"/>
    <w:rsid w:val="00294CE6"/>
    <w:rsid w:val="00296063"/>
    <w:rsid w:val="0029659E"/>
    <w:rsid w:val="002A1620"/>
    <w:rsid w:val="002A22B7"/>
    <w:rsid w:val="002A78BF"/>
    <w:rsid w:val="002B0457"/>
    <w:rsid w:val="002B446E"/>
    <w:rsid w:val="002B709C"/>
    <w:rsid w:val="002C2445"/>
    <w:rsid w:val="002D0225"/>
    <w:rsid w:val="002E53BA"/>
    <w:rsid w:val="002F0BCA"/>
    <w:rsid w:val="002F14EB"/>
    <w:rsid w:val="002F30DC"/>
    <w:rsid w:val="002F5705"/>
    <w:rsid w:val="00303738"/>
    <w:rsid w:val="0030603A"/>
    <w:rsid w:val="003102FB"/>
    <w:rsid w:val="00315235"/>
    <w:rsid w:val="00316CC8"/>
    <w:rsid w:val="00320466"/>
    <w:rsid w:val="0032074E"/>
    <w:rsid w:val="00321AA6"/>
    <w:rsid w:val="003243F2"/>
    <w:rsid w:val="00332E30"/>
    <w:rsid w:val="00337E9A"/>
    <w:rsid w:val="0034482B"/>
    <w:rsid w:val="003455A2"/>
    <w:rsid w:val="00366B14"/>
    <w:rsid w:val="00370362"/>
    <w:rsid w:val="003714EA"/>
    <w:rsid w:val="00377489"/>
    <w:rsid w:val="00377BD1"/>
    <w:rsid w:val="00380296"/>
    <w:rsid w:val="00384ADF"/>
    <w:rsid w:val="00384BC8"/>
    <w:rsid w:val="00385830"/>
    <w:rsid w:val="0038740F"/>
    <w:rsid w:val="003A614C"/>
    <w:rsid w:val="003B2FD5"/>
    <w:rsid w:val="003B385E"/>
    <w:rsid w:val="003B5FDE"/>
    <w:rsid w:val="003C018F"/>
    <w:rsid w:val="003C5E00"/>
    <w:rsid w:val="003C79AA"/>
    <w:rsid w:val="003D7EC6"/>
    <w:rsid w:val="003E3DB4"/>
    <w:rsid w:val="003E4C76"/>
    <w:rsid w:val="003E6E66"/>
    <w:rsid w:val="003F2D9A"/>
    <w:rsid w:val="003F595C"/>
    <w:rsid w:val="003F6B4C"/>
    <w:rsid w:val="003F6F50"/>
    <w:rsid w:val="003F78E0"/>
    <w:rsid w:val="003F7B5E"/>
    <w:rsid w:val="00400552"/>
    <w:rsid w:val="0040258D"/>
    <w:rsid w:val="004179BE"/>
    <w:rsid w:val="004230BD"/>
    <w:rsid w:val="0042377E"/>
    <w:rsid w:val="00426C9C"/>
    <w:rsid w:val="00430652"/>
    <w:rsid w:val="00431CFD"/>
    <w:rsid w:val="0044014F"/>
    <w:rsid w:val="004414E0"/>
    <w:rsid w:val="00441FAE"/>
    <w:rsid w:val="0044212D"/>
    <w:rsid w:val="00442545"/>
    <w:rsid w:val="00443673"/>
    <w:rsid w:val="00443D3B"/>
    <w:rsid w:val="00446241"/>
    <w:rsid w:val="0044629D"/>
    <w:rsid w:val="00446CEF"/>
    <w:rsid w:val="0045736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7A54"/>
    <w:rsid w:val="004D1294"/>
    <w:rsid w:val="004D27D9"/>
    <w:rsid w:val="004D4279"/>
    <w:rsid w:val="004D58CA"/>
    <w:rsid w:val="004E50FF"/>
    <w:rsid w:val="004E7618"/>
    <w:rsid w:val="004F05B4"/>
    <w:rsid w:val="004F2620"/>
    <w:rsid w:val="00501C86"/>
    <w:rsid w:val="00507DD7"/>
    <w:rsid w:val="0051098B"/>
    <w:rsid w:val="00510D48"/>
    <w:rsid w:val="005143BA"/>
    <w:rsid w:val="00515649"/>
    <w:rsid w:val="0051727F"/>
    <w:rsid w:val="005226CA"/>
    <w:rsid w:val="00523B2D"/>
    <w:rsid w:val="0053680A"/>
    <w:rsid w:val="00541B58"/>
    <w:rsid w:val="00545C45"/>
    <w:rsid w:val="005617D8"/>
    <w:rsid w:val="00562A4B"/>
    <w:rsid w:val="00562DAE"/>
    <w:rsid w:val="00565A62"/>
    <w:rsid w:val="0056677C"/>
    <w:rsid w:val="00567108"/>
    <w:rsid w:val="00572D5F"/>
    <w:rsid w:val="00576421"/>
    <w:rsid w:val="005834C8"/>
    <w:rsid w:val="00583990"/>
    <w:rsid w:val="0059022A"/>
    <w:rsid w:val="005908A8"/>
    <w:rsid w:val="005911C2"/>
    <w:rsid w:val="00593C64"/>
    <w:rsid w:val="00595425"/>
    <w:rsid w:val="00597531"/>
    <w:rsid w:val="005A7E34"/>
    <w:rsid w:val="005B0799"/>
    <w:rsid w:val="005B1AF2"/>
    <w:rsid w:val="005B6069"/>
    <w:rsid w:val="005C1A8B"/>
    <w:rsid w:val="005D6BCE"/>
    <w:rsid w:val="005D7325"/>
    <w:rsid w:val="005D7677"/>
    <w:rsid w:val="005E35EC"/>
    <w:rsid w:val="005F13A4"/>
    <w:rsid w:val="005F5E5C"/>
    <w:rsid w:val="005F601C"/>
    <w:rsid w:val="005F6816"/>
    <w:rsid w:val="00601008"/>
    <w:rsid w:val="006010C8"/>
    <w:rsid w:val="00601120"/>
    <w:rsid w:val="0060591C"/>
    <w:rsid w:val="00610649"/>
    <w:rsid w:val="00615167"/>
    <w:rsid w:val="00615526"/>
    <w:rsid w:val="00616E31"/>
    <w:rsid w:val="00617D3A"/>
    <w:rsid w:val="0062223F"/>
    <w:rsid w:val="006224A6"/>
    <w:rsid w:val="006276BE"/>
    <w:rsid w:val="00632ABD"/>
    <w:rsid w:val="00633027"/>
    <w:rsid w:val="00637BDE"/>
    <w:rsid w:val="00640B79"/>
    <w:rsid w:val="006427CC"/>
    <w:rsid w:val="006457DA"/>
    <w:rsid w:val="006461F5"/>
    <w:rsid w:val="00646D6B"/>
    <w:rsid w:val="00646E27"/>
    <w:rsid w:val="00650CCA"/>
    <w:rsid w:val="00651F85"/>
    <w:rsid w:val="00653893"/>
    <w:rsid w:val="00655E3C"/>
    <w:rsid w:val="006615E3"/>
    <w:rsid w:val="00663DD2"/>
    <w:rsid w:val="00666840"/>
    <w:rsid w:val="006715A7"/>
    <w:rsid w:val="00674C42"/>
    <w:rsid w:val="0067660B"/>
    <w:rsid w:val="00681505"/>
    <w:rsid w:val="00686126"/>
    <w:rsid w:val="00686390"/>
    <w:rsid w:val="006904CE"/>
    <w:rsid w:val="00694C4F"/>
    <w:rsid w:val="006A26F2"/>
    <w:rsid w:val="006A55E2"/>
    <w:rsid w:val="006B09B8"/>
    <w:rsid w:val="006B452E"/>
    <w:rsid w:val="006C13A1"/>
    <w:rsid w:val="006C2C3A"/>
    <w:rsid w:val="006D6026"/>
    <w:rsid w:val="006D7DCD"/>
    <w:rsid w:val="006E23C5"/>
    <w:rsid w:val="006F4DFE"/>
    <w:rsid w:val="006F6B64"/>
    <w:rsid w:val="006F6D6E"/>
    <w:rsid w:val="00705F53"/>
    <w:rsid w:val="00707A36"/>
    <w:rsid w:val="0071223D"/>
    <w:rsid w:val="007218E2"/>
    <w:rsid w:val="00725C76"/>
    <w:rsid w:val="00726709"/>
    <w:rsid w:val="00727093"/>
    <w:rsid w:val="00727B37"/>
    <w:rsid w:val="00730A0D"/>
    <w:rsid w:val="00732380"/>
    <w:rsid w:val="00732831"/>
    <w:rsid w:val="00732A8B"/>
    <w:rsid w:val="0073390A"/>
    <w:rsid w:val="007351A1"/>
    <w:rsid w:val="007356F5"/>
    <w:rsid w:val="00737D25"/>
    <w:rsid w:val="00742E9A"/>
    <w:rsid w:val="00746BB6"/>
    <w:rsid w:val="00746E21"/>
    <w:rsid w:val="00750079"/>
    <w:rsid w:val="00760738"/>
    <w:rsid w:val="007708EB"/>
    <w:rsid w:val="00770ABC"/>
    <w:rsid w:val="00772F67"/>
    <w:rsid w:val="00773BD9"/>
    <w:rsid w:val="00773C4F"/>
    <w:rsid w:val="00777CD8"/>
    <w:rsid w:val="00784288"/>
    <w:rsid w:val="007A2629"/>
    <w:rsid w:val="007A4793"/>
    <w:rsid w:val="007A5676"/>
    <w:rsid w:val="007A71D3"/>
    <w:rsid w:val="007A752B"/>
    <w:rsid w:val="007B2B17"/>
    <w:rsid w:val="007C1005"/>
    <w:rsid w:val="007D2273"/>
    <w:rsid w:val="007D3EFE"/>
    <w:rsid w:val="007D6854"/>
    <w:rsid w:val="007E0B4C"/>
    <w:rsid w:val="007E29ED"/>
    <w:rsid w:val="007E5303"/>
    <w:rsid w:val="007E5D05"/>
    <w:rsid w:val="007E6D05"/>
    <w:rsid w:val="007F1D4E"/>
    <w:rsid w:val="007F218B"/>
    <w:rsid w:val="008009E8"/>
    <w:rsid w:val="00802325"/>
    <w:rsid w:val="00802B2C"/>
    <w:rsid w:val="00803CC3"/>
    <w:rsid w:val="00807698"/>
    <w:rsid w:val="00807E56"/>
    <w:rsid w:val="00815DF2"/>
    <w:rsid w:val="0082009C"/>
    <w:rsid w:val="0082537E"/>
    <w:rsid w:val="00827A52"/>
    <w:rsid w:val="00827B16"/>
    <w:rsid w:val="0083155C"/>
    <w:rsid w:val="00835429"/>
    <w:rsid w:val="00836890"/>
    <w:rsid w:val="008369DF"/>
    <w:rsid w:val="008431F5"/>
    <w:rsid w:val="008456CF"/>
    <w:rsid w:val="00847BE5"/>
    <w:rsid w:val="00851072"/>
    <w:rsid w:val="00852F28"/>
    <w:rsid w:val="00854770"/>
    <w:rsid w:val="00861F71"/>
    <w:rsid w:val="008646AF"/>
    <w:rsid w:val="0087235A"/>
    <w:rsid w:val="00872A8A"/>
    <w:rsid w:val="008744F6"/>
    <w:rsid w:val="00877ADD"/>
    <w:rsid w:val="0088066B"/>
    <w:rsid w:val="008813DD"/>
    <w:rsid w:val="0088374E"/>
    <w:rsid w:val="008978A2"/>
    <w:rsid w:val="008A108B"/>
    <w:rsid w:val="008A2A07"/>
    <w:rsid w:val="008B1975"/>
    <w:rsid w:val="008B2A7F"/>
    <w:rsid w:val="008B6C23"/>
    <w:rsid w:val="008D1196"/>
    <w:rsid w:val="008E1E51"/>
    <w:rsid w:val="008E34CF"/>
    <w:rsid w:val="008E7622"/>
    <w:rsid w:val="008E7822"/>
    <w:rsid w:val="008F0430"/>
    <w:rsid w:val="008F3499"/>
    <w:rsid w:val="00900289"/>
    <w:rsid w:val="00901169"/>
    <w:rsid w:val="009012F4"/>
    <w:rsid w:val="009051F6"/>
    <w:rsid w:val="0090601D"/>
    <w:rsid w:val="0091159C"/>
    <w:rsid w:val="00912983"/>
    <w:rsid w:val="009151F1"/>
    <w:rsid w:val="00921E92"/>
    <w:rsid w:val="00926A9E"/>
    <w:rsid w:val="00927E59"/>
    <w:rsid w:val="00932138"/>
    <w:rsid w:val="0093422D"/>
    <w:rsid w:val="00936FC2"/>
    <w:rsid w:val="00942927"/>
    <w:rsid w:val="00946E7C"/>
    <w:rsid w:val="009547A3"/>
    <w:rsid w:val="009620FB"/>
    <w:rsid w:val="00964D2F"/>
    <w:rsid w:val="0096611B"/>
    <w:rsid w:val="00971D68"/>
    <w:rsid w:val="00974414"/>
    <w:rsid w:val="00977C92"/>
    <w:rsid w:val="00983493"/>
    <w:rsid w:val="00994DDE"/>
    <w:rsid w:val="0099710B"/>
    <w:rsid w:val="009A40F4"/>
    <w:rsid w:val="009B3E22"/>
    <w:rsid w:val="009B4B3C"/>
    <w:rsid w:val="009B6B4F"/>
    <w:rsid w:val="009C404E"/>
    <w:rsid w:val="009C7055"/>
    <w:rsid w:val="009D2722"/>
    <w:rsid w:val="009D50F5"/>
    <w:rsid w:val="009E2477"/>
    <w:rsid w:val="009F3459"/>
    <w:rsid w:val="009F4094"/>
    <w:rsid w:val="009F40D8"/>
    <w:rsid w:val="009F73DE"/>
    <w:rsid w:val="00A10823"/>
    <w:rsid w:val="00A10EAF"/>
    <w:rsid w:val="00A141DC"/>
    <w:rsid w:val="00A30B75"/>
    <w:rsid w:val="00A35639"/>
    <w:rsid w:val="00A50C34"/>
    <w:rsid w:val="00A51704"/>
    <w:rsid w:val="00A53216"/>
    <w:rsid w:val="00A57D58"/>
    <w:rsid w:val="00A64CA9"/>
    <w:rsid w:val="00A65F41"/>
    <w:rsid w:val="00A66C3D"/>
    <w:rsid w:val="00A70E0D"/>
    <w:rsid w:val="00A730CA"/>
    <w:rsid w:val="00A73B69"/>
    <w:rsid w:val="00A75B1F"/>
    <w:rsid w:val="00A8105F"/>
    <w:rsid w:val="00A815F3"/>
    <w:rsid w:val="00A823AE"/>
    <w:rsid w:val="00A830EC"/>
    <w:rsid w:val="00A83FB0"/>
    <w:rsid w:val="00A85313"/>
    <w:rsid w:val="00AA4783"/>
    <w:rsid w:val="00AA67A4"/>
    <w:rsid w:val="00AC5D45"/>
    <w:rsid w:val="00AC62CB"/>
    <w:rsid w:val="00AD39CB"/>
    <w:rsid w:val="00AD4111"/>
    <w:rsid w:val="00AE1376"/>
    <w:rsid w:val="00AE500A"/>
    <w:rsid w:val="00B0103D"/>
    <w:rsid w:val="00B066B0"/>
    <w:rsid w:val="00B13C20"/>
    <w:rsid w:val="00B14882"/>
    <w:rsid w:val="00B152A7"/>
    <w:rsid w:val="00B17B61"/>
    <w:rsid w:val="00B24B07"/>
    <w:rsid w:val="00B25B09"/>
    <w:rsid w:val="00B30888"/>
    <w:rsid w:val="00B31C73"/>
    <w:rsid w:val="00B35AD5"/>
    <w:rsid w:val="00B4574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B11FC"/>
    <w:rsid w:val="00BB5A03"/>
    <w:rsid w:val="00BC5FEE"/>
    <w:rsid w:val="00BD085C"/>
    <w:rsid w:val="00BD18E3"/>
    <w:rsid w:val="00BD2C0C"/>
    <w:rsid w:val="00BE2BF4"/>
    <w:rsid w:val="00BF0E27"/>
    <w:rsid w:val="00BF2B89"/>
    <w:rsid w:val="00C00085"/>
    <w:rsid w:val="00C04C7C"/>
    <w:rsid w:val="00C061E0"/>
    <w:rsid w:val="00C063EB"/>
    <w:rsid w:val="00C1146A"/>
    <w:rsid w:val="00C14E4B"/>
    <w:rsid w:val="00C159FC"/>
    <w:rsid w:val="00C15DE8"/>
    <w:rsid w:val="00C2624B"/>
    <w:rsid w:val="00C2652B"/>
    <w:rsid w:val="00C27F50"/>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66D6"/>
    <w:rsid w:val="00CC232E"/>
    <w:rsid w:val="00CD1804"/>
    <w:rsid w:val="00CD44E1"/>
    <w:rsid w:val="00CD6A53"/>
    <w:rsid w:val="00CE2426"/>
    <w:rsid w:val="00CE24F1"/>
    <w:rsid w:val="00CE5D30"/>
    <w:rsid w:val="00CE608F"/>
    <w:rsid w:val="00CE7E97"/>
    <w:rsid w:val="00D02C62"/>
    <w:rsid w:val="00D02E7A"/>
    <w:rsid w:val="00D0551C"/>
    <w:rsid w:val="00D16503"/>
    <w:rsid w:val="00D20873"/>
    <w:rsid w:val="00D231A7"/>
    <w:rsid w:val="00D23F89"/>
    <w:rsid w:val="00D45963"/>
    <w:rsid w:val="00D46937"/>
    <w:rsid w:val="00D50E46"/>
    <w:rsid w:val="00D536ED"/>
    <w:rsid w:val="00D55639"/>
    <w:rsid w:val="00D55E46"/>
    <w:rsid w:val="00D632E4"/>
    <w:rsid w:val="00D669A4"/>
    <w:rsid w:val="00D71CCF"/>
    <w:rsid w:val="00D7264D"/>
    <w:rsid w:val="00D733A0"/>
    <w:rsid w:val="00D76A59"/>
    <w:rsid w:val="00D8059C"/>
    <w:rsid w:val="00D80EFA"/>
    <w:rsid w:val="00D85D2D"/>
    <w:rsid w:val="00D865D5"/>
    <w:rsid w:val="00D867C9"/>
    <w:rsid w:val="00D9358F"/>
    <w:rsid w:val="00D95825"/>
    <w:rsid w:val="00DA2C41"/>
    <w:rsid w:val="00DA6A0C"/>
    <w:rsid w:val="00DA70A1"/>
    <w:rsid w:val="00DB053B"/>
    <w:rsid w:val="00DB709D"/>
    <w:rsid w:val="00DC0D84"/>
    <w:rsid w:val="00DC19EA"/>
    <w:rsid w:val="00DC2B99"/>
    <w:rsid w:val="00DC2FBC"/>
    <w:rsid w:val="00DC6455"/>
    <w:rsid w:val="00DC6484"/>
    <w:rsid w:val="00DD1A85"/>
    <w:rsid w:val="00DD3054"/>
    <w:rsid w:val="00DD759C"/>
    <w:rsid w:val="00DE2007"/>
    <w:rsid w:val="00DF03FE"/>
    <w:rsid w:val="00DF3FB0"/>
    <w:rsid w:val="00DF4AD5"/>
    <w:rsid w:val="00E03014"/>
    <w:rsid w:val="00E03E28"/>
    <w:rsid w:val="00E11AC1"/>
    <w:rsid w:val="00E27212"/>
    <w:rsid w:val="00E319E7"/>
    <w:rsid w:val="00E355C9"/>
    <w:rsid w:val="00E40068"/>
    <w:rsid w:val="00E43689"/>
    <w:rsid w:val="00E46C51"/>
    <w:rsid w:val="00E65089"/>
    <w:rsid w:val="00E732EB"/>
    <w:rsid w:val="00E76679"/>
    <w:rsid w:val="00E92C67"/>
    <w:rsid w:val="00E954D0"/>
    <w:rsid w:val="00E964C1"/>
    <w:rsid w:val="00EA2D47"/>
    <w:rsid w:val="00EA51C0"/>
    <w:rsid w:val="00EA61FC"/>
    <w:rsid w:val="00EB2318"/>
    <w:rsid w:val="00EB4351"/>
    <w:rsid w:val="00EB52F5"/>
    <w:rsid w:val="00EC16D1"/>
    <w:rsid w:val="00EC248E"/>
    <w:rsid w:val="00EC590B"/>
    <w:rsid w:val="00ED0EBD"/>
    <w:rsid w:val="00ED3BD8"/>
    <w:rsid w:val="00ED4A18"/>
    <w:rsid w:val="00ED5E61"/>
    <w:rsid w:val="00EE0356"/>
    <w:rsid w:val="00EE21E0"/>
    <w:rsid w:val="00EE52CC"/>
    <w:rsid w:val="00EF195C"/>
    <w:rsid w:val="00EF2797"/>
    <w:rsid w:val="00EF4489"/>
    <w:rsid w:val="00EF5459"/>
    <w:rsid w:val="00EF5FBE"/>
    <w:rsid w:val="00F02A05"/>
    <w:rsid w:val="00F1227E"/>
    <w:rsid w:val="00F127FF"/>
    <w:rsid w:val="00F1323F"/>
    <w:rsid w:val="00F1459E"/>
    <w:rsid w:val="00F16AF4"/>
    <w:rsid w:val="00F16E16"/>
    <w:rsid w:val="00F22AB3"/>
    <w:rsid w:val="00F2432F"/>
    <w:rsid w:val="00F342D3"/>
    <w:rsid w:val="00F357DE"/>
    <w:rsid w:val="00F43D09"/>
    <w:rsid w:val="00F44053"/>
    <w:rsid w:val="00F45C71"/>
    <w:rsid w:val="00F468E6"/>
    <w:rsid w:val="00F51C75"/>
    <w:rsid w:val="00F548FA"/>
    <w:rsid w:val="00F554CE"/>
    <w:rsid w:val="00F56A13"/>
    <w:rsid w:val="00F62CE4"/>
    <w:rsid w:val="00F72152"/>
    <w:rsid w:val="00F84455"/>
    <w:rsid w:val="00F87DFE"/>
    <w:rsid w:val="00F934CB"/>
    <w:rsid w:val="00FA5758"/>
    <w:rsid w:val="00FA7FB0"/>
    <w:rsid w:val="00FB353F"/>
    <w:rsid w:val="00FD5FAE"/>
    <w:rsid w:val="00FD7C51"/>
    <w:rsid w:val="00FE07DC"/>
    <w:rsid w:val="00FE26D6"/>
    <w:rsid w:val="00FE6419"/>
    <w:rsid w:val="00FE7CC2"/>
    <w:rsid w:val="00FE7FEA"/>
    <w:rsid w:val="00FF46A7"/>
    <w:rsid w:val="00FF46E4"/>
    <w:rsid w:val="01152255"/>
    <w:rsid w:val="012017CE"/>
    <w:rsid w:val="01935887"/>
    <w:rsid w:val="02882441"/>
    <w:rsid w:val="02CA5703"/>
    <w:rsid w:val="02D020A9"/>
    <w:rsid w:val="02E64D83"/>
    <w:rsid w:val="030D2310"/>
    <w:rsid w:val="038C2433"/>
    <w:rsid w:val="039D3067"/>
    <w:rsid w:val="03C25A52"/>
    <w:rsid w:val="03CF5817"/>
    <w:rsid w:val="040524AF"/>
    <w:rsid w:val="0412235E"/>
    <w:rsid w:val="04B83D8F"/>
    <w:rsid w:val="04C32869"/>
    <w:rsid w:val="04CC341D"/>
    <w:rsid w:val="04DA2A10"/>
    <w:rsid w:val="05137CD7"/>
    <w:rsid w:val="0544422E"/>
    <w:rsid w:val="05513D05"/>
    <w:rsid w:val="05CB4050"/>
    <w:rsid w:val="060B26E0"/>
    <w:rsid w:val="061A1942"/>
    <w:rsid w:val="06A50AB1"/>
    <w:rsid w:val="06BE53CD"/>
    <w:rsid w:val="071F0864"/>
    <w:rsid w:val="0730708F"/>
    <w:rsid w:val="07C66F31"/>
    <w:rsid w:val="08310C03"/>
    <w:rsid w:val="08901B07"/>
    <w:rsid w:val="091B2E45"/>
    <w:rsid w:val="095F763D"/>
    <w:rsid w:val="0A1E4E03"/>
    <w:rsid w:val="0A736740"/>
    <w:rsid w:val="0AFB1837"/>
    <w:rsid w:val="0BD63BA0"/>
    <w:rsid w:val="0C1E2BA0"/>
    <w:rsid w:val="0C3E5AEE"/>
    <w:rsid w:val="0C765CB2"/>
    <w:rsid w:val="0DC159DC"/>
    <w:rsid w:val="0DCD2DC7"/>
    <w:rsid w:val="0DFA03DD"/>
    <w:rsid w:val="0E5057A7"/>
    <w:rsid w:val="0E7B6A24"/>
    <w:rsid w:val="0E8D1CD1"/>
    <w:rsid w:val="0E970358"/>
    <w:rsid w:val="0EEA63A1"/>
    <w:rsid w:val="0F1E5006"/>
    <w:rsid w:val="0F886072"/>
    <w:rsid w:val="0FF31794"/>
    <w:rsid w:val="10150A56"/>
    <w:rsid w:val="10392EAE"/>
    <w:rsid w:val="10706EC2"/>
    <w:rsid w:val="108B6381"/>
    <w:rsid w:val="10DD5A17"/>
    <w:rsid w:val="113B7088"/>
    <w:rsid w:val="11A6405B"/>
    <w:rsid w:val="120649FA"/>
    <w:rsid w:val="127B54E8"/>
    <w:rsid w:val="12807280"/>
    <w:rsid w:val="12A879A9"/>
    <w:rsid w:val="131274CE"/>
    <w:rsid w:val="13517FF7"/>
    <w:rsid w:val="136917E4"/>
    <w:rsid w:val="137E02C0"/>
    <w:rsid w:val="13B5627C"/>
    <w:rsid w:val="14492628"/>
    <w:rsid w:val="14561C12"/>
    <w:rsid w:val="148463E6"/>
    <w:rsid w:val="14B73183"/>
    <w:rsid w:val="14D20D9B"/>
    <w:rsid w:val="14EC3F8E"/>
    <w:rsid w:val="15A72BED"/>
    <w:rsid w:val="1621170E"/>
    <w:rsid w:val="162F2E06"/>
    <w:rsid w:val="1699418F"/>
    <w:rsid w:val="16AA7E76"/>
    <w:rsid w:val="16F8463D"/>
    <w:rsid w:val="179A126C"/>
    <w:rsid w:val="17B346CC"/>
    <w:rsid w:val="17BB1F4B"/>
    <w:rsid w:val="181D7E26"/>
    <w:rsid w:val="18383248"/>
    <w:rsid w:val="18780D82"/>
    <w:rsid w:val="18AD089D"/>
    <w:rsid w:val="18B91D2B"/>
    <w:rsid w:val="18C40414"/>
    <w:rsid w:val="19876AD4"/>
    <w:rsid w:val="19CF7EC7"/>
    <w:rsid w:val="1A6A6D44"/>
    <w:rsid w:val="1A817123"/>
    <w:rsid w:val="1B3E6567"/>
    <w:rsid w:val="1B4D5548"/>
    <w:rsid w:val="1C093ECB"/>
    <w:rsid w:val="1CE4433A"/>
    <w:rsid w:val="1E0D5462"/>
    <w:rsid w:val="1E832CC5"/>
    <w:rsid w:val="1EA71413"/>
    <w:rsid w:val="1ED50FE1"/>
    <w:rsid w:val="1EE84AA8"/>
    <w:rsid w:val="1F052A97"/>
    <w:rsid w:val="1F321758"/>
    <w:rsid w:val="1FA97FDE"/>
    <w:rsid w:val="1FE6374B"/>
    <w:rsid w:val="2053181D"/>
    <w:rsid w:val="20E95D13"/>
    <w:rsid w:val="216A3DE4"/>
    <w:rsid w:val="2187700A"/>
    <w:rsid w:val="22673393"/>
    <w:rsid w:val="228447E5"/>
    <w:rsid w:val="23030452"/>
    <w:rsid w:val="230B38D6"/>
    <w:rsid w:val="2318113A"/>
    <w:rsid w:val="23424F53"/>
    <w:rsid w:val="236E14E2"/>
    <w:rsid w:val="238D7C9F"/>
    <w:rsid w:val="23EE3640"/>
    <w:rsid w:val="24207C9D"/>
    <w:rsid w:val="24391DD4"/>
    <w:rsid w:val="24876548"/>
    <w:rsid w:val="250116E7"/>
    <w:rsid w:val="25BE7872"/>
    <w:rsid w:val="27BB410F"/>
    <w:rsid w:val="28434A54"/>
    <w:rsid w:val="287204BA"/>
    <w:rsid w:val="2873426B"/>
    <w:rsid w:val="28BB01E2"/>
    <w:rsid w:val="29294B2F"/>
    <w:rsid w:val="29D148D0"/>
    <w:rsid w:val="2AC803DC"/>
    <w:rsid w:val="2B210806"/>
    <w:rsid w:val="2B693C48"/>
    <w:rsid w:val="2BF75C68"/>
    <w:rsid w:val="2BFD2DC8"/>
    <w:rsid w:val="2C5C266D"/>
    <w:rsid w:val="2D0B5FEE"/>
    <w:rsid w:val="2D5339E6"/>
    <w:rsid w:val="2D5A6161"/>
    <w:rsid w:val="2E214669"/>
    <w:rsid w:val="2F204FF5"/>
    <w:rsid w:val="30143D85"/>
    <w:rsid w:val="30E204E6"/>
    <w:rsid w:val="31752B09"/>
    <w:rsid w:val="318B0720"/>
    <w:rsid w:val="31AA04E1"/>
    <w:rsid w:val="31F14D59"/>
    <w:rsid w:val="31FF5ABB"/>
    <w:rsid w:val="32F74F0B"/>
    <w:rsid w:val="3375637B"/>
    <w:rsid w:val="33A046B7"/>
    <w:rsid w:val="33BC0F6C"/>
    <w:rsid w:val="341548E3"/>
    <w:rsid w:val="35D46AE3"/>
    <w:rsid w:val="366003CD"/>
    <w:rsid w:val="36780EEA"/>
    <w:rsid w:val="369E0EF6"/>
    <w:rsid w:val="36EC026E"/>
    <w:rsid w:val="3714744F"/>
    <w:rsid w:val="37712A39"/>
    <w:rsid w:val="378123A9"/>
    <w:rsid w:val="385C11F2"/>
    <w:rsid w:val="390A582A"/>
    <w:rsid w:val="3935767A"/>
    <w:rsid w:val="393B3A43"/>
    <w:rsid w:val="39564FC2"/>
    <w:rsid w:val="397841B2"/>
    <w:rsid w:val="397A6F78"/>
    <w:rsid w:val="39842B71"/>
    <w:rsid w:val="3A131D9E"/>
    <w:rsid w:val="3A71145C"/>
    <w:rsid w:val="3A726E67"/>
    <w:rsid w:val="3A7A0D78"/>
    <w:rsid w:val="3AE50133"/>
    <w:rsid w:val="3B345EA5"/>
    <w:rsid w:val="3B6B1143"/>
    <w:rsid w:val="3BB03FF8"/>
    <w:rsid w:val="3C4D211F"/>
    <w:rsid w:val="3C544530"/>
    <w:rsid w:val="3CA96656"/>
    <w:rsid w:val="3CE05E57"/>
    <w:rsid w:val="3D2E2FD3"/>
    <w:rsid w:val="3DB531EC"/>
    <w:rsid w:val="3E7C0F6A"/>
    <w:rsid w:val="3F340649"/>
    <w:rsid w:val="40C8504D"/>
    <w:rsid w:val="41364E3B"/>
    <w:rsid w:val="419E58AE"/>
    <w:rsid w:val="42185B0D"/>
    <w:rsid w:val="423C4257"/>
    <w:rsid w:val="425A2175"/>
    <w:rsid w:val="429A6A15"/>
    <w:rsid w:val="42A8220A"/>
    <w:rsid w:val="42BC7C4A"/>
    <w:rsid w:val="43036342"/>
    <w:rsid w:val="435272BC"/>
    <w:rsid w:val="43CC24C0"/>
    <w:rsid w:val="43D96E12"/>
    <w:rsid w:val="440F119A"/>
    <w:rsid w:val="448705AA"/>
    <w:rsid w:val="44972571"/>
    <w:rsid w:val="4563730C"/>
    <w:rsid w:val="46180737"/>
    <w:rsid w:val="46376D1F"/>
    <w:rsid w:val="47090ADA"/>
    <w:rsid w:val="474B475F"/>
    <w:rsid w:val="47590C4D"/>
    <w:rsid w:val="476D0395"/>
    <w:rsid w:val="479B35C7"/>
    <w:rsid w:val="479E27FA"/>
    <w:rsid w:val="48694FA0"/>
    <w:rsid w:val="486A0C38"/>
    <w:rsid w:val="488E768B"/>
    <w:rsid w:val="48C47E83"/>
    <w:rsid w:val="48C55FC5"/>
    <w:rsid w:val="490C008D"/>
    <w:rsid w:val="499B14DA"/>
    <w:rsid w:val="49F41D5E"/>
    <w:rsid w:val="4A833A63"/>
    <w:rsid w:val="4A937AC8"/>
    <w:rsid w:val="4AB40A61"/>
    <w:rsid w:val="4AE141D1"/>
    <w:rsid w:val="4AEA4E4A"/>
    <w:rsid w:val="4B192E7F"/>
    <w:rsid w:val="4B1E31F7"/>
    <w:rsid w:val="4B3D2633"/>
    <w:rsid w:val="4BCB3573"/>
    <w:rsid w:val="4C854292"/>
    <w:rsid w:val="4CA55E6E"/>
    <w:rsid w:val="4CBC61F5"/>
    <w:rsid w:val="4CBD1C7E"/>
    <w:rsid w:val="4CC278DD"/>
    <w:rsid w:val="4CE75373"/>
    <w:rsid w:val="4ED040B5"/>
    <w:rsid w:val="4EF10E73"/>
    <w:rsid w:val="4FB30FB6"/>
    <w:rsid w:val="50EE04A2"/>
    <w:rsid w:val="510807BF"/>
    <w:rsid w:val="51DA4F16"/>
    <w:rsid w:val="522D3402"/>
    <w:rsid w:val="52497B10"/>
    <w:rsid w:val="524F5169"/>
    <w:rsid w:val="525435C4"/>
    <w:rsid w:val="52D43FE3"/>
    <w:rsid w:val="534658AD"/>
    <w:rsid w:val="539F1369"/>
    <w:rsid w:val="5435748E"/>
    <w:rsid w:val="54603C82"/>
    <w:rsid w:val="55C6749B"/>
    <w:rsid w:val="55CE0A58"/>
    <w:rsid w:val="55FD30EB"/>
    <w:rsid w:val="566D4B95"/>
    <w:rsid w:val="57161132"/>
    <w:rsid w:val="572656D4"/>
    <w:rsid w:val="573368AB"/>
    <w:rsid w:val="58023AAB"/>
    <w:rsid w:val="59561490"/>
    <w:rsid w:val="59AC7302"/>
    <w:rsid w:val="59AD06A4"/>
    <w:rsid w:val="5A0E15A4"/>
    <w:rsid w:val="5A4D586D"/>
    <w:rsid w:val="5A6249B0"/>
    <w:rsid w:val="5AFE3BAF"/>
    <w:rsid w:val="5BAA7871"/>
    <w:rsid w:val="5BE62522"/>
    <w:rsid w:val="5C305701"/>
    <w:rsid w:val="5C8259E8"/>
    <w:rsid w:val="5D00718A"/>
    <w:rsid w:val="5D0B7B67"/>
    <w:rsid w:val="5D104522"/>
    <w:rsid w:val="5DA0365A"/>
    <w:rsid w:val="5DF33C6C"/>
    <w:rsid w:val="5E0F1A4B"/>
    <w:rsid w:val="5E175902"/>
    <w:rsid w:val="5E532442"/>
    <w:rsid w:val="5E81517A"/>
    <w:rsid w:val="5EA254A7"/>
    <w:rsid w:val="5EE84C68"/>
    <w:rsid w:val="5F92292C"/>
    <w:rsid w:val="604132F6"/>
    <w:rsid w:val="606E7F6F"/>
    <w:rsid w:val="60951AA4"/>
    <w:rsid w:val="60DD5F2D"/>
    <w:rsid w:val="60EF60A4"/>
    <w:rsid w:val="6106379C"/>
    <w:rsid w:val="61D05300"/>
    <w:rsid w:val="621D5BA4"/>
    <w:rsid w:val="62E573E1"/>
    <w:rsid w:val="635B6748"/>
    <w:rsid w:val="63862972"/>
    <w:rsid w:val="63947A95"/>
    <w:rsid w:val="64512FAE"/>
    <w:rsid w:val="646478D7"/>
    <w:rsid w:val="64A038CF"/>
    <w:rsid w:val="655F347A"/>
    <w:rsid w:val="65E4210C"/>
    <w:rsid w:val="66DC1C65"/>
    <w:rsid w:val="677156E7"/>
    <w:rsid w:val="6782450B"/>
    <w:rsid w:val="678B4EB5"/>
    <w:rsid w:val="67B167D1"/>
    <w:rsid w:val="68236052"/>
    <w:rsid w:val="685F1C50"/>
    <w:rsid w:val="687D1E69"/>
    <w:rsid w:val="69431D9F"/>
    <w:rsid w:val="69487542"/>
    <w:rsid w:val="699022E9"/>
    <w:rsid w:val="6A714498"/>
    <w:rsid w:val="6A816899"/>
    <w:rsid w:val="6AF723A7"/>
    <w:rsid w:val="6B004CF9"/>
    <w:rsid w:val="6B0074AE"/>
    <w:rsid w:val="6C6770B8"/>
    <w:rsid w:val="6CEB1A97"/>
    <w:rsid w:val="6D1278E8"/>
    <w:rsid w:val="6D57537F"/>
    <w:rsid w:val="6E00021C"/>
    <w:rsid w:val="6E2E593E"/>
    <w:rsid w:val="6E4F6056"/>
    <w:rsid w:val="6E8C184F"/>
    <w:rsid w:val="6ED70525"/>
    <w:rsid w:val="6F177394"/>
    <w:rsid w:val="6F52555D"/>
    <w:rsid w:val="6FEB06A8"/>
    <w:rsid w:val="711F2B3D"/>
    <w:rsid w:val="71203E86"/>
    <w:rsid w:val="71A75379"/>
    <w:rsid w:val="71FE2097"/>
    <w:rsid w:val="720C1D7F"/>
    <w:rsid w:val="721222FD"/>
    <w:rsid w:val="727C35EC"/>
    <w:rsid w:val="732C102B"/>
    <w:rsid w:val="735008A6"/>
    <w:rsid w:val="739343DD"/>
    <w:rsid w:val="7422086B"/>
    <w:rsid w:val="745919C6"/>
    <w:rsid w:val="74702A9A"/>
    <w:rsid w:val="747574F0"/>
    <w:rsid w:val="75F45997"/>
    <w:rsid w:val="75FD236E"/>
    <w:rsid w:val="761C2BBB"/>
    <w:rsid w:val="764C4ED9"/>
    <w:rsid w:val="764F12E9"/>
    <w:rsid w:val="765176CF"/>
    <w:rsid w:val="766E6728"/>
    <w:rsid w:val="76D42FF0"/>
    <w:rsid w:val="77282289"/>
    <w:rsid w:val="774461E3"/>
    <w:rsid w:val="776A1DE8"/>
    <w:rsid w:val="779F3BAA"/>
    <w:rsid w:val="77FF7ED0"/>
    <w:rsid w:val="785D00CA"/>
    <w:rsid w:val="791D17DF"/>
    <w:rsid w:val="79665EEF"/>
    <w:rsid w:val="7A23637B"/>
    <w:rsid w:val="7A272915"/>
    <w:rsid w:val="7A3431E6"/>
    <w:rsid w:val="7A821966"/>
    <w:rsid w:val="7B15705D"/>
    <w:rsid w:val="7B53094D"/>
    <w:rsid w:val="7B5F276C"/>
    <w:rsid w:val="7C2F0A5E"/>
    <w:rsid w:val="7C496C62"/>
    <w:rsid w:val="7C765821"/>
    <w:rsid w:val="7CFE53E4"/>
    <w:rsid w:val="7D2633D6"/>
    <w:rsid w:val="7D812531"/>
    <w:rsid w:val="7D945FE9"/>
    <w:rsid w:val="7DDD6CEA"/>
    <w:rsid w:val="7E636E14"/>
    <w:rsid w:val="7EAA17B2"/>
    <w:rsid w:val="7EC30AC6"/>
    <w:rsid w:val="7F1905AA"/>
    <w:rsid w:val="7F2F7F0A"/>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01"/>
    <w:unhideWhenUsed/>
    <w:qFormat/>
    <w:uiPriority w:val="9"/>
    <w:pPr>
      <w:keepNext/>
      <w:keepLines/>
      <w:spacing w:before="260" w:after="260" w:line="416" w:lineRule="auto"/>
      <w:outlineLvl w:val="2"/>
    </w:pPr>
    <w:rPr>
      <w:b/>
      <w:bCs/>
      <w:sz w:val="32"/>
      <w:szCs w:val="32"/>
    </w:rPr>
  </w:style>
  <w:style w:type="paragraph" w:styleId="7">
    <w:name w:val="heading 4"/>
    <w:basedOn w:val="1"/>
    <w:next w:val="2"/>
    <w:link w:val="87"/>
    <w:qFormat/>
    <w:uiPriority w:val="9"/>
    <w:pPr>
      <w:keepNext/>
      <w:keepLines/>
      <w:spacing w:before="240" w:after="240" w:line="360" w:lineRule="auto"/>
      <w:ind w:left="5388" w:hanging="567"/>
      <w:outlineLvl w:val="3"/>
    </w:pPr>
    <w:rPr>
      <w:rFonts w:ascii="Cambria" w:hAnsi="Cambria" w:eastAsia="黑体"/>
      <w:b/>
      <w:bCs/>
      <w:sz w:val="28"/>
      <w:szCs w:val="28"/>
    </w:rPr>
  </w:style>
  <w:style w:type="paragraph" w:styleId="8">
    <w:name w:val="heading 5"/>
    <w:basedOn w:val="1"/>
    <w:next w:val="1"/>
    <w:link w:val="88"/>
    <w:qFormat/>
    <w:uiPriority w:val="9"/>
    <w:pPr>
      <w:keepNext/>
      <w:keepLines/>
      <w:spacing w:before="120" w:after="120" w:line="360" w:lineRule="auto"/>
      <w:ind w:left="1150" w:hanging="1008"/>
      <w:outlineLvl w:val="4"/>
    </w:pPr>
    <w:rPr>
      <w:rFonts w:eastAsia="黑体"/>
      <w:b/>
      <w:bCs/>
      <w:sz w:val="28"/>
      <w:szCs w:val="28"/>
    </w:rPr>
  </w:style>
  <w:style w:type="paragraph" w:styleId="9">
    <w:name w:val="heading 6"/>
    <w:basedOn w:val="1"/>
    <w:next w:val="1"/>
    <w:link w:val="89"/>
    <w:qFormat/>
    <w:uiPriority w:val="9"/>
    <w:pPr>
      <w:keepNext/>
      <w:keepLines/>
      <w:spacing w:before="240" w:after="240" w:line="317" w:lineRule="auto"/>
      <w:ind w:left="3847" w:hanging="1152"/>
      <w:outlineLvl w:val="5"/>
    </w:pPr>
    <w:rPr>
      <w:rFonts w:ascii="Cambria" w:hAnsi="Cambria" w:eastAsia="黑体"/>
      <w:b/>
      <w:bCs/>
      <w:sz w:val="24"/>
    </w:rPr>
  </w:style>
  <w:style w:type="paragraph" w:styleId="10">
    <w:name w:val="heading 7"/>
    <w:basedOn w:val="1"/>
    <w:next w:val="1"/>
    <w:link w:val="90"/>
    <w:qFormat/>
    <w:uiPriority w:val="9"/>
    <w:pPr>
      <w:keepNext/>
      <w:keepLines/>
      <w:spacing w:before="240" w:after="64" w:line="317" w:lineRule="auto"/>
      <w:ind w:left="1438" w:hanging="1296"/>
      <w:outlineLvl w:val="6"/>
    </w:pPr>
    <w:rPr>
      <w:rFonts w:eastAsia="黑体"/>
      <w:b/>
      <w:bCs/>
      <w:sz w:val="24"/>
    </w:rPr>
  </w:style>
  <w:style w:type="paragraph" w:styleId="11">
    <w:name w:val="heading 8"/>
    <w:basedOn w:val="1"/>
    <w:next w:val="1"/>
    <w:link w:val="91"/>
    <w:qFormat/>
    <w:uiPriority w:val="9"/>
    <w:pPr>
      <w:keepNext/>
      <w:keepLines/>
      <w:spacing w:before="240" w:after="64" w:line="317" w:lineRule="auto"/>
      <w:ind w:left="1582" w:hanging="1440"/>
      <w:outlineLvl w:val="7"/>
    </w:pPr>
    <w:rPr>
      <w:rFonts w:ascii="Cambria" w:hAnsi="Cambria" w:eastAsia="黑体"/>
      <w:b/>
      <w:sz w:val="24"/>
    </w:rPr>
  </w:style>
  <w:style w:type="paragraph" w:styleId="12">
    <w:name w:val="heading 9"/>
    <w:basedOn w:val="1"/>
    <w:next w:val="1"/>
    <w:link w:val="92"/>
    <w:qFormat/>
    <w:uiPriority w:val="9"/>
    <w:pPr>
      <w:keepNext/>
      <w:keepLines/>
      <w:spacing w:before="240" w:after="64" w:line="317" w:lineRule="auto"/>
      <w:ind w:left="1726" w:hanging="1584"/>
      <w:outlineLvl w:val="8"/>
    </w:pPr>
    <w:rPr>
      <w:rFonts w:ascii="Cambria" w:hAnsi="Cambria"/>
      <w:sz w:val="24"/>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52"/>
    <w:qFormat/>
    <w:uiPriority w:val="0"/>
    <w:pPr>
      <w:ind w:firstLine="420"/>
    </w:pPr>
    <w:rPr>
      <w:szCs w:val="20"/>
    </w:rPr>
  </w:style>
  <w:style w:type="paragraph" w:styleId="3">
    <w:name w:val="Body Text Indent"/>
    <w:basedOn w:val="1"/>
    <w:next w:val="1"/>
    <w:link w:val="75"/>
    <w:qFormat/>
    <w:uiPriority w:val="0"/>
    <w:pPr>
      <w:spacing w:after="120"/>
      <w:ind w:left="420" w:leftChars="200"/>
    </w:pPr>
  </w:style>
  <w:style w:type="paragraph" w:styleId="13">
    <w:name w:val="toc 7"/>
    <w:basedOn w:val="1"/>
    <w:next w:val="1"/>
    <w:unhideWhenUsed/>
    <w:qFormat/>
    <w:uiPriority w:val="39"/>
    <w:pPr>
      <w:spacing w:after="0" w:line="360" w:lineRule="auto"/>
      <w:ind w:left="1440" w:hanging="431"/>
      <w:jc w:val="left"/>
    </w:pPr>
    <w:rPr>
      <w:rFonts w:ascii="Calibri" w:hAnsi="Calibri"/>
      <w:sz w:val="18"/>
      <w:szCs w:val="18"/>
    </w:rPr>
  </w:style>
  <w:style w:type="paragraph" w:styleId="14">
    <w:name w:val="table of authorities"/>
    <w:basedOn w:val="1"/>
    <w:next w:val="1"/>
    <w:unhideWhenUsed/>
    <w:qFormat/>
    <w:uiPriority w:val="99"/>
    <w:pPr>
      <w:spacing w:after="0" w:line="360" w:lineRule="auto"/>
      <w:ind w:left="420" w:leftChars="200" w:hanging="431"/>
    </w:pPr>
    <w:rPr>
      <w:sz w:val="24"/>
      <w:szCs w:val="22"/>
    </w:rPr>
  </w:style>
  <w:style w:type="paragraph" w:styleId="15">
    <w:name w:val="List Number"/>
    <w:basedOn w:val="1"/>
    <w:qFormat/>
    <w:uiPriority w:val="0"/>
    <w:pPr>
      <w:numPr>
        <w:ilvl w:val="0"/>
        <w:numId w:val="1"/>
      </w:numPr>
    </w:pPr>
  </w:style>
  <w:style w:type="paragraph" w:styleId="16">
    <w:name w:val="caption"/>
    <w:basedOn w:val="1"/>
    <w:next w:val="1"/>
    <w:link w:val="178"/>
    <w:qFormat/>
    <w:uiPriority w:val="35"/>
    <w:pPr>
      <w:spacing w:after="0" w:line="288" w:lineRule="auto"/>
    </w:pPr>
    <w:rPr>
      <w:rFonts w:ascii="Cambria" w:hAnsi="Cambria" w:eastAsia="黑体" w:cstheme="minorBidi"/>
      <w:sz w:val="15"/>
      <w:szCs w:val="22"/>
    </w:rPr>
  </w:style>
  <w:style w:type="paragraph" w:styleId="17">
    <w:name w:val="Document Map"/>
    <w:basedOn w:val="1"/>
    <w:link w:val="102"/>
    <w:qFormat/>
    <w:uiPriority w:val="0"/>
    <w:pPr>
      <w:spacing w:after="0" w:line="360" w:lineRule="auto"/>
      <w:ind w:left="431" w:hanging="431"/>
    </w:pPr>
    <w:rPr>
      <w:rFonts w:ascii="宋体" w:hAnsi="Calibri"/>
      <w:sz w:val="18"/>
      <w:szCs w:val="18"/>
    </w:rPr>
  </w:style>
  <w:style w:type="paragraph" w:styleId="18">
    <w:name w:val="annotation text"/>
    <w:basedOn w:val="1"/>
    <w:link w:val="72"/>
    <w:qFormat/>
    <w:uiPriority w:val="99"/>
    <w:pPr>
      <w:jc w:val="left"/>
    </w:pPr>
  </w:style>
  <w:style w:type="paragraph" w:styleId="19">
    <w:name w:val="Body Text"/>
    <w:basedOn w:val="1"/>
    <w:next w:val="20"/>
    <w:link w:val="107"/>
    <w:qFormat/>
    <w:uiPriority w:val="0"/>
    <w:pPr>
      <w:spacing w:line="360" w:lineRule="exact"/>
    </w:pPr>
    <w:rPr>
      <w:sz w:val="24"/>
    </w:rPr>
  </w:style>
  <w:style w:type="paragraph" w:customStyle="1" w:styleId="20">
    <w:name w:val="样式 表格正文 + 两端对齐"/>
    <w:basedOn w:val="1"/>
    <w:next w:val="21"/>
    <w:qFormat/>
    <w:uiPriority w:val="0"/>
    <w:pPr>
      <w:spacing w:line="300" w:lineRule="auto"/>
    </w:pPr>
    <w:rPr>
      <w:rFonts w:ascii="Times New Roman"/>
    </w:rPr>
  </w:style>
  <w:style w:type="paragraph" w:customStyle="1" w:styleId="21">
    <w:name w:val="正文1"/>
    <w:basedOn w:val="17"/>
    <w:next w:val="1"/>
    <w:qFormat/>
    <w:uiPriority w:val="0"/>
    <w:pPr>
      <w:jc w:val="both"/>
    </w:pPr>
    <w:rPr>
      <w:rFonts w:ascii="Times New Roman" w:hAnsi="Times New Roman" w:eastAsia="宋体" w:cs="Times New Roman"/>
      <w:kern w:val="2"/>
      <w:sz w:val="21"/>
      <w:szCs w:val="21"/>
      <w:lang w:val="en-US" w:eastAsia="zh-CN" w:bidi="ar-SA"/>
    </w:rPr>
  </w:style>
  <w:style w:type="paragraph" w:styleId="22">
    <w:name w:val="toc 5"/>
    <w:basedOn w:val="1"/>
    <w:next w:val="1"/>
    <w:unhideWhenUsed/>
    <w:qFormat/>
    <w:uiPriority w:val="39"/>
    <w:pPr>
      <w:spacing w:after="0" w:line="360" w:lineRule="auto"/>
      <w:ind w:left="960" w:hanging="431"/>
      <w:jc w:val="left"/>
    </w:pPr>
    <w:rPr>
      <w:rFonts w:ascii="Calibri" w:hAnsi="Calibri"/>
      <w:sz w:val="18"/>
      <w:szCs w:val="18"/>
    </w:rPr>
  </w:style>
  <w:style w:type="paragraph" w:styleId="23">
    <w:name w:val="toc 3"/>
    <w:basedOn w:val="1"/>
    <w:next w:val="1"/>
    <w:qFormat/>
    <w:uiPriority w:val="39"/>
    <w:pPr>
      <w:spacing w:after="0" w:line="360" w:lineRule="auto"/>
      <w:ind w:left="480" w:hanging="431"/>
      <w:jc w:val="left"/>
    </w:pPr>
    <w:rPr>
      <w:rFonts w:ascii="Calibri" w:hAnsi="Calibri"/>
      <w:i/>
      <w:iCs/>
      <w:sz w:val="20"/>
      <w:szCs w:val="20"/>
    </w:rPr>
  </w:style>
  <w:style w:type="paragraph" w:styleId="24">
    <w:name w:val="Plain Text"/>
    <w:basedOn w:val="1"/>
    <w:next w:val="25"/>
    <w:link w:val="77"/>
    <w:qFormat/>
    <w:uiPriority w:val="99"/>
    <w:rPr>
      <w:rFonts w:ascii="宋体" w:hAnsi="Courier New" w:cstheme="minorBidi"/>
    </w:rPr>
  </w:style>
  <w:style w:type="paragraph" w:styleId="25">
    <w:name w:val="Date"/>
    <w:basedOn w:val="1"/>
    <w:next w:val="1"/>
    <w:link w:val="76"/>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unhideWhenUsed/>
    <w:qFormat/>
    <w:uiPriority w:val="39"/>
    <w:pPr>
      <w:spacing w:after="0" w:line="360" w:lineRule="auto"/>
      <w:ind w:left="1680" w:hanging="431"/>
      <w:jc w:val="left"/>
    </w:pPr>
    <w:rPr>
      <w:rFonts w:ascii="Calibri" w:hAnsi="Calibri"/>
      <w:sz w:val="18"/>
      <w:szCs w:val="18"/>
    </w:rPr>
  </w:style>
  <w:style w:type="paragraph" w:styleId="27">
    <w:name w:val="Body Text Indent 2"/>
    <w:basedOn w:val="1"/>
    <w:link w:val="104"/>
    <w:qFormat/>
    <w:uiPriority w:val="99"/>
    <w:pPr>
      <w:snapToGrid w:val="0"/>
      <w:ind w:firstLine="542" w:firstLineChars="225"/>
    </w:pPr>
    <w:rPr>
      <w:rFonts w:ascii="仿宋_GB2312" w:hAnsi="宋体"/>
      <w:b/>
      <w:bCs/>
      <w:color w:val="000000"/>
      <w:sz w:val="24"/>
    </w:rPr>
  </w:style>
  <w:style w:type="paragraph" w:styleId="28">
    <w:name w:val="Balloon Text"/>
    <w:basedOn w:val="1"/>
    <w:link w:val="74"/>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rPr>
  </w:style>
  <w:style w:type="paragraph" w:styleId="30">
    <w:name w:val="header"/>
    <w:basedOn w:val="1"/>
    <w:link w:val="9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link w:val="153"/>
    <w:unhideWhenUsed/>
    <w:qFormat/>
    <w:uiPriority w:val="39"/>
    <w:pPr>
      <w:tabs>
        <w:tab w:val="right" w:leader="dot" w:pos="9628"/>
      </w:tabs>
      <w:spacing w:after="0" w:line="240" w:lineRule="auto"/>
      <w:jc w:val="center"/>
    </w:pPr>
    <w:rPr>
      <w:b/>
      <w:sz w:val="52"/>
      <w:szCs w:val="52"/>
    </w:rPr>
  </w:style>
  <w:style w:type="paragraph" w:styleId="32">
    <w:name w:val="toc 4"/>
    <w:basedOn w:val="1"/>
    <w:next w:val="1"/>
    <w:unhideWhenUsed/>
    <w:qFormat/>
    <w:uiPriority w:val="39"/>
    <w:pPr>
      <w:spacing w:after="0" w:line="360" w:lineRule="auto"/>
      <w:ind w:left="720" w:hanging="431"/>
      <w:jc w:val="left"/>
    </w:pPr>
    <w:rPr>
      <w:rFonts w:ascii="Calibri" w:hAnsi="Calibri"/>
      <w:sz w:val="18"/>
      <w:szCs w:val="18"/>
    </w:rPr>
  </w:style>
  <w:style w:type="paragraph" w:styleId="33">
    <w:name w:val="Subtitle"/>
    <w:basedOn w:val="1"/>
    <w:next w:val="1"/>
    <w:qFormat/>
    <w:uiPriority w:val="11"/>
    <w:pPr>
      <w:spacing w:before="240" w:after="60" w:line="312" w:lineRule="auto"/>
      <w:ind w:firstLine="200" w:firstLineChars="200"/>
      <w:jc w:val="center"/>
      <w:outlineLvl w:val="1"/>
    </w:pPr>
    <w:rPr>
      <w:rFonts w:ascii="Calibri Light" w:hAnsi="Calibri Light"/>
      <w:b/>
      <w:bCs/>
      <w:kern w:val="28"/>
      <w:sz w:val="32"/>
      <w:szCs w:val="32"/>
    </w:rPr>
  </w:style>
  <w:style w:type="paragraph" w:styleId="34">
    <w:name w:val="toc 6"/>
    <w:basedOn w:val="1"/>
    <w:next w:val="1"/>
    <w:unhideWhenUsed/>
    <w:qFormat/>
    <w:uiPriority w:val="39"/>
    <w:pPr>
      <w:spacing w:after="0" w:line="360" w:lineRule="auto"/>
      <w:ind w:left="1200" w:hanging="431"/>
      <w:jc w:val="left"/>
    </w:pPr>
    <w:rPr>
      <w:rFonts w:ascii="Calibri" w:hAnsi="Calibri"/>
      <w:sz w:val="18"/>
      <w:szCs w:val="18"/>
    </w:rPr>
  </w:style>
  <w:style w:type="paragraph" w:styleId="35">
    <w:name w:val="Body Text Indent 3"/>
    <w:basedOn w:val="1"/>
    <w:link w:val="105"/>
    <w:unhideWhenUsed/>
    <w:qFormat/>
    <w:uiPriority w:val="99"/>
    <w:pPr>
      <w:spacing w:after="120" w:line="360" w:lineRule="auto"/>
      <w:ind w:left="420" w:leftChars="200" w:hanging="431"/>
    </w:pPr>
    <w:rPr>
      <w:rFonts w:asciiTheme="minorHAnsi" w:hAnsiTheme="minorHAnsi" w:eastAsiaTheme="minorEastAsia" w:cstheme="minorBidi"/>
      <w:sz w:val="16"/>
      <w:szCs w:val="16"/>
    </w:rPr>
  </w:style>
  <w:style w:type="paragraph" w:styleId="36">
    <w:name w:val="toc 2"/>
    <w:basedOn w:val="1"/>
    <w:next w:val="1"/>
    <w:link w:val="147"/>
    <w:qFormat/>
    <w:uiPriority w:val="39"/>
    <w:pPr>
      <w:spacing w:after="0" w:line="360" w:lineRule="auto"/>
      <w:ind w:left="240" w:hanging="431"/>
      <w:jc w:val="left"/>
    </w:pPr>
    <w:rPr>
      <w:rFonts w:ascii="Calibri" w:hAnsi="Calibri" w:eastAsiaTheme="minorEastAsia" w:cstheme="minorBidi"/>
      <w:smallCaps/>
      <w:szCs w:val="22"/>
    </w:rPr>
  </w:style>
  <w:style w:type="paragraph" w:styleId="37">
    <w:name w:val="toc 9"/>
    <w:basedOn w:val="1"/>
    <w:next w:val="1"/>
    <w:unhideWhenUsed/>
    <w:qFormat/>
    <w:uiPriority w:val="39"/>
    <w:pPr>
      <w:spacing w:after="0" w:line="360" w:lineRule="auto"/>
      <w:ind w:left="1920" w:hanging="431"/>
      <w:jc w:val="left"/>
    </w:pPr>
    <w:rPr>
      <w:rFonts w:ascii="Calibri" w:hAnsi="Calibri"/>
      <w:sz w:val="18"/>
      <w:szCs w:val="18"/>
    </w:rPr>
  </w:style>
  <w:style w:type="paragraph" w:styleId="38">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hint="eastAsia" w:ascii="宋体" w:hAnsi="宋体"/>
      <w:kern w:val="0"/>
      <w:sz w:val="24"/>
    </w:rPr>
  </w:style>
  <w:style w:type="paragraph" w:styleId="39">
    <w:name w:val="Normal (Web)"/>
    <w:basedOn w:val="1"/>
    <w:link w:val="124"/>
    <w:qFormat/>
    <w:uiPriority w:val="0"/>
    <w:pPr>
      <w:widowControl/>
      <w:spacing w:before="100" w:beforeAutospacing="1" w:after="100" w:afterAutospacing="1"/>
      <w:jc w:val="left"/>
    </w:pPr>
    <w:rPr>
      <w:rFonts w:hint="eastAsia" w:ascii="宋体" w:hAnsi="宋体"/>
      <w:kern w:val="0"/>
      <w:sz w:val="24"/>
    </w:rPr>
  </w:style>
  <w:style w:type="paragraph" w:styleId="40">
    <w:name w:val="Title"/>
    <w:basedOn w:val="1"/>
    <w:next w:val="1"/>
    <w:qFormat/>
    <w:uiPriority w:val="0"/>
    <w:pPr>
      <w:autoSpaceDE w:val="0"/>
      <w:autoSpaceDN w:val="0"/>
      <w:adjustRightInd w:val="0"/>
      <w:jc w:val="center"/>
      <w:outlineLvl w:val="0"/>
    </w:pPr>
    <w:rPr>
      <w:rFonts w:ascii="Cambria" w:hAnsi="Cambria"/>
      <w:b/>
      <w:bCs/>
      <w:color w:val="000000"/>
      <w:sz w:val="32"/>
      <w:szCs w:val="32"/>
    </w:rPr>
  </w:style>
  <w:style w:type="paragraph" w:styleId="41">
    <w:name w:val="annotation subject"/>
    <w:basedOn w:val="18"/>
    <w:next w:val="18"/>
    <w:link w:val="73"/>
    <w:qFormat/>
    <w:uiPriority w:val="99"/>
    <w:rPr>
      <w:b/>
      <w:bCs/>
    </w:rPr>
  </w:style>
  <w:style w:type="paragraph" w:styleId="42">
    <w:name w:val="Body Text First Indent"/>
    <w:basedOn w:val="19"/>
    <w:next w:val="1"/>
    <w:link w:val="108"/>
    <w:unhideWhenUsed/>
    <w:qFormat/>
    <w:uiPriority w:val="0"/>
    <w:pPr>
      <w:spacing w:after="120" w:line="240" w:lineRule="auto"/>
      <w:ind w:left="431" w:firstLine="420" w:firstLineChars="100"/>
    </w:pPr>
    <w:rPr>
      <w:rFonts w:asciiTheme="minorHAnsi" w:hAnsiTheme="minorHAnsi" w:eastAsiaTheme="minorEastAsia" w:cstheme="minorBidi"/>
      <w:sz w:val="22"/>
      <w:szCs w:val="22"/>
    </w:rPr>
  </w:style>
  <w:style w:type="paragraph" w:styleId="43">
    <w:name w:val="Body Text First Indent 2"/>
    <w:basedOn w:val="3"/>
    <w:next w:val="44"/>
    <w:qFormat/>
    <w:uiPriority w:val="0"/>
    <w:pPr>
      <w:ind w:firstLine="420" w:firstLineChars="200"/>
    </w:p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99"/>
  </w:style>
  <w:style w:type="character" w:styleId="50">
    <w:name w:val="FollowedHyperlink"/>
    <w:basedOn w:val="47"/>
    <w:unhideWhenUsed/>
    <w:qFormat/>
    <w:uiPriority w:val="99"/>
    <w:rPr>
      <w:color w:val="800080"/>
      <w:u w:val="single"/>
    </w:rPr>
  </w:style>
  <w:style w:type="character" w:styleId="51">
    <w:name w:val="Hyperlink"/>
    <w:basedOn w:val="47"/>
    <w:unhideWhenUsed/>
    <w:qFormat/>
    <w:uiPriority w:val="99"/>
    <w:rPr>
      <w:color w:val="0563C1" w:themeColor="hyperlink"/>
      <w:u w:val="single"/>
      <w14:textFill>
        <w14:solidFill>
          <w14:schemeClr w14:val="hlink"/>
        </w14:solidFill>
      </w14:textFill>
    </w:rPr>
  </w:style>
  <w:style w:type="character" w:styleId="52">
    <w:name w:val="annotation reference"/>
    <w:basedOn w:val="47"/>
    <w:qFormat/>
    <w:uiPriority w:val="99"/>
    <w:rPr>
      <w:sz w:val="21"/>
      <w:szCs w:val="21"/>
    </w:rPr>
  </w:style>
  <w:style w:type="paragraph" w:customStyle="1" w:styleId="53">
    <w:name w:val="表格文字"/>
    <w:basedOn w:val="1"/>
    <w:next w:val="19"/>
    <w:qFormat/>
    <w:uiPriority w:val="0"/>
    <w:pPr>
      <w:adjustRightInd w:val="0"/>
      <w:spacing w:line="420" w:lineRule="atLeast"/>
      <w:jc w:val="left"/>
      <w:textAlignment w:val="baseline"/>
    </w:pPr>
    <w:rPr>
      <w:kern w:val="0"/>
    </w:rPr>
  </w:style>
  <w:style w:type="paragraph" w:customStyle="1" w:styleId="54">
    <w:name w:val="Fließtext"/>
    <w:basedOn w:val="1"/>
    <w:qFormat/>
    <w:uiPriority w:val="0"/>
    <w:pPr>
      <w:overflowPunct w:val="0"/>
      <w:autoSpaceDE w:val="0"/>
      <w:autoSpaceDN w:val="0"/>
      <w:adjustRightInd w:val="0"/>
      <w:textAlignment w:val="baseline"/>
    </w:pPr>
    <w:rPr>
      <w:kern w:val="28"/>
      <w:szCs w:val="20"/>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56">
    <w:name w:val="List Paragraph"/>
    <w:basedOn w:val="1"/>
    <w:link w:val="169"/>
    <w:qFormat/>
    <w:uiPriority w:val="0"/>
    <w:pPr>
      <w:ind w:firstLine="420" w:firstLineChars="200"/>
    </w:pPr>
    <w:rPr>
      <w:rFonts w:ascii="Calibri" w:hAnsi="Calibri"/>
      <w:szCs w:val="22"/>
    </w:rPr>
  </w:style>
  <w:style w:type="paragraph" w:customStyle="1" w:styleId="57">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58">
    <w:name w:val="列出段落1"/>
    <w:basedOn w:val="1"/>
    <w:link w:val="183"/>
    <w:qFormat/>
    <w:uiPriority w:val="0"/>
    <w:pPr>
      <w:ind w:firstLine="420" w:firstLineChars="200"/>
    </w:pPr>
    <w:rPr>
      <w:rFonts w:ascii="Calibri" w:hAnsi="Calibri"/>
      <w:kern w:val="0"/>
      <w:szCs w:val="20"/>
    </w:rPr>
  </w:style>
  <w:style w:type="paragraph" w:customStyle="1" w:styleId="59">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6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2">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63">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4">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5">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6">
    <w:name w:val="纯文本_3"/>
    <w:basedOn w:val="65"/>
    <w:qFormat/>
    <w:uiPriority w:val="0"/>
    <w:pPr>
      <w:widowControl/>
      <w:jc w:val="left"/>
    </w:pPr>
    <w:rPr>
      <w:rFonts w:ascii="宋体" w:hAnsi="Courier New" w:eastAsiaTheme="minorEastAsia" w:cstheme="minorBidi"/>
      <w:szCs w:val="21"/>
    </w:rPr>
  </w:style>
  <w:style w:type="paragraph" w:customStyle="1" w:styleId="67">
    <w:name w:val="纯文本_0_1"/>
    <w:basedOn w:val="1"/>
    <w:qFormat/>
    <w:uiPriority w:val="0"/>
    <w:pPr>
      <w:widowControl/>
      <w:jc w:val="left"/>
    </w:pPr>
    <w:rPr>
      <w:rFonts w:ascii="宋体" w:hAnsi="Courier New" w:eastAsiaTheme="minorEastAsia" w:cstheme="minorBidi"/>
      <w:szCs w:val="21"/>
    </w:rPr>
  </w:style>
  <w:style w:type="paragraph" w:customStyle="1" w:styleId="68">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9">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0">
    <w:name w:val="正文_6"/>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71">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72">
    <w:name w:val="批注文字 Char"/>
    <w:basedOn w:val="47"/>
    <w:link w:val="18"/>
    <w:qFormat/>
    <w:uiPriority w:val="99"/>
    <w:rPr>
      <w:rFonts w:ascii="Times New Roman" w:hAnsi="Times New Roman" w:eastAsia="宋体" w:cs="Times New Roman"/>
      <w:kern w:val="2"/>
      <w:sz w:val="21"/>
      <w:szCs w:val="24"/>
    </w:rPr>
  </w:style>
  <w:style w:type="character" w:customStyle="1" w:styleId="73">
    <w:name w:val="批注主题 Char"/>
    <w:basedOn w:val="72"/>
    <w:link w:val="41"/>
    <w:qFormat/>
    <w:uiPriority w:val="99"/>
    <w:rPr>
      <w:rFonts w:ascii="Times New Roman" w:hAnsi="Times New Roman" w:eastAsia="宋体" w:cs="Times New Roman"/>
      <w:b/>
      <w:bCs/>
      <w:kern w:val="2"/>
      <w:sz w:val="21"/>
      <w:szCs w:val="24"/>
    </w:rPr>
  </w:style>
  <w:style w:type="character" w:customStyle="1" w:styleId="74">
    <w:name w:val="批注框文本 Char"/>
    <w:basedOn w:val="47"/>
    <w:link w:val="28"/>
    <w:qFormat/>
    <w:uiPriority w:val="99"/>
    <w:rPr>
      <w:rFonts w:ascii="Times New Roman" w:hAnsi="Times New Roman" w:eastAsia="宋体" w:cs="Times New Roman"/>
      <w:kern w:val="2"/>
      <w:sz w:val="18"/>
      <w:szCs w:val="18"/>
    </w:rPr>
  </w:style>
  <w:style w:type="character" w:customStyle="1" w:styleId="75">
    <w:name w:val="正文文本缩进 Char"/>
    <w:basedOn w:val="47"/>
    <w:link w:val="3"/>
    <w:qFormat/>
    <w:uiPriority w:val="0"/>
    <w:rPr>
      <w:kern w:val="2"/>
      <w:sz w:val="21"/>
      <w:szCs w:val="24"/>
    </w:rPr>
  </w:style>
  <w:style w:type="character" w:customStyle="1" w:styleId="76">
    <w:name w:val="日期 Char"/>
    <w:basedOn w:val="47"/>
    <w:link w:val="25"/>
    <w:qFormat/>
    <w:uiPriority w:val="99"/>
    <w:rPr>
      <w:rFonts w:eastAsia="楷体_GB2312" w:asciiTheme="minorHAnsi" w:hAnsiTheme="minorHAnsi" w:cstheme="minorBidi"/>
      <w:kern w:val="2"/>
      <w:sz w:val="32"/>
      <w:szCs w:val="22"/>
    </w:rPr>
  </w:style>
  <w:style w:type="character" w:customStyle="1" w:styleId="77">
    <w:name w:val="纯文本 Char"/>
    <w:basedOn w:val="47"/>
    <w:link w:val="24"/>
    <w:qFormat/>
    <w:uiPriority w:val="0"/>
    <w:rPr>
      <w:rFonts w:ascii="宋体" w:hAnsi="Courier New" w:cstheme="minorBidi"/>
      <w:kern w:val="2"/>
      <w:sz w:val="21"/>
      <w:szCs w:val="24"/>
    </w:rPr>
  </w:style>
  <w:style w:type="character" w:customStyle="1" w:styleId="78">
    <w:name w:val="apple-style-span"/>
    <w:basedOn w:val="47"/>
    <w:qFormat/>
    <w:uiPriority w:val="0"/>
  </w:style>
  <w:style w:type="character" w:customStyle="1" w:styleId="79">
    <w:name w:val="未处理的提及1"/>
    <w:basedOn w:val="47"/>
    <w:semiHidden/>
    <w:unhideWhenUsed/>
    <w:qFormat/>
    <w:uiPriority w:val="99"/>
    <w:rPr>
      <w:color w:val="605E5C"/>
      <w:shd w:val="clear" w:color="auto" w:fill="E1DFDD"/>
    </w:rPr>
  </w:style>
  <w:style w:type="character" w:customStyle="1" w:styleId="80">
    <w:name w:val="页脚 Char"/>
    <w:basedOn w:val="47"/>
    <w:link w:val="29"/>
    <w:qFormat/>
    <w:uiPriority w:val="99"/>
    <w:rPr>
      <w:kern w:val="2"/>
      <w:sz w:val="18"/>
      <w:szCs w:val="24"/>
    </w:rPr>
  </w:style>
  <w:style w:type="character" w:customStyle="1" w:styleId="81">
    <w:name w:val="标题 1 Char"/>
    <w:basedOn w:val="47"/>
    <w:link w:val="4"/>
    <w:qFormat/>
    <w:uiPriority w:val="9"/>
    <w:rPr>
      <w:b/>
      <w:bCs/>
      <w:kern w:val="44"/>
      <w:sz w:val="44"/>
      <w:szCs w:val="44"/>
    </w:rPr>
  </w:style>
  <w:style w:type="paragraph" w:customStyle="1" w:styleId="82">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3">
    <w:name w:val="样式1"/>
    <w:basedOn w:val="1"/>
    <w:qFormat/>
    <w:uiPriority w:val="0"/>
    <w:pPr>
      <w:spacing w:line="360" w:lineRule="exact"/>
      <w:ind w:firstLine="200" w:firstLineChars="200"/>
    </w:pPr>
    <w:rPr>
      <w:rFonts w:ascii="Arial" w:hAnsi="Arial"/>
      <w:kern w:val="0"/>
    </w:rPr>
  </w:style>
  <w:style w:type="character" w:customStyle="1" w:styleId="84">
    <w:name w:val="标题 2 Char"/>
    <w:basedOn w:val="47"/>
    <w:link w:val="5"/>
    <w:qFormat/>
    <w:uiPriority w:val="9"/>
    <w:rPr>
      <w:rFonts w:asciiTheme="majorHAnsi" w:hAnsiTheme="majorHAnsi" w:eastAsiaTheme="majorEastAsia" w:cstheme="majorBidi"/>
      <w:b/>
      <w:bCs/>
      <w:kern w:val="2"/>
      <w:sz w:val="32"/>
      <w:szCs w:val="32"/>
    </w:rPr>
  </w:style>
  <w:style w:type="paragraph" w:customStyle="1" w:styleId="85">
    <w:name w:val="_Style 3"/>
    <w:qFormat/>
    <w:uiPriority w:val="34"/>
    <w:pPr>
      <w:widowControl w:val="0"/>
      <w:jc w:val="both"/>
    </w:pPr>
    <w:rPr>
      <w:rFonts w:ascii="Calibri" w:hAnsi="Calibri" w:eastAsia="宋体" w:cs="Times New Roman"/>
      <w:kern w:val="2"/>
      <w:sz w:val="21"/>
      <w:szCs w:val="22"/>
      <w:lang w:val="en-US" w:eastAsia="zh-CN" w:bidi="ar-SA"/>
    </w:rPr>
  </w:style>
  <w:style w:type="paragraph" w:customStyle="1" w:styleId="86">
    <w:name w:val="_Style 58"/>
    <w:basedOn w:val="1"/>
    <w:next w:val="56"/>
    <w:qFormat/>
    <w:uiPriority w:val="1"/>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87">
    <w:name w:val="标题 4 Char"/>
    <w:basedOn w:val="47"/>
    <w:link w:val="7"/>
    <w:qFormat/>
    <w:uiPriority w:val="9"/>
    <w:rPr>
      <w:rFonts w:ascii="Cambria" w:hAnsi="Cambria" w:eastAsia="黑体" w:cs="Times New Roman"/>
      <w:b/>
      <w:bCs/>
      <w:kern w:val="2"/>
      <w:sz w:val="28"/>
      <w:szCs w:val="28"/>
    </w:rPr>
  </w:style>
  <w:style w:type="character" w:customStyle="1" w:styleId="88">
    <w:name w:val="标题 5 Char"/>
    <w:basedOn w:val="47"/>
    <w:link w:val="8"/>
    <w:qFormat/>
    <w:uiPriority w:val="9"/>
    <w:rPr>
      <w:rFonts w:ascii="Times New Roman" w:hAnsi="Times New Roman" w:eastAsia="黑体" w:cs="Times New Roman"/>
      <w:b/>
      <w:bCs/>
      <w:kern w:val="2"/>
      <w:sz w:val="28"/>
      <w:szCs w:val="28"/>
    </w:rPr>
  </w:style>
  <w:style w:type="character" w:customStyle="1" w:styleId="89">
    <w:name w:val="标题 6 Char"/>
    <w:basedOn w:val="47"/>
    <w:link w:val="9"/>
    <w:qFormat/>
    <w:uiPriority w:val="9"/>
    <w:rPr>
      <w:rFonts w:ascii="Cambria" w:hAnsi="Cambria" w:eastAsia="黑体" w:cs="Times New Roman"/>
      <w:b/>
      <w:bCs/>
      <w:kern w:val="2"/>
      <w:sz w:val="24"/>
      <w:szCs w:val="24"/>
    </w:rPr>
  </w:style>
  <w:style w:type="character" w:customStyle="1" w:styleId="90">
    <w:name w:val="标题 7 Char"/>
    <w:basedOn w:val="47"/>
    <w:link w:val="10"/>
    <w:qFormat/>
    <w:uiPriority w:val="9"/>
    <w:rPr>
      <w:rFonts w:ascii="Times New Roman" w:hAnsi="Times New Roman" w:eastAsia="黑体" w:cs="Times New Roman"/>
      <w:b/>
      <w:bCs/>
      <w:kern w:val="2"/>
      <w:sz w:val="24"/>
      <w:szCs w:val="24"/>
    </w:rPr>
  </w:style>
  <w:style w:type="character" w:customStyle="1" w:styleId="91">
    <w:name w:val="标题 8 Char"/>
    <w:basedOn w:val="47"/>
    <w:link w:val="11"/>
    <w:qFormat/>
    <w:uiPriority w:val="9"/>
    <w:rPr>
      <w:rFonts w:ascii="Cambria" w:hAnsi="Cambria" w:eastAsia="黑体" w:cs="Times New Roman"/>
      <w:b/>
      <w:kern w:val="2"/>
      <w:sz w:val="24"/>
      <w:szCs w:val="24"/>
    </w:rPr>
  </w:style>
  <w:style w:type="character" w:customStyle="1" w:styleId="92">
    <w:name w:val="标题 9 Char"/>
    <w:basedOn w:val="47"/>
    <w:link w:val="12"/>
    <w:qFormat/>
    <w:uiPriority w:val="9"/>
    <w:rPr>
      <w:rFonts w:ascii="Cambria" w:hAnsi="Cambria" w:eastAsia="宋体" w:cs="Times New Roman"/>
      <w:kern w:val="2"/>
      <w:sz w:val="24"/>
      <w:szCs w:val="21"/>
    </w:rPr>
  </w:style>
  <w:style w:type="character" w:customStyle="1" w:styleId="93">
    <w:name w:val="页眉 Char2"/>
    <w:basedOn w:val="47"/>
    <w:link w:val="30"/>
    <w:qFormat/>
    <w:uiPriority w:val="0"/>
    <w:rPr>
      <w:rFonts w:ascii="Times New Roman" w:hAnsi="Times New Roman" w:eastAsia="宋体" w:cs="Times New Roman"/>
      <w:kern w:val="2"/>
      <w:sz w:val="18"/>
      <w:szCs w:val="24"/>
    </w:rPr>
  </w:style>
  <w:style w:type="character" w:customStyle="1" w:styleId="94">
    <w:name w:val="页脚 Char2"/>
    <w:basedOn w:val="47"/>
    <w:qFormat/>
    <w:uiPriority w:val="99"/>
    <w:rPr>
      <w:sz w:val="18"/>
      <w:szCs w:val="18"/>
    </w:rPr>
  </w:style>
  <w:style w:type="paragraph" w:customStyle="1" w:styleId="95">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6">
    <w:name w:val="font6"/>
    <w:basedOn w:val="1"/>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97">
    <w:name w:val="font7"/>
    <w:basedOn w:val="1"/>
    <w:qFormat/>
    <w:uiPriority w:val="0"/>
    <w:pPr>
      <w:widowControl/>
      <w:spacing w:before="100" w:beforeAutospacing="1" w:after="100" w:afterAutospacing="1" w:line="240" w:lineRule="auto"/>
      <w:jc w:val="left"/>
    </w:pPr>
    <w:rPr>
      <w:kern w:val="0"/>
      <w:sz w:val="22"/>
      <w:szCs w:val="22"/>
    </w:rPr>
  </w:style>
  <w:style w:type="paragraph" w:customStyle="1" w:styleId="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9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10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character" w:customStyle="1" w:styleId="101">
    <w:name w:val="标题 3 Char"/>
    <w:basedOn w:val="47"/>
    <w:link w:val="6"/>
    <w:qFormat/>
    <w:uiPriority w:val="9"/>
    <w:rPr>
      <w:rFonts w:ascii="Times New Roman" w:hAnsi="Times New Roman" w:eastAsia="宋体" w:cs="Times New Roman"/>
      <w:b/>
      <w:bCs/>
      <w:kern w:val="2"/>
      <w:sz w:val="32"/>
      <w:szCs w:val="32"/>
    </w:rPr>
  </w:style>
  <w:style w:type="character" w:customStyle="1" w:styleId="102">
    <w:name w:val="文档结构图 Char"/>
    <w:basedOn w:val="47"/>
    <w:link w:val="17"/>
    <w:qFormat/>
    <w:uiPriority w:val="0"/>
    <w:rPr>
      <w:rFonts w:ascii="宋体" w:hAnsi="Calibri" w:eastAsia="宋体" w:cs="Times New Roman"/>
      <w:kern w:val="2"/>
      <w:sz w:val="18"/>
      <w:szCs w:val="18"/>
    </w:rPr>
  </w:style>
  <w:style w:type="character" w:customStyle="1" w:styleId="103">
    <w:name w:val="正文文本 Char"/>
    <w:basedOn w:val="47"/>
    <w:qFormat/>
    <w:uiPriority w:val="0"/>
  </w:style>
  <w:style w:type="character" w:customStyle="1" w:styleId="104">
    <w:name w:val="正文文本缩进 2 Char"/>
    <w:basedOn w:val="47"/>
    <w:link w:val="27"/>
    <w:qFormat/>
    <w:uiPriority w:val="99"/>
    <w:rPr>
      <w:rFonts w:ascii="仿宋_GB2312" w:hAnsi="宋体" w:eastAsia="宋体" w:cs="Times New Roman"/>
      <w:b/>
      <w:bCs/>
      <w:color w:val="000000"/>
      <w:kern w:val="2"/>
      <w:sz w:val="24"/>
      <w:szCs w:val="24"/>
    </w:rPr>
  </w:style>
  <w:style w:type="character" w:customStyle="1" w:styleId="105">
    <w:name w:val="正文文本缩进 3 Char"/>
    <w:basedOn w:val="47"/>
    <w:link w:val="35"/>
    <w:qFormat/>
    <w:uiPriority w:val="99"/>
    <w:rPr>
      <w:kern w:val="2"/>
      <w:sz w:val="16"/>
      <w:szCs w:val="16"/>
    </w:rPr>
  </w:style>
  <w:style w:type="character" w:customStyle="1" w:styleId="106">
    <w:name w:val="HTML 预设格式 Char"/>
    <w:basedOn w:val="47"/>
    <w:link w:val="38"/>
    <w:qFormat/>
    <w:uiPriority w:val="99"/>
    <w:rPr>
      <w:rFonts w:ascii="宋体" w:hAnsi="宋体" w:eastAsia="宋体" w:cs="Times New Roman"/>
      <w:sz w:val="24"/>
      <w:szCs w:val="24"/>
    </w:rPr>
  </w:style>
  <w:style w:type="character" w:customStyle="1" w:styleId="107">
    <w:name w:val="正文文本 Char1"/>
    <w:basedOn w:val="47"/>
    <w:link w:val="19"/>
    <w:qFormat/>
    <w:uiPriority w:val="99"/>
    <w:rPr>
      <w:rFonts w:ascii="Times New Roman" w:hAnsi="Times New Roman" w:eastAsia="宋体" w:cs="Times New Roman"/>
      <w:kern w:val="2"/>
      <w:sz w:val="24"/>
      <w:szCs w:val="24"/>
    </w:rPr>
  </w:style>
  <w:style w:type="character" w:customStyle="1" w:styleId="108">
    <w:name w:val="正文首行缩进 Char"/>
    <w:basedOn w:val="107"/>
    <w:link w:val="42"/>
    <w:qFormat/>
    <w:uiPriority w:val="0"/>
    <w:rPr>
      <w:rFonts w:ascii="Times New Roman" w:hAnsi="Times New Roman" w:eastAsia="宋体" w:cs="Times New Roman"/>
      <w:kern w:val="2"/>
      <w:sz w:val="22"/>
      <w:szCs w:val="22"/>
    </w:rPr>
  </w:style>
  <w:style w:type="character" w:customStyle="1" w:styleId="109">
    <w:name w:val="页眉 Char1"/>
    <w:basedOn w:val="47"/>
    <w:qFormat/>
    <w:uiPriority w:val="99"/>
    <w:rPr>
      <w:sz w:val="18"/>
      <w:szCs w:val="18"/>
    </w:rPr>
  </w:style>
  <w:style w:type="character" w:customStyle="1" w:styleId="110">
    <w:name w:val="页脚 Char1"/>
    <w:basedOn w:val="47"/>
    <w:qFormat/>
    <w:uiPriority w:val="99"/>
    <w:rPr>
      <w:sz w:val="18"/>
      <w:szCs w:val="18"/>
    </w:rPr>
  </w:style>
  <w:style w:type="character" w:customStyle="1" w:styleId="111">
    <w:name w:val="标题 1 字符"/>
    <w:basedOn w:val="47"/>
    <w:qFormat/>
    <w:uiPriority w:val="9"/>
    <w:rPr>
      <w:b/>
      <w:bCs/>
      <w:kern w:val="44"/>
      <w:sz w:val="44"/>
      <w:szCs w:val="44"/>
    </w:rPr>
  </w:style>
  <w:style w:type="character" w:customStyle="1" w:styleId="112">
    <w:name w:val="标题 2 字符"/>
    <w:basedOn w:val="47"/>
    <w:semiHidden/>
    <w:qFormat/>
    <w:uiPriority w:val="9"/>
    <w:rPr>
      <w:rFonts w:asciiTheme="majorHAnsi" w:hAnsiTheme="majorHAnsi" w:eastAsiaTheme="majorEastAsia" w:cstheme="majorBidi"/>
      <w:b/>
      <w:bCs/>
      <w:sz w:val="32"/>
      <w:szCs w:val="32"/>
    </w:rPr>
  </w:style>
  <w:style w:type="character" w:customStyle="1" w:styleId="113">
    <w:name w:val="标题 3 字符"/>
    <w:basedOn w:val="47"/>
    <w:semiHidden/>
    <w:qFormat/>
    <w:uiPriority w:val="9"/>
    <w:rPr>
      <w:b/>
      <w:bCs/>
      <w:sz w:val="32"/>
      <w:szCs w:val="32"/>
    </w:rPr>
  </w:style>
  <w:style w:type="character" w:customStyle="1" w:styleId="114">
    <w:name w:val="标题 4 字符"/>
    <w:basedOn w:val="47"/>
    <w:semiHidden/>
    <w:qFormat/>
    <w:uiPriority w:val="9"/>
    <w:rPr>
      <w:rFonts w:asciiTheme="majorHAnsi" w:hAnsiTheme="majorHAnsi" w:eastAsiaTheme="majorEastAsia" w:cstheme="majorBidi"/>
      <w:b/>
      <w:bCs/>
      <w:sz w:val="28"/>
      <w:szCs w:val="28"/>
    </w:rPr>
  </w:style>
  <w:style w:type="character" w:customStyle="1" w:styleId="115">
    <w:name w:val="标题 5 字符"/>
    <w:basedOn w:val="47"/>
    <w:semiHidden/>
    <w:qFormat/>
    <w:uiPriority w:val="9"/>
    <w:rPr>
      <w:b/>
      <w:bCs/>
      <w:sz w:val="28"/>
      <w:szCs w:val="28"/>
    </w:rPr>
  </w:style>
  <w:style w:type="character" w:customStyle="1" w:styleId="116">
    <w:name w:val="标题 6 字符"/>
    <w:basedOn w:val="47"/>
    <w:semiHidden/>
    <w:qFormat/>
    <w:uiPriority w:val="9"/>
    <w:rPr>
      <w:rFonts w:asciiTheme="majorHAnsi" w:hAnsiTheme="majorHAnsi" w:eastAsiaTheme="majorEastAsia" w:cstheme="majorBidi"/>
      <w:b/>
      <w:bCs/>
      <w:sz w:val="24"/>
      <w:szCs w:val="24"/>
    </w:rPr>
  </w:style>
  <w:style w:type="character" w:customStyle="1" w:styleId="117">
    <w:name w:val="标题 7 字符"/>
    <w:basedOn w:val="47"/>
    <w:semiHidden/>
    <w:qFormat/>
    <w:uiPriority w:val="9"/>
    <w:rPr>
      <w:b/>
      <w:bCs/>
      <w:sz w:val="24"/>
      <w:szCs w:val="24"/>
    </w:rPr>
  </w:style>
  <w:style w:type="character" w:customStyle="1" w:styleId="118">
    <w:name w:val="标题 8 字符"/>
    <w:basedOn w:val="47"/>
    <w:semiHidden/>
    <w:qFormat/>
    <w:uiPriority w:val="9"/>
    <w:rPr>
      <w:rFonts w:asciiTheme="majorHAnsi" w:hAnsiTheme="majorHAnsi" w:eastAsiaTheme="majorEastAsia" w:cstheme="majorBidi"/>
      <w:sz w:val="24"/>
      <w:szCs w:val="24"/>
    </w:rPr>
  </w:style>
  <w:style w:type="character" w:customStyle="1" w:styleId="119">
    <w:name w:val="标题 9 字符"/>
    <w:basedOn w:val="47"/>
    <w:semiHidden/>
    <w:qFormat/>
    <w:uiPriority w:val="9"/>
    <w:rPr>
      <w:rFonts w:asciiTheme="majorHAnsi" w:hAnsiTheme="majorHAnsi" w:eastAsiaTheme="majorEastAsia" w:cstheme="majorBidi"/>
      <w:szCs w:val="21"/>
    </w:rPr>
  </w:style>
  <w:style w:type="character" w:customStyle="1" w:styleId="120">
    <w:name w:val="f3a947a1"/>
    <w:qFormat/>
    <w:uiPriority w:val="0"/>
    <w:rPr>
      <w:b/>
      <w:bCs/>
      <w:color w:val="3A947A"/>
      <w:sz w:val="23"/>
      <w:szCs w:val="23"/>
    </w:rPr>
  </w:style>
  <w:style w:type="character" w:customStyle="1" w:styleId="121">
    <w:name w:val="font31"/>
    <w:qFormat/>
    <w:uiPriority w:val="0"/>
    <w:rPr>
      <w:rFonts w:hint="default" w:ascii="Times New Roman" w:hAnsi="Times New Roman" w:cs="Times New Roman"/>
      <w:color w:val="000000"/>
      <w:sz w:val="20"/>
      <w:szCs w:val="20"/>
      <w:u w:val="none"/>
    </w:rPr>
  </w:style>
  <w:style w:type="character" w:customStyle="1" w:styleId="122">
    <w:name w:val="font101"/>
    <w:qFormat/>
    <w:uiPriority w:val="0"/>
    <w:rPr>
      <w:rFonts w:hint="eastAsia" w:ascii="宋体" w:hAnsi="宋体" w:eastAsia="宋体" w:cs="宋体"/>
      <w:color w:val="000000"/>
      <w:sz w:val="20"/>
      <w:szCs w:val="20"/>
      <w:u w:val="none"/>
    </w:rPr>
  </w:style>
  <w:style w:type="character" w:customStyle="1" w:styleId="123">
    <w:name w:val="trans"/>
    <w:qFormat/>
    <w:uiPriority w:val="99"/>
    <w:rPr>
      <w:rFonts w:cs="Times New Roman"/>
    </w:rPr>
  </w:style>
  <w:style w:type="character" w:customStyle="1" w:styleId="124">
    <w:name w:val="普通(网站) Char"/>
    <w:link w:val="39"/>
    <w:qFormat/>
    <w:locked/>
    <w:uiPriority w:val="0"/>
    <w:rPr>
      <w:rFonts w:ascii="宋体" w:hAnsi="宋体" w:eastAsia="宋体" w:cs="Times New Roman"/>
      <w:sz w:val="24"/>
      <w:szCs w:val="24"/>
    </w:rPr>
  </w:style>
  <w:style w:type="character" w:customStyle="1" w:styleId="125">
    <w:name w:val="my正文 Char"/>
    <w:link w:val="126"/>
    <w:qFormat/>
    <w:uiPriority w:val="0"/>
    <w:rPr>
      <w:rFonts w:ascii="Tahoma" w:hAnsi="Tahoma"/>
      <w:sz w:val="24"/>
      <w:szCs w:val="24"/>
    </w:rPr>
  </w:style>
  <w:style w:type="paragraph" w:customStyle="1" w:styleId="126">
    <w:name w:val="my正文"/>
    <w:basedOn w:val="1"/>
    <w:link w:val="125"/>
    <w:qFormat/>
    <w:uiPriority w:val="0"/>
    <w:pPr>
      <w:spacing w:after="0" w:line="360" w:lineRule="auto"/>
      <w:ind w:firstLine="480" w:firstLineChars="200"/>
    </w:pPr>
    <w:rPr>
      <w:rFonts w:ascii="Tahoma" w:hAnsi="Tahoma" w:eastAsiaTheme="minorEastAsia" w:cstheme="minorBidi"/>
      <w:kern w:val="0"/>
      <w:sz w:val="24"/>
    </w:rPr>
  </w:style>
  <w:style w:type="character" w:customStyle="1" w:styleId="127">
    <w:name w:val="*正文 Char"/>
    <w:link w:val="128"/>
    <w:qFormat/>
    <w:uiPriority w:val="0"/>
    <w:rPr>
      <w:sz w:val="24"/>
      <w:szCs w:val="24"/>
    </w:rPr>
  </w:style>
  <w:style w:type="paragraph" w:customStyle="1" w:styleId="128">
    <w:name w:val="*正文"/>
    <w:basedOn w:val="1"/>
    <w:next w:val="1"/>
    <w:link w:val="127"/>
    <w:qFormat/>
    <w:uiPriority w:val="0"/>
    <w:pPr>
      <w:spacing w:after="0" w:line="360" w:lineRule="auto"/>
      <w:ind w:firstLine="200" w:firstLineChars="200"/>
    </w:pPr>
    <w:rPr>
      <w:rFonts w:asciiTheme="minorHAnsi" w:hAnsiTheme="minorHAnsi" w:eastAsiaTheme="minorEastAsia" w:cstheme="minorBidi"/>
      <w:kern w:val="0"/>
      <w:sz w:val="24"/>
    </w:rPr>
  </w:style>
  <w:style w:type="character" w:customStyle="1" w:styleId="129">
    <w:name w:val="批注文字 字符1"/>
    <w:semiHidden/>
    <w:qFormat/>
    <w:uiPriority w:val="99"/>
    <w:rPr>
      <w:rFonts w:ascii="Times New Roman" w:hAnsi="Times New Roman" w:eastAsia="宋体" w:cs="Times New Roman"/>
      <w:szCs w:val="20"/>
    </w:rPr>
  </w:style>
  <w:style w:type="character" w:customStyle="1" w:styleId="130">
    <w:name w:val="font112"/>
    <w:qFormat/>
    <w:uiPriority w:val="0"/>
    <w:rPr>
      <w:rFonts w:hint="default" w:ascii="Times New Roman" w:hAnsi="Times New Roman" w:eastAsia="宋体" w:cs="Times New Roman"/>
      <w:color w:val="000000"/>
      <w:sz w:val="20"/>
      <w:szCs w:val="20"/>
      <w:u w:val="none"/>
    </w:rPr>
  </w:style>
  <w:style w:type="character" w:customStyle="1" w:styleId="131">
    <w:name w:val="中等深浅列表 1 - 着色 6 Char"/>
    <w:link w:val="132"/>
    <w:qFormat/>
    <w:locked/>
    <w:uiPriority w:val="0"/>
    <w:rPr>
      <w:sz w:val="24"/>
    </w:rPr>
  </w:style>
  <w:style w:type="paragraph" w:customStyle="1" w:styleId="132">
    <w:name w:val="中等深浅列表 1 - 着色 61"/>
    <w:basedOn w:val="1"/>
    <w:link w:val="131"/>
    <w:qFormat/>
    <w:uiPriority w:val="0"/>
    <w:pPr>
      <w:spacing w:after="0" w:line="360" w:lineRule="auto"/>
      <w:ind w:left="431" w:hanging="431"/>
    </w:pPr>
    <w:rPr>
      <w:rFonts w:asciiTheme="minorHAnsi" w:hAnsiTheme="minorHAnsi" w:eastAsiaTheme="minorEastAsia" w:cstheme="minorBidi"/>
      <w:kern w:val="0"/>
      <w:sz w:val="24"/>
      <w:szCs w:val="20"/>
    </w:rPr>
  </w:style>
  <w:style w:type="character" w:customStyle="1" w:styleId="133">
    <w:name w:val="font141"/>
    <w:qFormat/>
    <w:uiPriority w:val="0"/>
    <w:rPr>
      <w:rFonts w:hint="eastAsia" w:ascii="宋体" w:hAnsi="宋体" w:eastAsia="宋体" w:cs="宋体"/>
      <w:color w:val="000000"/>
      <w:sz w:val="20"/>
      <w:szCs w:val="20"/>
      <w:u w:val="none"/>
    </w:rPr>
  </w:style>
  <w:style w:type="character" w:customStyle="1" w:styleId="134">
    <w:name w:val="font51"/>
    <w:qFormat/>
    <w:uiPriority w:val="0"/>
    <w:rPr>
      <w:rFonts w:hint="eastAsia" w:ascii="宋体" w:hAnsi="宋体" w:eastAsia="宋体" w:cs="宋体"/>
      <w:color w:val="000000"/>
      <w:sz w:val="24"/>
      <w:szCs w:val="24"/>
      <w:u w:val="none"/>
      <w:vertAlign w:val="superscript"/>
    </w:rPr>
  </w:style>
  <w:style w:type="character" w:customStyle="1" w:styleId="135">
    <w:name w:val="批注框文本 字符1"/>
    <w:semiHidden/>
    <w:qFormat/>
    <w:uiPriority w:val="99"/>
    <w:rPr>
      <w:rFonts w:ascii="Times New Roman" w:hAnsi="Times New Roman" w:eastAsia="宋体" w:cs="Times New Roman"/>
      <w:sz w:val="18"/>
      <w:szCs w:val="18"/>
    </w:rPr>
  </w:style>
  <w:style w:type="character" w:customStyle="1" w:styleId="136">
    <w:name w:val="font21"/>
    <w:qFormat/>
    <w:uiPriority w:val="0"/>
    <w:rPr>
      <w:rFonts w:hint="default" w:ascii="Times New Roman" w:hAnsi="Times New Roman" w:cs="Times New Roman"/>
      <w:color w:val="000000"/>
      <w:sz w:val="20"/>
      <w:szCs w:val="20"/>
      <w:u w:val="none"/>
    </w:rPr>
  </w:style>
  <w:style w:type="character" w:customStyle="1" w:styleId="137">
    <w:name w:val="font11"/>
    <w:qFormat/>
    <w:uiPriority w:val="0"/>
    <w:rPr>
      <w:rFonts w:hint="default" w:ascii="Times New Roman" w:hAnsi="Times New Roman" w:cs="Times New Roman"/>
      <w:color w:val="000000"/>
      <w:sz w:val="20"/>
      <w:szCs w:val="20"/>
      <w:u w:val="none"/>
    </w:rPr>
  </w:style>
  <w:style w:type="character" w:customStyle="1" w:styleId="138">
    <w:name w:val="批注文字 字符2"/>
    <w:qFormat/>
    <w:uiPriority w:val="99"/>
    <w:rPr>
      <w:kern w:val="2"/>
      <w:sz w:val="24"/>
      <w:szCs w:val="22"/>
    </w:rPr>
  </w:style>
  <w:style w:type="character" w:customStyle="1" w:styleId="139">
    <w:name w:val="批注文字 字符"/>
    <w:semiHidden/>
    <w:qFormat/>
    <w:uiPriority w:val="99"/>
    <w:rPr>
      <w:rFonts w:eastAsia="宋体"/>
      <w:sz w:val="24"/>
    </w:rPr>
  </w:style>
  <w:style w:type="character" w:customStyle="1" w:styleId="140">
    <w:name w:val="font81"/>
    <w:qFormat/>
    <w:uiPriority w:val="0"/>
    <w:rPr>
      <w:rFonts w:hint="eastAsia" w:ascii="宋体" w:hAnsi="宋体" w:eastAsia="宋体" w:cs="宋体"/>
      <w:color w:val="000000"/>
      <w:sz w:val="20"/>
      <w:szCs w:val="20"/>
      <w:u w:val="none"/>
    </w:rPr>
  </w:style>
  <w:style w:type="character" w:customStyle="1" w:styleId="141">
    <w:name w:val="font121"/>
    <w:qFormat/>
    <w:uiPriority w:val="0"/>
    <w:rPr>
      <w:rFonts w:hint="default" w:ascii="Times New Roman" w:hAnsi="Times New Roman" w:cs="Times New Roman"/>
      <w:color w:val="000000"/>
      <w:sz w:val="20"/>
      <w:szCs w:val="20"/>
      <w:u w:val="none"/>
    </w:rPr>
  </w:style>
  <w:style w:type="character" w:customStyle="1" w:styleId="142">
    <w:name w:val="font171"/>
    <w:qFormat/>
    <w:uiPriority w:val="0"/>
    <w:rPr>
      <w:rFonts w:hint="default" w:ascii="Times New Roman" w:hAnsi="Times New Roman" w:cs="Times New Roman"/>
      <w:color w:val="000000"/>
      <w:sz w:val="20"/>
      <w:szCs w:val="20"/>
      <w:u w:val="none"/>
    </w:rPr>
  </w:style>
  <w:style w:type="character" w:customStyle="1" w:styleId="143">
    <w:name w:val="2级标题 Char"/>
    <w:link w:val="144"/>
    <w:qFormat/>
    <w:locked/>
    <w:uiPriority w:val="0"/>
    <w:rPr>
      <w:rFonts w:ascii="微软雅黑" w:hAnsi="微软雅黑" w:eastAsia="微软雅黑"/>
      <w:sz w:val="32"/>
      <w:szCs w:val="24"/>
      <w:lang w:eastAsia="en-US" w:bidi="en-US"/>
    </w:rPr>
  </w:style>
  <w:style w:type="paragraph" w:customStyle="1" w:styleId="144">
    <w:name w:val="2级标题"/>
    <w:basedOn w:val="56"/>
    <w:link w:val="143"/>
    <w:qFormat/>
    <w:uiPriority w:val="0"/>
    <w:pPr>
      <w:keepLines/>
      <w:numPr>
        <w:ilvl w:val="1"/>
        <w:numId w:val="2"/>
      </w:numPr>
      <w:spacing w:before="240" w:after="120" w:line="360" w:lineRule="auto"/>
      <w:ind w:left="718" w:hanging="576" w:firstLineChars="0"/>
      <w:contextualSpacing/>
      <w:jc w:val="left"/>
      <w:outlineLvl w:val="1"/>
    </w:pPr>
    <w:rPr>
      <w:rFonts w:ascii="微软雅黑" w:hAnsi="微软雅黑" w:eastAsia="微软雅黑" w:cstheme="minorBidi"/>
      <w:kern w:val="0"/>
      <w:sz w:val="32"/>
      <w:szCs w:val="24"/>
      <w:lang w:eastAsia="en-US" w:bidi="en-US"/>
    </w:rPr>
  </w:style>
  <w:style w:type="character" w:customStyle="1" w:styleId="145">
    <w:name w:val="正文文本缩进 3 字符2"/>
    <w:semiHidden/>
    <w:qFormat/>
    <w:uiPriority w:val="99"/>
    <w:rPr>
      <w:kern w:val="2"/>
      <w:sz w:val="16"/>
      <w:szCs w:val="16"/>
    </w:rPr>
  </w:style>
  <w:style w:type="character" w:customStyle="1" w:styleId="146">
    <w:name w:val="font91"/>
    <w:qFormat/>
    <w:uiPriority w:val="0"/>
    <w:rPr>
      <w:rFonts w:hint="eastAsia" w:ascii="宋体" w:hAnsi="宋体" w:eastAsia="宋体" w:cs="宋体"/>
      <w:color w:val="000000"/>
      <w:sz w:val="20"/>
      <w:szCs w:val="20"/>
      <w:u w:val="none"/>
    </w:rPr>
  </w:style>
  <w:style w:type="character" w:customStyle="1" w:styleId="147">
    <w:name w:val="目录 2 Char"/>
    <w:link w:val="36"/>
    <w:qFormat/>
    <w:uiPriority w:val="39"/>
    <w:rPr>
      <w:rFonts w:ascii="Calibri" w:hAnsi="Calibri"/>
      <w:smallCaps/>
      <w:kern w:val="2"/>
      <w:sz w:val="21"/>
      <w:szCs w:val="22"/>
    </w:rPr>
  </w:style>
  <w:style w:type="character" w:customStyle="1" w:styleId="148">
    <w:name w:val="font01"/>
    <w:qFormat/>
    <w:uiPriority w:val="0"/>
    <w:rPr>
      <w:rFonts w:hint="eastAsia" w:ascii="宋体" w:hAnsi="宋体" w:eastAsia="宋体" w:cs="宋体"/>
      <w:color w:val="000000"/>
      <w:sz w:val="20"/>
      <w:szCs w:val="20"/>
      <w:u w:val="none"/>
    </w:rPr>
  </w:style>
  <w:style w:type="character" w:customStyle="1" w:styleId="149">
    <w:name w:val="_Style 5"/>
    <w:qFormat/>
    <w:uiPriority w:val="32"/>
    <w:rPr>
      <w:b/>
      <w:sz w:val="24"/>
      <w:u w:val="single"/>
    </w:rPr>
  </w:style>
  <w:style w:type="character" w:customStyle="1" w:styleId="150">
    <w:name w:val="font151"/>
    <w:qFormat/>
    <w:uiPriority w:val="0"/>
    <w:rPr>
      <w:rFonts w:hint="eastAsia" w:ascii="宋体" w:hAnsi="宋体" w:eastAsia="宋体" w:cs="宋体"/>
      <w:color w:val="000000"/>
      <w:sz w:val="20"/>
      <w:szCs w:val="20"/>
      <w:u w:val="none"/>
    </w:rPr>
  </w:style>
  <w:style w:type="character" w:customStyle="1" w:styleId="151">
    <w:name w:val="正文（首行缩进两字） Char3"/>
    <w:qFormat/>
    <w:uiPriority w:val="0"/>
    <w:rPr>
      <w:rFonts w:ascii="Arial" w:hAnsi="Arial" w:eastAsia="宋体"/>
      <w:kern w:val="2"/>
      <w:sz w:val="24"/>
      <w:lang w:val="en-US" w:eastAsia="zh-CN"/>
    </w:rPr>
  </w:style>
  <w:style w:type="character" w:customStyle="1" w:styleId="152">
    <w:name w:val="正文缩进 Char"/>
    <w:link w:val="2"/>
    <w:qFormat/>
    <w:uiPriority w:val="0"/>
    <w:rPr>
      <w:rFonts w:ascii="Times New Roman" w:hAnsi="Times New Roman" w:eastAsia="宋体" w:cs="Times New Roman"/>
      <w:kern w:val="2"/>
      <w:sz w:val="21"/>
    </w:rPr>
  </w:style>
  <w:style w:type="character" w:customStyle="1" w:styleId="153">
    <w:name w:val="目录 1 Char"/>
    <w:link w:val="31"/>
    <w:qFormat/>
    <w:uiPriority w:val="39"/>
    <w:rPr>
      <w:rFonts w:ascii="Times New Roman" w:hAnsi="Times New Roman" w:eastAsia="宋体" w:cs="Times New Roman"/>
      <w:b/>
      <w:kern w:val="2"/>
      <w:sz w:val="52"/>
      <w:szCs w:val="52"/>
    </w:rPr>
  </w:style>
  <w:style w:type="character" w:customStyle="1" w:styleId="154">
    <w:name w:val="哈哈正文 Char"/>
    <w:link w:val="155"/>
    <w:qFormat/>
    <w:uiPriority w:val="0"/>
    <w:rPr>
      <w:rFonts w:ascii="宋体" w:hAnsi="宋体" w:cs="宋体"/>
      <w:sz w:val="24"/>
    </w:rPr>
  </w:style>
  <w:style w:type="paragraph" w:customStyle="1" w:styleId="155">
    <w:name w:val="哈哈正文"/>
    <w:basedOn w:val="1"/>
    <w:link w:val="154"/>
    <w:qFormat/>
    <w:uiPriority w:val="0"/>
    <w:pPr>
      <w:spacing w:after="0" w:line="360" w:lineRule="auto"/>
      <w:ind w:firstLine="200" w:firstLineChars="200"/>
    </w:pPr>
    <w:rPr>
      <w:rFonts w:ascii="宋体" w:hAnsi="宋体" w:cs="宋体" w:eastAsiaTheme="minorEastAsia"/>
      <w:kern w:val="0"/>
      <w:sz w:val="24"/>
      <w:szCs w:val="20"/>
    </w:rPr>
  </w:style>
  <w:style w:type="character" w:customStyle="1" w:styleId="156">
    <w:name w:val="纯文本 Char1"/>
    <w:qFormat/>
    <w:uiPriority w:val="99"/>
    <w:rPr>
      <w:rFonts w:ascii="宋体" w:hAnsi="Courier New"/>
    </w:rPr>
  </w:style>
  <w:style w:type="character" w:customStyle="1" w:styleId="157">
    <w:name w:val="font111"/>
    <w:qFormat/>
    <w:uiPriority w:val="0"/>
    <w:rPr>
      <w:rFonts w:hint="default" w:ascii="Times New Roman" w:hAnsi="Times New Roman" w:cs="Times New Roman"/>
      <w:color w:val="000000"/>
      <w:sz w:val="20"/>
      <w:szCs w:val="20"/>
      <w:u w:val="none"/>
    </w:rPr>
  </w:style>
  <w:style w:type="character" w:customStyle="1" w:styleId="158">
    <w:name w:val="font61"/>
    <w:qFormat/>
    <w:uiPriority w:val="0"/>
    <w:rPr>
      <w:rFonts w:hint="eastAsia" w:ascii="宋体" w:hAnsi="宋体" w:eastAsia="宋体" w:cs="宋体"/>
      <w:color w:val="000000"/>
      <w:sz w:val="20"/>
      <w:szCs w:val="20"/>
      <w:u w:val="none"/>
    </w:rPr>
  </w:style>
  <w:style w:type="character" w:customStyle="1" w:styleId="159">
    <w:name w:val="编号，小四 Char"/>
    <w:link w:val="160"/>
    <w:qFormat/>
    <w:uiPriority w:val="0"/>
    <w:rPr>
      <w:rFonts w:ascii="Arial" w:hAnsi="Arial" w:cs="宋体"/>
      <w:sz w:val="24"/>
    </w:rPr>
  </w:style>
  <w:style w:type="paragraph" w:customStyle="1" w:styleId="160">
    <w:name w:val="编号，小四"/>
    <w:basedOn w:val="1"/>
    <w:link w:val="159"/>
    <w:qFormat/>
    <w:uiPriority w:val="0"/>
    <w:pPr>
      <w:numPr>
        <w:ilvl w:val="0"/>
        <w:numId w:val="3"/>
      </w:numPr>
      <w:spacing w:after="0" w:line="360" w:lineRule="auto"/>
    </w:pPr>
    <w:rPr>
      <w:rFonts w:ascii="Arial" w:hAnsi="Arial" w:cs="宋体" w:eastAsiaTheme="minorEastAsia"/>
      <w:kern w:val="0"/>
      <w:sz w:val="24"/>
      <w:szCs w:val="20"/>
    </w:rPr>
  </w:style>
  <w:style w:type="character" w:customStyle="1" w:styleId="161">
    <w:name w:val="样式a Char"/>
    <w:link w:val="162"/>
    <w:qFormat/>
    <w:uiPriority w:val="0"/>
    <w:rPr>
      <w:rFonts w:ascii="Times New Roman" w:hAnsi="Times New Roman" w:eastAsia="仿宋_GB2312"/>
      <w:b/>
      <w:bCs/>
      <w:sz w:val="28"/>
      <w:szCs w:val="28"/>
    </w:rPr>
  </w:style>
  <w:style w:type="paragraph" w:customStyle="1" w:styleId="162">
    <w:name w:val="样式a"/>
    <w:basedOn w:val="6"/>
    <w:link w:val="161"/>
    <w:qFormat/>
    <w:uiPriority w:val="0"/>
    <w:pPr>
      <w:spacing w:before="0" w:after="0" w:line="360" w:lineRule="auto"/>
      <w:ind w:firstLine="559" w:firstLineChars="199"/>
    </w:pPr>
    <w:rPr>
      <w:rFonts w:eastAsia="仿宋_GB2312" w:cstheme="minorBidi"/>
      <w:kern w:val="0"/>
      <w:sz w:val="28"/>
      <w:szCs w:val="28"/>
    </w:rPr>
  </w:style>
  <w:style w:type="character" w:customStyle="1" w:styleId="163">
    <w:name w:val="font41"/>
    <w:qFormat/>
    <w:uiPriority w:val="0"/>
    <w:rPr>
      <w:rFonts w:hint="default" w:ascii="Times New Roman" w:hAnsi="Times New Roman" w:cs="Times New Roman"/>
      <w:color w:val="000000"/>
      <w:sz w:val="20"/>
      <w:szCs w:val="20"/>
      <w:u w:val="none"/>
    </w:rPr>
  </w:style>
  <w:style w:type="character" w:customStyle="1" w:styleId="164">
    <w:name w:val="样式 首行缩进:  0 字符 Char"/>
    <w:link w:val="165"/>
    <w:qFormat/>
    <w:uiPriority w:val="0"/>
    <w:rPr>
      <w:rFonts w:ascii="Arial" w:hAnsi="Arial" w:cs="宋体"/>
      <w:sz w:val="24"/>
    </w:rPr>
  </w:style>
  <w:style w:type="paragraph" w:customStyle="1" w:styleId="165">
    <w:name w:val="样式 首行缩进:  0 字符"/>
    <w:basedOn w:val="1"/>
    <w:link w:val="164"/>
    <w:qFormat/>
    <w:uiPriority w:val="0"/>
    <w:pPr>
      <w:spacing w:after="0" w:line="360" w:lineRule="auto"/>
      <w:ind w:left="431" w:firstLine="200" w:firstLineChars="200"/>
    </w:pPr>
    <w:rPr>
      <w:rFonts w:ascii="Arial" w:hAnsi="Arial" w:cs="宋体" w:eastAsiaTheme="minorEastAsia"/>
      <w:kern w:val="0"/>
      <w:sz w:val="24"/>
      <w:szCs w:val="20"/>
    </w:rPr>
  </w:style>
  <w:style w:type="character" w:customStyle="1" w:styleId="166">
    <w:name w:val="批注主题 字符1"/>
    <w:semiHidden/>
    <w:qFormat/>
    <w:uiPriority w:val="99"/>
    <w:rPr>
      <w:b/>
      <w:bCs/>
      <w:kern w:val="2"/>
      <w:sz w:val="24"/>
      <w:szCs w:val="22"/>
    </w:rPr>
  </w:style>
  <w:style w:type="character" w:customStyle="1" w:styleId="167">
    <w:name w:val="font131"/>
    <w:qFormat/>
    <w:uiPriority w:val="0"/>
    <w:rPr>
      <w:rFonts w:hint="default" w:ascii="Times New Roman" w:hAnsi="Times New Roman" w:cs="Times New Roman"/>
      <w:color w:val="000000"/>
      <w:sz w:val="20"/>
      <w:szCs w:val="20"/>
      <w:u w:val="none"/>
    </w:rPr>
  </w:style>
  <w:style w:type="character" w:customStyle="1" w:styleId="168">
    <w:name w:val="font161"/>
    <w:qFormat/>
    <w:uiPriority w:val="0"/>
    <w:rPr>
      <w:rFonts w:hint="eastAsia" w:ascii="宋体" w:hAnsi="宋体" w:eastAsia="宋体" w:cs="宋体"/>
      <w:color w:val="000000"/>
      <w:sz w:val="20"/>
      <w:szCs w:val="20"/>
      <w:u w:val="none"/>
    </w:rPr>
  </w:style>
  <w:style w:type="character" w:customStyle="1" w:styleId="169">
    <w:name w:val="列出段落 Char1"/>
    <w:link w:val="56"/>
    <w:qFormat/>
    <w:uiPriority w:val="0"/>
    <w:rPr>
      <w:rFonts w:ascii="Calibri" w:hAnsi="Calibri" w:eastAsia="宋体" w:cs="Times New Roman"/>
      <w:kern w:val="2"/>
      <w:sz w:val="21"/>
      <w:szCs w:val="22"/>
    </w:rPr>
  </w:style>
  <w:style w:type="character" w:customStyle="1" w:styleId="170">
    <w:name w:val="正文6 Char"/>
    <w:link w:val="171"/>
    <w:qFormat/>
    <w:uiPriority w:val="0"/>
    <w:rPr>
      <w:rFonts w:ascii="Book Antiqua" w:hAnsi="Book Antiqua"/>
      <w:sz w:val="24"/>
      <w:szCs w:val="24"/>
    </w:rPr>
  </w:style>
  <w:style w:type="paragraph" w:customStyle="1" w:styleId="171">
    <w:name w:val="正文6"/>
    <w:basedOn w:val="1"/>
    <w:link w:val="170"/>
    <w:qFormat/>
    <w:uiPriority w:val="0"/>
    <w:pPr>
      <w:numPr>
        <w:ilvl w:val="2"/>
        <w:numId w:val="4"/>
      </w:numPr>
      <w:spacing w:beforeLines="50" w:afterLines="50" w:line="360" w:lineRule="auto"/>
    </w:pPr>
    <w:rPr>
      <w:rFonts w:ascii="Book Antiqua" w:hAnsi="Book Antiqua" w:eastAsiaTheme="minorEastAsia" w:cstheme="minorBidi"/>
      <w:kern w:val="0"/>
      <w:sz w:val="24"/>
    </w:rPr>
  </w:style>
  <w:style w:type="character" w:customStyle="1" w:styleId="172">
    <w:name w:val="正文 图 字符"/>
    <w:link w:val="173"/>
    <w:qFormat/>
    <w:uiPriority w:val="0"/>
    <w:rPr>
      <w:rFonts w:ascii="微软雅黑" w:hAnsi="微软雅黑" w:eastAsia="微软雅黑" w:cs="Tahoma"/>
    </w:rPr>
  </w:style>
  <w:style w:type="paragraph" w:customStyle="1" w:styleId="173">
    <w:name w:val="正文 图"/>
    <w:basedOn w:val="1"/>
    <w:link w:val="172"/>
    <w:qFormat/>
    <w:uiPriority w:val="0"/>
    <w:pPr>
      <w:widowControl/>
      <w:spacing w:after="0" w:line="360" w:lineRule="auto"/>
      <w:jc w:val="center"/>
    </w:pPr>
    <w:rPr>
      <w:rFonts w:ascii="微软雅黑" w:hAnsi="微软雅黑" w:eastAsia="微软雅黑" w:cs="Tahoma"/>
      <w:kern w:val="0"/>
      <w:sz w:val="20"/>
      <w:szCs w:val="20"/>
    </w:rPr>
  </w:style>
  <w:style w:type="character" w:customStyle="1" w:styleId="174">
    <w:name w:val="font191"/>
    <w:qFormat/>
    <w:uiPriority w:val="0"/>
    <w:rPr>
      <w:rFonts w:hint="default" w:ascii="Times New Roman" w:hAnsi="Times New Roman" w:cs="Times New Roman"/>
      <w:color w:val="000000"/>
      <w:sz w:val="20"/>
      <w:szCs w:val="20"/>
      <w:u w:val="none"/>
    </w:rPr>
  </w:style>
  <w:style w:type="character" w:customStyle="1" w:styleId="175">
    <w:name w:val="font71"/>
    <w:qFormat/>
    <w:uiPriority w:val="0"/>
    <w:rPr>
      <w:rFonts w:hint="eastAsia" w:ascii="宋体" w:hAnsi="宋体" w:eastAsia="宋体" w:cs="宋体"/>
      <w:color w:val="000000"/>
      <w:sz w:val="20"/>
      <w:szCs w:val="20"/>
      <w:u w:val="none"/>
    </w:rPr>
  </w:style>
  <w:style w:type="character" w:customStyle="1" w:styleId="176">
    <w:name w:val="正文（首行缩进2字符） Char"/>
    <w:link w:val="177"/>
    <w:qFormat/>
    <w:uiPriority w:val="0"/>
    <w:rPr>
      <w:sz w:val="24"/>
      <w:szCs w:val="24"/>
    </w:rPr>
  </w:style>
  <w:style w:type="paragraph" w:customStyle="1" w:styleId="177">
    <w:name w:val="正文（首行缩进2字符）"/>
    <w:basedOn w:val="1"/>
    <w:link w:val="176"/>
    <w:qFormat/>
    <w:uiPriority w:val="0"/>
    <w:pPr>
      <w:spacing w:after="0" w:line="360" w:lineRule="auto"/>
      <w:ind w:firstLine="480" w:firstLineChars="200"/>
    </w:pPr>
    <w:rPr>
      <w:rFonts w:asciiTheme="minorHAnsi" w:hAnsiTheme="minorHAnsi" w:eastAsiaTheme="minorEastAsia" w:cstheme="minorBidi"/>
      <w:kern w:val="0"/>
      <w:sz w:val="24"/>
    </w:rPr>
  </w:style>
  <w:style w:type="character" w:customStyle="1" w:styleId="178">
    <w:name w:val="题注 Char"/>
    <w:link w:val="16"/>
    <w:qFormat/>
    <w:locked/>
    <w:uiPriority w:val="35"/>
    <w:rPr>
      <w:rFonts w:ascii="Cambria" w:hAnsi="Cambria" w:eastAsia="黑体"/>
      <w:kern w:val="2"/>
      <w:sz w:val="15"/>
      <w:szCs w:val="22"/>
    </w:rPr>
  </w:style>
  <w:style w:type="character" w:customStyle="1" w:styleId="179">
    <w:name w:val="无间隔 Char"/>
    <w:link w:val="180"/>
    <w:qFormat/>
    <w:uiPriority w:val="0"/>
  </w:style>
  <w:style w:type="paragraph" w:styleId="180">
    <w:name w:val="No Spacing"/>
    <w:link w:val="179"/>
    <w:qFormat/>
    <w:uiPriority w:val="0"/>
    <w:pPr>
      <w:widowControl w:val="0"/>
      <w:ind w:left="425" w:firstLine="3260"/>
      <w:jc w:val="both"/>
    </w:pPr>
    <w:rPr>
      <w:rFonts w:asciiTheme="minorHAnsi" w:hAnsiTheme="minorHAnsi" w:eastAsiaTheme="minorEastAsia" w:cstheme="minorBidi"/>
      <w:lang w:val="en-US" w:eastAsia="zh-CN" w:bidi="ar-SA"/>
    </w:rPr>
  </w:style>
  <w:style w:type="character" w:customStyle="1" w:styleId="181">
    <w:name w:val="font221"/>
    <w:qFormat/>
    <w:uiPriority w:val="0"/>
    <w:rPr>
      <w:rFonts w:hint="default" w:ascii="Times New Roman" w:hAnsi="Times New Roman" w:cs="Times New Roman"/>
      <w:b/>
      <w:color w:val="000000"/>
      <w:sz w:val="20"/>
      <w:szCs w:val="20"/>
      <w:u w:val="none"/>
    </w:rPr>
  </w:style>
  <w:style w:type="character" w:customStyle="1" w:styleId="182">
    <w:name w:val="正文文本缩进 3 字符1"/>
    <w:semiHidden/>
    <w:qFormat/>
    <w:uiPriority w:val="99"/>
    <w:rPr>
      <w:kern w:val="2"/>
      <w:sz w:val="16"/>
      <w:szCs w:val="16"/>
    </w:rPr>
  </w:style>
  <w:style w:type="character" w:customStyle="1" w:styleId="183">
    <w:name w:val="列出段落 Char"/>
    <w:link w:val="58"/>
    <w:qFormat/>
    <w:uiPriority w:val="0"/>
    <w:rPr>
      <w:rFonts w:ascii="Calibri" w:hAnsi="Calibri" w:eastAsia="宋体" w:cs="Times New Roman"/>
      <w:sz w:val="21"/>
    </w:rPr>
  </w:style>
  <w:style w:type="character" w:customStyle="1" w:styleId="184">
    <w:name w:val="新昌正文 Char"/>
    <w:link w:val="185"/>
    <w:qFormat/>
    <w:uiPriority w:val="0"/>
    <w:rPr>
      <w:rFonts w:hAnsi="宋体"/>
      <w:sz w:val="24"/>
      <w:szCs w:val="24"/>
    </w:rPr>
  </w:style>
  <w:style w:type="paragraph" w:customStyle="1" w:styleId="185">
    <w:name w:val="新昌正文"/>
    <w:basedOn w:val="1"/>
    <w:link w:val="184"/>
    <w:qFormat/>
    <w:uiPriority w:val="0"/>
    <w:pPr>
      <w:spacing w:after="0" w:line="360" w:lineRule="auto"/>
      <w:ind w:firstLine="480" w:firstLineChars="200"/>
    </w:pPr>
    <w:rPr>
      <w:rFonts w:hAnsi="宋体" w:asciiTheme="minorHAnsi" w:eastAsiaTheme="minorEastAsia" w:cstheme="minorBidi"/>
      <w:kern w:val="0"/>
      <w:sz w:val="24"/>
    </w:rPr>
  </w:style>
  <w:style w:type="paragraph" w:customStyle="1" w:styleId="186">
    <w:name w:val="栏目标题"/>
    <w:basedOn w:val="1"/>
    <w:qFormat/>
    <w:uiPriority w:val="0"/>
    <w:pPr>
      <w:spacing w:after="0" w:line="240" w:lineRule="auto"/>
      <w:ind w:firstLine="200" w:firstLineChars="200"/>
      <w:jc w:val="center"/>
    </w:pPr>
    <w:rPr>
      <w:rFonts w:ascii="黑体" w:hAnsi="黑体" w:eastAsia="黑体" w:cs="黑体"/>
      <w:b/>
    </w:rPr>
  </w:style>
  <w:style w:type="character" w:customStyle="1" w:styleId="187">
    <w:name w:val="正文文本缩进 3 字符"/>
    <w:basedOn w:val="47"/>
    <w:semiHidden/>
    <w:qFormat/>
    <w:uiPriority w:val="99"/>
    <w:rPr>
      <w:sz w:val="16"/>
      <w:szCs w:val="16"/>
    </w:rPr>
  </w:style>
  <w:style w:type="character" w:customStyle="1" w:styleId="188">
    <w:name w:val="批注框文本 字符"/>
    <w:basedOn w:val="47"/>
    <w:semiHidden/>
    <w:qFormat/>
    <w:uiPriority w:val="99"/>
    <w:rPr>
      <w:sz w:val="18"/>
      <w:szCs w:val="18"/>
    </w:rPr>
  </w:style>
  <w:style w:type="character" w:customStyle="1" w:styleId="189">
    <w:name w:val="正文文本缩进 2 字符"/>
    <w:basedOn w:val="47"/>
    <w:semiHidden/>
    <w:qFormat/>
    <w:uiPriority w:val="0"/>
  </w:style>
  <w:style w:type="character" w:customStyle="1" w:styleId="190">
    <w:name w:val="纯文本 字符"/>
    <w:basedOn w:val="47"/>
    <w:semiHidden/>
    <w:qFormat/>
    <w:uiPriority w:val="99"/>
    <w:rPr>
      <w:rFonts w:hAnsi="Courier New" w:cs="Courier New" w:asciiTheme="minorEastAsia"/>
    </w:rPr>
  </w:style>
  <w:style w:type="character" w:customStyle="1" w:styleId="191">
    <w:name w:val="正文首行缩进 字符"/>
    <w:basedOn w:val="107"/>
    <w:semiHidden/>
    <w:qFormat/>
    <w:uiPriority w:val="99"/>
    <w:rPr>
      <w:rFonts w:ascii="Times New Roman" w:hAnsi="Times New Roman" w:eastAsia="宋体" w:cs="Times New Roman"/>
      <w:kern w:val="2"/>
      <w:sz w:val="24"/>
      <w:szCs w:val="24"/>
    </w:rPr>
  </w:style>
  <w:style w:type="character" w:customStyle="1" w:styleId="192">
    <w:name w:val="批注文字 字符3"/>
    <w:basedOn w:val="47"/>
    <w:semiHidden/>
    <w:qFormat/>
    <w:uiPriority w:val="99"/>
  </w:style>
  <w:style w:type="character" w:customStyle="1" w:styleId="193">
    <w:name w:val="正文文本缩进 字符"/>
    <w:basedOn w:val="47"/>
    <w:semiHidden/>
    <w:qFormat/>
    <w:uiPriority w:val="99"/>
  </w:style>
  <w:style w:type="character" w:customStyle="1" w:styleId="194">
    <w:name w:val="日期 字符"/>
    <w:basedOn w:val="47"/>
    <w:semiHidden/>
    <w:qFormat/>
    <w:uiPriority w:val="99"/>
  </w:style>
  <w:style w:type="character" w:customStyle="1" w:styleId="195">
    <w:name w:val="批注主题 字符"/>
    <w:basedOn w:val="192"/>
    <w:semiHidden/>
    <w:qFormat/>
    <w:uiPriority w:val="99"/>
    <w:rPr>
      <w:b/>
      <w:bCs/>
    </w:rPr>
  </w:style>
  <w:style w:type="character" w:customStyle="1" w:styleId="196">
    <w:name w:val="文档结构图 字符"/>
    <w:basedOn w:val="47"/>
    <w:semiHidden/>
    <w:qFormat/>
    <w:uiPriority w:val="99"/>
    <w:rPr>
      <w:rFonts w:ascii="Microsoft YaHei UI" w:eastAsia="Microsoft YaHei UI"/>
      <w:sz w:val="18"/>
      <w:szCs w:val="18"/>
    </w:rPr>
  </w:style>
  <w:style w:type="paragraph" w:customStyle="1" w:styleId="197">
    <w:name w:val="样式 正文文本缩进 2 + 仿宋_GB2312 黑色 行距: 1.5 倍行距"/>
    <w:basedOn w:val="27"/>
    <w:qFormat/>
    <w:uiPriority w:val="0"/>
    <w:pPr>
      <w:snapToGrid/>
      <w:spacing w:after="0" w:line="360" w:lineRule="auto"/>
      <w:ind w:firstLine="560" w:firstLineChars="200"/>
    </w:pPr>
    <w:rPr>
      <w:rFonts w:ascii="宋体" w:cs="宋体" w:eastAsiaTheme="minorEastAsia"/>
      <w:b w:val="0"/>
      <w:bCs w:val="0"/>
      <w:szCs w:val="20"/>
    </w:rPr>
  </w:style>
  <w:style w:type="paragraph" w:customStyle="1" w:styleId="198">
    <w:name w:val="段内主题"/>
    <w:basedOn w:val="1"/>
    <w:qFormat/>
    <w:uiPriority w:val="0"/>
    <w:pPr>
      <w:numPr>
        <w:ilvl w:val="1"/>
        <w:numId w:val="5"/>
      </w:numPr>
      <w:spacing w:after="0" w:line="360" w:lineRule="auto"/>
      <w:jc w:val="left"/>
    </w:pPr>
    <w:rPr>
      <w:rFonts w:ascii="宋体" w:hAnsi="宋体"/>
      <w:b/>
      <w:sz w:val="24"/>
      <w:szCs w:val="22"/>
    </w:rPr>
  </w:style>
  <w:style w:type="paragraph" w:customStyle="1" w:styleId="199">
    <w:name w:val="xl117"/>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00">
    <w:name w:val="xl13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1">
    <w:name w:val="方案正文"/>
    <w:basedOn w:val="1"/>
    <w:qFormat/>
    <w:uiPriority w:val="0"/>
    <w:pPr>
      <w:spacing w:before="156" w:after="0" w:line="360" w:lineRule="auto"/>
      <w:ind w:firstLine="359" w:firstLineChars="171"/>
      <w:jc w:val="left"/>
    </w:pPr>
    <w:rPr>
      <w:rFonts w:ascii="Arial" w:hAnsi="Arial" w:cs="宋体"/>
      <w:sz w:val="24"/>
      <w:szCs w:val="20"/>
    </w:rPr>
  </w:style>
  <w:style w:type="paragraph" w:customStyle="1" w:styleId="20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0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04">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205">
    <w:name w:val="dt_正文"/>
    <w:basedOn w:val="1"/>
    <w:qFormat/>
    <w:uiPriority w:val="0"/>
    <w:pPr>
      <w:spacing w:after="0" w:line="360" w:lineRule="auto"/>
      <w:ind w:firstLine="200" w:firstLineChars="200"/>
    </w:pPr>
    <w:rPr>
      <w:rFonts w:hint="eastAsia"/>
      <w:sz w:val="24"/>
      <w:szCs w:val="20"/>
    </w:rPr>
  </w:style>
  <w:style w:type="paragraph" w:customStyle="1" w:styleId="206">
    <w:name w:val="xl12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7">
    <w:name w:val="p19"/>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09">
    <w:name w:val="新世纪2"/>
    <w:basedOn w:val="5"/>
    <w:qFormat/>
    <w:uiPriority w:val="0"/>
    <w:pPr>
      <w:numPr>
        <w:ilvl w:val="1"/>
        <w:numId w:val="6"/>
      </w:numPr>
      <w:ind w:hanging="241" w:hangingChars="241"/>
      <w:jc w:val="left"/>
    </w:pPr>
    <w:rPr>
      <w:rFonts w:ascii="Cambria" w:hAnsi="Cambria" w:eastAsia="宋体" w:cs="Times New Roman"/>
      <w:sz w:val="36"/>
    </w:rPr>
  </w:style>
  <w:style w:type="paragraph" w:customStyle="1" w:styleId="210">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2">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3">
    <w:name w:val="表格和图片"/>
    <w:basedOn w:val="1"/>
    <w:qFormat/>
    <w:uiPriority w:val="0"/>
    <w:pPr>
      <w:spacing w:after="0" w:line="240" w:lineRule="auto"/>
      <w:jc w:val="center"/>
    </w:pPr>
    <w:rPr>
      <w:sz w:val="24"/>
      <w:szCs w:val="18"/>
    </w:rPr>
  </w:style>
  <w:style w:type="paragraph" w:customStyle="1" w:styleId="214">
    <w:name w:val="Char1"/>
    <w:basedOn w:val="1"/>
    <w:qFormat/>
    <w:uiPriority w:val="0"/>
    <w:pPr>
      <w:widowControl/>
      <w:spacing w:line="240" w:lineRule="exact"/>
      <w:jc w:val="left"/>
    </w:pPr>
    <w:rPr>
      <w:rFonts w:ascii="Verdana" w:hAnsi="Verdana"/>
      <w:kern w:val="0"/>
      <w:sz w:val="20"/>
      <w:szCs w:val="20"/>
      <w:lang w:eastAsia="en-US"/>
    </w:rPr>
  </w:style>
  <w:style w:type="paragraph" w:customStyle="1" w:styleId="215">
    <w:name w:val="Normal0"/>
    <w:qFormat/>
    <w:uiPriority w:val="0"/>
    <w:rPr>
      <w:rFonts w:ascii="Times New Roman" w:hAnsi="Times New Roman" w:eastAsia="宋体" w:cs="Times New Roman"/>
      <w:lang w:val="en-US" w:eastAsia="en-US" w:bidi="ar-SA"/>
    </w:rPr>
  </w:style>
  <w:style w:type="paragraph" w:customStyle="1" w:styleId="21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17">
    <w:name w:val="A表格"/>
    <w:qFormat/>
    <w:uiPriority w:val="0"/>
    <w:pPr>
      <w:jc w:val="center"/>
    </w:pPr>
    <w:rPr>
      <w:rFonts w:ascii="宋体" w:hAnsi="宋体" w:eastAsia="宋体" w:cs="Times New Roman"/>
      <w:kern w:val="2"/>
      <w:sz w:val="21"/>
      <w:szCs w:val="22"/>
      <w:lang w:val="en-US" w:eastAsia="zh-CN" w:bidi="ar-SA"/>
    </w:rPr>
  </w:style>
  <w:style w:type="paragraph" w:customStyle="1" w:styleId="218">
    <w:name w:val="xl10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20">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1">
    <w:name w:val="xl17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2">
    <w:name w:val="3级标题"/>
    <w:basedOn w:val="56"/>
    <w:qFormat/>
    <w:uiPriority w:val="0"/>
    <w:pPr>
      <w:keepLines/>
      <w:numPr>
        <w:ilvl w:val="2"/>
        <w:numId w:val="2"/>
      </w:numPr>
      <w:spacing w:before="120" w:after="120" w:line="360" w:lineRule="auto"/>
      <w:ind w:left="862" w:hanging="720" w:firstLineChars="0"/>
      <w:contextualSpacing/>
      <w:jc w:val="left"/>
      <w:outlineLvl w:val="2"/>
    </w:pPr>
    <w:rPr>
      <w:rFonts w:ascii="黑体" w:hAnsi="黑体" w:eastAsia="黑体" w:cstheme="minorBidi"/>
      <w:kern w:val="0"/>
      <w:sz w:val="28"/>
      <w:szCs w:val="36"/>
      <w:lang w:eastAsia="en-US" w:bidi="en-US"/>
    </w:rPr>
  </w:style>
  <w:style w:type="paragraph" w:customStyle="1" w:styleId="223">
    <w:name w:val="p20"/>
    <w:basedOn w:val="1"/>
    <w:qFormat/>
    <w:uiPriority w:val="0"/>
    <w:pPr>
      <w:widowControl/>
      <w:spacing w:after="0" w:line="240" w:lineRule="auto"/>
      <w:ind w:left="431" w:firstLine="420"/>
    </w:pPr>
    <w:rPr>
      <w:rFonts w:ascii="仿宋_GB2312" w:hAnsi="仿宋_GB2312" w:cs="宋体"/>
      <w:kern w:val="0"/>
      <w:sz w:val="32"/>
      <w:szCs w:val="32"/>
    </w:rPr>
  </w:style>
  <w:style w:type="paragraph" w:customStyle="1" w:styleId="224">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25">
    <w:name w:val="wanggh段落-楷体"/>
    <w:basedOn w:val="1"/>
    <w:qFormat/>
    <w:uiPriority w:val="0"/>
    <w:pPr>
      <w:spacing w:beforeLines="50" w:after="0" w:line="360" w:lineRule="auto"/>
      <w:ind w:firstLine="200" w:firstLineChars="200"/>
    </w:pPr>
    <w:rPr>
      <w:rFonts w:ascii="Calibri" w:hAnsi="Calibri" w:eastAsia="楷体_GB2312"/>
      <w:sz w:val="24"/>
      <w:u w:color="ACB9CA"/>
    </w:rPr>
  </w:style>
  <w:style w:type="paragraph" w:customStyle="1" w:styleId="2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27">
    <w:name w:val="p18"/>
    <w:basedOn w:val="1"/>
    <w:qFormat/>
    <w:uiPriority w:val="0"/>
    <w:pPr>
      <w:widowControl/>
      <w:spacing w:after="0" w:line="360" w:lineRule="auto"/>
      <w:ind w:left="431" w:hanging="431"/>
    </w:pPr>
    <w:rPr>
      <w:rFonts w:cs="Calibri"/>
      <w:kern w:val="0"/>
      <w:sz w:val="32"/>
      <w:szCs w:val="32"/>
    </w:rPr>
  </w:style>
  <w:style w:type="paragraph" w:customStyle="1" w:styleId="228">
    <w:name w:val="4级标题"/>
    <w:basedOn w:val="56"/>
    <w:qFormat/>
    <w:uiPriority w:val="0"/>
    <w:pPr>
      <w:keepLines/>
      <w:numPr>
        <w:ilvl w:val="3"/>
        <w:numId w:val="2"/>
      </w:numPr>
      <w:spacing w:after="0" w:line="360" w:lineRule="auto"/>
      <w:ind w:left="5388" w:hanging="567" w:firstLineChars="0"/>
      <w:contextualSpacing/>
      <w:jc w:val="left"/>
      <w:outlineLvl w:val="3"/>
    </w:pPr>
    <w:rPr>
      <w:rFonts w:ascii="黑体" w:hAnsi="黑体" w:eastAsia="黑体" w:cstheme="minorBidi"/>
      <w:kern w:val="0"/>
      <w:sz w:val="24"/>
      <w:szCs w:val="24"/>
      <w:lang w:eastAsia="en-US" w:bidi="en-US"/>
    </w:rPr>
  </w:style>
  <w:style w:type="paragraph" w:customStyle="1" w:styleId="229">
    <w:name w:val="章正文"/>
    <w:basedOn w:val="1"/>
    <w:qFormat/>
    <w:uiPriority w:val="0"/>
    <w:pPr>
      <w:spacing w:beforeLines="50" w:after="120" w:line="300" w:lineRule="auto"/>
      <w:ind w:firstLine="480"/>
    </w:pPr>
    <w:rPr>
      <w:rFonts w:ascii="Helvetica" w:hAnsi="Helvetica"/>
      <w:kern w:val="0"/>
      <w:sz w:val="24"/>
      <w:szCs w:val="20"/>
    </w:rPr>
  </w:style>
  <w:style w:type="paragraph" w:customStyle="1" w:styleId="230">
    <w:name w:val="列出段落2"/>
    <w:basedOn w:val="1"/>
    <w:qFormat/>
    <w:uiPriority w:val="34"/>
    <w:pPr>
      <w:spacing w:after="0" w:line="240" w:lineRule="auto"/>
      <w:ind w:left="431" w:firstLine="420" w:firstLineChars="200"/>
    </w:pPr>
  </w:style>
  <w:style w:type="paragraph" w:customStyle="1" w:styleId="231">
    <w:name w:val="列出段落3"/>
    <w:basedOn w:val="1"/>
    <w:qFormat/>
    <w:uiPriority w:val="0"/>
    <w:pPr>
      <w:spacing w:after="0" w:line="360" w:lineRule="auto"/>
      <w:ind w:firstLine="200" w:firstLineChars="200"/>
    </w:pPr>
    <w:rPr>
      <w:rFonts w:ascii="Calibri" w:hAnsi="Calibri" w:cs="Arial"/>
      <w:sz w:val="24"/>
      <w:szCs w:val="22"/>
    </w:rPr>
  </w:style>
  <w:style w:type="paragraph" w:customStyle="1" w:styleId="232">
    <w:name w:val="xl106"/>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3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3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3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3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239">
    <w:name w:val="样式 首行缩进:  2 字符"/>
    <w:basedOn w:val="1"/>
    <w:qFormat/>
    <w:uiPriority w:val="0"/>
    <w:pPr>
      <w:spacing w:after="0" w:line="240" w:lineRule="auto"/>
      <w:ind w:firstLine="640" w:firstLineChars="200"/>
    </w:pPr>
    <w:rPr>
      <w:rFonts w:ascii="仿宋_GB2312" w:hAnsi="仿宋_GB2312" w:eastAsia="仿宋_GB2312" w:cs="宋体"/>
      <w:kern w:val="0"/>
      <w:sz w:val="32"/>
      <w:szCs w:val="20"/>
    </w:rPr>
  </w:style>
  <w:style w:type="paragraph" w:customStyle="1" w:styleId="240">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1">
    <w:name w:val="xl118"/>
    <w:basedOn w:val="1"/>
    <w:qFormat/>
    <w:uiPriority w:val="0"/>
    <w:pPr>
      <w:widowControl/>
      <w:pBdr>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2">
    <w:name w:val="A4"/>
    <w:basedOn w:val="7"/>
    <w:qFormat/>
    <w:uiPriority w:val="0"/>
    <w:pPr>
      <w:numPr>
        <w:ilvl w:val="3"/>
        <w:numId w:val="7"/>
      </w:numPr>
      <w:spacing w:before="0" w:after="0" w:line="377" w:lineRule="auto"/>
      <w:ind w:left="0" w:firstLine="0"/>
      <w:jc w:val="left"/>
    </w:pPr>
    <w:rPr>
      <w:rFonts w:eastAsia="宋体"/>
      <w:b w:val="0"/>
      <w:kern w:val="0"/>
    </w:rPr>
  </w:style>
  <w:style w:type="paragraph" w:customStyle="1" w:styleId="24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4">
    <w:name w:val="xl123"/>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4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246">
    <w:name w:val="xl115"/>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47">
    <w:name w:val="标准正文"/>
    <w:basedOn w:val="1"/>
    <w:qFormat/>
    <w:uiPriority w:val="0"/>
    <w:pPr>
      <w:spacing w:before="156" w:after="156" w:line="360" w:lineRule="auto"/>
      <w:ind w:firstLine="420" w:firstLineChars="200"/>
    </w:pPr>
    <w:rPr>
      <w:rFonts w:cs="宋体"/>
      <w:szCs w:val="21"/>
    </w:rPr>
  </w:style>
  <w:style w:type="paragraph" w:customStyle="1" w:styleId="24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4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0">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5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52">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254">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25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57">
    <w:name w:val="样式 标题 5H5First BulletL55dashdsddPIM 5Block Labelh5Sec..."/>
    <w:basedOn w:val="8"/>
    <w:qFormat/>
    <w:uiPriority w:val="0"/>
    <w:pPr>
      <w:numPr>
        <w:ilvl w:val="4"/>
        <w:numId w:val="7"/>
      </w:numPr>
      <w:tabs>
        <w:tab w:val="left" w:pos="1008"/>
      </w:tabs>
      <w:spacing w:before="0" w:after="0"/>
      <w:ind w:left="0" w:firstLine="0"/>
      <w:jc w:val="left"/>
    </w:pPr>
    <w:rPr>
      <w:rFonts w:ascii="Arial" w:hAnsi="Arial" w:cs="宋体"/>
      <w:sz w:val="21"/>
      <w:szCs w:val="20"/>
    </w:rPr>
  </w:style>
  <w:style w:type="paragraph" w:customStyle="1" w:styleId="258">
    <w:name w:val="标书正文格式"/>
    <w:qFormat/>
    <w:uiPriority w:val="0"/>
    <w:pPr>
      <w:spacing w:line="360" w:lineRule="auto"/>
      <w:ind w:firstLine="200" w:firstLineChars="200"/>
    </w:pPr>
    <w:rPr>
      <w:rFonts w:ascii="宋体" w:hAnsi="宋体" w:eastAsia="宋体" w:cs="Times New Roman"/>
      <w:kern w:val="2"/>
      <w:sz w:val="24"/>
      <w:lang w:val="en-US" w:eastAsia="zh-CN" w:bidi="ar-SA"/>
    </w:rPr>
  </w:style>
  <w:style w:type="paragraph" w:customStyle="1" w:styleId="259">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60">
    <w:name w:val="font14"/>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61">
    <w:name w:val="列表段落1"/>
    <w:basedOn w:val="1"/>
    <w:qFormat/>
    <w:uiPriority w:val="0"/>
    <w:pPr>
      <w:adjustRightInd w:val="0"/>
      <w:spacing w:after="0" w:line="240" w:lineRule="auto"/>
      <w:ind w:firstLine="420" w:firstLineChars="200"/>
    </w:pPr>
    <w:rPr>
      <w:rFonts w:ascii="Calibri" w:hAnsi="Calibri"/>
    </w:rPr>
  </w:style>
  <w:style w:type="paragraph" w:customStyle="1" w:styleId="26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6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264">
    <w:name w:val="00正文"/>
    <w:basedOn w:val="1"/>
    <w:qFormat/>
    <w:uiPriority w:val="0"/>
    <w:pPr>
      <w:spacing w:beforeLines="50" w:after="0" w:line="360" w:lineRule="auto"/>
      <w:ind w:left="431" w:firstLine="200" w:firstLineChars="200"/>
    </w:pPr>
    <w:rPr>
      <w:sz w:val="24"/>
      <w:szCs w:val="22"/>
    </w:rPr>
  </w:style>
  <w:style w:type="paragraph" w:customStyle="1" w:styleId="265">
    <w:name w:val="首行缩进2字符"/>
    <w:basedOn w:val="1"/>
    <w:qFormat/>
    <w:uiPriority w:val="0"/>
    <w:pPr>
      <w:spacing w:after="0" w:line="360" w:lineRule="auto"/>
      <w:ind w:left="431" w:firstLine="200" w:firstLineChars="200"/>
    </w:pPr>
    <w:rPr>
      <w:rFonts w:cs="宋体"/>
      <w:sz w:val="24"/>
      <w:szCs w:val="20"/>
    </w:rPr>
  </w:style>
  <w:style w:type="paragraph" w:customStyle="1" w:styleId="266">
    <w:name w:val="正文文本首行缩进 21"/>
    <w:basedOn w:val="1"/>
    <w:qFormat/>
    <w:uiPriority w:val="0"/>
    <w:pPr>
      <w:spacing w:after="120" w:line="240" w:lineRule="auto"/>
      <w:ind w:left="420" w:leftChars="200"/>
    </w:pPr>
    <w:rPr>
      <w:rFonts w:cs="宋体"/>
      <w:kern w:val="0"/>
      <w:szCs w:val="21"/>
    </w:rPr>
  </w:style>
  <w:style w:type="paragraph" w:customStyle="1" w:styleId="267">
    <w:name w:val="工可正文"/>
    <w:basedOn w:val="1"/>
    <w:qFormat/>
    <w:uiPriority w:val="0"/>
    <w:pPr>
      <w:spacing w:after="0" w:line="360" w:lineRule="auto"/>
      <w:ind w:firstLine="560" w:firstLineChars="200"/>
    </w:pPr>
    <w:rPr>
      <w:sz w:val="28"/>
      <w:szCs w:val="20"/>
    </w:rPr>
  </w:style>
  <w:style w:type="paragraph" w:customStyle="1" w:styleId="268">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0"/>
      <w:szCs w:val="20"/>
    </w:rPr>
  </w:style>
  <w:style w:type="paragraph" w:customStyle="1" w:styleId="269">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70">
    <w:name w:val="新世纪1"/>
    <w:basedOn w:val="4"/>
    <w:qFormat/>
    <w:uiPriority w:val="0"/>
    <w:pPr>
      <w:numPr>
        <w:ilvl w:val="0"/>
        <w:numId w:val="6"/>
      </w:numPr>
      <w:spacing w:beforeAutospacing="1" w:afterLines="100"/>
      <w:jc w:val="center"/>
    </w:pPr>
    <w:rPr>
      <w:rFonts w:ascii="Calibri" w:hAnsi="Calibri"/>
      <w:color w:val="000000"/>
      <w:szCs w:val="30"/>
    </w:rPr>
  </w:style>
  <w:style w:type="paragraph" w:customStyle="1" w:styleId="271">
    <w:name w:val="表格"/>
    <w:qFormat/>
    <w:uiPriority w:val="0"/>
    <w:pPr>
      <w:jc w:val="center"/>
    </w:pPr>
    <w:rPr>
      <w:rFonts w:ascii="宋体" w:hAnsi="宋体" w:eastAsia="宋体" w:cs="Times New Roman"/>
      <w:kern w:val="2"/>
      <w:sz w:val="21"/>
      <w:szCs w:val="22"/>
      <w:lang w:val="en-US" w:eastAsia="zh-CN" w:bidi="ar-SA"/>
    </w:rPr>
  </w:style>
  <w:style w:type="paragraph" w:customStyle="1" w:styleId="272">
    <w:name w:val="xl126"/>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73">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275">
    <w:name w:val="_Style 1"/>
    <w:basedOn w:val="1"/>
    <w:qFormat/>
    <w:uiPriority w:val="34"/>
    <w:pPr>
      <w:spacing w:after="0" w:line="360" w:lineRule="auto"/>
      <w:ind w:left="431" w:hanging="431"/>
    </w:pPr>
    <w:rPr>
      <w:sz w:val="24"/>
      <w:szCs w:val="22"/>
    </w:rPr>
  </w:style>
  <w:style w:type="paragraph" w:customStyle="1" w:styleId="27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0"/>
      <w:szCs w:val="20"/>
    </w:rPr>
  </w:style>
  <w:style w:type="paragraph" w:customStyle="1" w:styleId="277">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7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1">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3">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84">
    <w:name w:val="font12"/>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86">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288">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9">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290">
    <w:name w:val="样式 标题 3h3l33h31l3131h32l3232h33l3333h34l3434h35..."/>
    <w:basedOn w:val="6"/>
    <w:qFormat/>
    <w:uiPriority w:val="0"/>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291">
    <w:name w:val="正文对齐"/>
    <w:basedOn w:val="1"/>
    <w:qFormat/>
    <w:uiPriority w:val="99"/>
    <w:pPr>
      <w:widowControl/>
      <w:spacing w:after="0" w:line="360" w:lineRule="auto"/>
      <w:ind w:firstLine="200" w:firstLineChars="200"/>
      <w:contextualSpacing/>
      <w:jc w:val="left"/>
    </w:pPr>
    <w:rPr>
      <w:color w:val="000000"/>
      <w:sz w:val="24"/>
      <w:szCs w:val="21"/>
      <w:lang w:val="zh-CN"/>
    </w:rPr>
  </w:style>
  <w:style w:type="paragraph" w:customStyle="1" w:styleId="292">
    <w:name w:val="文档正文"/>
    <w:basedOn w:val="1"/>
    <w:qFormat/>
    <w:uiPriority w:val="0"/>
    <w:pPr>
      <w:adjustRightInd w:val="0"/>
      <w:spacing w:after="0" w:line="312" w:lineRule="atLeast"/>
      <w:ind w:firstLine="567" w:firstLineChars="200"/>
      <w:textAlignment w:val="baseline"/>
    </w:pPr>
    <w:rPr>
      <w:rFonts w:ascii="长城仿宋" w:eastAsia="长城仿宋"/>
      <w:kern w:val="0"/>
      <w:sz w:val="28"/>
      <w:szCs w:val="20"/>
    </w:rPr>
  </w:style>
  <w:style w:type="paragraph" w:customStyle="1" w:styleId="293">
    <w:name w:val="xl125"/>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4">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95">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6">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97">
    <w:name w:val="p15"/>
    <w:basedOn w:val="1"/>
    <w:qFormat/>
    <w:uiPriority w:val="0"/>
    <w:pPr>
      <w:widowControl/>
      <w:spacing w:after="0" w:line="240" w:lineRule="auto"/>
    </w:pPr>
    <w:rPr>
      <w:kern w:val="0"/>
      <w:sz w:val="32"/>
      <w:szCs w:val="32"/>
    </w:rPr>
  </w:style>
  <w:style w:type="paragraph" w:customStyle="1" w:styleId="29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0">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0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02">
    <w:name w:val="xl18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03">
    <w:name w:val="op_dict3_chineselong_result"/>
    <w:basedOn w:val="1"/>
    <w:qFormat/>
    <w:uiPriority w:val="0"/>
    <w:pPr>
      <w:widowControl/>
      <w:spacing w:after="0" w:line="402" w:lineRule="atLeast"/>
      <w:jc w:val="left"/>
    </w:pPr>
    <w:rPr>
      <w:rFonts w:ascii="宋体" w:hAnsi="宋体" w:cs="宋体"/>
      <w:kern w:val="0"/>
      <w:sz w:val="40"/>
      <w:szCs w:val="4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6">
    <w:name w:val="ac"/>
    <w:basedOn w:val="1"/>
    <w:qFormat/>
    <w:uiPriority w:val="99"/>
    <w:pPr>
      <w:widowControl/>
      <w:spacing w:before="100" w:beforeAutospacing="1" w:after="100" w:afterAutospacing="1" w:line="360" w:lineRule="auto"/>
      <w:ind w:firstLine="200" w:firstLineChars="200"/>
      <w:contextualSpacing/>
      <w:jc w:val="left"/>
    </w:pPr>
    <w:rPr>
      <w:rFonts w:ascii="宋体" w:hAnsi="宋体" w:cs="宋体"/>
      <w:color w:val="000000"/>
      <w:kern w:val="0"/>
      <w:sz w:val="24"/>
      <w:lang w:val="zh-CN"/>
    </w:rPr>
  </w:style>
  <w:style w:type="paragraph" w:customStyle="1" w:styleId="307">
    <w:name w:val="xl112"/>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08">
    <w:name w:val="p17"/>
    <w:basedOn w:val="1"/>
    <w:qFormat/>
    <w:uiPriority w:val="0"/>
    <w:pPr>
      <w:widowControl/>
      <w:spacing w:after="0" w:line="240" w:lineRule="auto"/>
      <w:ind w:left="431" w:firstLine="420"/>
    </w:pPr>
    <w:rPr>
      <w:kern w:val="0"/>
      <w:szCs w:val="21"/>
    </w:rPr>
  </w:style>
  <w:style w:type="paragraph" w:customStyle="1" w:styleId="309">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0">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1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2">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4">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1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316">
    <w:name w:val="1级标题"/>
    <w:basedOn w:val="56"/>
    <w:qFormat/>
    <w:uiPriority w:val="0"/>
    <w:pPr>
      <w:keepLines/>
      <w:pageBreakBefore/>
      <w:numPr>
        <w:ilvl w:val="0"/>
        <w:numId w:val="2"/>
      </w:numPr>
      <w:spacing w:before="240" w:after="240" w:line="360" w:lineRule="auto"/>
      <w:ind w:left="6953" w:firstLine="0" w:firstLineChars="0"/>
      <w:contextualSpacing/>
      <w:jc w:val="center"/>
      <w:outlineLvl w:val="0"/>
    </w:pPr>
    <w:rPr>
      <w:rFonts w:ascii="微软雅黑" w:hAnsi="微软雅黑" w:eastAsia="微软雅黑" w:cstheme="minorBidi"/>
      <w:sz w:val="36"/>
      <w:szCs w:val="24"/>
      <w:lang w:eastAsia="en-US" w:bidi="en-US"/>
    </w:rPr>
  </w:style>
  <w:style w:type="paragraph" w:customStyle="1" w:styleId="317">
    <w:name w:val="xl124"/>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8">
    <w:name w:val="xl8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1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2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21">
    <w:name w:val="font13"/>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322">
    <w:name w:val="xl67"/>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32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5">
    <w:name w:val="正文格式"/>
    <w:basedOn w:val="1"/>
    <w:qFormat/>
    <w:uiPriority w:val="0"/>
    <w:pPr>
      <w:widowControl/>
      <w:adjustRightInd w:val="0"/>
      <w:snapToGrid w:val="0"/>
      <w:spacing w:beforeLines="50" w:afterLines="50" w:line="360" w:lineRule="auto"/>
      <w:ind w:firstLine="425" w:firstLineChars="177"/>
      <w:jc w:val="center"/>
      <w:textAlignment w:val="baseline"/>
    </w:pPr>
    <w:rPr>
      <w:rFonts w:ascii="宋体" w:hAnsi="宋体"/>
      <w:bCs/>
      <w:color w:val="000000"/>
      <w:kern w:val="0"/>
      <w:sz w:val="24"/>
      <w:szCs w:val="20"/>
    </w:rPr>
  </w:style>
  <w:style w:type="paragraph" w:customStyle="1" w:styleId="326">
    <w:name w:val="suojin"/>
    <w:basedOn w:val="198"/>
    <w:qFormat/>
    <w:uiPriority w:val="0"/>
    <w:pPr>
      <w:numPr>
        <w:ilvl w:val="0"/>
        <w:numId w:val="8"/>
      </w:numPr>
    </w:pPr>
    <w:rPr>
      <w:sz w:val="21"/>
      <w:szCs w:val="21"/>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328">
    <w:name w:val="Default Text"/>
    <w:basedOn w:val="1"/>
    <w:qFormat/>
    <w:uiPriority w:val="0"/>
    <w:pPr>
      <w:widowControl/>
      <w:overflowPunct w:val="0"/>
      <w:autoSpaceDE w:val="0"/>
      <w:autoSpaceDN w:val="0"/>
      <w:adjustRightInd w:val="0"/>
      <w:spacing w:after="0" w:line="360" w:lineRule="auto"/>
      <w:ind w:firstLine="200" w:firstLineChars="200"/>
      <w:jc w:val="left"/>
      <w:textAlignment w:val="baseline"/>
    </w:pPr>
    <w:rPr>
      <w:kern w:val="0"/>
      <w:sz w:val="24"/>
      <w:szCs w:val="20"/>
    </w:rPr>
  </w:style>
  <w:style w:type="paragraph" w:customStyle="1" w:styleId="329">
    <w:name w:val="Paragraph Text"/>
    <w:basedOn w:val="1"/>
    <w:qFormat/>
    <w:uiPriority w:val="0"/>
    <w:pPr>
      <w:widowControl/>
      <w:spacing w:after="0" w:line="320" w:lineRule="exact"/>
      <w:ind w:firstLine="200" w:firstLineChars="200"/>
      <w:jc w:val="left"/>
    </w:pPr>
    <w:rPr>
      <w:rFonts w:ascii="Beijing" w:eastAsia="Times New Roman"/>
      <w:kern w:val="0"/>
      <w:sz w:val="18"/>
      <w:szCs w:val="18"/>
    </w:rPr>
  </w:style>
  <w:style w:type="paragraph" w:customStyle="1" w:styleId="3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1">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2">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335">
    <w:name w:val="Table Paragraph"/>
    <w:basedOn w:val="1"/>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336">
    <w:name w:val="_Style 45"/>
    <w:basedOn w:val="1"/>
    <w:qFormat/>
    <w:uiPriority w:val="34"/>
    <w:pPr>
      <w:spacing w:after="0" w:line="240" w:lineRule="auto"/>
      <w:ind w:firstLine="200" w:firstLineChars="200"/>
    </w:pPr>
  </w:style>
  <w:style w:type="paragraph" w:customStyle="1" w:styleId="337">
    <w:name w:val="xl169"/>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8">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9">
    <w:name w:val="xl119"/>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41">
    <w:name w:val="xl11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3">
    <w:name w:val="p0"/>
    <w:basedOn w:val="1"/>
    <w:qFormat/>
    <w:uiPriority w:val="0"/>
    <w:pPr>
      <w:widowControl/>
      <w:spacing w:after="0" w:line="240" w:lineRule="auto"/>
      <w:ind w:left="431" w:hanging="431"/>
    </w:pPr>
    <w:rPr>
      <w:kern w:val="0"/>
      <w:szCs w:val="21"/>
    </w:rPr>
  </w:style>
  <w:style w:type="paragraph" w:customStyle="1" w:styleId="344">
    <w:name w:val="_Style 4"/>
    <w:basedOn w:val="1"/>
    <w:qFormat/>
    <w:uiPriority w:val="34"/>
    <w:pPr>
      <w:spacing w:after="0" w:line="360" w:lineRule="auto"/>
      <w:ind w:left="431" w:firstLine="420" w:firstLineChars="200"/>
    </w:pPr>
    <w:rPr>
      <w:sz w:val="24"/>
      <w:szCs w:val="22"/>
    </w:rPr>
  </w:style>
  <w:style w:type="paragraph" w:customStyle="1" w:styleId="345">
    <w:name w:val="标书页眉"/>
    <w:qFormat/>
    <w:uiPriority w:val="0"/>
    <w:pPr>
      <w:pBdr>
        <w:bottom w:val="single" w:color="auto" w:sz="4" w:space="1"/>
      </w:pBdr>
    </w:pPr>
    <w:rPr>
      <w:rFonts w:ascii="Times New Roman" w:hAnsi="Times New Roman" w:eastAsia="宋体" w:cs="Times New Roman"/>
      <w:kern w:val="2"/>
      <w:sz w:val="18"/>
      <w:szCs w:val="18"/>
      <w:lang w:val="en-US" w:eastAsia="zh-CN" w:bidi="ar-SA"/>
    </w:rPr>
  </w:style>
  <w:style w:type="paragraph" w:customStyle="1" w:styleId="346">
    <w:name w:val="op_dict3_more_example"/>
    <w:basedOn w:val="1"/>
    <w:qFormat/>
    <w:uiPriority w:val="0"/>
    <w:pPr>
      <w:widowControl/>
      <w:spacing w:after="0" w:line="240" w:lineRule="auto"/>
      <w:jc w:val="left"/>
    </w:pPr>
    <w:rPr>
      <w:rFonts w:ascii="宋体" w:hAnsi="宋体" w:cs="宋体"/>
      <w:vanish/>
      <w:kern w:val="0"/>
      <w:sz w:val="24"/>
    </w:rPr>
  </w:style>
  <w:style w:type="paragraph" w:customStyle="1" w:styleId="34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48">
    <w:name w:val="_正文段落"/>
    <w:basedOn w:val="1"/>
    <w:qFormat/>
    <w:uiPriority w:val="0"/>
    <w:pPr>
      <w:spacing w:beforeLines="15" w:afterLines="15" w:line="360" w:lineRule="auto"/>
      <w:ind w:left="431" w:firstLine="200" w:firstLineChars="200"/>
    </w:pPr>
    <w:rPr>
      <w:color w:val="000000"/>
      <w:kern w:val="0"/>
      <w:sz w:val="24"/>
    </w:rPr>
  </w:style>
  <w:style w:type="paragraph" w:customStyle="1" w:styleId="349">
    <w:name w:val="xl83"/>
    <w:basedOn w:val="1"/>
    <w:qFormat/>
    <w:uiPriority w:val="0"/>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0">
    <w:name w:val="T !图片标题"/>
    <w:basedOn w:val="1"/>
    <w:next w:val="1"/>
    <w:qFormat/>
    <w:uiPriority w:val="0"/>
    <w:pPr>
      <w:adjustRightInd w:val="0"/>
      <w:snapToGrid w:val="0"/>
      <w:spacing w:after="0" w:line="360" w:lineRule="auto"/>
      <w:jc w:val="center"/>
      <w:textAlignment w:val="baseline"/>
    </w:pPr>
    <w:rPr>
      <w:b/>
      <w:kern w:val="0"/>
      <w:szCs w:val="30"/>
    </w:rPr>
  </w:style>
  <w:style w:type="paragraph" w:customStyle="1" w:styleId="35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2">
    <w:name w:val="修订1"/>
    <w:qFormat/>
    <w:uiPriority w:val="0"/>
    <w:rPr>
      <w:rFonts w:ascii="Times New Roman" w:hAnsi="Times New Roman" w:eastAsia="宋体" w:cs="Times New Roman"/>
      <w:kern w:val="2"/>
      <w:sz w:val="24"/>
      <w:szCs w:val="22"/>
      <w:lang w:val="en-US" w:eastAsia="zh-CN" w:bidi="ar-SA"/>
    </w:rPr>
  </w:style>
  <w:style w:type="paragraph" w:customStyle="1" w:styleId="35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4">
    <w:name w:val="font10"/>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5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57">
    <w:name w:val="报告正文文字"/>
    <w:basedOn w:val="1"/>
    <w:qFormat/>
    <w:uiPriority w:val="0"/>
    <w:pPr>
      <w:spacing w:after="0" w:line="240" w:lineRule="auto"/>
      <w:ind w:left="431" w:firstLine="560" w:firstLineChars="200"/>
    </w:pPr>
    <w:rPr>
      <w:kern w:val="0"/>
      <w:sz w:val="28"/>
      <w:szCs w:val="20"/>
    </w:rPr>
  </w:style>
  <w:style w:type="paragraph" w:customStyle="1" w:styleId="35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9">
    <w:name w:val="样式 样式 样式 (符号) 宋体 首行缩进:  1.5 字符 + 首行缩进:  2 字符 + 首行缩进:  2 字符"/>
    <w:basedOn w:val="1"/>
    <w:qFormat/>
    <w:uiPriority w:val="0"/>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36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361">
    <w:name w:val="font9"/>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2">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6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365">
    <w:name w:val="小标题 1"/>
    <w:basedOn w:val="1"/>
    <w:qFormat/>
    <w:uiPriority w:val="99"/>
    <w:pPr>
      <w:autoSpaceDE w:val="0"/>
      <w:autoSpaceDN w:val="0"/>
      <w:adjustRightInd w:val="0"/>
      <w:spacing w:after="0" w:line="360" w:lineRule="atLeast"/>
      <w:ind w:firstLine="200" w:firstLineChars="200"/>
    </w:pPr>
    <w:rPr>
      <w:rFonts w:ascii="文鼎粗黑" w:eastAsia="文鼎粗黑"/>
      <w:kern w:val="0"/>
      <w:sz w:val="22"/>
      <w:szCs w:val="20"/>
    </w:rPr>
  </w:style>
  <w:style w:type="paragraph" w:customStyle="1" w:styleId="366">
    <w:name w:val="xl132"/>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67">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6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36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0">
    <w:name w:val="一般段落"/>
    <w:basedOn w:val="1"/>
    <w:qFormat/>
    <w:uiPriority w:val="0"/>
    <w:pPr>
      <w:spacing w:after="0" w:line="360" w:lineRule="auto"/>
      <w:ind w:firstLine="420"/>
    </w:pPr>
    <w:rPr>
      <w:kern w:val="0"/>
      <w:sz w:val="24"/>
    </w:rPr>
  </w:style>
  <w:style w:type="paragraph" w:customStyle="1" w:styleId="371">
    <w:name w:val="xl65"/>
    <w:basedOn w:val="1"/>
    <w:qFormat/>
    <w:uiPriority w:val="0"/>
    <w:pPr>
      <w:widowControl/>
      <w:pBdr>
        <w:top w:val="single" w:color="auto" w:sz="8" w:space="0"/>
        <w:right w:val="single" w:color="auto" w:sz="8" w:space="0"/>
      </w:pBdr>
      <w:spacing w:before="100" w:beforeAutospacing="1" w:after="100" w:afterAutospacing="1" w:line="240" w:lineRule="auto"/>
      <w:jc w:val="center"/>
    </w:pPr>
    <w:rPr>
      <w:rFonts w:ascii="宋体" w:hAnsi="宋体" w:cs="宋体"/>
      <w:b/>
      <w:bCs/>
      <w:kern w:val="0"/>
      <w:szCs w:val="21"/>
    </w:rPr>
  </w:style>
  <w:style w:type="paragraph" w:customStyle="1" w:styleId="37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7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4">
    <w:name w:val="项目编号"/>
    <w:basedOn w:val="1"/>
    <w:qFormat/>
    <w:uiPriority w:val="0"/>
    <w:pPr>
      <w:spacing w:after="0" w:line="360" w:lineRule="auto"/>
      <w:ind w:left="284" w:firstLine="116" w:firstLineChars="200"/>
    </w:pPr>
    <w:rPr>
      <w:rFonts w:ascii="仿宋_GB2312" w:eastAsia="仿宋_GB2312"/>
      <w:sz w:val="24"/>
    </w:rPr>
  </w:style>
  <w:style w:type="paragraph" w:customStyle="1" w:styleId="375">
    <w:name w:val="图片居中"/>
    <w:basedOn w:val="1"/>
    <w:qFormat/>
    <w:uiPriority w:val="0"/>
    <w:pPr>
      <w:spacing w:after="0" w:line="360" w:lineRule="auto"/>
      <w:ind w:left="431" w:hanging="431"/>
      <w:jc w:val="center"/>
    </w:pPr>
    <w:rPr>
      <w:sz w:val="24"/>
    </w:rPr>
  </w:style>
  <w:style w:type="paragraph" w:customStyle="1" w:styleId="37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77">
    <w:name w:val="cdg-正文"/>
    <w:basedOn w:val="1"/>
    <w:qFormat/>
    <w:uiPriority w:val="0"/>
    <w:pPr>
      <w:spacing w:beforeLines="50" w:after="0" w:line="360" w:lineRule="auto"/>
      <w:ind w:left="431" w:firstLine="200" w:firstLineChars="200"/>
    </w:pPr>
    <w:rPr>
      <w:rFonts w:eastAsia="楷体_GB2312"/>
      <w:sz w:val="30"/>
      <w:szCs w:val="22"/>
    </w:rPr>
  </w:style>
  <w:style w:type="table" w:customStyle="1" w:styleId="378">
    <w:name w:val="Table Normal"/>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379">
    <w:name w:val="题注 Char1"/>
    <w:qFormat/>
    <w:uiPriority w:val="0"/>
    <w:rPr>
      <w:rFonts w:ascii="Arial Unicode MS" w:hAnsi="Arial Unicode MS" w:eastAsia="宋体" w:cs="Times New Roman"/>
      <w:szCs w:val="20"/>
      <w:lang w:val="zh-CN" w:eastAsia="zh-CN"/>
    </w:rPr>
  </w:style>
  <w:style w:type="paragraph" w:customStyle="1" w:styleId="380">
    <w:name w:val="List Paragraph1"/>
    <w:basedOn w:val="1"/>
    <w:qFormat/>
    <w:uiPriority w:val="99"/>
    <w:pPr>
      <w:spacing w:before="100" w:beforeAutospacing="1" w:after="100" w:afterAutospacing="1" w:line="240" w:lineRule="auto"/>
      <w:ind w:firstLine="420" w:firstLineChars="200"/>
    </w:pPr>
    <w:rPr>
      <w:rFonts w:eastAsia="仿宋_GB2312"/>
      <w:sz w:val="32"/>
      <w:szCs w:val="32"/>
    </w:rPr>
  </w:style>
  <w:style w:type="paragraph" w:customStyle="1" w:styleId="381">
    <w:name w:val="内容文本"/>
    <w:basedOn w:val="56"/>
    <w:link w:val="382"/>
    <w:qFormat/>
    <w:uiPriority w:val="0"/>
    <w:pPr>
      <w:spacing w:after="0" w:line="360" w:lineRule="auto"/>
      <w:ind w:firstLine="200"/>
      <w:contextualSpacing/>
      <w:jc w:val="left"/>
    </w:pPr>
    <w:rPr>
      <w:rFonts w:ascii="宋体" w:hAnsi="宋体"/>
      <w:kern w:val="0"/>
      <w:sz w:val="24"/>
      <w:szCs w:val="24"/>
      <w:lang w:val="zh-CN" w:eastAsia="en-US" w:bidi="en-US"/>
    </w:rPr>
  </w:style>
  <w:style w:type="character" w:customStyle="1" w:styleId="382">
    <w:name w:val="内容文本 Char"/>
    <w:link w:val="381"/>
    <w:qFormat/>
    <w:uiPriority w:val="0"/>
    <w:rPr>
      <w:rFonts w:ascii="宋体" w:hAnsi="宋体" w:eastAsia="宋体" w:cs="Times New Roman"/>
      <w:sz w:val="24"/>
      <w:szCs w:val="24"/>
      <w:lang w:val="zh-CN" w:eastAsia="en-US" w:bidi="en-US"/>
    </w:rPr>
  </w:style>
  <w:style w:type="paragraph" w:customStyle="1" w:styleId="383">
    <w:name w:val="列表（编号一级）（深信服）"/>
    <w:basedOn w:val="1"/>
    <w:qFormat/>
    <w:uiPriority w:val="0"/>
    <w:pPr>
      <w:widowControl/>
      <w:numPr>
        <w:ilvl w:val="0"/>
        <w:numId w:val="9"/>
      </w:numPr>
      <w:tabs>
        <w:tab w:val="left" w:pos="420"/>
      </w:tabs>
      <w:adjustRightInd w:val="0"/>
      <w:snapToGrid w:val="0"/>
      <w:spacing w:after="0" w:line="360" w:lineRule="auto"/>
    </w:pPr>
    <w:rPr>
      <w:kern w:val="0"/>
      <w:sz w:val="24"/>
      <w:szCs w:val="21"/>
    </w:rPr>
  </w:style>
  <w:style w:type="character" w:customStyle="1" w:styleId="384">
    <w:name w:val="页眉 Char"/>
    <w:qFormat/>
    <w:uiPriority w:val="99"/>
    <w:rPr>
      <w:rFonts w:ascii="Calibri" w:hAnsi="Calibri" w:eastAsia="宋体" w:cs="Times New Roman"/>
      <w:sz w:val="18"/>
      <w:szCs w:val="18"/>
    </w:rPr>
  </w:style>
  <w:style w:type="paragraph" w:customStyle="1" w:styleId="385">
    <w:name w:val="样式 标题 2 + Times New Roman 四号 非加粗 段前: 5 磅 段后: 0 磅 行距: 固定值 20..."/>
    <w:basedOn w:val="5"/>
    <w:qFormat/>
    <w:uiPriority w:val="99"/>
    <w:pPr>
      <w:spacing w:before="100" w:line="400" w:lineRule="exact"/>
    </w:pPr>
    <w:rPr>
      <w:rFonts w:ascii="Times New Roman" w:hAnsi="Times New Roman" w:cs="宋体"/>
      <w:b w:val="0"/>
      <w:kern w:val="0"/>
      <w:sz w:val="28"/>
    </w:rPr>
  </w:style>
  <w:style w:type="character" w:customStyle="1" w:styleId="38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312D7-CB42-44A5-B202-3851F6E1C39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42</Pages>
  <Words>18157</Words>
  <Characters>18865</Characters>
  <Lines>65</Lines>
  <Paragraphs>84</Paragraphs>
  <TotalTime>0</TotalTime>
  <ScaleCrop>false</ScaleCrop>
  <LinksUpToDate>false</LinksUpToDate>
  <CharactersWithSpaces>20477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2021-09-29T09:30:00Z</dcterms:created>
  <dc:creator>S-mile</dc:creator>
  <cp:lastModifiedBy>金磊</cp:lastModifiedBy>
  <cp:lastPrinted>2022-07-12T08:32:00Z</cp:lastPrinted>
  <dcterms:modified xsi:type="dcterms:W3CDTF">2022-08-10T08:22:19Z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03D3A3AFA4094FFE8DB412D12A3A5879</vt:lpwstr>
  </property>
</Properties>
</file>