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政府采购竞争性磋商文件</w:t>
      </w:r>
    </w:p>
    <w:p>
      <w:pPr>
        <w:pStyle w:val="2"/>
        <w:ind w:left="0" w:leftChars="0" w:firstLine="0"/>
        <w:rPr>
          <w:color w:val="000000" w:themeColor="text1"/>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hint="default" w:ascii="宋体" w:eastAsia="宋体"/>
          <w:b/>
          <w:color w:val="000000" w:themeColor="text1"/>
          <w:kern w:val="0"/>
          <w:sz w:val="32"/>
          <w:lang w:val="en-US" w:eastAsia="zh-CN"/>
          <w14:textFill>
            <w14:solidFill>
              <w14:schemeClr w14:val="tx1"/>
            </w14:solidFill>
          </w14:textFill>
        </w:rPr>
      </w:pPr>
      <w:r>
        <w:rPr>
          <w:rFonts w:hint="eastAsia" w:ascii="宋体"/>
          <w:b/>
          <w:color w:val="000000" w:themeColor="text1"/>
          <w:kern w:val="0"/>
          <w:sz w:val="32"/>
          <w14:textFill>
            <w14:solidFill>
              <w14:schemeClr w14:val="tx1"/>
            </w14:solidFill>
          </w14:textFill>
        </w:rPr>
        <w:t>项目编号：三招采-2022-CS</w:t>
      </w:r>
      <w:r>
        <w:rPr>
          <w:rFonts w:hint="eastAsia" w:ascii="宋体"/>
          <w:b/>
          <w:color w:val="000000" w:themeColor="text1"/>
          <w:kern w:val="0"/>
          <w:sz w:val="32"/>
          <w:lang w:val="en-US" w:eastAsia="zh-CN"/>
          <w14:textFill>
            <w14:solidFill>
              <w14:schemeClr w14:val="tx1"/>
            </w14:solidFill>
          </w14:textFill>
        </w:rPr>
        <w:t>104</w:t>
      </w:r>
    </w:p>
    <w:p>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pPr>
        <w:pStyle w:val="2"/>
        <w:rPr>
          <w:color w:val="000000" w:themeColor="text1"/>
          <w14:textFill>
            <w14:solidFill>
              <w14:schemeClr w14:val="tx1"/>
            </w14:solidFill>
          </w14:textFill>
        </w:rPr>
      </w:pPr>
    </w:p>
    <w:p>
      <w:pPr>
        <w:autoSpaceDE w:val="0"/>
        <w:autoSpaceDN w:val="0"/>
        <w:adjustRightInd w:val="0"/>
        <w:spacing w:line="360" w:lineRule="auto"/>
        <w:ind w:firstLine="2054" w:firstLineChars="642"/>
        <w:jc w:val="left"/>
        <w:rPr>
          <w:rFonts w:ascii="宋体"/>
          <w:color w:val="000000" w:themeColor="text1"/>
          <w:kern w:val="0"/>
          <w:sz w:val="32"/>
          <w:szCs w:val="32"/>
          <w14:textFill>
            <w14:solidFill>
              <w14:schemeClr w14:val="tx1"/>
            </w14:solidFill>
          </w14:textFill>
        </w:rPr>
      </w:pPr>
    </w:p>
    <w:p>
      <w:pPr>
        <w:autoSpaceDE w:val="0"/>
        <w:autoSpaceDN w:val="0"/>
        <w:adjustRightInd w:val="0"/>
        <w:spacing w:line="360" w:lineRule="auto"/>
        <w:jc w:val="center"/>
        <w:rPr>
          <w:rFonts w:hint="eastAsia" w:ascii="宋体" w:eastAsia="宋体"/>
          <w:color w:val="000000" w:themeColor="text1"/>
          <w:kern w:val="0"/>
          <w:sz w:val="32"/>
          <w:szCs w:val="32"/>
          <w:lang w:eastAsia="zh-CN"/>
          <w14:textFill>
            <w14:solidFill>
              <w14:schemeClr w14:val="tx1"/>
            </w14:solidFill>
          </w14:textFill>
        </w:rPr>
      </w:pPr>
      <w:r>
        <w:rPr>
          <w:rFonts w:hint="eastAsia" w:ascii="宋体"/>
          <w:color w:val="000000" w:themeColor="text1"/>
          <w:kern w:val="0"/>
          <w:sz w:val="32"/>
          <w:szCs w:val="32"/>
          <w14:textFill>
            <w14:solidFill>
              <w14:schemeClr w14:val="tx1"/>
            </w14:solidFill>
          </w14:textFill>
        </w:rPr>
        <w:t>采购项目：</w:t>
      </w:r>
      <w:r>
        <w:rPr>
          <w:rFonts w:hint="eastAsia" w:ascii="宋体"/>
          <w:color w:val="000000" w:themeColor="text1"/>
          <w:kern w:val="0"/>
          <w:sz w:val="32"/>
          <w:szCs w:val="32"/>
          <w:lang w:eastAsia="zh-CN"/>
          <w14:textFill>
            <w14:solidFill>
              <w14:schemeClr w14:val="tx1"/>
            </w14:solidFill>
          </w14:textFill>
        </w:rPr>
        <w:t>三门县浦坝港镇小岭下至从岙道路提升改造工程</w:t>
      </w:r>
    </w:p>
    <w:p>
      <w:pPr>
        <w:autoSpaceDE w:val="0"/>
        <w:autoSpaceDN w:val="0"/>
        <w:adjustRightInd w:val="0"/>
        <w:spacing w:line="360" w:lineRule="auto"/>
        <w:jc w:val="center"/>
        <w:rPr>
          <w:rFonts w:ascii="宋体"/>
          <w:color w:val="000000" w:themeColor="text1"/>
          <w:kern w:val="0"/>
          <w:sz w:val="32"/>
          <w:szCs w:val="32"/>
          <w14:textFill>
            <w14:solidFill>
              <w14:schemeClr w14:val="tx1"/>
            </w14:solidFill>
          </w14:textFill>
        </w:rPr>
      </w:pPr>
    </w:p>
    <w:p>
      <w:pPr>
        <w:autoSpaceDE w:val="0"/>
        <w:autoSpaceDN w:val="0"/>
        <w:adjustRightInd w:val="0"/>
        <w:spacing w:line="360" w:lineRule="auto"/>
        <w:jc w:val="center"/>
        <w:rPr>
          <w:rFonts w:hint="eastAsia" w:ascii="宋体" w:eastAsia="宋体"/>
          <w:color w:val="000000" w:themeColor="text1"/>
          <w:kern w:val="0"/>
          <w:sz w:val="32"/>
          <w:szCs w:val="32"/>
          <w:lang w:eastAsia="zh-CN"/>
          <w14:textFill>
            <w14:solidFill>
              <w14:schemeClr w14:val="tx1"/>
            </w14:solidFill>
          </w14:textFill>
        </w:rPr>
      </w:pPr>
      <w:r>
        <w:rPr>
          <w:rFonts w:hint="eastAsia" w:ascii="宋体"/>
          <w:color w:val="000000" w:themeColor="text1"/>
          <w:kern w:val="0"/>
          <w:sz w:val="32"/>
          <w:szCs w:val="32"/>
          <w14:textFill>
            <w14:solidFill>
              <w14:schemeClr w14:val="tx1"/>
            </w14:solidFill>
          </w14:textFill>
        </w:rPr>
        <w:t>采 购 人：</w:t>
      </w:r>
      <w:r>
        <w:rPr>
          <w:rFonts w:hint="eastAsia" w:ascii="宋体"/>
          <w:color w:val="000000" w:themeColor="text1"/>
          <w:kern w:val="0"/>
          <w:sz w:val="32"/>
          <w:szCs w:val="32"/>
          <w:lang w:eastAsia="zh-CN"/>
          <w14:textFill>
            <w14:solidFill>
              <w14:schemeClr w14:val="tx1"/>
            </w14:solidFill>
          </w14:textFill>
        </w:rPr>
        <w:t>三门县浦坝港镇人民政府</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szCs w:val="32"/>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ind w:left="0" w:leftChars="0" w:firstLine="0" w:firstLine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jc w:val="center"/>
        <w:rPr>
          <w:rFonts w:hint="eastAsia"/>
          <w:lang w:eastAsia="zh-CN"/>
        </w:rPr>
      </w:pPr>
      <w:r>
        <w:rPr>
          <w:rFonts w:hint="eastAsia" w:ascii="宋体" w:hAnsi="宋体" w:cs="宋体"/>
          <w:color w:val="000000" w:themeColor="text1"/>
          <w:kern w:val="0"/>
          <w:sz w:val="32"/>
          <w:szCs w:val="32"/>
          <w:lang w:eastAsia="zh-CN"/>
          <w14:textFill>
            <w14:solidFill>
              <w14:schemeClr w14:val="tx1"/>
            </w14:solidFill>
          </w14:textFill>
        </w:rPr>
        <w:t>三门县熠橙工程管理有限公司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2022年</w:t>
      </w:r>
      <w:r>
        <w:rPr>
          <w:rFonts w:hint="eastAsia" w:ascii="宋体" w:hAnsi="宋体" w:cs="宋体"/>
          <w:color w:val="000000" w:themeColor="text1"/>
          <w:kern w:val="0"/>
          <w:sz w:val="32"/>
          <w:szCs w:val="32"/>
          <w:lang w:val="en-US" w:eastAsia="zh-CN"/>
          <w14:textFill>
            <w14:solidFill>
              <w14:schemeClr w14:val="tx1"/>
            </w14:solidFill>
          </w14:textFill>
        </w:rPr>
        <w:t>8</w:t>
      </w:r>
      <w:r>
        <w:rPr>
          <w:rFonts w:hint="eastAsia" w:ascii="宋体" w:hAnsi="宋体" w:cs="宋体"/>
          <w:color w:val="000000" w:themeColor="text1"/>
          <w:kern w:val="0"/>
          <w:sz w:val="32"/>
          <w:szCs w:val="32"/>
          <w14:textFill>
            <w14:solidFill>
              <w14:schemeClr w14:val="tx1"/>
            </w14:solidFill>
          </w14:textFill>
        </w:rPr>
        <w:t>月</w:t>
      </w:r>
    </w:p>
    <w:p>
      <w:pPr>
        <w:spacing w:line="360" w:lineRule="auto"/>
        <w:rPr>
          <w:color w:val="000000" w:themeColor="text1"/>
          <w14:textFill>
            <w14:solidFill>
              <w14:schemeClr w14:val="tx1"/>
            </w14:solidFill>
          </w14:textFill>
        </w:rPr>
      </w:pPr>
    </w:p>
    <w:p>
      <w:pPr>
        <w:pStyle w:val="73"/>
        <w:rPr>
          <w:color w:val="000000" w:themeColor="text1"/>
          <w14:textFill>
            <w14:solidFill>
              <w14:schemeClr w14:val="tx1"/>
            </w14:solidFill>
          </w14:textFill>
        </w:rPr>
        <w:sectPr>
          <w:headerReference r:id="rId3" w:type="default"/>
          <w:footerReference r:id="rId4" w:type="default"/>
          <w:pgSz w:w="11906" w:h="16838"/>
          <w:pgMar w:top="1440" w:right="1440" w:bottom="1440" w:left="1797" w:header="851" w:footer="850" w:gutter="0"/>
          <w:pgBorders>
            <w:top w:val="none" w:sz="0" w:space="0"/>
            <w:left w:val="none" w:sz="0" w:space="0"/>
            <w:bottom w:val="none" w:sz="0" w:space="0"/>
            <w:right w:val="none" w:sz="0" w:space="0"/>
          </w:pgBorders>
          <w:pgNumType w:start="1"/>
          <w:cols w:space="720" w:num="1"/>
          <w:docGrid w:type="lines" w:linePitch="312" w:charSpace="0"/>
        </w:sectPr>
      </w:pPr>
    </w:p>
    <w:sdt>
      <w:sdtPr>
        <w:rPr>
          <w:rFonts w:ascii="宋体" w:hAnsi="宋体"/>
          <w:color w:val="000000" w:themeColor="text1"/>
          <w:sz w:val="52"/>
          <w:szCs w:val="52"/>
          <w14:textFill>
            <w14:solidFill>
              <w14:schemeClr w14:val="tx1"/>
            </w14:solidFill>
          </w14:textFill>
        </w:rPr>
        <w:id w:val="147457811"/>
        <w:docPartObj>
          <w:docPartGallery w:val="Table of Contents"/>
          <w:docPartUnique/>
        </w:docPartObj>
      </w:sdtPr>
      <w:sdtEndPr>
        <w:rPr>
          <w:rFonts w:ascii="Times New Roman" w:hAnsi="Times New Roman"/>
          <w:color w:val="000000" w:themeColor="text1"/>
          <w:sz w:val="21"/>
          <w:szCs w:val="24"/>
          <w14:textFill>
            <w14:solidFill>
              <w14:schemeClr w14:val="tx1"/>
            </w14:solidFill>
          </w14:textFill>
        </w:rPr>
      </w:sdtEndPr>
      <w:sdtContent>
        <w:p>
          <w:pPr>
            <w:jc w:val="center"/>
            <w:rPr>
              <w:rFonts w:ascii="宋体" w:hAnsi="宋体" w:cs="宋体"/>
              <w:b/>
              <w:bCs/>
              <w:color w:val="000000" w:themeColor="text1"/>
              <w:sz w:val="52"/>
              <w:szCs w:val="52"/>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目 录</w:t>
          </w:r>
        </w:p>
        <w:p>
          <w:pPr>
            <w:pStyle w:val="3"/>
            <w:rPr>
              <w:color w:val="000000" w:themeColor="text1"/>
              <w14:textFill>
                <w14:solidFill>
                  <w14:schemeClr w14:val="tx1"/>
                </w14:solidFill>
              </w14:textFill>
            </w:rPr>
          </w:pP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fldChar w:fldCharType="begin"/>
          </w:r>
          <w:r>
            <w:rPr>
              <w:rFonts w:hint="eastAsia" w:ascii="宋体" w:hAnsi="宋体" w:cs="宋体"/>
              <w:b/>
              <w:bCs/>
              <w:color w:val="000000" w:themeColor="text1"/>
              <w:sz w:val="32"/>
              <w:szCs w:val="32"/>
              <w14:textFill>
                <w14:solidFill>
                  <w14:schemeClr w14:val="tx1"/>
                </w14:solidFill>
              </w14:textFill>
            </w:rPr>
            <w:instrText xml:space="preserve">TOC \o "1-1" \h \u </w:instrText>
          </w:r>
          <w:r>
            <w:rPr>
              <w:rFonts w:hint="eastAsia" w:ascii="宋体" w:hAnsi="宋体" w:cs="宋体"/>
              <w:b/>
              <w:bCs/>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"_Toc93048451" </w:instrText>
          </w:r>
          <w:r>
            <w:rPr>
              <w:color w:val="000000" w:themeColor="text1"/>
              <w14:textFill>
                <w14:solidFill>
                  <w14:schemeClr w14:val="tx1"/>
                </w14:solidFill>
              </w14:textFill>
            </w:rPr>
            <w:fldChar w:fldCharType="separate"/>
          </w:r>
          <w:r>
            <w:rPr>
              <w:rStyle w:val="47"/>
              <w:rFonts w:hint="eastAsia" w:ascii="宋体" w:hAnsi="宋体" w:cs="宋体"/>
              <w:b/>
              <w:color w:val="000000" w:themeColor="text1"/>
              <w14:textFill>
                <w14:solidFill>
                  <w14:schemeClr w14:val="tx1"/>
                </w14:solidFill>
              </w14:textFill>
            </w:rPr>
            <w:t>第一章</w:t>
          </w:r>
          <w:r>
            <w:rPr>
              <w:rStyle w:val="47"/>
              <w:rFonts w:hint="eastAsia" w:ascii="宋体" w:hAnsi="宋体" w:cs="宋体"/>
              <w:b/>
              <w:color w:val="000000" w:themeColor="text1"/>
              <w:kern w:val="0"/>
              <w14:textFill>
                <w14:solidFill>
                  <w14:schemeClr w14:val="tx1"/>
                </w14:solidFill>
              </w14:textFill>
            </w:rPr>
            <w:t xml:space="preserve"> 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"_Toc93048452" </w:instrText>
          </w:r>
          <w:r>
            <w:rPr>
              <w:color w:val="000000" w:themeColor="text1"/>
              <w14:textFill>
                <w14:solidFill>
                  <w14:schemeClr w14:val="tx1"/>
                </w14:solidFill>
              </w14:textFill>
            </w:rPr>
            <w:fldChar w:fldCharType="separate"/>
          </w:r>
          <w:r>
            <w:rPr>
              <w:rStyle w:val="47"/>
              <w:rFonts w:hint="eastAsia"/>
              <w:b/>
              <w:color w:val="000000" w:themeColor="text1"/>
              <w14:textFill>
                <w14:solidFill>
                  <w14:schemeClr w14:val="tx1"/>
                </w14:solidFill>
              </w14:textFill>
            </w:rPr>
            <w:t>第二章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"_Toc93048453" </w:instrText>
          </w:r>
          <w:r>
            <w:rPr>
              <w:color w:val="000000" w:themeColor="text1"/>
              <w14:textFill>
                <w14:solidFill>
                  <w14:schemeClr w14:val="tx1"/>
                </w14:solidFill>
              </w14:textFill>
            </w:rPr>
            <w:fldChar w:fldCharType="separate"/>
          </w:r>
          <w:r>
            <w:rPr>
              <w:rStyle w:val="47"/>
              <w:rFonts w:hint="eastAsia"/>
              <w:b/>
              <w:color w:val="000000" w:themeColor="text1"/>
              <w14:textFill>
                <w14:solidFill>
                  <w14:schemeClr w14:val="tx1"/>
                </w14:solidFill>
              </w14:textFill>
            </w:rPr>
            <w:t>第三章 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"_Toc93048454" </w:instrText>
          </w:r>
          <w:r>
            <w:rPr>
              <w:color w:val="000000" w:themeColor="text1"/>
              <w14:textFill>
                <w14:solidFill>
                  <w14:schemeClr w14:val="tx1"/>
                </w14:solidFill>
              </w14:textFill>
            </w:rPr>
            <w:fldChar w:fldCharType="separate"/>
          </w:r>
          <w:r>
            <w:rPr>
              <w:rStyle w:val="47"/>
              <w:rFonts w:hint="eastAsia"/>
              <w:b/>
              <w:color w:val="000000" w:themeColor="text1"/>
              <w14:textFill>
                <w14:solidFill>
                  <w14:schemeClr w14:val="tx1"/>
                </w14:solidFill>
              </w14:textFill>
            </w:rPr>
            <w:t>第四章 磋商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"_Toc93048455" </w:instrText>
          </w:r>
          <w:r>
            <w:rPr>
              <w:color w:val="000000" w:themeColor="text1"/>
              <w14:textFill>
                <w14:solidFill>
                  <w14:schemeClr w14:val="tx1"/>
                </w14:solidFill>
              </w14:textFill>
            </w:rPr>
            <w:fldChar w:fldCharType="separate"/>
          </w:r>
          <w:r>
            <w:rPr>
              <w:rStyle w:val="47"/>
              <w:rFonts w:hint="eastAsia"/>
              <w:b/>
              <w:color w:val="000000" w:themeColor="text1"/>
              <w14:textFill>
                <w14:solidFill>
                  <w14:schemeClr w14:val="tx1"/>
                </w14:solidFill>
              </w14:textFill>
            </w:rPr>
            <w:t>第五章</w:t>
          </w:r>
          <w:r>
            <w:rPr>
              <w:rStyle w:val="47"/>
              <w:b/>
              <w:color w:val="000000" w:themeColor="text1"/>
              <w14:textFill>
                <w14:solidFill>
                  <w14:schemeClr w14:val="tx1"/>
                </w14:solidFill>
              </w14:textFill>
            </w:rPr>
            <w:t xml:space="preserve"> </w:t>
          </w:r>
          <w:r>
            <w:rPr>
              <w:rStyle w:val="47"/>
              <w:rFonts w:hint="eastAsia"/>
              <w:b/>
              <w:color w:val="000000" w:themeColor="text1"/>
              <w14:textFill>
                <w14:solidFill>
                  <w14:schemeClr w14:val="tx1"/>
                </w14:solidFill>
              </w14:textFill>
            </w:rPr>
            <w:t>拟签订合同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25</w:t>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"_Toc93048456" </w:instrText>
          </w:r>
          <w:r>
            <w:rPr>
              <w:color w:val="000000" w:themeColor="text1"/>
              <w14:textFill>
                <w14:solidFill>
                  <w14:schemeClr w14:val="tx1"/>
                </w14:solidFill>
              </w14:textFill>
            </w:rPr>
            <w:fldChar w:fldCharType="separate"/>
          </w:r>
          <w:r>
            <w:rPr>
              <w:rStyle w:val="47"/>
              <w:rFonts w:hint="eastAsia"/>
              <w:b/>
              <w:color w:val="000000" w:themeColor="text1"/>
              <w14:textFill>
                <w14:solidFill>
                  <w14:schemeClr w14:val="tx1"/>
                </w14:solidFill>
              </w14:textFill>
            </w:rPr>
            <w:t>第六章</w:t>
          </w:r>
          <w:r>
            <w:rPr>
              <w:rStyle w:val="47"/>
              <w:b/>
              <w:color w:val="000000" w:themeColor="text1"/>
              <w14:textFill>
                <w14:solidFill>
                  <w14:schemeClr w14:val="tx1"/>
                </w14:solidFill>
              </w14:textFill>
            </w:rPr>
            <w:t xml:space="preserve"> </w:t>
          </w:r>
          <w:r>
            <w:rPr>
              <w:rStyle w:val="47"/>
              <w:rFonts w:hint="eastAsia"/>
              <w:b/>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"_Toc93048457"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"_Toc93048458"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"_Toc93048459"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3</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"_Toc93048460"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4</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"_Toc93048461"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5</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"_Toc93048462"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6</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"_Toc93048463"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7</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"_Toc93048464"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8</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"_Toc93048465"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9</w:t>
          </w:r>
          <w:r>
            <w:rPr>
              <w:rStyle w:val="47"/>
              <w:rFonts w:hint="eastAsia" w:ascii="宋体" w:hAnsi="宋体"/>
              <w:b/>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"_Toc93048466"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10-1</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"_Toc93048467"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10-2</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"_Toc93048468"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10-3</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"_Toc93048469"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11</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"_Toc93048470"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12</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"_Toc93048471"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13</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"_Toc93048472"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14</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"_Toc93048473"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15</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"_Toc93048474"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16</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"_Toc93048475" </w:instrText>
          </w:r>
          <w:r>
            <w:rPr>
              <w:color w:val="000000" w:themeColor="text1"/>
              <w14:textFill>
                <w14:solidFill>
                  <w14:schemeClr w14:val="tx1"/>
                </w14:solidFill>
              </w14:textFill>
            </w:rPr>
            <w:fldChar w:fldCharType="separate"/>
          </w:r>
          <w:r>
            <w:rPr>
              <w:rStyle w:val="47"/>
              <w:rFonts w:hint="eastAsia" w:ascii="宋体" w:hAnsi="宋体"/>
              <w:b/>
              <w:color w:val="000000" w:themeColor="text1"/>
              <w14:textFill>
                <w14:solidFill>
                  <w14:schemeClr w14:val="tx1"/>
                </w14:solidFill>
              </w14:textFill>
            </w:rPr>
            <w:t>附件</w:t>
          </w:r>
          <w:r>
            <w:rPr>
              <w:rStyle w:val="47"/>
              <w:rFonts w:ascii="宋体" w:hAnsi="宋体"/>
              <w:b/>
              <w:color w:val="000000" w:themeColor="text1"/>
              <w14:textFill>
                <w14:solidFill>
                  <w14:schemeClr w14:val="tx1"/>
                </w14:solidFill>
              </w14:textFill>
            </w:rPr>
            <w:t>17</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_Toc93048475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60" w:lineRule="auto"/>
            <w:rPr>
              <w:color w:val="000000" w:themeColor="text1"/>
              <w14:textFill>
                <w14:solidFill>
                  <w14:schemeClr w14:val="tx1"/>
                </w14:solidFill>
              </w14:textFill>
            </w:rPr>
          </w:pPr>
          <w:r>
            <w:rPr>
              <w:rFonts w:hint="eastAsia" w:ascii="宋体" w:hAnsi="宋体" w:cs="宋体"/>
              <w:bCs/>
              <w:color w:val="000000" w:themeColor="text1"/>
              <w:szCs w:val="32"/>
              <w14:textFill>
                <w14:solidFill>
                  <w14:schemeClr w14:val="tx1"/>
                </w14:solidFill>
              </w14:textFill>
            </w:rPr>
            <w:fldChar w:fldCharType="end"/>
          </w:r>
        </w:p>
      </w:sdtContent>
    </w:sdt>
    <w:p>
      <w:pPr>
        <w:spacing w:line="360" w:lineRule="auto"/>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000000" w:themeColor="text1"/>
          <w:sz w:val="36"/>
          <w:szCs w:val="36"/>
          <w14:textFill>
            <w14:solidFill>
              <w14:schemeClr w14:val="tx1"/>
            </w14:solidFill>
          </w14:textFill>
        </w:rPr>
      </w:pPr>
      <w:bookmarkStart w:id="0" w:name="_Toc93048451"/>
      <w:r>
        <w:rPr>
          <w:rFonts w:hint="eastAsia" w:ascii="宋体" w:hAnsi="宋体" w:cs="宋体"/>
          <w:b/>
          <w:color w:val="000000" w:themeColor="text1"/>
          <w:kern w:val="0"/>
          <w:sz w:val="36"/>
          <w:szCs w:val="36"/>
          <w14:textFill>
            <w14:solidFill>
              <w14:schemeClr w14:val="tx1"/>
            </w14:solidFill>
          </w14:textFill>
        </w:rPr>
        <w:t>磋商公告</w:t>
      </w:r>
      <w:bookmarkEnd w:id="0"/>
    </w:p>
    <w:tbl>
      <w:tblPr>
        <w:tblStyle w:val="41"/>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pPr>
              <w:wordWrap w:val="0"/>
              <w:spacing w:line="340" w:lineRule="exact"/>
              <w:ind w:firstLine="420" w:firstLineChars="200"/>
              <w:jc w:val="left"/>
              <w:rPr>
                <w:rFonts w:ascii="宋体" w:hAnsi="宋体" w:cs="宋体"/>
                <w:color w:val="000000" w:themeColor="text1"/>
                <w:kern w:val="0"/>
                <w:szCs w:val="21"/>
                <w14:textFill>
                  <w14:solidFill>
                    <w14:schemeClr w14:val="tx1"/>
                  </w14:solidFill>
                </w14:textFill>
              </w:rPr>
            </w:pPr>
            <w:bookmarkStart w:id="1" w:name="_Toc28359010"/>
            <w:bookmarkStart w:id="2" w:name="_Toc28359087"/>
            <w:r>
              <w:rPr>
                <w:rFonts w:hint="eastAsia" w:ascii="宋体" w:hAnsi="宋体"/>
                <w:color w:val="000000" w:themeColor="text1"/>
                <w:szCs w:val="21"/>
                <w:lang w:eastAsia="zh-CN"/>
                <w14:textFill>
                  <w14:solidFill>
                    <w14:schemeClr w14:val="tx1"/>
                  </w14:solidFill>
                </w14:textFill>
              </w:rPr>
              <w:t>三门县浦坝港镇小岭下至从岙道路提升改造工程</w:t>
            </w:r>
            <w:r>
              <w:rPr>
                <w:rFonts w:ascii="宋体" w:hAnsi="宋体"/>
                <w:color w:val="000000" w:themeColor="text1"/>
                <w:szCs w:val="21"/>
                <w14:textFill>
                  <w14:solidFill>
                    <w14:schemeClr w14:val="tx1"/>
                  </w14:solidFill>
                </w14:textFill>
              </w:rPr>
              <w:t>招标项目的潜在投标人应在浙江政府采购网（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"https://zfcg.czt.zj.gov.cn）免费下载。获取（下载）招标文件，并于2022年7月"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https://zfcg.czt.zj.gov.cn）免费下载。获取（下载）招标文件，并于2022年</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月</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16</w:t>
            </w: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上午9：0</w:t>
            </w:r>
            <w:r>
              <w:rPr>
                <w:rFonts w:ascii="宋体" w:hAnsi="宋体"/>
                <w:color w:val="000000" w:themeColor="text1"/>
                <w:szCs w:val="21"/>
                <w14:textFill>
                  <w14:solidFill>
                    <w14:schemeClr w14:val="tx1"/>
                  </w14:solidFill>
                </w14:textFill>
              </w:rPr>
              <w:t>0（北京时间）前递交（上传）投标文件。</w:t>
            </w:r>
          </w:p>
        </w:tc>
      </w:tr>
    </w:tbl>
    <w:p>
      <w:pPr>
        <w:widowControl/>
        <w:spacing w:before="120" w:beforeLines="5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一、项目基本情况</w:t>
      </w:r>
    </w:p>
    <w:p>
      <w:pPr>
        <w:widowControl/>
        <w:spacing w:line="360" w:lineRule="exact"/>
        <w:ind w:firstLine="315" w:firstLineChars="150"/>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项目编号：三招采-2022-CS</w:t>
      </w:r>
      <w:r>
        <w:rPr>
          <w:rFonts w:hint="eastAsia" w:ascii="宋体" w:hAnsi="宋体" w:cs="宋体"/>
          <w:color w:val="000000" w:themeColor="text1"/>
          <w:kern w:val="0"/>
          <w:szCs w:val="21"/>
          <w:lang w:val="en-US" w:eastAsia="zh-CN"/>
          <w14:textFill>
            <w14:solidFill>
              <w14:schemeClr w14:val="tx1"/>
            </w14:solidFill>
          </w14:textFill>
        </w:rPr>
        <w:t>104</w:t>
      </w:r>
    </w:p>
    <w:p>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lang w:eastAsia="zh-CN"/>
          <w14:textFill>
            <w14:solidFill>
              <w14:schemeClr w14:val="tx1"/>
            </w14:solidFill>
          </w14:textFill>
        </w:rPr>
        <w:t>三门县浦坝港镇小岭下至从岙道路提升改造工程</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采购方式：竞争性磋商</w:t>
      </w:r>
    </w:p>
    <w:p>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预算金额（元）：</w:t>
      </w:r>
      <w:r>
        <w:rPr>
          <w:rFonts w:hint="eastAsia" w:ascii="宋体" w:hAnsi="宋体"/>
          <w:color w:val="000000" w:themeColor="text1"/>
          <w:kern w:val="0"/>
          <w:szCs w:val="21"/>
          <w:lang w:eastAsia="zh-CN"/>
          <w14:textFill>
            <w14:solidFill>
              <w14:schemeClr w14:val="tx1"/>
            </w14:solidFill>
          </w14:textFill>
        </w:rPr>
        <w:t>2945700</w:t>
      </w:r>
    </w:p>
    <w:p>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最高限价（元）：</w:t>
      </w:r>
      <w:r>
        <w:rPr>
          <w:rFonts w:hint="eastAsia" w:ascii="宋体" w:hAnsi="宋体"/>
          <w:color w:val="000000" w:themeColor="text1"/>
          <w:kern w:val="0"/>
          <w:szCs w:val="21"/>
          <w:lang w:eastAsia="zh-CN"/>
          <w14:textFill>
            <w14:solidFill>
              <w14:schemeClr w14:val="tx1"/>
            </w14:solidFill>
          </w14:textFill>
        </w:rPr>
        <w:t>2945700</w:t>
      </w:r>
    </w:p>
    <w:p>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采购需求：详见磋商文件 </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数量：1           </w:t>
      </w:r>
    </w:p>
    <w:p>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预算金额（元）：</w:t>
      </w:r>
      <w:r>
        <w:rPr>
          <w:rFonts w:hint="eastAsia" w:ascii="宋体" w:hAnsi="宋体"/>
          <w:color w:val="000000" w:themeColor="text1"/>
          <w:kern w:val="0"/>
          <w:szCs w:val="21"/>
          <w:lang w:eastAsia="zh-CN"/>
          <w14:textFill>
            <w14:solidFill>
              <w14:schemeClr w14:val="tx1"/>
            </w14:solidFill>
          </w14:textFill>
        </w:rPr>
        <w:t>2945700</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单位：项</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简要规格描述：详见磋商文件 </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备注：</w:t>
      </w:r>
    </w:p>
    <w:p>
      <w:pPr>
        <w:widowControl/>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合同履约期限：不超过</w:t>
      </w:r>
      <w:r>
        <w:rPr>
          <w:rFonts w:hint="eastAsia" w:ascii="宋体" w:hAnsi="宋体" w:cs="宋体"/>
          <w:color w:val="000000" w:themeColor="text1"/>
          <w:kern w:val="0"/>
          <w:szCs w:val="21"/>
          <w:lang w:val="en-US" w:eastAsia="zh-CN"/>
          <w14:textFill>
            <w14:solidFill>
              <w14:schemeClr w14:val="tx1"/>
            </w14:solidFill>
          </w14:textFill>
        </w:rPr>
        <w:t>60</w:t>
      </w:r>
      <w:r>
        <w:rPr>
          <w:rFonts w:ascii="宋体" w:hAnsi="宋体" w:cs="宋体"/>
          <w:color w:val="000000" w:themeColor="text1"/>
          <w:kern w:val="0"/>
          <w:szCs w:val="21"/>
          <w14:textFill>
            <w14:solidFill>
              <w14:schemeClr w14:val="tx1"/>
            </w14:solidFill>
          </w14:textFill>
        </w:rPr>
        <w:t>日历天</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含养护期28日历天</w:t>
      </w:r>
      <w:r>
        <w:rPr>
          <w:rFonts w:hint="eastAsia" w:ascii="宋体" w:hAnsi="宋体" w:cs="宋体"/>
          <w:color w:val="000000" w:themeColor="text1"/>
          <w:kern w:val="0"/>
          <w:szCs w:val="21"/>
          <w:lang w:eastAsia="zh-CN"/>
          <w14:textFill>
            <w14:solidFill>
              <w14:schemeClr w14:val="tx1"/>
            </w14:solidFill>
          </w14:textFill>
        </w:rPr>
        <w:t>）</w:t>
      </w:r>
    </w:p>
    <w:p>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本项目不接受联合体投标。  </w:t>
      </w:r>
    </w:p>
    <w:p>
      <w:pPr>
        <w:widowControl/>
        <w:spacing w:before="120" w:beforeLines="5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二、申请人的资格要求：</w:t>
      </w:r>
    </w:p>
    <w:p>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2.落实政府采购政策需满足的资格要求：</w:t>
      </w:r>
    </w:p>
    <w:p>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(1)供应商为中小企业/小微企业；</w:t>
      </w:r>
    </w:p>
    <w:p>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(2)参加政府采购活动前三年内，在经营活动中没有重大违法记录；</w:t>
      </w:r>
    </w:p>
    <w:p>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3.本项目的特定资格要求：</w:t>
      </w:r>
    </w:p>
    <w:p>
      <w:pPr>
        <w:pStyle w:val="37"/>
        <w:spacing w:before="0" w:beforeAutospacing="0" w:after="0" w:afterAutospacing="0" w:line="380" w:lineRule="exact"/>
        <w:ind w:firstLine="420" w:firstLineChars="200"/>
        <w:rPr>
          <w:rFonts w:hint="default" w:cs="宋体"/>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1）具有公路工程施工总承包三级及以上资质等级；</w:t>
      </w:r>
    </w:p>
    <w:p>
      <w:pPr>
        <w:pStyle w:val="37"/>
        <w:spacing w:before="0" w:beforeAutospacing="0" w:after="0" w:afterAutospacing="0" w:line="380" w:lineRule="exact"/>
        <w:ind w:firstLine="420" w:firstLineChars="200"/>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（2）要求拟派项目负责人具有公路工程注册建造师二级及以上，无在建工程；</w:t>
      </w:r>
    </w:p>
    <w:p>
      <w:pPr>
        <w:pStyle w:val="37"/>
        <w:spacing w:before="0" w:beforeAutospacing="0" w:after="0" w:afterAutospacing="0" w:line="380" w:lineRule="exact"/>
        <w:ind w:firstLine="420" w:firstLineChars="200"/>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（3）具有有效的企业《安全生产许可证》；</w:t>
      </w:r>
    </w:p>
    <w:p>
      <w:pPr>
        <w:pStyle w:val="37"/>
        <w:spacing w:before="0" w:beforeAutospacing="0" w:after="0" w:afterAutospacing="0" w:line="380" w:lineRule="exact"/>
        <w:ind w:firstLine="420" w:firstLineChars="200"/>
        <w:rPr>
          <w:rFonts w:hint="default" w:cs="宋体"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（4）项目负责人的《项目负责人建造师注册证书》、《安全生产考核合格证》；</w:t>
      </w:r>
    </w:p>
    <w:p>
      <w:pPr>
        <w:widowControl/>
        <w:spacing w:line="380" w:lineRule="exact"/>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（5）浙江省省外的投标人须提供有效的《省外企业进浙承接业务备案表》；</w:t>
      </w:r>
    </w:p>
    <w:p>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spacing w:before="240" w:after="12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三、获取（下载）采购文件</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时间：/至2022年</w:t>
      </w:r>
      <w:r>
        <w:rPr>
          <w:rFonts w:hint="eastAsia" w:ascii="宋体" w:hAnsi="宋体" w:cs="宋体"/>
          <w:color w:val="000000" w:themeColor="text1"/>
          <w:kern w:val="0"/>
          <w:szCs w:val="21"/>
          <w:lang w:val="en-US" w:eastAsia="zh-CN"/>
          <w14:textFill>
            <w14:solidFill>
              <w14:schemeClr w14:val="tx1"/>
            </w14:solidFill>
          </w14:textFill>
        </w:rPr>
        <w:t>8</w:t>
      </w:r>
      <w:r>
        <w:rPr>
          <w:rFonts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16</w:t>
      </w:r>
      <w:r>
        <w:rPr>
          <w:rFonts w:ascii="宋体" w:hAnsi="宋体" w:cs="宋体"/>
          <w:color w:val="000000" w:themeColor="text1"/>
          <w:kern w:val="0"/>
          <w:szCs w:val="21"/>
          <w14:textFill>
            <w14:solidFill>
              <w14:schemeClr w14:val="tx1"/>
            </w14:solidFill>
          </w14:textFill>
        </w:rPr>
        <w:t>日，每天上午00:00至12:00，下午12:00至23:59（北京时间，线上获取法定节假日均可，线下获取文件法定节假日除外）</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地点（网址）：供应商在浙江政府采购云平台(https://login.zcygov.cn)网上报名后下载。</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方式：采购公告发布后，在政采云平台已完成注册的供应商登陆系统，申请获取采购文件。如果“已申请”标签页显示状态为“审核通过”即为成功。路径：用户中心——项目采购——获取采购文件管理。</w:t>
      </w:r>
    </w:p>
    <w:p>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售价（元）：0</w:t>
      </w:r>
    </w:p>
    <w:p>
      <w:pPr>
        <w:widowControl/>
        <w:spacing w:before="225" w:after="225"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四、响应文件提交（上传） </w:t>
      </w:r>
    </w:p>
    <w:p>
      <w:pPr>
        <w:pStyle w:val="37"/>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截止时间：2022年</w:t>
      </w:r>
      <w:r>
        <w:rPr>
          <w:rFonts w:hint="eastAsia" w:cs="宋体"/>
          <w:color w:val="000000" w:themeColor="text1"/>
          <w:sz w:val="21"/>
          <w:szCs w:val="21"/>
          <w:lang w:val="en-US" w:eastAsia="zh-CN"/>
          <w14:textFill>
            <w14:solidFill>
              <w14:schemeClr w14:val="tx1"/>
            </w14:solidFill>
          </w14:textFill>
        </w:rPr>
        <w:t>8</w:t>
      </w:r>
      <w:r>
        <w:rPr>
          <w:rFonts w:cs="宋体"/>
          <w:color w:val="000000" w:themeColor="text1"/>
          <w:sz w:val="21"/>
          <w:szCs w:val="21"/>
          <w14:textFill>
            <w14:solidFill>
              <w14:schemeClr w14:val="tx1"/>
            </w14:solidFill>
          </w14:textFill>
        </w:rPr>
        <w:t>月</w:t>
      </w:r>
      <w:r>
        <w:rPr>
          <w:rFonts w:hint="eastAsia" w:cs="宋体"/>
          <w:color w:val="000000" w:themeColor="text1"/>
          <w:sz w:val="21"/>
          <w:szCs w:val="21"/>
          <w:lang w:val="en-US" w:eastAsia="zh-CN"/>
          <w14:textFill>
            <w14:solidFill>
              <w14:schemeClr w14:val="tx1"/>
            </w14:solidFill>
          </w14:textFill>
        </w:rPr>
        <w:t>16</w:t>
      </w:r>
      <w:r>
        <w:rPr>
          <w:rFonts w:cs="宋体"/>
          <w:color w:val="000000" w:themeColor="text1"/>
          <w:sz w:val="21"/>
          <w:szCs w:val="21"/>
          <w14:textFill>
            <w14:solidFill>
              <w14:schemeClr w14:val="tx1"/>
            </w14:solidFill>
          </w14:textFill>
        </w:rPr>
        <w:t>日</w:t>
      </w:r>
      <w:r>
        <w:rPr>
          <w:rFonts w:hint="eastAsia" w:cs="宋体"/>
          <w:color w:val="000000" w:themeColor="text1"/>
          <w:sz w:val="21"/>
          <w:szCs w:val="21"/>
          <w:lang w:val="en-US" w:eastAsia="zh-CN"/>
          <w14:textFill>
            <w14:solidFill>
              <w14:schemeClr w14:val="tx1"/>
            </w14:solidFill>
          </w14:textFill>
        </w:rPr>
        <w:t>上</w:t>
      </w:r>
      <w:r>
        <w:rPr>
          <w:rFonts w:cs="宋体"/>
          <w:color w:val="000000" w:themeColor="text1"/>
          <w:sz w:val="21"/>
          <w:szCs w:val="21"/>
          <w14:textFill>
            <w14:solidFill>
              <w14:schemeClr w14:val="tx1"/>
            </w14:solidFill>
          </w14:textFill>
        </w:rPr>
        <w:t>午</w:t>
      </w:r>
      <w:r>
        <w:rPr>
          <w:rFonts w:hint="eastAsia" w:cs="宋体"/>
          <w:color w:val="000000" w:themeColor="text1"/>
          <w:sz w:val="21"/>
          <w:szCs w:val="21"/>
          <w:lang w:val="en-US" w:eastAsia="zh-CN"/>
          <w14:textFill>
            <w14:solidFill>
              <w14:schemeClr w14:val="tx1"/>
            </w14:solidFill>
          </w14:textFill>
        </w:rPr>
        <w:t>9</w:t>
      </w:r>
      <w:r>
        <w:rPr>
          <w:rFonts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0</w:t>
      </w:r>
      <w:r>
        <w:rPr>
          <w:rFonts w:cs="宋体"/>
          <w:color w:val="000000" w:themeColor="text1"/>
          <w:sz w:val="21"/>
          <w:szCs w:val="21"/>
          <w14:textFill>
            <w14:solidFill>
              <w14:schemeClr w14:val="tx1"/>
            </w14:solidFill>
          </w14:textFill>
        </w:rPr>
        <w:t>0（北京时间）</w:t>
      </w:r>
    </w:p>
    <w:p>
      <w:pPr>
        <w:pStyle w:val="37"/>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投标地点（网址）：通过“浙江政府采购云平台（http://zfcg.czt.zj.gov.cn/）”在线递交</w:t>
      </w:r>
    </w:p>
    <w:p>
      <w:pPr>
        <w:pStyle w:val="37"/>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开标时间：2022年</w:t>
      </w:r>
      <w:r>
        <w:rPr>
          <w:rFonts w:hint="eastAsia" w:cs="宋体"/>
          <w:color w:val="000000" w:themeColor="text1"/>
          <w:sz w:val="21"/>
          <w:szCs w:val="21"/>
          <w:lang w:val="en-US" w:eastAsia="zh-CN"/>
          <w14:textFill>
            <w14:solidFill>
              <w14:schemeClr w14:val="tx1"/>
            </w14:solidFill>
          </w14:textFill>
        </w:rPr>
        <w:t>8</w:t>
      </w:r>
      <w:r>
        <w:rPr>
          <w:rFonts w:cs="宋体"/>
          <w:color w:val="000000" w:themeColor="text1"/>
          <w:sz w:val="21"/>
          <w:szCs w:val="21"/>
          <w14:textFill>
            <w14:solidFill>
              <w14:schemeClr w14:val="tx1"/>
            </w14:solidFill>
          </w14:textFill>
        </w:rPr>
        <w:t>月</w:t>
      </w:r>
      <w:r>
        <w:rPr>
          <w:rFonts w:hint="eastAsia" w:cs="宋体"/>
          <w:color w:val="000000" w:themeColor="text1"/>
          <w:sz w:val="21"/>
          <w:szCs w:val="21"/>
          <w:lang w:val="en-US" w:eastAsia="zh-CN"/>
          <w14:textFill>
            <w14:solidFill>
              <w14:schemeClr w14:val="tx1"/>
            </w14:solidFill>
          </w14:textFill>
        </w:rPr>
        <w:t>16</w:t>
      </w:r>
      <w:r>
        <w:rPr>
          <w:rFonts w:cs="宋体"/>
          <w:color w:val="000000" w:themeColor="text1"/>
          <w:sz w:val="21"/>
          <w:szCs w:val="21"/>
          <w14:textFill>
            <w14:solidFill>
              <w14:schemeClr w14:val="tx1"/>
            </w14:solidFill>
          </w14:textFill>
        </w:rPr>
        <w:t>日</w:t>
      </w:r>
      <w:r>
        <w:rPr>
          <w:rFonts w:hint="eastAsia" w:cs="宋体"/>
          <w:color w:val="000000" w:themeColor="text1"/>
          <w:sz w:val="21"/>
          <w:szCs w:val="21"/>
          <w:lang w:val="en-US" w:eastAsia="zh-CN"/>
          <w14:textFill>
            <w14:solidFill>
              <w14:schemeClr w14:val="tx1"/>
            </w14:solidFill>
          </w14:textFill>
        </w:rPr>
        <w:t>上</w:t>
      </w:r>
      <w:r>
        <w:rPr>
          <w:rFonts w:cs="宋体"/>
          <w:color w:val="000000" w:themeColor="text1"/>
          <w:sz w:val="21"/>
          <w:szCs w:val="21"/>
          <w14:textFill>
            <w14:solidFill>
              <w14:schemeClr w14:val="tx1"/>
            </w14:solidFill>
          </w14:textFill>
        </w:rPr>
        <w:t>午</w:t>
      </w:r>
      <w:r>
        <w:rPr>
          <w:rFonts w:hint="eastAsia" w:cs="宋体"/>
          <w:color w:val="000000" w:themeColor="text1"/>
          <w:sz w:val="21"/>
          <w:szCs w:val="21"/>
          <w:lang w:val="en-US" w:eastAsia="zh-CN"/>
          <w14:textFill>
            <w14:solidFill>
              <w14:schemeClr w14:val="tx1"/>
            </w14:solidFill>
          </w14:textFill>
        </w:rPr>
        <w:t>9</w:t>
      </w:r>
      <w:r>
        <w:rPr>
          <w:rFonts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0</w:t>
      </w:r>
      <w:r>
        <w:rPr>
          <w:rFonts w:cs="宋体"/>
          <w:color w:val="000000" w:themeColor="text1"/>
          <w:sz w:val="21"/>
          <w:szCs w:val="21"/>
          <w14:textFill>
            <w14:solidFill>
              <w14:schemeClr w14:val="tx1"/>
            </w14:solidFill>
          </w14:textFill>
        </w:rPr>
        <w:t>0（北京时间）</w:t>
      </w:r>
    </w:p>
    <w:p>
      <w:pPr>
        <w:pStyle w:val="37"/>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开标地点（网址）：三门县广场路22号交通大楼四楼三门县公共资源交易中心</w:t>
      </w:r>
    </w:p>
    <w:p>
      <w:pPr>
        <w:pStyle w:val="37"/>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4"/>
          <w:rFonts w:cs="宋体"/>
          <w:color w:val="000000" w:themeColor="text1"/>
          <w:sz w:val="21"/>
          <w:szCs w:val="21"/>
          <w14:textFill>
            <w14:solidFill>
              <w14:schemeClr w14:val="tx1"/>
            </w14:solidFill>
          </w14:textFill>
        </w:rPr>
        <w:t>五、公告期限</w:t>
      </w:r>
    </w:p>
    <w:p>
      <w:pPr>
        <w:pStyle w:val="37"/>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自本公告发布之日起3个工作日。</w:t>
      </w:r>
    </w:p>
    <w:p>
      <w:pPr>
        <w:pStyle w:val="37"/>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4"/>
          <w:rFonts w:cs="宋体"/>
          <w:color w:val="000000" w:themeColor="text1"/>
          <w:sz w:val="21"/>
          <w:szCs w:val="21"/>
          <w14:textFill>
            <w14:solidFill>
              <w14:schemeClr w14:val="tx1"/>
            </w14:solidFill>
          </w14:textFill>
        </w:rPr>
        <w:t>六、其他补充事宜</w:t>
      </w:r>
      <w:r>
        <w:rPr>
          <w:rFonts w:cs="宋体"/>
          <w:color w:val="000000" w:themeColor="text1"/>
          <w:sz w:val="21"/>
          <w:szCs w:val="21"/>
          <w14:textFill>
            <w14:solidFill>
              <w14:schemeClr w14:val="tx1"/>
            </w14:solidFill>
          </w14:textFill>
        </w:rPr>
        <w:t> </w:t>
      </w:r>
    </w:p>
    <w:p>
      <w:pPr>
        <w:tabs>
          <w:tab w:val="left" w:pos="180"/>
          <w:tab w:val="left" w:pos="360"/>
          <w:tab w:val="left" w:pos="540"/>
          <w:tab w:val="left" w:pos="8280"/>
        </w:tabs>
        <w:autoSpaceDE w:val="0"/>
        <w:autoSpaceDN w:val="0"/>
        <w:adjustRightInd w:val="0"/>
        <w:spacing w:line="360" w:lineRule="auto"/>
        <w:ind w:right="23" w:firstLine="210" w:firstLineChars="1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w:t>
      </w:r>
      <w:r>
        <w:rPr>
          <w:rFonts w:hint="eastAsia" w:ascii="宋体" w:hAnsi="宋体" w:cs="宋体"/>
          <w:b/>
          <w:color w:val="000000" w:themeColor="text1"/>
          <w:szCs w:val="21"/>
          <w14:textFill>
            <w14:solidFill>
              <w14:schemeClr w14:val="tx1"/>
            </w14:solidFill>
          </w14:textFill>
        </w:rPr>
        <w:t>在政府采购活动中，投标人提供的货物、工程或者服务符合下列情形的，享受《政府采购促进中小企业发展管理办法》【财库</w:t>
      </w:r>
      <w:r>
        <w:rPr>
          <w:rFonts w:hint="eastAsia" w:ascii="宋体" w:hAnsi="宋体" w:cs="宋体"/>
          <w:b/>
          <w:bCs/>
          <w:color w:val="000000" w:themeColor="text1"/>
          <w:szCs w:val="21"/>
          <w14:textFill>
            <w14:solidFill>
              <w14:schemeClr w14:val="tx1"/>
            </w14:solidFill>
          </w14:textFill>
        </w:rPr>
        <w:t>〔2020〕</w:t>
      </w:r>
      <w:r>
        <w:rPr>
          <w:rFonts w:hint="eastAsia" w:ascii="宋体" w:hAnsi="宋体" w:cs="宋体"/>
          <w:b/>
          <w:color w:val="000000" w:themeColor="text1"/>
          <w:szCs w:val="21"/>
          <w14:textFill>
            <w14:solidFill>
              <w14:schemeClr w14:val="tx1"/>
            </w14:solidFill>
          </w14:textFill>
        </w:rPr>
        <w:t xml:space="preserve">46号】的中小企业扶持政策：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1、在货物采购项目中，货物由中小企业制造，即货物由中小企业生产且使用该中小企业商号或者注册商标；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2、在工程采购项目中，工程由中小企业承建，即工程施工单位为中小企业；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3、在服务采购项目中，服务由中小企业承接，即提供服务的人员为中小企业依照《中华人民共和国劳动合同法》订立劳动合同的从业人员。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投标人信用信息查询渠道及截止时点、信用信息查询记录和证据留存的具体方式、信用信息的使用规则：</w:t>
      </w:r>
    </w:p>
    <w:p>
      <w:pPr>
        <w:tabs>
          <w:tab w:val="left" w:pos="720"/>
          <w:tab w:val="left" w:pos="900"/>
          <w:tab w:val="left" w:pos="1260"/>
          <w:tab w:val="left" w:pos="2160"/>
          <w:tab w:val="left" w:pos="2880"/>
          <w:tab w:val="left" w:pos="3600"/>
          <w:tab w:val="left" w:pos="4320"/>
          <w:tab w:val="left" w:pos="5040"/>
          <w:tab w:val="left" w:pos="5760"/>
        </w:tabs>
        <w:wordWrap w:val="0"/>
        <w:spacing w:line="360" w:lineRule="auto"/>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w:t>
      </w:r>
      <w:r>
        <w:rPr>
          <w:rFonts w:ascii="宋体" w:hAnsi="宋体" w:cs="宋体"/>
          <w:color w:val="000000" w:themeColor="text1"/>
          <w:kern w:val="0"/>
          <w:szCs w:val="21"/>
          <w14:textFill>
            <w14:solidFill>
              <w14:schemeClr w14:val="tx1"/>
            </w14:solidFill>
          </w14:textFill>
        </w:rPr>
        <w:t>信用中国（网址：http://www.creditchina.gov.cn）、中国政府采购网(网址：http://www.ccgp.gov.cn）、国家企业信用信息公示系统（http://www.gsxt.gov.cn/index.html）。</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2、截止时点：开标后评标前。</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3、信用信息查询记录和证据留存的具体方式：由采购组织机构在规定查询时间内打印信用信息查询记录并归入项目档案。</w:t>
      </w:r>
    </w:p>
    <w:p>
      <w:pPr>
        <w:tabs>
          <w:tab w:val="left" w:pos="180"/>
          <w:tab w:val="left" w:pos="360"/>
          <w:tab w:val="left" w:pos="540"/>
          <w:tab w:val="left" w:pos="8280"/>
        </w:tabs>
        <w:autoSpaceDE w:val="0"/>
        <w:autoSpaceDN w:val="0"/>
        <w:adjustRightInd w:val="0"/>
        <w:spacing w:line="360" w:lineRule="auto"/>
        <w:ind w:right="23" w:firstLine="495" w:firstLineChars="23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pStyle w:val="3"/>
        <w:rPr>
          <w:color w:val="000000" w:themeColor="text1"/>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rPr>
          <w:rFonts w:ascii="宋体" w:hAnsi="宋体" w:cs="宋体"/>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其他事项：</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1.对竞争性磋商文件提出质疑的，为获取竞争性磋商文件之日</w:t>
      </w:r>
      <w:r>
        <w:rPr>
          <w:rFonts w:hint="eastAsia" w:ascii="宋体" w:hAnsi="宋体" w:cs="宋体"/>
          <w:color w:val="000000" w:themeColor="text1"/>
          <w:szCs w:val="21"/>
          <w14:textFill>
            <w14:solidFill>
              <w14:schemeClr w14:val="tx1"/>
            </w14:solidFill>
          </w14:textFill>
        </w:rPr>
        <w:t>或者竞争性磋商文件公告期限届满之日（竞争性磋商文件公告期限届满后获取竞争性磋商文件的，以竞争性磋商文件公告期限届满之日为准）</w:t>
      </w:r>
      <w:r>
        <w:rPr>
          <w:rFonts w:ascii="宋体" w:hAnsi="宋体"/>
          <w:color w:val="000000" w:themeColor="text1"/>
          <w:szCs w:val="21"/>
          <w14:textFill>
            <w14:solidFill>
              <w14:schemeClr w14:val="tx1"/>
            </w14:solidFill>
          </w14:textFill>
        </w:rPr>
        <w:t>7个工作日内提出质疑</w:t>
      </w:r>
      <w:r>
        <w:rPr>
          <w:rFonts w:hint="eastAsia" w:ascii="宋体" w:hAnsi="宋体" w:cs="宋体"/>
          <w:color w:val="000000" w:themeColor="text1"/>
          <w:szCs w:val="2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w:t>
      </w:r>
    </w:p>
    <w:p>
      <w:pPr>
        <w:pStyle w:val="17"/>
        <w:spacing w:line="360" w:lineRule="auto"/>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供应商对采购过程提出质疑的，应当在各采购程序环节结束之日起7个工作日内提出质疑；</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供应商对成交结果提出质疑的，应当在成交结果公告期限届满之日起7个工作日内提出质疑。</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4.在线投标响应（电子投标）相关说明：</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（1）本项目通过“政府采购云平台（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"http://www.zcygov.cn/" \h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www.zcygov.cn</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"http://zfcg.czt.zj.gov.cn/bidClientTemplate/2019-05-27/12945.html" \h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CA 驱动和申领流程</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”进行查阅。</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（4）供应商通过政府采购云平台电子投标工具制作投标响应文件，电子投标工具请供应商自行前往浙江省政府采购网下载并安装。</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（6）本项目需要供应商同时提供备份投标响应文件。备份投标响应文件发送至代理机构电子邮箱（电子邮箱：</w:t>
      </w:r>
      <w:r>
        <w:rPr>
          <w:rFonts w:hint="eastAsia" w:ascii="宋体" w:hAnsi="宋体" w:cs="宋体"/>
          <w:color w:val="000000" w:themeColor="text1"/>
          <w:kern w:val="0"/>
          <w:szCs w:val="21"/>
          <w:lang w:eastAsia="zh-CN"/>
          <w14:textFill>
            <w14:solidFill>
              <w14:schemeClr w14:val="tx1"/>
            </w14:solidFill>
          </w14:textFill>
        </w:rPr>
        <w:t>1032176308</w:t>
      </w:r>
      <w:r>
        <w:rPr>
          <w:rFonts w:ascii="宋体" w:hAnsi="宋体" w:cs="宋体"/>
          <w:color w:val="000000" w:themeColor="text1"/>
          <w:kern w:val="0"/>
          <w:szCs w:val="21"/>
          <w14:textFill>
            <w14:solidFill>
              <w14:schemeClr w14:val="tx1"/>
            </w14:solidFill>
          </w14:textFill>
        </w:rPr>
        <w:t>@qq.com）</w:t>
      </w:r>
      <w:r>
        <w:rPr>
          <w:rFonts w:hint="eastAsia" w:ascii="宋体" w:hAnsi="宋体" w:cs="宋体"/>
          <w:color w:val="000000" w:themeColor="text1"/>
          <w:kern w:val="0"/>
          <w:szCs w:val="21"/>
          <w14:textFill>
            <w14:solidFill>
              <w14:schemeClr w14:val="tx1"/>
            </w14:solidFill>
          </w14:textFill>
        </w:rPr>
        <w:t>，逾期发送将被拒收。</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（8）本项目所有公告发布网站：“浙江省政府采购网”（http:// www.zjzfcg.gov.cn）和“三门县公共资源交易中心网”（</w:t>
      </w:r>
      <w:r>
        <w:rPr>
          <w:rFonts w:ascii="宋体" w:hAnsi="宋体" w:cs="宋体"/>
          <w:color w:val="000000" w:themeColor="text1"/>
          <w:kern w:val="0"/>
          <w:szCs w:val="21"/>
          <w14:textFill>
            <w14:solidFill>
              <w14:schemeClr w14:val="tx1"/>
            </w14:solidFill>
          </w14:textFill>
        </w:rPr>
        <w:t>http://www.sanmen.gov.cn/col/col1229610743/index.html</w:t>
      </w:r>
      <w:r>
        <w:rPr>
          <w:rFonts w:hint="eastAsia" w:ascii="宋体" w:hAnsi="宋体" w:cs="宋体"/>
          <w:color w:val="000000" w:themeColor="text1"/>
          <w:kern w:val="0"/>
          <w:szCs w:val="21"/>
          <w14:textFill>
            <w14:solidFill>
              <w14:schemeClr w14:val="tx1"/>
            </w14:solidFill>
          </w14:textFill>
        </w:rPr>
        <w:t>）。</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r>
        <w:rPr>
          <w:rFonts w:hint="eastAsia" w:ascii="宋体" w:hAnsi="宋体" w:cs="宋体"/>
          <w:b/>
          <w:bCs/>
          <w:color w:val="000000" w:themeColor="text1"/>
          <w:szCs w:val="21"/>
          <w:u w:val="single"/>
          <w14:textFill>
            <w14:solidFill>
              <w14:schemeClr w14:val="tx1"/>
            </w14:solidFill>
          </w14:textFill>
        </w:rPr>
        <w:t>▲未传输递交电子投标文件的，投标无效。未按规定提供相应的备份投标文件，造成项目开评标活动无法进行下去的，投标无效。</w:t>
      </w:r>
    </w:p>
    <w:p>
      <w:pPr>
        <w:pStyle w:val="37"/>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4"/>
          <w:rFonts w:cs="宋体"/>
          <w:color w:val="000000" w:themeColor="text1"/>
          <w:sz w:val="21"/>
          <w:szCs w:val="21"/>
          <w14:textFill>
            <w14:solidFill>
              <w14:schemeClr w14:val="tx1"/>
            </w14:solidFill>
          </w14:textFill>
        </w:rPr>
        <w:t>七、凡对本次招标提出询问、质疑、投诉，请按以下方式联系</w:t>
      </w:r>
    </w:p>
    <w:p>
      <w:pPr>
        <w:pStyle w:val="37"/>
        <w:spacing w:before="0" w:beforeAutospacing="0" w:after="0" w:afterAutospacing="0" w:line="300" w:lineRule="exact"/>
        <w:rPr>
          <w:rFonts w:hint="default"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cs="宋体"/>
          <w:color w:val="000000" w:themeColor="text1"/>
          <w14:textFill>
            <w14:solidFill>
              <w14:schemeClr w14:val="tx1"/>
            </w14:solidFill>
          </w14:textFill>
        </w:rPr>
        <w:t xml:space="preserve"> 1.采购人信息</w:t>
      </w:r>
    </w:p>
    <w:p>
      <w:pPr>
        <w:pStyle w:val="37"/>
        <w:spacing w:before="0" w:beforeAutospacing="0" w:after="0" w:afterAutospacing="0" w:line="300" w:lineRule="exact"/>
        <w:ind w:firstLine="720" w:firstLineChars="3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名  称：三门县浦坝港镇人民政府</w:t>
      </w:r>
    </w:p>
    <w:p>
      <w:pPr>
        <w:pStyle w:val="37"/>
        <w:spacing w:before="0" w:beforeAutospacing="0" w:after="0" w:afterAutospacing="0" w:line="300" w:lineRule="exact"/>
        <w:ind w:firstLine="720" w:firstLineChars="3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地  址：浙江省台州市三门县浦坝港镇</w:t>
      </w:r>
    </w:p>
    <w:p>
      <w:pPr>
        <w:pStyle w:val="37"/>
        <w:spacing w:before="0" w:beforeAutospacing="0" w:after="0" w:afterAutospacing="0" w:line="300" w:lineRule="exac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传   真： /</w:t>
      </w:r>
    </w:p>
    <w:p>
      <w:pPr>
        <w:pStyle w:val="37"/>
        <w:spacing w:before="0" w:beforeAutospacing="0" w:after="0" w:afterAutospacing="0" w:line="300" w:lineRule="exac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项目联系人（询问）：陈先生</w:t>
      </w:r>
    </w:p>
    <w:p>
      <w:pPr>
        <w:pStyle w:val="37"/>
        <w:spacing w:before="0" w:beforeAutospacing="0" w:after="0" w:afterAutospacing="0" w:line="300" w:lineRule="exact"/>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项目联系方式（询问）：15858652289</w:t>
      </w:r>
      <w:r>
        <w:rPr>
          <w:rFonts w:hint="eastAsia" w:cs="宋体"/>
          <w:color w:val="000000" w:themeColor="text1"/>
          <w:lang w:val="en-US" w:eastAsia="zh-CN"/>
          <w14:textFill>
            <w14:solidFill>
              <w14:schemeClr w14:val="tx1"/>
            </w14:solidFill>
          </w14:textFill>
        </w:rPr>
        <w:t xml:space="preserve"> </w:t>
      </w:r>
    </w:p>
    <w:p>
      <w:pPr>
        <w:pStyle w:val="37"/>
        <w:spacing w:before="0" w:beforeAutospacing="0" w:after="0" w:afterAutospacing="0" w:line="300" w:lineRule="exact"/>
        <w:ind w:firstLine="720" w:firstLineChars="3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项目质疑联系人：倪先生</w:t>
      </w:r>
    </w:p>
    <w:p>
      <w:pPr>
        <w:pStyle w:val="37"/>
        <w:spacing w:before="0" w:beforeAutospacing="0" w:after="0" w:afterAutospacing="0" w:line="300" w:lineRule="exact"/>
        <w:ind w:firstLine="720"/>
        <w:rPr>
          <w:rFonts w:hint="default" w:eastAsia="宋体" w:cs="宋体"/>
          <w:color w:val="000000" w:themeColor="text1"/>
          <w:lang w:val="en-US" w:eastAsia="zh-CN"/>
          <w14:textFill>
            <w14:solidFill>
              <w14:schemeClr w14:val="tx1"/>
            </w14:solidFill>
          </w14:textFill>
        </w:rPr>
      </w:pPr>
      <w:r>
        <w:rPr>
          <w:rFonts w:cs="宋体"/>
          <w:color w:val="000000" w:themeColor="text1"/>
          <w14:textFill>
            <w14:solidFill>
              <w14:schemeClr w14:val="tx1"/>
            </w14:solidFill>
          </w14:textFill>
        </w:rPr>
        <w:t>联系电话：13958536966</w:t>
      </w:r>
    </w:p>
    <w:p>
      <w:pPr>
        <w:pStyle w:val="37"/>
        <w:spacing w:before="0" w:beforeAutospacing="0" w:after="0" w:afterAutospacing="0" w:line="300" w:lineRule="exact"/>
        <w:ind w:firstLine="720" w:firstLineChars="300"/>
        <w:rPr>
          <w:rFonts w:hint="default" w:cs="宋体"/>
          <w:color w:val="000000" w:themeColor="text1"/>
          <w14:textFill>
            <w14:solidFill>
              <w14:schemeClr w14:val="tx1"/>
            </w14:solidFill>
          </w14:textFill>
        </w:rPr>
      </w:pPr>
    </w:p>
    <w:p>
      <w:pPr>
        <w:pStyle w:val="37"/>
        <w:spacing w:before="0" w:beforeAutospacing="0" w:after="0" w:afterAutospacing="0" w:line="300" w:lineRule="exact"/>
        <w:rPr>
          <w:rFonts w:hint="default" w:cs="宋体"/>
          <w:color w:val="000000" w:themeColor="text1"/>
          <w14:textFill>
            <w14:solidFill>
              <w14:schemeClr w14:val="tx1"/>
            </w14:solidFill>
          </w14:textFill>
        </w:rPr>
      </w:pPr>
    </w:p>
    <w:p>
      <w:pPr>
        <w:pStyle w:val="37"/>
        <w:spacing w:before="0" w:beforeAutospacing="0" w:after="0" w:afterAutospacing="0" w:line="300" w:lineRule="exac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2.采购代理机构信息</w:t>
      </w:r>
    </w:p>
    <w:p>
      <w:pPr>
        <w:pStyle w:val="37"/>
        <w:spacing w:before="0" w:beforeAutospacing="0" w:after="0" w:afterAutospacing="0" w:line="300" w:lineRule="exac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名  称：三门县熠橙工程管理有限公司</w:t>
      </w:r>
    </w:p>
    <w:p>
      <w:pPr>
        <w:pStyle w:val="37"/>
        <w:spacing w:before="0" w:beforeAutospacing="0" w:after="0" w:afterAutospacing="0" w:line="300" w:lineRule="exact"/>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地  址：台州市三门县海游街道梧桐路</w:t>
      </w:r>
    </w:p>
    <w:p>
      <w:pPr>
        <w:pStyle w:val="37"/>
        <w:spacing w:before="0" w:beforeAutospacing="0" w:after="0" w:afterAutospacing="0" w:line="300" w:lineRule="exact"/>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传   真：  /</w:t>
      </w:r>
    </w:p>
    <w:p>
      <w:pPr>
        <w:pStyle w:val="37"/>
        <w:spacing w:before="0" w:beforeAutospacing="0" w:after="0" w:afterAutospacing="0" w:line="300" w:lineRule="exac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项目联系人（询问）：林子勋  </w:t>
      </w:r>
    </w:p>
    <w:p>
      <w:pPr>
        <w:pStyle w:val="37"/>
        <w:spacing w:before="0" w:beforeAutospacing="0" w:after="0" w:afterAutospacing="0" w:line="300" w:lineRule="exact"/>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项目联系方式（询问）：13221615919</w:t>
      </w:r>
    </w:p>
    <w:p>
      <w:pPr>
        <w:pStyle w:val="37"/>
        <w:spacing w:before="0" w:beforeAutospacing="0" w:after="0" w:afterAutospacing="0" w:line="300" w:lineRule="exact"/>
        <w:ind w:firstLine="720" w:firstLineChars="3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质疑联系人：叶永芳</w:t>
      </w:r>
    </w:p>
    <w:p>
      <w:pPr>
        <w:pStyle w:val="37"/>
        <w:spacing w:before="0" w:beforeAutospacing="0" w:after="0" w:afterAutospacing="0" w:line="300" w:lineRule="exac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质疑联系方式：15957633553</w:t>
      </w:r>
    </w:p>
    <w:p>
      <w:pPr>
        <w:pStyle w:val="37"/>
        <w:spacing w:before="0" w:beforeAutospacing="0" w:after="0" w:afterAutospacing="0" w:line="300" w:lineRule="exact"/>
        <w:ind w:firstLine="720"/>
        <w:rPr>
          <w:rFonts w:hint="default" w:ascii="宋体" w:hAnsi="宋体" w:eastAsia="宋体" w:cs="宋体"/>
          <w:color w:val="000000" w:themeColor="text1"/>
          <w:lang w:val="en-US" w:eastAsia="zh-CN"/>
          <w14:textFill>
            <w14:solidFill>
              <w14:schemeClr w14:val="tx1"/>
            </w14:solidFill>
          </w14:textFill>
        </w:rPr>
      </w:pPr>
    </w:p>
    <w:p>
      <w:pPr>
        <w:widowControl/>
        <w:spacing w:line="300" w:lineRule="exact"/>
        <w:ind w:firstLine="210" w:firstLineChars="100"/>
        <w:jc w:val="left"/>
        <w:rPr>
          <w:rFonts w:hint="default" w:cs="宋体"/>
          <w:color w:val="000000" w:themeColor="text1"/>
          <w14:textFill>
            <w14:solidFill>
              <w14:schemeClr w14:val="tx1"/>
            </w14:solidFill>
          </w14:textFill>
        </w:rPr>
      </w:pPr>
    </w:p>
    <w:p>
      <w:pPr>
        <w:widowControl/>
        <w:spacing w:line="300" w:lineRule="exact"/>
        <w:ind w:firstLine="210" w:firstLineChars="100"/>
        <w:jc w:val="lef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w:t>
      </w:r>
    </w:p>
    <w:p>
      <w:pPr>
        <w:pStyle w:val="2"/>
      </w:pPr>
    </w:p>
    <w:p>
      <w:pPr>
        <w:widowControl/>
        <w:spacing w:line="300" w:lineRule="exact"/>
        <w:ind w:firstLine="210" w:firstLineChars="100"/>
        <w:jc w:val="left"/>
        <w:rPr>
          <w:rFonts w:ascii="仿宋" w:hAnsi="仿宋" w:cs="宋体"/>
          <w:color w:val="000000" w:themeColor="text1"/>
          <w:kern w:val="0"/>
          <w:sz w:val="24"/>
          <w14:textFill>
            <w14:solidFill>
              <w14:schemeClr w14:val="tx1"/>
            </w14:solidFill>
          </w14:textFill>
        </w:rPr>
      </w:pPr>
      <w:r>
        <w:rPr>
          <w:rFonts w:cs="宋体"/>
          <w:color w:val="000000" w:themeColor="text1"/>
          <w14:textFill>
            <w14:solidFill>
              <w14:schemeClr w14:val="tx1"/>
            </w14:solidFill>
          </w14:textFill>
        </w:rPr>
        <w:t>   </w:t>
      </w:r>
      <w:r>
        <w:rPr>
          <w:rFonts w:hint="eastAsia" w:cs="宋体"/>
          <w:color w:val="000000" w:themeColor="text1"/>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3.同级政府采购监督管理部门 </w:t>
      </w:r>
      <w:r>
        <w:rPr>
          <w:rFonts w:ascii="仿宋" w:hAnsi="仿宋" w:cs="宋体"/>
          <w:color w:val="000000" w:themeColor="text1"/>
          <w:kern w:val="0"/>
          <w:sz w:val="24"/>
          <w14:textFill>
            <w14:solidFill>
              <w14:schemeClr w14:val="tx1"/>
            </w14:solidFill>
          </w14:textFill>
        </w:rPr>
        <w:t>           </w:t>
      </w:r>
    </w:p>
    <w:p>
      <w:pPr>
        <w:widowControl/>
        <w:spacing w:line="300" w:lineRule="exact"/>
        <w:jc w:val="left"/>
        <w:rPr>
          <w:rFonts w:ascii="仿宋" w:hAnsi="仿宋" w:cs="宋体"/>
          <w:color w:val="000000" w:themeColor="text1"/>
          <w:kern w:val="0"/>
          <w:sz w:val="24"/>
          <w14:textFill>
            <w14:solidFill>
              <w14:schemeClr w14:val="tx1"/>
            </w14:solidFill>
          </w14:textFill>
        </w:rPr>
      </w:pPr>
      <w:r>
        <w:rPr>
          <w:rFonts w:ascii="仿宋" w:hAnsi="仿宋" w:cs="宋体"/>
          <w:color w:val="000000" w:themeColor="text1"/>
          <w:kern w:val="0"/>
          <w:sz w:val="24"/>
          <w14:textFill>
            <w14:solidFill>
              <w14:schemeClr w14:val="tx1"/>
            </w14:solidFill>
          </w14:textFill>
        </w:rPr>
        <w:t>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 xml:space="preserve">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名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 xml:space="preserve"> 称：</w:t>
      </w:r>
      <w:r>
        <w:rPr>
          <w:rFonts w:ascii="宋体" w:hAnsi="宋体" w:cs="Arial"/>
          <w:color w:val="000000" w:themeColor="text1"/>
          <w:sz w:val="24"/>
          <w14:textFill>
            <w14:solidFill>
              <w14:schemeClr w14:val="tx1"/>
            </w14:solidFill>
          </w14:textFill>
        </w:rPr>
        <w:t>三门县财政局</w:t>
      </w:r>
      <w:r>
        <w:rPr>
          <w:rFonts w:ascii="仿宋" w:hAnsi="仿宋" w:cs="宋体"/>
          <w:color w:val="000000" w:themeColor="text1"/>
          <w:kern w:val="0"/>
          <w:sz w:val="24"/>
          <w14:textFill>
            <w14:solidFill>
              <w14:schemeClr w14:val="tx1"/>
            </w14:solidFill>
          </w14:textFill>
        </w:rPr>
        <w:t>             </w:t>
      </w:r>
    </w:p>
    <w:p>
      <w:pPr>
        <w:widowControl/>
        <w:spacing w:line="300" w:lineRule="exact"/>
        <w:jc w:val="left"/>
        <w:rPr>
          <w:rFonts w:ascii="仿宋" w:hAnsi="仿宋" w:cs="宋体"/>
          <w:color w:val="000000" w:themeColor="text1"/>
          <w:kern w:val="0"/>
          <w:sz w:val="24"/>
          <w14:textFill>
            <w14:solidFill>
              <w14:schemeClr w14:val="tx1"/>
            </w14:solidFill>
          </w14:textFill>
        </w:rPr>
      </w:pPr>
      <w:r>
        <w:rPr>
          <w:rFonts w:ascii="仿宋" w:hAnsi="仿宋" w:cs="宋体"/>
          <w:color w:val="000000" w:themeColor="text1"/>
          <w:kern w:val="0"/>
          <w:sz w:val="24"/>
          <w14:textFill>
            <w14:solidFill>
              <w14:schemeClr w14:val="tx1"/>
            </w14:solidFill>
          </w14:textFill>
        </w:rPr>
        <w:t xml:space="preserve">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 xml:space="preserve"> 地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 xml:space="preserve"> 址：</w:t>
      </w:r>
      <w:r>
        <w:rPr>
          <w:rFonts w:hint="eastAsia" w:ascii="仿宋" w:hAnsi="仿宋" w:cs="宋体"/>
          <w:color w:val="000000" w:themeColor="text1"/>
          <w:kern w:val="0"/>
          <w:sz w:val="24"/>
          <w14:textFill>
            <w14:solidFill>
              <w14:schemeClr w14:val="tx1"/>
            </w14:solidFill>
          </w14:textFill>
        </w:rPr>
        <w:t>三门县海游街道湫水大道1号</w:t>
      </w:r>
    </w:p>
    <w:p>
      <w:pPr>
        <w:widowControl/>
        <w:spacing w:line="300" w:lineRule="exact"/>
        <w:jc w:val="left"/>
        <w:rPr>
          <w:rFonts w:ascii="仿宋" w:hAnsi="仿宋" w:cs="宋体"/>
          <w:color w:val="000000" w:themeColor="text1"/>
          <w:kern w:val="0"/>
          <w:sz w:val="24"/>
          <w14:textFill>
            <w14:solidFill>
              <w14:schemeClr w14:val="tx1"/>
            </w14:solidFill>
          </w14:textFill>
        </w:rPr>
      </w:pPr>
      <w:r>
        <w:rPr>
          <w:rFonts w:ascii="仿宋" w:hAnsi="仿宋" w:cs="宋体"/>
          <w:color w:val="000000" w:themeColor="text1"/>
          <w:kern w:val="0"/>
          <w:sz w:val="24"/>
          <w14:textFill>
            <w14:solidFill>
              <w14:schemeClr w14:val="tx1"/>
            </w14:solidFill>
          </w14:textFill>
        </w:rPr>
        <w:t>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 xml:space="preserve"> </w:t>
      </w:r>
      <w:r>
        <w:rPr>
          <w:rFonts w:hint="eastAsia" w:ascii="仿宋" w:hAnsi="仿宋" w:cs="宋体"/>
          <w:color w:val="000000" w:themeColor="text1"/>
          <w:kern w:val="0"/>
          <w:sz w:val="24"/>
          <w14:textFill>
            <w14:solidFill>
              <w14:schemeClr w14:val="tx1"/>
            </w14:solidFill>
          </w14:textFill>
        </w:rPr>
        <w:t xml:space="preserve"> </w:t>
      </w:r>
      <w:r>
        <w:rPr>
          <w:rFonts w:ascii="仿宋" w:hAnsi="仿宋" w:cs="宋体"/>
          <w:color w:val="000000" w:themeColor="text1"/>
          <w:kern w:val="0"/>
          <w:sz w:val="24"/>
          <w14:textFill>
            <w14:solidFill>
              <w14:schemeClr w14:val="tx1"/>
            </w14:solidFill>
          </w14:textFill>
        </w:rPr>
        <w:t xml:space="preserve">  联系人：</w:t>
      </w:r>
      <w:r>
        <w:rPr>
          <w:rFonts w:hint="eastAsia" w:ascii="仿宋" w:hAnsi="仿宋" w:cs="宋体"/>
          <w:color w:val="000000" w:themeColor="text1"/>
          <w:kern w:val="0"/>
          <w:sz w:val="24"/>
          <w14:textFill>
            <w14:solidFill>
              <w14:schemeClr w14:val="tx1"/>
            </w14:solidFill>
          </w14:textFill>
        </w:rPr>
        <w:t>柳方妙</w:t>
      </w:r>
      <w:r>
        <w:rPr>
          <w:rFonts w:ascii="仿宋" w:hAnsi="仿宋" w:cs="宋体"/>
          <w:color w:val="000000" w:themeColor="text1"/>
          <w:kern w:val="0"/>
          <w:sz w:val="24"/>
          <w14:textFill>
            <w14:solidFill>
              <w14:schemeClr w14:val="tx1"/>
            </w14:solidFill>
          </w14:textFill>
        </w:rPr>
        <w:t xml:space="preserve">          </w:t>
      </w:r>
    </w:p>
    <w:p>
      <w:pPr>
        <w:widowControl/>
        <w:spacing w:line="300" w:lineRule="exact"/>
        <w:ind w:firstLine="720" w:firstLineChars="300"/>
        <w:jc w:val="left"/>
        <w:rPr>
          <w:rFonts w:ascii="仿宋" w:hAnsi="仿宋" w:cs="宋体"/>
          <w:color w:val="000000" w:themeColor="text1"/>
          <w:kern w:val="0"/>
          <w:sz w:val="24"/>
          <w14:textFill>
            <w14:solidFill>
              <w14:schemeClr w14:val="tx1"/>
            </w14:solidFill>
          </w14:textFill>
        </w:rPr>
      </w:pPr>
      <w:r>
        <w:rPr>
          <w:rFonts w:ascii="仿宋" w:hAnsi="仿宋" w:cs="宋体"/>
          <w:color w:val="000000" w:themeColor="text1"/>
          <w:kern w:val="0"/>
          <w:sz w:val="24"/>
          <w14:textFill>
            <w14:solidFill>
              <w14:schemeClr w14:val="tx1"/>
            </w14:solidFill>
          </w14:textFill>
        </w:rPr>
        <w:t>监督投诉电话：0576-83305830</w:t>
      </w:r>
    </w:p>
    <w:p>
      <w:pPr>
        <w:pStyle w:val="37"/>
        <w:spacing w:before="0" w:beforeAutospacing="0" w:after="0" w:afterAutospacing="0" w:line="300" w:lineRule="exact"/>
        <w:ind w:firstLine="480" w:firstLineChars="200"/>
        <w:rPr>
          <w:rFonts w:hint="default" w:cs="宋体"/>
          <w:color w:val="000000" w:themeColor="text1"/>
          <w14:textFill>
            <w14:solidFill>
              <w14:schemeClr w14:val="tx1"/>
            </w14:solidFill>
          </w14:textFill>
        </w:rPr>
      </w:pPr>
    </w:p>
    <w:p>
      <w:pPr>
        <w:pStyle w:val="37"/>
        <w:spacing w:before="0" w:beforeAutospacing="0" w:after="0" w:afterAutospacing="0" w:line="300" w:lineRule="exact"/>
        <w:ind w:firstLine="720" w:firstLineChars="3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4.政采云平台</w:t>
      </w:r>
    </w:p>
    <w:p>
      <w:pPr>
        <w:pStyle w:val="37"/>
        <w:spacing w:before="0" w:beforeAutospacing="0" w:after="0" w:afterAutospacing="0" w:line="300" w:lineRule="exact"/>
        <w:ind w:firstLine="720" w:firstLineChars="300"/>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 xml:space="preserve">联系电话：4008817190          </w:t>
      </w:r>
    </w:p>
    <w:p>
      <w:pPr>
        <w:widowControl/>
        <w:spacing w:line="360" w:lineRule="exact"/>
        <w:ind w:firstLine="630" w:firstLineChars="300"/>
        <w:jc w:val="left"/>
        <w:rPr>
          <w:rFonts w:ascii="宋体" w:hAnsi="宋体" w:cs="宋体"/>
          <w:color w:val="000000" w:themeColor="text1"/>
          <w:kern w:val="0"/>
          <w:szCs w:val="21"/>
          <w14:textFill>
            <w14:solidFill>
              <w14:schemeClr w14:val="tx1"/>
            </w14:solidFill>
          </w14:textFill>
        </w:rPr>
      </w:pPr>
    </w:p>
    <w:p>
      <w:pPr>
        <w:widowControl/>
        <w:spacing w:line="360" w:lineRule="exact"/>
        <w:ind w:firstLine="525" w:firstLineChars="250"/>
        <w:jc w:val="left"/>
        <w:rPr>
          <w:rFonts w:ascii="宋体" w:hAnsi="宋体" w:cs="宋体"/>
          <w:color w:val="000000" w:themeColor="text1"/>
          <w:kern w:val="0"/>
          <w:szCs w:val="21"/>
          <w14:textFill>
            <w14:solidFill>
              <w14:schemeClr w14:val="tx1"/>
            </w14:solidFill>
          </w14:textFill>
        </w:rPr>
      </w:pPr>
    </w:p>
    <w:p>
      <w:pPr>
        <w:widowControl/>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p>
      <w:pPr>
        <w:widowControl/>
        <w:spacing w:line="300" w:lineRule="exact"/>
        <w:ind w:firstLine="240" w:firstLineChars="100"/>
        <w:jc w:val="right"/>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三门县浦坝港镇人民政府</w:t>
      </w:r>
    </w:p>
    <w:p>
      <w:pPr>
        <w:widowControl/>
        <w:spacing w:line="300" w:lineRule="exact"/>
        <w:ind w:firstLine="240" w:firstLineChars="100"/>
        <w:jc w:val="right"/>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三门县熠橙工程管理有限公司</w:t>
      </w:r>
    </w:p>
    <w:p>
      <w:pPr>
        <w:widowControl/>
        <w:spacing w:line="300" w:lineRule="exact"/>
        <w:ind w:firstLine="240" w:firstLineChars="1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2022年</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日</w:t>
      </w:r>
    </w:p>
    <w:p>
      <w:pPr>
        <w:widowControl/>
        <w:spacing w:line="300" w:lineRule="exact"/>
        <w:ind w:firstLine="240" w:firstLineChars="1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p>
    <w:bookmarkEnd w:id="1"/>
    <w:bookmarkEnd w:id="2"/>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 w:name="_Toc93048452"/>
      <w:r>
        <w:rPr>
          <w:rFonts w:hint="eastAsia" w:asciiTheme="minorEastAsia" w:hAnsiTheme="minorEastAsia" w:eastAsiaTheme="minorEastAsia"/>
          <w:b/>
          <w:color w:val="000000" w:themeColor="text1"/>
          <w:sz w:val="36"/>
          <w:szCs w:val="36"/>
          <w14:textFill>
            <w14:solidFill>
              <w14:schemeClr w14:val="tx1"/>
            </w14:solidFill>
          </w14:textFill>
        </w:rPr>
        <w:t>供应商须知</w:t>
      </w:r>
      <w:bookmarkEnd w:id="3"/>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一、前附表</w:t>
      </w:r>
    </w:p>
    <w:tbl>
      <w:tblPr>
        <w:tblStyle w:val="41"/>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w:t>
            </w: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□是（但主体部分不得分包，详见招标需求内容）/</w:t>
            </w: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w:t>
            </w: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 xml:space="preserve"> 否，具体清单见项目需求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答疑会或</w:t>
            </w:r>
          </w:p>
          <w:p>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请供应商仔细阅读“政府采购项目电子交易操作指南”。</w:t>
            </w:r>
          </w:p>
          <w:p>
            <w:pPr>
              <w:spacing w:line="30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1.响应文件的制作：供应商按照本项目磋商文件和政采云平台的要求,通过“政采云电子交易客户端”编制、加密并递交响应文件（下载网址：https://zfcg.czt.zj.gov.cn/download/index.html）。</w:t>
            </w:r>
          </w:p>
          <w:p>
            <w:pPr>
              <w:spacing w:line="30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2.递交响应文件：供应商应当在响应截止时间前（磋商当天北京时间2022年</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上</w:t>
            </w:r>
            <w:r>
              <w:rPr>
                <w:rFonts w:hint="eastAsia" w:ascii="宋体" w:hAnsi="宋体" w:cs="宋体"/>
                <w:color w:val="000000" w:themeColor="text1"/>
                <w:kern w:val="0"/>
                <w:szCs w:val="21"/>
                <w14:textFill>
                  <w14:solidFill>
                    <w14:schemeClr w14:val="tx1"/>
                  </w14:solidFill>
                </w14:textFill>
              </w:rPr>
              <w:t>午</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0）完成响应文件的递交，逾期递交的响应文件恕不接受。补充或者修改响应文件的，应当先行撤回原文件，补充、修改后重新递交。响应截止时间前未完成递交的，视为撤回响应文件。</w:t>
            </w:r>
          </w:p>
          <w:p>
            <w:pPr>
              <w:spacing w:line="300" w:lineRule="auto"/>
              <w:ind w:firstLine="210" w:firstLineChars="1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3.响应文件解密：供应商应在开标当天北京时间2022年</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上</w:t>
            </w:r>
            <w:r>
              <w:rPr>
                <w:rFonts w:hint="eastAsia" w:ascii="宋体" w:hAnsi="宋体" w:cs="宋体"/>
                <w:color w:val="000000" w:themeColor="text1"/>
                <w:kern w:val="0"/>
                <w:szCs w:val="21"/>
                <w14:textFill>
                  <w14:solidFill>
                    <w14:schemeClr w14:val="tx1"/>
                  </w14:solidFill>
                </w14:textFill>
              </w:rPr>
              <w:t>午</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点</w:t>
            </w:r>
            <w:r>
              <w:rPr>
                <w:rFonts w:hint="eastAsia" w:ascii="宋体" w:hAnsi="宋体" w:cs="宋体"/>
                <w:color w:val="000000" w:themeColor="text1"/>
                <w:kern w:val="0"/>
                <w:szCs w:val="21"/>
                <w:lang w:val="en-US" w:eastAsia="zh-CN"/>
                <w14:textFill>
                  <w14:solidFill>
                    <w14:schemeClr w14:val="tx1"/>
                  </w14:solidFill>
                </w14:textFill>
              </w:rPr>
              <w:t>00</w:t>
            </w:r>
            <w:r>
              <w:rPr>
                <w:rFonts w:hint="eastAsia" w:ascii="宋体" w:hAnsi="宋体" w:cs="宋体"/>
                <w:color w:val="000000" w:themeColor="text1"/>
                <w:kern w:val="0"/>
                <w:szCs w:val="21"/>
                <w14:textFill>
                  <w14:solidFill>
                    <w14:schemeClr w14:val="tx1"/>
                  </w14:solidFill>
                </w14:textFill>
              </w:rPr>
              <w:t>分整至2022年</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上</w:t>
            </w:r>
            <w:r>
              <w:rPr>
                <w:rFonts w:hint="eastAsia" w:ascii="宋体" w:hAnsi="宋体" w:cs="宋体"/>
                <w:color w:val="000000" w:themeColor="text1"/>
                <w:kern w:val="0"/>
                <w:szCs w:val="21"/>
                <w14:textFill>
                  <w14:solidFill>
                    <w14:schemeClr w14:val="tx1"/>
                  </w14:solidFill>
                </w14:textFill>
              </w:rPr>
              <w:t>午</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点</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0分整完成解密。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spacing w:after="0"/>
              <w:ind w:left="0" w:leftChars="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备份投标文件是通过政采云电子交易客户端制作投标文件产生的备份文件，请投标人自行妥善保管。</w:t>
            </w:r>
          </w:p>
          <w:p>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2.递交截止时间：磋商当天</w:t>
            </w:r>
            <w:r>
              <w:rPr>
                <w:rFonts w:hint="eastAsia" w:ascii="宋体" w:hAnsi="宋体" w:cs="宋体"/>
                <w:color w:val="000000" w:themeColor="text1"/>
                <w:u w:val="single"/>
                <w:lang w:val="en-US" w:eastAsia="zh-CN"/>
                <w14:textFill>
                  <w14:solidFill>
                    <w14:schemeClr w14:val="tx1"/>
                  </w14:solidFill>
                </w14:textFill>
              </w:rPr>
              <w:t>9</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0</w:t>
            </w:r>
            <w:r>
              <w:rPr>
                <w:rFonts w:hint="eastAsia" w:ascii="宋体" w:hAnsi="宋体" w:cs="宋体"/>
                <w:color w:val="000000" w:themeColor="text1"/>
                <w14:textFill>
                  <w14:solidFill>
                    <w14:schemeClr w14:val="tx1"/>
                  </w14:solidFill>
                </w14:textFill>
              </w:rPr>
              <w:t>（北京时间）。</w:t>
            </w:r>
          </w:p>
          <w:p>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3.发送方式：</w:t>
            </w:r>
            <w:r>
              <w:rPr>
                <w:rFonts w:hint="eastAsia" w:ascii="宋体" w:hAnsi="宋体" w:cs="宋体"/>
                <w:color w:val="000000" w:themeColor="text1"/>
                <w:kern w:val="0"/>
                <w:szCs w:val="21"/>
                <w14:textFill>
                  <w14:solidFill>
                    <w14:schemeClr w14:val="tx1"/>
                  </w14:solidFill>
                </w14:textFill>
              </w:rPr>
              <w:t>供应商须将备份投标文件发送至代理机构电子邮箱（电子邮箱：</w:t>
            </w:r>
            <w:r>
              <w:rPr>
                <w:rFonts w:hint="eastAsia" w:ascii="宋体" w:hAnsi="宋体" w:cs="宋体"/>
                <w:color w:val="000000" w:themeColor="text1"/>
                <w:kern w:val="0"/>
                <w:szCs w:val="21"/>
                <w:lang w:val="en-US" w:eastAsia="zh-CN"/>
                <w14:textFill>
                  <w14:solidFill>
                    <w14:schemeClr w14:val="tx1"/>
                  </w14:solidFill>
                </w14:textFill>
              </w:rPr>
              <w:t>1032176308</w:t>
            </w:r>
            <w:r>
              <w:rPr>
                <w:rFonts w:hint="eastAsia" w:ascii="宋体" w:hAnsi="宋体" w:cs="宋体"/>
                <w:color w:val="000000" w:themeColor="text1"/>
                <w:kern w:val="0"/>
                <w:szCs w:val="21"/>
                <w14:textFill>
                  <w14:solidFill>
                    <w14:schemeClr w14:val="tx1"/>
                  </w14:solidFill>
                </w14:textFill>
              </w:rPr>
              <w:t>@qq.com）。</w:t>
            </w:r>
          </w:p>
          <w:p>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4.未按上述要求递交备份投标文件或所提供的备份投标文件不符合要求的视同放弃投标，仅提交备份投标文件的，投标无效。</w:t>
            </w:r>
          </w:p>
          <w:p>
            <w:pPr>
              <w:pStyle w:val="2"/>
              <w:spacing w:after="0" w:line="300" w:lineRule="auto"/>
              <w:ind w:left="0" w:leftChars="0" w:firstLine="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5"/>
              <w:spacing w:line="300" w:lineRule="auto"/>
              <w:ind w:firstLine="0"/>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不见面</w:t>
            </w:r>
            <w:r>
              <w:rPr>
                <w:rFonts w:hint="eastAsia"/>
                <w:color w:val="000000" w:themeColor="text1"/>
                <w14:textFill>
                  <w14:solidFill>
                    <w14:schemeClr w14:val="tx1"/>
                  </w14:solidFill>
                </w14:textFill>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before="0" w:beforeAutospacing="0" w:after="0" w:afterAutospacing="0" w:line="300" w:lineRule="auto"/>
              <w:ind w:firstLine="420" w:firstLineChars="200"/>
              <w:jc w:val="both"/>
              <w:rPr>
                <w:rFonts w:hint="default" w:cs="宋体"/>
                <w:color w:val="000000" w:themeColor="text1"/>
                <w:szCs w:val="21"/>
                <w14:textFill>
                  <w14:solidFill>
                    <w14:schemeClr w14:val="tx1"/>
                  </w14:solidFill>
                </w14:textFill>
              </w:rPr>
            </w:pPr>
            <w:r>
              <w:rPr>
                <w:rFonts w:cs="宋体"/>
                <w:color w:val="000000" w:themeColor="text1"/>
                <w:sz w:val="21"/>
                <w:szCs w:val="21"/>
                <w14:textFill>
                  <w14:solidFill>
                    <w14:schemeClr w14:val="tx1"/>
                  </w14:solidFill>
                </w14:textFill>
              </w:rPr>
              <w:t>采购组织机构按照磋商文件规定的时间通过“政采云平台”组织开启，如</w:t>
            </w:r>
            <w:r>
              <w:rPr>
                <w:rFonts w:cs="宋体"/>
                <w:bCs/>
                <w:color w:val="000000" w:themeColor="text1"/>
                <w:sz w:val="21"/>
                <w:szCs w:val="21"/>
                <w14:textFill>
                  <w14:solidFill>
                    <w14:schemeClr w14:val="tx1"/>
                  </w14:solidFill>
                </w14:textFill>
              </w:rPr>
              <w:t>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3"/>
              <w:adjustRightInd w:val="0"/>
              <w:snapToGrid w:val="0"/>
              <w:spacing w:line="300" w:lineRule="auto"/>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1.本项目实行电子采购，采用电子响应文件。若供应商参与本项目，自行承担磋商活动一切费用。</w:t>
            </w:r>
          </w:p>
          <w:p>
            <w:pPr>
              <w:pStyle w:val="23"/>
              <w:adjustRightInd w:val="0"/>
              <w:snapToGrid w:val="0"/>
              <w:spacing w:line="300" w:lineRule="auto"/>
              <w:rPr>
                <w:rFonts w:hAnsi="宋体" w:cs="宋体"/>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http://www.creditchina.gov.cn</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pPr>
              <w:snapToGrid w:val="0"/>
              <w:spacing w:line="300"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中国政府采购网（网址：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Style w:val="47"/>
                <w:color w:val="000000" w:themeColor="text1"/>
                <w:u w:val="none"/>
                <w14:textFill>
                  <w14:solidFill>
                    <w14:schemeClr w14:val="tx1"/>
                  </w14:solidFill>
                </w14:textFill>
              </w:rPr>
              <w:t>http://www.ccgp.gov.cn</w:t>
            </w:r>
            <w:r>
              <w:rPr>
                <w:rStyle w:val="47"/>
                <w:rFonts w:hint="eastAsia"/>
                <w:color w:val="000000" w:themeColor="text1"/>
                <w:u w:val="none"/>
                <w14:textFill>
                  <w14:solidFill>
                    <w14:schemeClr w14:val="tx1"/>
                  </w14:solidFill>
                </w14:textFill>
              </w:rPr>
              <w:t>)</w:t>
            </w:r>
            <w:r>
              <w:rPr>
                <w:rStyle w:val="47"/>
                <w:rFonts w:hint="eastAsia"/>
                <w:color w:val="000000" w:themeColor="text1"/>
                <w:u w:val="none"/>
                <w14:textFill>
                  <w14:solidFill>
                    <w14:schemeClr w14:val="tx1"/>
                  </w14:solidFill>
                </w14:textFill>
              </w:rPr>
              <w:fldChar w:fldCharType="end"/>
            </w:r>
          </w:p>
          <w:p>
            <w:pPr>
              <w:pStyle w:val="3"/>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2.截止时点：开标后评标前。</w:t>
            </w:r>
          </w:p>
          <w:p>
            <w:pPr>
              <w:pStyle w:val="3"/>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3.信用信息查询记录和证据留存的具体方式：由采购组织机构在规定查询时间内打印信用信息查询记录并归入项目档案。</w:t>
            </w:r>
          </w:p>
          <w:p>
            <w:pPr>
              <w:pStyle w:val="3"/>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根据《政府采购促进中小企业发展管理办法》财库〔2020〕46号文件的规定，本项目(</w:t>
            </w: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是 /□否)属于专门面向中小企业采购的项目。</w:t>
            </w:r>
          </w:p>
          <w:p>
            <w:pPr>
              <w:pStyle w:val="40"/>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在政府采购活动中，投标人提供的货物、工程或者服务符合下列情形的，享受《政府采购促进中小企业发展管理办法》【财库（2020）46号】的中小企业扶持政策： </w:t>
            </w:r>
          </w:p>
          <w:p>
            <w:pPr>
              <w:pStyle w:val="40"/>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1.在货物采购项目中，货物由中小企业制造，即货物由中小企业生产且使用该中小企业商号或者注册商标； </w:t>
            </w:r>
          </w:p>
          <w:p>
            <w:pPr>
              <w:pStyle w:val="40"/>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2.在工程采购项目中，工程由中小企业承建，即工程施工单位为中小企业； </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小微企业核查渠道：小微企业名录（网址：http://xwqy.gsxt.gov.cn）</w:t>
            </w:r>
          </w:p>
          <w:p>
            <w:pPr>
              <w:pStyle w:val="40"/>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3.在服务采购项目中，服务由中小企业承接，即提供服务的人员为中小企业依照《中华人民共和国劳动合同法》订立劳动合同的从业人员。 </w:t>
            </w:r>
          </w:p>
          <w:p>
            <w:pPr>
              <w:pStyle w:val="40"/>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在货物采购项目中，供应商提供的货物既有中小企业制 造货物，也有大型企业制造货物的，不享受本办法规定的中 小企业扶持政策。</w:t>
            </w:r>
          </w:p>
          <w:p>
            <w:pPr>
              <w:pStyle w:val="40"/>
              <w:ind w:firstLine="0" w:firstLineChars="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1.项目属性（工程类）</w:t>
            </w:r>
          </w:p>
          <w:p>
            <w:pPr>
              <w:snapToGrid w:val="0"/>
              <w:spacing w:line="300" w:lineRule="auto"/>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2.中小企业划分标准所属行业（具体根据《中小企业划型标准规定》执行）。</w:t>
            </w:r>
          </w:p>
          <w:p>
            <w:pPr>
              <w:snapToGrid w:val="0"/>
              <w:spacing w:line="300" w:lineRule="auto"/>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采购标的：</w:t>
            </w:r>
            <w:r>
              <w:rPr>
                <w:rFonts w:hint="eastAsia" w:ascii="宋体" w:hAnsi="宋体" w:cs="宋体" w:eastAsiaTheme="minorEastAsia"/>
                <w:color w:val="000000" w:themeColor="text1"/>
                <w:szCs w:val="21"/>
                <w:u w:val="single"/>
                <w:lang w:val="en-US" w:eastAsia="zh-CN"/>
                <w14:textFill>
                  <w14:solidFill>
                    <w14:schemeClr w14:val="tx1"/>
                  </w14:solidFill>
                </w14:textFill>
              </w:rPr>
              <w:t>公路</w:t>
            </w:r>
            <w:r>
              <w:rPr>
                <w:rFonts w:hint="eastAsia" w:ascii="宋体" w:hAnsi="宋体" w:cs="宋体"/>
                <w:color w:val="000000" w:themeColor="text1"/>
                <w:szCs w:val="21"/>
                <w:u w:val="single"/>
                <w14:textFill>
                  <w14:solidFill>
                    <w14:schemeClr w14:val="tx1"/>
                  </w14:solidFill>
                </w14:textFill>
              </w:rPr>
              <w:t>工程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所属</w:t>
            </w:r>
            <w:r>
              <w:rPr>
                <w:rFonts w:hint="eastAsia" w:ascii="宋体" w:hAnsi="宋体" w:cs="宋体"/>
                <w:color w:val="000000" w:themeColor="text1"/>
                <w:szCs w:val="21"/>
                <w:u w:val="single"/>
                <w14:textFill>
                  <w14:solidFill>
                    <w14:schemeClr w14:val="tx1"/>
                  </w14:solidFill>
                </w14:textFill>
              </w:rPr>
              <w:t>行</w:t>
            </w:r>
            <w:r>
              <w:rPr>
                <w:rFonts w:ascii="宋体" w:hAnsi="宋体" w:cs="宋体"/>
                <w:color w:val="000000" w:themeColor="text1"/>
                <w:szCs w:val="21"/>
                <w:u w:val="single"/>
                <w14:textFill>
                  <w14:solidFill>
                    <w14:schemeClr w14:val="tx1"/>
                  </w14:solidFill>
                </w14:textFill>
              </w:rPr>
              <w:t>业：建筑业</w:t>
            </w:r>
            <w:r>
              <w:rPr>
                <w:rFonts w:hint="eastAsia" w:cs="Arial" w:asciiTheme="minorEastAsia" w:hAnsiTheme="minorEastAsia"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政采云平台网上质疑系统或书面质疑。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带“</w:t>
            </w:r>
            <w:r>
              <w:rPr>
                <w:rFonts w:hint="eastAsia" w:ascii="宋体" w:hAnsi="宋体" w:cs="宋体"/>
                <w:bCs/>
                <w:color w:val="000000" w:themeColor="text1"/>
                <w:szCs w:val="21"/>
                <w14:textFill>
                  <w14:solidFill>
                    <w14:schemeClr w14:val="tx1"/>
                  </w14:solidFill>
                </w14:textFill>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在线投标响应（电子投标）相关说明</w:t>
            </w:r>
          </w:p>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①本项目通过“政府采购云平台（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"http://www.zcygov.cn/" \h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www.zcygov.cn</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"http://zfcg.czt.zj.gov.cn/bidClientTemplate/2019-05-27/12945.html" \h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CA 驱动和申领流程</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”进行查阅。</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④供应商通过政府采购云平台电子投标工具制作磋商响应文件，电子投标工具请供应商自行前往浙江省政府采购网下载并安装。</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⑥本项目需要供应商同时提供备份磋商响应文件。备份磋商响应文件应当在备份投标文件递交截止时间前发送至代理机构电子邮箱（电子邮箱：</w:t>
            </w:r>
            <w:r>
              <w:rPr>
                <w:rFonts w:hint="eastAsia" w:ascii="宋体" w:hAnsi="宋体" w:cs="宋体"/>
                <w:color w:val="000000" w:themeColor="text1"/>
                <w:kern w:val="0"/>
                <w:szCs w:val="21"/>
                <w:lang w:eastAsia="zh-CN"/>
                <w14:textFill>
                  <w14:solidFill>
                    <w14:schemeClr w14:val="tx1"/>
                  </w14:solidFill>
                </w14:textFill>
              </w:rPr>
              <w:t>1032176308</w:t>
            </w:r>
            <w:r>
              <w:rPr>
                <w:rFonts w:hint="eastAsia" w:ascii="宋体" w:hAnsi="宋体" w:cs="宋体"/>
                <w:color w:val="000000" w:themeColor="text1"/>
                <w:kern w:val="0"/>
                <w:szCs w:val="21"/>
                <w14:textFill>
                  <w14:solidFill>
                    <w14:schemeClr w14:val="tx1"/>
                  </w14:solidFill>
                </w14:textFill>
              </w:rPr>
              <w:t>@qq.com），逾期发送将被拒收。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本项目招标代理费为</w:t>
            </w:r>
            <w:r>
              <w:rPr>
                <w:rFonts w:hint="eastAsia" w:ascii="宋体" w:hAnsi="宋体" w:cs="宋体"/>
                <w:b/>
                <w:bCs/>
                <w:color w:val="000000" w:themeColor="text1"/>
                <w:szCs w:val="21"/>
                <w:lang w:val="en-US" w:eastAsia="zh-CN"/>
                <w14:textFill>
                  <w14:solidFill>
                    <w14:schemeClr w14:val="tx1"/>
                  </w14:solidFill>
                </w14:textFill>
              </w:rPr>
              <w:t>30000</w:t>
            </w:r>
            <w:r>
              <w:rPr>
                <w:rFonts w:hint="eastAsia" w:ascii="宋体" w:hAnsi="宋体" w:cs="宋体"/>
                <w:color w:val="000000" w:themeColor="text1"/>
                <w:szCs w:val="21"/>
                <w14:textFill>
                  <w14:solidFill>
                    <w14:schemeClr w14:val="tx1"/>
                  </w14:solidFill>
                </w14:textFill>
              </w:rPr>
              <w:t>元。</w:t>
            </w:r>
            <w:r>
              <w:rPr>
                <w:rFonts w:hint="eastAsia" w:ascii="宋体" w:hAnsi="宋体" w:cs="宋体"/>
                <w:b/>
                <w:bCs/>
                <w:color w:val="000000" w:themeColor="text1"/>
                <w:szCs w:val="21"/>
                <w14:textFill>
                  <w14:solidFill>
                    <w14:schemeClr w14:val="tx1"/>
                  </w14:solidFill>
                </w14:textFill>
              </w:rPr>
              <w:t>由中标人支付，在领取中标通知书前付清。</w:t>
            </w:r>
            <w:bookmarkStart w:id="1247" w:name="_GoBack"/>
            <w:bookmarkEnd w:id="1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原承接的项目与本工程属于同一工程相邻分段发包或分期施工的；</w:t>
            </w:r>
          </w:p>
          <w:p>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因非承包方原因致使工程项目停工超过</w:t>
            </w:r>
            <w:r>
              <w:rPr>
                <w:rFonts w:ascii="宋体" w:hAnsi="宋体" w:cs="宋体"/>
                <w:color w:val="000000" w:themeColor="text1"/>
                <w:szCs w:val="21"/>
                <w14:textFill>
                  <w14:solidFill>
                    <w14:schemeClr w14:val="tx1"/>
                  </w14:solidFill>
                </w14:textFill>
              </w:rPr>
              <w:t>120</w:t>
            </w:r>
            <w:r>
              <w:rPr>
                <w:rFonts w:hint="eastAsia" w:ascii="宋体" w:hAnsi="宋体" w:cs="宋体"/>
                <w:color w:val="000000" w:themeColor="text1"/>
                <w:szCs w:val="21"/>
                <w14:textFill>
                  <w14:solidFill>
                    <w14:schemeClr w14:val="tx1"/>
                  </w14:solidFill>
                </w14:textFill>
              </w:rPr>
              <w:t>天（含），经原建设单位同意的；</w:t>
            </w:r>
          </w:p>
          <w:p>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合同约定的工程已完工，承包方向建设单位提交竣工（交工）报告时间已超过</w:t>
            </w:r>
            <w:r>
              <w:rPr>
                <w:rFonts w:ascii="宋体" w:hAnsi="宋体" w:cs="宋体"/>
                <w:color w:val="000000" w:themeColor="text1"/>
                <w:szCs w:val="21"/>
                <w14:textFill>
                  <w14:solidFill>
                    <w14:schemeClr w14:val="tx1"/>
                  </w14:solidFill>
                </w14:textFill>
              </w:rPr>
              <w:t>120</w:t>
            </w:r>
            <w:r>
              <w:rPr>
                <w:rFonts w:hint="eastAsia" w:ascii="宋体" w:hAnsi="宋体" w:cs="宋体"/>
                <w:color w:val="000000" w:themeColor="text1"/>
                <w:szCs w:val="21"/>
                <w14:textFill>
                  <w14:solidFill>
                    <w14:schemeClr w14:val="tx1"/>
                  </w14:solidFill>
                </w14:textFill>
              </w:rPr>
              <w:t>天（含），经原建设单位同意的。</w:t>
            </w:r>
          </w:p>
          <w:p>
            <w:pPr>
              <w:pStyle w:val="19"/>
              <w:adjustRightInd w:val="0"/>
              <w:snapToGrid w:val="0"/>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如发生以上情形的，投标人应在投标文件中提交有关书面证明材料（以电子文档形式随</w:t>
            </w:r>
            <w:r>
              <w:rPr>
                <w:rFonts w:ascii="宋体" w:hAnsi="宋体" w:cs="宋体"/>
                <w:b/>
                <w:color w:val="000000" w:themeColor="text1"/>
                <w:sz w:val="21"/>
                <w:szCs w:val="21"/>
                <w14:textFill>
                  <w14:solidFill>
                    <w14:schemeClr w14:val="tx1"/>
                  </w14:solidFill>
                </w14:textFill>
              </w:rPr>
              <w:t>资格证明内容</w:t>
            </w:r>
            <w:r>
              <w:rPr>
                <w:rFonts w:hint="eastAsia" w:ascii="宋体" w:hAnsi="宋体" w:cs="宋体"/>
                <w:b/>
                <w:color w:val="000000" w:themeColor="text1"/>
                <w:sz w:val="21"/>
                <w:szCs w:val="21"/>
                <w14:textFill>
                  <w14:solidFill>
                    <w14:schemeClr w14:val="tx1"/>
                  </w14:solidFill>
                </w14:textFill>
              </w:rPr>
              <w:t>上传，招标文件提供证明格式的须按照该格式提交），投标截止日后提供的证明材料视为瞒报、漏报，将不予认可。</w:t>
            </w:r>
          </w:p>
          <w:p>
            <w:pPr>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pStyle w:val="19"/>
              <w:adjustRightInd w:val="0"/>
              <w:snapToGrid w:val="0"/>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2、项目负责人不得同时在两个或者两个以上单位受聘或者执业（仅指项目负责人不得同时是其他单位的公务员或者事业单位在编人员，涉及到其他情形的，投标资格不受影响）。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40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资格证明文件、</w:t>
            </w:r>
            <w:r>
              <w:rPr>
                <w:rFonts w:hint="eastAsia"/>
                <w:bCs/>
                <w:color w:val="000000" w:themeColor="text1"/>
                <w:szCs w:val="21"/>
                <w14:textFill>
                  <w14:solidFill>
                    <w14:schemeClr w14:val="tx1"/>
                  </w14:solidFill>
                </w14:textFill>
              </w:rPr>
              <w:t>商务</w:t>
            </w:r>
            <w:r>
              <w:rPr>
                <w:bCs/>
                <w:color w:val="000000" w:themeColor="text1"/>
                <w:szCs w:val="21"/>
                <w14:textFill>
                  <w14:solidFill>
                    <w14:schemeClr w14:val="tx1"/>
                  </w14:solidFill>
                </w14:textFill>
              </w:rPr>
              <w:t>与技术文件</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报价文件正本1份、副本3份。（纸质投标文件中标后提供）</w:t>
            </w:r>
          </w:p>
        </w:tc>
      </w:tr>
    </w:tbl>
    <w:p>
      <w:pPr>
        <w:pStyle w:val="23"/>
        <w:tabs>
          <w:tab w:val="left" w:pos="343"/>
        </w:tabs>
        <w:snapToGrid w:val="0"/>
        <w:spacing w:line="380" w:lineRule="exact"/>
        <w:ind w:firstLine="422" w:firstLineChars="200"/>
        <w:jc w:val="left"/>
        <w:rPr>
          <w:rFonts w:hAnsi="宋体"/>
          <w:b/>
          <w:color w:val="000000" w:themeColor="text1"/>
          <w:szCs w:val="21"/>
          <w14:textFill>
            <w14:solidFill>
              <w14:schemeClr w14:val="tx1"/>
            </w14:solidFill>
          </w14:textFill>
        </w:rPr>
      </w:pPr>
    </w:p>
    <w:p>
      <w:pPr>
        <w:pStyle w:val="23"/>
        <w:tabs>
          <w:tab w:val="left" w:pos="343"/>
        </w:tabs>
        <w:snapToGrid w:val="0"/>
        <w:spacing w:line="380" w:lineRule="exact"/>
        <w:ind w:firstLine="422" w:firstLineChars="200"/>
        <w:jc w:val="left"/>
        <w:rPr>
          <w:rFonts w:hAnsi="宋体"/>
          <w:b/>
          <w:color w:val="000000" w:themeColor="text1"/>
          <w:szCs w:val="21"/>
          <w14:textFill>
            <w14:solidFill>
              <w14:schemeClr w14:val="tx1"/>
            </w14:solidFill>
          </w14:textFill>
        </w:rPr>
      </w:pPr>
    </w:p>
    <w:p>
      <w:pPr>
        <w:pStyle w:val="23"/>
        <w:tabs>
          <w:tab w:val="left" w:pos="343"/>
        </w:tabs>
        <w:snapToGrid w:val="0"/>
        <w:spacing w:line="380" w:lineRule="exact"/>
        <w:ind w:firstLine="422" w:firstLineChars="200"/>
        <w:jc w:val="left"/>
        <w:rPr>
          <w:rFonts w:hAnsi="宋体"/>
          <w:b/>
          <w:color w:val="000000" w:themeColor="text1"/>
          <w:szCs w:val="21"/>
          <w14:textFill>
            <w14:solidFill>
              <w14:schemeClr w14:val="tx1"/>
            </w14:solidFill>
          </w14:textFill>
        </w:rPr>
      </w:pPr>
    </w:p>
    <w:p>
      <w:pPr>
        <w:pStyle w:val="23"/>
        <w:tabs>
          <w:tab w:val="left" w:pos="343"/>
        </w:tabs>
        <w:snapToGrid w:val="0"/>
        <w:spacing w:line="380" w:lineRule="exact"/>
        <w:ind w:firstLine="422" w:firstLineChars="200"/>
        <w:jc w:val="left"/>
        <w:rPr>
          <w:rFonts w:hAnsi="宋体"/>
          <w:b/>
          <w:color w:val="000000" w:themeColor="text1"/>
          <w:szCs w:val="21"/>
          <w14:textFill>
            <w14:solidFill>
              <w14:schemeClr w14:val="tx1"/>
            </w14:solidFill>
          </w14:textFill>
        </w:rPr>
      </w:pPr>
    </w:p>
    <w:p>
      <w:pPr>
        <w:pStyle w:val="23"/>
        <w:tabs>
          <w:tab w:val="left" w:pos="343"/>
        </w:tabs>
        <w:snapToGrid w:val="0"/>
        <w:spacing w:line="380" w:lineRule="exact"/>
        <w:ind w:firstLine="422" w:firstLineChars="200"/>
        <w:jc w:val="left"/>
        <w:rPr>
          <w:rFonts w:hAnsi="宋体"/>
          <w:b/>
          <w:color w:val="000000" w:themeColor="text1"/>
          <w:szCs w:val="21"/>
          <w14:textFill>
            <w14:solidFill>
              <w14:schemeClr w14:val="tx1"/>
            </w14:solidFill>
          </w14:textFill>
        </w:rPr>
      </w:pPr>
    </w:p>
    <w:p>
      <w:pPr>
        <w:pStyle w:val="24"/>
        <w:ind w:left="52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3"/>
        <w:tabs>
          <w:tab w:val="left" w:pos="343"/>
        </w:tabs>
        <w:snapToGrid w:val="0"/>
        <w:spacing w:line="380" w:lineRule="exact"/>
        <w:ind w:firstLine="422" w:firstLineChars="200"/>
        <w:jc w:val="left"/>
        <w:rPr>
          <w:rFonts w:hAnsi="宋体"/>
          <w:b/>
          <w:color w:val="000000" w:themeColor="text1"/>
          <w:szCs w:val="21"/>
          <w14:textFill>
            <w14:solidFill>
              <w14:schemeClr w14:val="tx1"/>
            </w14:solidFill>
          </w14:textFill>
        </w:rPr>
      </w:pPr>
    </w:p>
    <w:p>
      <w:pPr>
        <w:pStyle w:val="24"/>
        <w:ind w:left="5250"/>
        <w:rPr>
          <w:color w:val="000000" w:themeColor="text1"/>
          <w14:textFill>
            <w14:solidFill>
              <w14:schemeClr w14:val="tx1"/>
            </w14:solidFill>
          </w14:textFill>
        </w:rPr>
      </w:pPr>
    </w:p>
    <w:p>
      <w:pPr>
        <w:pStyle w:val="23"/>
        <w:tabs>
          <w:tab w:val="left" w:pos="343"/>
        </w:tabs>
        <w:snapToGrid w:val="0"/>
        <w:spacing w:line="380" w:lineRule="exact"/>
        <w:ind w:firstLine="422" w:firstLineChars="200"/>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二、说 明</w:t>
      </w:r>
    </w:p>
    <w:p>
      <w:pPr>
        <w:pStyle w:val="24"/>
        <w:spacing w:line="380" w:lineRule="exact"/>
        <w:ind w:left="0" w:leftChars="0"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（一）总则</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依据《中华人民共和国政府采购法》、《中华人民共和国政府采购法实施条例》（国务院令第658号）和《政府采购竞争性磋商采购方式管理暂行办法》（财库〔2014〕214号）及国家和</w:t>
      </w:r>
      <w:r>
        <w:rPr>
          <w:rFonts w:hint="eastAsia" w:ascii="宋体" w:hAnsi="宋体"/>
          <w:color w:val="000000" w:themeColor="text1"/>
          <w:szCs w:val="21"/>
          <w14:textFill>
            <w14:solidFill>
              <w14:schemeClr w14:val="tx1"/>
            </w14:solidFill>
          </w14:textFill>
        </w:rPr>
        <w:t>浙江省</w:t>
      </w:r>
      <w:r>
        <w:rPr>
          <w:rFonts w:ascii="宋体" w:hAnsi="宋体"/>
          <w:color w:val="000000" w:themeColor="text1"/>
          <w:szCs w:val="21"/>
          <w14:textFill>
            <w14:solidFill>
              <w14:schemeClr w14:val="tx1"/>
            </w14:solidFill>
          </w14:textFill>
        </w:rPr>
        <w:t>有关法律、法规、规章编制。</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供应商应仔细阅读本项目</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公告及</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的所有内容（包括变更、补充、澄清以及修改等，均为</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的组成部分），按照</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要求以及格式编制</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，并保证其真实性，</w:t>
      </w:r>
      <w:r>
        <w:rPr>
          <w:rFonts w:ascii="宋体" w:hAnsi="宋体" w:cs="宋体"/>
          <w:color w:val="000000" w:themeColor="text1"/>
          <w:szCs w:val="21"/>
          <w14:textFill>
            <w14:solidFill>
              <w14:schemeClr w14:val="tx1"/>
            </w14:solidFill>
          </w14:textFill>
        </w:rPr>
        <w:t>否则由此引起的一切后果应由</w:t>
      </w:r>
      <w:r>
        <w:rPr>
          <w:rFonts w:hint="eastAsia" w:ascii="宋体" w:hAnsi="宋体" w:cs="宋体"/>
          <w:color w:val="000000" w:themeColor="text1"/>
          <w:szCs w:val="21"/>
          <w14:textFill>
            <w14:solidFill>
              <w14:schemeClr w14:val="tx1"/>
            </w14:solidFill>
          </w14:textFill>
        </w:rPr>
        <w:t>磋商</w:t>
      </w:r>
      <w:r>
        <w:rPr>
          <w:rFonts w:ascii="宋体" w:hAnsi="宋体" w:cs="宋体"/>
          <w:color w:val="000000" w:themeColor="text1"/>
          <w:szCs w:val="21"/>
          <w14:textFill>
            <w14:solidFill>
              <w14:schemeClr w14:val="tx1"/>
            </w14:solidFill>
          </w14:textFill>
        </w:rPr>
        <w:t>供应商承担。</w:t>
      </w:r>
    </w:p>
    <w:p>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ascii="宋体" w:hAnsi="宋体"/>
          <w:b/>
          <w:color w:val="000000" w:themeColor="text1"/>
          <w:szCs w:val="21"/>
          <w14:textFill>
            <w14:solidFill>
              <w14:schemeClr w14:val="tx1"/>
            </w14:solidFill>
          </w14:textFill>
        </w:rPr>
        <w:t>适用范围</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本磋商文件适用于</w:t>
      </w:r>
      <w:r>
        <w:rPr>
          <w:rFonts w:hint="eastAsia" w:ascii="宋体" w:hAnsi="宋体"/>
          <w:bCs/>
          <w:color w:val="000000" w:themeColor="text1"/>
          <w:szCs w:val="21"/>
          <w14:textFill>
            <w14:solidFill>
              <w14:schemeClr w14:val="tx1"/>
            </w14:solidFill>
          </w14:textFill>
        </w:rPr>
        <w:t>本次</w:t>
      </w:r>
      <w:r>
        <w:rPr>
          <w:rFonts w:hint="eastAsia" w:ascii="宋体" w:hAnsi="宋体"/>
          <w:color w:val="000000" w:themeColor="text1"/>
          <w:szCs w:val="21"/>
          <w14:textFill>
            <w14:solidFill>
              <w14:schemeClr w14:val="tx1"/>
            </w14:solidFill>
          </w14:textFill>
        </w:rPr>
        <w:t>项目的磋商、</w:t>
      </w:r>
      <w:r>
        <w:rPr>
          <w:rFonts w:hint="eastAsia" w:ascii="宋体" w:hAnsi="宋体"/>
          <w:bCs/>
          <w:color w:val="000000" w:themeColor="text1"/>
          <w:szCs w:val="21"/>
          <w14:textFill>
            <w14:solidFill>
              <w14:schemeClr w14:val="tx1"/>
            </w14:solidFill>
          </w14:textFill>
        </w:rPr>
        <w:t>评审、确定成交供应商</w:t>
      </w:r>
      <w:r>
        <w:rPr>
          <w:rFonts w:hint="eastAsia" w:ascii="宋体" w:hAnsi="宋体"/>
          <w:color w:val="000000" w:themeColor="text1"/>
          <w:szCs w:val="21"/>
          <w14:textFill>
            <w14:solidFill>
              <w14:schemeClr w14:val="tx1"/>
            </w14:solidFill>
          </w14:textFill>
        </w:rPr>
        <w:t>、验收、合同履约、付款等行为（法律、法规另有规定的，从其规定）。</w:t>
      </w:r>
    </w:p>
    <w:p>
      <w:pPr>
        <w:pStyle w:val="19"/>
        <w:spacing w:line="380" w:lineRule="exact"/>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14:textFill>
            <w14:solidFill>
              <w14:schemeClr w14:val="tx1"/>
            </w14:solidFill>
          </w14:textFill>
        </w:rPr>
        <w:t>磋商文件</w:t>
      </w:r>
      <w:r>
        <w:rPr>
          <w:rFonts w:ascii="宋体" w:hAnsi="宋体"/>
          <w:color w:val="000000" w:themeColor="text1"/>
          <w:sz w:val="21"/>
          <w:szCs w:val="21"/>
          <w14:textFill>
            <w14:solidFill>
              <w14:schemeClr w14:val="tx1"/>
            </w14:solidFill>
          </w14:textFill>
        </w:rPr>
        <w:t>仅适用于本次</w:t>
      </w:r>
      <w:r>
        <w:rPr>
          <w:rFonts w:hint="eastAsia" w:ascii="宋体" w:hAnsi="宋体"/>
          <w:color w:val="000000" w:themeColor="text1"/>
          <w:sz w:val="21"/>
          <w:szCs w:val="21"/>
          <w14:textFill>
            <w14:solidFill>
              <w14:schemeClr w14:val="tx1"/>
            </w14:solidFill>
          </w14:textFill>
        </w:rPr>
        <w:t>采购</w:t>
      </w:r>
      <w:r>
        <w:rPr>
          <w:rFonts w:ascii="宋体" w:hAnsi="宋体"/>
          <w:color w:val="000000" w:themeColor="text1"/>
          <w:sz w:val="21"/>
          <w:szCs w:val="21"/>
          <w14:textFill>
            <w14:solidFill>
              <w14:schemeClr w14:val="tx1"/>
            </w14:solidFill>
          </w14:textFill>
        </w:rPr>
        <w:t>公告中所涉及的项目和内容。</w:t>
      </w:r>
    </w:p>
    <w:p>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（三）当事人</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1.采购人（发包人）：是指依法进行政府采购的国家机关、事业单位和团体组织。</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2.采购组织机构：是指采购人委托组织磋商的采购代理机构。</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3.供应商（承包人）：是指向采购人提供货物、工程或者服务的法人、其他组织或者自然人</w:t>
      </w:r>
      <w:r>
        <w:rPr>
          <w:rFonts w:ascii="宋体" w:hAnsi="宋体"/>
          <w:color w:val="000000" w:themeColor="text1"/>
          <w:szCs w:val="21"/>
          <w14:textFill>
            <w14:solidFill>
              <w14:schemeClr w14:val="tx1"/>
            </w14:solidFill>
          </w14:textFill>
        </w:rPr>
        <w:t>。</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4.成交供应商：是指经磋商小组评审确定的对磋商文件作出实质性响应，经采购人按照规定在磋商小组推荐的成交候选人中确定的或受采购人委托直接确认的，与采购人签订合同资格的供应商。</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5.联合体：两个或两个以上法人或者其他组织可以组成一个联合体，以一个供应商的身份共同参与磋商。</w:t>
      </w:r>
    </w:p>
    <w:p>
      <w:pPr>
        <w:snapToGri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14:textFill>
            <w14:solidFill>
              <w14:schemeClr w14:val="tx1"/>
            </w14:solidFill>
          </w14:textFill>
        </w:rPr>
        <w:t>以联合体形式</w:t>
      </w:r>
      <w:r>
        <w:rPr>
          <w:rFonts w:hint="eastAsia" w:ascii="宋体" w:hAnsi="宋体"/>
          <w:b/>
          <w:bCs/>
          <w:color w:val="000000" w:themeColor="text1"/>
          <w:szCs w:val="21"/>
          <w14:textFill>
            <w14:solidFill>
              <w14:schemeClr w14:val="tx1"/>
            </w14:solidFill>
          </w14:textFill>
        </w:rPr>
        <w:t>磋商</w:t>
      </w:r>
      <w:r>
        <w:rPr>
          <w:rFonts w:ascii="宋体" w:hAnsi="宋体"/>
          <w:b/>
          <w:bCs/>
          <w:color w:val="000000" w:themeColor="text1"/>
          <w:szCs w:val="21"/>
          <w14:textFill>
            <w14:solidFill>
              <w14:schemeClr w14:val="tx1"/>
            </w14:solidFill>
          </w14:textFill>
        </w:rPr>
        <w:t>的，应符合以下规定：</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w:t>
      </w:r>
      <w:r>
        <w:rPr>
          <w:rFonts w:ascii="宋体" w:hAnsi="宋体"/>
          <w:color w:val="000000" w:themeColor="text1"/>
          <w:szCs w:val="21"/>
          <w14:textFill>
            <w14:solidFill>
              <w14:schemeClr w14:val="tx1"/>
            </w14:solidFill>
          </w14:textFill>
        </w:rPr>
        <w:t>合体各方应签订联合体协议书，明确联合体牵头人和各方权利义务，并作为</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组成分部分。</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w:t>
      </w:r>
      <w:r>
        <w:rPr>
          <w:rFonts w:ascii="宋体" w:hAnsi="宋体"/>
          <w:color w:val="000000" w:themeColor="text1"/>
          <w:szCs w:val="21"/>
          <w14:textFill>
            <w14:solidFill>
              <w14:schemeClr w14:val="tx1"/>
            </w14:solidFill>
          </w14:textFill>
        </w:rPr>
        <w:t>合体各方均应当具备</w:t>
      </w:r>
      <w:r>
        <w:rPr>
          <w:rFonts w:hint="eastAsia" w:ascii="宋体" w:hAnsi="宋体"/>
          <w:color w:val="000000" w:themeColor="text1"/>
          <w:szCs w:val="21"/>
          <w:lang w:val="zh-CN"/>
          <w14:textFill>
            <w14:solidFill>
              <w14:schemeClr w14:val="tx1"/>
            </w14:solidFill>
          </w14:textFill>
        </w:rPr>
        <w:t>《中华人民共和国政府采购法》</w:t>
      </w:r>
      <w:r>
        <w:rPr>
          <w:rFonts w:ascii="宋体" w:hAnsi="宋体"/>
          <w:color w:val="000000" w:themeColor="text1"/>
          <w:szCs w:val="21"/>
          <w14:textFill>
            <w14:solidFill>
              <w14:schemeClr w14:val="tx1"/>
            </w14:solidFill>
          </w14:textFill>
        </w:rPr>
        <w:t>第二十二条规定的条件，并在</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中提供联合体各方的相关证明材料。</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3.联合体成员存在不良信用记录的，视同联合体存在不良信用记录。</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5.联合体各方不得再以自己名义单独参加同一</w:t>
      </w:r>
      <w:r>
        <w:rPr>
          <w:rFonts w:hint="eastAsia" w:ascii="宋体" w:hAnsi="宋体" w:cs="宋体"/>
          <w:color w:val="000000" w:themeColor="text1"/>
          <w:szCs w:val="21"/>
          <w14:textFill>
            <w14:solidFill>
              <w14:schemeClr w14:val="tx1"/>
            </w14:solidFill>
          </w14:textFill>
        </w:rPr>
        <w:t>合同项</w:t>
      </w:r>
      <w:r>
        <w:rPr>
          <w:rFonts w:hint="eastAsia" w:ascii="宋体" w:hAnsi="宋体"/>
          <w:color w:val="000000" w:themeColor="text1"/>
          <w:szCs w:val="21"/>
          <w14:textFill>
            <w14:solidFill>
              <w14:schemeClr w14:val="tx1"/>
            </w14:solidFill>
          </w14:textFill>
        </w:rPr>
        <w:t>，也不得组成新的联合体参加同一项目。</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6.联合体各方应当共同与采购人签订采购合同，就合同约定的事项对采购人承担连带责任。</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7.磋商</w:t>
      </w:r>
      <w:r>
        <w:rPr>
          <w:rFonts w:ascii="宋体" w:hAnsi="宋体"/>
          <w:color w:val="000000" w:themeColor="text1"/>
          <w:szCs w:val="21"/>
          <w14:textFill>
            <w14:solidFill>
              <w14:schemeClr w14:val="tx1"/>
            </w14:solidFill>
          </w14:textFill>
        </w:rPr>
        <w:t>时，应以联合体协议中确定的主体方名义</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，对联合体各方均具有约束力。</w:t>
      </w:r>
    </w:p>
    <w:p>
      <w:pPr>
        <w:snapToGri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w:t>
      </w:r>
      <w:r>
        <w:rPr>
          <w:rFonts w:ascii="宋体" w:hAnsi="宋体"/>
          <w:b/>
          <w:bCs/>
          <w:color w:val="000000" w:themeColor="text1"/>
          <w:szCs w:val="21"/>
          <w14:textFill>
            <w14:solidFill>
              <w14:schemeClr w14:val="tx1"/>
            </w14:solidFill>
          </w14:textFill>
        </w:rPr>
        <w:t>语言文字以及度量衡单位</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1.磋商响应文件以及供应商与</w:t>
      </w:r>
      <w:r>
        <w:rPr>
          <w:rFonts w:hint="eastAsia" w:ascii="宋体" w:hAnsi="宋体" w:cs="宋体"/>
          <w:color w:val="000000" w:themeColor="text1"/>
          <w:kern w:val="0"/>
          <w:szCs w:val="21"/>
          <w14:textFill>
            <w14:solidFill>
              <w14:schemeClr w14:val="tx1"/>
            </w14:solidFill>
          </w14:textFill>
        </w:rPr>
        <w:t>集中采购机构/采购代理机构名称</w:t>
      </w:r>
      <w:r>
        <w:rPr>
          <w:rFonts w:hint="eastAsia" w:ascii="宋体" w:hAnsi="宋体"/>
          <w:color w:val="000000" w:themeColor="text1"/>
          <w:szCs w:val="21"/>
          <w14:textFill>
            <w14:solidFill>
              <w14:schemeClr w14:val="tx1"/>
            </w14:solidFill>
          </w14:textFill>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2.所有计量均采用中国法定的计量单位。</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3.所有</w:t>
      </w:r>
      <w:r>
        <w:rPr>
          <w:rFonts w:ascii="宋体" w:hAnsi="宋体"/>
          <w:color w:val="000000" w:themeColor="text1"/>
          <w:szCs w:val="21"/>
          <w14:textFill>
            <w14:solidFill>
              <w14:schemeClr w14:val="tx1"/>
            </w14:solidFill>
          </w14:textFill>
        </w:rPr>
        <w:t>报价一律使用人民币，货币单位：元。</w:t>
      </w:r>
    </w:p>
    <w:p>
      <w:pPr>
        <w:pStyle w:val="74"/>
        <w:tabs>
          <w:tab w:val="left" w:pos="437"/>
        </w:tabs>
        <w:spacing w:line="380" w:lineRule="exact"/>
        <w:ind w:firstLine="42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w:t>
      </w:r>
      <w:r>
        <w:rPr>
          <w:rFonts w:ascii="宋体" w:hAnsi="宋体"/>
          <w:b/>
          <w:bCs/>
          <w:color w:val="000000" w:themeColor="text1"/>
          <w:szCs w:val="21"/>
          <w14:textFill>
            <w14:solidFill>
              <w14:schemeClr w14:val="tx1"/>
            </w14:solidFill>
          </w14:textFill>
        </w:rPr>
        <w:t>现场踏勘</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1.磋商文件规定组织踏勘现场的，采购人按磋商文件规定的时间、地点组织供应商踏勘项目现场。</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2.供应商自行承担踏勘现场发生的责任、风险和自身费用。</w:t>
      </w:r>
    </w:p>
    <w:p>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3.采购人</w:t>
      </w:r>
      <w:r>
        <w:rPr>
          <w:rFonts w:ascii="宋体" w:hAnsi="宋体"/>
          <w:color w:val="000000" w:themeColor="text1"/>
          <w:szCs w:val="21"/>
          <w14:textFill>
            <w14:solidFill>
              <w14:schemeClr w14:val="tx1"/>
            </w14:solidFill>
          </w14:textFill>
        </w:rPr>
        <w:t>在踏勘现场中介绍的资料和数据等，不构成对</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的修改或不作为</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编制</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的依据。</w:t>
      </w:r>
    </w:p>
    <w:p>
      <w:pPr>
        <w:pStyle w:val="23"/>
        <w:snapToGrid w:val="0"/>
        <w:spacing w:line="38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（七）特别说明</w:t>
      </w:r>
    </w:p>
    <w:p>
      <w:pPr>
        <w:pStyle w:val="23"/>
        <w:snapToGrid w:val="0"/>
        <w:spacing w:line="38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1.供应商磋商</w:t>
      </w:r>
      <w:r>
        <w:rPr>
          <w:rFonts w:hAnsi="宋体"/>
          <w:color w:val="000000" w:themeColor="text1"/>
          <w:szCs w:val="21"/>
          <w14:textFill>
            <w14:solidFill>
              <w14:schemeClr w14:val="tx1"/>
            </w14:solidFill>
          </w14:textFill>
        </w:rPr>
        <w:t>所使用的资格、信誉、荣誉、业绩与企业认证必须为本法人所拥有</w:t>
      </w:r>
      <w:r>
        <w:rPr>
          <w:rFonts w:hint="eastAsia" w:hAnsi="宋体"/>
          <w:color w:val="000000" w:themeColor="text1"/>
          <w:szCs w:val="21"/>
          <w14:textFill>
            <w14:solidFill>
              <w14:schemeClr w14:val="tx1"/>
            </w14:solidFill>
          </w14:textFill>
        </w:rPr>
        <w:t>且所提供的资料都是真实有效的</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供应商磋商</w:t>
      </w:r>
      <w:r>
        <w:rPr>
          <w:rFonts w:hAnsi="宋体"/>
          <w:color w:val="000000" w:themeColor="text1"/>
          <w:szCs w:val="21"/>
          <w14:textFill>
            <w14:solidFill>
              <w14:schemeClr w14:val="tx1"/>
            </w14:solidFill>
          </w14:textFill>
        </w:rPr>
        <w:t>所使用的采购项目实施人员必须为本法人员工。</w:t>
      </w:r>
    </w:p>
    <w:p>
      <w:pPr>
        <w:pStyle w:val="74"/>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2.供应商</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标的除磋商文件中明确规定要求“提供官网截图或相应检测报告的证明材料”以外，所有技术参数描述均以响应文件为准。供应商对</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标的技术参数的真实性承担法律责任。项目</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pPr>
        <w:pStyle w:val="74"/>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三、磋商文件</w:t>
      </w:r>
    </w:p>
    <w:p>
      <w:pPr>
        <w:pStyle w:val="74"/>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（一）磋商文件由磋商文件目录所列内容组成。</w:t>
      </w:r>
    </w:p>
    <w:p>
      <w:pPr>
        <w:pStyle w:val="74"/>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（二）供应商在规定的时间内未对磋商文件提出疑问、质疑或要求澄清的，将视其为无异议。</w:t>
      </w:r>
    </w:p>
    <w:p>
      <w:pPr>
        <w:pStyle w:val="74"/>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（三）对磋商文件中描述有歧义或前后不一致的地方，磋商小组有权进行评判，但对同一条款的评判应适用于每个供应商。</w:t>
      </w:r>
    </w:p>
    <w:p>
      <w:pPr>
        <w:pStyle w:val="74"/>
        <w:snapToGrid w:val="0"/>
        <w:spacing w:line="380" w:lineRule="exact"/>
        <w:rPr>
          <w:rFonts w:ascii="宋体" w:hAnsi="宋体"/>
          <w:color w:val="000000" w:themeColor="text1"/>
          <w:kern w:val="0"/>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color w:val="000000" w:themeColor="text1"/>
          <w:szCs w:val="21"/>
          <w14:textFill>
            <w14:solidFill>
              <w14:schemeClr w14:val="tx1"/>
            </w14:solidFill>
          </w14:textFill>
        </w:rPr>
        <w:t>采</w:t>
      </w:r>
      <w:r>
        <w:rPr>
          <w:rFonts w:hint="eastAsia" w:ascii="宋体" w:hAnsi="宋体" w:cstheme="minorBidi"/>
          <w:color w:val="000000" w:themeColor="text1"/>
          <w:szCs w:val="21"/>
          <w14:textFill>
            <w14:solidFill>
              <w14:schemeClr w14:val="tx1"/>
            </w14:solidFill>
          </w14:textFill>
        </w:rPr>
        <w:t>购组织机构应当顺延提交响应文件的截止时间。</w:t>
      </w:r>
    </w:p>
    <w:p>
      <w:pPr>
        <w:tabs>
          <w:tab w:val="left" w:pos="1418"/>
        </w:tabs>
        <w:autoSpaceDE w:val="0"/>
        <w:autoSpaceDN w:val="0"/>
        <w:adjustRightInd w:val="0"/>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四、响应文件</w:t>
      </w:r>
    </w:p>
    <w:p>
      <w:pPr>
        <w:pStyle w:val="5"/>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（一）响应文件的编制</w:t>
      </w:r>
    </w:p>
    <w:p>
      <w:pPr>
        <w:pStyle w:val="5"/>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供应商获取磋商文件后，按照采购组织机构的要求提供：磋商响应文件</w:t>
      </w:r>
      <w:r>
        <w:rPr>
          <w:rFonts w:hint="eastAsia" w:ascii="宋体" w:hAnsi="宋体"/>
          <w:color w:val="000000" w:themeColor="text1"/>
          <w:kern w:val="0"/>
          <w:szCs w:val="21"/>
          <w:lang w:val="zh-CN"/>
          <w14:textFill>
            <w14:solidFill>
              <w14:schemeClr w14:val="tx1"/>
            </w14:solidFill>
          </w14:textFill>
        </w:rPr>
        <w:t>。【特别提示：如在磋商响应时有要求提供资料原件的，将原件扫描放入</w:t>
      </w:r>
      <w:r>
        <w:rPr>
          <w:rFonts w:hint="eastAsia" w:ascii="宋体" w:hAnsi="宋体"/>
          <w:color w:val="000000" w:themeColor="text1"/>
          <w:kern w:val="0"/>
          <w:szCs w:val="21"/>
          <w14:textFill>
            <w14:solidFill>
              <w14:schemeClr w14:val="tx1"/>
            </w14:solidFill>
          </w14:textFill>
        </w:rPr>
        <w:t>磋商响应</w:t>
      </w:r>
      <w:r>
        <w:rPr>
          <w:rFonts w:hint="eastAsia" w:ascii="宋体" w:hAnsi="宋体"/>
          <w:color w:val="000000" w:themeColor="text1"/>
          <w:kern w:val="0"/>
          <w:szCs w:val="21"/>
          <w:lang w:val="zh-CN"/>
          <w14:textFill>
            <w14:solidFill>
              <w14:schemeClr w14:val="tx1"/>
            </w14:solidFill>
          </w14:textFill>
        </w:rPr>
        <w:t>文件。】</w:t>
      </w:r>
      <w:r>
        <w:rPr>
          <w:rFonts w:hint="eastAsia" w:ascii="宋体" w:hAnsi="宋体"/>
          <w:bCs/>
          <w:color w:val="000000" w:themeColor="text1"/>
          <w:kern w:val="0"/>
          <w:szCs w:val="21"/>
          <w14:textFill>
            <w14:solidFill>
              <w14:schemeClr w14:val="tx1"/>
            </w14:solidFill>
          </w14:textFill>
        </w:rPr>
        <w:t>若参与多标项磋商的，则按每个标项分别独立编制磋商响应文件。</w:t>
      </w:r>
    </w:p>
    <w:p>
      <w:pPr>
        <w:snapToGrid w:val="0"/>
        <w:spacing w:line="38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▲1.资格证明文件的组成：</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（1）磋商声明书；（附件1）</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bookmarkStart w:id="4" w:name="_Toc20314"/>
      <w:bookmarkStart w:id="5" w:name="_Toc26684"/>
      <w:r>
        <w:rPr>
          <w:rStyle w:val="47"/>
          <w:rFonts w:hint="eastAsia"/>
          <w:b w:val="0"/>
          <w:color w:val="000000" w:themeColor="text1"/>
          <w:sz w:val="21"/>
          <w:szCs w:val="21"/>
          <w:u w:val="none"/>
          <w14:textFill>
            <w14:solidFill>
              <w14:schemeClr w14:val="tx1"/>
            </w14:solidFill>
          </w14:textFill>
        </w:rPr>
        <w:t>（2）授权委托书（法定代表人亲自办理磋商响应事宜的，则无需提交)；</w:t>
      </w:r>
      <w:bookmarkEnd w:id="4"/>
      <w:bookmarkEnd w:id="5"/>
      <w:r>
        <w:rPr>
          <w:rStyle w:val="47"/>
          <w:rFonts w:hint="eastAsia"/>
          <w:b w:val="0"/>
          <w:color w:val="000000" w:themeColor="text1"/>
          <w:sz w:val="21"/>
          <w:szCs w:val="21"/>
          <w:u w:val="none"/>
          <w14:textFill>
            <w14:solidFill>
              <w14:schemeClr w14:val="tx1"/>
            </w14:solidFill>
          </w14:textFill>
        </w:rPr>
        <w:t>（附件2）</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3</w:t>
      </w:r>
      <w:r>
        <w:rPr>
          <w:rStyle w:val="47"/>
          <w:rFonts w:hint="eastAsia"/>
          <w:b w:val="0"/>
          <w:color w:val="000000" w:themeColor="text1"/>
          <w:sz w:val="21"/>
          <w:szCs w:val="21"/>
          <w:u w:val="none"/>
          <w14:textFill>
            <w14:solidFill>
              <w14:schemeClr w14:val="tx1"/>
            </w14:solidFill>
          </w14:textFill>
        </w:rPr>
        <w:t>）联合体授权委托书及联合体声明、协议（若项目接受联合体参与磋商时需提供）；</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bookmarkStart w:id="6" w:name="_Toc231"/>
      <w:bookmarkStart w:id="7" w:name="_Toc2392"/>
      <w:r>
        <w:rPr>
          <w:rStyle w:val="47"/>
          <w:rFonts w:hint="eastAsia"/>
          <w:b w:val="0"/>
          <w:color w:val="000000" w:themeColor="text1"/>
          <w:sz w:val="21"/>
          <w:szCs w:val="21"/>
          <w:u w:val="none"/>
          <w14:textFill>
            <w14:solidFill>
              <w14:schemeClr w14:val="tx1"/>
            </w14:solidFill>
          </w14:textFill>
        </w:rPr>
        <w:t>（4）法人或者其他组织的营业执照等证明文件，自然人的身份证明；</w:t>
      </w:r>
      <w:bookmarkEnd w:id="6"/>
      <w:bookmarkEnd w:id="7"/>
      <w:r>
        <w:rPr>
          <w:rStyle w:val="47"/>
          <w:rFonts w:hint="eastAsia"/>
          <w:b w:val="0"/>
          <w:color w:val="000000" w:themeColor="text1"/>
          <w:sz w:val="21"/>
          <w:szCs w:val="21"/>
          <w:u w:val="none"/>
          <w14:textFill>
            <w14:solidFill>
              <w14:schemeClr w14:val="tx1"/>
            </w14:solidFill>
          </w14:textFill>
        </w:rPr>
        <w:t>（附件3）</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5</w:t>
      </w:r>
      <w:r>
        <w:rPr>
          <w:rStyle w:val="47"/>
          <w:rFonts w:hint="eastAsia"/>
          <w:b w:val="0"/>
          <w:color w:val="000000" w:themeColor="text1"/>
          <w:sz w:val="21"/>
          <w:szCs w:val="21"/>
          <w:u w:val="none"/>
          <w14:textFill>
            <w14:solidFill>
              <w14:schemeClr w14:val="tx1"/>
            </w14:solidFill>
          </w14:textFill>
        </w:rPr>
        <w:t>）提供磋商截止日前6个月内任意1个月依法缴纳税收和社会保障资金的相关材料。如依法免税或不需要缴纳社会保障资金的，提供相应证明材料。（附件4）</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6</w:t>
      </w:r>
      <w:r>
        <w:rPr>
          <w:rStyle w:val="47"/>
          <w:rFonts w:hint="eastAsia"/>
          <w:b w:val="0"/>
          <w:color w:val="000000" w:themeColor="text1"/>
          <w:sz w:val="21"/>
          <w:szCs w:val="21"/>
          <w:u w:val="none"/>
          <w14:textFill>
            <w14:solidFill>
              <w14:schemeClr w14:val="tx1"/>
            </w14:solidFill>
          </w14:textFill>
        </w:rPr>
        <w:t>）提供上一年度财务状况报告或基本开户行出具的资信证明；（附件</w:t>
      </w:r>
      <w:r>
        <w:rPr>
          <w:rStyle w:val="47"/>
          <w:b w:val="0"/>
          <w:color w:val="000000" w:themeColor="text1"/>
          <w:sz w:val="21"/>
          <w:szCs w:val="21"/>
          <w:u w:val="none"/>
          <w14:textFill>
            <w14:solidFill>
              <w14:schemeClr w14:val="tx1"/>
            </w14:solidFill>
          </w14:textFill>
        </w:rPr>
        <w:t>5</w:t>
      </w:r>
      <w:r>
        <w:rPr>
          <w:rStyle w:val="47"/>
          <w:rFonts w:hint="eastAsia"/>
          <w:b w:val="0"/>
          <w:color w:val="000000" w:themeColor="text1"/>
          <w:sz w:val="21"/>
          <w:szCs w:val="21"/>
          <w:u w:val="none"/>
          <w14:textFill>
            <w14:solidFill>
              <w14:schemeClr w14:val="tx1"/>
            </w14:solidFill>
          </w14:textFill>
        </w:rPr>
        <w:t>）</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7</w:t>
      </w:r>
      <w:r>
        <w:rPr>
          <w:rStyle w:val="47"/>
          <w:rFonts w:hint="eastAsia"/>
          <w:b w:val="0"/>
          <w:color w:val="000000" w:themeColor="text1"/>
          <w:sz w:val="21"/>
          <w:szCs w:val="21"/>
          <w:u w:val="none"/>
          <w14:textFill>
            <w14:solidFill>
              <w14:schemeClr w14:val="tx1"/>
            </w14:solidFill>
          </w14:textFill>
        </w:rPr>
        <w:t>）具备履行合同所必需的设备和专业技术能力的证明材料（根据项目性质提供）；（附件</w:t>
      </w:r>
      <w:r>
        <w:rPr>
          <w:rStyle w:val="47"/>
          <w:b w:val="0"/>
          <w:color w:val="000000" w:themeColor="text1"/>
          <w:sz w:val="21"/>
          <w:szCs w:val="21"/>
          <w:u w:val="none"/>
          <w14:textFill>
            <w14:solidFill>
              <w14:schemeClr w14:val="tx1"/>
            </w14:solidFill>
          </w14:textFill>
        </w:rPr>
        <w:t>6</w:t>
      </w:r>
      <w:r>
        <w:rPr>
          <w:rStyle w:val="47"/>
          <w:rFonts w:hint="eastAsia"/>
          <w:b w:val="0"/>
          <w:color w:val="000000" w:themeColor="text1"/>
          <w:sz w:val="21"/>
          <w:szCs w:val="21"/>
          <w:u w:val="none"/>
          <w14:textFill>
            <w14:solidFill>
              <w14:schemeClr w14:val="tx1"/>
            </w14:solidFill>
          </w14:textFill>
        </w:rPr>
        <w:t>）</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8</w:t>
      </w:r>
      <w:r>
        <w:rPr>
          <w:rStyle w:val="47"/>
          <w:rFonts w:hint="eastAsia"/>
          <w:b w:val="0"/>
          <w:color w:val="000000" w:themeColor="text1"/>
          <w:sz w:val="21"/>
          <w:szCs w:val="21"/>
          <w:u w:val="none"/>
          <w14:textFill>
            <w14:solidFill>
              <w14:schemeClr w14:val="tx1"/>
            </w14:solidFill>
          </w14:textFill>
        </w:rPr>
        <w:t>）符合参与政府采购活动的资格条件并且没有税收缴纳、社会保障等方面的失信记录的承诺函；（附件7、8、9）</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9</w:t>
      </w:r>
      <w:r>
        <w:rPr>
          <w:rStyle w:val="47"/>
          <w:rFonts w:hint="eastAsia"/>
          <w:b w:val="0"/>
          <w:color w:val="000000" w:themeColor="text1"/>
          <w:sz w:val="21"/>
          <w:szCs w:val="21"/>
          <w:u w:val="none"/>
          <w14:textFill>
            <w14:solidFill>
              <w14:schemeClr w14:val="tx1"/>
            </w14:solidFill>
          </w14:textFill>
        </w:rPr>
        <w:t>）中小企业声明函（附件</w:t>
      </w:r>
      <w:r>
        <w:rPr>
          <w:rStyle w:val="47"/>
          <w:b w:val="0"/>
          <w:color w:val="000000" w:themeColor="text1"/>
          <w:sz w:val="21"/>
          <w:szCs w:val="21"/>
          <w:u w:val="none"/>
          <w14:textFill>
            <w14:solidFill>
              <w14:schemeClr w14:val="tx1"/>
            </w14:solidFill>
          </w14:textFill>
        </w:rPr>
        <w:t>10</w:t>
      </w:r>
      <w:r>
        <w:rPr>
          <w:rStyle w:val="47"/>
          <w:rFonts w:hint="eastAsia"/>
          <w:b w:val="0"/>
          <w:color w:val="000000" w:themeColor="text1"/>
          <w:sz w:val="21"/>
          <w:szCs w:val="21"/>
          <w:u w:val="none"/>
          <w14:textFill>
            <w14:solidFill>
              <w14:schemeClr w14:val="tx1"/>
            </w14:solidFill>
          </w14:textFill>
        </w:rPr>
        <w:t>）；</w:t>
      </w:r>
    </w:p>
    <w:p>
      <w:pPr>
        <w:pStyle w:val="35"/>
        <w:spacing w:line="380" w:lineRule="exact"/>
        <w:ind w:left="0" w:leftChars="0" w:firstLine="413"/>
        <w:rPr>
          <w:rStyle w:val="47"/>
          <w:color w:val="000000" w:themeColor="text1"/>
          <w:sz w:val="21"/>
          <w:szCs w:val="21"/>
          <w:u w:val="none"/>
          <w14:textFill>
            <w14:solidFill>
              <w14:schemeClr w14:val="tx1"/>
            </w14:solidFill>
          </w14:textFill>
        </w:rPr>
      </w:pPr>
      <w:bookmarkStart w:id="8" w:name="_Toc7116"/>
      <w:bookmarkStart w:id="9" w:name="_Toc20233"/>
      <w:r>
        <w:rPr>
          <w:rStyle w:val="47"/>
          <w:rFonts w:hint="eastAsia"/>
          <w:color w:val="000000" w:themeColor="text1"/>
          <w:sz w:val="21"/>
          <w:szCs w:val="21"/>
          <w:u w:val="none"/>
          <w14:textFill>
            <w14:solidFill>
              <w14:schemeClr w14:val="tx1"/>
            </w14:solidFill>
          </w14:textFill>
        </w:rPr>
        <w:t>（</w:t>
      </w:r>
      <w:r>
        <w:rPr>
          <w:rStyle w:val="47"/>
          <w:color w:val="000000" w:themeColor="text1"/>
          <w:sz w:val="21"/>
          <w:szCs w:val="21"/>
          <w:u w:val="none"/>
          <w14:textFill>
            <w14:solidFill>
              <w14:schemeClr w14:val="tx1"/>
            </w14:solidFill>
          </w14:textFill>
        </w:rPr>
        <w:t>10</w:t>
      </w:r>
      <w:r>
        <w:rPr>
          <w:rStyle w:val="47"/>
          <w:rFonts w:hint="eastAsia"/>
          <w:color w:val="000000" w:themeColor="text1"/>
          <w:sz w:val="21"/>
          <w:szCs w:val="21"/>
          <w:u w:val="none"/>
          <w14:textFill>
            <w14:solidFill>
              <w14:schemeClr w14:val="tx1"/>
            </w14:solidFill>
          </w14:textFill>
        </w:rPr>
        <w:t>）提供采购公告中符合供应商特定条件的有效资质证书（磋商供应商特定条件中有要求的必须提供），以及需要说明的其他资料。</w:t>
      </w:r>
      <w:bookmarkEnd w:id="8"/>
      <w:bookmarkEnd w:id="9"/>
      <w:r>
        <w:rPr>
          <w:rStyle w:val="47"/>
          <w:rFonts w:hint="eastAsia"/>
          <w:color w:val="000000" w:themeColor="text1"/>
          <w:sz w:val="21"/>
          <w:szCs w:val="21"/>
          <w:u w:val="none"/>
          <w14:textFill>
            <w14:solidFill>
              <w14:schemeClr w14:val="tx1"/>
            </w14:solidFill>
          </w14:textFill>
        </w:rPr>
        <w:t>(附件11</w:t>
      </w:r>
      <w:r>
        <w:rPr>
          <w:rStyle w:val="47"/>
          <w:color w:val="000000" w:themeColor="text1"/>
          <w:sz w:val="21"/>
          <w:szCs w:val="21"/>
          <w:u w:val="none"/>
          <w14:textFill>
            <w14:solidFill>
              <w14:schemeClr w14:val="tx1"/>
            </w14:solidFill>
          </w14:textFill>
        </w:rPr>
        <w:t>)</w:t>
      </w:r>
    </w:p>
    <w:p>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2.商务与技术文件的组成：</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（1）供应商基本情况表；（附件</w:t>
      </w:r>
      <w:r>
        <w:rPr>
          <w:rStyle w:val="47"/>
          <w:b w:val="0"/>
          <w:color w:val="000000" w:themeColor="text1"/>
          <w:sz w:val="21"/>
          <w:szCs w:val="21"/>
          <w:u w:val="none"/>
          <w14:textFill>
            <w14:solidFill>
              <w14:schemeClr w14:val="tx1"/>
            </w14:solidFill>
          </w14:textFill>
        </w:rPr>
        <w:t>12</w:t>
      </w:r>
      <w:r>
        <w:rPr>
          <w:rStyle w:val="47"/>
          <w:rFonts w:hint="eastAsia"/>
          <w:b w:val="0"/>
          <w:color w:val="000000" w:themeColor="text1"/>
          <w:sz w:val="21"/>
          <w:szCs w:val="21"/>
          <w:u w:val="none"/>
          <w14:textFill>
            <w14:solidFill>
              <w14:schemeClr w14:val="tx1"/>
            </w14:solidFill>
          </w14:textFill>
        </w:rPr>
        <w:t>）</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（2）法定代表人诚信投标承诺书；（附件</w:t>
      </w:r>
      <w:r>
        <w:rPr>
          <w:rStyle w:val="47"/>
          <w:b w:val="0"/>
          <w:color w:val="000000" w:themeColor="text1"/>
          <w:sz w:val="21"/>
          <w:szCs w:val="21"/>
          <w:u w:val="none"/>
          <w14:textFill>
            <w14:solidFill>
              <w14:schemeClr w14:val="tx1"/>
            </w14:solidFill>
          </w14:textFill>
        </w:rPr>
        <w:t>13</w:t>
      </w:r>
      <w:r>
        <w:rPr>
          <w:rStyle w:val="47"/>
          <w:rFonts w:hint="eastAsia"/>
          <w:b w:val="0"/>
          <w:color w:val="000000" w:themeColor="text1"/>
          <w:sz w:val="21"/>
          <w:szCs w:val="21"/>
          <w:u w:val="none"/>
          <w14:textFill>
            <w14:solidFill>
              <w14:schemeClr w14:val="tx1"/>
            </w14:solidFill>
          </w14:textFill>
        </w:rPr>
        <w:t>）</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3</w:t>
      </w:r>
      <w:r>
        <w:rPr>
          <w:rStyle w:val="47"/>
          <w:rFonts w:hint="eastAsia"/>
          <w:b w:val="0"/>
          <w:color w:val="000000" w:themeColor="text1"/>
          <w:sz w:val="21"/>
          <w:szCs w:val="21"/>
          <w:u w:val="none"/>
          <w14:textFill>
            <w14:solidFill>
              <w14:schemeClr w14:val="tx1"/>
            </w14:solidFill>
          </w14:textFill>
        </w:rPr>
        <w:t>）供应商类似项目实施情况一览表；(附件</w:t>
      </w:r>
      <w:r>
        <w:rPr>
          <w:rStyle w:val="47"/>
          <w:b w:val="0"/>
          <w:color w:val="000000" w:themeColor="text1"/>
          <w:sz w:val="21"/>
          <w:szCs w:val="21"/>
          <w:u w:val="none"/>
          <w14:textFill>
            <w14:solidFill>
              <w14:schemeClr w14:val="tx1"/>
            </w14:solidFill>
          </w14:textFill>
        </w:rPr>
        <w:t>14</w:t>
      </w:r>
      <w:r>
        <w:rPr>
          <w:rStyle w:val="47"/>
          <w:rFonts w:hint="eastAsia"/>
          <w:b w:val="0"/>
          <w:color w:val="000000" w:themeColor="text1"/>
          <w:sz w:val="21"/>
          <w:szCs w:val="21"/>
          <w:u w:val="none"/>
          <w14:textFill>
            <w14:solidFill>
              <w14:schemeClr w14:val="tx1"/>
            </w14:solidFill>
          </w14:textFill>
        </w:rPr>
        <w:t>)</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4</w:t>
      </w:r>
      <w:r>
        <w:rPr>
          <w:rStyle w:val="47"/>
          <w:rFonts w:hint="eastAsia"/>
          <w:b w:val="0"/>
          <w:color w:val="000000" w:themeColor="text1"/>
          <w:sz w:val="21"/>
          <w:szCs w:val="21"/>
          <w:u w:val="none"/>
          <w14:textFill>
            <w14:solidFill>
              <w14:schemeClr w14:val="tx1"/>
            </w14:solidFill>
          </w14:textFill>
        </w:rPr>
        <w:t>）项目负责人资格情况表；（附件</w:t>
      </w:r>
      <w:r>
        <w:rPr>
          <w:rStyle w:val="47"/>
          <w:b w:val="0"/>
          <w:color w:val="000000" w:themeColor="text1"/>
          <w:sz w:val="21"/>
          <w:szCs w:val="21"/>
          <w:u w:val="none"/>
          <w14:textFill>
            <w14:solidFill>
              <w14:schemeClr w14:val="tx1"/>
            </w14:solidFill>
          </w14:textFill>
        </w:rPr>
        <w:t>15</w:t>
      </w:r>
      <w:r>
        <w:rPr>
          <w:rStyle w:val="47"/>
          <w:rFonts w:hint="eastAsia"/>
          <w:b w:val="0"/>
          <w:color w:val="000000" w:themeColor="text1"/>
          <w:sz w:val="21"/>
          <w:szCs w:val="21"/>
          <w:u w:val="none"/>
          <w14:textFill>
            <w14:solidFill>
              <w14:schemeClr w14:val="tx1"/>
            </w14:solidFill>
          </w14:textFill>
        </w:rPr>
        <w:t>）</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rFonts w:hint="eastAsia"/>
          <w:b w:val="0"/>
          <w:color w:val="000000" w:themeColor="text1"/>
          <w:sz w:val="21"/>
          <w:szCs w:val="21"/>
          <w:u w:val="none"/>
          <w14:textFill>
            <w14:solidFill>
              <w14:schemeClr w14:val="tx1"/>
            </w14:solidFill>
          </w14:textFill>
        </w:rPr>
        <w:t>（</w:t>
      </w:r>
      <w:r>
        <w:rPr>
          <w:rStyle w:val="47"/>
          <w:b w:val="0"/>
          <w:color w:val="000000" w:themeColor="text1"/>
          <w:sz w:val="21"/>
          <w:szCs w:val="21"/>
          <w:u w:val="none"/>
          <w14:textFill>
            <w14:solidFill>
              <w14:schemeClr w14:val="tx1"/>
            </w14:solidFill>
          </w14:textFill>
        </w:rPr>
        <w:t>5）</w:t>
      </w:r>
      <w:r>
        <w:rPr>
          <w:rStyle w:val="47"/>
          <w:rFonts w:hint="eastAsia"/>
          <w:b w:val="0"/>
          <w:color w:val="000000" w:themeColor="text1"/>
          <w:sz w:val="21"/>
          <w:szCs w:val="21"/>
          <w:u w:val="none"/>
          <w14:textFill>
            <w14:solidFill>
              <w14:schemeClr w14:val="tx1"/>
            </w14:solidFill>
          </w14:textFill>
        </w:rPr>
        <w:t>项目实施人员一览表</w:t>
      </w:r>
      <w:r>
        <w:rPr>
          <w:rStyle w:val="47"/>
          <w:b w:val="0"/>
          <w:color w:val="000000" w:themeColor="text1"/>
          <w:sz w:val="21"/>
          <w:szCs w:val="21"/>
          <w:u w:val="none"/>
          <w14:textFill>
            <w14:solidFill>
              <w14:schemeClr w14:val="tx1"/>
            </w14:solidFill>
          </w14:textFill>
        </w:rPr>
        <w:t>；（附件16）</w:t>
      </w:r>
    </w:p>
    <w:p>
      <w:pPr>
        <w:pStyle w:val="35"/>
        <w:spacing w:line="380" w:lineRule="exact"/>
        <w:ind w:left="0" w:leftChars="0" w:firstLine="412"/>
        <w:rPr>
          <w:rStyle w:val="47"/>
          <w:b w:val="0"/>
          <w:color w:val="000000" w:themeColor="text1"/>
          <w:sz w:val="21"/>
          <w:szCs w:val="21"/>
          <w:u w:val="none"/>
          <w14:textFill>
            <w14:solidFill>
              <w14:schemeClr w14:val="tx1"/>
            </w14:solidFill>
          </w14:textFill>
        </w:rPr>
      </w:pPr>
      <w:r>
        <w:rPr>
          <w:rStyle w:val="47"/>
          <w:b w:val="0"/>
          <w:color w:val="000000" w:themeColor="text1"/>
          <w:sz w:val="21"/>
          <w:szCs w:val="21"/>
          <w:u w:val="none"/>
          <w14:textFill>
            <w14:solidFill>
              <w14:schemeClr w14:val="tx1"/>
            </w14:solidFill>
          </w14:textFill>
        </w:rPr>
        <w:t>（6</w:t>
      </w:r>
      <w:r>
        <w:rPr>
          <w:rStyle w:val="47"/>
          <w:rFonts w:hint="eastAsia"/>
          <w:b w:val="0"/>
          <w:color w:val="000000" w:themeColor="text1"/>
          <w:sz w:val="21"/>
          <w:szCs w:val="21"/>
          <w:u w:val="none"/>
          <w14:textFill>
            <w14:solidFill>
              <w14:schemeClr w14:val="tx1"/>
            </w14:solidFill>
          </w14:textFill>
        </w:rPr>
        <w:t>）施工组织设计。</w:t>
      </w:r>
    </w:p>
    <w:p>
      <w:pPr>
        <w:autoSpaceDE w:val="0"/>
        <w:autoSpaceDN w:val="0"/>
        <w:adjustRightInd w:val="0"/>
        <w:spacing w:line="380" w:lineRule="exact"/>
        <w:ind w:left="426" w:firstLine="57" w:firstLineChars="27"/>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3.报价文件的组成</w:t>
      </w:r>
    </w:p>
    <w:p>
      <w:pPr>
        <w:autoSpaceDE w:val="0"/>
        <w:autoSpaceDN w:val="0"/>
        <w:adjustRightInd w:val="0"/>
        <w:spacing w:line="380" w:lineRule="exact"/>
        <w:ind w:firstLine="420" w:firstLineChars="200"/>
        <w:rPr>
          <w:rFonts w:hint="eastAsia" w:ascii="宋体" w:hAnsi="宋体"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lang w:eastAsia="zh-CN"/>
          <w14:textFill>
            <w14:solidFill>
              <w14:schemeClr w14:val="tx1"/>
            </w14:solidFill>
          </w14:textFill>
        </w:rPr>
        <w:t>（</w:t>
      </w:r>
      <w:r>
        <w:rPr>
          <w:rFonts w:hint="eastAsia" w:ascii="宋体" w:hAnsi="宋体" w:eastAsia="宋体" w:cs="Times New Roman"/>
          <w:bCs/>
          <w:color w:val="000000" w:themeColor="text1"/>
          <w:kern w:val="0"/>
          <w:szCs w:val="21"/>
          <w:lang w:val="en-US" w:eastAsia="zh-CN"/>
          <w14:textFill>
            <w14:solidFill>
              <w14:schemeClr w14:val="tx1"/>
            </w14:solidFill>
          </w14:textFill>
        </w:rPr>
        <w:t>1</w:t>
      </w:r>
      <w:r>
        <w:rPr>
          <w:rFonts w:hint="eastAsia" w:ascii="宋体" w:hAnsi="宋体" w:eastAsia="宋体" w:cs="Times New Roman"/>
          <w:bCs/>
          <w:color w:val="000000" w:themeColor="text1"/>
          <w:kern w:val="0"/>
          <w:szCs w:val="21"/>
          <w:lang w:eastAsia="zh-CN"/>
          <w14:textFill>
            <w14:solidFill>
              <w14:schemeClr w14:val="tx1"/>
            </w14:solidFill>
          </w14:textFill>
        </w:rPr>
        <w:t>）</w:t>
      </w:r>
      <w:r>
        <w:rPr>
          <w:rFonts w:hint="eastAsia" w:ascii="宋体" w:hAnsi="宋体" w:eastAsia="宋体" w:cs="Times New Roman"/>
          <w:bCs/>
          <w:color w:val="000000" w:themeColor="text1"/>
          <w:kern w:val="0"/>
          <w:szCs w:val="21"/>
          <w14:textFill>
            <w14:solidFill>
              <w14:schemeClr w14:val="tx1"/>
            </w14:solidFill>
          </w14:textFill>
        </w:rPr>
        <w:t>首次报价一览表（附件17）</w:t>
      </w:r>
    </w:p>
    <w:p>
      <w:pPr>
        <w:autoSpaceDE w:val="0"/>
        <w:autoSpaceDN w:val="0"/>
        <w:adjustRightInd w:val="0"/>
        <w:spacing w:line="380" w:lineRule="exact"/>
        <w:ind w:firstLine="420" w:firstLineChars="200"/>
        <w:rPr>
          <w:rFonts w:hint="eastAsia" w:ascii="宋体" w:hAnsi="宋体"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lang w:eastAsia="zh-CN"/>
          <w14:textFill>
            <w14:solidFill>
              <w14:schemeClr w14:val="tx1"/>
            </w14:solidFill>
          </w14:textFill>
        </w:rPr>
        <w:t>（</w:t>
      </w:r>
      <w:r>
        <w:rPr>
          <w:rFonts w:hint="eastAsia" w:ascii="宋体" w:hAnsi="宋体" w:eastAsia="宋体" w:cs="Times New Roman"/>
          <w:bCs/>
          <w:color w:val="000000" w:themeColor="text1"/>
          <w:kern w:val="0"/>
          <w:szCs w:val="21"/>
          <w:lang w:val="en-US" w:eastAsia="zh-CN"/>
          <w14:textFill>
            <w14:solidFill>
              <w14:schemeClr w14:val="tx1"/>
            </w14:solidFill>
          </w14:textFill>
        </w:rPr>
        <w:t>2</w:t>
      </w:r>
      <w:r>
        <w:rPr>
          <w:rFonts w:hint="eastAsia" w:ascii="宋体" w:hAnsi="宋体" w:eastAsia="宋体" w:cs="Times New Roman"/>
          <w:bCs/>
          <w:color w:val="000000" w:themeColor="text1"/>
          <w:kern w:val="0"/>
          <w:szCs w:val="21"/>
          <w:lang w:eastAsia="zh-CN"/>
          <w14:textFill>
            <w14:solidFill>
              <w14:schemeClr w14:val="tx1"/>
            </w14:solidFill>
          </w14:textFill>
        </w:rPr>
        <w:t>）报价明细清单</w:t>
      </w:r>
      <w:r>
        <w:rPr>
          <w:rFonts w:hint="eastAsia" w:ascii="宋体" w:hAnsi="宋体" w:eastAsia="宋体" w:cs="Times New Roman"/>
          <w:bCs/>
          <w:color w:val="000000" w:themeColor="text1"/>
          <w:kern w:val="0"/>
          <w:szCs w:val="21"/>
          <w14:textFill>
            <w14:solidFill>
              <w14:schemeClr w14:val="tx1"/>
            </w14:solidFill>
          </w14:textFill>
        </w:rPr>
        <w:t>（附件1</w:t>
      </w:r>
      <w:r>
        <w:rPr>
          <w:rFonts w:hint="eastAsia" w:ascii="宋体" w:hAnsi="宋体" w:eastAsia="宋体" w:cs="Times New Roman"/>
          <w:bCs/>
          <w:color w:val="000000" w:themeColor="text1"/>
          <w:kern w:val="0"/>
          <w:szCs w:val="21"/>
          <w:lang w:val="en-US" w:eastAsia="zh-CN"/>
          <w14:textFill>
            <w14:solidFill>
              <w14:schemeClr w14:val="tx1"/>
            </w14:solidFill>
          </w14:textFill>
        </w:rPr>
        <w:t>8</w:t>
      </w:r>
      <w:r>
        <w:rPr>
          <w:rFonts w:hint="eastAsia" w:ascii="宋体" w:hAnsi="宋体" w:eastAsia="宋体" w:cs="Times New Roman"/>
          <w:bCs/>
          <w:color w:val="000000" w:themeColor="text1"/>
          <w:kern w:val="0"/>
          <w:szCs w:val="21"/>
          <w14:textFill>
            <w14:solidFill>
              <w14:schemeClr w14:val="tx1"/>
            </w14:solidFill>
          </w14:textFill>
        </w:rPr>
        <w:t>）</w:t>
      </w:r>
    </w:p>
    <w:p>
      <w:pPr>
        <w:autoSpaceDE w:val="0"/>
        <w:autoSpaceDN w:val="0"/>
        <w:adjustRightInd w:val="0"/>
        <w:spacing w:line="380" w:lineRule="exact"/>
        <w:ind w:firstLine="420" w:firstLineChars="200"/>
        <w:rPr>
          <w:rFonts w:hint="eastAsia" w:ascii="宋体" w:hAnsi="宋体"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lang w:eastAsia="zh-CN"/>
          <w14:textFill>
            <w14:solidFill>
              <w14:schemeClr w14:val="tx1"/>
            </w14:solidFill>
          </w14:textFill>
        </w:rPr>
        <w:t>（</w:t>
      </w:r>
      <w:r>
        <w:rPr>
          <w:rFonts w:hint="eastAsia" w:ascii="宋体" w:hAnsi="宋体" w:eastAsia="宋体" w:cs="Times New Roman"/>
          <w:bCs/>
          <w:color w:val="000000" w:themeColor="text1"/>
          <w:kern w:val="0"/>
          <w:szCs w:val="21"/>
          <w:lang w:val="en-US" w:eastAsia="zh-CN"/>
          <w14:textFill>
            <w14:solidFill>
              <w14:schemeClr w14:val="tx1"/>
            </w14:solidFill>
          </w14:textFill>
        </w:rPr>
        <w:t>3</w:t>
      </w:r>
      <w:r>
        <w:rPr>
          <w:rFonts w:hint="eastAsia" w:ascii="宋体" w:hAnsi="宋体" w:eastAsia="宋体" w:cs="Times New Roman"/>
          <w:bCs/>
          <w:color w:val="000000" w:themeColor="text1"/>
          <w:kern w:val="0"/>
          <w:szCs w:val="21"/>
          <w:lang w:eastAsia="zh-CN"/>
          <w14:textFill>
            <w14:solidFill>
              <w14:schemeClr w14:val="tx1"/>
            </w14:solidFill>
          </w14:textFill>
        </w:rPr>
        <w:t>）</w:t>
      </w:r>
      <w:r>
        <w:rPr>
          <w:rFonts w:hint="eastAsia" w:ascii="宋体" w:hAnsi="宋体" w:eastAsia="宋体" w:cs="Times New Roman"/>
          <w:b/>
          <w:bCs w:val="0"/>
          <w:color w:val="000000" w:themeColor="text1"/>
          <w:kern w:val="0"/>
          <w:szCs w:val="21"/>
          <w14:textFill>
            <w14:solidFill>
              <w14:schemeClr w14:val="tx1"/>
            </w14:solidFill>
          </w14:textFill>
        </w:rPr>
        <w:t>针对报价供应商认为其他需要说明的</w:t>
      </w:r>
    </w:p>
    <w:p/>
    <w:p>
      <w:pPr>
        <w:pStyle w:val="5"/>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（二）报价</w:t>
      </w:r>
    </w:p>
    <w:p>
      <w:pPr>
        <w:pStyle w:val="5"/>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1.供应商应按照采购需求内容、责任范围以及合同条款进行报价。并按“首次报价一览表”规定的格式报出总价。总价中不得包含磋商文件要求以外的内容，否则，在评审时不予核减。</w:t>
      </w:r>
    </w:p>
    <w:p>
      <w:pPr>
        <w:pStyle w:val="5"/>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磋商总</w:t>
      </w:r>
      <w:r>
        <w:rPr>
          <w:rFonts w:hint="eastAsia" w:ascii="宋体" w:hAnsi="宋体" w:cs="宋体"/>
          <w:color w:val="000000" w:themeColor="text1"/>
          <w:szCs w:val="21"/>
          <w:lang w:bidi="ar"/>
          <w14:textFill>
            <w14:solidFill>
              <w14:schemeClr w14:val="tx1"/>
            </w14:solidFill>
          </w14:textFill>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000000" w:themeColor="text1"/>
          <w:szCs w:val="21"/>
          <w14:textFill>
            <w14:solidFill>
              <w14:schemeClr w14:val="tx1"/>
            </w14:solidFill>
          </w14:textFill>
        </w:rPr>
        <w:t>。</w:t>
      </w:r>
    </w:p>
    <w:p>
      <w:pPr>
        <w:pStyle w:val="5"/>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3.磋商报价不得为选择性报价和附有条件的报价。</w:t>
      </w:r>
    </w:p>
    <w:p>
      <w:pPr>
        <w:pStyle w:val="5"/>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（三）响应文件的有效期</w:t>
      </w:r>
    </w:p>
    <w:p>
      <w:pPr>
        <w:pStyle w:val="5"/>
        <w:spacing w:line="380" w:lineRule="exact"/>
        <w:ind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1.响应文件有效期为磋商</w:t>
      </w:r>
      <w:r>
        <w:rPr>
          <w:rFonts w:hint="eastAsia" w:ascii="宋体" w:hAnsi="宋体"/>
          <w:color w:val="000000" w:themeColor="text1"/>
          <w:szCs w:val="21"/>
          <w:lang w:val="en-GB"/>
          <w14:textFill>
            <w14:solidFill>
              <w14:schemeClr w14:val="tx1"/>
            </w14:solidFill>
          </w14:textFill>
        </w:rPr>
        <w:t>截止日起90天。</w:t>
      </w:r>
    </w:p>
    <w:p>
      <w:pPr>
        <w:pStyle w:val="5"/>
        <w:spacing w:line="380" w:lineRule="exact"/>
        <w:ind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GB"/>
          <w14:textFill>
            <w14:solidFill>
              <w14:schemeClr w14:val="tx1"/>
            </w14:solidFill>
          </w14:textFill>
        </w:rPr>
        <w:t>在特殊情况下，采购人可与</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val="en-GB"/>
          <w14:textFill>
            <w14:solidFill>
              <w14:schemeClr w14:val="tx1"/>
            </w14:solidFill>
          </w14:textFill>
        </w:rPr>
        <w:t>协商延长</w:t>
      </w:r>
      <w:r>
        <w:rPr>
          <w:rFonts w:hint="eastAsia" w:ascii="宋体" w:hAnsi="宋体"/>
          <w:color w:val="000000" w:themeColor="text1"/>
          <w:szCs w:val="21"/>
          <w14:textFill>
            <w14:solidFill>
              <w14:schemeClr w14:val="tx1"/>
            </w14:solidFill>
          </w14:textFill>
        </w:rPr>
        <w:t>响应文件</w:t>
      </w:r>
      <w:r>
        <w:rPr>
          <w:rFonts w:hint="eastAsia" w:ascii="宋体" w:hAnsi="宋体"/>
          <w:color w:val="000000" w:themeColor="text1"/>
          <w:szCs w:val="21"/>
          <w:lang w:val="en-GB"/>
          <w14:textFill>
            <w14:solidFill>
              <w14:schemeClr w14:val="tx1"/>
            </w14:solidFill>
          </w14:textFill>
        </w:rPr>
        <w:t>的有效期。</w:t>
      </w:r>
    </w:p>
    <w:p>
      <w:pPr>
        <w:snapToGrid w:val="0"/>
        <w:spacing w:line="380" w:lineRule="exact"/>
        <w:ind w:firstLine="420" w:firstLineChars="200"/>
        <w:rPr>
          <w:rFonts w:ascii="宋体" w:hAnsi="宋体"/>
          <w:color w:val="000000" w:themeColor="text1"/>
          <w:szCs w:val="21"/>
          <w14:textFill>
            <w14:solidFill>
              <w14:schemeClr w14:val="tx1"/>
            </w14:solidFill>
          </w14:textFill>
        </w:rPr>
      </w:pPr>
      <w:bookmarkStart w:id="10" w:name="_Toc8754"/>
      <w:r>
        <w:rPr>
          <w:rFonts w:hint="eastAsia" w:ascii="宋体" w:hAnsi="宋体"/>
          <w:color w:val="000000" w:themeColor="text1"/>
          <w:szCs w:val="21"/>
          <w14:textFill>
            <w14:solidFill>
              <w14:schemeClr w14:val="tx1"/>
            </w14:solidFill>
          </w14:textFill>
        </w:rPr>
        <w:t>3.成交供应商</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自</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之日起至合同履行完毕均应保持有效。</w:t>
      </w:r>
      <w:bookmarkEnd w:id="10"/>
    </w:p>
    <w:p>
      <w:pPr>
        <w:snapToGrid w:val="0"/>
        <w:spacing w:line="380" w:lineRule="exact"/>
        <w:ind w:firstLine="422" w:firstLineChars="200"/>
        <w:rPr>
          <w:rFonts w:ascii="宋体" w:hAnsi="宋体"/>
          <w:b/>
          <w:color w:val="000000" w:themeColor="text1"/>
          <w:kern w:val="0"/>
          <w:szCs w:val="21"/>
          <w14:textFill>
            <w14:solidFill>
              <w14:schemeClr w14:val="tx1"/>
            </w14:solidFill>
          </w14:textFill>
        </w:rPr>
      </w:pPr>
      <w:bookmarkStart w:id="11" w:name="_Toc14235"/>
      <w:r>
        <w:rPr>
          <w:rFonts w:hint="eastAsia" w:ascii="宋体" w:hAnsi="宋体"/>
          <w:b/>
          <w:color w:val="000000" w:themeColor="text1"/>
          <w:kern w:val="0"/>
          <w:szCs w:val="21"/>
          <w14:textFill>
            <w14:solidFill>
              <w14:schemeClr w14:val="tx1"/>
            </w14:solidFill>
          </w14:textFill>
        </w:rPr>
        <w:t>（四）响应文件的签署</w:t>
      </w:r>
      <w:bookmarkEnd w:id="11"/>
    </w:p>
    <w:p>
      <w:pPr>
        <w:pStyle w:val="5"/>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5"/>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2.响应文件中所有的插字、涂改和增删，必须由法定代表人或经其正式授权的代表签字或盖章才有效。</w:t>
      </w:r>
    </w:p>
    <w:p>
      <w:pPr>
        <w:pStyle w:val="5"/>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3.响应文件中要求加盖公章处，可使用有效安全的电子签章替代。</w:t>
      </w:r>
      <w:r>
        <w:rPr>
          <w:rFonts w:hint="eastAsia" w:ascii="宋体" w:hAnsi="宋体"/>
          <w:color w:val="000000" w:themeColor="text1"/>
          <w:szCs w:val="21"/>
          <w14:textFill>
            <w14:solidFill>
              <w14:schemeClr w14:val="tx1"/>
            </w14:solidFill>
          </w14:textFill>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pPr>
        <w:autoSpaceDE w:val="0"/>
        <w:autoSpaceDN w:val="0"/>
        <w:adjustRightIn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w:t>
      </w:r>
      <w:r>
        <w:rPr>
          <w:rFonts w:hint="eastAsia" w:ascii="宋体" w:hAnsi="宋体"/>
          <w:b/>
          <w:color w:val="000000" w:themeColor="text1"/>
          <w:kern w:val="0"/>
          <w:szCs w:val="21"/>
          <w14:textFill>
            <w14:solidFill>
              <w14:schemeClr w14:val="tx1"/>
            </w14:solidFill>
          </w14:textFill>
        </w:rPr>
        <w:t>响应文件</w:t>
      </w:r>
      <w:r>
        <w:rPr>
          <w:rFonts w:hint="eastAsia" w:ascii="宋体" w:hAnsi="宋体"/>
          <w:b/>
          <w:bCs/>
          <w:color w:val="000000" w:themeColor="text1"/>
          <w:szCs w:val="21"/>
          <w14:textFill>
            <w14:solidFill>
              <w14:schemeClr w14:val="tx1"/>
            </w14:solidFill>
          </w14:textFill>
        </w:rPr>
        <w:t>的递交要求</w:t>
      </w:r>
    </w:p>
    <w:p>
      <w:pPr>
        <w:tabs>
          <w:tab w:val="left" w:pos="1418"/>
        </w:tabs>
        <w:autoSpaceDE w:val="0"/>
        <w:autoSpaceDN w:val="0"/>
        <w:adjustRightInd w:val="0"/>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按照前附表要求提交，</w:t>
      </w:r>
      <w:r>
        <w:rPr>
          <w:rFonts w:hint="eastAsia" w:ascii="宋体" w:hAnsi="宋体"/>
          <w:color w:val="000000" w:themeColor="text1"/>
          <w:kern w:val="0"/>
          <w:szCs w:val="21"/>
          <w14:textFill>
            <w14:solidFill>
              <w14:schemeClr w14:val="tx1"/>
            </w14:solidFill>
          </w14:textFill>
        </w:rPr>
        <w:t>如采购组织机构延长截止时间和磋商时间，采购组织机构和供应商的权利和义务将受到新的截止时间和磋商时间的约束。</w:t>
      </w:r>
    </w:p>
    <w:p>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五、</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程序</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1、开启开标场地的录音录像采集设备，并确保其正常运行。</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2、对提交了电子备份磋商文件的磋商供应商，代理机构工作人员应做好磋商响应文件签收记录并通过发送网络形式及时告知供应商。</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3、主持人宣布开标，介绍开标现场的人员情况，宣读递交磋商响应文件的供应商名单、开标纪律、应当回避的情形等注意事项。</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6、磋商小组所有成员集中与单一供应商分别进行磋商，并给予所有参加磋商的供应商平等的磋商机会。</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pPr>
        <w:tabs>
          <w:tab w:val="left" w:pos="1418"/>
        </w:tabs>
        <w:autoSpaceDE w:val="0"/>
        <w:autoSpaceDN w:val="0"/>
        <w:adjustRightInd w:val="0"/>
        <w:spacing w:line="380" w:lineRule="exact"/>
        <w:ind w:firstLine="422" w:firstLineChars="200"/>
        <w:rPr>
          <w:rFonts w:ascii="宋体" w:hAnsi="宋体" w:cstheme="majorEastAsia"/>
          <w:b/>
          <w:color w:val="000000" w:themeColor="text1"/>
          <w:szCs w:val="21"/>
          <w14:textFill>
            <w14:solidFill>
              <w14:schemeClr w14:val="tx1"/>
            </w14:solidFill>
          </w14:textFill>
        </w:rPr>
      </w:pPr>
      <w:r>
        <w:rPr>
          <w:rFonts w:hint="eastAsia" w:ascii="宋体" w:hAnsi="宋体" w:cstheme="majorEastAsia"/>
          <w:b/>
          <w:color w:val="000000" w:themeColor="text1"/>
          <w:szCs w:val="21"/>
          <w14:textFill>
            <w14:solidFill>
              <w14:schemeClr w14:val="tx1"/>
            </w14:solidFill>
          </w14:textFill>
        </w:rPr>
        <w:t>8、磋商文件能够详细列明采购标的的技术、服务要求的，磋商结束后，磋商小组将要求所有实质性响应的供应商在规定时间内提交最终报价，最终报价是供应商响应文件的有效组成部分。</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9、经磋商确定最终采购需求和提交最终报价的供应商后，由磋商小组采用综合评分法对提交最终报价的供应商的响应文件和最终报价进行综合评分。</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10、磋商小组根据综合评分情况，按照评审得分由高到低顺序确定预成交供应商，编写评审报告。</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11、采购组织机构对磋商小组专家成员进行评价。</w:t>
      </w:r>
    </w:p>
    <w:p>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12、主持人到磋商采购会现场宣布磋商结果（含技术得分、最终报价、报价得分及总得分），磋商采购会议结束。</w:t>
      </w:r>
    </w:p>
    <w:p>
      <w:pPr>
        <w:pStyle w:val="5"/>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六、磋商异议</w:t>
      </w:r>
    </w:p>
    <w:p>
      <w:pPr>
        <w:pStyle w:val="5"/>
        <w:spacing w:line="38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供应商代表对磋商过程和磋商记录有疑义，以及认为采购人、采购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机构相关工作人员有需要回避的情形的，应当场提出询问或者回避申请，磋商会议结束后不再接受相关询问、质疑或者回避申请。</w:t>
      </w:r>
    </w:p>
    <w:p>
      <w:pPr>
        <w:pStyle w:val="37"/>
        <w:spacing w:before="0" w:beforeAutospacing="0" w:after="0" w:afterAutospacing="0" w:line="380" w:lineRule="exact"/>
        <w:jc w:val="both"/>
        <w:rPr>
          <w:rFonts w:hint="default"/>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七、磋商结果确定</w:t>
      </w:r>
    </w:p>
    <w:p>
      <w:pPr>
        <w:pStyle w:val="37"/>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color w:val="000000" w:themeColor="text1"/>
          <w:kern w:val="0"/>
          <w:szCs w:val="21"/>
          <w14:textFill>
            <w14:solidFill>
              <w14:schemeClr w14:val="tx1"/>
            </w14:solidFill>
          </w14:textFill>
        </w:rPr>
        <w:t>发布成交结果公告。采购组织机构自成交供应商</w:t>
      </w:r>
      <w:r>
        <w:rPr>
          <w:rFonts w:ascii="宋体" w:hAnsi="宋体"/>
          <w:color w:val="000000" w:themeColor="text1"/>
          <w:kern w:val="0"/>
          <w:szCs w:val="21"/>
          <w14:textFill>
            <w14:solidFill>
              <w14:schemeClr w14:val="tx1"/>
            </w14:solidFill>
          </w14:textFill>
        </w:rPr>
        <w:t>确定</w:t>
      </w:r>
      <w:r>
        <w:rPr>
          <w:rFonts w:hint="eastAsia" w:ascii="宋体" w:hAnsi="宋体"/>
          <w:color w:val="000000" w:themeColor="text1"/>
          <w:kern w:val="0"/>
          <w:szCs w:val="21"/>
          <w14:textFill>
            <w14:solidFill>
              <w14:schemeClr w14:val="tx1"/>
            </w14:solidFill>
          </w14:textFill>
        </w:rPr>
        <w:t>之日起</w:t>
      </w:r>
      <w:r>
        <w:rPr>
          <w:rFonts w:ascii="宋体" w:hAnsi="宋体"/>
          <w:color w:val="000000" w:themeColor="text1"/>
          <w:kern w:val="0"/>
          <w:szCs w:val="21"/>
          <w14:textFill>
            <w14:solidFill>
              <w14:schemeClr w14:val="tx1"/>
            </w14:solidFill>
          </w14:textFill>
        </w:rPr>
        <w:t>2个工作日内</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14:textFill>
            <w14:solidFill>
              <w14:schemeClr w14:val="tx1"/>
            </w14:solidFill>
          </w14:textFill>
        </w:rPr>
        <w:t>浙江</w:t>
      </w:r>
      <w:r>
        <w:rPr>
          <w:rFonts w:ascii="宋体" w:hAnsi="宋体"/>
          <w:color w:val="000000" w:themeColor="text1"/>
          <w:kern w:val="0"/>
          <w:szCs w:val="21"/>
          <w14:textFill>
            <w14:solidFill>
              <w14:schemeClr w14:val="tx1"/>
            </w14:solidFill>
          </w14:textFill>
        </w:rPr>
        <w:t>省</w:t>
      </w:r>
      <w:r>
        <w:rPr>
          <w:rFonts w:hint="eastAsia" w:ascii="宋体" w:hAnsi="宋体"/>
          <w:color w:val="000000" w:themeColor="text1"/>
          <w:kern w:val="0"/>
          <w:szCs w:val="21"/>
          <w14:textFill>
            <w14:solidFill>
              <w14:schemeClr w14:val="tx1"/>
            </w14:solidFill>
          </w14:textFill>
        </w:rPr>
        <w:t>政府采购</w:t>
      </w:r>
      <w:r>
        <w:rPr>
          <w:rFonts w:ascii="宋体" w:hAnsi="宋体"/>
          <w:color w:val="000000" w:themeColor="text1"/>
          <w:kern w:val="0"/>
          <w:szCs w:val="21"/>
          <w14:textFill>
            <w14:solidFill>
              <w14:schemeClr w14:val="tx1"/>
            </w14:solidFill>
          </w14:textFill>
        </w:rPr>
        <w:t>网</w:t>
      </w:r>
      <w:r>
        <w:rPr>
          <w:rFonts w:hint="eastAsia" w:ascii="宋体" w:hAnsi="宋体"/>
          <w:color w:val="000000" w:themeColor="text1"/>
          <w:kern w:val="0"/>
          <w:szCs w:val="21"/>
          <w14:textFill>
            <w14:solidFill>
              <w14:schemeClr w14:val="tx1"/>
            </w14:solidFill>
          </w14:textFill>
        </w:rPr>
        <w:t>和三门县公共资源交易网上</w:t>
      </w:r>
      <w:r>
        <w:rPr>
          <w:rFonts w:ascii="宋体" w:hAnsi="宋体"/>
          <w:color w:val="000000" w:themeColor="text1"/>
          <w:kern w:val="0"/>
          <w:szCs w:val="21"/>
          <w14:textFill>
            <w14:solidFill>
              <w14:schemeClr w14:val="tx1"/>
            </w14:solidFill>
          </w14:textFill>
        </w:rPr>
        <w:t>公告</w:t>
      </w:r>
      <w:r>
        <w:rPr>
          <w:rFonts w:hint="eastAsia" w:ascii="宋体" w:hAnsi="宋体"/>
          <w:color w:val="000000" w:themeColor="text1"/>
          <w:kern w:val="0"/>
          <w:szCs w:val="21"/>
          <w14:textFill>
            <w14:solidFill>
              <w14:schemeClr w14:val="tx1"/>
            </w14:solidFill>
          </w14:textFill>
        </w:rPr>
        <w:t>成交结果，成交</w:t>
      </w:r>
      <w:r>
        <w:rPr>
          <w:rFonts w:ascii="宋体" w:hAnsi="宋体"/>
          <w:color w:val="000000" w:themeColor="text1"/>
          <w:szCs w:val="21"/>
          <w14:textFill>
            <w14:solidFill>
              <w14:schemeClr w14:val="tx1"/>
            </w14:solidFill>
          </w14:textFill>
        </w:rPr>
        <w:t>结果公告期为 1 个工作日</w:t>
      </w:r>
      <w:r>
        <w:rPr>
          <w:rFonts w:hint="eastAsia" w:ascii="宋体" w:hAnsi="宋体"/>
          <w:color w:val="000000" w:themeColor="text1"/>
          <w:kern w:val="0"/>
          <w:szCs w:val="21"/>
          <w14:textFill>
            <w14:solidFill>
              <w14:schemeClr w14:val="tx1"/>
            </w14:solidFill>
          </w14:textFill>
        </w:rPr>
        <w:t>。</w:t>
      </w: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（三）发放成交通知书。采购组织机构在发布成交结果公告的同时，</w:t>
      </w:r>
      <w:r>
        <w:rPr>
          <w:rFonts w:hint="eastAsia" w:ascii="宋体" w:hAnsi="宋体"/>
          <w:color w:val="000000" w:themeColor="text1"/>
          <w:szCs w:val="21"/>
          <w14:textFill>
            <w14:solidFill>
              <w14:schemeClr w14:val="tx1"/>
            </w14:solidFill>
          </w14:textFill>
        </w:rPr>
        <w:t>通过政采云平台向成交供应商发放成交通知书</w:t>
      </w:r>
      <w:r>
        <w:rPr>
          <w:rFonts w:hint="eastAsia" w:ascii="宋体" w:hAnsi="宋体"/>
          <w:color w:val="000000" w:themeColor="text1"/>
          <w:kern w:val="0"/>
          <w:szCs w:val="21"/>
          <w14:textFill>
            <w14:solidFill>
              <w14:schemeClr w14:val="tx1"/>
            </w14:solidFill>
          </w14:textFill>
        </w:rPr>
        <w:t>。</w:t>
      </w:r>
    </w:p>
    <w:p>
      <w:pPr>
        <w:spacing w:line="38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合同签订及公告</w:t>
      </w:r>
    </w:p>
    <w:p>
      <w:pPr>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（一）签订合同</w:t>
      </w:r>
    </w:p>
    <w:p>
      <w:pPr>
        <w:pStyle w:val="37"/>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37"/>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2.采购人不得向成交供应商提出任何不合理的要求作为签订合同的条件。</w:t>
      </w:r>
    </w:p>
    <w:p>
      <w:pPr>
        <w:pStyle w:val="37"/>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3.成交供应商无故拖延、拒签合同的,将取消成交资格。</w:t>
      </w:r>
    </w:p>
    <w:p>
      <w:pPr>
        <w:pStyle w:val="37"/>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37"/>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5.询问或者质疑事项可能影响成交结果的，采购人应当暂停签订合同，已经签订合同的，应当中止履行合同。</w:t>
      </w:r>
    </w:p>
    <w:p>
      <w:pPr>
        <w:pStyle w:val="37"/>
        <w:spacing w:before="0" w:beforeAutospacing="0" w:after="0" w:afterAutospacing="0" w:line="380" w:lineRule="exact"/>
        <w:ind w:firstLine="422" w:firstLineChars="200"/>
        <w:jc w:val="both"/>
        <w:rPr>
          <w:rFonts w:hint="default" w:cs="仿宋_GB2312"/>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（二）合同公告及备案</w:t>
      </w:r>
    </w:p>
    <w:p>
      <w:pPr>
        <w:pStyle w:val="3"/>
        <w:spacing w:after="0" w:line="380" w:lineRule="exact"/>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1.采购人应当自政府采购合同签订之日起2个工作日内，</w:t>
      </w:r>
      <w:r>
        <w:rPr>
          <w:rFonts w:ascii="宋体" w:hAnsi="宋体"/>
          <w:color w:val="000000" w:themeColor="text1"/>
          <w:kern w:val="0"/>
          <w:szCs w:val="21"/>
          <w14:textFill>
            <w14:solidFill>
              <w14:schemeClr w14:val="tx1"/>
            </w14:solidFill>
          </w14:textFill>
        </w:rPr>
        <w:t>在省级以上财政部门指定的</w:t>
      </w:r>
      <w:r>
        <w:rPr>
          <w:rFonts w:hint="eastAsia" w:ascii="宋体" w:hAnsi="宋体"/>
          <w:color w:val="000000" w:themeColor="text1"/>
          <w:kern w:val="0"/>
          <w:szCs w:val="21"/>
          <w14:textFill>
            <w14:solidFill>
              <w14:schemeClr w14:val="tx1"/>
            </w14:solidFill>
          </w14:textFill>
        </w:rPr>
        <w:t>政府采购信息发布</w:t>
      </w:r>
      <w:r>
        <w:rPr>
          <w:rFonts w:ascii="宋体" w:hAnsi="宋体"/>
          <w:color w:val="000000" w:themeColor="text1"/>
          <w:kern w:val="0"/>
          <w:szCs w:val="21"/>
          <w14:textFill>
            <w14:solidFill>
              <w14:schemeClr w14:val="tx1"/>
            </w14:solidFill>
          </w14:textFill>
        </w:rPr>
        <w:t>媒体及相关网站</w:t>
      </w:r>
      <w:r>
        <w:rPr>
          <w:rFonts w:hint="eastAsia" w:ascii="宋体" w:hAnsi="宋体"/>
          <w:color w:val="000000" w:themeColor="text1"/>
          <w:kern w:val="0"/>
          <w:szCs w:val="21"/>
          <w14:textFill>
            <w14:solidFill>
              <w14:schemeClr w14:val="tx1"/>
            </w14:solidFill>
          </w14:textFill>
        </w:rPr>
        <w:t>上</w:t>
      </w:r>
      <w:r>
        <w:rPr>
          <w:rFonts w:ascii="宋体" w:hAnsi="宋体"/>
          <w:color w:val="000000" w:themeColor="text1"/>
          <w:kern w:val="0"/>
          <w:szCs w:val="21"/>
          <w14:textFill>
            <w14:solidFill>
              <w14:schemeClr w14:val="tx1"/>
            </w14:solidFill>
          </w14:textFill>
        </w:rPr>
        <w:t>公告</w:t>
      </w:r>
      <w:r>
        <w:rPr>
          <w:rFonts w:hint="eastAsia" w:ascii="宋体" w:hAnsi="宋体"/>
          <w:color w:val="000000" w:themeColor="text1"/>
          <w:szCs w:val="21"/>
          <w14:textFill>
            <w14:solidFill>
              <w14:schemeClr w14:val="tx1"/>
            </w14:solidFill>
          </w14:textFill>
        </w:rPr>
        <w:t>。</w:t>
      </w: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2.采购人应当自政府采购合同签订之日起7个工作日内，将合同通过政采云平台提交至同级人民政府财政部门备案存档。</w:t>
      </w:r>
    </w:p>
    <w:p>
      <w:pPr>
        <w:pStyle w:val="17"/>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九、询问、质疑与投诉</w:t>
      </w:r>
    </w:p>
    <w:p>
      <w:pPr>
        <w:pStyle w:val="17"/>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（一）询问</w:t>
      </w: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磋商供应商对政府采购活动事项（磋商文件、采购过程和成交结果）有疑问的，可以向采购人或采购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机构提出询问，采购人或采购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机构将及时作出答复，但答复的内容不涉及商业秘密。询问可以口头方式提出，也可以书面方式提出。联系方式见第一章“磋商邀请”中“采购人、采购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机构的名称、地址和联系方式”。</w:t>
      </w:r>
    </w:p>
    <w:p>
      <w:pPr>
        <w:pStyle w:val="17"/>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（二）质疑</w:t>
      </w:r>
    </w:p>
    <w:p>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1.对竞争性磋商文件提出质疑的，为获取竞争性磋商文件</w:t>
      </w:r>
      <w:r>
        <w:rPr>
          <w:rFonts w:ascii="宋体" w:hAnsi="宋体" w:cs="宋体"/>
          <w:color w:val="000000" w:themeColor="text1"/>
          <w:szCs w:val="21"/>
          <w14:textFill>
            <w14:solidFill>
              <w14:schemeClr w14:val="tx1"/>
            </w14:solidFill>
          </w14:textFill>
        </w:rPr>
        <w:t>之日</w:t>
      </w:r>
      <w:r>
        <w:rPr>
          <w:rFonts w:hint="eastAsia" w:ascii="宋体" w:hAnsi="宋体" w:cs="宋体"/>
          <w:color w:val="000000" w:themeColor="text1"/>
          <w:szCs w:val="21"/>
          <w14:textFill>
            <w14:solidFill>
              <w14:schemeClr w14:val="tx1"/>
            </w14:solidFill>
          </w14:textFill>
        </w:rPr>
        <w:t>或者竞争性磋商文件公告期限届满之日（竞争性磋商文件公告期限届满后获取竞争性磋商文件的，以竞争性磋商文件公告期限届满之日为准）</w:t>
      </w:r>
      <w:r>
        <w:rPr>
          <w:rFonts w:hint="eastAsia" w:ascii="宋体" w:hAnsi="宋体"/>
          <w:color w:val="000000" w:themeColor="text1"/>
          <w:szCs w:val="21"/>
          <w14:textFill>
            <w14:solidFill>
              <w14:schemeClr w14:val="tx1"/>
            </w14:solidFill>
          </w14:textFill>
        </w:rPr>
        <w:t>7个工作日内提出质疑</w:t>
      </w:r>
      <w:r>
        <w:rPr>
          <w:rFonts w:hint="eastAsia" w:ascii="宋体" w:hAnsi="宋体" w:cs="宋体"/>
          <w:color w:val="000000" w:themeColor="text1"/>
          <w:szCs w:val="2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w:t>
      </w: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供应商对采购过程提出质疑的，应当在各采购程序环节结束之日起7个工作日内提出质疑；</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供应商对成交结果提出质疑的，应当在成交结果公告期限届满之日起7个工作日内提出质疑。</w:t>
      </w: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机构在收到磋商供应商的书面质疑后7个工作日内作出答复，并以书面形式通知质疑磋商供应商和其他有关磋商供应商，但答复内容不涉及商业秘密。</w:t>
      </w: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7"/>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（三）投诉</w:t>
      </w: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磋商供应商对采购人或采购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机构的质疑答复不满意或在规定时间内未得到答复的，可以在答复期满后15个工作日内，向同级政府采购监督管理机构投诉。</w:t>
      </w:r>
    </w:p>
    <w:p>
      <w:pPr>
        <w:spacing w:line="4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十、其他</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政采贷联系方式</w:t>
      </w:r>
    </w:p>
    <w:tbl>
      <w:tblPr>
        <w:tblStyle w:val="41"/>
        <w:tblW w:w="8655" w:type="dxa"/>
        <w:tblInd w:w="-93"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r>
      <w:tr>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13958532211</w:t>
            </w:r>
          </w:p>
        </w:tc>
      </w:tr>
    </w:tbl>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政采保联系方式</w:t>
      </w:r>
    </w:p>
    <w:tbl>
      <w:tblPr>
        <w:tblStyle w:val="41"/>
        <w:tblpPr w:leftFromText="180" w:rightFromText="180" w:vertAnchor="text" w:horzAnchor="margin" w:tblpY="27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阳光财产保险股份有限公司三门支公司</w:t>
            </w:r>
          </w:p>
        </w:tc>
        <w:tc>
          <w:tcPr>
            <w:tcW w:w="3341" w:type="dxa"/>
            <w:vAlign w:val="center"/>
          </w:tcPr>
          <w:p>
            <w:pPr>
              <w:widowControl/>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合同（质量）履约按履约保证金年费率1%（1.5%），每单保函最低保险费为500元(300元)。</w:t>
            </w:r>
          </w:p>
        </w:tc>
        <w:tc>
          <w:tcPr>
            <w:tcW w:w="1134" w:type="dxa"/>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李来萍</w:t>
            </w:r>
          </w:p>
        </w:tc>
        <w:tc>
          <w:tcPr>
            <w:tcW w:w="1977" w:type="dxa"/>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13958525199</w:t>
            </w:r>
          </w:p>
        </w:tc>
      </w:tr>
    </w:tbl>
    <w:p>
      <w:pPr>
        <w:pStyle w:val="17"/>
        <w:spacing w:line="360" w:lineRule="auto"/>
        <w:ind w:firstLine="420" w:firstLineChars="200"/>
        <w:jc w:val="both"/>
        <w:rPr>
          <w:rFonts w:ascii="宋体" w:hAnsi="宋体"/>
          <w:color w:val="000000" w:themeColor="text1"/>
          <w:szCs w:val="21"/>
          <w14:textFill>
            <w14:solidFill>
              <w14:schemeClr w14:val="tx1"/>
            </w14:solidFill>
          </w14:textFill>
        </w:rPr>
      </w:pPr>
    </w:p>
    <w:p>
      <w:pPr>
        <w:pStyle w:val="17"/>
        <w:spacing w:line="380" w:lineRule="exact"/>
        <w:ind w:firstLine="420" w:firstLineChars="200"/>
        <w:jc w:val="both"/>
        <w:rPr>
          <w:rFonts w:ascii="宋体" w:hAnsi="宋体"/>
          <w:color w:val="000000" w:themeColor="text1"/>
          <w:szCs w:val="21"/>
          <w14:textFill>
            <w14:solidFill>
              <w14:schemeClr w14:val="tx1"/>
            </w14:solidFill>
          </w14:textFill>
        </w:rPr>
      </w:pPr>
    </w:p>
    <w:p>
      <w:pPr>
        <w:pStyle w:val="17"/>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12" w:name="_Toc93048453"/>
      <w:r>
        <w:rPr>
          <w:rFonts w:hint="eastAsia" w:asciiTheme="minorEastAsia" w:hAnsiTheme="minorEastAsia" w:eastAsiaTheme="minorEastAsia"/>
          <w:b/>
          <w:color w:val="000000" w:themeColor="text1"/>
          <w:sz w:val="36"/>
          <w:szCs w:val="36"/>
          <w14:textFill>
            <w14:solidFill>
              <w14:schemeClr w14:val="tx1"/>
            </w14:solidFill>
          </w14:textFill>
        </w:rPr>
        <w:t>项目需求</w:t>
      </w:r>
      <w:bookmarkEnd w:id="12"/>
    </w:p>
    <w:p>
      <w:pPr>
        <w:tabs>
          <w:tab w:val="left" w:pos="8280"/>
        </w:tabs>
        <w:autoSpaceDE w:val="0"/>
        <w:autoSpaceDN w:val="0"/>
        <w:adjustRightInd w:val="0"/>
        <w:spacing w:line="360" w:lineRule="auto"/>
        <w:ind w:right="25"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一、项目一览表</w:t>
      </w:r>
    </w:p>
    <w:p>
      <w:pPr>
        <w:tabs>
          <w:tab w:val="left" w:pos="8280"/>
        </w:tabs>
        <w:autoSpaceDE w:val="0"/>
        <w:autoSpaceDN w:val="0"/>
        <w:adjustRightInd w:val="0"/>
        <w:spacing w:line="360" w:lineRule="auto"/>
        <w:ind w:right="25"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本次磋商共</w:t>
      </w:r>
      <w:r>
        <w:rPr>
          <w:rFonts w:hint="eastAsia" w:ascii="宋体" w:hAnsi="宋体"/>
          <w:color w:val="000000" w:themeColor="text1"/>
          <w:szCs w:val="21"/>
          <w:u w:val="single"/>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个标项，具体内容如下表：</w:t>
      </w:r>
    </w:p>
    <w:tbl>
      <w:tblPr>
        <w:tblStyle w:val="4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690"/>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2" w:type="dxa"/>
            <w:vAlign w:val="center"/>
          </w:tcPr>
          <w:p>
            <w:pPr>
              <w:tabs>
                <w:tab w:val="left" w:pos="8280"/>
              </w:tabs>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标项号</w:t>
            </w:r>
          </w:p>
        </w:tc>
        <w:tc>
          <w:tcPr>
            <w:tcW w:w="1778" w:type="dxa"/>
            <w:vAlign w:val="center"/>
          </w:tcPr>
          <w:p>
            <w:pPr>
              <w:tabs>
                <w:tab w:val="left" w:pos="8280"/>
              </w:tabs>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690" w:type="dxa"/>
            <w:vAlign w:val="center"/>
          </w:tcPr>
          <w:p>
            <w:pPr>
              <w:tabs>
                <w:tab w:val="left" w:pos="8280"/>
              </w:tabs>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简要技术要求</w:t>
            </w:r>
          </w:p>
        </w:tc>
        <w:tc>
          <w:tcPr>
            <w:tcW w:w="1099" w:type="dxa"/>
            <w:vAlign w:val="center"/>
          </w:tcPr>
          <w:p>
            <w:pPr>
              <w:tabs>
                <w:tab w:val="left" w:pos="8280"/>
              </w:tabs>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852" w:type="dxa"/>
            <w:vAlign w:val="center"/>
          </w:tcPr>
          <w:p>
            <w:pPr>
              <w:tabs>
                <w:tab w:val="left" w:pos="8280"/>
              </w:tabs>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1142" w:type="dxa"/>
            <w:vAlign w:val="center"/>
          </w:tcPr>
          <w:p>
            <w:pPr>
              <w:tabs>
                <w:tab w:val="left" w:pos="8280"/>
              </w:tabs>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预算价（元）</w:t>
            </w:r>
          </w:p>
        </w:tc>
        <w:tc>
          <w:tcPr>
            <w:tcW w:w="1203" w:type="dxa"/>
            <w:vAlign w:val="center"/>
          </w:tcPr>
          <w:p>
            <w:pPr>
              <w:tabs>
                <w:tab w:val="left" w:pos="8280"/>
              </w:tabs>
              <w:autoSpaceDE w:val="0"/>
              <w:autoSpaceDN w:val="0"/>
              <w:adjustRightIn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2" w:type="dxa"/>
            <w:vAlign w:val="center"/>
          </w:tcPr>
          <w:p>
            <w:pPr>
              <w:tabs>
                <w:tab w:val="left" w:pos="8280"/>
              </w:tabs>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78" w:type="dxa"/>
            <w:vAlign w:val="center"/>
          </w:tcPr>
          <w:p>
            <w:pPr>
              <w:tabs>
                <w:tab w:val="left" w:pos="8280"/>
              </w:tabs>
              <w:autoSpaceDE w:val="0"/>
              <w:autoSpaceDN w:val="0"/>
              <w:adjustRightInd w:val="0"/>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三门县浦坝港镇小岭下至从岙道路提升改造工程</w:t>
            </w:r>
          </w:p>
        </w:tc>
        <w:tc>
          <w:tcPr>
            <w:tcW w:w="1690" w:type="dxa"/>
            <w:vAlign w:val="center"/>
          </w:tcPr>
          <w:p>
            <w:pPr>
              <w:tabs>
                <w:tab w:val="left" w:pos="8280"/>
              </w:tabs>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详见技术需求</w:t>
            </w:r>
          </w:p>
        </w:tc>
        <w:tc>
          <w:tcPr>
            <w:tcW w:w="1099" w:type="dxa"/>
            <w:vAlign w:val="center"/>
          </w:tcPr>
          <w:p>
            <w:pPr>
              <w:tabs>
                <w:tab w:val="left" w:pos="8280"/>
              </w:tabs>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852" w:type="dxa"/>
            <w:vAlign w:val="center"/>
          </w:tcPr>
          <w:p>
            <w:pPr>
              <w:tabs>
                <w:tab w:val="left" w:pos="8280"/>
              </w:tabs>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c>
          <w:tcPr>
            <w:tcW w:w="1142" w:type="dxa"/>
            <w:vAlign w:val="center"/>
          </w:tcPr>
          <w:p>
            <w:pPr>
              <w:tabs>
                <w:tab w:val="left" w:pos="8280"/>
              </w:tabs>
              <w:autoSpaceDE w:val="0"/>
              <w:autoSpaceDN w:val="0"/>
              <w:adjustRightInd w:val="0"/>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2945700</w:t>
            </w:r>
          </w:p>
        </w:tc>
        <w:tc>
          <w:tcPr>
            <w:tcW w:w="1203" w:type="dxa"/>
            <w:vAlign w:val="center"/>
          </w:tcPr>
          <w:p>
            <w:pPr>
              <w:tabs>
                <w:tab w:val="left" w:pos="8280"/>
              </w:tabs>
              <w:autoSpaceDE w:val="0"/>
              <w:autoSpaceDN w:val="0"/>
              <w:adjustRightInd w:val="0"/>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2945700</w:t>
            </w:r>
          </w:p>
        </w:tc>
      </w:tr>
    </w:tbl>
    <w:p>
      <w:pPr>
        <w:tabs>
          <w:tab w:val="left" w:pos="8280"/>
        </w:tabs>
        <w:autoSpaceDE w:val="0"/>
        <w:autoSpaceDN w:val="0"/>
        <w:adjustRightInd w:val="0"/>
        <w:spacing w:line="360" w:lineRule="auto"/>
        <w:ind w:right="25"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二、技术需求</w:t>
      </w:r>
    </w:p>
    <w:p>
      <w:pPr>
        <w:widowControl/>
        <w:spacing w:line="360" w:lineRule="auto"/>
        <w:ind w:firstLine="211" w:firstLineChars="1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（一）工程概况：</w:t>
      </w:r>
    </w:p>
    <w:p>
      <w:pPr>
        <w:widowControl/>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1、工程名称：</w:t>
      </w:r>
      <w:r>
        <w:rPr>
          <w:rFonts w:hint="eastAsia" w:ascii="宋体" w:hAnsi="宋体" w:cs="宋体"/>
          <w:color w:val="000000" w:themeColor="text1"/>
          <w:kern w:val="0"/>
          <w:szCs w:val="21"/>
          <w:lang w:eastAsia="zh-CN"/>
          <w14:textFill>
            <w14:solidFill>
              <w14:schemeClr w14:val="tx1"/>
            </w14:solidFill>
          </w14:textFill>
        </w:rPr>
        <w:t>三门县浦坝港镇小岭下至从岙道路提升改造工程</w:t>
      </w:r>
    </w:p>
    <w:p>
      <w:pPr>
        <w:widowControl/>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2、工程地点：三门县</w:t>
      </w:r>
      <w:r>
        <w:rPr>
          <w:rFonts w:hint="eastAsia" w:ascii="宋体" w:hAnsi="宋体" w:cs="宋体"/>
          <w:color w:val="000000" w:themeColor="text1"/>
          <w:szCs w:val="21"/>
          <w:lang w:val="en-US" w:eastAsia="zh-CN"/>
          <w14:textFill>
            <w14:solidFill>
              <w14:schemeClr w14:val="tx1"/>
            </w14:solidFill>
          </w14:textFill>
        </w:rPr>
        <w:t>浦坝港镇</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3、工程主要包括：</w:t>
      </w:r>
      <w:r>
        <w:rPr>
          <w:rFonts w:hint="eastAsia" w:ascii="宋体" w:hAnsi="宋体" w:cs="宋体"/>
          <w:color w:val="000000" w:themeColor="text1"/>
          <w:szCs w:val="21"/>
          <w:lang w:val="en-US" w:eastAsia="zh-CN"/>
          <w14:textFill>
            <w14:solidFill>
              <w14:schemeClr w14:val="tx1"/>
            </w14:solidFill>
          </w14:textFill>
        </w:rPr>
        <w:t>对该道路桩号 K0+000-K3+870 进行破碎板修复，凿除原 18cm 混凝土板块后再下挖 10cm 路槽，重新浇筑 18cm 混凝土板块+10cm 填隙碎石。 桩号 K3+020-K3+326 沿靠山侧改线。</w:t>
      </w:r>
      <w:r>
        <w:rPr>
          <w:rFonts w:hint="eastAsia" w:ascii="宋体" w:hAnsi="宋体" w:eastAsia="宋体" w:cs="宋体"/>
          <w:color w:val="000000" w:themeColor="text1"/>
          <w:kern w:val="2"/>
          <w:sz w:val="21"/>
          <w:szCs w:val="21"/>
          <w:lang w:val="en-US" w:eastAsia="zh-CN" w:bidi="ar-SA"/>
          <w14:textFill>
            <w14:solidFill>
              <w14:schemeClr w14:val="tx1"/>
            </w14:solidFill>
          </w14:textFill>
        </w:rPr>
        <w:t>工程范围详见施工图</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4、承包方式：包工包料。</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5、工期：不超过</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日历天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含养护期28日历天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（投标人在投标文件中必须明确工期天数）。</w:t>
      </w:r>
    </w:p>
    <w:p>
      <w:pPr>
        <w:widowControl/>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6、质量标准：合格。</w:t>
      </w:r>
      <w:bookmarkStart w:id="13" w:name="_Toc283976561"/>
      <w:bookmarkStart w:id="14" w:name="_Toc282596326"/>
      <w:bookmarkStart w:id="15" w:name="_Toc283886271"/>
    </w:p>
    <w:bookmarkEnd w:id="13"/>
    <w:bookmarkEnd w:id="14"/>
    <w:bookmarkEnd w:id="15"/>
    <w:p>
      <w:pPr>
        <w:pStyle w:val="40"/>
        <w:widowControl/>
        <w:spacing w:line="360" w:lineRule="auto"/>
        <w:ind w:firstLine="0" w:firstLineChars="0"/>
        <w:jc w:val="lef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 （二）定额依据：</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1、《公路工程预算定额》(JTG/T 3832-2018)。</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2、《公路工程机械台班费定额》(JTG/T 3832-2018）。</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3、《公路工程工程量清单计价规范》(2018版)；</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4、《公路工程基本建设项目概算预算编制办法》(JTG/T 3832-2018）。</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5、浙交[2008]85号印发《浙江省公路概（预）算编制补充规定》</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6、交通运输部办公厅关于《公路工程营业税改征增值税计价依据调整方案》的通知。</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7、交通运输部关于《公路工程标准施工招标文件及公路工程标准施工招标资格预审文件》2018版的公告。</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8、《浙江交通建设工程质监与造价》（三门、台州）2022年第五期（总第220期）。</w:t>
      </w:r>
    </w:p>
    <w:p>
      <w:pPr>
        <w:widowControl/>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9、相关法律、法规以及规范、文件等。</w:t>
      </w:r>
    </w:p>
    <w:p>
      <w:pPr>
        <w:pStyle w:val="2"/>
        <w:ind w:left="0" w:leftChars="0"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（三）工程量清单（详见预算审核书）</w:t>
      </w:r>
    </w:p>
    <w:tbl>
      <w:tblPr>
        <w:tblStyle w:val="41"/>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883"/>
        <w:gridCol w:w="175"/>
        <w:gridCol w:w="105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2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合同段：三门县浦坝港镇小岭下至从岙道路提升改造工程</w:t>
            </w:r>
          </w:p>
        </w:tc>
        <w:tc>
          <w:tcPr>
            <w:tcW w:w="2646" w:type="dxa"/>
            <w:gridSpan w:val="3"/>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235"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2"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403"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5" w:type="dxa"/>
            <w:gridSpan w:val="3"/>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总 则</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路 面</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桥梁、涵洞</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235"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235"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工程造价</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882"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403" w:type="dxa"/>
            <w:gridSpan w:val="4"/>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235" w:type="dxa"/>
            <w:gridSpan w:val="3"/>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882"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403" w:type="dxa"/>
            <w:gridSpan w:val="4"/>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235" w:type="dxa"/>
            <w:gridSpan w:val="3"/>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4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7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7460" w:type="dxa"/>
            <w:gridSpan w:val="6"/>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40" w:hRule="atLeast"/>
        </w:trPr>
        <w:tc>
          <w:tcPr>
            <w:tcW w:w="882" w:type="dxa"/>
            <w:tcBorders>
              <w:top w:val="nil"/>
              <w:left w:val="nil"/>
              <w:bottom w:val="nil"/>
              <w:right w:val="nil"/>
            </w:tcBorders>
            <w:shd w:val="clear" w:color="auto" w:fill="FFFFFF"/>
            <w:vAlign w:val="top"/>
          </w:tcPr>
          <w:p>
            <w:pPr>
              <w:jc w:val="left"/>
              <w:rPr>
                <w:rFonts w:hint="eastAsia"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0" w:hRule="atLeast"/>
        </w:trPr>
        <w:tc>
          <w:tcPr>
            <w:tcW w:w="88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凿除原砼路面厚18cm</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原水泥混凝土路面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2387.250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边沟40cm*40cm</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现浇混凝土C20砼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637.500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M7.5浆砌片石挡墙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80" w:hRule="atLeast"/>
        </w:trPr>
        <w:tc>
          <w:tcPr>
            <w:tcW w:w="882"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882"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756745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7460" w:type="dxa"/>
            <w:gridSpan w:val="6"/>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40" w:hRule="atLeast"/>
        </w:trPr>
        <w:tc>
          <w:tcPr>
            <w:tcW w:w="88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路床(槽)整形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13262.500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1.48</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厚180mm（混凝土弯拉强度4.5MPa）</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13262.500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132.41</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1756088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厚100mm（混凝土弯拉强度...MPa）</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1313.000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77.68</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2250.000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7.72</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植筋钢筋（钻孔、注浆、安装、钢筋）</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518.000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23.42</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80" w:hRule="atLeast"/>
        </w:trPr>
        <w:tc>
          <w:tcPr>
            <w:tcW w:w="882"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65" w:hRule="atLeast"/>
        </w:trPr>
        <w:tc>
          <w:tcPr>
            <w:tcW w:w="882"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1907212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7460" w:type="dxa"/>
            <w:gridSpan w:val="6"/>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40" w:hRule="atLeast"/>
        </w:trPr>
        <w:tc>
          <w:tcPr>
            <w:tcW w:w="88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单孔钢筋混凝土圆管涵D500mm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80" w:hRule="atLeast"/>
        </w:trPr>
        <w:tc>
          <w:tcPr>
            <w:tcW w:w="882"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30" w:hRule="atLeast"/>
        </w:trPr>
        <w:tc>
          <w:tcPr>
            <w:tcW w:w="882"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7460" w:type="dxa"/>
            <w:gridSpan w:val="6"/>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40" w:hRule="atLeast"/>
        </w:trPr>
        <w:tc>
          <w:tcPr>
            <w:tcW w:w="88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0" w:hRule="atLeast"/>
        </w:trPr>
        <w:tc>
          <w:tcPr>
            <w:tcW w:w="882"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gridSpan w:val="2"/>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路侧波形梁钢护栏修复（拆、装）</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776.000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水泥路热熔型涂料路面标线线宽15cm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8180" w:hRule="atLeast"/>
        </w:trPr>
        <w:tc>
          <w:tcPr>
            <w:tcW w:w="882"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882"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7460" w:type="dxa"/>
            <w:gridSpan w:val="6"/>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bl>
    <w:p>
      <w:pPr>
        <w:pStyle w:val="2"/>
        <w:ind w:left="0" w:leftChars="0" w:firstLine="0" w:firstLineChars="0"/>
        <w:rPr>
          <w:rFonts w:hint="default" w:ascii="宋体" w:hAnsi="宋体" w:cs="宋体"/>
          <w:color w:val="000000" w:themeColor="text1"/>
          <w:szCs w:val="21"/>
          <w:lang w:val="en-US" w:eastAsia="zh-CN"/>
          <w14:textFill>
            <w14:solidFill>
              <w14:schemeClr w14:val="tx1"/>
            </w14:solidFill>
          </w14:textFill>
        </w:rPr>
      </w:pPr>
    </w:p>
    <w:p/>
    <w:p>
      <w:pPr>
        <w:tabs>
          <w:tab w:val="left" w:pos="8280"/>
        </w:tabs>
        <w:autoSpaceDE w:val="0"/>
        <w:autoSpaceDN w:val="0"/>
        <w:adjustRightInd w:val="0"/>
        <w:spacing w:line="360" w:lineRule="auto"/>
        <w:ind w:right="25"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三、商务需求</w:t>
      </w:r>
    </w:p>
    <w:p>
      <w:pPr>
        <w:pStyle w:val="97"/>
        <w:spacing w:line="360" w:lineRule="auto"/>
        <w:ind w:firstLine="211" w:firstLineChars="1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1、付款条</w:t>
      </w:r>
      <w:r>
        <w:rPr>
          <w:rFonts w:hint="eastAsia" w:ascii="宋体" w:hAnsi="宋体"/>
          <w:b/>
          <w:color w:val="000000" w:themeColor="text1"/>
          <w:szCs w:val="21"/>
          <w14:textFill>
            <w14:solidFill>
              <w14:schemeClr w14:val="tx1"/>
            </w14:solidFill>
          </w14:textFill>
        </w:rPr>
        <w:t>件：</w:t>
      </w:r>
      <w:r>
        <w:rPr>
          <w:rFonts w:hint="eastAsia" w:ascii="宋体" w:hAnsi="宋体"/>
          <w:b/>
          <w:bCs/>
          <w:color w:val="000000" w:themeColor="text1"/>
          <w:szCs w:val="21"/>
          <w14:textFill>
            <w14:solidFill>
              <w14:schemeClr w14:val="tx1"/>
            </w14:solidFill>
          </w14:textFill>
        </w:rPr>
        <w:t>工程</w:t>
      </w:r>
      <w:r>
        <w:rPr>
          <w:rFonts w:hint="eastAsia" w:ascii="宋体" w:hAnsi="宋体"/>
          <w:b/>
          <w:bCs/>
          <w:color w:val="000000" w:themeColor="text1"/>
          <w:szCs w:val="21"/>
          <w:lang w:val="en-US" w:eastAsia="zh-CN"/>
          <w14:textFill>
            <w14:solidFill>
              <w14:schemeClr w14:val="tx1"/>
            </w14:solidFill>
          </w14:textFill>
        </w:rPr>
        <w:t>竣工</w:t>
      </w:r>
      <w:r>
        <w:rPr>
          <w:rFonts w:hint="eastAsia" w:ascii="宋体" w:hAnsi="宋体"/>
          <w:b/>
          <w:bCs/>
          <w:color w:val="000000" w:themeColor="text1"/>
          <w:szCs w:val="21"/>
          <w14:textFill>
            <w14:solidFill>
              <w14:schemeClr w14:val="tx1"/>
            </w14:solidFill>
          </w14:textFill>
        </w:rPr>
        <w:t>验收合格</w:t>
      </w:r>
      <w:r>
        <w:rPr>
          <w:rFonts w:hint="eastAsia" w:ascii="宋体" w:hAnsi="宋体"/>
          <w:b/>
          <w:bCs/>
          <w:color w:val="000000" w:themeColor="text1"/>
          <w:szCs w:val="21"/>
          <w:lang w:val="en-US" w:eastAsia="zh-CN"/>
          <w14:textFill>
            <w14:solidFill>
              <w14:schemeClr w14:val="tx1"/>
            </w14:solidFill>
          </w14:textFill>
        </w:rPr>
        <w:t>并</w:t>
      </w:r>
      <w:r>
        <w:rPr>
          <w:rFonts w:hint="eastAsia" w:ascii="宋体" w:hAnsi="宋体"/>
          <w:b/>
          <w:bCs/>
          <w:color w:val="000000" w:themeColor="text1"/>
          <w:szCs w:val="21"/>
          <w14:textFill>
            <w14:solidFill>
              <w14:schemeClr w14:val="tx1"/>
            </w14:solidFill>
          </w14:textFill>
        </w:rPr>
        <w:t>经结算审定(工程结算款以三门县财政局审定为依据)，</w:t>
      </w:r>
      <w:r>
        <w:rPr>
          <w:rFonts w:hint="eastAsia" w:ascii="宋体" w:hAnsi="宋体"/>
          <w:b/>
          <w:bCs/>
          <w:color w:val="000000" w:themeColor="text1"/>
          <w:szCs w:val="21"/>
          <w:lang w:val="en-US" w:eastAsia="zh-CN"/>
          <w14:textFill>
            <w14:solidFill>
              <w14:schemeClr w14:val="tx1"/>
            </w14:solidFill>
          </w14:textFill>
        </w:rPr>
        <w:t>待上级拨款资金到位后</w:t>
      </w:r>
      <w:r>
        <w:rPr>
          <w:rFonts w:hint="eastAsia" w:ascii="宋体" w:hAnsi="宋体"/>
          <w:b/>
          <w:bCs/>
          <w:color w:val="000000" w:themeColor="text1"/>
          <w:szCs w:val="21"/>
          <w14:textFill>
            <w14:solidFill>
              <w14:schemeClr w14:val="tx1"/>
            </w14:solidFill>
          </w14:textFill>
        </w:rPr>
        <w:t>付至该工程结算价的98.5%，余下1.5%作为工程质量保</w:t>
      </w:r>
      <w:r>
        <w:rPr>
          <w:rFonts w:hint="eastAsia" w:ascii="宋体" w:hAnsi="宋体"/>
          <w:b/>
          <w:bCs/>
          <w:color w:val="000000" w:themeColor="text1"/>
          <w:szCs w:val="21"/>
          <w:lang w:val="en-US" w:eastAsia="zh-CN"/>
          <w14:textFill>
            <w14:solidFill>
              <w14:schemeClr w14:val="tx1"/>
            </w14:solidFill>
          </w14:textFill>
        </w:rPr>
        <w:t>证</w:t>
      </w:r>
      <w:r>
        <w:rPr>
          <w:rFonts w:hint="eastAsia" w:ascii="宋体" w:hAnsi="宋体"/>
          <w:b/>
          <w:bCs/>
          <w:color w:val="000000" w:themeColor="text1"/>
          <w:szCs w:val="21"/>
          <w14:textFill>
            <w14:solidFill>
              <w14:schemeClr w14:val="tx1"/>
            </w14:solidFill>
          </w14:textFill>
        </w:rPr>
        <w:t>金, 待缺陷责任期满后付清（不计息）。</w:t>
      </w:r>
    </w:p>
    <w:p>
      <w:pPr>
        <w:pStyle w:val="97"/>
        <w:spacing w:line="360" w:lineRule="auto"/>
        <w:ind w:firstLine="211" w:firstLineChars="1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2、履约保证金：</w:t>
      </w:r>
      <w:r>
        <w:rPr>
          <w:rFonts w:hint="eastAsia" w:ascii="宋体" w:hAnsi="宋体"/>
          <w:color w:val="000000" w:themeColor="text1"/>
          <w:szCs w:val="21"/>
          <w14:textFill>
            <w14:solidFill>
              <w14:schemeClr w14:val="tx1"/>
            </w14:solidFill>
          </w14:textFill>
        </w:rPr>
        <w:t>中标人须提交合同总价2%的履约保证金，履约保证金可以用银行保函、保险机构保证保险保单和融资担保公司保函或现金。如合同履行期间中标人出现违约责任的，从履约保证金中扣除相应金额。履约保证金如为现金的，在完工验收结束后，十个工作日内无息退还。</w:t>
      </w:r>
    </w:p>
    <w:p>
      <w:pPr>
        <w:pStyle w:val="3"/>
        <w:widowControl/>
        <w:tabs>
          <w:tab w:val="left" w:pos="0"/>
          <w:tab w:val="left" w:pos="1260"/>
          <w:tab w:val="left" w:pos="1365"/>
        </w:tabs>
        <w:spacing w:line="360" w:lineRule="auto"/>
        <w:ind w:left="0" w:leftChars="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3、发包人向承包人支付的一切费用，承包人不得移作他用。发包人和监理工程师有权对此进行监督，如承包人抽走用于本工程的资金，且影响了工程的实施，按承包人违约处理。</w:t>
      </w:r>
    </w:p>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16" w:name="_Toc93048454"/>
      <w:r>
        <w:rPr>
          <w:rFonts w:hint="eastAsia" w:asciiTheme="minorEastAsia" w:hAnsiTheme="minorEastAsia" w:eastAsiaTheme="minorEastAsia"/>
          <w:b/>
          <w:color w:val="000000" w:themeColor="text1"/>
          <w:sz w:val="36"/>
          <w:szCs w:val="36"/>
          <w14:textFill>
            <w14:solidFill>
              <w14:schemeClr w14:val="tx1"/>
            </w14:solidFill>
          </w14:textFill>
        </w:rPr>
        <w:t>磋商</w:t>
      </w:r>
      <w:bookmarkEnd w:id="16"/>
    </w:p>
    <w:p>
      <w:pPr>
        <w:numPr>
          <w:ilvl w:val="0"/>
          <w:numId w:val="5"/>
        </w:num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磋商原则</w:t>
      </w:r>
    </w:p>
    <w:p>
      <w:pPr>
        <w:spacing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二、评审方法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综合评分法,是指响应文件满足磋商文件全部实质性要求且按评审因素的量化指标评审得分最高的供应商为成交候选供应商的评审方法。</w:t>
      </w:r>
    </w:p>
    <w:p>
      <w:pPr>
        <w:pStyle w:val="23"/>
        <w:snapToGrid w:val="0"/>
        <w:spacing w:line="360" w:lineRule="auto"/>
        <w:ind w:firstLine="422" w:firstLineChars="200"/>
        <w:rPr>
          <w:rFonts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三、磋商小组</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cstheme="minorBidi"/>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由</w:t>
      </w:r>
      <w:r>
        <w:rPr>
          <w:rFonts w:hint="eastAsia" w:ascii="宋体" w:hAnsi="宋体"/>
          <w:color w:val="000000" w:themeColor="text1"/>
          <w:szCs w:val="21"/>
          <w14:textFill>
            <w14:solidFill>
              <w14:schemeClr w14:val="tx1"/>
            </w14:solidFill>
          </w14:textFill>
        </w:rPr>
        <w:t>采购人代表和评审专家</w:t>
      </w:r>
      <w:r>
        <w:rPr>
          <w:rFonts w:ascii="宋体" w:hAnsi="宋体"/>
          <w:color w:val="000000" w:themeColor="text1"/>
          <w:szCs w:val="21"/>
          <w14:textFill>
            <w14:solidFill>
              <w14:schemeClr w14:val="tx1"/>
            </w14:solidFill>
          </w14:textFill>
        </w:rPr>
        <w:t>组成</w:t>
      </w:r>
      <w:r>
        <w:rPr>
          <w:rFonts w:hint="eastAsia" w:ascii="宋体" w:hAnsi="宋体"/>
          <w:color w:val="000000" w:themeColor="text1"/>
          <w:szCs w:val="21"/>
          <w14:textFill>
            <w14:solidFill>
              <w14:schemeClr w14:val="tx1"/>
            </w14:solidFill>
          </w14:textFill>
        </w:rPr>
        <w:t>。</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cstheme="minorBidi"/>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成员</w:t>
      </w:r>
      <w:r>
        <w:rPr>
          <w:rFonts w:hint="eastAsia" w:ascii="宋体" w:hAnsi="宋体" w:cs="宋体"/>
          <w:color w:val="000000" w:themeColor="text1"/>
          <w:szCs w:val="21"/>
          <w14:textFill>
            <w14:solidFill>
              <w14:schemeClr w14:val="tx1"/>
            </w14:solidFill>
          </w14:textFill>
        </w:rPr>
        <w:t>与参与磋商的供应商</w:t>
      </w:r>
      <w:r>
        <w:rPr>
          <w:rFonts w:hint="eastAsia" w:ascii="宋体" w:hAnsi="宋体"/>
          <w:color w:val="000000" w:themeColor="text1"/>
          <w:szCs w:val="21"/>
          <w14:textFill>
            <w14:solidFill>
              <w14:schemeClr w14:val="tx1"/>
            </w14:solidFill>
          </w14:textFill>
        </w:rPr>
        <w:t>有下列情形之一的，应当回避：</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1.参加采购活动前3年内与供应商存在劳动关系；</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2.参加采购活动前3年内担任供应商的董事、监事；</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3.参加采购活动前3年内是供应商的控股股东或者实际控制人；</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4.与供应商的法定代表人或者负责人有夫妻、直系血亲、三代以内旁系血亲或者近姻亲关系；</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5.与供应商有其他可能影响政府采购活动公平、公正进行的关系；</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6.法律法规规定的其他情形。</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cstheme="minorBidi"/>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负责具体评审事务，并独立履行下列职责：</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1.审查、评价响应文件是否符合磋商文件的商务、技术等实质性要求；</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2.要求供应商对响应文件有关事项作出澄清或者说明；</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3.对响应文件进行比较和评价；</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4.确定成交候选人名单，以及根据采购人委托直接确定成交供应商；</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5.向采购人、采购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机构或者有关部门报告评审中发现的违法行为；</w:t>
      </w:r>
    </w:p>
    <w:p>
      <w:pPr>
        <w:pStyle w:val="5"/>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6.法律法规规定的其他职责。</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四、磋商要求</w:t>
      </w:r>
    </w:p>
    <w:p>
      <w:pPr>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（一）采购人、采购代理机构不得对磋商小组中的评审专家作倾向性、误导性的解释或者说明。</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（二）磋商小组所有成员应当集中与单一供应商分别进行磋商，并给予所有参加磋商的供应商平等的磋商机会。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（五）供应商应当按照磋商文件的变动情况和磋商小组的要求重新提交响应文件，并由其法定代表人或授权代表签字或者加盖公章。</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（六）已提交响应文件的供应商，在提交最后报价之前，可以根据磋商情况退出磋商。</w:t>
      </w:r>
    </w:p>
    <w:p>
      <w:pPr>
        <w:pStyle w:val="37"/>
        <w:spacing w:before="0" w:beforeAutospacing="0" w:after="0" w:afterAutospacing="0" w:line="360" w:lineRule="auto"/>
        <w:ind w:firstLine="422" w:firstLineChars="200"/>
        <w:jc w:val="both"/>
        <w:rPr>
          <w:rFonts w:hint="default"/>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五、无效响应情形</w:t>
      </w:r>
    </w:p>
    <w:p>
      <w:pPr>
        <w:pStyle w:val="37"/>
        <w:numPr>
          <w:ilvl w:val="0"/>
          <w:numId w:val="6"/>
        </w:numPr>
        <w:tabs>
          <w:tab w:val="left" w:pos="7380"/>
        </w:tabs>
        <w:adjustRightInd w:val="0"/>
        <w:snapToGrid w:val="0"/>
        <w:spacing w:before="0" w:beforeAutospacing="0" w:after="0" w:afterAutospacing="0" w:line="360" w:lineRule="auto"/>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不具备磋商文件中规定的资格要求的；</w:t>
      </w:r>
      <w:r>
        <w:rPr>
          <w:rFonts w:hint="default"/>
          <w:color w:val="000000" w:themeColor="text1"/>
          <w:sz w:val="21"/>
          <w:szCs w:val="21"/>
          <w14:textFill>
            <w14:solidFill>
              <w14:schemeClr w14:val="tx1"/>
            </w14:solidFill>
          </w14:textFill>
        </w:rPr>
        <w:tab/>
      </w:r>
    </w:p>
    <w:p>
      <w:pPr>
        <w:pStyle w:val="37"/>
        <w:numPr>
          <w:ilvl w:val="0"/>
          <w:numId w:val="6"/>
        </w:numPr>
        <w:adjustRightInd w:val="0"/>
        <w:snapToGrid w:val="0"/>
        <w:spacing w:before="0" w:beforeAutospacing="0" w:after="0" w:afterAutospacing="0" w:line="360" w:lineRule="auto"/>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响应文件含有采购人不能接受的附加条件的；</w:t>
      </w:r>
    </w:p>
    <w:p>
      <w:pPr>
        <w:pStyle w:val="17"/>
        <w:numPr>
          <w:ilvl w:val="0"/>
          <w:numId w:val="6"/>
        </w:numPr>
        <w:spacing w:line="360" w:lineRule="auto"/>
        <w:jc w:val="both"/>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磋商小组认为供应商的报价明显低于其他通过符合性审查供应商的报价，有可能影响货物质量或者不能诚信履约的，供应商在限定的时间内不能证明其报价合理性的，磋商小组应当将其作为无效响应处理；</w:t>
      </w:r>
    </w:p>
    <w:p>
      <w:pPr>
        <w:pStyle w:val="37"/>
        <w:numPr>
          <w:ilvl w:val="0"/>
          <w:numId w:val="6"/>
        </w:numPr>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xml:space="preserve">报价超过磋商文件中规定的预算审核金额/最高限价； </w:t>
      </w:r>
    </w:p>
    <w:p>
      <w:pPr>
        <w:pStyle w:val="37"/>
        <w:numPr>
          <w:ilvl w:val="0"/>
          <w:numId w:val="6"/>
        </w:numPr>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响应参数未如实填写，完全复制粘贴磋商需求参数的；</w:t>
      </w:r>
    </w:p>
    <w:p>
      <w:pPr>
        <w:pStyle w:val="37"/>
        <w:numPr>
          <w:ilvl w:val="0"/>
          <w:numId w:val="6"/>
        </w:numPr>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xml:space="preserve">响应文件存在虚假材料的； </w:t>
      </w:r>
    </w:p>
    <w:p>
      <w:pPr>
        <w:pStyle w:val="37"/>
        <w:numPr>
          <w:ilvl w:val="0"/>
          <w:numId w:val="6"/>
        </w:numPr>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不同供应商的响应文件由同一单位或者个人编制；</w:t>
      </w:r>
    </w:p>
    <w:p>
      <w:pPr>
        <w:pStyle w:val="37"/>
        <w:numPr>
          <w:ilvl w:val="0"/>
          <w:numId w:val="6"/>
        </w:numPr>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不同供应商委托同一单位或者个人办理磋商事宜；</w:t>
      </w:r>
    </w:p>
    <w:p>
      <w:pPr>
        <w:pStyle w:val="37"/>
        <w:numPr>
          <w:ilvl w:val="0"/>
          <w:numId w:val="6"/>
        </w:numPr>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不同供应商的响应文件载明的项目管理成员或者联系人员为同一人；</w:t>
      </w:r>
    </w:p>
    <w:p>
      <w:pPr>
        <w:pStyle w:val="37"/>
        <w:numPr>
          <w:ilvl w:val="0"/>
          <w:numId w:val="6"/>
        </w:numPr>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不同供应商的响应文件异常一致或者磋商报价呈规律性差异；</w:t>
      </w:r>
    </w:p>
    <w:p>
      <w:pPr>
        <w:pStyle w:val="37"/>
        <w:numPr>
          <w:ilvl w:val="0"/>
          <w:numId w:val="6"/>
        </w:numPr>
        <w:spacing w:before="0" w:beforeAutospacing="0" w:after="0" w:afterAutospacing="0" w:line="360" w:lineRule="auto"/>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不同供应商的响应文件相互混装；</w:t>
      </w:r>
    </w:p>
    <w:p>
      <w:pPr>
        <w:pStyle w:val="37"/>
        <w:numPr>
          <w:ilvl w:val="0"/>
          <w:numId w:val="6"/>
        </w:numPr>
        <w:spacing w:before="0" w:beforeAutospacing="0" w:after="0" w:afterAutospacing="0" w:line="360" w:lineRule="auto"/>
        <w:jc w:val="both"/>
        <w:rPr>
          <w:rFonts w:hint="default"/>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实质性要求（磋商文件中打“▲”内容）不响应的；</w:t>
      </w:r>
    </w:p>
    <w:p>
      <w:pPr>
        <w:pStyle w:val="5"/>
        <w:numPr>
          <w:ilvl w:val="0"/>
          <w:numId w:val="6"/>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商务条款不响应；</w:t>
      </w:r>
    </w:p>
    <w:p>
      <w:pPr>
        <w:pStyle w:val="5"/>
        <w:numPr>
          <w:ilvl w:val="0"/>
          <w:numId w:val="6"/>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w:t>
      </w:r>
      <w:r>
        <w:rPr>
          <w:rFonts w:hint="eastAsia" w:ascii="宋体" w:hAnsi="宋体"/>
          <w:color w:val="000000" w:themeColor="text1"/>
          <w:kern w:val="0"/>
          <w:szCs w:val="21"/>
          <w14:textFill>
            <w14:solidFill>
              <w14:schemeClr w14:val="tx1"/>
            </w14:solidFill>
          </w14:textFill>
        </w:rPr>
        <w:t>文件有效期不足的；</w:t>
      </w:r>
    </w:p>
    <w:p>
      <w:pPr>
        <w:pStyle w:val="5"/>
        <w:numPr>
          <w:ilvl w:val="0"/>
          <w:numId w:val="6"/>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逾期或未按要求提交</w:t>
      </w:r>
      <w:r>
        <w:rPr>
          <w:rFonts w:hint="eastAsia" w:ascii="宋体" w:hAnsi="宋体" w:cs="宋体"/>
          <w:color w:val="000000" w:themeColor="text1"/>
          <w:szCs w:val="21"/>
          <w14:textFill>
            <w14:solidFill>
              <w14:schemeClr w14:val="tx1"/>
            </w14:solidFill>
          </w14:textFill>
        </w:rPr>
        <w:t>响应</w:t>
      </w:r>
      <w:r>
        <w:rPr>
          <w:rFonts w:hint="eastAsia" w:ascii="宋体" w:hAnsi="宋体"/>
          <w:color w:val="000000" w:themeColor="text1"/>
          <w:kern w:val="0"/>
          <w:szCs w:val="21"/>
          <w14:textFill>
            <w14:solidFill>
              <w14:schemeClr w14:val="tx1"/>
            </w14:solidFill>
          </w14:textFill>
        </w:rPr>
        <w:t>文件的；</w:t>
      </w:r>
    </w:p>
    <w:p>
      <w:pPr>
        <w:pStyle w:val="5"/>
        <w:numPr>
          <w:ilvl w:val="0"/>
          <w:numId w:val="6"/>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r>
        <w:rPr>
          <w:rFonts w:ascii="宋体" w:hAnsi="宋体" w:cs="宋体"/>
          <w:color w:val="000000" w:themeColor="text1"/>
          <w:szCs w:val="21"/>
          <w14:textFill>
            <w14:solidFill>
              <w14:schemeClr w14:val="tx1"/>
            </w14:solidFill>
          </w14:textFill>
        </w:rPr>
        <w:t>不符合法律、法规相关规定的</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auto"/>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六、终止磋商情形</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（一）出现影响采购公正的违法、违规行为的；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（二）磋商小组发现磋商文件存在歧义、重大缺陷导致评审工作无法进行，或者磋商文件内容违反国家有关强制性规定的；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（三）因重大变故，采购任务取消的；</w:t>
      </w:r>
    </w:p>
    <w:p>
      <w:pPr>
        <w:spacing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（五）法律、法规和磋商文件规定的其他导致评审结果无效的。</w:t>
      </w:r>
    </w:p>
    <w:p>
      <w:pPr>
        <w:pStyle w:val="23"/>
        <w:snapToGrid w:val="0"/>
        <w:spacing w:line="360" w:lineRule="auto"/>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七、磋商</w:t>
      </w:r>
      <w:r>
        <w:rPr>
          <w:rFonts w:hAnsi="宋体"/>
          <w:b/>
          <w:color w:val="000000" w:themeColor="text1"/>
          <w:szCs w:val="21"/>
          <w14:textFill>
            <w14:solidFill>
              <w14:schemeClr w14:val="tx1"/>
            </w14:solidFill>
          </w14:textFill>
        </w:rPr>
        <w:t>过程的监控</w:t>
      </w:r>
    </w:p>
    <w:p>
      <w:pPr>
        <w:pStyle w:val="37"/>
        <w:spacing w:before="0" w:beforeAutospacing="0" w:after="0" w:afterAutospacing="0" w:line="360" w:lineRule="auto"/>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pPr>
        <w:pStyle w:val="37"/>
        <w:spacing w:before="0" w:beforeAutospacing="0" w:after="0" w:afterAutospacing="0" w:line="360" w:lineRule="auto"/>
        <w:ind w:firstLine="422" w:firstLineChars="200"/>
        <w:jc w:val="both"/>
        <w:rPr>
          <w:rFonts w:hint="default"/>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八、政府采购政策落实</w:t>
      </w:r>
    </w:p>
    <w:p>
      <w:pPr>
        <w:autoSpaceDE w:val="0"/>
        <w:autoSpaceDN w:val="0"/>
        <w:adjustRightInd w:val="0"/>
        <w:spacing w:line="360" w:lineRule="auto"/>
        <w:ind w:firstLine="422" w:firstLineChars="200"/>
        <w:rPr>
          <w:rFonts w:ascii="宋体" w:hAnsi="宋体"/>
          <w:b/>
          <w:bCs/>
          <w:color w:val="000000" w:themeColor="text1"/>
          <w:szCs w:val="21"/>
          <w:lang w:val="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（一）</w:t>
      </w:r>
      <w:r>
        <w:rPr>
          <w:rFonts w:hint="eastAsia" w:ascii="宋体" w:hAnsi="宋体"/>
          <w:b/>
          <w:bCs/>
          <w:color w:val="000000" w:themeColor="text1"/>
          <w:szCs w:val="21"/>
          <w:lang w:val="zh-CN"/>
          <w14:textFill>
            <w14:solidFill>
              <w14:schemeClr w14:val="tx1"/>
            </w14:solidFill>
          </w14:textFill>
        </w:rPr>
        <w:t>政府采购政策：</w:t>
      </w:r>
    </w:p>
    <w:p>
      <w:pPr>
        <w:autoSpaceDE w:val="0"/>
        <w:autoSpaceDN w:val="0"/>
        <w:adjustRightIn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本项目为专门面对中小企业项目。</w:t>
      </w:r>
    </w:p>
    <w:p>
      <w:pPr>
        <w:pStyle w:val="23"/>
        <w:snapToGrid w:val="0"/>
        <w:spacing w:line="360" w:lineRule="auto"/>
        <w:ind w:firstLine="422" w:firstLineChars="200"/>
        <w:rPr>
          <w:rFonts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九、评审</w:t>
      </w:r>
      <w:r>
        <w:rPr>
          <w:rFonts w:hAnsi="宋体"/>
          <w:b/>
          <w:bCs/>
          <w:color w:val="000000" w:themeColor="text1"/>
          <w:szCs w:val="21"/>
          <w14:textFill>
            <w14:solidFill>
              <w14:schemeClr w14:val="tx1"/>
            </w14:solidFill>
          </w14:textFill>
        </w:rPr>
        <w:t>程序</w:t>
      </w:r>
    </w:p>
    <w:p>
      <w:pPr>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w:t>
      </w:r>
      <w:r>
        <w:rPr>
          <w:rFonts w:hint="eastAsia" w:ascii="宋体" w:hAnsi="宋体" w:cs="宋体"/>
          <w:b/>
          <w:bCs/>
          <w:color w:val="000000" w:themeColor="text1"/>
          <w:szCs w:val="21"/>
          <w14:textFill>
            <w14:solidFill>
              <w14:schemeClr w14:val="tx1"/>
            </w14:solidFill>
          </w14:textFill>
        </w:rPr>
        <w:t>资格性审查</w:t>
      </w:r>
    </w:p>
    <w:p>
      <w:pPr>
        <w:pStyle w:val="17"/>
        <w:spacing w:line="360" w:lineRule="auto"/>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响应文件解密后</w:t>
      </w:r>
      <w:r>
        <w:rPr>
          <w:rFonts w:ascii="宋体" w:hAnsi="宋体"/>
          <w:color w:val="000000" w:themeColor="text1"/>
          <w:szCs w:val="21"/>
          <w14:textFill>
            <w14:solidFill>
              <w14:schemeClr w14:val="tx1"/>
            </w14:solidFill>
          </w14:textFill>
        </w:rPr>
        <w:t>，采购人或采购组织机构依法对</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的资格进行审查，对审查发现无效的进行必要的询</w:t>
      </w:r>
      <w:r>
        <w:rPr>
          <w:rFonts w:hint="eastAsia" w:ascii="宋体" w:hAnsi="宋体"/>
          <w:color w:val="000000" w:themeColor="text1"/>
          <w:szCs w:val="21"/>
          <w14:textFill>
            <w14:solidFill>
              <w14:schemeClr w14:val="tx1"/>
            </w14:solidFill>
          </w14:textFill>
        </w:rPr>
        <w:t>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在政采云平台公布</w:t>
      </w:r>
      <w:r>
        <w:rPr>
          <w:rFonts w:ascii="宋体" w:hAnsi="宋体"/>
          <w:color w:val="000000" w:themeColor="text1"/>
          <w:szCs w:val="21"/>
          <w14:textFill>
            <w14:solidFill>
              <w14:schemeClr w14:val="tx1"/>
            </w14:solidFill>
          </w14:textFill>
        </w:rPr>
        <w:t>无效</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名单、</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无效的原因。</w:t>
      </w:r>
    </w:p>
    <w:tbl>
      <w:tblPr>
        <w:tblStyle w:val="41"/>
        <w:tblpPr w:leftFromText="181" w:rightFromText="181" w:bottomFromText="170" w:vertAnchor="text" w:tblpXSpec="center" w:tblpY="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1951" w:type="dxa"/>
            <w:tcMar>
              <w:top w:w="57" w:type="dxa"/>
              <w:left w:w="108" w:type="dxa"/>
              <w:bottom w:w="0" w:type="dxa"/>
              <w:right w:w="108" w:type="dxa"/>
            </w:tcMar>
            <w:vAlign w:val="center"/>
          </w:tcPr>
          <w:p>
            <w:pPr>
              <w:pStyle w:val="94"/>
              <w:spacing w:before="1"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具有独立承担民事责任的能力</w:t>
            </w:r>
          </w:p>
        </w:tc>
        <w:tc>
          <w:tcPr>
            <w:tcW w:w="7110" w:type="dxa"/>
            <w:tcMar>
              <w:top w:w="57" w:type="dxa"/>
              <w:left w:w="108" w:type="dxa"/>
              <w:bottom w:w="0" w:type="dxa"/>
              <w:right w:w="108" w:type="dxa"/>
            </w:tcMar>
            <w:vAlign w:val="center"/>
          </w:tcPr>
          <w:p>
            <w:pPr>
              <w:pStyle w:val="94"/>
              <w:spacing w:line="300" w:lineRule="exact"/>
              <w:ind w:left="64" w:right="63"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在中华人民共和国境内注册的法人或其他组织或自然人，磋商时提交有效的营业执照（或事业法人登记证或身份证等相关证明）扫描件。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51" w:type="dxa"/>
            <w:shd w:val="clear" w:color="auto" w:fill="F6F6F6"/>
            <w:tcMar>
              <w:top w:w="57" w:type="dxa"/>
              <w:left w:w="108" w:type="dxa"/>
              <w:bottom w:w="0" w:type="dxa"/>
              <w:right w:w="108" w:type="dxa"/>
            </w:tcMar>
            <w:vAlign w:val="center"/>
          </w:tcPr>
          <w:p>
            <w:pPr>
              <w:pStyle w:val="94"/>
              <w:spacing w:before="1"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有依法缴纳税收和社会保障资金的良好记录</w:t>
            </w:r>
          </w:p>
        </w:tc>
        <w:tc>
          <w:tcPr>
            <w:tcW w:w="7110" w:type="dxa"/>
            <w:shd w:val="clear" w:color="auto" w:fill="F6F6F6"/>
            <w:tcMar>
              <w:top w:w="57" w:type="dxa"/>
              <w:left w:w="108" w:type="dxa"/>
              <w:bottom w:w="0" w:type="dxa"/>
              <w:right w:w="108" w:type="dxa"/>
            </w:tcMar>
            <w:vAlign w:val="center"/>
          </w:tcPr>
          <w:p>
            <w:pPr>
              <w:pStyle w:val="94"/>
              <w:spacing w:line="300" w:lineRule="exact"/>
              <w:ind w:left="64" w:right="6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提供磋商截止日前6个月内任意1个月依法缴纳税收和社会保障资金的相关材料。如依法免税或不需要缴纳社会保障资金的，提供相应证明材料。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951" w:type="dxa"/>
            <w:tcMar>
              <w:top w:w="57" w:type="dxa"/>
              <w:left w:w="108" w:type="dxa"/>
              <w:bottom w:w="0" w:type="dxa"/>
              <w:right w:w="108" w:type="dxa"/>
            </w:tcMar>
            <w:vAlign w:val="center"/>
          </w:tcPr>
          <w:p>
            <w:pPr>
              <w:pStyle w:val="94"/>
              <w:spacing w:before="1"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具有良好的商业信誉和健全的财务会计制度</w:t>
            </w:r>
          </w:p>
        </w:tc>
        <w:tc>
          <w:tcPr>
            <w:tcW w:w="7110" w:type="dxa"/>
            <w:tcMar>
              <w:top w:w="57" w:type="dxa"/>
              <w:left w:w="108" w:type="dxa"/>
              <w:bottom w:w="0" w:type="dxa"/>
              <w:right w:w="108" w:type="dxa"/>
            </w:tcMar>
            <w:vAlign w:val="center"/>
          </w:tcPr>
          <w:p>
            <w:pPr>
              <w:pStyle w:val="94"/>
              <w:spacing w:before="117"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提供上一年度财务状况报告或基本开户行出具的资信证明。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51" w:type="dxa"/>
            <w:shd w:val="clear" w:color="auto" w:fill="F6F6F6"/>
            <w:tcMar>
              <w:top w:w="57" w:type="dxa"/>
              <w:left w:w="108" w:type="dxa"/>
              <w:bottom w:w="0" w:type="dxa"/>
              <w:right w:w="108" w:type="dxa"/>
            </w:tcMar>
            <w:vAlign w:val="center"/>
          </w:tcPr>
          <w:p>
            <w:pPr>
              <w:pStyle w:val="94"/>
              <w:spacing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履行合同所必需的设备和专业技术能力</w:t>
            </w:r>
          </w:p>
        </w:tc>
        <w:tc>
          <w:tcPr>
            <w:tcW w:w="7110" w:type="dxa"/>
            <w:shd w:val="clear" w:color="auto" w:fill="F6F6F6"/>
            <w:tcMar>
              <w:top w:w="57" w:type="dxa"/>
              <w:left w:w="108" w:type="dxa"/>
              <w:bottom w:w="0" w:type="dxa"/>
              <w:right w:w="108" w:type="dxa"/>
            </w:tcMar>
            <w:vAlign w:val="center"/>
          </w:tcPr>
          <w:p>
            <w:pPr>
              <w:pStyle w:val="94"/>
              <w:spacing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按响应文件格式填报设备及专业技术能力情况（根据附件《供应商基本情况表》和附件《项目实施人员一览表》填报）。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1951" w:type="dxa"/>
            <w:tcMar>
              <w:top w:w="57" w:type="dxa"/>
              <w:left w:w="108" w:type="dxa"/>
              <w:bottom w:w="0" w:type="dxa"/>
              <w:right w:w="108" w:type="dxa"/>
            </w:tcMar>
            <w:vAlign w:val="center"/>
          </w:tcPr>
          <w:p>
            <w:pPr>
              <w:pStyle w:val="94"/>
              <w:spacing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参加采购活动前</w:t>
            </w:r>
            <w:r>
              <w:rPr>
                <w:rFonts w:hint="eastAsia"/>
                <w:color w:val="000000" w:themeColor="text1"/>
                <w:w w:val="110"/>
                <w:szCs w:val="21"/>
                <w14:textFill>
                  <w14:solidFill>
                    <w14:schemeClr w14:val="tx1"/>
                  </w14:solidFill>
                </w14:textFill>
              </w:rPr>
              <w:t>3</w:t>
            </w:r>
            <w:r>
              <w:rPr>
                <w:rFonts w:hint="eastAsia"/>
                <w:color w:val="000000" w:themeColor="text1"/>
                <w:szCs w:val="21"/>
                <w14:textFill>
                  <w14:solidFill>
                    <w14:schemeClr w14:val="tx1"/>
                  </w14:solidFill>
                </w14:textFill>
              </w:rPr>
              <w:t>年内，在经营活动中没有重大违法记录</w:t>
            </w:r>
          </w:p>
        </w:tc>
        <w:tc>
          <w:tcPr>
            <w:tcW w:w="7110" w:type="dxa"/>
            <w:tcMar>
              <w:top w:w="57" w:type="dxa"/>
              <w:left w:w="108" w:type="dxa"/>
              <w:bottom w:w="0" w:type="dxa"/>
              <w:right w:w="108" w:type="dxa"/>
            </w:tcMar>
            <w:vAlign w:val="center"/>
          </w:tcPr>
          <w:p>
            <w:pPr>
              <w:pStyle w:val="94"/>
              <w:spacing w:before="48" w:line="300" w:lineRule="exact"/>
              <w:ind w:left="64" w:right="63"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jc w:val="center"/>
        </w:trPr>
        <w:tc>
          <w:tcPr>
            <w:tcW w:w="1951" w:type="dxa"/>
            <w:tcMar>
              <w:top w:w="57" w:type="dxa"/>
              <w:left w:w="108" w:type="dxa"/>
              <w:bottom w:w="0" w:type="dxa"/>
              <w:right w:w="108" w:type="dxa"/>
            </w:tcMar>
            <w:vAlign w:val="center"/>
          </w:tcPr>
          <w:p>
            <w:pPr>
              <w:pStyle w:val="94"/>
              <w:spacing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供应商必须符合法律、行政法规规定的其他条件</w:t>
            </w:r>
          </w:p>
        </w:tc>
        <w:tc>
          <w:tcPr>
            <w:tcW w:w="7110" w:type="dxa"/>
            <w:tcMar>
              <w:top w:w="57" w:type="dxa"/>
              <w:left w:w="108" w:type="dxa"/>
              <w:bottom w:w="0" w:type="dxa"/>
              <w:right w:w="108" w:type="dxa"/>
            </w:tcMar>
            <w:vAlign w:val="center"/>
          </w:tcPr>
          <w:p>
            <w:pPr>
              <w:pStyle w:val="94"/>
              <w:spacing w:before="48" w:line="300" w:lineRule="exact"/>
              <w:ind w:right="62" w:firstLine="420" w:firstLineChars="200"/>
              <w:rPr>
                <w:color w:val="000000" w:themeColor="text1"/>
                <w:spacing w:val="-3"/>
                <w:szCs w:val="21"/>
                <w14:textFill>
                  <w14:solidFill>
                    <w14:schemeClr w14:val="tx1"/>
                  </w14:solidFill>
                </w14:textFill>
              </w:rPr>
            </w:pPr>
            <w:r>
              <w:rPr>
                <w:rFonts w:hint="eastAsia"/>
                <w:color w:val="000000" w:themeColor="text1"/>
                <w:szCs w:val="21"/>
                <w14:textFill>
                  <w14:solidFill>
                    <w14:schemeClr w14:val="tx1"/>
                  </w14:solidFill>
                </w14:textFill>
              </w:rPr>
              <w:t>1.单位负责人为同一人或者存在直接控股、管理关系的不同供应商，不得参加同一合同项下的政府采购活动</w:t>
            </w:r>
            <w:r>
              <w:rPr>
                <w:rFonts w:hint="eastAsia"/>
                <w:color w:val="000000" w:themeColor="text1"/>
                <w:spacing w:val="-3"/>
                <w:szCs w:val="21"/>
                <w14:textFill>
                  <w14:solidFill>
                    <w14:schemeClr w14:val="tx1"/>
                  </w14:solidFill>
                </w14:textFill>
              </w:rPr>
              <w:t>。</w:t>
            </w:r>
          </w:p>
          <w:p>
            <w:pPr>
              <w:pStyle w:val="94"/>
              <w:spacing w:before="48" w:line="300" w:lineRule="exact"/>
              <w:ind w:right="62" w:firstLine="408" w:firstLineChars="200"/>
              <w:rPr>
                <w:color w:val="000000" w:themeColor="text1"/>
                <w:szCs w:val="21"/>
                <w14:textFill>
                  <w14:solidFill>
                    <w14:schemeClr w14:val="tx1"/>
                  </w14:solidFill>
                </w14:textFill>
              </w:rPr>
            </w:pPr>
            <w:r>
              <w:rPr>
                <w:rFonts w:hint="eastAsia"/>
                <w:color w:val="000000" w:themeColor="text1"/>
                <w:spacing w:val="-3"/>
                <w:szCs w:val="21"/>
                <w14:textFill>
                  <w14:solidFill>
                    <w14:schemeClr w14:val="tx1"/>
                  </w14:solidFill>
                </w14:textFill>
              </w:rPr>
              <w:t>2.为本项目提供整体设计、规范编制或者项目管理、监理、检测等服务的供应商</w:t>
            </w:r>
            <w:r>
              <w:rPr>
                <w:rFonts w:hint="eastAsia"/>
                <w:color w:val="000000" w:themeColor="text1"/>
                <w:spacing w:val="1"/>
                <w:szCs w:val="21"/>
                <w14:textFill>
                  <w14:solidFill>
                    <w14:schemeClr w14:val="tx1"/>
                  </w14:solidFill>
                </w14:textFill>
              </w:rPr>
              <w:t>，不得再参与本项目磋商。</w:t>
            </w:r>
          </w:p>
          <w:p>
            <w:pPr>
              <w:pStyle w:val="94"/>
              <w:spacing w:before="48" w:line="300" w:lineRule="exact"/>
              <w:ind w:right="62" w:firstLine="424" w:firstLineChars="200"/>
              <w:rPr>
                <w:color w:val="000000" w:themeColor="text1"/>
                <w:szCs w:val="21"/>
                <w14:textFill>
                  <w14:solidFill>
                    <w14:schemeClr w14:val="tx1"/>
                  </w14:solidFill>
                </w14:textFill>
              </w:rPr>
            </w:pPr>
            <w:r>
              <w:rPr>
                <w:rFonts w:hint="eastAsia"/>
                <w:color w:val="000000" w:themeColor="text1"/>
                <w:spacing w:val="1"/>
                <w:szCs w:val="21"/>
                <w14:textFill>
                  <w14:solidFill>
                    <w14:schemeClr w14:val="tx1"/>
                  </w14:solidFill>
                </w14:textFill>
              </w:rPr>
              <w:t>3.</w:t>
            </w:r>
            <w:r>
              <w:rPr>
                <w:rFonts w:hint="eastAsia"/>
                <w:color w:val="000000" w:themeColor="text1"/>
                <w:szCs w:val="21"/>
                <w14:textFill>
                  <w14:solidFill>
                    <w14:schemeClr w14:val="tx1"/>
                  </w14:solidFill>
                </w14:textFill>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951" w:type="dxa"/>
            <w:tcMar>
              <w:top w:w="57" w:type="dxa"/>
              <w:left w:w="108" w:type="dxa"/>
              <w:bottom w:w="0" w:type="dxa"/>
              <w:right w:w="108" w:type="dxa"/>
            </w:tcMar>
            <w:vAlign w:val="center"/>
          </w:tcPr>
          <w:p>
            <w:pPr>
              <w:pStyle w:val="94"/>
              <w:spacing w:before="48" w:line="300" w:lineRule="exact"/>
              <w:ind w:right="62"/>
              <w:rPr>
                <w:color w:val="000000" w:themeColor="text1"/>
                <w:spacing w:val="-3"/>
                <w:szCs w:val="21"/>
                <w14:textFill>
                  <w14:solidFill>
                    <w14:schemeClr w14:val="tx1"/>
                  </w14:solidFill>
                </w14:textFill>
              </w:rPr>
            </w:pPr>
            <w:r>
              <w:rPr>
                <w:rFonts w:hint="eastAsia"/>
                <w:color w:val="000000" w:themeColor="text1"/>
                <w:spacing w:val="-3"/>
                <w:szCs w:val="21"/>
                <w14:textFill>
                  <w14:solidFill>
                    <w14:schemeClr w14:val="tx1"/>
                  </w14:solidFill>
                </w14:textFill>
              </w:rPr>
              <w:t>联合体参与磋商</w:t>
            </w:r>
          </w:p>
        </w:tc>
        <w:tc>
          <w:tcPr>
            <w:tcW w:w="7110" w:type="dxa"/>
            <w:tcMar>
              <w:top w:w="57" w:type="dxa"/>
              <w:left w:w="108" w:type="dxa"/>
              <w:bottom w:w="0" w:type="dxa"/>
              <w:right w:w="108" w:type="dxa"/>
            </w:tcMar>
            <w:vAlign w:val="center"/>
          </w:tcPr>
          <w:p>
            <w:pPr>
              <w:pStyle w:val="94"/>
              <w:spacing w:before="48" w:line="300" w:lineRule="exact"/>
              <w:ind w:right="62" w:firstLine="408" w:firstLineChars="200"/>
              <w:rPr>
                <w:color w:val="000000" w:themeColor="text1"/>
                <w:spacing w:val="-3"/>
                <w:szCs w:val="21"/>
                <w14:textFill>
                  <w14:solidFill>
                    <w14:schemeClr w14:val="tx1"/>
                  </w14:solidFill>
                </w14:textFill>
              </w:rPr>
            </w:pPr>
            <w:r>
              <w:rPr>
                <w:rFonts w:hint="eastAsia"/>
                <w:color w:val="000000" w:themeColor="text1"/>
                <w:spacing w:val="-3"/>
                <w:szCs w:val="21"/>
                <w14:textFill>
                  <w14:solidFill>
                    <w14:schemeClr w14:val="tx1"/>
                  </w14:solidFill>
                </w14:textFill>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951" w:type="dxa"/>
            <w:tcMar>
              <w:top w:w="57" w:type="dxa"/>
              <w:left w:w="108" w:type="dxa"/>
              <w:bottom w:w="0" w:type="dxa"/>
              <w:right w:w="108" w:type="dxa"/>
            </w:tcMar>
            <w:vAlign w:val="center"/>
          </w:tcPr>
          <w:p>
            <w:pPr>
              <w:pStyle w:val="94"/>
              <w:spacing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资质</w:t>
            </w:r>
          </w:p>
        </w:tc>
        <w:tc>
          <w:tcPr>
            <w:tcW w:w="7110" w:type="dxa"/>
            <w:shd w:val="clear" w:color="auto" w:fill="auto"/>
            <w:tcMar>
              <w:top w:w="57" w:type="dxa"/>
              <w:left w:w="108" w:type="dxa"/>
              <w:bottom w:w="0" w:type="dxa"/>
              <w:right w:w="108" w:type="dxa"/>
            </w:tcMar>
            <w:vAlign w:val="center"/>
          </w:tcPr>
          <w:p>
            <w:pPr>
              <w:pStyle w:val="94"/>
              <w:spacing w:before="48"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（1）具有公路工程施工总承包三级及以上资质等级；</w:t>
            </w:r>
          </w:p>
          <w:p>
            <w:pPr>
              <w:pStyle w:val="94"/>
              <w:spacing w:before="48"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（2）要求拟派项目负责人具有公路工程注册建造师二级及以上，无在建工程；</w:t>
            </w:r>
          </w:p>
          <w:p>
            <w:pPr>
              <w:pStyle w:val="94"/>
              <w:spacing w:before="48"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（3）具有有效的企业《安全生产许可证》；</w:t>
            </w:r>
          </w:p>
          <w:p>
            <w:pPr>
              <w:pStyle w:val="94"/>
              <w:spacing w:before="48"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（4）项目负责人的《项目负责人建造师注册证书》、《安全生产考核合格证》；</w:t>
            </w:r>
          </w:p>
          <w:p>
            <w:pPr>
              <w:pStyle w:val="94"/>
              <w:spacing w:before="48"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（5）浙江省省外的投标人须提供有效的《省外企业进浙承接业务备案表》。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51" w:type="dxa"/>
            <w:tcMar>
              <w:top w:w="57" w:type="dxa"/>
              <w:left w:w="108" w:type="dxa"/>
              <w:bottom w:w="0" w:type="dxa"/>
              <w:right w:w="108" w:type="dxa"/>
            </w:tcMar>
            <w:vAlign w:val="center"/>
          </w:tcPr>
          <w:p>
            <w:pPr>
              <w:pStyle w:val="94"/>
              <w:spacing w:before="48"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7110" w:type="dxa"/>
            <w:tcMar>
              <w:top w:w="57" w:type="dxa"/>
              <w:left w:w="108" w:type="dxa"/>
              <w:bottom w:w="0" w:type="dxa"/>
              <w:right w:w="108" w:type="dxa"/>
            </w:tcMar>
            <w:vAlign w:val="center"/>
          </w:tcPr>
          <w:p>
            <w:pPr>
              <w:pStyle w:val="94"/>
              <w:spacing w:before="48"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本项目为专门面对中小企业项目。提供中小企业声明函。</w:t>
            </w:r>
          </w:p>
        </w:tc>
      </w:tr>
    </w:tbl>
    <w:p>
      <w:pPr>
        <w:pStyle w:val="17"/>
        <w:spacing w:line="360" w:lineRule="auto"/>
        <w:ind w:firstLine="420" w:firstLineChars="200"/>
        <w:jc w:val="both"/>
        <w:rPr>
          <w:rFonts w:ascii="宋体" w:hAnsi="宋体"/>
          <w:color w:val="000000" w:themeColor="text1"/>
          <w:szCs w:val="21"/>
          <w14:textFill>
            <w14:solidFill>
              <w14:schemeClr w14:val="tx1"/>
            </w14:solidFill>
          </w14:textFill>
        </w:rPr>
      </w:pPr>
    </w:p>
    <w:p>
      <w:pPr>
        <w:pStyle w:val="17"/>
        <w:spacing w:line="360" w:lineRule="auto"/>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ascii="宋体" w:hAnsi="宋体"/>
          <w:color w:val="000000" w:themeColor="text1"/>
          <w:szCs w:val="21"/>
          <w14:textFill>
            <w14:solidFill>
              <w14:schemeClr w14:val="tx1"/>
            </w14:solidFill>
          </w14:textFill>
        </w:rPr>
        <w:t>符合性审查</w:t>
      </w:r>
    </w:p>
    <w:p>
      <w:pPr>
        <w:pStyle w:val="17"/>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应当对符合资格的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进行符合性审查，以确定其是否满足</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的实质性要求，对审查发现无效的进行必要的询</w:t>
      </w:r>
      <w:r>
        <w:rPr>
          <w:rFonts w:hint="eastAsia" w:ascii="宋体" w:hAnsi="宋体"/>
          <w:color w:val="000000" w:themeColor="text1"/>
          <w:szCs w:val="21"/>
          <w14:textFill>
            <w14:solidFill>
              <w14:schemeClr w14:val="tx1"/>
            </w14:solidFill>
          </w14:textFill>
        </w:rPr>
        <w:t>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无效</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名单</w:t>
      </w:r>
      <w:r>
        <w:rPr>
          <w:rFonts w:hint="eastAsia" w:ascii="宋体" w:hAnsi="宋体"/>
          <w:color w:val="000000" w:themeColor="text1"/>
          <w:szCs w:val="21"/>
          <w14:textFill>
            <w14:solidFill>
              <w14:schemeClr w14:val="tx1"/>
            </w14:solidFill>
          </w14:textFill>
        </w:rPr>
        <w:t>及响应</w:t>
      </w:r>
      <w:r>
        <w:rPr>
          <w:rFonts w:ascii="宋体" w:hAnsi="宋体"/>
          <w:color w:val="000000" w:themeColor="text1"/>
          <w:szCs w:val="21"/>
          <w14:textFill>
            <w14:solidFill>
              <w14:schemeClr w14:val="tx1"/>
            </w14:solidFill>
          </w14:textFill>
        </w:rPr>
        <w:t>无效原因</w:t>
      </w:r>
      <w:r>
        <w:rPr>
          <w:rFonts w:hint="eastAsia" w:ascii="宋体" w:hAnsi="宋体"/>
          <w:color w:val="000000" w:themeColor="text1"/>
          <w:szCs w:val="21"/>
          <w14:textFill>
            <w14:solidFill>
              <w14:schemeClr w14:val="tx1"/>
            </w14:solidFill>
          </w14:textFill>
        </w:rPr>
        <w:t>的公布方式同上。</w:t>
      </w:r>
    </w:p>
    <w:tbl>
      <w:tblPr>
        <w:tblStyle w:val="41"/>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pPr>
              <w:pStyle w:val="94"/>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w:t>
            </w:r>
          </w:p>
        </w:tc>
        <w:tc>
          <w:tcPr>
            <w:tcW w:w="7340" w:type="dxa"/>
            <w:tcMar>
              <w:top w:w="57" w:type="dxa"/>
              <w:left w:w="108" w:type="dxa"/>
              <w:bottom w:w="0" w:type="dxa"/>
              <w:right w:w="108" w:type="dxa"/>
            </w:tcMar>
            <w:vAlign w:val="center"/>
          </w:tcPr>
          <w:p>
            <w:pPr>
              <w:pStyle w:val="9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702" w:type="dxa"/>
            <w:shd w:val="clear" w:color="auto" w:fill="F6F6F6"/>
            <w:tcMar>
              <w:top w:w="57" w:type="dxa"/>
              <w:left w:w="108" w:type="dxa"/>
              <w:bottom w:w="0" w:type="dxa"/>
              <w:right w:w="108" w:type="dxa"/>
            </w:tcMar>
            <w:vAlign w:val="center"/>
          </w:tcPr>
          <w:p>
            <w:pPr>
              <w:pStyle w:val="94"/>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w:t>
            </w:r>
          </w:p>
        </w:tc>
        <w:tc>
          <w:tcPr>
            <w:tcW w:w="7340" w:type="dxa"/>
            <w:shd w:val="clear" w:color="auto" w:fill="F6F6F6"/>
            <w:tcMar>
              <w:top w:w="57" w:type="dxa"/>
              <w:left w:w="108" w:type="dxa"/>
              <w:bottom w:w="0" w:type="dxa"/>
              <w:right w:w="108" w:type="dxa"/>
            </w:tcMar>
            <w:vAlign w:val="center"/>
          </w:tcPr>
          <w:p>
            <w:pPr>
              <w:pStyle w:val="9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pPr>
              <w:pStyle w:val="94"/>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w:t>
            </w:r>
          </w:p>
        </w:tc>
        <w:tc>
          <w:tcPr>
            <w:tcW w:w="7340" w:type="dxa"/>
            <w:tcMar>
              <w:top w:w="57" w:type="dxa"/>
              <w:left w:w="108" w:type="dxa"/>
              <w:bottom w:w="0" w:type="dxa"/>
              <w:right w:w="108" w:type="dxa"/>
            </w:tcMar>
            <w:vAlign w:val="center"/>
          </w:tcPr>
          <w:p>
            <w:pPr>
              <w:pStyle w:val="9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pPr>
              <w:pStyle w:val="94"/>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附加条件</w:t>
            </w:r>
          </w:p>
        </w:tc>
        <w:tc>
          <w:tcPr>
            <w:tcW w:w="7340" w:type="dxa"/>
            <w:tcMar>
              <w:top w:w="57" w:type="dxa"/>
              <w:left w:w="108" w:type="dxa"/>
              <w:bottom w:w="0" w:type="dxa"/>
              <w:right w:w="108" w:type="dxa"/>
            </w:tcMar>
            <w:vAlign w:val="center"/>
          </w:tcPr>
          <w:p>
            <w:pPr>
              <w:pStyle w:val="9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响应文件未含有采购人不可接受的附加条件。</w:t>
            </w:r>
          </w:p>
        </w:tc>
      </w:tr>
    </w:tbl>
    <w:p>
      <w:pPr>
        <w:autoSpaceDE w:val="0"/>
        <w:autoSpaceDN w:val="0"/>
        <w:spacing w:line="360" w:lineRule="auto"/>
        <w:ind w:firstLine="422" w:firstLineChars="200"/>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（三）</w:t>
      </w:r>
      <w:r>
        <w:rPr>
          <w:rFonts w:hint="eastAsia" w:ascii="宋体" w:hAnsi="宋体"/>
          <w:b/>
          <w:bCs/>
          <w:color w:val="000000" w:themeColor="text1"/>
          <w:szCs w:val="21"/>
          <w14:textFill>
            <w14:solidFill>
              <w14:schemeClr w14:val="tx1"/>
            </w14:solidFill>
          </w14:textFill>
        </w:rPr>
        <w:t>商务技术及价格评审</w:t>
      </w:r>
    </w:p>
    <w:p>
      <w:pPr>
        <w:autoSpaceDE w:val="0"/>
        <w:autoSpaceDN w:val="0"/>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1 </w:t>
      </w:r>
      <w:r>
        <w:rPr>
          <w:rFonts w:hint="eastAsia" w:ascii="宋体" w:hAnsi="宋体"/>
          <w:color w:val="000000" w:themeColor="text1"/>
          <w:kern w:val="0"/>
          <w:szCs w:val="21"/>
          <w14:textFill>
            <w14:solidFill>
              <w14:schemeClr w14:val="tx1"/>
            </w14:solidFill>
          </w14:textFill>
        </w:rPr>
        <w:t>标项项目评审方法为综合评分法，总计100分，</w:t>
      </w:r>
      <w:r>
        <w:rPr>
          <w:rFonts w:hint="eastAsia" w:ascii="宋体" w:hAnsi="宋体"/>
          <w:b/>
          <w:bCs/>
          <w:color w:val="000000" w:themeColor="text1"/>
          <w:kern w:val="0"/>
          <w:szCs w:val="21"/>
          <w14:textFill>
            <w14:solidFill>
              <w14:schemeClr w14:val="tx1"/>
            </w14:solidFill>
          </w14:textFill>
        </w:rPr>
        <w:t>磋商报价分</w:t>
      </w:r>
      <w:r>
        <w:rPr>
          <w:rFonts w:hint="eastAsia" w:ascii="宋体" w:hAnsi="宋体"/>
          <w:b/>
          <w:bCs/>
          <w:color w:val="000000" w:themeColor="text1"/>
          <w:kern w:val="0"/>
          <w:szCs w:val="21"/>
          <w:lang w:val="en-US" w:eastAsia="zh-CN"/>
          <w14:textFill>
            <w14:solidFill>
              <w14:schemeClr w14:val="tx1"/>
            </w14:solidFill>
          </w14:textFill>
        </w:rPr>
        <w:t>4</w:t>
      </w:r>
      <w:r>
        <w:rPr>
          <w:rFonts w:ascii="宋体" w:hAnsi="宋体"/>
          <w:b/>
          <w:bCs/>
          <w:color w:val="000000" w:themeColor="text1"/>
          <w:kern w:val="0"/>
          <w:szCs w:val="21"/>
          <w14:textFill>
            <w14:solidFill>
              <w14:schemeClr w14:val="tx1"/>
            </w14:solidFill>
          </w14:textFill>
        </w:rPr>
        <w:t>0</w:t>
      </w:r>
      <w:r>
        <w:rPr>
          <w:rFonts w:hint="eastAsia" w:ascii="宋体" w:hAnsi="宋体"/>
          <w:b/>
          <w:bCs/>
          <w:color w:val="000000" w:themeColor="text1"/>
          <w:kern w:val="0"/>
          <w:szCs w:val="21"/>
          <w14:textFill>
            <w14:solidFill>
              <w14:schemeClr w14:val="tx1"/>
            </w14:solidFill>
          </w14:textFill>
        </w:rPr>
        <w:t>分、磋商技术分</w:t>
      </w:r>
      <w:r>
        <w:rPr>
          <w:rFonts w:hint="eastAsia" w:ascii="宋体" w:hAnsi="宋体"/>
          <w:b/>
          <w:bCs/>
          <w:color w:val="000000" w:themeColor="text1"/>
          <w:kern w:val="0"/>
          <w:szCs w:val="21"/>
          <w:lang w:val="en-US" w:eastAsia="zh-CN"/>
          <w14:textFill>
            <w14:solidFill>
              <w14:schemeClr w14:val="tx1"/>
            </w14:solidFill>
          </w14:textFill>
        </w:rPr>
        <w:t>6</w:t>
      </w:r>
      <w:r>
        <w:rPr>
          <w:rFonts w:ascii="宋体" w:hAnsi="宋体"/>
          <w:b/>
          <w:bCs/>
          <w:color w:val="000000" w:themeColor="text1"/>
          <w:kern w:val="0"/>
          <w:szCs w:val="21"/>
          <w14:textFill>
            <w14:solidFill>
              <w14:schemeClr w14:val="tx1"/>
            </w14:solidFill>
          </w14:textFill>
        </w:rPr>
        <w:t>0</w:t>
      </w:r>
      <w:r>
        <w:rPr>
          <w:rFonts w:hint="eastAsia" w:ascii="宋体" w:hAnsi="宋体"/>
          <w:b/>
          <w:bCs/>
          <w:color w:val="000000" w:themeColor="text1"/>
          <w:kern w:val="0"/>
          <w:szCs w:val="21"/>
          <w14:textFill>
            <w14:solidFill>
              <w14:schemeClr w14:val="tx1"/>
            </w14:solidFill>
          </w14:textFill>
        </w:rPr>
        <w:t>分</w:t>
      </w:r>
      <w:r>
        <w:rPr>
          <w:rFonts w:hint="eastAsia" w:ascii="宋体" w:hAnsi="宋体"/>
          <w:color w:val="000000" w:themeColor="text1"/>
          <w:kern w:val="0"/>
          <w:szCs w:val="21"/>
          <w14:textFill>
            <w14:solidFill>
              <w14:schemeClr w14:val="tx1"/>
            </w14:solidFill>
          </w14:textFill>
        </w:rPr>
        <w:t>，评</w:t>
      </w:r>
      <w:r>
        <w:rPr>
          <w:rFonts w:hint="eastAsia" w:ascii="宋体" w:hAnsi="宋体"/>
          <w:color w:val="000000" w:themeColor="text1"/>
          <w:szCs w:val="21"/>
          <w14:textFill>
            <w14:solidFill>
              <w14:schemeClr w14:val="tx1"/>
            </w14:solidFill>
          </w14:textFill>
        </w:rPr>
        <w:t>审</w:t>
      </w:r>
      <w:r>
        <w:rPr>
          <w:rFonts w:hint="eastAsia" w:ascii="宋体" w:hAnsi="宋体"/>
          <w:color w:val="000000" w:themeColor="text1"/>
          <w:kern w:val="0"/>
          <w:szCs w:val="21"/>
          <w14:textFill>
            <w14:solidFill>
              <w14:schemeClr w14:val="tx1"/>
            </w14:solidFill>
          </w14:textFill>
        </w:rPr>
        <w:t>按以下标准及要求进行：</w:t>
      </w:r>
    </w:p>
    <w:p>
      <w:pPr>
        <w:numPr>
          <w:ilvl w:val="0"/>
          <w:numId w:val="7"/>
        </w:numPr>
        <w:autoSpaceDE w:val="0"/>
        <w:autoSpaceDN w:val="0"/>
        <w:adjustRightInd w:val="0"/>
        <w:ind w:right="85"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评分标准</w:t>
      </w:r>
    </w:p>
    <w:tbl>
      <w:tblPr>
        <w:tblStyle w:val="41"/>
        <w:tblpPr w:leftFromText="180" w:rightFromText="180" w:vertAnchor="text" w:horzAnchor="page" w:tblpX="1194" w:tblpY="360"/>
        <w:tblOverlap w:val="never"/>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326"/>
        <w:gridCol w:w="680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序号</w:t>
            </w:r>
          </w:p>
        </w:tc>
        <w:tc>
          <w:tcPr>
            <w:tcW w:w="132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评审内容</w:t>
            </w:r>
          </w:p>
        </w:tc>
        <w:tc>
          <w:tcPr>
            <w:tcW w:w="68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评分细则</w:t>
            </w:r>
          </w:p>
        </w:tc>
        <w:tc>
          <w:tcPr>
            <w:tcW w:w="8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1</w:t>
            </w:r>
          </w:p>
        </w:tc>
        <w:tc>
          <w:tcPr>
            <w:tcW w:w="132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企业类似业绩</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投标人自2019年1月1日（含）以来（以合同签订时间为准）具有类似项目（公路工程）业绩的，每个得0.5分，最多得</w:t>
            </w:r>
            <w:r>
              <w:rPr>
                <w:rFonts w:hint="eastAsia" w:cs="宋体"/>
                <w:color w:val="000000" w:themeColor="text1"/>
                <w:sz w:val="21"/>
                <w:szCs w:val="21"/>
                <w:lang w:val="en-US" w:eastAsia="zh-CN"/>
                <w14:textFill>
                  <w14:solidFill>
                    <w14:schemeClr w14:val="tx1"/>
                  </w14:solidFill>
                </w14:textFill>
              </w:rPr>
              <w:t>2</w:t>
            </w:r>
            <w:r>
              <w:rPr>
                <w:rFonts w:cs="宋体"/>
                <w:color w:val="000000" w:themeColor="text1"/>
                <w:sz w:val="21"/>
                <w:szCs w:val="21"/>
                <w14:textFill>
                  <w14:solidFill>
                    <w14:schemeClr w14:val="tx1"/>
                  </w14:solidFill>
                </w14:textFill>
              </w:rPr>
              <w:t>分。</w:t>
            </w:r>
          </w:p>
          <w:p>
            <w:pPr>
              <w:pStyle w:val="37"/>
              <w:widowControl w:val="0"/>
              <w:spacing w:before="0" w:beforeAutospacing="0" w:after="0" w:afterAutospacing="0" w:line="300" w:lineRule="exact"/>
              <w:jc w:val="both"/>
              <w:rPr>
                <w:rFonts w:hint="default" w:cs="宋体"/>
                <w:b/>
                <w:color w:val="000000" w:themeColor="text1"/>
                <w:kern w:val="2"/>
                <w:sz w:val="21"/>
                <w:szCs w:val="21"/>
                <w:lang w:bidi="ar"/>
                <w14:textFill>
                  <w14:solidFill>
                    <w14:schemeClr w14:val="tx1"/>
                  </w14:solidFill>
                </w14:textFill>
              </w:rPr>
            </w:pPr>
            <w:r>
              <w:rPr>
                <w:rFonts w:cs="宋体"/>
                <w:b/>
                <w:bCs/>
                <w:color w:val="000000" w:themeColor="text1"/>
                <w:sz w:val="21"/>
                <w:szCs w:val="21"/>
                <w14:textFill>
                  <w14:solidFill>
                    <w14:schemeClr w14:val="tx1"/>
                  </w14:solidFill>
                </w14:textFill>
              </w:rPr>
              <w:t>（提供合同、</w:t>
            </w:r>
            <w:r>
              <w:rPr>
                <w:rFonts w:hint="default" w:cs="宋体"/>
                <w:b/>
                <w:bCs/>
                <w:color w:val="000000" w:themeColor="text1"/>
                <w:sz w:val="21"/>
                <w:szCs w:val="21"/>
                <w14:textFill>
                  <w14:solidFill>
                    <w14:schemeClr w14:val="tx1"/>
                  </w14:solidFill>
                </w14:textFill>
              </w:rPr>
              <w:t>中标通知书、竣工验收证明资料</w:t>
            </w:r>
            <w:r>
              <w:rPr>
                <w:rFonts w:cs="宋体"/>
                <w:b/>
                <w:bCs/>
                <w:color w:val="000000" w:themeColor="text1"/>
                <w:sz w:val="21"/>
                <w:szCs w:val="21"/>
                <w14:textFill>
                  <w14:solidFill>
                    <w14:schemeClr w14:val="tx1"/>
                  </w14:solidFill>
                </w14:textFill>
              </w:rPr>
              <w:t>扫描件加盖</w:t>
            </w:r>
            <w:r>
              <w:rPr>
                <w:rFonts w:hint="default" w:cs="宋体"/>
                <w:b/>
                <w:bCs/>
                <w:color w:val="000000" w:themeColor="text1"/>
                <w:sz w:val="21"/>
                <w:szCs w:val="21"/>
                <w14:textFill>
                  <w14:solidFill>
                    <w14:schemeClr w14:val="tx1"/>
                  </w14:solidFill>
                </w14:textFill>
              </w:rPr>
              <w:t>公章</w:t>
            </w:r>
            <w:r>
              <w:rPr>
                <w:rFonts w:cs="宋体"/>
                <w:b/>
                <w:bCs/>
                <w:color w:val="000000" w:themeColor="text1"/>
                <w:sz w:val="21"/>
                <w:szCs w:val="21"/>
                <w14:textFill>
                  <w14:solidFill>
                    <w14:schemeClr w14:val="tx1"/>
                  </w14:solidFill>
                </w14:textFill>
              </w:rPr>
              <w:t>，否则不得分</w:t>
            </w:r>
            <w:r>
              <w:rPr>
                <w:rFonts w:hint="default" w:cs="宋体"/>
                <w:b/>
                <w:bCs/>
                <w:color w:val="000000" w:themeColor="text1"/>
                <w:sz w:val="21"/>
                <w:szCs w:val="21"/>
                <w14:textFill>
                  <w14:solidFill>
                    <w14:schemeClr w14:val="tx1"/>
                  </w14:solidFill>
                </w14:textFill>
              </w:rPr>
              <w:t>，三者缺一不可</w:t>
            </w:r>
            <w:r>
              <w:rPr>
                <w:rFonts w:cs="宋体"/>
                <w:b/>
                <w:bCs/>
                <w:color w:val="000000" w:themeColor="text1"/>
                <w:sz w:val="21"/>
                <w:szCs w:val="21"/>
                <w14:textFill>
                  <w14:solidFill>
                    <w14:schemeClr w14:val="tx1"/>
                  </w14:solidFill>
                </w14:textFill>
              </w:rPr>
              <w:t>，</w:t>
            </w:r>
            <w:r>
              <w:rPr>
                <w:rFonts w:hint="default" w:cs="宋体"/>
                <w:b/>
                <w:bCs/>
                <w:color w:val="000000" w:themeColor="text1"/>
                <w:sz w:val="21"/>
                <w:szCs w:val="21"/>
                <w14:textFill>
                  <w14:solidFill>
                    <w14:schemeClr w14:val="tx1"/>
                  </w14:solidFill>
                </w14:textFill>
              </w:rPr>
              <w:t>未按要求提供的不得分</w:t>
            </w:r>
            <w:r>
              <w:rPr>
                <w:rFonts w:cs="宋体"/>
                <w:b/>
                <w:bCs/>
                <w:color w:val="000000" w:themeColor="text1"/>
                <w:sz w:val="21"/>
                <w:szCs w:val="21"/>
                <w14:textFill>
                  <w14:solidFill>
                    <w14:schemeClr w14:val="tx1"/>
                  </w14:solidFill>
                </w14:textFill>
              </w:rPr>
              <w:t>）</w:t>
            </w:r>
          </w:p>
        </w:tc>
        <w:tc>
          <w:tcPr>
            <w:tcW w:w="8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val="en-US" w:eastAsia="zh-CN" w:bidi="ar"/>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24" w:type="dxa"/>
            <w:vMerge w:val="restart"/>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ascii="宋体" w:hAnsi="宋体" w:cs="宋体"/>
                <w:bCs/>
                <w:color w:val="000000" w:themeColor="text1"/>
                <w:szCs w:val="21"/>
                <w:lang w:bidi="ar"/>
                <w14:textFill>
                  <w14:solidFill>
                    <w14:schemeClr w14:val="tx1"/>
                  </w14:solidFill>
                </w14:textFill>
              </w:rPr>
              <w:t>2</w:t>
            </w:r>
          </w:p>
        </w:tc>
        <w:tc>
          <w:tcPr>
            <w:tcW w:w="1326" w:type="dxa"/>
            <w:vMerge w:val="restart"/>
            <w:tcBorders>
              <w:left w:val="single" w:color="auto" w:sz="4" w:space="0"/>
              <w:right w:val="single" w:color="auto" w:sz="4" w:space="0"/>
            </w:tcBorders>
            <w:vAlign w:val="center"/>
          </w:tcPr>
          <w:p>
            <w:pPr>
              <w:pStyle w:val="100"/>
              <w:spacing w:line="288"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项目组成员</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拟派项目负责人具有公路工程</w:t>
            </w:r>
            <w:r>
              <w:rPr>
                <w:rFonts w:hint="default" w:cs="宋体"/>
                <w:color w:val="000000" w:themeColor="text1"/>
                <w:sz w:val="21"/>
                <w:szCs w:val="21"/>
                <w14:textFill>
                  <w14:solidFill>
                    <w14:schemeClr w14:val="tx1"/>
                  </w14:solidFill>
                </w14:textFill>
              </w:rPr>
              <w:t>类</w:t>
            </w:r>
            <w:r>
              <w:rPr>
                <w:rFonts w:cs="宋体"/>
                <w:color w:val="000000" w:themeColor="text1"/>
                <w:sz w:val="21"/>
                <w:szCs w:val="21"/>
                <w14:textFill>
                  <w14:solidFill>
                    <w14:schemeClr w14:val="tx1"/>
                  </w14:solidFill>
                </w14:textFill>
              </w:rPr>
              <w:t>专业中级及以上工程师职称的，得2分。</w:t>
            </w:r>
          </w:p>
          <w:p>
            <w:pPr>
              <w:pStyle w:val="37"/>
              <w:widowControl w:val="0"/>
              <w:spacing w:before="0" w:beforeAutospacing="0" w:after="0" w:afterAutospacing="0" w:line="300" w:lineRule="exact"/>
              <w:jc w:val="both"/>
              <w:rPr>
                <w:rFonts w:hint="default" w:cs="宋体"/>
                <w:b/>
                <w:color w:val="000000" w:themeColor="text1"/>
                <w:sz w:val="21"/>
                <w:szCs w:val="21"/>
                <w14:textFill>
                  <w14:solidFill>
                    <w14:schemeClr w14:val="tx1"/>
                  </w14:solidFill>
                </w14:textFill>
              </w:rPr>
            </w:pPr>
            <w:r>
              <w:rPr>
                <w:rFonts w:cs="宋体"/>
                <w:b/>
                <w:color w:val="000000" w:themeColor="text1"/>
                <w:sz w:val="21"/>
                <w:szCs w:val="21"/>
                <w14:textFill>
                  <w14:solidFill>
                    <w14:schemeClr w14:val="tx1"/>
                  </w14:solidFill>
                </w14:textFill>
              </w:rPr>
              <w:t>（提供证书扫描件</w:t>
            </w:r>
            <w:r>
              <w:rPr>
                <w:rFonts w:cs="宋体"/>
                <w:b/>
                <w:bCs/>
                <w:color w:val="000000" w:themeColor="text1"/>
                <w:sz w:val="21"/>
                <w:szCs w:val="21"/>
                <w14:textFill>
                  <w14:solidFill>
                    <w14:schemeClr w14:val="tx1"/>
                  </w14:solidFill>
                </w14:textFill>
              </w:rPr>
              <w:t>加盖</w:t>
            </w:r>
            <w:r>
              <w:rPr>
                <w:rFonts w:hint="default" w:cs="宋体"/>
                <w:b/>
                <w:bCs/>
                <w:color w:val="000000" w:themeColor="text1"/>
                <w:sz w:val="21"/>
                <w:szCs w:val="21"/>
                <w14:textFill>
                  <w14:solidFill>
                    <w14:schemeClr w14:val="tx1"/>
                  </w14:solidFill>
                </w14:textFill>
              </w:rPr>
              <w:t>公章</w:t>
            </w:r>
            <w:r>
              <w:rPr>
                <w:rFonts w:cs="宋体"/>
                <w:b/>
                <w:color w:val="000000" w:themeColor="text1"/>
                <w:sz w:val="21"/>
                <w:szCs w:val="21"/>
                <w14:textFill>
                  <w14:solidFill>
                    <w14:schemeClr w14:val="tx1"/>
                  </w14:solidFill>
                </w14:textFill>
              </w:rPr>
              <w:t>，且须提供上述人员由社保部门出具的开标时间前连续三个月在本单位社保缴纳证明）</w:t>
            </w:r>
          </w:p>
        </w:tc>
        <w:tc>
          <w:tcPr>
            <w:tcW w:w="849" w:type="dxa"/>
            <w:tcBorders>
              <w:top w:val="single" w:color="auto" w:sz="4" w:space="0"/>
              <w:left w:val="single" w:color="auto" w:sz="4" w:space="0"/>
              <w:bottom w:val="single" w:color="auto" w:sz="4" w:space="0"/>
              <w:right w:val="single" w:color="auto" w:sz="4" w:space="0"/>
            </w:tcBorders>
            <w:vAlign w:val="center"/>
          </w:tcPr>
          <w:p>
            <w:pPr>
              <w:pStyle w:val="100"/>
              <w:spacing w:line="288" w:lineRule="auto"/>
              <w:jc w:val="center"/>
              <w:rPr>
                <w:color w:val="000000" w:themeColor="text1"/>
                <w:sz w:val="21"/>
                <w:szCs w:val="21"/>
                <w:lang w:val="en-US" w:eastAsia="zh-CN"/>
                <w14:textFill>
                  <w14:solidFill>
                    <w14:schemeClr w14:val="tx1"/>
                  </w14:solidFill>
                </w14:textFill>
              </w:rPr>
            </w:pPr>
            <w:r>
              <w:rPr>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24" w:type="dxa"/>
            <w:vMerge w:val="continue"/>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p>
        </w:tc>
        <w:tc>
          <w:tcPr>
            <w:tcW w:w="1326" w:type="dxa"/>
            <w:vMerge w:val="continue"/>
            <w:tcBorders>
              <w:left w:val="single" w:color="auto" w:sz="4" w:space="0"/>
              <w:right w:val="single" w:color="auto" w:sz="4" w:space="0"/>
            </w:tcBorders>
            <w:vAlign w:val="center"/>
          </w:tcPr>
          <w:p>
            <w:pPr>
              <w:pStyle w:val="100"/>
              <w:spacing w:line="288" w:lineRule="auto"/>
              <w:jc w:val="center"/>
              <w:rPr>
                <w:color w:val="000000" w:themeColor="text1"/>
                <w:sz w:val="21"/>
                <w:szCs w:val="21"/>
                <w14:textFill>
                  <w14:solidFill>
                    <w14:schemeClr w14:val="tx1"/>
                  </w14:solidFill>
                </w14:textFill>
              </w:rPr>
            </w:pPr>
          </w:p>
        </w:tc>
        <w:tc>
          <w:tcPr>
            <w:tcW w:w="6808" w:type="dxa"/>
            <w:tcBorders>
              <w:top w:val="single" w:color="auto" w:sz="4" w:space="0"/>
              <w:left w:val="single" w:color="auto" w:sz="4" w:space="0"/>
              <w:right w:val="single" w:color="auto" w:sz="4" w:space="0"/>
            </w:tcBorders>
            <w:vAlign w:val="center"/>
          </w:tcPr>
          <w:p>
            <w:pPr>
              <w:pStyle w:val="37"/>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拟派项目</w:t>
            </w:r>
            <w:r>
              <w:rPr>
                <w:rFonts w:hint="eastAsia" w:cs="宋体"/>
                <w:color w:val="000000" w:themeColor="text1"/>
                <w:sz w:val="21"/>
                <w:szCs w:val="21"/>
                <w:lang w:eastAsia="zh-CN"/>
                <w14:textFill>
                  <w14:solidFill>
                    <w14:schemeClr w14:val="tx1"/>
                  </w14:solidFill>
                </w14:textFill>
              </w:rPr>
              <w:t>总工</w:t>
            </w:r>
            <w:r>
              <w:rPr>
                <w:rFonts w:cs="宋体"/>
                <w:color w:val="000000" w:themeColor="text1"/>
                <w:sz w:val="21"/>
                <w:szCs w:val="21"/>
                <w14:textFill>
                  <w14:solidFill>
                    <w14:schemeClr w14:val="tx1"/>
                  </w14:solidFill>
                </w14:textFill>
              </w:rPr>
              <w:t>具备</w:t>
            </w:r>
            <w:r>
              <w:rPr>
                <w:rFonts w:hint="eastAsia" w:cs="宋体"/>
                <w:color w:val="000000" w:themeColor="text1"/>
                <w:sz w:val="21"/>
                <w:szCs w:val="21"/>
                <w:lang w:val="en-US" w:eastAsia="zh-CN"/>
                <w14:textFill>
                  <w14:solidFill>
                    <w14:schemeClr w14:val="tx1"/>
                  </w14:solidFill>
                </w14:textFill>
              </w:rPr>
              <w:t>公路工程类</w:t>
            </w:r>
            <w:r>
              <w:rPr>
                <w:rFonts w:cs="宋体"/>
                <w:color w:val="000000" w:themeColor="text1"/>
                <w:sz w:val="21"/>
                <w:szCs w:val="21"/>
                <w14:textFill>
                  <w14:solidFill>
                    <w14:schemeClr w14:val="tx1"/>
                  </w14:solidFill>
                </w14:textFill>
              </w:rPr>
              <w:t>专业</w:t>
            </w:r>
            <w:r>
              <w:rPr>
                <w:rFonts w:hint="eastAsia" w:cs="宋体"/>
                <w:color w:val="000000" w:themeColor="text1"/>
                <w:sz w:val="21"/>
                <w:szCs w:val="21"/>
                <w:lang w:val="en-US" w:eastAsia="zh-CN"/>
                <w14:textFill>
                  <w14:solidFill>
                    <w14:schemeClr w14:val="tx1"/>
                  </w14:solidFill>
                </w14:textFill>
              </w:rPr>
              <w:t>中</w:t>
            </w:r>
            <w:r>
              <w:rPr>
                <w:rFonts w:cs="宋体"/>
                <w:color w:val="000000" w:themeColor="text1"/>
                <w:sz w:val="21"/>
                <w:szCs w:val="21"/>
                <w14:textFill>
                  <w14:solidFill>
                    <w14:schemeClr w14:val="tx1"/>
                  </w14:solidFill>
                </w14:textFill>
              </w:rPr>
              <w:t>级及以上</w:t>
            </w:r>
            <w:r>
              <w:rPr>
                <w:rFonts w:hint="eastAsia" w:cs="宋体"/>
                <w:color w:val="000000" w:themeColor="text1"/>
                <w:sz w:val="21"/>
                <w:szCs w:val="21"/>
                <w:lang w:val="en-US" w:eastAsia="zh-CN"/>
                <w14:textFill>
                  <w14:solidFill>
                    <w14:schemeClr w14:val="tx1"/>
                  </w14:solidFill>
                </w14:textFill>
              </w:rPr>
              <w:t>工程师</w:t>
            </w:r>
            <w:r>
              <w:rPr>
                <w:rFonts w:cs="宋体"/>
                <w:color w:val="000000" w:themeColor="text1"/>
                <w:sz w:val="21"/>
                <w:szCs w:val="21"/>
                <w14:textFill>
                  <w14:solidFill>
                    <w14:schemeClr w14:val="tx1"/>
                  </w14:solidFill>
                </w14:textFill>
              </w:rPr>
              <w:t>职称的</w:t>
            </w:r>
            <w:r>
              <w:rPr>
                <w:rFonts w:hint="eastAsia" w:cs="宋体"/>
                <w:color w:val="000000" w:themeColor="text1"/>
                <w:sz w:val="21"/>
                <w:szCs w:val="21"/>
                <w:lang w:eastAsia="zh-CN"/>
                <w14:textFill>
                  <w14:solidFill>
                    <w14:schemeClr w14:val="tx1"/>
                  </w14:solidFill>
                </w14:textFill>
              </w:rPr>
              <w:t>，</w:t>
            </w:r>
            <w:r>
              <w:rPr>
                <w:rFonts w:cs="宋体"/>
                <w:color w:val="000000" w:themeColor="text1"/>
                <w:sz w:val="21"/>
                <w:szCs w:val="21"/>
                <w14:textFill>
                  <w14:solidFill>
                    <w14:schemeClr w14:val="tx1"/>
                  </w14:solidFill>
                </w14:textFill>
              </w:rPr>
              <w:t>得</w:t>
            </w:r>
            <w:r>
              <w:rPr>
                <w:rFonts w:hint="eastAsia" w:cs="宋体"/>
                <w:color w:val="000000" w:themeColor="text1"/>
                <w:sz w:val="21"/>
                <w:szCs w:val="21"/>
                <w:lang w:val="en-US" w:eastAsia="zh-CN"/>
                <w14:textFill>
                  <w14:solidFill>
                    <w14:schemeClr w14:val="tx1"/>
                  </w14:solidFill>
                </w14:textFill>
              </w:rPr>
              <w:t>2</w:t>
            </w:r>
            <w:r>
              <w:rPr>
                <w:rFonts w:cs="宋体"/>
                <w:color w:val="000000" w:themeColor="text1"/>
                <w:sz w:val="21"/>
                <w:szCs w:val="21"/>
                <w14:textFill>
                  <w14:solidFill>
                    <w14:schemeClr w14:val="tx1"/>
                  </w14:solidFill>
                </w14:textFill>
              </w:rPr>
              <w:t>分</w:t>
            </w:r>
            <w:r>
              <w:rPr>
                <w:rFonts w:ascii="宋体" w:hAnsi="宋体" w:eastAsia="宋体" w:cs="宋体"/>
                <w:b/>
                <w:color w:val="000000" w:themeColor="text1"/>
                <w:sz w:val="21"/>
                <w:szCs w:val="21"/>
                <w14:textFill>
                  <w14:solidFill>
                    <w14:schemeClr w14:val="tx1"/>
                  </w14:solidFill>
                </w14:textFill>
              </w:rPr>
              <w:t>（提供证书扫描件加盖公章，且须提供上述人员由社保部门出具的开标时间前连续三个月在本单位社保缴纳证明。）</w:t>
            </w:r>
          </w:p>
        </w:tc>
        <w:tc>
          <w:tcPr>
            <w:tcW w:w="849" w:type="dxa"/>
            <w:tcBorders>
              <w:top w:val="single" w:color="auto" w:sz="4" w:space="0"/>
              <w:left w:val="single" w:color="auto" w:sz="4" w:space="0"/>
              <w:right w:val="single" w:color="auto" w:sz="4" w:space="0"/>
            </w:tcBorders>
            <w:vAlign w:val="center"/>
          </w:tcPr>
          <w:p>
            <w:pPr>
              <w:pStyle w:val="100"/>
              <w:spacing w:line="288" w:lineRule="auto"/>
              <w:jc w:val="center"/>
              <w:rPr>
                <w:color w:val="000000" w:themeColor="text1"/>
                <w:sz w:val="21"/>
                <w:szCs w:val="21"/>
                <w:lang w:val="en-US" w:eastAsia="zh-CN"/>
                <w14:textFill>
                  <w14:solidFill>
                    <w14:schemeClr w14:val="tx1"/>
                  </w14:solidFill>
                </w14:textFill>
              </w:rPr>
            </w:pPr>
            <w:r>
              <w:rPr>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07" w:type="dxa"/>
            <w:gridSpan w:val="4"/>
            <w:tcBorders>
              <w:left w:val="single" w:color="auto" w:sz="4" w:space="0"/>
              <w:right w:val="single" w:color="auto" w:sz="4" w:space="0"/>
            </w:tcBorders>
            <w:vAlign w:val="center"/>
          </w:tcPr>
          <w:p>
            <w:pPr>
              <w:pStyle w:val="100"/>
              <w:spacing w:line="288" w:lineRule="auto"/>
              <w:jc w:val="center"/>
              <w:rPr>
                <w:b/>
                <w:color w:val="000000" w:themeColor="text1"/>
                <w:sz w:val="21"/>
                <w:szCs w:val="21"/>
                <w:lang w:val="en-US" w:eastAsia="zh-CN"/>
                <w14:textFill>
                  <w14:solidFill>
                    <w14:schemeClr w14:val="tx1"/>
                  </w14:solidFill>
                </w14:textFill>
              </w:rPr>
            </w:pPr>
            <w:r>
              <w:rPr>
                <w:b/>
                <w:color w:val="000000" w:themeColor="text1"/>
                <w:sz w:val="21"/>
                <w:szCs w:val="21"/>
                <w14:textFill>
                  <w14:solidFill>
                    <w14:schemeClr w14:val="tx1"/>
                  </w14:solidFill>
                </w14:textFill>
              </w:rPr>
              <w:t>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24" w:type="dxa"/>
            <w:tcBorders>
              <w:left w:val="single" w:color="auto" w:sz="4" w:space="0"/>
              <w:right w:val="single" w:color="auto" w:sz="4" w:space="0"/>
            </w:tcBorders>
            <w:vAlign w:val="center"/>
          </w:tcPr>
          <w:p>
            <w:pPr>
              <w:pStyle w:val="37"/>
              <w:widowControl w:val="0"/>
              <w:spacing w:before="0" w:beforeAutospacing="0" w:after="0" w:afterAutospacing="0" w:line="288" w:lineRule="auto"/>
              <w:ind w:firstLine="210" w:firstLineChars="100"/>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xml:space="preserve">3 </w:t>
            </w:r>
          </w:p>
        </w:tc>
        <w:tc>
          <w:tcPr>
            <w:tcW w:w="1326" w:type="dxa"/>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总体方案</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总体施工方案的针对性、全面性、先进性</w:t>
            </w:r>
            <w:r>
              <w:rPr>
                <w:rFonts w:hint="eastAsia" w:cs="宋体"/>
                <w:color w:val="000000" w:themeColor="text1"/>
                <w:sz w:val="21"/>
                <w:szCs w:val="21"/>
                <w:lang w:eastAsia="zh-CN"/>
                <w14:textFill>
                  <w14:solidFill>
                    <w14:schemeClr w14:val="tx1"/>
                  </w14:solidFill>
                </w14:textFill>
              </w:rPr>
              <w:t>、</w:t>
            </w:r>
            <w:r>
              <w:rPr>
                <w:rFonts w:cs="宋体"/>
                <w:color w:val="000000" w:themeColor="text1"/>
                <w:sz w:val="21"/>
                <w:szCs w:val="21"/>
                <w14:textFill>
                  <w14:solidFill>
                    <w14:schemeClr w14:val="tx1"/>
                  </w14:solidFill>
                </w14:textFill>
              </w:rPr>
              <w:t>合理性（结合本项目的实际情况详细描述），根据项目实际，分析是否科学合理、可行。优得3.4-5.0分；良得1.7-3.3分；一般得0-1.6分。</w:t>
            </w:r>
          </w:p>
        </w:tc>
        <w:tc>
          <w:tcPr>
            <w:tcW w:w="849" w:type="dxa"/>
            <w:tcBorders>
              <w:top w:val="single" w:color="auto" w:sz="4" w:space="0"/>
              <w:left w:val="single" w:color="auto" w:sz="4" w:space="0"/>
              <w:bottom w:val="single" w:color="auto" w:sz="4" w:space="0"/>
              <w:right w:val="single" w:color="auto" w:sz="4" w:space="0"/>
            </w:tcBorders>
            <w:vAlign w:val="center"/>
          </w:tcPr>
          <w:p>
            <w:pPr>
              <w:pStyle w:val="100"/>
              <w:spacing w:line="288" w:lineRule="auto"/>
              <w:ind w:firstLine="105" w:firstLineChars="50"/>
              <w:jc w:val="center"/>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24" w:type="dxa"/>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4</w:t>
            </w:r>
          </w:p>
        </w:tc>
        <w:tc>
          <w:tcPr>
            <w:tcW w:w="1326" w:type="dxa"/>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工程质量</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施工质量目标明确，质量控制措施科学、合理，且有技术支撑的。优得2.7-4.0分；良得1.3-2.6分；一般得0-1.2分。</w:t>
            </w:r>
          </w:p>
        </w:tc>
        <w:tc>
          <w:tcPr>
            <w:tcW w:w="849"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 xml:space="preserve"> 4</w:t>
            </w:r>
            <w:r>
              <w:rPr>
                <w:rFonts w:cs="宋体"/>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24" w:type="dxa"/>
            <w:vMerge w:val="restart"/>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5</w:t>
            </w:r>
          </w:p>
        </w:tc>
        <w:tc>
          <w:tcPr>
            <w:tcW w:w="1326" w:type="dxa"/>
            <w:vMerge w:val="restart"/>
            <w:tcBorders>
              <w:left w:val="single" w:color="auto" w:sz="4" w:space="0"/>
              <w:right w:val="single" w:color="auto" w:sz="4" w:space="0"/>
            </w:tcBorders>
            <w:vAlign w:val="center"/>
          </w:tcPr>
          <w:p>
            <w:pPr>
              <w:pStyle w:val="34"/>
              <w:spacing w:after="0" w:line="288" w:lineRule="auto"/>
              <w:ind w:left="0" w:leftChars="0"/>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施工进度</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根据投标人提供的施工进度计划管理制度及施工进度计划横道图进行打分。优得2.7-4.0分；良得1.3-2.6分；一般得0-1.2分。</w:t>
            </w:r>
          </w:p>
        </w:tc>
        <w:tc>
          <w:tcPr>
            <w:tcW w:w="849"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kern w:val="2"/>
                <w:sz w:val="21"/>
                <w:szCs w:val="21"/>
                <w:lang w:bidi="ar"/>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4</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24" w:type="dxa"/>
            <w:vMerge w:val="continue"/>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p>
        </w:tc>
        <w:tc>
          <w:tcPr>
            <w:tcW w:w="1326" w:type="dxa"/>
            <w:vMerge w:val="continue"/>
            <w:tcBorders>
              <w:left w:val="single" w:color="auto" w:sz="4" w:space="0"/>
              <w:right w:val="single" w:color="auto" w:sz="4" w:space="0"/>
            </w:tcBorders>
            <w:vAlign w:val="center"/>
          </w:tcPr>
          <w:p>
            <w:pPr>
              <w:pStyle w:val="34"/>
              <w:spacing w:after="0" w:line="288" w:lineRule="auto"/>
              <w:ind w:left="0" w:leftChars="0"/>
              <w:jc w:val="center"/>
              <w:rPr>
                <w:rFonts w:ascii="宋体" w:hAnsi="宋体" w:eastAsia="宋体" w:cs="宋体"/>
                <w:color w:val="000000" w:themeColor="text1"/>
                <w:kern w:val="0"/>
                <w:sz w:val="21"/>
                <w:szCs w:val="21"/>
                <w14:textFill>
                  <w14:solidFill>
                    <w14:schemeClr w14:val="tx1"/>
                  </w14:solidFill>
                </w14:textFill>
              </w:rPr>
            </w:pPr>
          </w:p>
        </w:tc>
        <w:tc>
          <w:tcPr>
            <w:tcW w:w="6808" w:type="dxa"/>
            <w:tcBorders>
              <w:top w:val="single" w:color="auto" w:sz="4" w:space="0"/>
              <w:left w:val="single" w:color="auto" w:sz="4" w:space="0"/>
              <w:right w:val="single" w:color="auto" w:sz="4" w:space="0"/>
            </w:tcBorders>
            <w:vAlign w:val="center"/>
          </w:tcPr>
          <w:p>
            <w:pPr>
              <w:pStyle w:val="37"/>
              <w:widowControl w:val="0"/>
              <w:spacing w:before="0" w:after="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施工工期、总进度计划及保证措施安排完善合理，各主要施工工序应有详细周密的劳动力安排计划进行打分。优得2.7-4.0分；良得1.3-2.6分；一般得0-1.2分。</w:t>
            </w:r>
          </w:p>
        </w:tc>
        <w:tc>
          <w:tcPr>
            <w:tcW w:w="849" w:type="dxa"/>
            <w:tcBorders>
              <w:top w:val="single" w:color="auto" w:sz="4" w:space="0"/>
              <w:left w:val="single" w:color="auto" w:sz="4" w:space="0"/>
              <w:right w:val="single" w:color="auto" w:sz="4" w:space="0"/>
            </w:tcBorders>
            <w:vAlign w:val="center"/>
          </w:tcPr>
          <w:p>
            <w:pPr>
              <w:pStyle w:val="37"/>
              <w:widowControl w:val="0"/>
              <w:spacing w:before="0" w:after="0" w:line="288" w:lineRule="auto"/>
              <w:jc w:val="center"/>
              <w:rPr>
                <w:rFonts w:hint="default" w:cs="宋体"/>
                <w:color w:val="000000" w:themeColor="text1"/>
                <w:kern w:val="2"/>
                <w:sz w:val="21"/>
                <w:szCs w:val="21"/>
                <w:lang w:bidi="ar"/>
                <w14:textFill>
                  <w14:solidFill>
                    <w14:schemeClr w14:val="tx1"/>
                  </w14:solidFill>
                </w14:textFill>
              </w:rPr>
            </w:pPr>
            <w:r>
              <w:rPr>
                <w:rFonts w:hint="eastAsia" w:cs="宋体"/>
                <w:color w:val="000000" w:themeColor="text1"/>
                <w:kern w:val="2"/>
                <w:sz w:val="21"/>
                <w:szCs w:val="21"/>
                <w:lang w:val="en-US" w:eastAsia="zh-CN" w:bidi="ar"/>
                <w14:textFill>
                  <w14:solidFill>
                    <w14:schemeClr w14:val="tx1"/>
                  </w14:solidFill>
                </w14:textFill>
              </w:rPr>
              <w:t>4</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24" w:type="dxa"/>
            <w:vMerge w:val="restart"/>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6</w:t>
            </w:r>
          </w:p>
        </w:tc>
        <w:tc>
          <w:tcPr>
            <w:tcW w:w="1326" w:type="dxa"/>
            <w:vMerge w:val="restart"/>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环境</w:t>
            </w:r>
            <w:r>
              <w:rPr>
                <w:rFonts w:hint="default" w:cs="宋体"/>
                <w:color w:val="000000" w:themeColor="text1"/>
                <w:sz w:val="21"/>
                <w:szCs w:val="21"/>
                <w14:textFill>
                  <w14:solidFill>
                    <w14:schemeClr w14:val="tx1"/>
                  </w14:solidFill>
                </w14:textFill>
              </w:rPr>
              <w:t>保护措施、</w:t>
            </w:r>
            <w:r>
              <w:rPr>
                <w:rFonts w:cs="宋体"/>
                <w:color w:val="000000" w:themeColor="text1"/>
                <w:sz w:val="21"/>
                <w:szCs w:val="21"/>
                <w14:textFill>
                  <w14:solidFill>
                    <w14:schemeClr w14:val="tx1"/>
                  </w14:solidFill>
                </w14:textFill>
              </w:rPr>
              <w:t>安全文明施工保证</w:t>
            </w:r>
            <w:r>
              <w:rPr>
                <w:rFonts w:hint="default" w:cs="宋体"/>
                <w:color w:val="000000" w:themeColor="text1"/>
                <w:sz w:val="21"/>
                <w:szCs w:val="21"/>
                <w14:textFill>
                  <w14:solidFill>
                    <w14:schemeClr w14:val="tx1"/>
                  </w14:solidFill>
                </w14:textFill>
              </w:rPr>
              <w:t>措施</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after="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按照安全文明施工要求，对施工场地周边围挡的响应承诺，对人员管理的措施进行打分。优得2.7-4.0分；良得1.3-2.6分；一般得0-1.2分。</w:t>
            </w:r>
          </w:p>
        </w:tc>
        <w:tc>
          <w:tcPr>
            <w:tcW w:w="849" w:type="dxa"/>
            <w:tcBorders>
              <w:top w:val="single" w:color="auto" w:sz="4" w:space="0"/>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4</w:t>
            </w:r>
            <w:r>
              <w:rPr>
                <w:rFonts w:cs="宋体"/>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4" w:type="dxa"/>
            <w:vMerge w:val="continue"/>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p>
        </w:tc>
        <w:tc>
          <w:tcPr>
            <w:tcW w:w="1326" w:type="dxa"/>
            <w:vMerge w:val="continue"/>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施工现场的降噪措施合理、具有可操作性，优得2.1-3.0分；良得1.1-2.0分；一般得0-1.0分。</w:t>
            </w:r>
          </w:p>
        </w:tc>
        <w:tc>
          <w:tcPr>
            <w:tcW w:w="849" w:type="dxa"/>
            <w:tcBorders>
              <w:left w:val="single" w:color="auto" w:sz="4" w:space="0"/>
              <w:bottom w:val="single" w:color="auto" w:sz="4" w:space="0"/>
              <w:right w:val="single" w:color="auto" w:sz="4" w:space="0"/>
            </w:tcBorders>
            <w:vAlign w:val="center"/>
          </w:tcPr>
          <w:p>
            <w:pPr>
              <w:pStyle w:val="37"/>
              <w:widowControl w:val="0"/>
              <w:spacing w:before="0" w:after="0" w:line="288" w:lineRule="auto"/>
              <w:jc w:val="center"/>
              <w:rPr>
                <w:rFonts w:hint="default" w:cs="宋体"/>
                <w:color w:val="000000" w:themeColor="text1"/>
                <w:kern w:val="2"/>
                <w:sz w:val="21"/>
                <w:szCs w:val="21"/>
                <w:lang w:bidi="ar"/>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3</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4" w:type="dxa"/>
            <w:vMerge w:val="continue"/>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p>
        </w:tc>
        <w:tc>
          <w:tcPr>
            <w:tcW w:w="1326" w:type="dxa"/>
            <w:vMerge w:val="continue"/>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除尘、垃圾清运，施工现场管理的针对措施，优得2.7-4.0分；良得1.3-2.6分；一般得0-1.2分。</w:t>
            </w:r>
          </w:p>
        </w:tc>
        <w:tc>
          <w:tcPr>
            <w:tcW w:w="849" w:type="dxa"/>
            <w:tcBorders>
              <w:left w:val="single" w:color="auto" w:sz="4" w:space="0"/>
              <w:bottom w:val="single" w:color="auto" w:sz="4" w:space="0"/>
              <w:right w:val="single" w:color="auto" w:sz="4" w:space="0"/>
            </w:tcBorders>
            <w:vAlign w:val="center"/>
          </w:tcPr>
          <w:p>
            <w:pPr>
              <w:pStyle w:val="37"/>
              <w:widowControl w:val="0"/>
              <w:spacing w:before="0" w:after="0" w:line="288" w:lineRule="auto"/>
              <w:jc w:val="center"/>
              <w:rPr>
                <w:rFonts w:hint="default" w:cs="宋体"/>
                <w:color w:val="000000" w:themeColor="text1"/>
                <w:kern w:val="2"/>
                <w:sz w:val="21"/>
                <w:szCs w:val="21"/>
                <w:lang w:bidi="ar"/>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4</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24" w:type="dxa"/>
            <w:vMerge w:val="restart"/>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7</w:t>
            </w:r>
          </w:p>
        </w:tc>
        <w:tc>
          <w:tcPr>
            <w:tcW w:w="1326" w:type="dxa"/>
            <w:vMerge w:val="restart"/>
            <w:tcBorders>
              <w:left w:val="single" w:color="auto" w:sz="4" w:space="0"/>
              <w:right w:val="single" w:color="auto" w:sz="4" w:space="0"/>
            </w:tcBorders>
            <w:vAlign w:val="center"/>
          </w:tcPr>
          <w:p>
            <w:pPr>
              <w:pStyle w:val="37"/>
              <w:widowControl w:val="0"/>
              <w:spacing w:before="0" w:beforeAutospacing="0" w:after="0" w:afterAutospacing="0" w:line="288" w:lineRule="auto"/>
              <w:ind w:right="-107" w:rightChars="-51"/>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劳动力配置</w:t>
            </w:r>
            <w:r>
              <w:rPr>
                <w:rFonts w:hint="default" w:cs="宋体"/>
                <w:color w:val="000000" w:themeColor="text1"/>
                <w:sz w:val="21"/>
                <w:szCs w:val="21"/>
                <w14:textFill>
                  <w14:solidFill>
                    <w14:schemeClr w14:val="tx1"/>
                  </w14:solidFill>
                </w14:textFill>
              </w:rPr>
              <w:t>、主要</w:t>
            </w:r>
            <w:r>
              <w:rPr>
                <w:rFonts w:cs="宋体"/>
                <w:color w:val="000000" w:themeColor="text1"/>
                <w:sz w:val="21"/>
                <w:szCs w:val="21"/>
                <w14:textFill>
                  <w14:solidFill>
                    <w14:schemeClr w14:val="tx1"/>
                  </w14:solidFill>
                </w14:textFill>
              </w:rPr>
              <w:t>施工机具</w:t>
            </w:r>
            <w:r>
              <w:rPr>
                <w:rFonts w:hint="default" w:cs="宋体"/>
                <w:color w:val="000000" w:themeColor="text1"/>
                <w:sz w:val="21"/>
                <w:szCs w:val="21"/>
                <w14:textFill>
                  <w14:solidFill>
                    <w14:schemeClr w14:val="tx1"/>
                  </w14:solidFill>
                </w14:textFill>
              </w:rPr>
              <w:t>配置进场计划</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拟投入本项目的管理人员及各专业工种劳动力配置的组织架构完善、</w:t>
            </w:r>
            <w:r>
              <w:rPr>
                <w:rFonts w:hint="default" w:cs="宋体"/>
                <w:color w:val="000000" w:themeColor="text1"/>
                <w:sz w:val="21"/>
                <w:szCs w:val="21"/>
                <w14:textFill>
                  <w14:solidFill>
                    <w14:schemeClr w14:val="tx1"/>
                  </w14:solidFill>
                </w14:textFill>
              </w:rPr>
              <w:t>质量、安全、文明施工的相关人员配置和施工强度匹配，</w:t>
            </w:r>
            <w:r>
              <w:rPr>
                <w:rFonts w:cs="宋体"/>
                <w:color w:val="000000" w:themeColor="text1"/>
                <w:sz w:val="21"/>
                <w:szCs w:val="21"/>
                <w14:textFill>
                  <w14:solidFill>
                    <w14:schemeClr w14:val="tx1"/>
                  </w14:solidFill>
                </w14:textFill>
              </w:rPr>
              <w:t>能满足采购要求。优得2.7-4.0分；良得1.3-2.6分；一般得0-1.2分。</w:t>
            </w:r>
          </w:p>
        </w:tc>
        <w:tc>
          <w:tcPr>
            <w:tcW w:w="849"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kern w:val="2"/>
                <w:sz w:val="21"/>
                <w:szCs w:val="21"/>
                <w:lang w:bidi="ar"/>
                <w14:textFill>
                  <w14:solidFill>
                    <w14:schemeClr w14:val="tx1"/>
                  </w14:solidFill>
                </w14:textFill>
              </w:rPr>
            </w:pPr>
            <w:r>
              <w:rPr>
                <w:rFonts w:hint="eastAsia" w:cs="宋体"/>
                <w:color w:val="000000" w:themeColor="text1"/>
                <w:kern w:val="2"/>
                <w:sz w:val="21"/>
                <w:szCs w:val="21"/>
                <w:lang w:val="en-US" w:eastAsia="zh-CN" w:bidi="ar"/>
                <w14:textFill>
                  <w14:solidFill>
                    <w14:schemeClr w14:val="tx1"/>
                  </w14:solidFill>
                </w14:textFill>
              </w:rPr>
              <w:t>4</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24" w:type="dxa"/>
            <w:vMerge w:val="continue"/>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p>
        </w:tc>
        <w:tc>
          <w:tcPr>
            <w:tcW w:w="1326" w:type="dxa"/>
            <w:vMerge w:val="continue"/>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材料设备进场计划及施工计划情况：具有详细的材料设备进场计划且计划周密，材料数量、质量控制，时间安排合理，满足施工需要。优得3.4-5.0分；良得1.7-3.3分；一般得0-1.6分。</w:t>
            </w:r>
          </w:p>
        </w:tc>
        <w:tc>
          <w:tcPr>
            <w:tcW w:w="849"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kern w:val="2"/>
                <w:sz w:val="21"/>
                <w:szCs w:val="21"/>
                <w:lang w:bidi="ar"/>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5</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4" w:type="dxa"/>
            <w:vMerge w:val="continue"/>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p>
        </w:tc>
        <w:tc>
          <w:tcPr>
            <w:tcW w:w="1326" w:type="dxa"/>
            <w:vMerge w:val="continue"/>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施工设备及检验仪器的投入是否满足工程质量进度要求。优得2.7-4.0分；良得1.3-2.6分；一般得0-1.2分。</w:t>
            </w:r>
          </w:p>
        </w:tc>
        <w:tc>
          <w:tcPr>
            <w:tcW w:w="849"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kern w:val="2"/>
                <w:sz w:val="21"/>
                <w:szCs w:val="21"/>
                <w:lang w:bidi="ar"/>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4</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24" w:type="dxa"/>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ascii="宋体" w:hAnsi="宋体" w:cs="宋体"/>
                <w:bCs/>
                <w:color w:val="000000" w:themeColor="text1"/>
                <w:szCs w:val="21"/>
                <w:lang w:bidi="ar"/>
                <w14:textFill>
                  <w14:solidFill>
                    <w14:schemeClr w14:val="tx1"/>
                  </w14:solidFill>
                </w14:textFill>
              </w:rPr>
              <w:t>8</w:t>
            </w:r>
          </w:p>
        </w:tc>
        <w:tc>
          <w:tcPr>
            <w:tcW w:w="1326" w:type="dxa"/>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缺陷责任期</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根据投标人缺陷责任期内提供的响应时间、到场时间和问题解决时长的情况及实际进行综合评定。优得2.7-4.0分；良得1.3-2.6分；一般得0-1.2分。</w:t>
            </w:r>
          </w:p>
        </w:tc>
        <w:tc>
          <w:tcPr>
            <w:tcW w:w="849"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kern w:val="2"/>
                <w:sz w:val="21"/>
                <w:szCs w:val="21"/>
                <w:lang w:bidi="ar"/>
                <w14:textFill>
                  <w14:solidFill>
                    <w14:schemeClr w14:val="tx1"/>
                  </w14:solidFill>
                </w14:textFill>
              </w:rPr>
            </w:pPr>
            <w:r>
              <w:rPr>
                <w:rFonts w:hint="eastAsia" w:cs="宋体"/>
                <w:color w:val="000000" w:themeColor="text1"/>
                <w:kern w:val="2"/>
                <w:sz w:val="21"/>
                <w:szCs w:val="21"/>
                <w:lang w:val="en-US" w:eastAsia="zh-CN" w:bidi="ar"/>
                <w14:textFill>
                  <w14:solidFill>
                    <w14:schemeClr w14:val="tx1"/>
                  </w14:solidFill>
                </w14:textFill>
              </w:rPr>
              <w:t>4</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24" w:type="dxa"/>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ascii="宋体" w:hAnsi="宋体" w:cs="宋体"/>
                <w:bCs/>
                <w:color w:val="000000" w:themeColor="text1"/>
                <w:szCs w:val="21"/>
                <w:lang w:bidi="ar"/>
                <w14:textFill>
                  <w14:solidFill>
                    <w14:schemeClr w14:val="tx1"/>
                  </w14:solidFill>
                </w14:textFill>
              </w:rPr>
              <w:t>9</w:t>
            </w:r>
          </w:p>
        </w:tc>
        <w:tc>
          <w:tcPr>
            <w:tcW w:w="1326" w:type="dxa"/>
            <w:tcBorders>
              <w:left w:val="single" w:color="auto" w:sz="4" w:space="0"/>
              <w:right w:val="single" w:color="auto" w:sz="4" w:space="0"/>
            </w:tcBorders>
            <w:vAlign w:val="center"/>
          </w:tcPr>
          <w:p>
            <w:pPr>
              <w:pStyle w:val="37"/>
              <w:widowControl w:val="0"/>
              <w:spacing w:before="0" w:beforeAutospacing="0" w:after="0" w:afterAutospacing="0"/>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应急预案</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提供应急预案，并承诺紧急的响应时间。优得2.7-4.0分；良得1.3-2.6分；一般得0-1.2分</w:t>
            </w:r>
          </w:p>
        </w:tc>
        <w:tc>
          <w:tcPr>
            <w:tcW w:w="849"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after="0" w:line="288" w:lineRule="auto"/>
              <w:jc w:val="center"/>
              <w:rPr>
                <w:rFonts w:hint="default" w:cs="宋体"/>
                <w:color w:val="000000" w:themeColor="text1"/>
                <w:kern w:val="2"/>
                <w:sz w:val="21"/>
                <w:szCs w:val="21"/>
                <w:lang w:bidi="ar"/>
                <w14:textFill>
                  <w14:solidFill>
                    <w14:schemeClr w14:val="tx1"/>
                  </w14:solidFill>
                </w14:textFill>
              </w:rPr>
            </w:pPr>
            <w:r>
              <w:rPr>
                <w:rFonts w:hint="default" w:cs="宋体"/>
                <w:color w:val="000000" w:themeColor="text1"/>
                <w:kern w:val="2"/>
                <w:sz w:val="21"/>
                <w:szCs w:val="21"/>
                <w:lang w:bidi="ar"/>
                <w14:textFill>
                  <w14:solidFill>
                    <w14:schemeClr w14:val="tx1"/>
                  </w14:solidFill>
                </w14:textFill>
              </w:rPr>
              <w:t>4</w:t>
            </w:r>
            <w:r>
              <w:rPr>
                <w:rFonts w:cs="宋体"/>
                <w:color w:val="000000" w:themeColor="text1"/>
                <w:kern w:val="2"/>
                <w:sz w:val="21"/>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24" w:type="dxa"/>
            <w:tcBorders>
              <w:left w:val="single" w:color="auto" w:sz="4" w:space="0"/>
              <w:right w:val="single" w:color="auto" w:sz="4" w:space="0"/>
            </w:tcBorders>
            <w:vAlign w:val="center"/>
          </w:tcPr>
          <w:p>
            <w:pPr>
              <w:spacing w:line="288" w:lineRule="auto"/>
              <w:jc w:val="center"/>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10</w:t>
            </w:r>
          </w:p>
        </w:tc>
        <w:tc>
          <w:tcPr>
            <w:tcW w:w="1326"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合理化建议</w:t>
            </w:r>
          </w:p>
        </w:tc>
        <w:tc>
          <w:tcPr>
            <w:tcW w:w="6808"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根据项目实际踏勘情况，对项目实施过程的重点、难点、具体建议并提出改进措施。优得3.4-5.0分；良得1.7-3.3分；一般得0-1.6分。</w:t>
            </w:r>
          </w:p>
        </w:tc>
        <w:tc>
          <w:tcPr>
            <w:tcW w:w="849" w:type="dxa"/>
            <w:tcBorders>
              <w:top w:val="single" w:color="auto" w:sz="4" w:space="0"/>
              <w:left w:val="single" w:color="auto" w:sz="4" w:space="0"/>
              <w:right w:val="single" w:color="auto" w:sz="4" w:space="0"/>
            </w:tcBorders>
            <w:vAlign w:val="center"/>
          </w:tcPr>
          <w:p>
            <w:pPr>
              <w:pStyle w:val="37"/>
              <w:widowControl w:val="0"/>
              <w:spacing w:before="0" w:after="0" w:line="288" w:lineRule="auto"/>
              <w:jc w:val="center"/>
              <w:rPr>
                <w:rFonts w:hint="default" w:cs="宋体"/>
                <w:color w:val="000000" w:themeColor="text1"/>
                <w:kern w:val="2"/>
                <w:sz w:val="21"/>
                <w:szCs w:val="21"/>
                <w:lang w:bidi="ar"/>
                <w14:textFill>
                  <w14:solidFill>
                    <w14:schemeClr w14:val="tx1"/>
                  </w14:solidFill>
                </w14:textFill>
              </w:rPr>
            </w:pPr>
            <w:r>
              <w:rPr>
                <w:rFonts w:cs="宋体"/>
                <w:color w:val="000000" w:themeColor="text1"/>
                <w:kern w:val="2"/>
                <w:sz w:val="21"/>
                <w:szCs w:val="21"/>
                <w:lang w:bidi="ar"/>
                <w14:textFill>
                  <w14:solidFill>
                    <w14:schemeClr w14:val="tx1"/>
                  </w14:solidFill>
                </w14:textFill>
              </w:rPr>
              <w:t>5分</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注：①合同、证书及其他相关证明材料，将原件扫描上传至响应文件，并加盖公章。</w:t>
      </w:r>
    </w:p>
    <w:p>
      <w:pPr>
        <w:pStyle w:val="3"/>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fldChar w:fldCharType="begin"/>
      </w:r>
      <w:r>
        <w:rPr>
          <w:rFonts w:ascii="宋体" w:hAnsi="宋体"/>
          <w:b/>
          <w:color w:val="000000" w:themeColor="text1"/>
          <w:szCs w:val="21"/>
          <w14:textFill>
            <w14:solidFill>
              <w14:schemeClr w14:val="tx1"/>
            </w14:solidFill>
          </w14:textFill>
        </w:rPr>
        <w:instrText xml:space="preserve"> </w:instrText>
      </w:r>
      <w:r>
        <w:rPr>
          <w:rFonts w:hint="eastAsia" w:ascii="宋体" w:hAnsi="宋体"/>
          <w:b/>
          <w:color w:val="000000" w:themeColor="text1"/>
          <w:szCs w:val="21"/>
          <w14:textFill>
            <w14:solidFill>
              <w14:schemeClr w14:val="tx1"/>
            </w14:solidFill>
          </w14:textFill>
        </w:rPr>
        <w:instrText xml:space="preserve">= 2 \* GB3</w:instrText>
      </w:r>
      <w:r>
        <w:rPr>
          <w:rFonts w:ascii="宋体" w:hAnsi="宋体"/>
          <w:b/>
          <w:color w:val="000000" w:themeColor="text1"/>
          <w:szCs w:val="21"/>
          <w14:textFill>
            <w14:solidFill>
              <w14:schemeClr w14:val="tx1"/>
            </w14:solidFill>
          </w14:textFill>
        </w:rPr>
        <w:instrText xml:space="preserve"> </w:instrText>
      </w:r>
      <w:r>
        <w:rPr>
          <w:rFonts w:ascii="宋体" w:hAnsi="宋体"/>
          <w:b/>
          <w:color w:val="000000" w:themeColor="text1"/>
          <w:szCs w:val="21"/>
          <w14:textFill>
            <w14:solidFill>
              <w14:schemeClr w14:val="tx1"/>
            </w14:solidFill>
          </w14:textFill>
        </w:rPr>
        <w:fldChar w:fldCharType="separate"/>
      </w:r>
      <w:r>
        <w:rPr>
          <w:rFonts w:hint="eastAsia" w:ascii="宋体" w:hAnsi="宋体"/>
          <w:b/>
          <w:color w:val="000000" w:themeColor="text1"/>
          <w:szCs w:val="21"/>
          <w14:textFill>
            <w14:solidFill>
              <w14:schemeClr w14:val="tx1"/>
            </w14:solidFill>
          </w14:textFill>
        </w:rPr>
        <w:t>②</w:t>
      </w:r>
      <w:r>
        <w:rPr>
          <w:rFonts w:ascii="宋体" w:hAnsi="宋体"/>
          <w:b/>
          <w:color w:val="000000" w:themeColor="text1"/>
          <w:szCs w:val="21"/>
          <w14:textFill>
            <w14:solidFill>
              <w14:schemeClr w14:val="tx1"/>
            </w14:solidFill>
          </w14:textFill>
        </w:rPr>
        <w:fldChar w:fldCharType="end"/>
      </w:r>
      <w:r>
        <w:rPr>
          <w:rFonts w:hint="eastAsia" w:ascii="宋体" w:hAnsi="宋体"/>
          <w:b/>
          <w:color w:val="000000" w:themeColor="text1"/>
          <w:szCs w:val="21"/>
          <w14:textFill>
            <w14:solidFill>
              <w14:schemeClr w14:val="tx1"/>
            </w14:solidFill>
          </w14:textFill>
        </w:rPr>
        <w:t>施工组织设计的内容总页数不得超过</w:t>
      </w:r>
      <w:r>
        <w:rPr>
          <w:rFonts w:ascii="宋体" w:hAnsi="宋体"/>
          <w:b/>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页。</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2.最后报价</w:t>
      </w:r>
      <w:r>
        <w:rPr>
          <w:rStyle w:val="48"/>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总价报价</w:t>
      </w:r>
      <w:r>
        <w:rPr>
          <w:rStyle w:val="48"/>
          <w:rFonts w:hint="eastAsia" w:ascii="宋体" w:hAnsi="宋体"/>
          <w:color w:val="000000" w:themeColor="text1"/>
          <w14:textFill>
            <w14:solidFill>
              <w14:schemeClr w14:val="tx1"/>
            </w14:solidFill>
          </w14:textFill>
        </w:rPr>
        <w:t>）</w:t>
      </w:r>
    </w:p>
    <w:p>
      <w:pPr>
        <w:spacing w:line="360" w:lineRule="auto"/>
        <w:ind w:firstLine="417" w:firstLineChars="199"/>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最终报价必须由</w:t>
      </w:r>
      <w:r>
        <w:rPr>
          <w:rFonts w:hint="eastAsia" w:ascii="宋体" w:hAnsi="宋体" w:cs="宋体"/>
          <w:b/>
          <w:bCs/>
          <w:color w:val="000000" w:themeColor="text1"/>
          <w:szCs w:val="21"/>
          <w:lang w:val="zh-CN"/>
          <w14:textFill>
            <w14:solidFill>
              <w14:schemeClr w14:val="tx1"/>
            </w14:solidFill>
          </w14:textFill>
        </w:rPr>
        <w:t>供应商</w:t>
      </w:r>
      <w:r>
        <w:rPr>
          <w:rFonts w:hint="eastAsia" w:ascii="宋体" w:hAnsi="宋体" w:cs="宋体"/>
          <w:b/>
          <w:bCs/>
          <w:color w:val="000000" w:themeColor="text1"/>
          <w:szCs w:val="21"/>
          <w14:textFill>
            <w14:solidFill>
              <w14:schemeClr w14:val="tx1"/>
            </w14:solidFill>
          </w14:textFill>
        </w:rPr>
        <w:t>的法定代表人签章，作为磋商响应文件的补充。如该</w:t>
      </w:r>
      <w:r>
        <w:rPr>
          <w:rFonts w:hint="eastAsia" w:ascii="宋体" w:hAnsi="宋体" w:cs="宋体"/>
          <w:b/>
          <w:bCs/>
          <w:color w:val="000000" w:themeColor="text1"/>
          <w:szCs w:val="21"/>
          <w:lang w:val="zh-CN"/>
          <w14:textFill>
            <w14:solidFill>
              <w14:schemeClr w14:val="tx1"/>
            </w14:solidFill>
          </w14:textFill>
        </w:rPr>
        <w:t>供应商</w:t>
      </w:r>
      <w:r>
        <w:rPr>
          <w:rFonts w:hint="eastAsia" w:ascii="宋体" w:hAnsi="宋体" w:cs="宋体"/>
          <w:b/>
          <w:bCs/>
          <w:color w:val="000000" w:themeColor="text1"/>
          <w:szCs w:val="21"/>
          <w14:textFill>
            <w14:solidFill>
              <w14:schemeClr w14:val="tx1"/>
            </w14:solidFill>
          </w14:textFill>
        </w:rPr>
        <w:t>成为成交供应商，则该</w:t>
      </w:r>
      <w:r>
        <w:rPr>
          <w:rFonts w:hint="eastAsia" w:ascii="宋体" w:hAnsi="宋体" w:cs="宋体"/>
          <w:b/>
          <w:bCs/>
          <w:color w:val="000000" w:themeColor="text1"/>
          <w:szCs w:val="21"/>
          <w:lang w:val="zh-CN"/>
          <w14:textFill>
            <w14:solidFill>
              <w14:schemeClr w14:val="tx1"/>
            </w14:solidFill>
          </w14:textFill>
        </w:rPr>
        <w:t>供应商</w:t>
      </w:r>
      <w:r>
        <w:rPr>
          <w:rFonts w:hint="eastAsia" w:ascii="宋体" w:hAnsi="宋体" w:cs="宋体"/>
          <w:b/>
          <w:bCs/>
          <w:color w:val="000000" w:themeColor="text1"/>
          <w:szCs w:val="21"/>
          <w14:textFill>
            <w14:solidFill>
              <w14:schemeClr w14:val="tx1"/>
            </w14:solidFill>
          </w14:textFill>
        </w:rPr>
        <w:t>的磋商响应文件（含所有补充资料）将作为合同的组成部分。（投标供应商首次报价和最终报价均不得超过最高限价）</w:t>
      </w:r>
    </w:p>
    <w:p>
      <w:pPr>
        <w:widowControl/>
        <w:autoSpaceDE w:val="0"/>
        <w:autoSpaceDN w:val="0"/>
        <w:adjustRightInd w:val="0"/>
        <w:spacing w:line="360" w:lineRule="auto"/>
        <w:ind w:right="85"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综合评分法中的价格分统一</w:t>
      </w:r>
      <w:r>
        <w:rPr>
          <w:rFonts w:hint="eastAsia" w:ascii="宋体" w:hAnsi="宋体" w:cs="宋体"/>
          <w:color w:val="000000" w:themeColor="text1"/>
          <w:szCs w:val="21"/>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pPr>
        <w:widowControl/>
        <w:autoSpaceDE w:val="0"/>
        <w:autoSpaceDN w:val="0"/>
        <w:adjustRightInd w:val="0"/>
        <w:spacing w:line="360" w:lineRule="auto"/>
        <w:ind w:right="85"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磋商报价得分</w:t>
      </w:r>
      <w:r>
        <w:rPr>
          <w:rFonts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磋商基准价</w:t>
      </w:r>
      <w:r>
        <w:rPr>
          <w:rFonts w:hint="eastAsia" w:ascii="宋体" w:hAnsi="宋体" w:cs="宋体"/>
          <w:color w:val="000000" w:themeColor="text1"/>
          <w:szCs w:val="21"/>
          <w:u w:val="single"/>
          <w14:textFill>
            <w14:solidFill>
              <w14:schemeClr w14:val="tx1"/>
            </w14:solidFill>
          </w14:textFill>
        </w:rPr>
        <w:t>／最后磋商报价</w:t>
      </w:r>
      <w:r>
        <w:rPr>
          <w:rFonts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4</w:t>
      </w:r>
      <w:r>
        <w:rPr>
          <w:rFonts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100</w:t>
      </w:r>
      <w:r>
        <w:rPr>
          <w:rFonts w:hint="eastAsia" w:ascii="宋体" w:hAnsi="宋体" w:cs="宋体"/>
          <w:color w:val="000000" w:themeColor="text1"/>
          <w:szCs w:val="21"/>
          <w:u w:val="single"/>
          <w14:textFill>
            <w14:solidFill>
              <w14:schemeClr w14:val="tx1"/>
            </w14:solidFill>
          </w14:textFill>
        </w:rPr>
        <w:t>。（小数点后保留2小数）</w:t>
      </w:r>
    </w:p>
    <w:p>
      <w:pPr>
        <w:widowControl/>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r>
        <w:rPr>
          <w:rFonts w:hint="eastAsia" w:ascii="宋体" w:hAnsi="宋体" w:cs="宋体"/>
          <w:b/>
          <w:bCs/>
          <w:color w:val="000000" w:themeColor="text1"/>
          <w:szCs w:val="21"/>
          <w:lang w:val="zh-CN"/>
          <w14:textFill>
            <w14:solidFill>
              <w14:schemeClr w14:val="tx1"/>
            </w14:solidFill>
          </w14:textFill>
        </w:rPr>
        <w:t>对于投标报价明显低于成本价，且</w:t>
      </w:r>
      <w:r>
        <w:rPr>
          <w:rFonts w:hint="eastAsia" w:ascii="宋体" w:hAnsi="宋体" w:cs="宋体"/>
          <w:b/>
          <w:bCs/>
          <w:color w:val="000000" w:themeColor="text1"/>
          <w:szCs w:val="21"/>
          <w14:textFill>
            <w14:solidFill>
              <w14:schemeClr w14:val="tx1"/>
            </w14:solidFill>
          </w14:textFill>
        </w:rPr>
        <w:t>投标人不能合理说明原因并提供证明材料的</w:t>
      </w:r>
      <w:r>
        <w:rPr>
          <w:rFonts w:hint="eastAsia" w:ascii="宋体" w:hAnsi="宋体" w:cs="宋体"/>
          <w:b/>
          <w:bCs/>
          <w:color w:val="000000" w:themeColor="text1"/>
          <w:szCs w:val="21"/>
          <w:lang w:val="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评标</w:t>
      </w:r>
      <w:r>
        <w:rPr>
          <w:rFonts w:hint="eastAsia" w:ascii="宋体" w:hAnsi="宋体" w:cs="宋体"/>
          <w:b/>
          <w:bCs/>
          <w:color w:val="000000" w:themeColor="text1"/>
          <w:szCs w:val="21"/>
          <w:lang w:val="zh-CN"/>
          <w14:textFill>
            <w14:solidFill>
              <w14:schemeClr w14:val="tx1"/>
            </w14:solidFill>
          </w14:textFill>
        </w:rPr>
        <w:t>小组认为其有可能影响商品质量和不能诚信履约的</w:t>
      </w:r>
      <w:r>
        <w:rPr>
          <w:rFonts w:hint="eastAsia" w:ascii="宋体" w:hAnsi="宋体" w:cs="宋体"/>
          <w:b/>
          <w:bCs/>
          <w:color w:val="000000" w:themeColor="text1"/>
          <w:szCs w:val="21"/>
          <w14:textFill>
            <w14:solidFill>
              <w14:schemeClr w14:val="tx1"/>
            </w14:solidFill>
          </w14:textFill>
        </w:rPr>
        <w:t>作</w:t>
      </w:r>
      <w:r>
        <w:rPr>
          <w:rFonts w:hint="eastAsia" w:ascii="宋体" w:hAnsi="宋体" w:cs="宋体"/>
          <w:b/>
          <w:bCs/>
          <w:color w:val="000000" w:themeColor="text1"/>
          <w:szCs w:val="21"/>
          <w:lang w:val="zh-CN"/>
          <w14:textFill>
            <w14:solidFill>
              <w14:schemeClr w14:val="tx1"/>
            </w14:solidFill>
          </w14:textFill>
        </w:rPr>
        <w:t>无效标处理。</w:t>
      </w:r>
      <w:r>
        <w:rPr>
          <w:rFonts w:hint="eastAsia" w:ascii="宋体" w:hAnsi="宋体" w:cs="宋体"/>
          <w:b/>
          <w:bCs/>
          <w:color w:val="000000" w:themeColor="text1"/>
          <w:szCs w:val="21"/>
          <w14:textFill>
            <w14:solidFill>
              <w14:schemeClr w14:val="tx1"/>
            </w14:solidFill>
          </w14:textFill>
        </w:rPr>
        <w:t>同时采购人或采购代理机构将该情况报同级财政部门，并视情将其列入不良供应商名单。</w:t>
      </w:r>
    </w:p>
    <w:p>
      <w:pPr>
        <w:pStyle w:val="73"/>
        <w:spacing w:line="360" w:lineRule="auto"/>
        <w:ind w:firstLine="420" w:firstLineChars="20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23"/>
        <w:snapToGrid w:val="0"/>
        <w:spacing w:line="360" w:lineRule="auto"/>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3.评审要求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(1)磋商小组应当按照磋商文件中规定的评审方法和标准，对符合性审查合格的响应文件的商务部分和技术部分进行综合比较与评价，其中</w:t>
      </w:r>
      <w:r>
        <w:rPr>
          <w:rFonts w:hint="eastAsia" w:ascii="宋体" w:hAnsi="宋体" w:cs="宋体"/>
          <w:color w:val="000000" w:themeColor="text1"/>
          <w:szCs w:val="21"/>
          <w:lang w:val="zh-CN"/>
          <w14:textFill>
            <w14:solidFill>
              <w14:schemeClr w14:val="tx1"/>
            </w14:solidFill>
          </w14:textFill>
        </w:rPr>
        <w:t>客观</w:t>
      </w:r>
      <w:r>
        <w:rPr>
          <w:rFonts w:hint="eastAsia" w:ascii="宋体" w:hAnsi="宋体" w:cs="宋体"/>
          <w:color w:val="000000" w:themeColor="text1"/>
          <w:szCs w:val="21"/>
          <w14:textFill>
            <w14:solidFill>
              <w14:schemeClr w14:val="tx1"/>
            </w14:solidFill>
          </w14:textFill>
        </w:rPr>
        <w:t>评分项的分值</w:t>
      </w:r>
      <w:r>
        <w:rPr>
          <w:rFonts w:hint="eastAsia" w:ascii="宋体" w:hAnsi="宋体" w:cs="宋体"/>
          <w:color w:val="000000" w:themeColor="text1"/>
          <w:szCs w:val="21"/>
          <w:lang w:val="zh-CN"/>
          <w14:textFill>
            <w14:solidFill>
              <w14:schemeClr w14:val="tx1"/>
            </w14:solidFill>
          </w14:textFill>
        </w:rPr>
        <w:t>应当一致。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（2）对于磋商响应文件中含义不明确、同类问题表述不一致或者有明显文字和计算错误的内容，磋商小组应当要求供应商作出必要的澄清、说明或者补正。</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（3）供应商的澄清（说明或者补正）采用书面形式，并加盖公章或者由法定代表人或授权代表签字，且不得超出磋商响应文件的范围或者改变磋商响应文件的实质性内容。</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（四）结果汇总及排序</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（五）编写评审报告</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磋商小组根据全体评审人员签字的原始记录和得分情况编写评审报告。</w:t>
      </w:r>
    </w:p>
    <w:p>
      <w:pPr>
        <w:pStyle w:val="73"/>
        <w:spacing w:line="360" w:lineRule="auto"/>
        <w:ind w:firstLine="420" w:firstLineChars="200"/>
        <w:jc w:val="both"/>
        <w:rPr>
          <w:rFonts w:ascii="宋体" w:hAnsi="宋体" w:eastAsia="宋体"/>
          <w:color w:val="000000" w:themeColor="text1"/>
          <w:sz w:val="21"/>
          <w:szCs w:val="21"/>
          <w14:textFill>
            <w14:solidFill>
              <w14:schemeClr w14:val="tx1"/>
            </w14:solidFill>
          </w14:textFill>
        </w:rPr>
      </w:pPr>
    </w:p>
    <w:p>
      <w:pPr>
        <w:pStyle w:val="73"/>
        <w:spacing w:line="360" w:lineRule="auto"/>
        <w:ind w:firstLine="420" w:firstLineChars="200"/>
        <w:jc w:val="both"/>
        <w:rPr>
          <w:rFonts w:ascii="宋体" w:hAnsi="宋体" w:eastAsia="宋体"/>
          <w:color w:val="000000" w:themeColor="text1"/>
          <w:sz w:val="21"/>
          <w:szCs w:val="21"/>
          <w14:textFill>
            <w14:solidFill>
              <w14:schemeClr w14:val="tx1"/>
            </w14:solidFill>
          </w14:textFill>
        </w:rPr>
      </w:pPr>
    </w:p>
    <w:p>
      <w:pPr>
        <w:pStyle w:val="73"/>
        <w:spacing w:line="360" w:lineRule="auto"/>
        <w:ind w:firstLine="440" w:firstLineChars="200"/>
        <w:jc w:val="both"/>
        <w:rPr>
          <w:color w:val="000000" w:themeColor="text1"/>
          <w14:textFill>
            <w14:solidFill>
              <w14:schemeClr w14:val="tx1"/>
            </w14:solidFill>
          </w14:textFill>
        </w:rPr>
      </w:pPr>
    </w:p>
    <w:p>
      <w:pPr>
        <w:pStyle w:val="73"/>
        <w:spacing w:line="360" w:lineRule="auto"/>
        <w:ind w:firstLine="440" w:firstLineChars="200"/>
        <w:jc w:val="both"/>
        <w:rPr>
          <w:color w:val="000000" w:themeColor="text1"/>
          <w14:textFill>
            <w14:solidFill>
              <w14:schemeClr w14:val="tx1"/>
            </w14:solidFill>
          </w14:textFill>
        </w:rPr>
      </w:pPr>
    </w:p>
    <w:p>
      <w:pPr>
        <w:pStyle w:val="73"/>
        <w:spacing w:line="360" w:lineRule="auto"/>
        <w:jc w:val="both"/>
        <w:rPr>
          <w:color w:val="000000" w:themeColor="text1"/>
          <w14:textFill>
            <w14:solidFill>
              <w14:schemeClr w14:val="tx1"/>
            </w14:solidFill>
          </w14:textFill>
        </w:rPr>
      </w:pPr>
    </w:p>
    <w:p>
      <w:pPr>
        <w:pStyle w:val="73"/>
        <w:spacing w:line="360" w:lineRule="auto"/>
        <w:ind w:firstLine="440" w:firstLineChars="200"/>
        <w:jc w:val="both"/>
        <w:rPr>
          <w:color w:val="000000" w:themeColor="text1"/>
          <w14:textFill>
            <w14:solidFill>
              <w14:schemeClr w14:val="tx1"/>
            </w14:solidFill>
          </w14:textFill>
        </w:rPr>
      </w:pPr>
    </w:p>
    <w:p>
      <w:pPr>
        <w:pStyle w:val="73"/>
        <w:spacing w:line="360" w:lineRule="auto"/>
        <w:ind w:firstLine="440" w:firstLineChars="200"/>
        <w:jc w:val="both"/>
        <w:rPr>
          <w:color w:val="000000" w:themeColor="text1"/>
          <w14:textFill>
            <w14:solidFill>
              <w14:schemeClr w14:val="tx1"/>
            </w14:solidFill>
          </w14:textFill>
        </w:rPr>
      </w:pPr>
    </w:p>
    <w:p>
      <w:pPr>
        <w:widowControl/>
        <w:jc w:val="left"/>
        <w:rPr>
          <w:rFonts w:ascii="Tahoma" w:hAnsi="Tahoma" w:eastAsia="微软雅黑" w:cstheme="minorBidi"/>
          <w:color w:val="000000" w:themeColor="text1"/>
          <w:kern w:val="0"/>
          <w:sz w:val="22"/>
          <w:szCs w:val="22"/>
          <w14:textFill>
            <w14:solidFill>
              <w14:schemeClr w14:val="tx1"/>
            </w14:solidFill>
          </w14:textFill>
        </w:rPr>
      </w:pPr>
      <w:r>
        <w:rPr>
          <w:color w:val="000000" w:themeColor="text1"/>
          <w14:textFill>
            <w14:solidFill>
              <w14:schemeClr w14:val="tx1"/>
            </w14:solidFill>
          </w14:textFill>
        </w:rPr>
        <w:br w:type="page"/>
      </w:r>
    </w:p>
    <w:p>
      <w:pPr>
        <w:spacing w:line="600" w:lineRule="exact"/>
        <w:jc w:val="center"/>
        <w:outlineLvl w:val="0"/>
        <w:rPr>
          <w:rFonts w:ascii="宋体" w:hAnsi="Courier New" w:cstheme="minorBidi"/>
          <w:b/>
          <w:color w:val="000000" w:themeColor="text1"/>
          <w:sz w:val="36"/>
          <w:szCs w:val="36"/>
          <w14:textFill>
            <w14:solidFill>
              <w14:schemeClr w14:val="tx1"/>
            </w14:solidFill>
          </w14:textFill>
        </w:rPr>
      </w:pPr>
      <w:bookmarkStart w:id="17" w:name="_Toc93048455"/>
      <w:r>
        <w:rPr>
          <w:rFonts w:hint="eastAsia" w:ascii="宋体" w:hAnsi="Courier New" w:cstheme="minorBidi"/>
          <w:b/>
          <w:color w:val="000000" w:themeColor="text1"/>
          <w:sz w:val="36"/>
          <w:szCs w:val="36"/>
          <w14:textFill>
            <w14:solidFill>
              <w14:schemeClr w14:val="tx1"/>
            </w14:solidFill>
          </w14:textFill>
        </w:rPr>
        <w:t>第五章  拟签订合同</w:t>
      </w:r>
      <w:bookmarkEnd w:id="17"/>
      <w:bookmarkStart w:id="18" w:name="_Toc349582008"/>
      <w:bookmarkStart w:id="19" w:name="_Toc246699731"/>
      <w:bookmarkStart w:id="20" w:name="_Toc249418715"/>
      <w:bookmarkStart w:id="21" w:name="_Toc39824990"/>
      <w:bookmarkStart w:id="22" w:name="_Toc355528818"/>
      <w:bookmarkStart w:id="23" w:name="_Toc320813352"/>
      <w:bookmarkStart w:id="24" w:name="_Toc246867719"/>
      <w:bookmarkStart w:id="25" w:name="_Toc240381163"/>
      <w:bookmarkStart w:id="26" w:name="_Toc356303051"/>
      <w:bookmarkStart w:id="27" w:name="_Toc246699480"/>
    </w:p>
    <w:bookmarkEnd w:id="18"/>
    <w:bookmarkEnd w:id="19"/>
    <w:bookmarkEnd w:id="20"/>
    <w:bookmarkEnd w:id="21"/>
    <w:bookmarkEnd w:id="22"/>
    <w:bookmarkEnd w:id="23"/>
    <w:bookmarkEnd w:id="24"/>
    <w:bookmarkEnd w:id="25"/>
    <w:bookmarkEnd w:id="26"/>
    <w:bookmarkEnd w:id="27"/>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bookmarkStart w:id="28" w:name="_Toc24088"/>
      <w:r>
        <w:rPr>
          <w:rFonts w:hint="eastAsia" w:ascii="宋体" w:hAnsi="宋体" w:cs="Arial"/>
          <w:b/>
          <w:color w:val="000000" w:themeColor="text1"/>
          <w14:textFill>
            <w14:solidFill>
              <w14:schemeClr w14:val="tx1"/>
            </w14:solidFill>
          </w14:textFill>
        </w:rPr>
        <w:t>第一节  通用合同条款</w:t>
      </w:r>
      <w:bookmarkEnd w:id="28"/>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“通用合同条款”采用《标准施工招标文件》第四章第一节“通用合同条款”。</w:t>
      </w: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bookmarkStart w:id="29" w:name="_Toc571"/>
      <w:r>
        <w:rPr>
          <w:rFonts w:hint="eastAsia" w:ascii="宋体" w:hAnsi="宋体" w:cs="Arial"/>
          <w:b/>
          <w:color w:val="000000" w:themeColor="text1"/>
          <w14:textFill>
            <w14:solidFill>
              <w14:schemeClr w14:val="tx1"/>
            </w14:solidFill>
          </w14:textFill>
        </w:rPr>
        <w:t>第二节 专用合同条款</w:t>
      </w:r>
      <w:bookmarkEnd w:id="29"/>
    </w:p>
    <w:p>
      <w:pPr>
        <w:ind w:left="420"/>
        <w:jc w:val="center"/>
        <w:rPr>
          <w:rFonts w:ascii="宋体" w:hAnsi="宋体" w:cs="宋体"/>
          <w:color w:val="000000" w:themeColor="text1"/>
          <w:szCs w:val="21"/>
          <w14:textFill>
            <w14:solidFill>
              <w14:schemeClr w14:val="tx1"/>
            </w14:solidFill>
          </w14:textFill>
        </w:rPr>
      </w:pPr>
    </w:p>
    <w:p>
      <w:pPr>
        <w:snapToGrid w:val="0"/>
        <w:spacing w:before="120" w:beforeLines="50" w:line="360" w:lineRule="auto"/>
        <w:jc w:val="left"/>
        <w:outlineLvl w:val="2"/>
        <w:rPr>
          <w:rFonts w:ascii="宋体" w:hAnsi="宋体" w:cs="Arial"/>
          <w:bCs/>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napToGrid w:val="0"/>
        <w:spacing w:before="120" w:beforeLines="50" w:line="360" w:lineRule="auto"/>
        <w:jc w:val="left"/>
        <w:outlineLvl w:val="2"/>
        <w:rPr>
          <w:rFonts w:ascii="宋体" w:hAnsi="宋体" w:cs="Arial"/>
          <w:b/>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before="120" w:beforeLines="50" w:line="360" w:lineRule="auto"/>
        <w:jc w:val="left"/>
        <w:outlineLvl w:val="2"/>
        <w:rPr>
          <w:rFonts w:ascii="宋体" w:hAnsi="宋体" w:cs="Arial"/>
          <w:b/>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left"/>
        <w:rPr>
          <w:color w:val="000000" w:themeColor="text1"/>
          <w14:textFill>
            <w14:solidFill>
              <w14:schemeClr w14:val="tx1"/>
            </w14:solidFill>
          </w14:textFill>
        </w:rPr>
      </w:pPr>
    </w:p>
    <w:p>
      <w:pPr>
        <w:ind w:left="42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A．公路工程专用合同条款</w:t>
      </w:r>
    </w:p>
    <w:p>
      <w:pPr>
        <w:pStyle w:val="4"/>
        <w:spacing w:before="360" w:beforeLines="150" w:after="480" w:line="400" w:lineRule="exact"/>
        <w:jc w:val="both"/>
        <w:rPr>
          <w:color w:val="000000" w:themeColor="text1"/>
          <w:sz w:val="28"/>
          <w:szCs w:val="28"/>
          <w:lang w:val="zh-CN" w:eastAsia="zh-CN"/>
          <w14:textFill>
            <w14:solidFill>
              <w14:schemeClr w14:val="tx1"/>
            </w14:solidFill>
          </w14:textFill>
        </w:rPr>
      </w:pPr>
      <w:bookmarkStart w:id="30" w:name="_Toc498542927"/>
      <w:bookmarkStart w:id="31" w:name="_Toc70689257"/>
      <w:bookmarkStart w:id="32" w:name="_Toc468702616"/>
      <w:r>
        <w:rPr>
          <w:color w:val="000000" w:themeColor="text1"/>
          <w:sz w:val="28"/>
          <w:szCs w:val="28"/>
          <w:lang w:val="zh-CN" w:eastAsia="zh-CN"/>
          <w14:textFill>
            <w14:solidFill>
              <w14:schemeClr w14:val="tx1"/>
            </w14:solidFill>
          </w14:textFill>
        </w:rPr>
        <w:t>1．一般约定</w:t>
      </w:r>
      <w:bookmarkEnd w:id="30"/>
      <w:bookmarkEnd w:id="31"/>
      <w:bookmarkEnd w:id="32"/>
    </w:p>
    <w:p>
      <w:pPr>
        <w:snapToGrid w:val="0"/>
        <w:spacing w:line="400" w:lineRule="exact"/>
        <w:outlineLvl w:val="3"/>
        <w:rPr>
          <w:color w:val="000000" w:themeColor="text1"/>
          <w:sz w:val="24"/>
          <w:szCs w:val="20"/>
          <w14:textFill>
            <w14:solidFill>
              <w14:schemeClr w14:val="tx1"/>
            </w14:solidFill>
          </w14:textFill>
        </w:rPr>
      </w:pPr>
      <w:bookmarkStart w:id="33" w:name="_Toc262031804"/>
      <w:bookmarkStart w:id="34" w:name="_Toc468702617"/>
      <w:bookmarkStart w:id="35" w:name="_Toc421630639"/>
      <w:bookmarkStart w:id="36" w:name="_Toc245538754"/>
      <w:bookmarkStart w:id="37" w:name="_Toc441002317"/>
      <w:bookmarkStart w:id="38" w:name="_Toc263889192"/>
      <w:bookmarkStart w:id="39" w:name="_Toc498542928"/>
      <w:bookmarkStart w:id="40" w:name="_Toc262895864"/>
      <w:bookmarkStart w:id="41" w:name="_Toc70689258"/>
      <w:bookmarkStart w:id="42" w:name="_Toc234382842"/>
      <w:r>
        <w:rPr>
          <w:bCs/>
          <w:color w:val="000000" w:themeColor="text1"/>
          <w:kern w:val="44"/>
          <w:szCs w:val="21"/>
          <w14:textFill>
            <w14:solidFill>
              <w14:schemeClr w14:val="tx1"/>
            </w14:solidFill>
          </w14:textFill>
        </w:rPr>
        <w:t>1.1词语定义</w:t>
      </w:r>
      <w:bookmarkEnd w:id="33"/>
      <w:bookmarkEnd w:id="34"/>
      <w:bookmarkEnd w:id="35"/>
      <w:bookmarkEnd w:id="36"/>
      <w:bookmarkEnd w:id="37"/>
      <w:bookmarkEnd w:id="38"/>
      <w:bookmarkEnd w:id="39"/>
      <w:bookmarkEnd w:id="40"/>
      <w:bookmarkEnd w:id="41"/>
      <w:bookmarkEnd w:id="4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1.1.1合同</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第1.1.1.6目细化为：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技术规范：为本合同所约定的技术标准和要求，是合同文件的组成部分。通用合同条款中“技术标准和要求”一词具有相同含义。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第1.1.1.8目细化为：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本项补充第1.1.1.10目：</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1.1.1.10补遗书：指发出招标文件之后由招标人向已取得招标文件的投标人发出的、编号的对招标文件所作的澄清、修改书。</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1.1.2合同当事人和人员</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本项补充第1.1.2.8目：</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1.1.2.8 承包人项目总工：指由承包人书面委派常驻现场负责管理本合同工程的总工程师或技术总负责人。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1.1.3 工程和设备</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第1.1.3.4目细化为：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单位工程：指在建设项目中，根据签订的合同，具有独立施工条件的工程。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1.1.3.10目细化为：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永久占地：指为实施本合同工程而需要的一切永久占用的土地，包括公路两侧路权范围内的用地。</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第1.1.3.11目细化为：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本项补充第1.1.3.12目、第1.1.3.13目：</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1.1.3.12 分部工程：指在单位工程中，按结构部位、路段长度及施工特点或施工任务划分的若干个工程。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1.1.3.13 分项工程：指在分部工程中，按不同的施工方法、材料、工序及路段长度等划分的若干个过程。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 其他</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本项补充第1.1.6.2目～第1.1.6.9目：</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1.1.6.2 竣工验收：指《公路工程竣（交）工验收办法》中的竣工验收。通用合同条款中“国家验收”一词具有相同含义。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1.1.6.3 交工：指《公路工程竣（交）工验收办法》中的交工。通用合同条款中“竣工”一词具有相同含义。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1.1.6.4 交工验收：指《公路工程竣（交）工验收办法》中的交工验收。通用合同条款中“竣工验收”一词具有相同含义。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1.1.6.5 交工验收证书：指《公路工程竣（交）工验收办法》中的交工验收证书。通用合同条款中“工程接收证书”一词具有相同含义。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1.1.6.7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1.1.6.9 雇佣民工：指承包人与具有相应劳动能力的自然人签订劳动合同，由承包人统一组织管理，从事分项工程施工或配套工程施工的行为。</w:t>
      </w:r>
    </w:p>
    <w:p>
      <w:pPr>
        <w:snapToGrid w:val="0"/>
        <w:spacing w:line="400" w:lineRule="exact"/>
        <w:outlineLvl w:val="3"/>
        <w:rPr>
          <w:bCs/>
          <w:color w:val="000000" w:themeColor="text1"/>
          <w:kern w:val="44"/>
          <w:szCs w:val="21"/>
          <w14:textFill>
            <w14:solidFill>
              <w14:schemeClr w14:val="tx1"/>
            </w14:solidFill>
          </w14:textFill>
        </w:rPr>
      </w:pPr>
      <w:bookmarkStart w:id="43" w:name="_Toc70689259"/>
      <w:bookmarkStart w:id="44" w:name="_Toc234382843"/>
      <w:bookmarkStart w:id="45" w:name="_Toc441002318"/>
      <w:bookmarkStart w:id="46" w:name="_Toc421630640"/>
      <w:bookmarkStart w:id="47" w:name="_Toc245538755"/>
      <w:bookmarkStart w:id="48" w:name="_Toc498542929"/>
      <w:bookmarkStart w:id="49" w:name="_Toc468702618"/>
      <w:bookmarkStart w:id="50" w:name="_Toc263889193"/>
      <w:bookmarkStart w:id="51" w:name="_Toc262895865"/>
      <w:bookmarkStart w:id="52" w:name="_Toc262031805"/>
      <w:r>
        <w:rPr>
          <w:bCs/>
          <w:color w:val="000000" w:themeColor="text1"/>
          <w:kern w:val="44"/>
          <w:szCs w:val="21"/>
          <w14:textFill>
            <w14:solidFill>
              <w14:schemeClr w14:val="tx1"/>
            </w14:solidFill>
          </w14:textFill>
        </w:rPr>
        <w:t>1.4合同文件的优先顺序</w:t>
      </w:r>
      <w:bookmarkEnd w:id="43"/>
      <w:bookmarkEnd w:id="44"/>
      <w:bookmarkEnd w:id="45"/>
      <w:bookmarkEnd w:id="46"/>
      <w:bookmarkEnd w:id="47"/>
      <w:bookmarkEnd w:id="48"/>
      <w:bookmarkEnd w:id="49"/>
      <w:bookmarkEnd w:id="50"/>
      <w:bookmarkEnd w:id="51"/>
      <w:bookmarkEnd w:id="5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组成合同的各项文件应互相解释，互为说明。除项目专用合同条款另有约定外，解释合同文件的优先顺序如下：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（1）合同协议书及各种合同附件（含评标期间和合同谈判过程中的澄清文件和补充资料）；</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（2）中标通知书；</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（3）投标函及投标函附录；</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（4）项目专用合同条款；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（5）公路工程专用合同条款；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（6）通用合同条款；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（7）技术规范；</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（8）图纸；</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（9）已标价工程量清单；</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（10）承包人有关人员、设备投入的承诺及投标文件中的施工组织设计；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（11）其他合同文件。</w:t>
      </w:r>
    </w:p>
    <w:p>
      <w:pPr>
        <w:snapToGrid w:val="0"/>
        <w:spacing w:line="400" w:lineRule="exact"/>
        <w:outlineLvl w:val="3"/>
        <w:rPr>
          <w:bCs/>
          <w:color w:val="000000" w:themeColor="text1"/>
          <w:kern w:val="44"/>
          <w:szCs w:val="21"/>
          <w14:textFill>
            <w14:solidFill>
              <w14:schemeClr w14:val="tx1"/>
            </w14:solidFill>
          </w14:textFill>
        </w:rPr>
      </w:pPr>
      <w:bookmarkStart w:id="53" w:name="_Toc498542930"/>
      <w:bookmarkStart w:id="54" w:name="_Toc421630641"/>
      <w:bookmarkStart w:id="55" w:name="_Toc245538756"/>
      <w:bookmarkStart w:id="56" w:name="_Toc441002319"/>
      <w:bookmarkStart w:id="57" w:name="_Toc262031806"/>
      <w:bookmarkStart w:id="58" w:name="_Toc70689260"/>
      <w:bookmarkStart w:id="59" w:name="_Toc263889194"/>
      <w:bookmarkStart w:id="60" w:name="_Toc468702619"/>
      <w:bookmarkStart w:id="61" w:name="_Toc234382844"/>
      <w:bookmarkStart w:id="62" w:name="_Toc262895866"/>
      <w:r>
        <w:rPr>
          <w:bCs/>
          <w:color w:val="000000" w:themeColor="text1"/>
          <w:kern w:val="44"/>
          <w:szCs w:val="21"/>
          <w14:textFill>
            <w14:solidFill>
              <w14:schemeClr w14:val="tx1"/>
            </w14:solidFill>
          </w14:textFill>
        </w:rPr>
        <w:t>1.5合同协议书</w:t>
      </w:r>
      <w:bookmarkEnd w:id="53"/>
      <w:bookmarkEnd w:id="54"/>
      <w:bookmarkEnd w:id="55"/>
      <w:bookmarkEnd w:id="56"/>
      <w:bookmarkEnd w:id="57"/>
      <w:bookmarkEnd w:id="58"/>
      <w:bookmarkEnd w:id="59"/>
      <w:bookmarkEnd w:id="60"/>
      <w:bookmarkEnd w:id="61"/>
      <w:bookmarkEnd w:id="6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在合同协议书签订并生效之前，投标函和中标通知书将对双方具有约束力。</w:t>
      </w:r>
    </w:p>
    <w:p>
      <w:pPr>
        <w:snapToGrid w:val="0"/>
        <w:spacing w:line="400" w:lineRule="exact"/>
        <w:outlineLvl w:val="3"/>
        <w:rPr>
          <w:bCs/>
          <w:color w:val="000000" w:themeColor="text1"/>
          <w:kern w:val="44"/>
          <w:szCs w:val="21"/>
          <w14:textFill>
            <w14:solidFill>
              <w14:schemeClr w14:val="tx1"/>
            </w14:solidFill>
          </w14:textFill>
        </w:rPr>
      </w:pPr>
      <w:bookmarkStart w:id="63" w:name="_Toc245538757"/>
      <w:bookmarkStart w:id="64" w:name="_Toc70689261"/>
      <w:bookmarkStart w:id="65" w:name="_Toc263889195"/>
      <w:bookmarkStart w:id="66" w:name="_Toc234382845"/>
      <w:bookmarkStart w:id="67" w:name="_Toc421630642"/>
      <w:bookmarkStart w:id="68" w:name="_Toc498542931"/>
      <w:bookmarkStart w:id="69" w:name="_Toc262031807"/>
      <w:bookmarkStart w:id="70" w:name="_Toc441002320"/>
      <w:bookmarkStart w:id="71" w:name="_Toc262895867"/>
      <w:bookmarkStart w:id="72" w:name="_Toc468702620"/>
      <w:r>
        <w:rPr>
          <w:bCs/>
          <w:color w:val="000000" w:themeColor="text1"/>
          <w:kern w:val="44"/>
          <w:szCs w:val="21"/>
          <w14:textFill>
            <w14:solidFill>
              <w14:schemeClr w14:val="tx1"/>
            </w14:solidFill>
          </w14:textFill>
        </w:rPr>
        <w:t>1.6图纸和承包人文件</w:t>
      </w:r>
      <w:bookmarkEnd w:id="63"/>
      <w:bookmarkEnd w:id="64"/>
      <w:bookmarkEnd w:id="65"/>
      <w:bookmarkEnd w:id="66"/>
      <w:bookmarkEnd w:id="67"/>
      <w:bookmarkEnd w:id="68"/>
      <w:bookmarkEnd w:id="69"/>
      <w:bookmarkEnd w:id="70"/>
      <w:bookmarkEnd w:id="71"/>
      <w:bookmarkEnd w:id="72"/>
    </w:p>
    <w:p>
      <w:pPr>
        <w:spacing w:line="360" w:lineRule="exact"/>
        <w:ind w:firstLine="420" w:firstLineChars="200"/>
        <w:rPr>
          <w:color w:val="000000" w:themeColor="text1"/>
          <w14:textFill>
            <w14:solidFill>
              <w14:schemeClr w14:val="tx1"/>
            </w14:solidFill>
          </w14:textFill>
        </w:rPr>
      </w:pPr>
      <w:bookmarkStart w:id="73" w:name="_Toc262031808"/>
      <w:r>
        <w:rPr>
          <w:color w:val="000000" w:themeColor="text1"/>
          <w14:textFill>
            <w14:solidFill>
              <w14:schemeClr w14:val="tx1"/>
            </w14:solidFill>
          </w14:textFill>
        </w:rPr>
        <w:t>1.6.1 图纸的提供</w:t>
      </w:r>
      <w:bookmarkEnd w:id="7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1.6.2承包人提供的文件</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（1）为使第1.6.1项所述的施工图纸适合于经施工测量后的纵、横断面；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（2）为使第1.6.1项所述的施工图纸适合于现场具体地形；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（3）为使第1.6.1项所述的施工图纸适合于因尺寸与位置变化而引起局部变更；</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（4）由于合同要求与施工需要。</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1.6.4图纸的错误</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snapToGrid w:val="0"/>
        <w:spacing w:line="400" w:lineRule="exact"/>
        <w:outlineLvl w:val="3"/>
        <w:rPr>
          <w:bCs/>
          <w:color w:val="000000" w:themeColor="text1"/>
          <w:kern w:val="44"/>
          <w:szCs w:val="21"/>
          <w14:textFill>
            <w14:solidFill>
              <w14:schemeClr w14:val="tx1"/>
            </w14:solidFill>
          </w14:textFill>
        </w:rPr>
      </w:pPr>
      <w:bookmarkStart w:id="74" w:name="_Toc234382846"/>
      <w:bookmarkStart w:id="75" w:name="_Toc263889196"/>
      <w:bookmarkStart w:id="76" w:name="_Toc262895868"/>
      <w:bookmarkStart w:id="77" w:name="_Toc421630643"/>
      <w:bookmarkStart w:id="78" w:name="_Toc70689262"/>
      <w:bookmarkStart w:id="79" w:name="_Toc245538758"/>
      <w:bookmarkStart w:id="80" w:name="_Toc441002321"/>
      <w:bookmarkStart w:id="81" w:name="_Toc498542932"/>
      <w:bookmarkStart w:id="82" w:name="_Toc468702621"/>
      <w:bookmarkStart w:id="83" w:name="_Toc262031809"/>
      <w:r>
        <w:rPr>
          <w:bCs/>
          <w:color w:val="000000" w:themeColor="text1"/>
          <w:kern w:val="44"/>
          <w:szCs w:val="21"/>
          <w14:textFill>
            <w14:solidFill>
              <w14:schemeClr w14:val="tx1"/>
            </w14:solidFill>
          </w14:textFill>
        </w:rPr>
        <w:t>1.9严禁贿赂</w:t>
      </w:r>
      <w:bookmarkEnd w:id="74"/>
      <w:bookmarkEnd w:id="75"/>
      <w:bookmarkEnd w:id="76"/>
      <w:bookmarkEnd w:id="77"/>
      <w:bookmarkEnd w:id="78"/>
      <w:bookmarkEnd w:id="79"/>
      <w:bookmarkEnd w:id="80"/>
      <w:bookmarkEnd w:id="81"/>
      <w:bookmarkEnd w:id="82"/>
      <w:bookmarkEnd w:id="8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害、发包人的经济损失等承担一切责任，并予赔偿。情节严重者，发包人有权终止承包人在本合同项下的承包。</w:t>
      </w:r>
    </w:p>
    <w:p>
      <w:pPr>
        <w:pStyle w:val="4"/>
        <w:spacing w:before="360" w:beforeLines="150" w:after="480" w:line="400" w:lineRule="exact"/>
        <w:jc w:val="left"/>
        <w:rPr>
          <w:color w:val="000000" w:themeColor="text1"/>
          <w:sz w:val="28"/>
          <w:szCs w:val="28"/>
          <w14:textFill>
            <w14:solidFill>
              <w14:schemeClr w14:val="tx1"/>
            </w14:solidFill>
          </w14:textFill>
        </w:rPr>
      </w:pPr>
      <w:bookmarkStart w:id="84" w:name="_Toc70689263"/>
      <w:bookmarkStart w:id="85" w:name="_Toc498542933"/>
      <w:bookmarkStart w:id="86" w:name="_Toc468702622"/>
      <w:bookmarkStart w:id="87" w:name="_Toc441002322"/>
      <w:bookmarkStart w:id="88" w:name="_Toc262895869"/>
      <w:bookmarkStart w:id="89" w:name="_Toc421630644"/>
      <w:bookmarkStart w:id="90" w:name="_Toc263889197"/>
      <w:bookmarkStart w:id="91" w:name="_Toc262031810"/>
      <w:bookmarkStart w:id="92" w:name="_Toc245538759"/>
      <w:bookmarkStart w:id="93" w:name="_Toc234382847"/>
      <w:r>
        <w:rPr>
          <w:color w:val="000000" w:themeColor="text1"/>
          <w:sz w:val="28"/>
          <w:szCs w:val="28"/>
          <w14:textFill>
            <w14:solidFill>
              <w14:schemeClr w14:val="tx1"/>
            </w14:solidFill>
          </w14:textFill>
        </w:rPr>
        <w:t>2．发包人义务</w:t>
      </w:r>
      <w:bookmarkEnd w:id="84"/>
      <w:bookmarkEnd w:id="85"/>
      <w:bookmarkEnd w:id="86"/>
      <w:bookmarkEnd w:id="87"/>
      <w:bookmarkEnd w:id="88"/>
      <w:bookmarkEnd w:id="89"/>
      <w:bookmarkEnd w:id="90"/>
      <w:bookmarkEnd w:id="91"/>
      <w:bookmarkEnd w:id="92"/>
      <w:bookmarkEnd w:id="93"/>
    </w:p>
    <w:p>
      <w:pPr>
        <w:snapToGrid w:val="0"/>
        <w:spacing w:line="400" w:lineRule="exact"/>
        <w:outlineLvl w:val="3"/>
        <w:rPr>
          <w:bCs/>
          <w:color w:val="000000" w:themeColor="text1"/>
          <w:kern w:val="44"/>
          <w:szCs w:val="21"/>
          <w14:textFill>
            <w14:solidFill>
              <w14:schemeClr w14:val="tx1"/>
            </w14:solidFill>
          </w14:textFill>
        </w:rPr>
      </w:pPr>
      <w:bookmarkStart w:id="94" w:name="_Toc263889198"/>
      <w:bookmarkStart w:id="95" w:name="_Toc262895870"/>
      <w:bookmarkStart w:id="96" w:name="_Toc468702623"/>
      <w:bookmarkStart w:id="97" w:name="_Toc70689264"/>
      <w:bookmarkStart w:id="98" w:name="_Toc245538760"/>
      <w:bookmarkStart w:id="99" w:name="_Toc234382848"/>
      <w:bookmarkStart w:id="100" w:name="_Toc262031811"/>
      <w:bookmarkStart w:id="101" w:name="_Toc441002323"/>
      <w:bookmarkStart w:id="102" w:name="_Toc498542934"/>
      <w:bookmarkStart w:id="103" w:name="_Toc421630645"/>
      <w:r>
        <w:rPr>
          <w:bCs/>
          <w:color w:val="000000" w:themeColor="text1"/>
          <w:kern w:val="44"/>
          <w:szCs w:val="21"/>
          <w14:textFill>
            <w14:solidFill>
              <w14:schemeClr w14:val="tx1"/>
            </w14:solidFill>
          </w14:textFill>
        </w:rPr>
        <w:t>2.3提供施工场地</w:t>
      </w:r>
      <w:bookmarkEnd w:id="94"/>
      <w:bookmarkEnd w:id="95"/>
      <w:bookmarkEnd w:id="96"/>
      <w:bookmarkEnd w:id="97"/>
      <w:bookmarkEnd w:id="98"/>
      <w:bookmarkEnd w:id="99"/>
      <w:bookmarkEnd w:id="100"/>
      <w:bookmarkEnd w:id="101"/>
      <w:bookmarkEnd w:id="102"/>
      <w:bookmarkEnd w:id="10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4"/>
        <w:spacing w:before="360" w:beforeLines="150" w:after="480" w:line="400" w:lineRule="exact"/>
        <w:jc w:val="left"/>
        <w:rPr>
          <w:color w:val="000000" w:themeColor="text1"/>
          <w:sz w:val="28"/>
          <w:szCs w:val="28"/>
          <w14:textFill>
            <w14:solidFill>
              <w14:schemeClr w14:val="tx1"/>
            </w14:solidFill>
          </w14:textFill>
        </w:rPr>
      </w:pPr>
      <w:bookmarkStart w:id="104" w:name="_Toc234382849"/>
      <w:bookmarkStart w:id="105" w:name="_Toc468702624"/>
      <w:bookmarkStart w:id="106" w:name="_Toc262895871"/>
      <w:bookmarkStart w:id="107" w:name="_Toc245538761"/>
      <w:bookmarkStart w:id="108" w:name="_Toc441002324"/>
      <w:bookmarkStart w:id="109" w:name="_Toc70689265"/>
      <w:bookmarkStart w:id="110" w:name="_Toc263889199"/>
      <w:bookmarkStart w:id="111" w:name="_Toc421630646"/>
      <w:bookmarkStart w:id="112" w:name="_Toc262031812"/>
      <w:bookmarkStart w:id="113" w:name="_Toc498542935"/>
      <w:r>
        <w:rPr>
          <w:color w:val="000000" w:themeColor="text1"/>
          <w:sz w:val="28"/>
          <w:szCs w:val="28"/>
          <w14:textFill>
            <w14:solidFill>
              <w14:schemeClr w14:val="tx1"/>
            </w14:solidFill>
          </w14:textFill>
        </w:rPr>
        <w:t>3．监理人</w:t>
      </w:r>
      <w:bookmarkEnd w:id="104"/>
      <w:bookmarkEnd w:id="105"/>
      <w:bookmarkEnd w:id="106"/>
      <w:bookmarkEnd w:id="107"/>
      <w:bookmarkEnd w:id="108"/>
      <w:bookmarkEnd w:id="109"/>
      <w:bookmarkEnd w:id="110"/>
      <w:bookmarkEnd w:id="111"/>
      <w:bookmarkEnd w:id="112"/>
      <w:bookmarkEnd w:id="113"/>
    </w:p>
    <w:p>
      <w:pPr>
        <w:snapToGrid w:val="0"/>
        <w:spacing w:line="400" w:lineRule="exact"/>
        <w:outlineLvl w:val="3"/>
        <w:rPr>
          <w:bCs/>
          <w:color w:val="000000" w:themeColor="text1"/>
          <w:kern w:val="44"/>
          <w:szCs w:val="21"/>
          <w14:textFill>
            <w14:solidFill>
              <w14:schemeClr w14:val="tx1"/>
            </w14:solidFill>
          </w14:textFill>
        </w:rPr>
      </w:pPr>
      <w:bookmarkStart w:id="114" w:name="_Toc498542936"/>
      <w:bookmarkStart w:id="115" w:name="_Toc234382850"/>
      <w:bookmarkStart w:id="116" w:name="_Toc421630647"/>
      <w:bookmarkStart w:id="117" w:name="_Toc468702625"/>
      <w:bookmarkStart w:id="118" w:name="_Toc262031813"/>
      <w:bookmarkStart w:id="119" w:name="_Toc262895872"/>
      <w:bookmarkStart w:id="120" w:name="_Toc263889200"/>
      <w:bookmarkStart w:id="121" w:name="_Toc441002325"/>
      <w:bookmarkStart w:id="122" w:name="_Toc70689266"/>
      <w:bookmarkStart w:id="123" w:name="_Toc245538762"/>
      <w:r>
        <w:rPr>
          <w:bCs/>
          <w:color w:val="000000" w:themeColor="text1"/>
          <w:kern w:val="44"/>
          <w:szCs w:val="21"/>
          <w14:textFill>
            <w14:solidFill>
              <w14:schemeClr w14:val="tx1"/>
            </w14:solidFill>
          </w14:textFill>
        </w:rPr>
        <w:t>3.1监理人的职责和权力</w:t>
      </w:r>
      <w:bookmarkEnd w:id="114"/>
      <w:bookmarkEnd w:id="115"/>
      <w:bookmarkEnd w:id="116"/>
      <w:bookmarkEnd w:id="117"/>
      <w:bookmarkEnd w:id="118"/>
      <w:bookmarkEnd w:id="119"/>
      <w:bookmarkEnd w:id="120"/>
      <w:bookmarkEnd w:id="121"/>
      <w:bookmarkEnd w:id="122"/>
      <w:bookmarkEnd w:id="12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第3.1.1项补充：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监理人在行使下列权力前需要经发包人事先批准：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（1）根据第4.3款，同意分包本工程的某些非主体和非关键性工作；</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（2）确定第4.11款下产生的费用增加额；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（3）根据第11.1款、第12.3款、第12.4款发布开工通知、暂停施工指示或复工通知；</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（4）决定第11.3款、第11.4款下的工期延长；</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（5）审查批准技术规范或设计的变更；</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（6）根据第15.3款发出的变更指令，其单项工程变更或累计变更涉及的金额超过了项目专用合同条款数据表中规定的金额；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（7）确定第15.4款下变更工作的单价；</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（8）按照第15.6款决定有关暂列金额的使用；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（9）确定第15.8款项下的暂估价金额；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（10）确定第23.1款项下的索赔额。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snapToGrid w:val="0"/>
        <w:spacing w:line="400" w:lineRule="exact"/>
        <w:outlineLvl w:val="3"/>
        <w:rPr>
          <w:bCs/>
          <w:color w:val="000000" w:themeColor="text1"/>
          <w:kern w:val="44"/>
          <w:szCs w:val="21"/>
          <w14:textFill>
            <w14:solidFill>
              <w14:schemeClr w14:val="tx1"/>
            </w14:solidFill>
          </w14:textFill>
        </w:rPr>
      </w:pPr>
      <w:bookmarkStart w:id="124" w:name="_Toc70689267"/>
      <w:bookmarkStart w:id="125" w:name="_Toc468702626"/>
      <w:bookmarkStart w:id="126" w:name="_Toc245538763"/>
      <w:bookmarkStart w:id="127" w:name="_Toc421630648"/>
      <w:bookmarkStart w:id="128" w:name="_Toc262031814"/>
      <w:bookmarkStart w:id="129" w:name="_Toc441002326"/>
      <w:bookmarkStart w:id="130" w:name="_Toc498542937"/>
      <w:bookmarkStart w:id="131" w:name="_Toc262895873"/>
      <w:bookmarkStart w:id="132" w:name="_Toc234382851"/>
      <w:bookmarkStart w:id="133" w:name="_Toc263889201"/>
      <w:r>
        <w:rPr>
          <w:bCs/>
          <w:color w:val="000000" w:themeColor="text1"/>
          <w:kern w:val="44"/>
          <w:szCs w:val="21"/>
          <w14:textFill>
            <w14:solidFill>
              <w14:schemeClr w14:val="tx1"/>
            </w14:solidFill>
          </w14:textFill>
        </w:rPr>
        <w:t>3.5商定或确定</w:t>
      </w:r>
      <w:bookmarkEnd w:id="124"/>
      <w:bookmarkEnd w:id="125"/>
      <w:bookmarkEnd w:id="126"/>
      <w:bookmarkEnd w:id="127"/>
      <w:bookmarkEnd w:id="128"/>
      <w:bookmarkEnd w:id="129"/>
      <w:bookmarkEnd w:id="130"/>
      <w:bookmarkEnd w:id="131"/>
      <w:bookmarkEnd w:id="132"/>
      <w:bookmarkEnd w:id="13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第3.5.1 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如果这项商定或确定导致费用增加和（或）工期延长，或者涉及确定变更工程的价格，则总监理工程师在发出通知前，应征得发包人的同意。</w:t>
      </w:r>
    </w:p>
    <w:p>
      <w:pPr>
        <w:pStyle w:val="4"/>
        <w:spacing w:before="360" w:beforeLines="150" w:after="480" w:line="400" w:lineRule="exact"/>
        <w:jc w:val="both"/>
        <w:rPr>
          <w:color w:val="000000" w:themeColor="text1"/>
          <w:sz w:val="28"/>
          <w:szCs w:val="28"/>
          <w14:textFill>
            <w14:solidFill>
              <w14:schemeClr w14:val="tx1"/>
            </w14:solidFill>
          </w14:textFill>
        </w:rPr>
      </w:pPr>
      <w:bookmarkStart w:id="134" w:name="_Toc70689268"/>
      <w:bookmarkStart w:id="135" w:name="_Toc245538764"/>
      <w:bookmarkStart w:id="136" w:name="_Toc262895874"/>
      <w:bookmarkStart w:id="137" w:name="_Toc498542938"/>
      <w:bookmarkStart w:id="138" w:name="_Toc263889202"/>
      <w:bookmarkStart w:id="139" w:name="_Toc421630649"/>
      <w:bookmarkStart w:id="140" w:name="_Toc234382852"/>
      <w:bookmarkStart w:id="141" w:name="_Toc441002327"/>
      <w:bookmarkStart w:id="142" w:name="_Toc262031815"/>
      <w:bookmarkStart w:id="143" w:name="_Toc468702627"/>
      <w:r>
        <w:rPr>
          <w:color w:val="000000" w:themeColor="text1"/>
          <w:sz w:val="28"/>
          <w:szCs w:val="28"/>
          <w14:textFill>
            <w14:solidFill>
              <w14:schemeClr w14:val="tx1"/>
            </w14:solidFill>
          </w14:textFill>
        </w:rPr>
        <w:t>4.承包人</w:t>
      </w:r>
      <w:bookmarkEnd w:id="134"/>
      <w:bookmarkEnd w:id="135"/>
      <w:bookmarkEnd w:id="136"/>
      <w:bookmarkEnd w:id="137"/>
      <w:bookmarkEnd w:id="138"/>
      <w:bookmarkEnd w:id="139"/>
      <w:bookmarkEnd w:id="140"/>
      <w:bookmarkEnd w:id="141"/>
      <w:bookmarkEnd w:id="142"/>
      <w:bookmarkEnd w:id="143"/>
    </w:p>
    <w:p>
      <w:pPr>
        <w:snapToGrid w:val="0"/>
        <w:spacing w:line="400" w:lineRule="exact"/>
        <w:outlineLvl w:val="3"/>
        <w:rPr>
          <w:bCs/>
          <w:color w:val="000000" w:themeColor="text1"/>
          <w:kern w:val="44"/>
          <w:szCs w:val="21"/>
          <w14:textFill>
            <w14:solidFill>
              <w14:schemeClr w14:val="tx1"/>
            </w14:solidFill>
          </w14:textFill>
        </w:rPr>
      </w:pPr>
      <w:bookmarkStart w:id="144" w:name="_Toc70689269"/>
      <w:bookmarkStart w:id="145" w:name="_Toc262031816"/>
      <w:bookmarkStart w:id="146" w:name="_Toc262895875"/>
      <w:bookmarkStart w:id="147" w:name="_Toc498542939"/>
      <w:bookmarkStart w:id="148" w:name="_Toc245538765"/>
      <w:bookmarkStart w:id="149" w:name="_Toc468702628"/>
      <w:bookmarkStart w:id="150" w:name="_Toc263889203"/>
      <w:bookmarkStart w:id="151" w:name="_Toc441002328"/>
      <w:bookmarkStart w:id="152" w:name="_Toc421630650"/>
      <w:bookmarkStart w:id="153" w:name="_Toc234382853"/>
      <w:r>
        <w:rPr>
          <w:bCs/>
          <w:color w:val="000000" w:themeColor="text1"/>
          <w:kern w:val="44"/>
          <w:szCs w:val="21"/>
          <w14:textFill>
            <w14:solidFill>
              <w14:schemeClr w14:val="tx1"/>
            </w14:solidFill>
          </w14:textFill>
        </w:rPr>
        <w:t>4.1承包人的一般义务</w:t>
      </w:r>
      <w:bookmarkEnd w:id="144"/>
      <w:bookmarkEnd w:id="145"/>
      <w:bookmarkEnd w:id="146"/>
      <w:bookmarkEnd w:id="147"/>
      <w:bookmarkEnd w:id="148"/>
      <w:bookmarkEnd w:id="149"/>
      <w:bookmarkEnd w:id="150"/>
      <w:bookmarkEnd w:id="151"/>
      <w:bookmarkEnd w:id="152"/>
      <w:bookmarkEnd w:id="1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4.1.9工程的维护和照管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4.1.10其他义务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（1）临时占地由承包人向当地政府土地管理部门申请，并办理租用手续，承包人按有关规定直接支付其费用，发包人对此将予以协调。</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工资支付表应如实记录支付单位、支付时间、支付对象、支付数额、支付对象的身份证号和签字等信息。民工花名册和工资支付表应报监理人备查。</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（4）承包人应履行项目专用合同条款约定的其他义务。</w:t>
      </w:r>
    </w:p>
    <w:p>
      <w:pPr>
        <w:snapToGrid w:val="0"/>
        <w:spacing w:line="400" w:lineRule="exact"/>
        <w:outlineLvl w:val="3"/>
        <w:rPr>
          <w:bCs/>
          <w:color w:val="000000" w:themeColor="text1"/>
          <w:kern w:val="44"/>
          <w:szCs w:val="21"/>
          <w14:textFill>
            <w14:solidFill>
              <w14:schemeClr w14:val="tx1"/>
            </w14:solidFill>
          </w14:textFill>
        </w:rPr>
      </w:pPr>
      <w:bookmarkStart w:id="154" w:name="_Toc421630651"/>
      <w:bookmarkStart w:id="155" w:name="_Toc441002329"/>
      <w:bookmarkStart w:id="156" w:name="_Toc245538766"/>
      <w:bookmarkStart w:id="157" w:name="_Toc262895876"/>
      <w:bookmarkStart w:id="158" w:name="_Toc234382854"/>
      <w:bookmarkStart w:id="159" w:name="_Toc70689270"/>
      <w:bookmarkStart w:id="160" w:name="_Toc263889204"/>
      <w:bookmarkStart w:id="161" w:name="_Toc498542940"/>
      <w:bookmarkStart w:id="162" w:name="_Toc262031817"/>
      <w:bookmarkStart w:id="163" w:name="_Toc468702629"/>
      <w:r>
        <w:rPr>
          <w:bCs/>
          <w:color w:val="000000" w:themeColor="text1"/>
          <w:kern w:val="44"/>
          <w:szCs w:val="21"/>
          <w14:textFill>
            <w14:solidFill>
              <w14:schemeClr w14:val="tx1"/>
            </w14:solidFill>
          </w14:textFill>
        </w:rPr>
        <w:t>4.3 分包</w:t>
      </w:r>
      <w:bookmarkEnd w:id="154"/>
      <w:bookmarkEnd w:id="155"/>
      <w:bookmarkEnd w:id="156"/>
      <w:bookmarkEnd w:id="157"/>
      <w:bookmarkEnd w:id="158"/>
      <w:bookmarkEnd w:id="159"/>
      <w:bookmarkEnd w:id="160"/>
      <w:bookmarkEnd w:id="161"/>
      <w:bookmarkEnd w:id="162"/>
      <w:bookmarkEnd w:id="16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第4.3.2项～第4.3.4项细化为：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4.3.2 承包人不得将工程主体、关键性工作分包给第三人。经发包人同意，承包人可将工程的其他部分或工作分包给第三人。分包包括专业分包和劳务分包。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4.3.3专业分包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在工程施工过程中，承包人进行专业分包必须遵守以下规定：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（1）允许专业分包的工程范围仅限于分部工程或分项工程、适合专业化队伍施工的工程，专业分包的工程量累计不得超过总工程量的30%。</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（2）专业分包人的资格能力（含安全生产能力）应与其分包工程的标准和规模相适应，具备相应的专业承包资质。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（3）专业分包工程不得再次分包。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（4）承包人和专业分包人应当依法签订专业分包合同，并按照合同履行约定的义务。专业分包合同必须明确约定工程款支付条款、结算方式以及保证按期支付的相应措施，确保工程款的支付。</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（6）所有专业分包计划和专业分包合同须报监理人审批，并报发包人核备。监理人审批专业分包并不解除合同规定的承包人的任何责任或义务。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违反上述规定之一者属违规分包。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4.3.4劳务分包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在工程施工过程中，承包人进行劳务分包必须遵守以下规定：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（1）劳务分包人应具有劳务分包资质。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（4）承包人应当对劳务分包人员进行安全培训和管理，劳务分包人不得将其分包的劳务作业再次分包。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违反上述规定之一者属违规分包。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本款补充第4.3.6项：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4.3.6 发包人对承包人与分包人之间的法律与经济纠纷不承担任何责任和义务。</w:t>
      </w:r>
    </w:p>
    <w:p>
      <w:pPr>
        <w:snapToGrid w:val="0"/>
        <w:spacing w:line="400" w:lineRule="exact"/>
        <w:outlineLvl w:val="3"/>
        <w:rPr>
          <w:bCs/>
          <w:color w:val="000000" w:themeColor="text1"/>
          <w:kern w:val="44"/>
          <w:szCs w:val="21"/>
          <w14:textFill>
            <w14:solidFill>
              <w14:schemeClr w14:val="tx1"/>
            </w14:solidFill>
          </w14:textFill>
        </w:rPr>
      </w:pPr>
      <w:bookmarkStart w:id="164" w:name="_Toc70689271"/>
      <w:bookmarkStart w:id="165" w:name="_Toc468702630"/>
      <w:bookmarkStart w:id="166" w:name="_Toc421630652"/>
      <w:bookmarkStart w:id="167" w:name="_Toc245538767"/>
      <w:bookmarkStart w:id="168" w:name="_Toc498542941"/>
      <w:bookmarkStart w:id="169" w:name="_Toc441002330"/>
      <w:bookmarkStart w:id="170" w:name="_Toc234382855"/>
      <w:bookmarkStart w:id="171" w:name="_Toc262895877"/>
      <w:bookmarkStart w:id="172" w:name="_Toc262031818"/>
      <w:bookmarkStart w:id="173" w:name="_Toc263889205"/>
      <w:r>
        <w:rPr>
          <w:bCs/>
          <w:color w:val="000000" w:themeColor="text1"/>
          <w:kern w:val="44"/>
          <w:szCs w:val="21"/>
          <w14:textFill>
            <w14:solidFill>
              <w14:schemeClr w14:val="tx1"/>
            </w14:solidFill>
          </w14:textFill>
        </w:rPr>
        <w:t>4.4联合体</w:t>
      </w:r>
      <w:bookmarkEnd w:id="164"/>
      <w:bookmarkEnd w:id="165"/>
      <w:bookmarkEnd w:id="166"/>
      <w:bookmarkEnd w:id="167"/>
      <w:bookmarkEnd w:id="168"/>
      <w:bookmarkEnd w:id="169"/>
      <w:bookmarkEnd w:id="170"/>
      <w:bookmarkEnd w:id="171"/>
      <w:bookmarkEnd w:id="172"/>
      <w:bookmarkEnd w:id="17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本款补充第4.4.4项：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4.4.4未经发包人事先同意，联合体的组成与结构不得变动。</w:t>
      </w:r>
    </w:p>
    <w:p>
      <w:pPr>
        <w:snapToGrid w:val="0"/>
        <w:spacing w:line="400" w:lineRule="exact"/>
        <w:outlineLvl w:val="3"/>
        <w:rPr>
          <w:color w:val="000000" w:themeColor="text1"/>
          <w:sz w:val="24"/>
          <w:szCs w:val="20"/>
          <w14:textFill>
            <w14:solidFill>
              <w14:schemeClr w14:val="tx1"/>
            </w14:solidFill>
          </w14:textFill>
        </w:rPr>
      </w:pPr>
      <w:bookmarkStart w:id="174" w:name="_Toc441002331"/>
      <w:bookmarkStart w:id="175" w:name="_Toc262031819"/>
      <w:bookmarkStart w:id="176" w:name="_Toc245538768"/>
      <w:bookmarkStart w:id="177" w:name="_Toc70689272"/>
      <w:bookmarkStart w:id="178" w:name="_Toc498542942"/>
      <w:bookmarkStart w:id="179" w:name="_Toc468702631"/>
      <w:bookmarkStart w:id="180" w:name="_Toc263889206"/>
      <w:bookmarkStart w:id="181" w:name="_Toc262895878"/>
      <w:bookmarkStart w:id="182" w:name="_Toc421630653"/>
      <w:bookmarkStart w:id="183" w:name="_Toc234382856"/>
      <w:r>
        <w:rPr>
          <w:bCs/>
          <w:color w:val="000000" w:themeColor="text1"/>
          <w:kern w:val="44"/>
          <w:szCs w:val="21"/>
          <w14:textFill>
            <w14:solidFill>
              <w14:schemeClr w14:val="tx1"/>
            </w14:solidFill>
          </w14:textFill>
        </w:rPr>
        <w:t>4.6承包人人员的管理</w:t>
      </w:r>
      <w:bookmarkEnd w:id="174"/>
      <w:bookmarkEnd w:id="175"/>
      <w:bookmarkEnd w:id="176"/>
      <w:bookmarkEnd w:id="177"/>
      <w:bookmarkEnd w:id="178"/>
      <w:bookmarkEnd w:id="179"/>
      <w:bookmarkEnd w:id="180"/>
      <w:bookmarkEnd w:id="181"/>
      <w:bookmarkEnd w:id="182"/>
      <w:bookmarkEnd w:id="18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第4.6.3项细化为：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本款补充第4.6.5项：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snapToGrid w:val="0"/>
        <w:spacing w:line="400" w:lineRule="exact"/>
        <w:outlineLvl w:val="3"/>
        <w:rPr>
          <w:color w:val="000000" w:themeColor="text1"/>
          <w:sz w:val="24"/>
          <w:szCs w:val="20"/>
          <w14:textFill>
            <w14:solidFill>
              <w14:schemeClr w14:val="tx1"/>
            </w14:solidFill>
          </w14:textFill>
        </w:rPr>
      </w:pPr>
      <w:bookmarkStart w:id="184" w:name="_Toc441002332"/>
      <w:bookmarkStart w:id="185" w:name="_Toc70689273"/>
      <w:bookmarkStart w:id="186" w:name="_Toc421630654"/>
      <w:bookmarkStart w:id="187" w:name="_Toc263889207"/>
      <w:bookmarkStart w:id="188" w:name="_Toc262895879"/>
      <w:bookmarkStart w:id="189" w:name="_Toc262031820"/>
      <w:bookmarkStart w:id="190" w:name="_Toc468702632"/>
      <w:bookmarkStart w:id="191" w:name="_Toc245538769"/>
      <w:bookmarkStart w:id="192" w:name="_Toc234382857"/>
      <w:bookmarkStart w:id="193" w:name="_Toc498542943"/>
      <w:r>
        <w:rPr>
          <w:bCs/>
          <w:color w:val="000000" w:themeColor="text1"/>
          <w:kern w:val="44"/>
          <w:szCs w:val="21"/>
          <w14:textFill>
            <w14:solidFill>
              <w14:schemeClr w14:val="tx1"/>
            </w14:solidFill>
          </w14:textFill>
        </w:rPr>
        <w:t>4.7撤换承包人项目经理和其他人员</w:t>
      </w:r>
      <w:bookmarkEnd w:id="184"/>
      <w:bookmarkEnd w:id="185"/>
      <w:bookmarkEnd w:id="186"/>
      <w:bookmarkEnd w:id="187"/>
      <w:bookmarkEnd w:id="188"/>
      <w:bookmarkEnd w:id="189"/>
      <w:bookmarkEnd w:id="190"/>
      <w:bookmarkEnd w:id="191"/>
      <w:bookmarkEnd w:id="192"/>
      <w:bookmarkEnd w:id="19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snapToGrid w:val="0"/>
        <w:spacing w:line="400" w:lineRule="exact"/>
        <w:outlineLvl w:val="3"/>
        <w:rPr>
          <w:bCs/>
          <w:color w:val="000000" w:themeColor="text1"/>
          <w:kern w:val="44"/>
          <w:szCs w:val="21"/>
          <w14:textFill>
            <w14:solidFill>
              <w14:schemeClr w14:val="tx1"/>
            </w14:solidFill>
          </w14:textFill>
        </w:rPr>
      </w:pPr>
      <w:bookmarkStart w:id="194" w:name="_Toc441002333"/>
      <w:bookmarkStart w:id="195" w:name="_Toc245538770"/>
      <w:bookmarkStart w:id="196" w:name="_Toc468702633"/>
      <w:bookmarkStart w:id="197" w:name="_Toc234382858"/>
      <w:bookmarkStart w:id="198" w:name="_Toc263889208"/>
      <w:bookmarkStart w:id="199" w:name="_Toc262031821"/>
      <w:bookmarkStart w:id="200" w:name="_Toc70689274"/>
      <w:bookmarkStart w:id="201" w:name="_Toc421630655"/>
      <w:bookmarkStart w:id="202" w:name="_Toc262895880"/>
      <w:bookmarkStart w:id="203" w:name="_Toc498542944"/>
      <w:r>
        <w:rPr>
          <w:bCs/>
          <w:color w:val="000000" w:themeColor="text1"/>
          <w:kern w:val="44"/>
          <w:szCs w:val="21"/>
          <w14:textFill>
            <w14:solidFill>
              <w14:schemeClr w14:val="tx1"/>
            </w14:solidFill>
          </w14:textFill>
        </w:rPr>
        <w:t>4.9工程价款应专款专用</w:t>
      </w:r>
      <w:bookmarkEnd w:id="194"/>
      <w:bookmarkEnd w:id="195"/>
      <w:bookmarkEnd w:id="196"/>
      <w:bookmarkEnd w:id="197"/>
      <w:bookmarkEnd w:id="198"/>
      <w:bookmarkEnd w:id="199"/>
      <w:bookmarkEnd w:id="200"/>
      <w:bookmarkEnd w:id="201"/>
      <w:bookmarkEnd w:id="202"/>
      <w:bookmarkEnd w:id="20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snapToGrid w:val="0"/>
        <w:spacing w:line="400" w:lineRule="exact"/>
        <w:outlineLvl w:val="3"/>
        <w:rPr>
          <w:color w:val="000000" w:themeColor="text1"/>
          <w:sz w:val="24"/>
          <w:szCs w:val="20"/>
          <w14:textFill>
            <w14:solidFill>
              <w14:schemeClr w14:val="tx1"/>
            </w14:solidFill>
          </w14:textFill>
        </w:rPr>
      </w:pPr>
      <w:bookmarkStart w:id="204" w:name="_Toc263889209"/>
      <w:bookmarkStart w:id="205" w:name="_Toc245538771"/>
      <w:bookmarkStart w:id="206" w:name="_Toc234382859"/>
      <w:bookmarkStart w:id="207" w:name="_Toc441002334"/>
      <w:bookmarkStart w:id="208" w:name="_Toc70689275"/>
      <w:bookmarkStart w:id="209" w:name="_Toc262895881"/>
      <w:bookmarkStart w:id="210" w:name="_Toc262031822"/>
      <w:bookmarkStart w:id="211" w:name="_Toc421630656"/>
      <w:bookmarkStart w:id="212" w:name="_Toc498542945"/>
      <w:bookmarkStart w:id="213" w:name="_Toc468702634"/>
      <w:r>
        <w:rPr>
          <w:bCs/>
          <w:color w:val="000000" w:themeColor="text1"/>
          <w:kern w:val="44"/>
          <w:szCs w:val="21"/>
          <w14:textFill>
            <w14:solidFill>
              <w14:schemeClr w14:val="tx1"/>
            </w14:solidFill>
          </w14:textFill>
        </w:rPr>
        <w:t>4.10承包人现场查勘</w:t>
      </w:r>
      <w:bookmarkEnd w:id="204"/>
      <w:bookmarkEnd w:id="205"/>
      <w:bookmarkEnd w:id="206"/>
      <w:bookmarkEnd w:id="207"/>
      <w:bookmarkEnd w:id="208"/>
      <w:bookmarkEnd w:id="209"/>
      <w:bookmarkEnd w:id="210"/>
      <w:bookmarkEnd w:id="211"/>
      <w:bookmarkEnd w:id="212"/>
      <w:bookmarkEnd w:id="21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第4.10.1项细化为：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snapToGrid w:val="0"/>
        <w:spacing w:line="400" w:lineRule="exact"/>
        <w:outlineLvl w:val="3"/>
        <w:rPr>
          <w:bCs/>
          <w:color w:val="000000" w:themeColor="text1"/>
          <w:kern w:val="44"/>
          <w:szCs w:val="21"/>
          <w14:textFill>
            <w14:solidFill>
              <w14:schemeClr w14:val="tx1"/>
            </w14:solidFill>
          </w14:textFill>
        </w:rPr>
      </w:pPr>
      <w:bookmarkStart w:id="214" w:name="_Toc263889210"/>
      <w:bookmarkStart w:id="215" w:name="_Toc468702635"/>
      <w:bookmarkStart w:id="216" w:name="_Toc245538772"/>
      <w:bookmarkStart w:id="217" w:name="_Toc441002335"/>
      <w:bookmarkStart w:id="218" w:name="_Toc70689276"/>
      <w:bookmarkStart w:id="219" w:name="_Toc234382860"/>
      <w:bookmarkStart w:id="220" w:name="_Toc262031823"/>
      <w:bookmarkStart w:id="221" w:name="_Toc498542946"/>
      <w:bookmarkStart w:id="222" w:name="_Toc262895882"/>
      <w:bookmarkStart w:id="223" w:name="_Toc421630657"/>
      <w:r>
        <w:rPr>
          <w:bCs/>
          <w:color w:val="000000" w:themeColor="text1"/>
          <w:kern w:val="44"/>
          <w:szCs w:val="21"/>
          <w14:textFill>
            <w14:solidFill>
              <w14:schemeClr w14:val="tx1"/>
            </w14:solidFill>
          </w14:textFill>
        </w:rPr>
        <w:t>4.11不利物质条件</w:t>
      </w:r>
      <w:bookmarkEnd w:id="214"/>
      <w:bookmarkEnd w:id="215"/>
      <w:bookmarkEnd w:id="216"/>
      <w:bookmarkEnd w:id="217"/>
      <w:bookmarkEnd w:id="218"/>
      <w:bookmarkEnd w:id="219"/>
      <w:bookmarkEnd w:id="220"/>
      <w:bookmarkEnd w:id="221"/>
      <w:bookmarkEnd w:id="222"/>
      <w:bookmarkEnd w:id="22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第4.11.2项细化为：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本款补充第4.11.3项：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4.11.3 可预见的不利物质条件</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补充第4.12款：</w:t>
      </w:r>
    </w:p>
    <w:p>
      <w:pPr>
        <w:snapToGrid w:val="0"/>
        <w:spacing w:line="400" w:lineRule="exact"/>
        <w:outlineLvl w:val="3"/>
        <w:rPr>
          <w:bCs/>
          <w:color w:val="000000" w:themeColor="text1"/>
          <w:kern w:val="44"/>
          <w:szCs w:val="21"/>
          <w14:textFill>
            <w14:solidFill>
              <w14:schemeClr w14:val="tx1"/>
            </w14:solidFill>
          </w14:textFill>
        </w:rPr>
      </w:pPr>
      <w:bookmarkStart w:id="224" w:name="_Toc262895883"/>
      <w:bookmarkStart w:id="225" w:name="_Toc498542947"/>
      <w:bookmarkStart w:id="226" w:name="_Toc441002336"/>
      <w:bookmarkStart w:id="227" w:name="_Toc263889211"/>
      <w:bookmarkStart w:id="228" w:name="_Toc234382861"/>
      <w:bookmarkStart w:id="229" w:name="_Toc70689277"/>
      <w:bookmarkStart w:id="230" w:name="_Toc421630658"/>
      <w:bookmarkStart w:id="231" w:name="_Toc468702636"/>
      <w:bookmarkStart w:id="232" w:name="_Toc262031824"/>
      <w:bookmarkStart w:id="233" w:name="_Toc245538773"/>
      <w:r>
        <w:rPr>
          <w:bCs/>
          <w:color w:val="000000" w:themeColor="text1"/>
          <w:kern w:val="44"/>
          <w:szCs w:val="21"/>
          <w14:textFill>
            <w14:solidFill>
              <w14:schemeClr w14:val="tx1"/>
            </w14:solidFill>
          </w14:textFill>
        </w:rPr>
        <w:t>4.12投标文件的完备性</w:t>
      </w:r>
      <w:bookmarkEnd w:id="224"/>
      <w:bookmarkEnd w:id="225"/>
      <w:bookmarkEnd w:id="226"/>
      <w:bookmarkEnd w:id="227"/>
      <w:bookmarkEnd w:id="228"/>
      <w:bookmarkEnd w:id="229"/>
      <w:bookmarkEnd w:id="230"/>
      <w:bookmarkEnd w:id="231"/>
      <w:bookmarkEnd w:id="232"/>
      <w:bookmarkEnd w:id="23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4"/>
        <w:spacing w:before="360" w:beforeLines="150" w:after="480" w:line="400" w:lineRule="exact"/>
        <w:jc w:val="left"/>
        <w:rPr>
          <w:color w:val="000000" w:themeColor="text1"/>
          <w:sz w:val="24"/>
          <w:szCs w:val="20"/>
          <w14:textFill>
            <w14:solidFill>
              <w14:schemeClr w14:val="tx1"/>
            </w14:solidFill>
          </w14:textFill>
        </w:rPr>
      </w:pPr>
      <w:bookmarkStart w:id="234" w:name="_Toc70689278"/>
      <w:bookmarkStart w:id="235" w:name="_Toc262031825"/>
      <w:bookmarkStart w:id="236" w:name="_Toc234382862"/>
      <w:bookmarkStart w:id="237" w:name="_Toc263889212"/>
      <w:bookmarkStart w:id="238" w:name="_Toc262895884"/>
      <w:bookmarkStart w:id="239" w:name="_Toc245538774"/>
      <w:bookmarkStart w:id="240" w:name="_Toc441002337"/>
      <w:bookmarkStart w:id="241" w:name="_Toc421630659"/>
      <w:bookmarkStart w:id="242" w:name="_Toc468702637"/>
      <w:bookmarkStart w:id="243" w:name="_Toc498542948"/>
      <w:r>
        <w:rPr>
          <w:color w:val="000000" w:themeColor="text1"/>
          <w:sz w:val="28"/>
          <w:szCs w:val="28"/>
          <w14:textFill>
            <w14:solidFill>
              <w14:schemeClr w14:val="tx1"/>
            </w14:solidFill>
          </w14:textFill>
        </w:rPr>
        <w:t>5．材料和工程设备</w:t>
      </w:r>
      <w:bookmarkEnd w:id="234"/>
      <w:bookmarkEnd w:id="235"/>
      <w:bookmarkEnd w:id="236"/>
      <w:bookmarkEnd w:id="237"/>
      <w:bookmarkEnd w:id="238"/>
      <w:bookmarkEnd w:id="239"/>
      <w:bookmarkEnd w:id="240"/>
      <w:bookmarkEnd w:id="241"/>
      <w:bookmarkEnd w:id="242"/>
      <w:bookmarkEnd w:id="243"/>
    </w:p>
    <w:p>
      <w:pPr>
        <w:snapToGrid w:val="0"/>
        <w:spacing w:line="400" w:lineRule="exact"/>
        <w:outlineLvl w:val="3"/>
        <w:rPr>
          <w:color w:val="000000" w:themeColor="text1"/>
          <w:sz w:val="24"/>
          <w:szCs w:val="20"/>
          <w14:textFill>
            <w14:solidFill>
              <w14:schemeClr w14:val="tx1"/>
            </w14:solidFill>
          </w14:textFill>
        </w:rPr>
      </w:pPr>
      <w:bookmarkStart w:id="244" w:name="_Toc441002338"/>
      <w:bookmarkStart w:id="245" w:name="_Toc245538775"/>
      <w:bookmarkStart w:id="246" w:name="_Toc234382863"/>
      <w:bookmarkStart w:id="247" w:name="_Toc468702638"/>
      <w:bookmarkStart w:id="248" w:name="_Toc70689279"/>
      <w:bookmarkStart w:id="249" w:name="_Toc421630660"/>
      <w:bookmarkStart w:id="250" w:name="_Toc262895885"/>
      <w:bookmarkStart w:id="251" w:name="_Toc262031826"/>
      <w:bookmarkStart w:id="252" w:name="_Toc263889213"/>
      <w:bookmarkStart w:id="253" w:name="_Toc498542949"/>
      <w:r>
        <w:rPr>
          <w:bCs/>
          <w:color w:val="000000" w:themeColor="text1"/>
          <w:kern w:val="44"/>
          <w:szCs w:val="21"/>
          <w14:textFill>
            <w14:solidFill>
              <w14:schemeClr w14:val="tx1"/>
            </w14:solidFill>
          </w14:textFill>
        </w:rPr>
        <w:t>5.2发包人提供的材料和工程设备</w:t>
      </w:r>
      <w:bookmarkEnd w:id="244"/>
      <w:bookmarkEnd w:id="245"/>
      <w:bookmarkEnd w:id="246"/>
      <w:bookmarkEnd w:id="247"/>
      <w:bookmarkEnd w:id="248"/>
      <w:bookmarkEnd w:id="249"/>
      <w:bookmarkEnd w:id="250"/>
      <w:bookmarkEnd w:id="251"/>
      <w:bookmarkEnd w:id="252"/>
      <w:bookmarkEnd w:id="2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第5.2.3项补充：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4"/>
        <w:spacing w:before="360" w:beforeLines="150" w:after="480" w:line="400" w:lineRule="exact"/>
        <w:jc w:val="left"/>
        <w:rPr>
          <w:color w:val="000000" w:themeColor="text1"/>
          <w:sz w:val="28"/>
          <w:szCs w:val="28"/>
          <w14:textFill>
            <w14:solidFill>
              <w14:schemeClr w14:val="tx1"/>
            </w14:solidFill>
          </w14:textFill>
        </w:rPr>
      </w:pPr>
      <w:bookmarkStart w:id="254" w:name="_Toc262895886"/>
      <w:bookmarkStart w:id="255" w:name="_Toc441002339"/>
      <w:bookmarkStart w:id="256" w:name="_Toc468702639"/>
      <w:bookmarkStart w:id="257" w:name="_Toc70689280"/>
      <w:bookmarkStart w:id="258" w:name="_Toc234382864"/>
      <w:bookmarkStart w:id="259" w:name="_Toc245538776"/>
      <w:bookmarkStart w:id="260" w:name="_Toc262031827"/>
      <w:bookmarkStart w:id="261" w:name="_Toc421630661"/>
      <w:bookmarkStart w:id="262" w:name="_Toc498542950"/>
      <w:bookmarkStart w:id="263" w:name="_Toc263889214"/>
      <w:r>
        <w:rPr>
          <w:color w:val="000000" w:themeColor="text1"/>
          <w:sz w:val="28"/>
          <w:szCs w:val="28"/>
          <w14:textFill>
            <w14:solidFill>
              <w14:schemeClr w14:val="tx1"/>
            </w14:solidFill>
          </w14:textFill>
        </w:rPr>
        <w:t>6．施工设备和临时设施</w:t>
      </w:r>
      <w:bookmarkEnd w:id="254"/>
      <w:bookmarkEnd w:id="255"/>
      <w:bookmarkEnd w:id="256"/>
      <w:bookmarkEnd w:id="257"/>
      <w:bookmarkEnd w:id="258"/>
      <w:bookmarkEnd w:id="259"/>
      <w:bookmarkEnd w:id="260"/>
      <w:bookmarkEnd w:id="261"/>
      <w:bookmarkEnd w:id="262"/>
      <w:bookmarkEnd w:id="263"/>
    </w:p>
    <w:p>
      <w:pPr>
        <w:snapToGrid w:val="0"/>
        <w:spacing w:line="400" w:lineRule="exact"/>
        <w:outlineLvl w:val="3"/>
        <w:rPr>
          <w:bCs/>
          <w:color w:val="000000" w:themeColor="text1"/>
          <w:kern w:val="44"/>
          <w:szCs w:val="21"/>
          <w14:textFill>
            <w14:solidFill>
              <w14:schemeClr w14:val="tx1"/>
            </w14:solidFill>
          </w14:textFill>
        </w:rPr>
      </w:pPr>
      <w:bookmarkStart w:id="264" w:name="_Toc263889215"/>
      <w:bookmarkStart w:id="265" w:name="_Toc234382865"/>
      <w:bookmarkStart w:id="266" w:name="_Toc70689281"/>
      <w:bookmarkStart w:id="267" w:name="_Toc262895887"/>
      <w:bookmarkStart w:id="268" w:name="_Toc498542951"/>
      <w:bookmarkStart w:id="269" w:name="_Toc421630662"/>
      <w:bookmarkStart w:id="270" w:name="_Toc468702640"/>
      <w:bookmarkStart w:id="271" w:name="_Toc262031828"/>
      <w:bookmarkStart w:id="272" w:name="_Toc245538777"/>
      <w:bookmarkStart w:id="273" w:name="_Toc441002340"/>
      <w:r>
        <w:rPr>
          <w:bCs/>
          <w:color w:val="000000" w:themeColor="text1"/>
          <w:kern w:val="44"/>
          <w:szCs w:val="21"/>
          <w14:textFill>
            <w14:solidFill>
              <w14:schemeClr w14:val="tx1"/>
            </w14:solidFill>
          </w14:textFill>
        </w:rPr>
        <w:t>6.1承包人提供的施工设备和临时设施</w:t>
      </w:r>
      <w:bookmarkEnd w:id="264"/>
      <w:bookmarkEnd w:id="265"/>
      <w:bookmarkEnd w:id="266"/>
      <w:bookmarkEnd w:id="267"/>
      <w:bookmarkEnd w:id="268"/>
      <w:bookmarkEnd w:id="269"/>
      <w:bookmarkEnd w:id="270"/>
      <w:bookmarkEnd w:id="271"/>
      <w:bookmarkEnd w:id="272"/>
      <w:bookmarkEnd w:id="27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第6.1.2项约定为：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承包人应自行承担修建临时设施的费用，需要临时占地的，应由承包人按第4.1.10项（1）目的规定办理。</w:t>
      </w:r>
    </w:p>
    <w:p>
      <w:pPr>
        <w:snapToGrid w:val="0"/>
        <w:spacing w:line="400" w:lineRule="exact"/>
        <w:outlineLvl w:val="3"/>
        <w:rPr>
          <w:bCs/>
          <w:color w:val="000000" w:themeColor="text1"/>
          <w:kern w:val="44"/>
          <w:szCs w:val="21"/>
          <w14:textFill>
            <w14:solidFill>
              <w14:schemeClr w14:val="tx1"/>
            </w14:solidFill>
          </w14:textFill>
        </w:rPr>
      </w:pPr>
      <w:bookmarkStart w:id="274" w:name="_Toc262895888"/>
      <w:bookmarkStart w:id="275" w:name="_Toc468702641"/>
      <w:bookmarkStart w:id="276" w:name="_Toc234382866"/>
      <w:bookmarkStart w:id="277" w:name="_Toc421630663"/>
      <w:bookmarkStart w:id="278" w:name="_Toc263889216"/>
      <w:bookmarkStart w:id="279" w:name="_Toc441002341"/>
      <w:bookmarkStart w:id="280" w:name="_Toc262031829"/>
      <w:bookmarkStart w:id="281" w:name="_Toc245538778"/>
      <w:bookmarkStart w:id="282" w:name="_Toc498542952"/>
      <w:bookmarkStart w:id="283" w:name="_Toc70689282"/>
      <w:r>
        <w:rPr>
          <w:bCs/>
          <w:color w:val="000000" w:themeColor="text1"/>
          <w:kern w:val="44"/>
          <w:szCs w:val="21"/>
          <w14:textFill>
            <w14:solidFill>
              <w14:schemeClr w14:val="tx1"/>
            </w14:solidFill>
          </w14:textFill>
        </w:rPr>
        <w:t>6.3要求承包人增加或更换施工设备</w:t>
      </w:r>
      <w:bookmarkEnd w:id="274"/>
      <w:bookmarkEnd w:id="275"/>
      <w:bookmarkEnd w:id="276"/>
      <w:bookmarkEnd w:id="277"/>
      <w:bookmarkEnd w:id="278"/>
      <w:bookmarkEnd w:id="279"/>
      <w:bookmarkEnd w:id="280"/>
      <w:bookmarkEnd w:id="281"/>
      <w:bookmarkEnd w:id="282"/>
      <w:bookmarkEnd w:id="28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4"/>
        <w:spacing w:before="360" w:beforeLines="150" w:after="480" w:line="400" w:lineRule="exact"/>
        <w:jc w:val="left"/>
        <w:rPr>
          <w:color w:val="000000" w:themeColor="text1"/>
          <w:sz w:val="28"/>
          <w:szCs w:val="28"/>
          <w14:textFill>
            <w14:solidFill>
              <w14:schemeClr w14:val="tx1"/>
            </w14:solidFill>
          </w14:textFill>
        </w:rPr>
      </w:pPr>
      <w:bookmarkStart w:id="284" w:name="_Toc245538779"/>
      <w:bookmarkStart w:id="285" w:name="_Toc263889217"/>
      <w:bookmarkStart w:id="286" w:name="_Toc421630664"/>
      <w:bookmarkStart w:id="287" w:name="_Toc262031830"/>
      <w:bookmarkStart w:id="288" w:name="_Toc441002342"/>
      <w:bookmarkStart w:id="289" w:name="_Toc498542953"/>
      <w:bookmarkStart w:id="290" w:name="_Toc234382867"/>
      <w:bookmarkStart w:id="291" w:name="_Toc262895889"/>
      <w:bookmarkStart w:id="292" w:name="_Toc70689283"/>
      <w:bookmarkStart w:id="293" w:name="_Toc468702642"/>
      <w:r>
        <w:rPr>
          <w:color w:val="000000" w:themeColor="text1"/>
          <w:sz w:val="28"/>
          <w:szCs w:val="28"/>
          <w14:textFill>
            <w14:solidFill>
              <w14:schemeClr w14:val="tx1"/>
            </w14:solidFill>
          </w14:textFill>
        </w:rPr>
        <w:t>7．交通运输</w:t>
      </w:r>
      <w:bookmarkEnd w:id="284"/>
      <w:bookmarkEnd w:id="285"/>
      <w:bookmarkEnd w:id="286"/>
      <w:bookmarkEnd w:id="287"/>
      <w:bookmarkEnd w:id="288"/>
      <w:bookmarkEnd w:id="289"/>
      <w:bookmarkEnd w:id="290"/>
      <w:bookmarkEnd w:id="291"/>
      <w:bookmarkEnd w:id="292"/>
      <w:bookmarkEnd w:id="293"/>
    </w:p>
    <w:p>
      <w:pPr>
        <w:snapToGrid w:val="0"/>
        <w:spacing w:line="400" w:lineRule="exact"/>
        <w:outlineLvl w:val="3"/>
        <w:rPr>
          <w:bCs/>
          <w:color w:val="000000" w:themeColor="text1"/>
          <w:kern w:val="44"/>
          <w:szCs w:val="21"/>
          <w14:textFill>
            <w14:solidFill>
              <w14:schemeClr w14:val="tx1"/>
            </w14:solidFill>
          </w14:textFill>
        </w:rPr>
      </w:pPr>
      <w:bookmarkStart w:id="294" w:name="_Toc70689284"/>
      <w:bookmarkStart w:id="295" w:name="_Toc441002343"/>
      <w:bookmarkStart w:id="296" w:name="_Toc498542954"/>
      <w:bookmarkStart w:id="297" w:name="_Toc234382868"/>
      <w:bookmarkStart w:id="298" w:name="_Toc262031831"/>
      <w:bookmarkStart w:id="299" w:name="_Toc245538780"/>
      <w:bookmarkStart w:id="300" w:name="_Toc468702643"/>
      <w:bookmarkStart w:id="301" w:name="_Toc263889218"/>
      <w:bookmarkStart w:id="302" w:name="_Toc421630665"/>
      <w:bookmarkStart w:id="303" w:name="_Toc262895890"/>
      <w:r>
        <w:rPr>
          <w:bCs/>
          <w:color w:val="000000" w:themeColor="text1"/>
          <w:kern w:val="44"/>
          <w:szCs w:val="21"/>
          <w14:textFill>
            <w14:solidFill>
              <w14:schemeClr w14:val="tx1"/>
            </w14:solidFill>
          </w14:textFill>
        </w:rPr>
        <w:t>7.1道路通行权和场外设施</w:t>
      </w:r>
      <w:bookmarkEnd w:id="294"/>
      <w:bookmarkEnd w:id="295"/>
      <w:bookmarkEnd w:id="296"/>
      <w:bookmarkEnd w:id="297"/>
      <w:bookmarkEnd w:id="298"/>
      <w:bookmarkEnd w:id="299"/>
      <w:bookmarkEnd w:id="300"/>
      <w:bookmarkEnd w:id="301"/>
      <w:bookmarkEnd w:id="302"/>
      <w:bookmarkEnd w:id="30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4"/>
        <w:spacing w:before="360" w:beforeLines="150" w:after="480" w:line="400" w:lineRule="exact"/>
        <w:jc w:val="left"/>
        <w:rPr>
          <w:color w:val="000000" w:themeColor="text1"/>
          <w:sz w:val="28"/>
          <w:szCs w:val="28"/>
          <w14:textFill>
            <w14:solidFill>
              <w14:schemeClr w14:val="tx1"/>
            </w14:solidFill>
          </w14:textFill>
        </w:rPr>
      </w:pPr>
      <w:bookmarkStart w:id="304" w:name="_Toc70689285"/>
      <w:bookmarkStart w:id="305" w:name="_Toc262895891"/>
      <w:bookmarkStart w:id="306" w:name="_Toc498542955"/>
      <w:bookmarkStart w:id="307" w:name="_Toc262031832"/>
      <w:bookmarkStart w:id="308" w:name="_Toc245538781"/>
      <w:bookmarkStart w:id="309" w:name="_Toc468702644"/>
      <w:bookmarkStart w:id="310" w:name="_Toc263889219"/>
      <w:bookmarkStart w:id="311" w:name="_Toc234382869"/>
      <w:bookmarkStart w:id="312" w:name="_Toc441002344"/>
      <w:bookmarkStart w:id="313" w:name="_Toc421630666"/>
      <w:r>
        <w:rPr>
          <w:color w:val="000000" w:themeColor="text1"/>
          <w:sz w:val="28"/>
          <w:szCs w:val="28"/>
          <w14:textFill>
            <w14:solidFill>
              <w14:schemeClr w14:val="tx1"/>
            </w14:solidFill>
          </w14:textFill>
        </w:rPr>
        <w:t>8．测量放线</w:t>
      </w:r>
      <w:bookmarkEnd w:id="304"/>
      <w:bookmarkEnd w:id="305"/>
      <w:bookmarkEnd w:id="306"/>
      <w:bookmarkEnd w:id="307"/>
      <w:bookmarkEnd w:id="308"/>
      <w:bookmarkEnd w:id="309"/>
      <w:bookmarkEnd w:id="310"/>
      <w:bookmarkEnd w:id="311"/>
      <w:bookmarkEnd w:id="312"/>
      <w:bookmarkEnd w:id="313"/>
    </w:p>
    <w:p>
      <w:pPr>
        <w:snapToGrid w:val="0"/>
        <w:spacing w:line="400" w:lineRule="exact"/>
        <w:outlineLvl w:val="3"/>
        <w:rPr>
          <w:color w:val="000000" w:themeColor="text1"/>
          <w:sz w:val="24"/>
          <w:szCs w:val="20"/>
          <w14:textFill>
            <w14:solidFill>
              <w14:schemeClr w14:val="tx1"/>
            </w14:solidFill>
          </w14:textFill>
        </w:rPr>
      </w:pPr>
      <w:bookmarkStart w:id="314" w:name="_Toc441002345"/>
      <w:bookmarkStart w:id="315" w:name="_Toc498542956"/>
      <w:bookmarkStart w:id="316" w:name="_Toc70689286"/>
      <w:bookmarkStart w:id="317" w:name="_Toc262031833"/>
      <w:bookmarkStart w:id="318" w:name="_Toc245538782"/>
      <w:bookmarkStart w:id="319" w:name="_Toc468702645"/>
      <w:bookmarkStart w:id="320" w:name="_Toc234382870"/>
      <w:bookmarkStart w:id="321" w:name="_Toc262895892"/>
      <w:bookmarkStart w:id="322" w:name="_Toc263889220"/>
      <w:bookmarkStart w:id="323" w:name="_Toc421630667"/>
      <w:r>
        <w:rPr>
          <w:bCs/>
          <w:color w:val="000000" w:themeColor="text1"/>
          <w:kern w:val="44"/>
          <w:szCs w:val="21"/>
          <w14:textFill>
            <w14:solidFill>
              <w14:schemeClr w14:val="tx1"/>
            </w14:solidFill>
          </w14:textFill>
        </w:rPr>
        <w:t>8.4监理人使用施工控制网</w:t>
      </w:r>
      <w:bookmarkEnd w:id="314"/>
      <w:bookmarkEnd w:id="315"/>
      <w:bookmarkEnd w:id="316"/>
      <w:bookmarkEnd w:id="317"/>
      <w:bookmarkEnd w:id="318"/>
      <w:bookmarkEnd w:id="319"/>
      <w:bookmarkEnd w:id="320"/>
      <w:bookmarkEnd w:id="321"/>
      <w:bookmarkEnd w:id="322"/>
      <w:bookmarkEnd w:id="32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经监理人批准，其他相关承包人也可免费使用施工控制网。</w:t>
      </w:r>
    </w:p>
    <w:p>
      <w:pPr>
        <w:pStyle w:val="4"/>
        <w:spacing w:before="360" w:beforeLines="150" w:after="480" w:line="400" w:lineRule="exact"/>
        <w:jc w:val="left"/>
        <w:rPr>
          <w:color w:val="000000" w:themeColor="text1"/>
          <w:sz w:val="28"/>
          <w:szCs w:val="28"/>
          <w14:textFill>
            <w14:solidFill>
              <w14:schemeClr w14:val="tx1"/>
            </w14:solidFill>
          </w14:textFill>
        </w:rPr>
      </w:pPr>
      <w:bookmarkStart w:id="324" w:name="_Toc245538783"/>
      <w:bookmarkStart w:id="325" w:name="_Toc70689287"/>
      <w:bookmarkStart w:id="326" w:name="_Toc468702646"/>
      <w:bookmarkStart w:id="327" w:name="_Toc234382871"/>
      <w:bookmarkStart w:id="328" w:name="_Toc421630668"/>
      <w:bookmarkStart w:id="329" w:name="_Toc263889221"/>
      <w:bookmarkStart w:id="330" w:name="_Toc262031834"/>
      <w:bookmarkStart w:id="331" w:name="_Toc498542957"/>
      <w:bookmarkStart w:id="332" w:name="_Toc441002346"/>
      <w:bookmarkStart w:id="333" w:name="_Toc262895893"/>
      <w:r>
        <w:rPr>
          <w:color w:val="000000" w:themeColor="text1"/>
          <w:sz w:val="28"/>
          <w:szCs w:val="28"/>
          <w14:textFill>
            <w14:solidFill>
              <w14:schemeClr w14:val="tx1"/>
            </w14:solidFill>
          </w14:textFill>
        </w:rPr>
        <w:t>9．施工安全、治安保卫和环境保护</w:t>
      </w:r>
      <w:bookmarkEnd w:id="324"/>
      <w:bookmarkEnd w:id="325"/>
      <w:bookmarkEnd w:id="326"/>
      <w:bookmarkEnd w:id="327"/>
      <w:bookmarkEnd w:id="328"/>
      <w:bookmarkEnd w:id="329"/>
      <w:bookmarkEnd w:id="330"/>
      <w:bookmarkEnd w:id="331"/>
      <w:bookmarkEnd w:id="332"/>
      <w:bookmarkEnd w:id="333"/>
    </w:p>
    <w:p>
      <w:pPr>
        <w:snapToGrid w:val="0"/>
        <w:spacing w:line="400" w:lineRule="exact"/>
        <w:outlineLvl w:val="3"/>
        <w:rPr>
          <w:color w:val="000000" w:themeColor="text1"/>
          <w:sz w:val="24"/>
          <w:szCs w:val="20"/>
          <w14:textFill>
            <w14:solidFill>
              <w14:schemeClr w14:val="tx1"/>
            </w14:solidFill>
          </w14:textFill>
        </w:rPr>
      </w:pPr>
      <w:bookmarkStart w:id="334" w:name="_Toc468702647"/>
      <w:bookmarkStart w:id="335" w:name="_Toc245538784"/>
      <w:bookmarkStart w:id="336" w:name="_Toc70689288"/>
      <w:bookmarkStart w:id="337" w:name="_Toc441002347"/>
      <w:bookmarkStart w:id="338" w:name="_Toc421630669"/>
      <w:bookmarkStart w:id="339" w:name="_Toc498542958"/>
      <w:bookmarkStart w:id="340" w:name="_Toc234382872"/>
      <w:bookmarkStart w:id="341" w:name="_Toc263889222"/>
      <w:bookmarkStart w:id="342" w:name="_Toc262895894"/>
      <w:bookmarkStart w:id="343" w:name="_Toc262031835"/>
      <w:r>
        <w:rPr>
          <w:bCs/>
          <w:color w:val="000000" w:themeColor="text1"/>
          <w:kern w:val="44"/>
          <w:szCs w:val="21"/>
          <w14:textFill>
            <w14:solidFill>
              <w14:schemeClr w14:val="tx1"/>
            </w14:solidFill>
          </w14:textFill>
        </w:rPr>
        <w:t>9.2承包人的施工安全责任</w:t>
      </w:r>
      <w:bookmarkEnd w:id="334"/>
      <w:bookmarkEnd w:id="335"/>
      <w:bookmarkEnd w:id="336"/>
      <w:bookmarkEnd w:id="337"/>
      <w:bookmarkEnd w:id="338"/>
      <w:bookmarkEnd w:id="339"/>
      <w:bookmarkEnd w:id="340"/>
      <w:bookmarkEnd w:id="341"/>
      <w:bookmarkEnd w:id="342"/>
      <w:bookmarkEnd w:id="34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第9.2.1项细化为：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本项目需要编制专项施工方案的工程包括但不限于以下内容：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（1）不良地质条件下有潜在危险性的土方、石方开挖；</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（2）滑坡和高边坡处理；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（3）桩基础、挡墙基础、深水基础及围堰工程；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（4）桥梁工程中的梁、拱、柱等构件施工等；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（5）隧道工程中的不良地质隧道、高瓦斯隧道等；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（6）水上工程中的打桩船作业、施工船作业、外海孤岛作业、边通航边施工作业等；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（7）水下工程中的水下焊接、混凝土浇筑、爆破工程等；</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（8）爆破工程；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（9）大型临时工程中的大型支架、模板、便桥的架设与拆除；桥梁、码头的加固与拆除；</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（10）其他危险性较大的工程。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监理人和发包人在检查中发现有安全问题或有违反安全管理规章制度的情况时，可视其为承包人违约，应按第22.1款的规定处理。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第9.2.5项细化为：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除项目专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本款补充第9.2.8项～第9.2.11项：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9.2.8承包人应充分关注和保障所有在现场工作的人员的安全，采取以下有效措施，使现场和本合同工程的实施保持有条不紊，以免使上述人员的安全受到威胁。</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（1）按《公路水运工程安全生产监督管理办法》规定的最低数量和资质条件配备专职安全生产管理人员；</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（3）所有施工机具设备和高空作业设备均应定期检查，并有安全员的签字记录。</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（4）根据本合同各单位工程的施工特点，严格执行《公路水运工程安全生产监督管理办法》、《公路工程施工安全技术规程》与《公路筑养路机械操作规程》的具体规定。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9.2.10在通航水域施工时，承包人应与当地主管部门取得联系，设置必要的导航标志，及时发布航行通告，确保施工水域安全。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napToGrid w:val="0"/>
        <w:spacing w:line="400" w:lineRule="exact"/>
        <w:outlineLvl w:val="3"/>
        <w:rPr>
          <w:bCs/>
          <w:color w:val="000000" w:themeColor="text1"/>
          <w:kern w:val="44"/>
          <w:szCs w:val="21"/>
          <w14:textFill>
            <w14:solidFill>
              <w14:schemeClr w14:val="tx1"/>
            </w14:solidFill>
          </w14:textFill>
        </w:rPr>
      </w:pPr>
      <w:bookmarkStart w:id="344" w:name="_Toc421630670"/>
      <w:bookmarkStart w:id="345" w:name="_Toc441002348"/>
      <w:bookmarkStart w:id="346" w:name="_Toc263889223"/>
      <w:bookmarkStart w:id="347" w:name="_Toc234382873"/>
      <w:bookmarkStart w:id="348" w:name="_Toc245538785"/>
      <w:bookmarkStart w:id="349" w:name="_Toc70689289"/>
      <w:bookmarkStart w:id="350" w:name="_Toc262031836"/>
      <w:bookmarkStart w:id="351" w:name="_Toc262895895"/>
      <w:bookmarkStart w:id="352" w:name="_Toc498542959"/>
      <w:bookmarkStart w:id="353" w:name="_Toc468702648"/>
      <w:r>
        <w:rPr>
          <w:bCs/>
          <w:color w:val="000000" w:themeColor="text1"/>
          <w:kern w:val="44"/>
          <w:szCs w:val="21"/>
          <w14:textFill>
            <w14:solidFill>
              <w14:schemeClr w14:val="tx1"/>
            </w14:solidFill>
          </w14:textFill>
        </w:rPr>
        <w:t>9.4环境保护</w:t>
      </w:r>
      <w:bookmarkEnd w:id="344"/>
      <w:bookmarkEnd w:id="345"/>
      <w:bookmarkEnd w:id="346"/>
      <w:bookmarkEnd w:id="347"/>
      <w:bookmarkEnd w:id="348"/>
      <w:bookmarkEnd w:id="349"/>
      <w:bookmarkEnd w:id="350"/>
      <w:bookmarkEnd w:id="351"/>
      <w:bookmarkEnd w:id="352"/>
      <w:bookmarkEnd w:id="3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本款补充第9.4.7项～第9.4.11项：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9.4.7 承包人应切实执行技术规范中有关环境保护方面的条款和规定。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a.拌和设备应有较好的密封，或有防尘设备。</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b.施工通道、沥青混凝土拌和站及灰土拌和站应经常进行洒水降尘。</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c.路面施工应注意保持水分，以免扬尘。</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d.隧道出渣和桥梁钻孔灌注桩施工时排出的泥浆要进行妥善处理，严禁向河流或农田排放。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（3）采取可靠措施保证原有交通的正常通行，维持沿线村镇的居民饮水、农田灌溉、生产生活用电及通讯等管线的正常使用。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4"/>
        <w:spacing w:before="360" w:beforeLines="150" w:after="480" w:line="400" w:lineRule="exact"/>
        <w:jc w:val="left"/>
        <w:rPr>
          <w:color w:val="000000" w:themeColor="text1"/>
          <w:sz w:val="28"/>
          <w:szCs w:val="28"/>
          <w14:textFill>
            <w14:solidFill>
              <w14:schemeClr w14:val="tx1"/>
            </w14:solidFill>
          </w14:textFill>
        </w:rPr>
      </w:pPr>
      <w:bookmarkStart w:id="354" w:name="_Toc421630671"/>
      <w:bookmarkStart w:id="355" w:name="_Toc263889224"/>
      <w:bookmarkStart w:id="356" w:name="_Toc498542960"/>
      <w:bookmarkStart w:id="357" w:name="_Toc70689290"/>
      <w:bookmarkStart w:id="358" w:name="_Toc234382874"/>
      <w:bookmarkStart w:id="359" w:name="_Toc468702649"/>
      <w:bookmarkStart w:id="360" w:name="_Toc441002349"/>
      <w:bookmarkStart w:id="361" w:name="_Toc262031837"/>
      <w:bookmarkStart w:id="362" w:name="_Toc245538786"/>
      <w:bookmarkStart w:id="363" w:name="_Toc262895896"/>
      <w:r>
        <w:rPr>
          <w:color w:val="000000" w:themeColor="text1"/>
          <w:sz w:val="28"/>
          <w:szCs w:val="28"/>
          <w14:textFill>
            <w14:solidFill>
              <w14:schemeClr w14:val="tx1"/>
            </w14:solidFill>
          </w14:textFill>
        </w:rPr>
        <w:t>10．进度计划</w:t>
      </w:r>
      <w:bookmarkEnd w:id="354"/>
      <w:bookmarkEnd w:id="355"/>
      <w:bookmarkEnd w:id="356"/>
      <w:bookmarkEnd w:id="357"/>
      <w:bookmarkEnd w:id="358"/>
      <w:bookmarkEnd w:id="359"/>
      <w:bookmarkEnd w:id="360"/>
      <w:bookmarkEnd w:id="361"/>
      <w:bookmarkEnd w:id="362"/>
      <w:bookmarkEnd w:id="363"/>
    </w:p>
    <w:p>
      <w:pPr>
        <w:snapToGrid w:val="0"/>
        <w:spacing w:line="400" w:lineRule="exact"/>
        <w:outlineLvl w:val="3"/>
        <w:rPr>
          <w:bCs/>
          <w:color w:val="000000" w:themeColor="text1"/>
          <w:kern w:val="44"/>
          <w:szCs w:val="21"/>
          <w14:textFill>
            <w14:solidFill>
              <w14:schemeClr w14:val="tx1"/>
            </w14:solidFill>
          </w14:textFill>
        </w:rPr>
      </w:pPr>
      <w:bookmarkStart w:id="364" w:name="_Toc70689291"/>
      <w:bookmarkStart w:id="365" w:name="_Toc263889225"/>
      <w:bookmarkStart w:id="366" w:name="_Toc262895897"/>
      <w:bookmarkStart w:id="367" w:name="_Toc468702650"/>
      <w:bookmarkStart w:id="368" w:name="_Toc421630672"/>
      <w:bookmarkStart w:id="369" w:name="_Toc441002350"/>
      <w:bookmarkStart w:id="370" w:name="_Toc262031838"/>
      <w:bookmarkStart w:id="371" w:name="_Toc498542961"/>
      <w:bookmarkStart w:id="372" w:name="_Toc234382875"/>
      <w:bookmarkStart w:id="373" w:name="_Toc245538787"/>
      <w:r>
        <w:rPr>
          <w:bCs/>
          <w:color w:val="000000" w:themeColor="text1"/>
          <w:kern w:val="44"/>
          <w:szCs w:val="21"/>
          <w14:textFill>
            <w14:solidFill>
              <w14:schemeClr w14:val="tx1"/>
            </w14:solidFill>
          </w14:textFill>
        </w:rPr>
        <w:t>10.1合同进度计划</w:t>
      </w:r>
      <w:bookmarkEnd w:id="364"/>
      <w:bookmarkEnd w:id="365"/>
      <w:bookmarkEnd w:id="366"/>
      <w:bookmarkEnd w:id="367"/>
      <w:bookmarkEnd w:id="368"/>
      <w:bookmarkEnd w:id="369"/>
      <w:bookmarkEnd w:id="370"/>
      <w:bookmarkEnd w:id="371"/>
      <w:bookmarkEnd w:id="372"/>
      <w:bookmarkEnd w:id="37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承包人编制施工方案说明的内容见项目专用合同条款。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承包人向监理人报送施工进度计划和施工方案说明的期限：签订合同协议书后28天之内。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监理人应在14天内对承包人施工进度计划和施工方案说明予以批复或提出修改意见。</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合同进度计划应按照关键线路网络图和主要工作横道图两种形式分别编绘，并应包括每月预计完成的工作量和形象进度。</w:t>
      </w:r>
    </w:p>
    <w:p>
      <w:pPr>
        <w:snapToGrid w:val="0"/>
        <w:spacing w:line="400" w:lineRule="exact"/>
        <w:outlineLvl w:val="3"/>
        <w:rPr>
          <w:bCs/>
          <w:color w:val="000000" w:themeColor="text1"/>
          <w:kern w:val="44"/>
          <w:szCs w:val="21"/>
          <w14:textFill>
            <w14:solidFill>
              <w14:schemeClr w14:val="tx1"/>
            </w14:solidFill>
          </w14:textFill>
        </w:rPr>
      </w:pPr>
      <w:bookmarkStart w:id="374" w:name="_Toc234382876"/>
      <w:bookmarkStart w:id="375" w:name="_Toc262031839"/>
      <w:bookmarkStart w:id="376" w:name="_Toc468702651"/>
      <w:bookmarkStart w:id="377" w:name="_Toc262895898"/>
      <w:bookmarkStart w:id="378" w:name="_Toc245538788"/>
      <w:bookmarkStart w:id="379" w:name="_Toc263889226"/>
      <w:bookmarkStart w:id="380" w:name="_Toc498542962"/>
      <w:bookmarkStart w:id="381" w:name="_Toc70689292"/>
      <w:bookmarkStart w:id="382" w:name="_Toc421630673"/>
      <w:bookmarkStart w:id="383" w:name="_Toc441002351"/>
      <w:r>
        <w:rPr>
          <w:bCs/>
          <w:color w:val="000000" w:themeColor="text1"/>
          <w:kern w:val="44"/>
          <w:szCs w:val="21"/>
          <w14:textFill>
            <w14:solidFill>
              <w14:schemeClr w14:val="tx1"/>
            </w14:solidFill>
          </w14:textFill>
        </w:rPr>
        <w:t>10.2合同进度计划的修订</w:t>
      </w:r>
      <w:bookmarkEnd w:id="374"/>
      <w:bookmarkEnd w:id="375"/>
      <w:bookmarkEnd w:id="376"/>
      <w:bookmarkEnd w:id="377"/>
      <w:bookmarkEnd w:id="378"/>
      <w:bookmarkEnd w:id="379"/>
      <w:bookmarkEnd w:id="380"/>
      <w:bookmarkEnd w:id="381"/>
      <w:bookmarkEnd w:id="382"/>
      <w:bookmarkEnd w:id="38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承包人提交合同进度计划修订申请报告，并附有关措施和相关资料的期限：实际进度发生滞后的当月25日前。</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监理人批复修订合同进度计划的期限：收到修订合同进度计划后14天内。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补充第10.3款、10.4款：</w:t>
      </w:r>
    </w:p>
    <w:p>
      <w:pPr>
        <w:snapToGrid w:val="0"/>
        <w:spacing w:line="400" w:lineRule="exact"/>
        <w:outlineLvl w:val="3"/>
        <w:rPr>
          <w:bCs/>
          <w:color w:val="000000" w:themeColor="text1"/>
          <w:kern w:val="44"/>
          <w:szCs w:val="21"/>
          <w14:textFill>
            <w14:solidFill>
              <w14:schemeClr w14:val="tx1"/>
            </w14:solidFill>
          </w14:textFill>
        </w:rPr>
      </w:pPr>
      <w:bookmarkStart w:id="384" w:name="_Toc468702652"/>
      <w:bookmarkStart w:id="385" w:name="_Toc70689293"/>
      <w:bookmarkStart w:id="386" w:name="_Toc441002352"/>
      <w:bookmarkStart w:id="387" w:name="_Toc262031840"/>
      <w:bookmarkStart w:id="388" w:name="_Toc421630674"/>
      <w:bookmarkStart w:id="389" w:name="_Toc245538789"/>
      <w:bookmarkStart w:id="390" w:name="_Toc234382877"/>
      <w:bookmarkStart w:id="391" w:name="_Toc498542963"/>
      <w:bookmarkStart w:id="392" w:name="_Toc262895899"/>
      <w:bookmarkStart w:id="393" w:name="_Toc263889227"/>
      <w:r>
        <w:rPr>
          <w:bCs/>
          <w:color w:val="000000" w:themeColor="text1"/>
          <w:kern w:val="44"/>
          <w:szCs w:val="21"/>
          <w14:textFill>
            <w14:solidFill>
              <w14:schemeClr w14:val="tx1"/>
            </w14:solidFill>
          </w14:textFill>
        </w:rPr>
        <w:t>10.3年度施工计划</w:t>
      </w:r>
      <w:bookmarkEnd w:id="384"/>
      <w:bookmarkEnd w:id="385"/>
      <w:bookmarkEnd w:id="386"/>
      <w:bookmarkEnd w:id="387"/>
      <w:bookmarkEnd w:id="388"/>
      <w:bookmarkEnd w:id="389"/>
      <w:bookmarkEnd w:id="390"/>
      <w:bookmarkEnd w:id="391"/>
      <w:bookmarkEnd w:id="392"/>
      <w:bookmarkEnd w:id="39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snapToGrid w:val="0"/>
        <w:spacing w:line="400" w:lineRule="exact"/>
        <w:outlineLvl w:val="3"/>
        <w:rPr>
          <w:bCs/>
          <w:color w:val="000000" w:themeColor="text1"/>
          <w:kern w:val="44"/>
          <w:szCs w:val="21"/>
          <w14:textFill>
            <w14:solidFill>
              <w14:schemeClr w14:val="tx1"/>
            </w14:solidFill>
          </w14:textFill>
        </w:rPr>
      </w:pPr>
      <w:bookmarkStart w:id="394" w:name="_Toc498542964"/>
      <w:bookmarkStart w:id="395" w:name="_Toc70689294"/>
      <w:bookmarkStart w:id="396" w:name="_Toc262031841"/>
      <w:bookmarkStart w:id="397" w:name="_Toc245538790"/>
      <w:bookmarkStart w:id="398" w:name="_Toc441002353"/>
      <w:bookmarkStart w:id="399" w:name="_Toc234382878"/>
      <w:bookmarkStart w:id="400" w:name="_Toc263889228"/>
      <w:bookmarkStart w:id="401" w:name="_Toc421630675"/>
      <w:bookmarkStart w:id="402" w:name="_Toc262895900"/>
      <w:bookmarkStart w:id="403" w:name="_Toc468702653"/>
      <w:r>
        <w:rPr>
          <w:bCs/>
          <w:color w:val="000000" w:themeColor="text1"/>
          <w:kern w:val="44"/>
          <w:szCs w:val="21"/>
          <w14:textFill>
            <w14:solidFill>
              <w14:schemeClr w14:val="tx1"/>
            </w14:solidFill>
          </w14:textFill>
        </w:rPr>
        <w:t>10.4合同用款计划</w:t>
      </w:r>
      <w:bookmarkEnd w:id="394"/>
      <w:bookmarkEnd w:id="395"/>
      <w:bookmarkEnd w:id="396"/>
      <w:bookmarkEnd w:id="397"/>
      <w:bookmarkEnd w:id="398"/>
      <w:bookmarkEnd w:id="399"/>
      <w:bookmarkEnd w:id="400"/>
      <w:bookmarkEnd w:id="401"/>
      <w:bookmarkEnd w:id="402"/>
      <w:bookmarkEnd w:id="40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4"/>
        <w:spacing w:before="360" w:beforeLines="150" w:after="480" w:line="400" w:lineRule="exact"/>
        <w:jc w:val="left"/>
        <w:rPr>
          <w:color w:val="000000" w:themeColor="text1"/>
          <w:sz w:val="28"/>
          <w:szCs w:val="28"/>
          <w14:textFill>
            <w14:solidFill>
              <w14:schemeClr w14:val="tx1"/>
            </w14:solidFill>
          </w14:textFill>
        </w:rPr>
      </w:pPr>
      <w:bookmarkStart w:id="404" w:name="_Toc234382879"/>
      <w:bookmarkStart w:id="405" w:name="_Toc262895901"/>
      <w:bookmarkStart w:id="406" w:name="_Toc421630676"/>
      <w:bookmarkStart w:id="407" w:name="_Toc262031842"/>
      <w:bookmarkStart w:id="408" w:name="_Toc468702654"/>
      <w:bookmarkStart w:id="409" w:name="_Toc245538791"/>
      <w:bookmarkStart w:id="410" w:name="_Toc70689295"/>
      <w:bookmarkStart w:id="411" w:name="_Toc441002354"/>
      <w:bookmarkStart w:id="412" w:name="_Toc498542965"/>
      <w:bookmarkStart w:id="413" w:name="_Toc263889229"/>
      <w:r>
        <w:rPr>
          <w:color w:val="000000" w:themeColor="text1"/>
          <w:sz w:val="28"/>
          <w:szCs w:val="28"/>
          <w14:textFill>
            <w14:solidFill>
              <w14:schemeClr w14:val="tx1"/>
            </w14:solidFill>
          </w14:textFill>
        </w:rPr>
        <w:t>11．开工和交工</w:t>
      </w:r>
      <w:bookmarkEnd w:id="404"/>
      <w:bookmarkEnd w:id="405"/>
      <w:bookmarkEnd w:id="406"/>
      <w:bookmarkEnd w:id="407"/>
      <w:bookmarkEnd w:id="408"/>
      <w:bookmarkEnd w:id="409"/>
      <w:bookmarkEnd w:id="410"/>
      <w:bookmarkEnd w:id="411"/>
      <w:bookmarkEnd w:id="412"/>
      <w:bookmarkEnd w:id="413"/>
    </w:p>
    <w:p>
      <w:pPr>
        <w:snapToGrid w:val="0"/>
        <w:spacing w:line="400" w:lineRule="exact"/>
        <w:outlineLvl w:val="3"/>
        <w:rPr>
          <w:bCs/>
          <w:color w:val="000000" w:themeColor="text1"/>
          <w:kern w:val="44"/>
          <w:szCs w:val="21"/>
          <w14:textFill>
            <w14:solidFill>
              <w14:schemeClr w14:val="tx1"/>
            </w14:solidFill>
          </w14:textFill>
        </w:rPr>
      </w:pPr>
      <w:bookmarkStart w:id="414" w:name="_Toc70689296"/>
      <w:bookmarkStart w:id="415" w:name="_Toc441002355"/>
      <w:bookmarkStart w:id="416" w:name="_Toc245538792"/>
      <w:bookmarkStart w:id="417" w:name="_Toc262031843"/>
      <w:bookmarkStart w:id="418" w:name="_Toc468702655"/>
      <w:bookmarkStart w:id="419" w:name="_Toc421630677"/>
      <w:bookmarkStart w:id="420" w:name="_Toc498542966"/>
      <w:bookmarkStart w:id="421" w:name="_Toc263889230"/>
      <w:bookmarkStart w:id="422" w:name="_Toc234382880"/>
      <w:bookmarkStart w:id="423" w:name="_Toc262895902"/>
      <w:r>
        <w:rPr>
          <w:bCs/>
          <w:color w:val="000000" w:themeColor="text1"/>
          <w:kern w:val="44"/>
          <w:szCs w:val="21"/>
          <w14:textFill>
            <w14:solidFill>
              <w14:schemeClr w14:val="tx1"/>
            </w14:solidFill>
          </w14:textFill>
        </w:rPr>
        <w:t>11.1开工</w:t>
      </w:r>
      <w:bookmarkEnd w:id="414"/>
      <w:bookmarkEnd w:id="415"/>
      <w:bookmarkEnd w:id="416"/>
      <w:bookmarkEnd w:id="417"/>
      <w:bookmarkEnd w:id="418"/>
      <w:bookmarkEnd w:id="419"/>
      <w:bookmarkEnd w:id="420"/>
      <w:bookmarkEnd w:id="421"/>
      <w:bookmarkEnd w:id="422"/>
      <w:bookmarkEnd w:id="42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第11.1.2项补充：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pPr>
        <w:snapToGrid w:val="0"/>
        <w:spacing w:line="400" w:lineRule="exact"/>
        <w:outlineLvl w:val="3"/>
        <w:rPr>
          <w:bCs/>
          <w:color w:val="000000" w:themeColor="text1"/>
          <w:kern w:val="44"/>
          <w:szCs w:val="21"/>
          <w14:textFill>
            <w14:solidFill>
              <w14:schemeClr w14:val="tx1"/>
            </w14:solidFill>
          </w14:textFill>
        </w:rPr>
      </w:pPr>
      <w:bookmarkStart w:id="424" w:name="_Toc421630678"/>
      <w:bookmarkStart w:id="425" w:name="_Toc70689297"/>
      <w:bookmarkStart w:id="426" w:name="_Toc468702656"/>
      <w:bookmarkStart w:id="427" w:name="_Toc262031844"/>
      <w:bookmarkStart w:id="428" w:name="_Toc263889231"/>
      <w:bookmarkStart w:id="429" w:name="_Toc498542967"/>
      <w:bookmarkStart w:id="430" w:name="_Toc262895903"/>
      <w:bookmarkStart w:id="431" w:name="_Toc234382881"/>
      <w:bookmarkStart w:id="432" w:name="_Toc245538793"/>
      <w:bookmarkStart w:id="433" w:name="_Toc441002356"/>
      <w:r>
        <w:rPr>
          <w:bCs/>
          <w:color w:val="000000" w:themeColor="text1"/>
          <w:kern w:val="44"/>
          <w:szCs w:val="21"/>
          <w14:textFill>
            <w14:solidFill>
              <w14:schemeClr w14:val="tx1"/>
            </w14:solidFill>
          </w14:textFill>
        </w:rPr>
        <w:t>11.3发包人的工期延误</w:t>
      </w:r>
      <w:bookmarkEnd w:id="424"/>
      <w:bookmarkEnd w:id="425"/>
      <w:bookmarkEnd w:id="426"/>
      <w:bookmarkEnd w:id="427"/>
      <w:bookmarkEnd w:id="428"/>
      <w:bookmarkEnd w:id="429"/>
      <w:bookmarkEnd w:id="430"/>
      <w:bookmarkEnd w:id="431"/>
      <w:bookmarkEnd w:id="432"/>
      <w:bookmarkEnd w:id="43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即使由于上述原因造成工期延误，如果受影响的工程并非处在工程施工进度网络计划的关键线路上，则承包人无权要求延长总工期。</w:t>
      </w:r>
    </w:p>
    <w:p>
      <w:pPr>
        <w:snapToGrid w:val="0"/>
        <w:spacing w:line="400" w:lineRule="exact"/>
        <w:outlineLvl w:val="3"/>
        <w:rPr>
          <w:bCs/>
          <w:color w:val="000000" w:themeColor="text1"/>
          <w:kern w:val="44"/>
          <w:szCs w:val="21"/>
          <w14:textFill>
            <w14:solidFill>
              <w14:schemeClr w14:val="tx1"/>
            </w14:solidFill>
          </w14:textFill>
        </w:rPr>
      </w:pPr>
      <w:bookmarkStart w:id="434" w:name="_Toc468702657"/>
      <w:bookmarkStart w:id="435" w:name="_Toc234382882"/>
      <w:bookmarkStart w:id="436" w:name="_Toc421630679"/>
      <w:bookmarkStart w:id="437" w:name="_Toc263889232"/>
      <w:bookmarkStart w:id="438" w:name="_Toc262895904"/>
      <w:bookmarkStart w:id="439" w:name="_Toc498542968"/>
      <w:bookmarkStart w:id="440" w:name="_Toc262031845"/>
      <w:bookmarkStart w:id="441" w:name="_Toc245538794"/>
      <w:bookmarkStart w:id="442" w:name="_Toc70689298"/>
      <w:bookmarkStart w:id="443" w:name="_Toc441002357"/>
      <w:r>
        <w:rPr>
          <w:bCs/>
          <w:color w:val="000000" w:themeColor="text1"/>
          <w:kern w:val="44"/>
          <w:szCs w:val="21"/>
          <w14:textFill>
            <w14:solidFill>
              <w14:schemeClr w14:val="tx1"/>
            </w14:solidFill>
          </w14:textFill>
        </w:rPr>
        <w:t>11.4异常恶劣的气候条件</w:t>
      </w:r>
      <w:bookmarkEnd w:id="434"/>
      <w:bookmarkEnd w:id="435"/>
      <w:bookmarkEnd w:id="436"/>
      <w:bookmarkEnd w:id="437"/>
      <w:bookmarkEnd w:id="438"/>
      <w:bookmarkEnd w:id="439"/>
      <w:bookmarkEnd w:id="440"/>
      <w:bookmarkEnd w:id="441"/>
      <w:bookmarkEnd w:id="442"/>
      <w:bookmarkEnd w:id="44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异常气候是指项目所在地30年以上一遇的罕见气候现象（包括温度、降水、降雪、风等）。异常恶劣的气候条件在项目专用合同条款中作具体规定。</w:t>
      </w:r>
    </w:p>
    <w:p>
      <w:pPr>
        <w:snapToGrid w:val="0"/>
        <w:spacing w:line="400" w:lineRule="exact"/>
        <w:outlineLvl w:val="3"/>
        <w:rPr>
          <w:bCs/>
          <w:color w:val="000000" w:themeColor="text1"/>
          <w:kern w:val="44"/>
          <w:szCs w:val="21"/>
          <w14:textFill>
            <w14:solidFill>
              <w14:schemeClr w14:val="tx1"/>
            </w14:solidFill>
          </w14:textFill>
        </w:rPr>
      </w:pPr>
      <w:bookmarkStart w:id="444" w:name="_Toc234382883"/>
      <w:bookmarkStart w:id="445" w:name="_Toc421630680"/>
      <w:bookmarkStart w:id="446" w:name="_Toc263889233"/>
      <w:bookmarkStart w:id="447" w:name="_Toc262895905"/>
      <w:bookmarkStart w:id="448" w:name="_Toc468702658"/>
      <w:bookmarkStart w:id="449" w:name="_Toc498542969"/>
      <w:bookmarkStart w:id="450" w:name="_Toc262031846"/>
      <w:bookmarkStart w:id="451" w:name="_Toc70689299"/>
      <w:bookmarkStart w:id="452" w:name="_Toc441002358"/>
      <w:bookmarkStart w:id="453" w:name="_Toc245538795"/>
      <w:r>
        <w:rPr>
          <w:bCs/>
          <w:color w:val="000000" w:themeColor="text1"/>
          <w:kern w:val="44"/>
          <w:szCs w:val="21"/>
          <w14:textFill>
            <w14:solidFill>
              <w14:schemeClr w14:val="tx1"/>
            </w14:solidFill>
          </w14:textFill>
        </w:rPr>
        <w:t>11.5承包人的工期延误</w:t>
      </w:r>
      <w:bookmarkEnd w:id="444"/>
      <w:bookmarkEnd w:id="445"/>
      <w:bookmarkEnd w:id="446"/>
      <w:bookmarkEnd w:id="447"/>
      <w:bookmarkEnd w:id="448"/>
      <w:bookmarkEnd w:id="449"/>
      <w:bookmarkEnd w:id="450"/>
      <w:bookmarkEnd w:id="451"/>
      <w:bookmarkEnd w:id="452"/>
      <w:bookmarkEnd w:id="4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360" w:lineRule="exact"/>
        <w:ind w:firstLine="420" w:firstLineChars="200"/>
        <w:rPr>
          <w:color w:val="000000" w:themeColor="text1"/>
          <w14:textFill>
            <w14:solidFill>
              <w14:schemeClr w14:val="tx1"/>
            </w14:solidFill>
          </w14:textFill>
        </w:rPr>
      </w:pPr>
      <w:bookmarkStart w:id="454" w:name="_Toc234382884"/>
      <w:r>
        <w:rPr>
          <w:color w:val="000000" w:themeColor="text1"/>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（4）承包人支付逾期交工违约金，不免除承包人完成工程及修补缺陷的义务。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如果在合同工程完工之前，已对合同工程内按时完工的单位工程签发了交工验收证书，则合同工程的逾期交工违约金，应按已签发工程接收证书的单位工程的价值占合同工程价值的比例予以减少，但本规定不应影响逾期交工违约金的规定限额。</w:t>
      </w:r>
    </w:p>
    <w:p>
      <w:pPr>
        <w:snapToGrid w:val="0"/>
        <w:spacing w:line="400" w:lineRule="exact"/>
        <w:outlineLvl w:val="3"/>
        <w:rPr>
          <w:bCs/>
          <w:color w:val="000000" w:themeColor="text1"/>
          <w:kern w:val="44"/>
          <w:szCs w:val="21"/>
          <w14:textFill>
            <w14:solidFill>
              <w14:schemeClr w14:val="tx1"/>
            </w14:solidFill>
          </w14:textFill>
        </w:rPr>
      </w:pPr>
      <w:bookmarkStart w:id="455" w:name="_Toc70689300"/>
      <w:bookmarkStart w:id="456" w:name="_Toc441002359"/>
      <w:bookmarkStart w:id="457" w:name="_Toc421630681"/>
      <w:bookmarkStart w:id="458" w:name="_Toc468702659"/>
      <w:bookmarkStart w:id="459" w:name="_Toc262895906"/>
      <w:bookmarkStart w:id="460" w:name="_Toc245538796"/>
      <w:bookmarkStart w:id="461" w:name="_Toc262031847"/>
      <w:bookmarkStart w:id="462" w:name="_Toc263889234"/>
      <w:bookmarkStart w:id="463" w:name="_Toc498542970"/>
      <w:r>
        <w:rPr>
          <w:bCs/>
          <w:color w:val="000000" w:themeColor="text1"/>
          <w:kern w:val="44"/>
          <w:szCs w:val="21"/>
          <w14:textFill>
            <w14:solidFill>
              <w14:schemeClr w14:val="tx1"/>
            </w14:solidFill>
          </w14:textFill>
        </w:rPr>
        <w:t>11.6工期提前</w:t>
      </w:r>
      <w:bookmarkEnd w:id="454"/>
      <w:bookmarkEnd w:id="455"/>
      <w:bookmarkEnd w:id="456"/>
      <w:bookmarkEnd w:id="457"/>
      <w:bookmarkEnd w:id="458"/>
      <w:bookmarkEnd w:id="459"/>
      <w:bookmarkEnd w:id="460"/>
      <w:bookmarkEnd w:id="461"/>
      <w:bookmarkEnd w:id="462"/>
      <w:bookmarkEnd w:id="46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补充11.7款：</w:t>
      </w:r>
    </w:p>
    <w:p>
      <w:pPr>
        <w:snapToGrid w:val="0"/>
        <w:spacing w:line="400" w:lineRule="exact"/>
        <w:outlineLvl w:val="3"/>
        <w:rPr>
          <w:bCs/>
          <w:color w:val="000000" w:themeColor="text1"/>
          <w:kern w:val="44"/>
          <w:szCs w:val="21"/>
          <w14:textFill>
            <w14:solidFill>
              <w14:schemeClr w14:val="tx1"/>
            </w14:solidFill>
          </w14:textFill>
        </w:rPr>
      </w:pPr>
      <w:bookmarkStart w:id="464" w:name="_Toc421630682"/>
      <w:bookmarkStart w:id="465" w:name="_Toc263889235"/>
      <w:bookmarkStart w:id="466" w:name="_Toc262031848"/>
      <w:bookmarkStart w:id="467" w:name="_Toc245538797"/>
      <w:bookmarkStart w:id="468" w:name="_Toc70689301"/>
      <w:bookmarkStart w:id="469" w:name="_Toc498542971"/>
      <w:bookmarkStart w:id="470" w:name="_Toc468702660"/>
      <w:bookmarkStart w:id="471" w:name="_Toc262895907"/>
      <w:bookmarkStart w:id="472" w:name="_Toc234382885"/>
      <w:bookmarkStart w:id="473" w:name="_Toc441002360"/>
      <w:r>
        <w:rPr>
          <w:bCs/>
          <w:color w:val="000000" w:themeColor="text1"/>
          <w:kern w:val="44"/>
          <w:szCs w:val="21"/>
          <w14:textFill>
            <w14:solidFill>
              <w14:schemeClr w14:val="tx1"/>
            </w14:solidFill>
          </w14:textFill>
        </w:rPr>
        <w:t>11.7工作时间的限制</w:t>
      </w:r>
      <w:bookmarkEnd w:id="464"/>
      <w:bookmarkEnd w:id="465"/>
      <w:bookmarkEnd w:id="466"/>
      <w:bookmarkEnd w:id="467"/>
      <w:bookmarkEnd w:id="468"/>
      <w:bookmarkEnd w:id="469"/>
      <w:bookmarkEnd w:id="470"/>
      <w:bookmarkEnd w:id="471"/>
      <w:bookmarkEnd w:id="472"/>
      <w:bookmarkEnd w:id="47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承包人在夜间或国家规定的节假日进行永久工程的施工，应向监理人报告，以便监理人履行监理职责和义务。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但是，为了抢救生命或保护财产，或为了工程的安全、质量而不可避免地短暂作业，则不必事先向监理人报告。但承包人应在事后立即向监理人报告。</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本款规定不适用于习惯上或施工本身要求实行连续生产的作业。</w:t>
      </w:r>
    </w:p>
    <w:p>
      <w:pPr>
        <w:pStyle w:val="4"/>
        <w:spacing w:before="360" w:beforeLines="150" w:after="480" w:line="400" w:lineRule="exact"/>
        <w:jc w:val="left"/>
        <w:rPr>
          <w:color w:val="000000" w:themeColor="text1"/>
          <w:sz w:val="28"/>
          <w:szCs w:val="28"/>
          <w14:textFill>
            <w14:solidFill>
              <w14:schemeClr w14:val="tx1"/>
            </w14:solidFill>
          </w14:textFill>
        </w:rPr>
      </w:pPr>
      <w:bookmarkStart w:id="474" w:name="_Toc245538798"/>
      <w:bookmarkStart w:id="475" w:name="_Toc70689302"/>
      <w:bookmarkStart w:id="476" w:name="_Toc263889236"/>
      <w:bookmarkStart w:id="477" w:name="_Toc234382886"/>
      <w:bookmarkStart w:id="478" w:name="_Toc441002361"/>
      <w:bookmarkStart w:id="479" w:name="_Toc262895908"/>
      <w:bookmarkStart w:id="480" w:name="_Toc421630683"/>
      <w:bookmarkStart w:id="481" w:name="_Toc468702661"/>
      <w:bookmarkStart w:id="482" w:name="_Toc262031849"/>
      <w:bookmarkStart w:id="483" w:name="_Toc498542972"/>
      <w:r>
        <w:rPr>
          <w:color w:val="000000" w:themeColor="text1"/>
          <w:sz w:val="28"/>
          <w:szCs w:val="28"/>
          <w14:textFill>
            <w14:solidFill>
              <w14:schemeClr w14:val="tx1"/>
            </w14:solidFill>
          </w14:textFill>
        </w:rPr>
        <w:t>12．暂停施工</w:t>
      </w:r>
      <w:bookmarkEnd w:id="474"/>
      <w:bookmarkEnd w:id="475"/>
      <w:bookmarkEnd w:id="476"/>
      <w:bookmarkEnd w:id="477"/>
      <w:bookmarkEnd w:id="478"/>
      <w:bookmarkEnd w:id="479"/>
      <w:bookmarkEnd w:id="480"/>
      <w:bookmarkEnd w:id="481"/>
      <w:bookmarkEnd w:id="482"/>
      <w:bookmarkEnd w:id="483"/>
    </w:p>
    <w:p>
      <w:pPr>
        <w:snapToGrid w:val="0"/>
        <w:spacing w:line="400" w:lineRule="exact"/>
        <w:outlineLvl w:val="3"/>
        <w:rPr>
          <w:bCs/>
          <w:color w:val="000000" w:themeColor="text1"/>
          <w:kern w:val="44"/>
          <w:szCs w:val="21"/>
          <w14:textFill>
            <w14:solidFill>
              <w14:schemeClr w14:val="tx1"/>
            </w14:solidFill>
          </w14:textFill>
        </w:rPr>
      </w:pPr>
      <w:bookmarkStart w:id="484" w:name="_Toc421630684"/>
      <w:bookmarkStart w:id="485" w:name="_Toc262895909"/>
      <w:bookmarkStart w:id="486" w:name="_Toc468702662"/>
      <w:bookmarkStart w:id="487" w:name="_Toc234382887"/>
      <w:bookmarkStart w:id="488" w:name="_Toc70689303"/>
      <w:bookmarkStart w:id="489" w:name="_Toc263889237"/>
      <w:bookmarkStart w:id="490" w:name="_Toc498542973"/>
      <w:bookmarkStart w:id="491" w:name="_Toc245538799"/>
      <w:bookmarkStart w:id="492" w:name="_Toc441002362"/>
      <w:bookmarkStart w:id="493" w:name="_Toc262031850"/>
      <w:r>
        <w:rPr>
          <w:bCs/>
          <w:color w:val="000000" w:themeColor="text1"/>
          <w:kern w:val="44"/>
          <w:szCs w:val="21"/>
          <w14:textFill>
            <w14:solidFill>
              <w14:schemeClr w14:val="tx1"/>
            </w14:solidFill>
          </w14:textFill>
        </w:rPr>
        <w:t>12.1承包人暂停施工的责任</w:t>
      </w:r>
      <w:bookmarkEnd w:id="484"/>
      <w:bookmarkEnd w:id="485"/>
      <w:bookmarkEnd w:id="486"/>
      <w:bookmarkEnd w:id="487"/>
      <w:bookmarkEnd w:id="488"/>
      <w:bookmarkEnd w:id="489"/>
      <w:bookmarkEnd w:id="490"/>
      <w:bookmarkEnd w:id="491"/>
      <w:bookmarkEnd w:id="492"/>
      <w:bookmarkEnd w:id="49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本款第（5）项细化为：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（5）现场气候条件导致的必要停工（第11.4款规定的异常恶劣的气候条件除外）；</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（6）项目专用合同条款可能约定的由承包人承担的其他暂停施工。</w:t>
      </w:r>
    </w:p>
    <w:p>
      <w:pPr>
        <w:pStyle w:val="4"/>
        <w:spacing w:before="360" w:beforeLines="150" w:after="480" w:line="400" w:lineRule="exact"/>
        <w:jc w:val="left"/>
        <w:rPr>
          <w:color w:val="000000" w:themeColor="text1"/>
          <w:sz w:val="28"/>
          <w:szCs w:val="28"/>
          <w14:textFill>
            <w14:solidFill>
              <w14:schemeClr w14:val="tx1"/>
            </w14:solidFill>
          </w14:textFill>
        </w:rPr>
      </w:pPr>
      <w:bookmarkStart w:id="494" w:name="_Toc498542974"/>
      <w:bookmarkStart w:id="495" w:name="_Toc262895910"/>
      <w:bookmarkStart w:id="496" w:name="_Toc245538800"/>
      <w:bookmarkStart w:id="497" w:name="_Toc441002363"/>
      <w:bookmarkStart w:id="498" w:name="_Toc468702663"/>
      <w:bookmarkStart w:id="499" w:name="_Toc421630685"/>
      <w:bookmarkStart w:id="500" w:name="_Toc234382888"/>
      <w:bookmarkStart w:id="501" w:name="_Toc262031851"/>
      <w:bookmarkStart w:id="502" w:name="_Toc263889238"/>
      <w:bookmarkStart w:id="503" w:name="_Toc70689304"/>
      <w:r>
        <w:rPr>
          <w:color w:val="000000" w:themeColor="text1"/>
          <w:sz w:val="28"/>
          <w:szCs w:val="28"/>
          <w14:textFill>
            <w14:solidFill>
              <w14:schemeClr w14:val="tx1"/>
            </w14:solidFill>
          </w14:textFill>
        </w:rPr>
        <w:t>13．工程质量</w:t>
      </w:r>
      <w:bookmarkEnd w:id="494"/>
      <w:bookmarkEnd w:id="495"/>
      <w:bookmarkEnd w:id="496"/>
      <w:bookmarkEnd w:id="497"/>
      <w:bookmarkEnd w:id="498"/>
      <w:bookmarkEnd w:id="499"/>
      <w:bookmarkEnd w:id="500"/>
      <w:bookmarkEnd w:id="501"/>
      <w:bookmarkEnd w:id="502"/>
      <w:bookmarkEnd w:id="503"/>
    </w:p>
    <w:p>
      <w:pPr>
        <w:snapToGrid w:val="0"/>
        <w:spacing w:line="400" w:lineRule="exact"/>
        <w:outlineLvl w:val="3"/>
        <w:rPr>
          <w:bCs/>
          <w:color w:val="000000" w:themeColor="text1"/>
          <w:kern w:val="44"/>
          <w:szCs w:val="21"/>
          <w14:textFill>
            <w14:solidFill>
              <w14:schemeClr w14:val="tx1"/>
            </w14:solidFill>
          </w14:textFill>
        </w:rPr>
      </w:pPr>
      <w:bookmarkStart w:id="504" w:name="_Toc262895911"/>
      <w:bookmarkStart w:id="505" w:name="_Toc245538801"/>
      <w:bookmarkStart w:id="506" w:name="_Toc441002364"/>
      <w:bookmarkStart w:id="507" w:name="_Toc262031852"/>
      <w:bookmarkStart w:id="508" w:name="_Toc263889239"/>
      <w:bookmarkStart w:id="509" w:name="_Toc421630686"/>
      <w:bookmarkStart w:id="510" w:name="_Toc234382889"/>
      <w:bookmarkStart w:id="511" w:name="_Toc498542975"/>
      <w:bookmarkStart w:id="512" w:name="_Toc468702664"/>
      <w:bookmarkStart w:id="513" w:name="_Toc70689305"/>
      <w:r>
        <w:rPr>
          <w:bCs/>
          <w:color w:val="000000" w:themeColor="text1"/>
          <w:kern w:val="44"/>
          <w:szCs w:val="21"/>
          <w14:textFill>
            <w14:solidFill>
              <w14:schemeClr w14:val="tx1"/>
            </w14:solidFill>
          </w14:textFill>
        </w:rPr>
        <w:t>13.1工程质量要求</w:t>
      </w:r>
      <w:bookmarkEnd w:id="504"/>
      <w:bookmarkEnd w:id="505"/>
      <w:bookmarkEnd w:id="506"/>
      <w:bookmarkEnd w:id="507"/>
      <w:bookmarkEnd w:id="508"/>
      <w:bookmarkEnd w:id="509"/>
      <w:bookmarkEnd w:id="510"/>
      <w:bookmarkEnd w:id="511"/>
      <w:bookmarkEnd w:id="512"/>
      <w:bookmarkEnd w:id="51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第13.1.1项约定为：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工程质量验收按技术规范及《公路工程质量检验评定标准》执行。</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本款补充第13.1.4和13.1.5项：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pPr>
        <w:snapToGrid w:val="0"/>
        <w:spacing w:line="400" w:lineRule="exact"/>
        <w:outlineLvl w:val="3"/>
        <w:rPr>
          <w:bCs/>
          <w:color w:val="000000" w:themeColor="text1"/>
          <w:kern w:val="44"/>
          <w:szCs w:val="21"/>
          <w14:textFill>
            <w14:solidFill>
              <w14:schemeClr w14:val="tx1"/>
            </w14:solidFill>
          </w14:textFill>
        </w:rPr>
      </w:pPr>
      <w:bookmarkStart w:id="514" w:name="_Toc262895912"/>
      <w:bookmarkStart w:id="515" w:name="_Toc468702665"/>
      <w:bookmarkStart w:id="516" w:name="_Toc234382890"/>
      <w:bookmarkStart w:id="517" w:name="_Toc70689306"/>
      <w:bookmarkStart w:id="518" w:name="_Toc441002365"/>
      <w:bookmarkStart w:id="519" w:name="_Toc263889240"/>
      <w:bookmarkStart w:id="520" w:name="_Toc421630687"/>
      <w:bookmarkStart w:id="521" w:name="_Toc498542976"/>
      <w:bookmarkStart w:id="522" w:name="_Toc245538802"/>
      <w:bookmarkStart w:id="523" w:name="_Toc262031853"/>
      <w:r>
        <w:rPr>
          <w:bCs/>
          <w:color w:val="000000" w:themeColor="text1"/>
          <w:kern w:val="44"/>
          <w:szCs w:val="21"/>
          <w14:textFill>
            <w14:solidFill>
              <w14:schemeClr w14:val="tx1"/>
            </w14:solidFill>
          </w14:textFill>
        </w:rPr>
        <w:t>13.2承包人的质量管理</w:t>
      </w:r>
      <w:bookmarkEnd w:id="514"/>
      <w:bookmarkEnd w:id="515"/>
      <w:bookmarkEnd w:id="516"/>
      <w:bookmarkEnd w:id="517"/>
      <w:bookmarkEnd w:id="518"/>
      <w:bookmarkEnd w:id="519"/>
      <w:bookmarkEnd w:id="520"/>
      <w:bookmarkEnd w:id="521"/>
      <w:bookmarkEnd w:id="522"/>
      <w:bookmarkEnd w:id="52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第13.2.1项补充：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承包人提交工程质量保证措施文件的期限：签订合同协议书后28天之内。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本款补充第13.2.3项～第13.2.6项：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13.2.3承包人必须遵守国家有关法律、法规和规章，严格执行公路工程强制性技术标准、各类技术规范及规程，全面履行工程合同义务，依法对公路工程质量负责。</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13.2.4承包人应加强质量监控，确保规范规定的检验、抽检频率，现场质检的原始资料必须真实、准确、可靠，不得追记，接受质量检查时必须出示原始资料。</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13.2.5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13.2.6承包人驻工程现场机构应在现场驻地和重要的分部、分项工程施工现场设置明显的工程质量责任登记表公示牌。</w:t>
      </w:r>
    </w:p>
    <w:p>
      <w:pPr>
        <w:snapToGrid w:val="0"/>
        <w:spacing w:line="400" w:lineRule="exact"/>
        <w:outlineLvl w:val="3"/>
        <w:rPr>
          <w:bCs/>
          <w:color w:val="000000" w:themeColor="text1"/>
          <w:kern w:val="44"/>
          <w:szCs w:val="21"/>
          <w14:textFill>
            <w14:solidFill>
              <w14:schemeClr w14:val="tx1"/>
            </w14:solidFill>
          </w14:textFill>
        </w:rPr>
      </w:pPr>
      <w:bookmarkStart w:id="524" w:name="_Toc498542977"/>
      <w:bookmarkStart w:id="525" w:name="_Toc234382891"/>
      <w:bookmarkStart w:id="526" w:name="_Toc441002366"/>
      <w:bookmarkStart w:id="527" w:name="_Toc421630688"/>
      <w:bookmarkStart w:id="528" w:name="_Toc245538803"/>
      <w:bookmarkStart w:id="529" w:name="_Toc262031854"/>
      <w:bookmarkStart w:id="530" w:name="_Toc262895913"/>
      <w:bookmarkStart w:id="531" w:name="_Toc263889241"/>
      <w:bookmarkStart w:id="532" w:name="_Toc468702666"/>
      <w:bookmarkStart w:id="533" w:name="_Toc70689307"/>
      <w:r>
        <w:rPr>
          <w:bCs/>
          <w:color w:val="000000" w:themeColor="text1"/>
          <w:kern w:val="44"/>
          <w:szCs w:val="21"/>
          <w14:textFill>
            <w14:solidFill>
              <w14:schemeClr w14:val="tx1"/>
            </w14:solidFill>
          </w14:textFill>
        </w:rPr>
        <w:t>13.4监理人的质量检查</w:t>
      </w:r>
      <w:bookmarkEnd w:id="524"/>
      <w:bookmarkEnd w:id="525"/>
      <w:bookmarkEnd w:id="526"/>
      <w:bookmarkEnd w:id="527"/>
      <w:bookmarkEnd w:id="528"/>
      <w:bookmarkEnd w:id="529"/>
      <w:bookmarkEnd w:id="530"/>
      <w:bookmarkEnd w:id="531"/>
      <w:bookmarkEnd w:id="532"/>
      <w:bookmarkEnd w:id="53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snapToGrid w:val="0"/>
        <w:spacing w:line="400" w:lineRule="exact"/>
        <w:outlineLvl w:val="3"/>
        <w:rPr>
          <w:bCs/>
          <w:color w:val="000000" w:themeColor="text1"/>
          <w:kern w:val="44"/>
          <w:szCs w:val="21"/>
          <w14:textFill>
            <w14:solidFill>
              <w14:schemeClr w14:val="tx1"/>
            </w14:solidFill>
          </w14:textFill>
        </w:rPr>
      </w:pPr>
      <w:bookmarkStart w:id="534" w:name="_Toc263889242"/>
      <w:bookmarkStart w:id="535" w:name="_Toc262031855"/>
      <w:bookmarkStart w:id="536" w:name="_Toc498542978"/>
      <w:bookmarkStart w:id="537" w:name="_Toc245538804"/>
      <w:bookmarkStart w:id="538" w:name="_Toc262895914"/>
      <w:bookmarkStart w:id="539" w:name="_Toc234382892"/>
      <w:bookmarkStart w:id="540" w:name="_Toc468702667"/>
      <w:bookmarkStart w:id="541" w:name="_Toc421630689"/>
      <w:bookmarkStart w:id="542" w:name="_Toc70689308"/>
      <w:bookmarkStart w:id="543" w:name="_Toc441002367"/>
      <w:r>
        <w:rPr>
          <w:bCs/>
          <w:color w:val="000000" w:themeColor="text1"/>
          <w:kern w:val="44"/>
          <w:szCs w:val="21"/>
          <w14:textFill>
            <w14:solidFill>
              <w14:schemeClr w14:val="tx1"/>
            </w14:solidFill>
          </w14:textFill>
        </w:rPr>
        <w:t>13.5工程隐蔽部位覆盖前的检查</w:t>
      </w:r>
      <w:bookmarkEnd w:id="534"/>
      <w:bookmarkEnd w:id="535"/>
      <w:bookmarkEnd w:id="536"/>
      <w:bookmarkEnd w:id="537"/>
      <w:bookmarkEnd w:id="538"/>
      <w:bookmarkEnd w:id="539"/>
      <w:bookmarkEnd w:id="540"/>
      <w:bookmarkEnd w:id="541"/>
      <w:bookmarkEnd w:id="542"/>
      <w:bookmarkEnd w:id="54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第13.5.1项补充：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snapToGrid w:val="0"/>
        <w:spacing w:line="400" w:lineRule="exact"/>
        <w:outlineLvl w:val="3"/>
        <w:rPr>
          <w:bCs/>
          <w:color w:val="000000" w:themeColor="text1"/>
          <w:kern w:val="44"/>
          <w:szCs w:val="21"/>
          <w14:textFill>
            <w14:solidFill>
              <w14:schemeClr w14:val="tx1"/>
            </w14:solidFill>
          </w14:textFill>
        </w:rPr>
      </w:pPr>
      <w:bookmarkStart w:id="544" w:name="_Toc245538805"/>
      <w:bookmarkStart w:id="545" w:name="_Toc498542979"/>
      <w:bookmarkStart w:id="546" w:name="_Toc70689309"/>
      <w:bookmarkStart w:id="547" w:name="_Toc262895915"/>
      <w:bookmarkStart w:id="548" w:name="_Toc262031856"/>
      <w:bookmarkStart w:id="549" w:name="_Toc468702668"/>
      <w:bookmarkStart w:id="550" w:name="_Toc421630690"/>
      <w:bookmarkStart w:id="551" w:name="_Toc441002368"/>
      <w:bookmarkStart w:id="552" w:name="_Toc234382893"/>
      <w:bookmarkStart w:id="553" w:name="_Toc263889243"/>
      <w:r>
        <w:rPr>
          <w:bCs/>
          <w:color w:val="000000" w:themeColor="text1"/>
          <w:kern w:val="44"/>
          <w:szCs w:val="21"/>
          <w14:textFill>
            <w14:solidFill>
              <w14:schemeClr w14:val="tx1"/>
            </w14:solidFill>
          </w14:textFill>
        </w:rPr>
        <w:t>13.6清除不合格工程</w:t>
      </w:r>
      <w:bookmarkEnd w:id="544"/>
      <w:bookmarkEnd w:id="545"/>
      <w:bookmarkEnd w:id="546"/>
      <w:bookmarkEnd w:id="547"/>
      <w:bookmarkEnd w:id="548"/>
      <w:bookmarkEnd w:id="549"/>
      <w:bookmarkEnd w:id="550"/>
      <w:bookmarkEnd w:id="551"/>
      <w:bookmarkEnd w:id="552"/>
      <w:bookmarkEnd w:id="5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第13.6.1项细化为：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（2）如果承包人未在规定时间内执行监理人的指示，发包人有权雇用他人执行，由此增加的费用和（或）工期延误由承包人承担。</w:t>
      </w:r>
    </w:p>
    <w:p>
      <w:pPr>
        <w:pStyle w:val="4"/>
        <w:spacing w:before="360" w:beforeLines="150" w:after="480" w:line="400" w:lineRule="exact"/>
        <w:jc w:val="left"/>
        <w:rPr>
          <w:color w:val="000000" w:themeColor="text1"/>
          <w:sz w:val="28"/>
          <w:szCs w:val="28"/>
          <w14:textFill>
            <w14:solidFill>
              <w14:schemeClr w14:val="tx1"/>
            </w14:solidFill>
          </w14:textFill>
        </w:rPr>
      </w:pPr>
      <w:bookmarkStart w:id="554" w:name="_Toc234382894"/>
      <w:bookmarkStart w:id="555" w:name="_Toc262895916"/>
      <w:bookmarkStart w:id="556" w:name="_Toc441002369"/>
      <w:bookmarkStart w:id="557" w:name="_Toc498542980"/>
      <w:bookmarkStart w:id="558" w:name="_Toc468702669"/>
      <w:bookmarkStart w:id="559" w:name="_Toc263889244"/>
      <w:bookmarkStart w:id="560" w:name="_Toc421630691"/>
      <w:bookmarkStart w:id="561" w:name="_Toc262031857"/>
      <w:bookmarkStart w:id="562" w:name="_Toc70689310"/>
      <w:bookmarkStart w:id="563" w:name="_Toc245538806"/>
      <w:r>
        <w:rPr>
          <w:color w:val="000000" w:themeColor="text1"/>
          <w:sz w:val="28"/>
          <w:szCs w:val="28"/>
          <w14:textFill>
            <w14:solidFill>
              <w14:schemeClr w14:val="tx1"/>
            </w14:solidFill>
          </w14:textFill>
        </w:rPr>
        <w:t>14．试验和检验</w:t>
      </w:r>
      <w:bookmarkEnd w:id="554"/>
      <w:bookmarkEnd w:id="555"/>
      <w:bookmarkEnd w:id="556"/>
      <w:bookmarkEnd w:id="557"/>
      <w:bookmarkEnd w:id="558"/>
      <w:bookmarkEnd w:id="559"/>
      <w:bookmarkEnd w:id="560"/>
      <w:bookmarkEnd w:id="561"/>
      <w:bookmarkEnd w:id="562"/>
      <w:bookmarkEnd w:id="56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补充第14.4款：</w:t>
      </w:r>
    </w:p>
    <w:p>
      <w:pPr>
        <w:snapToGrid w:val="0"/>
        <w:spacing w:line="400" w:lineRule="exact"/>
        <w:outlineLvl w:val="3"/>
        <w:rPr>
          <w:bCs/>
          <w:color w:val="000000" w:themeColor="text1"/>
          <w:kern w:val="44"/>
          <w:szCs w:val="21"/>
          <w14:textFill>
            <w14:solidFill>
              <w14:schemeClr w14:val="tx1"/>
            </w14:solidFill>
          </w14:textFill>
        </w:rPr>
      </w:pPr>
      <w:bookmarkStart w:id="564" w:name="_Toc262031858"/>
      <w:bookmarkStart w:id="565" w:name="_Toc245538807"/>
      <w:bookmarkStart w:id="566" w:name="_Toc262895917"/>
      <w:bookmarkStart w:id="567" w:name="_Toc234382895"/>
      <w:bookmarkStart w:id="568" w:name="_Toc441002370"/>
      <w:bookmarkStart w:id="569" w:name="_Toc70689311"/>
      <w:bookmarkStart w:id="570" w:name="_Toc421630692"/>
      <w:bookmarkStart w:id="571" w:name="_Toc263889245"/>
      <w:bookmarkStart w:id="572" w:name="_Toc468702670"/>
      <w:bookmarkStart w:id="573" w:name="_Toc498542981"/>
      <w:r>
        <w:rPr>
          <w:bCs/>
          <w:color w:val="000000" w:themeColor="text1"/>
          <w:kern w:val="44"/>
          <w:szCs w:val="21"/>
          <w14:textFill>
            <w14:solidFill>
              <w14:schemeClr w14:val="tx1"/>
            </w14:solidFill>
          </w14:textFill>
        </w:rPr>
        <w:t>14.4试验和检验费用</w:t>
      </w:r>
      <w:bookmarkEnd w:id="564"/>
      <w:bookmarkEnd w:id="565"/>
      <w:bookmarkEnd w:id="566"/>
      <w:bookmarkEnd w:id="567"/>
      <w:bookmarkEnd w:id="568"/>
      <w:bookmarkEnd w:id="569"/>
      <w:bookmarkEnd w:id="570"/>
      <w:bookmarkEnd w:id="571"/>
      <w:bookmarkEnd w:id="572"/>
      <w:bookmarkEnd w:id="57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（1）承包人应负责提供合同和技术规范规定的试验和检验所需的全部样品，并承担其费用。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4"/>
        <w:spacing w:before="360" w:beforeLines="150" w:after="480" w:line="400" w:lineRule="exact"/>
        <w:jc w:val="left"/>
        <w:rPr>
          <w:color w:val="000000" w:themeColor="text1"/>
          <w:sz w:val="28"/>
          <w:szCs w:val="28"/>
          <w14:textFill>
            <w14:solidFill>
              <w14:schemeClr w14:val="tx1"/>
            </w14:solidFill>
          </w14:textFill>
        </w:rPr>
      </w:pPr>
      <w:bookmarkStart w:id="574" w:name="_Toc468702671"/>
      <w:bookmarkStart w:id="575" w:name="_Toc263889246"/>
      <w:bookmarkStart w:id="576" w:name="_Toc441002371"/>
      <w:bookmarkStart w:id="577" w:name="_Toc262895918"/>
      <w:bookmarkStart w:id="578" w:name="_Toc421630693"/>
      <w:bookmarkStart w:id="579" w:name="_Toc262031859"/>
      <w:bookmarkStart w:id="580" w:name="_Toc498542982"/>
      <w:bookmarkStart w:id="581" w:name="_Toc234382896"/>
      <w:bookmarkStart w:id="582" w:name="_Toc70689312"/>
      <w:bookmarkStart w:id="583" w:name="_Toc245538808"/>
      <w:r>
        <w:rPr>
          <w:color w:val="000000" w:themeColor="text1"/>
          <w:sz w:val="28"/>
          <w:szCs w:val="28"/>
          <w14:textFill>
            <w14:solidFill>
              <w14:schemeClr w14:val="tx1"/>
            </w14:solidFill>
          </w14:textFill>
        </w:rPr>
        <w:t>15．变更</w:t>
      </w:r>
      <w:bookmarkEnd w:id="574"/>
      <w:bookmarkEnd w:id="575"/>
      <w:bookmarkEnd w:id="576"/>
      <w:bookmarkEnd w:id="577"/>
      <w:bookmarkEnd w:id="578"/>
      <w:bookmarkEnd w:id="579"/>
      <w:bookmarkEnd w:id="580"/>
      <w:bookmarkEnd w:id="581"/>
      <w:bookmarkEnd w:id="582"/>
      <w:bookmarkEnd w:id="583"/>
    </w:p>
    <w:p>
      <w:pPr>
        <w:snapToGrid w:val="0"/>
        <w:spacing w:line="400" w:lineRule="exact"/>
        <w:outlineLvl w:val="3"/>
        <w:rPr>
          <w:bCs/>
          <w:color w:val="000000" w:themeColor="text1"/>
          <w:kern w:val="44"/>
          <w:szCs w:val="21"/>
          <w14:textFill>
            <w14:solidFill>
              <w14:schemeClr w14:val="tx1"/>
            </w14:solidFill>
          </w14:textFill>
        </w:rPr>
      </w:pPr>
      <w:bookmarkStart w:id="584" w:name="_Toc441002372"/>
      <w:bookmarkStart w:id="585" w:name="_Toc263889247"/>
      <w:bookmarkStart w:id="586" w:name="_Toc421630694"/>
      <w:bookmarkStart w:id="587" w:name="_Toc468702672"/>
      <w:bookmarkStart w:id="588" w:name="_Toc498542983"/>
      <w:bookmarkStart w:id="589" w:name="_Toc70689313"/>
      <w:bookmarkStart w:id="590" w:name="_Toc262895919"/>
      <w:bookmarkStart w:id="591" w:name="_Toc234382897"/>
      <w:bookmarkStart w:id="592" w:name="_Toc262031860"/>
      <w:bookmarkStart w:id="593" w:name="_Toc245538809"/>
      <w:r>
        <w:rPr>
          <w:bCs/>
          <w:color w:val="000000" w:themeColor="text1"/>
          <w:kern w:val="44"/>
          <w:szCs w:val="21"/>
          <w14:textFill>
            <w14:solidFill>
              <w14:schemeClr w14:val="tx1"/>
            </w14:solidFill>
          </w14:textFill>
        </w:rPr>
        <w:t>15.1变更的范围和内容</w:t>
      </w:r>
      <w:bookmarkEnd w:id="584"/>
      <w:bookmarkEnd w:id="585"/>
      <w:bookmarkEnd w:id="586"/>
      <w:bookmarkEnd w:id="587"/>
      <w:bookmarkEnd w:id="588"/>
      <w:bookmarkEnd w:id="589"/>
      <w:bookmarkEnd w:id="590"/>
      <w:bookmarkEnd w:id="591"/>
      <w:bookmarkEnd w:id="592"/>
      <w:bookmarkEnd w:id="59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本款第（1）项细化为：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（1）取消合同中任何一项工作，但被取消的工作不能转由发包人或其他人实施，由于承包人违约造成的情况除外；</w:t>
      </w:r>
    </w:p>
    <w:p>
      <w:pPr>
        <w:snapToGrid w:val="0"/>
        <w:spacing w:line="400" w:lineRule="exact"/>
        <w:outlineLvl w:val="3"/>
        <w:rPr>
          <w:bCs/>
          <w:color w:val="000000" w:themeColor="text1"/>
          <w:kern w:val="44"/>
          <w:szCs w:val="21"/>
          <w14:textFill>
            <w14:solidFill>
              <w14:schemeClr w14:val="tx1"/>
            </w14:solidFill>
          </w14:textFill>
        </w:rPr>
      </w:pPr>
      <w:bookmarkStart w:id="594" w:name="_Toc263889248"/>
      <w:bookmarkStart w:id="595" w:name="_Toc245538810"/>
      <w:bookmarkStart w:id="596" w:name="_Toc262031861"/>
      <w:bookmarkStart w:id="597" w:name="_Toc468702673"/>
      <w:bookmarkStart w:id="598" w:name="_Toc498542984"/>
      <w:bookmarkStart w:id="599" w:name="_Toc421630695"/>
      <w:bookmarkStart w:id="600" w:name="_Toc234382898"/>
      <w:bookmarkStart w:id="601" w:name="_Toc441002373"/>
      <w:bookmarkStart w:id="602" w:name="_Toc262895920"/>
      <w:bookmarkStart w:id="603" w:name="_Toc70689314"/>
      <w:r>
        <w:rPr>
          <w:bCs/>
          <w:color w:val="000000" w:themeColor="text1"/>
          <w:kern w:val="44"/>
          <w:szCs w:val="21"/>
          <w14:textFill>
            <w14:solidFill>
              <w14:schemeClr w14:val="tx1"/>
            </w14:solidFill>
          </w14:textFill>
        </w:rPr>
        <w:t>15.3变更程序</w:t>
      </w:r>
      <w:bookmarkEnd w:id="594"/>
      <w:bookmarkEnd w:id="595"/>
      <w:bookmarkEnd w:id="596"/>
      <w:bookmarkEnd w:id="597"/>
      <w:bookmarkEnd w:id="598"/>
      <w:bookmarkEnd w:id="599"/>
      <w:bookmarkEnd w:id="600"/>
      <w:bookmarkEnd w:id="601"/>
      <w:bookmarkEnd w:id="602"/>
      <w:bookmarkEnd w:id="60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本款补充第15.3.4项：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15.3.4设计变更程序应执行《公路工程设计变更管理办法》的相关规定。</w:t>
      </w:r>
    </w:p>
    <w:p>
      <w:pPr>
        <w:snapToGrid w:val="0"/>
        <w:spacing w:line="400" w:lineRule="exact"/>
        <w:outlineLvl w:val="3"/>
        <w:rPr>
          <w:bCs/>
          <w:color w:val="000000" w:themeColor="text1"/>
          <w:kern w:val="44"/>
          <w:szCs w:val="21"/>
          <w14:textFill>
            <w14:solidFill>
              <w14:schemeClr w14:val="tx1"/>
            </w14:solidFill>
          </w14:textFill>
        </w:rPr>
      </w:pPr>
      <w:bookmarkStart w:id="604" w:name="_Toc234382899"/>
      <w:bookmarkStart w:id="605" w:name="_Toc70689315"/>
      <w:bookmarkStart w:id="606" w:name="_Toc498542985"/>
      <w:bookmarkStart w:id="607" w:name="_Toc263889249"/>
      <w:bookmarkStart w:id="608" w:name="_Toc262895921"/>
      <w:bookmarkStart w:id="609" w:name="_Toc421630696"/>
      <w:bookmarkStart w:id="610" w:name="_Toc468702674"/>
      <w:bookmarkStart w:id="611" w:name="_Toc245538811"/>
      <w:bookmarkStart w:id="612" w:name="_Toc441002374"/>
      <w:bookmarkStart w:id="613" w:name="_Toc262031862"/>
      <w:r>
        <w:rPr>
          <w:bCs/>
          <w:color w:val="000000" w:themeColor="text1"/>
          <w:kern w:val="44"/>
          <w:szCs w:val="21"/>
          <w14:textFill>
            <w14:solidFill>
              <w14:schemeClr w14:val="tx1"/>
            </w14:solidFill>
          </w14:textFill>
        </w:rPr>
        <w:t>15.4变更的估价原则</w:t>
      </w:r>
      <w:bookmarkEnd w:id="604"/>
      <w:bookmarkEnd w:id="605"/>
      <w:bookmarkEnd w:id="606"/>
      <w:bookmarkEnd w:id="607"/>
      <w:bookmarkEnd w:id="608"/>
      <w:bookmarkEnd w:id="609"/>
      <w:bookmarkEnd w:id="610"/>
      <w:bookmarkEnd w:id="611"/>
      <w:bookmarkEnd w:id="612"/>
      <w:bookmarkEnd w:id="61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除项目专用合同条款另有约定外，因变更引起的价格调整按照本款约定处理。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15.4.1如果取消某项工作，则该项工作的总额价不予以支付；</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15.4.2已标价工程量清单中有适用于变更工作的子目的，采用该子目的单价。</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15.4.5如果本工程的变更指示是因承包人过错、承包人违反合同或承包人责任造成的，则这种违约引起的任何额外费用应由承包人承担。</w:t>
      </w:r>
    </w:p>
    <w:p>
      <w:pPr>
        <w:snapToGrid w:val="0"/>
        <w:spacing w:line="400" w:lineRule="exact"/>
        <w:outlineLvl w:val="3"/>
        <w:rPr>
          <w:bCs/>
          <w:color w:val="000000" w:themeColor="text1"/>
          <w:kern w:val="44"/>
          <w:szCs w:val="21"/>
          <w14:textFill>
            <w14:solidFill>
              <w14:schemeClr w14:val="tx1"/>
            </w14:solidFill>
          </w14:textFill>
        </w:rPr>
      </w:pPr>
      <w:bookmarkStart w:id="614" w:name="_Toc262895922"/>
      <w:bookmarkStart w:id="615" w:name="_Toc245538812"/>
      <w:bookmarkStart w:id="616" w:name="_Toc263889250"/>
      <w:bookmarkStart w:id="617" w:name="_Toc70689316"/>
      <w:bookmarkStart w:id="618" w:name="_Toc468702675"/>
      <w:bookmarkStart w:id="619" w:name="_Toc498542986"/>
      <w:bookmarkStart w:id="620" w:name="_Toc262031863"/>
      <w:bookmarkStart w:id="621" w:name="_Toc421630697"/>
      <w:bookmarkStart w:id="622" w:name="_Toc234382900"/>
      <w:bookmarkStart w:id="623" w:name="_Toc441002375"/>
      <w:r>
        <w:rPr>
          <w:bCs/>
          <w:color w:val="000000" w:themeColor="text1"/>
          <w:kern w:val="44"/>
          <w:szCs w:val="21"/>
          <w14:textFill>
            <w14:solidFill>
              <w14:schemeClr w14:val="tx1"/>
            </w14:solidFill>
          </w14:textFill>
        </w:rPr>
        <w:t>15.5承包人的合理化建议</w:t>
      </w:r>
      <w:bookmarkEnd w:id="614"/>
      <w:bookmarkEnd w:id="615"/>
      <w:bookmarkEnd w:id="616"/>
      <w:bookmarkEnd w:id="617"/>
      <w:bookmarkEnd w:id="618"/>
      <w:bookmarkEnd w:id="619"/>
      <w:bookmarkEnd w:id="620"/>
      <w:bookmarkEnd w:id="621"/>
      <w:bookmarkEnd w:id="622"/>
      <w:bookmarkEnd w:id="62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第15.5.2项约定为：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承包人提出的合理化建议缩短了工期，发包人按第11.6款的规定给予奖励。</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承包人提出的合理化建议降低了合同价格或者提高了工程经济效益的，发包人按项目专用合同条款数据表中规定的金额给予奖励。</w:t>
      </w:r>
    </w:p>
    <w:p>
      <w:pPr>
        <w:snapToGrid w:val="0"/>
        <w:spacing w:line="400" w:lineRule="exact"/>
        <w:outlineLvl w:val="3"/>
        <w:rPr>
          <w:bCs/>
          <w:color w:val="000000" w:themeColor="text1"/>
          <w:kern w:val="44"/>
          <w:szCs w:val="21"/>
          <w14:textFill>
            <w14:solidFill>
              <w14:schemeClr w14:val="tx1"/>
            </w14:solidFill>
          </w14:textFill>
        </w:rPr>
      </w:pPr>
      <w:bookmarkStart w:id="624" w:name="_Toc421630698"/>
      <w:bookmarkStart w:id="625" w:name="_Toc262895923"/>
      <w:bookmarkStart w:id="626" w:name="_Toc234382901"/>
      <w:bookmarkStart w:id="627" w:name="_Toc262031864"/>
      <w:bookmarkStart w:id="628" w:name="_Toc498542987"/>
      <w:bookmarkStart w:id="629" w:name="_Toc441002376"/>
      <w:bookmarkStart w:id="630" w:name="_Toc70689317"/>
      <w:bookmarkStart w:id="631" w:name="_Toc263889251"/>
      <w:bookmarkStart w:id="632" w:name="_Toc245538813"/>
      <w:bookmarkStart w:id="633" w:name="_Toc468702676"/>
      <w:r>
        <w:rPr>
          <w:bCs/>
          <w:color w:val="000000" w:themeColor="text1"/>
          <w:kern w:val="44"/>
          <w:szCs w:val="21"/>
          <w14:textFill>
            <w14:solidFill>
              <w14:schemeClr w14:val="tx1"/>
            </w14:solidFill>
          </w14:textFill>
        </w:rPr>
        <w:t>15.6暂列金额</w:t>
      </w:r>
      <w:bookmarkEnd w:id="624"/>
      <w:bookmarkEnd w:id="625"/>
      <w:bookmarkEnd w:id="626"/>
      <w:bookmarkEnd w:id="627"/>
      <w:bookmarkEnd w:id="628"/>
      <w:bookmarkEnd w:id="629"/>
      <w:bookmarkEnd w:id="630"/>
      <w:bookmarkEnd w:id="631"/>
      <w:bookmarkEnd w:id="632"/>
      <w:bookmarkEnd w:id="63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15.6.l暂列金额应由监理人报发包人批准后指令全部或部分地使用，或者根本不予动用。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pPr>
        <w:pStyle w:val="4"/>
        <w:spacing w:before="360" w:beforeLines="150" w:after="480" w:line="400" w:lineRule="exact"/>
        <w:jc w:val="left"/>
        <w:rPr>
          <w:color w:val="000000" w:themeColor="text1"/>
          <w:sz w:val="28"/>
          <w:szCs w:val="28"/>
          <w14:textFill>
            <w14:solidFill>
              <w14:schemeClr w14:val="tx1"/>
            </w14:solidFill>
          </w14:textFill>
        </w:rPr>
      </w:pPr>
      <w:bookmarkStart w:id="634" w:name="_Toc245538814"/>
      <w:bookmarkStart w:id="635" w:name="_Toc498542988"/>
      <w:bookmarkStart w:id="636" w:name="_Toc262895924"/>
      <w:bookmarkStart w:id="637" w:name="_Toc441002377"/>
      <w:bookmarkStart w:id="638" w:name="_Toc70689318"/>
      <w:bookmarkStart w:id="639" w:name="_Toc234382902"/>
      <w:bookmarkStart w:id="640" w:name="_Toc421630699"/>
      <w:bookmarkStart w:id="641" w:name="_Toc263889252"/>
      <w:bookmarkStart w:id="642" w:name="_Toc262031865"/>
      <w:bookmarkStart w:id="643" w:name="_Toc468702677"/>
      <w:r>
        <w:rPr>
          <w:color w:val="000000" w:themeColor="text1"/>
          <w:sz w:val="28"/>
          <w:szCs w:val="28"/>
          <w14:textFill>
            <w14:solidFill>
              <w14:schemeClr w14:val="tx1"/>
            </w14:solidFill>
          </w14:textFill>
        </w:rPr>
        <w:t>16.价格调整</w:t>
      </w:r>
      <w:bookmarkEnd w:id="634"/>
      <w:bookmarkEnd w:id="635"/>
      <w:bookmarkEnd w:id="636"/>
      <w:bookmarkEnd w:id="637"/>
      <w:bookmarkEnd w:id="638"/>
      <w:bookmarkEnd w:id="639"/>
      <w:bookmarkEnd w:id="640"/>
      <w:bookmarkEnd w:id="641"/>
      <w:bookmarkEnd w:id="642"/>
      <w:bookmarkEnd w:id="643"/>
    </w:p>
    <w:p>
      <w:pPr>
        <w:snapToGrid w:val="0"/>
        <w:spacing w:line="400" w:lineRule="exact"/>
        <w:outlineLvl w:val="3"/>
        <w:rPr>
          <w:bCs/>
          <w:color w:val="000000" w:themeColor="text1"/>
          <w:kern w:val="44"/>
          <w:szCs w:val="21"/>
          <w14:textFill>
            <w14:solidFill>
              <w14:schemeClr w14:val="tx1"/>
            </w14:solidFill>
          </w14:textFill>
        </w:rPr>
      </w:pPr>
      <w:bookmarkStart w:id="644" w:name="_Toc70689319"/>
      <w:bookmarkStart w:id="645" w:name="_Toc468702678"/>
      <w:bookmarkStart w:id="646" w:name="_Toc441002378"/>
      <w:bookmarkStart w:id="647" w:name="_Toc234382903"/>
      <w:bookmarkStart w:id="648" w:name="_Toc263889253"/>
      <w:bookmarkStart w:id="649" w:name="_Toc245538815"/>
      <w:bookmarkStart w:id="650" w:name="_Toc262031866"/>
      <w:bookmarkStart w:id="651" w:name="_Toc421630700"/>
      <w:bookmarkStart w:id="652" w:name="_Toc498542989"/>
      <w:bookmarkStart w:id="653" w:name="_Toc262895925"/>
      <w:r>
        <w:rPr>
          <w:bCs/>
          <w:color w:val="000000" w:themeColor="text1"/>
          <w:kern w:val="44"/>
          <w:szCs w:val="21"/>
          <w14:textFill>
            <w14:solidFill>
              <w14:schemeClr w14:val="tx1"/>
            </w14:solidFill>
          </w14:textFill>
        </w:rPr>
        <w:t>16.1物价波动引起的价格调整</w:t>
      </w:r>
      <w:bookmarkEnd w:id="644"/>
      <w:bookmarkEnd w:id="645"/>
      <w:bookmarkEnd w:id="646"/>
      <w:bookmarkEnd w:id="647"/>
      <w:bookmarkEnd w:id="648"/>
      <w:bookmarkEnd w:id="649"/>
      <w:bookmarkEnd w:id="650"/>
      <w:bookmarkEnd w:id="651"/>
      <w:bookmarkEnd w:id="652"/>
      <w:bookmarkEnd w:id="6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（1）除项目专用合同条款另有约定外，因物价波动引起的价格调整应按项目专用合同条款数据表的规定，按照第16.1.1项或第16.1.2项约定的原则处理；或者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16.1.1采用价格指数调整价格差额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16.1.1.1价格调整公式</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价格调整公式后增加备注如下：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式中，A ＝ 1 － （B1 ＋ B2 ＋ B3 ＋ ... ＋ Bn ）</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本目最后一段文字细化为：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在采用价格调整公式进行调价时，还应遵守以下规定：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4"/>
        <w:spacing w:before="360" w:beforeLines="150" w:after="480" w:line="400" w:lineRule="exact"/>
        <w:jc w:val="left"/>
        <w:rPr>
          <w:color w:val="000000" w:themeColor="text1"/>
          <w:sz w:val="28"/>
          <w:szCs w:val="28"/>
          <w14:textFill>
            <w14:solidFill>
              <w14:schemeClr w14:val="tx1"/>
            </w14:solidFill>
          </w14:textFill>
        </w:rPr>
      </w:pPr>
      <w:bookmarkStart w:id="654" w:name="_Toc421630701"/>
      <w:bookmarkStart w:id="655" w:name="_Toc70689320"/>
      <w:bookmarkStart w:id="656" w:name="_Toc468702679"/>
      <w:bookmarkStart w:id="657" w:name="_Toc262895926"/>
      <w:bookmarkStart w:id="658" w:name="_Toc245538816"/>
      <w:bookmarkStart w:id="659" w:name="_Toc262031867"/>
      <w:bookmarkStart w:id="660" w:name="_Toc498542990"/>
      <w:bookmarkStart w:id="661" w:name="_Toc263889254"/>
      <w:bookmarkStart w:id="662" w:name="_Toc234382904"/>
      <w:bookmarkStart w:id="663" w:name="_Toc441002379"/>
      <w:r>
        <w:rPr>
          <w:color w:val="000000" w:themeColor="text1"/>
          <w:sz w:val="28"/>
          <w:szCs w:val="28"/>
          <w14:textFill>
            <w14:solidFill>
              <w14:schemeClr w14:val="tx1"/>
            </w14:solidFill>
          </w14:textFill>
        </w:rPr>
        <w:t>17.计量与支付</w:t>
      </w:r>
      <w:bookmarkEnd w:id="654"/>
      <w:bookmarkEnd w:id="655"/>
      <w:bookmarkEnd w:id="656"/>
      <w:bookmarkEnd w:id="657"/>
      <w:bookmarkEnd w:id="658"/>
      <w:bookmarkEnd w:id="659"/>
      <w:bookmarkEnd w:id="660"/>
      <w:bookmarkEnd w:id="661"/>
      <w:bookmarkEnd w:id="662"/>
      <w:bookmarkEnd w:id="663"/>
    </w:p>
    <w:p>
      <w:pPr>
        <w:snapToGrid w:val="0"/>
        <w:spacing w:line="400" w:lineRule="exact"/>
        <w:outlineLvl w:val="3"/>
        <w:rPr>
          <w:bCs/>
          <w:color w:val="000000" w:themeColor="text1"/>
          <w:kern w:val="44"/>
          <w:szCs w:val="21"/>
          <w14:textFill>
            <w14:solidFill>
              <w14:schemeClr w14:val="tx1"/>
            </w14:solidFill>
          </w14:textFill>
        </w:rPr>
      </w:pPr>
      <w:bookmarkStart w:id="664" w:name="_Toc262031868"/>
      <w:bookmarkStart w:id="665" w:name="_Toc498542991"/>
      <w:bookmarkStart w:id="666" w:name="_Toc263889255"/>
      <w:bookmarkStart w:id="667" w:name="_Toc262895927"/>
      <w:bookmarkStart w:id="668" w:name="_Toc245538817"/>
      <w:bookmarkStart w:id="669" w:name="_Toc421630702"/>
      <w:bookmarkStart w:id="670" w:name="_Toc234382905"/>
      <w:bookmarkStart w:id="671" w:name="_Toc441002380"/>
      <w:bookmarkStart w:id="672" w:name="_Toc468702680"/>
      <w:bookmarkStart w:id="673" w:name="_Toc70689321"/>
      <w:r>
        <w:rPr>
          <w:bCs/>
          <w:color w:val="000000" w:themeColor="text1"/>
          <w:kern w:val="44"/>
          <w:szCs w:val="21"/>
          <w14:textFill>
            <w14:solidFill>
              <w14:schemeClr w14:val="tx1"/>
            </w14:solidFill>
          </w14:textFill>
        </w:rPr>
        <w:t>17.1计量</w:t>
      </w:r>
      <w:bookmarkEnd w:id="664"/>
      <w:bookmarkEnd w:id="665"/>
      <w:bookmarkEnd w:id="666"/>
      <w:bookmarkEnd w:id="667"/>
      <w:bookmarkEnd w:id="668"/>
      <w:bookmarkEnd w:id="669"/>
      <w:bookmarkEnd w:id="670"/>
      <w:bookmarkEnd w:id="671"/>
      <w:bookmarkEnd w:id="672"/>
      <w:bookmarkEnd w:id="67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17.1.2计量方法</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工程的计量应以净值为准，除非项目专用合同条款另有约定。工程量清单中各个子目的具体计量方法按本合同文件技术规范中的规定执行。</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17.1.4单价子目的计量</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（7）承包人未在已标价工程量清单中填入单价或总额价的工程子目，将被认为其已包含在本合同的其他子目的单价和总额价中，发包人将不另行支付。</w:t>
      </w:r>
    </w:p>
    <w:p>
      <w:pPr>
        <w:snapToGrid w:val="0"/>
        <w:spacing w:line="400" w:lineRule="exact"/>
        <w:outlineLvl w:val="3"/>
        <w:rPr>
          <w:bCs/>
          <w:color w:val="000000" w:themeColor="text1"/>
          <w:kern w:val="44"/>
          <w:szCs w:val="21"/>
          <w14:textFill>
            <w14:solidFill>
              <w14:schemeClr w14:val="tx1"/>
            </w14:solidFill>
          </w14:textFill>
        </w:rPr>
      </w:pPr>
      <w:bookmarkStart w:id="674" w:name="_Toc441002381"/>
      <w:bookmarkStart w:id="675" w:name="_Toc468702681"/>
      <w:bookmarkStart w:id="676" w:name="_Toc263889256"/>
      <w:bookmarkStart w:id="677" w:name="_Toc498542992"/>
      <w:bookmarkStart w:id="678" w:name="_Toc70689322"/>
      <w:bookmarkStart w:id="679" w:name="_Toc262895928"/>
      <w:bookmarkStart w:id="680" w:name="_Toc245538818"/>
      <w:bookmarkStart w:id="681" w:name="_Toc421630703"/>
      <w:bookmarkStart w:id="682" w:name="_Toc262031869"/>
      <w:bookmarkStart w:id="683" w:name="_Toc234382906"/>
      <w:r>
        <w:rPr>
          <w:bCs/>
          <w:color w:val="000000" w:themeColor="text1"/>
          <w:kern w:val="44"/>
          <w:szCs w:val="21"/>
          <w14:textFill>
            <w14:solidFill>
              <w14:schemeClr w14:val="tx1"/>
            </w14:solidFill>
          </w14:textFill>
        </w:rPr>
        <w:t>17.2预付款</w:t>
      </w:r>
      <w:bookmarkEnd w:id="674"/>
      <w:bookmarkEnd w:id="675"/>
      <w:bookmarkEnd w:id="676"/>
      <w:bookmarkEnd w:id="677"/>
      <w:bookmarkEnd w:id="678"/>
      <w:bookmarkEnd w:id="679"/>
      <w:bookmarkEnd w:id="680"/>
      <w:bookmarkEnd w:id="681"/>
      <w:bookmarkEnd w:id="682"/>
      <w:bookmarkEnd w:id="68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17.2.1预付款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预付款包括开工预付款和材料、设备预付款。具体额度和预付办法如下：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（1）开工预付款的金额在项目专用条款数据表中约定。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a.材料、设备符合规范要求并经监理人认可；</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b.承包人已出具材料、设备费用凭证或支付单据；</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c.材料、设备已在现场交货，且存储良好，监理人认为材料、设备的存储方法符合要求。</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则监理人应将此项金额作为材料、设备预付款计入下一次的进度付款证书中。在预计交工前3个月，将不再支付材料、设备预付款。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17.2.2预付款保函</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17.2.3预付款的扣回与还清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pPr>
        <w:snapToGrid w:val="0"/>
        <w:spacing w:line="400" w:lineRule="exact"/>
        <w:outlineLvl w:val="3"/>
        <w:rPr>
          <w:bCs/>
          <w:color w:val="000000" w:themeColor="text1"/>
          <w:kern w:val="44"/>
          <w:szCs w:val="21"/>
          <w14:textFill>
            <w14:solidFill>
              <w14:schemeClr w14:val="tx1"/>
            </w14:solidFill>
          </w14:textFill>
        </w:rPr>
      </w:pPr>
      <w:bookmarkStart w:id="684" w:name="_Toc70689323"/>
      <w:bookmarkStart w:id="685" w:name="_Toc468702682"/>
      <w:bookmarkStart w:id="686" w:name="_Toc421630704"/>
      <w:bookmarkStart w:id="687" w:name="_Toc234382907"/>
      <w:bookmarkStart w:id="688" w:name="_Toc263889257"/>
      <w:bookmarkStart w:id="689" w:name="_Toc441002382"/>
      <w:bookmarkStart w:id="690" w:name="_Toc498542993"/>
      <w:bookmarkStart w:id="691" w:name="_Toc262895929"/>
      <w:bookmarkStart w:id="692" w:name="_Toc245538819"/>
      <w:bookmarkStart w:id="693" w:name="_Toc262031870"/>
      <w:r>
        <w:rPr>
          <w:bCs/>
          <w:color w:val="000000" w:themeColor="text1"/>
          <w:kern w:val="44"/>
          <w:szCs w:val="21"/>
          <w14:textFill>
            <w14:solidFill>
              <w14:schemeClr w14:val="tx1"/>
            </w14:solidFill>
          </w14:textFill>
        </w:rPr>
        <w:t>17.3工程进度付款</w:t>
      </w:r>
      <w:bookmarkEnd w:id="684"/>
      <w:bookmarkEnd w:id="685"/>
      <w:bookmarkEnd w:id="686"/>
      <w:bookmarkEnd w:id="687"/>
      <w:bookmarkEnd w:id="688"/>
      <w:bookmarkEnd w:id="689"/>
      <w:bookmarkEnd w:id="690"/>
      <w:bookmarkEnd w:id="691"/>
      <w:bookmarkEnd w:id="692"/>
      <w:bookmarkEnd w:id="69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17.3.3进度付款证书和支付时间</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本项（1）目补充：</w:t>
      </w:r>
      <w:r>
        <w:rPr>
          <w:color w:val="000000" w:themeColor="text1"/>
          <w14:textFill>
            <w14:solidFill>
              <w14:schemeClr w14:val="tx1"/>
            </w14:solidFill>
          </w14:textFill>
        </w:rPr>
        <w:tab/>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napToGrid w:val="0"/>
        <w:spacing w:line="400" w:lineRule="exact"/>
        <w:outlineLvl w:val="3"/>
        <w:rPr>
          <w:bCs/>
          <w:color w:val="000000" w:themeColor="text1"/>
          <w:kern w:val="44"/>
          <w:szCs w:val="21"/>
          <w14:textFill>
            <w14:solidFill>
              <w14:schemeClr w14:val="tx1"/>
            </w14:solidFill>
          </w14:textFill>
        </w:rPr>
      </w:pPr>
      <w:bookmarkStart w:id="694" w:name="_Toc262895930"/>
      <w:bookmarkStart w:id="695" w:name="_Toc70689324"/>
      <w:bookmarkStart w:id="696" w:name="_Toc421630705"/>
      <w:bookmarkStart w:id="697" w:name="_Toc234382908"/>
      <w:bookmarkStart w:id="698" w:name="_Toc245538820"/>
      <w:bookmarkStart w:id="699" w:name="_Toc262031871"/>
      <w:bookmarkStart w:id="700" w:name="_Toc468702683"/>
      <w:bookmarkStart w:id="701" w:name="_Toc441002383"/>
      <w:bookmarkStart w:id="702" w:name="_Toc263889258"/>
      <w:bookmarkStart w:id="703" w:name="_Toc498542994"/>
      <w:r>
        <w:rPr>
          <w:bCs/>
          <w:color w:val="000000" w:themeColor="text1"/>
          <w:kern w:val="44"/>
          <w:szCs w:val="21"/>
          <w14:textFill>
            <w14:solidFill>
              <w14:schemeClr w14:val="tx1"/>
            </w14:solidFill>
          </w14:textFill>
        </w:rPr>
        <w:t>17.4质量保证金</w:t>
      </w:r>
      <w:bookmarkEnd w:id="694"/>
      <w:bookmarkEnd w:id="695"/>
      <w:bookmarkEnd w:id="696"/>
      <w:bookmarkEnd w:id="697"/>
      <w:bookmarkEnd w:id="698"/>
      <w:bookmarkEnd w:id="699"/>
      <w:bookmarkEnd w:id="700"/>
      <w:bookmarkEnd w:id="701"/>
      <w:bookmarkEnd w:id="702"/>
      <w:bookmarkEnd w:id="70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第17.4.1项细化为：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snapToGrid w:val="0"/>
        <w:spacing w:line="400" w:lineRule="exact"/>
        <w:outlineLvl w:val="3"/>
        <w:rPr>
          <w:bCs/>
          <w:color w:val="000000" w:themeColor="text1"/>
          <w:kern w:val="44"/>
          <w:szCs w:val="21"/>
          <w14:textFill>
            <w14:solidFill>
              <w14:schemeClr w14:val="tx1"/>
            </w14:solidFill>
          </w14:textFill>
        </w:rPr>
      </w:pPr>
      <w:bookmarkStart w:id="704" w:name="_Toc245538821"/>
      <w:bookmarkStart w:id="705" w:name="_Toc234382909"/>
      <w:bookmarkStart w:id="706" w:name="_Toc262031872"/>
      <w:bookmarkStart w:id="707" w:name="_Toc70689325"/>
      <w:bookmarkStart w:id="708" w:name="_Toc262895931"/>
      <w:bookmarkStart w:id="709" w:name="_Toc468702684"/>
      <w:bookmarkStart w:id="710" w:name="_Toc421630706"/>
      <w:bookmarkStart w:id="711" w:name="_Toc441002384"/>
      <w:bookmarkStart w:id="712" w:name="_Toc263889259"/>
      <w:bookmarkStart w:id="713" w:name="_Toc498542995"/>
      <w:r>
        <w:rPr>
          <w:bCs/>
          <w:color w:val="000000" w:themeColor="text1"/>
          <w:kern w:val="44"/>
          <w:szCs w:val="21"/>
          <w14:textFill>
            <w14:solidFill>
              <w14:schemeClr w14:val="tx1"/>
            </w14:solidFill>
          </w14:textFill>
        </w:rPr>
        <w:t>17.5交工结算</w:t>
      </w:r>
      <w:bookmarkEnd w:id="704"/>
      <w:bookmarkEnd w:id="705"/>
      <w:bookmarkEnd w:id="706"/>
      <w:bookmarkEnd w:id="707"/>
      <w:bookmarkEnd w:id="708"/>
      <w:bookmarkEnd w:id="709"/>
      <w:bookmarkEnd w:id="710"/>
      <w:bookmarkEnd w:id="711"/>
      <w:bookmarkEnd w:id="712"/>
      <w:bookmarkEnd w:id="71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17.5.l交工付款申请单</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本项（l）目约定为：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承包人向监理人提交交工付款申请单（包括相关证明材料）的份数在项目专用合同条款数据表中约定；期限：交工验收证书签发后42天内。</w:t>
      </w:r>
    </w:p>
    <w:p>
      <w:pPr>
        <w:snapToGrid w:val="0"/>
        <w:spacing w:line="400" w:lineRule="exact"/>
        <w:outlineLvl w:val="3"/>
        <w:rPr>
          <w:bCs/>
          <w:color w:val="000000" w:themeColor="text1"/>
          <w:kern w:val="44"/>
          <w:szCs w:val="21"/>
          <w14:textFill>
            <w14:solidFill>
              <w14:schemeClr w14:val="tx1"/>
            </w14:solidFill>
          </w14:textFill>
        </w:rPr>
      </w:pPr>
      <w:bookmarkStart w:id="714" w:name="_Toc263889260"/>
      <w:bookmarkStart w:id="715" w:name="_Toc70689326"/>
      <w:bookmarkStart w:id="716" w:name="_Toc498542996"/>
      <w:bookmarkStart w:id="717" w:name="_Toc468702685"/>
      <w:bookmarkStart w:id="718" w:name="_Toc245538822"/>
      <w:bookmarkStart w:id="719" w:name="_Toc262895932"/>
      <w:bookmarkStart w:id="720" w:name="_Toc421630707"/>
      <w:bookmarkStart w:id="721" w:name="_Toc262031873"/>
      <w:bookmarkStart w:id="722" w:name="_Toc441002385"/>
      <w:bookmarkStart w:id="723" w:name="_Toc234382910"/>
      <w:r>
        <w:rPr>
          <w:bCs/>
          <w:color w:val="000000" w:themeColor="text1"/>
          <w:kern w:val="44"/>
          <w:szCs w:val="21"/>
          <w14:textFill>
            <w14:solidFill>
              <w14:schemeClr w14:val="tx1"/>
            </w14:solidFill>
          </w14:textFill>
        </w:rPr>
        <w:t>17.6最终结清</w:t>
      </w:r>
      <w:bookmarkEnd w:id="714"/>
      <w:bookmarkEnd w:id="715"/>
      <w:bookmarkEnd w:id="716"/>
      <w:bookmarkEnd w:id="717"/>
      <w:bookmarkEnd w:id="718"/>
      <w:bookmarkEnd w:id="719"/>
      <w:bookmarkEnd w:id="720"/>
      <w:bookmarkEnd w:id="721"/>
      <w:bookmarkEnd w:id="722"/>
      <w:bookmarkEnd w:id="72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17.6.1最终结清申请单</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本项（1）目约定为：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承包人向监理人提交最终结清申请单（包括相关证明材料）的份数在项目专用合同条款数据表中约定；期限：缺陷责任期终止证书签发后28天内。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最终结清申请单中的总金额应认为是代表了根据合同规定应付给承包人的全部款项的最后结算。</w:t>
      </w:r>
    </w:p>
    <w:p>
      <w:pPr>
        <w:pStyle w:val="4"/>
        <w:spacing w:before="360" w:beforeLines="150" w:after="480" w:line="400" w:lineRule="exact"/>
        <w:jc w:val="left"/>
        <w:rPr>
          <w:color w:val="000000" w:themeColor="text1"/>
          <w:sz w:val="28"/>
          <w:szCs w:val="28"/>
          <w14:textFill>
            <w14:solidFill>
              <w14:schemeClr w14:val="tx1"/>
            </w14:solidFill>
          </w14:textFill>
        </w:rPr>
      </w:pPr>
      <w:bookmarkStart w:id="724" w:name="_Toc262031874"/>
      <w:bookmarkStart w:id="725" w:name="_Toc468702686"/>
      <w:bookmarkStart w:id="726" w:name="_Toc234382911"/>
      <w:bookmarkStart w:id="727" w:name="_Toc262895933"/>
      <w:bookmarkStart w:id="728" w:name="_Toc498542997"/>
      <w:bookmarkStart w:id="729" w:name="_Toc263889261"/>
      <w:bookmarkStart w:id="730" w:name="_Toc441002386"/>
      <w:bookmarkStart w:id="731" w:name="_Toc70689327"/>
      <w:bookmarkStart w:id="732" w:name="_Toc245538823"/>
      <w:bookmarkStart w:id="733" w:name="_Toc421630708"/>
      <w:r>
        <w:rPr>
          <w:color w:val="000000" w:themeColor="text1"/>
          <w:sz w:val="28"/>
          <w:szCs w:val="28"/>
          <w14:textFill>
            <w14:solidFill>
              <w14:schemeClr w14:val="tx1"/>
            </w14:solidFill>
          </w14:textFill>
        </w:rPr>
        <w:t>18．交工验收</w:t>
      </w:r>
      <w:bookmarkEnd w:id="724"/>
      <w:bookmarkEnd w:id="725"/>
      <w:bookmarkEnd w:id="726"/>
      <w:bookmarkEnd w:id="727"/>
      <w:bookmarkEnd w:id="728"/>
      <w:bookmarkEnd w:id="729"/>
      <w:bookmarkEnd w:id="730"/>
      <w:bookmarkEnd w:id="731"/>
      <w:bookmarkEnd w:id="732"/>
      <w:bookmarkEnd w:id="733"/>
    </w:p>
    <w:p>
      <w:pPr>
        <w:snapToGrid w:val="0"/>
        <w:spacing w:line="400" w:lineRule="exact"/>
        <w:outlineLvl w:val="3"/>
        <w:rPr>
          <w:bCs/>
          <w:color w:val="000000" w:themeColor="text1"/>
          <w:kern w:val="44"/>
          <w:szCs w:val="21"/>
          <w14:textFill>
            <w14:solidFill>
              <w14:schemeClr w14:val="tx1"/>
            </w14:solidFill>
          </w14:textFill>
        </w:rPr>
      </w:pPr>
      <w:bookmarkStart w:id="734" w:name="_Toc441002387"/>
      <w:bookmarkStart w:id="735" w:name="_Toc468702687"/>
      <w:bookmarkStart w:id="736" w:name="_Toc421630709"/>
      <w:bookmarkStart w:id="737" w:name="_Toc263889262"/>
      <w:bookmarkStart w:id="738" w:name="_Toc234382912"/>
      <w:bookmarkStart w:id="739" w:name="_Toc262895934"/>
      <w:bookmarkStart w:id="740" w:name="_Toc498542998"/>
      <w:bookmarkStart w:id="741" w:name="_Toc70689328"/>
      <w:bookmarkStart w:id="742" w:name="_Toc262031875"/>
      <w:bookmarkStart w:id="743" w:name="_Toc245538824"/>
      <w:r>
        <w:rPr>
          <w:bCs/>
          <w:color w:val="000000" w:themeColor="text1"/>
          <w:kern w:val="44"/>
          <w:szCs w:val="21"/>
          <w14:textFill>
            <w14:solidFill>
              <w14:schemeClr w14:val="tx1"/>
            </w14:solidFill>
          </w14:textFill>
        </w:rPr>
        <w:t>18.2交工验收申请报告</w:t>
      </w:r>
      <w:bookmarkEnd w:id="734"/>
      <w:bookmarkEnd w:id="735"/>
      <w:bookmarkEnd w:id="736"/>
      <w:bookmarkEnd w:id="737"/>
      <w:bookmarkEnd w:id="738"/>
      <w:bookmarkEnd w:id="739"/>
      <w:bookmarkEnd w:id="740"/>
      <w:bookmarkEnd w:id="741"/>
      <w:bookmarkEnd w:id="742"/>
      <w:bookmarkEnd w:id="74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本款第（2）项约定为：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竣工资料的内容：承包人应按照《公路工程竣（交）工验收办法》和相关规定编制竣工资料。</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竣工资料的份数在项目专用合同条款数据表中约定。</w:t>
      </w:r>
    </w:p>
    <w:p>
      <w:pPr>
        <w:snapToGrid w:val="0"/>
        <w:spacing w:line="400" w:lineRule="exact"/>
        <w:outlineLvl w:val="3"/>
        <w:rPr>
          <w:bCs/>
          <w:color w:val="000000" w:themeColor="text1"/>
          <w:kern w:val="44"/>
          <w:szCs w:val="21"/>
          <w14:textFill>
            <w14:solidFill>
              <w14:schemeClr w14:val="tx1"/>
            </w14:solidFill>
          </w14:textFill>
        </w:rPr>
      </w:pPr>
      <w:bookmarkStart w:id="744" w:name="_Toc468702688"/>
      <w:bookmarkStart w:id="745" w:name="_Toc234382913"/>
      <w:bookmarkStart w:id="746" w:name="_Toc262031876"/>
      <w:bookmarkStart w:id="747" w:name="_Toc421630710"/>
      <w:bookmarkStart w:id="748" w:name="_Toc498542999"/>
      <w:bookmarkStart w:id="749" w:name="_Toc263889263"/>
      <w:bookmarkStart w:id="750" w:name="_Toc70689329"/>
      <w:bookmarkStart w:id="751" w:name="_Toc262895935"/>
      <w:bookmarkStart w:id="752" w:name="_Toc441002388"/>
      <w:bookmarkStart w:id="753" w:name="_Toc245538825"/>
      <w:r>
        <w:rPr>
          <w:bCs/>
          <w:color w:val="000000" w:themeColor="text1"/>
          <w:kern w:val="44"/>
          <w:szCs w:val="21"/>
          <w14:textFill>
            <w14:solidFill>
              <w14:schemeClr w14:val="tx1"/>
            </w14:solidFill>
          </w14:textFill>
        </w:rPr>
        <w:t>18.3 验收</w:t>
      </w:r>
      <w:bookmarkEnd w:id="744"/>
      <w:bookmarkEnd w:id="745"/>
      <w:bookmarkEnd w:id="746"/>
      <w:bookmarkEnd w:id="747"/>
      <w:bookmarkEnd w:id="748"/>
      <w:bookmarkEnd w:id="749"/>
      <w:bookmarkEnd w:id="750"/>
      <w:bookmarkEnd w:id="751"/>
      <w:bookmarkEnd w:id="752"/>
      <w:bookmarkEnd w:id="7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第18.3.2项补充：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第18.3.5项约定为：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经验收合格工程的实际交工日期，以最终提交交工验收申请报告的日期为准，并在交工验收证书中写明。</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本款补充第18.3.7项：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组织办理交工验收和签发交工验收证书的费用由发包人承担。但按照第18.3.4项规定达不到合格标准的交工验收费用由承包人承担。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本条补充第18.9款：</w:t>
      </w:r>
    </w:p>
    <w:p>
      <w:pPr>
        <w:snapToGrid w:val="0"/>
        <w:spacing w:line="400" w:lineRule="exact"/>
        <w:outlineLvl w:val="3"/>
        <w:rPr>
          <w:bCs/>
          <w:color w:val="000000" w:themeColor="text1"/>
          <w:kern w:val="44"/>
          <w:szCs w:val="21"/>
          <w14:textFill>
            <w14:solidFill>
              <w14:schemeClr w14:val="tx1"/>
            </w14:solidFill>
          </w14:textFill>
        </w:rPr>
      </w:pPr>
      <w:bookmarkStart w:id="754" w:name="_Toc468702689"/>
      <w:bookmarkStart w:id="755" w:name="_Toc262895936"/>
      <w:bookmarkStart w:id="756" w:name="_Toc441002389"/>
      <w:bookmarkStart w:id="757" w:name="_Toc245538826"/>
      <w:bookmarkStart w:id="758" w:name="_Toc234382914"/>
      <w:bookmarkStart w:id="759" w:name="_Toc70689330"/>
      <w:bookmarkStart w:id="760" w:name="_Toc498543000"/>
      <w:bookmarkStart w:id="761" w:name="_Toc263889264"/>
      <w:bookmarkStart w:id="762" w:name="_Toc262031877"/>
      <w:bookmarkStart w:id="763" w:name="_Toc421630711"/>
      <w:r>
        <w:rPr>
          <w:bCs/>
          <w:color w:val="000000" w:themeColor="text1"/>
          <w:kern w:val="44"/>
          <w:szCs w:val="21"/>
          <w14:textFill>
            <w14:solidFill>
              <w14:schemeClr w14:val="tx1"/>
            </w14:solidFill>
          </w14:textFill>
        </w:rPr>
        <w:t>18.9竣工文件</w:t>
      </w:r>
      <w:bookmarkEnd w:id="754"/>
      <w:bookmarkEnd w:id="755"/>
      <w:bookmarkEnd w:id="756"/>
      <w:bookmarkEnd w:id="757"/>
      <w:bookmarkEnd w:id="758"/>
      <w:bookmarkEnd w:id="759"/>
      <w:bookmarkEnd w:id="760"/>
      <w:bookmarkEnd w:id="761"/>
      <w:bookmarkEnd w:id="762"/>
      <w:bookmarkEnd w:id="76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承包人应按照《公路工程竣（交）工验收办法》中的相关规定，在缺陷责任期内为竣工验收补充竣工资料，并在签发缺陷责任期终止证书之前提交。</w:t>
      </w:r>
    </w:p>
    <w:p>
      <w:pPr>
        <w:pStyle w:val="4"/>
        <w:spacing w:before="360" w:beforeLines="150" w:after="480" w:line="400" w:lineRule="exact"/>
        <w:jc w:val="left"/>
        <w:rPr>
          <w:color w:val="000000" w:themeColor="text1"/>
          <w:sz w:val="28"/>
          <w:szCs w:val="28"/>
          <w14:textFill>
            <w14:solidFill>
              <w14:schemeClr w14:val="tx1"/>
            </w14:solidFill>
          </w14:textFill>
        </w:rPr>
      </w:pPr>
      <w:bookmarkStart w:id="764" w:name="_Toc263889265"/>
      <w:bookmarkStart w:id="765" w:name="_Toc421630712"/>
      <w:bookmarkStart w:id="766" w:name="_Toc234382915"/>
      <w:bookmarkStart w:id="767" w:name="_Toc498543001"/>
      <w:bookmarkStart w:id="768" w:name="_Toc262895937"/>
      <w:bookmarkStart w:id="769" w:name="_Toc70689331"/>
      <w:bookmarkStart w:id="770" w:name="_Toc262031878"/>
      <w:bookmarkStart w:id="771" w:name="_Toc441002390"/>
      <w:bookmarkStart w:id="772" w:name="_Toc468702690"/>
      <w:r>
        <w:rPr>
          <w:color w:val="000000" w:themeColor="text1"/>
          <w:sz w:val="28"/>
          <w:szCs w:val="28"/>
          <w14:textFill>
            <w14:solidFill>
              <w14:schemeClr w14:val="tx1"/>
            </w14:solidFill>
          </w14:textFill>
        </w:rPr>
        <w:t>19．缺陷责任与保修责任</w:t>
      </w:r>
      <w:bookmarkEnd w:id="764"/>
      <w:bookmarkEnd w:id="765"/>
      <w:bookmarkEnd w:id="766"/>
      <w:bookmarkEnd w:id="767"/>
      <w:bookmarkEnd w:id="768"/>
      <w:bookmarkEnd w:id="769"/>
      <w:bookmarkEnd w:id="770"/>
      <w:bookmarkEnd w:id="771"/>
      <w:bookmarkEnd w:id="772"/>
    </w:p>
    <w:p>
      <w:pPr>
        <w:snapToGrid w:val="0"/>
        <w:spacing w:line="400" w:lineRule="exact"/>
        <w:outlineLvl w:val="3"/>
        <w:rPr>
          <w:bCs/>
          <w:color w:val="000000" w:themeColor="text1"/>
          <w:kern w:val="44"/>
          <w:szCs w:val="21"/>
          <w14:textFill>
            <w14:solidFill>
              <w14:schemeClr w14:val="tx1"/>
            </w14:solidFill>
          </w14:textFill>
        </w:rPr>
      </w:pPr>
      <w:bookmarkStart w:id="773" w:name="_Toc70689332"/>
      <w:bookmarkStart w:id="774" w:name="_Toc468702691"/>
      <w:bookmarkStart w:id="775" w:name="_Toc421630713"/>
      <w:bookmarkStart w:id="776" w:name="_Toc263889266"/>
      <w:bookmarkStart w:id="777" w:name="_Toc245538827"/>
      <w:bookmarkStart w:id="778" w:name="_Toc262895938"/>
      <w:bookmarkStart w:id="779" w:name="_Toc262031879"/>
      <w:bookmarkStart w:id="780" w:name="_Toc498543002"/>
      <w:bookmarkStart w:id="781" w:name="_Toc441002391"/>
      <w:bookmarkStart w:id="782" w:name="_Toc234382916"/>
      <w:r>
        <w:rPr>
          <w:bCs/>
          <w:color w:val="000000" w:themeColor="text1"/>
          <w:kern w:val="44"/>
          <w:szCs w:val="21"/>
          <w14:textFill>
            <w14:solidFill>
              <w14:schemeClr w14:val="tx1"/>
            </w14:solidFill>
          </w14:textFill>
        </w:rPr>
        <w:t>19.2缺陷责任</w:t>
      </w:r>
      <w:bookmarkEnd w:id="773"/>
      <w:bookmarkEnd w:id="774"/>
      <w:bookmarkEnd w:id="775"/>
      <w:bookmarkEnd w:id="776"/>
      <w:bookmarkEnd w:id="777"/>
      <w:bookmarkEnd w:id="778"/>
      <w:bookmarkEnd w:id="779"/>
      <w:bookmarkEnd w:id="780"/>
      <w:bookmarkEnd w:id="781"/>
      <w:bookmarkEnd w:id="78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第19.2.2项补充：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在缺陷责任期内，承包人应尽快完成在交工验收证书中写明的未完成工作，并完成对本工程缺陷的修复或监理人指令的修补工作。</w:t>
      </w:r>
    </w:p>
    <w:p>
      <w:pPr>
        <w:snapToGrid w:val="0"/>
        <w:spacing w:line="400" w:lineRule="exact"/>
        <w:outlineLvl w:val="3"/>
        <w:rPr>
          <w:bCs/>
          <w:color w:val="000000" w:themeColor="text1"/>
          <w:kern w:val="44"/>
          <w:szCs w:val="21"/>
          <w14:textFill>
            <w14:solidFill>
              <w14:schemeClr w14:val="tx1"/>
            </w14:solidFill>
          </w14:textFill>
        </w:rPr>
      </w:pPr>
      <w:bookmarkStart w:id="783" w:name="_Toc234382917"/>
      <w:bookmarkStart w:id="784" w:name="_Toc245538828"/>
      <w:bookmarkStart w:id="785" w:name="_Toc498543003"/>
      <w:bookmarkStart w:id="786" w:name="_Toc262031880"/>
      <w:bookmarkStart w:id="787" w:name="_Toc468702692"/>
      <w:bookmarkStart w:id="788" w:name="_Toc263889267"/>
      <w:bookmarkStart w:id="789" w:name="_Toc421630714"/>
      <w:bookmarkStart w:id="790" w:name="_Toc441002392"/>
      <w:bookmarkStart w:id="791" w:name="_Toc262895939"/>
      <w:bookmarkStart w:id="792" w:name="_Toc70689333"/>
      <w:r>
        <w:rPr>
          <w:bCs/>
          <w:color w:val="000000" w:themeColor="text1"/>
          <w:kern w:val="44"/>
          <w:szCs w:val="21"/>
          <w14:textFill>
            <w14:solidFill>
              <w14:schemeClr w14:val="tx1"/>
            </w14:solidFill>
          </w14:textFill>
        </w:rPr>
        <w:t>19.5承包人的进入权</w:t>
      </w:r>
      <w:bookmarkEnd w:id="783"/>
      <w:bookmarkEnd w:id="784"/>
      <w:bookmarkEnd w:id="785"/>
      <w:bookmarkEnd w:id="786"/>
      <w:bookmarkEnd w:id="787"/>
      <w:bookmarkEnd w:id="788"/>
      <w:bookmarkEnd w:id="789"/>
      <w:bookmarkEnd w:id="790"/>
      <w:bookmarkEnd w:id="791"/>
      <w:bookmarkEnd w:id="79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snapToGrid w:val="0"/>
        <w:spacing w:line="400" w:lineRule="exact"/>
        <w:outlineLvl w:val="3"/>
        <w:rPr>
          <w:bCs/>
          <w:color w:val="000000" w:themeColor="text1"/>
          <w:kern w:val="44"/>
          <w:szCs w:val="21"/>
          <w14:textFill>
            <w14:solidFill>
              <w14:schemeClr w14:val="tx1"/>
            </w14:solidFill>
          </w14:textFill>
        </w:rPr>
      </w:pPr>
      <w:bookmarkStart w:id="793" w:name="_Toc263889268"/>
      <w:bookmarkStart w:id="794" w:name="_Toc498543004"/>
      <w:bookmarkStart w:id="795" w:name="_Toc234382918"/>
      <w:bookmarkStart w:id="796" w:name="_Toc421630715"/>
      <w:bookmarkStart w:id="797" w:name="_Toc245538829"/>
      <w:bookmarkStart w:id="798" w:name="_Toc441002393"/>
      <w:bookmarkStart w:id="799" w:name="_Toc468702693"/>
      <w:bookmarkStart w:id="800" w:name="_Toc262895940"/>
      <w:bookmarkStart w:id="801" w:name="_Toc70689334"/>
      <w:bookmarkStart w:id="802" w:name="_Toc262031881"/>
      <w:r>
        <w:rPr>
          <w:bCs/>
          <w:color w:val="000000" w:themeColor="text1"/>
          <w:kern w:val="44"/>
          <w:szCs w:val="21"/>
          <w14:textFill>
            <w14:solidFill>
              <w14:schemeClr w14:val="tx1"/>
            </w14:solidFill>
          </w14:textFill>
        </w:rPr>
        <w:t>19.7保修责任</w:t>
      </w:r>
      <w:bookmarkEnd w:id="793"/>
      <w:bookmarkEnd w:id="794"/>
      <w:bookmarkEnd w:id="795"/>
      <w:bookmarkEnd w:id="796"/>
      <w:bookmarkEnd w:id="797"/>
      <w:bookmarkEnd w:id="798"/>
      <w:bookmarkEnd w:id="799"/>
      <w:bookmarkEnd w:id="800"/>
      <w:bookmarkEnd w:id="801"/>
      <w:bookmarkEnd w:id="80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（2）在全部工程交工验收前，已经发包人提前验收的单位工程，其保修期的起算日期相应提前。</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（3）工程保修期终止后28天内，监理人签发保修期终止证书。</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pPr>
        <w:pStyle w:val="4"/>
        <w:spacing w:before="360" w:beforeLines="150" w:after="480" w:line="400" w:lineRule="exact"/>
        <w:jc w:val="left"/>
        <w:rPr>
          <w:color w:val="000000" w:themeColor="text1"/>
          <w:sz w:val="28"/>
          <w:szCs w:val="28"/>
          <w14:textFill>
            <w14:solidFill>
              <w14:schemeClr w14:val="tx1"/>
            </w14:solidFill>
          </w14:textFill>
        </w:rPr>
      </w:pPr>
      <w:bookmarkStart w:id="803" w:name="_Toc263889269"/>
      <w:bookmarkStart w:id="804" w:name="_Toc498543005"/>
      <w:bookmarkStart w:id="805" w:name="_Toc441002394"/>
      <w:bookmarkStart w:id="806" w:name="_Toc262031882"/>
      <w:bookmarkStart w:id="807" w:name="_Toc421630716"/>
      <w:bookmarkStart w:id="808" w:name="_Toc262895941"/>
      <w:bookmarkStart w:id="809" w:name="_Toc245538830"/>
      <w:bookmarkStart w:id="810" w:name="_Toc468702694"/>
      <w:bookmarkStart w:id="811" w:name="_Toc70689335"/>
      <w:bookmarkStart w:id="812" w:name="_Toc234382919"/>
      <w:r>
        <w:rPr>
          <w:color w:val="000000" w:themeColor="text1"/>
          <w:sz w:val="28"/>
          <w:szCs w:val="28"/>
          <w14:textFill>
            <w14:solidFill>
              <w14:schemeClr w14:val="tx1"/>
            </w14:solidFill>
          </w14:textFill>
        </w:rPr>
        <w:t>20.保险</w:t>
      </w:r>
      <w:bookmarkEnd w:id="803"/>
      <w:bookmarkEnd w:id="804"/>
      <w:bookmarkEnd w:id="805"/>
      <w:bookmarkEnd w:id="806"/>
      <w:bookmarkEnd w:id="807"/>
      <w:bookmarkEnd w:id="808"/>
      <w:bookmarkEnd w:id="809"/>
      <w:bookmarkEnd w:id="810"/>
      <w:bookmarkEnd w:id="811"/>
      <w:bookmarkEnd w:id="812"/>
    </w:p>
    <w:p>
      <w:pPr>
        <w:snapToGrid w:val="0"/>
        <w:spacing w:line="400" w:lineRule="exact"/>
        <w:outlineLvl w:val="3"/>
        <w:rPr>
          <w:bCs/>
          <w:color w:val="000000" w:themeColor="text1"/>
          <w:kern w:val="44"/>
          <w:szCs w:val="21"/>
          <w14:textFill>
            <w14:solidFill>
              <w14:schemeClr w14:val="tx1"/>
            </w14:solidFill>
          </w14:textFill>
        </w:rPr>
      </w:pPr>
      <w:bookmarkStart w:id="813" w:name="_Toc263889270"/>
      <w:bookmarkStart w:id="814" w:name="_Toc245538831"/>
      <w:bookmarkStart w:id="815" w:name="_Toc262895942"/>
      <w:bookmarkStart w:id="816" w:name="_Toc262031883"/>
      <w:bookmarkStart w:id="817" w:name="_Toc70689336"/>
      <w:bookmarkStart w:id="818" w:name="_Toc468702695"/>
      <w:bookmarkStart w:id="819" w:name="_Toc441002395"/>
      <w:bookmarkStart w:id="820" w:name="_Toc498543006"/>
      <w:bookmarkStart w:id="821" w:name="_Toc421630717"/>
      <w:bookmarkStart w:id="822" w:name="_Toc234382920"/>
      <w:r>
        <w:rPr>
          <w:bCs/>
          <w:color w:val="000000" w:themeColor="text1"/>
          <w:kern w:val="44"/>
          <w:szCs w:val="21"/>
          <w14:textFill>
            <w14:solidFill>
              <w14:schemeClr w14:val="tx1"/>
            </w14:solidFill>
          </w14:textFill>
        </w:rPr>
        <w:t>20.1工程保险</w:t>
      </w:r>
      <w:bookmarkEnd w:id="813"/>
      <w:bookmarkEnd w:id="814"/>
      <w:bookmarkEnd w:id="815"/>
      <w:bookmarkEnd w:id="816"/>
      <w:bookmarkEnd w:id="817"/>
      <w:bookmarkEnd w:id="818"/>
      <w:bookmarkEnd w:id="819"/>
      <w:bookmarkEnd w:id="820"/>
      <w:bookmarkEnd w:id="821"/>
      <w:bookmarkEnd w:id="82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建筑工程—切险的投保内容：为本合同工程的永久工程、临时工程和设备及已运至施工工地用于永久工程的材料和设备所投的保险。</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保险金额：工程量清单第100章（不含建筑工程一切险及第三者责任险的保险费）至700章的合计金额。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保险费率：在项目专用条款数据表中约定。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保险期限：开工日起直至本合同工程签发缺陷责任期终止证书止（即合同工期＋缺陷责任期）。</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pPr>
        <w:snapToGrid w:val="0"/>
        <w:spacing w:line="400" w:lineRule="exact"/>
        <w:outlineLvl w:val="3"/>
        <w:rPr>
          <w:bCs/>
          <w:color w:val="000000" w:themeColor="text1"/>
          <w:kern w:val="44"/>
          <w:szCs w:val="21"/>
          <w14:textFill>
            <w14:solidFill>
              <w14:schemeClr w14:val="tx1"/>
            </w14:solidFill>
          </w14:textFill>
        </w:rPr>
      </w:pPr>
      <w:bookmarkStart w:id="823" w:name="_Toc441002396"/>
      <w:bookmarkStart w:id="824" w:name="_Toc498543007"/>
      <w:bookmarkStart w:id="825" w:name="_Toc468702696"/>
      <w:bookmarkStart w:id="826" w:name="_Toc245538832"/>
      <w:bookmarkStart w:id="827" w:name="_Toc421630718"/>
      <w:bookmarkStart w:id="828" w:name="_Toc262895943"/>
      <w:bookmarkStart w:id="829" w:name="_Toc263889271"/>
      <w:bookmarkStart w:id="830" w:name="_Toc70689337"/>
      <w:bookmarkStart w:id="831" w:name="_Toc262031884"/>
      <w:bookmarkStart w:id="832" w:name="_Toc234382921"/>
      <w:r>
        <w:rPr>
          <w:bCs/>
          <w:color w:val="000000" w:themeColor="text1"/>
          <w:kern w:val="44"/>
          <w:szCs w:val="21"/>
          <w14:textFill>
            <w14:solidFill>
              <w14:schemeClr w14:val="tx1"/>
            </w14:solidFill>
          </w14:textFill>
        </w:rPr>
        <w:t>20.4第三者责任险</w:t>
      </w:r>
      <w:bookmarkEnd w:id="823"/>
      <w:bookmarkEnd w:id="824"/>
      <w:bookmarkEnd w:id="825"/>
      <w:bookmarkEnd w:id="826"/>
      <w:bookmarkEnd w:id="827"/>
      <w:bookmarkEnd w:id="828"/>
      <w:bookmarkEnd w:id="829"/>
      <w:bookmarkEnd w:id="830"/>
      <w:bookmarkEnd w:id="831"/>
      <w:bookmarkEnd w:id="83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第20.4.2项补充：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第三者责任险的保险费由承包人报价时列入工程量清单100章内。发包人在接到保险单后，将按照保险单的费用直接向承包人支付。</w:t>
      </w:r>
    </w:p>
    <w:p>
      <w:pPr>
        <w:snapToGrid w:val="0"/>
        <w:spacing w:line="400" w:lineRule="exact"/>
        <w:outlineLvl w:val="3"/>
        <w:rPr>
          <w:bCs/>
          <w:color w:val="000000" w:themeColor="text1"/>
          <w:kern w:val="44"/>
          <w:szCs w:val="21"/>
          <w14:textFill>
            <w14:solidFill>
              <w14:schemeClr w14:val="tx1"/>
            </w14:solidFill>
          </w14:textFill>
        </w:rPr>
      </w:pPr>
      <w:bookmarkStart w:id="833" w:name="_Toc234382922"/>
      <w:bookmarkStart w:id="834" w:name="_Toc70689338"/>
      <w:bookmarkStart w:id="835" w:name="_Toc498543008"/>
      <w:bookmarkStart w:id="836" w:name="_Toc468702697"/>
      <w:bookmarkStart w:id="837" w:name="_Toc262895944"/>
      <w:bookmarkStart w:id="838" w:name="_Toc245538833"/>
      <w:bookmarkStart w:id="839" w:name="_Toc441002397"/>
      <w:bookmarkStart w:id="840" w:name="_Toc262031885"/>
      <w:bookmarkStart w:id="841" w:name="_Toc421630719"/>
      <w:bookmarkStart w:id="842" w:name="_Toc263889272"/>
      <w:r>
        <w:rPr>
          <w:bCs/>
          <w:color w:val="000000" w:themeColor="text1"/>
          <w:kern w:val="44"/>
          <w:szCs w:val="21"/>
          <w14:textFill>
            <w14:solidFill>
              <w14:schemeClr w14:val="tx1"/>
            </w14:solidFill>
          </w14:textFill>
        </w:rPr>
        <w:t>20.5其他保险</w:t>
      </w:r>
      <w:bookmarkEnd w:id="833"/>
      <w:bookmarkEnd w:id="834"/>
      <w:bookmarkEnd w:id="835"/>
      <w:bookmarkEnd w:id="836"/>
      <w:bookmarkEnd w:id="837"/>
      <w:bookmarkEnd w:id="838"/>
      <w:bookmarkEnd w:id="839"/>
      <w:bookmarkEnd w:id="840"/>
      <w:bookmarkEnd w:id="841"/>
      <w:bookmarkEnd w:id="84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snapToGrid w:val="0"/>
        <w:spacing w:line="400" w:lineRule="exact"/>
        <w:outlineLvl w:val="3"/>
        <w:rPr>
          <w:bCs/>
          <w:color w:val="000000" w:themeColor="text1"/>
          <w:kern w:val="44"/>
          <w:szCs w:val="21"/>
          <w14:textFill>
            <w14:solidFill>
              <w14:schemeClr w14:val="tx1"/>
            </w14:solidFill>
          </w14:textFill>
        </w:rPr>
      </w:pPr>
      <w:bookmarkStart w:id="843" w:name="_Toc245538834"/>
      <w:bookmarkStart w:id="844" w:name="_Toc441002398"/>
      <w:bookmarkStart w:id="845" w:name="_Toc262895945"/>
      <w:bookmarkStart w:id="846" w:name="_Toc498543009"/>
      <w:bookmarkStart w:id="847" w:name="_Toc70689339"/>
      <w:bookmarkStart w:id="848" w:name="_Toc468702698"/>
      <w:bookmarkStart w:id="849" w:name="_Toc262031886"/>
      <w:bookmarkStart w:id="850" w:name="_Toc263889273"/>
      <w:bookmarkStart w:id="851" w:name="_Toc234382923"/>
      <w:bookmarkStart w:id="852" w:name="_Toc421630720"/>
      <w:r>
        <w:rPr>
          <w:bCs/>
          <w:color w:val="000000" w:themeColor="text1"/>
          <w:kern w:val="44"/>
          <w:szCs w:val="21"/>
          <w14:textFill>
            <w14:solidFill>
              <w14:schemeClr w14:val="tx1"/>
            </w14:solidFill>
          </w14:textFill>
        </w:rPr>
        <w:t>20.6对各项保险的一般要求</w:t>
      </w:r>
      <w:bookmarkEnd w:id="843"/>
      <w:bookmarkEnd w:id="844"/>
      <w:bookmarkEnd w:id="845"/>
      <w:bookmarkEnd w:id="846"/>
      <w:bookmarkEnd w:id="847"/>
      <w:bookmarkEnd w:id="848"/>
      <w:bookmarkEnd w:id="849"/>
      <w:bookmarkEnd w:id="850"/>
      <w:bookmarkEnd w:id="851"/>
      <w:bookmarkEnd w:id="852"/>
    </w:p>
    <w:p>
      <w:pPr>
        <w:spacing w:line="360" w:lineRule="exact"/>
        <w:ind w:firstLine="420" w:firstLineChars="200"/>
        <w:rPr>
          <w:color w:val="000000" w:themeColor="text1"/>
          <w14:textFill>
            <w14:solidFill>
              <w14:schemeClr w14:val="tx1"/>
            </w14:solidFill>
          </w14:textFill>
        </w:rPr>
      </w:pPr>
      <w:bookmarkStart w:id="853" w:name="_Toc262031887"/>
      <w:r>
        <w:rPr>
          <w:color w:val="000000" w:themeColor="text1"/>
          <w14:textFill>
            <w14:solidFill>
              <w14:schemeClr w14:val="tx1"/>
            </w14:solidFill>
          </w14:textFill>
        </w:rPr>
        <w:t>20.6.1保险凭证</w:t>
      </w:r>
      <w:bookmarkEnd w:id="853"/>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承包人向发包人提交各项保险生效的证据和保险单副本的期限：开工后56天内。</w:t>
      </w:r>
    </w:p>
    <w:p>
      <w:pPr>
        <w:spacing w:line="360" w:lineRule="exact"/>
        <w:ind w:firstLine="420" w:firstLineChars="200"/>
        <w:rPr>
          <w:color w:val="000000" w:themeColor="text1"/>
          <w14:textFill>
            <w14:solidFill>
              <w14:schemeClr w14:val="tx1"/>
            </w14:solidFill>
          </w14:textFill>
        </w:rPr>
      </w:pPr>
      <w:bookmarkStart w:id="854" w:name="_Toc262031888"/>
      <w:r>
        <w:rPr>
          <w:color w:val="000000" w:themeColor="text1"/>
          <w14:textFill>
            <w14:solidFill>
              <w14:schemeClr w14:val="tx1"/>
            </w14:solidFill>
          </w14:textFill>
        </w:rPr>
        <w:t>20.6.3 持续保险</w:t>
      </w:r>
      <w:bookmarkEnd w:id="85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在整个合同期内，承包人应按合同条款规定保证足够的保险额。</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20.6.4保险金不足的补偿</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保险金不足补偿损失的（包括免赔额和超过赔偿限额的部分），应由承包人和（或）发包人按合同约定负责补偿。</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20.6.5未按约定投保的补救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本项（2）目细化为：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4"/>
        <w:spacing w:before="360" w:beforeLines="150" w:after="480" w:line="400" w:lineRule="exact"/>
        <w:jc w:val="left"/>
        <w:rPr>
          <w:color w:val="000000" w:themeColor="text1"/>
          <w:sz w:val="28"/>
          <w:szCs w:val="28"/>
          <w14:textFill>
            <w14:solidFill>
              <w14:schemeClr w14:val="tx1"/>
            </w14:solidFill>
          </w14:textFill>
        </w:rPr>
      </w:pPr>
      <w:bookmarkStart w:id="855" w:name="_Toc70689340"/>
      <w:bookmarkStart w:id="856" w:name="_Toc498543010"/>
      <w:bookmarkStart w:id="857" w:name="_Toc262895946"/>
      <w:bookmarkStart w:id="858" w:name="_Toc262031889"/>
      <w:bookmarkStart w:id="859" w:name="_Toc245538835"/>
      <w:bookmarkStart w:id="860" w:name="_Toc234382924"/>
      <w:bookmarkStart w:id="861" w:name="_Toc468702699"/>
      <w:bookmarkStart w:id="862" w:name="_Toc263889274"/>
      <w:bookmarkStart w:id="863" w:name="_Toc421630721"/>
      <w:bookmarkStart w:id="864" w:name="_Toc441002399"/>
      <w:r>
        <w:rPr>
          <w:color w:val="000000" w:themeColor="text1"/>
          <w:sz w:val="28"/>
          <w:szCs w:val="28"/>
          <w14:textFill>
            <w14:solidFill>
              <w14:schemeClr w14:val="tx1"/>
            </w14:solidFill>
          </w14:textFill>
        </w:rPr>
        <w:t>21．不可抗力</w:t>
      </w:r>
      <w:bookmarkEnd w:id="855"/>
      <w:bookmarkEnd w:id="856"/>
      <w:bookmarkEnd w:id="857"/>
      <w:bookmarkEnd w:id="858"/>
      <w:bookmarkEnd w:id="859"/>
      <w:bookmarkEnd w:id="860"/>
      <w:bookmarkEnd w:id="861"/>
      <w:bookmarkEnd w:id="862"/>
      <w:bookmarkEnd w:id="863"/>
      <w:bookmarkEnd w:id="864"/>
    </w:p>
    <w:p>
      <w:pPr>
        <w:snapToGrid w:val="0"/>
        <w:spacing w:line="400" w:lineRule="exact"/>
        <w:outlineLvl w:val="3"/>
        <w:rPr>
          <w:bCs/>
          <w:color w:val="000000" w:themeColor="text1"/>
          <w:kern w:val="44"/>
          <w:szCs w:val="21"/>
          <w14:textFill>
            <w14:solidFill>
              <w14:schemeClr w14:val="tx1"/>
            </w14:solidFill>
          </w14:textFill>
        </w:rPr>
      </w:pPr>
      <w:bookmarkStart w:id="865" w:name="_Toc468702700"/>
      <w:bookmarkStart w:id="866" w:name="_Toc234382925"/>
      <w:bookmarkStart w:id="867" w:name="_Toc262895947"/>
      <w:bookmarkStart w:id="868" w:name="_Toc441002400"/>
      <w:bookmarkStart w:id="869" w:name="_Toc263889275"/>
      <w:bookmarkStart w:id="870" w:name="_Toc421630722"/>
      <w:bookmarkStart w:id="871" w:name="_Toc498543011"/>
      <w:bookmarkStart w:id="872" w:name="_Toc262031890"/>
      <w:bookmarkStart w:id="873" w:name="_Toc70689341"/>
      <w:bookmarkStart w:id="874" w:name="_Toc245538836"/>
      <w:r>
        <w:rPr>
          <w:bCs/>
          <w:color w:val="000000" w:themeColor="text1"/>
          <w:kern w:val="44"/>
          <w:szCs w:val="21"/>
          <w14:textFill>
            <w14:solidFill>
              <w14:schemeClr w14:val="tx1"/>
            </w14:solidFill>
          </w14:textFill>
        </w:rPr>
        <w:t>21.1不可抗力的确认</w:t>
      </w:r>
      <w:bookmarkEnd w:id="865"/>
      <w:bookmarkEnd w:id="866"/>
      <w:bookmarkEnd w:id="867"/>
      <w:bookmarkEnd w:id="868"/>
      <w:bookmarkEnd w:id="869"/>
      <w:bookmarkEnd w:id="870"/>
      <w:bookmarkEnd w:id="871"/>
      <w:bookmarkEnd w:id="872"/>
      <w:bookmarkEnd w:id="873"/>
      <w:bookmarkEnd w:id="87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21.1.1项细化为：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（1）地震、海啸、火山爆发、泥石流、暴雨（雪）、台风、龙卷风、水灾等自然灾害；</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（2）战争、骚乱、暴动，但纯属承包人或其分包人派遣与雇用的人员由于本合同工程施工原因引起者除外；</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（3）核反应、辐射或放射性污染；</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（4）空中飞行物体坠落或非发包人或承包人责任造成的爆炸、火灾；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（5）瘟疫；</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（6）项目专用合同条款约定的其他情形。</w:t>
      </w:r>
    </w:p>
    <w:p>
      <w:pPr>
        <w:snapToGrid w:val="0"/>
        <w:spacing w:line="400" w:lineRule="exact"/>
        <w:outlineLvl w:val="3"/>
        <w:rPr>
          <w:bCs/>
          <w:color w:val="000000" w:themeColor="text1"/>
          <w:kern w:val="44"/>
          <w:szCs w:val="21"/>
          <w14:textFill>
            <w14:solidFill>
              <w14:schemeClr w14:val="tx1"/>
            </w14:solidFill>
          </w14:textFill>
        </w:rPr>
      </w:pPr>
      <w:bookmarkStart w:id="875" w:name="_Toc421630723"/>
      <w:bookmarkStart w:id="876" w:name="_Toc262895948"/>
      <w:bookmarkStart w:id="877" w:name="_Toc70689342"/>
      <w:bookmarkStart w:id="878" w:name="_Toc263889276"/>
      <w:bookmarkStart w:id="879" w:name="_Toc498543012"/>
      <w:bookmarkStart w:id="880" w:name="_Toc468702701"/>
      <w:bookmarkStart w:id="881" w:name="_Toc262031891"/>
      <w:bookmarkStart w:id="882" w:name="_Toc245538837"/>
      <w:bookmarkStart w:id="883" w:name="_Toc234382926"/>
      <w:bookmarkStart w:id="884" w:name="_Toc441002401"/>
      <w:r>
        <w:rPr>
          <w:bCs/>
          <w:color w:val="000000" w:themeColor="text1"/>
          <w:kern w:val="44"/>
          <w:szCs w:val="21"/>
          <w14:textFill>
            <w14:solidFill>
              <w14:schemeClr w14:val="tx1"/>
            </w14:solidFill>
          </w14:textFill>
        </w:rPr>
        <w:t>21.3不可抗力后果及其处理</w:t>
      </w:r>
      <w:bookmarkEnd w:id="875"/>
      <w:bookmarkEnd w:id="876"/>
      <w:bookmarkEnd w:id="877"/>
      <w:bookmarkEnd w:id="878"/>
      <w:bookmarkEnd w:id="879"/>
      <w:bookmarkEnd w:id="880"/>
      <w:bookmarkEnd w:id="881"/>
      <w:bookmarkEnd w:id="882"/>
      <w:bookmarkEnd w:id="883"/>
      <w:bookmarkEnd w:id="88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21.3.4因不可抗力解除合同</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及时退货造成的损失由责任方承担。合同解除后的付款，参照第22.2.4 项约定，由监理人按第3.5款商定或确定，但由于解除合同应赔偿的承包人损失不予考虑。</w:t>
      </w:r>
    </w:p>
    <w:p>
      <w:pPr>
        <w:pStyle w:val="4"/>
        <w:spacing w:before="360" w:beforeLines="150" w:after="480" w:line="400" w:lineRule="exact"/>
        <w:jc w:val="left"/>
        <w:rPr>
          <w:color w:val="000000" w:themeColor="text1"/>
          <w:sz w:val="28"/>
          <w:szCs w:val="28"/>
          <w14:textFill>
            <w14:solidFill>
              <w14:schemeClr w14:val="tx1"/>
            </w14:solidFill>
          </w14:textFill>
        </w:rPr>
      </w:pPr>
      <w:bookmarkStart w:id="885" w:name="_Toc421630724"/>
      <w:bookmarkStart w:id="886" w:name="_Toc70689343"/>
      <w:bookmarkStart w:id="887" w:name="_Toc245538838"/>
      <w:bookmarkStart w:id="888" w:name="_Toc498543013"/>
      <w:bookmarkStart w:id="889" w:name="_Toc441002402"/>
      <w:bookmarkStart w:id="890" w:name="_Toc262031892"/>
      <w:bookmarkStart w:id="891" w:name="_Toc262895949"/>
      <w:bookmarkStart w:id="892" w:name="_Toc263889277"/>
      <w:bookmarkStart w:id="893" w:name="_Toc234382927"/>
      <w:bookmarkStart w:id="894" w:name="_Toc468702702"/>
      <w:r>
        <w:rPr>
          <w:color w:val="000000" w:themeColor="text1"/>
          <w:sz w:val="28"/>
          <w:szCs w:val="28"/>
          <w14:textFill>
            <w14:solidFill>
              <w14:schemeClr w14:val="tx1"/>
            </w14:solidFill>
          </w14:textFill>
        </w:rPr>
        <w:t>22．违约</w:t>
      </w:r>
      <w:bookmarkEnd w:id="885"/>
      <w:bookmarkEnd w:id="886"/>
      <w:bookmarkEnd w:id="887"/>
      <w:bookmarkEnd w:id="888"/>
      <w:bookmarkEnd w:id="889"/>
      <w:bookmarkEnd w:id="890"/>
      <w:bookmarkEnd w:id="891"/>
      <w:bookmarkEnd w:id="892"/>
      <w:bookmarkEnd w:id="893"/>
      <w:bookmarkEnd w:id="894"/>
    </w:p>
    <w:p>
      <w:pPr>
        <w:snapToGrid w:val="0"/>
        <w:spacing w:line="400" w:lineRule="exact"/>
        <w:outlineLvl w:val="3"/>
        <w:rPr>
          <w:bCs/>
          <w:color w:val="000000" w:themeColor="text1"/>
          <w:kern w:val="44"/>
          <w:szCs w:val="21"/>
          <w14:textFill>
            <w14:solidFill>
              <w14:schemeClr w14:val="tx1"/>
            </w14:solidFill>
          </w14:textFill>
        </w:rPr>
      </w:pPr>
      <w:bookmarkStart w:id="895" w:name="_Toc441002403"/>
      <w:bookmarkStart w:id="896" w:name="_Toc468702703"/>
      <w:bookmarkStart w:id="897" w:name="_Toc421630725"/>
      <w:bookmarkStart w:id="898" w:name="_Toc70689344"/>
      <w:bookmarkStart w:id="899" w:name="_Toc234382928"/>
      <w:bookmarkStart w:id="900" w:name="_Toc262031893"/>
      <w:bookmarkStart w:id="901" w:name="_Toc263889278"/>
      <w:bookmarkStart w:id="902" w:name="_Toc245538839"/>
      <w:bookmarkStart w:id="903" w:name="_Toc498543014"/>
      <w:bookmarkStart w:id="904" w:name="_Toc262895950"/>
      <w:r>
        <w:rPr>
          <w:bCs/>
          <w:color w:val="000000" w:themeColor="text1"/>
          <w:kern w:val="44"/>
          <w:szCs w:val="21"/>
          <w14:textFill>
            <w14:solidFill>
              <w14:schemeClr w14:val="tx1"/>
            </w14:solidFill>
          </w14:textFill>
        </w:rPr>
        <w:t>22.1承包人违约</w:t>
      </w:r>
      <w:bookmarkEnd w:id="895"/>
      <w:bookmarkEnd w:id="896"/>
      <w:bookmarkEnd w:id="897"/>
      <w:bookmarkEnd w:id="898"/>
      <w:bookmarkEnd w:id="899"/>
      <w:bookmarkEnd w:id="900"/>
      <w:bookmarkEnd w:id="901"/>
      <w:bookmarkEnd w:id="902"/>
      <w:bookmarkEnd w:id="903"/>
      <w:bookmarkEnd w:id="90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22.1.1承包人违约的情形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本项（2）目细化为：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（2）承包人违反第5.3款或第6.4款的约定，未经监理人批准，私自将已按合同约定进入施工场地的施工设备、临时设施、材料或工程设备撤离施工场地；</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本项（7）目细化为：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（7）承包人未能按期开工；</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（8）承包人违反第4.6款或6.3款的规定，未按承诺或未按监理人的要求及时配备称职的主要管理人员、技术骨干或关键施工设备；</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（9）经监理人和发包人检查，发现承包人有安全问题或有违反安全管理规章制度的情况；</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（10）承包人不按合同约定履行义务的其他情况。</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22.1.2对承包人违约的处理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snapToGrid w:val="0"/>
        <w:spacing w:line="400" w:lineRule="exact"/>
        <w:outlineLvl w:val="3"/>
        <w:rPr>
          <w:bCs/>
          <w:color w:val="000000" w:themeColor="text1"/>
          <w:kern w:val="44"/>
          <w:szCs w:val="21"/>
          <w14:textFill>
            <w14:solidFill>
              <w14:schemeClr w14:val="tx1"/>
            </w14:solidFill>
          </w14:textFill>
        </w:rPr>
      </w:pPr>
      <w:bookmarkStart w:id="905" w:name="_Toc421630726"/>
      <w:bookmarkStart w:id="906" w:name="_Toc441002404"/>
      <w:bookmarkStart w:id="907" w:name="_Toc262031894"/>
      <w:bookmarkStart w:id="908" w:name="_Toc70689345"/>
      <w:bookmarkStart w:id="909" w:name="_Toc234382929"/>
      <w:bookmarkStart w:id="910" w:name="_Toc468702704"/>
      <w:bookmarkStart w:id="911" w:name="_Toc263889279"/>
      <w:bookmarkStart w:id="912" w:name="_Toc498543015"/>
      <w:bookmarkStart w:id="913" w:name="_Toc245538840"/>
      <w:bookmarkStart w:id="914" w:name="_Toc262895951"/>
      <w:r>
        <w:rPr>
          <w:bCs/>
          <w:color w:val="000000" w:themeColor="text1"/>
          <w:kern w:val="44"/>
          <w:szCs w:val="21"/>
          <w14:textFill>
            <w14:solidFill>
              <w14:schemeClr w14:val="tx1"/>
            </w14:solidFill>
          </w14:textFill>
        </w:rPr>
        <w:t>22.2发包人违约</w:t>
      </w:r>
      <w:bookmarkEnd w:id="905"/>
      <w:bookmarkEnd w:id="906"/>
      <w:bookmarkEnd w:id="907"/>
      <w:bookmarkEnd w:id="908"/>
      <w:bookmarkEnd w:id="909"/>
      <w:bookmarkEnd w:id="910"/>
      <w:bookmarkEnd w:id="911"/>
      <w:bookmarkEnd w:id="912"/>
      <w:bookmarkEnd w:id="913"/>
      <w:bookmarkEnd w:id="91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22.2.4 解除合同后的付款</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本项（2）目细化为：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（2）承包人为该工程施工订购并已付款的材料、工程设备和其他物品的金额，发包人付款后，该材料、工程设备和其他物品归发包人所有；</w:t>
      </w:r>
    </w:p>
    <w:p>
      <w:pPr>
        <w:pStyle w:val="4"/>
        <w:spacing w:before="360" w:beforeLines="150" w:after="480" w:line="400" w:lineRule="exact"/>
        <w:jc w:val="left"/>
        <w:rPr>
          <w:color w:val="000000" w:themeColor="text1"/>
          <w:sz w:val="28"/>
          <w:szCs w:val="28"/>
          <w14:textFill>
            <w14:solidFill>
              <w14:schemeClr w14:val="tx1"/>
            </w14:solidFill>
          </w14:textFill>
        </w:rPr>
      </w:pPr>
      <w:bookmarkStart w:id="915" w:name="_Toc263889280"/>
      <w:bookmarkStart w:id="916" w:name="_Toc262031895"/>
      <w:bookmarkStart w:id="917" w:name="_Toc498543016"/>
      <w:bookmarkStart w:id="918" w:name="_Toc421630727"/>
      <w:bookmarkStart w:id="919" w:name="_Toc468702705"/>
      <w:bookmarkStart w:id="920" w:name="_Toc234382930"/>
      <w:bookmarkStart w:id="921" w:name="_Toc441002405"/>
      <w:bookmarkStart w:id="922" w:name="_Toc262895952"/>
      <w:bookmarkStart w:id="923" w:name="_Toc70689346"/>
      <w:bookmarkStart w:id="924" w:name="_Toc245538841"/>
      <w:r>
        <w:rPr>
          <w:color w:val="000000" w:themeColor="text1"/>
          <w:sz w:val="28"/>
          <w:szCs w:val="28"/>
          <w14:textFill>
            <w14:solidFill>
              <w14:schemeClr w14:val="tx1"/>
            </w14:solidFill>
          </w14:textFill>
        </w:rPr>
        <w:t>23.索赔</w:t>
      </w:r>
      <w:bookmarkEnd w:id="915"/>
      <w:bookmarkEnd w:id="916"/>
      <w:bookmarkEnd w:id="917"/>
      <w:bookmarkEnd w:id="918"/>
      <w:bookmarkEnd w:id="919"/>
      <w:bookmarkEnd w:id="920"/>
      <w:bookmarkEnd w:id="921"/>
      <w:bookmarkEnd w:id="922"/>
      <w:bookmarkEnd w:id="923"/>
      <w:bookmarkEnd w:id="924"/>
    </w:p>
    <w:p>
      <w:pPr>
        <w:snapToGrid w:val="0"/>
        <w:spacing w:line="400" w:lineRule="exact"/>
        <w:outlineLvl w:val="3"/>
        <w:rPr>
          <w:bCs/>
          <w:color w:val="000000" w:themeColor="text1"/>
          <w:kern w:val="44"/>
          <w:szCs w:val="21"/>
          <w14:textFill>
            <w14:solidFill>
              <w14:schemeClr w14:val="tx1"/>
            </w14:solidFill>
          </w14:textFill>
        </w:rPr>
      </w:pPr>
      <w:bookmarkStart w:id="925" w:name="_Toc245538842"/>
      <w:bookmarkStart w:id="926" w:name="_Toc468702706"/>
      <w:bookmarkStart w:id="927" w:name="_Toc441002406"/>
      <w:bookmarkStart w:id="928" w:name="_Toc498543017"/>
      <w:bookmarkStart w:id="929" w:name="_Toc421630728"/>
      <w:bookmarkStart w:id="930" w:name="_Toc262031896"/>
      <w:bookmarkStart w:id="931" w:name="_Toc262895953"/>
      <w:bookmarkStart w:id="932" w:name="_Toc70689347"/>
      <w:bookmarkStart w:id="933" w:name="_Toc263889281"/>
      <w:bookmarkStart w:id="934" w:name="_Toc234382931"/>
      <w:r>
        <w:rPr>
          <w:bCs/>
          <w:color w:val="000000" w:themeColor="text1"/>
          <w:kern w:val="44"/>
          <w:szCs w:val="21"/>
          <w14:textFill>
            <w14:solidFill>
              <w14:schemeClr w14:val="tx1"/>
            </w14:solidFill>
          </w14:textFill>
        </w:rPr>
        <w:t>23.1承包人索赔的提出</w:t>
      </w:r>
      <w:bookmarkEnd w:id="925"/>
      <w:bookmarkEnd w:id="926"/>
      <w:bookmarkEnd w:id="927"/>
      <w:bookmarkEnd w:id="928"/>
      <w:bookmarkEnd w:id="929"/>
      <w:bookmarkEnd w:id="930"/>
      <w:bookmarkEnd w:id="931"/>
      <w:bookmarkEnd w:id="932"/>
      <w:bookmarkEnd w:id="933"/>
      <w:bookmarkEnd w:id="93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本款第（4）项细化为：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pPr>
        <w:snapToGrid w:val="0"/>
        <w:spacing w:line="400" w:lineRule="exact"/>
        <w:outlineLvl w:val="3"/>
        <w:rPr>
          <w:bCs/>
          <w:color w:val="000000" w:themeColor="text1"/>
          <w:kern w:val="44"/>
          <w:szCs w:val="21"/>
          <w14:textFill>
            <w14:solidFill>
              <w14:schemeClr w14:val="tx1"/>
            </w14:solidFill>
          </w14:textFill>
        </w:rPr>
      </w:pPr>
      <w:bookmarkStart w:id="935" w:name="_Toc262031897"/>
      <w:bookmarkStart w:id="936" w:name="_Toc262895954"/>
      <w:bookmarkStart w:id="937" w:name="_Toc498543018"/>
      <w:bookmarkStart w:id="938" w:name="_Toc234382932"/>
      <w:bookmarkStart w:id="939" w:name="_Toc70689348"/>
      <w:bookmarkStart w:id="940" w:name="_Toc245538843"/>
      <w:bookmarkStart w:id="941" w:name="_Toc468702707"/>
      <w:bookmarkStart w:id="942" w:name="_Toc441002407"/>
      <w:bookmarkStart w:id="943" w:name="_Toc421630729"/>
      <w:bookmarkStart w:id="944" w:name="_Toc263889282"/>
      <w:r>
        <w:rPr>
          <w:bCs/>
          <w:color w:val="000000" w:themeColor="text1"/>
          <w:kern w:val="44"/>
          <w:szCs w:val="21"/>
          <w14:textFill>
            <w14:solidFill>
              <w14:schemeClr w14:val="tx1"/>
            </w14:solidFill>
          </w14:textFill>
        </w:rPr>
        <w:t>23.2承包人索赔处理程序</w:t>
      </w:r>
      <w:bookmarkEnd w:id="935"/>
      <w:bookmarkEnd w:id="936"/>
      <w:bookmarkEnd w:id="937"/>
      <w:bookmarkEnd w:id="938"/>
      <w:bookmarkEnd w:id="939"/>
      <w:bookmarkEnd w:id="940"/>
      <w:bookmarkEnd w:id="941"/>
      <w:bookmarkEnd w:id="942"/>
      <w:bookmarkEnd w:id="943"/>
      <w:bookmarkEnd w:id="94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本款第（2）项细化为：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录予以核实的那部分款额和（或）工期延长天数。</w:t>
      </w:r>
    </w:p>
    <w:p>
      <w:pPr>
        <w:pStyle w:val="4"/>
        <w:spacing w:before="360" w:beforeLines="150" w:after="480" w:line="400" w:lineRule="exact"/>
        <w:jc w:val="left"/>
        <w:rPr>
          <w:color w:val="000000" w:themeColor="text1"/>
          <w:sz w:val="28"/>
          <w:szCs w:val="28"/>
          <w14:textFill>
            <w14:solidFill>
              <w14:schemeClr w14:val="tx1"/>
            </w14:solidFill>
          </w14:textFill>
        </w:rPr>
      </w:pPr>
      <w:bookmarkStart w:id="945" w:name="_Toc262895955"/>
      <w:bookmarkStart w:id="946" w:name="_Toc468702708"/>
      <w:bookmarkStart w:id="947" w:name="_Toc421630730"/>
      <w:bookmarkStart w:id="948" w:name="_Toc70689349"/>
      <w:bookmarkStart w:id="949" w:name="_Toc498543019"/>
      <w:bookmarkStart w:id="950" w:name="_Toc245538844"/>
      <w:bookmarkStart w:id="951" w:name="_Toc262031898"/>
      <w:bookmarkStart w:id="952" w:name="_Toc234382933"/>
      <w:bookmarkStart w:id="953" w:name="_Toc441002408"/>
      <w:bookmarkStart w:id="954" w:name="_Toc263889283"/>
      <w:r>
        <w:rPr>
          <w:color w:val="000000" w:themeColor="text1"/>
          <w:sz w:val="28"/>
          <w:szCs w:val="28"/>
          <w14:textFill>
            <w14:solidFill>
              <w14:schemeClr w14:val="tx1"/>
            </w14:solidFill>
          </w14:textFill>
        </w:rPr>
        <w:t>24．争议的解决</w:t>
      </w:r>
      <w:bookmarkEnd w:id="945"/>
      <w:bookmarkEnd w:id="946"/>
      <w:bookmarkEnd w:id="947"/>
      <w:bookmarkEnd w:id="948"/>
      <w:bookmarkEnd w:id="949"/>
      <w:bookmarkEnd w:id="950"/>
      <w:bookmarkEnd w:id="951"/>
      <w:bookmarkEnd w:id="952"/>
      <w:bookmarkEnd w:id="953"/>
      <w:bookmarkEnd w:id="954"/>
    </w:p>
    <w:p>
      <w:pPr>
        <w:snapToGrid w:val="0"/>
        <w:spacing w:line="400" w:lineRule="exact"/>
        <w:outlineLvl w:val="3"/>
        <w:rPr>
          <w:bCs/>
          <w:color w:val="000000" w:themeColor="text1"/>
          <w:kern w:val="44"/>
          <w:szCs w:val="21"/>
          <w14:textFill>
            <w14:solidFill>
              <w14:schemeClr w14:val="tx1"/>
            </w14:solidFill>
          </w14:textFill>
        </w:rPr>
      </w:pPr>
      <w:bookmarkStart w:id="955" w:name="_Toc498543020"/>
      <w:bookmarkStart w:id="956" w:name="_Toc468702709"/>
      <w:bookmarkStart w:id="957" w:name="_Toc245538845"/>
      <w:bookmarkStart w:id="958" w:name="_Toc262895956"/>
      <w:bookmarkStart w:id="959" w:name="_Toc234382934"/>
      <w:bookmarkStart w:id="960" w:name="_Toc263889284"/>
      <w:bookmarkStart w:id="961" w:name="_Toc441002409"/>
      <w:bookmarkStart w:id="962" w:name="_Toc421630731"/>
      <w:bookmarkStart w:id="963" w:name="_Toc70689350"/>
      <w:bookmarkStart w:id="964" w:name="_Toc262031899"/>
      <w:r>
        <w:rPr>
          <w:bCs/>
          <w:color w:val="000000" w:themeColor="text1"/>
          <w:kern w:val="44"/>
          <w:szCs w:val="21"/>
          <w14:textFill>
            <w14:solidFill>
              <w14:schemeClr w14:val="tx1"/>
            </w14:solidFill>
          </w14:textFill>
        </w:rPr>
        <w:t>24.3争议评审</w:t>
      </w:r>
      <w:bookmarkEnd w:id="955"/>
      <w:bookmarkEnd w:id="956"/>
      <w:bookmarkEnd w:id="957"/>
      <w:bookmarkEnd w:id="958"/>
      <w:bookmarkEnd w:id="959"/>
      <w:bookmarkEnd w:id="960"/>
      <w:bookmarkEnd w:id="961"/>
      <w:bookmarkEnd w:id="962"/>
      <w:bookmarkEnd w:id="963"/>
      <w:bookmarkEnd w:id="96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第24.3.1项补充：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本条补充第24.4、第24.5款（适用于采用仲裁方式最终解决争议的项目）：</w:t>
      </w:r>
    </w:p>
    <w:p>
      <w:pPr>
        <w:snapToGrid w:val="0"/>
        <w:spacing w:line="400" w:lineRule="exact"/>
        <w:outlineLvl w:val="3"/>
        <w:rPr>
          <w:bCs/>
          <w:color w:val="000000" w:themeColor="text1"/>
          <w:kern w:val="44"/>
          <w:szCs w:val="21"/>
          <w14:textFill>
            <w14:solidFill>
              <w14:schemeClr w14:val="tx1"/>
            </w14:solidFill>
          </w14:textFill>
        </w:rPr>
      </w:pPr>
      <w:bookmarkStart w:id="965" w:name="_Toc262895957"/>
      <w:bookmarkStart w:id="966" w:name="_Toc421630732"/>
      <w:bookmarkStart w:id="967" w:name="_Toc468702710"/>
      <w:bookmarkStart w:id="968" w:name="_Toc245538846"/>
      <w:bookmarkStart w:id="969" w:name="_Toc234382935"/>
      <w:bookmarkStart w:id="970" w:name="_Toc70689351"/>
      <w:bookmarkStart w:id="971" w:name="_Toc441002410"/>
      <w:bookmarkStart w:id="972" w:name="_Toc262031900"/>
      <w:bookmarkStart w:id="973" w:name="_Toc263889285"/>
      <w:bookmarkStart w:id="974" w:name="_Toc498543021"/>
      <w:r>
        <w:rPr>
          <w:bCs/>
          <w:color w:val="000000" w:themeColor="text1"/>
          <w:kern w:val="44"/>
          <w:szCs w:val="21"/>
          <w14:textFill>
            <w14:solidFill>
              <w14:schemeClr w14:val="tx1"/>
            </w14:solidFill>
          </w14:textFill>
        </w:rPr>
        <w:t>24.4仲裁</w:t>
      </w:r>
      <w:bookmarkEnd w:id="965"/>
      <w:bookmarkEnd w:id="966"/>
      <w:bookmarkEnd w:id="967"/>
      <w:bookmarkEnd w:id="968"/>
      <w:bookmarkEnd w:id="969"/>
      <w:bookmarkEnd w:id="970"/>
      <w:bookmarkEnd w:id="971"/>
      <w:bookmarkEnd w:id="972"/>
      <w:bookmarkEnd w:id="973"/>
      <w:bookmarkEnd w:id="97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（1）对于未能友好解决或通过争议评审解决的争议，发包人或承包人任一方均有权提交给第24.1款约定的仲裁委员会仲裁。</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（3）仲裁裁决是终局性的并对发包人和承包人双方具有约束力。</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（4）全部仲裁费用应由败诉方承担；或按仲裁员会裁决的比例分担。</w:t>
      </w:r>
    </w:p>
    <w:p>
      <w:pPr>
        <w:snapToGrid w:val="0"/>
        <w:spacing w:line="400" w:lineRule="exact"/>
        <w:outlineLvl w:val="3"/>
        <w:rPr>
          <w:bCs/>
          <w:color w:val="000000" w:themeColor="text1"/>
          <w:kern w:val="44"/>
          <w:szCs w:val="21"/>
          <w14:textFill>
            <w14:solidFill>
              <w14:schemeClr w14:val="tx1"/>
            </w14:solidFill>
          </w14:textFill>
        </w:rPr>
      </w:pPr>
      <w:bookmarkStart w:id="975" w:name="_Toc70689352"/>
      <w:bookmarkStart w:id="976" w:name="_Toc421630733"/>
      <w:bookmarkStart w:id="977" w:name="_Toc263889286"/>
      <w:bookmarkStart w:id="978" w:name="_Toc441002411"/>
      <w:bookmarkStart w:id="979" w:name="_Toc262031901"/>
      <w:bookmarkStart w:id="980" w:name="_Toc262895958"/>
      <w:bookmarkStart w:id="981" w:name="_Toc234382936"/>
      <w:bookmarkStart w:id="982" w:name="_Toc498543022"/>
      <w:bookmarkStart w:id="983" w:name="_Toc245538847"/>
      <w:bookmarkStart w:id="984" w:name="_Toc468702711"/>
      <w:r>
        <w:rPr>
          <w:bCs/>
          <w:color w:val="000000" w:themeColor="text1"/>
          <w:kern w:val="44"/>
          <w:szCs w:val="21"/>
          <w14:textFill>
            <w14:solidFill>
              <w14:schemeClr w14:val="tx1"/>
            </w14:solidFill>
          </w14:textFill>
        </w:rPr>
        <w:t>24.5仲裁的执行</w:t>
      </w:r>
      <w:bookmarkEnd w:id="975"/>
      <w:bookmarkEnd w:id="976"/>
      <w:bookmarkEnd w:id="977"/>
      <w:bookmarkEnd w:id="978"/>
      <w:bookmarkEnd w:id="979"/>
      <w:bookmarkEnd w:id="980"/>
      <w:bookmarkEnd w:id="981"/>
      <w:bookmarkEnd w:id="982"/>
      <w:bookmarkEnd w:id="983"/>
      <w:bookmarkEnd w:id="98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（1）任何一方不履行仲裁机构的裁决的，对方可以向有管辖权的人民法院申请执行。</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rPr>
          <w:color w:val="000000" w:themeColor="text1"/>
          <w14:textFill>
            <w14:solidFill>
              <w14:schemeClr w14:val="tx1"/>
            </w14:solidFill>
          </w14:textFill>
        </w:rPr>
      </w:pP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napToGrid w:val="0"/>
        <w:spacing w:before="120" w:beforeLines="50" w:line="360" w:lineRule="auto"/>
        <w:jc w:val="center"/>
        <w:outlineLvl w:val="2"/>
        <w:rPr>
          <w:rFonts w:ascii="宋体" w:hAnsi="宋体" w:cs="Arial"/>
          <w:b/>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ind w:left="42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B、项目专用合同条款</w:t>
      </w:r>
    </w:p>
    <w:p>
      <w:pPr>
        <w:snapToGrid w:val="0"/>
        <w:spacing w:before="120" w:beforeLines="50" w:line="360" w:lineRule="auto"/>
        <w:jc w:val="center"/>
        <w:outlineLvl w:val="2"/>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项目专用条款数据表</w:t>
      </w:r>
    </w:p>
    <w:p>
      <w:pPr>
        <w:snapToGrid w:val="0"/>
        <w:spacing w:before="120" w:beforeLines="50" w:line="360" w:lineRule="auto"/>
        <w:jc w:val="left"/>
        <w:outlineLvl w:val="2"/>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说明：本数据表是项目专用合同条款中适用于本项目的信息和数据的归纳与提示，是项目专用合同条款的组成部分。</w:t>
      </w:r>
    </w:p>
    <w:tbl>
      <w:tblPr>
        <w:tblStyle w:val="4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484"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426" w:type="dxa"/>
            <w:tcBorders>
              <w:top w:val="single" w:color="auto" w:sz="12" w:space="0"/>
              <w:left w:val="single" w:color="auto" w:sz="6" w:space="0"/>
              <w:bottom w:val="single" w:color="auto" w:sz="6" w:space="0"/>
              <w:right w:val="single" w:color="auto" w:sz="12" w:space="0"/>
            </w:tcBorders>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 包 人：</w:t>
            </w:r>
            <w:r>
              <w:rPr>
                <w:rFonts w:hint="eastAsia" w:ascii="宋体" w:hAnsi="宋体" w:cs="宋体"/>
                <w:color w:val="000000" w:themeColor="text1"/>
                <w:szCs w:val="21"/>
                <w:lang w:eastAsia="zh-CN"/>
                <w14:textFill>
                  <w14:solidFill>
                    <w14:schemeClr w14:val="tx1"/>
                  </w14:solidFill>
                </w14:textFill>
              </w:rPr>
              <w:t>三门县浦坝港镇人民政府</w:t>
            </w:r>
          </w:p>
          <w:p>
            <w:pPr>
              <w:spacing w:line="36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hAnsi="宋体"/>
                <w:color w:val="000000" w:themeColor="text1"/>
                <w:sz w:val="22"/>
                <w14:textFill>
                  <w14:solidFill>
                    <w14:schemeClr w14:val="tx1"/>
                  </w14:solidFill>
                </w14:textFill>
              </w:rPr>
              <w:t>三门县</w:t>
            </w:r>
            <w:r>
              <w:rPr>
                <w:rFonts w:hint="eastAsia" w:hAnsi="宋体"/>
                <w:color w:val="000000" w:themeColor="text1"/>
                <w:sz w:val="22"/>
                <w:lang w:val="en-US" w:eastAsia="zh-CN"/>
                <w14:textFill>
                  <w14:solidFill>
                    <w14:schemeClr w14:val="tx1"/>
                  </w14:solidFill>
                </w14:textFill>
              </w:rPr>
              <w:t>浦坝港镇</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邮政编码：317100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 理 人：</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地    址：                        </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(监理人将在签订合同协议书后，由发包人书面通知承包人)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缺陷责任期：自实际交工日期起计算</w:t>
            </w:r>
            <w:r>
              <w:rPr>
                <w:rFonts w:hint="eastAsia" w:ascii="宋体" w:hAnsi="宋体" w:cs="宋体"/>
                <w:b/>
                <w:i/>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图纸需要修改和补充的，应由监理人取得发包人同意后，在该项工程或工程相应部位施工前</w:t>
            </w:r>
            <w:r>
              <w:rPr>
                <w:rFonts w:hint="eastAsia" w:ascii="宋体" w:hAnsi="宋体" w:cs="宋体"/>
                <w:b/>
                <w:i/>
                <w:color w:val="000000" w:themeColor="text1"/>
                <w:szCs w:val="21"/>
                <w:u w:val="single"/>
                <w14:textFill>
                  <w14:solidFill>
                    <w14:schemeClr w14:val="tx1"/>
                  </w14:solidFill>
                </w14:textFill>
              </w:rPr>
              <w:t xml:space="preserve"> 7 </w:t>
            </w:r>
            <w:r>
              <w:rPr>
                <w:rFonts w:hint="eastAsia" w:ascii="宋体" w:hAnsi="宋体" w:cs="宋体"/>
                <w:color w:val="000000" w:themeColor="text1"/>
                <w:szCs w:val="21"/>
                <w14:textFill>
                  <w14:solidFill>
                    <w14:schemeClr w14:val="tx1"/>
                  </w14:solidFill>
                </w14:textFill>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7426"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监理人在行使下列权力前需要经发包人事先批准：</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(6)根据第15.3款发出的所有变更指示，需要经发包人事先批准。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5.2.4</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发包人是否提供材料或工程设备：</w:t>
            </w:r>
            <w:r>
              <w:rPr>
                <w:rFonts w:hint="eastAsia" w:ascii="宋体" w:hAnsi="宋体" w:cs="宋体"/>
                <w:b/>
                <w:color w:val="000000" w:themeColor="text1"/>
                <w:szCs w:val="21"/>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发包人是否提供施工设备和临时设施：</w:t>
            </w:r>
            <w:r>
              <w:rPr>
                <w:rFonts w:hint="eastAsia" w:ascii="宋体" w:hAnsi="宋体" w:cs="宋体"/>
                <w:b/>
                <w:color w:val="000000" w:themeColor="text1"/>
                <w:szCs w:val="21"/>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发包人提供测量基准点、基准先和水准点及其书面资料的期限：</w:t>
            </w:r>
            <w:r>
              <w:rPr>
                <w:rFonts w:hint="eastAsia" w:ascii="宋体" w:hAnsi="宋体" w:cs="宋体"/>
                <w:b/>
                <w:color w:val="000000" w:themeColor="text1"/>
                <w:szCs w:val="21"/>
                <w:u w:val="single"/>
                <w14:textFill>
                  <w14:solidFill>
                    <w14:schemeClr w14:val="tx1"/>
                  </w14:solidFill>
                </w14:textFill>
              </w:rPr>
              <w:t>在签订本合同后7天内</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承包人将施工控制网资料报送监理人审批的期限：</w:t>
            </w:r>
            <w:r>
              <w:rPr>
                <w:rFonts w:hint="eastAsia" w:ascii="宋体" w:hAnsi="宋体" w:cs="宋体"/>
                <w:b/>
                <w:color w:val="000000" w:themeColor="text1"/>
                <w:szCs w:val="21"/>
                <w:u w:val="single"/>
                <w14:textFill>
                  <w14:solidFill>
                    <w14:schemeClr w14:val="tx1"/>
                  </w14:solidFill>
                </w14:textFill>
              </w:rPr>
              <w:t xml:space="preserve">在收到发包人提供的上述资料后7天内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逾期交工违约金：</w:t>
            </w:r>
            <w:r>
              <w:rPr>
                <w:rFonts w:hint="eastAsia" w:ascii="宋体" w:hAnsi="宋体" w:cs="宋体"/>
                <w:b/>
                <w:bCs/>
                <w:color w:val="000000" w:themeColor="text1"/>
                <w:szCs w:val="21"/>
                <w:u w:val="single"/>
                <w14:textFill>
                  <w14:solidFill>
                    <w14:schemeClr w14:val="tx1"/>
                  </w14:solidFill>
                </w14:textFill>
              </w:rPr>
              <w:t>1000</w:t>
            </w:r>
            <w:r>
              <w:rPr>
                <w:rFonts w:hint="eastAsia" w:ascii="宋体" w:hAnsi="宋体" w:cs="宋体"/>
                <w:color w:val="000000" w:themeColor="text1"/>
                <w:szCs w:val="21"/>
                <w14:textFill>
                  <w14:solidFill>
                    <w14:schemeClr w14:val="tx1"/>
                  </w14:solidFill>
                </w14:textFill>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逾期交工违约金限额：</w:t>
            </w:r>
            <w:r>
              <w:rPr>
                <w:rFonts w:hint="eastAsia" w:ascii="宋体" w:hAnsi="宋体" w:cs="宋体"/>
                <w:b/>
                <w:color w:val="000000" w:themeColor="text1"/>
                <w:szCs w:val="21"/>
                <w:u w:val="single"/>
                <w14:textFill>
                  <w14:solidFill>
                    <w14:schemeClr w14:val="tx1"/>
                  </w14:solidFill>
                </w14:textFill>
              </w:rPr>
              <w:t xml:space="preserve">10 </w:t>
            </w:r>
            <w:r>
              <w:rPr>
                <w:rFonts w:hint="eastAsia" w:ascii="宋体" w:hAnsi="宋体" w:cs="宋体"/>
                <w:color w:val="000000" w:themeColor="text1"/>
                <w:szCs w:val="21"/>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提前交工的奖金：</w:t>
            </w:r>
            <w:r>
              <w:rPr>
                <w:rFonts w:hint="eastAsia" w:ascii="宋体" w:hAnsi="宋体" w:cs="宋体"/>
                <w:b/>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提前交工的奖金限额：</w:t>
            </w:r>
            <w:r>
              <w:rPr>
                <w:rFonts w:hint="eastAsia" w:ascii="宋体" w:hAnsi="宋体" w:cs="宋体"/>
                <w:b/>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承包人提出的合理化建议降低了合同价格或者提高了工程经济效益的，发包人按所节约成本的</w:t>
            </w:r>
            <w:r>
              <w:rPr>
                <w:rFonts w:hint="eastAsia" w:ascii="宋体" w:hAnsi="宋体" w:cs="宋体"/>
                <w:b/>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%或增加收益的</w:t>
            </w:r>
            <w:r>
              <w:rPr>
                <w:rFonts w:hint="eastAsia" w:ascii="宋体" w:hAnsi="宋体" w:cs="宋体"/>
                <w:b/>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484"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w:t>
            </w:r>
          </w:p>
        </w:tc>
        <w:tc>
          <w:tcPr>
            <w:tcW w:w="7426" w:type="dxa"/>
            <w:tcBorders>
              <w:top w:val="single" w:color="auto" w:sz="6" w:space="0"/>
              <w:left w:val="single" w:color="auto" w:sz="6" w:space="0"/>
              <w:bottom w:val="single" w:color="auto" w:sz="12"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本项目合同期内不调价</w:t>
            </w:r>
          </w:p>
        </w:tc>
      </w:tr>
    </w:tbl>
    <w:p>
      <w:pPr>
        <w:jc w:val="right"/>
        <w:rPr>
          <w:rFonts w:ascii="宋体" w:hAnsi="宋体" w:cs="宋体"/>
          <w:color w:val="000000" w:themeColor="text1"/>
          <w:sz w:val="24"/>
          <w14:textFill>
            <w14:solidFill>
              <w14:schemeClr w14:val="tx1"/>
            </w14:solidFill>
          </w14:textFill>
        </w:rPr>
      </w:pPr>
    </w:p>
    <w:p>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续上表</w:t>
      </w:r>
    </w:p>
    <w:tbl>
      <w:tblPr>
        <w:tblStyle w:val="4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12" w:space="0"/>
              <w:left w:val="single" w:color="auto" w:sz="12" w:space="0"/>
              <w:bottom w:val="single" w:color="auto" w:sz="6" w:space="0"/>
              <w:right w:val="single" w:color="auto" w:sz="6" w:space="0"/>
            </w:tcBorders>
            <w:vAlign w:val="center"/>
          </w:tcPr>
          <w:p>
            <w:pPr>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484"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426" w:type="dxa"/>
            <w:tcBorders>
              <w:top w:val="single" w:color="auto" w:sz="12" w:space="0"/>
              <w:left w:val="single" w:color="auto" w:sz="6" w:space="0"/>
              <w:bottom w:val="single" w:color="auto" w:sz="6" w:space="0"/>
              <w:right w:val="single" w:color="auto" w:sz="12"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开工预付款金额：</w:t>
            </w:r>
            <w:r>
              <w:rPr>
                <w:rFonts w:ascii="宋体" w:hAnsi="宋体" w:cs="宋体"/>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材料、设备预付款比例：</w:t>
            </w:r>
            <w:r>
              <w:rPr>
                <w:rFonts w:hint="eastAsia" w:ascii="宋体" w:hAnsi="宋体" w:cs="宋体"/>
                <w:b/>
                <w:color w:val="000000" w:themeColor="text1"/>
                <w:szCs w:val="21"/>
                <w:u w:val="singl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承包人在每个付款周期末向监理人提交进度付款申请单的份数：</w:t>
            </w:r>
            <w:r>
              <w:rPr>
                <w:rFonts w:hint="eastAsia" w:ascii="宋体" w:hAnsi="宋体" w:cs="宋体"/>
                <w:b/>
                <w:color w:val="000000" w:themeColor="text1"/>
                <w:szCs w:val="21"/>
                <w:u w:val="single"/>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17.3.3（1）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进度付款证书最低限额的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17.3.3（2）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b/>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逾期付款违约金的利率：</w:t>
            </w:r>
            <w:r>
              <w:rPr>
                <w:rFonts w:hint="eastAsia" w:ascii="宋体" w:hAnsi="宋体" w:cs="宋体"/>
                <w:b/>
                <w:bCs/>
                <w:color w:val="000000" w:themeColor="text1"/>
                <w:szCs w:val="21"/>
                <w:u w:val="single"/>
                <w14:textFill>
                  <w14:solidFill>
                    <w14:schemeClr w14:val="tx1"/>
                  </w14:solidFill>
                </w14:textFill>
              </w:rPr>
              <w:t>按中国人民银行授权全国银行间同业拆借中心发布的贷款市场报价利率一年期 （ LPR ） 计算（不计复利）</w:t>
            </w:r>
            <w:r>
              <w:rPr>
                <w:rFonts w:hint="eastAsia" w:ascii="宋体" w:hAnsi="宋体" w:cs="宋体"/>
                <w:bCs/>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质量保证金限额：</w:t>
            </w:r>
            <w:r>
              <w:rPr>
                <w:rFonts w:hint="eastAsia" w:ascii="宋体" w:hAnsi="宋体" w:cs="宋体"/>
                <w:color w:val="000000" w:themeColor="text1"/>
                <w:szCs w:val="21"/>
                <w:u w:val="single"/>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的结算审定价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承包人向监理人提交交工付款申请单（包括相关证明材料）的份数：</w:t>
            </w:r>
            <w:r>
              <w:rPr>
                <w:rFonts w:ascii="宋体" w:hAnsi="宋体" w:cs="宋体"/>
                <w:b/>
                <w:color w:val="000000" w:themeColor="text1"/>
                <w:szCs w:val="21"/>
                <w:u w:val="single"/>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17.6.1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承包人向监理人提交最终结清申请单（包括相关证明材料）的份数：</w:t>
            </w:r>
            <w:r>
              <w:rPr>
                <w:rFonts w:ascii="宋体" w:hAnsi="宋体" w:cs="宋体"/>
                <w:b/>
                <w:color w:val="000000" w:themeColor="text1"/>
                <w:szCs w:val="21"/>
                <w:u w:val="single"/>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竣工资料的份数：</w:t>
            </w:r>
            <w:r>
              <w:rPr>
                <w:rFonts w:hint="eastAsia" w:ascii="宋体" w:hAnsi="宋体" w:cs="宋体"/>
                <w:b/>
                <w:color w:val="000000" w:themeColor="text1"/>
                <w:szCs w:val="21"/>
                <w:u w:val="single"/>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单位工程或工程设备是否需投入施工期运行：</w:t>
            </w:r>
            <w:r>
              <w:rPr>
                <w:rFonts w:hint="eastAsia" w:ascii="宋体" w:hAnsi="宋体" w:cs="宋体"/>
                <w:b/>
                <w:color w:val="000000" w:themeColor="text1"/>
                <w:szCs w:val="21"/>
                <w:u w:val="single"/>
                <w14:textFill>
                  <w14:solidFill>
                    <w14:schemeClr w14:val="tx1"/>
                  </w14:solidFill>
                </w14:textFill>
              </w:rPr>
              <w:t>否</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如单位工程或工程设备需要进行施工期运行，需要施工期运行的单位工程或工程设备规定如下：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18.6.1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本工程及工程设备是否进行试运行：</w:t>
            </w:r>
            <w:r>
              <w:rPr>
                <w:rFonts w:hint="eastAsia" w:ascii="宋体" w:hAnsi="宋体" w:cs="宋体"/>
                <w:b/>
                <w:color w:val="000000" w:themeColor="text1"/>
                <w:szCs w:val="21"/>
                <w:u w:val="single"/>
                <w14:textFill>
                  <w14:solidFill>
                    <w14:schemeClr w14:val="tx1"/>
                  </w14:solidFill>
                </w14:textFill>
              </w:rPr>
              <w:t>否</w:t>
            </w:r>
          </w:p>
          <w:p>
            <w:pPr>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如本工程及工程设备需要进行试运行，试运行的具体规定如下：</w:t>
            </w:r>
            <w:r>
              <w:rPr>
                <w:rFonts w:hint="eastAsia" w:ascii="宋体" w:hAnsi="宋体" w:cs="宋体"/>
                <w:color w:val="000000" w:themeColor="text1"/>
                <w:szCs w:val="21"/>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19.7</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保修期：自实际交工日期起计算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u w:val="single"/>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建筑工程一切险的保险费率：</w:t>
            </w:r>
            <w:r>
              <w:rPr>
                <w:rFonts w:hint="eastAsia" w:ascii="宋体" w:hAnsi="宋体" w:cs="宋体"/>
                <w:b/>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20.4.2</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第三者责任险的最低投保金额：</w:t>
            </w:r>
            <w:r>
              <w:rPr>
                <w:rFonts w:ascii="宋体" w:hAnsi="宋体" w:cs="宋体"/>
                <w:b/>
                <w:color w:val="000000" w:themeColor="text1"/>
                <w:szCs w:val="21"/>
                <w:u w:val="single"/>
                <w14:textFill>
                  <w14:solidFill>
                    <w14:schemeClr w14:val="tx1"/>
                  </w14:solidFill>
                </w14:textFill>
              </w:rPr>
              <w:t>100</w:t>
            </w:r>
            <w:r>
              <w:rPr>
                <w:rFonts w:hint="eastAsia" w:ascii="宋体" w:hAnsi="宋体" w:cs="宋体"/>
                <w:color w:val="000000" w:themeColor="text1"/>
                <w:szCs w:val="21"/>
                <w14:textFill>
                  <w14:solidFill>
                    <w14:schemeClr w14:val="tx1"/>
                  </w14:solidFill>
                </w14:textFill>
              </w:rPr>
              <w:t>万元，事故次数不限(不计免赔额)</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保险费率：</w:t>
            </w:r>
            <w:r>
              <w:rPr>
                <w:rFonts w:hint="eastAsia" w:ascii="宋体" w:hAnsi="宋体" w:cs="宋体"/>
                <w:b/>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1484"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7426" w:type="dxa"/>
            <w:tcBorders>
              <w:top w:val="single" w:color="auto" w:sz="6" w:space="0"/>
              <w:left w:val="single" w:color="auto" w:sz="6" w:space="0"/>
              <w:bottom w:val="single" w:color="auto" w:sz="12" w:space="0"/>
              <w:right w:val="single" w:color="auto" w:sz="12" w:space="0"/>
            </w:tcBorders>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争议的最终解决方式：</w:t>
            </w:r>
            <w:r>
              <w:rPr>
                <w:rFonts w:hint="eastAsia" w:ascii="宋体" w:hAnsi="宋体" w:cs="宋体"/>
                <w:b/>
                <w:bCs/>
                <w:color w:val="000000" w:themeColor="text1"/>
                <w:szCs w:val="21"/>
                <w:u w:val="single"/>
                <w14:textFill>
                  <w14:solidFill>
                    <w14:schemeClr w14:val="tx1"/>
                  </w14:solidFill>
                </w14:textFill>
              </w:rPr>
              <w:t>向工程所在地三门县人民法院起诉</w:t>
            </w:r>
            <w:r>
              <w:rPr>
                <w:rFonts w:hint="eastAsia" w:ascii="宋体" w:hAnsi="宋体" w:cs="宋体"/>
                <w:color w:val="000000" w:themeColor="text1"/>
                <w:szCs w:val="21"/>
                <w14:textFill>
                  <w14:solidFill>
                    <w14:schemeClr w14:val="tx1"/>
                  </w14:solidFill>
                </w14:textFill>
              </w:rPr>
              <w:t>。</w:t>
            </w:r>
          </w:p>
        </w:tc>
      </w:tr>
    </w:tbl>
    <w:p>
      <w:pPr>
        <w:rPr>
          <w:rFonts w:ascii="宋体" w:hAnsi="宋体" w:cs="宋体"/>
          <w:color w:val="000000" w:themeColor="text1"/>
          <w:sz w:val="24"/>
          <w14:textFill>
            <w14:solidFill>
              <w14:schemeClr w14:val="tx1"/>
            </w14:solidFill>
          </w14:textFill>
        </w:rPr>
      </w:pPr>
    </w:p>
    <w:p>
      <w:pPr>
        <w:spacing w:before="240" w:after="24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项目专用合同条款</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说明：本“项目专用合同条款”根据本项目的特点和实际需要，是对“通用合同条款”、“A.公路工程专用合同条款”的补充、细化或约定，应对照“通用合同条款”、“A.公路工程专用 合同条款”中同一编号的条款一起阅读和理解。</w:t>
      </w:r>
    </w:p>
    <w:p>
      <w:pPr>
        <w:spacing w:line="400" w:lineRule="exact"/>
        <w:ind w:firstLine="422" w:firstLineChars="200"/>
        <w:rPr>
          <w:rFonts w:ascii="宋体" w:hAnsi="宋体" w:cs="宋体"/>
          <w:b/>
          <w:bCs/>
          <w:color w:val="000000" w:themeColor="text1"/>
          <w:szCs w:val="21"/>
          <w14:textFill>
            <w14:solidFill>
              <w14:schemeClr w14:val="tx1"/>
            </w14:solidFill>
          </w14:textFill>
        </w:rPr>
      </w:pPr>
      <w:bookmarkStart w:id="985" w:name="_Toc23111"/>
      <w:r>
        <w:rPr>
          <w:rFonts w:hint="eastAsia" w:ascii="宋体" w:hAnsi="宋体" w:cs="宋体"/>
          <w:b/>
          <w:bCs/>
          <w:color w:val="000000" w:themeColor="text1"/>
          <w:szCs w:val="21"/>
          <w14:textFill>
            <w14:solidFill>
              <w14:schemeClr w14:val="tx1"/>
            </w14:solidFill>
          </w14:textFill>
        </w:rPr>
        <w:t>1. 一般约定</w:t>
      </w:r>
      <w:bookmarkEnd w:id="985"/>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986" w:name="_Toc4340"/>
      <w:r>
        <w:rPr>
          <w:rFonts w:hint="eastAsia" w:ascii="宋体" w:hAnsi="宋体" w:cs="宋体"/>
          <w:color w:val="000000" w:themeColor="text1"/>
          <w:szCs w:val="21"/>
          <w14:textFill>
            <w14:solidFill>
              <w14:schemeClr w14:val="tx1"/>
            </w14:solidFill>
          </w14:textFill>
        </w:rPr>
        <w:t>1.1 词语定义</w:t>
      </w:r>
      <w:bookmarkEnd w:id="986"/>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 合同</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公路工程专用合同条款第 1.1.1.8 目细化为：</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1.1.1.8 已标价工程量清单：指构成合同文件组成部分的已标明价格、经算术性错误修正及其他</w:t>
      </w:r>
      <w:r>
        <w:rPr>
          <w:rFonts w:hint="eastAsia" w:ascii="宋体" w:hAnsi="宋体" w:cs="宋体"/>
          <w:color w:val="000000" w:themeColor="text1"/>
          <w14:textFill>
            <w14:solidFill>
              <w14:schemeClr w14:val="tx1"/>
            </w14:solidFill>
          </w14:textFill>
        </w:rPr>
        <w:t>错误修正(如有)且承包人已确认的最终的工程量清单，包括工程量清单说明、投标报价说明、其他说明及工程量清单预算审核书中各项表格。</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 合同当事人和人员</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通用合同条款 1.1.2 项细化为：</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本项目的发包人为：</w:t>
      </w:r>
      <w:r>
        <w:rPr>
          <w:rFonts w:hint="eastAsia" w:ascii="宋体" w:hAnsi="宋体" w:cs="宋体"/>
          <w:color w:val="000000" w:themeColor="text1"/>
          <w:u w:val="single"/>
          <w:lang w:eastAsia="zh-CN"/>
          <w14:textFill>
            <w14:solidFill>
              <w14:schemeClr w14:val="tx1"/>
            </w14:solidFill>
          </w14:textFill>
        </w:rPr>
        <w:t>三门县浦坝港镇人民政府</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spacing w:line="400" w:lineRule="exact"/>
        <w:ind w:firstLine="420" w:firstLineChars="200"/>
        <w:rPr>
          <w:rFonts w:ascii="宋体" w:hAnsi="宋体" w:cs="宋体"/>
          <w:color w:val="000000" w:themeColor="text1"/>
          <w14:textFill>
            <w14:solidFill>
              <w14:schemeClr w14:val="tx1"/>
            </w14:solidFill>
          </w14:textFill>
        </w:rPr>
      </w:pPr>
      <w:bookmarkStart w:id="987" w:name="_Toc19438"/>
      <w:r>
        <w:rPr>
          <w:rFonts w:hint="eastAsia" w:ascii="宋体" w:hAnsi="宋体" w:cs="宋体"/>
          <w:color w:val="000000" w:themeColor="text1"/>
          <w14:textFill>
            <w14:solidFill>
              <w14:schemeClr w14:val="tx1"/>
            </w14:solidFill>
          </w14:textFill>
        </w:rPr>
        <w:t>1.4 合同文件的优先顺序</w:t>
      </w:r>
      <w:bookmarkEnd w:id="987"/>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公路工程专用合同条款 1.4 款约定为：</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组成合同的各项文件应互相解释，互为说明。解释合同文件的优先顺序如下：</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(1)合同协议书及各种合同附件(含廉政合同、安全生产合同、工程质量责任合同、工程资金监管协议及评标期间和合同谈判过程中的澄清文件和补充资料)；</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(2)中标通知书；</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(3)投标函及投标函附录；</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(4)项目专用合同条款（含招标文件补遗书中与此有关的部分）；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(5)公路工程专用合同条款；</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(6)通用合同条款；</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(7)项目专用技术规范（含招标文件补遗书中与此有关的部分）；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(8)通用技术规范；</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(9)图纸（含招标文件补遗书中与此有关的部分）；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(10)已标价工程量清单和预算审核书；</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(11)承包人有关人员、设备投入、财务能力的承诺及投标文件中的施工组织设计；</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构成本合同组成部分的其它文件。</w:t>
      </w:r>
    </w:p>
    <w:p>
      <w:pPr>
        <w:spacing w:line="400" w:lineRule="exact"/>
        <w:ind w:firstLine="420" w:firstLineChars="200"/>
        <w:rPr>
          <w:rFonts w:ascii="宋体" w:hAnsi="宋体" w:cs="宋体"/>
          <w:color w:val="000000" w:themeColor="text1"/>
          <w14:textFill>
            <w14:solidFill>
              <w14:schemeClr w14:val="tx1"/>
            </w14:solidFill>
          </w14:textFill>
        </w:rPr>
      </w:pPr>
      <w:bookmarkStart w:id="988" w:name="_Toc27569"/>
      <w:r>
        <w:rPr>
          <w:rFonts w:hint="eastAsia" w:ascii="宋体" w:hAnsi="宋体" w:cs="宋体"/>
          <w:color w:val="000000" w:themeColor="text1"/>
          <w14:textFill>
            <w14:solidFill>
              <w14:schemeClr w14:val="tx1"/>
            </w14:solidFill>
          </w14:textFill>
        </w:rPr>
        <w:t>1.6 图纸和承包人文件</w:t>
      </w:r>
      <w:bookmarkEnd w:id="988"/>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1.6.3 图纸的修改</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通用合同条款 1.6.3 项细化为：</w:t>
      </w:r>
    </w:p>
    <w:p>
      <w:pPr>
        <w:spacing w:line="400" w:lineRule="exact"/>
        <w:ind w:firstLine="420" w:firstLineChars="200"/>
        <w:rPr>
          <w:rFonts w:ascii="宋体" w:hAnsi="宋体" w:cs="宋体"/>
          <w:color w:val="000000" w:themeColor="text1"/>
          <w14:textFill>
            <w14:solidFill>
              <w14:schemeClr w14:val="tx1"/>
            </w14:solidFill>
          </w14:textFill>
        </w:rPr>
      </w:pPr>
      <w:bookmarkStart w:id="989" w:name="_Toc4422"/>
      <w:r>
        <w:rPr>
          <w:rFonts w:hint="eastAsia" w:ascii="宋体" w:hAnsi="宋体" w:cs="宋体"/>
          <w:color w:val="000000" w:themeColor="text1"/>
          <w14:textFill>
            <w14:solidFill>
              <w14:schemeClr w14:val="tx1"/>
            </w14:solidFill>
          </w14:textFill>
        </w:rPr>
        <w:t>图纸需要修改和补充的，应由监理人取得发包人同意后，在该工程或工程相应部位施工前的 7 天内签发图纸修改图和补充图给承包人。承包人应按修改和补充后的图纸施工。</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 联络</w:t>
      </w:r>
      <w:bookmarkEnd w:id="989"/>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通用合同条款第 1.7.2 项约定为：</w:t>
      </w:r>
    </w:p>
    <w:p>
      <w:pPr>
        <w:pStyle w:val="74"/>
        <w:numPr>
          <w:ilvl w:val="2"/>
          <w:numId w:val="7"/>
        </w:numPr>
        <w:spacing w:line="400" w:lineRule="exact"/>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 1.7.1 项中的通知、批准、证明、证书、指示、要求、请求、同意、意见、确定和决定等来往函件，均应在函件发出 24 小时内送达指定地点和接收人，并办理签收手续。</w:t>
      </w:r>
    </w:p>
    <w:p>
      <w:pPr>
        <w:pStyle w:val="4"/>
        <w:spacing w:before="360" w:beforeLines="150" w:after="480" w:line="400" w:lineRule="exact"/>
        <w:jc w:val="left"/>
        <w:rPr>
          <w:color w:val="000000" w:themeColor="text1"/>
          <w:sz w:val="28"/>
          <w:szCs w:val="28"/>
          <w14:textFill>
            <w14:solidFill>
              <w14:schemeClr w14:val="tx1"/>
            </w14:solidFill>
          </w14:textFill>
        </w:rPr>
      </w:pPr>
      <w:bookmarkStart w:id="990" w:name="_Toc526794396"/>
      <w:r>
        <w:rPr>
          <w:rFonts w:hint="eastAsia"/>
          <w:color w:val="000000" w:themeColor="text1"/>
          <w:sz w:val="28"/>
          <w:szCs w:val="28"/>
          <w14:textFill>
            <w14:solidFill>
              <w14:schemeClr w14:val="tx1"/>
            </w14:solidFill>
          </w14:textFill>
        </w:rPr>
        <w:t>2. 发包人义务</w:t>
      </w:r>
      <w:bookmarkEnd w:id="990"/>
    </w:p>
    <w:p>
      <w:pPr>
        <w:spacing w:line="400" w:lineRule="exact"/>
        <w:ind w:firstLine="420" w:firstLineChars="200"/>
        <w:rPr>
          <w:color w:val="000000" w:themeColor="text1"/>
          <w14:textFill>
            <w14:solidFill>
              <w14:schemeClr w14:val="tx1"/>
            </w14:solidFill>
          </w14:textFill>
        </w:rPr>
      </w:pPr>
      <w:bookmarkStart w:id="991" w:name="_Toc179632648"/>
      <w:bookmarkStart w:id="992" w:name="_Toc152042408"/>
      <w:bookmarkStart w:id="993" w:name="_Toc19985"/>
      <w:bookmarkStart w:id="994" w:name="_Toc458406030"/>
      <w:bookmarkStart w:id="995" w:name="_Toc144974598"/>
      <w:bookmarkStart w:id="996" w:name="_Toc152045630"/>
      <w:bookmarkStart w:id="997" w:name="_Toc2053"/>
      <w:bookmarkStart w:id="998" w:name="_Toc13841"/>
      <w:bookmarkStart w:id="999" w:name="_Toc247643366"/>
      <w:r>
        <w:rPr>
          <w:rFonts w:hint="eastAsia"/>
          <w:color w:val="000000" w:themeColor="text1"/>
          <w14:textFill>
            <w14:solidFill>
              <w14:schemeClr w14:val="tx1"/>
            </w14:solidFill>
          </w14:textFill>
        </w:rPr>
        <w:t>2.6 支付合同价款</w:t>
      </w:r>
      <w:bookmarkEnd w:id="991"/>
      <w:bookmarkEnd w:id="992"/>
      <w:bookmarkEnd w:id="993"/>
      <w:bookmarkEnd w:id="994"/>
      <w:bookmarkEnd w:id="995"/>
      <w:bookmarkEnd w:id="996"/>
      <w:bookmarkEnd w:id="997"/>
      <w:bookmarkEnd w:id="998"/>
      <w:bookmarkEnd w:id="999"/>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本款</w:t>
      </w:r>
      <w:r>
        <w:rPr>
          <w:color w:val="000000" w:themeColor="text1"/>
          <w14:textFill>
            <w14:solidFill>
              <w14:schemeClr w14:val="tx1"/>
            </w14:solidFill>
          </w14:textFill>
        </w:rPr>
        <w:t>补充：</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发</w:t>
      </w:r>
      <w:r>
        <w:rPr>
          <w:color w:val="000000" w:themeColor="text1"/>
          <w14:textFill>
            <w14:solidFill>
              <w14:schemeClr w14:val="tx1"/>
            </w14:solidFill>
          </w14:textFill>
        </w:rPr>
        <w:t>包人应按照承包人提供的人工费用数额，将应支付工程款中的人工费单独拨付到承包人在项目所</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地开设的农民工工</w:t>
      </w:r>
      <w:r>
        <w:rPr>
          <w:rFonts w:hint="eastAsia"/>
          <w:color w:val="000000" w:themeColor="text1"/>
          <w14:textFill>
            <w14:solidFill>
              <w14:schemeClr w14:val="tx1"/>
            </w14:solidFill>
          </w14:textFill>
        </w:rPr>
        <w:t>资</w:t>
      </w:r>
      <w:r>
        <w:rPr>
          <w:color w:val="000000" w:themeColor="text1"/>
          <w14:textFill>
            <w14:solidFill>
              <w14:schemeClr w14:val="tx1"/>
            </w14:solidFill>
          </w14:textFill>
        </w:rPr>
        <w:t>（劳务费）专用帐户。</w:t>
      </w:r>
    </w:p>
    <w:p>
      <w:pPr>
        <w:pStyle w:val="4"/>
        <w:spacing w:before="360" w:beforeLines="150" w:after="480" w:line="400" w:lineRule="exact"/>
        <w:jc w:val="left"/>
        <w:rPr>
          <w:color w:val="000000" w:themeColor="text1"/>
          <w:sz w:val="28"/>
          <w:szCs w:val="28"/>
          <w14:textFill>
            <w14:solidFill>
              <w14:schemeClr w14:val="tx1"/>
            </w14:solidFill>
          </w14:textFill>
        </w:rPr>
      </w:pPr>
      <w:bookmarkStart w:id="1000" w:name="_Toc27935"/>
      <w:r>
        <w:rPr>
          <w:rFonts w:hint="eastAsia"/>
          <w:color w:val="000000" w:themeColor="text1"/>
          <w:sz w:val="28"/>
          <w:szCs w:val="28"/>
          <w14:textFill>
            <w14:solidFill>
              <w14:schemeClr w14:val="tx1"/>
            </w14:solidFill>
          </w14:textFill>
        </w:rPr>
        <w:t>4. 承包人</w:t>
      </w:r>
      <w:bookmarkEnd w:id="1000"/>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1001" w:name="_Toc8761"/>
      <w:r>
        <w:rPr>
          <w:rFonts w:hint="eastAsia" w:ascii="宋体" w:hAnsi="宋体" w:cs="宋体"/>
          <w:color w:val="000000" w:themeColor="text1"/>
          <w:szCs w:val="21"/>
          <w14:textFill>
            <w14:solidFill>
              <w14:schemeClr w14:val="tx1"/>
            </w14:solidFill>
          </w14:textFill>
        </w:rPr>
        <w:t>4.1 承包人的一般义务</w:t>
      </w:r>
      <w:bookmarkEnd w:id="1001"/>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4.1.3 完成各项承包工作</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通用合同条款 4.1.3 项细化为：</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（1）承包人应按合同约定以及监理人根据第 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承包人应在签订合同协议书后 14 天内为本合同实施设立现场项目经理部，该项目经理部应成为承包人授权的代理人或代表的合法机构，承包人应保证该项目经理部履行职责直至合同期满为止。</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针对本项目施工地点的水文、地质、气象等情况.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承包人用电、用水、进场道路应由承包人自行调查解决；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4.1.10 其他义务</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本项第4.1.10（2）目细化为：</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（2）承包人</w:t>
      </w:r>
      <w:r>
        <w:rPr>
          <w:rFonts w:hint="eastAsia" w:ascii="宋体" w:hAnsi="宋体" w:cs="宋体"/>
          <w:color w:val="000000" w:themeColor="text1"/>
          <w:szCs w:val="21"/>
          <w14:textFill>
            <w14:solidFill>
              <w14:schemeClr w14:val="tx1"/>
            </w14:solidFill>
          </w14:textFill>
        </w:rPr>
        <w:t>按三人社[2019]41 号关于印发三门县建设领域民工工资管理办法（试行）的实施意见及浙建[2020]7号关于在全省工程建设领域改革保证金制度的通知执行。</w:t>
      </w:r>
      <w:r>
        <w:rPr>
          <w:rFonts w:ascii="宋体" w:hAnsi="宋体" w:cs="宋体"/>
          <w:color w:val="000000" w:themeColor="text1"/>
          <w:szCs w:val="21"/>
          <w14:textFill>
            <w14:solidFill>
              <w14:schemeClr w14:val="tx1"/>
            </w14:solidFill>
          </w14:textFill>
        </w:rPr>
        <w:t>承包人应严格遵照国家有关法律、法规和政策，及时解决工程中的各种经济纠纷及民工工资等问题。若由此发生民工上访、围堵发包人或政府部门的办公场所等事件，其项目经理或承包单位有关负责人在接到通知后，须</w:t>
      </w: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 xml:space="preserve"> 小时之内赶到事发地点，及时处理好相关事宜，否则，所造成的经济损失及一切责任由承包人承担。</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工资支付表应如实记录支付单位、支付时间、支付对象、支付数额、支付对象的身份证号和签字等信息。民工花名册和工资支付表应报监理人备查，支付信息要按照相关规定进行公示。</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在本工程中，发包人应将工资性工程进度款拨付到承包人开设的农民工工资专用账户，承包人应确保专款专用，根据《关于在全省工程建设领域改革保证金制度的通知》（浙建【2020】7号）的规定，工资性工程款为每月计量工程款的15%，具体操作办法详见《台州市交通建设领域农民工工资支付监督管理暂行办法》和《台州市交通建设领域农民工工资支付分账管理实施细则》的通知，承包人还应严格执行《国务院办公厅关于全面治理拖欠农民工工资问题的意见》（国办发〔2016〕1号）、《浙江省企业工资支付管理办法》（浙江省人民政府令第353号）、《关于加强工程建设领域农民工工资支付监督管理的通知》（浙防欠薪发［2017］4号）、关于印发《浙江省交通建设领域“浙江无欠薪”行动专项治理方案》的通知（浙交［2017］145号）、关于印发《台州市交通建设领域“台州无欠薪”行动专项治理方案》的通知（台交［2017］210号）</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《关于进一步落实交通建设领域施工企业农民工记工考勤卡等事宜的通知》（浙交［2009］39号）</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关于印发《</w:t>
      </w:r>
      <w:r>
        <w:rPr>
          <w:rFonts w:hint="eastAsia" w:ascii="宋体" w:hAnsi="宋体" w:cs="宋体"/>
          <w:color w:val="000000" w:themeColor="text1"/>
          <w:szCs w:val="21"/>
          <w14:textFill>
            <w14:solidFill>
              <w14:schemeClr w14:val="tx1"/>
            </w14:solidFill>
          </w14:textFill>
        </w:rPr>
        <w:t>浙江省工程建设领域农民工工资保证金管理实施细则</w:t>
      </w:r>
      <w:r>
        <w:rPr>
          <w:rFonts w:ascii="宋体" w:hAnsi="宋体" w:cs="宋体"/>
          <w:color w:val="000000" w:themeColor="text1"/>
          <w:szCs w:val="21"/>
          <w14:textFill>
            <w14:solidFill>
              <w14:schemeClr w14:val="tx1"/>
            </w14:solidFill>
          </w14:textFill>
        </w:rPr>
        <w:t>》的通知（</w:t>
      </w:r>
      <w:r>
        <w:rPr>
          <w:rFonts w:hint="eastAsia" w:ascii="宋体" w:hAnsi="宋体" w:cs="宋体"/>
          <w:color w:val="000000" w:themeColor="text1"/>
          <w:szCs w:val="21"/>
          <w14:textFill>
            <w14:solidFill>
              <w14:schemeClr w14:val="tx1"/>
            </w14:solidFill>
          </w14:textFill>
        </w:rPr>
        <w:t>浙人社发</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22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13</w:t>
      </w:r>
      <w:r>
        <w:rPr>
          <w:rFonts w:ascii="宋体" w:hAnsi="宋体" w:cs="宋体"/>
          <w:color w:val="000000" w:themeColor="text1"/>
          <w:szCs w:val="21"/>
          <w14:textFill>
            <w14:solidFill>
              <w14:schemeClr w14:val="tx1"/>
            </w14:solidFill>
          </w14:textFill>
        </w:rPr>
        <w:t>号）</w:t>
      </w:r>
      <w:r>
        <w:rPr>
          <w:rFonts w:hint="eastAsia" w:ascii="宋体" w:hAnsi="宋体" w:cs="宋体"/>
          <w:color w:val="000000" w:themeColor="text1"/>
          <w:szCs w:val="21"/>
          <w14:textFill>
            <w14:solidFill>
              <w14:schemeClr w14:val="tx1"/>
            </w14:solidFill>
          </w14:textFill>
        </w:rPr>
        <w:t>和</w:t>
      </w:r>
      <w:r>
        <w:rPr>
          <w:rFonts w:ascii="宋体" w:hAnsi="宋体" w:cs="宋体"/>
          <w:color w:val="000000" w:themeColor="text1"/>
          <w:szCs w:val="21"/>
          <w14:textFill>
            <w14:solidFill>
              <w14:schemeClr w14:val="tx1"/>
            </w14:solidFill>
          </w14:textFill>
        </w:rPr>
        <w:t>关于印发《</w:t>
      </w:r>
      <w:r>
        <w:rPr>
          <w:rFonts w:hint="eastAsia" w:ascii="宋体" w:hAnsi="宋体" w:cs="宋体"/>
          <w:color w:val="000000" w:themeColor="text1"/>
          <w:szCs w:val="21"/>
          <w14:textFill>
            <w14:solidFill>
              <w14:schemeClr w14:val="tx1"/>
            </w14:solidFill>
          </w14:textFill>
        </w:rPr>
        <w:t>浙江省工程建设领域农民工工资专用账户管理实施细则</w:t>
      </w:r>
      <w:r>
        <w:rPr>
          <w:rFonts w:ascii="宋体" w:hAnsi="宋体" w:cs="宋体"/>
          <w:color w:val="000000" w:themeColor="text1"/>
          <w:szCs w:val="21"/>
          <w14:textFill>
            <w14:solidFill>
              <w14:schemeClr w14:val="tx1"/>
            </w14:solidFill>
          </w14:textFill>
        </w:rPr>
        <w:t>》的通知（</w:t>
      </w:r>
      <w:r>
        <w:rPr>
          <w:rFonts w:hint="eastAsia" w:ascii="宋体" w:hAnsi="宋体" w:cs="宋体"/>
          <w:color w:val="000000" w:themeColor="text1"/>
          <w:szCs w:val="21"/>
          <w14:textFill>
            <w14:solidFill>
              <w14:schemeClr w14:val="tx1"/>
            </w14:solidFill>
          </w14:textFill>
        </w:rPr>
        <w:t>浙人社发</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22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14</w:t>
      </w:r>
      <w:r>
        <w:rPr>
          <w:rFonts w:ascii="宋体" w:hAnsi="宋体" w:cs="宋体"/>
          <w:color w:val="000000" w:themeColor="text1"/>
          <w:szCs w:val="21"/>
          <w14:textFill>
            <w14:solidFill>
              <w14:schemeClr w14:val="tx1"/>
            </w14:solidFill>
          </w14:textFill>
        </w:rPr>
        <w:t>号）。</w:t>
      </w:r>
      <w:r>
        <w:rPr>
          <w:rFonts w:ascii="宋体" w:hAnsi="宋体" w:cs="宋体"/>
          <w:b/>
          <w:color w:val="000000" w:themeColor="text1"/>
          <w:szCs w:val="21"/>
          <w14:textFill>
            <w14:solidFill>
              <w14:schemeClr w14:val="tx1"/>
            </w14:solidFill>
          </w14:textFill>
        </w:rPr>
        <w:t>发包人将在支付第一期开工预付款</w:t>
      </w:r>
      <w:r>
        <w:rPr>
          <w:rFonts w:hint="eastAsia" w:ascii="宋体" w:hAnsi="宋体" w:cs="宋体"/>
          <w:b/>
          <w:color w:val="000000" w:themeColor="text1"/>
          <w:szCs w:val="21"/>
          <w14:textFill>
            <w14:solidFill>
              <w14:schemeClr w14:val="tx1"/>
            </w14:solidFill>
          </w14:textFill>
        </w:rPr>
        <w:t>中的农民工工资支付保证金按浙人社发（2022）13号执行</w:t>
      </w:r>
      <w:r>
        <w:rPr>
          <w:rFonts w:ascii="宋体" w:hAnsi="宋体" w:cs="宋体"/>
          <w:b/>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发包人将实行工资支付保证金差异化缴存。承包人应按照《关于进一步落实交通建设领域施工企业农民工记工考勤卡等事宜的通知》（浙交［2009］39号）的规定，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当在项目部和新闻媒体上分阶段公示工资支付情况，公示期为30天。期满后，承包人无拖欠农民工工资情况的，承包人应会同发包人向</w:t>
      </w:r>
      <w:r>
        <w:rPr>
          <w:rFonts w:hint="eastAsia" w:ascii="宋体" w:hAnsi="宋体" w:cs="宋体"/>
          <w:color w:val="000000" w:themeColor="text1"/>
          <w:szCs w:val="21"/>
          <w14:textFill>
            <w14:solidFill>
              <w14:schemeClr w14:val="tx1"/>
            </w14:solidFill>
          </w14:textFill>
        </w:rPr>
        <w:t>县</w:t>
      </w:r>
      <w:r>
        <w:rPr>
          <w:rFonts w:ascii="宋体" w:hAnsi="宋体" w:cs="宋体"/>
          <w:color w:val="000000" w:themeColor="text1"/>
          <w:szCs w:val="21"/>
          <w14:textFill>
            <w14:solidFill>
              <w14:schemeClr w14:val="tx1"/>
            </w14:solidFill>
          </w14:textFill>
        </w:rPr>
        <w:t>交通行政部门提出返款申请，并填制《退还工资支付保证金申请表》，经当地劳动保障行政部门核签后，开户银行凭此在5日内将保证金转入承包人账户。承包人应加强劳动合同管理，规范公路建设用工行为。不拖欠农民工工资，及时、足额发放农民工工资。</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发包人协助办理的成功与否，不免除根据合同文件规定的承包人的一切责任。</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本款约定的内容如相关部门有最新规定的，按相关部门最新文件执行。</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公路工程专用合同条款 4.1.10 第(4) 目细化为：</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 项目审计、稽查和检查等的配合</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 与本工程项目相关的审计和稽查，承包人应高度重视并委派专人积极予以配合；</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 有关单位对本项目的各种检查等活动，承包人有义务予以积极配合</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并开展各项工作；</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c. 本项目有关的各类统计报表、汇报材料包括交（竣）工验收和项目后评价报告，承包人有义务配合发包人做好编制工作并提供相应的资料；</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d. 承包人应按发包人、监理人和有关文件要求，建立相应的计量、支付和变更台帐</w:t>
      </w:r>
      <w:r>
        <w:rPr>
          <w:rFonts w:hint="eastAsia" w:ascii="宋体" w:hAnsi="宋体" w:cs="宋体"/>
          <w:color w:val="000000" w:themeColor="text1"/>
          <w:szCs w:val="21"/>
          <w14:textFill>
            <w14:solidFill>
              <w14:schemeClr w14:val="tx1"/>
            </w14:solidFill>
          </w14:textFill>
        </w:rPr>
        <w:t>等</w:t>
      </w:r>
      <w:r>
        <w:rPr>
          <w:rFonts w:ascii="宋体" w:hAnsi="宋体" w:cs="宋体"/>
          <w:color w:val="000000" w:themeColor="text1"/>
          <w:szCs w:val="21"/>
          <w14:textFill>
            <w14:solidFill>
              <w14:schemeClr w14:val="tx1"/>
            </w14:solidFill>
          </w14:textFill>
        </w:rPr>
        <w:t>，并保持其持续有效</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直至工程决算完成；</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e. 承包人应按发包人要求</w:t>
      </w:r>
      <w:r>
        <w:rPr>
          <w:rFonts w:hint="eastAsia" w:ascii="宋体" w:hAnsi="宋体" w:cs="宋体"/>
          <w:color w:val="000000" w:themeColor="text1"/>
          <w:szCs w:val="21"/>
          <w14:textFill>
            <w14:solidFill>
              <w14:schemeClr w14:val="tx1"/>
            </w14:solidFill>
          </w14:textFill>
        </w:rPr>
        <w:t>，将砂、石料等地材的供货合同等资料提供给发包人和监理人备案。取材的料场和货源应保持相对固定，承包人及其供货人应接受发包人和监理人的监督检查，如有变更应及时通知发包人和监理人并送交相应有关资料。监理人征得发包人同意后有权要求承包人更换不符合要求的料场，承包人必须接受。</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 与第三方检测、监控单位的配合</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a.承包人必须积极配合、协助第三方检测、监控单位的工作，</w:t>
      </w:r>
      <w:r>
        <w:rPr>
          <w:rFonts w:hint="eastAsia" w:ascii="宋体" w:hAnsi="宋体" w:cs="宋体"/>
          <w:color w:val="000000" w:themeColor="text1"/>
          <w:szCs w:val="21"/>
          <w14:textFill>
            <w14:solidFill>
              <w14:schemeClr w14:val="tx1"/>
            </w14:solidFill>
          </w14:textFill>
        </w:rPr>
        <w:t>委派专人协调检测、监控的配合工作；</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b.承包人应熟悉第三方检测、监控单位的检测、监控方案和流程，</w:t>
      </w:r>
      <w:r>
        <w:rPr>
          <w:rFonts w:hint="eastAsia" w:ascii="宋体" w:hAnsi="宋体" w:cs="宋体"/>
          <w:color w:val="000000" w:themeColor="text1"/>
          <w:szCs w:val="21"/>
          <w14:textFill>
            <w14:solidFill>
              <w14:schemeClr w14:val="tx1"/>
            </w14:solidFill>
          </w14:textFill>
        </w:rPr>
        <w:t>并制订配合工作等相应的方案；</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c.施工检测、监控过程中，应在监理人的统一调配下，承包人应尽可能地提供人员、材料、设备的便利，以便施工检测、监控工作顺利的进行；</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d.承包人应参与检测、监控资料的总结与分析工作。</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 地方道路的维护和管理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在施工过程中，必须采取一切措施确保车辆正常通行，做到施工、通车两不误，承包人应针对通车路段的施工特点，提出通车路段的施工维护方案，报监理人批准，并认真组织实施。施工方案和措施应包括：</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a.成立维护、管理组织，负责正常道路维护和交通管理工作；</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b.落实施工措施，根据实际情况合理分段、分幅安排施工，要控制施工长度，维持足够宽度，保持良好平整度，做到排水顺畅，路面无低洼积水，确保车辆能顺利交会，车辆平稳通过；</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c.配备交通管理标志，指定专人维护交通秩序；</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d.加强与交警联系，争取交警参与，建立交通管理制度。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由于承包人措施不力，导致阻车和交通事故频发或损坏地方道路，影响交通安全和正常运行，并造成重大影响，引起索赔，赔偿、诉讼费用及工程拖延或施工费用增加时，应由承包人承担一切责任和费用。</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(7) </w:t>
      </w:r>
      <w:r>
        <w:rPr>
          <w:rFonts w:hint="eastAsia" w:ascii="宋体" w:hAnsi="宋体" w:cs="宋体"/>
          <w:color w:val="000000" w:themeColor="text1"/>
          <w:szCs w:val="21"/>
          <w14:textFill>
            <w14:solidFill>
              <w14:schemeClr w14:val="tx1"/>
            </w14:solidFill>
          </w14:textFill>
        </w:rPr>
        <w:t>凡标段内与现有相关道路有交叉干扰的地段，承包人应在不干扰正常交通运行的前提下，合理安排施工组织计划，采取有效措施保证施工、通行安全，并在必要时会同有关方面疏导现有交通流。施工时涉及交警、路政、公路管理等相关部门时，承包人应主动办理好涉及的相关手续，做好交通影响评价，承包人应将办理相关手续所发生的费用，以及采取的措施而可能发生的全部费用计入投标报价中，发包人将不另行支付。如因承包人采取措施不力，影响既有道路通行正常安全运营而给其他部门或个人造成的一切损失或由于上述原因造成工期的拖延或施工费用的增加，均由承包人自行承担。</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(8) </w:t>
      </w:r>
      <w:r>
        <w:rPr>
          <w:rFonts w:hint="eastAsia" w:ascii="宋体" w:hAnsi="宋体" w:cs="宋体"/>
          <w:color w:val="000000" w:themeColor="text1"/>
          <w:szCs w:val="21"/>
          <w14:textFill>
            <w14:solidFill>
              <w14:schemeClr w14:val="tx1"/>
            </w14:solidFill>
          </w14:textFill>
        </w:rPr>
        <w:t>未经发包人事先批准，承包人不得在任何报纸、商业或技术文献上刊登或披露任何与本合同或与本工程有关的详细资料。</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承包人不应在现场或施工设施上展示或允许展示任何贸易和商业性广告。在工地现场张贴布告，应事先得到监理人的批准，当监理人指示撤除时，应立即执行。</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(9) </w:t>
      </w:r>
      <w:r>
        <w:rPr>
          <w:rFonts w:hint="eastAsia" w:ascii="宋体" w:hAnsi="宋体" w:cs="宋体"/>
          <w:color w:val="000000" w:themeColor="text1"/>
          <w:szCs w:val="21"/>
          <w14:textFill>
            <w14:solidFill>
              <w14:schemeClr w14:val="tx1"/>
            </w14:solidFill>
          </w14:textFill>
        </w:rPr>
        <w:t>工程完工后，承包人所在标段遗留的问题，如(不限于)：河道清理、渣土清运、赔偿等，承包人应积极主动地进行处理和解决，并承担所有费用。如果上述问题特别是与地方有关的遗留问题承包人在发包人规定的期限内不能妥善处理的，发包人有权单独或委托相关单位进行处理，发生的全部费用从承包人保留金中相应扣回，承包人应无条件接受。</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签发交工证书时，承包人应从施工现场清除并运出承包人装备、剩余材料、垃圾及各种临时设施，并保持整个现场及工程整洁，达到监理人认为合格的使用状态。但在缺陷责任期终止之前，承包人有权在现场一定范围内保留为在缺陷责任期内履行本身义务所需的材料、装备及临时设施。</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(10) </w:t>
      </w:r>
      <w:r>
        <w:rPr>
          <w:rFonts w:hint="eastAsia" w:ascii="宋体" w:hAnsi="宋体" w:cs="宋体"/>
          <w:color w:val="000000" w:themeColor="text1"/>
          <w:szCs w:val="21"/>
          <w14:textFill>
            <w14:solidFill>
              <w14:schemeClr w14:val="tx1"/>
            </w14:solidFill>
          </w14:textFill>
        </w:rPr>
        <w:t>承包人应严格遵守路政、水利、环保、国土等有关部门的规定，切实执行安全防护措施，并保证施工安全，严格执行各项环保措施。如果由于承包人未执行有关规定而发生赔偿，一切损失及费用应由承包人自行承担。在承包人撤离时，发包人将根据路政、水利、环保、国土等有关部门出具的损失赔偿证明材料与承包人办理结算手续，否则由此而发生赔偿，将在承包人的保留金中扣除。</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 </w:t>
      </w:r>
      <w:r>
        <w:rPr>
          <w:rFonts w:hint="eastAsia" w:ascii="宋体" w:hAnsi="宋体" w:cs="宋体"/>
          <w:color w:val="000000" w:themeColor="text1"/>
          <w:szCs w:val="21"/>
          <w14:textFill>
            <w14:solidFill>
              <w14:schemeClr w14:val="tx1"/>
            </w14:solidFill>
          </w14:textFill>
        </w:rPr>
        <w:t>制定工地规则</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承包人进驻施工现场后三天内，应根据本条款要求制定工地规则并报监理人审查批准，告示全体工作人员在工程实施过程中切实遵守。工地规则应包括但不限于下列内容：</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a.安全保卫制度；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b.工程安全制度；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c.工地出入管理制度；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d.环境卫生制度；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e.防火制度；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f.周围及邻近环境保护规则；</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g.社会治安、计划生育管理制度；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h.农民工管理制度。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(12) </w:t>
      </w:r>
      <w:r>
        <w:rPr>
          <w:rFonts w:hint="eastAsia" w:ascii="宋体" w:hAnsi="宋体" w:cs="宋体"/>
          <w:color w:val="000000" w:themeColor="text1"/>
          <w:szCs w:val="21"/>
          <w14:textFill>
            <w14:solidFill>
              <w14:schemeClr w14:val="tx1"/>
            </w14:solidFill>
          </w14:textFill>
        </w:rPr>
        <w:t>在工程施工期间，如遇上级政府或部门下发关于提高工程质量、安全管理及文明施工等工程建设相关文件，承包人应按照文件执行，费用不予增加。</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(13) </w:t>
      </w:r>
      <w:r>
        <w:rPr>
          <w:rFonts w:hint="eastAsia" w:ascii="宋体" w:hAnsi="宋体" w:cs="宋体"/>
          <w:color w:val="000000" w:themeColor="text1"/>
          <w:szCs w:val="21"/>
          <w14:textFill>
            <w14:solidFill>
              <w14:schemeClr w14:val="tx1"/>
            </w14:solidFill>
          </w14:textFill>
        </w:rPr>
        <w:t>承包人对项目图纸资料负有保密义务。</w:t>
      </w:r>
    </w:p>
    <w:p>
      <w:pPr>
        <w:spacing w:line="400" w:lineRule="exact"/>
        <w:ind w:firstLine="420" w:firstLineChars="200"/>
        <w:rPr>
          <w:rFonts w:ascii="宋体" w:hAnsi="宋体" w:cs="宋体"/>
          <w:bCs/>
          <w:color w:val="000000" w:themeColor="text1"/>
          <w:szCs w:val="21"/>
          <w:lang w:val="zh-CN"/>
          <w14:textFill>
            <w14:solidFill>
              <w14:schemeClr w14:val="tx1"/>
            </w14:solidFill>
          </w14:textFill>
        </w:rPr>
      </w:pPr>
      <w:bookmarkStart w:id="1002" w:name="_Toc452301301"/>
      <w:r>
        <w:rPr>
          <w:rFonts w:ascii="宋体" w:hAnsi="宋体" w:cs="宋体"/>
          <w:bCs/>
          <w:color w:val="000000" w:themeColor="text1"/>
          <w:szCs w:val="21"/>
          <w:lang w:val="zh-CN"/>
          <w14:textFill>
            <w14:solidFill>
              <w14:schemeClr w14:val="tx1"/>
            </w14:solidFill>
          </w14:textFill>
        </w:rPr>
        <w:t>4.3 分包</w:t>
      </w:r>
      <w:bookmarkEnd w:id="1002"/>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本项目不允许分包。</w:t>
      </w:r>
    </w:p>
    <w:p>
      <w:pPr>
        <w:spacing w:line="400" w:lineRule="exact"/>
        <w:ind w:firstLine="420" w:firstLineChars="200"/>
        <w:rPr>
          <w:rFonts w:ascii="宋体" w:hAnsi="宋体" w:cs="宋体"/>
          <w:b/>
          <w:bCs/>
          <w:color w:val="000000" w:themeColor="text1"/>
          <w:szCs w:val="21"/>
          <w:lang w:val="zh-CN"/>
          <w14:textFill>
            <w14:solidFill>
              <w14:schemeClr w14:val="tx1"/>
            </w14:solidFill>
          </w14:textFill>
        </w:rPr>
      </w:pPr>
      <w:bookmarkStart w:id="1003" w:name="_Toc452301302"/>
      <w:r>
        <w:rPr>
          <w:rFonts w:hint="eastAsia" w:ascii="宋体" w:hAnsi="宋体" w:cs="宋体"/>
          <w:bCs/>
          <w:color w:val="000000" w:themeColor="text1"/>
          <w:szCs w:val="21"/>
          <w:lang w:val="zh-CN"/>
          <w14:textFill>
            <w14:solidFill>
              <w14:schemeClr w14:val="tx1"/>
            </w14:solidFill>
          </w14:textFill>
        </w:rPr>
        <w:t>4.5承包人项目经理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通用合同条款第4.5.3项细化：</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承包人为履行合同发出的一切函件均应盖有承包人授权的施工场地管理机构章，并由承包人项目经理或其授权代表签字。</w:t>
      </w:r>
    </w:p>
    <w:p>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承包人项目经理应当按《关于印发&lt;注册建造师施工管理签章文件目录&gt;(试行)的通知》(建市[2008]42号)的规定，在建设工程施工管理相关文件上签字并加盖执业印章。</w:t>
      </w:r>
    </w:p>
    <w:p>
      <w:pPr>
        <w:spacing w:line="400" w:lineRule="exact"/>
        <w:ind w:firstLine="420" w:firstLineChars="200"/>
        <w:rPr>
          <w:rFonts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4.6 承包人人员的管理</w:t>
      </w:r>
      <w:bookmarkEnd w:id="1003"/>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公路工程专用合同条款 4.6 款补充第 4.6.6 项～第 4.6.8 项：</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4.6.6 承包人的所有管理、施工人员（包括分包队伍）需着统一的明显标志服，夜间须为反光标志服，同时须符合相关安全管理的规定，并按不同岗位佩证上岗。</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4.6.7承包人项目经理及主要管理人员的出勤需进行考勤。项目经理离开工地必须向监理人书面请假，并经发包人</w:t>
      </w:r>
      <w:r>
        <w:rPr>
          <w:rFonts w:hint="eastAsia" w:ascii="宋体" w:hAnsi="宋体" w:cs="宋体"/>
          <w:color w:val="000000" w:themeColor="text1"/>
          <w:szCs w:val="21"/>
          <w14:textFill>
            <w14:solidFill>
              <w14:schemeClr w14:val="tx1"/>
            </w14:solidFill>
          </w14:textFill>
        </w:rPr>
        <w:t>书面</w:t>
      </w:r>
      <w:r>
        <w:rPr>
          <w:rFonts w:ascii="宋体" w:hAnsi="宋体" w:cs="宋体"/>
          <w:color w:val="000000" w:themeColor="text1"/>
          <w:szCs w:val="21"/>
          <w14:textFill>
            <w14:solidFill>
              <w14:schemeClr w14:val="tx1"/>
            </w14:solidFill>
          </w14:textFill>
        </w:rPr>
        <w:t>同意后才能离开；每月在工地天数应大于20天（特殊情况经监理人批准报发包人同意例外）。</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4.6.8除因管理原因发生重大质量安全事故不适合再任，因生病住院，终止劳动合同关系（需提供相关部门或单位的证明材料）等无法继续履行合同责任和义务、被责令停止执业、羁押或判刑外，承包人不得提出更换项目经理。符合上述要求规定确需更换的，应征得发包人同意，并经有关行业行政主管部门备案，且更换后的人员不得低于原投标承诺人员具有的资格和业绩条件。</w:t>
      </w:r>
    </w:p>
    <w:p>
      <w:pPr>
        <w:spacing w:line="400" w:lineRule="exact"/>
        <w:ind w:firstLine="420" w:firstLineChars="200"/>
        <w:rPr>
          <w:rFonts w:ascii="宋体" w:hAnsi="宋体" w:cs="宋体"/>
          <w:bCs/>
          <w:color w:val="000000" w:themeColor="text1"/>
          <w:szCs w:val="21"/>
          <w:lang w:val="zh-CN"/>
          <w14:textFill>
            <w14:solidFill>
              <w14:schemeClr w14:val="tx1"/>
            </w14:solidFill>
          </w14:textFill>
        </w:rPr>
      </w:pPr>
      <w:bookmarkStart w:id="1004" w:name="_Toc452301303"/>
      <w:r>
        <w:rPr>
          <w:rFonts w:ascii="宋体" w:hAnsi="宋体" w:cs="宋体"/>
          <w:bCs/>
          <w:color w:val="000000" w:themeColor="text1"/>
          <w:szCs w:val="21"/>
          <w:lang w:val="zh-CN"/>
          <w14:textFill>
            <w14:solidFill>
              <w14:schemeClr w14:val="tx1"/>
            </w14:solidFill>
          </w14:textFill>
        </w:rPr>
        <w:t>4.8 保障承包人人员的合法权益</w:t>
      </w:r>
      <w:bookmarkEnd w:id="1004"/>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通用合同条款 4.8.3 项补充：</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承包人应至少设一名具有一定卫生常识及传染病防治知识的卫生督查员，负责承包人所在施工现场的传染病检查、控制、报告。</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spacing w:line="400" w:lineRule="exact"/>
        <w:ind w:firstLine="420" w:firstLineChars="200"/>
        <w:rPr>
          <w:rFonts w:ascii="宋体" w:hAnsi="宋体" w:cs="宋体"/>
          <w:bCs/>
          <w:color w:val="000000" w:themeColor="text1"/>
          <w:szCs w:val="21"/>
          <w:lang w:val="zh-CN"/>
          <w14:textFill>
            <w14:solidFill>
              <w14:schemeClr w14:val="tx1"/>
            </w14:solidFill>
          </w14:textFill>
        </w:rPr>
      </w:pPr>
      <w:bookmarkStart w:id="1005" w:name="_Toc452301304"/>
      <w:r>
        <w:rPr>
          <w:rFonts w:ascii="宋体" w:hAnsi="宋体" w:cs="宋体"/>
          <w:bCs/>
          <w:color w:val="000000" w:themeColor="text1"/>
          <w:szCs w:val="21"/>
          <w:lang w:val="zh-CN"/>
          <w14:textFill>
            <w14:solidFill>
              <w14:schemeClr w14:val="tx1"/>
            </w14:solidFill>
          </w14:textFill>
        </w:rPr>
        <w:t>4.11 不利物质条件</w:t>
      </w:r>
      <w:bookmarkEnd w:id="1005"/>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通用合同条款4.11.1项约定：</w:t>
      </w:r>
    </w:p>
    <w:p>
      <w:pPr>
        <w:spacing w:line="400" w:lineRule="exact"/>
        <w:ind w:firstLine="420" w:firstLineChars="200"/>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14:textFill>
            <w14:solidFill>
              <w14:schemeClr w14:val="tx1"/>
            </w14:solidFill>
          </w14:textFill>
        </w:rPr>
        <w:t>4.11.1 不利物质条件的范围：</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b/>
          <w:i/>
          <w:color w:val="000000" w:themeColor="text1"/>
          <w:szCs w:val="21"/>
          <w:u w:val="single"/>
          <w14:textFill>
            <w14:solidFill>
              <w14:schemeClr w14:val="tx1"/>
            </w14:solidFill>
          </w14:textFill>
        </w:rPr>
        <w:t xml:space="preserve">无 </w:t>
      </w:r>
      <w:r>
        <w:rPr>
          <w:rFonts w:ascii="宋体" w:hAnsi="宋体" w:cs="宋体"/>
          <w:color w:val="000000" w:themeColor="text1"/>
          <w:szCs w:val="21"/>
          <w:u w:val="single"/>
          <w14:textFill>
            <w14:solidFill>
              <w14:schemeClr w14:val="tx1"/>
            </w14:solidFill>
          </w14:textFill>
        </w:rPr>
        <w:t xml:space="preserve">  </w:t>
      </w:r>
    </w:p>
    <w:p>
      <w:pPr>
        <w:keepNext/>
        <w:keepLines/>
        <w:spacing w:before="360" w:beforeLines="150" w:after="480" w:line="400" w:lineRule="exact"/>
        <w:outlineLvl w:val="0"/>
        <w:rPr>
          <w:b/>
          <w:bCs/>
          <w:color w:val="000000" w:themeColor="text1"/>
          <w:kern w:val="44"/>
          <w:sz w:val="28"/>
          <w:szCs w:val="28"/>
          <w:lang w:val="zh-CN" w:eastAsia="zh-CN"/>
          <w14:textFill>
            <w14:solidFill>
              <w14:schemeClr w14:val="tx1"/>
            </w14:solidFill>
          </w14:textFill>
        </w:rPr>
      </w:pPr>
      <w:bookmarkStart w:id="1006" w:name="_Toc452301305"/>
      <w:r>
        <w:rPr>
          <w:b/>
          <w:bCs/>
          <w:color w:val="000000" w:themeColor="text1"/>
          <w:kern w:val="44"/>
          <w:sz w:val="28"/>
          <w:szCs w:val="28"/>
          <w:lang w:val="zh-CN" w:eastAsia="zh-CN"/>
          <w14:textFill>
            <w14:solidFill>
              <w14:schemeClr w14:val="tx1"/>
            </w14:solidFill>
          </w14:textFill>
        </w:rPr>
        <w:t>6. 施工设备和临时设施</w:t>
      </w:r>
      <w:bookmarkEnd w:id="1006"/>
    </w:p>
    <w:p>
      <w:pPr>
        <w:keepNext/>
        <w:keepLines/>
        <w:spacing w:line="400" w:lineRule="exact"/>
        <w:outlineLvl w:val="0"/>
        <w:rPr>
          <w:bCs/>
          <w:color w:val="000000" w:themeColor="text1"/>
          <w:kern w:val="44"/>
          <w:szCs w:val="21"/>
          <w:lang w:val="zh-CN" w:eastAsia="zh-CN"/>
          <w14:textFill>
            <w14:solidFill>
              <w14:schemeClr w14:val="tx1"/>
            </w14:solidFill>
          </w14:textFill>
        </w:rPr>
      </w:pPr>
      <w:bookmarkStart w:id="1007" w:name="_Toc452301306"/>
      <w:r>
        <w:rPr>
          <w:bCs/>
          <w:color w:val="000000" w:themeColor="text1"/>
          <w:kern w:val="44"/>
          <w:szCs w:val="21"/>
          <w:lang w:val="zh-CN" w:eastAsia="zh-CN"/>
          <w14:textFill>
            <w14:solidFill>
              <w14:schemeClr w14:val="tx1"/>
            </w14:solidFill>
          </w14:textFill>
        </w:rPr>
        <w:t>6.3 要求承包人增加或更换施工设备</w:t>
      </w:r>
      <w:bookmarkEnd w:id="1007"/>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 6.3 款细化为：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承诺的施工设备必须按时到达现场，不得拖延、缺少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综合考虑本项目特点、现场情况的特殊性，根据项目总体进度计划和阶段性计划以及发包人的要求合理安排好施工设备进场，必要时应切实加大施工设备、人力、物力的投入并经监理人、发包人审批认可，由此增加的费用认为已包括在投标价之中，发包人不另行支付。</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承包人的机械、车辆必须证（照）齐全，三无车辆</w:t>
      </w:r>
      <w:r>
        <w:rPr>
          <w:rFonts w:hint="eastAsia"/>
          <w:color w:val="000000" w:themeColor="text1"/>
          <w14:textFill>
            <w14:solidFill>
              <w14:schemeClr w14:val="tx1"/>
            </w14:solidFill>
          </w14:textFill>
        </w:rPr>
        <w:t>（包括黄标车）</w:t>
      </w:r>
      <w:r>
        <w:rPr>
          <w:color w:val="000000" w:themeColor="text1"/>
          <w14:textFill>
            <w14:solidFill>
              <w14:schemeClr w14:val="tx1"/>
            </w14:solidFill>
          </w14:textFill>
        </w:rPr>
        <w:t>不得进场。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违反本款规定，则按第22.1款承包人违约处理。</w:t>
      </w:r>
    </w:p>
    <w:p>
      <w:pPr>
        <w:keepNext/>
        <w:keepLines/>
        <w:spacing w:before="360" w:beforeLines="150" w:after="480" w:line="400" w:lineRule="exact"/>
        <w:outlineLvl w:val="0"/>
        <w:rPr>
          <w:b/>
          <w:bCs/>
          <w:color w:val="000000" w:themeColor="text1"/>
          <w:kern w:val="44"/>
          <w:sz w:val="28"/>
          <w:szCs w:val="28"/>
          <w:lang w:val="zh-CN" w:eastAsia="zh-CN"/>
          <w14:textFill>
            <w14:solidFill>
              <w14:schemeClr w14:val="tx1"/>
            </w14:solidFill>
          </w14:textFill>
        </w:rPr>
      </w:pPr>
      <w:bookmarkStart w:id="1008" w:name="_Toc452301307"/>
      <w:r>
        <w:rPr>
          <w:b/>
          <w:bCs/>
          <w:color w:val="000000" w:themeColor="text1"/>
          <w:kern w:val="44"/>
          <w:sz w:val="28"/>
          <w:szCs w:val="28"/>
          <w:lang w:val="zh-CN" w:eastAsia="zh-CN"/>
          <w14:textFill>
            <w14:solidFill>
              <w14:schemeClr w14:val="tx1"/>
            </w14:solidFill>
          </w14:textFill>
        </w:rPr>
        <w:t>7. 交通运输</w:t>
      </w:r>
      <w:bookmarkEnd w:id="1008"/>
    </w:p>
    <w:p>
      <w:pPr>
        <w:keepNext/>
        <w:keepLines/>
        <w:spacing w:line="400" w:lineRule="exact"/>
        <w:outlineLvl w:val="0"/>
        <w:rPr>
          <w:bCs/>
          <w:color w:val="000000" w:themeColor="text1"/>
          <w:kern w:val="44"/>
          <w:szCs w:val="21"/>
          <w:lang w:val="zh-CN" w:eastAsia="zh-CN"/>
          <w14:textFill>
            <w14:solidFill>
              <w14:schemeClr w14:val="tx1"/>
            </w14:solidFill>
          </w14:textFill>
        </w:rPr>
      </w:pPr>
      <w:bookmarkStart w:id="1009" w:name="_Toc452301308"/>
      <w:r>
        <w:rPr>
          <w:bCs/>
          <w:color w:val="000000" w:themeColor="text1"/>
          <w:kern w:val="44"/>
          <w:szCs w:val="21"/>
          <w:lang w:val="zh-CN" w:eastAsia="zh-CN"/>
          <w14:textFill>
            <w14:solidFill>
              <w14:schemeClr w14:val="tx1"/>
            </w14:solidFill>
          </w14:textFill>
        </w:rPr>
        <w:t>7.2 场内施工道路</w:t>
      </w:r>
      <w:bookmarkEnd w:id="1009"/>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通用合同条款第 7.2.2 项约定为：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7.2.2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pPr>
        <w:keepNext/>
        <w:keepLines/>
        <w:spacing w:before="360" w:beforeLines="150" w:after="480" w:line="400" w:lineRule="exact"/>
        <w:outlineLvl w:val="0"/>
        <w:rPr>
          <w:b/>
          <w:bCs/>
          <w:color w:val="000000" w:themeColor="text1"/>
          <w:kern w:val="44"/>
          <w:sz w:val="28"/>
          <w:szCs w:val="28"/>
          <w:lang w:val="zh-CN" w:eastAsia="zh-CN"/>
          <w14:textFill>
            <w14:solidFill>
              <w14:schemeClr w14:val="tx1"/>
            </w14:solidFill>
          </w14:textFill>
        </w:rPr>
      </w:pPr>
      <w:bookmarkStart w:id="1010" w:name="_Toc452301309"/>
      <w:r>
        <w:rPr>
          <w:b/>
          <w:bCs/>
          <w:color w:val="000000" w:themeColor="text1"/>
          <w:kern w:val="44"/>
          <w:sz w:val="28"/>
          <w:szCs w:val="28"/>
          <w:lang w:val="zh-CN" w:eastAsia="zh-CN"/>
          <w14:textFill>
            <w14:solidFill>
              <w14:schemeClr w14:val="tx1"/>
            </w14:solidFill>
          </w14:textFill>
        </w:rPr>
        <w:t>9. 施工安全、治安保卫和环境保护</w:t>
      </w:r>
      <w:bookmarkEnd w:id="1010"/>
    </w:p>
    <w:p>
      <w:pPr>
        <w:keepNext/>
        <w:keepLines/>
        <w:spacing w:line="400" w:lineRule="exact"/>
        <w:outlineLvl w:val="0"/>
        <w:rPr>
          <w:bCs/>
          <w:color w:val="000000" w:themeColor="text1"/>
          <w:kern w:val="44"/>
          <w:szCs w:val="21"/>
          <w:lang w:val="zh-CN" w:eastAsia="zh-CN"/>
          <w14:textFill>
            <w14:solidFill>
              <w14:schemeClr w14:val="tx1"/>
            </w14:solidFill>
          </w14:textFill>
        </w:rPr>
      </w:pPr>
      <w:bookmarkStart w:id="1011" w:name="_Toc452301310"/>
      <w:r>
        <w:rPr>
          <w:bCs/>
          <w:color w:val="000000" w:themeColor="text1"/>
          <w:kern w:val="44"/>
          <w:szCs w:val="21"/>
          <w:lang w:val="zh-CN" w:eastAsia="zh-CN"/>
          <w14:textFill>
            <w14:solidFill>
              <w14:schemeClr w14:val="tx1"/>
            </w14:solidFill>
          </w14:textFill>
        </w:rPr>
        <w:t>9.2 承包人的施工安全责任</w:t>
      </w:r>
      <w:bookmarkEnd w:id="1011"/>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w:t>
      </w:r>
      <w:r>
        <w:rPr>
          <w:rFonts w:hint="eastAsia"/>
          <w:color w:val="000000" w:themeColor="text1"/>
          <w14:textFill>
            <w14:solidFill>
              <w14:schemeClr w14:val="tx1"/>
            </w14:solidFill>
          </w14:textFill>
        </w:rPr>
        <w:t>第9.2款补充第9.2.12～9.2.13项：</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9.2.12根据浙江省交通运输厅(原交通厅)浙交【2007】292号文，承包人特别要做好对桥梁施工场地的清理工作。所有弃渣须经有关部门同意。否则发包人有对承包人的不合格工作做出相应处理的权利。</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9.2.13在合同执行期间，若在施工路段发生交通事故，其所涉及的停工、索赔、赔偿、诉讼费用及工程拖延或施工费用增加时，由承包人承担一切责任和费用，发包人不负任何责任。在过程移交发包人前，承包人应做好防损坏、防盗等工作，否则由此引起的后果由承包人自行负责。</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公路工程专用合同条款第9.2.5项细化为：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9.2.5安全生产费用不</w:t>
      </w:r>
      <w:r>
        <w:rPr>
          <w:rFonts w:hint="eastAsia"/>
          <w:color w:val="000000" w:themeColor="text1"/>
          <w14:textFill>
            <w14:solidFill>
              <w14:schemeClr w14:val="tx1"/>
            </w14:solidFill>
          </w14:textFill>
        </w:rPr>
        <w:t>低于</w:t>
      </w:r>
      <w:r>
        <w:rPr>
          <w:color w:val="000000" w:themeColor="text1"/>
          <w14:textFill>
            <w14:solidFill>
              <w14:schemeClr w14:val="tx1"/>
            </w14:solidFill>
          </w14:textFill>
        </w:rPr>
        <w:t>投标</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价的2%</w:t>
      </w:r>
      <w:r>
        <w:rPr>
          <w:rFonts w:hint="eastAsia"/>
          <w:color w:val="000000" w:themeColor="text1"/>
          <w14:textFill>
            <w14:solidFill>
              <w14:schemeClr w14:val="tx1"/>
            </w14:solidFill>
          </w14:textFill>
        </w:rPr>
        <w:t>（关于印发《企业安全生产费用提取和使用管理办法》的通知财企〔2012〕16号），且不得作为竞争性报价</w:t>
      </w:r>
      <w:r>
        <w:rPr>
          <w:color w:val="000000" w:themeColor="text1"/>
          <w14:textFill>
            <w14:solidFill>
              <w14:schemeClr w14:val="tx1"/>
            </w14:solidFill>
          </w14:textFill>
        </w:rPr>
        <w:t>。安全生产费用应用于施工安全防护用具及设施的采购和更新、安全施工措施的落实、安全生产条件的改善，不得挪作他用。承包人还应执行</w:t>
      </w:r>
      <w:r>
        <w:rPr>
          <w:rFonts w:hint="eastAsia"/>
          <w:color w:val="000000" w:themeColor="text1"/>
          <w14:textFill>
            <w14:solidFill>
              <w14:schemeClr w14:val="tx1"/>
            </w14:solidFill>
          </w14:textFill>
        </w:rPr>
        <w:t>《浙江省交通建设工程质量和安全生产管理条例》（浙江省第十三届人民代表大会常务委员会公告第 4 号）</w:t>
      </w:r>
      <w:r>
        <w:rPr>
          <w:color w:val="000000" w:themeColor="text1"/>
          <w14:textFill>
            <w14:solidFill>
              <w14:schemeClr w14:val="tx1"/>
            </w14:solidFill>
          </w14:textFill>
        </w:rPr>
        <w:t>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用的使用和支付按浙交（2009）228号关于印发《浙江省公路水运建设工程安全生产费用管理暂行规定》、</w:t>
      </w:r>
      <w:r>
        <w:rPr>
          <w:rFonts w:hint="eastAsia"/>
          <w:color w:val="000000" w:themeColor="text1"/>
          <w14:textFill>
            <w14:solidFill>
              <w14:schemeClr w14:val="tx1"/>
            </w14:solidFill>
          </w14:textFill>
        </w:rPr>
        <w:t>浙交字【2020】 104 号《关于进一步加强全省交通建设工程安全生产管理工作的若干规定的通知》</w:t>
      </w:r>
      <w:r>
        <w:rPr>
          <w:color w:val="000000" w:themeColor="text1"/>
          <w14:textFill>
            <w14:solidFill>
              <w14:schemeClr w14:val="tx1"/>
            </w14:solidFill>
          </w14:textFill>
        </w:rPr>
        <w:t>的相关要求以及相关最新规定办理。</w:t>
      </w:r>
    </w:p>
    <w:p>
      <w:pPr>
        <w:spacing w:line="400" w:lineRule="exact"/>
        <w:ind w:firstLine="42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除上述要求外，承包人还应根据浙江省交通运输厅浙交[2013]120 号《关于在我省政府投资公路水运建设工程中推行安全质量远程视频监控系统的通知》、《台州市交通工程远程视频监控和质监信息化系统管理办法（试行）的通知》台交〔2016〕203号文等的相关要求对整个标段配置安全生产所需的施工安全视频监控系统，并应做到施工现场监控无盲点。</w:t>
      </w:r>
    </w:p>
    <w:p>
      <w:pPr>
        <w:keepNext/>
        <w:keepLines/>
        <w:spacing w:line="400" w:lineRule="exact"/>
        <w:outlineLvl w:val="0"/>
        <w:rPr>
          <w:bCs/>
          <w:color w:val="000000" w:themeColor="text1"/>
          <w:kern w:val="44"/>
          <w:szCs w:val="21"/>
          <w:lang w:val="zh-CN" w:eastAsia="zh-CN"/>
          <w14:textFill>
            <w14:solidFill>
              <w14:schemeClr w14:val="tx1"/>
            </w14:solidFill>
          </w14:textFill>
        </w:rPr>
      </w:pPr>
      <w:bookmarkStart w:id="1012" w:name="_Toc452301311"/>
      <w:r>
        <w:rPr>
          <w:bCs/>
          <w:color w:val="000000" w:themeColor="text1"/>
          <w:kern w:val="44"/>
          <w:szCs w:val="21"/>
          <w:lang w:val="zh-CN" w:eastAsia="zh-CN"/>
          <w14:textFill>
            <w14:solidFill>
              <w14:schemeClr w14:val="tx1"/>
            </w14:solidFill>
          </w14:textFill>
        </w:rPr>
        <w:t>9.4 环境保护</w:t>
      </w:r>
      <w:bookmarkEnd w:id="1012"/>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公路工程专用合同条款补充第 9.4.12 项：</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9.4.12 承包人在施工中应当贯彻“不破坏就是最大的保护”思想，尊重自然植被地貌，原则上不准在主线视线范围内设置借土场（取土坑）、弃土场（弃渣场），确有需要的，承包人须采取复绿、排水及防护等措施，保证公路沿线美观、和谐、环保。</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对借土场（取土坑）、弃土场（弃渣场）以及其他临时用地须按照设计图纸或承包人自行调查确定，选取工作须报监理人审批，发包人同意，并履行相关职能部门的报批程序后，方可开展施工，所采取的复绿、复耕、排水及防护措施须通过相关部门的环保、水保、土地等验收，承包人所采取的所有措施以及因此增加的费用应认为已包含在投标价之中，发包人不另行支付。若承包人无视借、弃土场的环保、水保等的处理要求，发包人有权指定第三方专业施工队伍履行承包人的上述义务，因此所发生的所有费用将在承包人的计</w:t>
      </w:r>
      <w:r>
        <w:rPr>
          <w:rFonts w:hint="eastAsia"/>
          <w:color w:val="000000" w:themeColor="text1"/>
          <w14:textFill>
            <w14:solidFill>
              <w14:schemeClr w14:val="tx1"/>
            </w14:solidFill>
          </w14:textFill>
        </w:rPr>
        <w:t>量</w:t>
      </w:r>
      <w:r>
        <w:rPr>
          <w:color w:val="000000" w:themeColor="text1"/>
          <w14:textFill>
            <w14:solidFill>
              <w14:schemeClr w14:val="tx1"/>
            </w14:solidFill>
          </w14:textFill>
        </w:rPr>
        <w:t>款中直接扣除。</w:t>
      </w:r>
    </w:p>
    <w:p>
      <w:pPr>
        <w:keepNext/>
        <w:keepLines/>
        <w:spacing w:before="360" w:beforeLines="150" w:after="480" w:line="400" w:lineRule="exact"/>
        <w:outlineLvl w:val="0"/>
        <w:rPr>
          <w:b/>
          <w:bCs/>
          <w:color w:val="000000" w:themeColor="text1"/>
          <w:kern w:val="44"/>
          <w:sz w:val="28"/>
          <w:szCs w:val="28"/>
          <w:lang w:val="zh-CN" w:eastAsia="zh-CN"/>
          <w14:textFill>
            <w14:solidFill>
              <w14:schemeClr w14:val="tx1"/>
            </w14:solidFill>
          </w14:textFill>
        </w:rPr>
      </w:pPr>
      <w:bookmarkStart w:id="1013" w:name="_Toc452301312"/>
      <w:r>
        <w:rPr>
          <w:b/>
          <w:bCs/>
          <w:color w:val="000000" w:themeColor="text1"/>
          <w:kern w:val="44"/>
          <w:sz w:val="28"/>
          <w:szCs w:val="28"/>
          <w:lang w:val="zh-CN" w:eastAsia="zh-CN"/>
          <w14:textFill>
            <w14:solidFill>
              <w14:schemeClr w14:val="tx1"/>
            </w14:solidFill>
          </w14:textFill>
        </w:rPr>
        <w:t>10. 进度计划</w:t>
      </w:r>
      <w:bookmarkEnd w:id="1013"/>
    </w:p>
    <w:p>
      <w:pPr>
        <w:keepNext/>
        <w:keepLines/>
        <w:spacing w:line="400" w:lineRule="exact"/>
        <w:outlineLvl w:val="0"/>
        <w:rPr>
          <w:bCs/>
          <w:color w:val="000000" w:themeColor="text1"/>
          <w:kern w:val="44"/>
          <w:szCs w:val="21"/>
          <w:lang w:val="zh-CN" w:eastAsia="zh-CN"/>
          <w14:textFill>
            <w14:solidFill>
              <w14:schemeClr w14:val="tx1"/>
            </w14:solidFill>
          </w14:textFill>
        </w:rPr>
      </w:pPr>
      <w:bookmarkStart w:id="1014" w:name="_Toc452301313"/>
      <w:r>
        <w:rPr>
          <w:bCs/>
          <w:color w:val="000000" w:themeColor="text1"/>
          <w:kern w:val="44"/>
          <w:szCs w:val="21"/>
          <w:lang w:val="zh-CN" w:eastAsia="zh-CN"/>
          <w14:textFill>
            <w14:solidFill>
              <w14:schemeClr w14:val="tx1"/>
            </w14:solidFill>
          </w14:textFill>
        </w:rPr>
        <w:t>10.1 合同进度计划</w:t>
      </w:r>
      <w:bookmarkEnd w:id="1014"/>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通用合同条款及公路工程专用合同条款10.1款细化为：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在签订合同协议书后28天内，编制详细的施工进度计划和施工方案报送监理人。监理人应在14天内批复或提出修改意见，否则该进度计划视为已得到批准。经监理人批准的施工进度计划称合同进度计划，是控制合同工程进度的依据。承包人还应根据合同进度计划，编制更为详细的分阶段或分项进度计划，报监理人审批。合同进度计划应按照关键线路网络图和主要工作横道图两种形式分别编绘，并应包括每月预计完成的工作量和形象进度。</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承包人编制施工方案的内容应包括（但不限于）：</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（1）总体施工组织布置及规划</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（2）主要工程项目的施工方案、方法与技术措施（尤其对重点、关键和难点工程的施工方案、方法及其措施）</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（3）工期保证体系及保证措施</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（4）工程质量管理体系及保证措施</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（5）安全生产管理体系及保证措施</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（6）环境保护、水土保持保证体系及保证措施</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（7）文明施工、文物保护保证体系及保证措施</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（8）项目风险预测与防范，事故应急预案</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）其他应说明的事项以及相应的图表</w:t>
      </w:r>
      <w:r>
        <w:rPr>
          <w:rFonts w:hint="eastAsia"/>
          <w:color w:val="000000" w:themeColor="text1"/>
          <w14:textFill>
            <w14:solidFill>
              <w14:schemeClr w14:val="tx1"/>
            </w14:solidFill>
          </w14:textFill>
        </w:rPr>
        <w:t>。</w:t>
      </w:r>
    </w:p>
    <w:p>
      <w:pPr>
        <w:keepNext/>
        <w:keepLines/>
        <w:spacing w:line="400" w:lineRule="exact"/>
        <w:outlineLvl w:val="0"/>
        <w:rPr>
          <w:b/>
          <w:bCs/>
          <w:color w:val="000000" w:themeColor="text1"/>
          <w:kern w:val="44"/>
          <w:sz w:val="24"/>
          <w:szCs w:val="44"/>
          <w:lang w:val="zh-CN" w:eastAsia="zh-CN"/>
          <w14:textFill>
            <w14:solidFill>
              <w14:schemeClr w14:val="tx1"/>
            </w14:solidFill>
          </w14:textFill>
        </w:rPr>
      </w:pPr>
      <w:r>
        <w:rPr>
          <w:rFonts w:hint="eastAsia"/>
          <w:bCs/>
          <w:color w:val="000000" w:themeColor="text1"/>
          <w:kern w:val="44"/>
          <w:szCs w:val="21"/>
          <w:lang w:val="zh-CN" w:eastAsia="zh-CN"/>
          <w14:textFill>
            <w14:solidFill>
              <w14:schemeClr w14:val="tx1"/>
            </w14:solidFill>
          </w14:textFill>
        </w:rPr>
        <w:t>10.3年度施工计划</w:t>
      </w:r>
    </w:p>
    <w:p>
      <w:pPr>
        <w:spacing w:line="400" w:lineRule="exact"/>
        <w:ind w:firstLine="420" w:firstLineChars="200"/>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删除此项条款，本项目不适用。</w:t>
      </w:r>
    </w:p>
    <w:p>
      <w:pPr>
        <w:keepNext/>
        <w:keepLines/>
        <w:spacing w:line="400" w:lineRule="exact"/>
        <w:outlineLvl w:val="0"/>
        <w:rPr>
          <w:b/>
          <w:bCs/>
          <w:color w:val="000000" w:themeColor="text1"/>
          <w:kern w:val="44"/>
          <w:sz w:val="24"/>
          <w:szCs w:val="44"/>
          <w:lang w:val="zh-CN" w:eastAsia="zh-CN"/>
          <w14:textFill>
            <w14:solidFill>
              <w14:schemeClr w14:val="tx1"/>
            </w14:solidFill>
          </w14:textFill>
        </w:rPr>
      </w:pPr>
      <w:r>
        <w:rPr>
          <w:bCs/>
          <w:color w:val="000000" w:themeColor="text1"/>
          <w:kern w:val="44"/>
          <w:szCs w:val="21"/>
          <w:lang w:val="zh-CN" w:eastAsia="zh-CN"/>
          <w14:textFill>
            <w14:solidFill>
              <w14:schemeClr w14:val="tx1"/>
            </w14:solidFill>
          </w14:textFill>
        </w:rPr>
        <w:t>10</w:t>
      </w:r>
      <w:r>
        <w:rPr>
          <w:rFonts w:hint="eastAsia"/>
          <w:bCs/>
          <w:color w:val="000000" w:themeColor="text1"/>
          <w:kern w:val="44"/>
          <w:szCs w:val="21"/>
          <w:lang w:val="zh-CN" w:eastAsia="zh-CN"/>
          <w14:textFill>
            <w14:solidFill>
              <w14:schemeClr w14:val="tx1"/>
            </w14:solidFill>
          </w14:textFill>
        </w:rPr>
        <w:t>.4合同用款计划</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公路工程专用合同条款第10.4款细化为</w:t>
      </w:r>
    </w:p>
    <w:p>
      <w:pPr>
        <w:spacing w:line="400" w:lineRule="exact"/>
        <w:ind w:firstLine="420" w:firstLineChars="200"/>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承包人在施工组织设计中，应编制工程的年度、季度、月度用款计划。工程施工过程中，可根据工程进度调整用款计划。承包人必须在月末前15天报出调整后的下月度用款计划；月度用款计划准确度原则上要求控制在+10％内。</w:t>
      </w:r>
    </w:p>
    <w:p>
      <w:pPr>
        <w:spacing w:line="400" w:lineRule="exact"/>
        <w:ind w:firstLine="420" w:firstLineChars="200"/>
        <w:rPr>
          <w:b/>
          <w:color w:val="000000" w:themeColor="text1"/>
          <w:szCs w:val="20"/>
          <w14:textFill>
            <w14:solidFill>
              <w14:schemeClr w14:val="tx1"/>
            </w14:solidFill>
          </w14:textFill>
        </w:rPr>
      </w:pPr>
      <w:r>
        <w:rPr>
          <w:color w:val="000000" w:themeColor="text1"/>
          <w14:textFill>
            <w14:solidFill>
              <w14:schemeClr w14:val="tx1"/>
            </w14:solidFill>
          </w14:textFill>
        </w:rPr>
        <w:t>公路工程专用合同条款补充第10.5款：</w:t>
      </w:r>
    </w:p>
    <w:p>
      <w:pPr>
        <w:keepNext/>
        <w:keepLines/>
        <w:spacing w:line="400" w:lineRule="exact"/>
        <w:outlineLvl w:val="0"/>
        <w:rPr>
          <w:b/>
          <w:bCs/>
          <w:color w:val="000000" w:themeColor="text1"/>
          <w:kern w:val="44"/>
          <w:sz w:val="24"/>
          <w:szCs w:val="20"/>
          <w:lang w:val="zh-CN" w:eastAsia="zh-CN"/>
          <w14:textFill>
            <w14:solidFill>
              <w14:schemeClr w14:val="tx1"/>
            </w14:solidFill>
          </w14:textFill>
        </w:rPr>
      </w:pPr>
      <w:r>
        <w:rPr>
          <w:rFonts w:hint="eastAsia"/>
          <w:bCs/>
          <w:color w:val="000000" w:themeColor="text1"/>
          <w:kern w:val="44"/>
          <w:szCs w:val="21"/>
          <w:lang w:val="zh-CN" w:eastAsia="zh-CN"/>
          <w14:textFill>
            <w14:solidFill>
              <w14:schemeClr w14:val="tx1"/>
            </w14:solidFill>
          </w14:textFill>
        </w:rPr>
        <w:t>10.5季度计划、月度计划、旬计划</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承包人需编制进度计划，报发包人批准后执行。</w:t>
      </w:r>
    </w:p>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15" w:name="_Toc452301315"/>
      <w:r>
        <w:rPr>
          <w:b/>
          <w:bCs/>
          <w:color w:val="000000" w:themeColor="text1"/>
          <w:kern w:val="44"/>
          <w:sz w:val="28"/>
          <w:szCs w:val="28"/>
          <w:lang w:val="zh-CN" w:eastAsia="zh-CN"/>
          <w14:textFill>
            <w14:solidFill>
              <w14:schemeClr w14:val="tx1"/>
            </w14:solidFill>
          </w14:textFill>
        </w:rPr>
        <w:t>11. 开工和交工</w:t>
      </w:r>
      <w:bookmarkEnd w:id="1015"/>
    </w:p>
    <w:p>
      <w:pPr>
        <w:keepNext/>
        <w:keepLines/>
        <w:spacing w:line="360" w:lineRule="exact"/>
        <w:outlineLvl w:val="0"/>
        <w:rPr>
          <w:b/>
          <w:bCs/>
          <w:color w:val="000000" w:themeColor="text1"/>
          <w:kern w:val="44"/>
          <w:sz w:val="24"/>
          <w:szCs w:val="20"/>
          <w:lang w:val="zh-CN" w:eastAsia="zh-CN"/>
          <w14:textFill>
            <w14:solidFill>
              <w14:schemeClr w14:val="tx1"/>
            </w14:solidFill>
          </w14:textFill>
        </w:rPr>
      </w:pPr>
      <w:bookmarkStart w:id="1016" w:name="_Toc246699761"/>
      <w:bookmarkStart w:id="1017" w:name="_Toc10451162"/>
      <w:bookmarkStart w:id="1018" w:name="_Toc249418743"/>
      <w:bookmarkStart w:id="1019" w:name="_Toc418085449"/>
      <w:bookmarkStart w:id="1020" w:name="_Toc449689041"/>
      <w:bookmarkStart w:id="1021" w:name="_Toc12869275"/>
      <w:bookmarkStart w:id="1022" w:name="_Toc246867746"/>
      <w:bookmarkStart w:id="1023" w:name="_Toc508351133"/>
      <w:bookmarkStart w:id="1024" w:name="_Toc452301316"/>
      <w:r>
        <w:rPr>
          <w:bCs/>
          <w:color w:val="000000" w:themeColor="text1"/>
          <w:kern w:val="44"/>
          <w:szCs w:val="21"/>
          <w:lang w:val="zh-CN" w:eastAsia="zh-CN"/>
          <w14:textFill>
            <w14:solidFill>
              <w14:schemeClr w14:val="tx1"/>
            </w14:solidFill>
          </w14:textFill>
        </w:rPr>
        <w:t xml:space="preserve">11.2 </w:t>
      </w:r>
      <w:bookmarkEnd w:id="1016"/>
      <w:r>
        <w:rPr>
          <w:bCs/>
          <w:color w:val="000000" w:themeColor="text1"/>
          <w:kern w:val="44"/>
          <w:szCs w:val="21"/>
          <w:lang w:val="zh-CN" w:eastAsia="zh-CN"/>
          <w14:textFill>
            <w14:solidFill>
              <w14:schemeClr w14:val="tx1"/>
            </w14:solidFill>
          </w14:textFill>
        </w:rPr>
        <w:t>交工</w:t>
      </w:r>
      <w:bookmarkEnd w:id="1017"/>
      <w:bookmarkEnd w:id="1018"/>
      <w:bookmarkEnd w:id="1019"/>
      <w:bookmarkEnd w:id="1020"/>
      <w:bookmarkEnd w:id="1021"/>
      <w:bookmarkEnd w:id="1022"/>
      <w:bookmarkEnd w:id="1023"/>
    </w:p>
    <w:p>
      <w:pPr>
        <w:spacing w:line="360" w:lineRule="exact"/>
        <w:ind w:firstLine="420" w:firstLineChars="200"/>
        <w:rPr>
          <w:color w:val="000000" w:themeColor="text1"/>
          <w14:textFill>
            <w14:solidFill>
              <w14:schemeClr w14:val="tx1"/>
            </w14:solidFill>
          </w14:textFill>
        </w:rPr>
      </w:pPr>
      <w:bookmarkStart w:id="1025" w:name="_Toc10451163"/>
      <w:bookmarkStart w:id="1026" w:name="_Toc12869276"/>
      <w:r>
        <w:rPr>
          <w:color w:val="000000" w:themeColor="text1"/>
          <w14:textFill>
            <w14:solidFill>
              <w14:schemeClr w14:val="tx1"/>
            </w14:solidFill>
          </w14:textFill>
        </w:rPr>
        <w:t>通用合同条款第11.2款细化为：</w:t>
      </w:r>
      <w:bookmarkEnd w:id="1025"/>
      <w:bookmarkEnd w:id="1026"/>
    </w:p>
    <w:p>
      <w:pPr>
        <w:spacing w:line="360" w:lineRule="exact"/>
        <w:ind w:firstLine="420" w:firstLineChars="200"/>
        <w:rPr>
          <w:color w:val="000000" w:themeColor="text1"/>
          <w:sz w:val="24"/>
          <w:szCs w:val="20"/>
          <w14:textFill>
            <w14:solidFill>
              <w14:schemeClr w14:val="tx1"/>
            </w14:solidFill>
          </w14:textFill>
        </w:rPr>
      </w:pPr>
      <w:bookmarkStart w:id="1027" w:name="_Toc10451164"/>
      <w:bookmarkStart w:id="1028" w:name="_Toc8650533"/>
      <w:bookmarkStart w:id="1029" w:name="_Toc12869277"/>
      <w:r>
        <w:rPr>
          <w:color w:val="000000" w:themeColor="text1"/>
          <w14:textFill>
            <w14:solidFill>
              <w14:schemeClr w14:val="tx1"/>
            </w14:solidFill>
          </w14:textFill>
        </w:rPr>
        <w:t>承包人应在第1.1.4.3目约定的期限内完成合同工程。实际交工日期在接收证书中写明。</w:t>
      </w:r>
      <w:bookmarkEnd w:id="1027"/>
      <w:bookmarkEnd w:id="1028"/>
      <w:bookmarkEnd w:id="1029"/>
    </w:p>
    <w:p>
      <w:pPr>
        <w:keepNext/>
        <w:keepLines/>
        <w:spacing w:line="360" w:lineRule="exact"/>
        <w:outlineLvl w:val="0"/>
        <w:rPr>
          <w:b/>
          <w:bCs/>
          <w:color w:val="000000" w:themeColor="text1"/>
          <w:kern w:val="44"/>
          <w:sz w:val="24"/>
          <w:szCs w:val="20"/>
          <w:lang w:val="zh-CN" w:eastAsia="zh-CN"/>
          <w14:textFill>
            <w14:solidFill>
              <w14:schemeClr w14:val="tx1"/>
            </w14:solidFill>
          </w14:textFill>
        </w:rPr>
      </w:pPr>
      <w:bookmarkStart w:id="1030" w:name="_Toc508351134"/>
      <w:bookmarkStart w:id="1031" w:name="_Toc249418744"/>
      <w:bookmarkStart w:id="1032" w:name="_Toc8650534"/>
      <w:bookmarkStart w:id="1033" w:name="_Toc246699762"/>
      <w:bookmarkStart w:id="1034" w:name="_Toc449689042"/>
      <w:bookmarkStart w:id="1035" w:name="_Toc418085450"/>
      <w:bookmarkStart w:id="1036" w:name="_Toc12869278"/>
      <w:bookmarkStart w:id="1037" w:name="_Toc10451165"/>
      <w:bookmarkStart w:id="1038" w:name="_Toc246867747"/>
      <w:r>
        <w:rPr>
          <w:bCs/>
          <w:color w:val="000000" w:themeColor="text1"/>
          <w:kern w:val="44"/>
          <w:szCs w:val="21"/>
          <w:lang w:val="zh-CN" w:eastAsia="zh-CN"/>
          <w14:textFill>
            <w14:solidFill>
              <w14:schemeClr w14:val="tx1"/>
            </w14:solidFill>
          </w14:textFill>
        </w:rPr>
        <w:t>11.3 发包人的工期延误</w:t>
      </w:r>
      <w:bookmarkEnd w:id="1030"/>
      <w:bookmarkEnd w:id="1031"/>
      <w:bookmarkEnd w:id="1032"/>
      <w:bookmarkEnd w:id="1033"/>
      <w:bookmarkEnd w:id="1034"/>
      <w:bookmarkEnd w:id="1035"/>
      <w:bookmarkEnd w:id="1036"/>
      <w:bookmarkEnd w:id="1037"/>
      <w:bookmarkEnd w:id="1038"/>
    </w:p>
    <w:p>
      <w:pPr>
        <w:spacing w:line="360" w:lineRule="exact"/>
        <w:ind w:firstLine="420" w:firstLineChars="200"/>
        <w:rPr>
          <w:color w:val="000000" w:themeColor="text1"/>
          <w14:textFill>
            <w14:solidFill>
              <w14:schemeClr w14:val="tx1"/>
            </w14:solidFill>
          </w14:textFill>
        </w:rPr>
      </w:pPr>
      <w:bookmarkStart w:id="1039" w:name="_Toc10451166"/>
      <w:bookmarkStart w:id="1040" w:name="_Toc12869279"/>
      <w:bookmarkStart w:id="1041" w:name="_Toc8650535"/>
      <w:r>
        <w:rPr>
          <w:color w:val="000000" w:themeColor="text1"/>
          <w14:textFill>
            <w14:solidFill>
              <w14:schemeClr w14:val="tx1"/>
            </w14:solidFill>
          </w14:textFill>
        </w:rPr>
        <w:t>通用合同条款和公路工程专用合同条款第11.3款细化为：</w:t>
      </w:r>
      <w:bookmarkEnd w:id="1039"/>
      <w:bookmarkEnd w:id="1040"/>
      <w:bookmarkEnd w:id="1041"/>
    </w:p>
    <w:p>
      <w:pPr>
        <w:spacing w:line="360" w:lineRule="exact"/>
        <w:ind w:firstLine="420" w:firstLineChars="200"/>
        <w:rPr>
          <w:color w:val="000000" w:themeColor="text1"/>
          <w14:textFill>
            <w14:solidFill>
              <w14:schemeClr w14:val="tx1"/>
            </w14:solidFill>
          </w14:textFill>
        </w:rPr>
      </w:pPr>
      <w:bookmarkStart w:id="1042" w:name="_Toc10451167"/>
      <w:bookmarkStart w:id="1043" w:name="_Toc12869280"/>
      <w:bookmarkStart w:id="1044" w:name="_Toc8650536"/>
      <w:r>
        <w:rPr>
          <w:color w:val="000000" w:themeColor="text1"/>
          <w14:textFill>
            <w14:solidFill>
              <w14:schemeClr w14:val="tx1"/>
            </w14:solidFill>
          </w14:textFill>
        </w:rPr>
        <w:t>因政策处理不到位造成工期延误的，工期相应顺延，相关费用不予支付。</w:t>
      </w:r>
      <w:bookmarkEnd w:id="1042"/>
      <w:bookmarkEnd w:id="1043"/>
      <w:bookmarkEnd w:id="1044"/>
    </w:p>
    <w:p>
      <w:pPr>
        <w:spacing w:line="360" w:lineRule="exact"/>
        <w:ind w:firstLine="420" w:firstLineChars="200"/>
        <w:rPr>
          <w:color w:val="000000" w:themeColor="text1"/>
          <w14:textFill>
            <w14:solidFill>
              <w14:schemeClr w14:val="tx1"/>
            </w14:solidFill>
          </w14:textFill>
        </w:rPr>
      </w:pPr>
      <w:bookmarkStart w:id="1045" w:name="_Toc12869281"/>
      <w:bookmarkStart w:id="1046" w:name="_Toc10451168"/>
      <w:bookmarkStart w:id="1047" w:name="_Toc8650537"/>
      <w:r>
        <w:rPr>
          <w:color w:val="000000" w:themeColor="text1"/>
          <w14:textFill>
            <w14:solidFill>
              <w14:schemeClr w14:val="tx1"/>
            </w14:solidFill>
          </w14:textFill>
        </w:rPr>
        <w:t>即使由于上述原因造成工程延期，如果受影响的工程并非处在工程施工进度网络图计划的关键路线上则承包人无权要求延长总工期。</w:t>
      </w:r>
      <w:bookmarkEnd w:id="1045"/>
      <w:bookmarkEnd w:id="1046"/>
      <w:bookmarkEnd w:id="1047"/>
    </w:p>
    <w:p>
      <w:pPr>
        <w:spacing w:line="360" w:lineRule="exact"/>
        <w:ind w:firstLine="420" w:firstLineChars="200"/>
        <w:rPr>
          <w:color w:val="000000" w:themeColor="text1"/>
          <w14:textFill>
            <w14:solidFill>
              <w14:schemeClr w14:val="tx1"/>
            </w14:solidFill>
          </w14:textFill>
        </w:rPr>
      </w:pPr>
      <w:bookmarkStart w:id="1048" w:name="_Toc8650538"/>
      <w:bookmarkStart w:id="1049" w:name="_Toc10451169"/>
      <w:bookmarkStart w:id="1050" w:name="_Toc12869282"/>
      <w:r>
        <w:rPr>
          <w:color w:val="000000" w:themeColor="text1"/>
          <w14:textFill>
            <w14:solidFill>
              <w14:schemeClr w14:val="tx1"/>
            </w14:solidFill>
          </w14:textFill>
        </w:rPr>
        <w:t>在履行合同过程中，由于发包人的下列原因造成工期延误的，工期相应顺延，相关费用不予考虑，承包人有权要求发包人延长工期和（或）增加费用，并支付合理利润。需要修订合同进度计划的，按照第10.2款的约定办理。</w:t>
      </w:r>
      <w:bookmarkEnd w:id="1048"/>
      <w:bookmarkEnd w:id="1049"/>
      <w:bookmarkEnd w:id="1050"/>
    </w:p>
    <w:p>
      <w:pPr>
        <w:spacing w:line="360" w:lineRule="exact"/>
        <w:ind w:firstLine="420" w:firstLineChars="200"/>
        <w:rPr>
          <w:color w:val="000000" w:themeColor="text1"/>
          <w14:textFill>
            <w14:solidFill>
              <w14:schemeClr w14:val="tx1"/>
            </w14:solidFill>
          </w14:textFill>
        </w:rPr>
      </w:pPr>
      <w:bookmarkStart w:id="1051" w:name="_Toc8650539"/>
      <w:bookmarkStart w:id="1052" w:name="_Toc10451170"/>
      <w:bookmarkStart w:id="1053" w:name="_Toc12869283"/>
      <w:r>
        <w:rPr>
          <w:color w:val="000000" w:themeColor="text1"/>
          <w14:textFill>
            <w14:solidFill>
              <w14:schemeClr w14:val="tx1"/>
            </w14:solidFill>
          </w14:textFill>
        </w:rPr>
        <w:t>（1）增加合同工作内容；</w:t>
      </w:r>
      <w:bookmarkEnd w:id="1051"/>
      <w:bookmarkEnd w:id="1052"/>
      <w:bookmarkEnd w:id="1053"/>
    </w:p>
    <w:p>
      <w:pPr>
        <w:spacing w:line="360" w:lineRule="exact"/>
        <w:ind w:firstLine="420" w:firstLineChars="200"/>
        <w:rPr>
          <w:color w:val="000000" w:themeColor="text1"/>
          <w14:textFill>
            <w14:solidFill>
              <w14:schemeClr w14:val="tx1"/>
            </w14:solidFill>
          </w14:textFill>
        </w:rPr>
      </w:pPr>
      <w:bookmarkStart w:id="1054" w:name="_Toc12869284"/>
      <w:bookmarkStart w:id="1055" w:name="_Toc8650540"/>
      <w:bookmarkStart w:id="1056" w:name="_Toc10451171"/>
      <w:r>
        <w:rPr>
          <w:color w:val="000000" w:themeColor="text1"/>
          <w14:textFill>
            <w14:solidFill>
              <w14:schemeClr w14:val="tx1"/>
            </w14:solidFill>
          </w14:textFill>
        </w:rPr>
        <w:t>（2）改变合同中任何一项工作的质量要求或其他特性；</w:t>
      </w:r>
      <w:bookmarkEnd w:id="1054"/>
      <w:bookmarkEnd w:id="1055"/>
      <w:bookmarkEnd w:id="1056"/>
    </w:p>
    <w:p>
      <w:pPr>
        <w:spacing w:line="360" w:lineRule="exact"/>
        <w:ind w:firstLine="420" w:firstLineChars="200"/>
        <w:rPr>
          <w:color w:val="000000" w:themeColor="text1"/>
          <w14:textFill>
            <w14:solidFill>
              <w14:schemeClr w14:val="tx1"/>
            </w14:solidFill>
          </w14:textFill>
        </w:rPr>
      </w:pPr>
      <w:bookmarkStart w:id="1057" w:name="_Toc8650541"/>
      <w:bookmarkStart w:id="1058" w:name="_Toc12869285"/>
      <w:bookmarkStart w:id="1059" w:name="_Toc10451172"/>
      <w:r>
        <w:rPr>
          <w:color w:val="000000" w:themeColor="text1"/>
          <w14:textFill>
            <w14:solidFill>
              <w14:schemeClr w14:val="tx1"/>
            </w14:solidFill>
          </w14:textFill>
        </w:rPr>
        <w:t>（3）发包人迟延提供材料、工程设备或变更交货地点的；</w:t>
      </w:r>
      <w:bookmarkEnd w:id="1057"/>
      <w:bookmarkEnd w:id="1058"/>
      <w:bookmarkEnd w:id="1059"/>
    </w:p>
    <w:p>
      <w:pPr>
        <w:spacing w:line="360" w:lineRule="exact"/>
        <w:ind w:firstLine="420" w:firstLineChars="200"/>
        <w:rPr>
          <w:color w:val="000000" w:themeColor="text1"/>
          <w14:textFill>
            <w14:solidFill>
              <w14:schemeClr w14:val="tx1"/>
            </w14:solidFill>
          </w14:textFill>
        </w:rPr>
      </w:pPr>
      <w:bookmarkStart w:id="1060" w:name="_Toc10451173"/>
      <w:bookmarkStart w:id="1061" w:name="_Toc12869286"/>
      <w:bookmarkStart w:id="1062" w:name="_Toc8650542"/>
      <w:r>
        <w:rPr>
          <w:color w:val="000000" w:themeColor="text1"/>
          <w14:textFill>
            <w14:solidFill>
              <w14:schemeClr w14:val="tx1"/>
            </w14:solidFill>
          </w14:textFill>
        </w:rPr>
        <w:t>（4）因发包人原因导致的暂停施工（政策处理除外）；</w:t>
      </w:r>
      <w:bookmarkEnd w:id="1060"/>
      <w:bookmarkEnd w:id="1061"/>
      <w:bookmarkEnd w:id="1062"/>
    </w:p>
    <w:p>
      <w:pPr>
        <w:spacing w:line="360" w:lineRule="exact"/>
        <w:ind w:firstLine="420" w:firstLineChars="200"/>
        <w:rPr>
          <w:color w:val="000000" w:themeColor="text1"/>
          <w14:textFill>
            <w14:solidFill>
              <w14:schemeClr w14:val="tx1"/>
            </w14:solidFill>
          </w14:textFill>
        </w:rPr>
      </w:pPr>
      <w:bookmarkStart w:id="1063" w:name="_Toc12869287"/>
      <w:bookmarkStart w:id="1064" w:name="_Toc10451174"/>
      <w:bookmarkStart w:id="1065" w:name="_Toc8650543"/>
      <w:r>
        <w:rPr>
          <w:color w:val="000000" w:themeColor="text1"/>
          <w14:textFill>
            <w14:solidFill>
              <w14:schemeClr w14:val="tx1"/>
            </w14:solidFill>
          </w14:textFill>
        </w:rPr>
        <w:t>（5）提供图纸延误；</w:t>
      </w:r>
      <w:bookmarkEnd w:id="1063"/>
      <w:bookmarkEnd w:id="1064"/>
      <w:bookmarkEnd w:id="1065"/>
    </w:p>
    <w:p>
      <w:pPr>
        <w:spacing w:line="360" w:lineRule="exact"/>
        <w:ind w:firstLine="420" w:firstLineChars="200"/>
        <w:rPr>
          <w:b/>
          <w:color w:val="000000" w:themeColor="text1"/>
          <w:szCs w:val="21"/>
          <w14:textFill>
            <w14:solidFill>
              <w14:schemeClr w14:val="tx1"/>
            </w14:solidFill>
          </w14:textFill>
        </w:rPr>
      </w:pPr>
      <w:r>
        <w:rPr>
          <w:color w:val="000000" w:themeColor="text1"/>
          <w14:textFill>
            <w14:solidFill>
              <w14:schemeClr w14:val="tx1"/>
            </w14:solidFill>
          </w14:textFill>
        </w:rPr>
        <w:t>（6）未按合同约定及时支付预付款、进度款</w:t>
      </w:r>
      <w:r>
        <w:rPr>
          <w:rFonts w:hint="eastAsia"/>
          <w:color w:val="000000" w:themeColor="text1"/>
          <w14:textFill>
            <w14:solidFill>
              <w14:schemeClr w14:val="tx1"/>
            </w14:solidFill>
          </w14:textFill>
        </w:rPr>
        <w:t>。</w:t>
      </w:r>
    </w:p>
    <w:p>
      <w:pPr>
        <w:keepNext/>
        <w:keepLines/>
        <w:spacing w:line="360" w:lineRule="exact"/>
        <w:outlineLvl w:val="0"/>
        <w:rPr>
          <w:bCs/>
          <w:color w:val="000000" w:themeColor="text1"/>
          <w:kern w:val="44"/>
          <w:szCs w:val="21"/>
          <w:lang w:val="zh-CN" w:eastAsia="zh-CN"/>
          <w14:textFill>
            <w14:solidFill>
              <w14:schemeClr w14:val="tx1"/>
            </w14:solidFill>
          </w14:textFill>
        </w:rPr>
      </w:pPr>
      <w:r>
        <w:rPr>
          <w:bCs/>
          <w:color w:val="000000" w:themeColor="text1"/>
          <w:kern w:val="44"/>
          <w:szCs w:val="21"/>
          <w:lang w:val="zh-CN" w:eastAsia="zh-CN"/>
          <w14:textFill>
            <w14:solidFill>
              <w14:schemeClr w14:val="tx1"/>
            </w14:solidFill>
          </w14:textFill>
        </w:rPr>
        <w:t>11.4 异常恶劣的气候条件</w:t>
      </w:r>
      <w:bookmarkEnd w:id="102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 11.4 款约定为：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 异常恶劣的气候条件，对本项目而言，是指发生龙卷风、工地受淹、超过桥梁设计洪水位以及不利降水等引起延误的情况。</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 不利降水的衡量标准为：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按本省气象部门统计的项目所在地降水资料，取最近二十年的平均降水天数为标准；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 按项目所在地实际统计的年降水天数与 a 所指的年降水天数之差，每年计算一次。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 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 若恶劣气候只是对局部工程有影响，承包人应采取合同措施予以弥补，而不能推迟工程的总工期。</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 受本款所述的恶劣气候影响的分项工程，必须在工程施工进度网络计划的关键线路上，监理人方能考虑延长工程总工期。</w:t>
      </w:r>
    </w:p>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66" w:name="_Toc452301317"/>
      <w:r>
        <w:rPr>
          <w:b/>
          <w:bCs/>
          <w:color w:val="000000" w:themeColor="text1"/>
          <w:kern w:val="44"/>
          <w:sz w:val="28"/>
          <w:szCs w:val="28"/>
          <w:lang w:val="zh-CN" w:eastAsia="zh-CN"/>
          <w14:textFill>
            <w14:solidFill>
              <w14:schemeClr w14:val="tx1"/>
            </w14:solidFill>
          </w14:textFill>
        </w:rPr>
        <w:t>12. 暂停施工</w:t>
      </w:r>
      <w:bookmarkEnd w:id="1066"/>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67" w:name="_Toc452301318"/>
      <w:r>
        <w:rPr>
          <w:bCs/>
          <w:color w:val="000000" w:themeColor="text1"/>
          <w:kern w:val="44"/>
          <w:szCs w:val="21"/>
          <w:lang w:val="zh-CN" w:eastAsia="zh-CN"/>
          <w14:textFill>
            <w14:solidFill>
              <w14:schemeClr w14:val="tx1"/>
            </w14:solidFill>
          </w14:textFill>
        </w:rPr>
        <w:t>12.1 承包人暂停施工的责任</w:t>
      </w:r>
      <w:bookmarkEnd w:id="1067"/>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 12.1 款（6）项约定：</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 由承包人承担的其他暂停施工：</w:t>
      </w:r>
      <w:r>
        <w:rPr>
          <w:color w:val="000000" w:themeColor="text1"/>
          <w:u w:val="single"/>
          <w14:textFill>
            <w14:solidFill>
              <w14:schemeClr w14:val="tx1"/>
            </w14:solidFill>
          </w14:textFill>
        </w:rPr>
        <w:t xml:space="preserve">     无    </w:t>
      </w:r>
    </w:p>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68" w:name="_Toc452301319"/>
      <w:r>
        <w:rPr>
          <w:b/>
          <w:bCs/>
          <w:color w:val="000000" w:themeColor="text1"/>
          <w:kern w:val="44"/>
          <w:sz w:val="28"/>
          <w:szCs w:val="28"/>
          <w:lang w:val="zh-CN" w:eastAsia="zh-CN"/>
          <w14:textFill>
            <w14:solidFill>
              <w14:schemeClr w14:val="tx1"/>
            </w14:solidFill>
          </w14:textFill>
        </w:rPr>
        <w:t>13. 工程质量</w:t>
      </w:r>
      <w:bookmarkEnd w:id="1068"/>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69" w:name="_Toc452301320"/>
      <w:r>
        <w:rPr>
          <w:bCs/>
          <w:color w:val="000000" w:themeColor="text1"/>
          <w:kern w:val="44"/>
          <w:szCs w:val="21"/>
          <w:lang w:val="zh-CN" w:eastAsia="zh-CN"/>
          <w14:textFill>
            <w14:solidFill>
              <w14:schemeClr w14:val="tx1"/>
            </w14:solidFill>
          </w14:textFill>
        </w:rPr>
        <w:t>13.1 工程质量要求</w:t>
      </w:r>
      <w:bookmarkEnd w:id="1069"/>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公路工程专用合同条款第 13.1.1 项约定为：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工程质量验收按</w:t>
      </w:r>
      <w:r>
        <w:rPr>
          <w:rFonts w:hint="eastAsia"/>
          <w:color w:val="000000" w:themeColor="text1"/>
          <w14:textFill>
            <w14:solidFill>
              <w14:schemeClr w14:val="tx1"/>
            </w14:solidFill>
          </w14:textFill>
        </w:rPr>
        <w:t>相关</w:t>
      </w:r>
      <w:r>
        <w:rPr>
          <w:color w:val="000000" w:themeColor="text1"/>
          <w14:textFill>
            <w14:solidFill>
              <w14:schemeClr w14:val="tx1"/>
            </w14:solidFill>
          </w14:textFill>
        </w:rPr>
        <w:t>技术规范执行。本工程的质量目标为：标段工程交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工验收的质量评定：</w:t>
      </w:r>
      <w:r>
        <w:rPr>
          <w:rFonts w:hint="eastAsia"/>
          <w:b/>
          <w:i/>
          <w:color w:val="000000" w:themeColor="text1"/>
          <w:szCs w:val="21"/>
          <w:u w:val="single"/>
          <w14:textFill>
            <w14:solidFill>
              <w14:schemeClr w14:val="tx1"/>
            </w14:solidFill>
          </w14:textFill>
        </w:rPr>
        <w:t>合格</w:t>
      </w:r>
      <w:r>
        <w:rPr>
          <w:color w:val="000000" w:themeColor="text1"/>
          <w14:textFill>
            <w14:solidFill>
              <w14:schemeClr w14:val="tx1"/>
            </w14:solidFill>
          </w14:textFill>
        </w:rPr>
        <w:t>。</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为本合同的施工建立强有力的质保系统和质检系统，认真执行国家和交通运输部有关加强质量管理的法规与文件，开展全面质量管理，确保工程质量达到目标要求。若由于承包人不重视质量管理，工程验收未能达到目标要求，则按22.1款规定进行违约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公路工程专用合同条款第13.1款补充第13.1.6项：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13.1.6承包人对施工过程中出现的工程质量缺陷、质量问题或质量事故设计不及时进行整改或修复，发包人将暂不支付工程款，直至整改或修复工作结束并符合规范要求。 </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公路工程专用合同条款补充第 13.7 款：</w:t>
      </w:r>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70" w:name="_Toc452301323"/>
      <w:r>
        <w:rPr>
          <w:bCs/>
          <w:color w:val="000000" w:themeColor="text1"/>
          <w:kern w:val="44"/>
          <w:szCs w:val="21"/>
          <w:lang w:val="zh-CN" w:eastAsia="zh-CN"/>
          <w14:textFill>
            <w14:solidFill>
              <w14:schemeClr w14:val="tx1"/>
            </w14:solidFill>
          </w14:textFill>
        </w:rPr>
        <w:t>13.7 质量抽检</w:t>
      </w:r>
      <w:bookmarkEnd w:id="1070"/>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发包人有权对承包人施工质量随时进行抽检，并通过监理人对工程质量实施否决，承包人应积极配合并免费提供试验用的试件</w:t>
      </w:r>
      <w:r>
        <w:rPr>
          <w:color w:val="000000" w:themeColor="text1"/>
          <w14:textFill>
            <w14:solidFill>
              <w14:schemeClr w14:val="tx1"/>
            </w14:solidFill>
          </w14:textFill>
        </w:rPr>
        <w:t>。</w:t>
      </w:r>
    </w:p>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71" w:name="_Toc452301324"/>
      <w:r>
        <w:rPr>
          <w:b/>
          <w:bCs/>
          <w:color w:val="000000" w:themeColor="text1"/>
          <w:kern w:val="44"/>
          <w:sz w:val="28"/>
          <w:szCs w:val="28"/>
          <w:lang w:val="zh-CN" w:eastAsia="zh-CN"/>
          <w14:textFill>
            <w14:solidFill>
              <w14:schemeClr w14:val="tx1"/>
            </w14:solidFill>
          </w14:textFill>
        </w:rPr>
        <w:t>14. 试验和检验</w:t>
      </w:r>
      <w:bookmarkEnd w:id="1071"/>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72" w:name="_Toc452301325"/>
      <w:r>
        <w:rPr>
          <w:bCs/>
          <w:color w:val="000000" w:themeColor="text1"/>
          <w:kern w:val="44"/>
          <w:szCs w:val="21"/>
          <w:lang w:val="zh-CN" w:eastAsia="zh-CN"/>
          <w14:textFill>
            <w14:solidFill>
              <w14:schemeClr w14:val="tx1"/>
            </w14:solidFill>
          </w14:textFill>
        </w:rPr>
        <w:t>14.1 材料、工程设备和工程的试验和检验</w:t>
      </w:r>
      <w:bookmarkEnd w:id="107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通用合同条款第 14.1.3 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或由监理人委托第三方独立的检测单位，该检测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73" w:name="_Toc452301326"/>
      <w:r>
        <w:rPr>
          <w:b/>
          <w:bCs/>
          <w:color w:val="000000" w:themeColor="text1"/>
          <w:kern w:val="44"/>
          <w:sz w:val="28"/>
          <w:szCs w:val="28"/>
          <w:lang w:val="zh-CN" w:eastAsia="zh-CN"/>
          <w14:textFill>
            <w14:solidFill>
              <w14:schemeClr w14:val="tx1"/>
            </w14:solidFill>
          </w14:textFill>
        </w:rPr>
        <w:t>15. 变更</w:t>
      </w:r>
      <w:bookmarkEnd w:id="1073"/>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74" w:name="_Toc452301327"/>
      <w:r>
        <w:rPr>
          <w:bCs/>
          <w:color w:val="000000" w:themeColor="text1"/>
          <w:kern w:val="44"/>
          <w:szCs w:val="21"/>
          <w:lang w:val="zh-CN" w:eastAsia="zh-CN"/>
          <w14:textFill>
            <w14:solidFill>
              <w14:schemeClr w14:val="tx1"/>
            </w14:solidFill>
          </w14:textFill>
        </w:rPr>
        <w:t>15.3 变更程序</w:t>
      </w:r>
      <w:bookmarkEnd w:id="1074"/>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公路工程专用合同条款第 15.3.4 项细化为：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15.3.4 设计变更程序应执行交通运输部《公路工程设计变更管理办法》（交通运输部令 2005 年第 5 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浙江省交通运输厅《关于进一步加强国省道及重要县道新、改建项目设计变更管理工作的通知》（浙交〔2008〕70 号） 的相关规定和要求。</w:t>
      </w:r>
    </w:p>
    <w:p>
      <w:pPr>
        <w:spacing w:line="400" w:lineRule="exact"/>
        <w:ind w:firstLine="422" w:firstLineChars="200"/>
        <w:rPr>
          <w:b/>
          <w:i/>
          <w:color w:val="000000" w:themeColor="text1"/>
          <w14:textFill>
            <w14:solidFill>
              <w14:schemeClr w14:val="tx1"/>
            </w14:solidFill>
          </w14:textFill>
        </w:rPr>
      </w:pPr>
      <w:r>
        <w:rPr>
          <w:rFonts w:hint="eastAsia" w:ascii="宋体" w:hAnsi="宋体" w:cs="宋体"/>
          <w:b/>
          <w:iCs/>
          <w:color w:val="000000" w:themeColor="text1"/>
          <w14:textFill>
            <w14:solidFill>
              <w14:schemeClr w14:val="tx1"/>
            </w14:solidFill>
          </w14:textFill>
        </w:rPr>
        <w:t>工程中凡涉及工程项目变更管理均严格按三门县人民政府文件三政发〔2018 〕44 号、《关于进一步规范政府投资项目变更有关事项的通知》（三政办发【2020】1号）</w:t>
      </w:r>
      <w:r>
        <w:rPr>
          <w:rFonts w:hint="eastAsia" w:ascii="宋体" w:hAnsi="宋体" w:cs="宋体"/>
          <w:b/>
          <w:color w:val="000000" w:themeColor="text1"/>
          <w:kern w:val="0"/>
          <w:szCs w:val="21"/>
          <w:lang w:val="zh-CN"/>
          <w14:textFill>
            <w14:solidFill>
              <w14:schemeClr w14:val="tx1"/>
            </w14:solidFill>
          </w14:textFill>
        </w:rPr>
        <w:t>和《浙江省财政厅关于印发浙江省政府采购合同暂行办法的通知》（浙财采监[</w:t>
      </w:r>
      <w:r>
        <w:rPr>
          <w:rFonts w:ascii="宋体" w:hAnsi="宋体" w:cs="宋体"/>
          <w:b/>
          <w:color w:val="000000" w:themeColor="text1"/>
          <w:kern w:val="0"/>
          <w:szCs w:val="21"/>
          <w:lang w:val="zh-CN"/>
          <w14:textFill>
            <w14:solidFill>
              <w14:schemeClr w14:val="tx1"/>
            </w14:solidFill>
          </w14:textFill>
        </w:rPr>
        <w:t>2017</w:t>
      </w:r>
      <w:r>
        <w:rPr>
          <w:rFonts w:hint="eastAsia" w:ascii="宋体" w:hAnsi="宋体" w:cs="宋体"/>
          <w:b/>
          <w:color w:val="000000" w:themeColor="text1"/>
          <w:kern w:val="0"/>
          <w:szCs w:val="21"/>
          <w:lang w:val="zh-CN"/>
          <w14:textFill>
            <w14:solidFill>
              <w14:schemeClr w14:val="tx1"/>
            </w14:solidFill>
          </w14:textFill>
        </w:rPr>
        <w:t>]</w:t>
      </w:r>
      <w:r>
        <w:rPr>
          <w:rFonts w:ascii="宋体" w:hAnsi="宋体" w:cs="宋体"/>
          <w:b/>
          <w:color w:val="000000" w:themeColor="text1"/>
          <w:kern w:val="0"/>
          <w:szCs w:val="21"/>
          <w:lang w:val="zh-CN"/>
          <w14:textFill>
            <w14:solidFill>
              <w14:schemeClr w14:val="tx1"/>
            </w14:solidFill>
          </w14:textFill>
        </w:rPr>
        <w:t>11号</w:t>
      </w:r>
      <w:r>
        <w:rPr>
          <w:rFonts w:hint="eastAsia" w:ascii="宋体" w:hAnsi="宋体" w:cs="宋体"/>
          <w:b/>
          <w:color w:val="000000" w:themeColor="text1"/>
          <w:kern w:val="0"/>
          <w:szCs w:val="21"/>
          <w:lang w:val="zh-CN"/>
          <w14:textFill>
            <w14:solidFill>
              <w14:schemeClr w14:val="tx1"/>
            </w14:solidFill>
          </w14:textFill>
        </w:rPr>
        <w:t>）的规定，</w:t>
      </w:r>
      <w:r>
        <w:rPr>
          <w:b/>
          <w:i/>
          <w:color w:val="000000" w:themeColor="text1"/>
          <w14:textFill>
            <w14:solidFill>
              <w14:schemeClr w14:val="tx1"/>
            </w14:solidFill>
          </w14:textFill>
        </w:rPr>
        <w:t xml:space="preserve"> </w:t>
      </w:r>
    </w:p>
    <w:p>
      <w:pPr>
        <w:pStyle w:val="3"/>
        <w:rPr>
          <w:color w:val="000000" w:themeColor="text1"/>
          <w14:textFill>
            <w14:solidFill>
              <w14:schemeClr w14:val="tx1"/>
            </w14:solidFill>
          </w14:textFill>
        </w:rPr>
      </w:pPr>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75" w:name="_Toc452301328"/>
      <w:r>
        <w:rPr>
          <w:bCs/>
          <w:color w:val="000000" w:themeColor="text1"/>
          <w:kern w:val="44"/>
          <w:szCs w:val="21"/>
          <w:lang w:val="zh-CN" w:eastAsia="zh-CN"/>
          <w14:textFill>
            <w14:solidFill>
              <w14:schemeClr w14:val="tx1"/>
            </w14:solidFill>
          </w14:textFill>
        </w:rPr>
        <w:t>15.4 变更的估价原则</w:t>
      </w:r>
      <w:bookmarkEnd w:id="1075"/>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公路工程专用合同条款第 15.4.2 项约定为：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15.4.2已标价的工程量清单中有适用于变更工作的子目的，采用该子目的单价。但是，如果合同的工程量清单中某一个支付子目所列的“合价”超过签约合同价的2%，而且该支付子目变更后的工程实际数量超过或少于工程量清单中所列数量的25%，则该支付的单价应予以调整，新单价的确定原则适用15.4.4项规定，调整后的新单价适用于该支付子目已完工的全部工程数量。</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公路工程专用合同条款 15.4.4 项细化为：</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15.4.4 已标价工程量清单中无适用或类似子目的单价，按以下原则进行组价：</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（1）定额套用：交通部2018年第86号公告公布实施的《公路工程基本建设项目概算预算编制办法》（JTG3830-2018）及《公路工程概算定额》（JTG/T 3831-2018）、《公路工程概算定额》（JTG/T B06-02-2018）、《公路工程机械台班费用定额》（JTG/T 3832-2018）；</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（2）取费标准、人工费、机械台班费用：按交通部《公路工程基本建设项目概算预算编制办法》（JTG3830-2018） 、交通部《公路工程预算定额》（JTG/T 3832-2018））、交通部《公路工程机械台班费用定额》（JTG/T 3833-2018）、交办公路【2019】26号发布的交通运输部办公厅关于印发《公路工程营业税改征增值税计价依据调整方案》的通知等；</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（3）材料：按本项目合同专用条款16.1款公布的基期价格计入，16.1 款无规定基期价格的材料， 以浙江省交通厅工程造价管理站发布的投标截止期前1个月《质监与造价》上的信息价计入（</w:t>
      </w:r>
      <w:r>
        <w:rPr>
          <w:rFonts w:hint="eastAsia" w:ascii="宋体" w:hAnsi="宋体" w:cs="宋体"/>
          <w:color w:val="000000" w:themeColor="text1"/>
          <w:u w:val="single"/>
          <w14:textFill>
            <w14:solidFill>
              <w14:schemeClr w14:val="tx1"/>
            </w14:solidFill>
          </w14:textFill>
        </w:rPr>
        <w:t>_三门县</w:t>
      </w:r>
      <w:r>
        <w:rPr>
          <w:rFonts w:hint="eastAsia" w:ascii="宋体" w:hAnsi="宋体" w:cs="宋体"/>
          <w:color w:val="000000" w:themeColor="text1"/>
          <w14:textFill>
            <w14:solidFill>
              <w14:schemeClr w14:val="tx1"/>
            </w14:solidFill>
          </w14:textFill>
        </w:rPr>
        <w:t>信息价平均值）；《质监与造价》中也无信息价的，由监理人、发包人、承包人商定；</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（4）无法套用上述定额和取费标准的，依次按水运、 市政、水利、铁路、建筑定额和取费标准的顺序进行组价； 上述定额有区域性的，优先适用浙江定额与取费标准；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（5）无法套用任何现行定额的，由承包人报监理人审核， 并经发包人审批同意后计取；</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）根据上述原则组价的综合单价，计算工程总价，结算时统一按综合优惠率（</w:t>
      </w:r>
      <w:r>
        <w:rPr>
          <w:rFonts w:hint="eastAsia" w:ascii="宋体" w:hAnsi="宋体" w:cs="宋体"/>
          <w:color w:val="000000" w:themeColor="text1"/>
          <w:kern w:val="0"/>
          <w:szCs w:val="21"/>
          <w:lang w:val="zh-CN"/>
          <w14:textFill>
            <w14:solidFill>
              <w14:schemeClr w14:val="tx1"/>
            </w14:solidFill>
          </w14:textFill>
        </w:rPr>
        <w:t>综合优惠率=［1-（</w:t>
      </w:r>
      <w:r>
        <w:rPr>
          <w:rFonts w:hint="eastAsia"/>
          <w:color w:val="000000" w:themeColor="text1"/>
          <w:szCs w:val="21"/>
          <w14:textFill>
            <w14:solidFill>
              <w14:schemeClr w14:val="tx1"/>
            </w14:solidFill>
          </w14:textFill>
        </w:rPr>
        <w:t>投标人最终投标报价-安全</w:t>
      </w:r>
      <w:r>
        <w:rPr>
          <w:color w:val="000000" w:themeColor="text1"/>
          <w:szCs w:val="21"/>
          <w14:textFill>
            <w14:solidFill>
              <w14:schemeClr w14:val="tx1"/>
            </w14:solidFill>
          </w14:textFill>
        </w:rPr>
        <w:t>文明施工费</w:t>
      </w:r>
      <w:r>
        <w:rPr>
          <w:rFonts w:hint="eastAsia" w:ascii="宋体" w:hAnsi="宋体" w:cs="宋体"/>
          <w:color w:val="000000" w:themeColor="text1"/>
          <w:kern w:val="0"/>
          <w:szCs w:val="21"/>
          <w:lang w:val="zh-CN"/>
          <w14:textFill>
            <w14:solidFill>
              <w14:schemeClr w14:val="tx1"/>
            </w14:solidFill>
          </w14:textFill>
        </w:rPr>
        <w:t>）/（本标段预算审核价-安全文明</w:t>
      </w:r>
      <w:r>
        <w:rPr>
          <w:rFonts w:ascii="宋体" w:hAnsi="宋体" w:cs="宋体"/>
          <w:color w:val="000000" w:themeColor="text1"/>
          <w:kern w:val="0"/>
          <w:szCs w:val="21"/>
          <w:lang w:val="zh-CN"/>
          <w14:textFill>
            <w14:solidFill>
              <w14:schemeClr w14:val="tx1"/>
            </w14:solidFill>
          </w14:textFill>
        </w:rPr>
        <w:t>施工费</w:t>
      </w:r>
      <w:r>
        <w:rPr>
          <w:rFonts w:hint="eastAsia" w:ascii="宋体" w:hAnsi="宋体" w:cs="宋体"/>
          <w:color w:val="000000" w:themeColor="text1"/>
          <w:kern w:val="0"/>
          <w:szCs w:val="21"/>
          <w:lang w:val="zh-CN"/>
          <w14:textFill>
            <w14:solidFill>
              <w14:schemeClr w14:val="tx1"/>
            </w14:solidFill>
          </w14:textFill>
        </w:rPr>
        <w:t>）]×lO0%。</w:t>
      </w:r>
      <w:r>
        <w:rPr>
          <w:rFonts w:hint="eastAsia" w:ascii="宋体" w:hAnsi="宋体" w:cs="宋体"/>
          <w:color w:val="000000" w:themeColor="text1"/>
          <w14:textFill>
            <w14:solidFill>
              <w14:schemeClr w14:val="tx1"/>
            </w14:solidFill>
          </w14:textFill>
        </w:rPr>
        <w:t>）实行总价下浮。</w:t>
      </w:r>
      <w:r>
        <w:rPr>
          <w:rFonts w:ascii="宋体" w:hAnsi="宋体" w:cs="宋体"/>
          <w:b/>
          <w:color w:val="000000" w:themeColor="text1"/>
          <w:szCs w:val="21"/>
          <w14:textFill>
            <w14:solidFill>
              <w14:schemeClr w14:val="tx1"/>
            </w14:solidFill>
          </w14:textFill>
        </w:rPr>
        <w:t>结算总价</w:t>
      </w:r>
      <w:r>
        <w:rPr>
          <w:rFonts w:hint="eastAsia" w:ascii="宋体" w:hAnsi="宋体" w:cs="宋体"/>
          <w:b/>
          <w:color w:val="000000" w:themeColor="text1"/>
          <w:szCs w:val="21"/>
          <w14:textFill>
            <w14:solidFill>
              <w14:schemeClr w14:val="tx1"/>
            </w14:solidFill>
          </w14:textFill>
        </w:rPr>
        <w:t>=实际</w:t>
      </w:r>
      <w:r>
        <w:rPr>
          <w:rFonts w:ascii="宋体" w:hAnsi="宋体" w:cs="宋体"/>
          <w:b/>
          <w:color w:val="000000" w:themeColor="text1"/>
          <w:szCs w:val="21"/>
          <w14:textFill>
            <w14:solidFill>
              <w14:schemeClr w14:val="tx1"/>
            </w14:solidFill>
          </w14:textFill>
        </w:rPr>
        <w:t>完成工程量</w:t>
      </w:r>
      <w:r>
        <w:rPr>
          <w:rFonts w:hint="eastAsia" w:ascii="宋体" w:hAnsi="宋体" w:cs="宋体"/>
          <w:b/>
          <w:color w:val="000000" w:themeColor="text1"/>
          <w:szCs w:val="21"/>
          <w14:textFill>
            <w14:solidFill>
              <w14:schemeClr w14:val="tx1"/>
            </w14:solidFill>
          </w14:textFill>
        </w:rPr>
        <w:t>*预算</w:t>
      </w:r>
      <w:r>
        <w:rPr>
          <w:rFonts w:ascii="宋体" w:hAnsi="宋体" w:cs="宋体"/>
          <w:b/>
          <w:color w:val="000000" w:themeColor="text1"/>
          <w:szCs w:val="21"/>
          <w14:textFill>
            <w14:solidFill>
              <w14:schemeClr w14:val="tx1"/>
            </w14:solidFill>
          </w14:textFill>
        </w:rPr>
        <w:t>审核综合单价</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综合优惠率）。</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补充15.4.6：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76" w:name="_Toc452301329"/>
      <w:bookmarkStart w:id="1077" w:name="_Toc11609"/>
      <w:r>
        <w:rPr>
          <w:b/>
          <w:bCs/>
          <w:color w:val="000000" w:themeColor="text1"/>
          <w:kern w:val="44"/>
          <w:sz w:val="28"/>
          <w:szCs w:val="28"/>
          <w:lang w:val="zh-CN" w:eastAsia="zh-CN"/>
          <w14:textFill>
            <w14:solidFill>
              <w14:schemeClr w14:val="tx1"/>
            </w14:solidFill>
          </w14:textFill>
        </w:rPr>
        <w:t>16. 价格调整</w:t>
      </w:r>
      <w:bookmarkEnd w:id="1076"/>
    </w:p>
    <w:p>
      <w:pPr>
        <w:spacing w:line="360" w:lineRule="exact"/>
        <w:ind w:firstLine="420" w:firstLineChars="200"/>
        <w:rPr>
          <w:color w:val="000000" w:themeColor="text1"/>
          <w14:textFill>
            <w14:solidFill>
              <w14:schemeClr w14:val="tx1"/>
            </w14:solidFill>
          </w14:textFill>
        </w:rPr>
      </w:pPr>
      <w:bookmarkStart w:id="1078" w:name="_Toc452301330"/>
      <w:r>
        <w:rPr>
          <w:color w:val="000000" w:themeColor="text1"/>
          <w14:textFill>
            <w14:solidFill>
              <w14:schemeClr w14:val="tx1"/>
            </w14:solidFill>
          </w14:textFill>
        </w:rPr>
        <w:t>16.1 物价波动引起的价格调整</w:t>
      </w:r>
      <w:bookmarkEnd w:id="1078"/>
    </w:p>
    <w:p>
      <w:pPr>
        <w:tabs>
          <w:tab w:val="left" w:pos="2790"/>
        </w:tabs>
        <w:spacing w:line="400" w:lineRule="exact"/>
        <w:ind w:firstLine="420" w:firstLineChars="200"/>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通用合同条款和公路工程专用合同条款16.1款约定为：</w:t>
      </w:r>
    </w:p>
    <w:p>
      <w:pPr>
        <w:tabs>
          <w:tab w:val="left" w:pos="2790"/>
        </w:tabs>
        <w:spacing w:line="400" w:lineRule="exact"/>
        <w:ind w:firstLine="420" w:firstLineChars="200"/>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本项目合同期内不进行价格调整。</w:t>
      </w:r>
    </w:p>
    <w:p>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 计量与支付</w:t>
      </w:r>
      <w:bookmarkEnd w:id="1077"/>
    </w:p>
    <w:p>
      <w:pPr>
        <w:keepNext/>
        <w:keepLines/>
        <w:spacing w:line="340" w:lineRule="exact"/>
        <w:outlineLvl w:val="0"/>
        <w:rPr>
          <w:bCs/>
          <w:color w:val="000000" w:themeColor="text1"/>
          <w:kern w:val="44"/>
          <w:szCs w:val="21"/>
          <w:lang w:val="zh-CN" w:eastAsia="zh-CN"/>
          <w14:textFill>
            <w14:solidFill>
              <w14:schemeClr w14:val="tx1"/>
            </w14:solidFill>
          </w14:textFill>
        </w:rPr>
      </w:pPr>
      <w:bookmarkStart w:id="1079" w:name="_Toc452301332"/>
      <w:r>
        <w:rPr>
          <w:bCs/>
          <w:color w:val="000000" w:themeColor="text1"/>
          <w:kern w:val="44"/>
          <w:szCs w:val="21"/>
          <w:lang w:val="zh-CN" w:eastAsia="zh-CN"/>
          <w14:textFill>
            <w14:solidFill>
              <w14:schemeClr w14:val="tx1"/>
            </w14:solidFill>
          </w14:textFill>
        </w:rPr>
        <w:t>17.2 预付款</w:t>
      </w:r>
      <w:bookmarkEnd w:id="1079"/>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17.2.1 预付款</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公路工程专用合同条款17.2.1（1）目细化为：</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（1）开工预付款为签约合同价的</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pPr>
        <w:spacing w:before="120" w:beforeLines="50" w:line="360" w:lineRule="auto"/>
        <w:ind w:firstLine="420" w:firstLineChars="200"/>
        <w:rPr>
          <w:rFonts w:ascii="宋体" w:hAnsi="宋体"/>
          <w:color w:val="000000" w:themeColor="text1"/>
          <w14:textFill>
            <w14:solidFill>
              <w14:schemeClr w14:val="tx1"/>
            </w14:solidFill>
          </w14:textFill>
        </w:rPr>
      </w:pPr>
      <w:bookmarkStart w:id="1080" w:name="_Toc29875"/>
      <w:r>
        <w:rPr>
          <w:rFonts w:hint="eastAsia" w:ascii="宋体" w:hAnsi="宋体"/>
          <w:color w:val="000000" w:themeColor="text1"/>
          <w14:textFill>
            <w14:solidFill>
              <w14:schemeClr w14:val="tx1"/>
            </w14:solidFill>
          </w14:textFill>
        </w:rPr>
        <w:t>通用合同条款补充第17.3.5项为：</w:t>
      </w:r>
    </w:p>
    <w:p>
      <w:pPr>
        <w:spacing w:line="360" w:lineRule="auto"/>
        <w:ind w:firstLine="422" w:firstLineChars="200"/>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17.3.5</w:t>
      </w:r>
      <w:r>
        <w:rPr>
          <w:rFonts w:hint="eastAsia" w:ascii="宋体" w:hAnsi="宋体"/>
          <w:b/>
          <w:bCs/>
          <w:color w:val="000000" w:themeColor="text1"/>
          <w:szCs w:val="21"/>
          <w14:textFill>
            <w14:solidFill>
              <w14:schemeClr w14:val="tx1"/>
            </w14:solidFill>
          </w14:textFill>
        </w:rPr>
        <w:t>工程</w:t>
      </w:r>
      <w:r>
        <w:rPr>
          <w:rFonts w:hint="eastAsia" w:ascii="宋体" w:hAnsi="宋体"/>
          <w:b/>
          <w:bCs/>
          <w:color w:val="000000" w:themeColor="text1"/>
          <w:szCs w:val="21"/>
          <w:lang w:val="en-US" w:eastAsia="zh-CN"/>
          <w14:textFill>
            <w14:solidFill>
              <w14:schemeClr w14:val="tx1"/>
            </w14:solidFill>
          </w14:textFill>
        </w:rPr>
        <w:t>竣工</w:t>
      </w:r>
      <w:r>
        <w:rPr>
          <w:rFonts w:hint="eastAsia" w:ascii="宋体" w:hAnsi="宋体"/>
          <w:b/>
          <w:bCs/>
          <w:color w:val="000000" w:themeColor="text1"/>
          <w:szCs w:val="21"/>
          <w14:textFill>
            <w14:solidFill>
              <w14:schemeClr w14:val="tx1"/>
            </w14:solidFill>
          </w14:textFill>
        </w:rPr>
        <w:t>验收合格</w:t>
      </w:r>
      <w:r>
        <w:rPr>
          <w:rFonts w:hint="eastAsia" w:ascii="宋体" w:hAnsi="宋体"/>
          <w:b/>
          <w:bCs/>
          <w:color w:val="000000" w:themeColor="text1"/>
          <w:szCs w:val="21"/>
          <w:lang w:val="en-US" w:eastAsia="zh-CN"/>
          <w14:textFill>
            <w14:solidFill>
              <w14:schemeClr w14:val="tx1"/>
            </w14:solidFill>
          </w14:textFill>
        </w:rPr>
        <w:t>并</w:t>
      </w:r>
      <w:r>
        <w:rPr>
          <w:rFonts w:hint="eastAsia" w:ascii="宋体" w:hAnsi="宋体"/>
          <w:b/>
          <w:bCs/>
          <w:color w:val="000000" w:themeColor="text1"/>
          <w:szCs w:val="21"/>
          <w14:textFill>
            <w14:solidFill>
              <w14:schemeClr w14:val="tx1"/>
            </w14:solidFill>
          </w14:textFill>
        </w:rPr>
        <w:t>经结算审定(工程结算款以三门县财政局审定为依据)，</w:t>
      </w:r>
      <w:r>
        <w:rPr>
          <w:rFonts w:hint="eastAsia" w:ascii="宋体" w:hAnsi="宋体"/>
          <w:b/>
          <w:bCs/>
          <w:color w:val="000000" w:themeColor="text1"/>
          <w:szCs w:val="21"/>
          <w:lang w:val="en-US" w:eastAsia="zh-CN"/>
          <w14:textFill>
            <w14:solidFill>
              <w14:schemeClr w14:val="tx1"/>
            </w14:solidFill>
          </w14:textFill>
        </w:rPr>
        <w:t>待上级拨款资金到位后</w:t>
      </w:r>
      <w:r>
        <w:rPr>
          <w:rFonts w:hint="eastAsia" w:ascii="宋体" w:hAnsi="宋体"/>
          <w:b/>
          <w:bCs/>
          <w:color w:val="000000" w:themeColor="text1"/>
          <w:szCs w:val="21"/>
          <w14:textFill>
            <w14:solidFill>
              <w14:schemeClr w14:val="tx1"/>
            </w14:solidFill>
          </w14:textFill>
        </w:rPr>
        <w:t>付至该工程结算价的98.5%，余下1.5%作为工程质量保</w:t>
      </w:r>
      <w:r>
        <w:rPr>
          <w:rFonts w:hint="eastAsia" w:ascii="宋体" w:hAnsi="宋体"/>
          <w:b/>
          <w:bCs/>
          <w:color w:val="000000" w:themeColor="text1"/>
          <w:szCs w:val="21"/>
          <w:lang w:val="en-US" w:eastAsia="zh-CN"/>
          <w14:textFill>
            <w14:solidFill>
              <w14:schemeClr w14:val="tx1"/>
            </w14:solidFill>
          </w14:textFill>
        </w:rPr>
        <w:t>证</w:t>
      </w:r>
      <w:r>
        <w:rPr>
          <w:rFonts w:hint="eastAsia" w:ascii="宋体" w:hAnsi="宋体"/>
          <w:b/>
          <w:bCs/>
          <w:color w:val="000000" w:themeColor="text1"/>
          <w:szCs w:val="21"/>
          <w14:textFill>
            <w14:solidFill>
              <w14:schemeClr w14:val="tx1"/>
            </w14:solidFill>
          </w14:textFill>
        </w:rPr>
        <w:t>金, 待缺陷责任期满后付清（不计息）。</w:t>
      </w:r>
    </w:p>
    <w:p>
      <w:pPr>
        <w:spacing w:line="360" w:lineRule="auto"/>
        <w:rPr>
          <w:rFonts w:ascii="宋体" w:hAnsi="宋体"/>
          <w:bCs/>
          <w:color w:val="000000" w:themeColor="text1"/>
          <w:lang w:val="zh-CN"/>
          <w14:textFill>
            <w14:solidFill>
              <w14:schemeClr w14:val="tx1"/>
            </w14:solidFill>
          </w14:textFill>
        </w:rPr>
      </w:pPr>
      <w:bookmarkStart w:id="1081" w:name="_Toc338772133"/>
      <w:bookmarkStart w:id="1082" w:name="_Toc333848071"/>
      <w:bookmarkStart w:id="1083" w:name="_Toc482283885"/>
      <w:r>
        <w:rPr>
          <w:rFonts w:hint="eastAsia" w:ascii="宋体" w:hAnsi="宋体"/>
          <w:bCs/>
          <w:color w:val="000000" w:themeColor="text1"/>
          <w:lang w:val="zh-CN"/>
          <w14:textFill>
            <w14:solidFill>
              <w14:schemeClr w14:val="tx1"/>
            </w14:solidFill>
          </w14:textFill>
        </w:rPr>
        <w:t>17.6  最终结清</w:t>
      </w:r>
      <w:bookmarkEnd w:id="1081"/>
      <w:bookmarkEnd w:id="1082"/>
      <w:bookmarkEnd w:id="1083"/>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17.6.2  最终结清证书和支付时间</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通用合同条款第17.6.2项补充(5)：</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(5)工程价款的最终结清以审计部门的审定数为准</w:t>
      </w:r>
      <w:r>
        <w:rPr>
          <w:rFonts w:hint="eastAsia" w:ascii="宋体" w:hAnsi="宋体"/>
          <w:color w:val="000000" w:themeColor="text1"/>
          <w14:textFill>
            <w14:solidFill>
              <w14:schemeClr w14:val="tx1"/>
            </w14:solidFill>
          </w14:textFill>
        </w:rPr>
        <w:t>。</w:t>
      </w:r>
    </w:p>
    <w:bookmarkEnd w:id="1080"/>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84" w:name="_Toc246867767"/>
      <w:bookmarkStart w:id="1085" w:name="_Toc246699782"/>
      <w:bookmarkStart w:id="1086" w:name="_Toc15888"/>
      <w:bookmarkStart w:id="1087" w:name="_Toc249418765"/>
      <w:bookmarkStart w:id="1088" w:name="_Toc25107"/>
      <w:r>
        <w:rPr>
          <w:b/>
          <w:bCs/>
          <w:color w:val="000000" w:themeColor="text1"/>
          <w:kern w:val="44"/>
          <w:sz w:val="28"/>
          <w:szCs w:val="28"/>
          <w:lang w:val="zh-CN" w:eastAsia="zh-CN"/>
          <w14:textFill>
            <w14:solidFill>
              <w14:schemeClr w14:val="tx1"/>
            </w14:solidFill>
          </w14:textFill>
        </w:rPr>
        <w:t>18. 交工验收</w:t>
      </w:r>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89" w:name="_Toc452301334"/>
      <w:r>
        <w:rPr>
          <w:bCs/>
          <w:color w:val="000000" w:themeColor="text1"/>
          <w:kern w:val="44"/>
          <w:szCs w:val="21"/>
          <w:lang w:val="zh-CN" w:eastAsia="zh-CN"/>
          <w14:textFill>
            <w14:solidFill>
              <w14:schemeClr w14:val="tx1"/>
            </w14:solidFill>
          </w14:textFill>
        </w:rPr>
        <w:t>18.9 竣工文件</w:t>
      </w:r>
      <w:bookmarkEnd w:id="1089"/>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 18.9 款细化为：</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竣工文件应按交通运输部 2004 年第3号令《公路工程竣（交）工验收办法》、交通运输部交公路发（2010）65 号《公路工程竣（交）工验收办法实施细则》和浙江省交通运输厅《浙江省公路工程竣工文件编制办法》、浙江省交通运输厅浙交［2013］22 号《浙江省公路工程竣（交）工验收实施细则（试行）》等编制。在缺陷责任期内应为竣工验收补充竣工资料，并在缺陷责任期满 45 天之前提交。承包人还应按交通运输部交财发[2000]207 号《交通基本建设项目竣工决算报告编制办法》的规定和要求编制（由承包人实施的部分）竣工决算一式六套，提交监理人审核，同时应提交全套竣工资料的电子文档刻录光盘或其他电子存储介质，费用由承包人承担。</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应综合考虑本项目阶段性交工、节点工程试运营、验收等的特殊性，按规定整理完成并经阶段性验收合格后，最后按整个项目进行汇总整理及评定。承包人因此增加的费用应认为已包括在投标价之中，发包人不另行支付。</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竣工文件中涉及施工及监理文件的有关表式，应按《浙江省公路建设项目施工统一用表管理系统（2013年修订版）》（光盘）和浙江省交通运输厅工程质量监督局检测中心规定的统一试验用表（光盘）选用。光盘由承包人自备。</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公路工程专用合同条款补充第 18. 10 款：</w:t>
      </w:r>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90" w:name="_Toc452301335"/>
      <w:r>
        <w:rPr>
          <w:bCs/>
          <w:color w:val="000000" w:themeColor="text1"/>
          <w:kern w:val="44"/>
          <w:szCs w:val="21"/>
          <w:lang w:val="zh-CN" w:eastAsia="zh-CN"/>
          <w14:textFill>
            <w14:solidFill>
              <w14:schemeClr w14:val="tx1"/>
            </w14:solidFill>
          </w14:textFill>
        </w:rPr>
        <w:t>18. 10 工程档案管理</w:t>
      </w:r>
      <w:bookmarkEnd w:id="1090"/>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承包人必须确保工程施工原始资料与工程进度同步完成，并由专人负责档案管理工作，同时按照《中华人民共和国档案法》、《国家重大建设项目文件归档要求与档案整理规范》（ DA/T28-2002），《科学技术档案案卷构成的一般要求》（ GB/T11822-2008）、交通运输部《关于印发公路建设项目文件材料立卷归档管理办法的通知》（交办发[2010]382 号）、《浙江省公路工程竣工文件编制办法》（浙交[2002]138 号）、《重大建设项目档案验收办法》（档发[2006]2 号）以及交通运输部《公路工程竣（交）工验收办法》（2004年第 3 号令）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bookmarkEnd w:id="1084"/>
    <w:bookmarkEnd w:id="1085"/>
    <w:bookmarkEnd w:id="1086"/>
    <w:bookmarkEnd w:id="1087"/>
    <w:bookmarkEnd w:id="1088"/>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91" w:name="_Toc452301336"/>
      <w:bookmarkStart w:id="1092" w:name="_Toc6715"/>
      <w:r>
        <w:rPr>
          <w:rFonts w:hint="eastAsia"/>
          <w:b/>
          <w:bCs/>
          <w:color w:val="000000" w:themeColor="text1"/>
          <w:kern w:val="44"/>
          <w:sz w:val="28"/>
          <w:szCs w:val="28"/>
          <w:lang w:val="zh-CN" w:eastAsia="zh-CN"/>
          <w14:textFill>
            <w14:solidFill>
              <w14:schemeClr w14:val="tx1"/>
            </w14:solidFill>
          </w14:textFill>
        </w:rPr>
        <w:t>19.缺陷责任与保修责任</w:t>
      </w:r>
      <w:bookmarkEnd w:id="1091"/>
    </w:p>
    <w:p>
      <w:pPr>
        <w:keepNext/>
        <w:keepLines/>
        <w:spacing w:before="240" w:line="360" w:lineRule="exact"/>
        <w:outlineLvl w:val="2"/>
        <w:rPr>
          <w:rFonts w:hAnsi="宋体" w:cs="宋体"/>
          <w:color w:val="000000" w:themeColor="text1"/>
          <w:szCs w:val="21"/>
          <w:lang w:val="zh-CN" w:eastAsia="zh-CN"/>
          <w14:textFill>
            <w14:solidFill>
              <w14:schemeClr w14:val="tx1"/>
            </w14:solidFill>
          </w14:textFill>
        </w:rPr>
      </w:pPr>
      <w:bookmarkStart w:id="1093" w:name="_Toc9698"/>
      <w:bookmarkStart w:id="1094" w:name="_Toc249418766"/>
      <w:bookmarkStart w:id="1095" w:name="_Toc246867768"/>
      <w:bookmarkStart w:id="1096" w:name="_Toc246699783"/>
      <w:r>
        <w:rPr>
          <w:rFonts w:hint="eastAsia" w:hAnsi="宋体" w:cs="宋体"/>
          <w:color w:val="000000" w:themeColor="text1"/>
          <w:szCs w:val="21"/>
          <w:lang w:val="zh-CN" w:eastAsia="zh-CN"/>
          <w14:textFill>
            <w14:solidFill>
              <w14:schemeClr w14:val="tx1"/>
            </w14:solidFill>
          </w14:textFill>
        </w:rPr>
        <w:t>19.2缺陷责任</w:t>
      </w:r>
      <w:bookmarkEnd w:id="1093"/>
      <w:bookmarkEnd w:id="1094"/>
      <w:bookmarkEnd w:id="1095"/>
      <w:bookmarkEnd w:id="1096"/>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通用合同条款和公路工程专用合同条款第19.2.2项细化：</w:t>
      </w:r>
    </w:p>
    <w:p>
      <w:pPr>
        <w:spacing w:line="360" w:lineRule="exact"/>
        <w:ind w:firstLine="420" w:firstLineChars="200"/>
        <w:rPr>
          <w:color w:val="000000" w:themeColor="text1"/>
          <w14:textFill>
            <w14:solidFill>
              <w14:schemeClr w14:val="tx1"/>
            </w14:solidFill>
          </w14:textFill>
        </w:rPr>
      </w:pPr>
      <w:r>
        <w:rPr>
          <w:rFonts w:hAnsi="宋体"/>
          <w:color w:val="000000" w:themeColor="text1"/>
          <w:szCs w:val="21"/>
          <w14:textFill>
            <w14:solidFill>
              <w14:schemeClr w14:val="tx1"/>
            </w14:solidFill>
          </w14:textFill>
        </w:rPr>
        <w:t>19.2.2缺陷责任期内，发包人对已接收使用的工程负责日常维护工作。发包人在使用过程中，发现已接收的工程存在新的缺陷或已修复的缺陷部位或部件又遭损坏的，承包人应负责修复，直至检验合格为止。在缺陷责任期内，承包人应尽快完成在交工验收证书中写明的未完成工作，并完成对本工程缺陷的修复或监理人指令的修补工作。承包人不修复缺陷病害或不合格，发包人会同监理人延长相应缺陷责任期，直至完全检验合格为止。</w:t>
      </w:r>
    </w:p>
    <w:bookmarkEnd w:id="1092"/>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097" w:name="_Toc452301337"/>
      <w:bookmarkStart w:id="1098" w:name="_Toc10942"/>
      <w:r>
        <w:rPr>
          <w:b/>
          <w:bCs/>
          <w:color w:val="000000" w:themeColor="text1"/>
          <w:kern w:val="44"/>
          <w:sz w:val="28"/>
          <w:szCs w:val="28"/>
          <w:lang w:val="zh-CN" w:eastAsia="zh-CN"/>
          <w14:textFill>
            <w14:solidFill>
              <w14:schemeClr w14:val="tx1"/>
            </w14:solidFill>
          </w14:textFill>
        </w:rPr>
        <w:t>20. 保险</w:t>
      </w:r>
      <w:bookmarkEnd w:id="1097"/>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099" w:name="_Toc452301338"/>
      <w:r>
        <w:rPr>
          <w:bCs/>
          <w:color w:val="000000" w:themeColor="text1"/>
          <w:kern w:val="44"/>
          <w:szCs w:val="21"/>
          <w:lang w:val="zh-CN" w:eastAsia="zh-CN"/>
          <w14:textFill>
            <w14:solidFill>
              <w14:schemeClr w14:val="tx1"/>
            </w14:solidFill>
          </w14:textFill>
        </w:rPr>
        <w:t>20.6 对各项保险的一般要求</w:t>
      </w:r>
      <w:bookmarkEnd w:id="1099"/>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20.6.4 保险金不足的补偿</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 20.6.4 款细化为：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保险金的赔偿金额以有资质的公估单位确定的金额为准，免赔额和超过赔偿限额的部分由承包人承担。</w:t>
      </w:r>
    </w:p>
    <w:bookmarkEnd w:id="1098"/>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100" w:name="_Toc452301339"/>
      <w:bookmarkStart w:id="1101" w:name="_Toc4170"/>
      <w:r>
        <w:rPr>
          <w:b/>
          <w:bCs/>
          <w:color w:val="000000" w:themeColor="text1"/>
          <w:kern w:val="44"/>
          <w:sz w:val="28"/>
          <w:szCs w:val="28"/>
          <w:lang w:val="zh-CN" w:eastAsia="zh-CN"/>
          <w14:textFill>
            <w14:solidFill>
              <w14:schemeClr w14:val="tx1"/>
            </w14:solidFill>
          </w14:textFill>
        </w:rPr>
        <w:t>21. 不可抗力</w:t>
      </w:r>
      <w:bookmarkEnd w:id="1100"/>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102" w:name="_Toc452301340"/>
      <w:r>
        <w:rPr>
          <w:bCs/>
          <w:color w:val="000000" w:themeColor="text1"/>
          <w:kern w:val="44"/>
          <w:szCs w:val="21"/>
          <w:lang w:val="zh-CN" w:eastAsia="zh-CN"/>
          <w14:textFill>
            <w14:solidFill>
              <w14:schemeClr w14:val="tx1"/>
            </w14:solidFill>
          </w14:textFill>
        </w:rPr>
        <w:t>21.1 不可抗力的确认</w:t>
      </w:r>
      <w:bookmarkEnd w:id="1102"/>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公路工程专用合同条款 21.1.1 项(6) 目 约定为：</w:t>
      </w:r>
    </w:p>
    <w:p>
      <w:pPr>
        <w:spacing w:line="360" w:lineRule="exact"/>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21.1.1 (6) 不可抗力的其他情形：</w:t>
      </w:r>
      <w:r>
        <w:rPr>
          <w:color w:val="000000" w:themeColor="text1"/>
          <w:u w:val="single"/>
          <w14:textFill>
            <w14:solidFill>
              <w14:schemeClr w14:val="tx1"/>
            </w14:solidFill>
          </w14:textFill>
        </w:rPr>
        <w:t xml:space="preserve">      /     </w:t>
      </w:r>
    </w:p>
    <w:p>
      <w:pPr>
        <w:keepNext/>
        <w:keepLines/>
        <w:spacing w:before="360" w:beforeLines="150" w:after="480" w:line="360" w:lineRule="exact"/>
        <w:outlineLvl w:val="0"/>
        <w:rPr>
          <w:b/>
          <w:bCs/>
          <w:color w:val="000000" w:themeColor="text1"/>
          <w:kern w:val="44"/>
          <w:sz w:val="28"/>
          <w:szCs w:val="28"/>
          <w:lang w:val="zh-CN" w:eastAsia="zh-CN"/>
          <w14:textFill>
            <w14:solidFill>
              <w14:schemeClr w14:val="tx1"/>
            </w14:solidFill>
          </w14:textFill>
        </w:rPr>
      </w:pPr>
      <w:bookmarkStart w:id="1103" w:name="_Toc452301341"/>
      <w:r>
        <w:rPr>
          <w:b/>
          <w:bCs/>
          <w:color w:val="000000" w:themeColor="text1"/>
          <w:kern w:val="44"/>
          <w:sz w:val="28"/>
          <w:szCs w:val="28"/>
          <w:lang w:val="zh-CN" w:eastAsia="zh-CN"/>
          <w14:textFill>
            <w14:solidFill>
              <w14:schemeClr w14:val="tx1"/>
            </w14:solidFill>
          </w14:textFill>
        </w:rPr>
        <w:t>22. 违约</w:t>
      </w:r>
      <w:bookmarkEnd w:id="1103"/>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104" w:name="_Toc452301342"/>
      <w:r>
        <w:rPr>
          <w:bCs/>
          <w:color w:val="000000" w:themeColor="text1"/>
          <w:kern w:val="44"/>
          <w:szCs w:val="21"/>
          <w:lang w:val="zh-CN" w:eastAsia="zh-CN"/>
          <w14:textFill>
            <w14:solidFill>
              <w14:schemeClr w14:val="tx1"/>
            </w14:solidFill>
          </w14:textFill>
        </w:rPr>
        <w:t>22.1 承包人违约</w:t>
      </w:r>
      <w:bookmarkEnd w:id="1104"/>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22.1.1 承包人违约的情形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通用合同条款及公路工程专用合同条款 22.1.1 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（1）承包人违反第1.8款或第4.3款的约定，私自将合同的全部或部分权利转让给其他人，或私自将合同的全部或部分义务转移给其他人；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（2）承包人违反第5.3款或第6.4款的约定，未经监理人批准，私自将已按合同约定进入施工场地的施工设备、临时设施、材料或工程设备撤离施工场地；</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（3）承包人违反第5.4款的约定使用了不合格材料或工程设备，工程质量达不到标准要求，又拒绝清除不合格工程；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（4）承包人未能按合同进度计划及时完成合同约定的工作，已造成或预期造成工期延误；</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（5）承包人在缺陷责任期内，未能对工程接收证书所列的缺陷清单的内容或缺陷责任期内发生的缺陷进行修复，而又拒绝监理人指示再进行修补；</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（6）承包人无法继续履行或明确表示不履行或实质上已停止履行合同；</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（7）项目已具备开工条件，因承包人原因，承包人未能按期开工；</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（8）承包人违反第6.3款的规定，未按承诺或未按监理人的要求及时配备合同约定的关键施工设备；</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（9）经监理人或发包人检查，发现承包人违反9.2</w:t>
      </w:r>
      <w:r>
        <w:rPr>
          <w:rFonts w:hint="eastAsia"/>
          <w:color w:val="000000" w:themeColor="text1"/>
          <w14:textFill>
            <w14:solidFill>
              <w14:schemeClr w14:val="tx1"/>
            </w14:solidFill>
          </w14:textFill>
        </w:rPr>
        <w:t>款</w:t>
      </w:r>
      <w:r>
        <w:rPr>
          <w:color w:val="000000" w:themeColor="text1"/>
          <w14:textFill>
            <w14:solidFill>
              <w14:schemeClr w14:val="tx1"/>
            </w14:solidFill>
          </w14:textFill>
        </w:rPr>
        <w:t>约定有安全问题或有违反安全管理规章制度的情形；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（10）承包人违反第13.1.1项约定，工程质量未达到标段竣工验收的质量评定要求的；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（11）承包人违反第4.9款的约定，将发包人支付给承包人的各项价款转移或用于其他工程；</w:t>
      </w:r>
      <w:r>
        <w:rPr>
          <w:rFonts w:hint="eastAsia"/>
          <w:color w:val="000000" w:themeColor="text1"/>
          <w14:textFill>
            <w14:solidFill>
              <w14:schemeClr w14:val="tx1"/>
            </w14:solidFill>
          </w14:textFill>
        </w:rPr>
        <w:t>承包人未按照发包人或交警要求，在公路封道施工、施工车辆通行、没有报发包人、交警批准的或不按批准交通施工方案实施的；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（12）承包人违反第4.6款的约定，承包人未按承诺或未按监理人的要求及时配备称职的主要管理人员、技术骨干，或未按规定替换，或擅离职守的；</w:t>
      </w:r>
      <w:r>
        <w:rPr>
          <w:rFonts w:hint="eastAsia"/>
          <w:color w:val="000000" w:themeColor="text1"/>
          <w14:textFill>
            <w14:solidFill>
              <w14:schemeClr w14:val="tx1"/>
            </w14:solidFill>
          </w14:textFill>
        </w:rPr>
        <w:t>违反第4.1.10（2）目关于维护农民工合法权益，拖欠或克扣农民工工资的；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（13）承包人违反“投标人须知”3.5</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款的规定，在合同实施期间发现承包人在投标时提供了虚假资料的；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（14）因承包人原因导致群体性上访等较大事件发生的；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（15）经具有管辖权限的质量监督管理机构（部门）、监理人或发包人检查，发现承包人违反13.2款的规定，存在质量问题的情况</w:t>
      </w:r>
      <w:r>
        <w:rPr>
          <w:rFonts w:hint="eastAsia"/>
          <w:color w:val="000000" w:themeColor="text1"/>
          <w14:textFill>
            <w14:solidFill>
              <w14:schemeClr w14:val="tx1"/>
            </w14:solidFill>
          </w14:textFill>
        </w:rPr>
        <w:t>。</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若承包人在执行合同中，有本项（11）、（12）、等所列情况，在发包人向承包人发出书面通知的14天内未见纠正后，发包人将按每一情况酌情向承包人课以1％合同价的违约金。上述违约金将在履约担保中索扣。也可以从工程支付款中扣除。</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22.1.2 对承包人违约的处理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通用合同条款及公路工程专用合同条款 22.1.2 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 承包人发生第 22.1.1（6）目约定的违约情形时，发包人可通知承包人立即解除合同，并按有关法律处理。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 承包人发生除第 22.1.1（6）目约定以外的其他违约情形时，监理人可向承包人发出整改通知，要求其在指定的期限内改正。承包人应承担其违约所引起的费用增加和（或）工期延误。</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 经检查证明承包人已采取了有效措施纠正违约行为，具备复工条件的，可由监理人签发复工通知复工。</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 承包人发生第 22.1.1 项约定的违约情形时，无论发包人是否解除合同，发包人均有权向承包人课以违约金，并由发包人将其违约行为上报省级交通主管部门，作为不良记录纳入浙江省交通运输厅建设市场信用信息管理系统和信用评价管理系统。</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当承包人发生第 22.1.1 项约定的违约情形时，发包人有权向承包人课以违约金，具体约定如下：</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承包人发生第 22.1.1 项(1) 目中违反第 1.8 款约定的情形，除责令立即纠正外，并课以不超过1%签约合同价的违约金；发生第 22.1.1 项(1) 目中违反第 4.3 款约定的情形，在发包人向承包人发出书面通知的 14 天内未见纠正后， 发包人将酌情向承包人课以不超过 1%签约合同价的违约金。即使缴纳了违约金，承包人仍应按合同规定继续实施和完成本合同工程及其缺陷修复；</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 承包人发生第 22.1.1 项(2) 目中违反第 5.3 款约定的情形，在发包人向承包人发出书面通知的14 天内未见纠正后，发包人将向承包人课以不超过材料和工程设备价值两倍的违约金；发生第 22.1.1项(2) 目中违反第 6.4 款约定的情形，在发包人向承包人发出书面通知的 14 天内未见纠正后，发包人将向承包人课以不超过其台班费两倍的违约金；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 承包人发生第22.1.1项（3）、（15）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d. 承包人发生第 22.1.1 项(4) 目情形，则按第 11.5 款规定处理；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e. 承包人发生第 22.1.1 项(5) 目情形，则按第 19.2.4 项规定处理；</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f. 承包人发生第 22.1.1 项(7) 目情形，发包人有权按第 11.5 款规定的逾期交工违约金金额的二分之一乘以未按期开工天数处以违约金；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 承包人发生第 22.1.1 项(8) 目情形，在发包人向承包人发出书面通知的 14 天内未见纠正后，发包人将向承包人课以不超过 0.5%签约合同价的违约金；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h. 承包人发生第 22.1.1 项(9) 目情形，发包人将责令整改；情节严重的，将停工整顿，并酌情扣除安全生产费；</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i. 承包人发生第 22.1.1 项(10) 目情形，则课以不超过 1%签约合同价的违约金；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j. 承包人发生第 22.1.1 项(11) 目情形，则课以与转移（挪用）资金等额的违约金；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k. 承包人发生第 22.1.1 项(12) 目情形，项目经理或项目总工未经发包人同意擅自离开工地，每天课以违约金</w:t>
      </w:r>
      <w:r>
        <w:rPr>
          <w:rFonts w:hint="eastAsia"/>
          <w:b/>
          <w:i/>
          <w:color w:val="000000" w:themeColor="text1"/>
          <w:u w:val="single"/>
          <w14:textFill>
            <w14:solidFill>
              <w14:schemeClr w14:val="tx1"/>
            </w14:solidFill>
          </w14:textFill>
        </w:rPr>
        <w:t>3000</w:t>
      </w:r>
      <w:r>
        <w:rPr>
          <w:color w:val="000000" w:themeColor="text1"/>
          <w14:textFill>
            <w14:solidFill>
              <w14:schemeClr w14:val="tx1"/>
            </w14:solidFill>
          </w14:textFill>
        </w:rPr>
        <w:t>元／人；若每月在工地天数不足 20天（特殊情形经监理人批准报发包人同意例外）者，每不足一天课以违约金</w:t>
      </w:r>
      <w:r>
        <w:rPr>
          <w:b/>
          <w:i/>
          <w:color w:val="000000" w:themeColor="text1"/>
          <w:u w:val="single"/>
          <w14:textFill>
            <w14:solidFill>
              <w14:schemeClr w14:val="tx1"/>
            </w14:solidFill>
          </w14:textFill>
        </w:rPr>
        <w:t>3</w:t>
      </w:r>
      <w:r>
        <w:rPr>
          <w:rFonts w:hint="eastAsia"/>
          <w:b/>
          <w:i/>
          <w:color w:val="000000" w:themeColor="text1"/>
          <w:u w:val="single"/>
          <w14:textFill>
            <w14:solidFill>
              <w14:schemeClr w14:val="tx1"/>
            </w14:solidFill>
          </w14:textFill>
        </w:rPr>
        <w:t>000</w:t>
      </w:r>
      <w:r>
        <w:rPr>
          <w:color w:val="000000" w:themeColor="text1"/>
          <w14:textFill>
            <w14:solidFill>
              <w14:schemeClr w14:val="tx1"/>
            </w14:solidFill>
          </w14:textFill>
        </w:rPr>
        <w:t>元／人；承包人未经发包人书面同意更换项目经理</w:t>
      </w:r>
      <w:r>
        <w:rPr>
          <w:rFonts w:hint="eastAsia"/>
          <w:color w:val="000000" w:themeColor="text1"/>
          <w:szCs w:val="20"/>
          <w14:textFill>
            <w14:solidFill>
              <w14:schemeClr w14:val="tx1"/>
            </w14:solidFill>
          </w14:textFill>
        </w:rPr>
        <w:t>/项目总工</w:t>
      </w:r>
      <w:r>
        <w:rPr>
          <w:color w:val="000000" w:themeColor="text1"/>
          <w14:textFill>
            <w14:solidFill>
              <w14:schemeClr w14:val="tx1"/>
            </w14:solidFill>
          </w14:textFill>
        </w:rPr>
        <w:t>课以</w:t>
      </w:r>
      <w:r>
        <w:rPr>
          <w:b/>
          <w:i/>
          <w:color w:val="000000" w:themeColor="text1"/>
          <w:u w:val="single"/>
          <w14:textFill>
            <w14:solidFill>
              <w14:schemeClr w14:val="tx1"/>
            </w14:solidFill>
          </w14:textFill>
        </w:rPr>
        <w:t>3</w:t>
      </w:r>
      <w:r>
        <w:rPr>
          <w:rFonts w:hint="eastAsia"/>
          <w:b/>
          <w:i/>
          <w:color w:val="000000" w:themeColor="text1"/>
          <w:u w:val="single"/>
          <w14:textFill>
            <w14:solidFill>
              <w14:schemeClr w14:val="tx1"/>
            </w14:solidFill>
          </w14:textFill>
        </w:rPr>
        <w:t>0</w:t>
      </w:r>
      <w:r>
        <w:rPr>
          <w:color w:val="000000" w:themeColor="text1"/>
          <w14:textFill>
            <w14:solidFill>
              <w14:schemeClr w14:val="tx1"/>
            </w14:solidFill>
          </w14:textFill>
        </w:rPr>
        <w:t>万元的违约金，更换其他主要管理人员、技术骨干课以每人次</w:t>
      </w:r>
      <w:r>
        <w:rPr>
          <w:b/>
          <w:i/>
          <w:color w:val="000000" w:themeColor="text1"/>
          <w:u w:val="single"/>
          <w14:textFill>
            <w14:solidFill>
              <w14:schemeClr w14:val="tx1"/>
            </w14:solidFill>
          </w14:textFill>
        </w:rPr>
        <w:t>10</w:t>
      </w:r>
      <w:r>
        <w:rPr>
          <w:color w:val="000000" w:themeColor="text1"/>
          <w14:textFill>
            <w14:solidFill>
              <w14:schemeClr w14:val="tx1"/>
            </w14:solidFill>
          </w14:textFill>
        </w:rPr>
        <w:t>万元的违约金；</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l. 承包人发生第 22.1.1 项(13) 目情形，在合同实施期间发现承包人在投标时提供了虚假材料的，课以不超过 5%签约合同价的违约金</w:t>
      </w:r>
      <w:r>
        <w:rPr>
          <w:rFonts w:hint="eastAsia"/>
          <w:color w:val="000000" w:themeColor="text1"/>
          <w14:textFill>
            <w14:solidFill>
              <w14:schemeClr w14:val="tx1"/>
            </w14:solidFill>
          </w14:textFill>
        </w:rPr>
        <w:t>；</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m. 承包人发生第22.1.1项（14）目情况，造成社会恶劣影响的，承包人承担由此造成的损失并视情课以不超过1%签约合同价的违约金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 xml:space="preserve"> 承包人发生第22.1.1项（1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）目情况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存在质量问题的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承包人承担由此</w:t>
      </w:r>
      <w:r>
        <w:rPr>
          <w:rFonts w:hint="eastAsia"/>
          <w:color w:val="000000" w:themeColor="text1"/>
          <w14:textFill>
            <w14:solidFill>
              <w14:schemeClr w14:val="tx1"/>
            </w14:solidFill>
          </w14:textFill>
        </w:rPr>
        <w:t>返工的全部责任</w:t>
      </w:r>
      <w:r>
        <w:rPr>
          <w:color w:val="000000" w:themeColor="text1"/>
          <w14:textFill>
            <w14:solidFill>
              <w14:schemeClr w14:val="tx1"/>
            </w14:solidFill>
          </w14:textFill>
        </w:rPr>
        <w:t>并视情课以不超过</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%签约合同价的违约金</w:t>
      </w:r>
      <w:r>
        <w:rPr>
          <w:rFonts w:hint="eastAsia"/>
          <w:color w:val="000000" w:themeColor="text1"/>
          <w14:textFill>
            <w14:solidFill>
              <w14:schemeClr w14:val="tx1"/>
            </w14:solidFill>
          </w14:textFill>
        </w:rPr>
        <w:t>；</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上述违约金将在工程进度支付款、履约担保中索扣。即使缴纳了违约金，承包人仍应按合同规定继续实施和完成本合同工程及其缺陷修复。</w:t>
      </w:r>
    </w:p>
    <w:p>
      <w:pPr>
        <w:keepNext/>
        <w:keepLines/>
        <w:spacing w:line="360" w:lineRule="exact"/>
        <w:outlineLvl w:val="0"/>
        <w:rPr>
          <w:bCs/>
          <w:color w:val="000000" w:themeColor="text1"/>
          <w:kern w:val="44"/>
          <w:szCs w:val="21"/>
          <w:lang w:val="zh-CN" w:eastAsia="zh-CN"/>
          <w14:textFill>
            <w14:solidFill>
              <w14:schemeClr w14:val="tx1"/>
            </w14:solidFill>
          </w14:textFill>
        </w:rPr>
      </w:pPr>
      <w:bookmarkStart w:id="1105" w:name="_Toc452301343"/>
      <w:r>
        <w:rPr>
          <w:bCs/>
          <w:color w:val="000000" w:themeColor="text1"/>
          <w:kern w:val="44"/>
          <w:szCs w:val="21"/>
          <w:lang w:val="zh-CN" w:eastAsia="zh-CN"/>
          <w14:textFill>
            <w14:solidFill>
              <w14:schemeClr w14:val="tx1"/>
            </w14:solidFill>
          </w14:textFill>
        </w:rPr>
        <w:t>22.2 发包人违约</w:t>
      </w:r>
      <w:bookmarkEnd w:id="1105"/>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22.2.1 发包人违约的情形</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通用合同条款 22.1.1 项细化为：</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在履行合同过程中发生的下列情形，属发包人违约：</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（1）发包人未能按合同约定支付预付款或合同价款，或拖延、拒绝批准付款申请和支付凭证，导致付款延误的（包括未按照第 17.4.2 项规定及时退还质量保证金的）；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（2）由于发包人征地拆迁不到位、开工的正常条件不具备，导致承包人无法按合同约定如期开工的；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（3）由于发包人下列原因造成停工的：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合同约定应由发包人提供的材料、设备未能按时交货或质量不符合要求或变更交货地点导致承包人停工的；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 发包人提供的施工图纸延误或施工图存在差错影响施工，工程变更通知未及时下达导致承包人停工的；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 非承包人原因发生第三方阻工，而发包人未及时协调处理导致承包人停工的；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d. 监理人无正当理由没有在约定期限内发出复工指示，导致承包人无法复工的；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（4）发包人无法继续履行或明确表示不履行或实质上已停止履行合同的；</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（5）发包人不履行合同约定其他义务的。</w:t>
      </w:r>
    </w:p>
    <w:p>
      <w:pPr>
        <w:keepNext/>
        <w:keepLines/>
        <w:spacing w:before="360" w:beforeLines="150" w:after="480" w:line="360" w:lineRule="exact"/>
        <w:outlineLvl w:val="0"/>
        <w:rPr>
          <w:b/>
          <w:bCs/>
          <w:color w:val="000000" w:themeColor="text1"/>
          <w:kern w:val="44"/>
          <w:sz w:val="24"/>
          <w:szCs w:val="20"/>
          <w:lang w:val="zh-CN" w:eastAsia="zh-CN"/>
          <w14:textFill>
            <w14:solidFill>
              <w14:schemeClr w14:val="tx1"/>
            </w14:solidFill>
          </w14:textFill>
        </w:rPr>
      </w:pPr>
      <w:bookmarkStart w:id="1106" w:name="_Toc247173500"/>
      <w:bookmarkStart w:id="1107" w:name="_Toc469484833"/>
      <w:bookmarkStart w:id="1108" w:name="_Toc8254"/>
      <w:bookmarkStart w:id="1109" w:name="_Toc429991693"/>
      <w:bookmarkStart w:id="1110" w:name="_Toc249418772"/>
      <w:bookmarkStart w:id="1111" w:name="_Toc12869318"/>
      <w:bookmarkStart w:id="1112" w:name="_Toc435452404"/>
      <w:r>
        <w:rPr>
          <w:rFonts w:hint="eastAsia"/>
          <w:b/>
          <w:bCs/>
          <w:color w:val="000000" w:themeColor="text1"/>
          <w:kern w:val="44"/>
          <w:sz w:val="28"/>
          <w:szCs w:val="28"/>
          <w:lang w:val="zh-CN" w:eastAsia="zh-CN"/>
          <w14:textFill>
            <w14:solidFill>
              <w14:schemeClr w14:val="tx1"/>
            </w14:solidFill>
          </w14:textFill>
        </w:rPr>
        <w:t>23.索赔</w:t>
      </w:r>
      <w:bookmarkEnd w:id="1106"/>
      <w:bookmarkEnd w:id="1107"/>
      <w:bookmarkEnd w:id="1108"/>
      <w:bookmarkEnd w:id="1109"/>
      <w:bookmarkEnd w:id="1110"/>
      <w:bookmarkEnd w:id="1111"/>
      <w:bookmarkEnd w:id="1112"/>
    </w:p>
    <w:p>
      <w:pPr>
        <w:keepNext/>
        <w:keepLines/>
        <w:spacing w:line="360" w:lineRule="exact"/>
        <w:outlineLvl w:val="0"/>
        <w:rPr>
          <w:b/>
          <w:bCs/>
          <w:color w:val="000000" w:themeColor="text1"/>
          <w:kern w:val="44"/>
          <w:sz w:val="24"/>
          <w:szCs w:val="20"/>
          <w:lang w:val="zh-CN" w:eastAsia="zh-CN"/>
          <w14:textFill>
            <w14:solidFill>
              <w14:schemeClr w14:val="tx1"/>
            </w14:solidFill>
          </w14:textFill>
        </w:rPr>
      </w:pPr>
      <w:bookmarkStart w:id="1113" w:name="_Toc469484834"/>
      <w:bookmarkStart w:id="1114" w:name="_Toc10161"/>
      <w:bookmarkStart w:id="1115" w:name="_Toc247173501"/>
      <w:bookmarkStart w:id="1116" w:name="_Toc249418773"/>
      <w:bookmarkStart w:id="1117" w:name="_Toc12869319"/>
      <w:bookmarkStart w:id="1118" w:name="_Toc429991694"/>
      <w:bookmarkStart w:id="1119" w:name="_Toc435452405"/>
      <w:r>
        <w:rPr>
          <w:rFonts w:hint="eastAsia"/>
          <w:bCs/>
          <w:color w:val="000000" w:themeColor="text1"/>
          <w:kern w:val="44"/>
          <w:szCs w:val="21"/>
          <w:lang w:val="zh-CN" w:eastAsia="zh-CN"/>
          <w14:textFill>
            <w14:solidFill>
              <w14:schemeClr w14:val="tx1"/>
            </w14:solidFill>
          </w14:textFill>
        </w:rPr>
        <w:t>23.1承包人索赔的提出</w:t>
      </w:r>
      <w:bookmarkEnd w:id="1113"/>
      <w:bookmarkEnd w:id="1114"/>
      <w:bookmarkEnd w:id="1115"/>
      <w:bookmarkEnd w:id="1116"/>
      <w:bookmarkEnd w:id="1117"/>
      <w:bookmarkEnd w:id="1118"/>
      <w:bookmarkEnd w:id="1119"/>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通用合同条款第23.1款(3)项细化为：</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(3)索赔事件具有连续影响的，承包人应每7天继续递交延续索赔通知，说明连续影响的实际情况和记录，列出累计的追加付款金额和(或)工期延长天数；</w:t>
      </w:r>
    </w:p>
    <w:p>
      <w:pPr>
        <w:keepNext/>
        <w:keepLines/>
        <w:spacing w:before="360" w:beforeLines="150" w:after="480" w:line="360" w:lineRule="exact"/>
        <w:outlineLvl w:val="0"/>
        <w:rPr>
          <w:rFonts w:ascii="宋体" w:hAnsi="宋体"/>
          <w:b/>
          <w:bCs/>
          <w:color w:val="000000" w:themeColor="text1"/>
          <w:kern w:val="44"/>
          <w:sz w:val="44"/>
          <w:szCs w:val="21"/>
          <w:lang w:val="zh-CN" w:eastAsia="zh-CN"/>
          <w14:textFill>
            <w14:solidFill>
              <w14:schemeClr w14:val="tx1"/>
            </w14:solidFill>
          </w14:textFill>
        </w:rPr>
      </w:pPr>
      <w:bookmarkStart w:id="1120" w:name="_Toc276542591"/>
      <w:bookmarkStart w:id="1121" w:name="_Toc398890237"/>
      <w:bookmarkStart w:id="1122" w:name="_Toc469484835"/>
      <w:bookmarkStart w:id="1123" w:name="_Toc12869320"/>
      <w:bookmarkStart w:id="1124" w:name="_Toc1207"/>
      <w:r>
        <w:rPr>
          <w:rFonts w:hint="eastAsia"/>
          <w:b/>
          <w:bCs/>
          <w:color w:val="000000" w:themeColor="text1"/>
          <w:kern w:val="44"/>
          <w:sz w:val="28"/>
          <w:szCs w:val="28"/>
          <w:lang w:val="zh-CN" w:eastAsia="zh-CN"/>
          <w14:textFill>
            <w14:solidFill>
              <w14:schemeClr w14:val="tx1"/>
            </w14:solidFill>
          </w14:textFill>
        </w:rPr>
        <w:t>24.争议的解决</w:t>
      </w:r>
      <w:bookmarkEnd w:id="1120"/>
      <w:bookmarkEnd w:id="1121"/>
      <w:bookmarkEnd w:id="1122"/>
      <w:bookmarkEnd w:id="1123"/>
      <w:bookmarkEnd w:id="1124"/>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通用合同条款和公路工程专用合同条款第24条细化为：</w:t>
      </w:r>
    </w:p>
    <w:p>
      <w:pPr>
        <w:keepNext/>
        <w:keepLines/>
        <w:spacing w:line="400" w:lineRule="exact"/>
        <w:outlineLvl w:val="0"/>
        <w:rPr>
          <w:rFonts w:ascii="宋体" w:hAnsi="宋体"/>
          <w:b/>
          <w:bCs/>
          <w:color w:val="000000" w:themeColor="text1"/>
          <w:kern w:val="44"/>
          <w:sz w:val="44"/>
          <w:szCs w:val="21"/>
          <w:lang w:val="zh-CN" w:eastAsia="zh-CN"/>
          <w14:textFill>
            <w14:solidFill>
              <w14:schemeClr w14:val="tx1"/>
            </w14:solidFill>
          </w14:textFill>
        </w:rPr>
      </w:pPr>
      <w:bookmarkStart w:id="1125" w:name="_Toc469484836"/>
      <w:bookmarkStart w:id="1126" w:name="_Toc313463769"/>
      <w:bookmarkStart w:id="1127" w:name="_Toc398890238"/>
      <w:bookmarkStart w:id="1128" w:name="_Toc12869321"/>
      <w:bookmarkStart w:id="1129" w:name="_Toc340144688"/>
      <w:bookmarkStart w:id="1130" w:name="_Toc9656"/>
      <w:r>
        <w:rPr>
          <w:rFonts w:hint="eastAsia" w:ascii="宋体" w:hAnsi="宋体"/>
          <w:bCs/>
          <w:color w:val="000000" w:themeColor="text1"/>
          <w:kern w:val="44"/>
          <w:szCs w:val="21"/>
          <w:lang w:val="zh-CN" w:eastAsia="zh-CN"/>
          <w14:textFill>
            <w14:solidFill>
              <w14:schemeClr w14:val="tx1"/>
            </w14:solidFill>
          </w14:textFill>
        </w:rPr>
        <w:t>24.1争议的解决方式</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发包人和承包人在履行合同中发生争议的，可以友好协商解决。合同当事人友好协商解决不成的，可向台州仲裁委员会申请仲裁。</w:t>
      </w:r>
    </w:p>
    <w:bookmarkEnd w:id="1125"/>
    <w:bookmarkEnd w:id="1126"/>
    <w:bookmarkEnd w:id="1127"/>
    <w:bookmarkEnd w:id="1128"/>
    <w:bookmarkEnd w:id="1129"/>
    <w:bookmarkEnd w:id="1130"/>
    <w:p>
      <w:pPr>
        <w:keepNext/>
        <w:keepLines/>
        <w:spacing w:line="400" w:lineRule="exact"/>
        <w:outlineLvl w:val="0"/>
        <w:rPr>
          <w:rFonts w:ascii="宋体" w:hAnsi="宋体"/>
          <w:b/>
          <w:bCs/>
          <w:color w:val="000000" w:themeColor="text1"/>
          <w:kern w:val="44"/>
          <w:sz w:val="44"/>
          <w:szCs w:val="21"/>
          <w:lang w:val="zh-CN" w:eastAsia="zh-CN"/>
          <w14:textFill>
            <w14:solidFill>
              <w14:schemeClr w14:val="tx1"/>
            </w14:solidFill>
          </w14:textFill>
        </w:rPr>
      </w:pPr>
      <w:bookmarkStart w:id="1131" w:name="_Toc12869322"/>
      <w:bookmarkStart w:id="1132" w:name="_Toc313463770"/>
      <w:bookmarkStart w:id="1133" w:name="_Toc340144689"/>
      <w:bookmarkStart w:id="1134" w:name="_Toc469484837"/>
      <w:bookmarkStart w:id="1135" w:name="_Toc9195"/>
      <w:bookmarkStart w:id="1136" w:name="_Toc398890239"/>
      <w:r>
        <w:rPr>
          <w:rFonts w:hint="eastAsia" w:ascii="宋体" w:hAnsi="宋体"/>
          <w:bCs/>
          <w:color w:val="000000" w:themeColor="text1"/>
          <w:kern w:val="44"/>
          <w:szCs w:val="21"/>
          <w:lang w:val="zh-CN" w:eastAsia="zh-CN"/>
          <w14:textFill>
            <w14:solidFill>
              <w14:schemeClr w14:val="tx1"/>
            </w14:solidFill>
          </w14:textFill>
        </w:rPr>
        <w:t>24.2友好解决</w:t>
      </w:r>
      <w:bookmarkEnd w:id="1131"/>
      <w:bookmarkEnd w:id="1132"/>
      <w:bookmarkEnd w:id="1133"/>
      <w:bookmarkEnd w:id="1134"/>
      <w:bookmarkEnd w:id="1135"/>
      <w:bookmarkEnd w:id="1136"/>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在提请仲裁前以及在仲裁过程中，发包人和承包人均可共同努力友好协商解决争议。</w:t>
      </w:r>
    </w:p>
    <w:p>
      <w:pPr>
        <w:keepNext/>
        <w:keepLines/>
        <w:spacing w:line="400" w:lineRule="exact"/>
        <w:outlineLvl w:val="0"/>
        <w:rPr>
          <w:rFonts w:ascii="宋体" w:hAnsi="宋体"/>
          <w:b/>
          <w:bCs/>
          <w:color w:val="000000" w:themeColor="text1"/>
          <w:kern w:val="44"/>
          <w:sz w:val="44"/>
          <w:szCs w:val="21"/>
          <w:lang w:val="zh-CN" w:eastAsia="zh-CN"/>
          <w14:textFill>
            <w14:solidFill>
              <w14:schemeClr w14:val="tx1"/>
            </w14:solidFill>
          </w14:textFill>
        </w:rPr>
      </w:pPr>
      <w:bookmarkStart w:id="1137" w:name="_Toc328469566"/>
      <w:bookmarkStart w:id="1138" w:name="_Toc469484838"/>
      <w:bookmarkStart w:id="1139" w:name="_Toc10593"/>
      <w:bookmarkStart w:id="1140" w:name="_Toc340144690"/>
      <w:bookmarkStart w:id="1141" w:name="_Toc12869323"/>
      <w:bookmarkStart w:id="1142" w:name="_Toc398890240"/>
      <w:r>
        <w:rPr>
          <w:rFonts w:hint="eastAsia" w:ascii="宋体" w:hAnsi="宋体"/>
          <w:bCs/>
          <w:color w:val="000000" w:themeColor="text1"/>
          <w:kern w:val="44"/>
          <w:szCs w:val="21"/>
          <w:lang w:val="zh-CN" w:eastAsia="zh-CN"/>
          <w14:textFill>
            <w14:solidFill>
              <w14:schemeClr w14:val="tx1"/>
            </w14:solidFill>
          </w14:textFill>
        </w:rPr>
        <w:t>24.3仲裁</w:t>
      </w:r>
      <w:bookmarkEnd w:id="1137"/>
      <w:bookmarkEnd w:id="1138"/>
      <w:bookmarkEnd w:id="1139"/>
      <w:bookmarkEnd w:id="1140"/>
      <w:bookmarkEnd w:id="1141"/>
      <w:bookmarkEnd w:id="1142"/>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(1)对于未能友好解决的争议，发包人或承包人任一方均有权提交给第24.1款约定的仲裁委员会仲裁。</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(3)仲裁裁决是终局性的并对发包人和承包人双方具有约束力。</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(4)全部仲裁费用应由败诉方承担；或按仲裁委员会裁决的比例分担。</w:t>
      </w:r>
    </w:p>
    <w:p>
      <w:pPr>
        <w:keepNext/>
        <w:keepLines/>
        <w:spacing w:line="400" w:lineRule="exact"/>
        <w:outlineLvl w:val="0"/>
        <w:rPr>
          <w:rFonts w:ascii="宋体" w:hAnsi="宋体"/>
          <w:b/>
          <w:bCs/>
          <w:color w:val="000000" w:themeColor="text1"/>
          <w:kern w:val="44"/>
          <w:sz w:val="44"/>
          <w:szCs w:val="21"/>
          <w:lang w:val="zh-CN" w:eastAsia="zh-CN"/>
          <w14:textFill>
            <w14:solidFill>
              <w14:schemeClr w14:val="tx1"/>
            </w14:solidFill>
          </w14:textFill>
        </w:rPr>
      </w:pPr>
      <w:bookmarkStart w:id="1143" w:name="_Toc469484839"/>
      <w:bookmarkStart w:id="1144" w:name="_Toc28093"/>
      <w:bookmarkStart w:id="1145" w:name="_Toc328469567"/>
      <w:bookmarkStart w:id="1146" w:name="_Toc398890241"/>
      <w:bookmarkStart w:id="1147" w:name="_Toc12869324"/>
      <w:bookmarkStart w:id="1148" w:name="_Toc340144691"/>
      <w:r>
        <w:rPr>
          <w:rFonts w:hint="eastAsia" w:ascii="宋体" w:hAnsi="宋体"/>
          <w:bCs/>
          <w:color w:val="000000" w:themeColor="text1"/>
          <w:kern w:val="44"/>
          <w:szCs w:val="21"/>
          <w:lang w:val="zh-CN" w:eastAsia="zh-CN"/>
          <w14:textFill>
            <w14:solidFill>
              <w14:schemeClr w14:val="tx1"/>
            </w14:solidFill>
          </w14:textFill>
        </w:rPr>
        <w:t>24.4仲裁的执行</w:t>
      </w:r>
      <w:bookmarkEnd w:id="1143"/>
      <w:bookmarkEnd w:id="1144"/>
      <w:bookmarkEnd w:id="1145"/>
      <w:bookmarkEnd w:id="1146"/>
      <w:bookmarkEnd w:id="1147"/>
      <w:bookmarkEnd w:id="1148"/>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(1)任何一方不履行仲裁机构的裁决的，对方可以向有管辖权的人民法院申请执行。</w:t>
      </w:r>
    </w:p>
    <w:p>
      <w:pPr>
        <w:spacing w:line="400" w:lineRule="exact"/>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3"/>
        <w:rPr>
          <w:color w:val="000000" w:themeColor="text1"/>
          <w14:textFill>
            <w14:solidFill>
              <w14:schemeClr w14:val="tx1"/>
            </w14:solidFill>
          </w14:textFill>
        </w:rPr>
      </w:pPr>
    </w:p>
    <w:bookmarkEnd w:id="1101"/>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jc w:val="center"/>
        <w:rPr>
          <w:b/>
          <w:bCs/>
          <w:color w:val="000000" w:themeColor="text1"/>
          <w:sz w:val="28"/>
          <w:szCs w:val="28"/>
          <w14:textFill>
            <w14:solidFill>
              <w14:schemeClr w14:val="tx1"/>
            </w14:solidFill>
          </w14:textFill>
        </w:rPr>
      </w:pPr>
      <w:bookmarkStart w:id="1149" w:name="_Toc7293"/>
      <w:r>
        <w:rPr>
          <w:rFonts w:hint="eastAsia"/>
          <w:b/>
          <w:bCs/>
          <w:color w:val="000000" w:themeColor="text1"/>
          <w:sz w:val="28"/>
          <w:szCs w:val="28"/>
          <w14:textFill>
            <w14:solidFill>
              <w14:schemeClr w14:val="tx1"/>
            </w14:solidFill>
          </w14:textFill>
        </w:rPr>
        <w:t>第三节</w:t>
      </w:r>
      <w:r>
        <w:rPr>
          <w:rFonts w:hint="eastAsia"/>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合同附件格式</w:t>
      </w:r>
      <w:bookmarkEnd w:id="1149"/>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附件一   合同协议书</w:t>
      </w:r>
    </w:p>
    <w:p>
      <w:pP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合同协议书</w:t>
      </w:r>
    </w:p>
    <w:p>
      <w:pPr>
        <w:rPr>
          <w:rFonts w:ascii="宋体" w:hAnsi="宋体" w:cs="宋体"/>
          <w:color w:val="000000" w:themeColor="text1"/>
          <w:sz w:val="24"/>
          <w14:textFill>
            <w14:solidFill>
              <w14:schemeClr w14:val="tx1"/>
            </w14:solidFill>
          </w14:textFill>
        </w:rPr>
      </w:pPr>
    </w:p>
    <w:p>
      <w:pPr>
        <w:spacing w:line="500" w:lineRule="exact"/>
        <w:ind w:firstLine="420" w:firstLineChars="20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（发包人名称，以下简称“发包人”）为实施</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（项目名称），已接受</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（承包人名称，以下简称“承包人”）对该项目</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标段施工的投标。 发包人和承包人共同达成如下协议。</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标段由K</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至K</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，长约</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km，公路等级为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，设计时速为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路面，有</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立交</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处；特大桥</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座，计长</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m；大中桥</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座，计长</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m；隧道</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座，计长</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m以及其他构造物工程等。</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下列文件应视为构成合同文件的组成部分：</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合同协议书及各种合同附件(含廉政合同、安全生产合同、工程质量责任合同及评标期间和合同谈判过程中的澄清文件和补充资料) ；</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中标通知书；</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投标函及投标函附录；</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 项目专用合同条款（含招标文件补遗书中与此有关的部分）；</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 公路工程专用合同条款；</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 通用合同条款；</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 项目专用技术规范（含招标文件补遗书中与此有关的部分）；</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 通用技术规范；</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 图纸（含招标文件补遗书中与此有关的部分）；</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 已标价工程量清单</w:t>
      </w:r>
      <w:r>
        <w:rPr>
          <w:rFonts w:hint="eastAsia"/>
          <w:color w:val="000000" w:themeColor="text1"/>
          <w:szCs w:val="21"/>
          <w14:textFill>
            <w14:solidFill>
              <w14:schemeClr w14:val="tx1"/>
            </w14:solidFill>
          </w14:textFill>
        </w:rPr>
        <w:t>（含</w:t>
      </w:r>
      <w:r>
        <w:rPr>
          <w:color w:val="000000" w:themeColor="text1"/>
          <w:szCs w:val="21"/>
          <w14:textFill>
            <w14:solidFill>
              <w14:schemeClr w14:val="tx1"/>
            </w14:solidFill>
          </w14:textFill>
        </w:rPr>
        <w:t>说明</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 承包人有关人员、设备投入及投标文件中的施工组织设计；</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 其他合同文件。</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上述文件互相补充和解释，如有不明确或不一致之处，以合同约定次序在先者为准。</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 根据工程量清单所列的预计数量和单价或总额价计算的签约合同价：人民币（大写）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 承包人项目经理：</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。承包人项目总工：</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 工程质量符合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标准。</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 承包人承诺按合同约定承担工程的实施、完成及缺陷修复。</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 发包人承诺按合同约定的条件、时间和方式向承包人支付合同价款。</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 承包人应按照监理人指示开工，工期为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日历天。</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 本协议书在承包人提供履约担保后，由双方法定代表人或其委托代理人签署并加盖单位章后生效。全部工程完工后经竣交工验收合格、缺陷责任期满签发缺陷责任终止证书后生效。</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11．本协议书正本二份、副本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份，合同双方各执正本一份，副本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份，当正本与副本的内容不一致时，以正本为准。</w:t>
      </w:r>
    </w:p>
    <w:p>
      <w:pPr>
        <w:spacing w:line="5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12.合同未尽事宜，双方另行签订补充协议。补充协议是合同的组成部分。</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           承包人：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（盖单位章） </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    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spacing w:line="400" w:lineRule="exact"/>
        <w:ind w:firstLine="1470" w:firstLineChars="7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line="400" w:lineRule="exact"/>
        <w:ind w:firstLine="1470" w:firstLineChars="7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附件二   廉政合同</w:t>
      </w:r>
    </w:p>
    <w:p>
      <w:pPr>
        <w:spacing w:before="120" w:after="12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廉政合同</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（项目名称）项目法人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（项目法人名称，以下简称“发包人”）与该项目</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标段的施工单位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（施工单位名称，以下简称“承包人”），特订立如下合同。</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1．发包人和承包人双方的权利和义务</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（1）严格遵守党的政策规定和国家有关法律法规及交通运输部和浙江省交通运输厅的有关规定。</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（2）严格执行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标段施工合同文件，自觉按合同办事。</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（4）建立健全廉政制度，开展廉政教育，设立廉政告示牌，公布举报电话，监督并认真查处违法违纪行为。</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（5）发现对方在业务活动中有违反廉政规定的行为，有及时提醒对方纠正的权利和义务。</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（6）发现对方严重违反本合同义务条款的行为，有向其上级有关部门举报、建议给予处理并要求告知处理结果的权利。</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2．发包人的义务</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（2）发包人工作人员不得参加承包人安排的超标准宴请和娱乐活动；不得接受承包人提供的通讯工具、交通工具和高档办公用品等。</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（3）发包人及其工作人员不利要求或者接受承包人为其住房装修、婚丧嫁娶活动、配偶子女的工作安排以及出国出境、旅游等提供方便等。</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（4）发包人工作人员及其配偶、子女不得从事与发包人工作有关的材料设备供应、工程分包、劳务等经济活动等。</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（5）发包人及期工作人员不得以任何理由向承包人推荐分包单位或推销材料，不得要求承包人购买合同规定外的材料和设备。</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（6）发包人工作人员要秉公办事，不准营私舞弊，不准利用职权从事各种个人有偿中介活动和安排个人施工队伍。</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3．承包人的义务</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（1）承包人不得以任何理由向发包人及其工作人员行贿或馈赠礼金、有价证券、贵重礼品。</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（2）承包人不得以任何名义为发包人及其工作人员报销应由发包人单位或个人支付的任何费用。</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（3）承包人不得以任何理由安排发包人工作人员参加超标准宴请及娱乐活动。</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（4）承包人不得为发包人单位和个人购置或提供通讯工具、交通工具和高档办公用品等。</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4．违约责任</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6.本合同有效期为发包人和承包人签署之日起至该工程项目竣工验收后止。</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7．本合同作为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标段施工合同的附件，与工程施工合同具有同等的法律效力，经合同双方签署后立即生效。</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8．本合同一式四份，由发包人和承包人各执—份，送交发包人和承包人的监督单位各一份</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     承包人：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（盖单位章） </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     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spacing w:line="400" w:lineRule="exact"/>
        <w:ind w:firstLine="840"/>
        <w:rPr>
          <w:rFonts w:ascii="宋体" w:hAnsi="宋体" w:cs="宋体"/>
          <w:color w:val="000000" w:themeColor="text1"/>
          <w:szCs w:val="21"/>
          <w14:textFill>
            <w14:solidFill>
              <w14:schemeClr w14:val="tx1"/>
            </w14:solidFill>
          </w14:textFill>
        </w:rPr>
      </w:pPr>
    </w:p>
    <w:p>
      <w:pPr>
        <w:spacing w:line="400" w:lineRule="exact"/>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发包人监督单位：</w:t>
      </w:r>
      <w:r>
        <w:rPr>
          <w:rFonts w:hint="eastAsia" w:ascii="宋体" w:hAnsi="宋体" w:cs="宋体"/>
          <w:color w:val="000000" w:themeColor="text1"/>
          <w:szCs w:val="21"/>
          <w:u w:val="single"/>
          <w14:textFill>
            <w14:solidFill>
              <w14:schemeClr w14:val="tx1"/>
            </w14:solidFill>
          </w14:textFill>
        </w:rPr>
        <w:t>（全称） （盖单位章）</w:t>
      </w:r>
      <w:r>
        <w:rPr>
          <w:rFonts w:hint="eastAsia" w:ascii="宋体" w:hAnsi="宋体" w:cs="宋体"/>
          <w:color w:val="000000" w:themeColor="text1"/>
          <w:szCs w:val="21"/>
          <w14:textFill>
            <w14:solidFill>
              <w14:schemeClr w14:val="tx1"/>
            </w14:solidFill>
          </w14:textFill>
        </w:rPr>
        <w:t xml:space="preserve">     承包人监督单位：</w:t>
      </w:r>
      <w:r>
        <w:rPr>
          <w:rFonts w:hint="eastAsia" w:ascii="宋体" w:hAnsi="宋体" w:cs="宋体"/>
          <w:color w:val="000000" w:themeColor="text1"/>
          <w:szCs w:val="21"/>
          <w:u w:val="single"/>
          <w14:textFill>
            <w14:solidFill>
              <w14:schemeClr w14:val="tx1"/>
            </w14:solidFill>
          </w14:textFill>
        </w:rPr>
        <w:t>（全称） （盖单位章）</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附件三   安全生产合同</w:t>
      </w:r>
    </w:p>
    <w:p>
      <w:pPr>
        <w:spacing w:before="120" w:after="12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安全生产合同</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为在</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（项目名称）</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（标段）施工合同的实施过程中创造安全、高效的施工环境，切实搞好本项目的安全管理工作，本项目发包人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（发包人名称，以下简称“发包人”）与承包人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（承包人名称，以下简称“承包人”）特此签订安全生产合同：</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1.发包人职责</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（1）严格遵守国家有关安全生产的法律法规，认真执行工程承包合同中的有关安全要求。</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（2）按照“安全第一、预防为主、综合治理”和坚持“管生产必须管安全”的原则进行安全生产管理，做到生产与安全工作同时计划、布置、检查、总结和评比。</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（3）重要的安全设施必须坚持与主体工程“三同时”的原则，即：同时设计、审批，同时施工，同时验收，投入使用。</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（4）定期召开安全生产调度会，及时传达中央及地方有关安全生产的精神。</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（5）组织对承包人施工现场安全生产检查，监督承包人及时处理发现的各种安全隐患。</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2.承包人职责</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严格遵守《中华人民共和国安全生产法》、《建设工程安全生产管理条例》等国家有关安全生产的法律法规、《公路水运工程安全生产监督管理办法》、《公路工程施工安全技术规程》</w:t>
      </w:r>
      <w:r>
        <w:rPr>
          <w:color w:val="000000" w:themeColor="text1"/>
          <w:szCs w:val="21"/>
          <w14:textFill>
            <w14:solidFill>
              <w14:schemeClr w14:val="tx1"/>
            </w14:solidFill>
          </w14:textFill>
        </w:rPr>
        <w:t>（JTG F90-2015）</w:t>
      </w:r>
      <w:r>
        <w:rPr>
          <w:rFonts w:hint="eastAsia"/>
          <w:color w:val="000000" w:themeColor="text1"/>
          <w:szCs w:val="21"/>
          <w14:textFill>
            <w14:solidFill>
              <w14:schemeClr w14:val="tx1"/>
            </w14:solidFill>
          </w14:textFill>
        </w:rPr>
        <w:t>、《公路筑养路机械操作规程》和浙江省人民政府浙政令〔2012〕300号《浙江省交通建设工程质量和安全生产管理办法》、</w:t>
      </w:r>
      <w:r>
        <w:rPr>
          <w:rFonts w:hint="eastAsia"/>
          <w:b/>
          <w:color w:val="000000" w:themeColor="text1"/>
          <w:szCs w:val="21"/>
          <w14:textFill>
            <w14:solidFill>
              <w14:schemeClr w14:val="tx1"/>
            </w14:solidFill>
          </w14:textFill>
        </w:rPr>
        <w:t>省</w:t>
      </w:r>
      <w:r>
        <w:rPr>
          <w:b/>
          <w:color w:val="000000" w:themeColor="text1"/>
          <w:szCs w:val="21"/>
          <w14:textFill>
            <w14:solidFill>
              <w14:schemeClr w14:val="tx1"/>
            </w14:solidFill>
          </w14:textFill>
        </w:rPr>
        <w:t>交通运输厅</w:t>
      </w:r>
      <w:r>
        <w:rPr>
          <w:rFonts w:hint="eastAsia"/>
          <w:b/>
          <w:color w:val="000000" w:themeColor="text1"/>
          <w:szCs w:val="21"/>
          <w14:textFill>
            <w14:solidFill>
              <w14:schemeClr w14:val="tx1"/>
            </w14:solidFill>
          </w14:textFill>
        </w:rPr>
        <w:t>关于</w:t>
      </w:r>
      <w:r>
        <w:rPr>
          <w:b/>
          <w:color w:val="000000" w:themeColor="text1"/>
          <w:szCs w:val="21"/>
          <w14:textFill>
            <w14:solidFill>
              <w14:schemeClr w14:val="tx1"/>
            </w14:solidFill>
          </w14:textFill>
        </w:rPr>
        <w:t>印发《</w:t>
      </w:r>
      <w:r>
        <w:rPr>
          <w:rFonts w:hint="eastAsia"/>
          <w:b/>
          <w:color w:val="000000" w:themeColor="text1"/>
          <w:szCs w:val="21"/>
          <w14:textFill>
            <w14:solidFill>
              <w14:schemeClr w14:val="tx1"/>
            </w14:solidFill>
          </w14:textFill>
        </w:rPr>
        <w:t>关于关于进一步加强全省交通建设工程安全生产管理工作的若干规定</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的</w:t>
      </w:r>
      <w:r>
        <w:rPr>
          <w:b/>
          <w:color w:val="000000" w:themeColor="text1"/>
          <w:szCs w:val="21"/>
          <w14:textFill>
            <w14:solidFill>
              <w14:schemeClr w14:val="tx1"/>
            </w14:solidFill>
          </w14:textFill>
        </w:rPr>
        <w:t>通知（</w:t>
      </w:r>
      <w:r>
        <w:rPr>
          <w:rFonts w:hint="eastAsia"/>
          <w:b/>
          <w:color w:val="000000" w:themeColor="text1"/>
          <w:szCs w:val="21"/>
          <w14:textFill>
            <w14:solidFill>
              <w14:schemeClr w14:val="tx1"/>
            </w14:solidFill>
          </w14:textFill>
        </w:rPr>
        <w:t>浙</w:t>
      </w:r>
      <w:r>
        <w:rPr>
          <w:b/>
          <w:color w:val="000000" w:themeColor="text1"/>
          <w:szCs w:val="21"/>
          <w14:textFill>
            <w14:solidFill>
              <w14:schemeClr w14:val="tx1"/>
            </w14:solidFill>
          </w14:textFill>
        </w:rPr>
        <w:t>交</w:t>
      </w:r>
      <w:r>
        <w:rPr>
          <w:rFonts w:hint="eastAsia"/>
          <w:b/>
          <w:color w:val="000000" w:themeColor="text1"/>
          <w:szCs w:val="21"/>
          <w14:textFill>
            <w14:solidFill>
              <w14:schemeClr w14:val="tx1"/>
            </w14:solidFill>
          </w14:textFill>
        </w:rPr>
        <w:t>〔20</w:t>
      </w:r>
      <w:r>
        <w:rPr>
          <w:b/>
          <w:color w:val="000000" w:themeColor="text1"/>
          <w:szCs w:val="21"/>
          <w14:textFill>
            <w14:solidFill>
              <w14:schemeClr w14:val="tx1"/>
            </w14:solidFill>
          </w14:textFill>
        </w:rPr>
        <w:t>20</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104</w:t>
      </w:r>
      <w:r>
        <w:rPr>
          <w:rFonts w:hint="eastAsia"/>
          <w:b/>
          <w:color w:val="000000" w:themeColor="text1"/>
          <w:szCs w:val="21"/>
          <w14:textFill>
            <w14:solidFill>
              <w14:schemeClr w14:val="tx1"/>
            </w14:solidFill>
          </w14:textFill>
        </w:rPr>
        <w:t>号</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关于</w:t>
      </w:r>
      <w:r>
        <w:rPr>
          <w:b/>
          <w:color w:val="000000" w:themeColor="text1"/>
          <w:szCs w:val="21"/>
          <w14:textFill>
            <w14:solidFill>
              <w14:schemeClr w14:val="tx1"/>
            </w14:solidFill>
          </w14:textFill>
        </w:rPr>
        <w:t>进一步加强全省交通</w:t>
      </w:r>
      <w:r>
        <w:rPr>
          <w:rFonts w:hint="eastAsia"/>
          <w:b/>
          <w:color w:val="000000" w:themeColor="text1"/>
          <w:szCs w:val="21"/>
          <w14:textFill>
            <w14:solidFill>
              <w14:schemeClr w14:val="tx1"/>
            </w14:solidFill>
          </w14:textFill>
        </w:rPr>
        <w:t>建设</w:t>
      </w:r>
      <w:r>
        <w:rPr>
          <w:b/>
          <w:color w:val="000000" w:themeColor="text1"/>
          <w:szCs w:val="21"/>
          <w14:textFill>
            <w14:solidFill>
              <w14:schemeClr w14:val="tx1"/>
            </w14:solidFill>
          </w14:textFill>
        </w:rPr>
        <w:t>工程安全生产管理</w:t>
      </w:r>
      <w:r>
        <w:rPr>
          <w:rFonts w:hint="eastAsia"/>
          <w:b/>
          <w:color w:val="000000" w:themeColor="text1"/>
          <w:szCs w:val="21"/>
          <w14:textFill>
            <w14:solidFill>
              <w14:schemeClr w14:val="tx1"/>
            </w14:solidFill>
          </w14:textFill>
        </w:rPr>
        <w:t>工作</w:t>
      </w:r>
      <w:r>
        <w:rPr>
          <w:b/>
          <w:color w:val="000000" w:themeColor="text1"/>
          <w:szCs w:val="21"/>
          <w14:textFill>
            <w14:solidFill>
              <w14:schemeClr w14:val="tx1"/>
            </w14:solidFill>
          </w14:textFill>
        </w:rPr>
        <w:t>的</w:t>
      </w:r>
      <w:r>
        <w:rPr>
          <w:rFonts w:hint="eastAsia"/>
          <w:b/>
          <w:color w:val="000000" w:themeColor="text1"/>
          <w:szCs w:val="21"/>
          <w14:textFill>
            <w14:solidFill>
              <w14:schemeClr w14:val="tx1"/>
            </w14:solidFill>
          </w14:textFill>
        </w:rPr>
        <w:t>若干规定</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政策</w:t>
      </w:r>
      <w:r>
        <w:rPr>
          <w:b/>
          <w:color w:val="000000" w:themeColor="text1"/>
          <w:szCs w:val="21"/>
          <w14:textFill>
            <w14:solidFill>
              <w14:schemeClr w14:val="tx1"/>
            </w14:solidFill>
          </w14:textFill>
        </w:rPr>
        <w:t>解读</w:t>
      </w:r>
      <w:r>
        <w:rPr>
          <w:rFonts w:hint="eastAsia"/>
          <w:color w:val="000000" w:themeColor="text1"/>
          <w:szCs w:val="21"/>
          <w14:textFill>
            <w14:solidFill>
              <w14:schemeClr w14:val="tx1"/>
            </w14:solidFill>
          </w14:textFill>
        </w:rPr>
        <w:t>等有关安全生产的规定。认真执行工程承包合同中的有关安全要求</w:t>
      </w:r>
      <w:r>
        <w:rPr>
          <w:color w:val="000000" w:themeColor="text1"/>
          <w:szCs w:val="21"/>
          <w14:textFill>
            <w14:solidFill>
              <w14:schemeClr w14:val="tx1"/>
            </w14:solidFill>
          </w14:textFill>
        </w:rPr>
        <w:t>。</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（3）建立健全安全生产责任制。从派往项目实施的项目经理到生产工人（包括临时雇请的民工）的安全生产管理系统必须做到纵向到底，</w:t>
      </w:r>
      <w:r>
        <w:rPr>
          <w:rFonts w:hint="eastAsia"/>
          <w:color w:val="000000" w:themeColor="text1"/>
          <w:szCs w:val="21"/>
          <w14:textFill>
            <w14:solidFill>
              <w14:schemeClr w14:val="tx1"/>
            </w14:solidFill>
          </w14:textFill>
        </w:rPr>
        <w:t>一</w:t>
      </w:r>
      <w:r>
        <w:rPr>
          <w:color w:val="000000" w:themeColor="text1"/>
          <w:szCs w:val="21"/>
          <w14:textFill>
            <w14:solidFill>
              <w14:schemeClr w14:val="tx1"/>
            </w14:solidFill>
          </w14:textFill>
        </w:rPr>
        <w:t>环不漏；各职能部门、人员的安全生产责任制做到横向到边，人人有责。项目经理是安全生产的第一责任人。现场设置的安全机构，应按《公路水运工程安全生产监督管理办法》、《浙江省交通建设工程安全生产监督管理实施细则》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（4）承包人在任何时候都应采取各种合理的预防措施，防止其员工发生任何违法、违禁、暴力或妨碍治安的行为。</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（7）操作人员上岗，必须按规定穿戴防护用品。施工负责人和安全检查员应随时检查劳动防护用品的穿戴情况，不按规定穿戴防护用品的人员不得上岗。</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（8）所有施工机具设备和高空作业的设备均应定期检查，并有安全员的签字记录，保证其经常处于完好状态；不合格的机具、设备和劳动保护用品严禁使用</w:t>
      </w:r>
      <w:r>
        <w:rPr>
          <w:rFonts w:hint="eastAsia"/>
          <w:color w:val="000000" w:themeColor="text1"/>
          <w:szCs w:val="21"/>
          <w14:textFill>
            <w14:solidFill>
              <w14:schemeClr w14:val="tx1"/>
            </w14:solidFill>
          </w14:textFill>
        </w:rPr>
        <w:t>。</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（9）施工中采用新技术、新工艺、新设备、新材料时，必须制定相应的安全技术措施，施工现场必须具有相关的安全标志牌。</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严肃处理相关责任人。</w:t>
      </w:r>
    </w:p>
    <w:p>
      <w:pPr>
        <w:spacing w:line="360" w:lineRule="exact"/>
        <w:ind w:firstLine="420" w:firstLineChars="20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（11）</w:t>
      </w:r>
      <w:r>
        <w:rPr>
          <w:rFonts w:hAnsi="宋体"/>
          <w:color w:val="000000" w:themeColor="text1"/>
          <w:szCs w:val="21"/>
          <w14:textFill>
            <w14:solidFill>
              <w14:schemeClr w14:val="tx1"/>
            </w14:solidFill>
          </w14:textFill>
        </w:rPr>
        <w:t>安全生产费用按照</w:t>
      </w:r>
      <w:r>
        <w:rPr>
          <w:rFonts w:hint="eastAsia" w:hAnsi="宋体"/>
          <w:color w:val="000000" w:themeColor="text1"/>
          <w:szCs w:val="21"/>
          <w14:textFill>
            <w14:solidFill>
              <w14:schemeClr w14:val="tx1"/>
            </w14:solidFill>
          </w14:textFill>
        </w:rPr>
        <w:t>《浙江省交通建设工程安全生产费用管理办法》（浙交【2021】12号）</w:t>
      </w:r>
      <w:r>
        <w:rPr>
          <w:rFonts w:hAnsi="宋体"/>
          <w:color w:val="000000" w:themeColor="text1"/>
          <w:szCs w:val="21"/>
          <w14:textFill>
            <w14:solidFill>
              <w14:schemeClr w14:val="tx1"/>
            </w14:solidFill>
          </w14:textFill>
        </w:rPr>
        <w:t>的相关要求以及相关最新规定使用和管理</w:t>
      </w:r>
      <w:r>
        <w:rPr>
          <w:rFonts w:hint="eastAsia" w:hAnsi="宋体"/>
          <w:color w:val="000000" w:themeColor="text1"/>
          <w:szCs w:val="21"/>
          <w14:textFill>
            <w14:solidFill>
              <w14:schemeClr w14:val="tx1"/>
            </w14:solidFill>
          </w14:textFill>
        </w:rPr>
        <w:t>。</w:t>
      </w:r>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w:t>
      </w:r>
      <w:r>
        <w:rPr>
          <w:rFonts w:hAnsi="宋体"/>
          <w:color w:val="000000" w:themeColor="text1"/>
          <w:szCs w:val="21"/>
          <w14:textFill>
            <w14:solidFill>
              <w14:schemeClr w14:val="tx1"/>
            </w14:solidFill>
          </w14:textFill>
        </w:rPr>
        <w:t>承包人在施工期间应当服从发包人及交通等行业主管部门的监督、检查、指令，并积极做好相关配合工作。</w:t>
      </w:r>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（13）承包人</w:t>
      </w:r>
      <w:r>
        <w:rPr>
          <w:rFonts w:hAnsi="宋体"/>
          <w:color w:val="000000" w:themeColor="text1"/>
          <w:szCs w:val="21"/>
          <w14:textFill>
            <w14:solidFill>
              <w14:schemeClr w14:val="tx1"/>
            </w14:solidFill>
          </w14:textFill>
        </w:rPr>
        <w:t>在施工期间应当</w:t>
      </w:r>
      <w:r>
        <w:rPr>
          <w:rFonts w:hint="eastAsia" w:hAnsi="宋体"/>
          <w:color w:val="000000" w:themeColor="text1"/>
          <w:szCs w:val="21"/>
          <w14:textFill>
            <w14:solidFill>
              <w14:schemeClr w14:val="tx1"/>
            </w14:solidFill>
          </w14:textFill>
        </w:rPr>
        <w:t>切实</w:t>
      </w:r>
      <w:r>
        <w:rPr>
          <w:rFonts w:hAnsi="宋体"/>
          <w:color w:val="000000" w:themeColor="text1"/>
          <w:szCs w:val="21"/>
          <w14:textFill>
            <w14:solidFill>
              <w14:schemeClr w14:val="tx1"/>
            </w14:solidFill>
          </w14:textFill>
        </w:rPr>
        <w:t>做好现状道路</w:t>
      </w:r>
      <w:r>
        <w:rPr>
          <w:rFonts w:hint="eastAsia" w:hAnsi="宋体"/>
          <w:color w:val="000000" w:themeColor="text1"/>
          <w:szCs w:val="21"/>
          <w14:textFill>
            <w14:solidFill>
              <w14:schemeClr w14:val="tx1"/>
            </w14:solidFill>
          </w14:textFill>
        </w:rPr>
        <w:t>的交通组织维护及</w:t>
      </w:r>
      <w:r>
        <w:rPr>
          <w:rFonts w:hAnsi="宋体"/>
          <w:color w:val="000000" w:themeColor="text1"/>
          <w:szCs w:val="21"/>
          <w14:textFill>
            <w14:solidFill>
              <w14:schemeClr w14:val="tx1"/>
            </w14:solidFill>
          </w14:textFill>
        </w:rPr>
        <w:t>保畅通</w:t>
      </w:r>
      <w:r>
        <w:rPr>
          <w:rFonts w:hint="eastAsia" w:hAnsi="宋体"/>
          <w:color w:val="000000" w:themeColor="text1"/>
          <w:szCs w:val="21"/>
          <w14:textFill>
            <w14:solidFill>
              <w14:schemeClr w14:val="tx1"/>
            </w14:solidFill>
          </w14:textFill>
        </w:rPr>
        <w:t>工作，保证车辆安全通行，</w:t>
      </w:r>
      <w:r>
        <w:rPr>
          <w:rFonts w:hAnsi="宋体"/>
          <w:color w:val="000000" w:themeColor="text1"/>
          <w:szCs w:val="21"/>
          <w14:textFill>
            <w14:solidFill>
              <w14:schemeClr w14:val="tx1"/>
            </w14:solidFill>
          </w14:textFill>
        </w:rPr>
        <w:t>服从发包人</w:t>
      </w:r>
      <w:r>
        <w:rPr>
          <w:rFonts w:hint="eastAsia" w:hAnsi="宋体"/>
          <w:color w:val="000000" w:themeColor="text1"/>
          <w:szCs w:val="21"/>
          <w14:textFill>
            <w14:solidFill>
              <w14:schemeClr w14:val="tx1"/>
            </w14:solidFill>
          </w14:textFill>
        </w:rPr>
        <w:t>及其他</w:t>
      </w:r>
      <w:r>
        <w:rPr>
          <w:rFonts w:hAnsi="宋体"/>
          <w:color w:val="000000" w:themeColor="text1"/>
          <w:szCs w:val="21"/>
          <w14:textFill>
            <w14:solidFill>
              <w14:schemeClr w14:val="tx1"/>
            </w14:solidFill>
          </w14:textFill>
        </w:rPr>
        <w:t>部门的</w:t>
      </w:r>
      <w:r>
        <w:rPr>
          <w:rFonts w:hint="eastAsia" w:hAnsi="宋体"/>
          <w:color w:val="000000" w:themeColor="text1"/>
          <w:szCs w:val="21"/>
          <w14:textFill>
            <w14:solidFill>
              <w14:schemeClr w14:val="tx1"/>
            </w14:solidFill>
          </w14:textFill>
        </w:rPr>
        <w:t>调配</w:t>
      </w:r>
      <w:r>
        <w:rPr>
          <w:rFonts w:hAnsi="宋体"/>
          <w:color w:val="000000" w:themeColor="text1"/>
          <w:szCs w:val="21"/>
          <w14:textFill>
            <w14:solidFill>
              <w14:schemeClr w14:val="tx1"/>
            </w14:solidFill>
          </w14:textFill>
        </w:rPr>
        <w:t>、检查、指令，并积极做好相关配合工作。</w:t>
      </w:r>
    </w:p>
    <w:p>
      <w:pPr>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（14）承包人</w:t>
      </w:r>
      <w:r>
        <w:rPr>
          <w:rFonts w:hAnsi="宋体"/>
          <w:color w:val="000000" w:themeColor="text1"/>
          <w:szCs w:val="21"/>
          <w14:textFill>
            <w14:solidFill>
              <w14:schemeClr w14:val="tx1"/>
            </w14:solidFill>
          </w14:textFill>
        </w:rPr>
        <w:t>在施工期间应当按照</w:t>
      </w:r>
      <w:r>
        <w:rPr>
          <w:rFonts w:hint="eastAsia" w:hAnsi="宋体"/>
          <w:color w:val="000000" w:themeColor="text1"/>
          <w:szCs w:val="21"/>
          <w14:textFill>
            <w14:solidFill>
              <w14:schemeClr w14:val="tx1"/>
            </w14:solidFill>
          </w14:textFill>
        </w:rPr>
        <w:t>“党</w:t>
      </w:r>
      <w:r>
        <w:rPr>
          <w:rFonts w:hAnsi="宋体"/>
          <w:color w:val="000000" w:themeColor="text1"/>
          <w:szCs w:val="21"/>
          <w14:textFill>
            <w14:solidFill>
              <w14:schemeClr w14:val="tx1"/>
            </w14:solidFill>
          </w14:textFill>
        </w:rPr>
        <w:t>政同责、一岗双</w:t>
      </w:r>
      <w:r>
        <w:rPr>
          <w:rFonts w:hint="eastAsia" w:hAnsi="宋体"/>
          <w:color w:val="000000" w:themeColor="text1"/>
          <w:szCs w:val="21"/>
          <w14:textFill>
            <w14:solidFill>
              <w14:schemeClr w14:val="tx1"/>
            </w14:solidFill>
          </w14:textFill>
        </w:rPr>
        <w:t>责</w:t>
      </w:r>
      <w:r>
        <w:rPr>
          <w:rFonts w:hAnsi="宋体"/>
          <w:color w:val="000000" w:themeColor="text1"/>
          <w:szCs w:val="21"/>
          <w14:textFill>
            <w14:solidFill>
              <w14:schemeClr w14:val="tx1"/>
            </w14:solidFill>
          </w14:textFill>
        </w:rPr>
        <w:t>、齐抓共管</w:t>
      </w:r>
      <w:r>
        <w:rPr>
          <w:rFonts w:hint="eastAsia" w:hAnsi="宋体"/>
          <w:color w:val="000000" w:themeColor="text1"/>
          <w:szCs w:val="21"/>
          <w14:textFill>
            <w14:solidFill>
              <w14:schemeClr w14:val="tx1"/>
            </w14:solidFill>
          </w14:textFill>
        </w:rPr>
        <w:t>”的安全生产管理原则，结合本项目的实际情况，做好安全生产的各项工作，落实安全生产的各项要求。</w:t>
      </w:r>
    </w:p>
    <w:p>
      <w:pPr>
        <w:spacing w:line="360" w:lineRule="exact"/>
        <w:ind w:firstLine="420" w:firstLineChars="200"/>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根据交通运输部《关于开展公路水运工程平安工地建设活动的通知》，积极开展“平安工地”活动建设并接受考核</w:t>
      </w:r>
      <w:r>
        <w:rPr>
          <w:rFonts w:hint="eastAsia" w:hAnsi="宋体"/>
          <w:color w:val="000000" w:themeColor="text1"/>
          <w:szCs w:val="21"/>
          <w14:textFill>
            <w14:solidFill>
              <w14:schemeClr w14:val="tx1"/>
            </w14:solidFill>
          </w14:textFill>
        </w:rPr>
        <w:t>。</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3.违约责任</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如因发包人或承包人违约造成安全事故，将依法追究责任。</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4.本合同由双方法定代表人或其授权的代理人签署并加盖单位章后生效，全部工程竣工验收后失效。</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5.本合同正本—式二份，副本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份，合同双方各执正本—份，副本</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份，当正本与副本的内容不一致时，以正本为准。</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      承包人：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（盖单位章） </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       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spacing w:line="400" w:lineRule="exact"/>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line="400" w:lineRule="exact"/>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pacing w:line="400" w:lineRule="exact"/>
        <w:ind w:firstLine="420" w:firstLineChars="200"/>
        <w:rPr>
          <w:rFonts w:ascii="宋体" w:hAnsi="宋体" w:cs="宋体"/>
          <w:color w:val="000000" w:themeColor="text1"/>
          <w:szCs w:val="21"/>
          <w14:textFill>
            <w14:solidFill>
              <w14:schemeClr w14:val="tx1"/>
            </w14:solidFill>
          </w14:textFill>
        </w:rPr>
      </w:pPr>
    </w:p>
    <w:p>
      <w:pPr>
        <w:spacing w:line="400" w:lineRule="exact"/>
        <w:ind w:firstLine="420" w:firstLineChars="200"/>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sectPr>
          <w:footerReference r:id="rId5" w:type="default"/>
          <w:footnotePr>
            <w:numFmt w:val="decimalEnclosedCircleChinese"/>
            <w:numRestart w:val="eachPage"/>
          </w:footnotePr>
          <w:pgSz w:w="11906" w:h="16838"/>
          <w:pgMar w:top="993" w:right="1133" w:bottom="993" w:left="1361" w:header="851" w:footer="992" w:gutter="0"/>
          <w:pgBorders>
            <w:top w:val="none" w:sz="0" w:space="0"/>
            <w:left w:val="none" w:sz="0" w:space="0"/>
            <w:bottom w:val="none" w:sz="0" w:space="0"/>
            <w:right w:val="none" w:sz="0" w:space="0"/>
          </w:pgBorders>
          <w:pgNumType w:start="1"/>
          <w:cols w:space="720" w:num="1"/>
        </w:sectPr>
      </w:pPr>
    </w:p>
    <w:p>
      <w:pPr>
        <w:spacing w:after="120" w:afterLines="5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附件四   其他主要管理人员和技术人员最低要求</w:t>
      </w:r>
    </w:p>
    <w:tbl>
      <w:tblPr>
        <w:tblStyle w:val="41"/>
        <w:tblW w:w="8789"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60"/>
        <w:gridCol w:w="5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98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  员</w:t>
            </w:r>
          </w:p>
        </w:tc>
        <w:tc>
          <w:tcPr>
            <w:tcW w:w="156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  量</w:t>
            </w:r>
          </w:p>
        </w:tc>
        <w:tc>
          <w:tcPr>
            <w:tcW w:w="524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9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质量负责人</w:t>
            </w:r>
          </w:p>
        </w:tc>
        <w:tc>
          <w:tcPr>
            <w:tcW w:w="156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244" w:type="dxa"/>
            <w:vAlign w:val="center"/>
          </w:tcPr>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公路工程质量检验工作经验3年及以上，并有质检员岗位证书或培训证书，60周岁以下。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985" w:type="dxa"/>
            <w:vAlign w:val="center"/>
          </w:tcPr>
          <w:p>
            <w:pPr>
              <w:jc w:val="center"/>
              <w:rPr>
                <w:rFonts w:ascii="宋体" w:hAnsi="宋体" w:eastAsia="黑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安全负责人</w:t>
            </w:r>
          </w:p>
        </w:tc>
        <w:tc>
          <w:tcPr>
            <w:tcW w:w="156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244" w:type="dxa"/>
            <w:vAlign w:val="center"/>
          </w:tcPr>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公路工程施工安全管理工作5年及以上，有施工企业专职安全生产管理人员安全生产考核合格证书（C类），60周岁以下。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rFonts w:ascii="宋体" w:hAnsi="宋体" w:eastAsia="黑体"/>
                <w:color w:val="000000" w:themeColor="text1"/>
                <w:szCs w:val="21"/>
                <w14:textFill>
                  <w14:solidFill>
                    <w14:schemeClr w14:val="tx1"/>
                  </w14:solidFill>
                </w14:textFill>
              </w:rPr>
            </w:pP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5244" w:type="dxa"/>
            <w:vAlign w:val="center"/>
          </w:tcPr>
          <w:p>
            <w:pPr>
              <w:spacing w:line="240" w:lineRule="exac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vAlign w:val="center"/>
          </w:tcPr>
          <w:p>
            <w:pPr>
              <w:jc w:val="center"/>
              <w:rPr>
                <w:color w:val="000000" w:themeColor="text1"/>
                <w:szCs w:val="21"/>
                <w14:textFill>
                  <w14:solidFill>
                    <w14:schemeClr w14:val="tx1"/>
                  </w14:solidFill>
                </w14:textFill>
              </w:rPr>
            </w:pPr>
          </w:p>
        </w:tc>
        <w:tc>
          <w:tcPr>
            <w:tcW w:w="1560" w:type="dxa"/>
            <w:vAlign w:val="center"/>
          </w:tcPr>
          <w:p>
            <w:pPr>
              <w:jc w:val="center"/>
              <w:rPr>
                <w:color w:val="000000" w:themeColor="text1"/>
                <w:szCs w:val="21"/>
                <w14:textFill>
                  <w14:solidFill>
                    <w14:schemeClr w14:val="tx1"/>
                  </w14:solidFill>
                </w14:textFill>
              </w:rPr>
            </w:pPr>
          </w:p>
        </w:tc>
        <w:tc>
          <w:tcPr>
            <w:tcW w:w="5244" w:type="dxa"/>
            <w:vAlign w:val="center"/>
          </w:tcPr>
          <w:p>
            <w:pPr>
              <w:jc w:val="center"/>
              <w:rPr>
                <w:color w:val="000000" w:themeColor="text1"/>
                <w:szCs w:val="21"/>
                <w14:textFill>
                  <w14:solidFill>
                    <w14:schemeClr w14:val="tx1"/>
                  </w14:solidFill>
                </w14:textFill>
              </w:rPr>
            </w:pPr>
          </w:p>
        </w:tc>
      </w:tr>
    </w:tbl>
    <w:p>
      <w:pPr>
        <w:rPr>
          <w:rFonts w:eastAsia="隶书"/>
          <w:color w:val="000000" w:themeColor="text1"/>
          <w:sz w:val="24"/>
          <w14:textFill>
            <w14:solidFill>
              <w14:schemeClr w14:val="tx1"/>
            </w14:solidFill>
          </w14:textFill>
        </w:rPr>
      </w:pPr>
    </w:p>
    <w:p>
      <w:pPr>
        <w:spacing w:after="120" w:afterLines="50"/>
        <w:jc w:val="center"/>
        <w:rPr>
          <w:color w:val="000000" w:themeColor="text1"/>
          <w:sz w:val="28"/>
          <w:szCs w:val="28"/>
          <w14:textFill>
            <w14:solidFill>
              <w14:schemeClr w14:val="tx1"/>
            </w14:solidFill>
          </w14:textFill>
        </w:rPr>
      </w:pPr>
      <w:r>
        <w:rPr>
          <w:rFonts w:eastAsia="隶书"/>
          <w:color w:val="000000" w:themeColor="text1"/>
          <w:sz w:val="24"/>
          <w14:textFill>
            <w14:solidFill>
              <w14:schemeClr w14:val="tx1"/>
            </w14:solidFill>
          </w14:textFill>
        </w:rPr>
        <w:br w:type="page"/>
      </w:r>
      <w:r>
        <w:rPr>
          <w:color w:val="000000" w:themeColor="text1"/>
          <w:sz w:val="28"/>
          <w:szCs w:val="28"/>
          <w14:textFill>
            <w14:solidFill>
              <w14:schemeClr w14:val="tx1"/>
            </w14:solidFill>
          </w14:textFill>
        </w:rPr>
        <w:t>附件五   主要机械设备和试验检测设备最低要求</w:t>
      </w:r>
    </w:p>
    <w:tbl>
      <w:tblPr>
        <w:tblStyle w:val="41"/>
        <w:tblW w:w="893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0"/>
        <w:gridCol w:w="3827"/>
        <w:gridCol w:w="99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设备名称</w:t>
            </w:r>
          </w:p>
        </w:tc>
        <w:tc>
          <w:tcPr>
            <w:tcW w:w="3827"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w:t>
            </w:r>
          </w:p>
        </w:tc>
        <w:tc>
          <w:tcPr>
            <w:tcW w:w="993" w:type="dxa"/>
            <w:tcBorders>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1701" w:type="dxa"/>
            <w:tcBorders>
              <w:lef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测量设备</w:t>
            </w:r>
          </w:p>
        </w:tc>
        <w:tc>
          <w:tcPr>
            <w:tcW w:w="38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水准仪、经纬仪等满足施工要求</w:t>
            </w:r>
          </w:p>
        </w:tc>
        <w:tc>
          <w:tcPr>
            <w:tcW w:w="993" w:type="dxa"/>
            <w:tcBorders>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光轮压路机</w:t>
            </w:r>
          </w:p>
        </w:tc>
        <w:tc>
          <w:tcPr>
            <w:tcW w:w="38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满足施工要求</w:t>
            </w:r>
          </w:p>
        </w:tc>
        <w:tc>
          <w:tcPr>
            <w:tcW w:w="993" w:type="dxa"/>
            <w:tcBorders>
              <w:right w:val="single" w:color="auto" w:sz="4" w:space="0"/>
            </w:tcBorders>
            <w:vAlign w:val="center"/>
          </w:tcPr>
          <w:p>
            <w:pPr>
              <w:spacing w:line="260" w:lineRule="exact"/>
              <w:jc w:val="center"/>
              <w:rPr>
                <w:rFonts w:ascii="宋体" w:hAnsi="宋体"/>
                <w:color w:val="000000" w:themeColor="text1"/>
                <w:sz w:val="24"/>
                <w14:textFill>
                  <w14:solidFill>
                    <w14:schemeClr w14:val="tx1"/>
                  </w14:solidFill>
                </w14:textFill>
              </w:rPr>
            </w:pPr>
            <w:r>
              <w:rPr>
                <w:rFonts w:hint="eastAsia" w:hAnsi="宋体" w:cs="宋体"/>
                <w:color w:val="000000" w:themeColor="text1"/>
                <w:szCs w:val="21"/>
                <w14:textFill>
                  <w14:solidFill>
                    <w14:schemeClr w14:val="tx1"/>
                  </w14:solidFill>
                </w14:textFill>
              </w:rPr>
              <w:t>台</w:t>
            </w: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轮胎式</w:t>
            </w:r>
            <w:r>
              <w:rPr>
                <w:rFonts w:ascii="宋体" w:hAnsi="宋体"/>
                <w:color w:val="000000" w:themeColor="text1"/>
                <w:sz w:val="24"/>
                <w14:textFill>
                  <w14:solidFill>
                    <w14:schemeClr w14:val="tx1"/>
                  </w14:solidFill>
                </w14:textFill>
              </w:rPr>
              <w:t>压路机</w:t>
            </w:r>
          </w:p>
        </w:tc>
        <w:tc>
          <w:tcPr>
            <w:tcW w:w="38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满足施工要求</w:t>
            </w:r>
          </w:p>
        </w:tc>
        <w:tc>
          <w:tcPr>
            <w:tcW w:w="993" w:type="dxa"/>
            <w:tcBorders>
              <w:right w:val="single" w:color="auto" w:sz="4" w:space="0"/>
            </w:tcBorders>
            <w:vAlign w:val="center"/>
          </w:tcPr>
          <w:p>
            <w:pPr>
              <w:widowControl/>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台</w:t>
            </w: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自卸汽车</w:t>
            </w:r>
          </w:p>
        </w:tc>
        <w:tc>
          <w:tcPr>
            <w:tcW w:w="38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满足施工要求</w:t>
            </w:r>
          </w:p>
        </w:tc>
        <w:tc>
          <w:tcPr>
            <w:tcW w:w="993" w:type="dxa"/>
            <w:tcBorders>
              <w:right w:val="single" w:color="auto" w:sz="4" w:space="0"/>
            </w:tcBorders>
            <w:vAlign w:val="center"/>
          </w:tcPr>
          <w:p>
            <w:pPr>
              <w:widowControl/>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辆</w:t>
            </w: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p>
        </w:tc>
        <w:tc>
          <w:tcPr>
            <w:tcW w:w="3827" w:type="dxa"/>
            <w:vAlign w:val="center"/>
          </w:tcPr>
          <w:p>
            <w:pPr>
              <w:jc w:val="center"/>
              <w:rPr>
                <w:rFonts w:ascii="宋体" w:hAnsi="宋体"/>
                <w:color w:val="000000" w:themeColor="text1"/>
                <w:sz w:val="24"/>
                <w14:textFill>
                  <w14:solidFill>
                    <w14:schemeClr w14:val="tx1"/>
                  </w14:solidFill>
                </w14:textFill>
              </w:rPr>
            </w:pPr>
          </w:p>
        </w:tc>
        <w:tc>
          <w:tcPr>
            <w:tcW w:w="993" w:type="dxa"/>
            <w:tcBorders>
              <w:right w:val="single" w:color="auto" w:sz="4" w:space="0"/>
            </w:tcBorders>
            <w:vAlign w:val="center"/>
          </w:tcPr>
          <w:p>
            <w:pPr>
              <w:widowControl/>
              <w:jc w:val="center"/>
              <w:rPr>
                <w:rFonts w:hAnsi="宋体" w:cs="宋体"/>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p>
        </w:tc>
        <w:tc>
          <w:tcPr>
            <w:tcW w:w="3827" w:type="dxa"/>
            <w:vAlign w:val="center"/>
          </w:tcPr>
          <w:p>
            <w:pPr>
              <w:jc w:val="center"/>
              <w:rPr>
                <w:rFonts w:ascii="宋体" w:hAnsi="宋体"/>
                <w:color w:val="000000" w:themeColor="text1"/>
                <w:sz w:val="24"/>
                <w14:textFill>
                  <w14:solidFill>
                    <w14:schemeClr w14:val="tx1"/>
                  </w14:solidFill>
                </w14:textFill>
              </w:rPr>
            </w:pPr>
          </w:p>
        </w:tc>
        <w:tc>
          <w:tcPr>
            <w:tcW w:w="993" w:type="dxa"/>
            <w:tcBorders>
              <w:right w:val="single" w:color="auto" w:sz="4" w:space="0"/>
            </w:tcBorders>
            <w:vAlign w:val="center"/>
          </w:tcPr>
          <w:p>
            <w:pPr>
              <w:widowControl/>
              <w:jc w:val="center"/>
              <w:rPr>
                <w:rFonts w:hAnsi="宋体" w:cs="宋体"/>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p>
        </w:tc>
        <w:tc>
          <w:tcPr>
            <w:tcW w:w="3827" w:type="dxa"/>
            <w:vAlign w:val="center"/>
          </w:tcPr>
          <w:p>
            <w:pPr>
              <w:jc w:val="center"/>
              <w:rPr>
                <w:rFonts w:ascii="宋体" w:hAnsi="宋体"/>
                <w:color w:val="000000" w:themeColor="text1"/>
                <w:sz w:val="24"/>
                <w14:textFill>
                  <w14:solidFill>
                    <w14:schemeClr w14:val="tx1"/>
                  </w14:solidFill>
                </w14:textFill>
              </w:rPr>
            </w:pPr>
          </w:p>
        </w:tc>
        <w:tc>
          <w:tcPr>
            <w:tcW w:w="993" w:type="dxa"/>
            <w:tcBorders>
              <w:right w:val="single" w:color="auto" w:sz="4" w:space="0"/>
            </w:tcBorders>
            <w:vAlign w:val="center"/>
          </w:tcPr>
          <w:p>
            <w:pPr>
              <w:spacing w:line="260" w:lineRule="exact"/>
              <w:jc w:val="center"/>
              <w:rPr>
                <w:rFonts w:ascii="宋体" w:hAnsi="宋体"/>
                <w:color w:val="000000" w:themeColor="text1"/>
                <w:sz w:val="24"/>
                <w14:textFill>
                  <w14:solidFill>
                    <w14:schemeClr w14:val="tx1"/>
                  </w14:solidFill>
                </w14:textFill>
              </w:rPr>
            </w:pP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p>
        </w:tc>
        <w:tc>
          <w:tcPr>
            <w:tcW w:w="3827" w:type="dxa"/>
            <w:vAlign w:val="center"/>
          </w:tcPr>
          <w:p>
            <w:pPr>
              <w:jc w:val="center"/>
              <w:rPr>
                <w:rFonts w:ascii="宋体" w:hAnsi="宋体"/>
                <w:color w:val="000000" w:themeColor="text1"/>
                <w:sz w:val="24"/>
                <w14:textFill>
                  <w14:solidFill>
                    <w14:schemeClr w14:val="tx1"/>
                  </w14:solidFill>
                </w14:textFill>
              </w:rPr>
            </w:pPr>
          </w:p>
        </w:tc>
        <w:tc>
          <w:tcPr>
            <w:tcW w:w="993" w:type="dxa"/>
            <w:tcBorders>
              <w:right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1701" w:type="dxa"/>
            <w:tcBorders>
              <w:lef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Cs w:val="21"/>
                <w14:textFill>
                  <w14:solidFill>
                    <w14:schemeClr w14:val="tx1"/>
                  </w14:solidFill>
                </w14:textFill>
              </w:rPr>
            </w:pPr>
          </w:p>
        </w:tc>
        <w:tc>
          <w:tcPr>
            <w:tcW w:w="3827" w:type="dxa"/>
            <w:vAlign w:val="center"/>
          </w:tcPr>
          <w:p>
            <w:pPr>
              <w:jc w:val="center"/>
              <w:rPr>
                <w:rFonts w:ascii="宋体" w:hAnsi="宋体"/>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Cs w:val="21"/>
                <w14:textFill>
                  <w14:solidFill>
                    <w14:schemeClr w14:val="tx1"/>
                  </w14:solidFill>
                </w14:textFill>
              </w:rPr>
            </w:pPr>
          </w:p>
        </w:tc>
        <w:tc>
          <w:tcPr>
            <w:tcW w:w="3827" w:type="dxa"/>
            <w:vAlign w:val="center"/>
          </w:tcPr>
          <w:p>
            <w:pPr>
              <w:jc w:val="center"/>
              <w:rPr>
                <w:rFonts w:ascii="宋体" w:hAnsi="宋体"/>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Cs w:val="21"/>
                <w14:textFill>
                  <w14:solidFill>
                    <w14:schemeClr w14:val="tx1"/>
                  </w14:solidFill>
                </w14:textFill>
              </w:rPr>
            </w:pPr>
          </w:p>
        </w:tc>
        <w:tc>
          <w:tcPr>
            <w:tcW w:w="3827" w:type="dxa"/>
            <w:vAlign w:val="center"/>
          </w:tcPr>
          <w:p>
            <w:pPr>
              <w:jc w:val="center"/>
              <w:rPr>
                <w:rFonts w:ascii="宋体" w:hAnsi="宋体"/>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p>
        </w:tc>
        <w:tc>
          <w:tcPr>
            <w:tcW w:w="3827" w:type="dxa"/>
            <w:vAlign w:val="center"/>
          </w:tcPr>
          <w:p>
            <w:pPr>
              <w:jc w:val="center"/>
              <w:rPr>
                <w:color w:val="000000" w:themeColor="text1"/>
                <w:sz w:val="24"/>
                <w14:textFill>
                  <w14:solidFill>
                    <w14:schemeClr w14:val="tx1"/>
                  </w14:solidFill>
                </w14:textFill>
              </w:rPr>
            </w:pPr>
          </w:p>
        </w:tc>
        <w:tc>
          <w:tcPr>
            <w:tcW w:w="993" w:type="dxa"/>
            <w:tcBorders>
              <w:right w:val="single" w:color="auto" w:sz="4" w:space="0"/>
            </w:tcBorders>
            <w:vAlign w:val="center"/>
          </w:tcPr>
          <w:p>
            <w:pPr>
              <w:spacing w:line="260" w:lineRule="exact"/>
              <w:jc w:val="center"/>
              <w:rPr>
                <w:rFonts w:ascii="宋体" w:hAnsi="宋体"/>
                <w:color w:val="000000" w:themeColor="text1"/>
                <w:sz w:val="24"/>
                <w14:textFill>
                  <w14:solidFill>
                    <w14:schemeClr w14:val="tx1"/>
                  </w14:solidFill>
                </w14:textFill>
              </w:rPr>
            </w:pPr>
          </w:p>
        </w:tc>
        <w:tc>
          <w:tcPr>
            <w:tcW w:w="1701" w:type="dxa"/>
            <w:tcBorders>
              <w:left w:val="single" w:color="auto" w:sz="4" w:space="0"/>
            </w:tcBorders>
            <w:vAlign w:val="center"/>
          </w:tcPr>
          <w:p>
            <w:pPr>
              <w:spacing w:line="26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rFonts w:ascii="宋体" w:hAnsi="宋体"/>
                <w:color w:val="000000" w:themeColor="text1"/>
                <w:sz w:val="24"/>
                <w14:textFill>
                  <w14:solidFill>
                    <w14:schemeClr w14:val="tx1"/>
                  </w14:solidFill>
                </w14:textFill>
              </w:rPr>
            </w:pPr>
          </w:p>
        </w:tc>
        <w:tc>
          <w:tcPr>
            <w:tcW w:w="3827" w:type="dxa"/>
            <w:vAlign w:val="center"/>
          </w:tcPr>
          <w:p>
            <w:pPr>
              <w:jc w:val="center"/>
              <w:rPr>
                <w:color w:val="000000" w:themeColor="text1"/>
                <w:sz w:val="24"/>
                <w14:textFill>
                  <w14:solidFill>
                    <w14:schemeClr w14:val="tx1"/>
                  </w14:solidFill>
                </w14:textFill>
              </w:rPr>
            </w:pPr>
          </w:p>
        </w:tc>
        <w:tc>
          <w:tcPr>
            <w:tcW w:w="993" w:type="dxa"/>
            <w:tcBorders>
              <w:right w:val="single" w:color="auto" w:sz="4" w:space="0"/>
            </w:tcBorders>
            <w:vAlign w:val="center"/>
          </w:tcPr>
          <w:p>
            <w:pPr>
              <w:spacing w:line="260" w:lineRule="exact"/>
              <w:jc w:val="center"/>
              <w:rPr>
                <w:rFonts w:ascii="宋体" w:hAnsi="宋体"/>
                <w:color w:val="000000" w:themeColor="text1"/>
                <w:sz w:val="24"/>
                <w14:textFill>
                  <w14:solidFill>
                    <w14:schemeClr w14:val="tx1"/>
                  </w14:solidFill>
                </w14:textFill>
              </w:rPr>
            </w:pPr>
          </w:p>
        </w:tc>
        <w:tc>
          <w:tcPr>
            <w:tcW w:w="1701" w:type="dxa"/>
            <w:tcBorders>
              <w:left w:val="single" w:color="auto" w:sz="4" w:space="0"/>
            </w:tcBorders>
            <w:vAlign w:val="center"/>
          </w:tcPr>
          <w:p>
            <w:pPr>
              <w:spacing w:line="26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000000" w:themeColor="text1"/>
                <w:szCs w:val="21"/>
                <w14:textFill>
                  <w14:solidFill>
                    <w14:schemeClr w14:val="tx1"/>
                  </w14:solidFill>
                </w14:textFill>
              </w:rPr>
            </w:pPr>
          </w:p>
        </w:tc>
        <w:tc>
          <w:tcPr>
            <w:tcW w:w="3827" w:type="dxa"/>
            <w:vAlign w:val="center"/>
          </w:tcPr>
          <w:p>
            <w:pPr>
              <w:jc w:val="center"/>
              <w:rPr>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000000" w:themeColor="text1"/>
                <w:szCs w:val="21"/>
                <w14:textFill>
                  <w14:solidFill>
                    <w14:schemeClr w14:val="tx1"/>
                  </w14:solidFill>
                </w14:textFill>
              </w:rPr>
            </w:pPr>
          </w:p>
        </w:tc>
        <w:tc>
          <w:tcPr>
            <w:tcW w:w="3827" w:type="dxa"/>
            <w:vAlign w:val="center"/>
          </w:tcPr>
          <w:p>
            <w:pPr>
              <w:jc w:val="center"/>
              <w:rPr>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000000" w:themeColor="text1"/>
                <w:szCs w:val="21"/>
                <w14:textFill>
                  <w14:solidFill>
                    <w14:schemeClr w14:val="tx1"/>
                  </w14:solidFill>
                </w14:textFill>
              </w:rPr>
            </w:pPr>
          </w:p>
        </w:tc>
        <w:tc>
          <w:tcPr>
            <w:tcW w:w="3827" w:type="dxa"/>
            <w:vAlign w:val="center"/>
          </w:tcPr>
          <w:p>
            <w:pPr>
              <w:jc w:val="center"/>
              <w:rPr>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000000" w:themeColor="text1"/>
                <w:szCs w:val="21"/>
                <w14:textFill>
                  <w14:solidFill>
                    <w14:schemeClr w14:val="tx1"/>
                  </w14:solidFill>
                </w14:textFill>
              </w:rPr>
            </w:pPr>
          </w:p>
        </w:tc>
        <w:tc>
          <w:tcPr>
            <w:tcW w:w="3827" w:type="dxa"/>
            <w:vAlign w:val="center"/>
          </w:tcPr>
          <w:p>
            <w:pPr>
              <w:jc w:val="center"/>
              <w:rPr>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2410" w:type="dxa"/>
            <w:vAlign w:val="center"/>
          </w:tcPr>
          <w:p>
            <w:pPr>
              <w:jc w:val="center"/>
              <w:rPr>
                <w:color w:val="000000" w:themeColor="text1"/>
                <w:szCs w:val="21"/>
                <w14:textFill>
                  <w14:solidFill>
                    <w14:schemeClr w14:val="tx1"/>
                  </w14:solidFill>
                </w14:textFill>
              </w:rPr>
            </w:pPr>
          </w:p>
        </w:tc>
        <w:tc>
          <w:tcPr>
            <w:tcW w:w="3827" w:type="dxa"/>
            <w:vAlign w:val="center"/>
          </w:tcPr>
          <w:p>
            <w:pPr>
              <w:jc w:val="center"/>
              <w:rPr>
                <w:color w:val="000000" w:themeColor="text1"/>
                <w:szCs w:val="21"/>
                <w14:textFill>
                  <w14:solidFill>
                    <w14:schemeClr w14:val="tx1"/>
                  </w14:solidFill>
                </w14:textFill>
              </w:rPr>
            </w:pPr>
          </w:p>
        </w:tc>
        <w:tc>
          <w:tcPr>
            <w:tcW w:w="993" w:type="dxa"/>
            <w:tcBorders>
              <w:right w:val="single" w:color="auto" w:sz="4" w:space="0"/>
            </w:tcBorders>
            <w:vAlign w:val="center"/>
          </w:tcPr>
          <w:p>
            <w:pPr>
              <w:jc w:val="center"/>
              <w:rPr>
                <w:color w:val="000000" w:themeColor="text1"/>
                <w:szCs w:val="21"/>
                <w14:textFill>
                  <w14:solidFill>
                    <w14:schemeClr w14:val="tx1"/>
                  </w14:solidFill>
                </w14:textFill>
              </w:rPr>
            </w:pPr>
          </w:p>
        </w:tc>
        <w:tc>
          <w:tcPr>
            <w:tcW w:w="1701" w:type="dxa"/>
            <w:tcBorders>
              <w:left w:val="single" w:color="auto" w:sz="4" w:space="0"/>
            </w:tcBorders>
            <w:vAlign w:val="center"/>
          </w:tcPr>
          <w:p>
            <w:pPr>
              <w:jc w:val="center"/>
              <w:rPr>
                <w:color w:val="000000" w:themeColor="text1"/>
                <w:szCs w:val="21"/>
                <w14:textFill>
                  <w14:solidFill>
                    <w14:schemeClr w14:val="tx1"/>
                  </w14:solidFill>
                </w14:textFill>
              </w:rPr>
            </w:pPr>
          </w:p>
        </w:tc>
      </w:tr>
    </w:tbl>
    <w:p>
      <w:pPr>
        <w:spacing w:after="120" w:afterLines="50"/>
        <w:rPr>
          <w:rFonts w:eastAsia="隶书"/>
          <w:color w:val="000000" w:themeColor="text1"/>
          <w:sz w:val="24"/>
          <w14:textFill>
            <w14:solidFill>
              <w14:schemeClr w14:val="tx1"/>
            </w14:solidFill>
          </w14:textFill>
        </w:rPr>
      </w:pPr>
    </w:p>
    <w:p>
      <w:pPr>
        <w:spacing w:after="120" w:afterLines="50"/>
        <w:rPr>
          <w:rFonts w:eastAsia="隶书"/>
          <w:color w:val="000000" w:themeColor="text1"/>
          <w:sz w:val="24"/>
          <w14:textFill>
            <w14:solidFill>
              <w14:schemeClr w14:val="tx1"/>
            </w14:solidFill>
          </w14:textFill>
        </w:rPr>
      </w:pPr>
      <w:r>
        <w:rPr>
          <w:rFonts w:eastAsia="隶书"/>
          <w:color w:val="000000" w:themeColor="text1"/>
          <w:sz w:val="24"/>
          <w14:textFill>
            <w14:solidFill>
              <w14:schemeClr w14:val="tx1"/>
            </w14:solidFill>
          </w14:textFill>
        </w:rPr>
        <w:br w:type="page"/>
      </w:r>
    </w:p>
    <w:p>
      <w:pPr>
        <w:spacing w:after="120" w:afterLines="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附件六   项目经理委托书</w:t>
      </w:r>
    </w:p>
    <w:p>
      <w:pPr>
        <w:spacing w:line="400" w:lineRule="exact"/>
        <w:rPr>
          <w:rFonts w:eastAsia="隶书"/>
          <w:color w:val="000000" w:themeColor="text1"/>
          <w:sz w:val="24"/>
          <w14:textFill>
            <w14:solidFill>
              <w14:schemeClr w14:val="tx1"/>
            </w14:solidFill>
          </w14:textFill>
        </w:rPr>
      </w:pPr>
    </w:p>
    <w:p>
      <w:pPr>
        <w:spacing w:line="400" w:lineRule="exact"/>
        <w:jc w:val="center"/>
        <w:rPr>
          <w:rFonts w:eastAsia="黑体"/>
          <w:color w:val="000000" w:themeColor="text1"/>
          <w:sz w:val="28"/>
          <w:szCs w:val="28"/>
          <w:u w:val="single"/>
          <w14:textFill>
            <w14:solidFill>
              <w14:schemeClr w14:val="tx1"/>
            </w14:solidFill>
          </w14:textFill>
        </w:rPr>
      </w:pPr>
      <w:r>
        <w:rPr>
          <w:rFonts w:eastAsia="黑体"/>
          <w:color w:val="000000" w:themeColor="text1"/>
          <w:sz w:val="28"/>
          <w:szCs w:val="28"/>
          <w:u w:val="single"/>
          <w14:textFill>
            <w14:solidFill>
              <w14:schemeClr w14:val="tx1"/>
            </w14:solidFill>
          </w14:textFill>
        </w:rPr>
        <w:t>（承包人全称）</w:t>
      </w:r>
    </w:p>
    <w:p>
      <w:pPr>
        <w:spacing w:line="400" w:lineRule="exact"/>
        <w:jc w:val="center"/>
        <w:rPr>
          <w:rFonts w:eastAsia="黑体"/>
          <w:color w:val="000000" w:themeColor="text1"/>
          <w:sz w:val="28"/>
          <w:szCs w:val="28"/>
          <w:u w:val="single"/>
          <w14:textFill>
            <w14:solidFill>
              <w14:schemeClr w14:val="tx1"/>
            </w14:solidFill>
          </w14:textFill>
        </w:rPr>
      </w:pPr>
      <w:r>
        <w:rPr>
          <w:rFonts w:eastAsia="黑体"/>
          <w:color w:val="000000" w:themeColor="text1"/>
          <w:sz w:val="28"/>
          <w:szCs w:val="28"/>
          <w:u w:val="single"/>
          <w14:textFill>
            <w14:solidFill>
              <w14:schemeClr w14:val="tx1"/>
            </w14:solidFill>
          </w14:textFill>
        </w:rPr>
        <w:t>（合同工程名称）项目经理委任书</w:t>
      </w:r>
    </w:p>
    <w:p>
      <w:pPr>
        <w:spacing w:line="400" w:lineRule="exact"/>
        <w:rPr>
          <w:color w:val="000000" w:themeColor="text1"/>
          <w:szCs w:val="21"/>
          <w14:textFill>
            <w14:solidFill>
              <w14:schemeClr w14:val="tx1"/>
            </w14:solidFill>
          </w14:textFill>
        </w:rPr>
      </w:pPr>
    </w:p>
    <w:p>
      <w:pPr>
        <w:spacing w:line="5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致：</w:t>
      </w:r>
      <w:r>
        <w:rPr>
          <w:color w:val="000000" w:themeColor="text1"/>
          <w:szCs w:val="21"/>
          <w:u w:val="single"/>
          <w14:textFill>
            <w14:solidFill>
              <w14:schemeClr w14:val="tx1"/>
            </w14:solidFill>
          </w14:textFill>
        </w:rPr>
        <w:t>（发包人全称</w:t>
      </w:r>
      <w:r>
        <w:rPr>
          <w:color w:val="000000" w:themeColor="text1"/>
          <w:szCs w:val="21"/>
          <w14:textFill>
            <w14:solidFill>
              <w14:schemeClr w14:val="tx1"/>
            </w14:solidFill>
          </w14:textFill>
        </w:rPr>
        <w:t>）</w:t>
      </w:r>
    </w:p>
    <w:p>
      <w:pPr>
        <w:spacing w:line="560" w:lineRule="exact"/>
        <w:ind w:firstLine="420" w:firstLineChars="20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（承包人全称）</w:t>
      </w:r>
      <w:r>
        <w:rPr>
          <w:color w:val="000000" w:themeColor="text1"/>
          <w:szCs w:val="21"/>
          <w14:textFill>
            <w14:solidFill>
              <w14:schemeClr w14:val="tx1"/>
            </w14:solidFill>
          </w14:textFill>
        </w:rPr>
        <w:t xml:space="preserve"> 法定代表人</w:t>
      </w:r>
      <w:r>
        <w:rPr>
          <w:color w:val="000000" w:themeColor="text1"/>
          <w:szCs w:val="21"/>
          <w:u w:val="single"/>
          <w14:textFill>
            <w14:solidFill>
              <w14:schemeClr w14:val="tx1"/>
            </w14:solidFill>
          </w14:textFill>
        </w:rPr>
        <w:t xml:space="preserve"> （职务、姓名）</w:t>
      </w:r>
      <w:r>
        <w:rPr>
          <w:color w:val="000000" w:themeColor="text1"/>
          <w:szCs w:val="21"/>
          <w14:textFill>
            <w14:solidFill>
              <w14:schemeClr w14:val="tx1"/>
            </w14:solidFill>
          </w14:textFill>
        </w:rPr>
        <w:t xml:space="preserve"> 代表本单位委任 </w:t>
      </w:r>
      <w:r>
        <w:rPr>
          <w:color w:val="000000" w:themeColor="text1"/>
          <w:szCs w:val="21"/>
          <w:u w:val="single"/>
          <w14:textFill>
            <w14:solidFill>
              <w14:schemeClr w14:val="tx1"/>
            </w14:solidFill>
          </w14:textFill>
        </w:rPr>
        <w:t>（职务、姓名）</w:t>
      </w:r>
      <w:r>
        <w:rPr>
          <w:color w:val="000000" w:themeColor="text1"/>
          <w:szCs w:val="21"/>
          <w14:textFill>
            <w14:solidFill>
              <w14:schemeClr w14:val="tx1"/>
            </w14:solidFill>
          </w14:textFill>
        </w:rPr>
        <w:t xml:space="preserve"> 为</w:t>
      </w:r>
      <w:r>
        <w:rPr>
          <w:color w:val="000000" w:themeColor="text1"/>
          <w:szCs w:val="21"/>
          <w:u w:val="single"/>
          <w14:textFill>
            <w14:solidFill>
              <w14:schemeClr w14:val="tx1"/>
            </w14:solidFill>
          </w14:textFill>
        </w:rPr>
        <w:t>（合同工程名称）</w:t>
      </w:r>
      <w:r>
        <w:rPr>
          <w:color w:val="000000" w:themeColor="text1"/>
          <w:szCs w:val="21"/>
          <w14:textFill>
            <w14:solidFill>
              <w14:schemeClr w14:val="tx1"/>
            </w14:solidFill>
          </w14:textFill>
        </w:rPr>
        <w:t>的项目经理。凡本合同执行中的有关技术、工程进度、现场管理、质量检验、结算与支付等方面工作，由</w:t>
      </w:r>
      <w:r>
        <w:rPr>
          <w:color w:val="000000" w:themeColor="text1"/>
          <w:szCs w:val="21"/>
          <w:u w:val="single"/>
          <w14:textFill>
            <w14:solidFill>
              <w14:schemeClr w14:val="tx1"/>
            </w14:solidFill>
          </w14:textFill>
        </w:rPr>
        <w:t xml:space="preserve"> （姓名） </w:t>
      </w:r>
      <w:r>
        <w:rPr>
          <w:color w:val="000000" w:themeColor="text1"/>
          <w:szCs w:val="21"/>
          <w14:textFill>
            <w14:solidFill>
              <w14:schemeClr w14:val="tx1"/>
            </w14:solidFill>
          </w14:textFill>
        </w:rPr>
        <w:t>代表本单位全面负责。</w:t>
      </w: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wordWrap w:val="0"/>
        <w:spacing w:line="400" w:lineRule="exact"/>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（盖单位章）</w:t>
      </w:r>
    </w:p>
    <w:p>
      <w:pPr>
        <w:wordWrap w:val="0"/>
        <w:spacing w:line="400" w:lineRule="exact"/>
        <w:jc w:val="righ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法定代表人：</w:t>
      </w:r>
      <w:r>
        <w:rPr>
          <w:color w:val="000000" w:themeColor="text1"/>
          <w:szCs w:val="21"/>
          <w:u w:val="single"/>
          <w14:textFill>
            <w14:solidFill>
              <w14:schemeClr w14:val="tx1"/>
            </w14:solidFill>
          </w14:textFill>
        </w:rPr>
        <w:t xml:space="preserve">  （职务） </w:t>
      </w:r>
    </w:p>
    <w:p>
      <w:pPr>
        <w:wordWrap w:val="0"/>
        <w:spacing w:line="400" w:lineRule="exact"/>
        <w:ind w:firstLine="1575" w:firstLineChars="750"/>
        <w:jc w:val="righ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 xml:space="preserve">  （姓名） </w:t>
      </w:r>
    </w:p>
    <w:p>
      <w:pPr>
        <w:wordWrap w:val="0"/>
        <w:spacing w:line="400" w:lineRule="exact"/>
        <w:ind w:firstLine="1575" w:firstLineChars="750"/>
        <w:jc w:val="righ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 xml:space="preserve">  （签字） </w:t>
      </w:r>
    </w:p>
    <w:p>
      <w:pPr>
        <w:spacing w:line="400" w:lineRule="exact"/>
        <w:rPr>
          <w:color w:val="000000" w:themeColor="text1"/>
          <w:szCs w:val="21"/>
          <w14:textFill>
            <w14:solidFill>
              <w14:schemeClr w14:val="tx1"/>
            </w14:solidFill>
          </w14:textFill>
        </w:rPr>
      </w:pPr>
    </w:p>
    <w:p>
      <w:pPr>
        <w:wordWrap w:val="0"/>
        <w:spacing w:line="400" w:lineRule="exact"/>
        <w:jc w:val="right"/>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日</w:t>
      </w: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抄送：</w:t>
      </w:r>
      <w:r>
        <w:rPr>
          <w:color w:val="000000" w:themeColor="text1"/>
          <w:szCs w:val="21"/>
          <w:u w:val="single"/>
          <w14:textFill>
            <w14:solidFill>
              <w14:schemeClr w14:val="tx1"/>
            </w14:solidFill>
          </w14:textFill>
        </w:rPr>
        <w:t xml:space="preserve">  （监理人）</w:t>
      </w: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after="120" w:afterLines="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br w:type="page"/>
      </w:r>
    </w:p>
    <w:p>
      <w:pPr>
        <w:spacing w:after="120" w:afterLines="50"/>
        <w:rPr>
          <w:color w:val="000000" w:themeColor="text1"/>
          <w:szCs w:val="21"/>
          <w14:textFill>
            <w14:solidFill>
              <w14:schemeClr w14:val="tx1"/>
            </w14:solidFill>
          </w14:textFill>
        </w:rPr>
      </w:pPr>
      <w:r>
        <w:rPr>
          <w:color w:val="000000" w:themeColor="text1"/>
          <w:sz w:val="28"/>
          <w:szCs w:val="28"/>
          <w14:textFill>
            <w14:solidFill>
              <w14:schemeClr w14:val="tx1"/>
            </w14:solidFill>
          </w14:textFill>
        </w:rPr>
        <w:t xml:space="preserve">附件七   </w:t>
      </w:r>
      <w:bookmarkStart w:id="1150" w:name="_Toc13874"/>
      <w:r>
        <w:rPr>
          <w:rFonts w:hint="eastAsia"/>
          <w:color w:val="000000" w:themeColor="text1"/>
          <w:sz w:val="28"/>
          <w:szCs w:val="28"/>
          <w:lang w:val="zh-CN" w:eastAsia="zh-CN"/>
          <w14:textFill>
            <w14:solidFill>
              <w14:schemeClr w14:val="tx1"/>
            </w14:solidFill>
          </w14:textFill>
        </w:rPr>
        <w:t>工程质量责任合同格式</w:t>
      </w:r>
      <w:bookmarkEnd w:id="1150"/>
    </w:p>
    <w:p>
      <w:pPr>
        <w:rPr>
          <w:rFonts w:hAnsi="宋体" w:cs="宋体"/>
          <w:color w:val="000000" w:themeColor="text1"/>
          <w:szCs w:val="21"/>
          <w:lang w:val="zh-CN" w:eastAsia="zh-CN"/>
          <w14:textFill>
            <w14:solidFill>
              <w14:schemeClr w14:val="tx1"/>
            </w14:solidFill>
          </w14:textFill>
        </w:rPr>
      </w:pPr>
    </w:p>
    <w:p>
      <w:pPr>
        <w:spacing w:line="500" w:lineRule="exact"/>
        <w:jc w:val="center"/>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工程质量责任合同</w:t>
      </w:r>
    </w:p>
    <w:p>
      <w:pPr>
        <w:spacing w:line="500" w:lineRule="exact"/>
        <w:jc w:val="center"/>
        <w:rPr>
          <w:rFonts w:hAnsi="宋体"/>
          <w:b/>
          <w:color w:val="000000" w:themeColor="text1"/>
          <w:szCs w:val="21"/>
          <w14:textFill>
            <w14:solidFill>
              <w14:schemeClr w14:val="tx1"/>
            </w14:solidFill>
          </w14:textFill>
        </w:rPr>
      </w:pPr>
    </w:p>
    <w:p>
      <w:pPr>
        <w:spacing w:line="30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根据国务院《建设工程质量管理条例》，</w:t>
      </w:r>
      <w:r>
        <w:rPr>
          <w:rFonts w:hint="eastAsia" w:hAnsi="宋体"/>
          <w:color w:val="000000" w:themeColor="text1"/>
          <w:szCs w:val="21"/>
          <w14:textFill>
            <w14:solidFill>
              <w14:schemeClr w14:val="tx1"/>
            </w14:solidFill>
          </w14:textFill>
        </w:rPr>
        <w:t>为保证设计使用年限内建设工程质量，</w:t>
      </w:r>
      <w:r>
        <w:rPr>
          <w:rFonts w:hint="eastAsia" w:ascii="宋体"/>
          <w:b/>
          <w:bCs/>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（项目名称）  </w:t>
      </w:r>
      <w:r>
        <w:rPr>
          <w:rFonts w:hint="eastAsia" w:hAnsi="宋体"/>
          <w:color w:val="000000" w:themeColor="text1"/>
          <w:szCs w:val="21"/>
          <w14:textFill>
            <w14:solidFill>
              <w14:schemeClr w14:val="tx1"/>
            </w14:solidFill>
          </w14:textFill>
        </w:rPr>
        <w:t>的发包人</w:t>
      </w:r>
      <w:r>
        <w:rPr>
          <w:rFonts w:hint="eastAsia" w:ascii="宋体"/>
          <w:b/>
          <w:bCs/>
          <w:color w:val="000000" w:themeColor="text1"/>
          <w:szCs w:val="21"/>
          <w:u w:val="single"/>
          <w14:textFill>
            <w14:solidFill>
              <w14:schemeClr w14:val="tx1"/>
            </w14:solidFill>
          </w14:textFill>
        </w:rPr>
        <w:t xml:space="preserve">         （以下称甲方）</w:t>
      </w:r>
      <w:r>
        <w:rPr>
          <w:rFonts w:hint="eastAsia" w:hAnsi="宋体"/>
          <w:color w:val="000000" w:themeColor="text1"/>
          <w:szCs w:val="21"/>
          <w14:textFill>
            <w14:solidFill>
              <w14:schemeClr w14:val="tx1"/>
            </w14:solidFill>
          </w14:textFill>
        </w:rPr>
        <w:t>与承包人</w:t>
      </w:r>
      <w:r>
        <w:rPr>
          <w:rFonts w:hint="eastAsia" w:hAnsi="宋体"/>
          <w:color w:val="000000" w:themeColor="text1"/>
          <w:szCs w:val="21"/>
          <w:u w:val="single"/>
          <w14:textFill>
            <w14:solidFill>
              <w14:schemeClr w14:val="tx1"/>
            </w14:solidFill>
          </w14:textFill>
        </w:rPr>
        <w:t xml:space="preserve"> </w:t>
      </w:r>
      <w:r>
        <w:rPr>
          <w:rFonts w:hint="eastAsia" w:ascii="宋体" w:hAnsi="宋体" w:cs="宋体"/>
          <w:b/>
          <w:bCs/>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（以下称乙方），特订立如下质量责任合同。</w:t>
      </w:r>
    </w:p>
    <w:p>
      <w:pPr>
        <w:spacing w:line="300" w:lineRule="auto"/>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 xml:space="preserve">    第一条  本建设工程项目的质量目标为标段工程交（竣）工验收质量评定：</w:t>
      </w:r>
      <w:r>
        <w:rPr>
          <w:rFonts w:hint="eastAsia" w:hAnsi="宋体"/>
          <w:color w:val="000000" w:themeColor="text1"/>
          <w:szCs w:val="21"/>
          <w:u w:val="single"/>
          <w14:textFill>
            <w14:solidFill>
              <w14:schemeClr w14:val="tx1"/>
            </w14:solidFill>
          </w14:textFill>
        </w:rPr>
        <w:t>合格</w:t>
      </w:r>
      <w:r>
        <w:rPr>
          <w:rFonts w:hint="eastAsia" w:hAnsi="宋体"/>
          <w:color w:val="000000" w:themeColor="text1"/>
          <w:szCs w:val="21"/>
          <w14:textFill>
            <w14:solidFill>
              <w14:schemeClr w14:val="tx1"/>
            </w14:solidFill>
          </w14:textFill>
        </w:rPr>
        <w:t>，乙方对本建设工程的施工质量在设计使用年限内依法终身负责。施工质量责任人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p>
      <w:pPr>
        <w:spacing w:line="30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第二条  甲乙双方的权利与义务</w:t>
      </w:r>
    </w:p>
    <w:p>
      <w:pPr>
        <w:spacing w:line="30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（一）严格遵守国家有关法律法规及交通运输部和浙江省交通运输厅的有关规定。</w:t>
      </w:r>
    </w:p>
    <w:p>
      <w:pPr>
        <w:spacing w:line="30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（二）严格执行</w:t>
      </w:r>
      <w:r>
        <w:rPr>
          <w:rFonts w:hint="eastAsia" w:hAnsi="宋体"/>
          <w:color w:val="000000" w:themeColor="text1"/>
          <w:szCs w:val="21"/>
          <w:u w:val="single"/>
          <w14:textFill>
            <w14:solidFill>
              <w14:schemeClr w14:val="tx1"/>
            </w14:solidFill>
          </w14:textFill>
        </w:rPr>
        <w:t xml:space="preserve">       （项目名称）  </w:t>
      </w:r>
      <w:r>
        <w:rPr>
          <w:rFonts w:hint="eastAsia" w:hAnsi="宋体"/>
          <w:color w:val="000000" w:themeColor="text1"/>
          <w:szCs w:val="21"/>
          <w14:textFill>
            <w14:solidFill>
              <w14:schemeClr w14:val="tx1"/>
            </w14:solidFill>
          </w14:textFill>
        </w:rPr>
        <w:t>第</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标段施工合同文件，自觉按合同办事。</w:t>
      </w:r>
    </w:p>
    <w:p>
      <w:pPr>
        <w:spacing w:line="30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（三）双方的施工业务活动必须坚持科学、公正、诚信、平等的原则，不得损害国家、集体的利益，不得违反工程建设管理规章制度。</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（四）发现对方在施工业务活动中，有违反有关规定的行为，有及时提醒对方纠正的权利和义务。</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（五）发现对方严重违反施工合同文件的行为，有向其上级有关部门举报，建议给予处理并要求告知处理结果的权利。</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第三条  甲方的义务</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（一）甲方向乙方及时提供有关资料（包括技术规范、工程量清单、施工图等）。</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（二）甲方向乙方及时提供建设用地，及时解决对工程占地范围以内尚未拆迁的建筑物及其他障碍物。</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（三）甲方不得指使乙方不按法律、法规、工程建设强制性标准和施工规范进行工程的施工活动。</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（四）甲方须按施工合同的约定支付工程款，除施工合同的约定外，甲方不得以任何借口克扣工程款或拖延工程款的支付。</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（五）甲方不得明示或暗示向乙方推荐单位或个人承包或分包本工程项目的施工任务。</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（六）甲方不得以任何理由索取回扣或其它好处。</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第四条  乙方的义务</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（一）乙方应具备与本工程项目相应等级的施工资质证书。</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（二）乙方不得允许其它单位或个人以乙方的名义承揽本工程项目的施工任务，不得转包或违法分包所承揽的本工程的项目施工任务。</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（三）乙方必须严格履行施工合同，按投标承诺的施工技术人员及时到位。施工技术人员原则上不得擅自调换，如有特殊原因确需调换的，须经业主书面同意方能换人。</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（四）乙方必须建立工地临时试验室，按要求配合相应的试验检测人员和设备，并取得工地临时试验室资质证书。按有关规定做好各类试验，试验资料应真实、完整，统一归档。</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（五）乙方必须按照工程设计图纸和施工技术规范施工，不得擅自修改工程设计，不得偷工减料。</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（六）乙方在施工过程中发现设计文件和图纸有差错的，应当及时提出意见和建议。</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（七）乙方与甲方、乙方与指定分包人之间有关工程质量、进度和费用的一切往来函件、报表均应分类编号归档保存；施工技术资料应真实、完整。</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（八）乙方应加强对甲方按合同规定采购的材料设备的检验，对检验不合格的产品，乙方应拒绝使用。</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（九）乙方不得暗示材料、设备供应单位提供使用不合格或质量低劣的材料、设备。</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第五条  违约责任</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（一）甲方及其工作人员违反本合同第二、三条，按管理权限，依据国务院《建设工程质量管理条例》有关规定给予相应的处罚；涉嫌犯罪的，依法追究刑事责任；给乙方单位造成经济损失的，应予以赔偿。</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（二）乙方及其工作人员违反本合同第二、四条，按管理权限，依据国务院《建设工程质量管理条例》有关规定给予相应的处罚；涉嫌犯罪的，依法追究刑事责任；给甲方单位造成经济损失的，应予以赔偿。</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第六条  本合同有效期为甲乙双方自签署之日起至该工程项目设计使用年限之日止。</w:t>
      </w:r>
    </w:p>
    <w:p>
      <w:pPr>
        <w:spacing w:line="30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第七条  本合同作为</w:t>
      </w:r>
      <w:r>
        <w:rPr>
          <w:rFonts w:hint="eastAsia" w:ascii="宋体"/>
          <w:b/>
          <w:bCs/>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（项目名称）      </w:t>
      </w:r>
      <w:r>
        <w:rPr>
          <w:rFonts w:hint="eastAsia" w:hAnsi="宋体"/>
          <w:color w:val="000000" w:themeColor="text1"/>
          <w:szCs w:val="21"/>
          <w14:textFill>
            <w14:solidFill>
              <w14:schemeClr w14:val="tx1"/>
            </w14:solidFill>
          </w14:textFill>
        </w:rPr>
        <w:t>第</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标段施工合同附件，与工程施工合同具有同等的法律效力，经合同双方签署后立即生效。</w:t>
      </w:r>
    </w:p>
    <w:p>
      <w:pPr>
        <w:spacing w:line="300" w:lineRule="auto"/>
        <w:ind w:firstLine="42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第八条  本合同正本二份、副本</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份，合同双方各执正本一份，副本</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份，当正本与副本的内容不一致时，以正本为准。</w:t>
      </w:r>
    </w:p>
    <w:p>
      <w:pPr>
        <w:spacing w:line="300" w:lineRule="auto"/>
        <w:ind w:firstLine="420"/>
        <w:rPr>
          <w:rFonts w:hAnsi="宋体"/>
          <w:color w:val="000000" w:themeColor="text1"/>
          <w:szCs w:val="21"/>
          <w14:textFill>
            <w14:solidFill>
              <w14:schemeClr w14:val="tx1"/>
            </w14:solidFill>
          </w14:textFill>
        </w:rPr>
      </w:pPr>
    </w:p>
    <w:p>
      <w:pPr>
        <w:spacing w:line="300" w:lineRule="auto"/>
        <w:ind w:firstLine="420"/>
        <w:rPr>
          <w:rFonts w:hAnsi="宋体"/>
          <w:color w:val="000000" w:themeColor="text1"/>
          <w:szCs w:val="21"/>
          <w14:textFill>
            <w14:solidFill>
              <w14:schemeClr w14:val="tx1"/>
            </w14:solidFill>
          </w14:textFill>
        </w:rPr>
      </w:pPr>
    </w:p>
    <w:p>
      <w:pPr>
        <w:spacing w:line="300" w:lineRule="auto"/>
        <w:rPr>
          <w:rFonts w:hAnsi="宋体"/>
          <w:color w:val="000000" w:themeColor="text1"/>
          <w:szCs w:val="21"/>
          <w14:textFill>
            <w14:solidFill>
              <w14:schemeClr w14:val="tx1"/>
            </w14:solidFill>
          </w14:textFill>
        </w:rPr>
      </w:pPr>
    </w:p>
    <w:p>
      <w:pPr>
        <w:spacing w:line="300" w:lineRule="auto"/>
        <w:rPr>
          <w:rFonts w:hAnsi="宋体"/>
          <w:color w:val="000000" w:themeColor="text1"/>
          <w:szCs w:val="21"/>
          <w14:textFill>
            <w14:solidFill>
              <w14:schemeClr w14:val="tx1"/>
            </w14:solidFill>
          </w14:textFill>
        </w:rPr>
      </w:pPr>
    </w:p>
    <w:p>
      <w:pPr>
        <w:spacing w:line="300" w:lineRule="auto"/>
        <w:rPr>
          <w:rFonts w:hAnsi="宋体"/>
          <w:color w:val="000000" w:themeColor="text1"/>
          <w:szCs w:val="21"/>
          <w14:textFill>
            <w14:solidFill>
              <w14:schemeClr w14:val="tx1"/>
            </w14:solidFill>
          </w14:textFill>
        </w:rPr>
      </w:pPr>
    </w:p>
    <w:p>
      <w:pPr>
        <w:spacing w:line="300" w:lineRule="auto"/>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w:t>
      </w:r>
      <w:r>
        <w:rPr>
          <w:rFonts w:hint="eastAsia" w:ascii="宋体" w:hAnsi="宋体" w:cs="宋体"/>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（盖单位章）</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承包人：</w:t>
      </w:r>
      <w:r>
        <w:rPr>
          <w:rFonts w:hint="eastAsia" w:ascii="宋体" w:hAnsi="宋体" w:cs="宋体"/>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（盖单位章）</w:t>
      </w:r>
    </w:p>
    <w:p>
      <w:pPr>
        <w:spacing w:line="300" w:lineRule="auto"/>
        <w:rPr>
          <w:color w:val="000000" w:themeColor="text1"/>
          <w:szCs w:val="21"/>
          <w14:textFill>
            <w14:solidFill>
              <w14:schemeClr w14:val="tx1"/>
            </w14:solidFill>
          </w14:textFill>
        </w:rPr>
      </w:pPr>
    </w:p>
    <w:p>
      <w:pPr>
        <w:spacing w:line="300" w:lineRule="auto"/>
        <w:rPr>
          <w:rFonts w:hAnsi="宋体"/>
          <w:color w:val="000000" w:themeColor="text1"/>
          <w:szCs w:val="21"/>
          <w14:textFill>
            <w14:solidFill>
              <w14:schemeClr w14:val="tx1"/>
            </w14:solidFill>
          </w14:textFill>
        </w:rPr>
      </w:pPr>
    </w:p>
    <w:p>
      <w:pPr>
        <w:spacing w:line="300" w:lineRule="auto"/>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法定代表人或其委托代理人：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（签字） 法定代表人或其委托代理人：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（签字）</w:t>
      </w:r>
    </w:p>
    <w:p>
      <w:pPr>
        <w:spacing w:line="320" w:lineRule="exact"/>
        <w:rPr>
          <w:color w:val="000000" w:themeColor="text1"/>
          <w:szCs w:val="21"/>
          <w:u w:val="single"/>
          <w14:textFill>
            <w14:solidFill>
              <w14:schemeClr w14:val="tx1"/>
            </w14:solidFill>
          </w14:textFill>
        </w:rPr>
      </w:pPr>
    </w:p>
    <w:p>
      <w:pPr>
        <w:spacing w:line="320" w:lineRule="exact"/>
        <w:rPr>
          <w:color w:val="000000" w:themeColor="text1"/>
          <w:szCs w:val="21"/>
          <w:u w:val="single"/>
          <w14:textFill>
            <w14:solidFill>
              <w14:schemeClr w14:val="tx1"/>
            </w14:solidFill>
          </w14:textFill>
        </w:rPr>
      </w:pPr>
    </w:p>
    <w:p>
      <w:pPr>
        <w:spacing w:line="320" w:lineRule="exact"/>
        <w:rPr>
          <w:color w:val="000000" w:themeColor="text1"/>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日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pPr>
        <w:spacing w:line="400" w:lineRule="exact"/>
        <w:ind w:firstLine="3686"/>
        <w:rPr>
          <w:color w:val="000000" w:themeColor="text1"/>
          <w:szCs w:val="21"/>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after="120" w:afterLines="50"/>
        <w:rPr>
          <w:color w:val="000000" w:themeColor="text1"/>
          <w:sz w:val="28"/>
          <w:szCs w:val="28"/>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after="120" w:afterLines="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附件八</w:t>
      </w:r>
    </w:p>
    <w:p>
      <w:pPr>
        <w:spacing w:after="120" w:afterLines="50"/>
        <w:jc w:val="center"/>
        <w:rPr>
          <w:rFonts w:ascii="方正小标宋简体" w:hAnsi="宋体" w:eastAsia="方正小标宋简体"/>
          <w:color w:val="000000" w:themeColor="text1"/>
          <w:sz w:val="44"/>
          <w:szCs w:val="44"/>
          <w14:textFill>
            <w14:solidFill>
              <w14:schemeClr w14:val="tx1"/>
            </w14:solidFill>
          </w14:textFill>
        </w:rPr>
      </w:pPr>
      <w:r>
        <w:rPr>
          <w:rFonts w:hint="eastAsia"/>
          <w:color w:val="000000" w:themeColor="text1"/>
          <w:sz w:val="28"/>
          <w:szCs w:val="28"/>
          <w14:textFill>
            <w14:solidFill>
              <w14:schemeClr w14:val="tx1"/>
            </w14:solidFill>
          </w14:textFill>
        </w:rPr>
        <w:t>项目图纸资料保密承诺书</w:t>
      </w:r>
    </w:p>
    <w:p>
      <w:pPr>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 xml:space="preserve">   </w:t>
      </w:r>
    </w:p>
    <w:p>
      <w:pPr>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 xml:space="preserve"> </w:t>
      </w:r>
    </w:p>
    <w:p>
      <w:pPr>
        <w:rPr>
          <w:rFonts w:ascii="仿宋_GB2312" w:hAnsi="宋体"/>
          <w:color w:val="000000" w:themeColor="text1"/>
          <w:szCs w:val="32"/>
          <w14:textFill>
            <w14:solidFill>
              <w14:schemeClr w14:val="tx1"/>
            </w14:solidFill>
          </w14:textFill>
        </w:rPr>
      </w:pPr>
    </w:p>
    <w:p>
      <w:pPr>
        <w:snapToGrid w:val="0"/>
        <w:spacing w:line="360" w:lineRule="auto"/>
        <w:ind w:firstLine="420"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____(承包人名称)将完善____（项目名称）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与本项目无关方泄露和传播本项目有关图纸资料。</w:t>
      </w:r>
    </w:p>
    <w:p>
      <w:pPr>
        <w:snapToGrid w:val="0"/>
        <w:spacing w:line="360" w:lineRule="auto"/>
        <w:ind w:firstLine="420" w:firstLineChars="200"/>
        <w:rPr>
          <w:rFonts w:ascii="宋体" w:hAnsi="宋体"/>
          <w:color w:val="000000" w:themeColor="text1"/>
          <w:szCs w:val="32"/>
          <w14:textFill>
            <w14:solidFill>
              <w14:schemeClr w14:val="tx1"/>
            </w14:solidFill>
          </w14:textFill>
        </w:rPr>
      </w:pPr>
    </w:p>
    <w:p>
      <w:pPr>
        <w:snapToGrid w:val="0"/>
        <w:spacing w:line="360" w:lineRule="auto"/>
        <w:ind w:firstLine="420" w:firstLineChars="200"/>
        <w:rPr>
          <w:rFonts w:ascii="宋体" w:hAnsi="宋体"/>
          <w:color w:val="000000" w:themeColor="text1"/>
          <w:szCs w:val="32"/>
          <w14:textFill>
            <w14:solidFill>
              <w14:schemeClr w14:val="tx1"/>
            </w14:solidFill>
          </w14:textFill>
        </w:rPr>
      </w:pPr>
    </w:p>
    <w:p>
      <w:pPr>
        <w:snapToGrid w:val="0"/>
        <w:spacing w:line="360" w:lineRule="auto"/>
        <w:ind w:firstLine="420" w:firstLineChars="200"/>
        <w:jc w:val="right"/>
        <w:rPr>
          <w:rFonts w:ascii="宋体" w:hAnsi="宋体"/>
          <w:color w:val="000000" w:themeColor="text1"/>
          <w:szCs w:val="32"/>
          <w14:textFill>
            <w14:solidFill>
              <w14:schemeClr w14:val="tx1"/>
            </w14:solidFill>
          </w14:textFill>
        </w:rPr>
      </w:pPr>
    </w:p>
    <w:p>
      <w:pPr>
        <w:snapToGrid w:val="0"/>
        <w:spacing w:line="360" w:lineRule="auto"/>
        <w:ind w:firstLine="420" w:firstLineChars="200"/>
        <w:jc w:val="righ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 xml:space="preserve">           承诺人:__________（盖承包人单位章）</w:t>
      </w:r>
    </w:p>
    <w:p>
      <w:pPr>
        <w:snapToGrid w:val="0"/>
        <w:spacing w:line="360" w:lineRule="auto"/>
        <w:ind w:firstLine="420" w:firstLineChars="200"/>
        <w:jc w:val="righ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 xml:space="preserve">           法定代表人或其委托代理人：_____(签字)</w:t>
      </w:r>
    </w:p>
    <w:p>
      <w:pPr>
        <w:jc w:val="right"/>
        <w:rPr>
          <w:color w:val="000000" w:themeColor="text1"/>
          <w:sz w:val="24"/>
          <w14:textFill>
            <w14:solidFill>
              <w14:schemeClr w14:val="tx1"/>
            </w14:solidFill>
          </w14:textFill>
        </w:rPr>
      </w:pPr>
      <w:r>
        <w:rPr>
          <w:rFonts w:hint="eastAsia" w:ascii="宋体" w:hAnsi="宋体"/>
          <w:color w:val="000000" w:themeColor="text1"/>
          <w:szCs w:val="32"/>
          <w14:textFill>
            <w14:solidFill>
              <w14:schemeClr w14:val="tx1"/>
            </w14:solidFill>
          </w14:textFill>
        </w:rPr>
        <w:t xml:space="preserve">                ________年____月____日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1151" w:name="_Toc93048456"/>
      <w:r>
        <w:rPr>
          <w:rFonts w:hint="eastAsia" w:asciiTheme="minorEastAsia" w:hAnsiTheme="minorEastAsia" w:eastAsiaTheme="minorEastAsia"/>
          <w:b/>
          <w:color w:val="000000" w:themeColor="text1"/>
          <w:sz w:val="36"/>
          <w:szCs w:val="36"/>
          <w14:textFill>
            <w14:solidFill>
              <w14:schemeClr w14:val="tx1"/>
            </w14:solidFill>
          </w14:textFill>
        </w:rPr>
        <w:t>第六章 响应文件格式</w:t>
      </w:r>
      <w:bookmarkEnd w:id="1151"/>
    </w:p>
    <w:p>
      <w:pPr>
        <w:rPr>
          <w:rFonts w:ascii="宋体" w:hAnsi="宋体"/>
          <w:b/>
          <w:color w:val="000000" w:themeColor="text1"/>
          <w:sz w:val="30"/>
          <w:szCs w:val="30"/>
          <w14:textFill>
            <w14:solidFill>
              <w14:schemeClr w14:val="tx1"/>
            </w14:solidFill>
          </w14:textFill>
        </w:rPr>
      </w:pPr>
    </w:p>
    <w:p>
      <w:pPr>
        <w:rPr>
          <w:rFonts w:ascii="宋体" w:hAnsi="宋体"/>
          <w:b/>
          <w:color w:val="000000" w:themeColor="text1"/>
          <w:kern w:val="0"/>
          <w:sz w:val="28"/>
          <w:szCs w:val="28"/>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w:t>
      </w:r>
    </w:p>
    <w:p>
      <w:pPr>
        <w:jc w:val="center"/>
        <w:rPr>
          <w:color w:val="000000" w:themeColor="text1"/>
          <w:sz w:val="52"/>
          <w:szCs w:val="52"/>
          <w14:textFill>
            <w14:solidFill>
              <w14:schemeClr w14:val="tx1"/>
            </w14:solidFill>
          </w14:textFill>
        </w:rPr>
      </w:pPr>
      <w:bookmarkStart w:id="1152" w:name="_Toc19093_WPSOffice_Level1"/>
      <w:bookmarkStart w:id="1153" w:name="_Toc20250"/>
      <w:bookmarkStart w:id="1154" w:name="_Toc32372_WPSOffice_Level1"/>
      <w:bookmarkStart w:id="1155" w:name="_Toc3063"/>
      <w:bookmarkStart w:id="1156" w:name="_Toc4956_WPSOffice_Level1"/>
      <w:r>
        <w:rPr>
          <w:rFonts w:hint="eastAsia"/>
          <w:color w:val="000000" w:themeColor="text1"/>
          <w:sz w:val="52"/>
          <w:szCs w:val="52"/>
          <w14:textFill>
            <w14:solidFill>
              <w14:schemeClr w14:val="tx1"/>
            </w14:solidFill>
          </w14:textFill>
        </w:rPr>
        <w:t>项目名称</w:t>
      </w:r>
      <w:bookmarkEnd w:id="1152"/>
      <w:bookmarkEnd w:id="1153"/>
      <w:bookmarkEnd w:id="1154"/>
      <w:bookmarkEnd w:id="1155"/>
      <w:bookmarkEnd w:id="1156"/>
    </w:p>
    <w:p>
      <w:pPr>
        <w:jc w:val="center"/>
        <w:rPr>
          <w:rFonts w:ascii="宋体" w:hAnsi="宋体"/>
          <w:color w:val="000000" w:themeColor="text1"/>
          <w:sz w:val="36"/>
          <w:szCs w:val="36"/>
          <w14:textFill>
            <w14:solidFill>
              <w14:schemeClr w14:val="tx1"/>
            </w14:solidFill>
          </w14:textFill>
        </w:rPr>
      </w:pPr>
      <w:bookmarkStart w:id="1157" w:name="_Toc1927"/>
      <w:bookmarkStart w:id="1158" w:name="_Toc7698"/>
    </w:p>
    <w:p>
      <w:pPr>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项目编号：（标项）</w:t>
      </w:r>
      <w:bookmarkEnd w:id="1157"/>
      <w:bookmarkEnd w:id="1158"/>
    </w:p>
    <w:p>
      <w:pPr>
        <w:pStyle w:val="73"/>
        <w:rPr>
          <w:rFonts w:asciiTheme="majorEastAsia" w:hAnsiTheme="majorEastAsia" w:eastAsiaTheme="majorEastAsia"/>
          <w:color w:val="000000" w:themeColor="text1"/>
          <w:sz w:val="28"/>
          <w:szCs w:val="28"/>
          <w14:textFill>
            <w14:solidFill>
              <w14:schemeClr w14:val="tx1"/>
            </w14:solidFill>
          </w14:textFill>
        </w:rPr>
      </w:pPr>
    </w:p>
    <w:p>
      <w:pPr>
        <w:jc w:val="center"/>
        <w:rPr>
          <w:color w:val="000000" w:themeColor="text1"/>
          <w:sz w:val="84"/>
          <w:szCs w:val="84"/>
          <w14:textFill>
            <w14:solidFill>
              <w14:schemeClr w14:val="tx1"/>
            </w14:solidFill>
          </w14:textFill>
        </w:rPr>
      </w:pPr>
      <w:bookmarkStart w:id="1159" w:name="_Toc11088"/>
      <w:bookmarkStart w:id="1160" w:name="_Toc14815"/>
      <w:r>
        <w:rPr>
          <w:rFonts w:hint="eastAsia"/>
          <w:color w:val="000000" w:themeColor="text1"/>
          <w:sz w:val="84"/>
          <w:szCs w:val="84"/>
          <w14:textFill>
            <w14:solidFill>
              <w14:schemeClr w14:val="tx1"/>
            </w14:solidFill>
          </w14:textFill>
        </w:rPr>
        <w:t>磋</w:t>
      </w:r>
      <w:bookmarkEnd w:id="1159"/>
      <w:bookmarkEnd w:id="1160"/>
    </w:p>
    <w:p>
      <w:pPr>
        <w:jc w:val="center"/>
        <w:rPr>
          <w:color w:val="000000" w:themeColor="text1"/>
          <w:sz w:val="84"/>
          <w:szCs w:val="84"/>
          <w14:textFill>
            <w14:solidFill>
              <w14:schemeClr w14:val="tx1"/>
            </w14:solidFill>
          </w14:textFill>
        </w:rPr>
      </w:pPr>
      <w:bookmarkStart w:id="1161" w:name="_Toc21047"/>
      <w:bookmarkStart w:id="1162" w:name="_Toc6603"/>
      <w:r>
        <w:rPr>
          <w:rFonts w:hint="eastAsia"/>
          <w:color w:val="000000" w:themeColor="text1"/>
          <w:sz w:val="84"/>
          <w:szCs w:val="84"/>
          <w14:textFill>
            <w14:solidFill>
              <w14:schemeClr w14:val="tx1"/>
            </w14:solidFill>
          </w14:textFill>
        </w:rPr>
        <w:t>商</w:t>
      </w:r>
      <w:bookmarkEnd w:id="1161"/>
      <w:bookmarkEnd w:id="1162"/>
    </w:p>
    <w:p>
      <w:pPr>
        <w:jc w:val="center"/>
        <w:rPr>
          <w:color w:val="000000" w:themeColor="text1"/>
          <w:sz w:val="84"/>
          <w:szCs w:val="84"/>
          <w14:textFill>
            <w14:solidFill>
              <w14:schemeClr w14:val="tx1"/>
            </w14:solidFill>
          </w14:textFill>
        </w:rPr>
      </w:pPr>
      <w:bookmarkStart w:id="1163" w:name="_Toc14271"/>
      <w:bookmarkStart w:id="1164" w:name="_Toc26026"/>
      <w:r>
        <w:rPr>
          <w:rFonts w:hint="eastAsia"/>
          <w:color w:val="000000" w:themeColor="text1"/>
          <w:sz w:val="84"/>
          <w:szCs w:val="84"/>
          <w14:textFill>
            <w14:solidFill>
              <w14:schemeClr w14:val="tx1"/>
            </w14:solidFill>
          </w14:textFill>
        </w:rPr>
        <w:t>响</w:t>
      </w:r>
      <w:bookmarkEnd w:id="1163"/>
      <w:bookmarkEnd w:id="1164"/>
    </w:p>
    <w:p>
      <w:pPr>
        <w:jc w:val="center"/>
        <w:rPr>
          <w:color w:val="000000" w:themeColor="text1"/>
          <w:sz w:val="84"/>
          <w:szCs w:val="84"/>
          <w14:textFill>
            <w14:solidFill>
              <w14:schemeClr w14:val="tx1"/>
            </w14:solidFill>
          </w14:textFill>
        </w:rPr>
      </w:pPr>
      <w:bookmarkStart w:id="1165" w:name="_Toc23977"/>
      <w:bookmarkStart w:id="1166" w:name="_Toc5645"/>
      <w:r>
        <w:rPr>
          <w:rFonts w:hint="eastAsia"/>
          <w:color w:val="000000" w:themeColor="text1"/>
          <w:sz w:val="84"/>
          <w:szCs w:val="84"/>
          <w14:textFill>
            <w14:solidFill>
              <w14:schemeClr w14:val="tx1"/>
            </w14:solidFill>
          </w14:textFill>
        </w:rPr>
        <w:t>应</w:t>
      </w:r>
      <w:bookmarkEnd w:id="1165"/>
      <w:bookmarkEnd w:id="1166"/>
    </w:p>
    <w:p>
      <w:pPr>
        <w:jc w:val="center"/>
        <w:rPr>
          <w:color w:val="000000" w:themeColor="text1"/>
          <w:sz w:val="84"/>
          <w:szCs w:val="84"/>
          <w14:textFill>
            <w14:solidFill>
              <w14:schemeClr w14:val="tx1"/>
            </w14:solidFill>
          </w14:textFill>
        </w:rPr>
      </w:pPr>
      <w:bookmarkStart w:id="1167" w:name="_Toc464"/>
      <w:bookmarkStart w:id="1168" w:name="_Toc31521"/>
      <w:r>
        <w:rPr>
          <w:rFonts w:hint="eastAsia"/>
          <w:color w:val="000000" w:themeColor="text1"/>
          <w:sz w:val="84"/>
          <w:szCs w:val="84"/>
          <w:lang w:val="zh-CN"/>
          <w14:textFill>
            <w14:solidFill>
              <w14:schemeClr w14:val="tx1"/>
            </w14:solidFill>
          </w14:textFill>
        </w:rPr>
        <w:t>文</w:t>
      </w:r>
      <w:bookmarkEnd w:id="1167"/>
      <w:bookmarkEnd w:id="1168"/>
    </w:p>
    <w:p>
      <w:pPr>
        <w:jc w:val="center"/>
        <w:rPr>
          <w:color w:val="000000" w:themeColor="text1"/>
          <w:sz w:val="84"/>
          <w:szCs w:val="84"/>
          <w:lang w:val="zh-CN"/>
          <w14:textFill>
            <w14:solidFill>
              <w14:schemeClr w14:val="tx1"/>
            </w14:solidFill>
          </w14:textFill>
        </w:rPr>
      </w:pPr>
      <w:bookmarkStart w:id="1169" w:name="_Toc1495"/>
      <w:bookmarkStart w:id="1170" w:name="_Toc21531"/>
      <w:r>
        <w:rPr>
          <w:rFonts w:hint="eastAsia"/>
          <w:color w:val="000000" w:themeColor="text1"/>
          <w:sz w:val="84"/>
          <w:szCs w:val="84"/>
          <w:lang w:val="zh-CN"/>
          <w14:textFill>
            <w14:solidFill>
              <w14:schemeClr w14:val="tx1"/>
            </w14:solidFill>
          </w14:textFill>
        </w:rPr>
        <w:t>件</w:t>
      </w:r>
      <w:bookmarkEnd w:id="1169"/>
      <w:bookmarkEnd w:id="1170"/>
    </w:p>
    <w:p>
      <w:pPr>
        <w:spacing w:after="100" w:afterAutospacing="1" w:line="360" w:lineRule="auto"/>
        <w:ind w:right="-108"/>
        <w:jc w:val="center"/>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资格证明文件）</w:t>
      </w:r>
    </w:p>
    <w:p>
      <w:pPr>
        <w:pStyle w:val="73"/>
        <w:rPr>
          <w:color w:val="000000" w:themeColor="text1"/>
          <w14:textFill>
            <w14:solidFill>
              <w14:schemeClr w14:val="tx1"/>
            </w14:solidFill>
          </w14:textFill>
        </w:rPr>
      </w:pPr>
    </w:p>
    <w:p>
      <w:pPr>
        <w:pStyle w:val="73"/>
        <w:rPr>
          <w:color w:val="000000" w:themeColor="text1"/>
          <w14:textFill>
            <w14:solidFill>
              <w14:schemeClr w14:val="tx1"/>
            </w14:solidFill>
          </w14:textFill>
        </w:rPr>
      </w:pPr>
    </w:p>
    <w:p>
      <w:pPr>
        <w:pStyle w:val="73"/>
        <w:rPr>
          <w:color w:val="000000" w:themeColor="text1"/>
          <w14:textFill>
            <w14:solidFill>
              <w14:schemeClr w14:val="tx1"/>
            </w14:solidFill>
          </w14:textFill>
        </w:rPr>
      </w:pPr>
    </w:p>
    <w:p>
      <w:pPr>
        <w:ind w:firstLine="640" w:firstLineChars="200"/>
        <w:jc w:val="left"/>
        <w:rPr>
          <w:rFonts w:ascii="宋体" w:hAnsi="宋体"/>
          <w:color w:val="000000" w:themeColor="text1"/>
          <w:sz w:val="32"/>
          <w:szCs w:val="32"/>
          <w14:textFill>
            <w14:solidFill>
              <w14:schemeClr w14:val="tx1"/>
            </w14:solidFill>
          </w14:textFill>
        </w:rPr>
      </w:pPr>
      <w:bookmarkStart w:id="1171" w:name="_Toc24490"/>
      <w:bookmarkStart w:id="1172" w:name="_Toc8656"/>
      <w:r>
        <w:rPr>
          <w:rFonts w:hint="eastAsia" w:ascii="宋体" w:hAnsi="宋体"/>
          <w:color w:val="000000" w:themeColor="text1"/>
          <w:sz w:val="32"/>
          <w:szCs w:val="32"/>
          <w14:textFill>
            <w14:solidFill>
              <w14:schemeClr w14:val="tx1"/>
            </w14:solidFill>
          </w14:textFill>
        </w:rPr>
        <w:t>供应商全称（公章）：</w:t>
      </w:r>
      <w:bookmarkEnd w:id="1171"/>
      <w:bookmarkEnd w:id="1172"/>
    </w:p>
    <w:p>
      <w:pPr>
        <w:ind w:firstLine="640" w:firstLineChars="200"/>
        <w:rPr>
          <w:rFonts w:ascii="宋体" w:hAnsi="宋体"/>
          <w:color w:val="000000" w:themeColor="text1"/>
          <w:sz w:val="32"/>
          <w:szCs w:val="32"/>
          <w14:textFill>
            <w14:solidFill>
              <w14:schemeClr w14:val="tx1"/>
            </w14:solidFill>
          </w14:textFill>
        </w:rPr>
      </w:pPr>
      <w:bookmarkStart w:id="1173" w:name="_Toc7108"/>
      <w:bookmarkStart w:id="1174" w:name="_Toc14748"/>
      <w:r>
        <w:rPr>
          <w:rFonts w:hint="eastAsia" w:ascii="宋体" w:hAnsi="宋体"/>
          <w:color w:val="000000" w:themeColor="text1"/>
          <w:sz w:val="32"/>
          <w:szCs w:val="32"/>
          <w14:textFill>
            <w14:solidFill>
              <w14:schemeClr w14:val="tx1"/>
            </w14:solidFill>
          </w14:textFill>
        </w:rPr>
        <w:t>地    址：</w:t>
      </w:r>
      <w:bookmarkEnd w:id="1173"/>
      <w:bookmarkEnd w:id="1174"/>
    </w:p>
    <w:p>
      <w:pPr>
        <w:ind w:firstLine="640" w:firstLineChars="200"/>
        <w:rPr>
          <w:rFonts w:ascii="宋体" w:hAnsi="宋体"/>
          <w:color w:val="000000" w:themeColor="text1"/>
          <w:sz w:val="32"/>
          <w:szCs w:val="32"/>
          <w14:textFill>
            <w14:solidFill>
              <w14:schemeClr w14:val="tx1"/>
            </w14:solidFill>
          </w14:textFill>
        </w:rPr>
      </w:pPr>
      <w:bookmarkStart w:id="1175" w:name="_Toc27160"/>
      <w:bookmarkStart w:id="1176" w:name="_Toc32187"/>
      <w:r>
        <w:rPr>
          <w:rFonts w:hint="eastAsia" w:ascii="宋体" w:hAnsi="宋体"/>
          <w:color w:val="000000" w:themeColor="text1"/>
          <w:sz w:val="32"/>
          <w:szCs w:val="32"/>
          <w14:textFill>
            <w14:solidFill>
              <w14:schemeClr w14:val="tx1"/>
            </w14:solidFill>
          </w14:textFill>
        </w:rPr>
        <w:t>时    间：</w:t>
      </w:r>
      <w:bookmarkEnd w:id="1175"/>
      <w:bookmarkEnd w:id="1176"/>
    </w:p>
    <w:p>
      <w:pPr>
        <w:pStyle w:val="2"/>
        <w:rPr>
          <w:color w:val="000000" w:themeColor="text1"/>
          <w14:textFill>
            <w14:solidFill>
              <w14:schemeClr w14:val="tx1"/>
            </w14:solidFill>
          </w14:textFill>
        </w:rPr>
      </w:pPr>
    </w:p>
    <w:p>
      <w:pPr>
        <w:widowControl/>
        <w:jc w:val="left"/>
        <w:rPr>
          <w:b/>
          <w:bCs/>
          <w:color w:val="000000" w:themeColor="text1"/>
          <w:sz w:val="32"/>
          <w:szCs w:val="40"/>
          <w14:textFill>
            <w14:solidFill>
              <w14:schemeClr w14:val="tx1"/>
            </w14:solidFill>
          </w14:textFill>
        </w:rPr>
      </w:pPr>
      <w:r>
        <w:rPr>
          <w:b/>
          <w:bCs/>
          <w:color w:val="000000" w:themeColor="text1"/>
          <w:sz w:val="32"/>
          <w:szCs w:val="40"/>
          <w14:textFill>
            <w14:solidFill>
              <w14:schemeClr w14:val="tx1"/>
            </w14:solidFill>
          </w14:textFill>
        </w:rPr>
        <w:br w:type="page"/>
      </w:r>
    </w:p>
    <w:p>
      <w:pPr>
        <w:adjustRightInd w:val="0"/>
        <w:snapToGrid w:val="0"/>
        <w:spacing w:line="312" w:lineRule="auto"/>
        <w:ind w:right="480"/>
        <w:jc w:val="center"/>
        <w:rPr>
          <w:rFonts w:ascii="宋体" w:hAnsi="宋体"/>
          <w:b/>
          <w:color w:val="000000" w:themeColor="text1"/>
          <w:kern w:val="0"/>
          <w:sz w:val="32"/>
          <w:szCs w:val="32"/>
          <w14:textFill>
            <w14:solidFill>
              <w14:schemeClr w14:val="tx1"/>
            </w14:solidFill>
          </w14:textFill>
        </w:rPr>
      </w:pPr>
      <w:bookmarkStart w:id="1177" w:name="_Toc31763"/>
      <w:bookmarkStart w:id="1178" w:name="_Toc16668"/>
      <w:r>
        <w:rPr>
          <w:rFonts w:hint="eastAsia" w:ascii="宋体" w:hAnsi="宋体"/>
          <w:b/>
          <w:color w:val="000000" w:themeColor="text1"/>
          <w:kern w:val="0"/>
          <w:sz w:val="32"/>
          <w:szCs w:val="32"/>
          <w14:textFill>
            <w14:solidFill>
              <w14:schemeClr w14:val="tx1"/>
            </w14:solidFill>
          </w14:textFill>
        </w:rPr>
        <w:t>资格证明内容目录</w:t>
      </w:r>
      <w:bookmarkEnd w:id="1177"/>
      <w:bookmarkEnd w:id="1178"/>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（1）磋商声明书；（附件1）</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（2）授权委托书（法定代表人亲自办理磋商响应事宜的，则无需提交)；（附件2）</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3</w:t>
      </w:r>
      <w:r>
        <w:rPr>
          <w:rStyle w:val="47"/>
          <w:rFonts w:hint="eastAsia"/>
          <w:b w:val="0"/>
          <w:color w:val="000000" w:themeColor="text1"/>
          <w:u w:val="none"/>
          <w14:textFill>
            <w14:solidFill>
              <w14:schemeClr w14:val="tx1"/>
            </w14:solidFill>
          </w14:textFill>
        </w:rPr>
        <w:t>）联合体授权委托书及联合体声明、协议（若项目接受联合体参与磋商时需提供）；</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（4）法人或者其他组织的营业执照等证明文件，自然人的身份证明；（附件3）</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5</w:t>
      </w:r>
      <w:r>
        <w:rPr>
          <w:rStyle w:val="47"/>
          <w:rFonts w:hint="eastAsia"/>
          <w:b w:val="0"/>
          <w:color w:val="000000" w:themeColor="text1"/>
          <w:u w:val="none"/>
          <w14:textFill>
            <w14:solidFill>
              <w14:schemeClr w14:val="tx1"/>
            </w14:solidFill>
          </w14:textFill>
        </w:rPr>
        <w:t>）提供磋商截止日前6个月内任意1个月依法缴纳税收和社会保障资金的相关材料。如依法免税或不需要缴纳社会保障资金的，提供相应证明材料。（附件4）</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6</w:t>
      </w:r>
      <w:r>
        <w:rPr>
          <w:rStyle w:val="47"/>
          <w:rFonts w:hint="eastAsia"/>
          <w:b w:val="0"/>
          <w:color w:val="000000" w:themeColor="text1"/>
          <w:u w:val="none"/>
          <w14:textFill>
            <w14:solidFill>
              <w14:schemeClr w14:val="tx1"/>
            </w14:solidFill>
          </w14:textFill>
        </w:rPr>
        <w:t>）提供上一年度财务状况报告或基本开户行出具的资信证明；（附件</w:t>
      </w:r>
      <w:r>
        <w:rPr>
          <w:rStyle w:val="47"/>
          <w:b w:val="0"/>
          <w:color w:val="000000" w:themeColor="text1"/>
          <w:u w:val="none"/>
          <w14:textFill>
            <w14:solidFill>
              <w14:schemeClr w14:val="tx1"/>
            </w14:solidFill>
          </w14:textFill>
        </w:rPr>
        <w:t>5</w:t>
      </w:r>
      <w:r>
        <w:rPr>
          <w:rStyle w:val="47"/>
          <w:rFonts w:hint="eastAsia"/>
          <w:b w:val="0"/>
          <w:color w:val="000000" w:themeColor="text1"/>
          <w:u w:val="none"/>
          <w14:textFill>
            <w14:solidFill>
              <w14:schemeClr w14:val="tx1"/>
            </w14:solidFill>
          </w14:textFill>
        </w:rPr>
        <w:t>）</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7</w:t>
      </w:r>
      <w:r>
        <w:rPr>
          <w:rStyle w:val="47"/>
          <w:rFonts w:hint="eastAsia"/>
          <w:b w:val="0"/>
          <w:color w:val="000000" w:themeColor="text1"/>
          <w:u w:val="none"/>
          <w14:textFill>
            <w14:solidFill>
              <w14:schemeClr w14:val="tx1"/>
            </w14:solidFill>
          </w14:textFill>
        </w:rPr>
        <w:t>）具备履行合同所必需的设备和专业技术能力的证明材料（根据项目性质提供）；（附件</w:t>
      </w:r>
      <w:r>
        <w:rPr>
          <w:rStyle w:val="47"/>
          <w:b w:val="0"/>
          <w:color w:val="000000" w:themeColor="text1"/>
          <w:u w:val="none"/>
          <w14:textFill>
            <w14:solidFill>
              <w14:schemeClr w14:val="tx1"/>
            </w14:solidFill>
          </w14:textFill>
        </w:rPr>
        <w:t>6</w:t>
      </w:r>
      <w:r>
        <w:rPr>
          <w:rStyle w:val="47"/>
          <w:rFonts w:hint="eastAsia"/>
          <w:b w:val="0"/>
          <w:color w:val="000000" w:themeColor="text1"/>
          <w:u w:val="none"/>
          <w14:textFill>
            <w14:solidFill>
              <w14:schemeClr w14:val="tx1"/>
            </w14:solidFill>
          </w14:textFill>
        </w:rPr>
        <w:t>）</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8</w:t>
      </w:r>
      <w:r>
        <w:rPr>
          <w:rStyle w:val="47"/>
          <w:rFonts w:hint="eastAsia"/>
          <w:b w:val="0"/>
          <w:color w:val="000000" w:themeColor="text1"/>
          <w:u w:val="none"/>
          <w14:textFill>
            <w14:solidFill>
              <w14:schemeClr w14:val="tx1"/>
            </w14:solidFill>
          </w14:textFill>
        </w:rPr>
        <w:t>）符合参与政府采购活动的资格条件并且没有税收缴纳、社会保障等方面的失信记录的承诺函；（附件7、8、9）</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9</w:t>
      </w:r>
      <w:r>
        <w:rPr>
          <w:rStyle w:val="47"/>
          <w:rFonts w:hint="eastAsia"/>
          <w:b w:val="0"/>
          <w:color w:val="000000" w:themeColor="text1"/>
          <w:u w:val="none"/>
          <w14:textFill>
            <w14:solidFill>
              <w14:schemeClr w14:val="tx1"/>
            </w14:solidFill>
          </w14:textFill>
        </w:rPr>
        <w:t>）中小企业声明函（附件</w:t>
      </w:r>
      <w:r>
        <w:rPr>
          <w:rStyle w:val="47"/>
          <w:b w:val="0"/>
          <w:color w:val="000000" w:themeColor="text1"/>
          <w:u w:val="none"/>
          <w14:textFill>
            <w14:solidFill>
              <w14:schemeClr w14:val="tx1"/>
            </w14:solidFill>
          </w14:textFill>
        </w:rPr>
        <w:t>10</w:t>
      </w:r>
      <w:r>
        <w:rPr>
          <w:rStyle w:val="47"/>
          <w:rFonts w:hint="eastAsia"/>
          <w:b w:val="0"/>
          <w:color w:val="000000" w:themeColor="text1"/>
          <w:u w:val="none"/>
          <w14:textFill>
            <w14:solidFill>
              <w14:schemeClr w14:val="tx1"/>
            </w14:solidFill>
          </w14:textFill>
        </w:rPr>
        <w:t>）；</w:t>
      </w:r>
    </w:p>
    <w:p>
      <w:pPr>
        <w:pStyle w:val="35"/>
        <w:ind w:left="0" w:leftChars="0"/>
        <w:rPr>
          <w:rStyle w:val="47"/>
          <w:color w:val="000000" w:themeColor="text1"/>
          <w:u w:val="none"/>
          <w14:textFill>
            <w14:solidFill>
              <w14:schemeClr w14:val="tx1"/>
            </w14:solidFill>
          </w14:textFill>
        </w:rPr>
      </w:pPr>
      <w:r>
        <w:rPr>
          <w:rStyle w:val="47"/>
          <w:rFonts w:hint="eastAsia"/>
          <w:color w:val="000000" w:themeColor="text1"/>
          <w:u w:val="none"/>
          <w14:textFill>
            <w14:solidFill>
              <w14:schemeClr w14:val="tx1"/>
            </w14:solidFill>
          </w14:textFill>
        </w:rPr>
        <w:t>（</w:t>
      </w:r>
      <w:r>
        <w:rPr>
          <w:rStyle w:val="47"/>
          <w:color w:val="000000" w:themeColor="text1"/>
          <w:u w:val="none"/>
          <w14:textFill>
            <w14:solidFill>
              <w14:schemeClr w14:val="tx1"/>
            </w14:solidFill>
          </w14:textFill>
        </w:rPr>
        <w:t>10</w:t>
      </w:r>
      <w:r>
        <w:rPr>
          <w:rStyle w:val="47"/>
          <w:rFonts w:hint="eastAsia"/>
          <w:color w:val="000000" w:themeColor="text1"/>
          <w:u w:val="none"/>
          <w14:textFill>
            <w14:solidFill>
              <w14:schemeClr w14:val="tx1"/>
            </w14:solidFill>
          </w14:textFill>
        </w:rPr>
        <w:t>）提供采购公告中符合供应商特定条件的有效资质证书（磋商供应商特定条件中有要求的必须提供），以及需要说明的其他资料。(附件11</w:t>
      </w:r>
      <w:r>
        <w:rPr>
          <w:rStyle w:val="47"/>
          <w:color w:val="000000" w:themeColor="text1"/>
          <w:u w:val="none"/>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p>
    <w:p>
      <w:pPr>
        <w:pStyle w:val="73"/>
        <w:rPr>
          <w:rFonts w:ascii="宋体" w:hAnsi="宋体"/>
          <w:b/>
          <w:color w:val="000000" w:themeColor="text1"/>
          <w:sz w:val="28"/>
          <w14:textFill>
            <w14:solidFill>
              <w14:schemeClr w14:val="tx1"/>
            </w14:solidFill>
          </w14:textFill>
        </w:rPr>
      </w:pPr>
    </w:p>
    <w:p>
      <w:pPr>
        <w:pStyle w:val="73"/>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rPr>
          <w:rFonts w:ascii="宋体" w:hAnsi="宋体"/>
          <w:b/>
          <w:color w:val="000000" w:themeColor="text1"/>
          <w:sz w:val="28"/>
          <w14:textFill>
            <w14:solidFill>
              <w14:schemeClr w14:val="tx1"/>
            </w14:solidFill>
          </w14:textFill>
        </w:rPr>
      </w:pPr>
    </w:p>
    <w:p>
      <w:pPr>
        <w:widowControl/>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spacing w:line="312" w:lineRule="auto"/>
        <w:outlineLvl w:val="0"/>
        <w:rPr>
          <w:rFonts w:ascii="宋体" w:hAnsi="宋体"/>
          <w:b/>
          <w:color w:val="000000" w:themeColor="text1"/>
          <w:sz w:val="28"/>
          <w14:textFill>
            <w14:solidFill>
              <w14:schemeClr w14:val="tx1"/>
            </w14:solidFill>
          </w14:textFill>
        </w:rPr>
      </w:pPr>
      <w:bookmarkStart w:id="1179" w:name="_Toc1587"/>
      <w:bookmarkStart w:id="1180" w:name="_Toc93048457"/>
      <w:bookmarkStart w:id="1181" w:name="_Toc11317"/>
      <w:bookmarkStart w:id="1182" w:name="_Toc10129"/>
      <w:r>
        <w:rPr>
          <w:rFonts w:hint="eastAsia" w:ascii="宋体" w:hAnsi="宋体"/>
          <w:b/>
          <w:color w:val="000000" w:themeColor="text1"/>
          <w:sz w:val="28"/>
          <w14:textFill>
            <w14:solidFill>
              <w14:schemeClr w14:val="tx1"/>
            </w14:solidFill>
          </w14:textFill>
        </w:rPr>
        <w:t>附件</w:t>
      </w:r>
      <w:bookmarkEnd w:id="1179"/>
      <w:r>
        <w:rPr>
          <w:rFonts w:hint="eastAsia" w:ascii="宋体" w:hAnsi="宋体"/>
          <w:b/>
          <w:color w:val="000000" w:themeColor="text1"/>
          <w:sz w:val="28"/>
          <w14:textFill>
            <w14:solidFill>
              <w14:schemeClr w14:val="tx1"/>
            </w14:solidFill>
          </w14:textFill>
        </w:rPr>
        <w:t>1</w:t>
      </w:r>
      <w:bookmarkEnd w:id="1180"/>
      <w:bookmarkEnd w:id="1181"/>
      <w:bookmarkEnd w:id="1182"/>
    </w:p>
    <w:p>
      <w:pPr>
        <w:adjustRightInd w:val="0"/>
        <w:snapToGrid w:val="0"/>
        <w:spacing w:line="312" w:lineRule="auto"/>
        <w:ind w:right="480"/>
        <w:jc w:val="center"/>
        <w:rPr>
          <w:rFonts w:ascii="宋体" w:hAnsi="宋体" w:cstheme="minorBidi"/>
          <w:color w:val="000000" w:themeColor="text1"/>
          <w:sz w:val="24"/>
          <w:u w:val="single"/>
          <w14:textFill>
            <w14:solidFill>
              <w14:schemeClr w14:val="tx1"/>
            </w14:solidFill>
          </w14:textFill>
        </w:rPr>
      </w:pPr>
      <w:bookmarkStart w:id="1183" w:name="_Toc31708_WPSOffice_Level1"/>
      <w:bookmarkStart w:id="1184" w:name="_Toc30723_WPSOffice_Level1"/>
      <w:r>
        <w:rPr>
          <w:rFonts w:hint="eastAsia" w:ascii="宋体" w:hAnsi="宋体"/>
          <w:b/>
          <w:color w:val="000000" w:themeColor="text1"/>
          <w:kern w:val="0"/>
          <w:sz w:val="32"/>
          <w:szCs w:val="32"/>
          <w14:textFill>
            <w14:solidFill>
              <w14:schemeClr w14:val="tx1"/>
            </w14:solidFill>
          </w14:textFill>
        </w:rPr>
        <w:t>磋商</w:t>
      </w:r>
      <w:r>
        <w:rPr>
          <w:rFonts w:hint="eastAsia" w:ascii="宋体" w:hAnsi="宋体"/>
          <w:b/>
          <w:color w:val="000000" w:themeColor="text1"/>
          <w:kern w:val="0"/>
          <w:sz w:val="32"/>
          <w:szCs w:val="32"/>
          <w:lang w:val="zh-CN"/>
          <w14:textFill>
            <w14:solidFill>
              <w14:schemeClr w14:val="tx1"/>
            </w14:solidFill>
          </w14:textFill>
        </w:rPr>
        <w:t>声明书</w:t>
      </w:r>
      <w:bookmarkEnd w:id="1183"/>
      <w:bookmarkEnd w:id="1184"/>
    </w:p>
    <w:p>
      <w:pPr>
        <w:snapToGrid w:val="0"/>
        <w:spacing w:before="120" w:beforeLines="50" w:after="50" w:line="312"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）（编号为）的磋商，为此，我公司就本次磋商有关事项郑重声明如下：</w:t>
      </w:r>
    </w:p>
    <w:p>
      <w:pPr>
        <w:numPr>
          <w:ilvl w:val="0"/>
          <w:numId w:val="8"/>
        </w:num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8"/>
        </w:num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8"/>
        </w:num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磋商报价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line="360" w:lineRule="auto"/>
        <w:ind w:firstLine="480" w:firstLineChars="200"/>
        <w:rPr>
          <w:rFonts w:ascii="仿宋_GB2312" w:hAnsi="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w:t>
      </w:r>
      <w:r>
        <w:rPr>
          <w:rFonts w:hint="eastAsia" w:ascii="宋体" w:hAnsi="宋体"/>
          <w:color w:val="000000" w:themeColor="text1"/>
          <w:kern w:val="0"/>
          <w:sz w:val="24"/>
          <w:lang w:val="af-ZA"/>
          <w14:textFill>
            <w14:solidFill>
              <w14:schemeClr w14:val="tx1"/>
            </w14:solidFill>
          </w14:textFill>
        </w:rPr>
        <w:t>货物</w:t>
      </w:r>
      <w:r>
        <w:rPr>
          <w:rFonts w:hint="eastAsia" w:ascii="宋体" w:hAnsi="宋体" w:cs="宋体"/>
          <w:color w:val="000000" w:themeColor="text1"/>
          <w:kern w:val="0"/>
          <w:sz w:val="24"/>
          <w:lang w:val="af-ZA"/>
          <w14:textFill>
            <w14:solidFill>
              <w14:schemeClr w14:val="tx1"/>
            </w14:solidFill>
          </w14:textFill>
        </w:rPr>
        <w:t>质量和服务，不擅自变更、中止、终止合同，或拒绝履行合同义务。除响应文件中明确拒绝的之外，均接受采购文件中的全部条件。</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480" w:firstLineChars="200"/>
        <w:rPr>
          <w:rFonts w:ascii="宋体" w:hAnsi="宋体" w:cs="仿宋_GB2312"/>
          <w:color w:val="000000" w:themeColor="text1"/>
          <w:kern w:val="0"/>
          <w:sz w:val="24"/>
          <w14:textFill>
            <w14:solidFill>
              <w14:schemeClr w14:val="tx1"/>
            </w14:solidFill>
          </w14:textFill>
        </w:rPr>
      </w:pPr>
    </w:p>
    <w:p>
      <w:pPr>
        <w:adjustRightInd w:val="0"/>
        <w:snapToGrid w:val="0"/>
        <w:spacing w:line="360" w:lineRule="auto"/>
        <w:ind w:firstLine="480" w:firstLineChars="20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14:textFill>
            <w14:solidFill>
              <w14:schemeClr w14:val="tx1"/>
            </w14:solidFill>
          </w14:textFill>
        </w:rPr>
        <w:t>供应商</w:t>
      </w:r>
      <w:r>
        <w:rPr>
          <w:rFonts w:hint="eastAsia" w:ascii="宋体" w:hAnsi="宋体" w:cs="仿宋_GB2312"/>
          <w:color w:val="000000" w:themeColor="text1"/>
          <w:kern w:val="0"/>
          <w:sz w:val="24"/>
          <w:lang w:val="zh-CN"/>
          <w14:textFill>
            <w14:solidFill>
              <w14:schemeClr w14:val="tx1"/>
            </w14:solidFill>
          </w14:textFill>
        </w:rPr>
        <w:t>名称(公章)：</w:t>
      </w:r>
    </w:p>
    <w:p>
      <w:pPr>
        <w:adjustRightInd w:val="0"/>
        <w:snapToGrid w:val="0"/>
        <w:spacing w:line="360" w:lineRule="auto"/>
        <w:ind w:firstLine="480" w:firstLineChars="200"/>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法定代表人或授权委托人签字或电子印章：                                       </w:t>
      </w:r>
      <w:r>
        <w:rPr>
          <w:rFonts w:hint="eastAsia" w:ascii="宋体" w:hAnsi="宋体" w:cs="仿宋_GB2312"/>
          <w:color w:val="000000" w:themeColor="text1"/>
          <w:kern w:val="0"/>
          <w:sz w:val="24"/>
          <w14:textFill>
            <w14:solidFill>
              <w14:schemeClr w14:val="tx1"/>
            </w14:solidFill>
          </w14:textFill>
        </w:rPr>
        <w:t xml:space="preserve">               </w:t>
      </w:r>
    </w:p>
    <w:p>
      <w:pPr>
        <w:adjustRightInd w:val="0"/>
        <w:snapToGrid w:val="0"/>
        <w:spacing w:line="360" w:lineRule="auto"/>
        <w:ind w:firstLine="480" w:firstLineChars="200"/>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仿宋_GB2312"/>
          <w:color w:val="000000" w:themeColor="text1"/>
          <w:kern w:val="0"/>
          <w:sz w:val="24"/>
          <w14:textFill>
            <w14:solidFill>
              <w14:schemeClr w14:val="tx1"/>
            </w14:solidFill>
          </w14:textFill>
        </w:rPr>
        <w:t>：</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年</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月</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85" w:name="_Toc32143"/>
      <w:bookmarkStart w:id="1186" w:name="_Toc2002"/>
      <w:bookmarkStart w:id="1187" w:name="_Toc23765"/>
      <w:bookmarkStart w:id="1188" w:name="_Toc93048458"/>
    </w:p>
    <w:p>
      <w:pPr>
        <w:adjustRightInd w:val="0"/>
        <w:snapToGrid w:val="0"/>
        <w:spacing w:line="360" w:lineRule="auto"/>
        <w:ind w:right="480"/>
        <w:outlineLvl w:val="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bookmarkEnd w:id="1185"/>
      <w:r>
        <w:rPr>
          <w:rFonts w:hint="eastAsia" w:ascii="宋体" w:hAnsi="宋体"/>
          <w:b/>
          <w:color w:val="000000" w:themeColor="text1"/>
          <w:sz w:val="28"/>
          <w14:textFill>
            <w14:solidFill>
              <w14:schemeClr w14:val="tx1"/>
            </w14:solidFill>
          </w14:textFill>
        </w:rPr>
        <w:t>2</w:t>
      </w:r>
      <w:bookmarkEnd w:id="1186"/>
      <w:bookmarkEnd w:id="1187"/>
      <w:bookmarkEnd w:id="1188"/>
    </w:p>
    <w:p>
      <w:pPr>
        <w:spacing w:line="360" w:lineRule="auto"/>
        <w:ind w:firstLine="321" w:firstLineChars="100"/>
        <w:jc w:val="center"/>
        <w:rPr>
          <w:rFonts w:hAnsi="宋体"/>
          <w:b/>
          <w:color w:val="000000" w:themeColor="text1"/>
          <w:sz w:val="24"/>
          <w:u w:val="single"/>
          <w14:textFill>
            <w14:solidFill>
              <w14:schemeClr w14:val="tx1"/>
            </w14:solidFill>
          </w14:textFill>
        </w:rPr>
      </w:pPr>
      <w:bookmarkStart w:id="1189" w:name="_Toc6870_WPSOffice_Level1"/>
      <w:bookmarkStart w:id="1190" w:name="_Toc24373_WPSOffice_Level1"/>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bookmarkEnd w:id="1189"/>
      <w:bookmarkEnd w:id="1190"/>
    </w:p>
    <w:p>
      <w:pPr>
        <w:pStyle w:val="23"/>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u w:val="single"/>
          <w14:textFill>
            <w14:solidFill>
              <w14:schemeClr w14:val="tx1"/>
            </w14:solidFill>
          </w14:textFill>
        </w:rPr>
        <w:t>×××</w:t>
      </w:r>
      <w:r>
        <w:rPr>
          <w:rFonts w:hint="eastAsia" w:hAnsi="宋体" w:cs="宋体"/>
          <w:color w:val="000000" w:themeColor="text1"/>
          <w:kern w:val="0"/>
          <w:sz w:val="24"/>
          <w:u w:val="single"/>
          <w14:textFill>
            <w14:solidFill>
              <w14:schemeClr w14:val="tx1"/>
            </w14:solidFill>
          </w14:textFill>
        </w:rPr>
        <w:t>（采购代理机构名称）</w:t>
      </w:r>
      <w:r>
        <w:rPr>
          <w:rFonts w:hAnsi="宋体"/>
          <w:b/>
          <w:color w:val="000000" w:themeColor="text1"/>
          <w:sz w:val="24"/>
          <w14:textFill>
            <w14:solidFill>
              <w14:schemeClr w14:val="tx1"/>
            </w14:solidFill>
          </w14:textFill>
        </w:rPr>
        <w:t>：</w:t>
      </w:r>
    </w:p>
    <w:p>
      <w:pPr>
        <w:pStyle w:val="23"/>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项目的采购活动，并代表我方全权办理针对上述项目的磋商、签约等具体事务和签署相关文件。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2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2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ind w:firstLine="480" w:firstLineChars="200"/>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w:t>
      </w:r>
      <w:r>
        <w:rPr>
          <w:rFonts w:hint="eastAsia" w:ascii="宋体" w:hAnsi="宋体" w:cs="仿宋_GB2312"/>
          <w:color w:val="000000" w:themeColor="text1"/>
          <w:kern w:val="0"/>
          <w:sz w:val="24"/>
          <w:lang w:val="zh-CN"/>
          <w14:textFill>
            <w14:solidFill>
              <w14:schemeClr w14:val="tx1"/>
            </w14:solidFill>
          </w14:textFill>
        </w:rPr>
        <w:t>或电子印章</w:t>
      </w:r>
      <w:r>
        <w:rPr>
          <w:rFonts w:hint="eastAsia" w:ascii="宋体"/>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rPr>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bookmarkStart w:id="1191" w:name="_Toc5889_WPSOffice_Level1"/>
      <w:bookmarkStart w:id="1192" w:name="_Toc11308_WPSOffice_Level1"/>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93" w:name="_Toc93048459"/>
      <w:r>
        <w:rPr>
          <w:rFonts w:ascii="宋体" w:hAnsi="宋体"/>
          <w:b/>
          <w:color w:val="000000" w:themeColor="text1"/>
          <w:sz w:val="28"/>
          <w14:textFill>
            <w14:solidFill>
              <w14:schemeClr w14:val="tx1"/>
            </w14:solidFill>
          </w14:textFill>
        </w:rPr>
        <w:t>附件3</w:t>
      </w:r>
      <w:bookmarkEnd w:id="1193"/>
    </w:p>
    <w:p>
      <w:pPr>
        <w:adjustRightInd w:val="0"/>
        <w:snapToGrid w:val="0"/>
        <w:spacing w:line="48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营业执照等证明文件</w:t>
      </w:r>
    </w:p>
    <w:tbl>
      <w:tblPr>
        <w:tblStyle w:val="41"/>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pPr>
              <w:spacing w:line="360" w:lineRule="auto"/>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证明材料：</w:t>
            </w:r>
            <w:r>
              <w:rPr>
                <w:rFonts w:hint="eastAsia" w:ascii="仿宋" w:hAnsi="仿宋" w:eastAsia="仿宋"/>
                <w:b/>
                <w:color w:val="000000" w:themeColor="text1"/>
                <w:sz w:val="28"/>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8"/>
                <w14:textFill>
                  <w14:solidFill>
                    <w14:schemeClr w14:val="tx1"/>
                  </w14:solidFill>
                </w14:textFill>
              </w:rPr>
              <w:t>（提供扫描件加盖磋商响应供应商公章）</w:t>
            </w:r>
            <w:r>
              <w:rPr>
                <w:rFonts w:hint="eastAsia" w:ascii="仿宋" w:hAnsi="仿宋" w:eastAsia="仿宋"/>
                <w:color w:val="000000" w:themeColor="text1"/>
                <w:sz w:val="24"/>
                <w14:textFill>
                  <w14:solidFill>
                    <w14:schemeClr w14:val="tx1"/>
                  </w14:solidFill>
                </w14:textFill>
              </w:rPr>
              <w:t>。</w:t>
            </w:r>
          </w:p>
          <w:p>
            <w:pPr>
              <w:spacing w:line="360" w:lineRule="auto"/>
              <w:jc w:val="left"/>
              <w:rPr>
                <w:rFonts w:ascii="仿宋" w:hAnsi="仿宋" w:eastAsia="仿宋"/>
                <w:i/>
                <w:color w:val="000000" w:themeColor="text1"/>
                <w:sz w:val="24"/>
                <w14:textFill>
                  <w14:solidFill>
                    <w14:schemeClr w14:val="tx1"/>
                  </w14:solidFill>
                </w14:textFill>
              </w:rPr>
            </w:pPr>
          </w:p>
          <w:p>
            <w:pPr>
              <w:spacing w:line="360" w:lineRule="auto"/>
              <w:jc w:val="left"/>
              <w:rPr>
                <w:rFonts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提示和说明：</w:t>
            </w:r>
          </w:p>
          <w:p>
            <w:pPr>
              <w:spacing w:line="360" w:lineRule="auto"/>
              <w:ind w:firstLine="422" w:firstLineChars="151"/>
              <w:jc w:val="left"/>
              <w:rPr>
                <w:rFonts w:ascii="仿宋" w:hAnsi="仿宋" w:eastAsia="仿宋" w:cs="Arial"/>
                <w:i/>
                <w:color w:val="000000" w:themeColor="text1"/>
                <w:kern w:val="0"/>
                <w:sz w:val="28"/>
                <w14:textFill>
                  <w14:solidFill>
                    <w14:schemeClr w14:val="tx1"/>
                  </w14:solidFill>
                </w14:textFill>
              </w:rPr>
            </w:pPr>
            <w:r>
              <w:rPr>
                <w:rFonts w:hint="eastAsia" w:ascii="仿宋" w:hAnsi="仿宋" w:eastAsia="仿宋" w:cs="Arial"/>
                <w:i/>
                <w:color w:val="000000" w:themeColor="text1"/>
                <w:kern w:val="0"/>
                <w:sz w:val="28"/>
                <w14:textFill>
                  <w14:solidFill>
                    <w14:schemeClr w14:val="tx1"/>
                  </w14:solidFill>
                </w14:textFill>
              </w:rPr>
              <w:t>企业或个体工商户提供有效的“营业执照”；事业单位提供有效的“事业单位法人证书”；非企业专业服务机构提供执业许可证等证明文件；自然人（中国公民）提供个人有效身份证明文件。</w:t>
            </w:r>
          </w:p>
          <w:p>
            <w:pPr>
              <w:pStyle w:val="7"/>
              <w:ind w:firstLine="280"/>
              <w:rPr>
                <w:rFonts w:ascii="仿宋" w:hAnsi="仿宋" w:eastAsia="仿宋"/>
                <w:i/>
                <w:color w:val="000000" w:themeColor="text1"/>
                <w14:textFill>
                  <w14:solidFill>
                    <w14:schemeClr w14:val="tx1"/>
                  </w14:solidFill>
                </w14:textFill>
              </w:rPr>
            </w:pPr>
          </w:p>
        </w:tc>
      </w:tr>
    </w:tbl>
    <w:p>
      <w:pPr>
        <w:adjustRightInd w:val="0"/>
        <w:snapToGrid w:val="0"/>
        <w:spacing w:line="360" w:lineRule="auto"/>
        <w:ind w:right="480"/>
        <w:outlineLvl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94" w:name="_Toc93048460"/>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4</w:t>
      </w:r>
      <w:bookmarkEnd w:id="1194"/>
    </w:p>
    <w:p>
      <w:pPr>
        <w:spacing w:line="360" w:lineRule="auto"/>
        <w:jc w:val="center"/>
        <w:rPr>
          <w:rFonts w:ascii="宋体" w:hAnsi="宋体" w:cs="Courier New"/>
          <w:b/>
          <w:color w:val="000000" w:themeColor="text1"/>
          <w:sz w:val="28"/>
          <w:szCs w:val="28"/>
          <w14:textFill>
            <w14:solidFill>
              <w14:schemeClr w14:val="tx1"/>
            </w14:solidFill>
          </w14:textFill>
        </w:rPr>
      </w:pPr>
    </w:p>
    <w:p>
      <w:pPr>
        <w:spacing w:line="360" w:lineRule="auto"/>
        <w:jc w:val="center"/>
        <w:rPr>
          <w:rFonts w:ascii="宋体" w:hAnsi="宋体" w:cs="Courier New"/>
          <w:b/>
          <w:color w:val="000000" w:themeColor="text1"/>
          <w:sz w:val="28"/>
          <w:szCs w:val="28"/>
          <w14:textFill>
            <w14:solidFill>
              <w14:schemeClr w14:val="tx1"/>
            </w14:solidFill>
          </w14:textFill>
        </w:rPr>
      </w:pPr>
      <w:r>
        <w:rPr>
          <w:rFonts w:hint="eastAsia" w:ascii="宋体" w:hAnsi="宋体" w:cs="Courier New"/>
          <w:b/>
          <w:color w:val="000000" w:themeColor="text1"/>
          <w:sz w:val="28"/>
          <w:szCs w:val="28"/>
          <w14:textFill>
            <w14:solidFill>
              <w14:schemeClr w14:val="tx1"/>
            </w14:solidFill>
          </w14:textFill>
        </w:rPr>
        <w:t>依法缴纳税收和社会保障资金的相关材料</w:t>
      </w:r>
    </w:p>
    <w:p>
      <w:pPr>
        <w:pStyle w:val="3"/>
        <w:rPr>
          <w:color w:val="000000" w:themeColor="text1"/>
          <w14:textFill>
            <w14:solidFill>
              <w14:schemeClr w14:val="tx1"/>
            </w14:solidFill>
          </w14:textFill>
        </w:rPr>
      </w:pPr>
    </w:p>
    <w:p>
      <w:pPr>
        <w:spacing w:line="360" w:lineRule="auto"/>
        <w:jc w:val="left"/>
        <w:rPr>
          <w:rFonts w:ascii="仿宋" w:hAnsi="仿宋" w:eastAsia="仿宋"/>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证明材料：提供磋商截止日前6个月内任意1个月依法缴纳税收和社会保障资金的相关材料。如依法免税或不需要缴纳社会保障资金的，提供相应证明材料。</w:t>
      </w:r>
      <w:r>
        <w:rPr>
          <w:rFonts w:hint="eastAsia" w:ascii="仿宋" w:hAnsi="仿宋" w:eastAsia="仿宋"/>
          <w:color w:val="000000" w:themeColor="text1"/>
          <w:sz w:val="28"/>
          <w14:textFill>
            <w14:solidFill>
              <w14:schemeClr w14:val="tx1"/>
            </w14:solidFill>
          </w14:textFill>
        </w:rPr>
        <w:t>（提供扫描件加盖磋商响应供应商公章）</w:t>
      </w: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95" w:name="_Toc93048461"/>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5</w:t>
      </w:r>
      <w:bookmarkEnd w:id="1195"/>
    </w:p>
    <w:p>
      <w:pPr>
        <w:spacing w:line="360" w:lineRule="auto"/>
        <w:jc w:val="center"/>
        <w:rPr>
          <w:rFonts w:ascii="仿宋" w:hAnsi="仿宋" w:eastAsia="仿宋"/>
          <w:b/>
          <w:color w:val="000000" w:themeColor="text1"/>
          <w:sz w:val="28"/>
          <w14:textFill>
            <w14:solidFill>
              <w14:schemeClr w14:val="tx1"/>
            </w14:solidFill>
          </w14:textFill>
        </w:rPr>
      </w:pPr>
    </w:p>
    <w:p>
      <w:pPr>
        <w:spacing w:line="360" w:lineRule="auto"/>
        <w:jc w:val="center"/>
        <w:rPr>
          <w:rFonts w:ascii="仿宋" w:hAnsi="仿宋" w:eastAsia="仿宋"/>
          <w:b/>
          <w:color w:val="000000" w:themeColor="text1"/>
          <w:sz w:val="28"/>
          <w14:textFill>
            <w14:solidFill>
              <w14:schemeClr w14:val="tx1"/>
            </w14:solidFill>
          </w14:textFill>
        </w:rPr>
      </w:pPr>
      <w:r>
        <w:rPr>
          <w:rFonts w:ascii="仿宋" w:hAnsi="仿宋" w:eastAsia="仿宋"/>
          <w:b/>
          <w:color w:val="000000" w:themeColor="text1"/>
          <w:sz w:val="28"/>
          <w14:textFill>
            <w14:solidFill>
              <w14:schemeClr w14:val="tx1"/>
            </w14:solidFill>
          </w14:textFill>
        </w:rPr>
        <w:t>财务状况报告</w:t>
      </w:r>
    </w:p>
    <w:p>
      <w:pPr>
        <w:pStyle w:val="3"/>
        <w:rPr>
          <w:color w:val="000000" w:themeColor="text1"/>
          <w14:textFill>
            <w14:solidFill>
              <w14:schemeClr w14:val="tx1"/>
            </w14:solidFill>
          </w14:textFill>
        </w:rPr>
      </w:pPr>
    </w:p>
    <w:p>
      <w:pPr>
        <w:spacing w:line="360" w:lineRule="auto"/>
        <w:jc w:val="left"/>
        <w:rPr>
          <w:rFonts w:ascii="仿宋" w:hAnsi="仿宋" w:eastAsia="仿宋"/>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证明材料：提供上一年度财务状况报告或基本开户行出具的资信证明。</w:t>
      </w:r>
      <w:r>
        <w:rPr>
          <w:rFonts w:hint="eastAsia" w:ascii="仿宋" w:hAnsi="仿宋" w:eastAsia="仿宋"/>
          <w:color w:val="000000" w:themeColor="text1"/>
          <w:sz w:val="28"/>
          <w14:textFill>
            <w14:solidFill>
              <w14:schemeClr w14:val="tx1"/>
            </w14:solidFill>
          </w14:textFill>
        </w:rPr>
        <w:t>（提供扫描件加盖磋商响应供应商公章）</w:t>
      </w: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96" w:name="_Toc93048462"/>
      <w:r>
        <w:rPr>
          <w:rFonts w:hint="eastAsia" w:ascii="宋体" w:hAnsi="宋体"/>
          <w:b/>
          <w:color w:val="000000" w:themeColor="text1"/>
          <w:sz w:val="28"/>
          <w14:textFill>
            <w14:solidFill>
              <w14:schemeClr w14:val="tx1"/>
            </w14:solidFill>
          </w14:textFill>
        </w:rPr>
        <w:t>附件6</w:t>
      </w:r>
      <w:bookmarkEnd w:id="1196"/>
    </w:p>
    <w:p>
      <w:pPr>
        <w:spacing w:line="360" w:lineRule="auto"/>
        <w:jc w:val="center"/>
        <w:rPr>
          <w:rFonts w:ascii="宋体" w:hAnsi="宋体" w:cs="Courier New"/>
          <w:b/>
          <w:color w:val="000000" w:themeColor="text1"/>
          <w:sz w:val="28"/>
          <w:szCs w:val="28"/>
          <w14:textFill>
            <w14:solidFill>
              <w14:schemeClr w14:val="tx1"/>
            </w14:solidFill>
          </w14:textFill>
        </w:rPr>
      </w:pPr>
      <w:r>
        <w:rPr>
          <w:rFonts w:ascii="宋体" w:hAnsi="宋体" w:cs="Courier New"/>
          <w:b/>
          <w:color w:val="000000" w:themeColor="text1"/>
          <w:sz w:val="28"/>
          <w:szCs w:val="28"/>
          <w14:textFill>
            <w14:solidFill>
              <w14:schemeClr w14:val="tx1"/>
            </w14:solidFill>
          </w14:textFill>
        </w:rPr>
        <w:t>具有履行合同所必需的设备和专业技术能力的证明材料</w:t>
      </w:r>
    </w:p>
    <w:p>
      <w:pPr>
        <w:spacing w:line="360" w:lineRule="auto"/>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证明材料：按响应文件格式填报设备及专业技术能力情况（根据附件《供应商基本情况表》和附件《项目实施人员一览表》填报）。（加盖磋商响应供应商公章）</w:t>
      </w: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widowControl/>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97" w:name="_Toc93048463"/>
      <w:r>
        <w:rPr>
          <w:rFonts w:ascii="宋体" w:hAnsi="宋体"/>
          <w:b/>
          <w:color w:val="000000" w:themeColor="text1"/>
          <w:sz w:val="28"/>
          <w14:textFill>
            <w14:solidFill>
              <w14:schemeClr w14:val="tx1"/>
            </w14:solidFill>
          </w14:textFill>
        </w:rPr>
        <w:t>附件7</w:t>
      </w:r>
      <w:bookmarkEnd w:id="1197"/>
    </w:p>
    <w:p>
      <w:pPr>
        <w:spacing w:line="360" w:lineRule="auto"/>
        <w:jc w:val="center"/>
        <w:rPr>
          <w:rFonts w:ascii="宋体" w:hAnsi="宋体" w:cs="Courier New"/>
          <w:b/>
          <w:color w:val="000000" w:themeColor="text1"/>
          <w:sz w:val="28"/>
          <w:szCs w:val="28"/>
          <w14:textFill>
            <w14:solidFill>
              <w14:schemeClr w14:val="tx1"/>
            </w14:solidFill>
          </w14:textFill>
        </w:rPr>
      </w:pPr>
      <w:r>
        <w:rPr>
          <w:rFonts w:ascii="宋体" w:hAnsi="宋体" w:cs="Courier New"/>
          <w:b/>
          <w:color w:val="000000" w:themeColor="text1"/>
          <w:sz w:val="28"/>
          <w:szCs w:val="28"/>
          <w14:textFill>
            <w14:solidFill>
              <w14:schemeClr w14:val="tx1"/>
            </w14:solidFill>
          </w14:textFill>
        </w:rPr>
        <w:t>参加本次政府采购项目前三年内在经营活动中</w:t>
      </w:r>
    </w:p>
    <w:p>
      <w:pPr>
        <w:spacing w:line="360" w:lineRule="auto"/>
        <w:jc w:val="center"/>
        <w:rPr>
          <w:rFonts w:ascii="宋体" w:hAnsi="宋体" w:cs="Courier New"/>
          <w:b/>
          <w:color w:val="000000" w:themeColor="text1"/>
          <w:sz w:val="28"/>
          <w:szCs w:val="28"/>
          <w14:textFill>
            <w14:solidFill>
              <w14:schemeClr w14:val="tx1"/>
            </w14:solidFill>
          </w14:textFill>
        </w:rPr>
      </w:pPr>
      <w:r>
        <w:rPr>
          <w:rFonts w:ascii="宋体" w:hAnsi="宋体" w:cs="Courier New"/>
          <w:b/>
          <w:color w:val="000000" w:themeColor="text1"/>
          <w:sz w:val="28"/>
          <w:szCs w:val="28"/>
          <w14:textFill>
            <w14:solidFill>
              <w14:schemeClr w14:val="tx1"/>
            </w14:solidFill>
          </w14:textFill>
        </w:rPr>
        <w:t>没有重大违法记录的</w:t>
      </w:r>
      <w:r>
        <w:rPr>
          <w:rFonts w:hint="eastAsia" w:ascii="宋体" w:hAnsi="宋体" w:cs="Courier New"/>
          <w:b/>
          <w:color w:val="000000" w:themeColor="text1"/>
          <w:sz w:val="28"/>
          <w:szCs w:val="28"/>
          <w14:textFill>
            <w14:solidFill>
              <w14:schemeClr w14:val="tx1"/>
            </w14:solidFill>
          </w14:textFill>
        </w:rPr>
        <w:t>承诺函</w:t>
      </w:r>
    </w:p>
    <w:p>
      <w:pPr>
        <w:pStyle w:val="7"/>
        <w:spacing w:line="48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b/>
          <w:color w:val="000000" w:themeColor="text1"/>
          <w:sz w:val="24"/>
          <w:szCs w:val="24"/>
          <w:u w:val="single"/>
          <w:lang w:eastAsia="zh-CN"/>
          <w14:textFill>
            <w14:solidFill>
              <w14:schemeClr w14:val="tx1"/>
            </w14:solidFill>
          </w14:textFill>
        </w:rPr>
        <w:t>三门县浦坝港镇人民政府</w:t>
      </w:r>
      <w:r>
        <w:rPr>
          <w:rFonts w:asciiTheme="minorEastAsia" w:hAnsiTheme="minorEastAsia" w:eastAsiaTheme="minorEastAsia"/>
          <w:b/>
          <w:color w:val="000000" w:themeColor="text1"/>
          <w:sz w:val="24"/>
          <w:szCs w:val="24"/>
          <w14:textFill>
            <w14:solidFill>
              <w14:schemeClr w14:val="tx1"/>
            </w14:solidFill>
          </w14:textFill>
        </w:rPr>
        <w:t>：</w:t>
      </w:r>
    </w:p>
    <w:p>
      <w:pPr>
        <w:pStyle w:val="7"/>
        <w:spacing w:line="480" w:lineRule="auto"/>
        <w:ind w:firstLine="28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我方</w:t>
      </w:r>
      <w:r>
        <w:rPr>
          <w:rFonts w:asciiTheme="minorEastAsia" w:hAnsiTheme="minorEastAsia" w:eastAsia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olor w:val="000000" w:themeColor="text1"/>
          <w:sz w:val="24"/>
          <w:szCs w:val="24"/>
          <w:u w:val="single"/>
          <w14:textFill>
            <w14:solidFill>
              <w14:schemeClr w14:val="tx1"/>
            </w14:solidFill>
          </w14:textFill>
        </w:rPr>
        <w:t>磋商响应供应商</w:t>
      </w:r>
      <w:r>
        <w:rPr>
          <w:rFonts w:asciiTheme="minorEastAsia" w:hAnsiTheme="minorEastAsia" w:eastAsiaTheme="minorEastAsia"/>
          <w:color w:val="000000" w:themeColor="text1"/>
          <w:sz w:val="24"/>
          <w:szCs w:val="24"/>
          <w:u w:val="single"/>
          <w14:textFill>
            <w14:solidFill>
              <w14:schemeClr w14:val="tx1"/>
            </w14:solidFill>
          </w14:textFill>
        </w:rPr>
        <w:t>名称）</w:t>
      </w:r>
      <w:r>
        <w:rPr>
          <w:rFonts w:asciiTheme="minorEastAsia" w:hAnsiTheme="minorEastAsia" w:eastAsiaTheme="minorEastAsia"/>
          <w:color w:val="000000" w:themeColor="text1"/>
          <w:sz w:val="24"/>
          <w:szCs w:val="24"/>
          <w14:textFill>
            <w14:solidFill>
              <w14:schemeClr w14:val="tx1"/>
            </w14:solidFill>
          </w14:textFill>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pStyle w:val="7"/>
        <w:spacing w:line="480" w:lineRule="auto"/>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特此</w:t>
      </w:r>
      <w:r>
        <w:rPr>
          <w:rFonts w:hint="eastAsia" w:asciiTheme="minorEastAsia" w:hAnsiTheme="minorEastAsia" w:eastAsiaTheme="minorEastAsia"/>
          <w:color w:val="000000" w:themeColor="text1"/>
          <w:sz w:val="24"/>
          <w:szCs w:val="24"/>
          <w14:textFill>
            <w14:solidFill>
              <w14:schemeClr w14:val="tx1"/>
            </w14:solidFill>
          </w14:textFill>
        </w:rPr>
        <w:t>承诺</w:t>
      </w:r>
    </w:p>
    <w:p>
      <w:pPr>
        <w:pStyle w:val="7"/>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磋商响应供应商</w:t>
      </w:r>
      <w:r>
        <w:rPr>
          <w:rFonts w:asciiTheme="minorEastAsia" w:hAnsiTheme="minorEastAsia" w:eastAsiaTheme="minorEastAsia"/>
          <w:color w:val="000000" w:themeColor="text1"/>
          <w:sz w:val="24"/>
          <w:szCs w:val="24"/>
          <w14:textFill>
            <w14:solidFill>
              <w14:schemeClr w14:val="tx1"/>
            </w14:solidFill>
          </w14:textFill>
        </w:rPr>
        <w:t>名称（盖章）：_________________________</w:t>
      </w:r>
    </w:p>
    <w:p>
      <w:pPr>
        <w:pStyle w:val="23"/>
        <w:spacing w:line="48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asciiTheme="minorEastAsia" w:hAnsiTheme="minorEastAsia" w:eastAsiaTheme="minorEastAsia"/>
          <w:color w:val="000000" w:themeColor="text1"/>
          <w:sz w:val="24"/>
          <w14:textFill>
            <w14:solidFill>
              <w14:schemeClr w14:val="tx1"/>
            </w14:solidFill>
          </w14:textFill>
        </w:rPr>
        <w:t>________</w:t>
      </w:r>
      <w:r>
        <w:rPr>
          <w:rFonts w:hint="eastAsia" w:asciiTheme="minorEastAsia" w:hAnsiTheme="minorEastAsia" w:eastAsiaTheme="minorEastAsia"/>
          <w:color w:val="000000" w:themeColor="text1"/>
          <w:sz w:val="24"/>
          <w14:textFill>
            <w14:solidFill>
              <w14:schemeClr w14:val="tx1"/>
            </w14:solidFill>
          </w14:textFill>
        </w:rPr>
        <w:t>年</w:t>
      </w:r>
      <w:r>
        <w:rPr>
          <w:rFonts w:asciiTheme="minorEastAsia" w:hAnsiTheme="minorEastAsia" w:eastAsiaTheme="minorEastAsia"/>
          <w:color w:val="000000" w:themeColor="text1"/>
          <w:sz w:val="24"/>
          <w14:textFill>
            <w14:solidFill>
              <w14:schemeClr w14:val="tx1"/>
            </w14:solidFill>
          </w14:textFill>
        </w:rPr>
        <w:t>____</w:t>
      </w:r>
      <w:r>
        <w:rPr>
          <w:rFonts w:hint="eastAsia" w:asciiTheme="minorEastAsia" w:hAnsiTheme="minorEastAsia" w:eastAsiaTheme="minorEastAsia"/>
          <w:color w:val="000000" w:themeColor="text1"/>
          <w:sz w:val="24"/>
          <w14:textFill>
            <w14:solidFill>
              <w14:schemeClr w14:val="tx1"/>
            </w14:solidFill>
          </w14:textFill>
        </w:rPr>
        <w:t>月</w:t>
      </w:r>
      <w:r>
        <w:rPr>
          <w:rFonts w:asciiTheme="minorEastAsia" w:hAnsiTheme="minorEastAsia" w:eastAsiaTheme="minorEastAsia"/>
          <w:color w:val="000000" w:themeColor="text1"/>
          <w:sz w:val="24"/>
          <w14:textFill>
            <w14:solidFill>
              <w14:schemeClr w14:val="tx1"/>
            </w14:solidFill>
          </w14:textFill>
        </w:rPr>
        <w:t>____</w:t>
      </w:r>
      <w:r>
        <w:rPr>
          <w:rFonts w:hint="eastAsia" w:asciiTheme="minorEastAsia" w:hAnsiTheme="minorEastAsia" w:eastAsiaTheme="minorEastAsia"/>
          <w:color w:val="000000" w:themeColor="text1"/>
          <w:sz w:val="24"/>
          <w14:textFill>
            <w14:solidFill>
              <w14:schemeClr w14:val="tx1"/>
            </w14:solidFill>
          </w14:textFill>
        </w:rPr>
        <w:t>日</w:t>
      </w:r>
    </w:p>
    <w:p>
      <w:pPr>
        <w:pStyle w:val="7"/>
        <w:spacing w:line="480" w:lineRule="auto"/>
        <w:ind w:firstLine="280"/>
        <w:rPr>
          <w:rFonts w:asciiTheme="minorEastAsia" w:hAnsiTheme="minorEastAsia" w:eastAsiaTheme="minorEastAsia"/>
          <w:color w:val="000000" w:themeColor="text1"/>
          <w:sz w:val="24"/>
          <w:szCs w:val="24"/>
          <w:u w:val="single"/>
          <w14:textFill>
            <w14:solidFill>
              <w14:schemeClr w14:val="tx1"/>
            </w14:solidFill>
          </w14:textFill>
        </w:rPr>
      </w:pPr>
    </w:p>
    <w:p>
      <w:pPr>
        <w:pStyle w:val="7"/>
        <w:ind w:firstLine="280"/>
        <w:rPr>
          <w:rFonts w:asciiTheme="minorEastAsia" w:hAnsiTheme="minorEastAsia" w:eastAsiaTheme="minorEastAsia"/>
          <w:color w:val="000000" w:themeColor="text1"/>
          <w:sz w:val="24"/>
          <w:szCs w:val="24"/>
          <w:u w:val="single"/>
          <w14:textFill>
            <w14:solidFill>
              <w14:schemeClr w14:val="tx1"/>
            </w14:solidFill>
          </w14:textFill>
        </w:rPr>
        <w:sectPr>
          <w:footerReference r:id="rId6" w:type="default"/>
          <w:pgSz w:w="11906" w:h="16838"/>
          <w:pgMar w:top="1440" w:right="1133" w:bottom="1440" w:left="1560" w:header="851" w:footer="992" w:gutter="0"/>
          <w:pgBorders>
            <w:top w:val="none" w:sz="0" w:space="0"/>
            <w:left w:val="none" w:sz="0" w:space="0"/>
            <w:bottom w:val="none" w:sz="0" w:space="0"/>
            <w:right w:val="none" w:sz="0" w:space="0"/>
          </w:pgBorders>
          <w:cols w:space="720" w:num="1"/>
          <w:docGrid w:linePitch="312" w:charSpace="0"/>
        </w:sectPr>
      </w:pP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98" w:name="_Toc93048464"/>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8</w:t>
      </w:r>
      <w:bookmarkEnd w:id="1198"/>
    </w:p>
    <w:p>
      <w:pPr>
        <w:spacing w:line="360" w:lineRule="auto"/>
        <w:jc w:val="center"/>
        <w:rPr>
          <w:rFonts w:ascii="宋体" w:hAnsi="宋体" w:cs="Courier New"/>
          <w:b/>
          <w:color w:val="000000" w:themeColor="text1"/>
          <w:sz w:val="28"/>
          <w:szCs w:val="28"/>
          <w14:textFill>
            <w14:solidFill>
              <w14:schemeClr w14:val="tx1"/>
            </w14:solidFill>
          </w14:textFill>
        </w:rPr>
      </w:pPr>
      <w:r>
        <w:rPr>
          <w:rFonts w:hint="eastAsia" w:ascii="宋体" w:hAnsi="宋体" w:cs="Courier New"/>
          <w:b/>
          <w:color w:val="000000" w:themeColor="text1"/>
          <w:sz w:val="28"/>
          <w:szCs w:val="28"/>
          <w14:textFill>
            <w14:solidFill>
              <w14:schemeClr w14:val="tx1"/>
            </w14:solidFill>
          </w14:textFill>
        </w:rPr>
        <w:t>没有失信记录承诺函</w:t>
      </w:r>
    </w:p>
    <w:p>
      <w:pPr>
        <w:pStyle w:val="7"/>
        <w:ind w:firstLine="28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u w:val="single"/>
          <w:lang w:eastAsia="zh-CN"/>
          <w14:textFill>
            <w14:solidFill>
              <w14:schemeClr w14:val="tx1"/>
            </w14:solidFill>
          </w14:textFill>
        </w:rPr>
        <w:t>三门县浦坝港镇人民政府</w:t>
      </w:r>
      <w:r>
        <w:rPr>
          <w:rFonts w:asciiTheme="minorEastAsia" w:hAnsiTheme="minorEastAsia" w:eastAsiaTheme="minorEastAsia"/>
          <w:b/>
          <w:color w:val="000000" w:themeColor="text1"/>
          <w:sz w:val="24"/>
          <w:szCs w:val="24"/>
          <w14:textFill>
            <w14:solidFill>
              <w14:schemeClr w14:val="tx1"/>
            </w14:solidFill>
          </w14:textFill>
        </w:rPr>
        <w:t>：</w:t>
      </w:r>
    </w:p>
    <w:p>
      <w:pPr>
        <w:pStyle w:val="7"/>
        <w:adjustRightInd w:val="0"/>
        <w:snapToGrid w:val="0"/>
        <w:spacing w:line="480" w:lineRule="auto"/>
        <w:ind w:firstLine="280"/>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到本项目磋商响应文件提交截止时间为止，我公司未被</w:t>
      </w:r>
      <w:r>
        <w:rPr>
          <w:rFonts w:asciiTheme="minorEastAsia" w:hAnsiTheme="minorEastAsia" w:eastAsiaTheme="minorEastAsia"/>
          <w:color w:val="000000" w:themeColor="text1"/>
          <w:sz w:val="24"/>
          <w:szCs w:val="24"/>
          <w14:textFill>
            <w14:solidFill>
              <w14:schemeClr w14:val="tx1"/>
            </w14:solidFill>
          </w14:textFill>
        </w:rPr>
        <w:t>“信用中国”</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www.creditchina.gov.cn</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中国政府采购网</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www.ccgp.gov.cn</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列入失信被执行人</w:t>
      </w:r>
      <w:r>
        <w:rPr>
          <w:rFonts w:hint="eastAsia" w:asciiTheme="minorEastAsia" w:hAnsiTheme="minorEastAsia" w:eastAsiaTheme="minorEastAsia"/>
          <w:color w:val="000000" w:themeColor="text1"/>
          <w:sz w:val="24"/>
          <w:szCs w:val="24"/>
          <w14:textFill>
            <w14:solidFill>
              <w14:schemeClr w14:val="tx1"/>
            </w14:solidFill>
          </w14:textFill>
        </w:rPr>
        <w:t>名单</w:t>
      </w:r>
      <w:r>
        <w:rPr>
          <w:rFonts w:asciiTheme="minorEastAsia" w:hAnsiTheme="minorEastAsia" w:eastAsiaTheme="minorEastAsia"/>
          <w:color w:val="000000" w:themeColor="text1"/>
          <w:sz w:val="24"/>
          <w:szCs w:val="24"/>
          <w14:textFill>
            <w14:solidFill>
              <w14:schemeClr w14:val="tx1"/>
            </w14:solidFill>
          </w14:textFill>
        </w:rPr>
        <w:t>、重大税收违法案件当事人名单、政府采购严重违法失信行为记录名单</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360" w:lineRule="auto"/>
        <w:ind w:firstLine="487" w:firstLineChars="202"/>
        <w:jc w:val="left"/>
        <w:rPr>
          <w:rFonts w:cs="Arial"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我方已经清楚了解本次项目在竞争性磋商文件中有关“供应商</w:t>
      </w:r>
      <w:r>
        <w:rPr>
          <w:rFonts w:cs="Arial" w:asciiTheme="minorEastAsia" w:hAnsiTheme="minorEastAsia" w:eastAsiaTheme="minorEastAsia"/>
          <w:b/>
          <w:color w:val="000000" w:themeColor="text1"/>
          <w:kern w:val="0"/>
          <w:sz w:val="24"/>
          <w14:textFill>
            <w14:solidFill>
              <w14:schemeClr w14:val="tx1"/>
            </w14:solidFill>
          </w14:textFill>
        </w:rPr>
        <w:t>信用</w:t>
      </w:r>
      <w:r>
        <w:rPr>
          <w:rFonts w:hint="eastAsia" w:cs="Arial" w:asciiTheme="minorEastAsia" w:hAnsiTheme="minorEastAsia" w:eastAsiaTheme="minorEastAsia"/>
          <w:b/>
          <w:color w:val="000000" w:themeColor="text1"/>
          <w:kern w:val="0"/>
          <w:sz w:val="24"/>
          <w14:textFill>
            <w14:solidFill>
              <w14:schemeClr w14:val="tx1"/>
            </w14:solidFill>
          </w14:textFill>
        </w:rPr>
        <w:t>信息查询、存档与使用”的相关规定，同意由采购人或采购代理机构按采购文件规定对我方的信用信息记录进行统一查询，并以采购人或采购代理机构统一查询的结果为准。</w:t>
      </w:r>
    </w:p>
    <w:p>
      <w:pPr>
        <w:spacing w:line="360" w:lineRule="auto"/>
        <w:ind w:firstLine="484" w:firstLineChars="202"/>
        <w:jc w:val="left"/>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我方上述承诺内容如有虚假或隐瞒，采购人可取消我方任何资格（投标</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谈判</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中标（成交）</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签订合同），我方对此无任何异议，并愿意承担一切后果和责任。</w:t>
      </w:r>
    </w:p>
    <w:p>
      <w:pPr>
        <w:pStyle w:val="3"/>
        <w:rPr>
          <w:color w:val="000000" w:themeColor="text1"/>
          <w14:textFill>
            <w14:solidFill>
              <w14:schemeClr w14:val="tx1"/>
            </w14:solidFill>
          </w14:textFill>
        </w:rPr>
      </w:pPr>
    </w:p>
    <w:p>
      <w:pPr>
        <w:spacing w:line="360" w:lineRule="auto"/>
        <w:ind w:firstLine="487" w:firstLineChars="202"/>
        <w:jc w:val="left"/>
        <w:rPr>
          <w:color w:val="000000" w:themeColor="text1"/>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备注：“未被'</w:t>
      </w:r>
      <w:r>
        <w:rPr>
          <w:rFonts w:cs="Arial" w:asciiTheme="minorEastAsia" w:hAnsiTheme="minorEastAsia" w:eastAsiaTheme="minorEastAsia"/>
          <w:b/>
          <w:color w:val="000000" w:themeColor="text1"/>
          <w:kern w:val="0"/>
          <w:sz w:val="24"/>
          <w14:textFill>
            <w14:solidFill>
              <w14:schemeClr w14:val="tx1"/>
            </w14:solidFill>
          </w14:textFill>
        </w:rPr>
        <w:t>信用中国</w:t>
      </w:r>
      <w:r>
        <w:rPr>
          <w:rFonts w:hint="eastAsia" w:cs="Arial" w:asciiTheme="minorEastAsia" w:hAnsiTheme="minorEastAsia" w:eastAsiaTheme="minorEastAsia"/>
          <w:b/>
          <w:color w:val="000000" w:themeColor="text1"/>
          <w:kern w:val="0"/>
          <w:sz w:val="24"/>
          <w14:textFill>
            <w14:solidFill>
              <w14:schemeClr w14:val="tx1"/>
            </w14:solidFill>
          </w14:textFill>
        </w:rPr>
        <w:t>'、'</w:t>
      </w:r>
      <w:r>
        <w:rPr>
          <w:rFonts w:cs="Arial" w:asciiTheme="minorEastAsia" w:hAnsiTheme="minorEastAsia" w:eastAsiaTheme="minorEastAsia"/>
          <w:b/>
          <w:color w:val="000000" w:themeColor="text1"/>
          <w:kern w:val="0"/>
          <w:sz w:val="24"/>
          <w14:textFill>
            <w14:solidFill>
              <w14:schemeClr w14:val="tx1"/>
            </w14:solidFill>
          </w14:textFill>
        </w:rPr>
        <w:t>中国政府采购网</w:t>
      </w:r>
      <w:r>
        <w:rPr>
          <w:rFonts w:hint="eastAsia" w:cs="Arial" w:asciiTheme="minorEastAsia" w:hAnsiTheme="minorEastAsia" w:eastAsiaTheme="minorEastAsia"/>
          <w:b/>
          <w:color w:val="000000" w:themeColor="text1"/>
          <w:kern w:val="0"/>
          <w:sz w:val="24"/>
          <w14:textFill>
            <w14:solidFill>
              <w14:schemeClr w14:val="tx1"/>
            </w14:solidFill>
          </w14:textFill>
        </w:rPr>
        <w:t>'</w:t>
      </w:r>
      <w:r>
        <w:rPr>
          <w:rFonts w:cs="Arial" w:asciiTheme="minorEastAsia" w:hAnsiTheme="minorEastAsia" w:eastAsiaTheme="minorEastAsia"/>
          <w:b/>
          <w:color w:val="000000" w:themeColor="text1"/>
          <w:kern w:val="0"/>
          <w:sz w:val="24"/>
          <w14:textFill>
            <w14:solidFill>
              <w14:schemeClr w14:val="tx1"/>
            </w14:solidFill>
          </w14:textFill>
        </w:rPr>
        <w:t>列入失信被执行人</w:t>
      </w:r>
      <w:r>
        <w:rPr>
          <w:rFonts w:hint="eastAsia" w:cs="Arial" w:asciiTheme="minorEastAsia" w:hAnsiTheme="minorEastAsia" w:eastAsiaTheme="minorEastAsia"/>
          <w:b/>
          <w:color w:val="000000" w:themeColor="text1"/>
          <w:kern w:val="0"/>
          <w:sz w:val="24"/>
          <w14:textFill>
            <w14:solidFill>
              <w14:schemeClr w14:val="tx1"/>
            </w14:solidFill>
          </w14:textFill>
        </w:rPr>
        <w:t>名单</w:t>
      </w:r>
      <w:r>
        <w:rPr>
          <w:rFonts w:cs="Arial" w:asciiTheme="minorEastAsia" w:hAnsiTheme="minorEastAsia" w:eastAsiaTheme="minorEastAsia"/>
          <w:b/>
          <w:color w:val="000000" w:themeColor="text1"/>
          <w:kern w:val="0"/>
          <w:sz w:val="24"/>
          <w14:textFill>
            <w14:solidFill>
              <w14:schemeClr w14:val="tx1"/>
            </w14:solidFill>
          </w14:textFill>
        </w:rPr>
        <w:t>、重大税收违法案件当事人名单、政府采购严重违法失信行为记录名单</w:t>
      </w:r>
      <w:r>
        <w:rPr>
          <w:rFonts w:hint="eastAsia" w:cs="Arial" w:asciiTheme="minorEastAsia" w:hAnsiTheme="minorEastAsia" w:eastAsiaTheme="minorEastAsia"/>
          <w:b/>
          <w:color w:val="000000" w:themeColor="text1"/>
          <w:kern w:val="0"/>
          <w:sz w:val="24"/>
          <w14:textFill>
            <w14:solidFill>
              <w14:schemeClr w14:val="tx1"/>
            </w14:solidFill>
          </w14:textFill>
        </w:rPr>
        <w:t>”的证明材料（网站截图）。</w:t>
      </w:r>
    </w:p>
    <w:p>
      <w:pPr>
        <w:pStyle w:val="7"/>
        <w:adjustRightInd w:val="0"/>
        <w:snapToGrid w:val="0"/>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特此承诺</w:t>
      </w:r>
    </w:p>
    <w:p>
      <w:pPr>
        <w:pStyle w:val="7"/>
        <w:adjustRightInd w:val="0"/>
        <w:snapToGrid w:val="0"/>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磋商响应供应商</w:t>
      </w:r>
      <w:r>
        <w:rPr>
          <w:rFonts w:asciiTheme="minorEastAsia" w:hAnsiTheme="minorEastAsia" w:eastAsiaTheme="minorEastAsia"/>
          <w:color w:val="000000" w:themeColor="text1"/>
          <w:sz w:val="24"/>
          <w:szCs w:val="24"/>
          <w14:textFill>
            <w14:solidFill>
              <w14:schemeClr w14:val="tx1"/>
            </w14:solidFill>
          </w14:textFill>
        </w:rPr>
        <w:t>名称（盖章）：______________________________</w:t>
      </w:r>
    </w:p>
    <w:p>
      <w:pPr>
        <w:pStyle w:val="7"/>
        <w:adjustRightInd w:val="0"/>
        <w:snapToGrid w:val="0"/>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日期：</w:t>
      </w:r>
      <w:r>
        <w:rPr>
          <w:rFonts w:asciiTheme="minorEastAsia" w:hAnsiTheme="minorEastAsia" w:eastAsiaTheme="minorEastAsia"/>
          <w:color w:val="000000" w:themeColor="text1"/>
          <w:sz w:val="24"/>
          <w:szCs w:val="24"/>
          <w14:textFill>
            <w14:solidFill>
              <w14:schemeClr w14:val="tx1"/>
            </w14:solidFill>
          </w14:textFill>
        </w:rPr>
        <w:t>________</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____</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____</w:t>
      </w:r>
      <w:r>
        <w:rPr>
          <w:rFonts w:hint="eastAsia" w:asciiTheme="minorEastAsia" w:hAnsiTheme="minorEastAsia" w:eastAsiaTheme="minorEastAsia"/>
          <w:color w:val="000000" w:themeColor="text1"/>
          <w:sz w:val="24"/>
          <w:szCs w:val="24"/>
          <w14:textFill>
            <w14:solidFill>
              <w14:schemeClr w14:val="tx1"/>
            </w14:solidFill>
          </w14:textFill>
        </w:rPr>
        <w:t>日</w:t>
      </w:r>
    </w:p>
    <w:p>
      <w:pPr>
        <w:pStyle w:val="7"/>
        <w:adjustRightInd w:val="0"/>
        <w:snapToGrid w:val="0"/>
        <w:spacing w:line="480" w:lineRule="auto"/>
        <w:ind w:firstLine="280"/>
        <w:rPr>
          <w:rFonts w:asciiTheme="minorEastAsia" w:hAnsiTheme="minorEastAsia" w:eastAsiaTheme="minorEastAsia"/>
          <w:color w:val="000000" w:themeColor="text1"/>
          <w:sz w:val="24"/>
          <w:szCs w:val="24"/>
          <w14:textFill>
            <w14:solidFill>
              <w14:schemeClr w14:val="tx1"/>
            </w14:solidFill>
          </w14:textFill>
        </w:rPr>
      </w:pPr>
    </w:p>
    <w:p>
      <w:pPr>
        <w:pStyle w:val="7"/>
        <w:adjustRightInd w:val="0"/>
        <w:snapToGrid w:val="0"/>
        <w:spacing w:line="48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99" w:name="_Toc93048465"/>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9</w:t>
      </w:r>
      <w:r>
        <w:rPr>
          <w:rFonts w:hint="eastAsia" w:ascii="宋体" w:hAnsi="宋体"/>
          <w:b/>
          <w:color w:val="000000" w:themeColor="text1"/>
          <w:sz w:val="28"/>
          <w14:textFill>
            <w14:solidFill>
              <w14:schemeClr w14:val="tx1"/>
            </w14:solidFill>
          </w14:textFill>
        </w:rPr>
        <w:t>：</w:t>
      </w:r>
      <w:bookmarkEnd w:id="1199"/>
    </w:p>
    <w:p>
      <w:pPr>
        <w:spacing w:line="360" w:lineRule="auto"/>
        <w:jc w:val="center"/>
        <w:rPr>
          <w:rFonts w:ascii="宋体" w:hAnsi="宋体" w:cs="Courier New"/>
          <w:b/>
          <w:color w:val="000000" w:themeColor="text1"/>
          <w:sz w:val="28"/>
          <w:szCs w:val="28"/>
          <w14:textFill>
            <w14:solidFill>
              <w14:schemeClr w14:val="tx1"/>
            </w14:solidFill>
          </w14:textFill>
        </w:rPr>
      </w:pPr>
      <w:r>
        <w:rPr>
          <w:rFonts w:hint="eastAsia" w:ascii="宋体" w:hAnsi="宋体" w:cs="Courier New"/>
          <w:b/>
          <w:color w:val="000000" w:themeColor="text1"/>
          <w:sz w:val="28"/>
          <w:szCs w:val="28"/>
          <w14:textFill>
            <w14:solidFill>
              <w14:schemeClr w14:val="tx1"/>
            </w14:solidFill>
          </w14:textFill>
        </w:rPr>
        <w:t>法律法规规定的其他承诺函</w:t>
      </w:r>
    </w:p>
    <w:p>
      <w:pPr>
        <w:pStyle w:val="7"/>
        <w:ind w:firstLine="28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u w:val="single"/>
          <w:lang w:eastAsia="zh-CN"/>
          <w14:textFill>
            <w14:solidFill>
              <w14:schemeClr w14:val="tx1"/>
            </w14:solidFill>
          </w14:textFill>
        </w:rPr>
        <w:t>三门县浦坝港镇人民政府</w:t>
      </w:r>
      <w:r>
        <w:rPr>
          <w:rFonts w:asciiTheme="minorEastAsia" w:hAnsiTheme="minorEastAsia" w:eastAsiaTheme="minorEastAsia"/>
          <w:b/>
          <w:color w:val="000000" w:themeColor="text1"/>
          <w:sz w:val="24"/>
          <w:szCs w:val="24"/>
          <w14:textFill>
            <w14:solidFill>
              <w14:schemeClr w14:val="tx1"/>
            </w14:solidFill>
          </w14:textFill>
        </w:rPr>
        <w:t>：</w:t>
      </w:r>
    </w:p>
    <w:p>
      <w:pPr>
        <w:pStyle w:val="7"/>
        <w:adjustRightInd w:val="0"/>
        <w:snapToGrid w:val="0"/>
        <w:spacing w:line="480" w:lineRule="auto"/>
        <w:ind w:firstLine="280"/>
        <w:jc w:val="left"/>
        <w:rPr>
          <w:rFonts w:asciiTheme="minorEastAsia" w:hAnsiTheme="minorEastAsia" w:eastAsiaTheme="minorEastAsia"/>
          <w:b/>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cs="Arial" w:asciiTheme="minorEastAsia" w:hAnsiTheme="minorEastAsia" w:eastAsiaTheme="minorEastAsia"/>
          <w:b/>
          <w:color w:val="000000" w:themeColor="text1"/>
          <w:kern w:val="0"/>
          <w:sz w:val="24"/>
          <w:szCs w:val="24"/>
          <w14:textFill>
            <w14:solidFill>
              <w14:schemeClr w14:val="tx1"/>
            </w14:solidFill>
          </w14:textFill>
        </w:rPr>
        <w:t>我方承诺</w:t>
      </w:r>
      <w:r>
        <w:rPr>
          <w:rFonts w:hint="eastAsia" w:asciiTheme="minorEastAsia" w:hAnsiTheme="minorEastAsia" w:eastAsiaTheme="minorEastAsia"/>
          <w:b/>
          <w:color w:val="000000" w:themeColor="text1"/>
          <w:kern w:val="0"/>
          <w:sz w:val="24"/>
          <w:szCs w:val="24"/>
          <w14:textFill>
            <w14:solidFill>
              <w14:schemeClr w14:val="tx1"/>
            </w14:solidFill>
          </w14:textFill>
        </w:rPr>
        <w:t>“与参加本次项目同一合同项下政府采购活动的其他供应商不存在单位负责人为同一人或者直接控股、管理关系”且不存在为本项目提供整体设计、规范编制或者项目管理、监理、检测等服务的供应商。</w:t>
      </w:r>
    </w:p>
    <w:p>
      <w:pPr>
        <w:pStyle w:val="8"/>
        <w:rPr>
          <w:color w:val="000000" w:themeColor="text1"/>
          <w14:textFill>
            <w14:solidFill>
              <w14:schemeClr w14:val="tx1"/>
            </w14:solidFill>
          </w14:textFill>
        </w:rPr>
      </w:pPr>
    </w:p>
    <w:p>
      <w:pPr>
        <w:spacing w:line="360" w:lineRule="auto"/>
        <w:ind w:firstLine="484" w:firstLineChars="202"/>
        <w:jc w:val="left"/>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我方上述承诺内容如有虚假或隐瞒，采购人可取消我方任何资格（投标</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谈判</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中标（成交）</w:t>
      </w:r>
      <w:r>
        <w:rPr>
          <w:rFonts w:cs="Arial" w:asciiTheme="minorEastAsia" w:hAnsiTheme="minorEastAsia" w:eastAsiaTheme="minorEastAsia"/>
          <w:color w:val="000000" w:themeColor="text1"/>
          <w:kern w:val="0"/>
          <w:sz w:val="24"/>
          <w14:textFill>
            <w14:solidFill>
              <w14:schemeClr w14:val="tx1"/>
            </w14:solidFill>
          </w14:textFill>
        </w:rPr>
        <w:t>/</w:t>
      </w:r>
      <w:r>
        <w:rPr>
          <w:rFonts w:hint="eastAsia" w:cs="Arial" w:asciiTheme="minorEastAsia" w:hAnsiTheme="minorEastAsia" w:eastAsiaTheme="minorEastAsia"/>
          <w:color w:val="000000" w:themeColor="text1"/>
          <w:kern w:val="0"/>
          <w:sz w:val="24"/>
          <w14:textFill>
            <w14:solidFill>
              <w14:schemeClr w14:val="tx1"/>
            </w14:solidFill>
          </w14:textFill>
        </w:rPr>
        <w:t>签订合同），我方对此无任何异议，并愿意承担一切后果和责任。</w:t>
      </w:r>
    </w:p>
    <w:p>
      <w:pPr>
        <w:spacing w:line="360" w:lineRule="auto"/>
        <w:ind w:firstLine="484" w:firstLineChars="202"/>
        <w:jc w:val="left"/>
        <w:rPr>
          <w:rFonts w:cs="Arial" w:asciiTheme="minorEastAsia" w:hAnsiTheme="minorEastAsia" w:eastAsiaTheme="minorEastAsia"/>
          <w:color w:val="000000" w:themeColor="text1"/>
          <w:kern w:val="0"/>
          <w:sz w:val="24"/>
          <w14:textFill>
            <w14:solidFill>
              <w14:schemeClr w14:val="tx1"/>
            </w14:solidFill>
          </w14:textFill>
        </w:rPr>
      </w:pPr>
    </w:p>
    <w:p>
      <w:pPr>
        <w:spacing w:line="360" w:lineRule="auto"/>
        <w:ind w:firstLine="484" w:firstLineChars="202"/>
        <w:jc w:val="left"/>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我方承诺的情况特此承诺</w:t>
      </w: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7"/>
        <w:adjustRightInd w:val="0"/>
        <w:snapToGrid w:val="0"/>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磋商响应供应商</w:t>
      </w:r>
      <w:r>
        <w:rPr>
          <w:rFonts w:asciiTheme="minorEastAsia" w:hAnsiTheme="minorEastAsia" w:eastAsiaTheme="minorEastAsia"/>
          <w:color w:val="000000" w:themeColor="text1"/>
          <w:sz w:val="24"/>
          <w:szCs w:val="24"/>
          <w14:textFill>
            <w14:solidFill>
              <w14:schemeClr w14:val="tx1"/>
            </w14:solidFill>
          </w14:textFill>
        </w:rPr>
        <w:t>名称（盖章）：______________________________</w:t>
      </w:r>
    </w:p>
    <w:p>
      <w:pPr>
        <w:pStyle w:val="7"/>
        <w:adjustRightInd w:val="0"/>
        <w:snapToGrid w:val="0"/>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日期：</w:t>
      </w:r>
      <w:r>
        <w:rPr>
          <w:rFonts w:asciiTheme="minorEastAsia" w:hAnsiTheme="minorEastAsia" w:eastAsiaTheme="minorEastAsia"/>
          <w:color w:val="000000" w:themeColor="text1"/>
          <w:sz w:val="24"/>
          <w:szCs w:val="24"/>
          <w14:textFill>
            <w14:solidFill>
              <w14:schemeClr w14:val="tx1"/>
            </w14:solidFill>
          </w14:textFill>
        </w:rPr>
        <w:t>________</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____</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____</w:t>
      </w:r>
      <w:r>
        <w:rPr>
          <w:rFonts w:hint="eastAsia" w:asciiTheme="minorEastAsia" w:hAnsiTheme="minorEastAsia" w:eastAsiaTheme="minorEastAsia"/>
          <w:color w:val="000000" w:themeColor="text1"/>
          <w:sz w:val="24"/>
          <w:szCs w:val="24"/>
          <w14:textFill>
            <w14:solidFill>
              <w14:schemeClr w14:val="tx1"/>
            </w14:solidFill>
          </w14:textFill>
        </w:rPr>
        <w:t>日</w:t>
      </w: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pStyle w:val="23"/>
        <w:rPr>
          <w:rFonts w:asciiTheme="minorEastAsia" w:hAnsiTheme="minorEastAsia" w:eastAsiaTheme="minorEastAsia"/>
          <w:color w:val="000000" w:themeColor="text1"/>
          <w:sz w:val="24"/>
          <w14:textFill>
            <w14:solidFill>
              <w14:schemeClr w14:val="tx1"/>
            </w14:solidFill>
          </w14:textFill>
        </w:rPr>
      </w:pPr>
    </w:p>
    <w:p>
      <w:pPr>
        <w:widowControl/>
        <w:jc w:val="left"/>
        <w:rPr>
          <w:rFonts w:asciiTheme="minorEastAsia" w:hAnsiTheme="minorEastAsia" w:eastAsiaTheme="minorEastAsia" w:cstheme="minorBidi"/>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pPr>
        <w:pStyle w:val="23"/>
        <w:rPr>
          <w:rFonts w:asciiTheme="minorEastAsia" w:hAnsiTheme="minorEastAsia" w:eastAsiaTheme="minorEastAsia"/>
          <w:color w:val="000000" w:themeColor="text1"/>
          <w:sz w:val="24"/>
          <w14:textFill>
            <w14:solidFill>
              <w14:schemeClr w14:val="tx1"/>
            </w14:solidFill>
          </w14:textFill>
        </w:rPr>
      </w:pP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00" w:name="_Toc93048466"/>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10</w:t>
      </w:r>
      <w:r>
        <w:rPr>
          <w:rFonts w:hint="eastAsia" w:ascii="宋体" w:hAnsi="宋体"/>
          <w:b/>
          <w:color w:val="000000" w:themeColor="text1"/>
          <w:sz w:val="28"/>
          <w14:textFill>
            <w14:solidFill>
              <w14:schemeClr w14:val="tx1"/>
            </w14:solidFill>
          </w14:textFill>
        </w:rPr>
        <w:t>-</w:t>
      </w:r>
      <w:r>
        <w:rPr>
          <w:rFonts w:ascii="宋体" w:hAnsi="宋体"/>
          <w:b/>
          <w:color w:val="000000" w:themeColor="text1"/>
          <w:sz w:val="28"/>
          <w14:textFill>
            <w14:solidFill>
              <w14:schemeClr w14:val="tx1"/>
            </w14:solidFill>
          </w14:textFill>
        </w:rPr>
        <w:t>1</w:t>
      </w:r>
      <w:bookmarkEnd w:id="1200"/>
    </w:p>
    <w:p>
      <w:pPr>
        <w:widowControl/>
        <w:autoSpaceDE w:val="0"/>
        <w:autoSpaceDN w:val="0"/>
        <w:spacing w:line="480" w:lineRule="auto"/>
        <w:ind w:firstLine="241" w:firstLineChars="100"/>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000000" w:themeColor="text1"/>
          <w:sz w:val="24"/>
          <w:u w:val="single"/>
          <w14:textFill>
            <w14:solidFill>
              <w14:schemeClr w14:val="tx1"/>
            </w14:solidFill>
          </w14:textFill>
        </w:rPr>
        <w:t>建筑业。</w:t>
      </w: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中小企业声明函</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本公司郑重声明，根据《政府采购促进中小企业发展管理办法》（财库</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2020</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46 号）的规定，本公司参加</w:t>
      </w:r>
      <w:r>
        <w:rPr>
          <w:rFonts w:hint="eastAsia" w:asciiTheme="minorEastAsia" w:hAnsiTheme="minorEastAsia" w:eastAsiaTheme="minorEastAsia"/>
          <w:b/>
          <w:bCs/>
          <w:color w:val="000000" w:themeColor="text1"/>
          <w:sz w:val="24"/>
          <w:u w:val="single"/>
          <w:lang w:eastAsia="zh-CN"/>
          <w14:textFill>
            <w14:solidFill>
              <w14:schemeClr w14:val="tx1"/>
            </w14:solidFill>
          </w14:textFill>
        </w:rPr>
        <w:t>三门县浦坝港镇人民政府</w:t>
      </w:r>
      <w:r>
        <w:rPr>
          <w:rFonts w:hint="eastAsia"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b/>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
          <w:bCs/>
          <w:color w:val="000000" w:themeColor="text1"/>
          <w:sz w:val="24"/>
          <w:u w:val="single"/>
          <w:lang w:eastAsia="zh-CN"/>
          <w14:textFill>
            <w14:solidFill>
              <w14:schemeClr w14:val="tx1"/>
            </w14:solidFill>
          </w14:textFill>
        </w:rPr>
        <w:t>三门县浦坝港镇小岭下至从岙道路提升改造工程</w:t>
      </w:r>
      <w:r>
        <w:rPr>
          <w:rFonts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采购活动，工程的施工单位全部为符合政策要求的中小企业。企业具体情况如下：</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b/>
          <w:bCs/>
          <w:i/>
          <w:iCs/>
          <w:color w:val="000000" w:themeColor="text1"/>
          <w:sz w:val="24"/>
          <w:u w:val="single"/>
          <w:lang w:eastAsia="zh-CN"/>
          <w14:textFill>
            <w14:solidFill>
              <w14:schemeClr w14:val="tx1"/>
            </w14:solidFill>
          </w14:textFill>
        </w:rPr>
        <w:t>三门县浦坝港镇小岭下至从岙道路提升改造工程</w:t>
      </w:r>
      <w:r>
        <w:rPr>
          <w:rFonts w:hint="eastAsia" w:asciiTheme="minorEastAsia" w:hAnsiTheme="minorEastAsia" w:eastAsiaTheme="minorEastAsia"/>
          <w:color w:val="000000" w:themeColor="text1"/>
          <w:sz w:val="24"/>
          <w14:textFill>
            <w14:solidFill>
              <w14:schemeClr w14:val="tx1"/>
            </w14:solidFill>
          </w14:textFill>
        </w:rPr>
        <w:t>，属于</w:t>
      </w:r>
      <w:r>
        <w:rPr>
          <w:rFonts w:hint="eastAsia" w:asciiTheme="minorEastAsia" w:hAnsiTheme="minorEastAsia" w:eastAsiaTheme="minorEastAsia"/>
          <w:color w:val="000000" w:themeColor="text1"/>
          <w:sz w:val="24"/>
          <w:u w:val="single"/>
          <w14:textFill>
            <w14:solidFill>
              <w14:schemeClr w14:val="tx1"/>
            </w14:solidFill>
          </w14:textFill>
        </w:rPr>
        <w:t>建筑业</w:t>
      </w:r>
      <w:r>
        <w:rPr>
          <w:rFonts w:hint="eastAsia" w:asciiTheme="minorEastAsia" w:hAnsiTheme="minorEastAsia" w:eastAsiaTheme="minorEastAsia"/>
          <w:color w:val="000000" w:themeColor="text1"/>
          <w:sz w:val="24"/>
          <w14:textFill>
            <w14:solidFill>
              <w14:schemeClr w14:val="tx1"/>
            </w14:solidFill>
          </w14:textFill>
        </w:rPr>
        <w:t>；承建（承接）企业为</w:t>
      </w:r>
      <w:r>
        <w:rPr>
          <w:rFonts w:hint="eastAsia" w:asciiTheme="minorEastAsia" w:hAnsiTheme="minorEastAsia" w:eastAsiaTheme="minorEastAsia"/>
          <w:i/>
          <w:iCs/>
          <w:color w:val="000000" w:themeColor="text1"/>
          <w:sz w:val="24"/>
          <w:u w:val="single"/>
          <w14:textFill>
            <w14:solidFill>
              <w14:schemeClr w14:val="tx1"/>
            </w14:solidFill>
          </w14:textFill>
        </w:rPr>
        <w:t>（企业名称）</w:t>
      </w:r>
      <w:r>
        <w:rPr>
          <w:rFonts w:hint="eastAsia" w:asciiTheme="minorEastAsia" w:hAnsiTheme="minorEastAsia" w:eastAsiaTheme="minorEastAsia"/>
          <w:color w:val="000000" w:themeColor="text1"/>
          <w:sz w:val="24"/>
          <w14:textFill>
            <w14:solidFill>
              <w14:schemeClr w14:val="tx1"/>
            </w14:solidFill>
          </w14:textFill>
        </w:rPr>
        <w:t>，从业人员</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人，营业收入为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万元，资产总额为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万元，属于</w:t>
      </w:r>
      <w:r>
        <w:rPr>
          <w:rFonts w:hint="eastAsia" w:asciiTheme="minorEastAsia" w:hAnsiTheme="minorEastAsia" w:eastAsiaTheme="minorEastAsia"/>
          <w:i/>
          <w:iCs/>
          <w:color w:val="000000" w:themeColor="text1"/>
          <w:sz w:val="24"/>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z w:val="24"/>
          <w14:textFill>
            <w14:solidFill>
              <w14:schemeClr w14:val="tx1"/>
            </w14:solidFill>
          </w14:textFill>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企业名称（盖章）：</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日期：</w:t>
      </w:r>
    </w:p>
    <w:p>
      <w:pPr>
        <w:widowControl/>
        <w:autoSpaceDE w:val="0"/>
        <w:autoSpaceDN w:val="0"/>
        <w:spacing w:line="30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备注：1、从业人员、营业收入、资产总额填报上一年度数据，无上一年度数据的新成立企业可不填报。</w:t>
      </w:r>
    </w:p>
    <w:p>
      <w:pPr>
        <w:rPr>
          <w:rFonts w:asciiTheme="minorEastAsia" w:hAnsiTheme="minorEastAsia" w:eastAsiaTheme="minorEastAsia"/>
          <w:color w:val="000000" w:themeColor="text1"/>
          <w:sz w:val="24"/>
          <w14:textFill>
            <w14:solidFill>
              <w14:schemeClr w14:val="tx1"/>
            </w14:solidFill>
          </w14:textFill>
        </w:rPr>
      </w:pPr>
    </w:p>
    <w:p>
      <w:pPr>
        <w:pStyle w:val="98"/>
        <w:rPr>
          <w:rFonts w:asciiTheme="minorEastAsia" w:hAnsiTheme="minorEastAsia" w:eastAsiaTheme="minorEastAsia"/>
          <w:color w:val="000000" w:themeColor="text1"/>
          <w:sz w:val="24"/>
          <w:szCs w:val="24"/>
          <w14:textFill>
            <w14:solidFill>
              <w14:schemeClr w14:val="tx1"/>
            </w14:solidFill>
          </w14:textFill>
        </w:rPr>
      </w:pPr>
    </w:p>
    <w:p>
      <w:pPr>
        <w:pStyle w:val="19"/>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pStyle w:val="98"/>
        <w:rPr>
          <w:rFonts w:asciiTheme="minorEastAsia" w:hAnsiTheme="minorEastAsia" w:eastAsiaTheme="minorEastAsia"/>
          <w:color w:val="000000" w:themeColor="text1"/>
          <w:sz w:val="24"/>
          <w:szCs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widowControl/>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01" w:name="_Toc93048467"/>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10</w:t>
      </w:r>
      <w:r>
        <w:rPr>
          <w:rFonts w:hint="eastAsia" w:ascii="宋体" w:hAnsi="宋体"/>
          <w:b/>
          <w:color w:val="000000" w:themeColor="text1"/>
          <w:sz w:val="28"/>
          <w14:textFill>
            <w14:solidFill>
              <w14:schemeClr w14:val="tx1"/>
            </w14:solidFill>
          </w14:textFill>
        </w:rPr>
        <w:t>-</w:t>
      </w:r>
      <w:r>
        <w:rPr>
          <w:rFonts w:ascii="宋体" w:hAnsi="宋体"/>
          <w:b/>
          <w:color w:val="000000" w:themeColor="text1"/>
          <w:sz w:val="28"/>
          <w14:textFill>
            <w14:solidFill>
              <w14:schemeClr w14:val="tx1"/>
            </w14:solidFill>
          </w14:textFill>
        </w:rPr>
        <w:t>2</w:t>
      </w:r>
      <w:bookmarkEnd w:id="1201"/>
    </w:p>
    <w:p>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监狱企业</w:t>
      </w:r>
      <w:r>
        <w:rPr>
          <w:rFonts w:hint="eastAsia" w:asciiTheme="minorEastAsia" w:hAnsiTheme="minorEastAsia" w:eastAsiaTheme="minorEastAsia"/>
          <w:b/>
          <w:color w:val="000000" w:themeColor="text1"/>
          <w:sz w:val="24"/>
          <w14:textFill>
            <w14:solidFill>
              <w14:schemeClr w14:val="tx1"/>
            </w14:solidFill>
          </w14:textFill>
        </w:rPr>
        <w:t>证明文件</w:t>
      </w:r>
    </w:p>
    <w:p>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不属于监狱企业的无需填写</w:t>
      </w:r>
      <w:r>
        <w:rPr>
          <w:rFonts w:hint="eastAsia" w:asciiTheme="minorEastAsia" w:hAnsiTheme="minorEastAsia" w:eastAsiaTheme="minorEastAsia"/>
          <w:b/>
          <w:bCs/>
          <w:color w:val="000000" w:themeColor="text1"/>
          <w:sz w:val="24"/>
          <w14:textFill>
            <w14:solidFill>
              <w14:schemeClr w14:val="tx1"/>
            </w14:solidFill>
          </w14:textFill>
        </w:rPr>
        <w:t>）</w:t>
      </w:r>
    </w:p>
    <w:tbl>
      <w:tblPr>
        <w:tblStyle w:val="41"/>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ind w:firstLine="426" w:firstLineChars="177"/>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备注:（1）根据《关于政府采购支持监狱企业发展有关问题的通知》（财库[2014]68号）的规定，符合规定要求的供应商视同为小型和微型企业。</w:t>
            </w:r>
          </w:p>
          <w:p>
            <w:pPr>
              <w:spacing w:line="360" w:lineRule="auto"/>
              <w:ind w:firstLine="426" w:firstLineChars="177"/>
              <w:rPr>
                <w:rFonts w:cs="Arial"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300" w:lineRule="auto"/>
        <w:ind w:firstLine="240" w:firstLineChars="100"/>
        <w:jc w:val="center"/>
        <w:outlineLvl w:val="2"/>
        <w:rPr>
          <w:rFonts w:asciiTheme="minorEastAsia" w:hAnsiTheme="minorEastAsia" w:eastAsiaTheme="minorEastAsia"/>
          <w:color w:val="000000" w:themeColor="text1"/>
          <w:sz w:val="24"/>
          <w14:textFill>
            <w14:solidFill>
              <w14:schemeClr w14:val="tx1"/>
            </w14:solidFill>
          </w14:textFill>
        </w:rPr>
      </w:pPr>
    </w:p>
    <w:p>
      <w:pPr>
        <w:widowControl/>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02" w:name="_Toc93048468"/>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10</w:t>
      </w:r>
      <w:r>
        <w:rPr>
          <w:rFonts w:hint="eastAsia" w:ascii="宋体" w:hAnsi="宋体"/>
          <w:b/>
          <w:color w:val="000000" w:themeColor="text1"/>
          <w:sz w:val="28"/>
          <w14:textFill>
            <w14:solidFill>
              <w14:schemeClr w14:val="tx1"/>
            </w14:solidFill>
          </w14:textFill>
        </w:rPr>
        <w:t>-</w:t>
      </w:r>
      <w:r>
        <w:rPr>
          <w:rFonts w:ascii="宋体" w:hAnsi="宋体"/>
          <w:b/>
          <w:color w:val="000000" w:themeColor="text1"/>
          <w:sz w:val="28"/>
          <w14:textFill>
            <w14:solidFill>
              <w14:schemeClr w14:val="tx1"/>
            </w14:solidFill>
          </w14:textFill>
        </w:rPr>
        <w:t>3</w:t>
      </w:r>
      <w:bookmarkEnd w:id="1202"/>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残疾人福利性单位声明函</w:t>
      </w:r>
    </w:p>
    <w:p>
      <w:pPr>
        <w:pStyle w:val="3"/>
        <w:jc w:val="center"/>
        <w:rPr>
          <w:color w:val="000000" w:themeColor="text1"/>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w:t>
      </w:r>
      <w:r>
        <w:rPr>
          <w:rFonts w:hint="eastAsia" w:asciiTheme="minorEastAsia" w:hAnsiTheme="minorEastAsia" w:eastAsiaTheme="minorEastAsia"/>
          <w:b/>
          <w:color w:val="000000" w:themeColor="text1"/>
          <w:sz w:val="24"/>
          <w14:textFill>
            <w14:solidFill>
              <w14:schemeClr w14:val="tx1"/>
            </w14:solidFill>
          </w14:textFill>
        </w:rPr>
        <w:t>残疾人福利性单位</w:t>
      </w:r>
      <w:r>
        <w:rPr>
          <w:rFonts w:asciiTheme="minorEastAsia" w:hAnsiTheme="minorEastAsia" w:eastAsiaTheme="minorEastAsia"/>
          <w:b/>
          <w:bCs/>
          <w:color w:val="000000" w:themeColor="text1"/>
          <w:sz w:val="24"/>
          <w14:textFill>
            <w14:solidFill>
              <w14:schemeClr w14:val="tx1"/>
            </w14:solidFill>
          </w14:textFill>
        </w:rPr>
        <w:t>的无需填写</w:t>
      </w:r>
      <w:r>
        <w:rPr>
          <w:rFonts w:hint="eastAsia" w:asciiTheme="minorEastAsia" w:hAnsiTheme="minorEastAsia" w:eastAsiaTheme="minorEastAsia"/>
          <w:b/>
          <w:bCs/>
          <w:color w:val="000000" w:themeColor="text1"/>
          <w:sz w:val="24"/>
          <w14:textFill>
            <w14:solidFill>
              <w14:schemeClr w14:val="tx1"/>
            </w14:solidFill>
          </w14:textFill>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磋商响应供应商</w:t>
      </w:r>
      <w:r>
        <w:rPr>
          <w:rFonts w:asciiTheme="minorEastAsia" w:hAnsiTheme="minorEastAsia" w:eastAsiaTheme="minorEastAsia"/>
          <w:b/>
          <w:bCs/>
          <w:color w:val="000000" w:themeColor="text1"/>
          <w:sz w:val="24"/>
          <w14:textFill>
            <w14:solidFill>
              <w14:schemeClr w14:val="tx1"/>
            </w14:solidFill>
          </w14:textFill>
        </w:rPr>
        <w:t>名称（盖章）：</w:t>
      </w:r>
    </w:p>
    <w:p>
      <w:pPr>
        <w:pStyle w:val="3"/>
        <w:rPr>
          <w:color w:val="000000" w:themeColor="text1"/>
          <w14:textFill>
            <w14:solidFill>
              <w14:schemeClr w14:val="tx1"/>
            </w14:solidFill>
          </w14:textFill>
        </w:rPr>
      </w:pPr>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日期：</w:t>
      </w:r>
    </w:p>
    <w:p>
      <w:pPr>
        <w:widowControl/>
        <w:jc w:val="left"/>
        <w:rPr>
          <w:rFonts w:asciiTheme="minorEastAsia" w:hAnsiTheme="minorEastAsia" w:eastAsiaTheme="minorEastAsia" w:cstheme="minorBidi"/>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pPr>
        <w:pStyle w:val="23"/>
        <w:rPr>
          <w:rFonts w:asciiTheme="minorEastAsia" w:hAnsiTheme="minorEastAsia" w:eastAsiaTheme="minorEastAsia"/>
          <w:color w:val="000000" w:themeColor="text1"/>
          <w:sz w:val="24"/>
          <w14:textFill>
            <w14:solidFill>
              <w14:schemeClr w14:val="tx1"/>
            </w14:solidFill>
          </w14:textFill>
        </w:rPr>
      </w:pP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03" w:name="_Toc93048469"/>
      <w:r>
        <w:rPr>
          <w:rFonts w:ascii="宋体" w:hAnsi="宋体"/>
          <w:b/>
          <w:color w:val="000000" w:themeColor="text1"/>
          <w:sz w:val="28"/>
          <w14:textFill>
            <w14:solidFill>
              <w14:schemeClr w14:val="tx1"/>
            </w14:solidFill>
          </w14:textFill>
        </w:rPr>
        <w:t>附件11</w:t>
      </w:r>
      <w:bookmarkEnd w:id="1203"/>
    </w:p>
    <w:p>
      <w:pPr>
        <w:pStyle w:val="7"/>
        <w:adjustRightInd w:val="0"/>
        <w:snapToGrid w:val="0"/>
        <w:spacing w:line="480" w:lineRule="auto"/>
        <w:ind w:firstLine="482" w:firstLineChars="200"/>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提供采购公告中符合供应商特定条件的有效资质证书（磋商供应商特定条件中有要求的必须提供），以及需要说明的其他资料。</w:t>
      </w:r>
    </w:p>
    <w:p>
      <w:pPr>
        <w:pStyle w:val="23"/>
        <w:ind w:firstLine="482"/>
        <w:jc w:val="left"/>
        <w:rPr>
          <w:rFonts w:asciiTheme="minorEastAsia" w:hAnsiTheme="minorEastAsia" w:eastAsiaTheme="minorEastAsia"/>
          <w:b/>
          <w:bCs/>
          <w:color w:val="000000" w:themeColor="text1"/>
          <w:sz w:val="24"/>
          <w14:textFill>
            <w14:solidFill>
              <w14:schemeClr w14:val="tx1"/>
            </w14:solidFill>
          </w14:textFill>
        </w:rPr>
      </w:pPr>
    </w:p>
    <w:p>
      <w:pPr>
        <w:pStyle w:val="23"/>
        <w:jc w:val="left"/>
        <w:rPr>
          <w:rFonts w:asciiTheme="minorEastAsia" w:hAnsiTheme="minorEastAsia" w:eastAsiaTheme="minorEastAsia"/>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pPr>
        <w:widowControl/>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p>
    <w:p>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项目编号：（标项）</w:t>
      </w:r>
    </w:p>
    <w:p>
      <w:pPr>
        <w:pStyle w:val="2"/>
        <w:rPr>
          <w:color w:val="000000" w:themeColor="text1"/>
          <w14:textFill>
            <w14:solidFill>
              <w14:schemeClr w14:val="tx1"/>
            </w14:solidFill>
          </w14:textFill>
        </w:rPr>
      </w:pPr>
    </w:p>
    <w:p>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投</w:t>
      </w:r>
    </w:p>
    <w:p>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标</w:t>
      </w:r>
    </w:p>
    <w:p>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8"/>
          <w:szCs w:val="28"/>
          <w:lang w:val="zh-CN"/>
          <w14:textFill>
            <w14:solidFill>
              <w14:schemeClr w14:val="tx1"/>
            </w14:solidFill>
          </w14:textFill>
        </w:rPr>
        <w:t>商务与技术文件</w:t>
      </w:r>
      <w:r>
        <w:rPr>
          <w:rFonts w:hint="eastAsia" w:ascii="宋体" w:hAnsi="宋体"/>
          <w:b/>
          <w:color w:val="000000" w:themeColor="text1"/>
          <w:sz w:val="28"/>
          <w:szCs w:val="28"/>
          <w14:textFill>
            <w14:solidFill>
              <w14:schemeClr w14:val="tx1"/>
            </w14:solidFill>
          </w14:textFill>
        </w:rPr>
        <w:t>）</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rPr>
          <w:rFonts w:ascii="仿宋_GB2312" w:hAnsi="宋体" w:eastAsia="仿宋_GB2312"/>
          <w:b/>
          <w:color w:val="000000" w:themeColor="text1"/>
          <w:sz w:val="36"/>
          <w:szCs w:val="36"/>
          <w14:textFill>
            <w14:solidFill>
              <w14:schemeClr w14:val="tx1"/>
            </w14:solidFill>
          </w14:textFill>
        </w:rPr>
      </w:pPr>
      <w:r>
        <w:rPr>
          <w:rFonts w:ascii="仿宋_GB2312" w:hAnsi="宋体" w:eastAsia="仿宋_GB2312"/>
          <w:b/>
          <w:color w:val="000000" w:themeColor="text1"/>
          <w:sz w:val="36"/>
          <w:szCs w:val="36"/>
          <w14:textFill>
            <w14:solidFill>
              <w14:schemeClr w14:val="tx1"/>
            </w14:solidFill>
          </w14:textFill>
        </w:rPr>
        <w:br w:type="page"/>
      </w:r>
    </w:p>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商务与技术文件评分索引</w:t>
      </w:r>
    </w:p>
    <w:tbl>
      <w:tblPr>
        <w:tblStyle w:val="42"/>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71"/>
        <w:gridCol w:w="3498"/>
        <w:gridCol w:w="198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序号</w:t>
            </w:r>
          </w:p>
        </w:tc>
        <w:tc>
          <w:tcPr>
            <w:tcW w:w="1471" w:type="dxa"/>
            <w:vAlign w:val="center"/>
          </w:tcPr>
          <w:p>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评审项目</w:t>
            </w:r>
          </w:p>
        </w:tc>
        <w:tc>
          <w:tcPr>
            <w:tcW w:w="3498" w:type="dxa"/>
            <w:vAlign w:val="center"/>
          </w:tcPr>
          <w:p>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评分标准</w:t>
            </w:r>
          </w:p>
        </w:tc>
        <w:tc>
          <w:tcPr>
            <w:tcW w:w="1981" w:type="dxa"/>
            <w:vAlign w:val="center"/>
          </w:tcPr>
          <w:p>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供应商自评分</w:t>
            </w:r>
          </w:p>
        </w:tc>
        <w:tc>
          <w:tcPr>
            <w:tcW w:w="1509" w:type="dxa"/>
            <w:vAlign w:val="center"/>
          </w:tcPr>
          <w:p>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w:t>
            </w: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bl>
    <w:p>
      <w:pPr>
        <w:snapToGrid w:val="0"/>
        <w:spacing w:before="50" w:after="50" w:line="360" w:lineRule="auto"/>
        <w:rPr>
          <w:rFonts w:ascii="宋体" w:hAnsi="宋体"/>
          <w:b/>
          <w:bCs/>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pPr>
        <w:snapToGrid w:val="0"/>
        <w:spacing w:before="50" w:after="50" w:line="360" w:lineRule="auto"/>
        <w:jc w:val="right"/>
        <w:rPr>
          <w:rFonts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w:t>
      </w:r>
      <w:r>
        <w:rPr>
          <w:rFonts w:hint="eastAsia" w:ascii="宋体" w:hAnsi="宋体"/>
          <w:b/>
          <w:bCs/>
          <w:color w:val="000000" w:themeColor="text1"/>
          <w:sz w:val="24"/>
          <w:lang w:val="zh-CN"/>
          <w14:textFill>
            <w14:solidFill>
              <w14:schemeClr w14:val="tx1"/>
            </w14:solidFill>
          </w14:textFill>
        </w:rPr>
        <w:t>：　　    　　　　（盖章）</w:t>
      </w:r>
    </w:p>
    <w:p>
      <w:pPr>
        <w:snapToGrid w:val="0"/>
        <w:spacing w:before="50" w:after="50" w:line="360" w:lineRule="auto"/>
        <w:jc w:val="right"/>
        <w:rPr>
          <w:rFonts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法定代表人或被授权人：（签字或盖章）</w:t>
      </w:r>
    </w:p>
    <w:p>
      <w:pPr>
        <w:pStyle w:val="2"/>
        <w:ind w:right="240"/>
        <w:jc w:val="right"/>
        <w:rPr>
          <w:rFonts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日　期：　　　 年　　月　　日</w:t>
      </w:r>
    </w:p>
    <w:p>
      <w:pPr>
        <w:widowControl/>
        <w:jc w:val="center"/>
        <w:rPr>
          <w:b/>
          <w:bCs/>
          <w:color w:val="000000" w:themeColor="text1"/>
          <w:sz w:val="36"/>
          <w:szCs w:val="36"/>
          <w:lang w:val="zh-CN"/>
          <w14:textFill>
            <w14:solidFill>
              <w14:schemeClr w14:val="tx1"/>
            </w14:solidFill>
          </w14:textFill>
        </w:rPr>
      </w:pPr>
    </w:p>
    <w:p>
      <w:pPr>
        <w:widowControl/>
        <w:jc w:val="center"/>
        <w:rPr>
          <w:b/>
          <w:bCs/>
          <w:color w:val="000000" w:themeColor="text1"/>
          <w:sz w:val="36"/>
          <w:szCs w:val="36"/>
          <w:lang w:val="zh-CN"/>
          <w14:textFill>
            <w14:solidFill>
              <w14:schemeClr w14:val="tx1"/>
            </w14:solidFill>
          </w14:textFill>
        </w:rPr>
      </w:pPr>
    </w:p>
    <w:p>
      <w:pPr>
        <w:widowControl/>
        <w:jc w:val="center"/>
        <w:rPr>
          <w:b/>
          <w:bCs/>
          <w:color w:val="000000" w:themeColor="text1"/>
          <w:sz w:val="36"/>
          <w:szCs w:val="36"/>
          <w:lang w:val="zh-CN"/>
          <w14:textFill>
            <w14:solidFill>
              <w14:schemeClr w14:val="tx1"/>
            </w14:solidFill>
          </w14:textFill>
        </w:rPr>
      </w:pPr>
      <w:r>
        <w:rPr>
          <w:rFonts w:hint="eastAsia"/>
          <w:b/>
          <w:bCs/>
          <w:color w:val="000000" w:themeColor="text1"/>
          <w:sz w:val="36"/>
          <w:szCs w:val="36"/>
          <w:lang w:val="zh-CN"/>
          <w14:textFill>
            <w14:solidFill>
              <w14:schemeClr w14:val="tx1"/>
            </w14:solidFill>
          </w14:textFill>
        </w:rPr>
        <w:t>商务与技术内容目录</w:t>
      </w:r>
      <w:bookmarkEnd w:id="1191"/>
      <w:bookmarkEnd w:id="1192"/>
    </w:p>
    <w:p>
      <w:pPr>
        <w:pStyle w:val="2"/>
        <w:ind w:left="0" w:leftChars="0" w:firstLine="0"/>
        <w:rPr>
          <w:b/>
          <w:bCs/>
          <w:color w:val="000000" w:themeColor="text1"/>
          <w:sz w:val="36"/>
          <w:szCs w:val="36"/>
          <w:lang w:val="zh-CN"/>
          <w14:textFill>
            <w14:solidFill>
              <w14:schemeClr w14:val="tx1"/>
            </w14:solidFill>
          </w14:textFill>
        </w:rPr>
      </w:pPr>
    </w:p>
    <w:p>
      <w:pPr>
        <w:pStyle w:val="35"/>
        <w:ind w:left="0" w:leftChars="0" w:firstLine="470"/>
        <w:rPr>
          <w:rStyle w:val="47"/>
          <w:b w:val="0"/>
          <w:color w:val="000000" w:themeColor="text1"/>
          <w:u w:val="none"/>
          <w14:textFill>
            <w14:solidFill>
              <w14:schemeClr w14:val="tx1"/>
            </w14:solidFill>
          </w14:textFill>
        </w:rPr>
      </w:pP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（1）供应商基本情况表；（附件</w:t>
      </w:r>
      <w:r>
        <w:rPr>
          <w:rStyle w:val="47"/>
          <w:b w:val="0"/>
          <w:color w:val="000000" w:themeColor="text1"/>
          <w:u w:val="none"/>
          <w14:textFill>
            <w14:solidFill>
              <w14:schemeClr w14:val="tx1"/>
            </w14:solidFill>
          </w14:textFill>
        </w:rPr>
        <w:t>12</w:t>
      </w:r>
      <w:r>
        <w:rPr>
          <w:rStyle w:val="47"/>
          <w:rFonts w:hint="eastAsia"/>
          <w:b w:val="0"/>
          <w:color w:val="000000" w:themeColor="text1"/>
          <w:u w:val="none"/>
          <w14:textFill>
            <w14:solidFill>
              <w14:schemeClr w14:val="tx1"/>
            </w14:solidFill>
          </w14:textFill>
        </w:rPr>
        <w:t>）</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（2）法定代表人诚信投标承诺书；（附件</w:t>
      </w:r>
      <w:r>
        <w:rPr>
          <w:rStyle w:val="47"/>
          <w:b w:val="0"/>
          <w:color w:val="000000" w:themeColor="text1"/>
          <w:u w:val="none"/>
          <w14:textFill>
            <w14:solidFill>
              <w14:schemeClr w14:val="tx1"/>
            </w14:solidFill>
          </w14:textFill>
        </w:rPr>
        <w:t>13</w:t>
      </w:r>
      <w:r>
        <w:rPr>
          <w:rStyle w:val="47"/>
          <w:rFonts w:hint="eastAsia"/>
          <w:b w:val="0"/>
          <w:color w:val="000000" w:themeColor="text1"/>
          <w:u w:val="none"/>
          <w14:textFill>
            <w14:solidFill>
              <w14:schemeClr w14:val="tx1"/>
            </w14:solidFill>
          </w14:textFill>
        </w:rPr>
        <w:t>）</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3</w:t>
      </w:r>
      <w:r>
        <w:rPr>
          <w:rStyle w:val="47"/>
          <w:rFonts w:hint="eastAsia"/>
          <w:b w:val="0"/>
          <w:color w:val="000000" w:themeColor="text1"/>
          <w:u w:val="none"/>
          <w14:textFill>
            <w14:solidFill>
              <w14:schemeClr w14:val="tx1"/>
            </w14:solidFill>
          </w14:textFill>
        </w:rPr>
        <w:t>）供应商类似项目实施情况一览表；(附件</w:t>
      </w:r>
      <w:r>
        <w:rPr>
          <w:rStyle w:val="47"/>
          <w:b w:val="0"/>
          <w:color w:val="000000" w:themeColor="text1"/>
          <w:u w:val="none"/>
          <w14:textFill>
            <w14:solidFill>
              <w14:schemeClr w14:val="tx1"/>
            </w14:solidFill>
          </w14:textFill>
        </w:rPr>
        <w:t>14</w:t>
      </w:r>
      <w:r>
        <w:rPr>
          <w:rStyle w:val="47"/>
          <w:rFonts w:hint="eastAsia"/>
          <w:b w:val="0"/>
          <w:color w:val="000000" w:themeColor="text1"/>
          <w:u w:val="none"/>
          <w14:textFill>
            <w14:solidFill>
              <w14:schemeClr w14:val="tx1"/>
            </w14:solidFill>
          </w14:textFill>
        </w:rPr>
        <w:t>)</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4</w:t>
      </w:r>
      <w:r>
        <w:rPr>
          <w:rStyle w:val="47"/>
          <w:rFonts w:hint="eastAsia"/>
          <w:b w:val="0"/>
          <w:color w:val="000000" w:themeColor="text1"/>
          <w:u w:val="none"/>
          <w14:textFill>
            <w14:solidFill>
              <w14:schemeClr w14:val="tx1"/>
            </w14:solidFill>
          </w14:textFill>
        </w:rPr>
        <w:t>）项目负责人资格情况表；（附件</w:t>
      </w:r>
      <w:r>
        <w:rPr>
          <w:rStyle w:val="47"/>
          <w:b w:val="0"/>
          <w:color w:val="000000" w:themeColor="text1"/>
          <w:u w:val="none"/>
          <w14:textFill>
            <w14:solidFill>
              <w14:schemeClr w14:val="tx1"/>
            </w14:solidFill>
          </w14:textFill>
        </w:rPr>
        <w:t>15</w:t>
      </w:r>
      <w:r>
        <w:rPr>
          <w:rStyle w:val="47"/>
          <w:rFonts w:hint="eastAsia"/>
          <w:b w:val="0"/>
          <w:color w:val="000000" w:themeColor="text1"/>
          <w:u w:val="none"/>
          <w14:textFill>
            <w14:solidFill>
              <w14:schemeClr w14:val="tx1"/>
            </w14:solidFill>
          </w14:textFill>
        </w:rPr>
        <w:t>）</w:t>
      </w:r>
    </w:p>
    <w:p>
      <w:pPr>
        <w:pStyle w:val="35"/>
        <w:ind w:left="0" w:leftChars="0" w:firstLine="470"/>
        <w:rPr>
          <w:rStyle w:val="47"/>
          <w:b w:val="0"/>
          <w:color w:val="000000" w:themeColor="text1"/>
          <w:u w:val="none"/>
          <w14:textFill>
            <w14:solidFill>
              <w14:schemeClr w14:val="tx1"/>
            </w14:solidFill>
          </w14:textFill>
        </w:rPr>
      </w:pPr>
      <w:r>
        <w:rPr>
          <w:rStyle w:val="47"/>
          <w:rFonts w:hint="eastAsia"/>
          <w:b w:val="0"/>
          <w:color w:val="000000" w:themeColor="text1"/>
          <w:u w:val="none"/>
          <w14:textFill>
            <w14:solidFill>
              <w14:schemeClr w14:val="tx1"/>
            </w14:solidFill>
          </w14:textFill>
        </w:rPr>
        <w:t>（</w:t>
      </w:r>
      <w:r>
        <w:rPr>
          <w:rStyle w:val="47"/>
          <w:b w:val="0"/>
          <w:color w:val="000000" w:themeColor="text1"/>
          <w:u w:val="none"/>
          <w14:textFill>
            <w14:solidFill>
              <w14:schemeClr w14:val="tx1"/>
            </w14:solidFill>
          </w14:textFill>
        </w:rPr>
        <w:t>5）</w:t>
      </w:r>
      <w:r>
        <w:rPr>
          <w:rStyle w:val="47"/>
          <w:rFonts w:hint="eastAsia"/>
          <w:b w:val="0"/>
          <w:color w:val="000000" w:themeColor="text1"/>
          <w:u w:val="none"/>
          <w14:textFill>
            <w14:solidFill>
              <w14:schemeClr w14:val="tx1"/>
            </w14:solidFill>
          </w14:textFill>
        </w:rPr>
        <w:t>项目实施人员一览表</w:t>
      </w:r>
      <w:r>
        <w:rPr>
          <w:rStyle w:val="47"/>
          <w:b w:val="0"/>
          <w:color w:val="000000" w:themeColor="text1"/>
          <w:u w:val="none"/>
          <w14:textFill>
            <w14:solidFill>
              <w14:schemeClr w14:val="tx1"/>
            </w14:solidFill>
          </w14:textFill>
        </w:rPr>
        <w:t>；（附件16）</w:t>
      </w:r>
    </w:p>
    <w:p>
      <w:pPr>
        <w:pStyle w:val="35"/>
        <w:ind w:left="0" w:leftChars="0" w:firstLine="470"/>
        <w:rPr>
          <w:rStyle w:val="47"/>
          <w:b w:val="0"/>
          <w:color w:val="000000" w:themeColor="text1"/>
          <w:u w:val="none"/>
          <w14:textFill>
            <w14:solidFill>
              <w14:schemeClr w14:val="tx1"/>
            </w14:solidFill>
          </w14:textFill>
        </w:rPr>
      </w:pPr>
      <w:r>
        <w:rPr>
          <w:rStyle w:val="47"/>
          <w:b w:val="0"/>
          <w:color w:val="000000" w:themeColor="text1"/>
          <w:u w:val="none"/>
          <w14:textFill>
            <w14:solidFill>
              <w14:schemeClr w14:val="tx1"/>
            </w14:solidFill>
          </w14:textFill>
        </w:rPr>
        <w:t>（6</w:t>
      </w:r>
      <w:r>
        <w:rPr>
          <w:rStyle w:val="47"/>
          <w:rFonts w:hint="eastAsia"/>
          <w:b w:val="0"/>
          <w:color w:val="000000" w:themeColor="text1"/>
          <w:u w:val="none"/>
          <w14:textFill>
            <w14:solidFill>
              <w14:schemeClr w14:val="tx1"/>
            </w14:solidFill>
          </w14:textFill>
        </w:rPr>
        <w:t>）施工组织设计。</w:t>
      </w: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pStyle w:val="78"/>
        <w:spacing w:before="0" w:beforeAutospacing="0" w:after="0" w:afterAutospacing="0" w:line="360" w:lineRule="auto"/>
        <w:ind w:firstLine="482" w:firstLineChars="200"/>
        <w:jc w:val="both"/>
        <w:rPr>
          <w:b/>
          <w:color w:val="000000" w:themeColor="text1"/>
          <w14:textFill>
            <w14:solidFill>
              <w14:schemeClr w14:val="tx1"/>
            </w14:solidFill>
          </w14:textFill>
        </w:rPr>
      </w:pPr>
    </w:p>
    <w:p>
      <w:pPr>
        <w:widowControl/>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04" w:name="_Toc93048470"/>
      <w:bookmarkStart w:id="1205" w:name="_Toc13307_WPSOffice_Level1"/>
      <w:bookmarkStart w:id="1206" w:name="_Toc14261_WPSOffice_Level1"/>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12</w:t>
      </w:r>
      <w:bookmarkEnd w:id="1204"/>
    </w:p>
    <w:p>
      <w:pPr>
        <w:pStyle w:val="78"/>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bookmarkEnd w:id="1205"/>
      <w:bookmarkEnd w:id="1206"/>
    </w:p>
    <w:tbl>
      <w:tblPr>
        <w:tblStyle w:val="41"/>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企业名称</w:t>
            </w:r>
          </w:p>
        </w:tc>
        <w:tc>
          <w:tcPr>
            <w:tcW w:w="4678" w:type="dxa"/>
            <w:gridSpan w:val="7"/>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p>
        </w:tc>
        <w:tc>
          <w:tcPr>
            <w:tcW w:w="1723" w:type="dxa"/>
            <w:gridSpan w:val="2"/>
            <w:vAlign w:val="center"/>
          </w:tcPr>
          <w:p>
            <w:pPr>
              <w:pStyle w:val="78"/>
              <w:spacing w:before="0" w:beforeAutospacing="0" w:after="0" w:afterAutospacing="0" w:line="280" w:lineRule="exact"/>
              <w:ind w:firstLine="484"/>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法人代表</w:t>
            </w:r>
          </w:p>
        </w:tc>
        <w:tc>
          <w:tcPr>
            <w:tcW w:w="2258"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地址</w:t>
            </w:r>
          </w:p>
        </w:tc>
        <w:tc>
          <w:tcPr>
            <w:tcW w:w="4678" w:type="dxa"/>
            <w:gridSpan w:val="7"/>
            <w:tcBorders>
              <w:bottom w:val="single" w:color="auto" w:sz="4" w:space="0"/>
            </w:tcBorders>
            <w:vAlign w:val="center"/>
          </w:tcPr>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c>
          <w:tcPr>
            <w:tcW w:w="1723" w:type="dxa"/>
            <w:gridSpan w:val="2"/>
            <w:vAlign w:val="center"/>
          </w:tcPr>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企业性质</w:t>
            </w:r>
          </w:p>
        </w:tc>
        <w:tc>
          <w:tcPr>
            <w:tcW w:w="2258" w:type="dxa"/>
            <w:gridSpan w:val="2"/>
            <w:vAlign w:val="center"/>
          </w:tcPr>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pPr>
              <w:pStyle w:val="78"/>
              <w:spacing w:before="0" w:beforeAutospacing="0" w:after="0" w:afterAutospacing="0" w:line="280" w:lineRule="exact"/>
              <w:ind w:right="-107" w:rightChars="-51"/>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股东姓名</w:t>
            </w:r>
          </w:p>
        </w:tc>
        <w:tc>
          <w:tcPr>
            <w:tcW w:w="860" w:type="dxa"/>
            <w:tcBorders>
              <w:bottom w:val="single" w:color="auto" w:sz="4" w:space="0"/>
            </w:tcBorders>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bottom w:val="single" w:color="auto" w:sz="4" w:space="0"/>
            </w:tcBorders>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股权结构（%）</w:t>
            </w:r>
          </w:p>
        </w:tc>
        <w:tc>
          <w:tcPr>
            <w:tcW w:w="2551" w:type="dxa"/>
            <w:gridSpan w:val="4"/>
            <w:tcBorders>
              <w:bottom w:val="single" w:color="auto" w:sz="4" w:space="0"/>
            </w:tcBorders>
            <w:vAlign w:val="center"/>
          </w:tcPr>
          <w:p>
            <w:pPr>
              <w:widowControl/>
              <w:spacing w:line="280" w:lineRule="exact"/>
              <w:jc w:val="left"/>
              <w:rPr>
                <w:rFonts w:ascii="宋体" w:hAnsi="宋体" w:cs="宋体"/>
                <w:bCs/>
                <w:color w:val="000000" w:themeColor="text1"/>
                <w:spacing w:val="16"/>
                <w:kern w:val="0"/>
                <w:szCs w:val="21"/>
                <w14:textFill>
                  <w14:solidFill>
                    <w14:schemeClr w14:val="tx1"/>
                  </w14:solidFill>
                </w14:textFill>
              </w:rPr>
            </w:pPr>
          </w:p>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c>
          <w:tcPr>
            <w:tcW w:w="1723" w:type="dxa"/>
            <w:gridSpan w:val="2"/>
            <w:vAlign w:val="center"/>
          </w:tcPr>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股东关系</w:t>
            </w:r>
          </w:p>
        </w:tc>
        <w:tc>
          <w:tcPr>
            <w:tcW w:w="2258" w:type="dxa"/>
            <w:gridSpan w:val="2"/>
            <w:vAlign w:val="center"/>
          </w:tcPr>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pPr>
              <w:pStyle w:val="78"/>
              <w:spacing w:before="0" w:beforeAutospacing="0" w:after="0" w:afterAutospacing="0" w:line="280" w:lineRule="exact"/>
              <w:ind w:right="-107" w:rightChars="-51"/>
              <w:rPr>
                <w:bCs/>
                <w:color w:val="000000" w:themeColor="text1"/>
                <w:spacing w:val="16"/>
                <w:sz w:val="21"/>
                <w:szCs w:val="21"/>
                <w14:textFill>
                  <w14:solidFill>
                    <w14:schemeClr w14:val="tx1"/>
                  </w14:solidFill>
                </w14:textFill>
              </w:rPr>
            </w:pPr>
            <w:r>
              <w:rPr>
                <w:rFonts w:hint="eastAsia"/>
                <w:bCs/>
                <w:color w:val="000000" w:themeColor="text1"/>
                <w:spacing w:val="12"/>
                <w:sz w:val="21"/>
                <w:szCs w:val="21"/>
                <w14:textFill>
                  <w14:solidFill>
                    <w14:schemeClr w14:val="tx1"/>
                  </w14:solidFill>
                </w14:textFill>
              </w:rPr>
              <w:t>联系人</w:t>
            </w:r>
            <w:r>
              <w:rPr>
                <w:rFonts w:hint="eastAsia"/>
                <w:bCs/>
                <w:color w:val="000000" w:themeColor="text1"/>
                <w:spacing w:val="27"/>
                <w:sz w:val="21"/>
                <w:szCs w:val="21"/>
                <w14:textFill>
                  <w14:solidFill>
                    <w14:schemeClr w14:val="tx1"/>
                  </w14:solidFill>
                </w14:textFill>
              </w:rPr>
              <w:t>姓名</w:t>
            </w:r>
          </w:p>
        </w:tc>
        <w:tc>
          <w:tcPr>
            <w:tcW w:w="860" w:type="dxa"/>
            <w:vMerge w:val="restart"/>
            <w:tcBorders>
              <w:top w:val="nil"/>
            </w:tcBorders>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top w:val="nil"/>
              <w:bottom w:val="single" w:color="auto" w:sz="4" w:space="0"/>
            </w:tcBorders>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固定电话</w:t>
            </w:r>
          </w:p>
        </w:tc>
        <w:tc>
          <w:tcPr>
            <w:tcW w:w="2551" w:type="dxa"/>
            <w:gridSpan w:val="4"/>
            <w:tcBorders>
              <w:top w:val="nil"/>
              <w:bottom w:val="single" w:color="auto" w:sz="4" w:space="0"/>
            </w:tcBorders>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p>
        </w:tc>
        <w:tc>
          <w:tcPr>
            <w:tcW w:w="1723" w:type="dxa"/>
            <w:gridSpan w:val="2"/>
            <w:vMerge w:val="restart"/>
            <w:vAlign w:val="center"/>
          </w:tcPr>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传真</w:t>
            </w:r>
          </w:p>
        </w:tc>
        <w:tc>
          <w:tcPr>
            <w:tcW w:w="2258" w:type="dxa"/>
            <w:gridSpan w:val="2"/>
            <w:vMerge w:val="restart"/>
            <w:vAlign w:val="center"/>
          </w:tcPr>
          <w:p>
            <w:pPr>
              <w:pStyle w:val="78"/>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Merge w:val="continue"/>
            <w:tcBorders>
              <w:bottom w:val="single" w:color="auto" w:sz="4" w:space="0"/>
            </w:tcBorders>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bottom w:val="single" w:color="auto" w:sz="4" w:space="0"/>
            </w:tcBorders>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手机</w:t>
            </w:r>
          </w:p>
        </w:tc>
        <w:tc>
          <w:tcPr>
            <w:tcW w:w="2551" w:type="dxa"/>
            <w:gridSpan w:val="4"/>
            <w:tcBorders>
              <w:bottom w:val="single" w:color="auto" w:sz="4" w:space="0"/>
            </w:tcBorders>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23" w:type="dxa"/>
            <w:gridSpan w:val="2"/>
            <w:vMerge w:val="continue"/>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2258" w:type="dxa"/>
            <w:gridSpan w:val="2"/>
            <w:vMerge w:val="continue"/>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r>
              <w:rPr>
                <w:rFonts w:hint="eastAsia"/>
                <w:bCs/>
                <w:color w:val="000000" w:themeColor="text1"/>
                <w:sz w:val="21"/>
                <w:szCs w:val="21"/>
                <w14:textFill>
                  <w14:solidFill>
                    <w14:schemeClr w14:val="tx1"/>
                  </w14:solidFill>
                </w14:textFill>
              </w:rPr>
              <w:t>.</w:t>
            </w:r>
          </w:p>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w:t>
            </w:r>
          </w:p>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业</w:t>
            </w:r>
          </w:p>
          <w:p>
            <w:pPr>
              <w:pStyle w:val="78"/>
              <w:spacing w:before="0" w:beforeAutospacing="0" w:after="0" w:afterAutospacing="0" w:line="280" w:lineRule="exact"/>
              <w:ind w:firstLine="264" w:firstLineChars="100"/>
              <w:rPr>
                <w:bCs/>
                <w:color w:val="000000" w:themeColor="text1"/>
                <w:spacing w:val="27"/>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概</w:t>
            </w:r>
          </w:p>
          <w:p>
            <w:pPr>
              <w:pStyle w:val="78"/>
              <w:spacing w:before="0" w:beforeAutospacing="0" w:after="0" w:afterAutospacing="0" w:line="280" w:lineRule="exact"/>
              <w:ind w:firstLine="264" w:firstLineChars="100"/>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况</w:t>
            </w:r>
          </w:p>
        </w:tc>
        <w:tc>
          <w:tcPr>
            <w:tcW w:w="860" w:type="dxa"/>
            <w:tcBorders>
              <w:top w:val="nil"/>
            </w:tcBorders>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职工人数</w:t>
            </w:r>
          </w:p>
        </w:tc>
        <w:tc>
          <w:tcPr>
            <w:tcW w:w="1267" w:type="dxa"/>
            <w:gridSpan w:val="2"/>
            <w:tcBorders>
              <w:top w:val="nil"/>
            </w:tcBorders>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75" w:type="dxa"/>
            <w:gridSpan w:val="2"/>
            <w:tcBorders>
              <w:top w:val="nil"/>
            </w:tcBorders>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8"/>
                <w:sz w:val="21"/>
                <w:szCs w:val="21"/>
                <w14:textFill>
                  <w14:solidFill>
                    <w14:schemeClr w14:val="tx1"/>
                  </w14:solidFill>
                </w14:textFill>
              </w:rPr>
              <w:t>具备大专以</w:t>
            </w:r>
            <w:r>
              <w:rPr>
                <w:rFonts w:hint="eastAsia"/>
                <w:bCs/>
                <w:color w:val="000000" w:themeColor="text1"/>
                <w:spacing w:val="12"/>
                <w:sz w:val="21"/>
                <w:szCs w:val="21"/>
                <w14:textFill>
                  <w14:solidFill>
                    <w14:schemeClr w14:val="tx1"/>
                  </w14:solidFill>
                </w14:textFill>
              </w:rPr>
              <w:t>上学历人数</w:t>
            </w:r>
          </w:p>
        </w:tc>
        <w:tc>
          <w:tcPr>
            <w:tcW w:w="1276" w:type="dxa"/>
            <w:gridSpan w:val="2"/>
            <w:tcBorders>
              <w:top w:val="nil"/>
            </w:tcBorders>
            <w:vAlign w:val="center"/>
          </w:tcPr>
          <w:p>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23" w:type="dxa"/>
            <w:gridSpan w:val="2"/>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65"/>
                <w:sz w:val="21"/>
                <w:szCs w:val="21"/>
                <w14:textFill>
                  <w14:solidFill>
                    <w14:schemeClr w14:val="tx1"/>
                  </w14:solidFill>
                </w14:textFill>
              </w:rPr>
              <w:t>国家授予技</w:t>
            </w:r>
            <w:r>
              <w:rPr>
                <w:rFonts w:hint="eastAsia"/>
                <w:bCs/>
                <w:color w:val="000000" w:themeColor="text1"/>
                <w:spacing w:val="12"/>
                <w:sz w:val="21"/>
                <w:szCs w:val="21"/>
                <w14:textFill>
                  <w14:solidFill>
                    <w14:schemeClr w14:val="tx1"/>
                  </w14:solidFill>
                </w14:textFill>
              </w:rPr>
              <w:t>术职称人数</w:t>
            </w:r>
          </w:p>
        </w:tc>
        <w:tc>
          <w:tcPr>
            <w:tcW w:w="2258" w:type="dxa"/>
            <w:gridSpan w:val="2"/>
            <w:vAlign w:val="center"/>
          </w:tcPr>
          <w:p>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占地面积</w:t>
            </w:r>
          </w:p>
        </w:tc>
        <w:tc>
          <w:tcPr>
            <w:tcW w:w="1267" w:type="dxa"/>
            <w:gridSpan w:val="2"/>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5"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建筑面积</w:t>
            </w:r>
          </w:p>
        </w:tc>
        <w:tc>
          <w:tcPr>
            <w:tcW w:w="1276"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□自有</w:t>
            </w:r>
          </w:p>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□租赁</w:t>
            </w:r>
          </w:p>
        </w:tc>
        <w:tc>
          <w:tcPr>
            <w:tcW w:w="1723"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生产经营场所及场所的设施与设备</w:t>
            </w:r>
          </w:p>
        </w:tc>
        <w:tc>
          <w:tcPr>
            <w:tcW w:w="2258" w:type="dxa"/>
            <w:gridSpan w:val="2"/>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注册资金</w:t>
            </w:r>
          </w:p>
        </w:tc>
        <w:tc>
          <w:tcPr>
            <w:tcW w:w="1267" w:type="dxa"/>
            <w:gridSpan w:val="2"/>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5"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注册发证</w:t>
            </w:r>
            <w:r>
              <w:rPr>
                <w:rFonts w:hint="eastAsia"/>
                <w:bCs/>
                <w:color w:val="000000" w:themeColor="text1"/>
                <w:spacing w:val="27"/>
                <w:sz w:val="21"/>
                <w:szCs w:val="21"/>
                <w14:textFill>
                  <w14:solidFill>
                    <w14:schemeClr w14:val="tx1"/>
                  </w14:solidFill>
                </w14:textFill>
              </w:rPr>
              <w:t>机关</w:t>
            </w:r>
          </w:p>
        </w:tc>
        <w:tc>
          <w:tcPr>
            <w:tcW w:w="2999" w:type="dxa"/>
            <w:gridSpan w:val="4"/>
            <w:vAlign w:val="center"/>
          </w:tcPr>
          <w:p>
            <w:pPr>
              <w:widowControl/>
              <w:spacing w:line="280" w:lineRule="exact"/>
              <w:jc w:val="center"/>
              <w:rPr>
                <w:rFonts w:ascii="宋体" w:hAnsi="宋体" w:cs="宋体"/>
                <w:bCs/>
                <w:color w:val="000000" w:themeColor="text1"/>
                <w:kern w:val="0"/>
                <w:szCs w:val="21"/>
                <w14:textFill>
                  <w14:solidFill>
                    <w14:schemeClr w14:val="tx1"/>
                  </w14:solidFill>
                </w14:textFill>
              </w:rPr>
            </w:pPr>
          </w:p>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8" w:type="dxa"/>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w:t>
            </w:r>
            <w:r>
              <w:rPr>
                <w:rFonts w:hint="eastAsia"/>
                <w:bCs/>
                <w:color w:val="000000" w:themeColor="text1"/>
                <w:spacing w:val="12"/>
                <w:sz w:val="21"/>
                <w:szCs w:val="21"/>
                <w14:textFill>
                  <w14:solidFill>
                    <w14:schemeClr w14:val="tx1"/>
                  </w14:solidFill>
                </w14:textFill>
              </w:rPr>
              <w:t>立时间</w:t>
            </w:r>
          </w:p>
        </w:tc>
        <w:tc>
          <w:tcPr>
            <w:tcW w:w="980" w:type="dxa"/>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799" w:type="dxa"/>
            <w:gridSpan w:val="10"/>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59" w:type="dxa"/>
            <w:gridSpan w:val="11"/>
            <w:vAlign w:val="center"/>
          </w:tcPr>
          <w:p>
            <w:pPr>
              <w:pStyle w:val="78"/>
              <w:spacing w:before="0" w:beforeAutospacing="0" w:after="0" w:afterAutospacing="0" w:line="280" w:lineRule="exact"/>
              <w:ind w:firstLine="472"/>
              <w:jc w:val="center"/>
              <w:rPr>
                <w:bCs/>
                <w:color w:val="000000" w:themeColor="text1"/>
                <w:spacing w:val="13"/>
                <w:sz w:val="21"/>
                <w:szCs w:val="21"/>
                <w14:textFill>
                  <w14:solidFill>
                    <w14:schemeClr w14:val="tx1"/>
                  </w14:solidFill>
                </w14:textFill>
              </w:rPr>
            </w:pPr>
            <w:r>
              <w:rPr>
                <w:rFonts w:hint="eastAsia"/>
                <w:bCs/>
                <w:color w:val="000000" w:themeColor="text1"/>
                <w:spacing w:val="13"/>
                <w:sz w:val="21"/>
                <w:szCs w:val="21"/>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r>
              <w:rPr>
                <w:rFonts w:hint="eastAsia"/>
                <w:bCs/>
                <w:color w:val="000000" w:themeColor="text1"/>
                <w:sz w:val="21"/>
                <w:szCs w:val="21"/>
                <w14:textFill>
                  <w14:solidFill>
                    <w14:schemeClr w14:val="tx1"/>
                  </w14:solidFill>
                </w14:textFill>
              </w:rPr>
              <w:t>．</w:t>
            </w:r>
          </w:p>
          <w:p>
            <w:pPr>
              <w:pStyle w:val="78"/>
              <w:spacing w:before="0" w:beforeAutospacing="0" w:after="0" w:afterAutospacing="0" w:line="280" w:lineRule="exact"/>
              <w:jc w:val="center"/>
              <w:rPr>
                <w:bCs/>
                <w:color w:val="000000" w:themeColor="text1"/>
                <w:spacing w:val="16"/>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w:t>
            </w:r>
            <w:r>
              <w:rPr>
                <w:rFonts w:hint="eastAsia"/>
                <w:bCs/>
                <w:color w:val="000000" w:themeColor="text1"/>
                <w:spacing w:val="12"/>
                <w:sz w:val="21"/>
                <w:szCs w:val="21"/>
                <w14:textFill>
                  <w14:solidFill>
                    <w14:schemeClr w14:val="tx1"/>
                  </w14:solidFill>
                </w14:textFill>
              </w:rPr>
              <w:t>业有关资质获证情况</w:t>
            </w:r>
          </w:p>
        </w:tc>
        <w:tc>
          <w:tcPr>
            <w:tcW w:w="1754" w:type="dxa"/>
            <w:gridSpan w:val="2"/>
            <w:vMerge w:val="restart"/>
            <w:vAlign w:val="center"/>
          </w:tcPr>
          <w:p>
            <w:pPr>
              <w:pStyle w:val="78"/>
              <w:spacing w:before="0" w:beforeAutospacing="0" w:after="0" w:afterAutospacing="0" w:line="240" w:lineRule="exact"/>
              <w:rPr>
                <w:bCs/>
                <w:color w:val="000000" w:themeColor="text1"/>
                <w:spacing w:val="16"/>
                <w:sz w:val="21"/>
                <w:szCs w:val="21"/>
                <w14:textFill>
                  <w14:solidFill>
                    <w14:schemeClr w14:val="tx1"/>
                  </w14:solidFill>
                </w14:textFill>
              </w:rPr>
            </w:pPr>
            <w:r>
              <w:rPr>
                <w:rFonts w:hint="eastAsia"/>
                <w:bCs/>
                <w:color w:val="000000" w:themeColor="text1"/>
                <w:spacing w:val="12"/>
                <w:sz w:val="21"/>
                <w:szCs w:val="21"/>
                <w14:textFill>
                  <w14:solidFill>
                    <w14:schemeClr w14:val="tx1"/>
                  </w14:solidFill>
                </w14:textFill>
              </w:rPr>
              <w:t>产品生产许可证情况</w:t>
            </w:r>
            <w:r>
              <w:rPr>
                <w:rFonts w:hint="eastAsia"/>
                <w:bCs/>
                <w:color w:val="000000" w:themeColor="text1"/>
                <w:spacing w:val="41"/>
                <w:sz w:val="21"/>
                <w:szCs w:val="21"/>
                <w14:textFill>
                  <w14:solidFill>
                    <w14:schemeClr w14:val="tx1"/>
                  </w14:solidFill>
                </w14:textFill>
              </w:rPr>
              <w:t>（对需获得生产许可证的</w:t>
            </w:r>
            <w:r>
              <w:rPr>
                <w:rFonts w:hint="eastAsia"/>
                <w:bCs/>
                <w:color w:val="000000" w:themeColor="text1"/>
                <w:spacing w:val="11"/>
                <w:sz w:val="21"/>
                <w:szCs w:val="21"/>
                <w14:textFill>
                  <w14:solidFill>
                    <w14:schemeClr w14:val="tx1"/>
                  </w14:solidFill>
                </w14:textFill>
              </w:rPr>
              <w:t>产品要填写此栏）</w:t>
            </w:r>
          </w:p>
        </w:tc>
        <w:tc>
          <w:tcPr>
            <w:tcW w:w="1399" w:type="dxa"/>
            <w:gridSpan w:val="2"/>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产品名称</w:t>
            </w:r>
          </w:p>
        </w:tc>
        <w:tc>
          <w:tcPr>
            <w:tcW w:w="1488"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发证机关</w:t>
            </w:r>
          </w:p>
        </w:tc>
        <w:tc>
          <w:tcPr>
            <w:tcW w:w="1339"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编号</w:t>
            </w:r>
          </w:p>
        </w:tc>
        <w:tc>
          <w:tcPr>
            <w:tcW w:w="1699" w:type="dxa"/>
            <w:gridSpan w:val="2"/>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发证时间</w:t>
            </w:r>
          </w:p>
        </w:tc>
        <w:tc>
          <w:tcPr>
            <w:tcW w:w="980" w:type="dxa"/>
            <w:vAlign w:val="center"/>
          </w:tcPr>
          <w:p>
            <w:pPr>
              <w:pStyle w:val="78"/>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754" w:type="dxa"/>
            <w:gridSpan w:val="2"/>
            <w:vMerge w:val="continue"/>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399" w:type="dxa"/>
            <w:gridSpan w:val="2"/>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488" w:type="dxa"/>
            <w:gridSpan w:val="2"/>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339" w:type="dxa"/>
            <w:gridSpan w:val="2"/>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2679" w:type="dxa"/>
            <w:gridSpan w:val="3"/>
            <w:vAlign w:val="center"/>
          </w:tcPr>
          <w:p>
            <w:pPr>
              <w:pStyle w:val="78"/>
              <w:spacing w:before="0" w:beforeAutospacing="0" w:after="0" w:afterAutospacing="0" w:line="280" w:lineRule="exact"/>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54" w:type="dxa"/>
            <w:gridSpan w:val="2"/>
            <w:vAlign w:val="center"/>
          </w:tcPr>
          <w:p>
            <w:pPr>
              <w:pStyle w:val="78"/>
              <w:spacing w:before="0" w:beforeAutospacing="0" w:after="0" w:afterAutospacing="0" w:line="240" w:lineRule="exact"/>
              <w:rPr>
                <w:bCs/>
                <w:color w:val="000000" w:themeColor="text1"/>
                <w:spacing w:val="41"/>
                <w:sz w:val="21"/>
                <w:szCs w:val="21"/>
                <w14:textFill>
                  <w14:solidFill>
                    <w14:schemeClr w14:val="tx1"/>
                  </w14:solidFill>
                </w14:textFill>
              </w:rPr>
            </w:pPr>
            <w:r>
              <w:rPr>
                <w:rFonts w:hint="eastAsia"/>
                <w:bCs/>
                <w:color w:val="000000" w:themeColor="text1"/>
                <w:spacing w:val="41"/>
                <w:sz w:val="21"/>
                <w:szCs w:val="21"/>
                <w14:textFill>
                  <w14:solidFill>
                    <w14:schemeClr w14:val="tx1"/>
                  </w14:solidFill>
                </w14:textFill>
              </w:rPr>
              <w:t>企业通过质量体系、环保</w:t>
            </w:r>
            <w:r>
              <w:rPr>
                <w:rFonts w:hint="eastAsia"/>
                <w:bCs/>
                <w:color w:val="000000" w:themeColor="text1"/>
                <w:spacing w:val="11"/>
                <w:sz w:val="21"/>
                <w:szCs w:val="21"/>
                <w14:textFill>
                  <w14:solidFill>
                    <w14:schemeClr w14:val="tx1"/>
                  </w14:solidFill>
                </w14:textFill>
              </w:rPr>
              <w:t>体系、计量等认证情况</w:t>
            </w:r>
          </w:p>
        </w:tc>
        <w:tc>
          <w:tcPr>
            <w:tcW w:w="6905" w:type="dxa"/>
            <w:gridSpan w:val="9"/>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pPr>
              <w:pStyle w:val="78"/>
              <w:spacing w:before="0" w:beforeAutospacing="0" w:after="0" w:afterAutospacing="0" w:line="280" w:lineRule="exact"/>
              <w:ind w:firstLine="528"/>
              <w:jc w:val="center"/>
              <w:rPr>
                <w:bCs/>
                <w:color w:val="000000" w:themeColor="text1"/>
                <w:spacing w:val="27"/>
                <w:sz w:val="21"/>
                <w:szCs w:val="21"/>
                <w14:textFill>
                  <w14:solidFill>
                    <w14:schemeClr w14:val="tx1"/>
                  </w14:solidFill>
                </w14:textFill>
              </w:rPr>
            </w:pPr>
          </w:p>
        </w:tc>
        <w:tc>
          <w:tcPr>
            <w:tcW w:w="1754" w:type="dxa"/>
            <w:gridSpan w:val="2"/>
            <w:vAlign w:val="center"/>
          </w:tcPr>
          <w:p>
            <w:pPr>
              <w:pStyle w:val="78"/>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0"/>
                <w:sz w:val="21"/>
                <w:szCs w:val="21"/>
                <w14:textFill>
                  <w14:solidFill>
                    <w14:schemeClr w14:val="tx1"/>
                  </w14:solidFill>
                </w14:textFill>
              </w:rPr>
              <w:t>企业获得专利情况</w:t>
            </w:r>
          </w:p>
        </w:tc>
        <w:tc>
          <w:tcPr>
            <w:tcW w:w="6905" w:type="dxa"/>
            <w:gridSpan w:val="9"/>
            <w:vAlign w:val="center"/>
          </w:tcPr>
          <w:p>
            <w:pPr>
              <w:pStyle w:val="78"/>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bl>
    <w:p>
      <w:pPr>
        <w:pStyle w:val="78"/>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78"/>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78"/>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widowControl/>
        <w:jc w:val="left"/>
        <w:rPr>
          <w:rFonts w:ascii="宋体" w:hAnsi="宋体"/>
          <w:b/>
          <w:color w:val="000000" w:themeColor="text1"/>
          <w:sz w:val="28"/>
          <w14:textFill>
            <w14:solidFill>
              <w14:schemeClr w14:val="tx1"/>
            </w14:solidFill>
          </w14:textFill>
        </w:rPr>
      </w:pPr>
      <w:bookmarkStart w:id="1207" w:name="_Toc5875"/>
      <w:bookmarkStart w:id="1208" w:name="_Toc10010"/>
      <w:bookmarkStart w:id="1209" w:name="_Toc93048471"/>
      <w:bookmarkStart w:id="1210" w:name="_Toc6916"/>
      <w:r>
        <w:rPr>
          <w:rFonts w:hint="eastAsia" w:ascii="宋体" w:hAnsi="宋体"/>
          <w:b/>
          <w:color w:val="000000" w:themeColor="text1"/>
          <w:sz w:val="28"/>
          <w14:textFill>
            <w14:solidFill>
              <w14:schemeClr w14:val="tx1"/>
            </w14:solidFill>
          </w14:textFill>
        </w:rPr>
        <w:t>附件</w:t>
      </w:r>
      <w:bookmarkEnd w:id="1207"/>
      <w:bookmarkEnd w:id="1208"/>
      <w:r>
        <w:rPr>
          <w:rFonts w:ascii="宋体" w:hAnsi="宋体"/>
          <w:b/>
          <w:color w:val="000000" w:themeColor="text1"/>
          <w:sz w:val="28"/>
          <w14:textFill>
            <w14:solidFill>
              <w14:schemeClr w14:val="tx1"/>
            </w14:solidFill>
          </w14:textFill>
        </w:rPr>
        <w:t>13</w:t>
      </w:r>
      <w:bookmarkEnd w:id="1209"/>
    </w:p>
    <w:p>
      <w:pPr>
        <w:spacing w:line="360" w:lineRule="auto"/>
        <w:jc w:val="center"/>
        <w:rPr>
          <w:rFonts w:ascii="宋体" w:hAnsi="宋体" w:cs="宋体"/>
          <w:b/>
          <w:bCs/>
          <w:color w:val="000000" w:themeColor="text1"/>
          <w:spacing w:val="21"/>
          <w:kern w:val="0"/>
          <w:sz w:val="32"/>
          <w:szCs w:val="32"/>
          <w14:textFill>
            <w14:solidFill>
              <w14:schemeClr w14:val="tx1"/>
            </w14:solidFill>
          </w14:textFill>
        </w:rPr>
      </w:pPr>
      <w:r>
        <w:rPr>
          <w:rFonts w:hint="eastAsia" w:ascii="宋体" w:hAnsi="宋体" w:cs="宋体"/>
          <w:b/>
          <w:bCs/>
          <w:color w:val="000000" w:themeColor="text1"/>
          <w:spacing w:val="21"/>
          <w:kern w:val="0"/>
          <w:sz w:val="32"/>
          <w:szCs w:val="32"/>
          <w14:textFill>
            <w14:solidFill>
              <w14:schemeClr w14:val="tx1"/>
            </w14:solidFill>
          </w14:textFill>
        </w:rPr>
        <w:t>法人诚信投标承诺书</w:t>
      </w:r>
    </w:p>
    <w:p>
      <w:pPr>
        <w:adjustRightInd w:val="0"/>
        <w:snapToGrid w:val="0"/>
        <w:spacing w:line="586" w:lineRule="exact"/>
        <w:ind w:firstLine="535" w:firstLineChars="223"/>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本人以企业法定代表人的身份郑重承诺：</w:t>
      </w:r>
    </w:p>
    <w:p>
      <w:pPr>
        <w:adjustRightInd w:val="0"/>
        <w:snapToGrid w:val="0"/>
        <w:spacing w:line="586" w:lineRule="exact"/>
        <w:ind w:left="449" w:leftChars="214"/>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一、将遵循公开、公平、公正和诚实信用的原则参加</w:t>
      </w:r>
      <w:r>
        <w:rPr>
          <w:rFonts w:hint="eastAsia" w:cs="宋体" w:asciiTheme="minorEastAsia" w:hAnsiTheme="minorEastAsia" w:eastAsiaTheme="minorEastAsia"/>
          <w:snapToGrid w:val="0"/>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（项目名称）的投标；</w:t>
      </w:r>
    </w:p>
    <w:p>
      <w:pPr>
        <w:adjustRightInd w:val="0"/>
        <w:snapToGrid w:val="0"/>
        <w:spacing w:line="586" w:lineRule="exact"/>
        <w:ind w:firstLine="523" w:firstLineChars="21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二、所提供的一切材料都是真实、有效、合法的；</w:t>
      </w:r>
    </w:p>
    <w:p>
      <w:pPr>
        <w:adjustRightInd w:val="0"/>
        <w:snapToGrid w:val="0"/>
        <w:spacing w:line="586" w:lineRule="exact"/>
        <w:ind w:firstLine="535" w:firstLineChars="223"/>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三、不与其他磋商供应商相互串通投标报价，不排挤其他磋商供应商的公平竞争，不损害采购人或其他磋商供应商的合法权益；</w:t>
      </w:r>
    </w:p>
    <w:p>
      <w:pPr>
        <w:adjustRightInd w:val="0"/>
        <w:snapToGrid w:val="0"/>
        <w:spacing w:line="586" w:lineRule="exact"/>
        <w:ind w:firstLine="554" w:firstLineChars="23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四、不与采购人或招标代理机构串通投标，损害国家利益、社会公共利益或者他人的合法权益；</w:t>
      </w:r>
    </w:p>
    <w:p>
      <w:pPr>
        <w:adjustRightInd w:val="0"/>
        <w:snapToGrid w:val="0"/>
        <w:spacing w:line="586" w:lineRule="exact"/>
        <w:ind w:firstLine="554" w:firstLineChars="23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五、不向采购人或者评标委员会成员行贿以牟取中标；</w:t>
      </w:r>
    </w:p>
    <w:p>
      <w:pPr>
        <w:adjustRightInd w:val="0"/>
        <w:snapToGrid w:val="0"/>
        <w:spacing w:line="586" w:lineRule="exact"/>
        <w:ind w:firstLine="576" w:firstLineChars="2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六、不以他人名义投标或者以其他方式弄虚作假，骗取中标。</w:t>
      </w:r>
    </w:p>
    <w:p>
      <w:pPr>
        <w:adjustRightInd w:val="0"/>
        <w:snapToGrid w:val="0"/>
        <w:spacing w:line="586" w:lineRule="exact"/>
        <w:ind w:firstLine="576" w:firstLineChars="2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七、本公司（如联合体投标，为联合体双方）和项目负责人的投标资格均2符合磋商文件规定，确实无误。</w:t>
      </w:r>
    </w:p>
    <w:p>
      <w:pPr>
        <w:adjustRightInd w:val="0"/>
        <w:snapToGrid w:val="0"/>
        <w:spacing w:line="586" w:lineRule="exact"/>
        <w:ind w:firstLine="619" w:firstLineChars="25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bookmarkEnd w:id="1210"/>
    <w:p>
      <w:pPr>
        <w:spacing w:line="360" w:lineRule="auto"/>
        <w:ind w:firstLine="424" w:firstLineChars="177"/>
        <w:rPr>
          <w:rFonts w:ascii="宋体" w:hAnsi="宋体"/>
          <w:color w:val="000000" w:themeColor="text1"/>
          <w:sz w:val="24"/>
          <w14:textFill>
            <w14:solidFill>
              <w14:schemeClr w14:val="tx1"/>
            </w14:solidFill>
          </w14:textFill>
        </w:rPr>
      </w:pPr>
      <w:bookmarkStart w:id="1211" w:name="_Toc17888"/>
      <w:bookmarkStart w:id="1212" w:name="_Toc1201"/>
      <w:bookmarkStart w:id="1213" w:name="_Toc9166"/>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78"/>
        <w:spacing w:before="0" w:beforeAutospacing="0" w:after="0" w:afterAutospacing="0" w:line="360" w:lineRule="auto"/>
        <w:ind w:firstLine="424" w:firstLineChars="177"/>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pPr>
        <w:pStyle w:val="3"/>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14" w:name="_Toc93048472"/>
      <w:r>
        <w:rPr>
          <w:rFonts w:hint="eastAsia" w:ascii="宋体" w:hAnsi="宋体"/>
          <w:b/>
          <w:color w:val="000000" w:themeColor="text1"/>
          <w:sz w:val="28"/>
          <w14:textFill>
            <w14:solidFill>
              <w14:schemeClr w14:val="tx1"/>
            </w14:solidFill>
          </w14:textFill>
        </w:rPr>
        <w:t>附件</w:t>
      </w:r>
      <w:bookmarkEnd w:id="1211"/>
      <w:bookmarkEnd w:id="1212"/>
      <w:bookmarkEnd w:id="1213"/>
      <w:r>
        <w:rPr>
          <w:rFonts w:ascii="宋体" w:hAnsi="宋体"/>
          <w:b/>
          <w:color w:val="000000" w:themeColor="text1"/>
          <w:sz w:val="28"/>
          <w14:textFill>
            <w14:solidFill>
              <w14:schemeClr w14:val="tx1"/>
            </w14:solidFill>
          </w14:textFill>
        </w:rPr>
        <w:t>14</w:t>
      </w:r>
      <w:bookmarkEnd w:id="1214"/>
    </w:p>
    <w:p>
      <w:pPr>
        <w:pStyle w:val="81"/>
        <w:spacing w:line="360" w:lineRule="auto"/>
        <w:jc w:val="center"/>
        <w:rPr>
          <w:rFonts w:ascii="宋体" w:hAnsi="宋体"/>
          <w:b/>
          <w:color w:val="000000" w:themeColor="text1"/>
          <w:sz w:val="32"/>
          <w:szCs w:val="32"/>
          <w14:textFill>
            <w14:solidFill>
              <w14:schemeClr w14:val="tx1"/>
            </w14:solidFill>
          </w14:textFill>
        </w:rPr>
      </w:pPr>
      <w:bookmarkStart w:id="1215" w:name="_Toc7134_WPSOffice_Level1"/>
      <w:bookmarkStart w:id="1216" w:name="_Toc19231_WPSOffice_Level1"/>
      <w:bookmarkStart w:id="1217" w:name="_Toc23055_WPSOffice_Level1"/>
      <w:bookmarkStart w:id="1218" w:name="_Toc12710_WPSOffice_Level1"/>
      <w:r>
        <w:rPr>
          <w:rFonts w:hint="eastAsia" w:ascii="宋体" w:hAnsi="宋体"/>
          <w:b/>
          <w:color w:val="000000" w:themeColor="text1"/>
          <w:sz w:val="32"/>
          <w:szCs w:val="32"/>
          <w14:textFill>
            <w14:solidFill>
              <w14:schemeClr w14:val="tx1"/>
            </w14:solidFill>
          </w14:textFill>
        </w:rPr>
        <w:t>供应商类似项目实施情况一览表</w:t>
      </w:r>
      <w:bookmarkEnd w:id="1215"/>
      <w:bookmarkEnd w:id="1216"/>
    </w:p>
    <w:p>
      <w:pPr>
        <w:pStyle w:val="81"/>
        <w:spacing w:line="360" w:lineRule="auto"/>
        <w:jc w:val="center"/>
        <w:rPr>
          <w:rFonts w:ascii="仿宋_GB2312" w:eastAsia="仿宋_GB2312"/>
          <w:b/>
          <w:color w:val="000000" w:themeColor="text1"/>
          <w:sz w:val="28"/>
          <w:szCs w:val="28"/>
          <w14:textFill>
            <w14:solidFill>
              <w14:schemeClr w14:val="tx1"/>
            </w14:solidFill>
          </w14:textFill>
        </w:rPr>
      </w:pPr>
    </w:p>
    <w:tbl>
      <w:tblPr>
        <w:tblStyle w:val="4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20"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20"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扫描件可只提供首页、含金额页、盖章页并加盖供应商电子印章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82"/>
        <w:tabs>
          <w:tab w:val="left" w:pos="1050"/>
        </w:tabs>
        <w:spacing w:line="360" w:lineRule="auto"/>
        <w:outlineLvl w:val="0"/>
        <w:rPr>
          <w:rFonts w:ascii="宋体" w:hAnsi="宋体"/>
          <w:b/>
          <w:color w:val="000000" w:themeColor="text1"/>
          <w:sz w:val="28"/>
          <w14:textFill>
            <w14:solidFill>
              <w14:schemeClr w14:val="tx1"/>
            </w14:solidFill>
          </w14:textFill>
        </w:rPr>
      </w:pPr>
    </w:p>
    <w:p>
      <w:pPr>
        <w:pStyle w:val="82"/>
        <w:tabs>
          <w:tab w:val="left" w:pos="1050"/>
        </w:tabs>
        <w:spacing w:line="360" w:lineRule="auto"/>
        <w:outlineLvl w:val="0"/>
        <w:rPr>
          <w:rFonts w:ascii="宋体" w:hAnsi="宋体"/>
          <w:b/>
          <w:color w:val="000000" w:themeColor="text1"/>
          <w:sz w:val="28"/>
          <w14:textFill>
            <w14:solidFill>
              <w14:schemeClr w14:val="tx1"/>
            </w14:solidFill>
          </w14:textFill>
        </w:rPr>
      </w:pP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19" w:name="_Toc93048473"/>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15</w:t>
      </w:r>
      <w:bookmarkEnd w:id="1219"/>
    </w:p>
    <w:bookmarkEnd w:id="1217"/>
    <w:bookmarkEnd w:id="1218"/>
    <w:p>
      <w:pPr>
        <w:spacing w:before="120" w:beforeLines="50" w:after="120"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tbl>
      <w:tblPr>
        <w:tblStyle w:val="4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（合同或竣工验收证明扫描件）（如有）。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备注：提供证书、社保证明等材料（合同</w:t>
      </w:r>
      <w:r>
        <w:rPr>
          <w:rFonts w:hint="eastAsia" w:ascii="宋体" w:hAnsi="宋体" w:cs="Arial"/>
          <w:color w:val="000000" w:themeColor="text1"/>
          <w:szCs w:val="21"/>
          <w14:textFill>
            <w14:solidFill>
              <w14:schemeClr w14:val="tx1"/>
            </w14:solidFill>
          </w14:textFill>
        </w:rPr>
        <w:t>扫描件可只提供首页、含金额页、盖章页并加盖供应商电子印章</w:t>
      </w:r>
      <w:r>
        <w:rPr>
          <w:rFonts w:ascii="宋体" w:hAnsi="宋体" w:cs="Arial"/>
          <w:color w:val="000000" w:themeColor="text1"/>
          <w:szCs w:val="21"/>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20" w:name="_Toc93048474"/>
      <w:bookmarkStart w:id="1221" w:name="_Toc19972_WPSOffice_Level1"/>
      <w:bookmarkStart w:id="1222" w:name="_Toc29537_WPSOffice_Level1"/>
      <w:r>
        <w:rPr>
          <w:rFonts w:ascii="宋体" w:hAnsi="宋体"/>
          <w:b/>
          <w:color w:val="000000" w:themeColor="text1"/>
          <w:sz w:val="28"/>
          <w14:textFill>
            <w14:solidFill>
              <w14:schemeClr w14:val="tx1"/>
            </w14:solidFill>
          </w14:textFill>
        </w:rPr>
        <w:t>附件16</w:t>
      </w:r>
      <w:bookmarkEnd w:id="1220"/>
    </w:p>
    <w:p>
      <w:pPr>
        <w:pStyle w:val="24"/>
        <w:ind w:left="5250"/>
        <w:rPr>
          <w:rFonts w:asciiTheme="minorEastAsia" w:hAnsiTheme="minorEastAsia" w:eastAsiaTheme="minorEastAsia"/>
          <w:color w:val="000000" w:themeColor="text1"/>
          <w:sz w:val="24"/>
          <w:szCs w:val="24"/>
          <w14:textFill>
            <w14:solidFill>
              <w14:schemeClr w14:val="tx1"/>
            </w14:solidFill>
          </w14:textFill>
        </w:rPr>
      </w:pPr>
    </w:p>
    <w:p>
      <w:pPr>
        <w:snapToGrid w:val="0"/>
        <w:spacing w:before="120" w:beforeLines="50" w:after="50" w:line="360" w:lineRule="auto"/>
        <w:jc w:val="center"/>
        <w:rPr>
          <w:rFonts w:ascii="宋体" w:hAnsi="宋体"/>
          <w:b/>
          <w:color w:val="000000" w:themeColor="text1"/>
          <w:sz w:val="36"/>
          <w:szCs w:val="36"/>
          <w14:textFill>
            <w14:solidFill>
              <w14:schemeClr w14:val="tx1"/>
            </w14:solidFill>
          </w14:textFill>
        </w:rPr>
      </w:pPr>
      <w:bookmarkStart w:id="1223" w:name="_Toc23671_WPSOffice_Level1"/>
      <w:bookmarkStart w:id="1224" w:name="_Toc20569_WPSOffice_Level1"/>
      <w:r>
        <w:rPr>
          <w:rFonts w:hint="eastAsia" w:ascii="宋体" w:hAnsi="宋体"/>
          <w:b/>
          <w:color w:val="000000" w:themeColor="text1"/>
          <w:sz w:val="32"/>
          <w:szCs w:val="32"/>
          <w14:textFill>
            <w14:solidFill>
              <w14:schemeClr w14:val="tx1"/>
            </w14:solidFill>
          </w14:textFill>
        </w:rPr>
        <w:t>项目实施人员一览表</w:t>
      </w:r>
      <w:bookmarkEnd w:id="1223"/>
      <w:bookmarkEnd w:id="1224"/>
    </w:p>
    <w:p>
      <w:pPr>
        <w:snapToGrid w:val="0"/>
        <w:spacing w:before="120"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4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24"/>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24"/>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24"/>
              <w:spacing w:line="360" w:lineRule="auto"/>
              <w:ind w:left="5250"/>
              <w:rPr>
                <w:rFonts w:ascii="宋体" w:hAnsi="宋体"/>
                <w:color w:val="000000" w:themeColor="text1"/>
                <w:sz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在填写时，如本表格不适合供应商的实际情况，可根据本表格式自行划表填写。</w:t>
      </w:r>
    </w:p>
    <w:p>
      <w:pPr>
        <w:pStyle w:val="79"/>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2.附人员证书（含项目技术负责人）及社保证明材料扫描件；</w:t>
      </w:r>
      <w:r>
        <w:rPr>
          <w:rFonts w:ascii="宋体" w:hAnsi="宋体"/>
          <w:color w:val="000000" w:themeColor="text1"/>
          <w:szCs w:val="21"/>
          <w14:textFill>
            <w14:solidFill>
              <w14:schemeClr w14:val="tx1"/>
            </w14:solidFill>
          </w14:textFill>
        </w:rPr>
        <w:t xml:space="preserve"> </w:t>
      </w:r>
    </w:p>
    <w:p>
      <w:pPr>
        <w:snapToGrid w:val="0"/>
        <w:spacing w:before="50" w:after="120" w:afterLines="50" w:line="360" w:lineRule="auto"/>
        <w:jc w:val="left"/>
        <w:rPr>
          <w:rFonts w:ascii="宋体" w:hAnsi="宋体"/>
          <w:color w:val="000000" w:themeColor="text1"/>
          <w:sz w:val="24"/>
          <w:szCs w:val="20"/>
          <w14:textFill>
            <w14:solidFill>
              <w14:schemeClr w14:val="tx1"/>
            </w14:solidFill>
          </w14:textFill>
        </w:rPr>
      </w:pPr>
    </w:p>
    <w:p>
      <w:pPr>
        <w:snapToGrid w:val="0"/>
        <w:spacing w:before="50" w:after="120"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3"/>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79"/>
        <w:spacing w:line="360" w:lineRule="auto"/>
        <w:ind w:left="424" w:hanging="424" w:hangingChars="202"/>
        <w:rPr>
          <w:color w:val="000000" w:themeColor="text1"/>
          <w14:textFill>
            <w14:solidFill>
              <w14:schemeClr w14:val="tx1"/>
            </w14:solidFill>
          </w14:textFill>
        </w:rPr>
      </w:pPr>
    </w:p>
    <w:p>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项目编号：（标项）</w:t>
      </w:r>
    </w:p>
    <w:p>
      <w:pPr>
        <w:pStyle w:val="2"/>
        <w:rPr>
          <w:color w:val="000000" w:themeColor="text1"/>
          <w14:textFill>
            <w14:solidFill>
              <w14:schemeClr w14:val="tx1"/>
            </w14:solidFill>
          </w14:textFill>
        </w:rPr>
      </w:pPr>
    </w:p>
    <w:p>
      <w:pPr>
        <w:jc w:val="center"/>
        <w:rPr>
          <w:color w:val="000000" w:themeColor="text1"/>
          <w:sz w:val="84"/>
          <w:szCs w:val="84"/>
          <w14:textFill>
            <w14:solidFill>
              <w14:schemeClr w14:val="tx1"/>
            </w14:solidFill>
          </w14:textFill>
        </w:rPr>
      </w:pPr>
      <w:bookmarkStart w:id="1225" w:name="_Toc9453_WPSOffice_Level1"/>
      <w:bookmarkStart w:id="1226" w:name="_Toc8885_WPSOffice_Level1"/>
      <w:r>
        <w:rPr>
          <w:rFonts w:hint="eastAsia"/>
          <w:color w:val="000000" w:themeColor="text1"/>
          <w:sz w:val="84"/>
          <w:szCs w:val="84"/>
          <w14:textFill>
            <w14:solidFill>
              <w14:schemeClr w14:val="tx1"/>
            </w14:solidFill>
          </w14:textFill>
        </w:rPr>
        <w:t>报</w:t>
      </w:r>
      <w:bookmarkEnd w:id="1225"/>
      <w:bookmarkEnd w:id="1226"/>
    </w:p>
    <w:p>
      <w:pPr>
        <w:jc w:val="center"/>
        <w:rPr>
          <w:color w:val="000000" w:themeColor="text1"/>
          <w:sz w:val="84"/>
          <w:szCs w:val="84"/>
          <w14:textFill>
            <w14:solidFill>
              <w14:schemeClr w14:val="tx1"/>
            </w14:solidFill>
          </w14:textFill>
        </w:rPr>
      </w:pPr>
      <w:bookmarkStart w:id="1227" w:name="_Toc7485_WPSOffice_Level1"/>
      <w:bookmarkStart w:id="1228" w:name="_Toc10910_WPSOffice_Level1"/>
      <w:r>
        <w:rPr>
          <w:rFonts w:hint="eastAsia"/>
          <w:color w:val="000000" w:themeColor="text1"/>
          <w:sz w:val="84"/>
          <w:szCs w:val="84"/>
          <w14:textFill>
            <w14:solidFill>
              <w14:schemeClr w14:val="tx1"/>
            </w14:solidFill>
          </w14:textFill>
        </w:rPr>
        <w:t>价</w:t>
      </w:r>
      <w:bookmarkEnd w:id="1227"/>
      <w:bookmarkEnd w:id="1228"/>
    </w:p>
    <w:p>
      <w:pPr>
        <w:jc w:val="center"/>
        <w:rPr>
          <w:color w:val="000000" w:themeColor="text1"/>
          <w:sz w:val="84"/>
          <w:szCs w:val="84"/>
          <w14:textFill>
            <w14:solidFill>
              <w14:schemeClr w14:val="tx1"/>
            </w14:solidFill>
          </w14:textFill>
        </w:rPr>
      </w:pPr>
      <w:bookmarkStart w:id="1229" w:name="_Toc14572_WPSOffice_Level1"/>
      <w:bookmarkStart w:id="1230" w:name="_Toc3932_WPSOffice_Level1"/>
      <w:r>
        <w:rPr>
          <w:rFonts w:hint="eastAsia"/>
          <w:color w:val="000000" w:themeColor="text1"/>
          <w:sz w:val="84"/>
          <w:szCs w:val="84"/>
          <w14:textFill>
            <w14:solidFill>
              <w14:schemeClr w14:val="tx1"/>
            </w14:solidFill>
          </w14:textFill>
        </w:rPr>
        <w:t>文</w:t>
      </w:r>
      <w:bookmarkEnd w:id="1229"/>
      <w:bookmarkEnd w:id="1230"/>
    </w:p>
    <w:p>
      <w:pPr>
        <w:jc w:val="center"/>
        <w:rPr>
          <w:color w:val="000000" w:themeColor="text1"/>
          <w:sz w:val="84"/>
          <w:szCs w:val="84"/>
          <w14:textFill>
            <w14:solidFill>
              <w14:schemeClr w14:val="tx1"/>
            </w14:solidFill>
          </w14:textFill>
        </w:rPr>
      </w:pPr>
      <w:bookmarkStart w:id="1231" w:name="_Toc7562_WPSOffice_Level1"/>
      <w:bookmarkStart w:id="1232" w:name="_Toc16973_WPSOffice_Level1"/>
      <w:r>
        <w:rPr>
          <w:rFonts w:hint="eastAsia"/>
          <w:color w:val="000000" w:themeColor="text1"/>
          <w:sz w:val="84"/>
          <w:szCs w:val="84"/>
          <w14:textFill>
            <w14:solidFill>
              <w14:schemeClr w14:val="tx1"/>
            </w14:solidFill>
          </w14:textFill>
        </w:rPr>
        <w:t>件</w:t>
      </w:r>
      <w:bookmarkEnd w:id="1231"/>
      <w:bookmarkEnd w:id="1232"/>
    </w:p>
    <w:p>
      <w:pPr>
        <w:spacing w:line="360" w:lineRule="auto"/>
        <w:ind w:right="532"/>
        <w:rPr>
          <w:rFonts w:ascii="宋体" w:hAnsi="宋体"/>
          <w:color w:val="000000" w:themeColor="text1"/>
          <w:sz w:val="36"/>
          <w:szCs w:val="36"/>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right="532"/>
        <w:jc w:val="center"/>
        <w:rPr>
          <w:rFonts w:ascii="宋体" w:hAnsi="宋体"/>
          <w:color w:val="000000" w:themeColor="text1"/>
          <w:sz w:val="36"/>
          <w:szCs w:val="36"/>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bookmarkStart w:id="1233" w:name="_Toc26700_WPSOffice_Level1"/>
      <w:bookmarkStart w:id="1234" w:name="_Toc4603_WPSOffice_Level1"/>
      <w:r>
        <w:rPr>
          <w:rFonts w:hint="eastAsia" w:ascii="宋体" w:hAnsi="宋体"/>
          <w:color w:val="000000" w:themeColor="text1"/>
          <w:sz w:val="36"/>
          <w:szCs w:val="36"/>
          <w14:textFill>
            <w14:solidFill>
              <w14:schemeClr w14:val="tx1"/>
            </w14:solidFill>
          </w14:textFill>
        </w:rPr>
        <w:t>投标人全称（公章）：</w:t>
      </w:r>
      <w:bookmarkEnd w:id="1233"/>
      <w:bookmarkEnd w:id="1234"/>
    </w:p>
    <w:p>
      <w:pPr>
        <w:spacing w:line="360" w:lineRule="auto"/>
        <w:ind w:right="-108" w:firstLine="720" w:firstLineChars="200"/>
        <w:rPr>
          <w:rFonts w:ascii="宋体" w:hAnsi="宋体"/>
          <w:color w:val="000000" w:themeColor="text1"/>
          <w:sz w:val="36"/>
          <w:szCs w:val="36"/>
          <w14:textFill>
            <w14:solidFill>
              <w14:schemeClr w14:val="tx1"/>
            </w14:solidFill>
          </w14:textFill>
        </w:rPr>
      </w:pPr>
      <w:bookmarkStart w:id="1235" w:name="_Toc1391_WPSOffice_Level1"/>
      <w:bookmarkStart w:id="1236" w:name="_Toc32593_WPSOffice_Level1"/>
      <w:r>
        <w:rPr>
          <w:rFonts w:hint="eastAsia" w:ascii="宋体" w:hAnsi="宋体"/>
          <w:color w:val="000000" w:themeColor="text1"/>
          <w:sz w:val="36"/>
          <w:szCs w:val="36"/>
          <w14:textFill>
            <w14:solidFill>
              <w14:schemeClr w14:val="tx1"/>
            </w14:solidFill>
          </w14:textFill>
        </w:rPr>
        <w:t>地    址：</w:t>
      </w:r>
      <w:bookmarkEnd w:id="1235"/>
      <w:bookmarkEnd w:id="1236"/>
    </w:p>
    <w:p>
      <w:pPr>
        <w:spacing w:line="360" w:lineRule="auto"/>
        <w:ind w:right="-108" w:firstLine="720" w:firstLineChars="200"/>
        <w:rPr>
          <w:rFonts w:ascii="宋体" w:hAnsi="宋体"/>
          <w:color w:val="000000" w:themeColor="text1"/>
          <w:sz w:val="36"/>
          <w:szCs w:val="36"/>
          <w14:textFill>
            <w14:solidFill>
              <w14:schemeClr w14:val="tx1"/>
            </w14:solidFill>
          </w14:textFill>
        </w:rPr>
      </w:pPr>
      <w:bookmarkStart w:id="1237" w:name="_Toc20938_WPSOffice_Level1"/>
      <w:bookmarkStart w:id="1238" w:name="_Toc3791_WPSOffice_Level1"/>
      <w:r>
        <w:rPr>
          <w:rFonts w:hint="eastAsia" w:ascii="宋体" w:hAnsi="宋体"/>
          <w:color w:val="000000" w:themeColor="text1"/>
          <w:sz w:val="36"/>
          <w:szCs w:val="36"/>
          <w14:textFill>
            <w14:solidFill>
              <w14:schemeClr w14:val="tx1"/>
            </w14:solidFill>
          </w14:textFill>
        </w:rPr>
        <w:t>时    间：</w:t>
      </w:r>
      <w:bookmarkEnd w:id="1237"/>
      <w:bookmarkEnd w:id="1238"/>
    </w:p>
    <w:p>
      <w:pPr>
        <w:spacing w:line="480" w:lineRule="auto"/>
        <w:jc w:val="center"/>
        <w:rPr>
          <w:rFonts w:ascii="宋体" w:hAnsi="宋体"/>
          <w:b/>
          <w:bCs/>
          <w:color w:val="000000" w:themeColor="text1"/>
          <w:sz w:val="36"/>
          <w:szCs w:val="36"/>
          <w14:textFill>
            <w14:solidFill>
              <w14:schemeClr w14:val="tx1"/>
            </w14:solidFill>
          </w14:textFill>
        </w:rPr>
      </w:pPr>
    </w:p>
    <w:p>
      <w:pPr>
        <w:spacing w:line="480" w:lineRule="auto"/>
        <w:jc w:val="center"/>
        <w:rPr>
          <w:rFonts w:ascii="宋体" w:hAnsi="宋体"/>
          <w:b/>
          <w:bCs/>
          <w:color w:val="000000" w:themeColor="text1"/>
          <w:sz w:val="36"/>
          <w:szCs w:val="36"/>
          <w14:textFill>
            <w14:solidFill>
              <w14:schemeClr w14:val="tx1"/>
            </w14:solidFill>
          </w14:textFill>
        </w:rPr>
      </w:pPr>
    </w:p>
    <w:p>
      <w:pPr>
        <w:spacing w:line="480" w:lineRule="auto"/>
        <w:jc w:val="center"/>
        <w:rPr>
          <w:rFonts w:ascii="宋体" w:hAnsi="宋体"/>
          <w:b/>
          <w:bCs/>
          <w:color w:val="000000" w:themeColor="text1"/>
          <w:sz w:val="36"/>
          <w:szCs w:val="36"/>
          <w14:textFill>
            <w14:solidFill>
              <w14:schemeClr w14:val="tx1"/>
            </w14:solidFill>
          </w14:textFill>
        </w:rPr>
      </w:pPr>
    </w:p>
    <w:p>
      <w:pPr>
        <w:spacing w:line="48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报价部分目录</w:t>
      </w:r>
      <w:bookmarkEnd w:id="1221"/>
      <w:bookmarkEnd w:id="1222"/>
    </w:p>
    <w:p>
      <w:pPr>
        <w:rPr>
          <w:color w:val="000000" w:themeColor="text1"/>
          <w:sz w:val="28"/>
          <w:szCs w:val="28"/>
          <w14:textFill>
            <w14:solidFill>
              <w14:schemeClr w14:val="tx1"/>
            </w14:solidFill>
          </w14:textFill>
        </w:rPr>
      </w:pPr>
    </w:p>
    <w:p>
      <w:p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p>
    <w:p>
      <w:pPr>
        <w:numPr>
          <w:ilvl w:val="0"/>
          <w:numId w:val="9"/>
        </w:num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bookmarkStart w:id="1239" w:name="_Toc29988_WPSOffice_Level1"/>
      <w:bookmarkStart w:id="1240" w:name="_Toc6778_WPSOffice_Level1"/>
      <w:r>
        <w:rPr>
          <w:rFonts w:hint="eastAsia" w:asciiTheme="minorEastAsia" w:hAnsiTheme="minorEastAsia" w:eastAsiaTheme="minorEastAsia" w:cstheme="minorEastAsia"/>
          <w:color w:val="000000" w:themeColor="text1"/>
          <w:sz w:val="28"/>
          <w:szCs w:val="28"/>
          <w14:textFill>
            <w14:solidFill>
              <w14:schemeClr w14:val="tx1"/>
            </w14:solidFill>
          </w14:textFill>
        </w:rPr>
        <w:t>首次报价一览表（附件</w:t>
      </w:r>
      <w:r>
        <w:rPr>
          <w:rFonts w:asciiTheme="minorEastAsia" w:hAnsiTheme="minorEastAsia" w:eastAsiaTheme="minorEastAsia" w:cstheme="minorEastAsia"/>
          <w:color w:val="000000" w:themeColor="text1"/>
          <w:sz w:val="28"/>
          <w:szCs w:val="28"/>
          <w14:textFill>
            <w14:solidFill>
              <w14:schemeClr w14:val="tx1"/>
            </w14:solidFill>
          </w14:textFill>
        </w:rPr>
        <w:t>17</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1239"/>
      <w:bookmarkEnd w:id="1240"/>
    </w:p>
    <w:p>
      <w:pPr>
        <w:numPr>
          <w:ilvl w:val="0"/>
          <w:numId w:val="9"/>
        </w:num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报价明细清单</w:t>
      </w:r>
      <w:r>
        <w:rPr>
          <w:rFonts w:hint="eastAsia" w:asciiTheme="minorEastAsia" w:hAnsiTheme="minorEastAsia" w:eastAsiaTheme="minorEastAsia" w:cstheme="minorEastAsia"/>
          <w:color w:val="auto"/>
          <w:sz w:val="28"/>
          <w:szCs w:val="28"/>
        </w:rPr>
        <w:t>（附件</w:t>
      </w:r>
      <w:r>
        <w:rPr>
          <w:rFonts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w:t>
      </w:r>
    </w:p>
    <w:p>
      <w:pPr>
        <w:numPr>
          <w:ilvl w:val="0"/>
          <w:numId w:val="9"/>
        </w:numPr>
        <w:spacing w:line="360" w:lineRule="auto"/>
      </w:pPr>
      <w:r>
        <w:rPr>
          <w:rFonts w:hint="eastAsia" w:asciiTheme="minorEastAsia" w:hAnsiTheme="minorEastAsia" w:eastAsiaTheme="minorEastAsia" w:cstheme="minorEastAsia"/>
          <w:color w:val="auto"/>
          <w:sz w:val="28"/>
          <w:szCs w:val="28"/>
        </w:rPr>
        <w:t>针对报价供应商认为其他需要说明的</w:t>
      </w:r>
    </w:p>
    <w:p>
      <w:pPr>
        <w:pStyle w:val="2"/>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rPr>
          <w:color w:val="000000" w:themeColor="text1"/>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ind w:left="0" w:leftChars="0"/>
        <w:rPr>
          <w:color w:val="000000" w:themeColor="text1"/>
          <w14:textFill>
            <w14:solidFill>
              <w14:schemeClr w14:val="tx1"/>
            </w14:solidFill>
          </w14:textFill>
        </w:rPr>
      </w:pPr>
    </w:p>
    <w:p>
      <w:pPr>
        <w:widowControl/>
        <w:jc w:val="left"/>
        <w:rPr>
          <w:rFonts w:ascii="宋体" w:hAnsi="宋体"/>
          <w:b/>
          <w:color w:val="000000" w:themeColor="text1"/>
          <w:sz w:val="28"/>
          <w14:textFill>
            <w14:solidFill>
              <w14:schemeClr w14:val="tx1"/>
            </w14:solidFill>
          </w14:textFill>
        </w:rPr>
      </w:pPr>
      <w:bookmarkStart w:id="1241" w:name="_Toc13512"/>
      <w:bookmarkStart w:id="1242" w:name="_Toc4854"/>
      <w:bookmarkStart w:id="1243" w:name="_Toc5529"/>
      <w:r>
        <w:rPr>
          <w:rFonts w:ascii="宋体" w:hAnsi="宋体"/>
          <w:b/>
          <w:color w:val="000000" w:themeColor="text1"/>
          <w:sz w:val="28"/>
          <w14:textFill>
            <w14:solidFill>
              <w14:schemeClr w14:val="tx1"/>
            </w14:solidFill>
          </w14:textFill>
        </w:rPr>
        <w:br w:type="page"/>
      </w:r>
    </w:p>
    <w:p>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244" w:name="_Toc93048475"/>
      <w:r>
        <w:rPr>
          <w:rFonts w:hint="eastAsia" w:ascii="宋体" w:hAnsi="宋体"/>
          <w:b/>
          <w:color w:val="000000" w:themeColor="text1"/>
          <w:sz w:val="28"/>
          <w14:textFill>
            <w14:solidFill>
              <w14:schemeClr w14:val="tx1"/>
            </w14:solidFill>
          </w14:textFill>
        </w:rPr>
        <w:t>附件</w:t>
      </w:r>
      <w:bookmarkEnd w:id="1241"/>
      <w:bookmarkEnd w:id="1242"/>
      <w:bookmarkEnd w:id="1243"/>
      <w:r>
        <w:rPr>
          <w:rFonts w:ascii="宋体" w:hAnsi="宋体"/>
          <w:b/>
          <w:color w:val="000000" w:themeColor="text1"/>
          <w:sz w:val="28"/>
          <w14:textFill>
            <w14:solidFill>
              <w14:schemeClr w14:val="tx1"/>
            </w14:solidFill>
          </w14:textFill>
        </w:rPr>
        <w:t>17</w:t>
      </w:r>
      <w:bookmarkEnd w:id="1244"/>
    </w:p>
    <w:p>
      <w:pPr>
        <w:pStyle w:val="2"/>
        <w:rPr>
          <w:rFonts w:ascii="宋体" w:hAnsi="宋体"/>
          <w:b/>
          <w:color w:val="000000" w:themeColor="text1"/>
          <w:sz w:val="28"/>
          <w14:textFill>
            <w14:solidFill>
              <w14:schemeClr w14:val="tx1"/>
            </w14:solidFill>
          </w14:textFill>
        </w:rPr>
      </w:pPr>
    </w:p>
    <w:p>
      <w:pPr>
        <w:spacing w:line="360" w:lineRule="auto"/>
        <w:ind w:left="-2" w:hanging="2"/>
        <w:jc w:val="center"/>
        <w:rPr>
          <w:rFonts w:ascii="宋体" w:hAnsi="宋体"/>
          <w:b/>
          <w:color w:val="000000" w:themeColor="text1"/>
          <w:sz w:val="32"/>
          <w:szCs w:val="32"/>
          <w14:textFill>
            <w14:solidFill>
              <w14:schemeClr w14:val="tx1"/>
            </w14:solidFill>
          </w14:textFill>
        </w:rPr>
      </w:pPr>
      <w:bookmarkStart w:id="1245" w:name="_Toc16144_WPSOffice_Level1"/>
      <w:bookmarkStart w:id="1246" w:name="_Toc30363_WPSOffice_Level1"/>
      <w:r>
        <w:rPr>
          <w:rFonts w:hint="eastAsia" w:ascii="宋体" w:hAnsi="宋体"/>
          <w:b/>
          <w:color w:val="000000" w:themeColor="text1"/>
          <w:sz w:val="32"/>
          <w:szCs w:val="32"/>
          <w14:textFill>
            <w14:solidFill>
              <w14:schemeClr w14:val="tx1"/>
            </w14:solidFill>
          </w14:textFill>
        </w:rPr>
        <w:t xml:space="preserve">首次报价一览表 </w:t>
      </w:r>
      <w:bookmarkEnd w:id="1245"/>
      <w:bookmarkEnd w:id="1246"/>
    </w:p>
    <w:p>
      <w:pPr>
        <w:spacing w:line="360" w:lineRule="auto"/>
        <w:ind w:left="-2" w:hanging="2"/>
        <w:jc w:val="center"/>
        <w:rPr>
          <w:rFonts w:ascii="宋体" w:hAnsi="宋体"/>
          <w:b/>
          <w:color w:val="000000" w:themeColor="text1"/>
          <w:sz w:val="32"/>
          <w:szCs w:val="32"/>
          <w14:textFill>
            <w14:solidFill>
              <w14:schemeClr w14:val="tx1"/>
            </w14:solidFill>
          </w14:textFill>
        </w:rPr>
      </w:pPr>
    </w:p>
    <w:p>
      <w:pPr>
        <w:pStyle w:val="23"/>
        <w:spacing w:line="360" w:lineRule="auto"/>
        <w:ind w:firstLine="241" w:firstLineChars="1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87"/>
        <w:spacing w:line="360" w:lineRule="auto"/>
        <w:ind w:right="480" w:firstLine="241" w:firstLineChars="10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4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jc w:val="center"/>
        </w:trPr>
        <w:tc>
          <w:tcPr>
            <w:tcW w:w="8672"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textAlignment w:val="bottom"/>
              <w:rPr>
                <w:rFonts w:ascii="宋体" w:hAnsi="宋体"/>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工期</w:t>
            </w:r>
            <w:r>
              <w:rPr>
                <w:b/>
                <w:color w:val="000000" w:themeColor="text1"/>
                <w:kern w:val="0"/>
                <w:sz w:val="24"/>
                <w14:textFill>
                  <w14:solidFill>
                    <w14:schemeClr w14:val="tx1"/>
                  </w14:solidFill>
                </w14:textFill>
              </w:rPr>
              <w:t>：</w:t>
            </w:r>
          </w:p>
        </w:tc>
      </w:tr>
    </w:tbl>
    <w:p>
      <w:pPr>
        <w:pStyle w:val="5"/>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r>
        <w:rPr>
          <w:rFonts w:hint="eastAsia" w:ascii="宋体" w:hAnsi="宋体"/>
          <w:color w:val="000000" w:themeColor="text1"/>
          <w:szCs w:val="21"/>
          <w14:textFill>
            <w14:solidFill>
              <w14:schemeClr w14:val="tx1"/>
            </w14:solidFill>
          </w14:textFill>
        </w:rPr>
        <w:t>磋商总</w:t>
      </w:r>
      <w:r>
        <w:rPr>
          <w:rFonts w:hint="eastAsia" w:ascii="宋体" w:hAnsi="宋体" w:cs="宋体"/>
          <w:color w:val="000000" w:themeColor="text1"/>
          <w:szCs w:val="21"/>
          <w:lang w:bidi="ar"/>
          <w14:textFill>
            <w14:solidFill>
              <w14:schemeClr w14:val="tx1"/>
            </w14:solidFill>
          </w14:textFill>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r>
        <w:rPr>
          <w:rFonts w:hint="eastAsia" w:ascii="宋体" w:hAnsi="宋体" w:cs="仿宋_GB2312"/>
          <w:color w:val="000000" w:themeColor="text1"/>
          <w:kern w:val="0"/>
          <w:sz w:val="24"/>
          <w:lang w:val="zh-CN"/>
          <w14:textFill>
            <w14:solidFill>
              <w14:schemeClr w14:val="tx1"/>
            </w14:solidFill>
          </w14:textFill>
        </w:rPr>
        <w:t>或电子印章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pPr>
      <w:r>
        <w:rPr>
          <w:rFonts w:hint="eastAsia" w:ascii="宋体" w:hAnsi="宋体"/>
          <w:color w:val="000000" w:themeColor="text1"/>
          <w:sz w:val="24"/>
          <w14:textFill>
            <w14:solidFill>
              <w14:schemeClr w14:val="tx1"/>
            </w14:solidFill>
          </w14:textFill>
        </w:rPr>
        <w:t>日        期：</w:t>
      </w:r>
    </w:p>
    <w:p>
      <w:pPr>
        <w:pStyle w:val="3"/>
      </w:pPr>
    </w:p>
    <w:p>
      <w:pPr>
        <w:numPr>
          <w:ilvl w:val="0"/>
          <w:numId w:val="0"/>
        </w:numPr>
        <w:spacing w:line="360" w:lineRule="auto"/>
        <w:ind w:leftChars="0"/>
      </w:pPr>
      <w:r>
        <w:rPr>
          <w:rFonts w:hint="eastAsia" w:asciiTheme="minorEastAsia" w:hAnsiTheme="minorEastAsia" w:eastAsiaTheme="minorEastAsia" w:cstheme="minorEastAsia"/>
          <w:b/>
          <w:bCs/>
          <w:color w:val="auto"/>
          <w:sz w:val="28"/>
          <w:szCs w:val="28"/>
        </w:rPr>
        <w:t>附件</w:t>
      </w:r>
      <w:r>
        <w:rPr>
          <w:rFonts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lang w:val="en-US" w:eastAsia="zh-CN"/>
        </w:rPr>
        <w:t>8</w:t>
      </w:r>
    </w:p>
    <w:p>
      <w:pPr>
        <w:pStyle w:val="2"/>
        <w:ind w:left="0" w:leftChars="0" w:firstLine="0" w:firstLineChars="0"/>
      </w:pPr>
    </w:p>
    <w:tbl>
      <w:tblPr>
        <w:tblStyle w:val="41"/>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883"/>
        <w:gridCol w:w="175"/>
        <w:gridCol w:w="105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20" w:type="dxa"/>
            <w:gridSpan w:val="8"/>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合同段：三门县浦坝港镇小岭下至从岙道路提升改造工程</w:t>
            </w:r>
          </w:p>
        </w:tc>
        <w:tc>
          <w:tcPr>
            <w:tcW w:w="2646" w:type="dxa"/>
            <w:gridSpan w:val="3"/>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235"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2"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403"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5" w:type="dxa"/>
            <w:gridSpan w:val="3"/>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总 则</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路 面</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桥梁、涵洞</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235"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235"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403"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工程造价</w:t>
            </w:r>
          </w:p>
        </w:tc>
        <w:tc>
          <w:tcPr>
            <w:tcW w:w="1235" w:type="dxa"/>
            <w:gridSpan w:val="3"/>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403" w:type="dxa"/>
            <w:gridSpan w:val="4"/>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235"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pStyle w:val="2"/>
              <w:rPr>
                <w:rFonts w:hint="eastAsia" w:ascii="宋体" w:hAnsi="宋体" w:eastAsia="宋体" w:cs="宋体"/>
                <w:b/>
                <w:bCs/>
                <w:i w:val="0"/>
                <w:iCs w:val="0"/>
                <w:color w:val="000000"/>
                <w:kern w:val="0"/>
                <w:sz w:val="36"/>
                <w:szCs w:val="36"/>
                <w:u w:val="none"/>
                <w:lang w:val="en-US" w:eastAsia="zh-CN" w:bidi="ar"/>
              </w:rPr>
            </w:pPr>
          </w:p>
          <w:p>
            <w:pPr>
              <w:pStyle w:val="2"/>
              <w:rPr>
                <w:rFonts w:hint="eastAsia" w:ascii="宋体" w:hAnsi="宋体" w:eastAsia="宋体" w:cs="宋体"/>
                <w:b/>
                <w:bCs/>
                <w:i w:val="0"/>
                <w:iCs w:val="0"/>
                <w:color w:val="000000"/>
                <w:kern w:val="0"/>
                <w:sz w:val="36"/>
                <w:szCs w:val="36"/>
                <w:u w:val="none"/>
                <w:lang w:val="en-US" w:eastAsia="zh-CN" w:bidi="ar"/>
              </w:rPr>
            </w:pP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供应商名称（公章）：</w:t>
            </w:r>
          </w:p>
          <w:p>
            <w:pPr>
              <w:spacing w:line="360" w:lineRule="auto"/>
              <w:ind w:left="420"/>
              <w:rPr>
                <w:rFonts w:ascii="宋体" w:hAnsi="宋体"/>
                <w:color w:val="auto"/>
                <w:sz w:val="24"/>
                <w:szCs w:val="24"/>
              </w:rPr>
            </w:pPr>
          </w:p>
          <w:p>
            <w:pPr>
              <w:spacing w:line="360" w:lineRule="auto"/>
              <w:ind w:firstLine="435"/>
              <w:rPr>
                <w:rFonts w:ascii="宋体" w:hAnsi="宋体"/>
                <w:color w:val="auto"/>
                <w:sz w:val="24"/>
                <w:szCs w:val="24"/>
              </w:rPr>
            </w:pPr>
            <w:r>
              <w:rPr>
                <w:rFonts w:hint="eastAsia" w:ascii="宋体" w:hAnsi="宋体"/>
                <w:color w:val="auto"/>
                <w:sz w:val="24"/>
                <w:szCs w:val="24"/>
              </w:rPr>
              <w:t>供应商代表签字</w:t>
            </w:r>
            <w:r>
              <w:rPr>
                <w:rFonts w:hint="eastAsia" w:ascii="宋体" w:hAnsi="宋体" w:cs="仿宋_GB2312"/>
                <w:color w:val="auto"/>
                <w:kern w:val="0"/>
                <w:sz w:val="24"/>
                <w:szCs w:val="24"/>
                <w:lang w:val="zh-CN"/>
              </w:rPr>
              <w:t>或电子印章</w:t>
            </w:r>
            <w:r>
              <w:rPr>
                <w:rFonts w:hint="eastAsia" w:ascii="宋体" w:hAnsi="宋体"/>
                <w:color w:val="auto"/>
                <w:sz w:val="24"/>
                <w:szCs w:val="24"/>
              </w:rPr>
              <w:t>：</w:t>
            </w:r>
          </w:p>
          <w:p>
            <w:pPr>
              <w:spacing w:line="360" w:lineRule="auto"/>
              <w:ind w:firstLine="435"/>
              <w:rPr>
                <w:rFonts w:ascii="宋体" w:hAnsi="宋体"/>
                <w:color w:val="auto"/>
                <w:sz w:val="24"/>
                <w:szCs w:val="24"/>
              </w:rPr>
            </w:pPr>
          </w:p>
          <w:p>
            <w:pPr>
              <w:spacing w:line="360" w:lineRule="auto"/>
              <w:rPr>
                <w:rFonts w:ascii="宋体" w:hAnsi="宋体"/>
                <w:color w:val="auto"/>
                <w:sz w:val="24"/>
                <w:szCs w:val="24"/>
              </w:rPr>
            </w:pPr>
          </w:p>
          <w:p>
            <w:pPr>
              <w:spacing w:line="360" w:lineRule="auto"/>
              <w:ind w:firstLine="435"/>
              <w:rPr>
                <w:rFonts w:ascii="宋体" w:hAnsi="宋体"/>
                <w:b/>
                <w:color w:val="auto"/>
                <w:sz w:val="24"/>
                <w:szCs w:val="24"/>
              </w:rPr>
            </w:pPr>
            <w:r>
              <w:rPr>
                <w:rFonts w:hint="eastAsia" w:ascii="宋体" w:hAnsi="宋体"/>
                <w:color w:val="auto"/>
                <w:sz w:val="24"/>
                <w:szCs w:val="24"/>
              </w:rPr>
              <w:t>日        期：</w:t>
            </w:r>
          </w:p>
          <w:p>
            <w:pPr>
              <w:pStyle w:val="2"/>
              <w:rPr>
                <w:rFonts w:hint="eastAsia" w:ascii="宋体" w:hAnsi="宋体" w:eastAsia="宋体" w:cs="宋体"/>
                <w:b/>
                <w:bCs/>
                <w:i w:val="0"/>
                <w:iCs w:val="0"/>
                <w:color w:val="000000"/>
                <w:kern w:val="0"/>
                <w:sz w:val="36"/>
                <w:szCs w:val="36"/>
                <w:u w:val="none"/>
                <w:lang w:val="en-US" w:eastAsia="zh-CN" w:bidi="ar"/>
              </w:rPr>
            </w:pPr>
          </w:p>
          <w:p>
            <w:pPr>
              <w:pStyle w:val="2"/>
              <w:rPr>
                <w:rFonts w:hint="eastAsia" w:ascii="宋体" w:hAnsi="宋体" w:eastAsia="宋体" w:cs="宋体"/>
                <w:b/>
                <w:bCs/>
                <w:i w:val="0"/>
                <w:iCs w:val="0"/>
                <w:color w:val="000000"/>
                <w:kern w:val="0"/>
                <w:sz w:val="36"/>
                <w:szCs w:val="36"/>
                <w:u w:val="none"/>
                <w:lang w:val="en-US" w:eastAsia="zh-CN" w:bidi="ar"/>
              </w:rPr>
            </w:pPr>
          </w:p>
          <w:p>
            <w:pPr>
              <w:pStyle w:val="2"/>
              <w:rPr>
                <w:rFonts w:hint="eastAsia" w:ascii="宋体" w:hAnsi="宋体" w:eastAsia="宋体" w:cs="宋体"/>
                <w:b/>
                <w:bCs/>
                <w:i w:val="0"/>
                <w:iCs w:val="0"/>
                <w:color w:val="000000"/>
                <w:kern w:val="0"/>
                <w:sz w:val="36"/>
                <w:szCs w:val="36"/>
                <w:u w:val="none"/>
                <w:lang w:val="en-US" w:eastAsia="zh-CN" w:bidi="ar"/>
              </w:rPr>
            </w:pPr>
          </w:p>
          <w:p>
            <w:pPr>
              <w:pStyle w:val="2"/>
              <w:rPr>
                <w:rFonts w:hint="eastAsia" w:ascii="宋体" w:hAnsi="宋体" w:eastAsia="宋体" w:cs="宋体"/>
                <w:b/>
                <w:bCs/>
                <w:i w:val="0"/>
                <w:iCs w:val="0"/>
                <w:color w:val="000000"/>
                <w:kern w:val="0"/>
                <w:sz w:val="36"/>
                <w:szCs w:val="36"/>
                <w:u w:val="none"/>
                <w:lang w:val="en-US" w:eastAsia="zh-CN" w:bidi="ar"/>
              </w:rPr>
            </w:pPr>
          </w:p>
          <w:p>
            <w:pPr>
              <w:pStyle w:val="2"/>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both"/>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7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7460" w:type="dxa"/>
            <w:gridSpan w:val="6"/>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8518" w:type="dxa"/>
            <w:gridSpan w:val="7"/>
            <w:tcBorders>
              <w:top w:val="nil"/>
              <w:left w:val="nil"/>
              <w:bottom w:val="nil"/>
              <w:right w:val="nil"/>
            </w:tcBorders>
            <w:shd w:val="clear" w:color="auto" w:fill="FFFFFF"/>
            <w:vAlign w:val="top"/>
          </w:tcPr>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pPr>
            <w:r>
              <w:rPr>
                <w:rFonts w:hint="eastAsia"/>
              </w:rPr>
              <w:t>供应商名称（公章）：</w:t>
            </w:r>
          </w:p>
          <w:p>
            <w:pPr>
              <w:spacing w:line="360" w:lineRule="auto"/>
              <w:ind w:left="420"/>
            </w:pPr>
          </w:p>
          <w:p>
            <w:pPr>
              <w:spacing w:line="360" w:lineRule="auto"/>
              <w:ind w:firstLine="435"/>
            </w:pPr>
            <w:r>
              <w:rPr>
                <w:rFonts w:hint="eastAsia"/>
              </w:rPr>
              <w:t>供应商代表签字</w:t>
            </w:r>
            <w:r>
              <w:rPr>
                <w:rFonts w:hint="eastAsia"/>
                <w:lang w:val="zh-CN"/>
              </w:rPr>
              <w:t>或电子印章</w:t>
            </w:r>
            <w:r>
              <w:rPr>
                <w:rFonts w:hint="eastAsia"/>
              </w:rPr>
              <w:t>：</w:t>
            </w:r>
          </w:p>
          <w:p>
            <w:pPr>
              <w:spacing w:line="360" w:lineRule="auto"/>
              <w:ind w:firstLine="435"/>
            </w:pPr>
          </w:p>
          <w:p>
            <w:pPr>
              <w:spacing w:line="360" w:lineRule="auto"/>
            </w:pPr>
          </w:p>
          <w:p>
            <w:pPr>
              <w:spacing w:line="360" w:lineRule="auto"/>
              <w:ind w:firstLine="435"/>
            </w:pPr>
            <w:r>
              <w:rPr>
                <w:rFonts w:hint="eastAsia"/>
              </w:rPr>
              <w:t>日        期：</w:t>
            </w:r>
          </w:p>
          <w:p>
            <w:pPr>
              <w:jc w:val="left"/>
              <w:rPr>
                <w:rFonts w:hint="default"/>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ind w:left="0" w:leftChars="0" w:firstLine="0" w:firstLineChars="0"/>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凿除原砼路面厚18cm</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原水泥混凝土路面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2387.250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边沟40cm*40cm</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现浇混凝土C20砼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637.500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M7.5浆砌片石挡墙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756745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009" w:hRule="atLeast"/>
        </w:trPr>
        <w:tc>
          <w:tcPr>
            <w:tcW w:w="8518" w:type="dxa"/>
            <w:gridSpan w:val="7"/>
            <w:tcBorders>
              <w:top w:val="nil"/>
              <w:left w:val="nil"/>
              <w:bottom w:val="nil"/>
              <w:right w:val="nil"/>
            </w:tcBorders>
            <w:shd w:val="clear" w:color="auto" w:fill="FFFFFF"/>
            <w:vAlign w:val="center"/>
          </w:tcPr>
          <w:p>
            <w:pPr>
              <w:jc w:val="left"/>
              <w:rPr>
                <w:rFonts w:hint="default"/>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spacing w:line="360" w:lineRule="auto"/>
              <w:ind w:firstLine="420" w:firstLineChars="200"/>
            </w:pPr>
            <w:r>
              <w:rPr>
                <w:rFonts w:hint="eastAsia"/>
              </w:rPr>
              <w:t>供应商名称（公章）：</w:t>
            </w:r>
          </w:p>
          <w:p>
            <w:pPr>
              <w:spacing w:line="360" w:lineRule="auto"/>
              <w:ind w:left="420"/>
            </w:pPr>
          </w:p>
          <w:p>
            <w:pPr>
              <w:spacing w:line="360" w:lineRule="auto"/>
              <w:ind w:firstLine="435"/>
            </w:pPr>
            <w:r>
              <w:rPr>
                <w:rFonts w:hint="eastAsia"/>
              </w:rPr>
              <w:t>供应商代表签字</w:t>
            </w:r>
            <w:r>
              <w:rPr>
                <w:rFonts w:hint="eastAsia"/>
                <w:lang w:val="zh-CN"/>
              </w:rPr>
              <w:t>或电子印章</w:t>
            </w:r>
            <w:r>
              <w:rPr>
                <w:rFonts w:hint="eastAsia"/>
              </w:rPr>
              <w:t>：</w:t>
            </w:r>
          </w:p>
          <w:p>
            <w:pPr>
              <w:spacing w:line="360" w:lineRule="auto"/>
              <w:ind w:firstLine="435"/>
            </w:pPr>
          </w:p>
          <w:p>
            <w:pPr>
              <w:spacing w:line="360" w:lineRule="auto"/>
            </w:pPr>
          </w:p>
          <w:p>
            <w:pPr>
              <w:spacing w:line="360" w:lineRule="auto"/>
              <w:ind w:firstLine="435"/>
            </w:pPr>
            <w:r>
              <w:rPr>
                <w:rFonts w:hint="eastAsia"/>
              </w:rPr>
              <w:t>日        期：</w:t>
            </w: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路床(槽)整形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13262.500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1.48</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厚180mm（混凝土弯拉强度4.5MPa）</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13262.500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132.41</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1756088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厚100mm（混凝土弯拉强度...MPa）</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1313.000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77.68</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2250.000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7.72</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植筋钢筋（钻孔、注浆、安装、钢筋）</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518.000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23.42</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65"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1907212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26" w:hRule="atLeast"/>
        </w:trPr>
        <w:tc>
          <w:tcPr>
            <w:tcW w:w="8518" w:type="dxa"/>
            <w:gridSpan w:val="7"/>
            <w:tcBorders>
              <w:top w:val="nil"/>
              <w:left w:val="nil"/>
              <w:bottom w:val="nil"/>
              <w:right w:val="nil"/>
            </w:tcBorders>
            <w:shd w:val="clear" w:color="auto" w:fill="FFFFFF"/>
            <w:vAlign w:val="center"/>
          </w:tcPr>
          <w:p>
            <w:pPr>
              <w:pStyle w:val="2"/>
              <w:rPr>
                <w:rFonts w:hint="default" w:ascii="SansSerif" w:hAnsi="SansSerif" w:eastAsia="SansSerif" w:cs="SansSerif"/>
                <w:i w:val="0"/>
                <w:iCs w:val="0"/>
                <w:color w:val="000000"/>
                <w:sz w:val="20"/>
                <w:szCs w:val="20"/>
                <w:u w:val="none"/>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pPr>
            <w:r>
              <w:rPr>
                <w:rFonts w:hint="eastAsia"/>
              </w:rPr>
              <w:t>供应商名称（公章）：</w:t>
            </w:r>
          </w:p>
          <w:p>
            <w:pPr>
              <w:spacing w:line="360" w:lineRule="auto"/>
              <w:ind w:left="420"/>
            </w:pPr>
          </w:p>
          <w:p>
            <w:pPr>
              <w:spacing w:line="360" w:lineRule="auto"/>
              <w:ind w:firstLine="435"/>
            </w:pPr>
            <w:r>
              <w:rPr>
                <w:rFonts w:hint="eastAsia"/>
              </w:rPr>
              <w:t>供应商代表签字</w:t>
            </w:r>
            <w:r>
              <w:rPr>
                <w:rFonts w:hint="eastAsia"/>
                <w:lang w:val="zh-CN"/>
              </w:rPr>
              <w:t>或电子印章</w:t>
            </w:r>
            <w:r>
              <w:rPr>
                <w:rFonts w:hint="eastAsia"/>
              </w:rPr>
              <w:t>：</w:t>
            </w:r>
          </w:p>
          <w:p>
            <w:pPr>
              <w:spacing w:line="360" w:lineRule="auto"/>
              <w:ind w:firstLine="435"/>
            </w:pPr>
          </w:p>
          <w:p>
            <w:pPr>
              <w:spacing w:line="360" w:lineRule="auto"/>
            </w:pPr>
          </w:p>
          <w:p>
            <w:pPr>
              <w:spacing w:line="360" w:lineRule="auto"/>
              <w:ind w:firstLine="435"/>
            </w:pPr>
            <w:r>
              <w:rPr>
                <w:rFonts w:hint="eastAsia"/>
              </w:rPr>
              <w:t>日        期：</w:t>
            </w: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rPr>
                <w:rFonts w:hint="default" w:ascii="SansSerif" w:hAnsi="SansSerif" w:eastAsia="SansSerif" w:cs="SansSerif"/>
                <w:i w:val="0"/>
                <w:iCs w:val="0"/>
                <w:color w:val="000000"/>
                <w:sz w:val="20"/>
                <w:szCs w:val="20"/>
                <w:u w:val="none"/>
              </w:rPr>
            </w:pPr>
          </w:p>
          <w:p>
            <w:pPr>
              <w:pStyle w:val="2"/>
              <w:ind w:left="0" w:leftChars="0" w:firstLine="0" w:firstLineChars="0"/>
              <w:rPr>
                <w:rFonts w:hint="default" w:ascii="SansSerif" w:hAnsi="SansSerif" w:eastAsia="SansSerif" w:cs="SansSerif"/>
                <w:i w:val="0"/>
                <w:iCs w:val="0"/>
                <w:color w:val="000000"/>
                <w:sz w:val="20"/>
                <w:szCs w:val="20"/>
                <w:u w:val="none"/>
              </w:rPr>
            </w:pPr>
          </w:p>
          <w:p>
            <w:pPr>
              <w:jc w:val="left"/>
              <w:rPr>
                <w:rFonts w:hint="default" w:ascii="SansSerif" w:hAnsi="SansSerif" w:eastAsia="SansSerif" w:cs="SansSerif"/>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单孔钢筋混凝土圆管涵D500mm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3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00" w:hRule="atLeast"/>
        </w:trPr>
        <w:tc>
          <w:tcPr>
            <w:tcW w:w="8518" w:type="dxa"/>
            <w:gridSpan w:val="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ind w:left="0" w:leftChars="0" w:firstLine="0" w:firstLineChars="0"/>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spacing w:line="360" w:lineRule="auto"/>
              <w:ind w:firstLine="420" w:firstLineChars="200"/>
            </w:pPr>
            <w:r>
              <w:rPr>
                <w:rFonts w:hint="eastAsia"/>
              </w:rPr>
              <w:t>供应商名称（公章）：</w:t>
            </w:r>
          </w:p>
          <w:p>
            <w:pPr>
              <w:spacing w:line="360" w:lineRule="auto"/>
              <w:ind w:left="420"/>
            </w:pPr>
          </w:p>
          <w:p>
            <w:pPr>
              <w:spacing w:line="360" w:lineRule="auto"/>
              <w:ind w:firstLine="435"/>
            </w:pPr>
            <w:r>
              <w:rPr>
                <w:rFonts w:hint="eastAsia"/>
              </w:rPr>
              <w:t>供应商代表签字</w:t>
            </w:r>
            <w:r>
              <w:rPr>
                <w:rFonts w:hint="eastAsia"/>
                <w:lang w:val="zh-CN"/>
              </w:rPr>
              <w:t>或电子印章</w:t>
            </w:r>
            <w:r>
              <w:rPr>
                <w:rFonts w:hint="eastAsia"/>
              </w:rPr>
              <w:t>：</w:t>
            </w:r>
          </w:p>
          <w:p>
            <w:pPr>
              <w:spacing w:line="360" w:lineRule="auto"/>
              <w:ind w:firstLine="435"/>
            </w:pPr>
          </w:p>
          <w:p>
            <w:pPr>
              <w:spacing w:line="360" w:lineRule="auto"/>
            </w:pPr>
          </w:p>
          <w:p>
            <w:pPr>
              <w:spacing w:line="360" w:lineRule="auto"/>
              <w:ind w:firstLine="435"/>
            </w:pPr>
            <w:r>
              <w:rPr>
                <w:rFonts w:hint="eastAsia"/>
              </w:rPr>
              <w:t>日        期：</w:t>
            </w: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rPr>
                <w:rFonts w:hint="eastAsia" w:ascii="宋体" w:hAnsi="宋体" w:eastAsia="宋体" w:cs="宋体"/>
                <w:i w:val="0"/>
                <w:iCs w:val="0"/>
                <w:color w:val="000000"/>
                <w:sz w:val="16"/>
                <w:szCs w:val="16"/>
                <w:u w:val="none"/>
              </w:rPr>
            </w:pPr>
          </w:p>
          <w:p>
            <w:pPr>
              <w:pStyle w:val="2"/>
              <w:ind w:left="0" w:leftChars="0"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0" w:hRule="atLeast"/>
        </w:trPr>
        <w:tc>
          <w:tcPr>
            <w:tcW w:w="8518" w:type="dxa"/>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463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合同段：三门县浦坝港镇小岭下至从岙道 路提升改造工程</w:t>
            </w:r>
          </w:p>
        </w:tc>
        <w:tc>
          <w:tcPr>
            <w:tcW w:w="2821" w:type="dxa"/>
            <w:gridSpan w:val="4"/>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8518" w:type="dxa"/>
            <w:gridSpan w:val="7"/>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路侧波形梁钢护栏修复（拆、装）</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776.000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水泥路热熔型涂料路面标线线宽15cm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1161.000</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8518"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bl>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pPr>
      <w:r>
        <w:rPr>
          <w:rFonts w:hint="eastAsia"/>
        </w:rPr>
        <w:t>供应商名称（公章）：</w:t>
      </w:r>
    </w:p>
    <w:p>
      <w:pPr>
        <w:spacing w:line="360" w:lineRule="auto"/>
        <w:ind w:left="420"/>
      </w:pPr>
    </w:p>
    <w:p>
      <w:pPr>
        <w:spacing w:line="360" w:lineRule="auto"/>
        <w:ind w:firstLine="435"/>
      </w:pPr>
      <w:r>
        <w:rPr>
          <w:rFonts w:hint="eastAsia"/>
        </w:rPr>
        <w:t>供应商代表签字</w:t>
      </w:r>
      <w:r>
        <w:rPr>
          <w:rFonts w:hint="eastAsia"/>
          <w:lang w:val="zh-CN"/>
        </w:rPr>
        <w:t>或电子印章</w:t>
      </w:r>
      <w:r>
        <w:rPr>
          <w:rFonts w:hint="eastAsia"/>
        </w:rPr>
        <w:t>：</w:t>
      </w:r>
    </w:p>
    <w:p>
      <w:pPr>
        <w:spacing w:line="360" w:lineRule="auto"/>
        <w:ind w:firstLine="435"/>
      </w:pPr>
    </w:p>
    <w:p>
      <w:pPr>
        <w:spacing w:line="360" w:lineRule="auto"/>
      </w:pPr>
    </w:p>
    <w:p>
      <w:pPr>
        <w:spacing w:line="360" w:lineRule="auto"/>
        <w:ind w:firstLine="435"/>
      </w:pPr>
      <w:r>
        <w:rPr>
          <w:rFonts w:hint="eastAsia"/>
        </w:rPr>
        <w:t>日        期：</w:t>
      </w:r>
    </w:p>
    <w:p/>
    <w:sectPr>
      <w:headerReference r:id="rId7" w:type="default"/>
      <w:footerReference r:id="rId8" w:type="default"/>
      <w:pgSz w:w="11906" w:h="16838"/>
      <w:pgMar w:top="1440" w:right="1416" w:bottom="1440" w:left="156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docPartObj>
        <w:docPartGallery w:val="autotext"/>
      </w:docPartObj>
    </w:sdtPr>
    <w:sdtContent>
      <w:p>
        <w:pPr>
          <w:pStyle w:val="28"/>
          <w:jc w:val="center"/>
        </w:pPr>
        <w:r>
          <w:fldChar w:fldCharType="begin"/>
        </w:r>
        <w:r>
          <w:instrText xml:space="preserve">PAGE   \* MERGEFORMAT</w:instrText>
        </w:r>
        <w:r>
          <w:fldChar w:fldCharType="separate"/>
        </w:r>
        <w:r>
          <w:rPr>
            <w:lang w:val="zh-CN"/>
          </w:rPr>
          <w:t>1</w:t>
        </w:r>
        <w:r>
          <w:fldChar w:fldCharType="end"/>
        </w:r>
      </w:p>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513"/>
        <w:tab w:val="right" w:pos="9026"/>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3175" b="1270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8"/>
                            <w:tabs>
                              <w:tab w:val="center" w:pos="4513"/>
                              <w:tab w:val="right" w:pos="9026"/>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pPr>
                      <w:pStyle w:val="28"/>
                      <w:tabs>
                        <w:tab w:val="center" w:pos="4513"/>
                        <w:tab w:val="right" w:pos="9026"/>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pPr>
          <w:pStyle w:val="28"/>
          <w:jc w:val="center"/>
        </w:pPr>
        <w:r>
          <w:fldChar w:fldCharType="begin"/>
        </w:r>
        <w:r>
          <w:instrText xml:space="preserve">PAGE   \* MERGEFORMAT</w:instrText>
        </w:r>
        <w:r>
          <w:fldChar w:fldCharType="separate"/>
        </w:r>
        <w:r>
          <w:rPr>
            <w:lang w:val="zh-CN"/>
          </w:rPr>
          <w:t>85</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rPr>
        <w:rFonts w:eastAsia="黑体"/>
        <w:sz w:val="21"/>
        <w:szCs w:val="21"/>
      </w:rPr>
    </w:pPr>
  </w:p>
  <w:p>
    <w:pPr>
      <w:pStyle w:val="29"/>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9"/>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FF4D4BA8"/>
    <w:multiLevelType w:val="singleLevel"/>
    <w:tmpl w:val="FF4D4BA8"/>
    <w:lvl w:ilvl="0" w:tentative="0">
      <w:start w:val="1"/>
      <w:numFmt w:val="decimal"/>
      <w:lvlText w:val="%1."/>
      <w:lvlJc w:val="left"/>
      <w:pPr>
        <w:ind w:left="425" w:hanging="425"/>
      </w:pPr>
      <w:rPr>
        <w:rFonts w:hint="default"/>
      </w:rPr>
    </w:lvl>
  </w:abstractNum>
  <w:abstractNum w:abstractNumId="4">
    <w:nsid w:val="0ED2C79B"/>
    <w:multiLevelType w:val="singleLevel"/>
    <w:tmpl w:val="0ED2C79B"/>
    <w:lvl w:ilvl="0" w:tentative="0">
      <w:start w:val="1"/>
      <w:numFmt w:val="decimal"/>
      <w:pStyle w:val="15"/>
      <w:lvlText w:val="%1."/>
      <w:lvlJc w:val="left"/>
      <w:pPr>
        <w:tabs>
          <w:tab w:val="left" w:pos="360"/>
        </w:tabs>
        <w:ind w:left="360" w:hanging="360"/>
      </w:pPr>
    </w:lvl>
  </w:abstractNum>
  <w:abstractNum w:abstractNumId="5">
    <w:nsid w:val="30BA2ABA"/>
    <w:multiLevelType w:val="singleLevel"/>
    <w:tmpl w:val="30BA2ABA"/>
    <w:lvl w:ilvl="0" w:tentative="0">
      <w:start w:val="1"/>
      <w:numFmt w:val="chineseCounting"/>
      <w:suff w:val="nothing"/>
      <w:lvlText w:val="%1、"/>
      <w:lvlJc w:val="left"/>
      <w:rPr>
        <w:rFonts w:hint="eastAsia"/>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C5AB4FD"/>
    <w:multiLevelType w:val="multilevel"/>
    <w:tmpl w:val="4C5AB4FD"/>
    <w:lvl w:ilvl="0" w:tentative="0">
      <w:start w:val="1"/>
      <w:numFmt w:val="decimal"/>
      <w:lvlText w:val="%1."/>
      <w:lvlJc w:val="left"/>
      <w:pPr>
        <w:tabs>
          <w:tab w:val="left" w:pos="312"/>
        </w:tabs>
      </w:pPr>
    </w:lvl>
    <w:lvl w:ilvl="1" w:tentative="0">
      <w:start w:val="7"/>
      <w:numFmt w:val="decimal"/>
      <w:isLgl/>
      <w:lvlText w:val="%1.%2"/>
      <w:lvlJc w:val="left"/>
      <w:pPr>
        <w:ind w:left="840" w:hanging="630"/>
      </w:pPr>
      <w:rPr>
        <w:rFonts w:hint="default"/>
      </w:rPr>
    </w:lvl>
    <w:lvl w:ilvl="2" w:tentative="0">
      <w:start w:val="2"/>
      <w:numFmt w:val="decimal"/>
      <w:isLgl/>
      <w:lvlText w:val="%1.%2.%3"/>
      <w:lvlJc w:val="left"/>
      <w:pPr>
        <w:ind w:left="1140" w:hanging="720"/>
      </w:pPr>
      <w:rPr>
        <w:rFonts w:hint="default"/>
      </w:rPr>
    </w:lvl>
    <w:lvl w:ilvl="3" w:tentative="0">
      <w:start w:val="1"/>
      <w:numFmt w:val="decimal"/>
      <w:isLgl/>
      <w:lvlText w:val="%1.%2.%3.%4"/>
      <w:lvlJc w:val="left"/>
      <w:pPr>
        <w:ind w:left="1350" w:hanging="720"/>
      </w:pPr>
      <w:rPr>
        <w:rFonts w:hint="default"/>
      </w:rPr>
    </w:lvl>
    <w:lvl w:ilvl="4" w:tentative="0">
      <w:start w:val="1"/>
      <w:numFmt w:val="decimal"/>
      <w:isLgl/>
      <w:lvlText w:val="%1.%2.%3.%4.%5"/>
      <w:lvlJc w:val="left"/>
      <w:pPr>
        <w:ind w:left="1920" w:hanging="1080"/>
      </w:pPr>
      <w:rPr>
        <w:rFonts w:hint="default"/>
      </w:rPr>
    </w:lvl>
    <w:lvl w:ilvl="5" w:tentative="0">
      <w:start w:val="1"/>
      <w:numFmt w:val="decimal"/>
      <w:isLgl/>
      <w:lvlText w:val="%1.%2.%3.%4.%5.%6"/>
      <w:lvlJc w:val="left"/>
      <w:pPr>
        <w:ind w:left="2130" w:hanging="1080"/>
      </w:pPr>
      <w:rPr>
        <w:rFonts w:hint="default"/>
      </w:rPr>
    </w:lvl>
    <w:lvl w:ilvl="6" w:tentative="0">
      <w:start w:val="1"/>
      <w:numFmt w:val="decimal"/>
      <w:isLgl/>
      <w:lvlText w:val="%1.%2.%3.%4.%5.%6.%7"/>
      <w:lvlJc w:val="left"/>
      <w:pPr>
        <w:ind w:left="2340" w:hanging="1080"/>
      </w:pPr>
      <w:rPr>
        <w:rFonts w:hint="default"/>
      </w:rPr>
    </w:lvl>
    <w:lvl w:ilvl="7" w:tentative="0">
      <w:start w:val="1"/>
      <w:numFmt w:val="decimal"/>
      <w:isLgl/>
      <w:lvlText w:val="%1.%2.%3.%4.%5.%6.%7.%8"/>
      <w:lvlJc w:val="left"/>
      <w:pPr>
        <w:ind w:left="2910" w:hanging="1440"/>
      </w:pPr>
      <w:rPr>
        <w:rFonts w:hint="default"/>
      </w:rPr>
    </w:lvl>
    <w:lvl w:ilvl="8" w:tentative="0">
      <w:start w:val="1"/>
      <w:numFmt w:val="decimal"/>
      <w:isLgl/>
      <w:lvlText w:val="%1.%2.%3.%4.%5.%6.%7.%8.%9"/>
      <w:lvlJc w:val="left"/>
      <w:pPr>
        <w:ind w:left="3120" w:hanging="1440"/>
      </w:pPr>
      <w:rPr>
        <w:rFonts w:hint="default"/>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num w:numId="1">
    <w:abstractNumId w:val="1"/>
  </w:num>
  <w:num w:numId="2">
    <w:abstractNumId w:val="4"/>
  </w:num>
  <w:num w:numId="3">
    <w:abstractNumId w:val="8"/>
  </w:num>
  <w:num w:numId="4">
    <w:abstractNumId w:val="6"/>
  </w:num>
  <w:num w:numId="5">
    <w:abstractNumId w:val="5"/>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jA5YmRmOTQzMmE0ZDI0OWZjYzZmNTkyNDNlY2M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40DBF"/>
    <w:rsid w:val="00041393"/>
    <w:rsid w:val="0004199B"/>
    <w:rsid w:val="000427D0"/>
    <w:rsid w:val="00044852"/>
    <w:rsid w:val="000478A1"/>
    <w:rsid w:val="00055ED3"/>
    <w:rsid w:val="0005754D"/>
    <w:rsid w:val="00064ADF"/>
    <w:rsid w:val="00065274"/>
    <w:rsid w:val="0006666C"/>
    <w:rsid w:val="0006715C"/>
    <w:rsid w:val="00067BD5"/>
    <w:rsid w:val="00072E3C"/>
    <w:rsid w:val="000743EC"/>
    <w:rsid w:val="000763DC"/>
    <w:rsid w:val="00082F2E"/>
    <w:rsid w:val="00087C66"/>
    <w:rsid w:val="0009262D"/>
    <w:rsid w:val="00092AD8"/>
    <w:rsid w:val="00092CBE"/>
    <w:rsid w:val="000936CC"/>
    <w:rsid w:val="000A0B65"/>
    <w:rsid w:val="000A603E"/>
    <w:rsid w:val="000B71D2"/>
    <w:rsid w:val="000C2963"/>
    <w:rsid w:val="000C5445"/>
    <w:rsid w:val="000D7511"/>
    <w:rsid w:val="000E5C92"/>
    <w:rsid w:val="000F1747"/>
    <w:rsid w:val="000F1AE0"/>
    <w:rsid w:val="000F5BBC"/>
    <w:rsid w:val="0010471D"/>
    <w:rsid w:val="00106B91"/>
    <w:rsid w:val="00110248"/>
    <w:rsid w:val="00110B5B"/>
    <w:rsid w:val="001201C6"/>
    <w:rsid w:val="00121B09"/>
    <w:rsid w:val="00130366"/>
    <w:rsid w:val="00132A4F"/>
    <w:rsid w:val="00135696"/>
    <w:rsid w:val="00144193"/>
    <w:rsid w:val="0015315B"/>
    <w:rsid w:val="00156EFF"/>
    <w:rsid w:val="001574D2"/>
    <w:rsid w:val="00166AF5"/>
    <w:rsid w:val="001732F5"/>
    <w:rsid w:val="00181B14"/>
    <w:rsid w:val="00182B60"/>
    <w:rsid w:val="00183BA2"/>
    <w:rsid w:val="001852A2"/>
    <w:rsid w:val="00192704"/>
    <w:rsid w:val="00192977"/>
    <w:rsid w:val="001955AD"/>
    <w:rsid w:val="001A1EE4"/>
    <w:rsid w:val="001A3628"/>
    <w:rsid w:val="001A3721"/>
    <w:rsid w:val="001A42C7"/>
    <w:rsid w:val="001A68BA"/>
    <w:rsid w:val="001A6D4A"/>
    <w:rsid w:val="001B437A"/>
    <w:rsid w:val="001C05E9"/>
    <w:rsid w:val="001C0D13"/>
    <w:rsid w:val="001D2604"/>
    <w:rsid w:val="001D4982"/>
    <w:rsid w:val="001D4CE1"/>
    <w:rsid w:val="001D5270"/>
    <w:rsid w:val="001D77FC"/>
    <w:rsid w:val="001F6A2C"/>
    <w:rsid w:val="00201A2D"/>
    <w:rsid w:val="00202658"/>
    <w:rsid w:val="002031CE"/>
    <w:rsid w:val="002069EB"/>
    <w:rsid w:val="002074FA"/>
    <w:rsid w:val="00212F91"/>
    <w:rsid w:val="00215F47"/>
    <w:rsid w:val="00217300"/>
    <w:rsid w:val="00221BF3"/>
    <w:rsid w:val="002279BB"/>
    <w:rsid w:val="002326E7"/>
    <w:rsid w:val="0023296E"/>
    <w:rsid w:val="00237561"/>
    <w:rsid w:val="00241A01"/>
    <w:rsid w:val="00246C0C"/>
    <w:rsid w:val="002473F7"/>
    <w:rsid w:val="00257D13"/>
    <w:rsid w:val="002612A0"/>
    <w:rsid w:val="00262C1D"/>
    <w:rsid w:val="00263544"/>
    <w:rsid w:val="0026793C"/>
    <w:rsid w:val="00274D2A"/>
    <w:rsid w:val="002751D7"/>
    <w:rsid w:val="0027702F"/>
    <w:rsid w:val="00277043"/>
    <w:rsid w:val="00285818"/>
    <w:rsid w:val="002916B8"/>
    <w:rsid w:val="00295B33"/>
    <w:rsid w:val="002A0387"/>
    <w:rsid w:val="002A2A49"/>
    <w:rsid w:val="002A4F7F"/>
    <w:rsid w:val="002A742B"/>
    <w:rsid w:val="002A7680"/>
    <w:rsid w:val="002B7D9D"/>
    <w:rsid w:val="002C0861"/>
    <w:rsid w:val="002C50EC"/>
    <w:rsid w:val="002C7391"/>
    <w:rsid w:val="002C7ABC"/>
    <w:rsid w:val="002D14E6"/>
    <w:rsid w:val="002D672D"/>
    <w:rsid w:val="002E283F"/>
    <w:rsid w:val="002E347E"/>
    <w:rsid w:val="002E43E2"/>
    <w:rsid w:val="002F0D5D"/>
    <w:rsid w:val="002F2ED1"/>
    <w:rsid w:val="002F5D25"/>
    <w:rsid w:val="003011C1"/>
    <w:rsid w:val="00303A2B"/>
    <w:rsid w:val="003070F5"/>
    <w:rsid w:val="00311B76"/>
    <w:rsid w:val="00313E39"/>
    <w:rsid w:val="00315916"/>
    <w:rsid w:val="003226F2"/>
    <w:rsid w:val="003439E2"/>
    <w:rsid w:val="00347964"/>
    <w:rsid w:val="00351603"/>
    <w:rsid w:val="003531DF"/>
    <w:rsid w:val="003550F9"/>
    <w:rsid w:val="0036114A"/>
    <w:rsid w:val="00367F67"/>
    <w:rsid w:val="00372FC6"/>
    <w:rsid w:val="003757A8"/>
    <w:rsid w:val="00381D88"/>
    <w:rsid w:val="00382414"/>
    <w:rsid w:val="00383205"/>
    <w:rsid w:val="003905A9"/>
    <w:rsid w:val="00396E5C"/>
    <w:rsid w:val="003A2949"/>
    <w:rsid w:val="003A3141"/>
    <w:rsid w:val="003B6CF0"/>
    <w:rsid w:val="003D00F5"/>
    <w:rsid w:val="003D2492"/>
    <w:rsid w:val="003D40AB"/>
    <w:rsid w:val="003D5EC6"/>
    <w:rsid w:val="003E0489"/>
    <w:rsid w:val="003E0DE9"/>
    <w:rsid w:val="003E5402"/>
    <w:rsid w:val="003F362B"/>
    <w:rsid w:val="003F6388"/>
    <w:rsid w:val="003F7DC8"/>
    <w:rsid w:val="00400660"/>
    <w:rsid w:val="00404F76"/>
    <w:rsid w:val="00410484"/>
    <w:rsid w:val="004171EA"/>
    <w:rsid w:val="00423AD6"/>
    <w:rsid w:val="004271FF"/>
    <w:rsid w:val="00435F95"/>
    <w:rsid w:val="004375A9"/>
    <w:rsid w:val="00437E26"/>
    <w:rsid w:val="00440593"/>
    <w:rsid w:val="00440C02"/>
    <w:rsid w:val="004436FC"/>
    <w:rsid w:val="004440D4"/>
    <w:rsid w:val="0044640B"/>
    <w:rsid w:val="00450852"/>
    <w:rsid w:val="004554A0"/>
    <w:rsid w:val="0046092C"/>
    <w:rsid w:val="00466526"/>
    <w:rsid w:val="00467423"/>
    <w:rsid w:val="00474CB6"/>
    <w:rsid w:val="0049108E"/>
    <w:rsid w:val="004929F6"/>
    <w:rsid w:val="00492F8C"/>
    <w:rsid w:val="00495307"/>
    <w:rsid w:val="004A17A1"/>
    <w:rsid w:val="004A2BF4"/>
    <w:rsid w:val="004A45CB"/>
    <w:rsid w:val="004A4822"/>
    <w:rsid w:val="004B79A9"/>
    <w:rsid w:val="004C3602"/>
    <w:rsid w:val="004C3A08"/>
    <w:rsid w:val="004C71B2"/>
    <w:rsid w:val="004C75A3"/>
    <w:rsid w:val="004D2719"/>
    <w:rsid w:val="004E347F"/>
    <w:rsid w:val="004F105D"/>
    <w:rsid w:val="004F30B1"/>
    <w:rsid w:val="004F3F1B"/>
    <w:rsid w:val="004F4E1C"/>
    <w:rsid w:val="004F7F1C"/>
    <w:rsid w:val="0051097F"/>
    <w:rsid w:val="005152B7"/>
    <w:rsid w:val="00515CC5"/>
    <w:rsid w:val="00521802"/>
    <w:rsid w:val="00521CDC"/>
    <w:rsid w:val="0053580E"/>
    <w:rsid w:val="00535BD9"/>
    <w:rsid w:val="00541101"/>
    <w:rsid w:val="0054301F"/>
    <w:rsid w:val="005444D6"/>
    <w:rsid w:val="00552670"/>
    <w:rsid w:val="00554497"/>
    <w:rsid w:val="00560528"/>
    <w:rsid w:val="00561693"/>
    <w:rsid w:val="00565CBE"/>
    <w:rsid w:val="005678F3"/>
    <w:rsid w:val="00573DF1"/>
    <w:rsid w:val="005763A2"/>
    <w:rsid w:val="00585464"/>
    <w:rsid w:val="00587641"/>
    <w:rsid w:val="00590F7D"/>
    <w:rsid w:val="005A3414"/>
    <w:rsid w:val="005A3E8A"/>
    <w:rsid w:val="005B038A"/>
    <w:rsid w:val="005B0FAF"/>
    <w:rsid w:val="005B29DA"/>
    <w:rsid w:val="005B6D0A"/>
    <w:rsid w:val="005B6D72"/>
    <w:rsid w:val="005B7A33"/>
    <w:rsid w:val="005B7D62"/>
    <w:rsid w:val="005C2BF8"/>
    <w:rsid w:val="005C70C3"/>
    <w:rsid w:val="005D64D9"/>
    <w:rsid w:val="005E0B3C"/>
    <w:rsid w:val="005E2705"/>
    <w:rsid w:val="005E2803"/>
    <w:rsid w:val="005F2EC6"/>
    <w:rsid w:val="005F3AAE"/>
    <w:rsid w:val="005F6A81"/>
    <w:rsid w:val="00600F26"/>
    <w:rsid w:val="00602276"/>
    <w:rsid w:val="00610FF0"/>
    <w:rsid w:val="0061248B"/>
    <w:rsid w:val="006220F8"/>
    <w:rsid w:val="00624088"/>
    <w:rsid w:val="00624746"/>
    <w:rsid w:val="0063071E"/>
    <w:rsid w:val="0063286C"/>
    <w:rsid w:val="00640021"/>
    <w:rsid w:val="006406C7"/>
    <w:rsid w:val="00645114"/>
    <w:rsid w:val="006475C2"/>
    <w:rsid w:val="00650D2B"/>
    <w:rsid w:val="00653F9F"/>
    <w:rsid w:val="0065593E"/>
    <w:rsid w:val="00662BAD"/>
    <w:rsid w:val="006714B4"/>
    <w:rsid w:val="00674568"/>
    <w:rsid w:val="00675F04"/>
    <w:rsid w:val="0067788B"/>
    <w:rsid w:val="00677AE1"/>
    <w:rsid w:val="00681A56"/>
    <w:rsid w:val="00682E28"/>
    <w:rsid w:val="00683A77"/>
    <w:rsid w:val="0069085E"/>
    <w:rsid w:val="00694882"/>
    <w:rsid w:val="00696A52"/>
    <w:rsid w:val="006A27BF"/>
    <w:rsid w:val="006B236F"/>
    <w:rsid w:val="006B2AE8"/>
    <w:rsid w:val="006B39FE"/>
    <w:rsid w:val="006B4CDC"/>
    <w:rsid w:val="006B50A5"/>
    <w:rsid w:val="006B7769"/>
    <w:rsid w:val="006C0125"/>
    <w:rsid w:val="006C2CC0"/>
    <w:rsid w:val="006C4D83"/>
    <w:rsid w:val="006D1BBC"/>
    <w:rsid w:val="006D1CF0"/>
    <w:rsid w:val="006D22C5"/>
    <w:rsid w:val="006D3C93"/>
    <w:rsid w:val="006D68E1"/>
    <w:rsid w:val="006D6DBE"/>
    <w:rsid w:val="006E1501"/>
    <w:rsid w:val="006E4395"/>
    <w:rsid w:val="006E5203"/>
    <w:rsid w:val="006F4DD3"/>
    <w:rsid w:val="007028B0"/>
    <w:rsid w:val="007062C1"/>
    <w:rsid w:val="007063DF"/>
    <w:rsid w:val="00710C06"/>
    <w:rsid w:val="00716683"/>
    <w:rsid w:val="0071796A"/>
    <w:rsid w:val="00717EAF"/>
    <w:rsid w:val="00720B96"/>
    <w:rsid w:val="007212EF"/>
    <w:rsid w:val="00723AA9"/>
    <w:rsid w:val="00725FF1"/>
    <w:rsid w:val="00730D67"/>
    <w:rsid w:val="00732826"/>
    <w:rsid w:val="0074322A"/>
    <w:rsid w:val="007449D4"/>
    <w:rsid w:val="00746868"/>
    <w:rsid w:val="00747C77"/>
    <w:rsid w:val="0075534B"/>
    <w:rsid w:val="0075760E"/>
    <w:rsid w:val="00761810"/>
    <w:rsid w:val="00763064"/>
    <w:rsid w:val="007701F8"/>
    <w:rsid w:val="00770C5E"/>
    <w:rsid w:val="00773FAC"/>
    <w:rsid w:val="007868E2"/>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709E"/>
    <w:rsid w:val="007F146F"/>
    <w:rsid w:val="007F6B71"/>
    <w:rsid w:val="007F73FB"/>
    <w:rsid w:val="00811D3B"/>
    <w:rsid w:val="00814DAE"/>
    <w:rsid w:val="0081510A"/>
    <w:rsid w:val="00815D3D"/>
    <w:rsid w:val="008163C8"/>
    <w:rsid w:val="008206C6"/>
    <w:rsid w:val="00827B31"/>
    <w:rsid w:val="00834AAD"/>
    <w:rsid w:val="00834D55"/>
    <w:rsid w:val="008448BF"/>
    <w:rsid w:val="00845E92"/>
    <w:rsid w:val="00851CF6"/>
    <w:rsid w:val="008571C1"/>
    <w:rsid w:val="00861EF2"/>
    <w:rsid w:val="008655E8"/>
    <w:rsid w:val="008727D4"/>
    <w:rsid w:val="0088343A"/>
    <w:rsid w:val="00885971"/>
    <w:rsid w:val="0089301A"/>
    <w:rsid w:val="008A6ACB"/>
    <w:rsid w:val="008B2D94"/>
    <w:rsid w:val="008B4866"/>
    <w:rsid w:val="008B60E5"/>
    <w:rsid w:val="008B6803"/>
    <w:rsid w:val="008B744A"/>
    <w:rsid w:val="008C29A4"/>
    <w:rsid w:val="008C40A4"/>
    <w:rsid w:val="008C5D41"/>
    <w:rsid w:val="008D31DD"/>
    <w:rsid w:val="008E5ED1"/>
    <w:rsid w:val="008E6236"/>
    <w:rsid w:val="008E700A"/>
    <w:rsid w:val="008F1667"/>
    <w:rsid w:val="008F1CFB"/>
    <w:rsid w:val="00907729"/>
    <w:rsid w:val="009127F0"/>
    <w:rsid w:val="00912B81"/>
    <w:rsid w:val="0091575C"/>
    <w:rsid w:val="00922120"/>
    <w:rsid w:val="009221E6"/>
    <w:rsid w:val="00922B8C"/>
    <w:rsid w:val="00935AFC"/>
    <w:rsid w:val="0094334D"/>
    <w:rsid w:val="009505C3"/>
    <w:rsid w:val="0095457C"/>
    <w:rsid w:val="009547D7"/>
    <w:rsid w:val="00956DC7"/>
    <w:rsid w:val="009577BD"/>
    <w:rsid w:val="0096677B"/>
    <w:rsid w:val="00971028"/>
    <w:rsid w:val="00971C6A"/>
    <w:rsid w:val="00973A23"/>
    <w:rsid w:val="00975C79"/>
    <w:rsid w:val="0097750D"/>
    <w:rsid w:val="00977F4E"/>
    <w:rsid w:val="009853D2"/>
    <w:rsid w:val="009866F6"/>
    <w:rsid w:val="00987EDA"/>
    <w:rsid w:val="00993B9D"/>
    <w:rsid w:val="00994B05"/>
    <w:rsid w:val="009B4A3A"/>
    <w:rsid w:val="009C1552"/>
    <w:rsid w:val="009C7CE4"/>
    <w:rsid w:val="009D14A5"/>
    <w:rsid w:val="009D4B02"/>
    <w:rsid w:val="009E0404"/>
    <w:rsid w:val="009E40DA"/>
    <w:rsid w:val="009F29DB"/>
    <w:rsid w:val="00A01848"/>
    <w:rsid w:val="00A025F8"/>
    <w:rsid w:val="00A12CA0"/>
    <w:rsid w:val="00A1465C"/>
    <w:rsid w:val="00A20592"/>
    <w:rsid w:val="00A309B4"/>
    <w:rsid w:val="00A34020"/>
    <w:rsid w:val="00A344D1"/>
    <w:rsid w:val="00A3492F"/>
    <w:rsid w:val="00A367C9"/>
    <w:rsid w:val="00A40009"/>
    <w:rsid w:val="00A40112"/>
    <w:rsid w:val="00A42D99"/>
    <w:rsid w:val="00A43D48"/>
    <w:rsid w:val="00A44E60"/>
    <w:rsid w:val="00A4540F"/>
    <w:rsid w:val="00A53683"/>
    <w:rsid w:val="00A6797E"/>
    <w:rsid w:val="00A73013"/>
    <w:rsid w:val="00A82F8E"/>
    <w:rsid w:val="00A921FD"/>
    <w:rsid w:val="00A939F4"/>
    <w:rsid w:val="00A93C47"/>
    <w:rsid w:val="00AA1F95"/>
    <w:rsid w:val="00AA20E1"/>
    <w:rsid w:val="00AA367D"/>
    <w:rsid w:val="00AA4B2F"/>
    <w:rsid w:val="00AB1969"/>
    <w:rsid w:val="00AB49B7"/>
    <w:rsid w:val="00AB5516"/>
    <w:rsid w:val="00AC055E"/>
    <w:rsid w:val="00AC3816"/>
    <w:rsid w:val="00AC58A6"/>
    <w:rsid w:val="00AC7193"/>
    <w:rsid w:val="00AC7FEA"/>
    <w:rsid w:val="00AD4E1A"/>
    <w:rsid w:val="00AE0B4C"/>
    <w:rsid w:val="00AE4CA0"/>
    <w:rsid w:val="00AF01C5"/>
    <w:rsid w:val="00AF09A4"/>
    <w:rsid w:val="00AF301B"/>
    <w:rsid w:val="00AF3A74"/>
    <w:rsid w:val="00AF5348"/>
    <w:rsid w:val="00B0648C"/>
    <w:rsid w:val="00B13945"/>
    <w:rsid w:val="00B15334"/>
    <w:rsid w:val="00B23BEC"/>
    <w:rsid w:val="00B2542E"/>
    <w:rsid w:val="00B25F56"/>
    <w:rsid w:val="00B30588"/>
    <w:rsid w:val="00B33553"/>
    <w:rsid w:val="00B374C6"/>
    <w:rsid w:val="00B40398"/>
    <w:rsid w:val="00B44FF3"/>
    <w:rsid w:val="00B460E9"/>
    <w:rsid w:val="00B576AF"/>
    <w:rsid w:val="00B67F14"/>
    <w:rsid w:val="00B72465"/>
    <w:rsid w:val="00B76D15"/>
    <w:rsid w:val="00B83059"/>
    <w:rsid w:val="00B85517"/>
    <w:rsid w:val="00B8609A"/>
    <w:rsid w:val="00B9427F"/>
    <w:rsid w:val="00BA0731"/>
    <w:rsid w:val="00BA327F"/>
    <w:rsid w:val="00BA4CA5"/>
    <w:rsid w:val="00BB04DC"/>
    <w:rsid w:val="00BB2254"/>
    <w:rsid w:val="00BB4AC7"/>
    <w:rsid w:val="00BC10CE"/>
    <w:rsid w:val="00BC3629"/>
    <w:rsid w:val="00BC6CCE"/>
    <w:rsid w:val="00BD1BBF"/>
    <w:rsid w:val="00BD51C1"/>
    <w:rsid w:val="00C02EE3"/>
    <w:rsid w:val="00C17091"/>
    <w:rsid w:val="00C211BB"/>
    <w:rsid w:val="00C223F2"/>
    <w:rsid w:val="00C33C09"/>
    <w:rsid w:val="00C42F35"/>
    <w:rsid w:val="00C449E7"/>
    <w:rsid w:val="00C476D4"/>
    <w:rsid w:val="00C5344F"/>
    <w:rsid w:val="00C56A9F"/>
    <w:rsid w:val="00C60009"/>
    <w:rsid w:val="00C63D92"/>
    <w:rsid w:val="00C6529C"/>
    <w:rsid w:val="00C65DC7"/>
    <w:rsid w:val="00C74BEF"/>
    <w:rsid w:val="00C763FE"/>
    <w:rsid w:val="00C8122D"/>
    <w:rsid w:val="00C82DB5"/>
    <w:rsid w:val="00C87525"/>
    <w:rsid w:val="00C87C19"/>
    <w:rsid w:val="00C96C42"/>
    <w:rsid w:val="00CA02E7"/>
    <w:rsid w:val="00CA5955"/>
    <w:rsid w:val="00CA6671"/>
    <w:rsid w:val="00CB6B6A"/>
    <w:rsid w:val="00CC5376"/>
    <w:rsid w:val="00CC7E46"/>
    <w:rsid w:val="00CC7E87"/>
    <w:rsid w:val="00CD4A29"/>
    <w:rsid w:val="00CE50D9"/>
    <w:rsid w:val="00CE6D91"/>
    <w:rsid w:val="00CF0CC1"/>
    <w:rsid w:val="00CF3BA1"/>
    <w:rsid w:val="00D01C66"/>
    <w:rsid w:val="00D03E0A"/>
    <w:rsid w:val="00D05FFD"/>
    <w:rsid w:val="00D06BE3"/>
    <w:rsid w:val="00D10449"/>
    <w:rsid w:val="00D12E05"/>
    <w:rsid w:val="00D14442"/>
    <w:rsid w:val="00D1467B"/>
    <w:rsid w:val="00D1784E"/>
    <w:rsid w:val="00D2360D"/>
    <w:rsid w:val="00D25832"/>
    <w:rsid w:val="00D31398"/>
    <w:rsid w:val="00D37AFE"/>
    <w:rsid w:val="00D37BAA"/>
    <w:rsid w:val="00D37C8C"/>
    <w:rsid w:val="00D42F8F"/>
    <w:rsid w:val="00D44742"/>
    <w:rsid w:val="00D478C9"/>
    <w:rsid w:val="00D5230E"/>
    <w:rsid w:val="00D5646D"/>
    <w:rsid w:val="00D56D32"/>
    <w:rsid w:val="00D57F87"/>
    <w:rsid w:val="00D60BB3"/>
    <w:rsid w:val="00D61B52"/>
    <w:rsid w:val="00D624D5"/>
    <w:rsid w:val="00D629DF"/>
    <w:rsid w:val="00D665C3"/>
    <w:rsid w:val="00D740EA"/>
    <w:rsid w:val="00D7665A"/>
    <w:rsid w:val="00D83B3B"/>
    <w:rsid w:val="00D842C3"/>
    <w:rsid w:val="00D879A1"/>
    <w:rsid w:val="00D91320"/>
    <w:rsid w:val="00D9244C"/>
    <w:rsid w:val="00DA1953"/>
    <w:rsid w:val="00DA33E7"/>
    <w:rsid w:val="00DA4B37"/>
    <w:rsid w:val="00DA4D17"/>
    <w:rsid w:val="00DA522A"/>
    <w:rsid w:val="00DA5371"/>
    <w:rsid w:val="00DB0F9C"/>
    <w:rsid w:val="00DB7B28"/>
    <w:rsid w:val="00DC5D8C"/>
    <w:rsid w:val="00DC755C"/>
    <w:rsid w:val="00DD4098"/>
    <w:rsid w:val="00DD70C3"/>
    <w:rsid w:val="00DF0A0B"/>
    <w:rsid w:val="00DF2435"/>
    <w:rsid w:val="00E02383"/>
    <w:rsid w:val="00E02A6F"/>
    <w:rsid w:val="00E0701E"/>
    <w:rsid w:val="00E10722"/>
    <w:rsid w:val="00E12F73"/>
    <w:rsid w:val="00E13940"/>
    <w:rsid w:val="00E15974"/>
    <w:rsid w:val="00E20035"/>
    <w:rsid w:val="00E2311E"/>
    <w:rsid w:val="00E314EE"/>
    <w:rsid w:val="00E31A0B"/>
    <w:rsid w:val="00E343BC"/>
    <w:rsid w:val="00E37639"/>
    <w:rsid w:val="00E41001"/>
    <w:rsid w:val="00E453B0"/>
    <w:rsid w:val="00E46D24"/>
    <w:rsid w:val="00E52F0D"/>
    <w:rsid w:val="00E6163D"/>
    <w:rsid w:val="00E61971"/>
    <w:rsid w:val="00E64D03"/>
    <w:rsid w:val="00E70F8E"/>
    <w:rsid w:val="00E72592"/>
    <w:rsid w:val="00E87536"/>
    <w:rsid w:val="00E87606"/>
    <w:rsid w:val="00E924EB"/>
    <w:rsid w:val="00E94DFA"/>
    <w:rsid w:val="00EA1251"/>
    <w:rsid w:val="00EA2C1D"/>
    <w:rsid w:val="00EA44F5"/>
    <w:rsid w:val="00EA5DB2"/>
    <w:rsid w:val="00EA5F69"/>
    <w:rsid w:val="00EB4798"/>
    <w:rsid w:val="00EB553F"/>
    <w:rsid w:val="00EB717D"/>
    <w:rsid w:val="00ED489C"/>
    <w:rsid w:val="00ED4A25"/>
    <w:rsid w:val="00ED5CF6"/>
    <w:rsid w:val="00ED5F7D"/>
    <w:rsid w:val="00ED7E9B"/>
    <w:rsid w:val="00EE1111"/>
    <w:rsid w:val="00EE37BE"/>
    <w:rsid w:val="00EE383E"/>
    <w:rsid w:val="00EF1F49"/>
    <w:rsid w:val="00EF71C5"/>
    <w:rsid w:val="00F1177E"/>
    <w:rsid w:val="00F12929"/>
    <w:rsid w:val="00F2022E"/>
    <w:rsid w:val="00F26C47"/>
    <w:rsid w:val="00F30069"/>
    <w:rsid w:val="00F3345B"/>
    <w:rsid w:val="00F374B4"/>
    <w:rsid w:val="00F37F21"/>
    <w:rsid w:val="00F41B5C"/>
    <w:rsid w:val="00F424F5"/>
    <w:rsid w:val="00F47A12"/>
    <w:rsid w:val="00F50FC1"/>
    <w:rsid w:val="00F61FAB"/>
    <w:rsid w:val="00F7395B"/>
    <w:rsid w:val="00F76185"/>
    <w:rsid w:val="00F777D7"/>
    <w:rsid w:val="00F97B43"/>
    <w:rsid w:val="00FC12EB"/>
    <w:rsid w:val="00FC4CEE"/>
    <w:rsid w:val="00FC5560"/>
    <w:rsid w:val="00FD1190"/>
    <w:rsid w:val="00FD1510"/>
    <w:rsid w:val="00FE32A7"/>
    <w:rsid w:val="00FF0F7A"/>
    <w:rsid w:val="00FF1B43"/>
    <w:rsid w:val="00FF4B97"/>
    <w:rsid w:val="00FF5D22"/>
    <w:rsid w:val="010742D5"/>
    <w:rsid w:val="010A79E4"/>
    <w:rsid w:val="012955B3"/>
    <w:rsid w:val="016928C8"/>
    <w:rsid w:val="016A786D"/>
    <w:rsid w:val="01851778"/>
    <w:rsid w:val="01AE11E6"/>
    <w:rsid w:val="01B46F2A"/>
    <w:rsid w:val="01BA1EF8"/>
    <w:rsid w:val="01C77A3A"/>
    <w:rsid w:val="01CA2161"/>
    <w:rsid w:val="01D92E11"/>
    <w:rsid w:val="01DF432A"/>
    <w:rsid w:val="01F53A09"/>
    <w:rsid w:val="020119BD"/>
    <w:rsid w:val="021E4A65"/>
    <w:rsid w:val="022106EC"/>
    <w:rsid w:val="023E1AA3"/>
    <w:rsid w:val="024F24E2"/>
    <w:rsid w:val="025C7F22"/>
    <w:rsid w:val="02675C4E"/>
    <w:rsid w:val="027A0985"/>
    <w:rsid w:val="028E1E68"/>
    <w:rsid w:val="02971F60"/>
    <w:rsid w:val="02A76140"/>
    <w:rsid w:val="02BA5D3C"/>
    <w:rsid w:val="02ED5A3D"/>
    <w:rsid w:val="02F90193"/>
    <w:rsid w:val="030D7204"/>
    <w:rsid w:val="031342A8"/>
    <w:rsid w:val="032659DC"/>
    <w:rsid w:val="032B0D28"/>
    <w:rsid w:val="03382D20"/>
    <w:rsid w:val="034237C8"/>
    <w:rsid w:val="034E5452"/>
    <w:rsid w:val="036356DF"/>
    <w:rsid w:val="03846C84"/>
    <w:rsid w:val="03901F7D"/>
    <w:rsid w:val="03E71508"/>
    <w:rsid w:val="03EF3637"/>
    <w:rsid w:val="040C7525"/>
    <w:rsid w:val="040F1246"/>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5022C69"/>
    <w:rsid w:val="05345C3C"/>
    <w:rsid w:val="054C2893"/>
    <w:rsid w:val="0585150C"/>
    <w:rsid w:val="05884774"/>
    <w:rsid w:val="059E028D"/>
    <w:rsid w:val="05AC6B8E"/>
    <w:rsid w:val="05B01B1D"/>
    <w:rsid w:val="05C018BB"/>
    <w:rsid w:val="05E7663F"/>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3A2587"/>
    <w:rsid w:val="074273EB"/>
    <w:rsid w:val="07464042"/>
    <w:rsid w:val="07504E5D"/>
    <w:rsid w:val="075F6D7C"/>
    <w:rsid w:val="078D5769"/>
    <w:rsid w:val="079F3EE7"/>
    <w:rsid w:val="07DB1801"/>
    <w:rsid w:val="07DB7626"/>
    <w:rsid w:val="07DF5164"/>
    <w:rsid w:val="07E50580"/>
    <w:rsid w:val="07F77FC2"/>
    <w:rsid w:val="07F97A25"/>
    <w:rsid w:val="08006472"/>
    <w:rsid w:val="081403BB"/>
    <w:rsid w:val="081717A6"/>
    <w:rsid w:val="08264AE8"/>
    <w:rsid w:val="083E1621"/>
    <w:rsid w:val="08614777"/>
    <w:rsid w:val="08621939"/>
    <w:rsid w:val="08663338"/>
    <w:rsid w:val="08696EDC"/>
    <w:rsid w:val="08752E31"/>
    <w:rsid w:val="0884501D"/>
    <w:rsid w:val="08856E5D"/>
    <w:rsid w:val="088B40B8"/>
    <w:rsid w:val="08904AFE"/>
    <w:rsid w:val="08CD1851"/>
    <w:rsid w:val="08DC3175"/>
    <w:rsid w:val="09173EE8"/>
    <w:rsid w:val="093004CF"/>
    <w:rsid w:val="093F58A1"/>
    <w:rsid w:val="094A4ABC"/>
    <w:rsid w:val="09576477"/>
    <w:rsid w:val="0972361B"/>
    <w:rsid w:val="0975564E"/>
    <w:rsid w:val="09896EEE"/>
    <w:rsid w:val="09897376"/>
    <w:rsid w:val="099457E5"/>
    <w:rsid w:val="09CE2CBD"/>
    <w:rsid w:val="09E70122"/>
    <w:rsid w:val="09E70A54"/>
    <w:rsid w:val="0A0B7A36"/>
    <w:rsid w:val="0A0E360D"/>
    <w:rsid w:val="0A437E58"/>
    <w:rsid w:val="0A5A7522"/>
    <w:rsid w:val="0A7270B0"/>
    <w:rsid w:val="0A8528D5"/>
    <w:rsid w:val="0A862A0A"/>
    <w:rsid w:val="0A8A5B9F"/>
    <w:rsid w:val="0AB01ABA"/>
    <w:rsid w:val="0AB15109"/>
    <w:rsid w:val="0ACC7DC1"/>
    <w:rsid w:val="0ACD3F95"/>
    <w:rsid w:val="0AD06002"/>
    <w:rsid w:val="0AD56F1F"/>
    <w:rsid w:val="0AEA3C8C"/>
    <w:rsid w:val="0B106766"/>
    <w:rsid w:val="0B15565C"/>
    <w:rsid w:val="0B1E0CF0"/>
    <w:rsid w:val="0B336D25"/>
    <w:rsid w:val="0B4C5010"/>
    <w:rsid w:val="0B506729"/>
    <w:rsid w:val="0B617F61"/>
    <w:rsid w:val="0B7B0A12"/>
    <w:rsid w:val="0B7C73B6"/>
    <w:rsid w:val="0B9D52CE"/>
    <w:rsid w:val="0BC86665"/>
    <w:rsid w:val="0BE83010"/>
    <w:rsid w:val="0C054CDF"/>
    <w:rsid w:val="0C1B7D09"/>
    <w:rsid w:val="0C3F55CB"/>
    <w:rsid w:val="0C4369A5"/>
    <w:rsid w:val="0C46431D"/>
    <w:rsid w:val="0C4A597A"/>
    <w:rsid w:val="0C4E558D"/>
    <w:rsid w:val="0C54313F"/>
    <w:rsid w:val="0C682B47"/>
    <w:rsid w:val="0C7A59AB"/>
    <w:rsid w:val="0C7E2237"/>
    <w:rsid w:val="0C8A3153"/>
    <w:rsid w:val="0CCA3020"/>
    <w:rsid w:val="0CD24D60"/>
    <w:rsid w:val="0D2A4B38"/>
    <w:rsid w:val="0D3B19BF"/>
    <w:rsid w:val="0D3F7F2E"/>
    <w:rsid w:val="0D472A42"/>
    <w:rsid w:val="0D547A86"/>
    <w:rsid w:val="0D576AF6"/>
    <w:rsid w:val="0D670027"/>
    <w:rsid w:val="0D682962"/>
    <w:rsid w:val="0D682BA3"/>
    <w:rsid w:val="0D6F0790"/>
    <w:rsid w:val="0D705EC6"/>
    <w:rsid w:val="0D737ED4"/>
    <w:rsid w:val="0D896A37"/>
    <w:rsid w:val="0D8E70B7"/>
    <w:rsid w:val="0DB757B9"/>
    <w:rsid w:val="0DBE2A42"/>
    <w:rsid w:val="0DE7555E"/>
    <w:rsid w:val="0E172295"/>
    <w:rsid w:val="0E280AF7"/>
    <w:rsid w:val="0E3948C5"/>
    <w:rsid w:val="0E580534"/>
    <w:rsid w:val="0E634E64"/>
    <w:rsid w:val="0E694DA4"/>
    <w:rsid w:val="0E886814"/>
    <w:rsid w:val="0E994BEF"/>
    <w:rsid w:val="0EB74E09"/>
    <w:rsid w:val="0EF21A59"/>
    <w:rsid w:val="0F0D5310"/>
    <w:rsid w:val="0F0D7125"/>
    <w:rsid w:val="0F2122AB"/>
    <w:rsid w:val="0F613CE7"/>
    <w:rsid w:val="0F667602"/>
    <w:rsid w:val="0F827279"/>
    <w:rsid w:val="0FC27645"/>
    <w:rsid w:val="0FC43949"/>
    <w:rsid w:val="0FDE5312"/>
    <w:rsid w:val="0FE801DA"/>
    <w:rsid w:val="0FEE346A"/>
    <w:rsid w:val="0FF62C9E"/>
    <w:rsid w:val="10053ABA"/>
    <w:rsid w:val="101C4755"/>
    <w:rsid w:val="101F18D4"/>
    <w:rsid w:val="102D36E4"/>
    <w:rsid w:val="103F6BC1"/>
    <w:rsid w:val="10436662"/>
    <w:rsid w:val="10787C99"/>
    <w:rsid w:val="107B27F5"/>
    <w:rsid w:val="107D3134"/>
    <w:rsid w:val="109738D6"/>
    <w:rsid w:val="10BC5375"/>
    <w:rsid w:val="10BD4744"/>
    <w:rsid w:val="10BE1B05"/>
    <w:rsid w:val="10C06570"/>
    <w:rsid w:val="10F32882"/>
    <w:rsid w:val="11217EB7"/>
    <w:rsid w:val="112600A1"/>
    <w:rsid w:val="11292B4D"/>
    <w:rsid w:val="114152BE"/>
    <w:rsid w:val="1161651C"/>
    <w:rsid w:val="11634D9B"/>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101447"/>
    <w:rsid w:val="122812B3"/>
    <w:rsid w:val="124A072F"/>
    <w:rsid w:val="125A2E52"/>
    <w:rsid w:val="125D4B05"/>
    <w:rsid w:val="125F1817"/>
    <w:rsid w:val="126264E7"/>
    <w:rsid w:val="12642E8C"/>
    <w:rsid w:val="1272218F"/>
    <w:rsid w:val="127F1957"/>
    <w:rsid w:val="12841AD1"/>
    <w:rsid w:val="12855B9F"/>
    <w:rsid w:val="12992AFA"/>
    <w:rsid w:val="129D6FDD"/>
    <w:rsid w:val="12A16193"/>
    <w:rsid w:val="12CC1A08"/>
    <w:rsid w:val="12CF5653"/>
    <w:rsid w:val="12D11F11"/>
    <w:rsid w:val="12E75EE8"/>
    <w:rsid w:val="13043918"/>
    <w:rsid w:val="1312127D"/>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30588F"/>
    <w:rsid w:val="144E27C8"/>
    <w:rsid w:val="14543F72"/>
    <w:rsid w:val="145E2C77"/>
    <w:rsid w:val="1472260B"/>
    <w:rsid w:val="14747B8F"/>
    <w:rsid w:val="14983F42"/>
    <w:rsid w:val="14D7551A"/>
    <w:rsid w:val="14EA3450"/>
    <w:rsid w:val="14ED46B4"/>
    <w:rsid w:val="14F735E4"/>
    <w:rsid w:val="14F767B6"/>
    <w:rsid w:val="15057FD2"/>
    <w:rsid w:val="15272D85"/>
    <w:rsid w:val="153068F2"/>
    <w:rsid w:val="15427C11"/>
    <w:rsid w:val="156B7B3E"/>
    <w:rsid w:val="15743F4C"/>
    <w:rsid w:val="157502EE"/>
    <w:rsid w:val="15A47AE1"/>
    <w:rsid w:val="15AF0A7E"/>
    <w:rsid w:val="15B4151E"/>
    <w:rsid w:val="15BD461E"/>
    <w:rsid w:val="15D50D05"/>
    <w:rsid w:val="15EF08C1"/>
    <w:rsid w:val="16031113"/>
    <w:rsid w:val="1628786A"/>
    <w:rsid w:val="1635641B"/>
    <w:rsid w:val="163B1F35"/>
    <w:rsid w:val="1642771E"/>
    <w:rsid w:val="165249F2"/>
    <w:rsid w:val="16725D01"/>
    <w:rsid w:val="1686012F"/>
    <w:rsid w:val="168F227C"/>
    <w:rsid w:val="16C242B2"/>
    <w:rsid w:val="16C532A1"/>
    <w:rsid w:val="16C56270"/>
    <w:rsid w:val="16DA033A"/>
    <w:rsid w:val="16E71981"/>
    <w:rsid w:val="16ED1BBB"/>
    <w:rsid w:val="16FC14B4"/>
    <w:rsid w:val="17017300"/>
    <w:rsid w:val="17054A4B"/>
    <w:rsid w:val="170D7B71"/>
    <w:rsid w:val="171F0861"/>
    <w:rsid w:val="17262088"/>
    <w:rsid w:val="17311B27"/>
    <w:rsid w:val="173D243C"/>
    <w:rsid w:val="17534ECF"/>
    <w:rsid w:val="17570993"/>
    <w:rsid w:val="17680D39"/>
    <w:rsid w:val="17705D8E"/>
    <w:rsid w:val="1781047F"/>
    <w:rsid w:val="17B37D5D"/>
    <w:rsid w:val="17B44C4E"/>
    <w:rsid w:val="17C65C49"/>
    <w:rsid w:val="17F56258"/>
    <w:rsid w:val="181011F1"/>
    <w:rsid w:val="1820517A"/>
    <w:rsid w:val="1827115F"/>
    <w:rsid w:val="184A37A9"/>
    <w:rsid w:val="18574F32"/>
    <w:rsid w:val="186A4851"/>
    <w:rsid w:val="18816834"/>
    <w:rsid w:val="1888450B"/>
    <w:rsid w:val="189A4826"/>
    <w:rsid w:val="18B43EE8"/>
    <w:rsid w:val="18B76B4E"/>
    <w:rsid w:val="18EA4B9C"/>
    <w:rsid w:val="19004EC8"/>
    <w:rsid w:val="19191CB5"/>
    <w:rsid w:val="192835CD"/>
    <w:rsid w:val="192A06DB"/>
    <w:rsid w:val="1934466C"/>
    <w:rsid w:val="193818C9"/>
    <w:rsid w:val="19461603"/>
    <w:rsid w:val="19522A1B"/>
    <w:rsid w:val="19533CC4"/>
    <w:rsid w:val="198218DD"/>
    <w:rsid w:val="19874402"/>
    <w:rsid w:val="19877512"/>
    <w:rsid w:val="199A1C66"/>
    <w:rsid w:val="199E41EB"/>
    <w:rsid w:val="19B528A5"/>
    <w:rsid w:val="19C06E4D"/>
    <w:rsid w:val="19EA58B8"/>
    <w:rsid w:val="19EE41FA"/>
    <w:rsid w:val="19FD2CFA"/>
    <w:rsid w:val="1A035928"/>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8D5EDA"/>
    <w:rsid w:val="1B9E36ED"/>
    <w:rsid w:val="1BB66C98"/>
    <w:rsid w:val="1BB91038"/>
    <w:rsid w:val="1BBA0D00"/>
    <w:rsid w:val="1BBF65FB"/>
    <w:rsid w:val="1BD57EC4"/>
    <w:rsid w:val="1BD71290"/>
    <w:rsid w:val="1BDA3D4E"/>
    <w:rsid w:val="1BDD2ED2"/>
    <w:rsid w:val="1BF657FB"/>
    <w:rsid w:val="1C1A4633"/>
    <w:rsid w:val="1C3B283E"/>
    <w:rsid w:val="1C46619C"/>
    <w:rsid w:val="1C534DE0"/>
    <w:rsid w:val="1C5B7206"/>
    <w:rsid w:val="1C6B7569"/>
    <w:rsid w:val="1C7B4488"/>
    <w:rsid w:val="1C8F1E0A"/>
    <w:rsid w:val="1C926E9A"/>
    <w:rsid w:val="1CA246C5"/>
    <w:rsid w:val="1CA51B98"/>
    <w:rsid w:val="1CB200C5"/>
    <w:rsid w:val="1CB83672"/>
    <w:rsid w:val="1CC16E7D"/>
    <w:rsid w:val="1CF36791"/>
    <w:rsid w:val="1CFA7EEF"/>
    <w:rsid w:val="1CFB1146"/>
    <w:rsid w:val="1CFB7432"/>
    <w:rsid w:val="1CFD19E5"/>
    <w:rsid w:val="1CFE6504"/>
    <w:rsid w:val="1D2812E8"/>
    <w:rsid w:val="1D37062D"/>
    <w:rsid w:val="1D3D753B"/>
    <w:rsid w:val="1D9B0B7A"/>
    <w:rsid w:val="1DA1344E"/>
    <w:rsid w:val="1DBD46D0"/>
    <w:rsid w:val="1DC73FD4"/>
    <w:rsid w:val="1DD515F9"/>
    <w:rsid w:val="1E331E3B"/>
    <w:rsid w:val="1E3C0E38"/>
    <w:rsid w:val="1E3D3A9D"/>
    <w:rsid w:val="1E561B49"/>
    <w:rsid w:val="1E585711"/>
    <w:rsid w:val="1E5B5B74"/>
    <w:rsid w:val="1E8667CE"/>
    <w:rsid w:val="1EC77F94"/>
    <w:rsid w:val="1ED36885"/>
    <w:rsid w:val="1EDB21B2"/>
    <w:rsid w:val="1EE21D29"/>
    <w:rsid w:val="1EE44AB3"/>
    <w:rsid w:val="1EEA6F41"/>
    <w:rsid w:val="1EF16F7F"/>
    <w:rsid w:val="1EF47719"/>
    <w:rsid w:val="1F022AED"/>
    <w:rsid w:val="1F1D0128"/>
    <w:rsid w:val="1F35157A"/>
    <w:rsid w:val="1F3553CF"/>
    <w:rsid w:val="1F3E1D5D"/>
    <w:rsid w:val="1F634978"/>
    <w:rsid w:val="1F6C007A"/>
    <w:rsid w:val="1F6E3177"/>
    <w:rsid w:val="1F6F04BA"/>
    <w:rsid w:val="1F745192"/>
    <w:rsid w:val="1F79333D"/>
    <w:rsid w:val="1F870ADE"/>
    <w:rsid w:val="1F8E296D"/>
    <w:rsid w:val="1FB65DC0"/>
    <w:rsid w:val="1FF85926"/>
    <w:rsid w:val="1FFA426C"/>
    <w:rsid w:val="20027E74"/>
    <w:rsid w:val="200603BB"/>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2E01F5"/>
    <w:rsid w:val="2149596C"/>
    <w:rsid w:val="215C6880"/>
    <w:rsid w:val="216E4B1C"/>
    <w:rsid w:val="21784B5B"/>
    <w:rsid w:val="218E7C39"/>
    <w:rsid w:val="218F0080"/>
    <w:rsid w:val="21AD5185"/>
    <w:rsid w:val="21C30DDB"/>
    <w:rsid w:val="21C55BE1"/>
    <w:rsid w:val="21CB11F3"/>
    <w:rsid w:val="21E17B80"/>
    <w:rsid w:val="222767A8"/>
    <w:rsid w:val="22701A6E"/>
    <w:rsid w:val="22734646"/>
    <w:rsid w:val="228E25F9"/>
    <w:rsid w:val="22994ECF"/>
    <w:rsid w:val="22A51021"/>
    <w:rsid w:val="22C23296"/>
    <w:rsid w:val="22CC64E6"/>
    <w:rsid w:val="22D4475E"/>
    <w:rsid w:val="22E20C6B"/>
    <w:rsid w:val="22E70030"/>
    <w:rsid w:val="22FE2A3D"/>
    <w:rsid w:val="23146719"/>
    <w:rsid w:val="23666663"/>
    <w:rsid w:val="23693289"/>
    <w:rsid w:val="2386043E"/>
    <w:rsid w:val="238A7118"/>
    <w:rsid w:val="239147E1"/>
    <w:rsid w:val="23BB34F7"/>
    <w:rsid w:val="23CF4F44"/>
    <w:rsid w:val="23DF4C84"/>
    <w:rsid w:val="23FF2392"/>
    <w:rsid w:val="24044428"/>
    <w:rsid w:val="24050D58"/>
    <w:rsid w:val="242343DD"/>
    <w:rsid w:val="24294C71"/>
    <w:rsid w:val="24737EDF"/>
    <w:rsid w:val="24867DDC"/>
    <w:rsid w:val="249A7C51"/>
    <w:rsid w:val="24BF506E"/>
    <w:rsid w:val="24C80E83"/>
    <w:rsid w:val="24D97FEB"/>
    <w:rsid w:val="24DC2B3B"/>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1D0218"/>
    <w:rsid w:val="261D6B1E"/>
    <w:rsid w:val="263B02A5"/>
    <w:rsid w:val="263D73ED"/>
    <w:rsid w:val="264677DC"/>
    <w:rsid w:val="264842A9"/>
    <w:rsid w:val="264B4659"/>
    <w:rsid w:val="26981F71"/>
    <w:rsid w:val="26AE7CA4"/>
    <w:rsid w:val="26B424FB"/>
    <w:rsid w:val="26C24A7A"/>
    <w:rsid w:val="26C82F53"/>
    <w:rsid w:val="26CF6DC9"/>
    <w:rsid w:val="26F34F82"/>
    <w:rsid w:val="27022C82"/>
    <w:rsid w:val="2725740A"/>
    <w:rsid w:val="27324713"/>
    <w:rsid w:val="27391076"/>
    <w:rsid w:val="27395BE5"/>
    <w:rsid w:val="274852F5"/>
    <w:rsid w:val="275E0690"/>
    <w:rsid w:val="27773377"/>
    <w:rsid w:val="2785182E"/>
    <w:rsid w:val="27910957"/>
    <w:rsid w:val="279F6BEE"/>
    <w:rsid w:val="27A9782B"/>
    <w:rsid w:val="27AF2577"/>
    <w:rsid w:val="27B41345"/>
    <w:rsid w:val="27E72086"/>
    <w:rsid w:val="281B5EEB"/>
    <w:rsid w:val="28405796"/>
    <w:rsid w:val="28482C7C"/>
    <w:rsid w:val="28520F35"/>
    <w:rsid w:val="285A0C1F"/>
    <w:rsid w:val="288405A8"/>
    <w:rsid w:val="28891152"/>
    <w:rsid w:val="289A255F"/>
    <w:rsid w:val="289D7603"/>
    <w:rsid w:val="28D86187"/>
    <w:rsid w:val="28D9203E"/>
    <w:rsid w:val="28F85861"/>
    <w:rsid w:val="28FD459B"/>
    <w:rsid w:val="290E7CCD"/>
    <w:rsid w:val="29435188"/>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126816"/>
    <w:rsid w:val="2A3578B6"/>
    <w:rsid w:val="2A477A60"/>
    <w:rsid w:val="2A663F30"/>
    <w:rsid w:val="2A7259E0"/>
    <w:rsid w:val="2A7A2CF2"/>
    <w:rsid w:val="2A9F4496"/>
    <w:rsid w:val="2AC017A8"/>
    <w:rsid w:val="2AD03CF4"/>
    <w:rsid w:val="2B120FC6"/>
    <w:rsid w:val="2B151E7C"/>
    <w:rsid w:val="2B195396"/>
    <w:rsid w:val="2B2A2EEC"/>
    <w:rsid w:val="2B504321"/>
    <w:rsid w:val="2B726F92"/>
    <w:rsid w:val="2B7333BA"/>
    <w:rsid w:val="2B880C7D"/>
    <w:rsid w:val="2B8B2184"/>
    <w:rsid w:val="2B8D6D40"/>
    <w:rsid w:val="2BB738F0"/>
    <w:rsid w:val="2BD47FA7"/>
    <w:rsid w:val="2BE401F3"/>
    <w:rsid w:val="2C155C30"/>
    <w:rsid w:val="2C1D4255"/>
    <w:rsid w:val="2C232160"/>
    <w:rsid w:val="2C7101C8"/>
    <w:rsid w:val="2C8128F2"/>
    <w:rsid w:val="2C8139FE"/>
    <w:rsid w:val="2C9B7506"/>
    <w:rsid w:val="2CDB1B96"/>
    <w:rsid w:val="2CE01EE6"/>
    <w:rsid w:val="2D096521"/>
    <w:rsid w:val="2D161225"/>
    <w:rsid w:val="2D2423BC"/>
    <w:rsid w:val="2D2B2D5E"/>
    <w:rsid w:val="2D431C65"/>
    <w:rsid w:val="2D476A76"/>
    <w:rsid w:val="2D5A3F6F"/>
    <w:rsid w:val="2D5A7C68"/>
    <w:rsid w:val="2D6055AE"/>
    <w:rsid w:val="2D6343DA"/>
    <w:rsid w:val="2D7B7B0E"/>
    <w:rsid w:val="2D804BC8"/>
    <w:rsid w:val="2DA439FE"/>
    <w:rsid w:val="2DA52DF2"/>
    <w:rsid w:val="2DAA1EEE"/>
    <w:rsid w:val="2DAB174B"/>
    <w:rsid w:val="2DAC3053"/>
    <w:rsid w:val="2DC55411"/>
    <w:rsid w:val="2DDE0C83"/>
    <w:rsid w:val="2E372235"/>
    <w:rsid w:val="2E3938D1"/>
    <w:rsid w:val="2E4775A3"/>
    <w:rsid w:val="2E4B4261"/>
    <w:rsid w:val="2EA61C1D"/>
    <w:rsid w:val="2EAA6DEA"/>
    <w:rsid w:val="2EB362F4"/>
    <w:rsid w:val="2EB45084"/>
    <w:rsid w:val="2EBD038A"/>
    <w:rsid w:val="2EE72234"/>
    <w:rsid w:val="2EFC5188"/>
    <w:rsid w:val="2F011E82"/>
    <w:rsid w:val="2F2B701F"/>
    <w:rsid w:val="2F3F159C"/>
    <w:rsid w:val="2F517D99"/>
    <w:rsid w:val="2F5D384C"/>
    <w:rsid w:val="2F6858EF"/>
    <w:rsid w:val="2F735395"/>
    <w:rsid w:val="2F8D4B9D"/>
    <w:rsid w:val="2F953172"/>
    <w:rsid w:val="2FB21A55"/>
    <w:rsid w:val="3002428B"/>
    <w:rsid w:val="300A39BC"/>
    <w:rsid w:val="300E6D10"/>
    <w:rsid w:val="3046030C"/>
    <w:rsid w:val="30621346"/>
    <w:rsid w:val="307B120F"/>
    <w:rsid w:val="30C03492"/>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C221E"/>
    <w:rsid w:val="31F6215E"/>
    <w:rsid w:val="321C4841"/>
    <w:rsid w:val="32416A09"/>
    <w:rsid w:val="324C0B81"/>
    <w:rsid w:val="326D32D7"/>
    <w:rsid w:val="32BA34CE"/>
    <w:rsid w:val="32FD6CBB"/>
    <w:rsid w:val="33091096"/>
    <w:rsid w:val="330C4261"/>
    <w:rsid w:val="33232830"/>
    <w:rsid w:val="33400C7A"/>
    <w:rsid w:val="33602BE2"/>
    <w:rsid w:val="33622144"/>
    <w:rsid w:val="33691A74"/>
    <w:rsid w:val="33843CA1"/>
    <w:rsid w:val="33A80D81"/>
    <w:rsid w:val="33AB3AE4"/>
    <w:rsid w:val="33BD008E"/>
    <w:rsid w:val="33DA700D"/>
    <w:rsid w:val="33FA723C"/>
    <w:rsid w:val="34080F71"/>
    <w:rsid w:val="341D240D"/>
    <w:rsid w:val="34336359"/>
    <w:rsid w:val="343E7CCC"/>
    <w:rsid w:val="34504E4E"/>
    <w:rsid w:val="34547138"/>
    <w:rsid w:val="347038AC"/>
    <w:rsid w:val="34791640"/>
    <w:rsid w:val="347C4240"/>
    <w:rsid w:val="348770E3"/>
    <w:rsid w:val="349A43F0"/>
    <w:rsid w:val="349C6F30"/>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CB4DBD"/>
    <w:rsid w:val="35D07049"/>
    <w:rsid w:val="35DB26B5"/>
    <w:rsid w:val="35DE1818"/>
    <w:rsid w:val="35DE6131"/>
    <w:rsid w:val="360A4401"/>
    <w:rsid w:val="36347BB7"/>
    <w:rsid w:val="36472039"/>
    <w:rsid w:val="36787E34"/>
    <w:rsid w:val="36894D46"/>
    <w:rsid w:val="36AD3FE8"/>
    <w:rsid w:val="36B70B7C"/>
    <w:rsid w:val="36BE6549"/>
    <w:rsid w:val="36C63E5E"/>
    <w:rsid w:val="36E23F6C"/>
    <w:rsid w:val="36E711B0"/>
    <w:rsid w:val="36EB02F8"/>
    <w:rsid w:val="36F216B8"/>
    <w:rsid w:val="36F7526A"/>
    <w:rsid w:val="36FC06E4"/>
    <w:rsid w:val="370A421A"/>
    <w:rsid w:val="370B04AA"/>
    <w:rsid w:val="37133B39"/>
    <w:rsid w:val="372B05B1"/>
    <w:rsid w:val="372D27B8"/>
    <w:rsid w:val="3739373D"/>
    <w:rsid w:val="373A29CC"/>
    <w:rsid w:val="37460D95"/>
    <w:rsid w:val="37533A9C"/>
    <w:rsid w:val="375E1904"/>
    <w:rsid w:val="375F68D9"/>
    <w:rsid w:val="3768368A"/>
    <w:rsid w:val="376C1C6B"/>
    <w:rsid w:val="377F2241"/>
    <w:rsid w:val="378B7C0C"/>
    <w:rsid w:val="378D79D9"/>
    <w:rsid w:val="378E3EFF"/>
    <w:rsid w:val="37EA6823"/>
    <w:rsid w:val="37FF5FE1"/>
    <w:rsid w:val="38053C44"/>
    <w:rsid w:val="38105B60"/>
    <w:rsid w:val="3816607D"/>
    <w:rsid w:val="38207AF4"/>
    <w:rsid w:val="383A7490"/>
    <w:rsid w:val="3842669F"/>
    <w:rsid w:val="386D77BF"/>
    <w:rsid w:val="38795B0F"/>
    <w:rsid w:val="387B035B"/>
    <w:rsid w:val="387C17C3"/>
    <w:rsid w:val="38941765"/>
    <w:rsid w:val="38B14F10"/>
    <w:rsid w:val="38B451B6"/>
    <w:rsid w:val="38B73891"/>
    <w:rsid w:val="38BE65D0"/>
    <w:rsid w:val="39150581"/>
    <w:rsid w:val="391E381C"/>
    <w:rsid w:val="392F5095"/>
    <w:rsid w:val="39465433"/>
    <w:rsid w:val="394C3930"/>
    <w:rsid w:val="395B6912"/>
    <w:rsid w:val="397C168C"/>
    <w:rsid w:val="39B84349"/>
    <w:rsid w:val="39CC0C76"/>
    <w:rsid w:val="39E96965"/>
    <w:rsid w:val="3A0102E5"/>
    <w:rsid w:val="3A06385F"/>
    <w:rsid w:val="3A082D3C"/>
    <w:rsid w:val="3A0E1594"/>
    <w:rsid w:val="3A107610"/>
    <w:rsid w:val="3A270325"/>
    <w:rsid w:val="3A3F6C87"/>
    <w:rsid w:val="3A5749F1"/>
    <w:rsid w:val="3A6A3F34"/>
    <w:rsid w:val="3A731D7E"/>
    <w:rsid w:val="3A866E1C"/>
    <w:rsid w:val="3AA60270"/>
    <w:rsid w:val="3AA815F4"/>
    <w:rsid w:val="3AAD6534"/>
    <w:rsid w:val="3AC81E50"/>
    <w:rsid w:val="3AC97DA6"/>
    <w:rsid w:val="3ACD2694"/>
    <w:rsid w:val="3ADA6F0F"/>
    <w:rsid w:val="3AE83D6C"/>
    <w:rsid w:val="3AF00157"/>
    <w:rsid w:val="3AFE1C05"/>
    <w:rsid w:val="3B150CDB"/>
    <w:rsid w:val="3B2F2AA8"/>
    <w:rsid w:val="3B367620"/>
    <w:rsid w:val="3B3B6468"/>
    <w:rsid w:val="3BA1601A"/>
    <w:rsid w:val="3BA255ED"/>
    <w:rsid w:val="3BC12DA5"/>
    <w:rsid w:val="3BD5544C"/>
    <w:rsid w:val="3BE90506"/>
    <w:rsid w:val="3BEB6832"/>
    <w:rsid w:val="3BFC64A2"/>
    <w:rsid w:val="3C382EB9"/>
    <w:rsid w:val="3C40766B"/>
    <w:rsid w:val="3C6718E5"/>
    <w:rsid w:val="3C692C22"/>
    <w:rsid w:val="3C7351B6"/>
    <w:rsid w:val="3C883520"/>
    <w:rsid w:val="3C8E5615"/>
    <w:rsid w:val="3CA555DA"/>
    <w:rsid w:val="3CB2101F"/>
    <w:rsid w:val="3CBD35C8"/>
    <w:rsid w:val="3CC95A26"/>
    <w:rsid w:val="3D167888"/>
    <w:rsid w:val="3D17453A"/>
    <w:rsid w:val="3D2F6909"/>
    <w:rsid w:val="3D6427E8"/>
    <w:rsid w:val="3D670480"/>
    <w:rsid w:val="3D6D0419"/>
    <w:rsid w:val="3D7D10B9"/>
    <w:rsid w:val="3D7F28B3"/>
    <w:rsid w:val="3D8E6E39"/>
    <w:rsid w:val="3DBD00E4"/>
    <w:rsid w:val="3DC10CF3"/>
    <w:rsid w:val="3DCD690D"/>
    <w:rsid w:val="3DE113F3"/>
    <w:rsid w:val="3DF756F5"/>
    <w:rsid w:val="3DFE097E"/>
    <w:rsid w:val="3E043841"/>
    <w:rsid w:val="3E1876AA"/>
    <w:rsid w:val="3E2A5B04"/>
    <w:rsid w:val="3E536039"/>
    <w:rsid w:val="3E68304D"/>
    <w:rsid w:val="3E762FF7"/>
    <w:rsid w:val="3EB61F57"/>
    <w:rsid w:val="3EBD28B3"/>
    <w:rsid w:val="3ED26A13"/>
    <w:rsid w:val="3ED73FEB"/>
    <w:rsid w:val="3EE8697C"/>
    <w:rsid w:val="3EF01895"/>
    <w:rsid w:val="3EF340CC"/>
    <w:rsid w:val="3F13001A"/>
    <w:rsid w:val="3F25749A"/>
    <w:rsid w:val="3F3561B4"/>
    <w:rsid w:val="3F4237A1"/>
    <w:rsid w:val="3F495220"/>
    <w:rsid w:val="3F506818"/>
    <w:rsid w:val="3F651C20"/>
    <w:rsid w:val="3F7550DD"/>
    <w:rsid w:val="3F755CC5"/>
    <w:rsid w:val="3F8424FD"/>
    <w:rsid w:val="3F855ED9"/>
    <w:rsid w:val="3F8E7D59"/>
    <w:rsid w:val="3F9417C7"/>
    <w:rsid w:val="3FAC01DF"/>
    <w:rsid w:val="3FB53BB4"/>
    <w:rsid w:val="3FBD1D06"/>
    <w:rsid w:val="3FE36C1C"/>
    <w:rsid w:val="3FE87C14"/>
    <w:rsid w:val="3FEB19D5"/>
    <w:rsid w:val="3FFA6E09"/>
    <w:rsid w:val="3FFE126A"/>
    <w:rsid w:val="4002756A"/>
    <w:rsid w:val="400C4E7A"/>
    <w:rsid w:val="40145621"/>
    <w:rsid w:val="40377B4A"/>
    <w:rsid w:val="4053273B"/>
    <w:rsid w:val="40593466"/>
    <w:rsid w:val="406278B2"/>
    <w:rsid w:val="40772EDD"/>
    <w:rsid w:val="40C83A3B"/>
    <w:rsid w:val="40E1278D"/>
    <w:rsid w:val="40E701AA"/>
    <w:rsid w:val="410222CF"/>
    <w:rsid w:val="41054365"/>
    <w:rsid w:val="410E5148"/>
    <w:rsid w:val="413B114F"/>
    <w:rsid w:val="414C1EFF"/>
    <w:rsid w:val="414C5289"/>
    <w:rsid w:val="41552CCE"/>
    <w:rsid w:val="41574128"/>
    <w:rsid w:val="417650A8"/>
    <w:rsid w:val="419E3E89"/>
    <w:rsid w:val="41B40DA6"/>
    <w:rsid w:val="41BF1AE6"/>
    <w:rsid w:val="41D23F76"/>
    <w:rsid w:val="41D916D8"/>
    <w:rsid w:val="41ED3AA2"/>
    <w:rsid w:val="41F10D50"/>
    <w:rsid w:val="420F1D94"/>
    <w:rsid w:val="42170836"/>
    <w:rsid w:val="421B0D49"/>
    <w:rsid w:val="423A1733"/>
    <w:rsid w:val="423B41CE"/>
    <w:rsid w:val="424663B4"/>
    <w:rsid w:val="42901A54"/>
    <w:rsid w:val="42CA5391"/>
    <w:rsid w:val="42D865DE"/>
    <w:rsid w:val="42DE76B9"/>
    <w:rsid w:val="430975A7"/>
    <w:rsid w:val="430D4AC0"/>
    <w:rsid w:val="431E047F"/>
    <w:rsid w:val="431E65EF"/>
    <w:rsid w:val="43372319"/>
    <w:rsid w:val="43430CB9"/>
    <w:rsid w:val="434314E3"/>
    <w:rsid w:val="43533B0E"/>
    <w:rsid w:val="439E1366"/>
    <w:rsid w:val="43DD305D"/>
    <w:rsid w:val="4400649E"/>
    <w:rsid w:val="44113AFA"/>
    <w:rsid w:val="44393CD7"/>
    <w:rsid w:val="44471A64"/>
    <w:rsid w:val="4449473C"/>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6C79F9"/>
    <w:rsid w:val="45784D87"/>
    <w:rsid w:val="4579070F"/>
    <w:rsid w:val="45792890"/>
    <w:rsid w:val="45A906C7"/>
    <w:rsid w:val="46067FA6"/>
    <w:rsid w:val="460E0337"/>
    <w:rsid w:val="46333DFA"/>
    <w:rsid w:val="46367B3A"/>
    <w:rsid w:val="463D28A8"/>
    <w:rsid w:val="465C1D5B"/>
    <w:rsid w:val="465D4B86"/>
    <w:rsid w:val="46713303"/>
    <w:rsid w:val="46835F2A"/>
    <w:rsid w:val="4685016C"/>
    <w:rsid w:val="46977D08"/>
    <w:rsid w:val="46AA2A55"/>
    <w:rsid w:val="46B710FE"/>
    <w:rsid w:val="46BC0687"/>
    <w:rsid w:val="46C74F03"/>
    <w:rsid w:val="46C86F17"/>
    <w:rsid w:val="46F40267"/>
    <w:rsid w:val="46FE0310"/>
    <w:rsid w:val="47167953"/>
    <w:rsid w:val="471A292F"/>
    <w:rsid w:val="471A5224"/>
    <w:rsid w:val="47223B98"/>
    <w:rsid w:val="47247F0E"/>
    <w:rsid w:val="47267C1B"/>
    <w:rsid w:val="473236C0"/>
    <w:rsid w:val="473E459A"/>
    <w:rsid w:val="4755124D"/>
    <w:rsid w:val="476A005D"/>
    <w:rsid w:val="476F12F3"/>
    <w:rsid w:val="478B77DC"/>
    <w:rsid w:val="47967E90"/>
    <w:rsid w:val="4797154C"/>
    <w:rsid w:val="47A9424D"/>
    <w:rsid w:val="47AE39B0"/>
    <w:rsid w:val="47BB799F"/>
    <w:rsid w:val="47DE0285"/>
    <w:rsid w:val="47E72A39"/>
    <w:rsid w:val="47F77566"/>
    <w:rsid w:val="481C1F20"/>
    <w:rsid w:val="48480992"/>
    <w:rsid w:val="484963FE"/>
    <w:rsid w:val="485B547D"/>
    <w:rsid w:val="486D6458"/>
    <w:rsid w:val="486F6225"/>
    <w:rsid w:val="48801F0A"/>
    <w:rsid w:val="488C6978"/>
    <w:rsid w:val="488D48CD"/>
    <w:rsid w:val="48944922"/>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5E0001"/>
    <w:rsid w:val="497C5511"/>
    <w:rsid w:val="497E7236"/>
    <w:rsid w:val="498378F5"/>
    <w:rsid w:val="49941F07"/>
    <w:rsid w:val="49B4701F"/>
    <w:rsid w:val="49B65DC9"/>
    <w:rsid w:val="49C443DF"/>
    <w:rsid w:val="49C70E69"/>
    <w:rsid w:val="49D946BF"/>
    <w:rsid w:val="49DC090A"/>
    <w:rsid w:val="49E82B6B"/>
    <w:rsid w:val="49EE01CE"/>
    <w:rsid w:val="49FB4DA8"/>
    <w:rsid w:val="4A023127"/>
    <w:rsid w:val="4A2A4B22"/>
    <w:rsid w:val="4A305D79"/>
    <w:rsid w:val="4A4E7233"/>
    <w:rsid w:val="4A511DB0"/>
    <w:rsid w:val="4A536B5A"/>
    <w:rsid w:val="4A5D5BF7"/>
    <w:rsid w:val="4A66784F"/>
    <w:rsid w:val="4A736C2C"/>
    <w:rsid w:val="4A741A5F"/>
    <w:rsid w:val="4AA26708"/>
    <w:rsid w:val="4AA30E3B"/>
    <w:rsid w:val="4AA537C5"/>
    <w:rsid w:val="4AB054CD"/>
    <w:rsid w:val="4B085991"/>
    <w:rsid w:val="4B0A5933"/>
    <w:rsid w:val="4B0A602D"/>
    <w:rsid w:val="4B1E14FF"/>
    <w:rsid w:val="4B1E57B9"/>
    <w:rsid w:val="4B2C6CED"/>
    <w:rsid w:val="4B462466"/>
    <w:rsid w:val="4B5F395F"/>
    <w:rsid w:val="4B8B5936"/>
    <w:rsid w:val="4B8E12D6"/>
    <w:rsid w:val="4B9752AA"/>
    <w:rsid w:val="4B986978"/>
    <w:rsid w:val="4B9E62C7"/>
    <w:rsid w:val="4BD175BE"/>
    <w:rsid w:val="4BF41951"/>
    <w:rsid w:val="4C00497F"/>
    <w:rsid w:val="4C245534"/>
    <w:rsid w:val="4C2779CF"/>
    <w:rsid w:val="4C2C2930"/>
    <w:rsid w:val="4C4579F1"/>
    <w:rsid w:val="4C632703"/>
    <w:rsid w:val="4C672128"/>
    <w:rsid w:val="4C734F10"/>
    <w:rsid w:val="4C7621BE"/>
    <w:rsid w:val="4C7B3217"/>
    <w:rsid w:val="4C852AB6"/>
    <w:rsid w:val="4C9269AF"/>
    <w:rsid w:val="4C9743B6"/>
    <w:rsid w:val="4CEE4218"/>
    <w:rsid w:val="4D2B328B"/>
    <w:rsid w:val="4D303277"/>
    <w:rsid w:val="4D670A85"/>
    <w:rsid w:val="4D6C0ACB"/>
    <w:rsid w:val="4D806473"/>
    <w:rsid w:val="4D910EA9"/>
    <w:rsid w:val="4DAD774C"/>
    <w:rsid w:val="4DB87F6B"/>
    <w:rsid w:val="4DBC1F35"/>
    <w:rsid w:val="4DEE0130"/>
    <w:rsid w:val="4DF85FC0"/>
    <w:rsid w:val="4DFC5A16"/>
    <w:rsid w:val="4E025656"/>
    <w:rsid w:val="4E476702"/>
    <w:rsid w:val="4E4A0B69"/>
    <w:rsid w:val="4E600A4F"/>
    <w:rsid w:val="4E6B1103"/>
    <w:rsid w:val="4E7B029B"/>
    <w:rsid w:val="4E8171D2"/>
    <w:rsid w:val="4EA92ABB"/>
    <w:rsid w:val="4EB7239C"/>
    <w:rsid w:val="4ED61833"/>
    <w:rsid w:val="4EDA18B9"/>
    <w:rsid w:val="4EF925E5"/>
    <w:rsid w:val="4F0B4347"/>
    <w:rsid w:val="4F112FA7"/>
    <w:rsid w:val="4F573543"/>
    <w:rsid w:val="4F580F26"/>
    <w:rsid w:val="4F6F3053"/>
    <w:rsid w:val="4F9864B2"/>
    <w:rsid w:val="4FAE4C09"/>
    <w:rsid w:val="4FC05E61"/>
    <w:rsid w:val="4FC337C0"/>
    <w:rsid w:val="4FD62EA9"/>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0E75211"/>
    <w:rsid w:val="510830D9"/>
    <w:rsid w:val="516C61A5"/>
    <w:rsid w:val="516F6379"/>
    <w:rsid w:val="517C316A"/>
    <w:rsid w:val="51803658"/>
    <w:rsid w:val="5182074A"/>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5A56B4"/>
    <w:rsid w:val="535E583D"/>
    <w:rsid w:val="5369291D"/>
    <w:rsid w:val="53882361"/>
    <w:rsid w:val="53970983"/>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7D641A"/>
    <w:rsid w:val="5480370F"/>
    <w:rsid w:val="54902752"/>
    <w:rsid w:val="54AA3C33"/>
    <w:rsid w:val="54B12D9C"/>
    <w:rsid w:val="54BB1851"/>
    <w:rsid w:val="54C808F4"/>
    <w:rsid w:val="54DE257B"/>
    <w:rsid w:val="553805B0"/>
    <w:rsid w:val="553B7BE4"/>
    <w:rsid w:val="553D5A1E"/>
    <w:rsid w:val="55582FF0"/>
    <w:rsid w:val="5559393E"/>
    <w:rsid w:val="556303E7"/>
    <w:rsid w:val="55670917"/>
    <w:rsid w:val="55776D00"/>
    <w:rsid w:val="559D5F05"/>
    <w:rsid w:val="55A0704C"/>
    <w:rsid w:val="55AF0CE4"/>
    <w:rsid w:val="55C47D86"/>
    <w:rsid w:val="55D51D4E"/>
    <w:rsid w:val="55DD38ED"/>
    <w:rsid w:val="5609115F"/>
    <w:rsid w:val="561502F5"/>
    <w:rsid w:val="56156687"/>
    <w:rsid w:val="561E08B1"/>
    <w:rsid w:val="562D3205"/>
    <w:rsid w:val="5632389E"/>
    <w:rsid w:val="564A7C41"/>
    <w:rsid w:val="5664227F"/>
    <w:rsid w:val="56704578"/>
    <w:rsid w:val="569538CD"/>
    <w:rsid w:val="56B82CD0"/>
    <w:rsid w:val="56BB7F10"/>
    <w:rsid w:val="56EA1F97"/>
    <w:rsid w:val="57185255"/>
    <w:rsid w:val="573F5E3C"/>
    <w:rsid w:val="57403161"/>
    <w:rsid w:val="575E2CCB"/>
    <w:rsid w:val="575F02DD"/>
    <w:rsid w:val="576171EA"/>
    <w:rsid w:val="57732429"/>
    <w:rsid w:val="578202D2"/>
    <w:rsid w:val="57A1459F"/>
    <w:rsid w:val="57AA5D1A"/>
    <w:rsid w:val="57AB074C"/>
    <w:rsid w:val="57B37537"/>
    <w:rsid w:val="57BF0914"/>
    <w:rsid w:val="58262DCD"/>
    <w:rsid w:val="58363268"/>
    <w:rsid w:val="58372026"/>
    <w:rsid w:val="583E0664"/>
    <w:rsid w:val="584E79B1"/>
    <w:rsid w:val="586274F7"/>
    <w:rsid w:val="587316C8"/>
    <w:rsid w:val="587A1256"/>
    <w:rsid w:val="588B2420"/>
    <w:rsid w:val="5895337D"/>
    <w:rsid w:val="589A6E8D"/>
    <w:rsid w:val="58B705E4"/>
    <w:rsid w:val="58E97F2A"/>
    <w:rsid w:val="58EA204C"/>
    <w:rsid w:val="58ED12F5"/>
    <w:rsid w:val="58F5454D"/>
    <w:rsid w:val="58F935D2"/>
    <w:rsid w:val="59065EE0"/>
    <w:rsid w:val="592233B5"/>
    <w:rsid w:val="592C7E8A"/>
    <w:rsid w:val="59300FC8"/>
    <w:rsid w:val="59372DB8"/>
    <w:rsid w:val="5938377F"/>
    <w:rsid w:val="59716306"/>
    <w:rsid w:val="597E3F8E"/>
    <w:rsid w:val="59A71618"/>
    <w:rsid w:val="59BE6A7E"/>
    <w:rsid w:val="59C65504"/>
    <w:rsid w:val="59C80E72"/>
    <w:rsid w:val="59C90ECD"/>
    <w:rsid w:val="59FA683F"/>
    <w:rsid w:val="59FE08FA"/>
    <w:rsid w:val="5A07294F"/>
    <w:rsid w:val="5A1D4F8C"/>
    <w:rsid w:val="5A221332"/>
    <w:rsid w:val="5A3952E3"/>
    <w:rsid w:val="5A6A0612"/>
    <w:rsid w:val="5A6F77E0"/>
    <w:rsid w:val="5A7631EB"/>
    <w:rsid w:val="5A9F200A"/>
    <w:rsid w:val="5AA5630F"/>
    <w:rsid w:val="5AAC6D46"/>
    <w:rsid w:val="5AC83FB2"/>
    <w:rsid w:val="5ACD78C8"/>
    <w:rsid w:val="5ACF7403"/>
    <w:rsid w:val="5AD167AE"/>
    <w:rsid w:val="5AFC21D1"/>
    <w:rsid w:val="5B322B69"/>
    <w:rsid w:val="5B46719F"/>
    <w:rsid w:val="5B4929A8"/>
    <w:rsid w:val="5B646ADA"/>
    <w:rsid w:val="5B8F6FF6"/>
    <w:rsid w:val="5B993931"/>
    <w:rsid w:val="5B9B636C"/>
    <w:rsid w:val="5BA04C44"/>
    <w:rsid w:val="5BA42A14"/>
    <w:rsid w:val="5BA774FC"/>
    <w:rsid w:val="5BDB16EF"/>
    <w:rsid w:val="5BF0439B"/>
    <w:rsid w:val="5C1269B5"/>
    <w:rsid w:val="5C284D38"/>
    <w:rsid w:val="5C4B6C61"/>
    <w:rsid w:val="5C527C59"/>
    <w:rsid w:val="5C5D3101"/>
    <w:rsid w:val="5C633253"/>
    <w:rsid w:val="5C9B4505"/>
    <w:rsid w:val="5CA261CF"/>
    <w:rsid w:val="5CAC70BE"/>
    <w:rsid w:val="5CCB328D"/>
    <w:rsid w:val="5CCF4100"/>
    <w:rsid w:val="5CD1247D"/>
    <w:rsid w:val="5CD41A66"/>
    <w:rsid w:val="5CF17ECA"/>
    <w:rsid w:val="5D0B0214"/>
    <w:rsid w:val="5D1A0A42"/>
    <w:rsid w:val="5D237B17"/>
    <w:rsid w:val="5D403E92"/>
    <w:rsid w:val="5D4F1710"/>
    <w:rsid w:val="5D6E7DA0"/>
    <w:rsid w:val="5D6F3737"/>
    <w:rsid w:val="5D71045F"/>
    <w:rsid w:val="5D975BEB"/>
    <w:rsid w:val="5DBC54F7"/>
    <w:rsid w:val="5DBE7842"/>
    <w:rsid w:val="5DCA792E"/>
    <w:rsid w:val="5DD50170"/>
    <w:rsid w:val="5DEB26B3"/>
    <w:rsid w:val="5E017C06"/>
    <w:rsid w:val="5E0F6CAD"/>
    <w:rsid w:val="5E177A6A"/>
    <w:rsid w:val="5E25510D"/>
    <w:rsid w:val="5E413D91"/>
    <w:rsid w:val="5E44324A"/>
    <w:rsid w:val="5E486B18"/>
    <w:rsid w:val="5E4A015A"/>
    <w:rsid w:val="5E6E0D39"/>
    <w:rsid w:val="5E7F7EDD"/>
    <w:rsid w:val="5EA41B31"/>
    <w:rsid w:val="5EA908DF"/>
    <w:rsid w:val="5ECC09BB"/>
    <w:rsid w:val="5ED14076"/>
    <w:rsid w:val="5F060893"/>
    <w:rsid w:val="5F196F65"/>
    <w:rsid w:val="5F1F205F"/>
    <w:rsid w:val="5F2D2E3D"/>
    <w:rsid w:val="5F315EF2"/>
    <w:rsid w:val="5F323E12"/>
    <w:rsid w:val="5F3F15BD"/>
    <w:rsid w:val="5F4F39A9"/>
    <w:rsid w:val="5F7614D6"/>
    <w:rsid w:val="5FA865A9"/>
    <w:rsid w:val="5FBD7FF4"/>
    <w:rsid w:val="5FDA399F"/>
    <w:rsid w:val="5FDB3684"/>
    <w:rsid w:val="5FEB6673"/>
    <w:rsid w:val="5FFA79ED"/>
    <w:rsid w:val="6032371E"/>
    <w:rsid w:val="604D4C6F"/>
    <w:rsid w:val="604D6358"/>
    <w:rsid w:val="604E1695"/>
    <w:rsid w:val="606D0EF6"/>
    <w:rsid w:val="607A7859"/>
    <w:rsid w:val="60B20EB9"/>
    <w:rsid w:val="60D85CFF"/>
    <w:rsid w:val="60E47941"/>
    <w:rsid w:val="61013040"/>
    <w:rsid w:val="61187ED8"/>
    <w:rsid w:val="611C35B8"/>
    <w:rsid w:val="616F0A87"/>
    <w:rsid w:val="617230BA"/>
    <w:rsid w:val="61740511"/>
    <w:rsid w:val="619C78FD"/>
    <w:rsid w:val="61AE7556"/>
    <w:rsid w:val="61D41854"/>
    <w:rsid w:val="62051EB9"/>
    <w:rsid w:val="6206793E"/>
    <w:rsid w:val="621F60BA"/>
    <w:rsid w:val="62282B27"/>
    <w:rsid w:val="622C1504"/>
    <w:rsid w:val="6247406C"/>
    <w:rsid w:val="624F63B5"/>
    <w:rsid w:val="625457B2"/>
    <w:rsid w:val="625A6442"/>
    <w:rsid w:val="626C05AB"/>
    <w:rsid w:val="628D245F"/>
    <w:rsid w:val="62A45042"/>
    <w:rsid w:val="62BA360B"/>
    <w:rsid w:val="62C173F4"/>
    <w:rsid w:val="62E973CB"/>
    <w:rsid w:val="62F03D3C"/>
    <w:rsid w:val="630E067E"/>
    <w:rsid w:val="630F7A4D"/>
    <w:rsid w:val="63262B54"/>
    <w:rsid w:val="6330114D"/>
    <w:rsid w:val="63377DED"/>
    <w:rsid w:val="63600859"/>
    <w:rsid w:val="638B4892"/>
    <w:rsid w:val="639279AF"/>
    <w:rsid w:val="639C24A4"/>
    <w:rsid w:val="63CD374D"/>
    <w:rsid w:val="63EE02A4"/>
    <w:rsid w:val="63F2462E"/>
    <w:rsid w:val="641222ED"/>
    <w:rsid w:val="642B5582"/>
    <w:rsid w:val="6463417F"/>
    <w:rsid w:val="64643953"/>
    <w:rsid w:val="64654D54"/>
    <w:rsid w:val="64AE720F"/>
    <w:rsid w:val="64DC03ED"/>
    <w:rsid w:val="64E11AD8"/>
    <w:rsid w:val="64FB2F8F"/>
    <w:rsid w:val="65144DE5"/>
    <w:rsid w:val="651924C2"/>
    <w:rsid w:val="651E2759"/>
    <w:rsid w:val="653C7DC4"/>
    <w:rsid w:val="65786BF9"/>
    <w:rsid w:val="65786E6F"/>
    <w:rsid w:val="658A320A"/>
    <w:rsid w:val="658C66C4"/>
    <w:rsid w:val="659A3F39"/>
    <w:rsid w:val="659D2CEF"/>
    <w:rsid w:val="65B8738C"/>
    <w:rsid w:val="65C664D3"/>
    <w:rsid w:val="65D21CDF"/>
    <w:rsid w:val="65DA2217"/>
    <w:rsid w:val="66097698"/>
    <w:rsid w:val="663A2862"/>
    <w:rsid w:val="665314E1"/>
    <w:rsid w:val="66536C43"/>
    <w:rsid w:val="66565FB4"/>
    <w:rsid w:val="66634171"/>
    <w:rsid w:val="66681907"/>
    <w:rsid w:val="667746FC"/>
    <w:rsid w:val="66795682"/>
    <w:rsid w:val="66813874"/>
    <w:rsid w:val="66815672"/>
    <w:rsid w:val="6685004E"/>
    <w:rsid w:val="668D5944"/>
    <w:rsid w:val="66B36312"/>
    <w:rsid w:val="66D1730C"/>
    <w:rsid w:val="66EF2B5F"/>
    <w:rsid w:val="66EF31C1"/>
    <w:rsid w:val="670F46CB"/>
    <w:rsid w:val="67186538"/>
    <w:rsid w:val="671E4223"/>
    <w:rsid w:val="67277DF4"/>
    <w:rsid w:val="67340A1D"/>
    <w:rsid w:val="67351615"/>
    <w:rsid w:val="673B2AC0"/>
    <w:rsid w:val="674B63B2"/>
    <w:rsid w:val="674D5DCD"/>
    <w:rsid w:val="675D1C3B"/>
    <w:rsid w:val="675E2F62"/>
    <w:rsid w:val="675E64C0"/>
    <w:rsid w:val="678218BC"/>
    <w:rsid w:val="67950EB3"/>
    <w:rsid w:val="67994DBC"/>
    <w:rsid w:val="67B30FB4"/>
    <w:rsid w:val="67BD4963"/>
    <w:rsid w:val="67D101D0"/>
    <w:rsid w:val="680377B8"/>
    <w:rsid w:val="681A2DC6"/>
    <w:rsid w:val="6820035E"/>
    <w:rsid w:val="6822692F"/>
    <w:rsid w:val="682D717C"/>
    <w:rsid w:val="685F2B0C"/>
    <w:rsid w:val="686E4CA0"/>
    <w:rsid w:val="6885450B"/>
    <w:rsid w:val="68B631F6"/>
    <w:rsid w:val="68B73E7B"/>
    <w:rsid w:val="68BA42B2"/>
    <w:rsid w:val="68CF272B"/>
    <w:rsid w:val="69000946"/>
    <w:rsid w:val="69111BD2"/>
    <w:rsid w:val="692702C4"/>
    <w:rsid w:val="69301A27"/>
    <w:rsid w:val="695D5832"/>
    <w:rsid w:val="69732E6B"/>
    <w:rsid w:val="699E014D"/>
    <w:rsid w:val="69B72806"/>
    <w:rsid w:val="69C21FC2"/>
    <w:rsid w:val="69CE797A"/>
    <w:rsid w:val="69D31B5E"/>
    <w:rsid w:val="69E817D1"/>
    <w:rsid w:val="69F431E5"/>
    <w:rsid w:val="69FA5867"/>
    <w:rsid w:val="69FE675E"/>
    <w:rsid w:val="6A1A2049"/>
    <w:rsid w:val="6A2C7C6C"/>
    <w:rsid w:val="6A423BC4"/>
    <w:rsid w:val="6A45046C"/>
    <w:rsid w:val="6A5347AB"/>
    <w:rsid w:val="6A5C3F5E"/>
    <w:rsid w:val="6A7A5B8E"/>
    <w:rsid w:val="6A855EA5"/>
    <w:rsid w:val="6AA44F93"/>
    <w:rsid w:val="6AB17E6C"/>
    <w:rsid w:val="6AB71D61"/>
    <w:rsid w:val="6AB92FAF"/>
    <w:rsid w:val="6ACF19E4"/>
    <w:rsid w:val="6AD5470C"/>
    <w:rsid w:val="6ADE1CAF"/>
    <w:rsid w:val="6AE34B4E"/>
    <w:rsid w:val="6B0B1806"/>
    <w:rsid w:val="6B0C7821"/>
    <w:rsid w:val="6B1217F9"/>
    <w:rsid w:val="6B141672"/>
    <w:rsid w:val="6B1538B3"/>
    <w:rsid w:val="6B3666EE"/>
    <w:rsid w:val="6B3D4671"/>
    <w:rsid w:val="6B4502B7"/>
    <w:rsid w:val="6B6460AC"/>
    <w:rsid w:val="6B6E5845"/>
    <w:rsid w:val="6B8F5215"/>
    <w:rsid w:val="6BAA7419"/>
    <w:rsid w:val="6BAC3191"/>
    <w:rsid w:val="6BB43210"/>
    <w:rsid w:val="6BBD4870"/>
    <w:rsid w:val="6BC85C10"/>
    <w:rsid w:val="6BCC7390"/>
    <w:rsid w:val="6BCF2245"/>
    <w:rsid w:val="6BDC0DC0"/>
    <w:rsid w:val="6BE07F64"/>
    <w:rsid w:val="6BEE7306"/>
    <w:rsid w:val="6BFB7E42"/>
    <w:rsid w:val="6C0C3140"/>
    <w:rsid w:val="6C2343EA"/>
    <w:rsid w:val="6C253A83"/>
    <w:rsid w:val="6C4C1DDE"/>
    <w:rsid w:val="6C4D060E"/>
    <w:rsid w:val="6C526267"/>
    <w:rsid w:val="6C5D705E"/>
    <w:rsid w:val="6C6470B5"/>
    <w:rsid w:val="6C663C13"/>
    <w:rsid w:val="6C7735C7"/>
    <w:rsid w:val="6C7D61ED"/>
    <w:rsid w:val="6C8528D2"/>
    <w:rsid w:val="6CAC4760"/>
    <w:rsid w:val="6CB23065"/>
    <w:rsid w:val="6CC0444D"/>
    <w:rsid w:val="6D10365D"/>
    <w:rsid w:val="6D266D96"/>
    <w:rsid w:val="6D272E6C"/>
    <w:rsid w:val="6D60790A"/>
    <w:rsid w:val="6D66634B"/>
    <w:rsid w:val="6D886D51"/>
    <w:rsid w:val="6D9C39D1"/>
    <w:rsid w:val="6D9F30F1"/>
    <w:rsid w:val="6DB940F2"/>
    <w:rsid w:val="6DCC4C0D"/>
    <w:rsid w:val="6DE2414D"/>
    <w:rsid w:val="6DFA089C"/>
    <w:rsid w:val="6E024E4B"/>
    <w:rsid w:val="6E0B43AE"/>
    <w:rsid w:val="6E1B57B2"/>
    <w:rsid w:val="6E24570D"/>
    <w:rsid w:val="6E400400"/>
    <w:rsid w:val="6E4341AC"/>
    <w:rsid w:val="6E777A87"/>
    <w:rsid w:val="6E7B0441"/>
    <w:rsid w:val="6E7F227A"/>
    <w:rsid w:val="6EA77C40"/>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825BB"/>
    <w:rsid w:val="701D06F2"/>
    <w:rsid w:val="703F2689"/>
    <w:rsid w:val="70443C2F"/>
    <w:rsid w:val="70820DC4"/>
    <w:rsid w:val="70976C9B"/>
    <w:rsid w:val="70E05694"/>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20E0978"/>
    <w:rsid w:val="720F6228"/>
    <w:rsid w:val="72194110"/>
    <w:rsid w:val="72273572"/>
    <w:rsid w:val="7235573F"/>
    <w:rsid w:val="723D63F5"/>
    <w:rsid w:val="724E2CB9"/>
    <w:rsid w:val="72513158"/>
    <w:rsid w:val="725A1BEF"/>
    <w:rsid w:val="726C56B8"/>
    <w:rsid w:val="72767CBE"/>
    <w:rsid w:val="727F789D"/>
    <w:rsid w:val="7288771C"/>
    <w:rsid w:val="728A2353"/>
    <w:rsid w:val="7293062E"/>
    <w:rsid w:val="72982D74"/>
    <w:rsid w:val="72996FB8"/>
    <w:rsid w:val="72A458E1"/>
    <w:rsid w:val="72AF050D"/>
    <w:rsid w:val="72BF3E2E"/>
    <w:rsid w:val="72CB4274"/>
    <w:rsid w:val="72CE592F"/>
    <w:rsid w:val="72E651DB"/>
    <w:rsid w:val="72E66F89"/>
    <w:rsid w:val="72FD1AB3"/>
    <w:rsid w:val="72FE1BD1"/>
    <w:rsid w:val="73090EC9"/>
    <w:rsid w:val="73165394"/>
    <w:rsid w:val="73173D68"/>
    <w:rsid w:val="73197AE0"/>
    <w:rsid w:val="73221860"/>
    <w:rsid w:val="73232117"/>
    <w:rsid w:val="73275E34"/>
    <w:rsid w:val="73280BCA"/>
    <w:rsid w:val="732C6F90"/>
    <w:rsid w:val="73313277"/>
    <w:rsid w:val="733A4EF6"/>
    <w:rsid w:val="733D0234"/>
    <w:rsid w:val="735559D3"/>
    <w:rsid w:val="735675A7"/>
    <w:rsid w:val="7374156A"/>
    <w:rsid w:val="73773239"/>
    <w:rsid w:val="73B40BD5"/>
    <w:rsid w:val="73D93EF1"/>
    <w:rsid w:val="73EF7F33"/>
    <w:rsid w:val="73FA14E3"/>
    <w:rsid w:val="740A7F35"/>
    <w:rsid w:val="741C42CE"/>
    <w:rsid w:val="742B455C"/>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A5D5C"/>
    <w:rsid w:val="755E6626"/>
    <w:rsid w:val="75841DF5"/>
    <w:rsid w:val="758D233C"/>
    <w:rsid w:val="758F304E"/>
    <w:rsid w:val="759C09A4"/>
    <w:rsid w:val="75A40F6D"/>
    <w:rsid w:val="75B14D54"/>
    <w:rsid w:val="75EE4E13"/>
    <w:rsid w:val="760B0272"/>
    <w:rsid w:val="76162ABE"/>
    <w:rsid w:val="76330C1E"/>
    <w:rsid w:val="763E014D"/>
    <w:rsid w:val="76456A13"/>
    <w:rsid w:val="765612DA"/>
    <w:rsid w:val="7674539F"/>
    <w:rsid w:val="76756DA8"/>
    <w:rsid w:val="76887988"/>
    <w:rsid w:val="768F16E6"/>
    <w:rsid w:val="76986891"/>
    <w:rsid w:val="769F3D71"/>
    <w:rsid w:val="76AE6010"/>
    <w:rsid w:val="76EC1ABC"/>
    <w:rsid w:val="76FB601C"/>
    <w:rsid w:val="7702635B"/>
    <w:rsid w:val="770B5CD6"/>
    <w:rsid w:val="7710200E"/>
    <w:rsid w:val="776706D6"/>
    <w:rsid w:val="77700134"/>
    <w:rsid w:val="778413DC"/>
    <w:rsid w:val="779D3EA8"/>
    <w:rsid w:val="77A65EF4"/>
    <w:rsid w:val="77AB57D7"/>
    <w:rsid w:val="77AE3DED"/>
    <w:rsid w:val="77B0751C"/>
    <w:rsid w:val="77CC6EC1"/>
    <w:rsid w:val="77D4061C"/>
    <w:rsid w:val="77E03037"/>
    <w:rsid w:val="780776F7"/>
    <w:rsid w:val="78340B49"/>
    <w:rsid w:val="785F6726"/>
    <w:rsid w:val="788617F4"/>
    <w:rsid w:val="78867CFB"/>
    <w:rsid w:val="78976EF9"/>
    <w:rsid w:val="78B65F6B"/>
    <w:rsid w:val="78B95E11"/>
    <w:rsid w:val="78E92D88"/>
    <w:rsid w:val="79125039"/>
    <w:rsid w:val="79204C41"/>
    <w:rsid w:val="79290342"/>
    <w:rsid w:val="795F47C4"/>
    <w:rsid w:val="796141A4"/>
    <w:rsid w:val="796A125E"/>
    <w:rsid w:val="79941644"/>
    <w:rsid w:val="799447B2"/>
    <w:rsid w:val="79993DEC"/>
    <w:rsid w:val="799D49BF"/>
    <w:rsid w:val="79CE2230"/>
    <w:rsid w:val="79D90257"/>
    <w:rsid w:val="79E064A7"/>
    <w:rsid w:val="79E4695D"/>
    <w:rsid w:val="79E543D7"/>
    <w:rsid w:val="79F15FFB"/>
    <w:rsid w:val="79F16C5D"/>
    <w:rsid w:val="79F9227E"/>
    <w:rsid w:val="7A03141B"/>
    <w:rsid w:val="7A065A49"/>
    <w:rsid w:val="7A086377"/>
    <w:rsid w:val="7A0B18AC"/>
    <w:rsid w:val="7A242978"/>
    <w:rsid w:val="7A5B08C9"/>
    <w:rsid w:val="7A634A12"/>
    <w:rsid w:val="7A785221"/>
    <w:rsid w:val="7A7E6870"/>
    <w:rsid w:val="7A8A0C41"/>
    <w:rsid w:val="7A9E603E"/>
    <w:rsid w:val="7AB17FC0"/>
    <w:rsid w:val="7AC908C2"/>
    <w:rsid w:val="7ADC4284"/>
    <w:rsid w:val="7AEE2E82"/>
    <w:rsid w:val="7B0C2233"/>
    <w:rsid w:val="7B1E1599"/>
    <w:rsid w:val="7B4A4326"/>
    <w:rsid w:val="7B587DD1"/>
    <w:rsid w:val="7B8F75C0"/>
    <w:rsid w:val="7B91553C"/>
    <w:rsid w:val="7BB1201D"/>
    <w:rsid w:val="7BBC0E6E"/>
    <w:rsid w:val="7BEC1E4B"/>
    <w:rsid w:val="7BF240AC"/>
    <w:rsid w:val="7C175044"/>
    <w:rsid w:val="7C2A1D4B"/>
    <w:rsid w:val="7C365A76"/>
    <w:rsid w:val="7C42078B"/>
    <w:rsid w:val="7C440D7D"/>
    <w:rsid w:val="7C6F0A60"/>
    <w:rsid w:val="7C722082"/>
    <w:rsid w:val="7C7D2601"/>
    <w:rsid w:val="7C7E1515"/>
    <w:rsid w:val="7CA50B86"/>
    <w:rsid w:val="7CB246E4"/>
    <w:rsid w:val="7CC7078E"/>
    <w:rsid w:val="7CD40CD3"/>
    <w:rsid w:val="7D0A1541"/>
    <w:rsid w:val="7D176503"/>
    <w:rsid w:val="7D23545D"/>
    <w:rsid w:val="7D431EFA"/>
    <w:rsid w:val="7D5F4763"/>
    <w:rsid w:val="7D9348E3"/>
    <w:rsid w:val="7D950543"/>
    <w:rsid w:val="7D973B95"/>
    <w:rsid w:val="7DAE4568"/>
    <w:rsid w:val="7DB0283F"/>
    <w:rsid w:val="7DB419E2"/>
    <w:rsid w:val="7DC75FFF"/>
    <w:rsid w:val="7DC91CBB"/>
    <w:rsid w:val="7DEE10DE"/>
    <w:rsid w:val="7DF70472"/>
    <w:rsid w:val="7E046827"/>
    <w:rsid w:val="7E1A1323"/>
    <w:rsid w:val="7E2123E3"/>
    <w:rsid w:val="7E292EE4"/>
    <w:rsid w:val="7E2D6640"/>
    <w:rsid w:val="7E37624C"/>
    <w:rsid w:val="7E3D377F"/>
    <w:rsid w:val="7E6A451A"/>
    <w:rsid w:val="7E6E31E0"/>
    <w:rsid w:val="7E8A75CD"/>
    <w:rsid w:val="7E8C6D77"/>
    <w:rsid w:val="7E9F0937"/>
    <w:rsid w:val="7E9F0C7C"/>
    <w:rsid w:val="7EBA5361"/>
    <w:rsid w:val="7EC54DD3"/>
    <w:rsid w:val="7ED8452C"/>
    <w:rsid w:val="7EE626A2"/>
    <w:rsid w:val="7EFD3F05"/>
    <w:rsid w:val="7F0D2695"/>
    <w:rsid w:val="7F2675B1"/>
    <w:rsid w:val="7F513327"/>
    <w:rsid w:val="7F55391D"/>
    <w:rsid w:val="7F7511B7"/>
    <w:rsid w:val="7F8539E9"/>
    <w:rsid w:val="7F954F92"/>
    <w:rsid w:val="7F964C9A"/>
    <w:rsid w:val="7F9D0C84"/>
    <w:rsid w:val="7FAD0277"/>
    <w:rsid w:val="7FD14011"/>
    <w:rsid w:val="7FE9455C"/>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51"/>
    <w:qFormat/>
    <w:uiPriority w:val="0"/>
    <w:pPr>
      <w:keepNext/>
      <w:keepLines/>
      <w:spacing w:before="60" w:after="60"/>
      <w:jc w:val="center"/>
      <w:outlineLvl w:val="0"/>
    </w:pPr>
    <w:rPr>
      <w:b/>
      <w:bCs/>
      <w:kern w:val="44"/>
      <w:sz w:val="44"/>
      <w:szCs w:val="44"/>
    </w:rPr>
  </w:style>
  <w:style w:type="paragraph" w:styleId="6">
    <w:name w:val="heading 2"/>
    <w:basedOn w:val="1"/>
    <w:next w:val="1"/>
    <w:link w:val="5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link w:val="53"/>
    <w:unhideWhenUsed/>
    <w:qFormat/>
    <w:uiPriority w:val="0"/>
    <w:pPr>
      <w:keepNext/>
      <w:keepLines/>
      <w:tabs>
        <w:tab w:val="left" w:pos="8280"/>
      </w:tabs>
      <w:spacing w:before="260" w:after="260" w:line="416" w:lineRule="auto"/>
      <w:outlineLvl w:val="2"/>
    </w:pPr>
    <w:rPr>
      <w:bCs/>
      <w:szCs w:val="32"/>
    </w:rPr>
  </w:style>
  <w:style w:type="paragraph" w:styleId="9">
    <w:name w:val="heading 4"/>
    <w:basedOn w:val="1"/>
    <w:next w:val="1"/>
    <w:link w:val="54"/>
    <w:qFormat/>
    <w:uiPriority w:val="0"/>
    <w:pPr>
      <w:keepLines/>
      <w:widowControl/>
      <w:numPr>
        <w:ilvl w:val="3"/>
        <w:numId w:val="1"/>
      </w:numPr>
      <w:jc w:val="left"/>
      <w:outlineLvl w:val="3"/>
    </w:pPr>
    <w:rPr>
      <w:rFonts w:eastAsia="楷体_GB2312"/>
      <w:b/>
      <w:snapToGrid w:val="0"/>
    </w:rPr>
  </w:style>
  <w:style w:type="paragraph" w:styleId="10">
    <w:name w:val="heading 5"/>
    <w:basedOn w:val="1"/>
    <w:next w:val="1"/>
    <w:link w:val="55"/>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1">
    <w:name w:val="heading 6"/>
    <w:basedOn w:val="1"/>
    <w:next w:val="1"/>
    <w:link w:val="5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link w:val="5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3">
    <w:name w:val="heading 8"/>
    <w:basedOn w:val="1"/>
    <w:next w:val="1"/>
    <w:link w:val="5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link w:val="5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1"/>
    <w:qFormat/>
    <w:uiPriority w:val="0"/>
    <w:pPr>
      <w:ind w:firstLine="420"/>
    </w:pPr>
  </w:style>
  <w:style w:type="paragraph" w:styleId="3">
    <w:name w:val="Body Text Indent"/>
    <w:basedOn w:val="1"/>
    <w:next w:val="1"/>
    <w:link w:val="49"/>
    <w:qFormat/>
    <w:uiPriority w:val="99"/>
    <w:pPr>
      <w:spacing w:after="120"/>
      <w:ind w:left="420" w:leftChars="200"/>
    </w:pPr>
  </w:style>
  <w:style w:type="paragraph" w:styleId="5">
    <w:name w:val="Normal Indent"/>
    <w:basedOn w:val="1"/>
    <w:next w:val="1"/>
    <w:link w:val="50"/>
    <w:qFormat/>
    <w:uiPriority w:val="0"/>
    <w:pPr>
      <w:ind w:firstLine="420"/>
    </w:pPr>
    <w:rPr>
      <w:szCs w:val="20"/>
    </w:rPr>
  </w:style>
  <w:style w:type="paragraph" w:customStyle="1" w:styleId="8">
    <w:name w:val="my正文"/>
    <w:basedOn w:val="1"/>
    <w:qFormat/>
    <w:uiPriority w:val="0"/>
    <w:pPr>
      <w:spacing w:line="360" w:lineRule="auto"/>
      <w:ind w:firstLine="480" w:firstLineChars="200"/>
    </w:pPr>
    <w:rPr>
      <w:sz w:val="24"/>
    </w:rPr>
  </w:style>
  <w:style w:type="paragraph" w:styleId="15">
    <w:name w:val="List Number"/>
    <w:basedOn w:val="1"/>
    <w:qFormat/>
    <w:uiPriority w:val="0"/>
    <w:pPr>
      <w:numPr>
        <w:ilvl w:val="0"/>
        <w:numId w:val="2"/>
      </w:numPr>
    </w:pPr>
  </w:style>
  <w:style w:type="paragraph" w:styleId="16">
    <w:name w:val="Document Map"/>
    <w:basedOn w:val="1"/>
    <w:link w:val="120"/>
    <w:qFormat/>
    <w:uiPriority w:val="0"/>
    <w:pPr>
      <w:shd w:val="clear" w:color="auto" w:fill="000080"/>
    </w:pPr>
    <w:rPr>
      <w:kern w:val="0"/>
      <w:sz w:val="20"/>
      <w:shd w:val="clear" w:color="auto" w:fill="000080"/>
      <w:lang w:val="zh-CN" w:eastAsia="zh-CN"/>
    </w:rPr>
  </w:style>
  <w:style w:type="paragraph" w:styleId="17">
    <w:name w:val="annotation text"/>
    <w:basedOn w:val="1"/>
    <w:link w:val="60"/>
    <w:qFormat/>
    <w:uiPriority w:val="0"/>
    <w:pPr>
      <w:jc w:val="left"/>
    </w:pPr>
  </w:style>
  <w:style w:type="paragraph" w:styleId="18">
    <w:name w:val="Body Text 3"/>
    <w:basedOn w:val="1"/>
    <w:link w:val="122"/>
    <w:qFormat/>
    <w:uiPriority w:val="0"/>
    <w:rPr>
      <w:rFonts w:ascii="宋体"/>
      <w:sz w:val="24"/>
      <w:szCs w:val="20"/>
    </w:rPr>
  </w:style>
  <w:style w:type="paragraph" w:styleId="19">
    <w:name w:val="Body Text"/>
    <w:basedOn w:val="1"/>
    <w:next w:val="20"/>
    <w:link w:val="61"/>
    <w:qFormat/>
    <w:uiPriority w:val="99"/>
    <w:pPr>
      <w:spacing w:line="360" w:lineRule="exact"/>
    </w:pPr>
    <w:rPr>
      <w:sz w:val="24"/>
    </w:rPr>
  </w:style>
  <w:style w:type="paragraph" w:styleId="20">
    <w:name w:val="toc 4"/>
    <w:basedOn w:val="1"/>
    <w:next w:val="1"/>
    <w:qFormat/>
    <w:uiPriority w:val="0"/>
    <w:pPr>
      <w:ind w:left="630"/>
      <w:jc w:val="left"/>
    </w:pPr>
    <w:rPr>
      <w:sz w:val="18"/>
      <w:szCs w:val="18"/>
    </w:rPr>
  </w:style>
  <w:style w:type="paragraph" w:styleId="21">
    <w:name w:val="toc 5"/>
    <w:basedOn w:val="1"/>
    <w:next w:val="1"/>
    <w:qFormat/>
    <w:uiPriority w:val="39"/>
    <w:pPr>
      <w:ind w:left="630"/>
      <w:jc w:val="left"/>
    </w:pPr>
    <w:rPr>
      <w:sz w:val="20"/>
      <w:szCs w:val="20"/>
    </w:rPr>
  </w:style>
  <w:style w:type="paragraph" w:styleId="22">
    <w:name w:val="toc 3"/>
    <w:basedOn w:val="1"/>
    <w:next w:val="1"/>
    <w:qFormat/>
    <w:uiPriority w:val="39"/>
    <w:pPr>
      <w:ind w:left="210"/>
      <w:jc w:val="left"/>
    </w:pPr>
    <w:rPr>
      <w:sz w:val="20"/>
      <w:szCs w:val="20"/>
    </w:rPr>
  </w:style>
  <w:style w:type="paragraph" w:styleId="23">
    <w:name w:val="Plain Text"/>
    <w:basedOn w:val="1"/>
    <w:next w:val="24"/>
    <w:link w:val="63"/>
    <w:qFormat/>
    <w:uiPriority w:val="99"/>
    <w:rPr>
      <w:rFonts w:ascii="宋体" w:hAnsi="Courier New" w:cstheme="minorBidi"/>
    </w:rPr>
  </w:style>
  <w:style w:type="paragraph" w:styleId="24">
    <w:name w:val="Date"/>
    <w:basedOn w:val="1"/>
    <w:next w:val="1"/>
    <w:link w:val="62"/>
    <w:qFormat/>
    <w:uiPriority w:val="0"/>
    <w:pPr>
      <w:ind w:left="2500" w:leftChars="2500"/>
    </w:pPr>
    <w:rPr>
      <w:rFonts w:eastAsia="楷体_GB2312" w:asciiTheme="minorHAnsi" w:hAnsiTheme="minorHAnsi" w:cstheme="minorBidi"/>
      <w:sz w:val="32"/>
      <w:szCs w:val="22"/>
    </w:rPr>
  </w:style>
  <w:style w:type="paragraph" w:styleId="25">
    <w:name w:val="toc 8"/>
    <w:basedOn w:val="1"/>
    <w:next w:val="1"/>
    <w:semiHidden/>
    <w:unhideWhenUsed/>
    <w:qFormat/>
    <w:uiPriority w:val="0"/>
    <w:pPr>
      <w:ind w:left="2940" w:leftChars="1400"/>
    </w:pPr>
  </w:style>
  <w:style w:type="paragraph" w:styleId="26">
    <w:name w:val="Body Text Indent 2"/>
    <w:basedOn w:val="1"/>
    <w:link w:val="124"/>
    <w:qFormat/>
    <w:uiPriority w:val="0"/>
    <w:pPr>
      <w:spacing w:after="120" w:line="480" w:lineRule="auto"/>
      <w:ind w:left="420" w:leftChars="200"/>
    </w:pPr>
  </w:style>
  <w:style w:type="paragraph" w:styleId="27">
    <w:name w:val="Balloon Text"/>
    <w:basedOn w:val="1"/>
    <w:link w:val="64"/>
    <w:qFormat/>
    <w:uiPriority w:val="0"/>
    <w:rPr>
      <w:sz w:val="18"/>
      <w:szCs w:val="18"/>
    </w:rPr>
  </w:style>
  <w:style w:type="paragraph" w:styleId="28">
    <w:name w:val="footer"/>
    <w:basedOn w:val="1"/>
    <w:link w:val="65"/>
    <w:qFormat/>
    <w:uiPriority w:val="99"/>
    <w:pPr>
      <w:tabs>
        <w:tab w:val="center" w:pos="4153"/>
        <w:tab w:val="right" w:pos="8306"/>
      </w:tabs>
      <w:snapToGrid w:val="0"/>
      <w:jc w:val="left"/>
    </w:pPr>
    <w:rPr>
      <w:sz w:val="18"/>
    </w:rPr>
  </w:style>
  <w:style w:type="paragraph" w:styleId="29">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31">
    <w:name w:val="Subtitle"/>
    <w:basedOn w:val="1"/>
    <w:next w:val="1"/>
    <w:link w:val="127"/>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32">
    <w:name w:val="footnote text"/>
    <w:basedOn w:val="1"/>
    <w:link w:val="129"/>
    <w:semiHidden/>
    <w:qFormat/>
    <w:uiPriority w:val="0"/>
    <w:pPr>
      <w:snapToGrid w:val="0"/>
      <w:jc w:val="left"/>
    </w:pPr>
    <w:rPr>
      <w:rFonts w:eastAsia="仿宋_GB2312"/>
      <w:sz w:val="18"/>
      <w:szCs w:val="20"/>
    </w:rPr>
  </w:style>
  <w:style w:type="paragraph" w:styleId="33">
    <w:name w:val="toc 6"/>
    <w:basedOn w:val="1"/>
    <w:next w:val="1"/>
    <w:qFormat/>
    <w:uiPriority w:val="0"/>
    <w:pPr>
      <w:ind w:left="1050"/>
      <w:jc w:val="left"/>
    </w:pPr>
    <w:rPr>
      <w:rFonts w:ascii="Calibri" w:hAnsi="Calibri" w:cs="Calibri"/>
      <w:sz w:val="18"/>
      <w:szCs w:val="18"/>
    </w:rPr>
  </w:style>
  <w:style w:type="paragraph" w:styleId="34">
    <w:name w:val="Body Text Indent 3"/>
    <w:basedOn w:val="1"/>
    <w:link w:val="67"/>
    <w:qFormat/>
    <w:uiPriority w:val="0"/>
    <w:pPr>
      <w:spacing w:after="120"/>
      <w:ind w:left="420" w:leftChars="200"/>
    </w:pPr>
    <w:rPr>
      <w:rFonts w:eastAsia="Copperplate Gothic Bold"/>
      <w:sz w:val="16"/>
      <w:szCs w:val="16"/>
    </w:rPr>
  </w:style>
  <w:style w:type="paragraph" w:styleId="35">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6">
    <w:name w:val="Body Text 2"/>
    <w:basedOn w:val="1"/>
    <w:link w:val="130"/>
    <w:qFormat/>
    <w:uiPriority w:val="0"/>
    <w:pPr>
      <w:spacing w:after="120" w:line="480" w:lineRule="auto"/>
    </w:pPr>
  </w:style>
  <w:style w:type="paragraph" w:styleId="3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8">
    <w:name w:val="Title"/>
    <w:basedOn w:val="1"/>
    <w:link w:val="13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7"/>
    <w:next w:val="17"/>
    <w:link w:val="68"/>
    <w:qFormat/>
    <w:uiPriority w:val="0"/>
    <w:rPr>
      <w:b/>
      <w:bCs/>
    </w:rPr>
  </w:style>
  <w:style w:type="paragraph" w:styleId="40">
    <w:name w:val="Body Text First Indent"/>
    <w:basedOn w:val="19"/>
    <w:next w:val="1"/>
    <w:link w:val="69"/>
    <w:qFormat/>
    <w:uiPriority w:val="0"/>
    <w:pPr>
      <w:ind w:firstLine="200" w:firstLineChars="200"/>
    </w:pPr>
  </w:style>
  <w:style w:type="table" w:styleId="42">
    <w:name w:val="Table Grid"/>
    <w:basedOn w:val="4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22"/>
    <w:rPr>
      <w:b/>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Hyperlink"/>
    <w:basedOn w:val="43"/>
    <w:qFormat/>
    <w:uiPriority w:val="99"/>
    <w:rPr>
      <w:color w:val="0000FF"/>
      <w:u w:val="single"/>
    </w:rPr>
  </w:style>
  <w:style w:type="character" w:styleId="48">
    <w:name w:val="annotation reference"/>
    <w:basedOn w:val="43"/>
    <w:qFormat/>
    <w:uiPriority w:val="0"/>
    <w:rPr>
      <w:sz w:val="21"/>
      <w:szCs w:val="21"/>
    </w:rPr>
  </w:style>
  <w:style w:type="character" w:customStyle="1" w:styleId="49">
    <w:name w:val="正文文本缩进 Char"/>
    <w:basedOn w:val="43"/>
    <w:link w:val="3"/>
    <w:qFormat/>
    <w:uiPriority w:val="99"/>
    <w:rPr>
      <w:kern w:val="2"/>
      <w:sz w:val="21"/>
      <w:szCs w:val="24"/>
    </w:rPr>
  </w:style>
  <w:style w:type="character" w:customStyle="1" w:styleId="50">
    <w:name w:val="正文缩进 Char"/>
    <w:link w:val="5"/>
    <w:qFormat/>
    <w:uiPriority w:val="0"/>
    <w:rPr>
      <w:kern w:val="2"/>
      <w:sz w:val="21"/>
    </w:rPr>
  </w:style>
  <w:style w:type="character" w:customStyle="1" w:styleId="51">
    <w:name w:val="标题 1 Char1"/>
    <w:link w:val="4"/>
    <w:qFormat/>
    <w:uiPriority w:val="0"/>
    <w:rPr>
      <w:b/>
      <w:bCs/>
      <w:kern w:val="44"/>
      <w:sz w:val="44"/>
      <w:szCs w:val="44"/>
    </w:rPr>
  </w:style>
  <w:style w:type="character" w:customStyle="1" w:styleId="52">
    <w:name w:val="标题 2 Char"/>
    <w:basedOn w:val="43"/>
    <w:link w:val="6"/>
    <w:qFormat/>
    <w:uiPriority w:val="0"/>
    <w:rPr>
      <w:rFonts w:ascii="宋体" w:hAnsi="宋体"/>
      <w:b/>
      <w:kern w:val="2"/>
      <w:sz w:val="32"/>
      <w:szCs w:val="28"/>
    </w:rPr>
  </w:style>
  <w:style w:type="character" w:customStyle="1" w:styleId="53">
    <w:name w:val="标题 3 Char"/>
    <w:basedOn w:val="43"/>
    <w:link w:val="7"/>
    <w:qFormat/>
    <w:uiPriority w:val="0"/>
    <w:rPr>
      <w:bCs/>
      <w:kern w:val="2"/>
      <w:sz w:val="21"/>
      <w:szCs w:val="32"/>
    </w:rPr>
  </w:style>
  <w:style w:type="character" w:customStyle="1" w:styleId="54">
    <w:name w:val="标题 4 Char"/>
    <w:basedOn w:val="43"/>
    <w:link w:val="9"/>
    <w:qFormat/>
    <w:uiPriority w:val="0"/>
    <w:rPr>
      <w:rFonts w:eastAsia="楷体_GB2312"/>
      <w:b/>
      <w:snapToGrid w:val="0"/>
      <w:kern w:val="2"/>
      <w:sz w:val="21"/>
      <w:szCs w:val="24"/>
    </w:rPr>
  </w:style>
  <w:style w:type="character" w:customStyle="1" w:styleId="55">
    <w:name w:val="标题 5 Char1"/>
    <w:link w:val="10"/>
    <w:qFormat/>
    <w:uiPriority w:val="0"/>
    <w:rPr>
      <w:b/>
      <w:bCs/>
      <w:sz w:val="28"/>
      <w:szCs w:val="28"/>
    </w:rPr>
  </w:style>
  <w:style w:type="character" w:customStyle="1" w:styleId="56">
    <w:name w:val="标题 6 Char1"/>
    <w:link w:val="11"/>
    <w:qFormat/>
    <w:uiPriority w:val="0"/>
    <w:rPr>
      <w:rFonts w:ascii="Arial" w:hAnsi="Arial" w:eastAsia="黑体"/>
      <w:b/>
      <w:bCs/>
      <w:sz w:val="24"/>
      <w:szCs w:val="24"/>
    </w:rPr>
  </w:style>
  <w:style w:type="character" w:customStyle="1" w:styleId="57">
    <w:name w:val="标题 7 Char1"/>
    <w:link w:val="12"/>
    <w:qFormat/>
    <w:uiPriority w:val="0"/>
    <w:rPr>
      <w:b/>
      <w:bCs/>
      <w:sz w:val="24"/>
      <w:szCs w:val="24"/>
    </w:rPr>
  </w:style>
  <w:style w:type="character" w:customStyle="1" w:styleId="58">
    <w:name w:val="标题 8 Char1"/>
    <w:link w:val="13"/>
    <w:qFormat/>
    <w:uiPriority w:val="0"/>
    <w:rPr>
      <w:rFonts w:ascii="Arial" w:hAnsi="Arial" w:eastAsia="黑体"/>
      <w:sz w:val="24"/>
      <w:szCs w:val="24"/>
    </w:rPr>
  </w:style>
  <w:style w:type="character" w:customStyle="1" w:styleId="59">
    <w:name w:val="标题 9 Char1"/>
    <w:link w:val="14"/>
    <w:qFormat/>
    <w:uiPriority w:val="0"/>
    <w:rPr>
      <w:rFonts w:ascii="Arial" w:hAnsi="Arial" w:eastAsia="黑体"/>
      <w:sz w:val="21"/>
      <w:szCs w:val="21"/>
    </w:rPr>
  </w:style>
  <w:style w:type="character" w:customStyle="1" w:styleId="60">
    <w:name w:val="批注文字 Char"/>
    <w:basedOn w:val="43"/>
    <w:link w:val="17"/>
    <w:qFormat/>
    <w:uiPriority w:val="0"/>
    <w:rPr>
      <w:kern w:val="2"/>
      <w:sz w:val="21"/>
      <w:szCs w:val="24"/>
    </w:rPr>
  </w:style>
  <w:style w:type="character" w:customStyle="1" w:styleId="61">
    <w:name w:val="正文文本 Char2"/>
    <w:link w:val="19"/>
    <w:qFormat/>
    <w:uiPriority w:val="99"/>
    <w:rPr>
      <w:kern w:val="2"/>
      <w:sz w:val="24"/>
      <w:szCs w:val="24"/>
    </w:rPr>
  </w:style>
  <w:style w:type="character" w:customStyle="1" w:styleId="62">
    <w:name w:val="日期 Char"/>
    <w:basedOn w:val="43"/>
    <w:link w:val="24"/>
    <w:qFormat/>
    <w:uiPriority w:val="0"/>
    <w:rPr>
      <w:rFonts w:eastAsia="楷体_GB2312" w:asciiTheme="minorHAnsi" w:hAnsiTheme="minorHAnsi" w:cstheme="minorBidi"/>
      <w:kern w:val="2"/>
      <w:sz w:val="32"/>
      <w:szCs w:val="22"/>
    </w:rPr>
  </w:style>
  <w:style w:type="character" w:customStyle="1" w:styleId="63">
    <w:name w:val="纯文本 Char"/>
    <w:link w:val="23"/>
    <w:qFormat/>
    <w:uiPriority w:val="99"/>
    <w:rPr>
      <w:rFonts w:ascii="宋体" w:hAnsi="Courier New" w:cstheme="minorBidi"/>
      <w:kern w:val="2"/>
      <w:sz w:val="21"/>
      <w:szCs w:val="24"/>
    </w:rPr>
  </w:style>
  <w:style w:type="character" w:customStyle="1" w:styleId="64">
    <w:name w:val="批注框文本 Char"/>
    <w:basedOn w:val="43"/>
    <w:link w:val="27"/>
    <w:qFormat/>
    <w:uiPriority w:val="0"/>
    <w:rPr>
      <w:kern w:val="2"/>
      <w:sz w:val="18"/>
      <w:szCs w:val="18"/>
    </w:rPr>
  </w:style>
  <w:style w:type="character" w:customStyle="1" w:styleId="65">
    <w:name w:val="页脚 Char"/>
    <w:basedOn w:val="43"/>
    <w:link w:val="28"/>
    <w:qFormat/>
    <w:uiPriority w:val="99"/>
    <w:rPr>
      <w:kern w:val="2"/>
      <w:sz w:val="18"/>
      <w:szCs w:val="24"/>
    </w:rPr>
  </w:style>
  <w:style w:type="character" w:customStyle="1" w:styleId="66">
    <w:name w:val="页眉 Char"/>
    <w:basedOn w:val="43"/>
    <w:link w:val="29"/>
    <w:qFormat/>
    <w:uiPriority w:val="0"/>
    <w:rPr>
      <w:kern w:val="2"/>
      <w:sz w:val="18"/>
      <w:szCs w:val="24"/>
    </w:rPr>
  </w:style>
  <w:style w:type="character" w:customStyle="1" w:styleId="67">
    <w:name w:val="正文文本缩进 3 Char"/>
    <w:basedOn w:val="43"/>
    <w:link w:val="34"/>
    <w:qFormat/>
    <w:uiPriority w:val="0"/>
    <w:rPr>
      <w:rFonts w:eastAsia="Copperplate Gothic Bold"/>
      <w:kern w:val="2"/>
      <w:sz w:val="16"/>
      <w:szCs w:val="16"/>
    </w:rPr>
  </w:style>
  <w:style w:type="character" w:customStyle="1" w:styleId="68">
    <w:name w:val="批注主题 Char"/>
    <w:basedOn w:val="60"/>
    <w:link w:val="39"/>
    <w:qFormat/>
    <w:uiPriority w:val="0"/>
    <w:rPr>
      <w:b/>
      <w:bCs/>
      <w:kern w:val="2"/>
      <w:sz w:val="21"/>
      <w:szCs w:val="24"/>
    </w:rPr>
  </w:style>
  <w:style w:type="character" w:customStyle="1" w:styleId="69">
    <w:name w:val="正文首行缩进 Char"/>
    <w:basedOn w:val="70"/>
    <w:link w:val="40"/>
    <w:qFormat/>
    <w:uiPriority w:val="0"/>
    <w:rPr>
      <w:kern w:val="2"/>
      <w:sz w:val="24"/>
      <w:szCs w:val="24"/>
    </w:rPr>
  </w:style>
  <w:style w:type="character" w:customStyle="1" w:styleId="70">
    <w:name w:val="正文文本 Char"/>
    <w:basedOn w:val="43"/>
    <w:qFormat/>
    <w:uiPriority w:val="0"/>
    <w:rPr>
      <w:kern w:val="2"/>
      <w:sz w:val="21"/>
      <w:szCs w:val="24"/>
    </w:rPr>
  </w:style>
  <w:style w:type="character" w:customStyle="1" w:styleId="71">
    <w:name w:val="正文首行缩进 2 Char"/>
    <w:basedOn w:val="49"/>
    <w:link w:val="2"/>
    <w:qFormat/>
    <w:uiPriority w:val="0"/>
    <w:rPr>
      <w:kern w:val="2"/>
      <w:sz w:val="21"/>
      <w:szCs w:val="24"/>
    </w:rPr>
  </w:style>
  <w:style w:type="paragraph" w:customStyle="1" w:styleId="72">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74">
    <w:name w:val="List Paragraph"/>
    <w:basedOn w:val="1"/>
    <w:link w:val="75"/>
    <w:qFormat/>
    <w:uiPriority w:val="34"/>
    <w:pPr>
      <w:ind w:firstLine="420" w:firstLineChars="200"/>
    </w:pPr>
    <w:rPr>
      <w:rFonts w:ascii="Calibri" w:hAnsi="Calibri"/>
      <w:szCs w:val="22"/>
    </w:rPr>
  </w:style>
  <w:style w:type="character" w:customStyle="1" w:styleId="75">
    <w:name w:val="列出段落 Char"/>
    <w:link w:val="74"/>
    <w:qFormat/>
    <w:uiPriority w:val="34"/>
    <w:rPr>
      <w:rFonts w:ascii="Calibri" w:hAnsi="Calibri"/>
      <w:kern w:val="2"/>
      <w:sz w:val="21"/>
      <w:szCs w:val="22"/>
    </w:rPr>
  </w:style>
  <w:style w:type="paragraph" w:customStyle="1" w:styleId="7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7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7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14"/>
    <w:qFormat/>
    <w:uiPriority w:val="0"/>
    <w:rPr>
      <w:rFonts w:ascii="Times New Roman" w:hAnsi="Times New Roman" w:eastAsia="宋体" w:cs="Times New Roman"/>
      <w:sz w:val="21"/>
      <w:szCs w:val="22"/>
      <w:lang w:val="en-US" w:eastAsia="zh-CN" w:bidi="ar-SA"/>
    </w:rPr>
  </w:style>
  <w:style w:type="paragraph" w:customStyle="1" w:styleId="8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纯文本_3"/>
    <w:basedOn w:val="83"/>
    <w:qFormat/>
    <w:uiPriority w:val="0"/>
    <w:pPr>
      <w:widowControl/>
      <w:jc w:val="left"/>
    </w:pPr>
    <w:rPr>
      <w:rFonts w:ascii="宋体" w:hAnsi="Courier New" w:eastAsiaTheme="minorEastAsia" w:cstheme="minorBidi"/>
      <w:szCs w:val="21"/>
    </w:rPr>
  </w:style>
  <w:style w:type="paragraph" w:customStyle="1" w:styleId="85">
    <w:name w:val="纯文本_0_1"/>
    <w:basedOn w:val="1"/>
    <w:qFormat/>
    <w:uiPriority w:val="0"/>
    <w:pPr>
      <w:widowControl/>
      <w:jc w:val="left"/>
    </w:pPr>
    <w:rPr>
      <w:rFonts w:ascii="宋体" w:hAnsi="Courier New" w:eastAsiaTheme="minorEastAsia" w:cstheme="minorBidi"/>
      <w:szCs w:val="21"/>
    </w:rPr>
  </w:style>
  <w:style w:type="paragraph" w:customStyle="1" w:styleId="8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font21"/>
    <w:basedOn w:val="43"/>
    <w:qFormat/>
    <w:uiPriority w:val="0"/>
    <w:rPr>
      <w:rFonts w:hint="default" w:ascii="Arial" w:hAnsi="Arial" w:cs="Arial"/>
      <w:color w:val="000000"/>
      <w:sz w:val="20"/>
      <w:szCs w:val="20"/>
      <w:u w:val="none"/>
    </w:rPr>
  </w:style>
  <w:style w:type="character" w:customStyle="1" w:styleId="91">
    <w:name w:val="font01"/>
    <w:basedOn w:val="43"/>
    <w:qFormat/>
    <w:uiPriority w:val="0"/>
    <w:rPr>
      <w:rFonts w:hint="eastAsia" w:ascii="宋体" w:hAnsi="宋体" w:eastAsia="宋体" w:cs="宋体"/>
      <w:color w:val="000000"/>
      <w:sz w:val="20"/>
      <w:szCs w:val="20"/>
      <w:u w:val="none"/>
    </w:rPr>
  </w:style>
  <w:style w:type="paragraph" w:customStyle="1" w:styleId="92">
    <w:name w:val="纯文本1"/>
    <w:basedOn w:val="93"/>
    <w:qFormat/>
    <w:uiPriority w:val="0"/>
    <w:pPr>
      <w:widowControl/>
      <w:jc w:val="left"/>
    </w:pPr>
    <w:rPr>
      <w:rFonts w:ascii="宋体" w:hAnsi="Courier New"/>
    </w:rPr>
  </w:style>
  <w:style w:type="paragraph" w:customStyle="1" w:styleId="9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4">
    <w:name w:val="Table Paragraph"/>
    <w:basedOn w:val="1"/>
    <w:qFormat/>
    <w:uiPriority w:val="1"/>
    <w:rPr>
      <w:rFonts w:ascii="宋体" w:hAnsi="宋体" w:cs="宋体"/>
    </w:rPr>
  </w:style>
  <w:style w:type="paragraph" w:customStyle="1" w:styleId="95">
    <w:name w:val="WPSOffice手动目录 1"/>
    <w:qFormat/>
    <w:uiPriority w:val="0"/>
    <w:rPr>
      <w:rFonts w:ascii="Times New Roman" w:hAnsi="Times New Roman" w:eastAsia="宋体" w:cs="Times New Roman"/>
      <w:lang w:val="en-US" w:eastAsia="zh-CN" w:bidi="ar-SA"/>
    </w:rPr>
  </w:style>
  <w:style w:type="character" w:customStyle="1" w:styleId="96">
    <w:name w:val="标题 1 Char Char"/>
    <w:basedOn w:val="43"/>
    <w:qFormat/>
    <w:uiPriority w:val="0"/>
    <w:rPr>
      <w:rFonts w:eastAsia="宋体"/>
      <w:b/>
      <w:spacing w:val="-2"/>
      <w:sz w:val="24"/>
      <w:lang w:val="en-US" w:eastAsia="zh-CN" w:bidi="ar-SA"/>
    </w:rPr>
  </w:style>
  <w:style w:type="paragraph" w:customStyle="1" w:styleId="9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98">
    <w:name w:val="表格文字"/>
    <w:basedOn w:val="1"/>
    <w:next w:val="19"/>
    <w:qFormat/>
    <w:uiPriority w:val="0"/>
    <w:pPr>
      <w:widowControl/>
      <w:jc w:val="center"/>
    </w:pPr>
    <w:rPr>
      <w:rFonts w:ascii="宋体" w:hAnsi="宋体" w:cs="宋体"/>
      <w:snapToGrid w:val="0"/>
      <w:szCs w:val="21"/>
    </w:rPr>
  </w:style>
  <w:style w:type="character" w:customStyle="1" w:styleId="99">
    <w:name w:val="标题 4 Char Char Char Char"/>
    <w:qFormat/>
    <w:uiPriority w:val="0"/>
    <w:rPr>
      <w:rFonts w:eastAsia="楷体_GB2312"/>
      <w:b/>
      <w:snapToGrid w:val="0"/>
      <w:sz w:val="24"/>
      <w:lang w:val="en-US" w:eastAsia="zh-CN" w:bidi="ar-SA"/>
    </w:rPr>
  </w:style>
  <w:style w:type="paragraph" w:customStyle="1" w:styleId="100">
    <w:name w:val="Other|1"/>
    <w:basedOn w:val="1"/>
    <w:qFormat/>
    <w:uiPriority w:val="0"/>
    <w:pPr>
      <w:spacing w:line="336" w:lineRule="auto"/>
    </w:pPr>
    <w:rPr>
      <w:rFonts w:ascii="宋体" w:hAnsi="宋体" w:cs="宋体"/>
      <w:sz w:val="11"/>
      <w:szCs w:val="11"/>
      <w:lang w:val="zh-TW" w:eastAsia="zh-TW" w:bidi="zh-TW"/>
    </w:rPr>
  </w:style>
  <w:style w:type="paragraph" w:customStyle="1" w:styleId="101">
    <w:name w:val="样式 标题 2 + Times New Roman 四号 非加粗 段前: 5 磅 段后: 0 磅 行距: 固定值 20..."/>
    <w:basedOn w:val="6"/>
    <w:qFormat/>
    <w:uiPriority w:val="0"/>
    <w:pPr>
      <w:spacing w:before="100" w:line="400" w:lineRule="exact"/>
    </w:pPr>
    <w:rPr>
      <w:rFonts w:ascii="Times New Roman" w:hAnsi="Times New Roman" w:cs="宋体"/>
      <w:sz w:val="28"/>
      <w:szCs w:val="20"/>
    </w:rPr>
  </w:style>
  <w:style w:type="paragraph" w:customStyle="1" w:styleId="102">
    <w:name w:val="_Style 1"/>
    <w:qFormat/>
    <w:uiPriority w:val="0"/>
    <w:rPr>
      <w:rFonts w:ascii="Calibri" w:hAnsi="Calibri" w:eastAsia="宋体" w:cs="Times New Roman"/>
      <w:kern w:val="2"/>
      <w:sz w:val="28"/>
      <w:szCs w:val="22"/>
      <w:lang w:val="en-US" w:eastAsia="zh-CN" w:bidi="ar-SA"/>
    </w:rPr>
  </w:style>
  <w:style w:type="paragraph" w:customStyle="1" w:styleId="103">
    <w:name w:val="标题 4_0_0"/>
    <w:basedOn w:val="104"/>
    <w:next w:val="105"/>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7">
    <w:name w:val="Unresolved Mention"/>
    <w:basedOn w:val="43"/>
    <w:semiHidden/>
    <w:unhideWhenUsed/>
    <w:qFormat/>
    <w:uiPriority w:val="99"/>
    <w:rPr>
      <w:color w:val="605E5C"/>
      <w:shd w:val="clear" w:color="auto" w:fill="E1DFDD"/>
    </w:rPr>
  </w:style>
  <w:style w:type="character" w:customStyle="1" w:styleId="108">
    <w:name w:val="纯文本 Char2"/>
    <w:qFormat/>
    <w:uiPriority w:val="99"/>
    <w:rPr>
      <w:rFonts w:ascii="宋体" w:hAnsi="Courier New"/>
      <w:kern w:val="2"/>
      <w:sz w:val="21"/>
    </w:rPr>
  </w:style>
  <w:style w:type="paragraph" w:customStyle="1" w:styleId="10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1">
    <w:name w:val="jbox-icon"/>
    <w:basedOn w:val="43"/>
    <w:qFormat/>
    <w:uiPriority w:val="0"/>
  </w:style>
  <w:style w:type="character" w:customStyle="1" w:styleId="112">
    <w:name w:val="标题 5 Char"/>
    <w:basedOn w:val="43"/>
    <w:semiHidden/>
    <w:qFormat/>
    <w:uiPriority w:val="9"/>
    <w:rPr>
      <w:b/>
      <w:bCs/>
      <w:kern w:val="2"/>
      <w:sz w:val="28"/>
      <w:szCs w:val="28"/>
    </w:rPr>
  </w:style>
  <w:style w:type="character" w:customStyle="1" w:styleId="113">
    <w:name w:val="标题 6 Char"/>
    <w:basedOn w:val="43"/>
    <w:semiHidden/>
    <w:qFormat/>
    <w:uiPriority w:val="9"/>
    <w:rPr>
      <w:rFonts w:asciiTheme="majorHAnsi" w:hAnsiTheme="majorHAnsi" w:eastAsiaTheme="majorEastAsia" w:cstheme="majorBidi"/>
      <w:b/>
      <w:bCs/>
      <w:kern w:val="2"/>
      <w:sz w:val="24"/>
      <w:szCs w:val="24"/>
    </w:rPr>
  </w:style>
  <w:style w:type="character" w:customStyle="1" w:styleId="114">
    <w:name w:val="标题 7 Char"/>
    <w:basedOn w:val="43"/>
    <w:semiHidden/>
    <w:qFormat/>
    <w:uiPriority w:val="9"/>
    <w:rPr>
      <w:b/>
      <w:bCs/>
      <w:kern w:val="2"/>
      <w:sz w:val="24"/>
      <w:szCs w:val="24"/>
    </w:rPr>
  </w:style>
  <w:style w:type="character" w:customStyle="1" w:styleId="115">
    <w:name w:val="标题 8 Char"/>
    <w:basedOn w:val="43"/>
    <w:semiHidden/>
    <w:qFormat/>
    <w:uiPriority w:val="9"/>
    <w:rPr>
      <w:rFonts w:asciiTheme="majorHAnsi" w:hAnsiTheme="majorHAnsi" w:eastAsiaTheme="majorEastAsia" w:cstheme="majorBidi"/>
      <w:kern w:val="2"/>
      <w:sz w:val="24"/>
      <w:szCs w:val="24"/>
    </w:rPr>
  </w:style>
  <w:style w:type="character" w:customStyle="1" w:styleId="116">
    <w:name w:val="标题 9 Char"/>
    <w:basedOn w:val="43"/>
    <w:semiHidden/>
    <w:qFormat/>
    <w:uiPriority w:val="9"/>
    <w:rPr>
      <w:rFonts w:asciiTheme="majorHAnsi" w:hAnsiTheme="majorHAnsi" w:eastAsiaTheme="majorEastAsia" w:cstheme="majorBidi"/>
      <w:kern w:val="2"/>
      <w:sz w:val="21"/>
      <w:szCs w:val="21"/>
    </w:rPr>
  </w:style>
  <w:style w:type="character" w:customStyle="1" w:styleId="117">
    <w:name w:val="标题 1 Char"/>
    <w:basedOn w:val="43"/>
    <w:qFormat/>
    <w:uiPriority w:val="0"/>
    <w:rPr>
      <w:b/>
      <w:bCs/>
      <w:kern w:val="44"/>
      <w:sz w:val="44"/>
      <w:szCs w:val="44"/>
    </w:rPr>
  </w:style>
  <w:style w:type="character" w:customStyle="1" w:styleId="118">
    <w:name w:val="纯文本 Char4"/>
    <w:qFormat/>
    <w:uiPriority w:val="0"/>
    <w:rPr>
      <w:rFonts w:ascii="宋体" w:hAnsi="Courier New"/>
      <w:sz w:val="24"/>
      <w:szCs w:val="24"/>
    </w:rPr>
  </w:style>
  <w:style w:type="character" w:customStyle="1" w:styleId="119">
    <w:name w:val="正文缩进 字符"/>
    <w:qFormat/>
    <w:uiPriority w:val="0"/>
    <w:rPr>
      <w:kern w:val="2"/>
      <w:sz w:val="21"/>
      <w:szCs w:val="24"/>
    </w:rPr>
  </w:style>
  <w:style w:type="character" w:customStyle="1" w:styleId="120">
    <w:name w:val="文档结构图 Char1"/>
    <w:link w:val="16"/>
    <w:qFormat/>
    <w:uiPriority w:val="0"/>
    <w:rPr>
      <w:szCs w:val="24"/>
      <w:shd w:val="clear" w:color="auto" w:fill="000080"/>
      <w:lang w:val="zh-CN" w:eastAsia="zh-CN"/>
    </w:rPr>
  </w:style>
  <w:style w:type="character" w:customStyle="1" w:styleId="121">
    <w:name w:val="文档结构图 Char"/>
    <w:basedOn w:val="43"/>
    <w:semiHidden/>
    <w:qFormat/>
    <w:uiPriority w:val="99"/>
    <w:rPr>
      <w:rFonts w:ascii="Microsoft YaHei UI" w:eastAsia="Microsoft YaHei UI"/>
      <w:kern w:val="2"/>
      <w:sz w:val="18"/>
      <w:szCs w:val="18"/>
    </w:rPr>
  </w:style>
  <w:style w:type="character" w:customStyle="1" w:styleId="122">
    <w:name w:val="正文文本 3 Char"/>
    <w:basedOn w:val="43"/>
    <w:link w:val="18"/>
    <w:qFormat/>
    <w:uiPriority w:val="0"/>
    <w:rPr>
      <w:rFonts w:ascii="宋体"/>
      <w:kern w:val="2"/>
      <w:sz w:val="24"/>
    </w:rPr>
  </w:style>
  <w:style w:type="character" w:customStyle="1" w:styleId="123">
    <w:name w:val="纯文本 字符"/>
    <w:qFormat/>
    <w:uiPriority w:val="0"/>
    <w:rPr>
      <w:rFonts w:ascii="宋体" w:hAnsi="Courier New"/>
      <w:kern w:val="2"/>
      <w:sz w:val="21"/>
    </w:rPr>
  </w:style>
  <w:style w:type="character" w:customStyle="1" w:styleId="124">
    <w:name w:val="正文文本缩进 2 Char"/>
    <w:basedOn w:val="43"/>
    <w:link w:val="26"/>
    <w:qFormat/>
    <w:uiPriority w:val="0"/>
    <w:rPr>
      <w:kern w:val="2"/>
      <w:sz w:val="21"/>
      <w:szCs w:val="24"/>
    </w:rPr>
  </w:style>
  <w:style w:type="character" w:customStyle="1" w:styleId="125">
    <w:name w:val="批注框文本 字符"/>
    <w:qFormat/>
    <w:uiPriority w:val="0"/>
    <w:rPr>
      <w:kern w:val="2"/>
      <w:sz w:val="18"/>
      <w:szCs w:val="18"/>
      <w:lang w:val="zh-CN" w:eastAsia="zh-CN"/>
    </w:rPr>
  </w:style>
  <w:style w:type="character" w:customStyle="1" w:styleId="126">
    <w:name w:val="页脚 字符"/>
    <w:qFormat/>
    <w:uiPriority w:val="0"/>
    <w:rPr>
      <w:kern w:val="2"/>
      <w:sz w:val="18"/>
      <w:szCs w:val="18"/>
    </w:rPr>
  </w:style>
  <w:style w:type="character" w:customStyle="1" w:styleId="127">
    <w:name w:val="副标题 Char1"/>
    <w:link w:val="31"/>
    <w:qFormat/>
    <w:uiPriority w:val="0"/>
    <w:rPr>
      <w:rFonts w:ascii="Cambria" w:hAnsi="Cambria"/>
      <w:b/>
      <w:bCs/>
      <w:kern w:val="28"/>
      <w:sz w:val="32"/>
      <w:szCs w:val="32"/>
      <w:lang w:val="zh-CN" w:eastAsia="zh-CN"/>
    </w:rPr>
  </w:style>
  <w:style w:type="character" w:customStyle="1" w:styleId="128">
    <w:name w:val="副标题 Char"/>
    <w:basedOn w:val="43"/>
    <w:qFormat/>
    <w:uiPriority w:val="11"/>
    <w:rPr>
      <w:rFonts w:asciiTheme="majorHAnsi" w:hAnsiTheme="majorHAnsi" w:cstheme="majorBidi"/>
      <w:b/>
      <w:bCs/>
      <w:kern w:val="28"/>
      <w:sz w:val="32"/>
      <w:szCs w:val="32"/>
    </w:rPr>
  </w:style>
  <w:style w:type="character" w:customStyle="1" w:styleId="129">
    <w:name w:val="脚注文本 Char"/>
    <w:basedOn w:val="43"/>
    <w:link w:val="32"/>
    <w:semiHidden/>
    <w:qFormat/>
    <w:uiPriority w:val="0"/>
    <w:rPr>
      <w:rFonts w:eastAsia="仿宋_GB2312"/>
      <w:kern w:val="2"/>
      <w:sz w:val="18"/>
    </w:rPr>
  </w:style>
  <w:style w:type="character" w:customStyle="1" w:styleId="130">
    <w:name w:val="正文文本 2 Char"/>
    <w:basedOn w:val="43"/>
    <w:link w:val="36"/>
    <w:qFormat/>
    <w:uiPriority w:val="0"/>
    <w:rPr>
      <w:kern w:val="2"/>
      <w:sz w:val="21"/>
      <w:szCs w:val="24"/>
    </w:rPr>
  </w:style>
  <w:style w:type="character" w:customStyle="1" w:styleId="131">
    <w:name w:val="标题 Char1"/>
    <w:link w:val="38"/>
    <w:qFormat/>
    <w:uiPriority w:val="0"/>
    <w:rPr>
      <w:rFonts w:ascii="Arial" w:hAnsi="Arial"/>
      <w:b/>
      <w:sz w:val="32"/>
    </w:rPr>
  </w:style>
  <w:style w:type="character" w:customStyle="1" w:styleId="132">
    <w:name w:val="标题 Char"/>
    <w:basedOn w:val="43"/>
    <w:qFormat/>
    <w:uiPriority w:val="10"/>
    <w:rPr>
      <w:rFonts w:asciiTheme="majorHAnsi" w:hAnsiTheme="majorHAnsi" w:cstheme="majorBidi"/>
      <w:b/>
      <w:bCs/>
      <w:kern w:val="2"/>
      <w:sz w:val="32"/>
      <w:szCs w:val="32"/>
    </w:rPr>
  </w:style>
  <w:style w:type="character" w:customStyle="1" w:styleId="133">
    <w:name w:val="批注主题 字符"/>
    <w:qFormat/>
    <w:uiPriority w:val="0"/>
    <w:rPr>
      <w:rFonts w:ascii="宋体"/>
      <w:b/>
      <w:bCs/>
      <w:sz w:val="28"/>
      <w:lang w:val="zh-CN" w:eastAsia="zh-CN"/>
    </w:rPr>
  </w:style>
  <w:style w:type="character" w:customStyle="1" w:styleId="134">
    <w:name w:val="font161"/>
    <w:qFormat/>
    <w:uiPriority w:val="0"/>
    <w:rPr>
      <w:b/>
      <w:bCs/>
      <w:sz w:val="32"/>
      <w:szCs w:val="32"/>
    </w:rPr>
  </w:style>
  <w:style w:type="character" w:customStyle="1" w:styleId="135">
    <w:name w:val="标题5 Char Char"/>
    <w:link w:val="136"/>
    <w:qFormat/>
    <w:uiPriority w:val="0"/>
    <w:rPr>
      <w:rFonts w:ascii="Arial" w:hAnsi="Arial"/>
      <w:b/>
      <w:bCs/>
      <w:sz w:val="24"/>
      <w:szCs w:val="32"/>
    </w:rPr>
  </w:style>
  <w:style w:type="paragraph" w:customStyle="1" w:styleId="136">
    <w:name w:val="标题5"/>
    <w:basedOn w:val="7"/>
    <w:link w:val="135"/>
    <w:qFormat/>
    <w:uiPriority w:val="0"/>
    <w:pPr>
      <w:tabs>
        <w:tab w:val="clear" w:pos="8280"/>
      </w:tabs>
      <w:spacing w:line="413" w:lineRule="auto"/>
    </w:pPr>
    <w:rPr>
      <w:rFonts w:ascii="Arial" w:hAnsi="Arial"/>
      <w:b/>
      <w:kern w:val="0"/>
      <w:sz w:val="24"/>
    </w:rPr>
  </w:style>
  <w:style w:type="character" w:customStyle="1" w:styleId="137">
    <w:name w:val="正文文字4 Char Char"/>
    <w:qFormat/>
    <w:uiPriority w:val="0"/>
    <w:rPr>
      <w:rFonts w:eastAsia="宋体"/>
      <w:kern w:val="2"/>
      <w:sz w:val="21"/>
      <w:szCs w:val="24"/>
      <w:lang w:val="en-US" w:eastAsia="zh-CN" w:bidi="ar-SA"/>
    </w:rPr>
  </w:style>
  <w:style w:type="character" w:customStyle="1" w:styleId="138">
    <w:name w:val="普通文字 Char Char1"/>
    <w:qFormat/>
    <w:uiPriority w:val="0"/>
    <w:rPr>
      <w:rFonts w:ascii="宋体" w:hAnsi="Courier New" w:eastAsia="宋体"/>
      <w:kern w:val="2"/>
      <w:sz w:val="21"/>
      <w:lang w:val="en-US" w:eastAsia="zh-CN" w:bidi="ar-SA"/>
    </w:rPr>
  </w:style>
  <w:style w:type="character" w:customStyle="1" w:styleId="139">
    <w:name w:val="明显引用 Char1"/>
    <w:link w:val="140"/>
    <w:qFormat/>
    <w:uiPriority w:val="0"/>
    <w:rPr>
      <w:b/>
      <w:bCs/>
      <w:i/>
      <w:iCs/>
      <w:color w:val="4F81BD"/>
      <w:kern w:val="2"/>
      <w:sz w:val="21"/>
      <w:szCs w:val="22"/>
    </w:rPr>
  </w:style>
  <w:style w:type="paragraph" w:styleId="140">
    <w:name w:val="Intense Quote"/>
    <w:basedOn w:val="1"/>
    <w:next w:val="1"/>
    <w:link w:val="139"/>
    <w:qFormat/>
    <w:uiPriority w:val="0"/>
    <w:pPr>
      <w:pBdr>
        <w:bottom w:val="single" w:color="4F81BD" w:sz="4" w:space="4"/>
      </w:pBdr>
      <w:spacing w:before="200" w:after="280"/>
      <w:ind w:left="936" w:right="936"/>
    </w:pPr>
    <w:rPr>
      <w:b/>
      <w:bCs/>
      <w:i/>
      <w:iCs/>
      <w:color w:val="4F81BD"/>
      <w:szCs w:val="22"/>
    </w:rPr>
  </w:style>
  <w:style w:type="character" w:customStyle="1" w:styleId="141">
    <w:name w:val="明显引用 Char"/>
    <w:basedOn w:val="43"/>
    <w:qFormat/>
    <w:uiPriority w:val="30"/>
    <w:rPr>
      <w:i/>
      <w:iCs/>
      <w:color w:val="5B9BD5" w:themeColor="accent1"/>
      <w:kern w:val="2"/>
      <w:sz w:val="21"/>
      <w:szCs w:val="24"/>
      <w14:textFill>
        <w14:solidFill>
          <w14:schemeClr w14:val="accent1"/>
        </w14:solidFill>
      </w14:textFill>
    </w:rPr>
  </w:style>
  <w:style w:type="character" w:customStyle="1" w:styleId="142">
    <w:name w:val="普通文字 Char Char"/>
    <w:qFormat/>
    <w:uiPriority w:val="0"/>
    <w:rPr>
      <w:rFonts w:ascii="宋体" w:hAnsi="Courier New" w:eastAsia="宋体"/>
      <w:kern w:val="2"/>
      <w:sz w:val="21"/>
      <w:lang w:val="en-US" w:eastAsia="zh-CN" w:bidi="ar-SA"/>
    </w:rPr>
  </w:style>
  <w:style w:type="character" w:customStyle="1" w:styleId="143">
    <w:name w:val="fx_label"/>
    <w:qFormat/>
    <w:uiPriority w:val="0"/>
  </w:style>
  <w:style w:type="character" w:customStyle="1" w:styleId="144">
    <w:name w:val="标题4 Char Char"/>
    <w:link w:val="145"/>
    <w:qFormat/>
    <w:uiPriority w:val="0"/>
    <w:rPr>
      <w:rFonts w:eastAsia="仿宋_GB2312"/>
      <w:kern w:val="2"/>
      <w:sz w:val="32"/>
    </w:rPr>
  </w:style>
  <w:style w:type="paragraph" w:customStyle="1" w:styleId="145">
    <w:name w:val="标题4"/>
    <w:basedOn w:val="1"/>
    <w:link w:val="144"/>
    <w:qFormat/>
    <w:uiPriority w:val="0"/>
    <w:rPr>
      <w:rFonts w:eastAsia="仿宋_GB2312"/>
      <w:sz w:val="32"/>
      <w:szCs w:val="20"/>
    </w:rPr>
  </w:style>
  <w:style w:type="character" w:customStyle="1" w:styleId="146">
    <w:name w:val="二 Char1"/>
    <w:qFormat/>
    <w:uiPriority w:val="0"/>
    <w:rPr>
      <w:rFonts w:eastAsia="宋体"/>
      <w:kern w:val="2"/>
      <w:sz w:val="21"/>
      <w:szCs w:val="24"/>
      <w:lang w:val="en-US" w:eastAsia="zh-CN" w:bidi="ar-SA"/>
    </w:rPr>
  </w:style>
  <w:style w:type="character" w:customStyle="1" w:styleId="147">
    <w:name w:val="引用 Char1"/>
    <w:link w:val="148"/>
    <w:qFormat/>
    <w:uiPriority w:val="0"/>
    <w:rPr>
      <w:i/>
      <w:iCs/>
      <w:color w:val="000000"/>
      <w:kern w:val="2"/>
      <w:sz w:val="21"/>
      <w:szCs w:val="22"/>
    </w:rPr>
  </w:style>
  <w:style w:type="paragraph" w:styleId="148">
    <w:name w:val="Quote"/>
    <w:basedOn w:val="1"/>
    <w:next w:val="1"/>
    <w:link w:val="147"/>
    <w:qFormat/>
    <w:uiPriority w:val="0"/>
    <w:rPr>
      <w:i/>
      <w:iCs/>
      <w:color w:val="000000"/>
      <w:szCs w:val="22"/>
    </w:rPr>
  </w:style>
  <w:style w:type="character" w:customStyle="1" w:styleId="149">
    <w:name w:val="引用 Char"/>
    <w:basedOn w:val="43"/>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0">
    <w:name w:val="htd01"/>
    <w:qFormat/>
    <w:uiPriority w:val="0"/>
  </w:style>
  <w:style w:type="character" w:customStyle="1" w:styleId="151">
    <w:name w:val="Char Char1"/>
    <w:qFormat/>
    <w:uiPriority w:val="0"/>
    <w:rPr>
      <w:rFonts w:ascii="Arial" w:hAnsi="Arial" w:eastAsia="黑体"/>
      <w:b/>
      <w:bCs/>
      <w:kern w:val="2"/>
      <w:sz w:val="32"/>
      <w:szCs w:val="32"/>
      <w:lang w:val="en-US" w:eastAsia="zh-CN" w:bidi="ar-SA"/>
    </w:rPr>
  </w:style>
  <w:style w:type="character" w:customStyle="1" w:styleId="152">
    <w:name w:val="二 Char"/>
    <w:qFormat/>
    <w:uiPriority w:val="0"/>
    <w:rPr>
      <w:rFonts w:eastAsia="仿宋_GB2312"/>
      <w:kern w:val="2"/>
      <w:sz w:val="32"/>
      <w:lang w:val="en-US" w:eastAsia="zh-CN" w:bidi="ar-SA"/>
    </w:rPr>
  </w:style>
  <w:style w:type="character" w:customStyle="1" w:styleId="153">
    <w:name w:val="Char Char10"/>
    <w:qFormat/>
    <w:locked/>
    <w:uiPriority w:val="0"/>
    <w:rPr>
      <w:rFonts w:ascii="宋体" w:hAnsi="宋体" w:eastAsia="宋体"/>
      <w:kern w:val="2"/>
      <w:sz w:val="21"/>
      <w:szCs w:val="24"/>
      <w:lang w:val="en-US" w:eastAsia="zh-CN" w:bidi="ar-SA"/>
    </w:rPr>
  </w:style>
  <w:style w:type="character" w:customStyle="1" w:styleId="154">
    <w:name w:val="apple-converted-space"/>
    <w:qFormat/>
    <w:uiPriority w:val="0"/>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pPr>
      <w:jc w:val="center"/>
    </w:pPr>
    <w:rPr>
      <w:rFonts w:ascii="仿宋_GB2312" w:eastAsia="仿宋_GB2312"/>
      <w:b/>
      <w:kern w:val="0"/>
      <w:sz w:val="32"/>
      <w:szCs w:val="32"/>
      <w:lang w:val="en-GB"/>
    </w:rPr>
  </w:style>
  <w:style w:type="paragraph" w:customStyle="1" w:styleId="157">
    <w:name w:val="Char Char Char"/>
    <w:basedOn w:val="1"/>
    <w:qFormat/>
    <w:uiPriority w:val="0"/>
    <w:rPr>
      <w:szCs w:val="20"/>
    </w:rPr>
  </w:style>
  <w:style w:type="paragraph" w:customStyle="1" w:styleId="158">
    <w:name w:val="Char"/>
    <w:basedOn w:val="1"/>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59">
    <w:name w:val="Char2"/>
    <w:basedOn w:val="1"/>
    <w:qFormat/>
    <w:uiPriority w:val="0"/>
    <w:rPr>
      <w:rFonts w:ascii="仿宋_GB2312" w:eastAsia="仿宋_GB2312"/>
      <w:b/>
      <w:sz w:val="32"/>
      <w:szCs w:val="32"/>
    </w:rPr>
  </w:style>
  <w:style w:type="paragraph" w:customStyle="1" w:styleId="160">
    <w:name w:val="样式 样式 样式1 + 首行缩进:  2 字符 + 左侧:  0.74 厘米"/>
    <w:basedOn w:val="97"/>
    <w:qFormat/>
    <w:uiPriority w:val="0"/>
    <w:pPr>
      <w:ind w:firstLine="200"/>
    </w:pPr>
  </w:style>
  <w:style w:type="paragraph" w:customStyle="1" w:styleId="16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2">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3">
    <w:name w:val="样式 标题 3 + 段前: 7.8 磅"/>
    <w:basedOn w:val="7"/>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6">
    <w:name w:val="样式 标题 3 + Arial"/>
    <w:basedOn w:val="7"/>
    <w:qFormat/>
    <w:uiPriority w:val="0"/>
    <w:pPr>
      <w:tabs>
        <w:tab w:val="clear" w:pos="8280"/>
      </w:tabs>
      <w:spacing w:before="100" w:beforeLines="100" w:after="0" w:line="360" w:lineRule="auto"/>
    </w:pPr>
    <w:rPr>
      <w:rFonts w:ascii="Arial" w:hAnsi="Arial"/>
      <w:b/>
      <w:sz w:val="24"/>
    </w:rPr>
  </w:style>
  <w:style w:type="paragraph" w:customStyle="1" w:styleId="167">
    <w:name w:val="样式 标题 3 + (中文) 黑体 小四 非加粗 段前: 7.8 磅 段后: 0 磅 行距: 固定值 20 磅"/>
    <w:basedOn w:val="7"/>
    <w:qFormat/>
    <w:uiPriority w:val="0"/>
    <w:pPr>
      <w:tabs>
        <w:tab w:val="clear" w:pos="8280"/>
      </w:tabs>
      <w:spacing w:before="0" w:after="0" w:line="400" w:lineRule="exact"/>
    </w:pPr>
    <w:rPr>
      <w:rFonts w:eastAsia="黑体" w:cs="宋体"/>
      <w:bCs w:val="0"/>
      <w:sz w:val="24"/>
      <w:szCs w:val="20"/>
    </w:rPr>
  </w:style>
  <w:style w:type="paragraph" w:customStyle="1" w:styleId="168">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169">
    <w:name w:val="1"/>
    <w:basedOn w:val="1"/>
    <w:next w:val="1"/>
    <w:qFormat/>
    <w:uiPriority w:val="0"/>
  </w:style>
  <w:style w:type="paragraph" w:customStyle="1" w:styleId="170">
    <w:name w:val="p0"/>
    <w:basedOn w:val="1"/>
    <w:qFormat/>
    <w:uiPriority w:val="0"/>
    <w:pPr>
      <w:widowControl/>
    </w:pPr>
    <w:rPr>
      <w:kern w:val="0"/>
      <w:szCs w:val="21"/>
    </w:rPr>
  </w:style>
  <w:style w:type="paragraph" w:customStyle="1" w:styleId="171">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2">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3">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4">
    <w:name w:val="正文文本 Char1"/>
    <w:qFormat/>
    <w:uiPriority w:val="99"/>
    <w:rPr>
      <w:rFonts w:eastAsia="宋体"/>
      <w:kern w:val="2"/>
      <w:sz w:val="21"/>
      <w:szCs w:val="24"/>
      <w:lang w:val="en-US" w:eastAsia="zh-CN" w:bidi="ar-SA"/>
    </w:rPr>
  </w:style>
  <w:style w:type="character" w:customStyle="1" w:styleId="175">
    <w:name w:val="批注文字 Char2"/>
    <w:basedOn w:val="4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6AE46-EBD8-4374-AB77-ADE8C96362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115</Pages>
  <Words>68137</Words>
  <Characters>72803</Characters>
  <Lines>547</Lines>
  <Paragraphs>154</Paragraphs>
  <TotalTime>10</TotalTime>
  <ScaleCrop>false</ScaleCrop>
  <LinksUpToDate>false</LinksUpToDate>
  <CharactersWithSpaces>75343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Anni</cp:lastModifiedBy>
  <cp:lastPrinted>2022-08-05T01:35:04Z</cp:lastPrinted>
  <dcterms:modified xsi:type="dcterms:W3CDTF">2022-08-05T01:41:30Z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0710DDD280A5423D98DBC261439DDA92</vt:lpwstr>
  </property>
</Properties>
</file>